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34B6B" w:rsidRPr="0043450D" w:rsidP="00534B6B" w14:paraId="0670120A" w14:textId="77777777">
      <w:pPr>
        <w:suppressAutoHyphens/>
        <w:jc w:val="center"/>
        <w:rPr>
          <w:rFonts w:ascii="Times New Roman" w:hAnsi="Times New Roman"/>
          <w:b/>
        </w:rPr>
      </w:pPr>
      <w:r w:rsidRPr="0043450D">
        <w:rPr>
          <w:rFonts w:ascii="Times New Roman" w:hAnsi="Times New Roman"/>
          <w:b/>
        </w:rPr>
        <w:t>SUPPORTING STATEMENT FOR NEW AND</w:t>
      </w:r>
    </w:p>
    <w:p w:rsidR="00534B6B" w:rsidP="00534B6B" w14:paraId="1470B6AB" w14:textId="77777777">
      <w:pPr>
        <w:suppressAutoHyphens/>
        <w:spacing w:after="240"/>
        <w:jc w:val="center"/>
        <w:rPr>
          <w:rFonts w:ascii="Times New Roman" w:hAnsi="Times New Roman"/>
          <w:b/>
        </w:rPr>
      </w:pPr>
      <w:r w:rsidRPr="0043450D">
        <w:rPr>
          <w:rFonts w:ascii="Times New Roman" w:hAnsi="Times New Roman"/>
          <w:b/>
        </w:rPr>
        <w:t>REVISED INFORMATION COLLECTIONS</w:t>
      </w:r>
    </w:p>
    <w:p w:rsidR="00362C39" w:rsidRPr="00362C39" w:rsidP="00534B6B" w14:paraId="431C77F7" w14:textId="77777777">
      <w:pPr>
        <w:suppressAutoHyphens/>
        <w:spacing w:after="240"/>
        <w:jc w:val="center"/>
        <w:rPr>
          <w:rFonts w:ascii="Times New Roman" w:hAnsi="Times New Roman"/>
          <w:b/>
          <w:u w:val="single"/>
        </w:rPr>
      </w:pPr>
      <w:bookmarkStart w:id="0" w:name="_Hlk132204849"/>
      <w:r>
        <w:rPr>
          <w:rFonts w:ascii="Times New Roman" w:hAnsi="Times New Roman"/>
          <w:b/>
          <w:u w:val="single"/>
        </w:rPr>
        <w:t>Registration of Swap Dealers and Major Swap Participants</w:t>
      </w:r>
    </w:p>
    <w:bookmarkEnd w:id="0"/>
    <w:p w:rsidR="00534B6B" w:rsidRPr="0043450D" w:rsidP="00534B6B" w14:paraId="36332143" w14:textId="77777777">
      <w:pPr>
        <w:tabs>
          <w:tab w:val="center" w:pos="4680"/>
        </w:tabs>
        <w:suppressAutoHyphens/>
        <w:spacing w:after="240"/>
        <w:jc w:val="center"/>
        <w:rPr>
          <w:rFonts w:ascii="Times New Roman" w:hAnsi="Times New Roman"/>
          <w:b/>
        </w:rPr>
      </w:pPr>
      <w:r w:rsidRPr="0043450D">
        <w:rPr>
          <w:rFonts w:ascii="Times New Roman" w:hAnsi="Times New Roman"/>
          <w:b/>
        </w:rPr>
        <w:t xml:space="preserve">OMB CONTROL NUMBER </w:t>
      </w:r>
      <w:r w:rsidR="00B26DF3">
        <w:rPr>
          <w:rFonts w:ascii="Times New Roman" w:hAnsi="Times New Roman"/>
          <w:b/>
        </w:rPr>
        <w:t>3038</w:t>
      </w:r>
      <w:r w:rsidR="008D4548">
        <w:rPr>
          <w:rFonts w:ascii="Times New Roman" w:hAnsi="Times New Roman"/>
          <w:b/>
        </w:rPr>
        <w:t>-</w:t>
      </w:r>
      <w:r w:rsidR="0054134E">
        <w:rPr>
          <w:rFonts w:ascii="Times New Roman" w:hAnsi="Times New Roman"/>
          <w:b/>
        </w:rPr>
        <w:t>0072</w:t>
      </w:r>
    </w:p>
    <w:p w:rsidR="00534B6B" w:rsidRPr="003E1569" w:rsidP="00534B6B" w14:paraId="628FDBB5" w14:textId="77777777">
      <w:pPr>
        <w:pStyle w:val="Heading1"/>
        <w:keepNext w:val="0"/>
        <w:spacing w:after="240"/>
        <w:rPr>
          <w:rFonts w:ascii="Times New Roman" w:hAnsi="Times New Roman"/>
          <w:szCs w:val="24"/>
        </w:rPr>
      </w:pPr>
      <w:r w:rsidRPr="003E1569">
        <w:rPr>
          <w:rFonts w:ascii="Times New Roman" w:hAnsi="Times New Roman"/>
          <w:szCs w:val="24"/>
        </w:rPr>
        <w:t>Justification</w:t>
      </w:r>
    </w:p>
    <w:p w:rsidR="00534B6B" w:rsidRPr="003E1569" w:rsidP="00534B6B" w14:paraId="43EC9CD3" w14:textId="77777777">
      <w:pPr>
        <w:tabs>
          <w:tab w:val="left" w:pos="-720"/>
          <w:tab w:val="left" w:pos="0"/>
        </w:tabs>
        <w:spacing w:after="240"/>
        <w:rPr>
          <w:rFonts w:ascii="Times New Roman" w:hAnsi="Times New Roman"/>
        </w:rPr>
      </w:pPr>
      <w:r w:rsidRPr="003E1569">
        <w:rPr>
          <w:rFonts w:ascii="Times New Roman" w:hAnsi="Times New Roman"/>
          <w:b/>
        </w:rPr>
        <w:t>1.</w:t>
      </w:r>
      <w:r w:rsidRPr="003E1569">
        <w:rPr>
          <w:rFonts w:ascii="Times New Roman" w:hAnsi="Times New Roman"/>
          <w:b/>
        </w:rPr>
        <w:tab/>
        <w:t>Explain the circumstances that make the coll</w:t>
      </w:r>
      <w:r w:rsidR="00893A29">
        <w:rPr>
          <w:rFonts w:ascii="Times New Roman" w:hAnsi="Times New Roman"/>
          <w:b/>
        </w:rPr>
        <w:t>ection of information necessary</w:t>
      </w:r>
      <w:r w:rsidRPr="003E1569">
        <w:rPr>
          <w:rFonts w:ascii="Times New Roman" w:hAnsi="Times New Roman"/>
          <w:b/>
        </w:rPr>
        <w:t>.  Identify any legal or administrative requirements that necessitate the collection.  Attach a copy of the appropriate section of each statute and regulation mandating or authorizing the collection of information.</w:t>
      </w:r>
    </w:p>
    <w:p w:rsidR="00274157" w:rsidP="00E41C88" w14:paraId="67491DF8" w14:textId="77777777">
      <w:pPr>
        <w:spacing w:after="240"/>
        <w:ind w:firstLine="720"/>
        <w:rPr>
          <w:rFonts w:ascii="Times New Roman" w:hAnsi="Times New Roman"/>
        </w:rPr>
      </w:pPr>
      <w:r>
        <w:rPr>
          <w:rFonts w:ascii="Times New Roman" w:hAnsi="Times New Roman"/>
        </w:rPr>
        <w:t>OMB Control Number 3038-0072 covers three information collections:  the forms by which swap dealers (</w:t>
      </w:r>
      <w:r w:rsidR="004E0BF4">
        <w:rPr>
          <w:rFonts w:ascii="Times New Roman" w:hAnsi="Times New Roman"/>
        </w:rPr>
        <w:t>“</w:t>
      </w:r>
      <w:r>
        <w:rPr>
          <w:rFonts w:ascii="Times New Roman" w:hAnsi="Times New Roman"/>
        </w:rPr>
        <w:t>SDs</w:t>
      </w:r>
      <w:r w:rsidR="004E0BF4">
        <w:rPr>
          <w:rFonts w:ascii="Times New Roman" w:hAnsi="Times New Roman"/>
        </w:rPr>
        <w:t>”</w:t>
      </w:r>
      <w:r>
        <w:rPr>
          <w:rFonts w:ascii="Times New Roman" w:hAnsi="Times New Roman"/>
        </w:rPr>
        <w:t>) and major swap participants (</w:t>
      </w:r>
      <w:r w:rsidR="004E0BF4">
        <w:rPr>
          <w:rFonts w:ascii="Times New Roman" w:hAnsi="Times New Roman"/>
        </w:rPr>
        <w:t>“</w:t>
      </w:r>
      <w:r>
        <w:rPr>
          <w:rFonts w:ascii="Times New Roman" w:hAnsi="Times New Roman"/>
        </w:rPr>
        <w:t>MSPs</w:t>
      </w:r>
      <w:r w:rsidR="001F4495">
        <w:rPr>
          <w:rFonts w:ascii="Times New Roman" w:hAnsi="Times New Roman"/>
        </w:rPr>
        <w:t>,</w:t>
      </w:r>
      <w:r w:rsidR="004E0BF4">
        <w:rPr>
          <w:rFonts w:ascii="Times New Roman" w:hAnsi="Times New Roman"/>
        </w:rPr>
        <w:t>”</w:t>
      </w:r>
      <w:r w:rsidR="001F4495">
        <w:rPr>
          <w:rFonts w:ascii="Times New Roman" w:hAnsi="Times New Roman"/>
        </w:rPr>
        <w:t xml:space="preserve"> and, together with SDs, “Swaps Entities”</w:t>
      </w:r>
      <w:r>
        <w:rPr>
          <w:rFonts w:ascii="Times New Roman" w:hAnsi="Times New Roman"/>
        </w:rPr>
        <w:t xml:space="preserve">) register with the Commodity Futures Trading Commission (the </w:t>
      </w:r>
      <w:r w:rsidR="004E0BF4">
        <w:rPr>
          <w:rFonts w:ascii="Times New Roman" w:hAnsi="Times New Roman"/>
        </w:rPr>
        <w:t>“</w:t>
      </w:r>
      <w:r>
        <w:rPr>
          <w:rFonts w:ascii="Times New Roman" w:hAnsi="Times New Roman"/>
        </w:rPr>
        <w:t>Commission</w:t>
      </w:r>
      <w:r w:rsidR="004E0BF4">
        <w:rPr>
          <w:rFonts w:ascii="Times New Roman" w:hAnsi="Times New Roman"/>
        </w:rPr>
        <w:t>”</w:t>
      </w:r>
      <w:r>
        <w:rPr>
          <w:rFonts w:ascii="Times New Roman" w:hAnsi="Times New Roman"/>
        </w:rPr>
        <w:t>)</w:t>
      </w:r>
      <w:r w:rsidR="001F4495">
        <w:rPr>
          <w:rFonts w:ascii="Times New Roman" w:hAnsi="Times New Roman"/>
        </w:rPr>
        <w:t xml:space="preserve"> (1</w:t>
      </w:r>
      <w:r w:rsidRPr="009021E4" w:rsidR="001F4495">
        <w:rPr>
          <w:rFonts w:ascii="Times New Roman" w:hAnsi="Times New Roman"/>
          <w:vertAlign w:val="superscript"/>
        </w:rPr>
        <w:t>st</w:t>
      </w:r>
      <w:r w:rsidR="001F4495">
        <w:rPr>
          <w:rFonts w:ascii="Times New Roman" w:hAnsi="Times New Roman"/>
        </w:rPr>
        <w:t xml:space="preserve"> IC)</w:t>
      </w:r>
      <w:r>
        <w:rPr>
          <w:rFonts w:ascii="Times New Roman" w:hAnsi="Times New Roman"/>
        </w:rPr>
        <w:t xml:space="preserve">; </w:t>
      </w:r>
      <w:bookmarkStart w:id="1" w:name="_Hlk132285359"/>
      <w:r>
        <w:rPr>
          <w:rFonts w:ascii="Times New Roman" w:hAnsi="Times New Roman"/>
        </w:rPr>
        <w:t>the alternative provided under Commission regulations for submission of a fingerprint card for foreign natural persons</w:t>
      </w:r>
      <w:r w:rsidR="001F4495">
        <w:rPr>
          <w:rFonts w:ascii="Times New Roman" w:hAnsi="Times New Roman"/>
        </w:rPr>
        <w:t xml:space="preserve"> (</w:t>
      </w:r>
      <w:r w:rsidR="004E0BF4">
        <w:rPr>
          <w:rFonts w:ascii="Times New Roman" w:hAnsi="Times New Roman"/>
        </w:rPr>
        <w:t>“</w:t>
      </w:r>
      <w:r w:rsidR="001F4495">
        <w:rPr>
          <w:rFonts w:ascii="Times New Roman" w:hAnsi="Times New Roman"/>
        </w:rPr>
        <w:t>2</w:t>
      </w:r>
      <w:r w:rsidRPr="009021E4" w:rsidR="001F4495">
        <w:rPr>
          <w:rFonts w:ascii="Times New Roman" w:hAnsi="Times New Roman"/>
          <w:vertAlign w:val="superscript"/>
        </w:rPr>
        <w:t>nd</w:t>
      </w:r>
      <w:r w:rsidR="001F4495">
        <w:rPr>
          <w:rFonts w:ascii="Times New Roman" w:hAnsi="Times New Roman"/>
        </w:rPr>
        <w:t xml:space="preserve"> IC</w:t>
      </w:r>
      <w:r w:rsidR="004E0BF4">
        <w:rPr>
          <w:rFonts w:ascii="Times New Roman" w:hAnsi="Times New Roman"/>
        </w:rPr>
        <w:t>”</w:t>
      </w:r>
      <w:r w:rsidR="001F4495">
        <w:rPr>
          <w:rFonts w:ascii="Times New Roman" w:hAnsi="Times New Roman"/>
        </w:rPr>
        <w:t>)</w:t>
      </w:r>
      <w:r>
        <w:rPr>
          <w:rFonts w:ascii="Times New Roman" w:hAnsi="Times New Roman"/>
        </w:rPr>
        <w:t>; and the process for requesting cross-border comparability determinations</w:t>
      </w:r>
      <w:r w:rsidR="001F4495">
        <w:rPr>
          <w:rFonts w:ascii="Times New Roman" w:hAnsi="Times New Roman"/>
        </w:rPr>
        <w:t xml:space="preserve"> </w:t>
      </w:r>
      <w:bookmarkEnd w:id="1"/>
      <w:r w:rsidR="001F4495">
        <w:rPr>
          <w:rFonts w:ascii="Times New Roman" w:hAnsi="Times New Roman"/>
        </w:rPr>
        <w:t>(</w:t>
      </w:r>
      <w:r w:rsidR="004E0BF4">
        <w:rPr>
          <w:rFonts w:ascii="Times New Roman" w:hAnsi="Times New Roman"/>
        </w:rPr>
        <w:t>“</w:t>
      </w:r>
      <w:r w:rsidR="001F4495">
        <w:rPr>
          <w:rFonts w:ascii="Times New Roman" w:hAnsi="Times New Roman"/>
        </w:rPr>
        <w:t>3</w:t>
      </w:r>
      <w:r w:rsidRPr="009021E4" w:rsidR="001F4495">
        <w:rPr>
          <w:rFonts w:ascii="Times New Roman" w:hAnsi="Times New Roman"/>
          <w:vertAlign w:val="superscript"/>
        </w:rPr>
        <w:t>rd</w:t>
      </w:r>
      <w:r w:rsidR="001F4495">
        <w:rPr>
          <w:rFonts w:ascii="Times New Roman" w:hAnsi="Times New Roman"/>
        </w:rPr>
        <w:t xml:space="preserve"> IC</w:t>
      </w:r>
      <w:r w:rsidR="004E0BF4">
        <w:rPr>
          <w:rFonts w:ascii="Times New Roman" w:hAnsi="Times New Roman"/>
        </w:rPr>
        <w:t>”</w:t>
      </w:r>
      <w:r w:rsidR="001F4495">
        <w:rPr>
          <w:rFonts w:ascii="Times New Roman" w:hAnsi="Times New Roman"/>
        </w:rPr>
        <w:t>)</w:t>
      </w:r>
      <w:r>
        <w:rPr>
          <w:rFonts w:ascii="Times New Roman" w:hAnsi="Times New Roman"/>
        </w:rPr>
        <w:t>.</w:t>
      </w:r>
    </w:p>
    <w:p w:rsidR="00E41C88" w:rsidP="00E41C88" w14:paraId="7B0FB2B1" w14:textId="77777777">
      <w:pPr>
        <w:spacing w:after="240"/>
        <w:ind w:firstLine="720"/>
        <w:rPr>
          <w:rFonts w:ascii="Times New Roman" w:hAnsi="Times New Roman"/>
        </w:rPr>
      </w:pPr>
      <w:r w:rsidRPr="00E41C88">
        <w:rPr>
          <w:rFonts w:ascii="Times New Roman" w:hAnsi="Times New Roman"/>
        </w:rPr>
        <w:t>Commodity Exchange Act (</w:t>
      </w:r>
      <w:r w:rsidR="004E0BF4">
        <w:rPr>
          <w:rFonts w:ascii="Times New Roman" w:hAnsi="Times New Roman"/>
        </w:rPr>
        <w:t>“</w:t>
      </w:r>
      <w:r w:rsidRPr="00E41C88">
        <w:rPr>
          <w:rFonts w:ascii="Times New Roman" w:hAnsi="Times New Roman"/>
        </w:rPr>
        <w:t>CEA</w:t>
      </w:r>
      <w:r w:rsidR="004E0BF4">
        <w:rPr>
          <w:rFonts w:ascii="Times New Roman" w:hAnsi="Times New Roman"/>
        </w:rPr>
        <w:t>”</w:t>
      </w:r>
      <w:r w:rsidRPr="00E41C88">
        <w:rPr>
          <w:rFonts w:ascii="Times New Roman" w:hAnsi="Times New Roman"/>
        </w:rPr>
        <w:t xml:space="preserve">) Section 4s(a) (7 U.S.C. 6s(a)) makes it unlawful for </w:t>
      </w:r>
      <w:r w:rsidR="004E0BF4">
        <w:rPr>
          <w:rFonts w:ascii="Times New Roman" w:hAnsi="Times New Roman"/>
        </w:rPr>
        <w:t>an SD</w:t>
      </w:r>
      <w:r w:rsidRPr="00E41C88">
        <w:rPr>
          <w:rFonts w:ascii="Times New Roman" w:hAnsi="Times New Roman"/>
        </w:rPr>
        <w:t xml:space="preserve"> or MSP to act as such unless registered with the </w:t>
      </w:r>
      <w:r w:rsidR="00322ACD">
        <w:rPr>
          <w:rFonts w:ascii="Times New Roman" w:hAnsi="Times New Roman"/>
        </w:rPr>
        <w:t>Commission</w:t>
      </w:r>
      <w:r w:rsidRPr="00E41C88">
        <w:rPr>
          <w:rFonts w:ascii="Times New Roman" w:hAnsi="Times New Roman"/>
        </w:rPr>
        <w:t xml:space="preserve">.  CEA Section 4s(b) (7 U.S.C. 6s(b)) requires that registration of SDs and MSPs be accomplished by filing an application in such form and manner as provided by the </w:t>
      </w:r>
      <w:r w:rsidR="00322ACD">
        <w:rPr>
          <w:rFonts w:ascii="Times New Roman" w:hAnsi="Times New Roman"/>
        </w:rPr>
        <w:t>Commission</w:t>
      </w:r>
      <w:r w:rsidRPr="00E41C88">
        <w:rPr>
          <w:rFonts w:ascii="Times New Roman" w:hAnsi="Times New Roman"/>
        </w:rPr>
        <w:t xml:space="preserve">, containing such information as the </w:t>
      </w:r>
      <w:r w:rsidR="00322ACD">
        <w:rPr>
          <w:rFonts w:ascii="Times New Roman" w:hAnsi="Times New Roman"/>
        </w:rPr>
        <w:t>Commission</w:t>
      </w:r>
      <w:r w:rsidRPr="00E41C88">
        <w:rPr>
          <w:rFonts w:ascii="Times New Roman" w:hAnsi="Times New Roman"/>
        </w:rPr>
        <w:t xml:space="preserve"> considers necessary concerning the applicant’s business.  Pursuant to regulations adopted by the </w:t>
      </w:r>
      <w:r w:rsidR="00322ACD">
        <w:rPr>
          <w:rFonts w:ascii="Times New Roman" w:hAnsi="Times New Roman"/>
        </w:rPr>
        <w:t xml:space="preserve">Commission </w:t>
      </w:r>
      <w:r w:rsidRPr="00E41C88">
        <w:rPr>
          <w:rFonts w:ascii="Times New Roman" w:hAnsi="Times New Roman"/>
        </w:rPr>
        <w:t>pursuant to CEA Section 4s(b)</w:t>
      </w:r>
      <w:r>
        <w:rPr>
          <w:rFonts w:ascii="Times New Roman" w:hAnsi="Times New Roman"/>
        </w:rPr>
        <w:t xml:space="preserve"> (</w:t>
      </w:r>
      <w:r w:rsidR="004E0BF4">
        <w:rPr>
          <w:rFonts w:ascii="Times New Roman" w:hAnsi="Times New Roman"/>
        </w:rPr>
        <w:t>“</w:t>
      </w:r>
      <w:r>
        <w:rPr>
          <w:rFonts w:ascii="Times New Roman" w:hAnsi="Times New Roman"/>
        </w:rPr>
        <w:t>Swaps Entity Registration Regulations</w:t>
      </w:r>
      <w:r w:rsidR="004E0BF4">
        <w:rPr>
          <w:rFonts w:ascii="Times New Roman" w:hAnsi="Times New Roman"/>
        </w:rPr>
        <w:t>”</w:t>
      </w:r>
      <w:r>
        <w:rPr>
          <w:rFonts w:ascii="Times New Roman" w:hAnsi="Times New Roman"/>
        </w:rPr>
        <w:t>)</w:t>
      </w:r>
      <w:r w:rsidRPr="00E41C88">
        <w:rPr>
          <w:rFonts w:ascii="Times New Roman" w:hAnsi="Times New Roman"/>
        </w:rPr>
        <w:t>,</w:t>
      </w:r>
      <w:r>
        <w:rPr>
          <w:rFonts w:ascii="Times New Roman" w:hAnsi="Times New Roman"/>
          <w:vertAlign w:val="superscript"/>
        </w:rPr>
        <w:footnoteReference w:id="2"/>
      </w:r>
      <w:r w:rsidRPr="00E41C88">
        <w:rPr>
          <w:rFonts w:ascii="Times New Roman" w:hAnsi="Times New Roman"/>
        </w:rPr>
        <w:t xml:space="preserve"> SDs and MSPs are required to register on Form 7-R and principals listed by SDs and MSPs must submit Form 8-R.  </w:t>
      </w:r>
      <w:r w:rsidR="00322ACD">
        <w:rPr>
          <w:rFonts w:ascii="Times New Roman" w:hAnsi="Times New Roman"/>
        </w:rPr>
        <w:t>Commission</w:t>
      </w:r>
      <w:r w:rsidRPr="00E41C88">
        <w:rPr>
          <w:rFonts w:ascii="Times New Roman" w:hAnsi="Times New Roman"/>
        </w:rPr>
        <w:t xml:space="preserve"> Form 7-R (for firms) and Form 8-R (for natural persons) request information about the applicant that is necessary to assess the applicant’s fitness to engage in business in the registration categories referenced above, subject to regulation and oversight by the </w:t>
      </w:r>
      <w:r w:rsidR="00322ACD">
        <w:rPr>
          <w:rFonts w:ascii="Times New Roman" w:hAnsi="Times New Roman"/>
        </w:rPr>
        <w:t>Commission</w:t>
      </w:r>
      <w:r w:rsidRPr="00E41C88">
        <w:rPr>
          <w:rFonts w:ascii="Times New Roman" w:hAnsi="Times New Roman"/>
        </w:rPr>
        <w:t>.</w:t>
      </w:r>
      <w:r>
        <w:rPr>
          <w:rStyle w:val="FootnoteReference"/>
          <w:rFonts w:ascii="Times New Roman" w:hAnsi="Times New Roman"/>
        </w:rPr>
        <w:footnoteReference w:id="3"/>
      </w:r>
      <w:r w:rsidRPr="00E41C88">
        <w:rPr>
          <w:rFonts w:ascii="Times New Roman" w:hAnsi="Times New Roman"/>
        </w:rPr>
        <w:t xml:space="preserve">  </w:t>
      </w:r>
    </w:p>
    <w:p w:rsidR="008B1644" w:rsidP="00E41C88" w14:paraId="24473D51" w14:textId="77777777">
      <w:pPr>
        <w:spacing w:after="240"/>
        <w:ind w:firstLine="720"/>
        <w:rPr>
          <w:rFonts w:ascii="Times New Roman" w:hAnsi="Times New Roman"/>
        </w:rPr>
      </w:pPr>
      <w:r>
        <w:rPr>
          <w:rFonts w:ascii="Times New Roman" w:hAnsi="Times New Roman"/>
        </w:rPr>
        <w:t>Commission Regulation 3.21(e) provides</w:t>
      </w:r>
      <w:r w:rsidR="004E0BF4">
        <w:rPr>
          <w:rFonts w:ascii="Times New Roman" w:hAnsi="Times New Roman"/>
        </w:rPr>
        <w:t xml:space="preserve"> generally</w:t>
      </w:r>
      <w:r>
        <w:rPr>
          <w:rFonts w:ascii="Times New Roman" w:hAnsi="Times New Roman"/>
        </w:rPr>
        <w:t xml:space="preserve"> that, in lieu of submitting a fingerprint card for a foreign natural person who has not resided in the U.S. since the person’s 18</w:t>
      </w:r>
      <w:r w:rsidRPr="009021E4">
        <w:rPr>
          <w:rFonts w:ascii="Times New Roman" w:hAnsi="Times New Roman"/>
          <w:vertAlign w:val="superscript"/>
        </w:rPr>
        <w:t>th</w:t>
      </w:r>
      <w:r>
        <w:rPr>
          <w:rFonts w:ascii="Times New Roman" w:hAnsi="Times New Roman"/>
        </w:rPr>
        <w:t xml:space="preserve"> birthday, a swap dealer or major swap participant may certify that a criminal history background check of such foreign natural person has not revealed any matter that would statutorily disqualify him or her from being registered or listed as a principal.   </w:t>
      </w:r>
    </w:p>
    <w:p w:rsidR="00727CCD" w:rsidRPr="00E41C88" w:rsidP="00727CCD" w14:paraId="5C082092" w14:textId="77777777">
      <w:pPr>
        <w:spacing w:after="240"/>
        <w:ind w:firstLine="720"/>
        <w:rPr>
          <w:rFonts w:ascii="Times New Roman" w:hAnsi="Times New Roman"/>
        </w:rPr>
      </w:pPr>
      <w:r>
        <w:rPr>
          <w:rFonts w:ascii="Times New Roman" w:hAnsi="Times New Roman"/>
        </w:rPr>
        <w:t xml:space="preserve">Commission Regulation 23.23 </w:t>
      </w:r>
      <w:r w:rsidRPr="00727CCD">
        <w:rPr>
          <w:rFonts w:ascii="Times New Roman" w:hAnsi="Times New Roman"/>
        </w:rPr>
        <w:t xml:space="preserve">addresses the cross-border application of the registration thresholds and certain requirements applicable to SDs and MSPs, and establishes a formal process for requesting comparability determinations </w:t>
      </w:r>
      <w:r w:rsidRPr="00274157" w:rsidR="00274157">
        <w:rPr>
          <w:rFonts w:ascii="Times New Roman" w:hAnsi="Times New Roman"/>
        </w:rPr>
        <w:t xml:space="preserve">from the Commission </w:t>
      </w:r>
      <w:r w:rsidR="00274157">
        <w:rPr>
          <w:rFonts w:ascii="Times New Roman" w:hAnsi="Times New Roman"/>
        </w:rPr>
        <w:t>to permit substituted compliance with</w:t>
      </w:r>
      <w:r w:rsidRPr="00727CCD">
        <w:rPr>
          <w:rFonts w:ascii="Times New Roman" w:hAnsi="Times New Roman"/>
        </w:rPr>
        <w:t xml:space="preserve"> such requirements</w:t>
      </w:r>
      <w:r w:rsidR="00274157">
        <w:rPr>
          <w:rFonts w:ascii="Times New Roman" w:hAnsi="Times New Roman"/>
        </w:rPr>
        <w:t>.</w:t>
      </w:r>
    </w:p>
    <w:p w:rsidR="00534B6B" w:rsidRPr="003E1569" w:rsidP="00534B6B" w14:paraId="3ED65A34" w14:textId="77777777">
      <w:pPr>
        <w:tabs>
          <w:tab w:val="left" w:pos="-720"/>
        </w:tabs>
        <w:spacing w:after="240"/>
        <w:rPr>
          <w:rFonts w:ascii="Times New Roman" w:hAnsi="Times New Roman"/>
          <w:b/>
        </w:rPr>
      </w:pPr>
      <w:r w:rsidRPr="003E1569">
        <w:rPr>
          <w:rFonts w:ascii="Times New Roman" w:hAnsi="Times New Roman"/>
          <w:b/>
        </w:rPr>
        <w:t>2.</w:t>
      </w:r>
      <w:r w:rsidRPr="003E1569">
        <w:rPr>
          <w:rFonts w:ascii="Times New Roman" w:hAnsi="Times New Roman"/>
          <w:b/>
        </w:rPr>
        <w:tab/>
        <w:t>Indicate how, by who</w:t>
      </w:r>
      <w:r w:rsidR="00EB6A33">
        <w:rPr>
          <w:rFonts w:ascii="Times New Roman" w:hAnsi="Times New Roman"/>
          <w:b/>
        </w:rPr>
        <w:t>m, and for what purpose the data</w:t>
      </w:r>
      <w:r w:rsidRPr="003E1569">
        <w:rPr>
          <w:rFonts w:ascii="Times New Roman" w:hAnsi="Times New Roman"/>
          <w:b/>
        </w:rPr>
        <w:t xml:space="preserve"> would be used.  Except for a new collection, indicate the actual use the agency has made of the information received from the current collection.</w:t>
      </w:r>
    </w:p>
    <w:p w:rsidR="00534B6B" w:rsidRPr="003E1569" w:rsidP="00653915" w14:paraId="404F5C93" w14:textId="77777777">
      <w:pPr>
        <w:spacing w:after="240"/>
        <w:ind w:firstLine="720"/>
        <w:rPr>
          <w:rFonts w:ascii="Times New Roman" w:hAnsi="Times New Roman"/>
        </w:rPr>
      </w:pPr>
      <w:r w:rsidRPr="003E1569">
        <w:rPr>
          <w:rFonts w:ascii="Times New Roman" w:hAnsi="Times New Roman"/>
        </w:rPr>
        <w:t xml:space="preserve">The information received pursuant to </w:t>
      </w:r>
      <w:r w:rsidR="00A53958">
        <w:rPr>
          <w:rFonts w:ascii="Times New Roman" w:hAnsi="Times New Roman"/>
        </w:rPr>
        <w:t xml:space="preserve">the </w:t>
      </w:r>
      <w:r w:rsidR="00331671">
        <w:rPr>
          <w:rFonts w:ascii="Times New Roman" w:hAnsi="Times New Roman"/>
        </w:rPr>
        <w:t>Swaps Entity Registration Regulations</w:t>
      </w:r>
      <w:r w:rsidR="00A53958">
        <w:rPr>
          <w:rFonts w:ascii="Times New Roman" w:hAnsi="Times New Roman"/>
        </w:rPr>
        <w:t xml:space="preserve"> </w:t>
      </w:r>
      <w:r w:rsidR="008C415E">
        <w:rPr>
          <w:rFonts w:ascii="Times New Roman" w:hAnsi="Times New Roman"/>
        </w:rPr>
        <w:t>are</w:t>
      </w:r>
      <w:r w:rsidRPr="003E1569">
        <w:rPr>
          <w:rFonts w:ascii="Times New Roman" w:hAnsi="Times New Roman"/>
        </w:rPr>
        <w:t xml:space="preserve"> analyzed by Commission staff and form a basis for recommendations to the Commission concerning approval of</w:t>
      </w:r>
      <w:r w:rsidR="00A53958">
        <w:rPr>
          <w:rFonts w:ascii="Times New Roman" w:hAnsi="Times New Roman"/>
        </w:rPr>
        <w:t xml:space="preserve"> registration</w:t>
      </w:r>
      <w:r>
        <w:rPr>
          <w:rFonts w:ascii="Times New Roman" w:hAnsi="Times New Roman"/>
        </w:rPr>
        <w:t xml:space="preserve">, </w:t>
      </w:r>
      <w:r w:rsidRPr="003E1569">
        <w:rPr>
          <w:rFonts w:ascii="Times New Roman" w:hAnsi="Times New Roman"/>
        </w:rPr>
        <w:t xml:space="preserve">compliance with the </w:t>
      </w:r>
      <w:r w:rsidR="00A53958">
        <w:rPr>
          <w:rFonts w:ascii="Times New Roman" w:hAnsi="Times New Roman"/>
        </w:rPr>
        <w:t>CEA</w:t>
      </w:r>
      <w:r w:rsidRPr="003E1569">
        <w:rPr>
          <w:rFonts w:ascii="Times New Roman" w:hAnsi="Times New Roman"/>
        </w:rPr>
        <w:t>’s requirements</w:t>
      </w:r>
      <w:r>
        <w:rPr>
          <w:rFonts w:ascii="Times New Roman" w:hAnsi="Times New Roman"/>
        </w:rPr>
        <w:t xml:space="preserve">, or whether the Commission should take any action regarding lack of compliance with the </w:t>
      </w:r>
      <w:r w:rsidR="00A53958">
        <w:rPr>
          <w:rFonts w:ascii="Times New Roman" w:hAnsi="Times New Roman"/>
        </w:rPr>
        <w:t>CEA</w:t>
      </w:r>
      <w:r>
        <w:rPr>
          <w:rFonts w:ascii="Times New Roman" w:hAnsi="Times New Roman"/>
        </w:rPr>
        <w:t>.</w:t>
      </w:r>
      <w:r w:rsidR="00322ACD">
        <w:rPr>
          <w:rFonts w:ascii="Times New Roman" w:hAnsi="Times New Roman"/>
        </w:rPr>
        <w:t xml:space="preserve">  The certification received pursuant to Regulation 3.21(e) enables the Commission to assure that a person listed as a principal of a swap dealer or major swap participant </w:t>
      </w:r>
      <w:r w:rsidR="00727CCD">
        <w:rPr>
          <w:rFonts w:ascii="Times New Roman" w:hAnsi="Times New Roman"/>
        </w:rPr>
        <w:t xml:space="preserve">is fit to </w:t>
      </w:r>
      <w:r w:rsidR="004E0BF4">
        <w:rPr>
          <w:rFonts w:ascii="Times New Roman" w:hAnsi="Times New Roman"/>
        </w:rPr>
        <w:t>be a principal</w:t>
      </w:r>
      <w:r w:rsidR="00727CCD">
        <w:rPr>
          <w:rFonts w:ascii="Times New Roman" w:hAnsi="Times New Roman"/>
        </w:rPr>
        <w:t xml:space="preserve">, </w:t>
      </w:r>
      <w:r w:rsidR="004E0BF4">
        <w:rPr>
          <w:rFonts w:ascii="Times New Roman" w:hAnsi="Times New Roman"/>
        </w:rPr>
        <w:t xml:space="preserve">in circumstances </w:t>
      </w:r>
      <w:r w:rsidR="00727CCD">
        <w:rPr>
          <w:rFonts w:ascii="Times New Roman" w:hAnsi="Times New Roman"/>
        </w:rPr>
        <w:t>where a fingerprint card cannot be practicably obtained and submitted for FBI review.</w:t>
      </w:r>
      <w:r w:rsidR="001F4495">
        <w:rPr>
          <w:rFonts w:ascii="Times New Roman" w:hAnsi="Times New Roman"/>
        </w:rPr>
        <w:t xml:space="preserve"> The application submitted pursuant to Regulation 23.23 enables the Commission to determine whether foreign regulatory requirements provide an appropriate basis for permitting substituted compliance with Commission regulations.</w:t>
      </w:r>
    </w:p>
    <w:p w:rsidR="00534B6B" w:rsidRPr="003E1569" w:rsidP="00534B6B" w14:paraId="3F9F4B85" w14:textId="77777777">
      <w:pPr>
        <w:keepNext/>
        <w:tabs>
          <w:tab w:val="left" w:pos="-720"/>
          <w:tab w:val="left" w:pos="0"/>
        </w:tabs>
        <w:spacing w:after="240"/>
        <w:rPr>
          <w:rFonts w:ascii="Times New Roman" w:hAnsi="Times New Roman"/>
          <w:b/>
        </w:rPr>
      </w:pPr>
      <w:r>
        <w:rPr>
          <w:rFonts w:ascii="Times New Roman" w:hAnsi="Times New Roman"/>
          <w:b/>
        </w:rPr>
        <w:t>3</w:t>
      </w:r>
      <w:r w:rsidRPr="003E1569">
        <w:rPr>
          <w:rFonts w:ascii="Times New Roman" w:hAnsi="Times New Roman"/>
          <w:b/>
        </w:rPr>
        <w:t>.</w:t>
      </w:r>
      <w:r w:rsidRPr="003E1569">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534B6B" w:rsidRPr="003E1569" w:rsidP="00534B6B" w14:paraId="5D20F82B" w14:textId="77777777">
      <w:pPr>
        <w:tabs>
          <w:tab w:val="left" w:pos="-720"/>
          <w:tab w:val="left" w:pos="0"/>
        </w:tabs>
        <w:spacing w:after="240"/>
        <w:rPr>
          <w:rFonts w:ascii="Times New Roman" w:hAnsi="Times New Roman"/>
        </w:rPr>
      </w:pPr>
      <w:r w:rsidRPr="003E1569">
        <w:rPr>
          <w:rFonts w:ascii="Times New Roman" w:hAnsi="Times New Roman"/>
        </w:rPr>
        <w:tab/>
        <w:t xml:space="preserve">Information </w:t>
      </w:r>
      <w:r w:rsidR="00A53958">
        <w:rPr>
          <w:rFonts w:ascii="Times New Roman" w:hAnsi="Times New Roman"/>
        </w:rPr>
        <w:t xml:space="preserve">is required to </w:t>
      </w:r>
      <w:r w:rsidRPr="003E1569">
        <w:rPr>
          <w:rFonts w:ascii="Times New Roman" w:hAnsi="Times New Roman"/>
        </w:rPr>
        <w:t>be submitted electronically.</w:t>
      </w:r>
    </w:p>
    <w:p w:rsidR="00534B6B" w:rsidRPr="0019376E" w:rsidP="00534B6B" w14:paraId="54DD7511" w14:textId="77777777">
      <w:pPr>
        <w:tabs>
          <w:tab w:val="left" w:pos="-720"/>
          <w:tab w:val="left" w:pos="0"/>
        </w:tabs>
        <w:spacing w:after="240"/>
        <w:rPr>
          <w:rFonts w:ascii="Times New Roman" w:hAnsi="Times New Roman"/>
          <w:b/>
        </w:rPr>
      </w:pPr>
      <w:r w:rsidRPr="0019376E">
        <w:rPr>
          <w:rFonts w:ascii="Times New Roman" w:hAnsi="Times New Roman"/>
          <w:b/>
        </w:rPr>
        <w:t>4.</w:t>
      </w:r>
      <w:r w:rsidRPr="0019376E">
        <w:rPr>
          <w:rFonts w:ascii="Times New Roman" w:hAnsi="Times New Roman"/>
          <w:b/>
        </w:rPr>
        <w:tab/>
        <w:t>Describe efforts to identify duplication.  Show specifically why any similar information already available cannot be used or modified for use for the purposes described in Item 2 above.</w:t>
      </w:r>
    </w:p>
    <w:p w:rsidR="00534B6B" w:rsidRPr="003E1569" w:rsidP="00534B6B" w14:paraId="4EE0F926" w14:textId="77777777">
      <w:pPr>
        <w:tabs>
          <w:tab w:val="left" w:pos="-720"/>
        </w:tabs>
        <w:spacing w:after="240"/>
        <w:rPr>
          <w:rFonts w:ascii="Times New Roman" w:hAnsi="Times New Roman"/>
        </w:rPr>
      </w:pPr>
      <w:r w:rsidRPr="003E1569">
        <w:rPr>
          <w:rFonts w:ascii="Times New Roman" w:hAnsi="Times New Roman"/>
        </w:rPr>
        <w:tab/>
      </w:r>
      <w:r w:rsidR="00A53958">
        <w:rPr>
          <w:rFonts w:ascii="Times New Roman" w:hAnsi="Times New Roman"/>
        </w:rPr>
        <w:t xml:space="preserve">SDs and MSPs are </w:t>
      </w:r>
      <w:r w:rsidR="008C415E">
        <w:rPr>
          <w:rFonts w:ascii="Times New Roman" w:hAnsi="Times New Roman"/>
        </w:rPr>
        <w:t>distinct</w:t>
      </w:r>
      <w:r w:rsidR="00A53958">
        <w:rPr>
          <w:rFonts w:ascii="Times New Roman" w:hAnsi="Times New Roman"/>
        </w:rPr>
        <w:t xml:space="preserve"> classes of registrants; </w:t>
      </w:r>
      <w:r w:rsidR="008C415E">
        <w:rPr>
          <w:rFonts w:ascii="Times New Roman" w:hAnsi="Times New Roman"/>
        </w:rPr>
        <w:t xml:space="preserve">and </w:t>
      </w:r>
      <w:r w:rsidR="00A53958">
        <w:rPr>
          <w:rFonts w:ascii="Times New Roman" w:hAnsi="Times New Roman"/>
        </w:rPr>
        <w:t>as such, t</w:t>
      </w:r>
      <w:r w:rsidRPr="003E1569">
        <w:rPr>
          <w:rFonts w:ascii="Times New Roman" w:hAnsi="Times New Roman"/>
        </w:rPr>
        <w:t>he required information is not available from any other source.</w:t>
      </w:r>
      <w:r w:rsidR="00A53958">
        <w:rPr>
          <w:rFonts w:ascii="Times New Roman" w:hAnsi="Times New Roman"/>
        </w:rPr>
        <w:t xml:space="preserve">  </w:t>
      </w:r>
      <w:r w:rsidR="00A634E7">
        <w:rPr>
          <w:rFonts w:ascii="Times New Roman" w:hAnsi="Times New Roman"/>
        </w:rPr>
        <w:t>CEA Section 4s(c)</w:t>
      </w:r>
      <w:r w:rsidR="00B873D6">
        <w:rPr>
          <w:rFonts w:ascii="Times New Roman" w:hAnsi="Times New Roman"/>
        </w:rPr>
        <w:t xml:space="preserve"> requires registration of SDs and MSPs regardless of whether the person also is a depository institution or is registered with the Securities and Exchange Commission.</w:t>
      </w:r>
      <w:r w:rsidR="00816B04">
        <w:rPr>
          <w:rFonts w:ascii="Times New Roman" w:hAnsi="Times New Roman"/>
        </w:rPr>
        <w:t xml:space="preserve">  If an SD or MSP is already registered with the Commission, or if an applicant seeks to register in more than one capacity, it is just a matter of checking off the box on the </w:t>
      </w:r>
      <w:r w:rsidR="008D4548">
        <w:rPr>
          <w:rFonts w:ascii="Times New Roman" w:hAnsi="Times New Roman"/>
        </w:rPr>
        <w:t xml:space="preserve">screen of the </w:t>
      </w:r>
      <w:r w:rsidR="003C4C87">
        <w:rPr>
          <w:rFonts w:ascii="Times New Roman" w:hAnsi="Times New Roman"/>
        </w:rPr>
        <w:t xml:space="preserve">requisite </w:t>
      </w:r>
      <w:r w:rsidR="008D4548">
        <w:rPr>
          <w:rFonts w:ascii="Times New Roman" w:hAnsi="Times New Roman"/>
        </w:rPr>
        <w:t xml:space="preserve">electronic, online </w:t>
      </w:r>
      <w:r w:rsidR="00816B04">
        <w:rPr>
          <w:rFonts w:ascii="Times New Roman" w:hAnsi="Times New Roman"/>
        </w:rPr>
        <w:t>form.</w:t>
      </w:r>
      <w:r>
        <w:rPr>
          <w:rStyle w:val="FootnoteReference"/>
          <w:rFonts w:ascii="Times New Roman" w:hAnsi="Times New Roman"/>
        </w:rPr>
        <w:footnoteReference w:id="4"/>
      </w:r>
      <w:r w:rsidR="001F4495">
        <w:rPr>
          <w:rFonts w:ascii="Times New Roman" w:hAnsi="Times New Roman"/>
        </w:rPr>
        <w:t xml:space="preserve">  The information for 2</w:t>
      </w:r>
      <w:r w:rsidRPr="009021E4" w:rsidR="001F4495">
        <w:rPr>
          <w:rFonts w:ascii="Times New Roman" w:hAnsi="Times New Roman"/>
          <w:vertAlign w:val="superscript"/>
        </w:rPr>
        <w:t>nd</w:t>
      </w:r>
      <w:r w:rsidR="001F4495">
        <w:rPr>
          <w:rFonts w:ascii="Times New Roman" w:hAnsi="Times New Roman"/>
        </w:rPr>
        <w:t xml:space="preserve"> IC and 3</w:t>
      </w:r>
      <w:r w:rsidRPr="009021E4" w:rsidR="001F4495">
        <w:rPr>
          <w:rFonts w:ascii="Times New Roman" w:hAnsi="Times New Roman"/>
          <w:vertAlign w:val="superscript"/>
        </w:rPr>
        <w:t>rd</w:t>
      </w:r>
      <w:r w:rsidR="001F4495">
        <w:rPr>
          <w:rFonts w:ascii="Times New Roman" w:hAnsi="Times New Roman"/>
        </w:rPr>
        <w:t xml:space="preserve"> IC is solely in the control of the SD or MSP seeking to avail itself of the respective regulations.</w:t>
      </w:r>
    </w:p>
    <w:p w:rsidR="00534B6B" w:rsidRPr="0019376E" w:rsidP="00534B6B" w14:paraId="27C2F6D4" w14:textId="77777777">
      <w:pPr>
        <w:tabs>
          <w:tab w:val="left" w:pos="-720"/>
          <w:tab w:val="left" w:pos="0"/>
        </w:tabs>
        <w:spacing w:after="240"/>
        <w:rPr>
          <w:rFonts w:ascii="Times New Roman" w:hAnsi="Times New Roman"/>
          <w:b/>
        </w:rPr>
      </w:pPr>
      <w:r w:rsidRPr="0019376E">
        <w:rPr>
          <w:rFonts w:ascii="Times New Roman" w:hAnsi="Times New Roman"/>
          <w:b/>
        </w:rPr>
        <w:t>5.</w:t>
      </w:r>
      <w:r w:rsidRPr="0019376E">
        <w:rPr>
          <w:rFonts w:ascii="Times New Roman" w:hAnsi="Times New Roman"/>
          <w:b/>
        </w:rPr>
        <w:tab/>
        <w:t xml:space="preserve">If the collection of information involves small business or other small entities (Item 5 of OMB </w:t>
      </w:r>
      <w:r w:rsidRPr="0019376E" w:rsidR="00867521">
        <w:rPr>
          <w:rFonts w:ascii="Times New Roman" w:hAnsi="Times New Roman"/>
          <w:b/>
        </w:rPr>
        <w:t>F</w:t>
      </w:r>
      <w:r w:rsidR="00867521">
        <w:rPr>
          <w:rFonts w:ascii="Times New Roman" w:hAnsi="Times New Roman"/>
          <w:b/>
        </w:rPr>
        <w:t>or</w:t>
      </w:r>
      <w:r w:rsidRPr="0019376E" w:rsidR="00867521">
        <w:rPr>
          <w:rFonts w:ascii="Times New Roman" w:hAnsi="Times New Roman"/>
          <w:b/>
        </w:rPr>
        <w:t xml:space="preserve">m </w:t>
      </w:r>
      <w:r w:rsidRPr="0019376E">
        <w:rPr>
          <w:rFonts w:ascii="Times New Roman" w:hAnsi="Times New Roman"/>
          <w:b/>
        </w:rPr>
        <w:t>83-I), describe the methods used to minimize burden.</w:t>
      </w:r>
    </w:p>
    <w:p w:rsidR="00534B6B" w:rsidRPr="003E1569" w:rsidP="00534B6B" w14:paraId="7D83FC8D" w14:textId="77777777">
      <w:pPr>
        <w:tabs>
          <w:tab w:val="left" w:pos="-720"/>
        </w:tabs>
        <w:spacing w:after="240"/>
        <w:rPr>
          <w:rFonts w:ascii="Times New Roman" w:hAnsi="Times New Roman"/>
        </w:rPr>
      </w:pPr>
      <w:r w:rsidRPr="003E1569">
        <w:rPr>
          <w:rFonts w:ascii="Times New Roman" w:hAnsi="Times New Roman"/>
        </w:rPr>
        <w:tab/>
      </w:r>
      <w:r w:rsidRPr="003E1569" w:rsidR="001F4495">
        <w:rPr>
          <w:rFonts w:ascii="Times New Roman" w:hAnsi="Times New Roman"/>
        </w:rPr>
        <w:t>Th</w:t>
      </w:r>
      <w:r w:rsidR="001F4495">
        <w:rPr>
          <w:rFonts w:ascii="Times New Roman" w:hAnsi="Times New Roman"/>
        </w:rPr>
        <w:t>ese</w:t>
      </w:r>
      <w:r w:rsidRPr="003E1569" w:rsidR="001F4495">
        <w:rPr>
          <w:rFonts w:ascii="Times New Roman" w:hAnsi="Times New Roman"/>
        </w:rPr>
        <w:t xml:space="preserve"> </w:t>
      </w:r>
      <w:r w:rsidRPr="003E1569">
        <w:rPr>
          <w:rFonts w:ascii="Times New Roman" w:hAnsi="Times New Roman"/>
        </w:rPr>
        <w:t>collection</w:t>
      </w:r>
      <w:r w:rsidR="001F4495">
        <w:rPr>
          <w:rFonts w:ascii="Times New Roman" w:hAnsi="Times New Roman"/>
        </w:rPr>
        <w:t>s</w:t>
      </w:r>
      <w:r w:rsidRPr="003E1569">
        <w:rPr>
          <w:rFonts w:ascii="Times New Roman" w:hAnsi="Times New Roman"/>
        </w:rPr>
        <w:t xml:space="preserve"> of information </w:t>
      </w:r>
      <w:r w:rsidR="008C415E">
        <w:rPr>
          <w:rFonts w:ascii="Times New Roman" w:hAnsi="Times New Roman"/>
        </w:rPr>
        <w:t xml:space="preserve">do </w:t>
      </w:r>
      <w:r w:rsidR="00A634E7">
        <w:rPr>
          <w:rFonts w:ascii="Times New Roman" w:hAnsi="Times New Roman"/>
        </w:rPr>
        <w:t xml:space="preserve">not, </w:t>
      </w:r>
      <w:r w:rsidR="008C415E">
        <w:rPr>
          <w:rFonts w:ascii="Times New Roman" w:hAnsi="Times New Roman"/>
        </w:rPr>
        <w:t xml:space="preserve">and </w:t>
      </w:r>
      <w:r w:rsidRPr="003E1569">
        <w:rPr>
          <w:rFonts w:ascii="Times New Roman" w:hAnsi="Times New Roman"/>
        </w:rPr>
        <w:t>will not</w:t>
      </w:r>
      <w:r w:rsidR="00A634E7">
        <w:rPr>
          <w:rFonts w:ascii="Times New Roman" w:hAnsi="Times New Roman"/>
        </w:rPr>
        <w:t>,</w:t>
      </w:r>
      <w:r w:rsidRPr="003E1569">
        <w:rPr>
          <w:rFonts w:ascii="Times New Roman" w:hAnsi="Times New Roman"/>
        </w:rPr>
        <w:t xml:space="preserve"> have a significant impact on a substantial number of small entities.</w:t>
      </w:r>
      <w:r w:rsidR="00022B65">
        <w:rPr>
          <w:rFonts w:ascii="Times New Roman" w:hAnsi="Times New Roman"/>
        </w:rPr>
        <w:t xml:space="preserve">  </w:t>
      </w:r>
      <w:r w:rsidR="00EB6A33">
        <w:rPr>
          <w:rFonts w:ascii="Times New Roman" w:hAnsi="Times New Roman"/>
        </w:rPr>
        <w:t>The required information does not involve any small busi</w:t>
      </w:r>
      <w:r w:rsidR="00022B65">
        <w:rPr>
          <w:rFonts w:ascii="Times New Roman" w:hAnsi="Times New Roman"/>
        </w:rPr>
        <w:t>nesses or other small entities.</w:t>
      </w:r>
    </w:p>
    <w:p w:rsidR="00534B6B" w:rsidRPr="0019376E" w:rsidP="00534B6B" w14:paraId="4B7CAFBF" w14:textId="77777777">
      <w:pPr>
        <w:tabs>
          <w:tab w:val="left" w:pos="-720"/>
          <w:tab w:val="left" w:pos="0"/>
        </w:tabs>
        <w:spacing w:after="240"/>
        <w:rPr>
          <w:rFonts w:ascii="Times New Roman" w:hAnsi="Times New Roman"/>
          <w:b/>
        </w:rPr>
      </w:pPr>
      <w:r w:rsidRPr="0019376E">
        <w:rPr>
          <w:rFonts w:ascii="Times New Roman" w:hAnsi="Times New Roman"/>
          <w:b/>
        </w:rPr>
        <w:t>6.</w:t>
      </w:r>
      <w:r w:rsidRPr="0019376E">
        <w:rPr>
          <w:rFonts w:ascii="Times New Roman" w:hAnsi="Times New Roman"/>
          <w:b/>
        </w:rPr>
        <w:tab/>
        <w:t>Describe the consequence to the Federal Program or policy activities if the collection were conducted less frequently as well as any technical or legal obstacles to reducing burden.</w:t>
      </w:r>
    </w:p>
    <w:p w:rsidR="00534B6B" w:rsidRPr="003E1569" w:rsidP="00534B6B" w14:paraId="096F1C6A" w14:textId="77777777">
      <w:pPr>
        <w:tabs>
          <w:tab w:val="left" w:pos="-720"/>
        </w:tabs>
        <w:spacing w:after="240"/>
        <w:rPr>
          <w:rFonts w:ascii="Times New Roman" w:hAnsi="Times New Roman"/>
        </w:rPr>
      </w:pPr>
      <w:r w:rsidRPr="003E1569">
        <w:rPr>
          <w:rFonts w:ascii="Times New Roman" w:hAnsi="Times New Roman"/>
        </w:rPr>
        <w:tab/>
        <w:t xml:space="preserve">If the information required under </w:t>
      </w:r>
      <w:r w:rsidRPr="003E1569" w:rsidR="001F4495">
        <w:rPr>
          <w:rFonts w:ascii="Times New Roman" w:hAnsi="Times New Roman"/>
        </w:rPr>
        <w:t>th</w:t>
      </w:r>
      <w:r w:rsidR="001F4495">
        <w:rPr>
          <w:rFonts w:ascii="Times New Roman" w:hAnsi="Times New Roman"/>
        </w:rPr>
        <w:t>ese</w:t>
      </w:r>
      <w:r w:rsidRPr="003E1569" w:rsidR="001F4495">
        <w:rPr>
          <w:rFonts w:ascii="Times New Roman" w:hAnsi="Times New Roman"/>
        </w:rPr>
        <w:t xml:space="preserve"> </w:t>
      </w:r>
      <w:r w:rsidRPr="003E1569">
        <w:rPr>
          <w:rFonts w:ascii="Times New Roman" w:hAnsi="Times New Roman"/>
        </w:rPr>
        <w:t>collection</w:t>
      </w:r>
      <w:r w:rsidR="001F4495">
        <w:rPr>
          <w:rFonts w:ascii="Times New Roman" w:hAnsi="Times New Roman"/>
        </w:rPr>
        <w:t>s</w:t>
      </w:r>
      <w:r w:rsidRPr="003E1569">
        <w:rPr>
          <w:rFonts w:ascii="Times New Roman" w:hAnsi="Times New Roman"/>
        </w:rPr>
        <w:t xml:space="preserve"> of information were not collected, enforcement of Commission rules would be adversely affected.</w:t>
      </w:r>
    </w:p>
    <w:p w:rsidR="00534B6B" w:rsidRPr="0019376E" w:rsidP="00534B6B" w14:paraId="06A1C2D0" w14:textId="77777777">
      <w:pPr>
        <w:tabs>
          <w:tab w:val="left" w:pos="-720"/>
          <w:tab w:val="left" w:pos="0"/>
        </w:tabs>
        <w:spacing w:after="240"/>
        <w:rPr>
          <w:rFonts w:ascii="Times New Roman" w:hAnsi="Times New Roman"/>
          <w:b/>
        </w:rPr>
      </w:pPr>
      <w:r w:rsidRPr="0019376E">
        <w:rPr>
          <w:rFonts w:ascii="Times New Roman" w:hAnsi="Times New Roman"/>
          <w:b/>
        </w:rPr>
        <w:t>7.</w:t>
      </w:r>
      <w:r w:rsidRPr="0019376E">
        <w:rPr>
          <w:rFonts w:ascii="Times New Roman" w:hAnsi="Times New Roman"/>
          <w:b/>
        </w:rPr>
        <w:tab/>
        <w:t>Explain any special circumstances that require the collection to be conducted in a manner:</w:t>
      </w:r>
    </w:p>
    <w:p w:rsidR="0088759B" w:rsidP="0088759B" w14:paraId="06BB50CD" w14:textId="77777777">
      <w:pPr>
        <w:numPr>
          <w:ilvl w:val="0"/>
          <w:numId w:val="1"/>
        </w:numPr>
        <w:tabs>
          <w:tab w:val="left" w:pos="-720"/>
          <w:tab w:val="left" w:pos="0"/>
          <w:tab w:val="left" w:pos="720"/>
          <w:tab w:val="clear" w:pos="936"/>
          <w:tab w:val="num" w:pos="1080"/>
        </w:tabs>
        <w:spacing w:after="240"/>
        <w:ind w:left="1080" w:hanging="360"/>
        <w:rPr>
          <w:rFonts w:ascii="Times New Roman" w:hAnsi="Times New Roman"/>
          <w:b/>
        </w:rPr>
      </w:pPr>
      <w:r w:rsidRPr="0019376E">
        <w:rPr>
          <w:rFonts w:ascii="Times New Roman" w:hAnsi="Times New Roman"/>
          <w:b/>
        </w:rPr>
        <w:t>requiring respondents to report information to the agency more often than quarterly;</w:t>
      </w:r>
    </w:p>
    <w:p w:rsidR="0088759B" w:rsidRPr="0088759B" w:rsidP="0088759B" w14:paraId="5B177487" w14:textId="77777777">
      <w:pPr>
        <w:tabs>
          <w:tab w:val="left" w:pos="-720"/>
          <w:tab w:val="left" w:pos="0"/>
          <w:tab w:val="left" w:pos="720"/>
        </w:tabs>
        <w:spacing w:after="240"/>
        <w:ind w:left="1080"/>
        <w:rPr>
          <w:rFonts w:ascii="Times New Roman" w:hAnsi="Times New Roman"/>
        </w:rPr>
      </w:pPr>
      <w:r>
        <w:rPr>
          <w:rFonts w:ascii="Times New Roman" w:hAnsi="Times New Roman"/>
        </w:rPr>
        <w:t xml:space="preserve">The </w:t>
      </w:r>
      <w:r w:rsidRPr="0003539C" w:rsidR="0003539C">
        <w:rPr>
          <w:rFonts w:ascii="Times New Roman" w:hAnsi="Times New Roman"/>
        </w:rPr>
        <w:t>Swaps Entity Registration Regulations</w:t>
      </w:r>
      <w:r w:rsidRPr="0003539C" w:rsidR="0003539C">
        <w:rPr>
          <w:rFonts w:ascii="Times New Roman" w:hAnsi="Times New Roman"/>
        </w:rPr>
        <w:t xml:space="preserve"> </w:t>
      </w:r>
      <w:r>
        <w:rPr>
          <w:rFonts w:ascii="Times New Roman" w:hAnsi="Times New Roman"/>
        </w:rPr>
        <w:t xml:space="preserve">require </w:t>
      </w:r>
      <w:r w:rsidR="00816B04">
        <w:rPr>
          <w:rFonts w:ascii="Times New Roman" w:hAnsi="Times New Roman"/>
        </w:rPr>
        <w:t>respondents</w:t>
      </w:r>
      <w:r>
        <w:rPr>
          <w:rFonts w:ascii="Times New Roman" w:hAnsi="Times New Roman"/>
        </w:rPr>
        <w:t xml:space="preserve"> to report information to the Commission annually and occasionally.  Th</w:t>
      </w:r>
      <w:r w:rsidR="002E3721">
        <w:rPr>
          <w:rFonts w:ascii="Times New Roman" w:hAnsi="Times New Roman"/>
        </w:rPr>
        <w:t>os</w:t>
      </w:r>
      <w:r>
        <w:rPr>
          <w:rFonts w:ascii="Times New Roman" w:hAnsi="Times New Roman"/>
        </w:rPr>
        <w:t xml:space="preserve">e regulations do not require </w:t>
      </w:r>
      <w:r w:rsidR="00816B04">
        <w:rPr>
          <w:rFonts w:ascii="Times New Roman" w:hAnsi="Times New Roman"/>
        </w:rPr>
        <w:t>respondents</w:t>
      </w:r>
      <w:r>
        <w:rPr>
          <w:rFonts w:ascii="Times New Roman" w:hAnsi="Times New Roman"/>
        </w:rPr>
        <w:t xml:space="preserve"> to report information to the Commission more often than quarterly.</w:t>
      </w:r>
      <w:r w:rsidR="002E3721">
        <w:rPr>
          <w:rFonts w:ascii="Times New Roman" w:hAnsi="Times New Roman"/>
        </w:rPr>
        <w:t xml:space="preserve">  Regulations 3.21(e) and 23.23 do not require multiple reports.</w:t>
      </w:r>
    </w:p>
    <w:p w:rsidR="00534B6B" w:rsidP="00534B6B" w14:paraId="2DDE57C1" w14:textId="77777777">
      <w:pPr>
        <w:numPr>
          <w:ilvl w:val="0"/>
          <w:numId w:val="1"/>
        </w:numPr>
        <w:tabs>
          <w:tab w:val="left" w:pos="-720"/>
          <w:tab w:val="left" w:pos="0"/>
          <w:tab w:val="left" w:pos="720"/>
          <w:tab w:val="clear" w:pos="936"/>
          <w:tab w:val="num" w:pos="1080"/>
        </w:tabs>
        <w:spacing w:after="240"/>
        <w:ind w:left="1080" w:hanging="360"/>
        <w:rPr>
          <w:rFonts w:ascii="Times New Roman" w:hAnsi="Times New Roman"/>
          <w:b/>
        </w:rPr>
      </w:pPr>
      <w:r w:rsidRPr="0019376E">
        <w:rPr>
          <w:rFonts w:ascii="Times New Roman" w:hAnsi="Times New Roman"/>
          <w:b/>
        </w:rPr>
        <w:t>requiring respondents to prepare a written response to a collection of information in fewer than 30 days after receipt of it:</w:t>
      </w:r>
    </w:p>
    <w:p w:rsidR="00446161" w:rsidRPr="00446161" w:rsidP="00446161" w14:paraId="45D9527E" w14:textId="77777777">
      <w:pPr>
        <w:tabs>
          <w:tab w:val="left" w:pos="-720"/>
          <w:tab w:val="left" w:pos="0"/>
          <w:tab w:val="left" w:pos="720"/>
        </w:tabs>
        <w:spacing w:after="240"/>
        <w:ind w:left="1080"/>
        <w:rPr>
          <w:rFonts w:ascii="Times New Roman" w:hAnsi="Times New Roman"/>
        </w:rPr>
      </w:pPr>
      <w:r>
        <w:rPr>
          <w:rFonts w:ascii="Times New Roman" w:hAnsi="Times New Roman"/>
        </w:rPr>
        <w:t xml:space="preserve">In order for the Commission to adequately assess whether a </w:t>
      </w:r>
      <w:r w:rsidR="00331671">
        <w:rPr>
          <w:rFonts w:ascii="Times New Roman" w:hAnsi="Times New Roman"/>
        </w:rPr>
        <w:t>S</w:t>
      </w:r>
      <w:r>
        <w:rPr>
          <w:rFonts w:ascii="Times New Roman" w:hAnsi="Times New Roman"/>
        </w:rPr>
        <w:t>wap</w:t>
      </w:r>
      <w:r w:rsidR="00022B4E">
        <w:rPr>
          <w:rFonts w:ascii="Times New Roman" w:hAnsi="Times New Roman"/>
        </w:rPr>
        <w:t>s</w:t>
      </w:r>
      <w:r>
        <w:rPr>
          <w:rFonts w:ascii="Times New Roman" w:hAnsi="Times New Roman"/>
        </w:rPr>
        <w:t xml:space="preserve"> </w:t>
      </w:r>
      <w:r w:rsidR="00331671">
        <w:rPr>
          <w:rFonts w:ascii="Times New Roman" w:hAnsi="Times New Roman"/>
        </w:rPr>
        <w:t>E</w:t>
      </w:r>
      <w:r>
        <w:rPr>
          <w:rFonts w:ascii="Times New Roman" w:hAnsi="Times New Roman"/>
        </w:rPr>
        <w:t xml:space="preserve">ntity </w:t>
      </w:r>
      <w:r w:rsidR="00514F4E">
        <w:rPr>
          <w:rFonts w:ascii="Times New Roman" w:hAnsi="Times New Roman"/>
        </w:rPr>
        <w:t>may</w:t>
      </w:r>
      <w:r w:rsidR="0048658D">
        <w:rPr>
          <w:rFonts w:ascii="Times New Roman" w:hAnsi="Times New Roman"/>
        </w:rPr>
        <w:t xml:space="preserve"> be registered, a </w:t>
      </w:r>
      <w:r>
        <w:rPr>
          <w:rFonts w:ascii="Times New Roman" w:hAnsi="Times New Roman"/>
        </w:rPr>
        <w:t>swap</w:t>
      </w:r>
      <w:r w:rsidR="00022B4E">
        <w:rPr>
          <w:rFonts w:ascii="Times New Roman" w:hAnsi="Times New Roman"/>
        </w:rPr>
        <w:t>s</w:t>
      </w:r>
      <w:r>
        <w:rPr>
          <w:rFonts w:ascii="Times New Roman" w:hAnsi="Times New Roman"/>
        </w:rPr>
        <w:t xml:space="preserve"> entity might be required to prepare a written response to a collection of information in fewer than 30 days depending on the exigency of the situation.</w:t>
      </w:r>
    </w:p>
    <w:p w:rsidR="00534B6B" w:rsidP="00534B6B" w14:paraId="3D3E7B46" w14:textId="77777777">
      <w:pPr>
        <w:numPr>
          <w:ilvl w:val="0"/>
          <w:numId w:val="1"/>
        </w:numPr>
        <w:tabs>
          <w:tab w:val="left" w:pos="-720"/>
          <w:tab w:val="left" w:pos="0"/>
          <w:tab w:val="left" w:pos="720"/>
          <w:tab w:val="clear" w:pos="936"/>
          <w:tab w:val="num" w:pos="1080"/>
        </w:tabs>
        <w:spacing w:after="240"/>
        <w:ind w:left="1080" w:hanging="360"/>
        <w:rPr>
          <w:rFonts w:ascii="Times New Roman" w:hAnsi="Times New Roman"/>
          <w:b/>
        </w:rPr>
      </w:pPr>
      <w:r w:rsidRPr="0019376E">
        <w:rPr>
          <w:rFonts w:ascii="Times New Roman" w:hAnsi="Times New Roman"/>
          <w:b/>
        </w:rPr>
        <w:t>requiring respondents to submit more that an original and two copies of any document;</w:t>
      </w:r>
    </w:p>
    <w:p w:rsidR="00446161" w:rsidRPr="00446161" w:rsidP="00446161" w14:paraId="210BFB8E" w14:textId="77777777">
      <w:pPr>
        <w:tabs>
          <w:tab w:val="left" w:pos="-720"/>
          <w:tab w:val="left" w:pos="0"/>
          <w:tab w:val="left" w:pos="720"/>
        </w:tabs>
        <w:spacing w:after="240"/>
        <w:ind w:left="1080"/>
        <w:rPr>
          <w:rFonts w:ascii="Times New Roman" w:hAnsi="Times New Roman"/>
        </w:rPr>
      </w:pPr>
      <w:r>
        <w:rPr>
          <w:rFonts w:ascii="Times New Roman" w:hAnsi="Times New Roman"/>
        </w:rPr>
        <w:t xml:space="preserve">Swaps </w:t>
      </w:r>
      <w:r w:rsidR="00295FD0">
        <w:rPr>
          <w:rFonts w:ascii="Times New Roman" w:hAnsi="Times New Roman"/>
        </w:rPr>
        <w:t>E</w:t>
      </w:r>
      <w:r>
        <w:rPr>
          <w:rFonts w:ascii="Times New Roman" w:hAnsi="Times New Roman"/>
        </w:rPr>
        <w:t>ntities</w:t>
      </w:r>
      <w:r>
        <w:rPr>
          <w:rFonts w:ascii="Times New Roman" w:hAnsi="Times New Roman"/>
        </w:rPr>
        <w:t xml:space="preserve"> are required to submit only single copies of</w:t>
      </w:r>
      <w:r w:rsidR="009635F1">
        <w:rPr>
          <w:rFonts w:ascii="Times New Roman" w:hAnsi="Times New Roman"/>
        </w:rPr>
        <w:t xml:space="preserve"> applications.</w:t>
      </w:r>
      <w:r w:rsidR="001A6F8A">
        <w:rPr>
          <w:rFonts w:ascii="Times New Roman" w:hAnsi="Times New Roman"/>
        </w:rPr>
        <w:t xml:space="preserve"> </w:t>
      </w:r>
    </w:p>
    <w:p w:rsidR="00534B6B" w:rsidP="00534B6B" w14:paraId="63BE493B" w14:textId="77777777">
      <w:pPr>
        <w:numPr>
          <w:ilvl w:val="0"/>
          <w:numId w:val="1"/>
        </w:numPr>
        <w:tabs>
          <w:tab w:val="left" w:pos="-720"/>
          <w:tab w:val="left" w:pos="0"/>
          <w:tab w:val="left" w:pos="720"/>
          <w:tab w:val="clear" w:pos="936"/>
          <w:tab w:val="num" w:pos="1080"/>
        </w:tabs>
        <w:spacing w:after="240"/>
        <w:ind w:left="1080" w:hanging="360"/>
        <w:rPr>
          <w:rFonts w:ascii="Times New Roman" w:hAnsi="Times New Roman"/>
          <w:b/>
        </w:rPr>
      </w:pPr>
      <w:r w:rsidRPr="0019376E">
        <w:rPr>
          <w:rFonts w:ascii="Times New Roman" w:hAnsi="Times New Roman"/>
          <w:b/>
        </w:rPr>
        <w:t>requiring respondents to retain records other than health, medical, government contract, grant-in-aid, or tax records, for more than three years;</w:t>
      </w:r>
    </w:p>
    <w:p w:rsidR="00D66F44" w:rsidP="00D66F44" w14:paraId="160C43B0" w14:textId="77777777">
      <w:pPr>
        <w:tabs>
          <w:tab w:val="left" w:pos="-720"/>
          <w:tab w:val="left" w:pos="0"/>
          <w:tab w:val="left" w:pos="720"/>
        </w:tabs>
        <w:spacing w:after="240"/>
        <w:ind w:left="1080"/>
        <w:rPr>
          <w:rFonts w:ascii="Times New Roman" w:hAnsi="Times New Roman"/>
        </w:rPr>
      </w:pPr>
      <w:r>
        <w:rPr>
          <w:rFonts w:ascii="Times New Roman" w:hAnsi="Times New Roman"/>
        </w:rPr>
        <w:t>The</w:t>
      </w:r>
      <w:r w:rsidR="00295FD0">
        <w:rPr>
          <w:rFonts w:ascii="Times New Roman" w:hAnsi="Times New Roman"/>
        </w:rPr>
        <w:t xml:space="preserve"> Swaps Entity Registration Regulations</w:t>
      </w:r>
      <w:r>
        <w:rPr>
          <w:rFonts w:ascii="Times New Roman" w:hAnsi="Times New Roman"/>
        </w:rPr>
        <w:t xml:space="preserve"> do not </w:t>
      </w:r>
      <w:r w:rsidR="00BC520E">
        <w:rPr>
          <w:rFonts w:ascii="Times New Roman" w:hAnsi="Times New Roman"/>
        </w:rPr>
        <w:t xml:space="preserve">specifically </w:t>
      </w:r>
      <w:r>
        <w:rPr>
          <w:rFonts w:ascii="Times New Roman" w:hAnsi="Times New Roman"/>
        </w:rPr>
        <w:t>mandate retention</w:t>
      </w:r>
      <w:r w:rsidR="00BC520E">
        <w:rPr>
          <w:rFonts w:ascii="Times New Roman" w:hAnsi="Times New Roman"/>
        </w:rPr>
        <w:t xml:space="preserve"> of any registration records</w:t>
      </w:r>
      <w:r>
        <w:rPr>
          <w:rFonts w:ascii="Times New Roman" w:hAnsi="Times New Roman"/>
        </w:rPr>
        <w:t xml:space="preserve">. </w:t>
      </w:r>
      <w:r w:rsidR="00FA0F5C">
        <w:rPr>
          <w:rFonts w:ascii="Times New Roman" w:hAnsi="Times New Roman"/>
        </w:rPr>
        <w:t>However, Commission rule 1.31</w:t>
      </w:r>
      <w:r w:rsidR="00BC520E">
        <w:rPr>
          <w:rFonts w:ascii="Times New Roman" w:hAnsi="Times New Roman"/>
        </w:rPr>
        <w:t xml:space="preserve"> requires that:</w:t>
      </w:r>
    </w:p>
    <w:p w:rsidR="00BC520E" w:rsidP="00D66F44" w14:paraId="6F8D75F3" w14:textId="77777777">
      <w:pPr>
        <w:tabs>
          <w:tab w:val="left" w:pos="-720"/>
          <w:tab w:val="left" w:pos="0"/>
          <w:tab w:val="left" w:pos="720"/>
        </w:tabs>
        <w:spacing w:after="240"/>
        <w:ind w:left="1080"/>
        <w:rPr>
          <w:rFonts w:ascii="Times New Roman" w:hAnsi="Times New Roman"/>
        </w:rPr>
      </w:pPr>
      <w:r w:rsidRPr="003E1569">
        <w:rPr>
          <w:rFonts w:ascii="Times New Roman" w:hAnsi="Times New Roman"/>
        </w:rPr>
        <w:t>"All books and records required to be kept by the (Commodity Exchange) Act or by these regulations shall be kept for a period of five years from the date thereof and shall be readily accessible during the first 2 years of the 5-year period.  All such books and records shall be open to inspection by any representative of the Commission or the U.S. Department of Justice."</w:t>
      </w:r>
    </w:p>
    <w:p w:rsidR="007F5178" w:rsidRPr="00D66F44" w:rsidP="00D66F44" w14:paraId="20F2E244" w14:textId="77777777">
      <w:pPr>
        <w:tabs>
          <w:tab w:val="left" w:pos="-720"/>
          <w:tab w:val="left" w:pos="0"/>
          <w:tab w:val="left" w:pos="720"/>
        </w:tabs>
        <w:spacing w:after="240"/>
        <w:ind w:left="1080"/>
        <w:rPr>
          <w:rFonts w:ascii="Times New Roman" w:hAnsi="Times New Roman"/>
        </w:rPr>
      </w:pPr>
      <w:r>
        <w:rPr>
          <w:rFonts w:ascii="Times New Roman" w:hAnsi="Times New Roman"/>
        </w:rPr>
        <w:t>Regulation 3.21(e) requires the certifying firm to maintain a record that a criminal background check was performed and the nature of the results.</w:t>
      </w:r>
    </w:p>
    <w:p w:rsidR="00534B6B" w:rsidP="00534B6B" w14:paraId="20DF0F44" w14:textId="77777777">
      <w:pPr>
        <w:numPr>
          <w:ilvl w:val="0"/>
          <w:numId w:val="1"/>
        </w:numPr>
        <w:tabs>
          <w:tab w:val="left" w:pos="-720"/>
          <w:tab w:val="left" w:pos="0"/>
          <w:tab w:val="left" w:pos="720"/>
          <w:tab w:val="clear" w:pos="936"/>
          <w:tab w:val="num" w:pos="1080"/>
        </w:tabs>
        <w:spacing w:after="240"/>
        <w:ind w:left="1080" w:hanging="360"/>
        <w:rPr>
          <w:rFonts w:ascii="Times New Roman" w:hAnsi="Times New Roman"/>
          <w:b/>
        </w:rPr>
      </w:pPr>
      <w:r w:rsidRPr="0019376E">
        <w:rPr>
          <w:rFonts w:ascii="Times New Roman" w:hAnsi="Times New Roman"/>
          <w:b/>
        </w:rPr>
        <w:t xml:space="preserve">in connection with a statistical survey, that is not designed to produce valid and reliable results that can be generalized to the universe of study; </w:t>
      </w:r>
    </w:p>
    <w:p w:rsidR="0061595D" w:rsidRPr="0061595D" w:rsidP="0061595D" w14:paraId="28595EE6" w14:textId="77777777">
      <w:pPr>
        <w:tabs>
          <w:tab w:val="left" w:pos="-720"/>
          <w:tab w:val="left" w:pos="0"/>
          <w:tab w:val="left" w:pos="720"/>
        </w:tabs>
        <w:spacing w:after="240"/>
        <w:ind w:left="1080"/>
        <w:rPr>
          <w:rFonts w:ascii="Times New Roman" w:hAnsi="Times New Roman"/>
        </w:rPr>
      </w:pPr>
      <w:r>
        <w:rPr>
          <w:rFonts w:ascii="Times New Roman" w:hAnsi="Times New Roman"/>
        </w:rPr>
        <w:t>No statistical surveys are involved.</w:t>
      </w:r>
    </w:p>
    <w:p w:rsidR="00534B6B" w:rsidP="00534B6B" w14:paraId="079A6411" w14:textId="77777777">
      <w:pPr>
        <w:numPr>
          <w:ilvl w:val="0"/>
          <w:numId w:val="1"/>
        </w:numPr>
        <w:tabs>
          <w:tab w:val="left" w:pos="-720"/>
          <w:tab w:val="left" w:pos="0"/>
          <w:tab w:val="left" w:pos="720"/>
          <w:tab w:val="clear" w:pos="936"/>
          <w:tab w:val="num" w:pos="1080"/>
        </w:tabs>
        <w:spacing w:after="240"/>
        <w:ind w:left="1080" w:hanging="360"/>
        <w:rPr>
          <w:rFonts w:ascii="Times New Roman" w:hAnsi="Times New Roman"/>
          <w:b/>
        </w:rPr>
      </w:pPr>
      <w:r w:rsidRPr="0019376E">
        <w:rPr>
          <w:rFonts w:ascii="Times New Roman" w:hAnsi="Times New Roman"/>
          <w:b/>
        </w:rPr>
        <w:t>requiring the use of a statistical data classification that has not been reviewed and approved by OMB;</w:t>
      </w:r>
    </w:p>
    <w:p w:rsidR="0061595D" w:rsidRPr="0061595D" w:rsidP="0061595D" w14:paraId="48FD90BB" w14:textId="77777777">
      <w:pPr>
        <w:tabs>
          <w:tab w:val="left" w:pos="-720"/>
          <w:tab w:val="left" w:pos="0"/>
          <w:tab w:val="left" w:pos="720"/>
        </w:tabs>
        <w:spacing w:after="240"/>
        <w:ind w:left="1080"/>
        <w:rPr>
          <w:rFonts w:ascii="Times New Roman" w:hAnsi="Times New Roman"/>
        </w:rPr>
      </w:pPr>
      <w:r>
        <w:rPr>
          <w:rFonts w:ascii="Times New Roman" w:hAnsi="Times New Roman"/>
        </w:rPr>
        <w:t>The requirements do not involve use of any statistical data classification.</w:t>
      </w:r>
    </w:p>
    <w:p w:rsidR="00534B6B" w:rsidP="00534B6B" w14:paraId="42A62462" w14:textId="77777777">
      <w:pPr>
        <w:numPr>
          <w:ilvl w:val="0"/>
          <w:numId w:val="1"/>
        </w:numPr>
        <w:tabs>
          <w:tab w:val="left" w:pos="-720"/>
          <w:tab w:val="left" w:pos="0"/>
          <w:tab w:val="left" w:pos="720"/>
          <w:tab w:val="clear" w:pos="936"/>
          <w:tab w:val="num" w:pos="1080"/>
        </w:tabs>
        <w:spacing w:after="240"/>
        <w:ind w:left="1080" w:hanging="360"/>
        <w:rPr>
          <w:rFonts w:ascii="Times New Roman" w:hAnsi="Times New Roman"/>
          <w:b/>
        </w:rPr>
      </w:pPr>
      <w:r w:rsidRPr="0019376E">
        <w:rPr>
          <w:rFonts w:ascii="Times New Roman" w:hAnsi="Times New Roman"/>
          <w:b/>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F51ACE" w:rsidRPr="00F51ACE" w:rsidP="00F51ACE" w14:paraId="7ACEA441" w14:textId="77777777">
      <w:pPr>
        <w:tabs>
          <w:tab w:val="left" w:pos="-720"/>
          <w:tab w:val="left" w:pos="0"/>
          <w:tab w:val="left" w:pos="720"/>
        </w:tabs>
        <w:spacing w:after="240"/>
        <w:ind w:left="1080"/>
        <w:rPr>
          <w:rFonts w:ascii="Times New Roman" w:hAnsi="Times New Roman"/>
        </w:rPr>
      </w:pPr>
      <w:r>
        <w:rPr>
          <w:rFonts w:ascii="Times New Roman" w:hAnsi="Times New Roman"/>
        </w:rPr>
        <w:t>The requirements do not involve a pledge of confidentiality regarding the collection of data.</w:t>
      </w:r>
    </w:p>
    <w:p w:rsidR="00D320F0" w:rsidP="00534B6B" w14:paraId="64805DF4" w14:textId="77777777">
      <w:pPr>
        <w:numPr>
          <w:ilvl w:val="0"/>
          <w:numId w:val="1"/>
        </w:numPr>
        <w:tabs>
          <w:tab w:val="left" w:pos="-720"/>
          <w:tab w:val="left" w:pos="0"/>
          <w:tab w:val="left" w:pos="720"/>
          <w:tab w:val="clear" w:pos="936"/>
          <w:tab w:val="num" w:pos="1080"/>
        </w:tabs>
        <w:spacing w:after="240"/>
        <w:ind w:left="1080" w:hanging="360"/>
        <w:rPr>
          <w:rFonts w:ascii="Times New Roman" w:hAnsi="Times New Roman"/>
          <w:b/>
        </w:rPr>
      </w:pPr>
      <w:r w:rsidRPr="0019376E">
        <w:rPr>
          <w:rFonts w:ascii="Times New Roman" w:hAnsi="Times New Roman"/>
          <w:b/>
        </w:rPr>
        <w:t>requiring respondents to submit proprietary trade secrets, or other confidential information unless the agency can demonstrate that it has instituted procedures to protect the information's confidentiality to the extent permitted by law.</w:t>
      </w:r>
    </w:p>
    <w:p w:rsidR="00D320F0" w:rsidRPr="00D320F0" w:rsidP="00D320F0" w14:paraId="2BA13BB9" w14:textId="77777777">
      <w:pPr>
        <w:tabs>
          <w:tab w:val="left" w:pos="-720"/>
          <w:tab w:val="left" w:pos="0"/>
          <w:tab w:val="left" w:pos="720"/>
        </w:tabs>
        <w:spacing w:after="240"/>
        <w:ind w:left="1080"/>
        <w:rPr>
          <w:rFonts w:ascii="Times New Roman" w:hAnsi="Times New Roman"/>
          <w:b/>
        </w:rPr>
      </w:pPr>
      <w:r w:rsidRPr="00D320F0">
        <w:rPr>
          <w:rFonts w:ascii="Times New Roman" w:hAnsi="Times New Roman"/>
        </w:rPr>
        <w:t xml:space="preserve">The </w:t>
      </w:r>
      <w:r w:rsidR="00125142">
        <w:rPr>
          <w:rFonts w:ascii="Times New Roman" w:hAnsi="Times New Roman"/>
        </w:rPr>
        <w:t>Commission</w:t>
      </w:r>
      <w:r w:rsidRPr="00D320F0" w:rsidR="00125142">
        <w:rPr>
          <w:rFonts w:ascii="Times New Roman" w:hAnsi="Times New Roman"/>
        </w:rPr>
        <w:t xml:space="preserve"> </w:t>
      </w:r>
      <w:r w:rsidRPr="00D320F0">
        <w:rPr>
          <w:rFonts w:ascii="Times New Roman" w:hAnsi="Times New Roman"/>
        </w:rPr>
        <w:t xml:space="preserve">has procedures to protect the confidentiality of </w:t>
      </w:r>
      <w:r w:rsidR="00125142">
        <w:rPr>
          <w:rFonts w:ascii="Times New Roman" w:hAnsi="Times New Roman"/>
        </w:rPr>
        <w:t>an applicant’s or registrant’s data</w:t>
      </w:r>
      <w:r w:rsidRPr="00D320F0">
        <w:rPr>
          <w:rFonts w:ascii="Times New Roman" w:hAnsi="Times New Roman"/>
        </w:rPr>
        <w:t xml:space="preserve">. These are set forth in </w:t>
      </w:r>
      <w:r w:rsidR="00125142">
        <w:rPr>
          <w:rFonts w:ascii="Times New Roman" w:hAnsi="Times New Roman"/>
        </w:rPr>
        <w:t>the Commission’s regulations at parts 145 and 147 of Title 17 of the Code of Federal Regulations</w:t>
      </w:r>
      <w:r w:rsidRPr="00D320F0">
        <w:rPr>
          <w:rFonts w:ascii="Times New Roman" w:hAnsi="Times New Roman"/>
        </w:rPr>
        <w:t>.</w:t>
      </w:r>
    </w:p>
    <w:p w:rsidR="00534B6B" w:rsidRPr="0019376E" w:rsidP="00534B6B" w14:paraId="637CF921" w14:textId="77777777">
      <w:pPr>
        <w:tabs>
          <w:tab w:val="left" w:pos="-720"/>
          <w:tab w:val="left" w:pos="0"/>
        </w:tabs>
        <w:spacing w:after="240"/>
        <w:rPr>
          <w:rFonts w:ascii="Times New Roman" w:hAnsi="Times New Roman"/>
          <w:b/>
        </w:rPr>
      </w:pPr>
      <w:r w:rsidRPr="0019376E">
        <w:rPr>
          <w:rFonts w:ascii="Times New Roman" w:hAnsi="Times New Roman"/>
          <w:b/>
        </w:rPr>
        <w:t>8.</w:t>
      </w:r>
      <w:r w:rsidRPr="0019376E">
        <w:rPr>
          <w:rFonts w:ascii="Times New Roman" w:hAnsi="Times New Roman"/>
          <w:b/>
        </w:rPr>
        <w:tab/>
        <w:t xml:space="preserve">If applicable, provide a copy and identify the date and page number of </w:t>
      </w:r>
      <w:r w:rsidRPr="0019376E">
        <w:rPr>
          <w:rFonts w:ascii="Times New Roman" w:hAnsi="Times New Roman"/>
          <w:b/>
        </w:rPr>
        <w:t>publication</w:t>
      </w:r>
      <w:r w:rsidRPr="0019376E">
        <w:rPr>
          <w:rFonts w:ascii="Times New Roman" w:hAnsi="Times New Roman"/>
          <w:b/>
        </w:rPr>
        <w:t xml:space="preserve"> in the </w:t>
      </w:r>
      <w:r w:rsidRPr="0019376E">
        <w:rPr>
          <w:rFonts w:ascii="Times New Roman" w:hAnsi="Times New Roman"/>
          <w:b/>
          <w:i/>
        </w:rPr>
        <w:t>Federal Register</w:t>
      </w:r>
      <w:r w:rsidRPr="0019376E">
        <w:rPr>
          <w:rFonts w:ascii="Times New Roman" w:hAnsi="Times New Roman"/>
          <w:b/>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FD1FD7" w:rsidRPr="00514001" w:rsidP="00FD1FD7" w14:paraId="4C6E476C" w14:textId="77777777">
      <w:pPr>
        <w:tabs>
          <w:tab w:val="left" w:pos="-720"/>
          <w:tab w:val="left" w:pos="0"/>
        </w:tabs>
        <w:spacing w:after="240"/>
        <w:jc w:val="both"/>
        <w:rPr>
          <w:rFonts w:ascii="Times New Roman" w:hAnsi="Times New Roman"/>
        </w:rPr>
      </w:pPr>
      <w:r>
        <w:rPr>
          <w:rFonts w:ascii="Times New Roman" w:hAnsi="Times New Roman"/>
        </w:rPr>
        <w:tab/>
      </w:r>
      <w:r w:rsidRPr="00086300">
        <w:rPr>
          <w:rFonts w:ascii="Times New Roman" w:hAnsi="Times New Roman"/>
        </w:rPr>
        <w:t>On April 2</w:t>
      </w:r>
      <w:r>
        <w:rPr>
          <w:rFonts w:ascii="Times New Roman" w:hAnsi="Times New Roman"/>
        </w:rPr>
        <w:t>8</w:t>
      </w:r>
      <w:r w:rsidRPr="00086300">
        <w:rPr>
          <w:rFonts w:ascii="Times New Roman" w:hAnsi="Times New Roman"/>
        </w:rPr>
        <w:t>, 202</w:t>
      </w:r>
      <w:r>
        <w:rPr>
          <w:rFonts w:ascii="Times New Roman" w:hAnsi="Times New Roman"/>
        </w:rPr>
        <w:t>3</w:t>
      </w:r>
      <w:r w:rsidRPr="00086300">
        <w:rPr>
          <w:rFonts w:ascii="Times New Roman" w:hAnsi="Times New Roman"/>
        </w:rPr>
        <w:t>, the Commission published in the Federal Register notice of the proposed extension of this information collection and provided 60 days for public comment on the proposed extension, 8</w:t>
      </w:r>
      <w:r>
        <w:rPr>
          <w:rFonts w:ascii="Times New Roman" w:hAnsi="Times New Roman"/>
        </w:rPr>
        <w:t>8</w:t>
      </w:r>
      <w:r w:rsidRPr="00086300">
        <w:rPr>
          <w:rFonts w:ascii="Times New Roman" w:hAnsi="Times New Roman"/>
        </w:rPr>
        <w:t xml:space="preserve"> FR 2</w:t>
      </w:r>
      <w:r>
        <w:rPr>
          <w:rFonts w:ascii="Times New Roman" w:hAnsi="Times New Roman"/>
        </w:rPr>
        <w:t>6279</w:t>
      </w:r>
      <w:r w:rsidRPr="00086300">
        <w:rPr>
          <w:rFonts w:ascii="Times New Roman" w:hAnsi="Times New Roman"/>
        </w:rPr>
        <w:t xml:space="preserve"> (“60-Day Notice”). The Commission did not receive any relevant comments on the 60-Day Notice.</w:t>
      </w:r>
      <w:r w:rsidRPr="00514001">
        <w:rPr>
          <w:rFonts w:ascii="Times New Roman" w:hAnsi="Times New Roman"/>
        </w:rPr>
        <w:t xml:space="preserve"> </w:t>
      </w:r>
    </w:p>
    <w:p w:rsidR="008E7FCE" w:rsidRPr="00DE27BC" w:rsidP="0054627E" w14:paraId="28A25DB5" w14:textId="77777777">
      <w:pPr>
        <w:rPr>
          <w:rFonts w:ascii="Times New Roman" w:hAnsi="Times New Roman"/>
        </w:rPr>
      </w:pPr>
      <w:r>
        <w:rPr>
          <w:rFonts w:ascii="Times New Roman" w:hAnsi="Times New Roman"/>
        </w:rPr>
        <w:tab/>
      </w:r>
    </w:p>
    <w:p w:rsidR="00534B6B" w:rsidRPr="00674558" w:rsidP="00534B6B" w14:paraId="77F1B195" w14:textId="77777777">
      <w:pPr>
        <w:tabs>
          <w:tab w:val="left" w:pos="-720"/>
          <w:tab w:val="left" w:pos="0"/>
        </w:tabs>
        <w:spacing w:after="240"/>
        <w:rPr>
          <w:rFonts w:ascii="Times New Roman" w:hAnsi="Times New Roman"/>
          <w:b/>
        </w:rPr>
      </w:pPr>
      <w:r w:rsidRPr="00674558">
        <w:rPr>
          <w:rFonts w:ascii="Times New Roman" w:hAnsi="Times New Roman"/>
          <w:b/>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534B6B" w:rsidRPr="003E1569" w:rsidP="00534B6B" w14:paraId="0E369040" w14:textId="77777777">
      <w:pPr>
        <w:pStyle w:val="EndnoteText"/>
        <w:tabs>
          <w:tab w:val="left" w:pos="-720"/>
        </w:tabs>
        <w:spacing w:after="240"/>
        <w:rPr>
          <w:rFonts w:ascii="Times New Roman" w:hAnsi="Times New Roman"/>
          <w:szCs w:val="24"/>
        </w:rPr>
      </w:pPr>
      <w:r w:rsidRPr="003E1569">
        <w:rPr>
          <w:rFonts w:ascii="Times New Roman" w:hAnsi="Times New Roman"/>
          <w:szCs w:val="24"/>
        </w:rPr>
        <w:tab/>
        <w:t xml:space="preserve">The Commission </w:t>
      </w:r>
      <w:r w:rsidR="00295FD0">
        <w:rPr>
          <w:rFonts w:ascii="Times New Roman" w:hAnsi="Times New Roman"/>
          <w:szCs w:val="24"/>
        </w:rPr>
        <w:t>sought</w:t>
      </w:r>
      <w:r w:rsidRPr="003E1569">
        <w:rPr>
          <w:rFonts w:ascii="Times New Roman" w:hAnsi="Times New Roman"/>
          <w:szCs w:val="24"/>
        </w:rPr>
        <w:t xml:space="preserve"> public comments on the collection of information.</w:t>
      </w:r>
      <w:r w:rsidR="001278DD">
        <w:rPr>
          <w:rFonts w:ascii="Times New Roman" w:hAnsi="Times New Roman"/>
          <w:szCs w:val="24"/>
        </w:rPr>
        <w:t xml:space="preserve">  Commission staff has held meetings with persons outside the agency to di</w:t>
      </w:r>
      <w:r w:rsidR="00D673D1">
        <w:rPr>
          <w:rFonts w:ascii="Times New Roman" w:hAnsi="Times New Roman"/>
          <w:szCs w:val="24"/>
        </w:rPr>
        <w:t>s</w:t>
      </w:r>
      <w:r w:rsidR="001278DD">
        <w:rPr>
          <w:rFonts w:ascii="Times New Roman" w:hAnsi="Times New Roman"/>
          <w:szCs w:val="24"/>
        </w:rPr>
        <w:t xml:space="preserve">cuss </w:t>
      </w:r>
      <w:r w:rsidR="008D4548">
        <w:rPr>
          <w:rFonts w:ascii="Times New Roman" w:hAnsi="Times New Roman"/>
          <w:szCs w:val="24"/>
        </w:rPr>
        <w:t xml:space="preserve">the </w:t>
      </w:r>
      <w:r w:rsidR="001278DD">
        <w:rPr>
          <w:rFonts w:ascii="Times New Roman" w:hAnsi="Times New Roman"/>
          <w:szCs w:val="24"/>
        </w:rPr>
        <w:t xml:space="preserve">registration </w:t>
      </w:r>
      <w:r w:rsidR="006C002A">
        <w:rPr>
          <w:rFonts w:ascii="Times New Roman" w:hAnsi="Times New Roman"/>
          <w:szCs w:val="24"/>
        </w:rPr>
        <w:t xml:space="preserve">process </w:t>
      </w:r>
      <w:r w:rsidR="001278DD">
        <w:rPr>
          <w:rFonts w:ascii="Times New Roman" w:hAnsi="Times New Roman"/>
          <w:szCs w:val="24"/>
        </w:rPr>
        <w:t>generally</w:t>
      </w:r>
      <w:r w:rsidR="006C002A">
        <w:rPr>
          <w:rFonts w:ascii="Times New Roman" w:hAnsi="Times New Roman"/>
          <w:szCs w:val="24"/>
        </w:rPr>
        <w:t>.</w:t>
      </w:r>
    </w:p>
    <w:p w:rsidR="00534B6B" w:rsidRPr="00674558" w:rsidP="00534B6B" w14:paraId="5E48A91C" w14:textId="77777777">
      <w:pPr>
        <w:tabs>
          <w:tab w:val="left" w:pos="-720"/>
          <w:tab w:val="left" w:pos="0"/>
        </w:tabs>
        <w:spacing w:after="240"/>
        <w:rPr>
          <w:rFonts w:ascii="Times New Roman" w:hAnsi="Times New Roman"/>
          <w:b/>
        </w:rPr>
      </w:pPr>
      <w:r w:rsidRPr="00674558">
        <w:rPr>
          <w:rFonts w:ascii="Times New Roman" w:hAnsi="Times New Roman"/>
          <w:b/>
        </w:rPr>
        <w:tab/>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534B6B" w:rsidRPr="003E1569" w:rsidP="00534B6B" w14:paraId="248C8A6A" w14:textId="77777777">
      <w:pPr>
        <w:tabs>
          <w:tab w:val="left" w:pos="-720"/>
        </w:tabs>
        <w:spacing w:after="240"/>
        <w:rPr>
          <w:rFonts w:ascii="Times New Roman" w:hAnsi="Times New Roman"/>
        </w:rPr>
      </w:pPr>
      <w:r>
        <w:rPr>
          <w:rFonts w:ascii="Times New Roman" w:hAnsi="Times New Roman"/>
        </w:rPr>
        <w:tab/>
        <w:t>Not applicable.</w:t>
      </w:r>
      <w:r w:rsidR="001278DD">
        <w:rPr>
          <w:rFonts w:ascii="Times New Roman" w:hAnsi="Times New Roman"/>
        </w:rPr>
        <w:t xml:space="preserve">  No such circumstances are anticipated.</w:t>
      </w:r>
    </w:p>
    <w:p w:rsidR="00534B6B" w:rsidRPr="00674558" w:rsidP="00534B6B" w14:paraId="3EA6C5EC" w14:textId="77777777">
      <w:pPr>
        <w:tabs>
          <w:tab w:val="left" w:pos="-720"/>
          <w:tab w:val="left" w:pos="0"/>
        </w:tabs>
        <w:spacing w:after="240"/>
        <w:rPr>
          <w:rFonts w:ascii="Times New Roman" w:hAnsi="Times New Roman"/>
          <w:b/>
        </w:rPr>
      </w:pPr>
      <w:r w:rsidRPr="00674558">
        <w:rPr>
          <w:rFonts w:ascii="Times New Roman" w:hAnsi="Times New Roman"/>
          <w:b/>
        </w:rPr>
        <w:t>9.</w:t>
      </w:r>
      <w:r w:rsidRPr="00674558">
        <w:rPr>
          <w:rFonts w:ascii="Times New Roman" w:hAnsi="Times New Roman"/>
          <w:b/>
        </w:rPr>
        <w:tab/>
        <w:t>Explain any decision to provide any payment or gift to respondents, other than renumeration of contractors or grantees.</w:t>
      </w:r>
    </w:p>
    <w:p w:rsidR="00534B6B" w:rsidRPr="003E1569" w:rsidP="00534B6B" w14:paraId="1F03B82B" w14:textId="77777777">
      <w:pPr>
        <w:tabs>
          <w:tab w:val="left" w:pos="-720"/>
        </w:tabs>
        <w:spacing w:after="240"/>
        <w:rPr>
          <w:rFonts w:ascii="Times New Roman" w:hAnsi="Times New Roman"/>
        </w:rPr>
      </w:pPr>
      <w:r w:rsidRPr="003E1569">
        <w:rPr>
          <w:rFonts w:ascii="Times New Roman" w:hAnsi="Times New Roman"/>
        </w:rPr>
        <w:tab/>
      </w:r>
      <w:r w:rsidR="001278DD">
        <w:rPr>
          <w:rFonts w:ascii="Times New Roman" w:hAnsi="Times New Roman"/>
        </w:rPr>
        <w:t>This question d</w:t>
      </w:r>
      <w:r w:rsidRPr="003E1569">
        <w:rPr>
          <w:rFonts w:ascii="Times New Roman" w:hAnsi="Times New Roman"/>
        </w:rPr>
        <w:t>oes not apply.</w:t>
      </w:r>
    </w:p>
    <w:p w:rsidR="00534B6B" w:rsidRPr="00674558" w:rsidP="00534B6B" w14:paraId="6CBCFD65" w14:textId="77777777">
      <w:pPr>
        <w:tabs>
          <w:tab w:val="left" w:pos="-720"/>
        </w:tabs>
        <w:spacing w:after="240"/>
        <w:rPr>
          <w:rFonts w:ascii="Times New Roman" w:hAnsi="Times New Roman"/>
          <w:b/>
        </w:rPr>
      </w:pPr>
      <w:r w:rsidRPr="00674558">
        <w:rPr>
          <w:rFonts w:ascii="Times New Roman" w:hAnsi="Times New Roman"/>
          <w:b/>
        </w:rPr>
        <w:t>10.</w:t>
      </w:r>
      <w:r w:rsidRPr="00674558">
        <w:rPr>
          <w:rFonts w:ascii="Times New Roman" w:hAnsi="Times New Roman"/>
          <w:b/>
        </w:rPr>
        <w:tab/>
        <w:t>Describe any assurance of confidentiality provided to respondents and the basis for the assurance in statute, regulations, or agency policy.</w:t>
      </w:r>
    </w:p>
    <w:p w:rsidR="00534B6B" w:rsidRPr="003E1569" w:rsidP="00534B6B" w14:paraId="2951F93D" w14:textId="77777777">
      <w:pPr>
        <w:tabs>
          <w:tab w:val="left" w:pos="-720"/>
        </w:tabs>
        <w:spacing w:after="240"/>
        <w:rPr>
          <w:rFonts w:ascii="Times New Roman" w:hAnsi="Times New Roman"/>
        </w:rPr>
      </w:pPr>
      <w:r w:rsidRPr="003E1569">
        <w:rPr>
          <w:rFonts w:ascii="Times New Roman" w:hAnsi="Times New Roman"/>
        </w:rPr>
        <w:tab/>
      </w:r>
      <w:r w:rsidR="001525B7">
        <w:rPr>
          <w:rFonts w:ascii="Times New Roman" w:hAnsi="Times New Roman"/>
        </w:rPr>
        <w:t xml:space="preserve">The Commission </w:t>
      </w:r>
      <w:r w:rsidR="00A45371">
        <w:rPr>
          <w:rFonts w:ascii="Times New Roman" w:hAnsi="Times New Roman"/>
        </w:rPr>
        <w:t xml:space="preserve">does not </w:t>
      </w:r>
      <w:r w:rsidR="001525B7">
        <w:rPr>
          <w:rFonts w:ascii="Times New Roman" w:hAnsi="Times New Roman"/>
        </w:rPr>
        <w:t>provide</w:t>
      </w:r>
      <w:r w:rsidR="00A45371">
        <w:rPr>
          <w:rFonts w:ascii="Times New Roman" w:hAnsi="Times New Roman"/>
        </w:rPr>
        <w:t xml:space="preserve"> respondents with an </w:t>
      </w:r>
      <w:r w:rsidR="001525B7">
        <w:rPr>
          <w:rFonts w:ascii="Times New Roman" w:hAnsi="Times New Roman"/>
        </w:rPr>
        <w:t>assurance of confidentiality</w:t>
      </w:r>
      <w:r w:rsidR="0070243E">
        <w:rPr>
          <w:rFonts w:ascii="Times New Roman" w:hAnsi="Times New Roman"/>
        </w:rPr>
        <w:t xml:space="preserve"> beyond that provided by applicable law</w:t>
      </w:r>
      <w:r w:rsidR="00A45371">
        <w:rPr>
          <w:rFonts w:ascii="Times New Roman" w:hAnsi="Times New Roman"/>
        </w:rPr>
        <w:t xml:space="preserve">. </w:t>
      </w:r>
      <w:r w:rsidR="0070243E">
        <w:rPr>
          <w:rFonts w:ascii="Times New Roman" w:hAnsi="Times New Roman"/>
        </w:rPr>
        <w:t xml:space="preserve"> </w:t>
      </w:r>
      <w:r w:rsidR="00A45371">
        <w:rPr>
          <w:rFonts w:ascii="Times New Roman" w:hAnsi="Times New Roman"/>
        </w:rPr>
        <w:t>The Commission fully complies with</w:t>
      </w:r>
      <w:r w:rsidR="001525B7">
        <w:rPr>
          <w:rFonts w:ascii="Times New Roman" w:hAnsi="Times New Roman"/>
        </w:rPr>
        <w:t xml:space="preserve"> </w:t>
      </w:r>
      <w:r w:rsidR="00A45371">
        <w:rPr>
          <w:rFonts w:ascii="Times New Roman" w:hAnsi="Times New Roman"/>
        </w:rPr>
        <w:t>s</w:t>
      </w:r>
      <w:r w:rsidRPr="003E1569">
        <w:rPr>
          <w:rFonts w:ascii="Times New Roman" w:hAnsi="Times New Roman"/>
        </w:rPr>
        <w:t>ection 8(a)</w:t>
      </w:r>
      <w:r w:rsidR="00A45371">
        <w:rPr>
          <w:rFonts w:ascii="Times New Roman" w:hAnsi="Times New Roman"/>
        </w:rPr>
        <w:t xml:space="preserve">(1) of the </w:t>
      </w:r>
      <w:r w:rsidR="00125142">
        <w:rPr>
          <w:rFonts w:ascii="Times New Roman" w:hAnsi="Times New Roman"/>
        </w:rPr>
        <w:t>Commodity Exchange Act</w:t>
      </w:r>
      <w:r w:rsidR="00A45371">
        <w:rPr>
          <w:rFonts w:ascii="Times New Roman" w:hAnsi="Times New Roman"/>
        </w:rPr>
        <w:t xml:space="preserve">, which strictly prohibits the Commission, unless specifically authorized by the </w:t>
      </w:r>
      <w:r w:rsidR="00125142">
        <w:rPr>
          <w:rFonts w:ascii="Times New Roman" w:hAnsi="Times New Roman"/>
        </w:rPr>
        <w:t>Commodity Exchange Act</w:t>
      </w:r>
      <w:r w:rsidR="00A45371">
        <w:rPr>
          <w:rFonts w:ascii="Times New Roman" w:hAnsi="Times New Roman"/>
        </w:rPr>
        <w:t>, from making public “data and information that would separately disclose the business transactions or market positions of any person and trade secrets or names of customers</w:t>
      </w:r>
      <w:r w:rsidRPr="003E1569">
        <w:rPr>
          <w:rFonts w:ascii="Times New Roman" w:hAnsi="Times New Roman"/>
        </w:rPr>
        <w:t>.</w:t>
      </w:r>
      <w:r w:rsidR="0064375A">
        <w:rPr>
          <w:rFonts w:ascii="Times New Roman" w:hAnsi="Times New Roman"/>
        </w:rPr>
        <w:t>”</w:t>
      </w:r>
      <w:r w:rsidR="001278DD">
        <w:rPr>
          <w:rFonts w:ascii="Times New Roman" w:hAnsi="Times New Roman"/>
        </w:rPr>
        <w:t xml:space="preserve">  </w:t>
      </w:r>
      <w:r w:rsidR="001525B7">
        <w:rPr>
          <w:rFonts w:ascii="Times New Roman" w:hAnsi="Times New Roman"/>
        </w:rPr>
        <w:t xml:space="preserve">The Commission </w:t>
      </w:r>
      <w:r w:rsidR="00125142">
        <w:rPr>
          <w:rFonts w:ascii="Times New Roman" w:hAnsi="Times New Roman"/>
        </w:rPr>
        <w:t>has procedures to protect the confidentiality of an</w:t>
      </w:r>
      <w:r w:rsidR="00175A8F">
        <w:rPr>
          <w:rFonts w:ascii="Times New Roman" w:hAnsi="Times New Roman"/>
        </w:rPr>
        <w:t xml:space="preserve"> applicant’s or registrant’s data.  These are set forth in the Commission’s regulations at parts 145 and 147 of the Code of Federal Regulations</w:t>
      </w:r>
      <w:r w:rsidR="001525B7">
        <w:rPr>
          <w:rFonts w:ascii="Times New Roman" w:hAnsi="Times New Roman"/>
        </w:rPr>
        <w:t>.</w:t>
      </w:r>
    </w:p>
    <w:p w:rsidR="00534B6B" w:rsidRPr="00674558" w:rsidP="00534B6B" w14:paraId="48D36237" w14:textId="77777777">
      <w:pPr>
        <w:tabs>
          <w:tab w:val="left" w:pos="-720"/>
        </w:tabs>
        <w:spacing w:after="240"/>
        <w:rPr>
          <w:rFonts w:ascii="Times New Roman" w:hAnsi="Times New Roman"/>
          <w:b/>
        </w:rPr>
      </w:pPr>
      <w:r w:rsidRPr="00674558">
        <w:rPr>
          <w:rFonts w:ascii="Times New Roman" w:hAnsi="Times New Roman"/>
          <w:b/>
        </w:rPr>
        <w:t>11.</w:t>
      </w:r>
      <w:r w:rsidRPr="00674558">
        <w:rPr>
          <w:rFonts w:ascii="Times New Roman" w:hAnsi="Times New Roman"/>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534B6B" w:rsidRPr="003E1569" w:rsidP="00534B6B" w14:paraId="706BB5A3" w14:textId="77777777">
      <w:pPr>
        <w:tabs>
          <w:tab w:val="left" w:pos="-720"/>
        </w:tabs>
        <w:spacing w:after="240"/>
        <w:rPr>
          <w:rFonts w:ascii="Times New Roman" w:hAnsi="Times New Roman"/>
        </w:rPr>
      </w:pPr>
      <w:r w:rsidRPr="003E1569">
        <w:rPr>
          <w:rFonts w:ascii="Times New Roman" w:hAnsi="Times New Roman"/>
        </w:rPr>
        <w:tab/>
      </w:r>
      <w:r w:rsidR="00D673D1">
        <w:rPr>
          <w:rFonts w:ascii="Times New Roman" w:hAnsi="Times New Roman"/>
        </w:rPr>
        <w:t xml:space="preserve">This question does not apply.  </w:t>
      </w:r>
      <w:r w:rsidRPr="003E1569">
        <w:rPr>
          <w:rFonts w:ascii="Times New Roman" w:hAnsi="Times New Roman"/>
        </w:rPr>
        <w:t xml:space="preserve">None of the </w:t>
      </w:r>
      <w:r w:rsidR="00D673D1">
        <w:rPr>
          <w:rFonts w:ascii="Times New Roman" w:hAnsi="Times New Roman"/>
        </w:rPr>
        <w:t>required information is</w:t>
      </w:r>
      <w:r w:rsidRPr="003E1569">
        <w:rPr>
          <w:rFonts w:ascii="Times New Roman" w:hAnsi="Times New Roman"/>
        </w:rPr>
        <w:t xml:space="preserve"> sensitive, as that term is used in Question 11.</w:t>
      </w:r>
    </w:p>
    <w:p w:rsidR="00534B6B" w:rsidRPr="00674558" w:rsidP="00534B6B" w14:paraId="6F24305D" w14:textId="77777777">
      <w:pPr>
        <w:tabs>
          <w:tab w:val="left" w:pos="-720"/>
          <w:tab w:val="left" w:pos="0"/>
        </w:tabs>
        <w:spacing w:after="240"/>
        <w:rPr>
          <w:rFonts w:ascii="Times New Roman" w:hAnsi="Times New Roman"/>
          <w:b/>
        </w:rPr>
      </w:pPr>
      <w:r w:rsidRPr="00674558">
        <w:rPr>
          <w:rFonts w:ascii="Times New Roman" w:hAnsi="Times New Roman"/>
          <w:b/>
        </w:rPr>
        <w:t>12.</w:t>
      </w:r>
      <w:r w:rsidRPr="00674558">
        <w:rPr>
          <w:rFonts w:ascii="Times New Roman" w:hAnsi="Times New Roman"/>
          <w:b/>
        </w:rPr>
        <w:tab/>
        <w:t>Provide estimates of the hour burden of the collection of information.  The Statement should:</w:t>
      </w:r>
    </w:p>
    <w:p w:rsidR="00534B6B" w:rsidRPr="00674558" w:rsidP="00534B6B" w14:paraId="5A604D41" w14:textId="77777777">
      <w:pPr>
        <w:numPr>
          <w:ilvl w:val="0"/>
          <w:numId w:val="1"/>
        </w:numPr>
        <w:tabs>
          <w:tab w:val="left" w:pos="-720"/>
          <w:tab w:val="left" w:pos="0"/>
          <w:tab w:val="left" w:pos="720"/>
          <w:tab w:val="clear" w:pos="936"/>
          <w:tab w:val="num" w:pos="1080"/>
        </w:tabs>
        <w:spacing w:after="240"/>
        <w:ind w:left="1080" w:hanging="360"/>
        <w:rPr>
          <w:rFonts w:ascii="Times New Roman" w:hAnsi="Times New Roman"/>
          <w:b/>
        </w:rPr>
      </w:pPr>
      <w:r w:rsidRPr="00674558">
        <w:rPr>
          <w:rFonts w:ascii="Times New Roman" w:hAnsi="Times New Roman"/>
          <w:b/>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w:t>
      </w:r>
      <w:r w:rsidRPr="00674558">
        <w:rPr>
          <w:rFonts w:ascii="Times New Roman" w:hAnsi="Times New Roman"/>
          <w:b/>
        </w:rPr>
        <w:t>show the range of estimated hour burden, and explain the reasons for the variance.  Generally, estimates should not include burden hours for customary and usual business practices.</w:t>
      </w:r>
    </w:p>
    <w:p w:rsidR="00534B6B" w:rsidRPr="00674558" w:rsidP="00534B6B" w14:paraId="3B809EFD" w14:textId="77777777">
      <w:pPr>
        <w:numPr>
          <w:ilvl w:val="0"/>
          <w:numId w:val="1"/>
        </w:numPr>
        <w:tabs>
          <w:tab w:val="left" w:pos="-720"/>
          <w:tab w:val="left" w:pos="0"/>
          <w:tab w:val="left" w:pos="720"/>
          <w:tab w:val="clear" w:pos="936"/>
          <w:tab w:val="num" w:pos="1080"/>
        </w:tabs>
        <w:spacing w:after="240"/>
        <w:ind w:left="1080" w:hanging="360"/>
        <w:rPr>
          <w:rFonts w:ascii="Times New Roman" w:hAnsi="Times New Roman"/>
          <w:b/>
        </w:rPr>
      </w:pPr>
      <w:r w:rsidRPr="00674558">
        <w:rPr>
          <w:rFonts w:ascii="Times New Roman" w:hAnsi="Times New Roman"/>
          <w:b/>
        </w:rPr>
        <w:t>If the request for approval covers more than one form, provide separate hour burden estimates for each form and aggregate the hour burdens in Item 13 of OMB Form 83-I.</w:t>
      </w:r>
    </w:p>
    <w:p w:rsidR="00534B6B" w:rsidRPr="00674558" w:rsidP="00534B6B" w14:paraId="50602AB9" w14:textId="77777777">
      <w:pPr>
        <w:numPr>
          <w:ilvl w:val="0"/>
          <w:numId w:val="1"/>
        </w:numPr>
        <w:tabs>
          <w:tab w:val="left" w:pos="-720"/>
          <w:tab w:val="left" w:pos="0"/>
          <w:tab w:val="left" w:pos="720"/>
          <w:tab w:val="clear" w:pos="936"/>
          <w:tab w:val="num" w:pos="1080"/>
        </w:tabs>
        <w:spacing w:after="240"/>
        <w:ind w:left="1080" w:hanging="360"/>
        <w:rPr>
          <w:rFonts w:ascii="Times New Roman" w:hAnsi="Times New Roman"/>
          <w:b/>
        </w:rPr>
      </w:pPr>
      <w:r w:rsidRPr="00674558">
        <w:rPr>
          <w:rFonts w:ascii="Times New Roman" w:hAnsi="Times New Roman"/>
          <w:b/>
        </w:rPr>
        <w:t xml:space="preserve">Provide estimates of annualized cost to respondents for the hours burdens for collections of information, identifying and using appropriate wage rate categories.  The cost of contracting </w:t>
      </w:r>
      <w:r w:rsidRPr="00674558">
        <w:rPr>
          <w:rFonts w:ascii="Times New Roman" w:hAnsi="Times New Roman"/>
          <w:b/>
        </w:rPr>
        <w:t>our</w:t>
      </w:r>
      <w:r w:rsidRPr="00674558">
        <w:rPr>
          <w:rFonts w:ascii="Times New Roman" w:hAnsi="Times New Roman"/>
          <w:b/>
        </w:rPr>
        <w:t xml:space="preserve"> or paying outside parties for information collection activities should not be included here.  Instead, this cost should be included in Item 13.</w:t>
      </w:r>
    </w:p>
    <w:p w:rsidR="008E7FCE" w:rsidP="005E1171" w14:paraId="1453DABE" w14:textId="6C3C4D6C">
      <w:pPr>
        <w:tabs>
          <w:tab w:val="left" w:pos="-720"/>
        </w:tabs>
        <w:spacing w:after="240"/>
        <w:rPr>
          <w:rFonts w:ascii="Times New Roman" w:hAnsi="Times New Roman"/>
        </w:rPr>
      </w:pPr>
      <w:r w:rsidRPr="003E1569">
        <w:rPr>
          <w:rFonts w:ascii="Times New Roman" w:hAnsi="Times New Roman"/>
        </w:rPr>
        <w:tab/>
      </w:r>
      <w:r w:rsidRPr="005E1171">
        <w:rPr>
          <w:rFonts w:ascii="Times New Roman" w:hAnsi="Times New Roman"/>
        </w:rPr>
        <w:t xml:space="preserve">See Attachment A.  </w:t>
      </w:r>
      <w:r w:rsidRPr="005E1171" w:rsidR="005E1171">
        <w:rPr>
          <w:rFonts w:ascii="Times New Roman" w:hAnsi="Times New Roman"/>
        </w:rPr>
        <w:t xml:space="preserve">The Commission continues to estimate a total of 779 respondents across all three information collections, filing a total of </w:t>
      </w:r>
      <w:bookmarkStart w:id="2" w:name="_GoBack"/>
      <w:bookmarkEnd w:id="2"/>
      <w:r w:rsidR="00077214">
        <w:rPr>
          <w:rFonts w:ascii="Times New Roman" w:hAnsi="Times New Roman"/>
        </w:rPr>
        <w:t>1860</w:t>
      </w:r>
      <w:r w:rsidRPr="005E1171" w:rsidR="005E1171">
        <w:rPr>
          <w:rFonts w:ascii="Times New Roman" w:hAnsi="Times New Roman"/>
        </w:rPr>
        <w:t xml:space="preserve"> responses.  The average hours per response is</w:t>
      </w:r>
      <w:r w:rsidR="00077214">
        <w:rPr>
          <w:rFonts w:ascii="Times New Roman" w:hAnsi="Times New Roman"/>
        </w:rPr>
        <w:t xml:space="preserve"> .37</w:t>
      </w:r>
      <w:r w:rsidR="002037C9">
        <w:rPr>
          <w:rFonts w:ascii="Times New Roman" w:hAnsi="Times New Roman"/>
        </w:rPr>
        <w:t xml:space="preserve"> for 1</w:t>
      </w:r>
      <w:r w:rsidRPr="002D5319" w:rsidR="002037C9">
        <w:rPr>
          <w:rFonts w:ascii="Times New Roman" w:hAnsi="Times New Roman"/>
          <w:vertAlign w:val="superscript"/>
        </w:rPr>
        <w:t>st</w:t>
      </w:r>
      <w:r w:rsidR="002037C9">
        <w:rPr>
          <w:rFonts w:ascii="Times New Roman" w:hAnsi="Times New Roman"/>
        </w:rPr>
        <w:t xml:space="preserve"> IC, 2.</w:t>
      </w:r>
      <w:r w:rsidR="00477502">
        <w:rPr>
          <w:rFonts w:ascii="Times New Roman" w:hAnsi="Times New Roman"/>
        </w:rPr>
        <w:t>5 for 2</w:t>
      </w:r>
      <w:r w:rsidRPr="002D5319" w:rsidR="00477502">
        <w:rPr>
          <w:rFonts w:ascii="Times New Roman" w:hAnsi="Times New Roman"/>
          <w:vertAlign w:val="superscript"/>
        </w:rPr>
        <w:t>nd</w:t>
      </w:r>
      <w:r w:rsidR="00477502">
        <w:rPr>
          <w:rFonts w:ascii="Times New Roman" w:hAnsi="Times New Roman"/>
        </w:rPr>
        <w:t xml:space="preserve"> IC, and 40 for 3</w:t>
      </w:r>
      <w:r w:rsidRPr="002D5319" w:rsidR="00477502">
        <w:rPr>
          <w:rFonts w:ascii="Times New Roman" w:hAnsi="Times New Roman"/>
          <w:vertAlign w:val="superscript"/>
        </w:rPr>
        <w:t>rd</w:t>
      </w:r>
      <w:r w:rsidR="00477502">
        <w:rPr>
          <w:rFonts w:ascii="Times New Roman" w:hAnsi="Times New Roman"/>
        </w:rPr>
        <w:t xml:space="preserve"> IC</w:t>
      </w:r>
      <w:r w:rsidRPr="005E1171" w:rsidR="005E1171">
        <w:rPr>
          <w:rFonts w:ascii="Times New Roman" w:hAnsi="Times New Roman"/>
        </w:rPr>
        <w:t xml:space="preserve">, and the total burden hours is 888.  Based on the wage and salary tables generated by the Bureau of Labor Statistics (May </w:t>
      </w:r>
      <w:r w:rsidR="00B30FB1">
        <w:rPr>
          <w:rFonts w:ascii="Times New Roman" w:hAnsi="Times New Roman"/>
        </w:rPr>
        <w:t>2022</w:t>
      </w:r>
      <w:r w:rsidRPr="005E1171" w:rsidR="00B30FB1">
        <w:rPr>
          <w:rFonts w:ascii="Times New Roman" w:hAnsi="Times New Roman"/>
        </w:rPr>
        <w:t xml:space="preserve"> </w:t>
      </w:r>
      <w:bookmarkStart w:id="3" w:name="_Hlk133394407"/>
      <w:r w:rsidRPr="005E1171" w:rsidR="005E1171">
        <w:rPr>
          <w:rFonts w:ascii="Times New Roman" w:hAnsi="Times New Roman"/>
        </w:rPr>
        <w:t>National Industry-Specific Occupational Employment and Wage Estimates NAICS 523000 - Securities, Commodity Contracts, and Other Financial Investments and Related Activities</w:t>
      </w:r>
      <w:bookmarkEnd w:id="3"/>
      <w:r w:rsidRPr="005E1171" w:rsidR="005E1171">
        <w:rPr>
          <w:rFonts w:ascii="Times New Roman" w:hAnsi="Times New Roman"/>
        </w:rPr>
        <w:t>) and using a blended hourly rate for time spent by an attorney and a compliance officer ($</w:t>
      </w:r>
      <w:r w:rsidR="00197815">
        <w:rPr>
          <w:rFonts w:ascii="Times New Roman" w:hAnsi="Times New Roman"/>
        </w:rPr>
        <w:t>81.97</w:t>
      </w:r>
      <w:r w:rsidRPr="005E1171" w:rsidR="005E1171">
        <w:rPr>
          <w:rFonts w:ascii="Times New Roman" w:hAnsi="Times New Roman"/>
        </w:rPr>
        <w:t>), the estimated cost per response is $</w:t>
      </w:r>
      <w:r w:rsidR="00197815">
        <w:rPr>
          <w:rFonts w:ascii="Times New Roman" w:hAnsi="Times New Roman"/>
        </w:rPr>
        <w:t>30.33</w:t>
      </w:r>
      <w:r w:rsidR="00477502">
        <w:rPr>
          <w:rFonts w:ascii="Times New Roman" w:hAnsi="Times New Roman"/>
        </w:rPr>
        <w:t xml:space="preserve"> for 1</w:t>
      </w:r>
      <w:r w:rsidRPr="002D5319" w:rsidR="00477502">
        <w:rPr>
          <w:rFonts w:ascii="Times New Roman" w:hAnsi="Times New Roman"/>
          <w:vertAlign w:val="superscript"/>
        </w:rPr>
        <w:t>st</w:t>
      </w:r>
      <w:r w:rsidR="00477502">
        <w:rPr>
          <w:rFonts w:ascii="Times New Roman" w:hAnsi="Times New Roman"/>
        </w:rPr>
        <w:t xml:space="preserve"> IC, $204.92 for 2</w:t>
      </w:r>
      <w:r w:rsidRPr="002D5319" w:rsidR="00477502">
        <w:rPr>
          <w:rFonts w:ascii="Times New Roman" w:hAnsi="Times New Roman"/>
          <w:vertAlign w:val="superscript"/>
        </w:rPr>
        <w:t>nd</w:t>
      </w:r>
      <w:r w:rsidR="00477502">
        <w:rPr>
          <w:rFonts w:ascii="Times New Roman" w:hAnsi="Times New Roman"/>
        </w:rPr>
        <w:t xml:space="preserve"> IC, and $3,278.80 for 3</w:t>
      </w:r>
      <w:r w:rsidRPr="002D5319" w:rsidR="00477502">
        <w:rPr>
          <w:rFonts w:ascii="Times New Roman" w:hAnsi="Times New Roman"/>
          <w:vertAlign w:val="superscript"/>
        </w:rPr>
        <w:t>rd</w:t>
      </w:r>
      <w:r w:rsidR="00477502">
        <w:rPr>
          <w:rFonts w:ascii="Times New Roman" w:hAnsi="Times New Roman"/>
        </w:rPr>
        <w:t xml:space="preserve"> IC</w:t>
      </w:r>
      <w:r w:rsidRPr="005E1171" w:rsidR="005E1171">
        <w:rPr>
          <w:rFonts w:ascii="Times New Roman" w:hAnsi="Times New Roman"/>
        </w:rPr>
        <w:t>, and the annualized cost across all three information collections is $</w:t>
      </w:r>
      <w:r w:rsidR="00477502">
        <w:rPr>
          <w:rFonts w:ascii="Times New Roman" w:hAnsi="Times New Roman"/>
        </w:rPr>
        <w:t>73,005.33</w:t>
      </w:r>
      <w:r w:rsidRPr="005E1171" w:rsidR="005E1171">
        <w:rPr>
          <w:rFonts w:ascii="Times New Roman" w:hAnsi="Times New Roman"/>
        </w:rPr>
        <w:t xml:space="preserve">. </w:t>
      </w:r>
      <w:r w:rsidR="002D6853">
        <w:rPr>
          <w:rFonts w:ascii="Times New Roman" w:hAnsi="Times New Roman"/>
        </w:rPr>
        <w:t xml:space="preserve">   </w:t>
      </w:r>
      <w:r>
        <w:rPr>
          <w:rFonts w:ascii="Times New Roman" w:hAnsi="Times New Roman"/>
        </w:rPr>
        <w:t xml:space="preserve"> </w:t>
      </w:r>
    </w:p>
    <w:p w:rsidR="009021E4" w:rsidRPr="003E1569" w:rsidP="005E1171" w14:paraId="6FFB7533" w14:textId="77777777">
      <w:pPr>
        <w:tabs>
          <w:tab w:val="left" w:pos="-720"/>
        </w:tabs>
        <w:spacing w:after="240"/>
        <w:rPr>
          <w:rFonts w:ascii="Times New Roman" w:hAnsi="Times New Roman"/>
        </w:rPr>
      </w:pPr>
      <w:r>
        <w:rPr>
          <w:rFonts w:ascii="Times New Roman" w:hAnsi="Times New Roman"/>
        </w:rPr>
        <w:tab/>
      </w:r>
      <w:r w:rsidRPr="009021E4">
        <w:rPr>
          <w:rFonts w:ascii="Times New Roman" w:hAnsi="Times New Roman"/>
        </w:rPr>
        <w:t>In addition</w:t>
      </w:r>
      <w:r>
        <w:rPr>
          <w:rFonts w:ascii="Times New Roman" w:hAnsi="Times New Roman"/>
        </w:rPr>
        <w:t>,</w:t>
      </w:r>
      <w:r w:rsidRPr="009021E4">
        <w:rPr>
          <w:rFonts w:ascii="Times New Roman" w:hAnsi="Times New Roman"/>
        </w:rPr>
        <w:t xml:space="preserve"> each Swaps Entity respondent pays a registration fee of $15,000 with its application, due to the detailed and in-depth review required of each Swaps Entity applicant’s documentation, policies, and procedures to determine its initial compliance with the applicable substantive CEA Section 4s requirements, and their corresponding Section 4s implementing Regulations, before the Commission grants the applicant registration.  The $15,000 registration fee represents a very small percentage of a Swaps Entity’s operational expenses.</w:t>
      </w:r>
    </w:p>
    <w:p w:rsidR="00534B6B" w:rsidRPr="00674558" w:rsidP="00534B6B" w14:paraId="1CCC1EFD" w14:textId="77777777">
      <w:pPr>
        <w:keepNext/>
        <w:tabs>
          <w:tab w:val="left" w:pos="-720"/>
          <w:tab w:val="left" w:pos="0"/>
        </w:tabs>
        <w:spacing w:after="240"/>
        <w:rPr>
          <w:rFonts w:ascii="Times New Roman" w:hAnsi="Times New Roman"/>
          <w:b/>
        </w:rPr>
      </w:pPr>
      <w:r w:rsidRPr="00674558">
        <w:rPr>
          <w:rFonts w:ascii="Times New Roman" w:hAnsi="Times New Roman"/>
          <w:b/>
        </w:rPr>
        <w:t>13.</w:t>
      </w:r>
      <w:r w:rsidRPr="00674558">
        <w:rPr>
          <w:rFonts w:ascii="Times New Roman" w:hAnsi="Times New Roman"/>
          <w:b/>
        </w:rPr>
        <w:tab/>
        <w:t>Provide an estimate of the total annual cost burden to respondents or recordkeepers resulting fr</w:t>
      </w:r>
      <w:r w:rsidR="00295FD0">
        <w:rPr>
          <w:rFonts w:ascii="Times New Roman" w:hAnsi="Times New Roman"/>
          <w:b/>
        </w:rPr>
        <w:t>o</w:t>
      </w:r>
      <w:r w:rsidRPr="00674558">
        <w:rPr>
          <w:rFonts w:ascii="Times New Roman" w:hAnsi="Times New Roman"/>
          <w:b/>
        </w:rPr>
        <w:t>m the collection of information.  (Do not include the cost of any hour burden shown in Items 12 and 14).</w:t>
      </w:r>
    </w:p>
    <w:p w:rsidR="00534B6B" w:rsidRPr="00674558" w:rsidP="00534B6B" w14:paraId="5DCD9451" w14:textId="77777777">
      <w:pPr>
        <w:numPr>
          <w:ilvl w:val="0"/>
          <w:numId w:val="1"/>
        </w:numPr>
        <w:tabs>
          <w:tab w:val="left" w:pos="-720"/>
          <w:tab w:val="left" w:pos="0"/>
          <w:tab w:val="left" w:pos="720"/>
          <w:tab w:val="clear" w:pos="936"/>
          <w:tab w:val="num" w:pos="1080"/>
        </w:tabs>
        <w:spacing w:after="240"/>
        <w:ind w:left="1080" w:hanging="360"/>
        <w:rPr>
          <w:rFonts w:ascii="Times New Roman" w:hAnsi="Times New Roman"/>
          <w:b/>
        </w:rPr>
      </w:pPr>
      <w:r w:rsidRPr="00674558">
        <w:rPr>
          <w:rFonts w:ascii="Times New Roman" w:hAnsi="Times New Roman"/>
          <w:b/>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674558">
        <w:rPr>
          <w:rFonts w:ascii="Times New Roman" w:hAnsi="Times New Roman"/>
          <w:b/>
        </w:rPr>
        <w:t>take into account</w:t>
      </w:r>
      <w:r w:rsidRPr="00674558">
        <w:rPr>
          <w:rFonts w:ascii="Times New Roman" w:hAnsi="Times New Roman"/>
          <w:b/>
        </w:rPr>
        <w:t xml:space="preserve">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534B6B" w:rsidRPr="00674558" w:rsidP="00534B6B" w14:paraId="32BFE169" w14:textId="77777777">
      <w:pPr>
        <w:numPr>
          <w:ilvl w:val="0"/>
          <w:numId w:val="1"/>
        </w:numPr>
        <w:tabs>
          <w:tab w:val="left" w:pos="-720"/>
          <w:tab w:val="left" w:pos="0"/>
          <w:tab w:val="left" w:pos="720"/>
          <w:tab w:val="clear" w:pos="936"/>
          <w:tab w:val="num" w:pos="1080"/>
        </w:tabs>
        <w:spacing w:after="240"/>
        <w:ind w:left="1080" w:hanging="360"/>
        <w:rPr>
          <w:rFonts w:ascii="Times New Roman" w:hAnsi="Times New Roman"/>
          <w:b/>
        </w:rPr>
      </w:pPr>
      <w:r w:rsidRPr="00674558">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00534B6B" w:rsidRPr="00674558" w:rsidP="00534B6B" w14:paraId="063747E6" w14:textId="77777777">
      <w:pPr>
        <w:numPr>
          <w:ilvl w:val="0"/>
          <w:numId w:val="1"/>
        </w:numPr>
        <w:tabs>
          <w:tab w:val="left" w:pos="-720"/>
          <w:tab w:val="left" w:pos="0"/>
          <w:tab w:val="left" w:pos="720"/>
          <w:tab w:val="clear" w:pos="936"/>
          <w:tab w:val="num" w:pos="1080"/>
        </w:tabs>
        <w:spacing w:after="240"/>
        <w:ind w:left="1080" w:hanging="360"/>
        <w:rPr>
          <w:rFonts w:ascii="Times New Roman" w:hAnsi="Times New Roman"/>
          <w:b/>
        </w:rPr>
      </w:pPr>
      <w:r w:rsidRPr="00674558">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534B6B" w:rsidRPr="003E1569" w:rsidP="00534B6B" w14:paraId="11CDF25D" w14:textId="77777777">
      <w:pPr>
        <w:tabs>
          <w:tab w:val="left" w:pos="-720"/>
        </w:tabs>
        <w:spacing w:after="240"/>
        <w:rPr>
          <w:rFonts w:ascii="Times New Roman" w:hAnsi="Times New Roman"/>
        </w:rPr>
      </w:pPr>
      <w:r w:rsidRPr="003E1569">
        <w:rPr>
          <w:rFonts w:ascii="Times New Roman" w:hAnsi="Times New Roman"/>
        </w:rPr>
        <w:tab/>
      </w:r>
      <w:r w:rsidR="00276B3D">
        <w:rPr>
          <w:rFonts w:ascii="Times New Roman" w:hAnsi="Times New Roman"/>
        </w:rPr>
        <w:t>Total costs are included in the answer to question 12.  No new start-up and maintenance costs are involved.</w:t>
      </w:r>
    </w:p>
    <w:p w:rsidR="00534B6B" w:rsidRPr="00674558" w:rsidP="00534B6B" w14:paraId="24D788EB" w14:textId="77777777">
      <w:pPr>
        <w:tabs>
          <w:tab w:val="left" w:pos="-720"/>
        </w:tabs>
        <w:spacing w:after="240"/>
        <w:rPr>
          <w:rFonts w:ascii="Times New Roman" w:hAnsi="Times New Roman"/>
          <w:b/>
        </w:rPr>
      </w:pPr>
      <w:r w:rsidRPr="00674558">
        <w:rPr>
          <w:rFonts w:ascii="Times New Roman" w:hAnsi="Times New Roman"/>
          <w:b/>
        </w:rPr>
        <w:t>14.</w:t>
      </w:r>
      <w:r w:rsidRPr="00674558">
        <w:rPr>
          <w:rFonts w:ascii="Times New Roman" w:hAnsi="Times New Roman"/>
          <w:b/>
        </w:rPr>
        <w:tab/>
        <w:t xml:space="preserve">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00534B6B" w:rsidRPr="00B23301" w:rsidP="00534B6B" w14:paraId="7BAC5C82" w14:textId="77777777">
      <w:pPr>
        <w:tabs>
          <w:tab w:val="left" w:pos="-720"/>
        </w:tabs>
        <w:spacing w:after="240"/>
        <w:rPr>
          <w:rFonts w:ascii="Times New Roman" w:hAnsi="Times New Roman"/>
        </w:rPr>
      </w:pPr>
      <w:r w:rsidRPr="003E1569">
        <w:rPr>
          <w:rFonts w:ascii="Times New Roman" w:hAnsi="Times New Roman"/>
        </w:rPr>
        <w:tab/>
      </w:r>
      <w:r w:rsidR="008D4548">
        <w:rPr>
          <w:rFonts w:ascii="Times New Roman" w:hAnsi="Times New Roman"/>
        </w:rPr>
        <w:t>There are no new a</w:t>
      </w:r>
      <w:r w:rsidR="00B23301">
        <w:rPr>
          <w:rFonts w:ascii="Times New Roman" w:hAnsi="Times New Roman"/>
        </w:rPr>
        <w:t xml:space="preserve">nnualized costs to the Commission </w:t>
      </w:r>
      <w:r w:rsidR="008D4548">
        <w:rPr>
          <w:rFonts w:ascii="Times New Roman" w:hAnsi="Times New Roman"/>
        </w:rPr>
        <w:t xml:space="preserve">in connection with the </w:t>
      </w:r>
      <w:r w:rsidR="00412215">
        <w:rPr>
          <w:rFonts w:ascii="Times New Roman" w:hAnsi="Times New Roman"/>
        </w:rPr>
        <w:t>information collection</w:t>
      </w:r>
      <w:r w:rsidR="008D4548">
        <w:rPr>
          <w:rFonts w:ascii="Times New Roman" w:hAnsi="Times New Roman"/>
        </w:rPr>
        <w:t>s.</w:t>
      </w:r>
      <w:r>
        <w:rPr>
          <w:rStyle w:val="FootnoteReference"/>
          <w:rFonts w:ascii="Times New Roman" w:hAnsi="Times New Roman"/>
        </w:rPr>
        <w:footnoteReference w:id="5"/>
      </w:r>
      <w:r w:rsidRPr="00B23301" w:rsidR="00B23301">
        <w:rPr>
          <w:rFonts w:ascii="Times New Roman" w:hAnsi="Times New Roman"/>
        </w:rPr>
        <w:t xml:space="preserve"> </w:t>
      </w:r>
      <w:r w:rsidR="00B23301">
        <w:rPr>
          <w:rFonts w:ascii="Times New Roman" w:hAnsi="Times New Roman"/>
        </w:rPr>
        <w:t xml:space="preserve"> </w:t>
      </w:r>
    </w:p>
    <w:p w:rsidR="00534B6B" w:rsidRPr="00674558" w:rsidP="00534B6B" w14:paraId="1E65EFD3" w14:textId="77777777">
      <w:pPr>
        <w:tabs>
          <w:tab w:val="left" w:pos="-720"/>
          <w:tab w:val="left" w:pos="0"/>
        </w:tabs>
        <w:spacing w:after="240"/>
        <w:rPr>
          <w:rFonts w:ascii="Times New Roman" w:hAnsi="Times New Roman"/>
          <w:b/>
        </w:rPr>
      </w:pPr>
      <w:r w:rsidRPr="00674558">
        <w:rPr>
          <w:rFonts w:ascii="Times New Roman" w:hAnsi="Times New Roman"/>
          <w:b/>
        </w:rPr>
        <w:t>15.</w:t>
      </w:r>
      <w:r w:rsidRPr="00674558">
        <w:rPr>
          <w:rFonts w:ascii="Times New Roman" w:hAnsi="Times New Roman"/>
          <w:b/>
        </w:rPr>
        <w:tab/>
        <w:t>Explain the reasons for any program changes or adjustments reported in Items 13 or 14 of the OMB Form 83-I.</w:t>
      </w:r>
    </w:p>
    <w:p w:rsidR="00534B6B" w:rsidRPr="003E1569" w:rsidP="00534B6B" w14:paraId="47AE2A39" w14:textId="1C363D53">
      <w:pPr>
        <w:tabs>
          <w:tab w:val="left" w:pos="-720"/>
        </w:tabs>
        <w:spacing w:after="240"/>
        <w:rPr>
          <w:rFonts w:ascii="Times New Roman" w:hAnsi="Times New Roman"/>
        </w:rPr>
      </w:pPr>
      <w:r w:rsidRPr="003E1569">
        <w:rPr>
          <w:rFonts w:ascii="Times New Roman" w:hAnsi="Times New Roman"/>
        </w:rPr>
        <w:tab/>
      </w:r>
      <w:r w:rsidR="001E36C7">
        <w:rPr>
          <w:rFonts w:ascii="Times New Roman" w:hAnsi="Times New Roman"/>
        </w:rPr>
        <w:t>The estimates used by the Commission for the 2020 renewal of OMB Control No. 3038-0072 have not changed, and they are not expected to change going forward.</w:t>
      </w:r>
      <w:r w:rsidR="00405023">
        <w:rPr>
          <w:rFonts w:ascii="Times New Roman" w:hAnsi="Times New Roman"/>
        </w:rPr>
        <w:t xml:space="preserve">  </w:t>
      </w:r>
    </w:p>
    <w:p w:rsidR="00534B6B" w:rsidRPr="00674558" w:rsidP="00534B6B" w14:paraId="7F96ABDD" w14:textId="77777777">
      <w:pPr>
        <w:tabs>
          <w:tab w:val="left" w:pos="-720"/>
          <w:tab w:val="left" w:pos="0"/>
        </w:tabs>
        <w:spacing w:after="240"/>
        <w:rPr>
          <w:rFonts w:ascii="Times New Roman" w:hAnsi="Times New Roman"/>
          <w:b/>
        </w:rPr>
      </w:pPr>
      <w:r w:rsidRPr="00674558">
        <w:rPr>
          <w:rFonts w:ascii="Times New Roman" w:hAnsi="Times New Roman"/>
          <w:b/>
        </w:rPr>
        <w:t>16.</w:t>
      </w:r>
      <w:r w:rsidRPr="00674558">
        <w:rPr>
          <w:rFonts w:ascii="Times New Roman" w:hAnsi="Times New Roman"/>
          <w:b/>
        </w:rPr>
        <w:tab/>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rsidR="00534B6B" w:rsidRPr="003E1569" w:rsidP="00534B6B" w14:paraId="524C3159" w14:textId="77777777">
      <w:pPr>
        <w:tabs>
          <w:tab w:val="left" w:pos="-720"/>
        </w:tabs>
        <w:spacing w:after="240"/>
        <w:rPr>
          <w:rFonts w:ascii="Times New Roman" w:hAnsi="Times New Roman"/>
        </w:rPr>
      </w:pPr>
      <w:r w:rsidRPr="003E1569">
        <w:rPr>
          <w:rFonts w:ascii="Times New Roman" w:hAnsi="Times New Roman"/>
        </w:rPr>
        <w:tab/>
        <w:t>This question does not apply.</w:t>
      </w:r>
    </w:p>
    <w:p w:rsidR="00534B6B" w:rsidRPr="00674558" w:rsidP="00534B6B" w14:paraId="500E0B1B" w14:textId="77777777">
      <w:pPr>
        <w:tabs>
          <w:tab w:val="left" w:pos="-720"/>
          <w:tab w:val="left" w:pos="0"/>
        </w:tabs>
        <w:spacing w:after="240"/>
        <w:rPr>
          <w:rFonts w:ascii="Times New Roman" w:hAnsi="Times New Roman"/>
          <w:b/>
        </w:rPr>
      </w:pPr>
      <w:r w:rsidRPr="00674558">
        <w:rPr>
          <w:rFonts w:ascii="Times New Roman" w:hAnsi="Times New Roman"/>
          <w:b/>
        </w:rPr>
        <w:t>17.</w:t>
      </w:r>
      <w:r w:rsidRPr="00674558">
        <w:rPr>
          <w:rFonts w:ascii="Times New Roman" w:hAnsi="Times New Roman"/>
          <w:b/>
        </w:rPr>
        <w:tab/>
        <w:t>If seeking approval to not display the expiration date for OMB approval of the information collection, explain the reasons that display would be inappropriate.</w:t>
      </w:r>
    </w:p>
    <w:p w:rsidR="00534B6B" w:rsidRPr="003E1569" w:rsidP="00534B6B" w14:paraId="45CCFA9A" w14:textId="77777777">
      <w:pPr>
        <w:tabs>
          <w:tab w:val="left" w:pos="-720"/>
        </w:tabs>
        <w:spacing w:after="240"/>
        <w:rPr>
          <w:rFonts w:ascii="Times New Roman" w:hAnsi="Times New Roman"/>
        </w:rPr>
      </w:pPr>
      <w:r w:rsidRPr="003E1569">
        <w:rPr>
          <w:rFonts w:ascii="Times New Roman" w:hAnsi="Times New Roman"/>
        </w:rPr>
        <w:tab/>
        <w:t>This question does not apply.</w:t>
      </w:r>
    </w:p>
    <w:p w:rsidR="00534B6B" w:rsidRPr="00674558" w:rsidP="00534B6B" w14:paraId="63B6C015" w14:textId="77777777">
      <w:pPr>
        <w:keepNext/>
        <w:tabs>
          <w:tab w:val="left" w:pos="-720"/>
          <w:tab w:val="left" w:pos="0"/>
        </w:tabs>
        <w:spacing w:after="240"/>
        <w:rPr>
          <w:rFonts w:ascii="Times New Roman" w:hAnsi="Times New Roman"/>
          <w:b/>
        </w:rPr>
      </w:pPr>
      <w:r w:rsidRPr="00674558">
        <w:rPr>
          <w:rFonts w:ascii="Times New Roman" w:hAnsi="Times New Roman"/>
          <w:b/>
        </w:rPr>
        <w:t>18.</w:t>
      </w:r>
      <w:r w:rsidRPr="00674558">
        <w:rPr>
          <w:rFonts w:ascii="Times New Roman" w:hAnsi="Times New Roman"/>
          <w:b/>
        </w:rPr>
        <w:tab/>
        <w:t>Explain each exception to the certification statement identified in Item 19, "Certification for Paperwork Reduction Act Submissions," of OMB Form 83-I.</w:t>
      </w:r>
    </w:p>
    <w:p w:rsidR="00B26DF3" w:rsidP="00534B6B" w14:paraId="74F3D32C" w14:textId="77777777">
      <w:pPr>
        <w:tabs>
          <w:tab w:val="left" w:pos="-720"/>
        </w:tabs>
        <w:spacing w:after="240"/>
        <w:rPr>
          <w:rFonts w:ascii="Times New Roman" w:hAnsi="Times New Roman"/>
        </w:rPr>
      </w:pPr>
      <w:r w:rsidRPr="003E1569">
        <w:rPr>
          <w:rFonts w:ascii="Times New Roman" w:hAnsi="Times New Roman"/>
        </w:rPr>
        <w:tab/>
        <w:t>This question does not apply.</w:t>
      </w:r>
    </w:p>
    <w:p w:rsidR="002478A8" w:rsidP="002478A8" w14:paraId="48F92E41" w14:textId="77777777">
      <w:pPr>
        <w:tabs>
          <w:tab w:val="left" w:pos="-720"/>
        </w:tabs>
        <w:spacing w:after="120"/>
        <w:jc w:val="center"/>
        <w:rPr>
          <w:rFonts w:ascii="Times New Roman" w:hAnsi="Times New Roman"/>
          <w:b/>
        </w:rPr>
      </w:pPr>
      <w:r>
        <w:rPr>
          <w:rFonts w:ascii="Times New Roman" w:hAnsi="Times New Roman"/>
        </w:rPr>
        <w:br w:type="page"/>
      </w:r>
    </w:p>
    <w:p w:rsidR="002478A8" w:rsidP="002478A8" w14:paraId="1A70436A" w14:textId="77777777">
      <w:pPr>
        <w:tabs>
          <w:tab w:val="left" w:pos="-720"/>
        </w:tabs>
        <w:spacing w:after="120"/>
        <w:jc w:val="center"/>
        <w:rPr>
          <w:rFonts w:ascii="Times New Roman" w:hAnsi="Times New Roman"/>
          <w:b/>
        </w:rPr>
      </w:pPr>
      <w:r>
        <w:rPr>
          <w:rFonts w:ascii="Times New Roman" w:hAnsi="Times New Roman"/>
          <w:b/>
        </w:rPr>
        <w:t>Attachment A</w:t>
      </w:r>
    </w:p>
    <w:p w:rsidR="002478A8" w:rsidRPr="00362C39" w:rsidP="002478A8" w14:paraId="5FD6FE24" w14:textId="77777777">
      <w:pPr>
        <w:suppressAutoHyphens/>
        <w:spacing w:after="240"/>
        <w:jc w:val="center"/>
        <w:rPr>
          <w:rFonts w:ascii="Times New Roman" w:hAnsi="Times New Roman"/>
          <w:b/>
          <w:u w:val="single"/>
        </w:rPr>
      </w:pPr>
      <w:r>
        <w:rPr>
          <w:rFonts w:ascii="Times New Roman" w:hAnsi="Times New Roman"/>
          <w:b/>
          <w:u w:val="single"/>
        </w:rPr>
        <w:t>Registration of Swap Dealers and Major Swap Participants</w:t>
      </w:r>
    </w:p>
    <w:p w:rsidR="002478A8" w:rsidP="002478A8" w14:paraId="55E0939A" w14:textId="77777777">
      <w:pPr>
        <w:ind w:firstLine="720"/>
        <w:rPr>
          <w:rFonts w:ascii="Times New Roman" w:hAnsi="Times New Roman"/>
          <w:sz w:val="16"/>
          <w:szCs w:val="16"/>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5"/>
        <w:gridCol w:w="1063"/>
        <w:gridCol w:w="1050"/>
        <w:gridCol w:w="889"/>
        <w:gridCol w:w="1001"/>
        <w:gridCol w:w="898"/>
        <w:gridCol w:w="795"/>
        <w:gridCol w:w="967"/>
        <w:gridCol w:w="1232"/>
      </w:tblGrid>
      <w:tr w14:paraId="2CFA00B1" w14:textId="77777777" w:rsidTr="00C518B3">
        <w:tblPrEx>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30"/>
        </w:trPr>
        <w:tc>
          <w:tcPr>
            <w:tcW w:w="648" w:type="pct"/>
            <w:tcBorders>
              <w:top w:val="single" w:sz="4" w:space="0" w:color="auto"/>
              <w:left w:val="single" w:sz="4" w:space="0" w:color="auto"/>
              <w:bottom w:val="single" w:sz="4" w:space="0" w:color="auto"/>
              <w:right w:val="single" w:sz="4" w:space="0" w:color="auto"/>
            </w:tcBorders>
            <w:hideMark/>
          </w:tcPr>
          <w:p w:rsidR="00C518B3" w:rsidP="00871325" w14:paraId="238B63B2" w14:textId="77777777">
            <w:pPr>
              <w:rPr>
                <w:rFonts w:ascii="Times New Roman" w:hAnsi="Times New Roman"/>
                <w:b/>
                <w:sz w:val="16"/>
                <w:szCs w:val="16"/>
              </w:rPr>
            </w:pPr>
            <w:r>
              <w:rPr>
                <w:rFonts w:ascii="Times New Roman" w:hAnsi="Times New Roman"/>
                <w:b/>
                <w:sz w:val="16"/>
                <w:szCs w:val="16"/>
              </w:rPr>
              <w:t>1.</w:t>
            </w:r>
          </w:p>
          <w:p w:rsidR="00C518B3" w:rsidP="00871325" w14:paraId="357C7AF5" w14:textId="77777777">
            <w:pPr>
              <w:rPr>
                <w:rFonts w:ascii="Times New Roman" w:hAnsi="Times New Roman"/>
                <w:sz w:val="16"/>
                <w:szCs w:val="16"/>
              </w:rPr>
            </w:pPr>
            <w:r>
              <w:rPr>
                <w:rFonts w:ascii="Times New Roman" w:hAnsi="Times New Roman"/>
                <w:b/>
                <w:sz w:val="16"/>
                <w:szCs w:val="16"/>
              </w:rPr>
              <w:t>Information Collection</w:t>
            </w:r>
          </w:p>
        </w:tc>
        <w:tc>
          <w:tcPr>
            <w:tcW w:w="586" w:type="pct"/>
            <w:tcBorders>
              <w:top w:val="single" w:sz="4" w:space="0" w:color="auto"/>
              <w:left w:val="single" w:sz="4" w:space="0" w:color="auto"/>
              <w:bottom w:val="single" w:sz="4" w:space="0" w:color="auto"/>
              <w:right w:val="single" w:sz="4" w:space="0" w:color="auto"/>
            </w:tcBorders>
          </w:tcPr>
          <w:p w:rsidR="00C518B3" w:rsidP="00871325" w14:paraId="0385D3F0" w14:textId="77777777">
            <w:pPr>
              <w:rPr>
                <w:rFonts w:ascii="Times New Roman" w:hAnsi="Times New Roman"/>
                <w:b/>
                <w:sz w:val="16"/>
                <w:szCs w:val="16"/>
              </w:rPr>
            </w:pPr>
            <w:r>
              <w:rPr>
                <w:rFonts w:ascii="Times New Roman" w:hAnsi="Times New Roman"/>
                <w:b/>
                <w:sz w:val="16"/>
                <w:szCs w:val="16"/>
              </w:rPr>
              <w:t>2.</w:t>
            </w:r>
          </w:p>
          <w:p w:rsidR="00C518B3" w:rsidP="00871325" w14:paraId="402043E0" w14:textId="77777777">
            <w:pPr>
              <w:rPr>
                <w:rFonts w:ascii="Times New Roman" w:hAnsi="Times New Roman"/>
                <w:b/>
                <w:sz w:val="16"/>
                <w:szCs w:val="16"/>
              </w:rPr>
            </w:pPr>
            <w:r>
              <w:rPr>
                <w:rFonts w:ascii="Times New Roman" w:hAnsi="Times New Roman"/>
                <w:b/>
                <w:sz w:val="16"/>
                <w:szCs w:val="16"/>
              </w:rPr>
              <w:t xml:space="preserve">Estimated No. of Respondents </w:t>
            </w:r>
          </w:p>
          <w:p w:rsidR="00C518B3" w:rsidP="00871325" w14:paraId="30D8D03A" w14:textId="77777777">
            <w:pPr>
              <w:rPr>
                <w:rFonts w:ascii="Times New Roman" w:hAnsi="Times New Roman"/>
                <w:sz w:val="16"/>
                <w:szCs w:val="16"/>
              </w:rPr>
            </w:pPr>
          </w:p>
        </w:tc>
        <w:tc>
          <w:tcPr>
            <w:tcW w:w="579" w:type="pct"/>
            <w:tcBorders>
              <w:top w:val="single" w:sz="4" w:space="0" w:color="auto"/>
              <w:left w:val="single" w:sz="4" w:space="0" w:color="auto"/>
              <w:bottom w:val="single" w:sz="4" w:space="0" w:color="auto"/>
              <w:right w:val="single" w:sz="4" w:space="0" w:color="auto"/>
            </w:tcBorders>
            <w:hideMark/>
          </w:tcPr>
          <w:p w:rsidR="00C518B3" w:rsidP="00871325" w14:paraId="08B91179" w14:textId="77777777">
            <w:pPr>
              <w:rPr>
                <w:rFonts w:ascii="Times New Roman" w:hAnsi="Times New Roman"/>
                <w:b/>
                <w:sz w:val="16"/>
                <w:szCs w:val="16"/>
              </w:rPr>
            </w:pPr>
            <w:r>
              <w:rPr>
                <w:rFonts w:ascii="Times New Roman" w:hAnsi="Times New Roman"/>
                <w:b/>
                <w:sz w:val="16"/>
                <w:szCs w:val="16"/>
              </w:rPr>
              <w:t>3.</w:t>
            </w:r>
          </w:p>
          <w:p w:rsidR="00C518B3" w:rsidP="00871325" w14:paraId="3EDFFE9D" w14:textId="77777777">
            <w:pPr>
              <w:rPr>
                <w:rFonts w:ascii="Times New Roman" w:hAnsi="Times New Roman"/>
                <w:b/>
                <w:sz w:val="16"/>
                <w:szCs w:val="16"/>
              </w:rPr>
            </w:pPr>
            <w:r>
              <w:rPr>
                <w:rFonts w:ascii="Times New Roman" w:hAnsi="Times New Roman"/>
                <w:b/>
                <w:sz w:val="16"/>
                <w:szCs w:val="16"/>
              </w:rPr>
              <w:t>Estimated No. of Responses</w:t>
            </w:r>
          </w:p>
          <w:p w:rsidR="00C518B3" w:rsidP="00871325" w14:paraId="32379498" w14:textId="77777777">
            <w:pPr>
              <w:rPr>
                <w:rFonts w:ascii="Times New Roman" w:hAnsi="Times New Roman"/>
                <w:sz w:val="16"/>
                <w:szCs w:val="16"/>
              </w:rPr>
            </w:pPr>
            <w:r>
              <w:rPr>
                <w:rFonts w:ascii="Times New Roman" w:hAnsi="Times New Roman"/>
                <w:b/>
                <w:sz w:val="16"/>
                <w:szCs w:val="16"/>
              </w:rPr>
              <w:t>by Each Respondent</w:t>
            </w:r>
            <w:r>
              <w:rPr>
                <w:rStyle w:val="FootnoteReference"/>
                <w:rFonts w:ascii="Times New Roman" w:hAnsi="Times New Roman"/>
                <w:b/>
                <w:sz w:val="16"/>
                <w:szCs w:val="16"/>
              </w:rPr>
              <w:footnoteReference w:id="6"/>
            </w:r>
          </w:p>
        </w:tc>
        <w:tc>
          <w:tcPr>
            <w:tcW w:w="490" w:type="pct"/>
            <w:tcBorders>
              <w:top w:val="single" w:sz="4" w:space="0" w:color="auto"/>
              <w:left w:val="single" w:sz="4" w:space="0" w:color="auto"/>
              <w:bottom w:val="single" w:sz="4" w:space="0" w:color="auto"/>
              <w:right w:val="single" w:sz="4" w:space="0" w:color="auto"/>
            </w:tcBorders>
            <w:hideMark/>
          </w:tcPr>
          <w:p w:rsidR="00C518B3" w:rsidP="00871325" w14:paraId="194C509B" w14:textId="77777777">
            <w:pPr>
              <w:rPr>
                <w:rFonts w:ascii="Times New Roman" w:hAnsi="Times New Roman"/>
                <w:b/>
                <w:sz w:val="16"/>
                <w:szCs w:val="16"/>
              </w:rPr>
            </w:pPr>
            <w:r>
              <w:rPr>
                <w:rFonts w:ascii="Times New Roman" w:hAnsi="Times New Roman"/>
                <w:b/>
                <w:sz w:val="16"/>
                <w:szCs w:val="16"/>
              </w:rPr>
              <w:t>4.</w:t>
            </w:r>
          </w:p>
          <w:p w:rsidR="00C518B3" w:rsidP="00871325" w14:paraId="1FBD056E" w14:textId="77777777">
            <w:pPr>
              <w:rPr>
                <w:rFonts w:ascii="Times New Roman" w:hAnsi="Times New Roman"/>
                <w:sz w:val="16"/>
                <w:szCs w:val="16"/>
              </w:rPr>
            </w:pPr>
            <w:r>
              <w:rPr>
                <w:rFonts w:ascii="Times New Roman" w:hAnsi="Times New Roman"/>
                <w:b/>
                <w:sz w:val="16"/>
                <w:szCs w:val="16"/>
              </w:rPr>
              <w:t>Estimated Average No. of Burden Hours per Response</w:t>
            </w:r>
            <w:r>
              <w:rPr>
                <w:rStyle w:val="FootnoteReference"/>
                <w:rFonts w:ascii="Times New Roman" w:hAnsi="Times New Roman"/>
                <w:b/>
                <w:sz w:val="16"/>
                <w:szCs w:val="16"/>
              </w:rPr>
              <w:footnoteReference w:id="7"/>
            </w:r>
          </w:p>
        </w:tc>
        <w:tc>
          <w:tcPr>
            <w:tcW w:w="552" w:type="pct"/>
            <w:tcBorders>
              <w:top w:val="single" w:sz="4" w:space="0" w:color="auto"/>
              <w:left w:val="single" w:sz="4" w:space="0" w:color="auto"/>
              <w:bottom w:val="single" w:sz="4" w:space="0" w:color="auto"/>
              <w:right w:val="single" w:sz="4" w:space="0" w:color="auto"/>
            </w:tcBorders>
            <w:hideMark/>
          </w:tcPr>
          <w:p w:rsidR="00C518B3" w:rsidP="00871325" w14:paraId="31860C80" w14:textId="77777777">
            <w:pPr>
              <w:rPr>
                <w:rFonts w:ascii="Times New Roman" w:hAnsi="Times New Roman"/>
                <w:b/>
                <w:sz w:val="16"/>
                <w:szCs w:val="16"/>
              </w:rPr>
            </w:pPr>
            <w:r>
              <w:rPr>
                <w:rFonts w:ascii="Times New Roman" w:hAnsi="Times New Roman"/>
                <w:b/>
                <w:sz w:val="16"/>
                <w:szCs w:val="16"/>
              </w:rPr>
              <w:t>5.</w:t>
            </w:r>
          </w:p>
          <w:p w:rsidR="00C518B3" w:rsidP="00871325" w14:paraId="7E9A6589" w14:textId="77777777">
            <w:pPr>
              <w:rPr>
                <w:rFonts w:ascii="Times New Roman" w:hAnsi="Times New Roman"/>
                <w:b/>
                <w:sz w:val="16"/>
                <w:szCs w:val="16"/>
              </w:rPr>
            </w:pPr>
            <w:r>
              <w:rPr>
                <w:rFonts w:ascii="Times New Roman" w:hAnsi="Times New Roman"/>
                <w:b/>
                <w:sz w:val="16"/>
                <w:szCs w:val="16"/>
              </w:rPr>
              <w:t>Annual No. of Burden Hours per Respondent</w:t>
            </w:r>
          </w:p>
          <w:p w:rsidR="00C518B3" w:rsidP="00871325" w14:paraId="04362D36" w14:textId="77777777">
            <w:pPr>
              <w:rPr>
                <w:rFonts w:ascii="Times New Roman" w:hAnsi="Times New Roman"/>
                <w:sz w:val="16"/>
                <w:szCs w:val="16"/>
              </w:rPr>
            </w:pPr>
            <w:r>
              <w:rPr>
                <w:rFonts w:ascii="Times New Roman" w:hAnsi="Times New Roman"/>
                <w:b/>
                <w:sz w:val="16"/>
                <w:szCs w:val="16"/>
              </w:rPr>
              <w:t>(3 × 4)</w:t>
            </w:r>
          </w:p>
        </w:tc>
        <w:tc>
          <w:tcPr>
            <w:tcW w:w="495" w:type="pct"/>
            <w:tcBorders>
              <w:top w:val="single" w:sz="4" w:space="0" w:color="auto"/>
              <w:left w:val="single" w:sz="4" w:space="0" w:color="auto"/>
              <w:bottom w:val="single" w:sz="4" w:space="0" w:color="auto"/>
              <w:right w:val="single" w:sz="4" w:space="0" w:color="auto"/>
            </w:tcBorders>
            <w:hideMark/>
          </w:tcPr>
          <w:p w:rsidR="00C518B3" w:rsidP="00871325" w14:paraId="2D712E96" w14:textId="77777777">
            <w:pPr>
              <w:rPr>
                <w:rFonts w:ascii="Times New Roman" w:hAnsi="Times New Roman"/>
                <w:b/>
                <w:sz w:val="16"/>
                <w:szCs w:val="16"/>
              </w:rPr>
            </w:pPr>
            <w:r>
              <w:rPr>
                <w:rFonts w:ascii="Times New Roman" w:hAnsi="Times New Roman"/>
                <w:b/>
                <w:sz w:val="16"/>
                <w:szCs w:val="16"/>
              </w:rPr>
              <w:t>6.</w:t>
            </w:r>
          </w:p>
          <w:p w:rsidR="00C518B3" w:rsidP="00871325" w14:paraId="6A14EC48" w14:textId="77777777">
            <w:pPr>
              <w:rPr>
                <w:rFonts w:ascii="Times New Roman" w:hAnsi="Times New Roman"/>
                <w:b/>
                <w:sz w:val="16"/>
                <w:szCs w:val="16"/>
              </w:rPr>
            </w:pPr>
            <w:r>
              <w:rPr>
                <w:rFonts w:ascii="Times New Roman" w:hAnsi="Times New Roman"/>
                <w:b/>
                <w:sz w:val="16"/>
                <w:szCs w:val="16"/>
              </w:rPr>
              <w:t>Total Annual</w:t>
            </w:r>
          </w:p>
          <w:p w:rsidR="00C518B3" w:rsidP="00871325" w14:paraId="3FB98469" w14:textId="77777777">
            <w:pPr>
              <w:rPr>
                <w:rFonts w:ascii="Times New Roman" w:hAnsi="Times New Roman"/>
                <w:b/>
                <w:sz w:val="16"/>
                <w:szCs w:val="16"/>
              </w:rPr>
            </w:pPr>
            <w:r>
              <w:rPr>
                <w:rFonts w:ascii="Times New Roman" w:hAnsi="Times New Roman"/>
                <w:b/>
                <w:sz w:val="16"/>
                <w:szCs w:val="16"/>
              </w:rPr>
              <w:t>Responses</w:t>
            </w:r>
          </w:p>
          <w:p w:rsidR="00C518B3" w:rsidP="00871325" w14:paraId="4B198C75" w14:textId="77777777">
            <w:pPr>
              <w:rPr>
                <w:rFonts w:ascii="Times New Roman" w:hAnsi="Times New Roman"/>
                <w:sz w:val="16"/>
                <w:szCs w:val="16"/>
              </w:rPr>
            </w:pPr>
            <w:r>
              <w:rPr>
                <w:rFonts w:ascii="Times New Roman" w:hAnsi="Times New Roman"/>
                <w:b/>
                <w:sz w:val="16"/>
                <w:szCs w:val="16"/>
              </w:rPr>
              <w:t>(2 × 3)</w:t>
            </w:r>
          </w:p>
        </w:tc>
        <w:tc>
          <w:tcPr>
            <w:tcW w:w="438" w:type="pct"/>
            <w:tcBorders>
              <w:top w:val="single" w:sz="4" w:space="0" w:color="auto"/>
              <w:left w:val="single" w:sz="4" w:space="0" w:color="auto"/>
              <w:bottom w:val="single" w:sz="4" w:space="0" w:color="auto"/>
              <w:right w:val="single" w:sz="4" w:space="0" w:color="auto"/>
            </w:tcBorders>
            <w:hideMark/>
          </w:tcPr>
          <w:p w:rsidR="00C518B3" w:rsidP="00871325" w14:paraId="2E2E35F4" w14:textId="67DB582A">
            <w:pPr>
              <w:rPr>
                <w:rFonts w:ascii="Times New Roman" w:hAnsi="Times New Roman"/>
                <w:b/>
                <w:sz w:val="16"/>
                <w:szCs w:val="16"/>
              </w:rPr>
            </w:pPr>
            <w:r>
              <w:rPr>
                <w:rFonts w:ascii="Times New Roman" w:hAnsi="Times New Roman"/>
                <w:b/>
                <w:sz w:val="16"/>
                <w:szCs w:val="16"/>
              </w:rPr>
              <w:t>7</w:t>
            </w:r>
          </w:p>
          <w:p w:rsidR="00C518B3" w:rsidP="00871325" w14:paraId="3DD89620" w14:textId="77777777">
            <w:pPr>
              <w:rPr>
                <w:rFonts w:ascii="Times New Roman" w:hAnsi="Times New Roman"/>
                <w:b/>
                <w:sz w:val="16"/>
                <w:szCs w:val="16"/>
              </w:rPr>
            </w:pPr>
            <w:r>
              <w:rPr>
                <w:rFonts w:ascii="Times New Roman" w:hAnsi="Times New Roman"/>
                <w:b/>
                <w:sz w:val="16"/>
                <w:szCs w:val="16"/>
              </w:rPr>
              <w:t>Total Annual Burden Hours</w:t>
            </w:r>
          </w:p>
          <w:p w:rsidR="00C518B3" w:rsidP="00871325" w14:paraId="39042437" w14:textId="77777777">
            <w:pPr>
              <w:rPr>
                <w:rFonts w:ascii="Times New Roman" w:hAnsi="Times New Roman"/>
                <w:sz w:val="16"/>
                <w:szCs w:val="16"/>
              </w:rPr>
            </w:pPr>
            <w:r>
              <w:rPr>
                <w:rFonts w:ascii="Times New Roman" w:hAnsi="Times New Roman"/>
                <w:b/>
                <w:sz w:val="16"/>
                <w:szCs w:val="16"/>
              </w:rPr>
              <w:t>(4 × 6)</w:t>
            </w:r>
          </w:p>
        </w:tc>
        <w:tc>
          <w:tcPr>
            <w:tcW w:w="533" w:type="pct"/>
            <w:tcBorders>
              <w:top w:val="single" w:sz="4" w:space="0" w:color="auto"/>
              <w:left w:val="single" w:sz="4" w:space="0" w:color="auto"/>
              <w:bottom w:val="single" w:sz="4" w:space="0" w:color="auto"/>
              <w:right w:val="single" w:sz="4" w:space="0" w:color="auto"/>
            </w:tcBorders>
          </w:tcPr>
          <w:p w:rsidR="00C518B3" w:rsidP="00871325" w14:paraId="6EEE1C9B" w14:textId="77777777">
            <w:pPr>
              <w:rPr>
                <w:rFonts w:ascii="Times New Roman" w:hAnsi="Times New Roman"/>
                <w:b/>
                <w:sz w:val="16"/>
                <w:szCs w:val="16"/>
              </w:rPr>
            </w:pPr>
            <w:r>
              <w:rPr>
                <w:rFonts w:ascii="Times New Roman" w:hAnsi="Times New Roman"/>
                <w:b/>
                <w:sz w:val="16"/>
                <w:szCs w:val="16"/>
              </w:rPr>
              <w:t>8.</w:t>
            </w:r>
          </w:p>
          <w:p w:rsidR="00C518B3" w:rsidP="00871325" w14:paraId="3FCC6337" w14:textId="77777777">
            <w:pPr>
              <w:rPr>
                <w:rFonts w:ascii="Times New Roman" w:hAnsi="Times New Roman"/>
                <w:b/>
                <w:sz w:val="16"/>
                <w:szCs w:val="16"/>
              </w:rPr>
            </w:pPr>
            <w:r>
              <w:rPr>
                <w:rFonts w:ascii="Times New Roman" w:hAnsi="Times New Roman"/>
                <w:b/>
                <w:sz w:val="16"/>
                <w:szCs w:val="16"/>
              </w:rPr>
              <w:t>Estimated Cost per Response</w:t>
            </w:r>
            <w:r>
              <w:rPr>
                <w:rStyle w:val="FootnoteReference"/>
                <w:rFonts w:ascii="Times New Roman" w:hAnsi="Times New Roman"/>
                <w:b/>
                <w:sz w:val="16"/>
                <w:szCs w:val="16"/>
              </w:rPr>
              <w:footnoteReference w:id="8"/>
            </w:r>
          </w:p>
        </w:tc>
        <w:tc>
          <w:tcPr>
            <w:tcW w:w="679" w:type="pct"/>
            <w:tcBorders>
              <w:top w:val="single" w:sz="4" w:space="0" w:color="auto"/>
              <w:left w:val="single" w:sz="4" w:space="0" w:color="auto"/>
              <w:bottom w:val="single" w:sz="4" w:space="0" w:color="auto"/>
              <w:right w:val="single" w:sz="4" w:space="0" w:color="auto"/>
            </w:tcBorders>
          </w:tcPr>
          <w:p w:rsidR="00C518B3" w:rsidP="00871325" w14:paraId="1F070707" w14:textId="77777777">
            <w:pPr>
              <w:rPr>
                <w:rFonts w:ascii="Times New Roman" w:hAnsi="Times New Roman"/>
                <w:b/>
                <w:sz w:val="16"/>
                <w:szCs w:val="16"/>
              </w:rPr>
            </w:pPr>
            <w:r>
              <w:rPr>
                <w:rFonts w:ascii="Times New Roman" w:hAnsi="Times New Roman"/>
                <w:b/>
                <w:sz w:val="16"/>
                <w:szCs w:val="16"/>
              </w:rPr>
              <w:t>9.</w:t>
            </w:r>
          </w:p>
          <w:p w:rsidR="00C518B3" w:rsidP="00871325" w14:paraId="6BA56D69" w14:textId="77777777">
            <w:pPr>
              <w:rPr>
                <w:rFonts w:ascii="Times New Roman" w:hAnsi="Times New Roman"/>
                <w:b/>
                <w:sz w:val="16"/>
                <w:szCs w:val="16"/>
              </w:rPr>
            </w:pPr>
            <w:r>
              <w:rPr>
                <w:rFonts w:ascii="Times New Roman" w:hAnsi="Times New Roman"/>
                <w:b/>
                <w:sz w:val="16"/>
                <w:szCs w:val="16"/>
              </w:rPr>
              <w:t>Total Annual Cost</w:t>
            </w:r>
          </w:p>
          <w:p w:rsidR="00C518B3" w:rsidP="00871325" w14:paraId="44633521" w14:textId="77777777">
            <w:pPr>
              <w:rPr>
                <w:rFonts w:ascii="Times New Roman" w:hAnsi="Times New Roman"/>
                <w:b/>
                <w:sz w:val="16"/>
                <w:szCs w:val="16"/>
              </w:rPr>
            </w:pPr>
            <w:r>
              <w:rPr>
                <w:rFonts w:ascii="Times New Roman" w:hAnsi="Times New Roman"/>
                <w:b/>
                <w:sz w:val="16"/>
                <w:szCs w:val="16"/>
              </w:rPr>
              <w:t>(6</w:t>
            </w:r>
            <w:r w:rsidRPr="00C518B3">
              <w:rPr>
                <w:rFonts w:ascii="Times New Roman" w:hAnsi="Times New Roman"/>
                <w:b/>
                <w:sz w:val="16"/>
                <w:szCs w:val="16"/>
              </w:rPr>
              <w:t xml:space="preserve"> × </w:t>
            </w:r>
            <w:r>
              <w:rPr>
                <w:rFonts w:ascii="Times New Roman" w:hAnsi="Times New Roman"/>
                <w:b/>
                <w:sz w:val="16"/>
                <w:szCs w:val="16"/>
              </w:rPr>
              <w:t>8</w:t>
            </w:r>
            <w:r w:rsidRPr="00C518B3">
              <w:rPr>
                <w:rFonts w:ascii="Times New Roman" w:hAnsi="Times New Roman"/>
                <w:b/>
                <w:sz w:val="16"/>
                <w:szCs w:val="16"/>
              </w:rPr>
              <w:t>)</w:t>
            </w:r>
          </w:p>
        </w:tc>
      </w:tr>
      <w:tr w14:paraId="3B6E2F22" w14:textId="77777777" w:rsidTr="00C518B3">
        <w:tblPrEx>
          <w:tblW w:w="4850" w:type="pct"/>
          <w:tblLayout w:type="fixed"/>
          <w:tblLook w:val="04A0"/>
        </w:tblPrEx>
        <w:trPr>
          <w:trHeight w:val="1091"/>
        </w:trPr>
        <w:tc>
          <w:tcPr>
            <w:tcW w:w="648" w:type="pct"/>
            <w:tcBorders>
              <w:top w:val="single" w:sz="4" w:space="0" w:color="auto"/>
              <w:left w:val="single" w:sz="4" w:space="0" w:color="auto"/>
              <w:bottom w:val="single" w:sz="4" w:space="0" w:color="auto"/>
              <w:right w:val="single" w:sz="4" w:space="0" w:color="auto"/>
            </w:tcBorders>
            <w:hideMark/>
          </w:tcPr>
          <w:p w:rsidR="00C518B3" w:rsidP="00871325" w14:paraId="0DF947A4" w14:textId="77777777">
            <w:pPr>
              <w:rPr>
                <w:rFonts w:ascii="Times New Roman" w:hAnsi="Times New Roman"/>
                <w:sz w:val="16"/>
                <w:szCs w:val="16"/>
              </w:rPr>
            </w:pPr>
            <w:r>
              <w:rPr>
                <w:rFonts w:ascii="Times New Roman" w:hAnsi="Times New Roman"/>
                <w:sz w:val="16"/>
                <w:szCs w:val="16"/>
              </w:rPr>
              <w:t>1</w:t>
            </w:r>
            <w:r w:rsidRPr="008D49C0">
              <w:rPr>
                <w:rFonts w:ascii="Times New Roman" w:hAnsi="Times New Roman"/>
                <w:sz w:val="16"/>
                <w:szCs w:val="16"/>
                <w:vertAlign w:val="superscript"/>
              </w:rPr>
              <w:t>st</w:t>
            </w:r>
            <w:r>
              <w:rPr>
                <w:rFonts w:ascii="Times New Roman" w:hAnsi="Times New Roman"/>
                <w:sz w:val="16"/>
                <w:szCs w:val="16"/>
              </w:rPr>
              <w:t xml:space="preserve"> IC – Registration forms for Swap Dealers and Major Swap Participants</w:t>
            </w:r>
          </w:p>
        </w:tc>
        <w:tc>
          <w:tcPr>
            <w:tcW w:w="586" w:type="pct"/>
            <w:tcBorders>
              <w:top w:val="single" w:sz="4" w:space="0" w:color="auto"/>
              <w:left w:val="single" w:sz="4" w:space="0" w:color="auto"/>
              <w:bottom w:val="single" w:sz="4" w:space="0" w:color="auto"/>
              <w:right w:val="single" w:sz="4" w:space="0" w:color="auto"/>
            </w:tcBorders>
            <w:hideMark/>
          </w:tcPr>
          <w:p w:rsidR="00C518B3" w:rsidP="00871325" w14:paraId="2F3E210A" w14:textId="77777777">
            <w:pPr>
              <w:rPr>
                <w:rFonts w:ascii="Times New Roman" w:hAnsi="Times New Roman"/>
                <w:sz w:val="16"/>
                <w:szCs w:val="16"/>
              </w:rPr>
            </w:pPr>
            <w:r>
              <w:rPr>
                <w:rFonts w:ascii="Times New Roman" w:hAnsi="Times New Roman"/>
                <w:sz w:val="16"/>
                <w:szCs w:val="16"/>
              </w:rPr>
              <w:t>772</w:t>
            </w:r>
          </w:p>
        </w:tc>
        <w:tc>
          <w:tcPr>
            <w:tcW w:w="579" w:type="pct"/>
            <w:tcBorders>
              <w:top w:val="single" w:sz="4" w:space="0" w:color="auto"/>
              <w:left w:val="single" w:sz="4" w:space="0" w:color="auto"/>
              <w:bottom w:val="single" w:sz="4" w:space="0" w:color="auto"/>
              <w:right w:val="single" w:sz="4" w:space="0" w:color="auto"/>
            </w:tcBorders>
            <w:hideMark/>
          </w:tcPr>
          <w:p w:rsidR="00C518B3" w:rsidP="00871325" w14:paraId="7D865AE4" w14:textId="64D23A3E">
            <w:pPr>
              <w:rPr>
                <w:rFonts w:ascii="Times New Roman" w:hAnsi="Times New Roman"/>
                <w:sz w:val="16"/>
                <w:szCs w:val="16"/>
              </w:rPr>
            </w:pPr>
            <w:r>
              <w:rPr>
                <w:rFonts w:ascii="Times New Roman" w:hAnsi="Times New Roman"/>
                <w:sz w:val="16"/>
                <w:szCs w:val="16"/>
              </w:rPr>
              <w:t xml:space="preserve"> 2.4</w:t>
            </w:r>
          </w:p>
        </w:tc>
        <w:tc>
          <w:tcPr>
            <w:tcW w:w="490" w:type="pct"/>
            <w:tcBorders>
              <w:top w:val="single" w:sz="4" w:space="0" w:color="auto"/>
              <w:left w:val="single" w:sz="4" w:space="0" w:color="auto"/>
              <w:bottom w:val="single" w:sz="4" w:space="0" w:color="auto"/>
              <w:right w:val="single" w:sz="4" w:space="0" w:color="auto"/>
            </w:tcBorders>
            <w:hideMark/>
          </w:tcPr>
          <w:p w:rsidR="00C518B3" w:rsidP="00871325" w14:paraId="2659CA00" w14:textId="70114772">
            <w:pPr>
              <w:rPr>
                <w:rFonts w:ascii="Times New Roman" w:hAnsi="Times New Roman"/>
                <w:sz w:val="16"/>
                <w:szCs w:val="16"/>
              </w:rPr>
            </w:pPr>
            <w:r>
              <w:rPr>
                <w:rFonts w:ascii="Times New Roman" w:hAnsi="Times New Roman"/>
                <w:sz w:val="16"/>
                <w:szCs w:val="16"/>
              </w:rPr>
              <w:t xml:space="preserve"> .3683 (.37)</w:t>
            </w:r>
          </w:p>
        </w:tc>
        <w:tc>
          <w:tcPr>
            <w:tcW w:w="552" w:type="pct"/>
            <w:tcBorders>
              <w:top w:val="single" w:sz="4" w:space="0" w:color="auto"/>
              <w:left w:val="single" w:sz="4" w:space="0" w:color="auto"/>
              <w:bottom w:val="single" w:sz="4" w:space="0" w:color="auto"/>
              <w:right w:val="single" w:sz="4" w:space="0" w:color="auto"/>
            </w:tcBorders>
            <w:hideMark/>
          </w:tcPr>
          <w:p w:rsidR="00C518B3" w:rsidP="00871325" w14:paraId="5DA72E80" w14:textId="61EEC1F8">
            <w:pPr>
              <w:rPr>
                <w:rFonts w:ascii="Times New Roman" w:hAnsi="Times New Roman"/>
                <w:sz w:val="16"/>
                <w:szCs w:val="16"/>
              </w:rPr>
            </w:pPr>
            <w:r>
              <w:rPr>
                <w:rFonts w:ascii="Times New Roman" w:hAnsi="Times New Roman"/>
                <w:sz w:val="16"/>
                <w:szCs w:val="16"/>
              </w:rPr>
              <w:t>0.8839</w:t>
            </w:r>
          </w:p>
        </w:tc>
        <w:tc>
          <w:tcPr>
            <w:tcW w:w="495" w:type="pct"/>
            <w:tcBorders>
              <w:top w:val="single" w:sz="4" w:space="0" w:color="auto"/>
              <w:left w:val="single" w:sz="4" w:space="0" w:color="auto"/>
              <w:bottom w:val="single" w:sz="4" w:space="0" w:color="auto"/>
              <w:right w:val="single" w:sz="4" w:space="0" w:color="auto"/>
            </w:tcBorders>
            <w:hideMark/>
          </w:tcPr>
          <w:p w:rsidR="00C518B3" w:rsidP="00871325" w14:paraId="71AFCFCB" w14:textId="1F94341E">
            <w:pPr>
              <w:rPr>
                <w:rFonts w:ascii="Times New Roman" w:hAnsi="Times New Roman"/>
                <w:sz w:val="16"/>
                <w:szCs w:val="16"/>
              </w:rPr>
            </w:pPr>
            <w:r>
              <w:rPr>
                <w:rFonts w:ascii="Times New Roman" w:hAnsi="Times New Roman"/>
                <w:sz w:val="16"/>
                <w:szCs w:val="16"/>
              </w:rPr>
              <w:t xml:space="preserve"> 1853</w:t>
            </w:r>
          </w:p>
        </w:tc>
        <w:tc>
          <w:tcPr>
            <w:tcW w:w="438" w:type="pct"/>
            <w:tcBorders>
              <w:top w:val="single" w:sz="4" w:space="0" w:color="auto"/>
              <w:left w:val="single" w:sz="4" w:space="0" w:color="auto"/>
              <w:bottom w:val="single" w:sz="4" w:space="0" w:color="auto"/>
              <w:right w:val="single" w:sz="4" w:space="0" w:color="auto"/>
            </w:tcBorders>
            <w:hideMark/>
          </w:tcPr>
          <w:p w:rsidR="00C518B3" w:rsidP="00871325" w14:paraId="00C3A326" w14:textId="77777777">
            <w:pPr>
              <w:rPr>
                <w:rFonts w:ascii="Times New Roman" w:hAnsi="Times New Roman"/>
                <w:sz w:val="16"/>
                <w:szCs w:val="16"/>
              </w:rPr>
            </w:pPr>
            <w:r>
              <w:rPr>
                <w:rFonts w:ascii="Times New Roman" w:hAnsi="Times New Roman"/>
                <w:sz w:val="16"/>
                <w:szCs w:val="16"/>
              </w:rPr>
              <w:t>683</w:t>
            </w:r>
          </w:p>
        </w:tc>
        <w:tc>
          <w:tcPr>
            <w:tcW w:w="533" w:type="pct"/>
            <w:tcBorders>
              <w:top w:val="single" w:sz="4" w:space="0" w:color="auto"/>
              <w:left w:val="single" w:sz="4" w:space="0" w:color="auto"/>
              <w:bottom w:val="single" w:sz="4" w:space="0" w:color="auto"/>
              <w:right w:val="single" w:sz="4" w:space="0" w:color="auto"/>
            </w:tcBorders>
          </w:tcPr>
          <w:p w:rsidR="00C518B3" w:rsidP="00871325" w14:paraId="6C569AC8" w14:textId="77777777">
            <w:pPr>
              <w:rPr>
                <w:rFonts w:ascii="Times New Roman" w:hAnsi="Times New Roman"/>
                <w:sz w:val="16"/>
                <w:szCs w:val="16"/>
              </w:rPr>
            </w:pPr>
            <w:r>
              <w:rPr>
                <w:rFonts w:ascii="Times New Roman" w:hAnsi="Times New Roman"/>
                <w:sz w:val="16"/>
                <w:szCs w:val="16"/>
              </w:rPr>
              <w:t>$30.33</w:t>
            </w:r>
          </w:p>
        </w:tc>
        <w:tc>
          <w:tcPr>
            <w:tcW w:w="679" w:type="pct"/>
            <w:tcBorders>
              <w:top w:val="single" w:sz="4" w:space="0" w:color="auto"/>
              <w:left w:val="single" w:sz="4" w:space="0" w:color="auto"/>
              <w:bottom w:val="single" w:sz="4" w:space="0" w:color="auto"/>
              <w:right w:val="single" w:sz="4" w:space="0" w:color="auto"/>
            </w:tcBorders>
          </w:tcPr>
          <w:p w:rsidR="00C518B3" w:rsidP="00871325" w14:paraId="517CCA6A" w14:textId="77777777">
            <w:pPr>
              <w:rPr>
                <w:rFonts w:ascii="Times New Roman" w:hAnsi="Times New Roman"/>
                <w:sz w:val="16"/>
                <w:szCs w:val="16"/>
              </w:rPr>
            </w:pPr>
            <w:r>
              <w:rPr>
                <w:rFonts w:ascii="Times New Roman" w:hAnsi="Times New Roman"/>
                <w:sz w:val="16"/>
                <w:szCs w:val="16"/>
              </w:rPr>
              <w:t>$56,201.49</w:t>
            </w:r>
          </w:p>
        </w:tc>
      </w:tr>
      <w:tr w14:paraId="346219B8" w14:textId="77777777" w:rsidTr="00C518B3">
        <w:tblPrEx>
          <w:tblW w:w="4850" w:type="pct"/>
          <w:tblLayout w:type="fixed"/>
          <w:tblLook w:val="04A0"/>
        </w:tblPrEx>
        <w:trPr>
          <w:trHeight w:val="312"/>
        </w:trPr>
        <w:tc>
          <w:tcPr>
            <w:tcW w:w="648" w:type="pct"/>
            <w:tcBorders>
              <w:top w:val="single" w:sz="4" w:space="0" w:color="auto"/>
              <w:left w:val="single" w:sz="4" w:space="0" w:color="auto"/>
              <w:bottom w:val="single" w:sz="4" w:space="0" w:color="auto"/>
              <w:right w:val="single" w:sz="4" w:space="0" w:color="auto"/>
            </w:tcBorders>
          </w:tcPr>
          <w:p w:rsidR="00C518B3" w:rsidRPr="006E27F7" w:rsidP="00871325" w14:paraId="0D12F10A" w14:textId="77777777">
            <w:pPr>
              <w:rPr>
                <w:rFonts w:ascii="Times New Roman" w:hAnsi="Times New Roman"/>
                <w:sz w:val="16"/>
                <w:szCs w:val="16"/>
              </w:rPr>
            </w:pPr>
            <w:r w:rsidRPr="006E27F7">
              <w:rPr>
                <w:rFonts w:ascii="Times New Roman" w:hAnsi="Times New Roman"/>
                <w:sz w:val="16"/>
                <w:szCs w:val="16"/>
              </w:rPr>
              <w:t>2</w:t>
            </w:r>
            <w:r w:rsidRPr="006E27F7">
              <w:rPr>
                <w:rFonts w:ascii="Times New Roman" w:hAnsi="Times New Roman"/>
                <w:sz w:val="16"/>
                <w:szCs w:val="16"/>
                <w:vertAlign w:val="superscript"/>
              </w:rPr>
              <w:t>nd</w:t>
            </w:r>
            <w:r w:rsidRPr="006E27F7">
              <w:rPr>
                <w:rFonts w:ascii="Times New Roman" w:hAnsi="Times New Roman"/>
                <w:sz w:val="16"/>
                <w:szCs w:val="16"/>
              </w:rPr>
              <w:t xml:space="preserve"> IC - Alternative to Fingerprinting Requirement for Foreign Natural Persons</w:t>
            </w:r>
          </w:p>
        </w:tc>
        <w:tc>
          <w:tcPr>
            <w:tcW w:w="586" w:type="pct"/>
            <w:tcBorders>
              <w:top w:val="single" w:sz="4" w:space="0" w:color="auto"/>
              <w:left w:val="single" w:sz="4" w:space="0" w:color="auto"/>
              <w:bottom w:val="single" w:sz="4" w:space="0" w:color="auto"/>
              <w:right w:val="single" w:sz="4" w:space="0" w:color="auto"/>
            </w:tcBorders>
          </w:tcPr>
          <w:p w:rsidR="00C518B3" w:rsidRPr="006E27F7" w:rsidP="00871325" w14:paraId="2AB5BD43" w14:textId="77777777">
            <w:pPr>
              <w:rPr>
                <w:rFonts w:ascii="Times New Roman" w:hAnsi="Times New Roman"/>
                <w:sz w:val="16"/>
                <w:szCs w:val="16"/>
              </w:rPr>
            </w:pPr>
            <w:r w:rsidRPr="006E27F7">
              <w:rPr>
                <w:rFonts w:ascii="Times New Roman" w:hAnsi="Times New Roman"/>
                <w:sz w:val="16"/>
                <w:szCs w:val="16"/>
              </w:rPr>
              <w:t>2</w:t>
            </w:r>
          </w:p>
        </w:tc>
        <w:tc>
          <w:tcPr>
            <w:tcW w:w="579" w:type="pct"/>
            <w:tcBorders>
              <w:top w:val="single" w:sz="4" w:space="0" w:color="auto"/>
              <w:left w:val="single" w:sz="4" w:space="0" w:color="auto"/>
              <w:bottom w:val="single" w:sz="4" w:space="0" w:color="auto"/>
              <w:right w:val="single" w:sz="4" w:space="0" w:color="auto"/>
            </w:tcBorders>
          </w:tcPr>
          <w:p w:rsidR="00C518B3" w:rsidRPr="006E27F7" w:rsidP="00871325" w14:paraId="192A88C3" w14:textId="77777777">
            <w:pPr>
              <w:rPr>
                <w:rFonts w:ascii="Times New Roman" w:hAnsi="Times New Roman"/>
                <w:sz w:val="16"/>
                <w:szCs w:val="16"/>
              </w:rPr>
            </w:pPr>
            <w:r w:rsidRPr="006E27F7">
              <w:rPr>
                <w:rFonts w:ascii="Times New Roman" w:hAnsi="Times New Roman"/>
                <w:sz w:val="16"/>
                <w:szCs w:val="16"/>
              </w:rPr>
              <w:t>1</w:t>
            </w:r>
          </w:p>
        </w:tc>
        <w:tc>
          <w:tcPr>
            <w:tcW w:w="490" w:type="pct"/>
            <w:tcBorders>
              <w:top w:val="single" w:sz="4" w:space="0" w:color="auto"/>
              <w:left w:val="single" w:sz="4" w:space="0" w:color="auto"/>
              <w:bottom w:val="single" w:sz="4" w:space="0" w:color="auto"/>
              <w:right w:val="single" w:sz="4" w:space="0" w:color="auto"/>
            </w:tcBorders>
          </w:tcPr>
          <w:p w:rsidR="00C518B3" w:rsidRPr="006E27F7" w:rsidP="00871325" w14:paraId="0FCD5704" w14:textId="77777777">
            <w:pPr>
              <w:rPr>
                <w:rFonts w:ascii="Times New Roman" w:hAnsi="Times New Roman"/>
                <w:sz w:val="16"/>
                <w:szCs w:val="16"/>
              </w:rPr>
            </w:pPr>
            <w:r w:rsidRPr="006E27F7">
              <w:rPr>
                <w:rFonts w:ascii="Times New Roman" w:hAnsi="Times New Roman"/>
                <w:sz w:val="16"/>
                <w:szCs w:val="16"/>
              </w:rPr>
              <w:t>2.5</w:t>
            </w:r>
          </w:p>
        </w:tc>
        <w:tc>
          <w:tcPr>
            <w:tcW w:w="552" w:type="pct"/>
            <w:tcBorders>
              <w:top w:val="single" w:sz="4" w:space="0" w:color="auto"/>
              <w:left w:val="single" w:sz="4" w:space="0" w:color="auto"/>
              <w:bottom w:val="single" w:sz="4" w:space="0" w:color="auto"/>
              <w:right w:val="single" w:sz="4" w:space="0" w:color="auto"/>
            </w:tcBorders>
          </w:tcPr>
          <w:p w:rsidR="00C518B3" w:rsidRPr="006E27F7" w:rsidP="00871325" w14:paraId="538FF471" w14:textId="77777777">
            <w:pPr>
              <w:rPr>
                <w:rFonts w:ascii="Times New Roman" w:hAnsi="Times New Roman"/>
                <w:sz w:val="16"/>
                <w:szCs w:val="16"/>
              </w:rPr>
            </w:pPr>
            <w:r w:rsidRPr="006E27F7">
              <w:rPr>
                <w:rFonts w:ascii="Times New Roman" w:hAnsi="Times New Roman"/>
                <w:sz w:val="16"/>
                <w:szCs w:val="16"/>
              </w:rPr>
              <w:t>2.5</w:t>
            </w:r>
          </w:p>
        </w:tc>
        <w:tc>
          <w:tcPr>
            <w:tcW w:w="495" w:type="pct"/>
            <w:tcBorders>
              <w:top w:val="single" w:sz="4" w:space="0" w:color="auto"/>
              <w:left w:val="single" w:sz="4" w:space="0" w:color="auto"/>
              <w:bottom w:val="single" w:sz="4" w:space="0" w:color="auto"/>
              <w:right w:val="single" w:sz="4" w:space="0" w:color="auto"/>
            </w:tcBorders>
          </w:tcPr>
          <w:p w:rsidR="00C518B3" w:rsidRPr="006E27F7" w:rsidP="00871325" w14:paraId="54A17189" w14:textId="77777777">
            <w:pPr>
              <w:rPr>
                <w:rFonts w:ascii="Times New Roman" w:hAnsi="Times New Roman"/>
                <w:sz w:val="16"/>
                <w:szCs w:val="16"/>
              </w:rPr>
            </w:pPr>
            <w:r w:rsidRPr="006E27F7">
              <w:rPr>
                <w:rFonts w:ascii="Times New Roman" w:hAnsi="Times New Roman"/>
                <w:sz w:val="16"/>
                <w:szCs w:val="16"/>
              </w:rPr>
              <w:t>2</w:t>
            </w:r>
          </w:p>
        </w:tc>
        <w:tc>
          <w:tcPr>
            <w:tcW w:w="438" w:type="pct"/>
            <w:tcBorders>
              <w:top w:val="single" w:sz="4" w:space="0" w:color="auto"/>
              <w:left w:val="single" w:sz="4" w:space="0" w:color="auto"/>
              <w:bottom w:val="single" w:sz="4" w:space="0" w:color="auto"/>
              <w:right w:val="single" w:sz="4" w:space="0" w:color="auto"/>
            </w:tcBorders>
          </w:tcPr>
          <w:p w:rsidR="00C518B3" w:rsidRPr="006E27F7" w:rsidP="00871325" w14:paraId="508D707B" w14:textId="77777777">
            <w:pPr>
              <w:rPr>
                <w:rFonts w:ascii="Times New Roman" w:hAnsi="Times New Roman"/>
                <w:sz w:val="16"/>
                <w:szCs w:val="16"/>
              </w:rPr>
            </w:pPr>
            <w:r w:rsidRPr="006E27F7">
              <w:rPr>
                <w:rFonts w:ascii="Times New Roman" w:hAnsi="Times New Roman"/>
                <w:sz w:val="16"/>
                <w:szCs w:val="16"/>
              </w:rPr>
              <w:t>5</w:t>
            </w:r>
          </w:p>
        </w:tc>
        <w:tc>
          <w:tcPr>
            <w:tcW w:w="533" w:type="pct"/>
            <w:tcBorders>
              <w:top w:val="single" w:sz="4" w:space="0" w:color="auto"/>
              <w:left w:val="single" w:sz="4" w:space="0" w:color="auto"/>
              <w:bottom w:val="single" w:sz="4" w:space="0" w:color="auto"/>
              <w:right w:val="single" w:sz="4" w:space="0" w:color="auto"/>
            </w:tcBorders>
          </w:tcPr>
          <w:p w:rsidR="00C518B3" w:rsidRPr="006E27F7" w:rsidP="00871325" w14:paraId="5D21051C" w14:textId="77777777">
            <w:pPr>
              <w:rPr>
                <w:rFonts w:ascii="Times New Roman" w:hAnsi="Times New Roman"/>
                <w:sz w:val="16"/>
                <w:szCs w:val="16"/>
              </w:rPr>
            </w:pPr>
            <w:r>
              <w:rPr>
                <w:rFonts w:ascii="Times New Roman" w:hAnsi="Times New Roman"/>
                <w:sz w:val="16"/>
                <w:szCs w:val="16"/>
              </w:rPr>
              <w:t>$204.92</w:t>
            </w:r>
          </w:p>
        </w:tc>
        <w:tc>
          <w:tcPr>
            <w:tcW w:w="679" w:type="pct"/>
            <w:tcBorders>
              <w:top w:val="single" w:sz="4" w:space="0" w:color="auto"/>
              <w:left w:val="single" w:sz="4" w:space="0" w:color="auto"/>
              <w:bottom w:val="single" w:sz="4" w:space="0" w:color="auto"/>
              <w:right w:val="single" w:sz="4" w:space="0" w:color="auto"/>
            </w:tcBorders>
          </w:tcPr>
          <w:p w:rsidR="00C518B3" w:rsidP="00871325" w14:paraId="56CDE8A0" w14:textId="77777777">
            <w:pPr>
              <w:rPr>
                <w:rFonts w:ascii="Times New Roman" w:hAnsi="Times New Roman"/>
                <w:sz w:val="16"/>
                <w:szCs w:val="16"/>
              </w:rPr>
            </w:pPr>
            <w:r>
              <w:rPr>
                <w:rFonts w:ascii="Times New Roman" w:hAnsi="Times New Roman"/>
                <w:sz w:val="16"/>
                <w:szCs w:val="16"/>
              </w:rPr>
              <w:t>$409.84</w:t>
            </w:r>
          </w:p>
        </w:tc>
      </w:tr>
      <w:tr w14:paraId="699C9DE4" w14:textId="77777777" w:rsidTr="00C518B3">
        <w:tblPrEx>
          <w:tblW w:w="4850" w:type="pct"/>
          <w:tblLayout w:type="fixed"/>
          <w:tblLook w:val="04A0"/>
        </w:tblPrEx>
        <w:trPr>
          <w:trHeight w:val="312"/>
        </w:trPr>
        <w:tc>
          <w:tcPr>
            <w:tcW w:w="648" w:type="pct"/>
            <w:tcBorders>
              <w:top w:val="single" w:sz="4" w:space="0" w:color="auto"/>
              <w:left w:val="single" w:sz="4" w:space="0" w:color="auto"/>
              <w:bottom w:val="single" w:sz="4" w:space="0" w:color="auto"/>
              <w:right w:val="single" w:sz="4" w:space="0" w:color="auto"/>
            </w:tcBorders>
          </w:tcPr>
          <w:p w:rsidR="00C518B3" w:rsidRPr="006E27F7" w:rsidP="00871325" w14:paraId="32816849" w14:textId="77777777">
            <w:pPr>
              <w:rPr>
                <w:rFonts w:ascii="Times New Roman" w:hAnsi="Times New Roman"/>
                <w:sz w:val="16"/>
                <w:szCs w:val="16"/>
              </w:rPr>
            </w:pPr>
            <w:r w:rsidRPr="006E27F7">
              <w:rPr>
                <w:rFonts w:ascii="Times New Roman" w:hAnsi="Times New Roman"/>
                <w:sz w:val="16"/>
                <w:szCs w:val="16"/>
              </w:rPr>
              <w:t>3</w:t>
            </w:r>
            <w:r w:rsidRPr="006E27F7">
              <w:rPr>
                <w:rFonts w:ascii="Times New Roman" w:hAnsi="Times New Roman"/>
                <w:sz w:val="16"/>
                <w:szCs w:val="16"/>
                <w:vertAlign w:val="superscript"/>
              </w:rPr>
              <w:t>rd</w:t>
            </w:r>
            <w:r w:rsidRPr="006E27F7">
              <w:rPr>
                <w:rFonts w:ascii="Times New Roman" w:hAnsi="Times New Roman"/>
                <w:sz w:val="16"/>
                <w:szCs w:val="16"/>
              </w:rPr>
              <w:t xml:space="preserve"> IC - Comparability Determinations for the Group A and Group B Requirements</w:t>
            </w:r>
          </w:p>
        </w:tc>
        <w:tc>
          <w:tcPr>
            <w:tcW w:w="586" w:type="pct"/>
            <w:tcBorders>
              <w:top w:val="single" w:sz="4" w:space="0" w:color="auto"/>
              <w:left w:val="single" w:sz="4" w:space="0" w:color="auto"/>
              <w:bottom w:val="single" w:sz="4" w:space="0" w:color="auto"/>
              <w:right w:val="single" w:sz="4" w:space="0" w:color="auto"/>
            </w:tcBorders>
          </w:tcPr>
          <w:p w:rsidR="00C518B3" w:rsidRPr="006E27F7" w:rsidP="00871325" w14:paraId="298A7417" w14:textId="77777777">
            <w:pPr>
              <w:rPr>
                <w:rFonts w:ascii="Times New Roman" w:hAnsi="Times New Roman"/>
                <w:sz w:val="16"/>
                <w:szCs w:val="16"/>
              </w:rPr>
            </w:pPr>
            <w:r w:rsidRPr="006E27F7">
              <w:rPr>
                <w:rFonts w:ascii="Times New Roman" w:hAnsi="Times New Roman"/>
                <w:sz w:val="16"/>
                <w:szCs w:val="16"/>
              </w:rPr>
              <w:t>5</w:t>
            </w:r>
          </w:p>
        </w:tc>
        <w:tc>
          <w:tcPr>
            <w:tcW w:w="579" w:type="pct"/>
            <w:tcBorders>
              <w:top w:val="single" w:sz="4" w:space="0" w:color="auto"/>
              <w:left w:val="single" w:sz="4" w:space="0" w:color="auto"/>
              <w:bottom w:val="single" w:sz="4" w:space="0" w:color="auto"/>
              <w:right w:val="single" w:sz="4" w:space="0" w:color="auto"/>
            </w:tcBorders>
          </w:tcPr>
          <w:p w:rsidR="00C518B3" w:rsidRPr="006E27F7" w:rsidP="00871325" w14:paraId="3F945957" w14:textId="77777777">
            <w:pPr>
              <w:rPr>
                <w:rFonts w:ascii="Times New Roman" w:hAnsi="Times New Roman"/>
                <w:sz w:val="16"/>
                <w:szCs w:val="16"/>
              </w:rPr>
            </w:pPr>
            <w:r w:rsidRPr="006E27F7">
              <w:rPr>
                <w:rFonts w:ascii="Times New Roman" w:hAnsi="Times New Roman"/>
                <w:sz w:val="16"/>
                <w:szCs w:val="16"/>
              </w:rPr>
              <w:t>1</w:t>
            </w:r>
          </w:p>
        </w:tc>
        <w:tc>
          <w:tcPr>
            <w:tcW w:w="490" w:type="pct"/>
            <w:tcBorders>
              <w:top w:val="single" w:sz="4" w:space="0" w:color="auto"/>
              <w:left w:val="single" w:sz="4" w:space="0" w:color="auto"/>
              <w:bottom w:val="single" w:sz="4" w:space="0" w:color="auto"/>
              <w:right w:val="single" w:sz="4" w:space="0" w:color="auto"/>
            </w:tcBorders>
          </w:tcPr>
          <w:p w:rsidR="00C518B3" w:rsidRPr="006E27F7" w:rsidP="00871325" w14:paraId="39344748" w14:textId="77777777">
            <w:pPr>
              <w:rPr>
                <w:rFonts w:ascii="Times New Roman" w:hAnsi="Times New Roman"/>
                <w:sz w:val="16"/>
                <w:szCs w:val="16"/>
              </w:rPr>
            </w:pPr>
            <w:r w:rsidRPr="006E27F7">
              <w:rPr>
                <w:rFonts w:ascii="Times New Roman" w:hAnsi="Times New Roman"/>
                <w:sz w:val="16"/>
                <w:szCs w:val="16"/>
              </w:rPr>
              <w:t>40</w:t>
            </w:r>
          </w:p>
        </w:tc>
        <w:tc>
          <w:tcPr>
            <w:tcW w:w="552" w:type="pct"/>
            <w:tcBorders>
              <w:top w:val="single" w:sz="4" w:space="0" w:color="auto"/>
              <w:left w:val="single" w:sz="4" w:space="0" w:color="auto"/>
              <w:bottom w:val="single" w:sz="4" w:space="0" w:color="auto"/>
              <w:right w:val="single" w:sz="4" w:space="0" w:color="auto"/>
            </w:tcBorders>
          </w:tcPr>
          <w:p w:rsidR="00C518B3" w:rsidRPr="006E27F7" w:rsidP="00871325" w14:paraId="259F657B" w14:textId="77777777">
            <w:pPr>
              <w:rPr>
                <w:rFonts w:ascii="Times New Roman" w:hAnsi="Times New Roman"/>
                <w:sz w:val="16"/>
                <w:szCs w:val="16"/>
              </w:rPr>
            </w:pPr>
            <w:r w:rsidRPr="006E27F7">
              <w:rPr>
                <w:rFonts w:ascii="Times New Roman" w:hAnsi="Times New Roman"/>
                <w:sz w:val="16"/>
                <w:szCs w:val="16"/>
              </w:rPr>
              <w:t>40</w:t>
            </w:r>
          </w:p>
        </w:tc>
        <w:tc>
          <w:tcPr>
            <w:tcW w:w="495" w:type="pct"/>
            <w:tcBorders>
              <w:top w:val="single" w:sz="4" w:space="0" w:color="auto"/>
              <w:left w:val="single" w:sz="4" w:space="0" w:color="auto"/>
              <w:bottom w:val="single" w:sz="4" w:space="0" w:color="auto"/>
              <w:right w:val="single" w:sz="4" w:space="0" w:color="auto"/>
            </w:tcBorders>
          </w:tcPr>
          <w:p w:rsidR="00C518B3" w:rsidRPr="006E27F7" w:rsidP="00871325" w14:paraId="6F04EEBB" w14:textId="77777777">
            <w:pPr>
              <w:rPr>
                <w:rFonts w:ascii="Times New Roman" w:hAnsi="Times New Roman"/>
                <w:sz w:val="16"/>
                <w:szCs w:val="16"/>
              </w:rPr>
            </w:pPr>
            <w:r w:rsidRPr="006E27F7">
              <w:rPr>
                <w:rFonts w:ascii="Times New Roman" w:hAnsi="Times New Roman"/>
                <w:sz w:val="16"/>
                <w:szCs w:val="16"/>
              </w:rPr>
              <w:t>5</w:t>
            </w:r>
          </w:p>
        </w:tc>
        <w:tc>
          <w:tcPr>
            <w:tcW w:w="438" w:type="pct"/>
            <w:tcBorders>
              <w:top w:val="single" w:sz="4" w:space="0" w:color="auto"/>
              <w:left w:val="single" w:sz="4" w:space="0" w:color="auto"/>
              <w:bottom w:val="single" w:sz="4" w:space="0" w:color="auto"/>
              <w:right w:val="single" w:sz="4" w:space="0" w:color="auto"/>
            </w:tcBorders>
          </w:tcPr>
          <w:p w:rsidR="00C518B3" w:rsidRPr="006E27F7" w:rsidP="00871325" w14:paraId="2B476DFA" w14:textId="77777777">
            <w:pPr>
              <w:rPr>
                <w:rFonts w:ascii="Times New Roman" w:hAnsi="Times New Roman"/>
                <w:sz w:val="16"/>
                <w:szCs w:val="16"/>
              </w:rPr>
            </w:pPr>
            <w:r w:rsidRPr="006E27F7">
              <w:rPr>
                <w:rFonts w:ascii="Times New Roman" w:hAnsi="Times New Roman"/>
                <w:sz w:val="16"/>
                <w:szCs w:val="16"/>
              </w:rPr>
              <w:t>200</w:t>
            </w:r>
          </w:p>
        </w:tc>
        <w:tc>
          <w:tcPr>
            <w:tcW w:w="533" w:type="pct"/>
            <w:tcBorders>
              <w:top w:val="single" w:sz="4" w:space="0" w:color="auto"/>
              <w:left w:val="single" w:sz="4" w:space="0" w:color="auto"/>
              <w:bottom w:val="single" w:sz="4" w:space="0" w:color="auto"/>
              <w:right w:val="single" w:sz="4" w:space="0" w:color="auto"/>
            </w:tcBorders>
          </w:tcPr>
          <w:p w:rsidR="00C518B3" w:rsidRPr="006E27F7" w:rsidP="00871325" w14:paraId="6E52D4FA" w14:textId="77777777">
            <w:pPr>
              <w:rPr>
                <w:rFonts w:ascii="Times New Roman" w:hAnsi="Times New Roman"/>
                <w:sz w:val="16"/>
                <w:szCs w:val="16"/>
              </w:rPr>
            </w:pPr>
            <w:r>
              <w:rPr>
                <w:rFonts w:ascii="Times New Roman" w:hAnsi="Times New Roman"/>
                <w:sz w:val="16"/>
                <w:szCs w:val="16"/>
              </w:rPr>
              <w:t>$3,278.80</w:t>
            </w:r>
          </w:p>
        </w:tc>
        <w:tc>
          <w:tcPr>
            <w:tcW w:w="679" w:type="pct"/>
            <w:tcBorders>
              <w:top w:val="single" w:sz="4" w:space="0" w:color="auto"/>
              <w:left w:val="single" w:sz="4" w:space="0" w:color="auto"/>
              <w:bottom w:val="single" w:sz="4" w:space="0" w:color="auto"/>
              <w:right w:val="single" w:sz="4" w:space="0" w:color="auto"/>
            </w:tcBorders>
          </w:tcPr>
          <w:p w:rsidR="00C518B3" w:rsidP="00871325" w14:paraId="7AC16DC2" w14:textId="77777777">
            <w:pPr>
              <w:rPr>
                <w:rFonts w:ascii="Times New Roman" w:hAnsi="Times New Roman"/>
                <w:sz w:val="16"/>
                <w:szCs w:val="16"/>
              </w:rPr>
            </w:pPr>
            <w:r>
              <w:rPr>
                <w:rFonts w:ascii="Times New Roman" w:hAnsi="Times New Roman"/>
                <w:sz w:val="16"/>
                <w:szCs w:val="16"/>
              </w:rPr>
              <w:t>$16,394</w:t>
            </w:r>
          </w:p>
        </w:tc>
      </w:tr>
      <w:tr w14:paraId="5DD7E3A8" w14:textId="77777777" w:rsidTr="00C518B3">
        <w:tblPrEx>
          <w:tblW w:w="4850" w:type="pct"/>
          <w:tblLayout w:type="fixed"/>
          <w:tblLook w:val="04A0"/>
        </w:tblPrEx>
        <w:trPr>
          <w:trHeight w:val="312"/>
        </w:trPr>
        <w:tc>
          <w:tcPr>
            <w:tcW w:w="648" w:type="pct"/>
            <w:tcBorders>
              <w:top w:val="single" w:sz="4" w:space="0" w:color="auto"/>
              <w:left w:val="single" w:sz="4" w:space="0" w:color="auto"/>
              <w:bottom w:val="single" w:sz="4" w:space="0" w:color="auto"/>
              <w:right w:val="single" w:sz="4" w:space="0" w:color="auto"/>
            </w:tcBorders>
            <w:hideMark/>
          </w:tcPr>
          <w:p w:rsidR="00C518B3" w:rsidP="00871325" w14:paraId="38621BC1" w14:textId="77777777">
            <w:pPr>
              <w:rPr>
                <w:rFonts w:ascii="Times New Roman" w:hAnsi="Times New Roman"/>
                <w:b/>
                <w:sz w:val="16"/>
                <w:szCs w:val="16"/>
              </w:rPr>
            </w:pPr>
          </w:p>
          <w:p w:rsidR="00C518B3" w:rsidP="00871325" w14:paraId="26CF927B" w14:textId="77777777">
            <w:pPr>
              <w:rPr>
                <w:rFonts w:ascii="Times New Roman" w:hAnsi="Times New Roman"/>
                <w:b/>
                <w:sz w:val="16"/>
                <w:szCs w:val="16"/>
              </w:rPr>
            </w:pPr>
            <w:r>
              <w:rPr>
                <w:rFonts w:ascii="Times New Roman" w:hAnsi="Times New Roman"/>
                <w:b/>
                <w:sz w:val="16"/>
                <w:szCs w:val="16"/>
              </w:rPr>
              <w:t>Totals:</w:t>
            </w:r>
          </w:p>
        </w:tc>
        <w:tc>
          <w:tcPr>
            <w:tcW w:w="586" w:type="pct"/>
            <w:tcBorders>
              <w:top w:val="single" w:sz="4" w:space="0" w:color="auto"/>
              <w:left w:val="single" w:sz="4" w:space="0" w:color="auto"/>
              <w:bottom w:val="single" w:sz="4" w:space="0" w:color="auto"/>
              <w:right w:val="single" w:sz="4" w:space="0" w:color="auto"/>
            </w:tcBorders>
          </w:tcPr>
          <w:p w:rsidR="00C518B3" w:rsidP="00871325" w14:paraId="04334A96" w14:textId="77777777">
            <w:pPr>
              <w:rPr>
                <w:rFonts w:ascii="Times New Roman" w:hAnsi="Times New Roman"/>
                <w:b/>
                <w:sz w:val="16"/>
                <w:szCs w:val="16"/>
              </w:rPr>
            </w:pPr>
          </w:p>
          <w:p w:rsidR="00C518B3" w:rsidP="00871325" w14:paraId="3EC0FE0F" w14:textId="77777777">
            <w:pPr>
              <w:rPr>
                <w:rFonts w:ascii="Times New Roman" w:hAnsi="Times New Roman"/>
                <w:b/>
                <w:sz w:val="16"/>
                <w:szCs w:val="16"/>
              </w:rPr>
            </w:pPr>
            <w:r>
              <w:rPr>
                <w:rFonts w:ascii="Times New Roman" w:hAnsi="Times New Roman"/>
                <w:b/>
                <w:sz w:val="16"/>
                <w:szCs w:val="16"/>
              </w:rPr>
              <w:t>779</w:t>
            </w:r>
          </w:p>
        </w:tc>
        <w:tc>
          <w:tcPr>
            <w:tcW w:w="579" w:type="pct"/>
            <w:tcBorders>
              <w:top w:val="single" w:sz="4" w:space="0" w:color="auto"/>
              <w:left w:val="single" w:sz="4" w:space="0" w:color="auto"/>
              <w:bottom w:val="single" w:sz="4" w:space="0" w:color="auto"/>
              <w:right w:val="single" w:sz="4" w:space="0" w:color="auto"/>
            </w:tcBorders>
          </w:tcPr>
          <w:p w:rsidR="00C518B3" w:rsidP="00871325" w14:paraId="0CDF6DAE" w14:textId="77777777">
            <w:pPr>
              <w:rPr>
                <w:rFonts w:ascii="Times New Roman" w:hAnsi="Times New Roman"/>
                <w:b/>
                <w:sz w:val="16"/>
                <w:szCs w:val="16"/>
              </w:rPr>
            </w:pPr>
          </w:p>
        </w:tc>
        <w:tc>
          <w:tcPr>
            <w:tcW w:w="490" w:type="pct"/>
            <w:tcBorders>
              <w:top w:val="single" w:sz="4" w:space="0" w:color="auto"/>
              <w:left w:val="single" w:sz="4" w:space="0" w:color="auto"/>
              <w:bottom w:val="single" w:sz="4" w:space="0" w:color="auto"/>
              <w:right w:val="single" w:sz="4" w:space="0" w:color="auto"/>
            </w:tcBorders>
          </w:tcPr>
          <w:p w:rsidR="00C518B3" w:rsidP="00871325" w14:paraId="727F52B9" w14:textId="77777777">
            <w:pPr>
              <w:rPr>
                <w:rFonts w:ascii="Times New Roman" w:hAnsi="Times New Roman"/>
                <w:b/>
                <w:sz w:val="16"/>
                <w:szCs w:val="16"/>
              </w:rPr>
            </w:pPr>
          </w:p>
        </w:tc>
        <w:tc>
          <w:tcPr>
            <w:tcW w:w="552" w:type="pct"/>
            <w:tcBorders>
              <w:top w:val="single" w:sz="4" w:space="0" w:color="auto"/>
              <w:left w:val="single" w:sz="4" w:space="0" w:color="auto"/>
              <w:bottom w:val="single" w:sz="4" w:space="0" w:color="auto"/>
              <w:right w:val="single" w:sz="4" w:space="0" w:color="auto"/>
            </w:tcBorders>
          </w:tcPr>
          <w:p w:rsidR="00C518B3" w:rsidP="00871325" w14:paraId="19956AFC" w14:textId="77777777">
            <w:pPr>
              <w:rPr>
                <w:rFonts w:ascii="Times New Roman" w:hAnsi="Times New Roman"/>
                <w:b/>
                <w:sz w:val="16"/>
                <w:szCs w:val="16"/>
              </w:rPr>
            </w:pPr>
          </w:p>
        </w:tc>
        <w:tc>
          <w:tcPr>
            <w:tcW w:w="495" w:type="pct"/>
            <w:tcBorders>
              <w:top w:val="single" w:sz="4" w:space="0" w:color="auto"/>
              <w:left w:val="single" w:sz="4" w:space="0" w:color="auto"/>
              <w:bottom w:val="single" w:sz="4" w:space="0" w:color="auto"/>
              <w:right w:val="single" w:sz="4" w:space="0" w:color="auto"/>
            </w:tcBorders>
          </w:tcPr>
          <w:p w:rsidR="00C518B3" w:rsidP="00871325" w14:paraId="14360F0E" w14:textId="77777777">
            <w:pPr>
              <w:rPr>
                <w:rFonts w:ascii="Times New Roman" w:hAnsi="Times New Roman"/>
                <w:b/>
                <w:sz w:val="16"/>
                <w:szCs w:val="16"/>
              </w:rPr>
            </w:pPr>
          </w:p>
          <w:p w:rsidR="00C518B3" w:rsidP="00871325" w14:paraId="78EC46D4" w14:textId="13A02164">
            <w:pPr>
              <w:rPr>
                <w:rFonts w:ascii="Times New Roman" w:hAnsi="Times New Roman"/>
                <w:b/>
                <w:sz w:val="16"/>
                <w:szCs w:val="16"/>
              </w:rPr>
            </w:pPr>
            <w:r>
              <w:rPr>
                <w:rFonts w:ascii="Times New Roman" w:hAnsi="Times New Roman"/>
                <w:b/>
                <w:sz w:val="16"/>
                <w:szCs w:val="16"/>
              </w:rPr>
              <w:t xml:space="preserve"> 1860</w:t>
            </w:r>
          </w:p>
        </w:tc>
        <w:tc>
          <w:tcPr>
            <w:tcW w:w="438" w:type="pct"/>
            <w:tcBorders>
              <w:top w:val="single" w:sz="4" w:space="0" w:color="auto"/>
              <w:left w:val="single" w:sz="4" w:space="0" w:color="auto"/>
              <w:bottom w:val="single" w:sz="4" w:space="0" w:color="auto"/>
              <w:right w:val="single" w:sz="4" w:space="0" w:color="auto"/>
            </w:tcBorders>
          </w:tcPr>
          <w:p w:rsidR="00C518B3" w:rsidP="00871325" w14:paraId="1B661C71" w14:textId="77777777">
            <w:pPr>
              <w:rPr>
                <w:rFonts w:ascii="Times New Roman" w:hAnsi="Times New Roman"/>
                <w:b/>
                <w:sz w:val="16"/>
                <w:szCs w:val="16"/>
              </w:rPr>
            </w:pPr>
          </w:p>
          <w:p w:rsidR="00C518B3" w:rsidP="00871325" w14:paraId="375DE468" w14:textId="77777777">
            <w:pPr>
              <w:rPr>
                <w:rFonts w:ascii="Times New Roman" w:hAnsi="Times New Roman"/>
                <w:b/>
                <w:sz w:val="16"/>
                <w:szCs w:val="16"/>
              </w:rPr>
            </w:pPr>
            <w:r>
              <w:rPr>
                <w:rFonts w:ascii="Times New Roman" w:hAnsi="Times New Roman"/>
                <w:b/>
                <w:sz w:val="16"/>
                <w:szCs w:val="16"/>
              </w:rPr>
              <w:t>888</w:t>
            </w:r>
          </w:p>
        </w:tc>
        <w:tc>
          <w:tcPr>
            <w:tcW w:w="533" w:type="pct"/>
            <w:tcBorders>
              <w:top w:val="single" w:sz="4" w:space="0" w:color="auto"/>
              <w:left w:val="single" w:sz="4" w:space="0" w:color="auto"/>
              <w:bottom w:val="single" w:sz="4" w:space="0" w:color="auto"/>
              <w:right w:val="single" w:sz="4" w:space="0" w:color="auto"/>
            </w:tcBorders>
          </w:tcPr>
          <w:p w:rsidR="00C518B3" w:rsidP="00871325" w14:paraId="28103CF4" w14:textId="77777777">
            <w:pPr>
              <w:rPr>
                <w:rFonts w:ascii="Times New Roman" w:hAnsi="Times New Roman"/>
                <w:b/>
                <w:sz w:val="16"/>
                <w:szCs w:val="16"/>
              </w:rPr>
            </w:pPr>
          </w:p>
        </w:tc>
        <w:tc>
          <w:tcPr>
            <w:tcW w:w="679" w:type="pct"/>
            <w:tcBorders>
              <w:top w:val="single" w:sz="4" w:space="0" w:color="auto"/>
              <w:left w:val="single" w:sz="4" w:space="0" w:color="auto"/>
              <w:bottom w:val="single" w:sz="4" w:space="0" w:color="auto"/>
              <w:right w:val="single" w:sz="4" w:space="0" w:color="auto"/>
            </w:tcBorders>
          </w:tcPr>
          <w:p w:rsidR="00BC706A" w:rsidP="00871325" w14:paraId="11FF27F2" w14:textId="77777777">
            <w:pPr>
              <w:rPr>
                <w:rFonts w:ascii="Times New Roman" w:hAnsi="Times New Roman"/>
                <w:b/>
                <w:sz w:val="16"/>
                <w:szCs w:val="16"/>
              </w:rPr>
            </w:pPr>
          </w:p>
          <w:p w:rsidR="00C518B3" w:rsidP="00871325" w14:paraId="04AC3773" w14:textId="77777777">
            <w:pPr>
              <w:rPr>
                <w:rFonts w:ascii="Times New Roman" w:hAnsi="Times New Roman"/>
                <w:b/>
                <w:sz w:val="16"/>
                <w:szCs w:val="16"/>
              </w:rPr>
            </w:pPr>
            <w:r>
              <w:rPr>
                <w:rFonts w:ascii="Times New Roman" w:hAnsi="Times New Roman"/>
                <w:b/>
                <w:sz w:val="16"/>
                <w:szCs w:val="16"/>
              </w:rPr>
              <w:t>$73</w:t>
            </w:r>
            <w:r w:rsidR="00E71FE4">
              <w:rPr>
                <w:rFonts w:ascii="Times New Roman" w:hAnsi="Times New Roman"/>
                <w:b/>
                <w:sz w:val="16"/>
                <w:szCs w:val="16"/>
              </w:rPr>
              <w:t>,</w:t>
            </w:r>
            <w:r>
              <w:rPr>
                <w:rFonts w:ascii="Times New Roman" w:hAnsi="Times New Roman"/>
                <w:b/>
                <w:sz w:val="16"/>
                <w:szCs w:val="16"/>
              </w:rPr>
              <w:t>005.33</w:t>
            </w:r>
          </w:p>
        </w:tc>
      </w:tr>
    </w:tbl>
    <w:p w:rsidR="002478A8" w:rsidP="002478A8" w14:paraId="3E459CAB" w14:textId="77777777"/>
    <w:p w:rsidR="00295FD0" w14:paraId="0F981089" w14:textId="77777777">
      <w:pPr>
        <w:rPr>
          <w:rFonts w:ascii="Times New Roman" w:hAnsi="Times New Roman"/>
          <w:sz w:val="22"/>
          <w:szCs w:val="22"/>
        </w:rPr>
      </w:pPr>
      <w:r w:rsidRPr="007F39B7">
        <w:rPr>
          <w:rFonts w:ascii="Times New Roman" w:hAnsi="Times New Roman"/>
          <w:sz w:val="22"/>
          <w:szCs w:val="22"/>
        </w:rPr>
        <w:tab/>
      </w:r>
    </w:p>
    <w:p w:rsidR="00295FD0" w14:paraId="57BF0506" w14:textId="77777777">
      <w:r>
        <w:rPr>
          <w:rFonts w:ascii="Times New Roman" w:hAnsi="Times New Roman"/>
          <w:sz w:val="22"/>
          <w:szCs w:val="22"/>
        </w:rPr>
        <w:tab/>
      </w:r>
    </w:p>
    <w:sectPr w:rsidSect="00AD72CD">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D9089F" w:rsidP="000F5E97" w14:paraId="617F79F4" w14:textId="77777777">
      <w:r>
        <w:separator/>
      </w:r>
    </w:p>
  </w:footnote>
  <w:footnote w:type="continuationSeparator" w:id="1">
    <w:p w:rsidR="00D9089F" w:rsidP="000F5E97" w14:paraId="46C5EEFA" w14:textId="77777777">
      <w:r>
        <w:continuationSeparator/>
      </w:r>
    </w:p>
  </w:footnote>
  <w:footnote w:id="2">
    <w:p w:rsidR="00E41C88" w:rsidRPr="009021E4" w:rsidP="00E41C88" w14:paraId="67DEC4EC" w14:textId="77777777">
      <w:pPr>
        <w:pStyle w:val="FootnoteText"/>
        <w:rPr>
          <w:rFonts w:ascii="Times New Roman" w:hAnsi="Times New Roman"/>
          <w:sz w:val="24"/>
          <w:szCs w:val="24"/>
        </w:rPr>
      </w:pPr>
      <w:r w:rsidRPr="002D5319">
        <w:rPr>
          <w:rStyle w:val="FootnoteReference"/>
          <w:rFonts w:ascii="Times New Roman" w:hAnsi="Times New Roman"/>
          <w:sz w:val="24"/>
          <w:szCs w:val="24"/>
        </w:rPr>
        <w:footnoteRef/>
      </w:r>
      <w:r w:rsidRPr="002D5319">
        <w:rPr>
          <w:rFonts w:ascii="Times New Roman" w:hAnsi="Times New Roman"/>
          <w:sz w:val="24"/>
          <w:szCs w:val="24"/>
        </w:rPr>
        <w:t xml:space="preserve"> </w:t>
      </w:r>
      <w:r>
        <w:tab/>
      </w:r>
      <w:r w:rsidRPr="009021E4">
        <w:rPr>
          <w:rFonts w:ascii="Times New Roman" w:hAnsi="Times New Roman"/>
          <w:sz w:val="24"/>
          <w:szCs w:val="24"/>
        </w:rPr>
        <w:t>77 FR 2613 (Jan. 19, 2012)</w:t>
      </w:r>
    </w:p>
  </w:footnote>
  <w:footnote w:id="3">
    <w:p w:rsidR="00E41C88" w:rsidRPr="009021E4" w14:paraId="68358F16" w14:textId="77777777">
      <w:pPr>
        <w:pStyle w:val="FootnoteText"/>
        <w:rPr>
          <w:rFonts w:ascii="Times New Roman" w:hAnsi="Times New Roman"/>
          <w:sz w:val="24"/>
          <w:szCs w:val="24"/>
        </w:rPr>
      </w:pPr>
      <w:r w:rsidRPr="009021E4">
        <w:rPr>
          <w:rStyle w:val="FootnoteReference"/>
          <w:rFonts w:ascii="Times New Roman" w:hAnsi="Times New Roman"/>
          <w:sz w:val="24"/>
          <w:szCs w:val="24"/>
        </w:rPr>
        <w:footnoteRef/>
      </w:r>
      <w:r w:rsidRPr="009021E4">
        <w:rPr>
          <w:rFonts w:ascii="Times New Roman" w:hAnsi="Times New Roman"/>
          <w:sz w:val="24"/>
          <w:szCs w:val="24"/>
        </w:rPr>
        <w:t xml:space="preserve"> </w:t>
      </w:r>
      <w:r w:rsidRPr="009021E4">
        <w:rPr>
          <w:rFonts w:ascii="Times New Roman" w:hAnsi="Times New Roman"/>
          <w:sz w:val="24"/>
          <w:szCs w:val="24"/>
        </w:rPr>
        <w:tab/>
        <w:t>Entities and individuals withdraw from registration (or from listing as a principal) on Forms 7-W and 8-T, respectively.</w:t>
      </w:r>
    </w:p>
  </w:footnote>
  <w:footnote w:id="4">
    <w:p w:rsidR="009B51E0" w:rsidRPr="00B206A6" w14:paraId="69BF3AC6" w14:textId="77777777">
      <w:pPr>
        <w:pStyle w:val="FootnoteText"/>
        <w:rPr>
          <w:rFonts w:ascii="Times New Roman" w:hAnsi="Times New Roman"/>
          <w:sz w:val="24"/>
          <w:szCs w:val="24"/>
        </w:rPr>
      </w:pPr>
      <w:r w:rsidRPr="00B206A6">
        <w:rPr>
          <w:rStyle w:val="FootnoteReference"/>
          <w:rFonts w:ascii="Times New Roman" w:hAnsi="Times New Roman"/>
          <w:sz w:val="24"/>
          <w:szCs w:val="24"/>
        </w:rPr>
        <w:footnoteRef/>
      </w:r>
      <w:r w:rsidRPr="00B206A6">
        <w:rPr>
          <w:rFonts w:ascii="Times New Roman" w:hAnsi="Times New Roman"/>
          <w:sz w:val="24"/>
          <w:szCs w:val="24"/>
        </w:rPr>
        <w:t xml:space="preserve">   </w:t>
      </w:r>
      <w:r w:rsidRPr="00D719D5">
        <w:rPr>
          <w:rFonts w:ascii="Times New Roman" w:hAnsi="Times New Roman"/>
          <w:sz w:val="24"/>
          <w:szCs w:val="24"/>
        </w:rPr>
        <w:t>These f</w:t>
      </w:r>
      <w:r w:rsidRPr="00876379">
        <w:rPr>
          <w:rFonts w:ascii="Times New Roman" w:hAnsi="Times New Roman"/>
          <w:sz w:val="24"/>
          <w:szCs w:val="24"/>
        </w:rPr>
        <w:t xml:space="preserve">orms are available on the website of the National Futures Association (“NFA”), a registered futures association to whom the Commission previously </w:t>
      </w:r>
      <w:r w:rsidRPr="00B47C83">
        <w:rPr>
          <w:rFonts w:ascii="Times New Roman" w:hAnsi="Times New Roman"/>
          <w:sz w:val="24"/>
          <w:szCs w:val="24"/>
        </w:rPr>
        <w:t>has delegated processing</w:t>
      </w:r>
      <w:r w:rsidRPr="00CB6056">
        <w:rPr>
          <w:rFonts w:ascii="Times New Roman" w:hAnsi="Times New Roman"/>
          <w:sz w:val="24"/>
          <w:szCs w:val="24"/>
        </w:rPr>
        <w:t xml:space="preserve"> responsibility for existing categories of registrants under the CEA.  The Commission </w:t>
      </w:r>
      <w:r>
        <w:rPr>
          <w:rFonts w:ascii="Times New Roman" w:hAnsi="Times New Roman"/>
          <w:sz w:val="24"/>
          <w:szCs w:val="24"/>
        </w:rPr>
        <w:t>has delegated</w:t>
      </w:r>
      <w:r w:rsidRPr="00CB6056">
        <w:rPr>
          <w:rFonts w:ascii="Times New Roman" w:hAnsi="Times New Roman"/>
          <w:sz w:val="24"/>
          <w:szCs w:val="24"/>
        </w:rPr>
        <w:t xml:space="preserve"> to NFA the authority to process registration forms filed by SDs and MSPs.  The forms </w:t>
      </w:r>
      <w:r>
        <w:rPr>
          <w:rFonts w:ascii="Times New Roman" w:hAnsi="Times New Roman"/>
          <w:sz w:val="24"/>
          <w:szCs w:val="24"/>
        </w:rPr>
        <w:t>have been amended to permit SDs and MSPs to comply with</w:t>
      </w:r>
      <w:r w:rsidRPr="00B206A6">
        <w:rPr>
          <w:rFonts w:ascii="Times New Roman" w:hAnsi="Times New Roman"/>
          <w:sz w:val="24"/>
          <w:szCs w:val="24"/>
        </w:rPr>
        <w:t xml:space="preserve"> the Swaps Entity Registration Regulations.</w:t>
      </w:r>
    </w:p>
  </w:footnote>
  <w:footnote w:id="5">
    <w:p w:rsidR="009B51E0" w:rsidRPr="00B206A6" w:rsidP="00A23539" w14:paraId="683E9A77" w14:textId="77777777">
      <w:pPr>
        <w:tabs>
          <w:tab w:val="left" w:pos="-720"/>
        </w:tabs>
        <w:suppressAutoHyphens/>
        <w:rPr>
          <w:rFonts w:ascii="Times New Roman" w:hAnsi="Times New Roman"/>
        </w:rPr>
      </w:pPr>
      <w:r w:rsidRPr="00D719D5">
        <w:rPr>
          <w:rStyle w:val="FootnoteReference"/>
          <w:rFonts w:ascii="Times New Roman" w:hAnsi="Times New Roman"/>
        </w:rPr>
        <w:footnoteRef/>
      </w:r>
      <w:r w:rsidRPr="00876379">
        <w:rPr>
          <w:rFonts w:ascii="Times New Roman" w:hAnsi="Times New Roman"/>
        </w:rPr>
        <w:t xml:space="preserve"> </w:t>
      </w:r>
      <w:r w:rsidRPr="00DA5853">
        <w:rPr>
          <w:rFonts w:ascii="Times New Roman" w:hAnsi="Times New Roman"/>
        </w:rPr>
        <w:t xml:space="preserve">  This is</w:t>
      </w:r>
      <w:r w:rsidR="006A5DFD">
        <w:rPr>
          <w:rFonts w:ascii="Times New Roman" w:hAnsi="Times New Roman"/>
        </w:rPr>
        <w:t>,</w:t>
      </w:r>
      <w:r w:rsidRPr="00DA5853">
        <w:rPr>
          <w:rFonts w:ascii="Times New Roman" w:hAnsi="Times New Roman"/>
        </w:rPr>
        <w:t xml:space="preserve"> </w:t>
      </w:r>
      <w:r w:rsidR="005E1171">
        <w:rPr>
          <w:rFonts w:ascii="Times New Roman" w:hAnsi="Times New Roman"/>
        </w:rPr>
        <w:t xml:space="preserve">in part, </w:t>
      </w:r>
      <w:r w:rsidRPr="00DA5853">
        <w:rPr>
          <w:rFonts w:ascii="Times New Roman" w:hAnsi="Times New Roman"/>
        </w:rPr>
        <w:t xml:space="preserve">because the Commission </w:t>
      </w:r>
      <w:r>
        <w:rPr>
          <w:rFonts w:ascii="Times New Roman" w:hAnsi="Times New Roman"/>
        </w:rPr>
        <w:t>has delegated</w:t>
      </w:r>
      <w:r w:rsidRPr="00DA5853">
        <w:rPr>
          <w:rFonts w:ascii="Times New Roman" w:hAnsi="Times New Roman"/>
        </w:rPr>
        <w:t xml:space="preserve"> to NFA the authority to process registration forms filed by SDs and MSPs.  Commission staff periodically conducts r</w:t>
      </w:r>
      <w:r w:rsidRPr="00B47C83">
        <w:rPr>
          <w:rFonts w:ascii="Times New Roman" w:hAnsi="Times New Roman"/>
        </w:rPr>
        <w:t xml:space="preserve">eviews of NFA’s registration processing program, and its review of how NFA is processing the registration forms </w:t>
      </w:r>
      <w:r w:rsidRPr="00602973">
        <w:rPr>
          <w:rFonts w:ascii="Times New Roman" w:hAnsi="Times New Roman"/>
        </w:rPr>
        <w:t xml:space="preserve">filed by SDs and MSPs will be folded into the existing review scheme.  </w:t>
      </w:r>
    </w:p>
    <w:p w:rsidR="009B51E0" w:rsidRPr="00B206A6" w:rsidP="00A23539" w14:paraId="44B8AD95" w14:textId="77777777">
      <w:pPr>
        <w:pStyle w:val="FootnoteText"/>
        <w:rPr>
          <w:rFonts w:ascii="Times New Roman" w:hAnsi="Times New Roman"/>
          <w:sz w:val="24"/>
          <w:szCs w:val="24"/>
        </w:rPr>
      </w:pPr>
    </w:p>
  </w:footnote>
  <w:footnote w:id="6">
    <w:p w:rsidR="00C518B3" w:rsidRPr="003C3C76" w:rsidP="002478A8" w14:paraId="7BE80B9C" w14:textId="77777777">
      <w:pPr>
        <w:pStyle w:val="FootnoteText"/>
        <w:spacing w:after="120"/>
        <w:rPr>
          <w:rFonts w:ascii="Times New Roman" w:hAnsi="Times New Roman"/>
          <w:sz w:val="24"/>
          <w:szCs w:val="24"/>
        </w:rPr>
      </w:pPr>
      <w:r w:rsidRPr="004818B7">
        <w:rPr>
          <w:rStyle w:val="FootnoteReference"/>
        </w:rPr>
        <w:footnoteRef/>
      </w:r>
      <w:r w:rsidRPr="004818B7">
        <w:t xml:space="preserve"> </w:t>
      </w:r>
      <w:r>
        <w:tab/>
      </w:r>
      <w:r w:rsidRPr="003C3C76">
        <w:rPr>
          <w:rFonts w:ascii="Times New Roman" w:hAnsi="Times New Roman"/>
          <w:sz w:val="24"/>
          <w:szCs w:val="24"/>
        </w:rPr>
        <w:t>Respondents do not necessarily file a registration form (Forms 7-R, 8-R, 7-W, and 8-T) each year.  These registration forms are filed on an “as needed” basis, upon registering or when registration information changes, including withdrawal of registration.  Accordingly, the estimate of the number of reports filed annually by each respondent was arrived at by calculating an average number of reports based on the number of respondent and the number of annual responses.</w:t>
      </w:r>
    </w:p>
  </w:footnote>
  <w:footnote w:id="7">
    <w:p w:rsidR="00C518B3" w:rsidRPr="003C3C76" w:rsidP="002478A8" w14:paraId="101261C0" w14:textId="77777777">
      <w:pPr>
        <w:pStyle w:val="FootnoteText"/>
        <w:spacing w:after="120"/>
        <w:rPr>
          <w:rFonts w:ascii="Times New Roman" w:hAnsi="Times New Roman"/>
          <w:sz w:val="24"/>
          <w:szCs w:val="24"/>
        </w:rPr>
      </w:pPr>
      <w:r w:rsidRPr="004818B7">
        <w:rPr>
          <w:rStyle w:val="FootnoteReference"/>
        </w:rPr>
        <w:footnoteRef/>
      </w:r>
      <w:r w:rsidRPr="004818B7">
        <w:t xml:space="preserve"> </w:t>
      </w:r>
      <w:r>
        <w:tab/>
      </w:r>
      <w:r w:rsidRPr="003C3C76">
        <w:rPr>
          <w:rFonts w:ascii="Times New Roman" w:hAnsi="Times New Roman"/>
          <w:sz w:val="24"/>
          <w:szCs w:val="24"/>
        </w:rPr>
        <w:t>This number reflects the average number of hours per response across all of the registration forms (Forms 7-R, 8-R, 7-W, and 8-T), which, as previously noted, is consistent with the historical practice of the Commission by addressing the burden estimates in aggregate, rather than separately on a form-by-form basis.</w:t>
      </w:r>
    </w:p>
  </w:footnote>
  <w:footnote w:id="8">
    <w:p w:rsidR="00E71FE4" w:rsidRPr="002D5319" w14:paraId="2C3CC2D1" w14:textId="15A8A98E">
      <w:pPr>
        <w:pStyle w:val="FootnoteText"/>
        <w:rPr>
          <w:rFonts w:ascii="Times New Roman" w:hAnsi="Times New Roman"/>
          <w:sz w:val="24"/>
          <w:szCs w:val="24"/>
        </w:rPr>
      </w:pPr>
      <w:r>
        <w:rPr>
          <w:rStyle w:val="FootnoteReference"/>
        </w:rPr>
        <w:footnoteRef/>
      </w:r>
      <w:r>
        <w:t xml:space="preserve"> </w:t>
      </w:r>
      <w:r>
        <w:tab/>
      </w:r>
      <w:r w:rsidRPr="002D5319">
        <w:rPr>
          <w:rFonts w:ascii="Times New Roman" w:hAnsi="Times New Roman"/>
          <w:sz w:val="24"/>
          <w:szCs w:val="24"/>
        </w:rPr>
        <w:t xml:space="preserve">Assumes a blended average hourly rate </w:t>
      </w:r>
      <w:r w:rsidRPr="002D5319" w:rsidR="00155875">
        <w:rPr>
          <w:rFonts w:ascii="Times New Roman" w:hAnsi="Times New Roman"/>
          <w:sz w:val="24"/>
          <w:szCs w:val="24"/>
        </w:rPr>
        <w:t xml:space="preserve">of $81.97 </w:t>
      </w:r>
      <w:r w:rsidRPr="002D5319">
        <w:rPr>
          <w:rFonts w:ascii="Times New Roman" w:hAnsi="Times New Roman"/>
          <w:sz w:val="24"/>
          <w:szCs w:val="24"/>
        </w:rPr>
        <w:t xml:space="preserve">for one compliance officer and one attorney, based on mean hourly rate figures of </w:t>
      </w:r>
      <w:r w:rsidRPr="002D5319" w:rsidR="00155875">
        <w:rPr>
          <w:rFonts w:ascii="Times New Roman" w:hAnsi="Times New Roman"/>
          <w:sz w:val="24"/>
          <w:szCs w:val="24"/>
        </w:rPr>
        <w:t xml:space="preserve">$44.31 and $119.63, respectively, as </w:t>
      </w:r>
      <w:r w:rsidRPr="002D5319">
        <w:rPr>
          <w:rFonts w:ascii="Times New Roman" w:hAnsi="Times New Roman"/>
          <w:sz w:val="24"/>
          <w:szCs w:val="24"/>
        </w:rPr>
        <w:t xml:space="preserve">published by the Bureau of Labor Statistics in the </w:t>
      </w:r>
      <w:r w:rsidRPr="002D5319" w:rsidR="00155875">
        <w:rPr>
          <w:rFonts w:ascii="Times New Roman" w:hAnsi="Times New Roman"/>
          <w:sz w:val="24"/>
          <w:szCs w:val="24"/>
        </w:rPr>
        <w:t xml:space="preserve">publication </w:t>
      </w:r>
      <w:r w:rsidRPr="002D5319">
        <w:rPr>
          <w:rFonts w:ascii="Times New Roman" w:hAnsi="Times New Roman"/>
          <w:i/>
          <w:sz w:val="24"/>
          <w:szCs w:val="24"/>
        </w:rPr>
        <w:t>May 2022 National Industry-Specific Occupational Employment and Wage Estimates NAICS 523000 - Securities, Commodity Contracts, and Other Financial Investments and Related Activities</w:t>
      </w:r>
      <w:r w:rsidRPr="002D5319" w:rsidR="00155875">
        <w:rPr>
          <w:rFonts w:ascii="Times New Roman" w:hAnsi="Times New Roman"/>
          <w:sz w:val="24"/>
          <w:szCs w:val="24"/>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DC33F2A"/>
    <w:multiLevelType w:val="hybridMultilevel"/>
    <w:tmpl w:val="F5DA2ED4"/>
    <w:lvl w:ilvl="0">
      <w:start w:val="1"/>
      <w:numFmt w:val="bullet"/>
      <w:lvlText w:val="•"/>
      <w:lvlJc w:val="left"/>
      <w:pPr>
        <w:tabs>
          <w:tab w:val="num" w:pos="936"/>
        </w:tabs>
        <w:ind w:left="936" w:hanging="216"/>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57"/>
  <w:displayVerticalDrawingGridEvery w:val="2"/>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B6B"/>
    <w:rsid w:val="000035C3"/>
    <w:rsid w:val="000175EB"/>
    <w:rsid w:val="00022B4E"/>
    <w:rsid w:val="00022B65"/>
    <w:rsid w:val="000232F0"/>
    <w:rsid w:val="0002390B"/>
    <w:rsid w:val="000277A5"/>
    <w:rsid w:val="00030EBB"/>
    <w:rsid w:val="00032EBD"/>
    <w:rsid w:val="000341C4"/>
    <w:rsid w:val="0003539C"/>
    <w:rsid w:val="00046F5A"/>
    <w:rsid w:val="00057324"/>
    <w:rsid w:val="00057576"/>
    <w:rsid w:val="000600B6"/>
    <w:rsid w:val="000605D8"/>
    <w:rsid w:val="00063FBB"/>
    <w:rsid w:val="00065329"/>
    <w:rsid w:val="000671BD"/>
    <w:rsid w:val="00077214"/>
    <w:rsid w:val="00081341"/>
    <w:rsid w:val="00082E9F"/>
    <w:rsid w:val="000835F6"/>
    <w:rsid w:val="00086300"/>
    <w:rsid w:val="0008745D"/>
    <w:rsid w:val="000939F0"/>
    <w:rsid w:val="000A4158"/>
    <w:rsid w:val="000B26DF"/>
    <w:rsid w:val="000B37A1"/>
    <w:rsid w:val="000C30AD"/>
    <w:rsid w:val="000D64EB"/>
    <w:rsid w:val="000E216C"/>
    <w:rsid w:val="000E60AA"/>
    <w:rsid w:val="000E6F66"/>
    <w:rsid w:val="000E7317"/>
    <w:rsid w:val="000F16E9"/>
    <w:rsid w:val="000F413A"/>
    <w:rsid w:val="000F43CF"/>
    <w:rsid w:val="000F5E97"/>
    <w:rsid w:val="000F7C4A"/>
    <w:rsid w:val="00100FFF"/>
    <w:rsid w:val="00124A68"/>
    <w:rsid w:val="00125142"/>
    <w:rsid w:val="001278DD"/>
    <w:rsid w:val="0013204F"/>
    <w:rsid w:val="00132FB8"/>
    <w:rsid w:val="0013795F"/>
    <w:rsid w:val="0015188C"/>
    <w:rsid w:val="0015194E"/>
    <w:rsid w:val="001525B7"/>
    <w:rsid w:val="00155875"/>
    <w:rsid w:val="0015588D"/>
    <w:rsid w:val="001625CC"/>
    <w:rsid w:val="00162F8D"/>
    <w:rsid w:val="0016662F"/>
    <w:rsid w:val="0016738E"/>
    <w:rsid w:val="00171C64"/>
    <w:rsid w:val="00173613"/>
    <w:rsid w:val="001737C1"/>
    <w:rsid w:val="00173E2B"/>
    <w:rsid w:val="00175A8F"/>
    <w:rsid w:val="0017660A"/>
    <w:rsid w:val="0017723B"/>
    <w:rsid w:val="00182FBB"/>
    <w:rsid w:val="00184A5F"/>
    <w:rsid w:val="00187502"/>
    <w:rsid w:val="00190146"/>
    <w:rsid w:val="00192BF1"/>
    <w:rsid w:val="00193363"/>
    <w:rsid w:val="0019376E"/>
    <w:rsid w:val="00196D55"/>
    <w:rsid w:val="00197815"/>
    <w:rsid w:val="001A1542"/>
    <w:rsid w:val="001A21D2"/>
    <w:rsid w:val="001A315C"/>
    <w:rsid w:val="001A6F8A"/>
    <w:rsid w:val="001B1D9B"/>
    <w:rsid w:val="001C06D6"/>
    <w:rsid w:val="001D0FB2"/>
    <w:rsid w:val="001D1FAF"/>
    <w:rsid w:val="001E0D04"/>
    <w:rsid w:val="001E36C7"/>
    <w:rsid w:val="001F4495"/>
    <w:rsid w:val="001F4DED"/>
    <w:rsid w:val="002037C9"/>
    <w:rsid w:val="002037F6"/>
    <w:rsid w:val="00206095"/>
    <w:rsid w:val="002331B0"/>
    <w:rsid w:val="00234AC6"/>
    <w:rsid w:val="00241951"/>
    <w:rsid w:val="002469B1"/>
    <w:rsid w:val="002478A8"/>
    <w:rsid w:val="00247D20"/>
    <w:rsid w:val="00256058"/>
    <w:rsid w:val="00263289"/>
    <w:rsid w:val="0026473C"/>
    <w:rsid w:val="00265109"/>
    <w:rsid w:val="00266723"/>
    <w:rsid w:val="00274157"/>
    <w:rsid w:val="00276B3D"/>
    <w:rsid w:val="00295FD0"/>
    <w:rsid w:val="00296AC1"/>
    <w:rsid w:val="002A3DCA"/>
    <w:rsid w:val="002C013D"/>
    <w:rsid w:val="002D3E29"/>
    <w:rsid w:val="002D50DC"/>
    <w:rsid w:val="002D5319"/>
    <w:rsid w:val="002D6853"/>
    <w:rsid w:val="002D69B6"/>
    <w:rsid w:val="002E1502"/>
    <w:rsid w:val="002E3721"/>
    <w:rsid w:val="002F1336"/>
    <w:rsid w:val="002F1530"/>
    <w:rsid w:val="002F2092"/>
    <w:rsid w:val="002F498B"/>
    <w:rsid w:val="002F7400"/>
    <w:rsid w:val="00300FD9"/>
    <w:rsid w:val="0030293E"/>
    <w:rsid w:val="00313CA1"/>
    <w:rsid w:val="00315A5F"/>
    <w:rsid w:val="00315A79"/>
    <w:rsid w:val="003168A3"/>
    <w:rsid w:val="00322ACD"/>
    <w:rsid w:val="0033019B"/>
    <w:rsid w:val="00331671"/>
    <w:rsid w:val="00346CCF"/>
    <w:rsid w:val="00355CD8"/>
    <w:rsid w:val="00362C39"/>
    <w:rsid w:val="00372F94"/>
    <w:rsid w:val="003742D1"/>
    <w:rsid w:val="00380D74"/>
    <w:rsid w:val="00383EE8"/>
    <w:rsid w:val="00386537"/>
    <w:rsid w:val="00387DE0"/>
    <w:rsid w:val="00390223"/>
    <w:rsid w:val="003909C8"/>
    <w:rsid w:val="003916EB"/>
    <w:rsid w:val="00395196"/>
    <w:rsid w:val="003A04C2"/>
    <w:rsid w:val="003A65CB"/>
    <w:rsid w:val="003B60A5"/>
    <w:rsid w:val="003C3C76"/>
    <w:rsid w:val="003C4C87"/>
    <w:rsid w:val="003D32C7"/>
    <w:rsid w:val="003D4314"/>
    <w:rsid w:val="003D49DE"/>
    <w:rsid w:val="003D597E"/>
    <w:rsid w:val="003E1569"/>
    <w:rsid w:val="003E256B"/>
    <w:rsid w:val="003F0037"/>
    <w:rsid w:val="003F308D"/>
    <w:rsid w:val="003F4662"/>
    <w:rsid w:val="003F7037"/>
    <w:rsid w:val="004024C0"/>
    <w:rsid w:val="00405023"/>
    <w:rsid w:val="004056E1"/>
    <w:rsid w:val="00412215"/>
    <w:rsid w:val="004134B4"/>
    <w:rsid w:val="00415146"/>
    <w:rsid w:val="00420535"/>
    <w:rsid w:val="00427241"/>
    <w:rsid w:val="0043450D"/>
    <w:rsid w:val="004435EB"/>
    <w:rsid w:val="00443786"/>
    <w:rsid w:val="0044398D"/>
    <w:rsid w:val="00446161"/>
    <w:rsid w:val="00457CD5"/>
    <w:rsid w:val="00461BE7"/>
    <w:rsid w:val="00477502"/>
    <w:rsid w:val="004818B7"/>
    <w:rsid w:val="00481D80"/>
    <w:rsid w:val="00484030"/>
    <w:rsid w:val="00484368"/>
    <w:rsid w:val="004863E8"/>
    <w:rsid w:val="0048658D"/>
    <w:rsid w:val="00492081"/>
    <w:rsid w:val="0049540F"/>
    <w:rsid w:val="004A282C"/>
    <w:rsid w:val="004A3B8F"/>
    <w:rsid w:val="004B6432"/>
    <w:rsid w:val="004B7C1F"/>
    <w:rsid w:val="004C1386"/>
    <w:rsid w:val="004C363D"/>
    <w:rsid w:val="004C4EBD"/>
    <w:rsid w:val="004C6EA1"/>
    <w:rsid w:val="004C7A01"/>
    <w:rsid w:val="004D2594"/>
    <w:rsid w:val="004D36F7"/>
    <w:rsid w:val="004D6909"/>
    <w:rsid w:val="004E0BF4"/>
    <w:rsid w:val="004E2B3C"/>
    <w:rsid w:val="004E77DC"/>
    <w:rsid w:val="004F44F9"/>
    <w:rsid w:val="004F5BCC"/>
    <w:rsid w:val="004F5F97"/>
    <w:rsid w:val="004F77C5"/>
    <w:rsid w:val="00500BDE"/>
    <w:rsid w:val="00503C27"/>
    <w:rsid w:val="00510A26"/>
    <w:rsid w:val="0051332A"/>
    <w:rsid w:val="00514001"/>
    <w:rsid w:val="00514F4E"/>
    <w:rsid w:val="00517B58"/>
    <w:rsid w:val="00524271"/>
    <w:rsid w:val="0052481F"/>
    <w:rsid w:val="00525E95"/>
    <w:rsid w:val="0052625D"/>
    <w:rsid w:val="00526447"/>
    <w:rsid w:val="00534983"/>
    <w:rsid w:val="00534B6B"/>
    <w:rsid w:val="0054134E"/>
    <w:rsid w:val="00542723"/>
    <w:rsid w:val="00542854"/>
    <w:rsid w:val="005443A5"/>
    <w:rsid w:val="0054627E"/>
    <w:rsid w:val="00556B45"/>
    <w:rsid w:val="00563950"/>
    <w:rsid w:val="005652AC"/>
    <w:rsid w:val="00565921"/>
    <w:rsid w:val="0056634F"/>
    <w:rsid w:val="00566A28"/>
    <w:rsid w:val="00574C2F"/>
    <w:rsid w:val="00576890"/>
    <w:rsid w:val="00583E5B"/>
    <w:rsid w:val="00586F7E"/>
    <w:rsid w:val="00591252"/>
    <w:rsid w:val="00592165"/>
    <w:rsid w:val="0059221E"/>
    <w:rsid w:val="00596D53"/>
    <w:rsid w:val="005A4D99"/>
    <w:rsid w:val="005A56CC"/>
    <w:rsid w:val="005B0BE6"/>
    <w:rsid w:val="005B27BA"/>
    <w:rsid w:val="005B5435"/>
    <w:rsid w:val="005C0DD3"/>
    <w:rsid w:val="005C479A"/>
    <w:rsid w:val="005D0314"/>
    <w:rsid w:val="005D1AFD"/>
    <w:rsid w:val="005D3FD5"/>
    <w:rsid w:val="005E1171"/>
    <w:rsid w:val="005E1DFE"/>
    <w:rsid w:val="005E536C"/>
    <w:rsid w:val="005F12C0"/>
    <w:rsid w:val="005F4138"/>
    <w:rsid w:val="005F449F"/>
    <w:rsid w:val="005F6628"/>
    <w:rsid w:val="00602973"/>
    <w:rsid w:val="0060418F"/>
    <w:rsid w:val="006046B6"/>
    <w:rsid w:val="006101E5"/>
    <w:rsid w:val="0061595D"/>
    <w:rsid w:val="0062259E"/>
    <w:rsid w:val="00624DC7"/>
    <w:rsid w:val="00625474"/>
    <w:rsid w:val="00634796"/>
    <w:rsid w:val="006371A5"/>
    <w:rsid w:val="0064375A"/>
    <w:rsid w:val="006500E8"/>
    <w:rsid w:val="00653915"/>
    <w:rsid w:val="00660E17"/>
    <w:rsid w:val="00664257"/>
    <w:rsid w:val="00674558"/>
    <w:rsid w:val="00675296"/>
    <w:rsid w:val="00677F55"/>
    <w:rsid w:val="00692A25"/>
    <w:rsid w:val="006A05A1"/>
    <w:rsid w:val="006A3336"/>
    <w:rsid w:val="006A5DFD"/>
    <w:rsid w:val="006A6FCF"/>
    <w:rsid w:val="006B29D9"/>
    <w:rsid w:val="006C002A"/>
    <w:rsid w:val="006C1D44"/>
    <w:rsid w:val="006C5EE1"/>
    <w:rsid w:val="006D0492"/>
    <w:rsid w:val="006D38A6"/>
    <w:rsid w:val="006D4EA5"/>
    <w:rsid w:val="006D759D"/>
    <w:rsid w:val="006E27F7"/>
    <w:rsid w:val="006E3F07"/>
    <w:rsid w:val="006E5ADD"/>
    <w:rsid w:val="006E756C"/>
    <w:rsid w:val="006F4F75"/>
    <w:rsid w:val="006F6771"/>
    <w:rsid w:val="006F7274"/>
    <w:rsid w:val="007003B8"/>
    <w:rsid w:val="00701D5C"/>
    <w:rsid w:val="0070243E"/>
    <w:rsid w:val="00714F2C"/>
    <w:rsid w:val="00715E8F"/>
    <w:rsid w:val="0072782D"/>
    <w:rsid w:val="00727CCD"/>
    <w:rsid w:val="007303F4"/>
    <w:rsid w:val="007448AF"/>
    <w:rsid w:val="0074513D"/>
    <w:rsid w:val="007456F6"/>
    <w:rsid w:val="007536D5"/>
    <w:rsid w:val="00753B6E"/>
    <w:rsid w:val="00756626"/>
    <w:rsid w:val="007600AF"/>
    <w:rsid w:val="007602AC"/>
    <w:rsid w:val="007616A9"/>
    <w:rsid w:val="00773F48"/>
    <w:rsid w:val="00775781"/>
    <w:rsid w:val="007771AE"/>
    <w:rsid w:val="00784E4B"/>
    <w:rsid w:val="00793467"/>
    <w:rsid w:val="00794BD7"/>
    <w:rsid w:val="00796330"/>
    <w:rsid w:val="007A49AE"/>
    <w:rsid w:val="007B2CE3"/>
    <w:rsid w:val="007D270C"/>
    <w:rsid w:val="007F2D28"/>
    <w:rsid w:val="007F39B7"/>
    <w:rsid w:val="007F5178"/>
    <w:rsid w:val="007F5475"/>
    <w:rsid w:val="007F58B4"/>
    <w:rsid w:val="00803774"/>
    <w:rsid w:val="00807DB0"/>
    <w:rsid w:val="00810F14"/>
    <w:rsid w:val="008159FE"/>
    <w:rsid w:val="00816B04"/>
    <w:rsid w:val="008207B9"/>
    <w:rsid w:val="00831354"/>
    <w:rsid w:val="00834DD7"/>
    <w:rsid w:val="00847761"/>
    <w:rsid w:val="008519D2"/>
    <w:rsid w:val="0085370C"/>
    <w:rsid w:val="00860CE6"/>
    <w:rsid w:val="00863A6C"/>
    <w:rsid w:val="00864576"/>
    <w:rsid w:val="00866362"/>
    <w:rsid w:val="00867521"/>
    <w:rsid w:val="00871325"/>
    <w:rsid w:val="00876379"/>
    <w:rsid w:val="008827E0"/>
    <w:rsid w:val="00882E1C"/>
    <w:rsid w:val="0088759B"/>
    <w:rsid w:val="0088767B"/>
    <w:rsid w:val="00893A29"/>
    <w:rsid w:val="008A1115"/>
    <w:rsid w:val="008A4669"/>
    <w:rsid w:val="008A5D5E"/>
    <w:rsid w:val="008B1644"/>
    <w:rsid w:val="008B2C73"/>
    <w:rsid w:val="008B4817"/>
    <w:rsid w:val="008C1109"/>
    <w:rsid w:val="008C3257"/>
    <w:rsid w:val="008C3CA7"/>
    <w:rsid w:val="008C415E"/>
    <w:rsid w:val="008D0546"/>
    <w:rsid w:val="008D105C"/>
    <w:rsid w:val="008D4548"/>
    <w:rsid w:val="008D49C0"/>
    <w:rsid w:val="008D761A"/>
    <w:rsid w:val="008E3461"/>
    <w:rsid w:val="008E7AF8"/>
    <w:rsid w:val="008E7FCE"/>
    <w:rsid w:val="008F1930"/>
    <w:rsid w:val="008F7E0C"/>
    <w:rsid w:val="009021E4"/>
    <w:rsid w:val="009025A4"/>
    <w:rsid w:val="0090417E"/>
    <w:rsid w:val="00911EE7"/>
    <w:rsid w:val="00912A9E"/>
    <w:rsid w:val="0092012D"/>
    <w:rsid w:val="009220A1"/>
    <w:rsid w:val="00924694"/>
    <w:rsid w:val="0092581A"/>
    <w:rsid w:val="00925FF4"/>
    <w:rsid w:val="00932277"/>
    <w:rsid w:val="009367E2"/>
    <w:rsid w:val="00943BB2"/>
    <w:rsid w:val="00944106"/>
    <w:rsid w:val="00945C50"/>
    <w:rsid w:val="0095732F"/>
    <w:rsid w:val="009635F1"/>
    <w:rsid w:val="00964BFD"/>
    <w:rsid w:val="00966D11"/>
    <w:rsid w:val="00986B86"/>
    <w:rsid w:val="0099405B"/>
    <w:rsid w:val="00995D04"/>
    <w:rsid w:val="009A24BB"/>
    <w:rsid w:val="009A585D"/>
    <w:rsid w:val="009B5165"/>
    <w:rsid w:val="009B51E0"/>
    <w:rsid w:val="009C0842"/>
    <w:rsid w:val="009D187B"/>
    <w:rsid w:val="009D3A33"/>
    <w:rsid w:val="009D4963"/>
    <w:rsid w:val="009E00A2"/>
    <w:rsid w:val="009E20E0"/>
    <w:rsid w:val="009F5BE2"/>
    <w:rsid w:val="00A033D5"/>
    <w:rsid w:val="00A0346E"/>
    <w:rsid w:val="00A05E23"/>
    <w:rsid w:val="00A06CDC"/>
    <w:rsid w:val="00A11B9C"/>
    <w:rsid w:val="00A123D6"/>
    <w:rsid w:val="00A20639"/>
    <w:rsid w:val="00A23539"/>
    <w:rsid w:val="00A2626B"/>
    <w:rsid w:val="00A31CC4"/>
    <w:rsid w:val="00A45371"/>
    <w:rsid w:val="00A45957"/>
    <w:rsid w:val="00A47D54"/>
    <w:rsid w:val="00A50199"/>
    <w:rsid w:val="00A53958"/>
    <w:rsid w:val="00A61170"/>
    <w:rsid w:val="00A61F7A"/>
    <w:rsid w:val="00A634E7"/>
    <w:rsid w:val="00A80D36"/>
    <w:rsid w:val="00A8414C"/>
    <w:rsid w:val="00A8752C"/>
    <w:rsid w:val="00A87E91"/>
    <w:rsid w:val="00A938FE"/>
    <w:rsid w:val="00A95253"/>
    <w:rsid w:val="00AA0461"/>
    <w:rsid w:val="00AA138C"/>
    <w:rsid w:val="00AB0BBC"/>
    <w:rsid w:val="00AC00CC"/>
    <w:rsid w:val="00AC1D40"/>
    <w:rsid w:val="00AD1B32"/>
    <w:rsid w:val="00AD6953"/>
    <w:rsid w:val="00AD716A"/>
    <w:rsid w:val="00AD72CD"/>
    <w:rsid w:val="00AE4C42"/>
    <w:rsid w:val="00AE609D"/>
    <w:rsid w:val="00AF4A73"/>
    <w:rsid w:val="00B05FA4"/>
    <w:rsid w:val="00B14DF4"/>
    <w:rsid w:val="00B165A8"/>
    <w:rsid w:val="00B206A6"/>
    <w:rsid w:val="00B22DD7"/>
    <w:rsid w:val="00B22FB7"/>
    <w:rsid w:val="00B23301"/>
    <w:rsid w:val="00B24F98"/>
    <w:rsid w:val="00B26DF3"/>
    <w:rsid w:val="00B30FB1"/>
    <w:rsid w:val="00B31D59"/>
    <w:rsid w:val="00B36E33"/>
    <w:rsid w:val="00B441D5"/>
    <w:rsid w:val="00B47C83"/>
    <w:rsid w:val="00B50EEE"/>
    <w:rsid w:val="00B66F38"/>
    <w:rsid w:val="00B67914"/>
    <w:rsid w:val="00B72015"/>
    <w:rsid w:val="00B76507"/>
    <w:rsid w:val="00B776EC"/>
    <w:rsid w:val="00B800F8"/>
    <w:rsid w:val="00B82BCC"/>
    <w:rsid w:val="00B839EF"/>
    <w:rsid w:val="00B873D6"/>
    <w:rsid w:val="00B90175"/>
    <w:rsid w:val="00BA7889"/>
    <w:rsid w:val="00BB4C1A"/>
    <w:rsid w:val="00BC38B9"/>
    <w:rsid w:val="00BC4975"/>
    <w:rsid w:val="00BC520E"/>
    <w:rsid w:val="00BC5447"/>
    <w:rsid w:val="00BC706A"/>
    <w:rsid w:val="00BD392E"/>
    <w:rsid w:val="00BD4837"/>
    <w:rsid w:val="00BD48BD"/>
    <w:rsid w:val="00BE1714"/>
    <w:rsid w:val="00BF20CC"/>
    <w:rsid w:val="00BF49DB"/>
    <w:rsid w:val="00BF54BE"/>
    <w:rsid w:val="00BF703F"/>
    <w:rsid w:val="00C13A1C"/>
    <w:rsid w:val="00C2325B"/>
    <w:rsid w:val="00C33FC9"/>
    <w:rsid w:val="00C37E53"/>
    <w:rsid w:val="00C424BC"/>
    <w:rsid w:val="00C4280C"/>
    <w:rsid w:val="00C4283A"/>
    <w:rsid w:val="00C442B8"/>
    <w:rsid w:val="00C4606F"/>
    <w:rsid w:val="00C50F6D"/>
    <w:rsid w:val="00C50FAC"/>
    <w:rsid w:val="00C518B3"/>
    <w:rsid w:val="00C53275"/>
    <w:rsid w:val="00C5632B"/>
    <w:rsid w:val="00C60B24"/>
    <w:rsid w:val="00C6498B"/>
    <w:rsid w:val="00C649BE"/>
    <w:rsid w:val="00C747F8"/>
    <w:rsid w:val="00C83F82"/>
    <w:rsid w:val="00C902A1"/>
    <w:rsid w:val="00CB0347"/>
    <w:rsid w:val="00CB24FF"/>
    <w:rsid w:val="00CB6056"/>
    <w:rsid w:val="00CB7148"/>
    <w:rsid w:val="00CD542F"/>
    <w:rsid w:val="00CE3659"/>
    <w:rsid w:val="00CF7673"/>
    <w:rsid w:val="00D03F7B"/>
    <w:rsid w:val="00D04857"/>
    <w:rsid w:val="00D05B93"/>
    <w:rsid w:val="00D14348"/>
    <w:rsid w:val="00D20989"/>
    <w:rsid w:val="00D21740"/>
    <w:rsid w:val="00D24617"/>
    <w:rsid w:val="00D320F0"/>
    <w:rsid w:val="00D40FE0"/>
    <w:rsid w:val="00D41450"/>
    <w:rsid w:val="00D4197D"/>
    <w:rsid w:val="00D443F5"/>
    <w:rsid w:val="00D52101"/>
    <w:rsid w:val="00D540D1"/>
    <w:rsid w:val="00D55CAE"/>
    <w:rsid w:val="00D56D12"/>
    <w:rsid w:val="00D66F44"/>
    <w:rsid w:val="00D673D1"/>
    <w:rsid w:val="00D67916"/>
    <w:rsid w:val="00D719D5"/>
    <w:rsid w:val="00D77105"/>
    <w:rsid w:val="00D8025D"/>
    <w:rsid w:val="00D80CC1"/>
    <w:rsid w:val="00D9089F"/>
    <w:rsid w:val="00D9298D"/>
    <w:rsid w:val="00D93BA9"/>
    <w:rsid w:val="00DA5853"/>
    <w:rsid w:val="00DB03AA"/>
    <w:rsid w:val="00DB2157"/>
    <w:rsid w:val="00DC2B99"/>
    <w:rsid w:val="00DC522E"/>
    <w:rsid w:val="00DE27BC"/>
    <w:rsid w:val="00DE297F"/>
    <w:rsid w:val="00E013D8"/>
    <w:rsid w:val="00E05D75"/>
    <w:rsid w:val="00E0700C"/>
    <w:rsid w:val="00E11EED"/>
    <w:rsid w:val="00E1421F"/>
    <w:rsid w:val="00E164E5"/>
    <w:rsid w:val="00E17DE8"/>
    <w:rsid w:val="00E22E82"/>
    <w:rsid w:val="00E2335E"/>
    <w:rsid w:val="00E236E5"/>
    <w:rsid w:val="00E240FB"/>
    <w:rsid w:val="00E247F5"/>
    <w:rsid w:val="00E268D0"/>
    <w:rsid w:val="00E313D8"/>
    <w:rsid w:val="00E33EDE"/>
    <w:rsid w:val="00E36FCD"/>
    <w:rsid w:val="00E370AC"/>
    <w:rsid w:val="00E417BB"/>
    <w:rsid w:val="00E41C88"/>
    <w:rsid w:val="00E42631"/>
    <w:rsid w:val="00E51D99"/>
    <w:rsid w:val="00E54A26"/>
    <w:rsid w:val="00E55422"/>
    <w:rsid w:val="00E605B7"/>
    <w:rsid w:val="00E639DE"/>
    <w:rsid w:val="00E71FE4"/>
    <w:rsid w:val="00E90F3F"/>
    <w:rsid w:val="00E93DA6"/>
    <w:rsid w:val="00E944C1"/>
    <w:rsid w:val="00EA190A"/>
    <w:rsid w:val="00EA260E"/>
    <w:rsid w:val="00EB4997"/>
    <w:rsid w:val="00EB6095"/>
    <w:rsid w:val="00EB6A33"/>
    <w:rsid w:val="00EB7F98"/>
    <w:rsid w:val="00EC0E5E"/>
    <w:rsid w:val="00EC0E78"/>
    <w:rsid w:val="00EC2551"/>
    <w:rsid w:val="00EC2A0B"/>
    <w:rsid w:val="00EC3C75"/>
    <w:rsid w:val="00EC7005"/>
    <w:rsid w:val="00ED0361"/>
    <w:rsid w:val="00ED609B"/>
    <w:rsid w:val="00ED7EF8"/>
    <w:rsid w:val="00EE04E5"/>
    <w:rsid w:val="00EE2608"/>
    <w:rsid w:val="00EE44CA"/>
    <w:rsid w:val="00EE4E0D"/>
    <w:rsid w:val="00EE677F"/>
    <w:rsid w:val="00EE7872"/>
    <w:rsid w:val="00EE7D31"/>
    <w:rsid w:val="00EF1ADC"/>
    <w:rsid w:val="00F12BA6"/>
    <w:rsid w:val="00F14880"/>
    <w:rsid w:val="00F21D61"/>
    <w:rsid w:val="00F24E01"/>
    <w:rsid w:val="00F264B6"/>
    <w:rsid w:val="00F31702"/>
    <w:rsid w:val="00F3672F"/>
    <w:rsid w:val="00F36F82"/>
    <w:rsid w:val="00F45CC6"/>
    <w:rsid w:val="00F50479"/>
    <w:rsid w:val="00F51ACE"/>
    <w:rsid w:val="00F52D41"/>
    <w:rsid w:val="00F570E2"/>
    <w:rsid w:val="00F62252"/>
    <w:rsid w:val="00F6587A"/>
    <w:rsid w:val="00F706E4"/>
    <w:rsid w:val="00F80680"/>
    <w:rsid w:val="00F83D3B"/>
    <w:rsid w:val="00F85FEA"/>
    <w:rsid w:val="00F86BB6"/>
    <w:rsid w:val="00F86F2A"/>
    <w:rsid w:val="00F91BB4"/>
    <w:rsid w:val="00F940C0"/>
    <w:rsid w:val="00F973FB"/>
    <w:rsid w:val="00F978BB"/>
    <w:rsid w:val="00FA07DA"/>
    <w:rsid w:val="00FA0F5C"/>
    <w:rsid w:val="00FA241F"/>
    <w:rsid w:val="00FB0027"/>
    <w:rsid w:val="00FB404A"/>
    <w:rsid w:val="00FC5158"/>
    <w:rsid w:val="00FC59D7"/>
    <w:rsid w:val="00FC64FD"/>
    <w:rsid w:val="00FD0FBE"/>
    <w:rsid w:val="00FD1FD7"/>
    <w:rsid w:val="00FD7BD7"/>
    <w:rsid w:val="00FE6D02"/>
    <w:rsid w:val="00FF01C2"/>
    <w:rsid w:val="00FF4046"/>
    <w:rsid w:val="00FF6071"/>
    <w:rsid w:val="00FF7C9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59CBCCC"/>
  <w15:chartTrackingRefBased/>
  <w15:docId w15:val="{9F471D1D-EA94-4E5B-B93C-AAC2E3E83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caption" w:semiHidden="1" w:unhideWhenUsed="1" w:qFormat="1"/>
    <w:lsdException w:name="footnote reference"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34B6B"/>
    <w:rPr>
      <w:rFonts w:ascii="Arial" w:hAnsi="Arial"/>
      <w:sz w:val="24"/>
      <w:szCs w:val="24"/>
    </w:rPr>
  </w:style>
  <w:style w:type="paragraph" w:styleId="Heading1">
    <w:name w:val="heading 1"/>
    <w:basedOn w:val="Normal"/>
    <w:next w:val="Normal"/>
    <w:qFormat/>
    <w:rsid w:val="00534B6B"/>
    <w:pPr>
      <w:keepNext/>
      <w:outlineLvl w:val="0"/>
    </w:pPr>
    <w:rPr>
      <w:b/>
      <w:szCs w:val="20"/>
    </w:rPr>
  </w:style>
  <w:style w:type="paragraph" w:styleId="Heading2">
    <w:name w:val="heading 2"/>
    <w:basedOn w:val="Normal"/>
    <w:next w:val="Normal"/>
    <w:link w:val="Heading2Char"/>
    <w:semiHidden/>
    <w:unhideWhenUsed/>
    <w:qFormat/>
    <w:rsid w:val="00B26DF3"/>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34B6B"/>
    <w:pPr>
      <w:overflowPunct w:val="0"/>
      <w:autoSpaceDE w:val="0"/>
      <w:autoSpaceDN w:val="0"/>
      <w:adjustRightInd w:val="0"/>
      <w:textAlignment w:val="baseline"/>
    </w:pPr>
    <w:rPr>
      <w:rFonts w:ascii="Courier" w:hAnsi="Courier"/>
      <w:szCs w:val="20"/>
    </w:rPr>
  </w:style>
  <w:style w:type="paragraph" w:styleId="TOC6">
    <w:name w:val="toc 6"/>
    <w:basedOn w:val="Normal"/>
    <w:next w:val="Normal"/>
    <w:semiHidden/>
    <w:rsid w:val="00534B6B"/>
    <w:pPr>
      <w:tabs>
        <w:tab w:val="right" w:pos="9360"/>
      </w:tabs>
      <w:suppressAutoHyphens/>
      <w:overflowPunct w:val="0"/>
      <w:autoSpaceDE w:val="0"/>
      <w:autoSpaceDN w:val="0"/>
      <w:adjustRightInd w:val="0"/>
      <w:ind w:left="720" w:hanging="720"/>
      <w:textAlignment w:val="baseline"/>
    </w:pPr>
    <w:rPr>
      <w:rFonts w:ascii="Courier" w:hAnsi="Courier"/>
      <w:szCs w:val="20"/>
    </w:rPr>
  </w:style>
  <w:style w:type="paragraph" w:styleId="FootnoteText">
    <w:name w:val="footnote text"/>
    <w:aliases w:val="Footnote Text Char Char Char Char Char Char Char Char Char Char Char Char Char Char Char Char Char,Footnote Text Char Char Char Char Char Char Char Char Char Char Char Char Char Char Char Char Char Char Char Char,Footnote Text Char1,fn,ft"/>
    <w:basedOn w:val="Normal"/>
    <w:link w:val="FootnoteTextChar"/>
    <w:uiPriority w:val="99"/>
    <w:qFormat/>
    <w:rsid w:val="000F5E97"/>
    <w:rPr>
      <w:sz w:val="20"/>
      <w:szCs w:val="20"/>
    </w:rPr>
  </w:style>
  <w:style w:type="character" w:customStyle="1" w:styleId="FootnoteTextChar">
    <w:name w:val="Footnote Text Char"/>
    <w:aliases w:val="Footnote Text Char Char Char Char Char Char Char Char Char Char Char Char Char Char Char Char Char Char,Footnote Text Char1 Char,fn Char,ft Char"/>
    <w:link w:val="FootnoteText"/>
    <w:uiPriority w:val="99"/>
    <w:rsid w:val="000F5E97"/>
    <w:rPr>
      <w:rFonts w:ascii="Arial" w:hAnsi="Arial"/>
    </w:rPr>
  </w:style>
  <w:style w:type="character" w:styleId="FootnoteReference">
    <w:name w:val="footnote reference"/>
    <w:aliases w:val="12,Style 14,Style 16,Style 19,Style 35,Style 39,fr"/>
    <w:qFormat/>
    <w:rsid w:val="000F5E97"/>
    <w:rPr>
      <w:vertAlign w:val="superscript"/>
    </w:rPr>
  </w:style>
  <w:style w:type="character" w:customStyle="1" w:styleId="Heading2Char">
    <w:name w:val="Heading 2 Char"/>
    <w:link w:val="Heading2"/>
    <w:semiHidden/>
    <w:rsid w:val="00B26DF3"/>
    <w:rPr>
      <w:rFonts w:ascii="Cambria" w:eastAsia="Times New Roman" w:hAnsi="Cambria" w:cs="Times New Roman"/>
      <w:b/>
      <w:bCs/>
      <w:i/>
      <w:iCs/>
      <w:sz w:val="28"/>
      <w:szCs w:val="28"/>
    </w:rPr>
  </w:style>
  <w:style w:type="paragraph" w:styleId="Title">
    <w:name w:val="Title"/>
    <w:basedOn w:val="Normal"/>
    <w:link w:val="TitleChar"/>
    <w:qFormat/>
    <w:rsid w:val="00B26DF3"/>
    <w:pPr>
      <w:jc w:val="center"/>
    </w:pPr>
    <w:rPr>
      <w:rFonts w:ascii="Times New Roman" w:hAnsi="Times New Roman"/>
      <w:b/>
      <w:sz w:val="40"/>
      <w:szCs w:val="20"/>
    </w:rPr>
  </w:style>
  <w:style w:type="character" w:customStyle="1" w:styleId="TitleChar">
    <w:name w:val="Title Char"/>
    <w:link w:val="Title"/>
    <w:rsid w:val="00B26DF3"/>
    <w:rPr>
      <w:b/>
      <w:sz w:val="40"/>
    </w:rPr>
  </w:style>
  <w:style w:type="character" w:styleId="CommentReference">
    <w:name w:val="annotation reference"/>
    <w:uiPriority w:val="99"/>
    <w:rsid w:val="00924694"/>
    <w:rPr>
      <w:sz w:val="16"/>
      <w:szCs w:val="16"/>
    </w:rPr>
  </w:style>
  <w:style w:type="character" w:styleId="EndnoteReference">
    <w:name w:val="endnote reference"/>
    <w:rsid w:val="007600AF"/>
    <w:rPr>
      <w:vertAlign w:val="superscript"/>
    </w:rPr>
  </w:style>
  <w:style w:type="paragraph" w:styleId="CommentText">
    <w:name w:val="annotation text"/>
    <w:basedOn w:val="Normal"/>
    <w:link w:val="CommentTextChar"/>
    <w:uiPriority w:val="99"/>
    <w:unhideWhenUsed/>
    <w:rsid w:val="00B23301"/>
    <w:pPr>
      <w:overflowPunct w:val="0"/>
      <w:autoSpaceDE w:val="0"/>
      <w:autoSpaceDN w:val="0"/>
      <w:adjustRightInd w:val="0"/>
      <w:textAlignment w:val="baseline"/>
    </w:pPr>
    <w:rPr>
      <w:rFonts w:ascii="Times New Roman" w:hAnsi="Times New Roman"/>
      <w:sz w:val="20"/>
      <w:szCs w:val="20"/>
    </w:rPr>
  </w:style>
  <w:style w:type="character" w:customStyle="1" w:styleId="CommentTextChar">
    <w:name w:val="Comment Text Char"/>
    <w:basedOn w:val="DefaultParagraphFont"/>
    <w:link w:val="CommentText"/>
    <w:uiPriority w:val="99"/>
    <w:rsid w:val="00B23301"/>
  </w:style>
  <w:style w:type="paragraph" w:styleId="BalloonText">
    <w:name w:val="Balloon Text"/>
    <w:basedOn w:val="Normal"/>
    <w:link w:val="BalloonTextChar"/>
    <w:rsid w:val="00B23301"/>
    <w:rPr>
      <w:rFonts w:ascii="Tahoma" w:hAnsi="Tahoma" w:cs="Tahoma"/>
      <w:sz w:val="16"/>
      <w:szCs w:val="16"/>
    </w:rPr>
  </w:style>
  <w:style w:type="character" w:customStyle="1" w:styleId="BalloonTextChar">
    <w:name w:val="Balloon Text Char"/>
    <w:link w:val="BalloonText"/>
    <w:rsid w:val="00B23301"/>
    <w:rPr>
      <w:rFonts w:ascii="Tahoma" w:hAnsi="Tahoma" w:cs="Tahoma"/>
      <w:sz w:val="16"/>
      <w:szCs w:val="16"/>
    </w:rPr>
  </w:style>
  <w:style w:type="paragraph" w:styleId="CommentSubject">
    <w:name w:val="annotation subject"/>
    <w:basedOn w:val="CommentText"/>
    <w:next w:val="CommentText"/>
    <w:link w:val="CommentSubjectChar"/>
    <w:rsid w:val="00331671"/>
    <w:pPr>
      <w:overflowPunct/>
      <w:autoSpaceDE/>
      <w:autoSpaceDN/>
      <w:adjustRightInd/>
      <w:textAlignment w:val="auto"/>
    </w:pPr>
    <w:rPr>
      <w:rFonts w:ascii="Arial" w:hAnsi="Arial"/>
      <w:b/>
      <w:bCs/>
    </w:rPr>
  </w:style>
  <w:style w:type="character" w:customStyle="1" w:styleId="CommentSubjectChar">
    <w:name w:val="Comment Subject Char"/>
    <w:link w:val="CommentSubject"/>
    <w:rsid w:val="00331671"/>
    <w:rPr>
      <w:rFonts w:ascii="Arial" w:hAnsi="Arial"/>
      <w:b/>
      <w:bCs/>
    </w:rPr>
  </w:style>
  <w:style w:type="paragraph" w:styleId="Header">
    <w:name w:val="header"/>
    <w:basedOn w:val="Normal"/>
    <w:link w:val="HeaderChar"/>
    <w:rsid w:val="00331671"/>
    <w:pPr>
      <w:tabs>
        <w:tab w:val="center" w:pos="4680"/>
        <w:tab w:val="right" w:pos="9360"/>
      </w:tabs>
    </w:pPr>
  </w:style>
  <w:style w:type="character" w:customStyle="1" w:styleId="HeaderChar">
    <w:name w:val="Header Char"/>
    <w:link w:val="Header"/>
    <w:rsid w:val="00331671"/>
    <w:rPr>
      <w:rFonts w:ascii="Arial" w:hAnsi="Arial"/>
      <w:sz w:val="24"/>
      <w:szCs w:val="24"/>
    </w:rPr>
  </w:style>
  <w:style w:type="paragraph" w:styleId="Footer">
    <w:name w:val="footer"/>
    <w:basedOn w:val="Normal"/>
    <w:link w:val="FooterChar"/>
    <w:rsid w:val="00331671"/>
    <w:pPr>
      <w:tabs>
        <w:tab w:val="center" w:pos="4680"/>
        <w:tab w:val="right" w:pos="9360"/>
      </w:tabs>
    </w:pPr>
  </w:style>
  <w:style w:type="character" w:customStyle="1" w:styleId="FooterChar">
    <w:name w:val="Footer Char"/>
    <w:link w:val="Footer"/>
    <w:rsid w:val="00331671"/>
    <w:rPr>
      <w:rFonts w:ascii="Arial" w:hAnsi="Arial"/>
      <w:sz w:val="24"/>
      <w:szCs w:val="24"/>
    </w:rPr>
  </w:style>
  <w:style w:type="character" w:styleId="Hyperlink">
    <w:name w:val="Hyperlink"/>
    <w:uiPriority w:val="99"/>
    <w:unhideWhenUsed/>
    <w:rsid w:val="00B679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3CB0E7-AA65-4469-9FA8-1E056E9DF55C}">
  <ds:schemaRefs>
    <ds:schemaRef ds:uri="http://schemas.microsoft.com/sharepoint/v3/contenttype/forms"/>
  </ds:schemaRefs>
</ds:datastoreItem>
</file>

<file path=customXml/itemProps2.xml><?xml version="1.0" encoding="utf-8"?>
<ds:datastoreItem xmlns:ds="http://schemas.openxmlformats.org/officeDocument/2006/customXml" ds:itemID="{2D65A1E1-6BF7-4867-BCA7-C698DEC3E92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8C451C0C-5FE3-40AF-8EE2-307F068814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15D1DB6-29CD-435C-84FF-D29C6069C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2906</Words>
  <Characters>16237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Supporting Statement for New and Revised Information Collections</vt:lpstr>
    </vt:vector>
  </TitlesOfParts>
  <Company>CFTC</Company>
  <LinksUpToDate>false</LinksUpToDate>
  <CharactersWithSpaces>19105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New and Revised Information Collections</dc:title>
  <dc:subject>Supporting Statement required by OMB justifying any proposed collection of information subject to the PRA.</dc:subject>
  <dc:creator>Office of General Counsel (OGC)</dc:creator>
  <cp:keywords>Paperwork Reduction Act, PRA, supporting statement, information collection</cp:keywords>
  <cp:lastModifiedBy>OGC</cp:lastModifiedBy>
  <cp:revision>2</cp:revision>
  <cp:lastPrinted>2019-01-29T15:37:00Z</cp:lastPrinted>
  <dcterms:created xsi:type="dcterms:W3CDTF">2023-06-22T20:04:00Z</dcterms:created>
  <dcterms:modified xsi:type="dcterms:W3CDTF">2023-06-22T20:04:00Z</dcterms:modified>
</cp:coreProperties>
</file>