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04204B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24518" w:rsidRPr="00824518" w:rsidP="00EA6C04" w14:paraId="53C7143A" w14:textId="175FD5BB">
      <w:pPr>
        <w:jc w:val="center"/>
        <w:rPr>
          <w:rFonts w:asciiTheme="majorHAnsi" w:hAnsiTheme="majorHAnsi"/>
          <w:sz w:val="24"/>
        </w:rPr>
      </w:pPr>
      <w:r w:rsidRPr="00824518">
        <w:rPr>
          <w:rFonts w:asciiTheme="majorHAnsi" w:hAnsiTheme="majorHAnsi"/>
          <w:sz w:val="24"/>
        </w:rPr>
        <w:t>Safety Standard for Adult Portable Bedrails</w:t>
      </w:r>
      <w:r w:rsidRPr="00824518" w:rsidR="00EA6C04">
        <w:rPr>
          <w:rFonts w:asciiTheme="majorHAnsi" w:hAnsiTheme="majorHAnsi"/>
          <w:sz w:val="24"/>
        </w:rPr>
        <w:t xml:space="preserve">  </w:t>
      </w:r>
    </w:p>
    <w:p w:rsidR="00EA6C04" w:rsidP="00EA6C04" w14:paraId="3FBB36D2" w14:textId="5FEAAF83">
      <w:pPr>
        <w:jc w:val="center"/>
        <w:rPr>
          <w:rFonts w:asciiTheme="majorHAnsi" w:hAnsiTheme="majorHAnsi"/>
          <w:sz w:val="24"/>
        </w:rPr>
      </w:pPr>
      <w:r w:rsidRPr="00824518">
        <w:rPr>
          <w:rFonts w:asciiTheme="majorHAnsi" w:hAnsiTheme="majorHAnsi"/>
          <w:sz w:val="24"/>
        </w:rPr>
        <w:t xml:space="preserve">OMB </w:t>
      </w:r>
      <w:r w:rsidRPr="00824518">
        <w:rPr>
          <w:rFonts w:asciiTheme="majorHAnsi" w:hAnsiTheme="majorHAnsi"/>
          <w:sz w:val="24"/>
        </w:rPr>
        <w:t xml:space="preserve">Control </w:t>
      </w:r>
      <w:r w:rsidRPr="00824518">
        <w:rPr>
          <w:rFonts w:asciiTheme="majorHAnsi" w:hAnsiTheme="majorHAnsi"/>
          <w:sz w:val="24"/>
        </w:rPr>
        <w:t>Number</w:t>
      </w:r>
      <w:r w:rsidR="00B3205B">
        <w:rPr>
          <w:rFonts w:asciiTheme="majorHAnsi" w:hAnsiTheme="majorHAnsi"/>
          <w:sz w:val="24"/>
        </w:rPr>
        <w:t xml:space="preserve"> </w:t>
      </w:r>
      <w:r w:rsidRPr="00B3205B" w:rsidR="00B3205B">
        <w:rPr>
          <w:rFonts w:asciiTheme="majorHAnsi" w:hAnsiTheme="majorHAnsi"/>
          <w:sz w:val="24"/>
        </w:rPr>
        <w:t>3041-0192</w:t>
      </w:r>
    </w:p>
    <w:p w:rsidR="00340D9B" w:rsidP="006E563D" w14:paraId="0C32F06E" w14:textId="77777777">
      <w:pPr>
        <w:spacing w:after="0" w:line="240" w:lineRule="auto"/>
        <w:rPr>
          <w:rFonts w:asciiTheme="majorHAnsi" w:hAnsiTheme="majorHAnsi"/>
          <w:sz w:val="24"/>
        </w:rPr>
      </w:pPr>
    </w:p>
    <w:p w:rsidR="005C7428" w:rsidRPr="0085688C" w:rsidP="006E563D" w14:paraId="193E732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30465" w:rsidP="006E563D" w14:paraId="0BD41B5A" w14:textId="77777777">
      <w:pPr>
        <w:spacing w:after="0" w:line="240" w:lineRule="auto"/>
        <w:rPr>
          <w:rFonts w:asciiTheme="majorHAnsi" w:hAnsiTheme="majorHAnsi"/>
          <w:i/>
          <w:sz w:val="24"/>
        </w:rPr>
      </w:pPr>
    </w:p>
    <w:p w:rsidR="00230465" w:rsidP="006E563D" w14:paraId="6329F50E" w14:textId="77777777">
      <w:pPr>
        <w:spacing w:after="0" w:line="240" w:lineRule="auto"/>
        <w:rPr>
          <w:rFonts w:asciiTheme="majorHAnsi" w:hAnsiTheme="majorHAnsi"/>
          <w:sz w:val="24"/>
        </w:rPr>
      </w:pPr>
      <w:r>
        <w:rPr>
          <w:rFonts w:asciiTheme="majorHAnsi" w:hAnsiTheme="majorHAnsi"/>
          <w:sz w:val="24"/>
        </w:rPr>
        <w:t xml:space="preserve">The U.S. Consumer Product Safety Commission (Commission or CPSC) has determined preliminarily that there is an </w:t>
      </w:r>
      <w:r>
        <w:rPr>
          <w:rFonts w:asciiTheme="majorHAnsi" w:hAnsiTheme="majorHAnsi"/>
          <w:sz w:val="24"/>
        </w:rPr>
        <w:t xml:space="preserve">unreasonable risk of injury and death associated with entrapment hazards from adult portable bed rails (APBRs). To address these risks, the Commission proposes a rule under the Consumer Product Safety Act (CPSA) to require that APBRs meet the requirements </w:t>
      </w:r>
      <w:r>
        <w:rPr>
          <w:rFonts w:asciiTheme="majorHAnsi" w:hAnsiTheme="majorHAnsi"/>
          <w:sz w:val="24"/>
        </w:rPr>
        <w:t>of the applicable voluntary standard on APBRs, with modifications.</w:t>
      </w:r>
    </w:p>
    <w:p w:rsidR="00230465" w:rsidP="006E563D" w14:paraId="5BAAFE1D" w14:textId="77777777">
      <w:pPr>
        <w:spacing w:after="0" w:line="240" w:lineRule="auto"/>
        <w:rPr>
          <w:rFonts w:asciiTheme="majorHAnsi" w:hAnsiTheme="majorHAnsi"/>
          <w:sz w:val="24"/>
        </w:rPr>
      </w:pPr>
    </w:p>
    <w:p w:rsidR="00230465" w:rsidP="006E563D" w14:paraId="49E38B2E" w14:textId="34B7DB1C">
      <w:pPr>
        <w:spacing w:after="0" w:line="240" w:lineRule="auto"/>
        <w:rPr>
          <w:rFonts w:asciiTheme="majorHAnsi" w:hAnsiTheme="majorHAnsi"/>
          <w:sz w:val="24"/>
        </w:rPr>
      </w:pPr>
      <w:r>
        <w:rPr>
          <w:rFonts w:asciiTheme="majorHAnsi" w:hAnsiTheme="majorHAnsi"/>
          <w:sz w:val="24"/>
        </w:rPr>
        <w:t xml:space="preserve">This </w:t>
      </w:r>
      <w:r>
        <w:rPr>
          <w:rFonts w:asciiTheme="majorHAnsi" w:hAnsiTheme="majorHAnsi"/>
          <w:sz w:val="24"/>
        </w:rPr>
        <w:t>rulemaking is authorized by the CPSA. 15 U.S.C. 2051-2084. Section 7(a) of the CPSA authorizes the Commission to promul</w:t>
      </w:r>
      <w:r w:rsidR="00A523AF">
        <w:rPr>
          <w:rFonts w:asciiTheme="majorHAnsi" w:hAnsiTheme="majorHAnsi"/>
          <w:sz w:val="24"/>
        </w:rPr>
        <w:t>gate a mandatory consumer product safety standard that sets forth performance or labeling requirements for a consumer product, if such requirements are reasonably necessary to prevent or reduce an unreasonable risk of injury. 15 U.S.C. 2056(a). Section 9 of the CPSA specifies the procedure that the Commission must follow to issue a consumer product safety standard under section 7 of the CPSA. In accordance with section 9, the Commission is commencing this rulemaking by issuing an NPR.</w:t>
      </w:r>
    </w:p>
    <w:p w:rsidR="00A523AF" w:rsidP="006E563D" w14:paraId="395F4C16" w14:textId="77777777">
      <w:pPr>
        <w:spacing w:after="0" w:line="240" w:lineRule="auto"/>
        <w:rPr>
          <w:rFonts w:asciiTheme="majorHAnsi" w:hAnsiTheme="majorHAnsi"/>
          <w:sz w:val="24"/>
        </w:rPr>
      </w:pPr>
    </w:p>
    <w:p w:rsidR="00230465" w:rsidRPr="002F7F11" w:rsidP="006E563D" w14:paraId="17F6C2CF" w14:textId="0C5D8609">
      <w:pPr>
        <w:spacing w:after="0" w:line="240" w:lineRule="auto"/>
        <w:rPr>
          <w:rFonts w:asciiTheme="majorHAnsi" w:hAnsiTheme="majorHAnsi"/>
          <w:sz w:val="24"/>
        </w:rPr>
      </w:pPr>
      <w:r>
        <w:rPr>
          <w:rFonts w:asciiTheme="majorHAnsi" w:hAnsiTheme="majorHAnsi"/>
          <w:sz w:val="24"/>
        </w:rPr>
        <w:t xml:space="preserve">The </w:t>
      </w:r>
      <w:r>
        <w:rPr>
          <w:rFonts w:asciiTheme="majorHAnsi" w:hAnsiTheme="majorHAnsi"/>
          <w:sz w:val="24"/>
        </w:rPr>
        <w:t xml:space="preserve">rule would require each APBR to comply with ASTM </w:t>
      </w:r>
      <w:r>
        <w:rPr>
          <w:rFonts w:asciiTheme="majorHAnsi" w:hAnsiTheme="majorHAnsi"/>
          <w:sz w:val="24"/>
        </w:rPr>
        <w:t>F3186-17, Standard Specification for Adult Portable Bed Rails and Related Products, with modifications. Sections 9, 10, and 11 of ASTM F3186-17 contain requirements for labels, warnings and instructional literature.</w:t>
      </w:r>
    </w:p>
    <w:p w:rsidR="00510F0C" w:rsidP="006E563D" w14:paraId="709C385E" w14:textId="77777777">
      <w:pPr>
        <w:spacing w:after="0" w:line="240" w:lineRule="auto"/>
        <w:rPr>
          <w:rFonts w:asciiTheme="majorHAnsi" w:hAnsiTheme="majorHAnsi"/>
          <w:sz w:val="24"/>
        </w:rPr>
      </w:pPr>
    </w:p>
    <w:p w:rsidR="005C7428" w:rsidP="006E563D" w14:paraId="342B5EB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415373" w:rsidP="006E563D" w14:paraId="7EDC7F8B" w14:textId="77777777">
      <w:pPr>
        <w:spacing w:after="0" w:line="240" w:lineRule="auto"/>
        <w:rPr>
          <w:rFonts w:asciiTheme="majorHAnsi" w:hAnsiTheme="majorHAnsi"/>
          <w:sz w:val="24"/>
        </w:rPr>
      </w:pPr>
    </w:p>
    <w:p w:rsidR="00603CE4" w:rsidP="006E563D" w14:paraId="6C15F021" w14:textId="77777777">
      <w:pPr>
        <w:spacing w:after="0" w:line="240" w:lineRule="auto"/>
        <w:rPr>
          <w:rFonts w:asciiTheme="majorHAnsi" w:hAnsiTheme="majorHAnsi"/>
          <w:sz w:val="24"/>
        </w:rPr>
      </w:pPr>
      <w:r>
        <w:rPr>
          <w:rFonts w:asciiTheme="majorHAnsi" w:hAnsiTheme="majorHAnsi"/>
          <w:sz w:val="24"/>
        </w:rPr>
        <w:t>CPSA expect</w:t>
      </w:r>
      <w:r>
        <w:rPr>
          <w:rFonts w:asciiTheme="majorHAnsi" w:hAnsiTheme="majorHAnsi"/>
          <w:sz w:val="24"/>
        </w:rPr>
        <w:t>s that entities who manufacture or import APBRs to the U.S. market will have a burden associated with this collection of information. Specifically, CPSC expects that all known entities who currently supply APBRs to the U.S. market will need to make modific</w:t>
      </w:r>
      <w:r>
        <w:rPr>
          <w:rFonts w:asciiTheme="majorHAnsi" w:hAnsiTheme="majorHAnsi"/>
          <w:sz w:val="24"/>
        </w:rPr>
        <w:t>ations to their existing labels, to comply with ASTM 3186-17 labeling and informational requirements.</w:t>
      </w:r>
    </w:p>
    <w:p w:rsidR="00603CE4" w:rsidP="006E563D" w14:paraId="20AA0CEA" w14:textId="77777777">
      <w:pPr>
        <w:spacing w:after="0" w:line="240" w:lineRule="auto"/>
        <w:rPr>
          <w:rFonts w:asciiTheme="majorHAnsi" w:hAnsiTheme="majorHAnsi"/>
          <w:sz w:val="24"/>
        </w:rPr>
      </w:pPr>
    </w:p>
    <w:p w:rsidR="00603CE4" w:rsidP="006E563D" w14:paraId="36BE2847" w14:textId="7AEBB7F8">
      <w:pPr>
        <w:spacing w:after="0" w:line="240" w:lineRule="auto"/>
        <w:rPr>
          <w:rFonts w:asciiTheme="majorHAnsi" w:hAnsiTheme="majorHAnsi"/>
          <w:sz w:val="24"/>
        </w:rPr>
      </w:pPr>
      <w:r>
        <w:rPr>
          <w:rFonts w:asciiTheme="majorHAnsi" w:hAnsiTheme="majorHAnsi"/>
          <w:sz w:val="24"/>
        </w:rPr>
        <w:t xml:space="preserve">The </w:t>
      </w:r>
      <w:r>
        <w:rPr>
          <w:rFonts w:asciiTheme="majorHAnsi" w:hAnsiTheme="majorHAnsi"/>
          <w:sz w:val="24"/>
        </w:rPr>
        <w:t>rule would also require instructions to be supplied with the product. Under OMB’s regulations (5 CFR 1320.3(b)(2)), the time, effort, and fi</w:t>
      </w:r>
      <w:r>
        <w:rPr>
          <w:rFonts w:asciiTheme="majorHAnsi" w:hAnsiTheme="majorHAnsi"/>
          <w:sz w:val="24"/>
        </w:rPr>
        <w:t>nancial resources necessary to comply with a collection of information that would be incurred by persons in the “normal course of their activities” are excluded from a burden estimate, where an agency demonstrates that the disclosure activities required to</w:t>
      </w:r>
      <w:r>
        <w:rPr>
          <w:rFonts w:asciiTheme="majorHAnsi" w:hAnsiTheme="majorHAnsi"/>
          <w:sz w:val="24"/>
        </w:rPr>
        <w:t xml:space="preserve"> comply are “usual and customary.” APBRs require installation on an existing bed, which implies instructions for proper use, fit and position on a bed, as well as cleaning are necessary. </w:t>
      </w:r>
      <w:r w:rsidR="00293CDA">
        <w:rPr>
          <w:rFonts w:asciiTheme="majorHAnsi" w:hAnsiTheme="majorHAnsi"/>
          <w:sz w:val="24"/>
        </w:rPr>
        <w:t xml:space="preserve">While many APBR entities already </w:t>
      </w:r>
      <w:r w:rsidR="00293CDA">
        <w:rPr>
          <w:rFonts w:asciiTheme="majorHAnsi" w:hAnsiTheme="majorHAnsi"/>
          <w:sz w:val="24"/>
        </w:rPr>
        <w:t xml:space="preserve">provide some instructional material, CPSC expects all will need to make some modifications to existing material. </w:t>
      </w:r>
    </w:p>
    <w:p w:rsidR="005C7428" w:rsidP="006E563D" w14:paraId="381BF945" w14:textId="77777777">
      <w:pPr>
        <w:spacing w:after="0" w:line="240" w:lineRule="auto"/>
        <w:rPr>
          <w:rFonts w:asciiTheme="majorHAnsi" w:hAnsiTheme="majorHAnsi"/>
          <w:i/>
          <w:sz w:val="24"/>
        </w:rPr>
      </w:pPr>
    </w:p>
    <w:p w:rsidR="005C7428" w:rsidRPr="0085688C" w:rsidP="006E563D" w14:paraId="24369EDD"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F90AA7" w:rsidP="006E563D" w14:paraId="5E79531C" w14:textId="77777777">
      <w:pPr>
        <w:spacing w:after="0" w:line="240" w:lineRule="auto"/>
        <w:rPr>
          <w:rFonts w:asciiTheme="majorHAnsi" w:hAnsiTheme="majorHAnsi"/>
          <w:i/>
          <w:sz w:val="24"/>
        </w:rPr>
      </w:pPr>
    </w:p>
    <w:p w:rsidR="00F90AA7" w:rsidRPr="005C7428" w:rsidP="00F90AA7" w14:paraId="6F76364E" w14:textId="77777777">
      <w:pPr>
        <w:spacing w:after="0" w:line="240" w:lineRule="auto"/>
        <w:rPr>
          <w:rFonts w:asciiTheme="majorHAnsi" w:hAnsiTheme="majorHAnsi"/>
          <w:i/>
          <w:sz w:val="24"/>
        </w:rPr>
      </w:pPr>
      <w:r>
        <w:rPr>
          <w:rFonts w:asciiTheme="majorHAnsi" w:hAnsiTheme="majorHAnsi"/>
          <w:sz w:val="24"/>
        </w:rPr>
        <w:t>Though entities may provide additional warnings electronically, the required safety warnings and labeling on APBRs in not electronic. Non-elec</w:t>
      </w:r>
      <w:r>
        <w:rPr>
          <w:rFonts w:asciiTheme="majorHAnsi" w:hAnsiTheme="majorHAnsi"/>
          <w:sz w:val="24"/>
        </w:rPr>
        <w:t>tronic warnings and instructions are required to beneficially address the risk of injuries and death associated with APBRs.</w:t>
      </w:r>
    </w:p>
    <w:p w:rsidR="008635C4" w:rsidP="006E563D" w14:paraId="250E461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2FA30492"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906C2" w:rsidP="00C906C2" w14:paraId="1BF31B53" w14:textId="77777777">
      <w:pPr>
        <w:spacing w:after="0" w:line="240" w:lineRule="auto"/>
        <w:rPr>
          <w:rFonts w:asciiTheme="majorHAnsi" w:hAnsiTheme="majorHAnsi"/>
          <w:i/>
          <w:sz w:val="24"/>
        </w:rPr>
      </w:pPr>
    </w:p>
    <w:p w:rsidR="00C906C2" w:rsidRPr="00200261" w:rsidP="00C906C2" w14:paraId="586C012A" w14:textId="77777777">
      <w:pPr>
        <w:spacing w:after="0" w:line="240" w:lineRule="auto"/>
        <w:rPr>
          <w:rFonts w:asciiTheme="majorHAnsi" w:hAnsiTheme="majorHAnsi"/>
          <w:sz w:val="24"/>
        </w:rPr>
      </w:pPr>
      <w:r>
        <w:rPr>
          <w:rFonts w:asciiTheme="majorHAnsi" w:hAnsiTheme="majorHAnsi"/>
          <w:sz w:val="24"/>
        </w:rPr>
        <w:t xml:space="preserve">The information obtained through this collection is unique and is not already available for use or </w:t>
      </w:r>
      <w:r>
        <w:rPr>
          <w:rFonts w:asciiTheme="majorHAnsi" w:hAnsiTheme="majorHAnsi"/>
          <w:sz w:val="24"/>
        </w:rPr>
        <w:t>adaptation from another source.</w:t>
      </w:r>
    </w:p>
    <w:p w:rsidR="00CA15B1" w:rsidP="006E563D" w14:paraId="42758312" w14:textId="77777777">
      <w:pPr>
        <w:spacing w:after="0" w:line="240" w:lineRule="auto"/>
        <w:rPr>
          <w:rFonts w:asciiTheme="majorHAnsi" w:hAnsiTheme="majorHAnsi"/>
          <w:i/>
          <w:sz w:val="24"/>
        </w:rPr>
      </w:pPr>
      <w:r w:rsidRPr="00200261">
        <w:rPr>
          <w:rFonts w:asciiTheme="majorHAnsi" w:hAnsiTheme="majorHAnsi"/>
          <w:sz w:val="24"/>
        </w:rPr>
        <w:t xml:space="preserve"> </w:t>
      </w:r>
    </w:p>
    <w:p w:rsidR="00CA15B1" w:rsidP="006E563D" w14:paraId="31322913" w14:textId="77777777">
      <w:pPr>
        <w:spacing w:after="0" w:line="240" w:lineRule="auto"/>
        <w:rPr>
          <w:rFonts w:asciiTheme="majorHAnsi" w:hAnsiTheme="majorHAnsi"/>
          <w:i/>
          <w:sz w:val="24"/>
        </w:rPr>
      </w:pPr>
    </w:p>
    <w:p w:rsidR="00CA15B1" w:rsidP="006E563D" w14:paraId="6C5E881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B360B9" w:rsidP="006E563D" w14:paraId="019760BB" w14:textId="77777777">
      <w:pPr>
        <w:spacing w:after="0" w:line="240" w:lineRule="auto"/>
        <w:rPr>
          <w:rFonts w:asciiTheme="majorHAnsi" w:hAnsiTheme="majorHAnsi"/>
          <w:i/>
          <w:sz w:val="24"/>
        </w:rPr>
      </w:pPr>
    </w:p>
    <w:p w:rsidR="00B360B9" w:rsidP="006E563D" w14:paraId="276683FB" w14:textId="77777777">
      <w:pPr>
        <w:spacing w:after="0" w:line="240" w:lineRule="auto"/>
        <w:rPr>
          <w:rFonts w:asciiTheme="majorHAnsi" w:hAnsiTheme="majorHAnsi"/>
          <w:sz w:val="24"/>
        </w:rPr>
      </w:pPr>
      <w:r>
        <w:rPr>
          <w:rFonts w:asciiTheme="majorHAnsi" w:hAnsiTheme="majorHAnsi"/>
          <w:sz w:val="24"/>
        </w:rPr>
        <w:t xml:space="preserve">Generally, CPSC considers an impact to be potentially significant if it exceeds 1 percent of firm’s gross revenue. Staff identified seven APBR manufacturers that meet SBA size </w:t>
      </w:r>
      <w:r>
        <w:rPr>
          <w:rFonts w:asciiTheme="majorHAnsi" w:hAnsiTheme="majorHAnsi"/>
          <w:sz w:val="24"/>
        </w:rPr>
        <w:t>standards for small businesses, and staff identified one possible importer of APBRs from foreign suppliers that would be considered small based on SBA size standards.</w:t>
      </w:r>
    </w:p>
    <w:p w:rsidR="00B360B9" w:rsidP="006E563D" w14:paraId="22E207CF" w14:textId="77777777">
      <w:pPr>
        <w:spacing w:after="0" w:line="240" w:lineRule="auto"/>
        <w:rPr>
          <w:rFonts w:asciiTheme="majorHAnsi" w:hAnsiTheme="majorHAnsi"/>
          <w:sz w:val="24"/>
        </w:rPr>
      </w:pPr>
    </w:p>
    <w:p w:rsidR="00B360B9" w:rsidP="006E563D" w14:paraId="54524416" w14:textId="77777777">
      <w:pPr>
        <w:spacing w:after="0" w:line="240" w:lineRule="auto"/>
        <w:rPr>
          <w:rFonts w:asciiTheme="majorHAnsi" w:hAnsiTheme="majorHAnsi"/>
          <w:sz w:val="24"/>
        </w:rPr>
      </w:pPr>
      <w:r>
        <w:rPr>
          <w:rFonts w:asciiTheme="majorHAnsi" w:hAnsiTheme="majorHAnsi"/>
          <w:sz w:val="24"/>
        </w:rPr>
        <w:t>This information collection does not impose a significant economic impact on a substanti</w:t>
      </w:r>
      <w:r>
        <w:rPr>
          <w:rFonts w:asciiTheme="majorHAnsi" w:hAnsiTheme="majorHAnsi"/>
          <w:sz w:val="24"/>
        </w:rPr>
        <w:t xml:space="preserve">al number of small businesses or </w:t>
      </w:r>
      <w:r w:rsidR="00735332">
        <w:rPr>
          <w:rFonts w:asciiTheme="majorHAnsi" w:hAnsiTheme="majorHAnsi"/>
          <w:sz w:val="24"/>
        </w:rPr>
        <w:t>entities</w:t>
      </w:r>
      <w:r>
        <w:rPr>
          <w:rFonts w:asciiTheme="majorHAnsi" w:hAnsiTheme="majorHAnsi"/>
          <w:sz w:val="24"/>
        </w:rPr>
        <w:t>.</w:t>
      </w:r>
    </w:p>
    <w:p w:rsidR="00B360B9" w:rsidP="006E563D" w14:paraId="730AE4CE" w14:textId="77777777">
      <w:pPr>
        <w:spacing w:after="0" w:line="240" w:lineRule="auto"/>
      </w:pPr>
    </w:p>
    <w:p w:rsidR="00070CD9" w:rsidP="00070CD9" w14:paraId="03F8AF12" w14:textId="37B8DB0E">
      <w:pPr>
        <w:spacing w:after="0" w:line="240" w:lineRule="auto"/>
        <w:rPr>
          <w:rFonts w:asciiTheme="majorHAnsi" w:hAnsiTheme="majorHAnsi"/>
          <w:sz w:val="24"/>
        </w:rPr>
      </w:pPr>
      <w:r>
        <w:rPr>
          <w:rFonts w:asciiTheme="majorHAnsi" w:hAnsiTheme="majorHAnsi"/>
          <w:sz w:val="24"/>
        </w:rPr>
        <w:t>If the rule becomes final to mitigate burden on small businesses, CPSC provides a variety of resources to help both new and experienced small businesses learn about safety requirements that apply to consumer prod</w:t>
      </w:r>
      <w:r>
        <w:rPr>
          <w:rFonts w:asciiTheme="majorHAnsi" w:hAnsiTheme="majorHAnsi"/>
          <w:sz w:val="24"/>
        </w:rPr>
        <w:t xml:space="preserve">ucts. These resources include the CPSC Regulatory Robot, small business education videos, and the Small Business Ombudsman. Many of these resources can be accessed online at: </w:t>
      </w:r>
      <w:hyperlink r:id="rId4" w:history="1">
        <w:r w:rsidRPr="00DC7310">
          <w:rPr>
            <w:rStyle w:val="Hyperlink"/>
            <w:rFonts w:asciiTheme="majorHAnsi" w:hAnsiTheme="majorHAnsi"/>
            <w:sz w:val="24"/>
          </w:rPr>
          <w:t>htt</w:t>
        </w:r>
        <w:r w:rsidRPr="00DC7310">
          <w:rPr>
            <w:rStyle w:val="Hyperlink"/>
            <w:rFonts w:asciiTheme="majorHAnsi" w:hAnsiTheme="majorHAnsi"/>
            <w:sz w:val="24"/>
          </w:rPr>
          <w:t>ps://www.cpsc.gov/Business--Manufacturing/Business-Education</w:t>
        </w:r>
      </w:hyperlink>
      <w:r>
        <w:rPr>
          <w:rFonts w:asciiTheme="majorHAnsi" w:hAnsiTheme="majorHAnsi"/>
          <w:sz w:val="24"/>
        </w:rPr>
        <w:t>. Small firms can reach the Small Business Ombudsman directly by calling (888) 531-9070.</w:t>
      </w:r>
    </w:p>
    <w:p w:rsidR="002567F9" w:rsidP="006E563D" w14:paraId="7660FF4E" w14:textId="77777777">
      <w:pPr>
        <w:spacing w:after="0" w:line="240" w:lineRule="auto"/>
        <w:rPr>
          <w:rFonts w:asciiTheme="majorHAnsi" w:hAnsiTheme="majorHAnsi"/>
          <w:i/>
          <w:sz w:val="24"/>
        </w:rPr>
      </w:pPr>
    </w:p>
    <w:p w:rsidR="002567F9" w:rsidRPr="0085688C" w:rsidP="006E563D" w14:paraId="022F5544"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6CE6C3FA" w14:textId="77777777">
      <w:pPr>
        <w:spacing w:after="0" w:line="240" w:lineRule="auto"/>
        <w:rPr>
          <w:rFonts w:asciiTheme="majorHAnsi" w:hAnsiTheme="majorHAnsi"/>
          <w:i/>
          <w:sz w:val="24"/>
        </w:rPr>
      </w:pPr>
    </w:p>
    <w:p w:rsidR="00070CD9" w:rsidRPr="003C1DDB" w:rsidP="00070CD9" w14:paraId="6BF94974" w14:textId="77777777">
      <w:pPr>
        <w:spacing w:after="0" w:line="240" w:lineRule="auto"/>
        <w:rPr>
          <w:rFonts w:asciiTheme="majorHAnsi" w:hAnsiTheme="majorHAnsi"/>
          <w:sz w:val="24"/>
        </w:rPr>
      </w:pPr>
      <w:r>
        <w:rPr>
          <w:rFonts w:asciiTheme="majorHAnsi" w:hAnsiTheme="majorHAnsi"/>
          <w:sz w:val="24"/>
        </w:rPr>
        <w:t xml:space="preserve">Labeling requirements and </w:t>
      </w:r>
      <w:r>
        <w:rPr>
          <w:rFonts w:asciiTheme="majorHAnsi" w:hAnsiTheme="majorHAnsi"/>
          <w:sz w:val="24"/>
        </w:rPr>
        <w:t>instructional literature will provide information to consumers needed to safely use the product and sufficient information to regulators should there be a need to locate and recall noncomplying products. If required information is not provided, consequence</w:t>
      </w:r>
      <w:r>
        <w:rPr>
          <w:rFonts w:asciiTheme="majorHAnsi" w:hAnsiTheme="majorHAnsi"/>
          <w:sz w:val="24"/>
        </w:rPr>
        <w:t>s would include a reduced ability for consumers to safety use the product or regulators to identify, locate or recall noncomplying products.</w:t>
      </w:r>
    </w:p>
    <w:p w:rsidR="00070CD9" w:rsidP="006E563D" w14:paraId="5583CCD1" w14:textId="77777777">
      <w:pPr>
        <w:spacing w:after="0" w:line="240" w:lineRule="auto"/>
        <w:rPr>
          <w:rFonts w:asciiTheme="majorHAnsi" w:hAnsiTheme="majorHAnsi"/>
          <w:i/>
          <w:sz w:val="24"/>
        </w:rPr>
      </w:pPr>
    </w:p>
    <w:p w:rsidR="00F86C35" w:rsidP="006E563D" w14:paraId="3C555A7F"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70CD9" w:rsidRPr="003C1DDB" w:rsidP="00070CD9" w14:paraId="317D9B8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This collection of information does not require collection to be conducted</w:t>
      </w:r>
      <w:r>
        <w:rPr>
          <w:rFonts w:asciiTheme="majorHAnsi" w:eastAsiaTheme="minorHAnsi" w:hAnsiTheme="majorHAnsi" w:cstheme="minorBidi"/>
          <w:szCs w:val="22"/>
        </w:rPr>
        <w:t xml:space="preserve"> in a manner inconsistent with the guidelines delineated in 5 CFR 1320.5(d)(2).</w:t>
      </w:r>
    </w:p>
    <w:p w:rsidR="00200261" w:rsidP="00200261" w14:paraId="3AC5026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2FB151F"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300F24" w14:paraId="656613F6" w14:textId="7B68E68B">
      <w:pPr>
        <w:autoSpaceDE w:val="0"/>
        <w:autoSpaceDN w:val="0"/>
        <w:adjustRightInd w:val="0"/>
        <w:spacing w:after="0" w:line="240" w:lineRule="auto"/>
        <w:rPr>
          <w:rFonts w:asciiTheme="majorHAnsi" w:hAnsiTheme="majorHAnsi"/>
        </w:rPr>
      </w:pPr>
      <w:r>
        <w:rPr>
          <w:rFonts w:asciiTheme="majorHAnsi" w:hAnsiTheme="majorHAnsi"/>
        </w:rPr>
        <w:t xml:space="preserve">A </w:t>
      </w:r>
      <w:r w:rsidRPr="003E63C6">
        <w:rPr>
          <w:rFonts w:asciiTheme="majorHAnsi" w:hAnsiTheme="majorHAnsi"/>
        </w:rPr>
        <w:t xml:space="preserve"> Federal Register Notice </w:t>
      </w:r>
      <w:r w:rsidRPr="003E63C6" w:rsidR="00502FF3">
        <w:rPr>
          <w:rFonts w:asciiTheme="majorHAnsi" w:hAnsiTheme="majorHAnsi"/>
        </w:rPr>
        <w:t>(</w:t>
      </w:r>
      <w:r w:rsidRPr="003E63C6" w:rsidR="003E63C6">
        <w:rPr>
          <w:rFonts w:asciiTheme="majorHAnsi" w:hAnsiTheme="majorHAnsi"/>
        </w:rPr>
        <w:t>87 FR 67586</w:t>
      </w:r>
      <w:r w:rsidRPr="003E63C6" w:rsidR="00502FF3">
        <w:rPr>
          <w:rFonts w:asciiTheme="majorHAnsi" w:hAnsiTheme="majorHAnsi"/>
        </w:rPr>
        <w:t xml:space="preserve">) </w:t>
      </w:r>
      <w:r w:rsidRPr="003E63C6">
        <w:rPr>
          <w:rFonts w:asciiTheme="majorHAnsi" w:hAnsiTheme="majorHAnsi"/>
        </w:rPr>
        <w:t xml:space="preserve">for the </w:t>
      </w:r>
      <w:r w:rsidR="00D9664C">
        <w:rPr>
          <w:rFonts w:asciiTheme="majorHAnsi" w:hAnsiTheme="majorHAnsi"/>
        </w:rPr>
        <w:t xml:space="preserve">proposed </w:t>
      </w:r>
      <w:r w:rsidRPr="003E63C6">
        <w:rPr>
          <w:rFonts w:asciiTheme="majorHAnsi" w:hAnsiTheme="majorHAnsi"/>
        </w:rPr>
        <w:t xml:space="preserve">collection published on </w:t>
      </w:r>
      <w:r w:rsidRPr="003E63C6" w:rsidR="003E63C6">
        <w:rPr>
          <w:rFonts w:asciiTheme="majorHAnsi" w:hAnsiTheme="majorHAnsi"/>
        </w:rPr>
        <w:t>Wednesday, November 9, 2022</w:t>
      </w:r>
      <w:r w:rsidRPr="003E63C6">
        <w:rPr>
          <w:rFonts w:asciiTheme="majorHAnsi" w:hAnsiTheme="majorHAnsi"/>
        </w:rPr>
        <w:t xml:space="preserve">. </w:t>
      </w:r>
      <w:r w:rsidRPr="00824518" w:rsidR="00300F24">
        <w:rPr>
          <w:rFonts w:asciiTheme="majorHAnsi" w:hAnsiTheme="majorHAnsi"/>
        </w:rPr>
        <w:t xml:space="preserve">Interested persons </w:t>
      </w:r>
      <w:r w:rsidR="00B3205B">
        <w:rPr>
          <w:rFonts w:asciiTheme="majorHAnsi" w:hAnsiTheme="majorHAnsi"/>
        </w:rPr>
        <w:t>were</w:t>
      </w:r>
      <w:r w:rsidRPr="00824518" w:rsidR="00300F24">
        <w:rPr>
          <w:rFonts w:asciiTheme="majorHAnsi" w:hAnsiTheme="majorHAnsi"/>
        </w:rPr>
        <w:t xml:space="preserve"> requested to submit comments regarding information collection by December 9, 2022, to the Office of Information and Regulatory Affairs, OMB. (87 FR 67606)</w:t>
      </w:r>
      <w:r w:rsidR="00B3205B">
        <w:rPr>
          <w:rFonts w:asciiTheme="majorHAnsi" w:hAnsiTheme="majorHAnsi"/>
        </w:rPr>
        <w:t>.  No comments were received.</w:t>
      </w:r>
    </w:p>
    <w:p w:rsidR="00200261" w:rsidP="00200261" w14:paraId="058DF10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1636B43" w14:textId="3FFDA7D8">
      <w:pPr>
        <w:pStyle w:val="NormalWeb"/>
        <w:spacing w:line="288" w:lineRule="atLeast"/>
        <w:rPr>
          <w:rFonts w:asciiTheme="majorHAnsi" w:hAnsiTheme="majorHAnsi"/>
          <w:i/>
        </w:rPr>
      </w:pPr>
      <w:r>
        <w:rPr>
          <w:rFonts w:asciiTheme="majorHAnsi" w:eastAsiaTheme="minorHAnsi" w:hAnsiTheme="majorHAnsi" w:cstheme="minorBidi"/>
          <w:szCs w:val="22"/>
        </w:rPr>
        <w:t>Since 2013, the CPSC has consulted extensively with orga</w:t>
      </w:r>
      <w:r>
        <w:rPr>
          <w:rFonts w:asciiTheme="majorHAnsi" w:eastAsiaTheme="minorHAnsi" w:hAnsiTheme="majorHAnsi" w:cstheme="minorBidi"/>
          <w:szCs w:val="22"/>
        </w:rPr>
        <w:t xml:space="preserve">nizations during the development of the </w:t>
      </w:r>
      <w:r>
        <w:rPr>
          <w:rFonts w:asciiTheme="majorHAnsi" w:eastAsiaTheme="minorHAnsi" w:hAnsiTheme="majorHAnsi" w:cstheme="minorBidi"/>
          <w:szCs w:val="22"/>
        </w:rPr>
        <w:t>rule. Also in 2013, ASTM International (ASTM) formed the ASTM F15.70 subcommittee to begin developing a voluntary standard for APBRs and staff participated in the ASTM F15.70 subcommittee to develop the volu</w:t>
      </w:r>
      <w:r>
        <w:rPr>
          <w:rFonts w:asciiTheme="majorHAnsi" w:eastAsiaTheme="minorHAnsi" w:hAnsiTheme="majorHAnsi" w:cstheme="minorBidi"/>
          <w:szCs w:val="22"/>
        </w:rPr>
        <w:t xml:space="preserve">ntary standard for APBRs. In August 2017, ASTM published the voluntary standard, ASTM F3186-17, Standard Specification for Adult Portable Bed Rails and Related Products. </w:t>
      </w:r>
    </w:p>
    <w:p w:rsidR="00571698" w:rsidRPr="0085688C" w:rsidP="006E563D" w14:paraId="4E16B02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735332" w:rsidRPr="00735332" w:rsidP="00735332" w14:paraId="57706E3B" w14:textId="77777777">
      <w:pPr>
        <w:spacing w:after="0" w:line="240" w:lineRule="auto"/>
        <w:rPr>
          <w:rFonts w:asciiTheme="majorHAnsi" w:hAnsiTheme="majorHAnsi"/>
          <w:sz w:val="24"/>
        </w:rPr>
      </w:pPr>
    </w:p>
    <w:p w:rsidR="006A13FA" w:rsidP="006A13FA" w14:paraId="0F41B1C4" w14:textId="77777777">
      <w:pPr>
        <w:spacing w:after="0" w:line="240" w:lineRule="auto"/>
        <w:rPr>
          <w:rFonts w:asciiTheme="majorHAnsi" w:hAnsiTheme="majorHAnsi"/>
          <w:i/>
          <w:sz w:val="24"/>
        </w:rPr>
      </w:pPr>
      <w:r w:rsidRPr="00735332">
        <w:rPr>
          <w:rFonts w:asciiTheme="majorHAnsi" w:hAnsiTheme="majorHAnsi"/>
          <w:sz w:val="24"/>
        </w:rPr>
        <w:t xml:space="preserve">No payments or gifts are being offered to </w:t>
      </w:r>
      <w:r w:rsidRPr="00735332">
        <w:rPr>
          <w:rFonts w:asciiTheme="majorHAnsi" w:hAnsiTheme="majorHAnsi"/>
          <w:sz w:val="24"/>
        </w:rPr>
        <w:t>respondents as an incentive to participate in the collection.</w:t>
      </w:r>
      <w:r w:rsidRPr="006A13FA">
        <w:rPr>
          <w:rFonts w:asciiTheme="majorHAnsi" w:hAnsiTheme="majorHAnsi"/>
          <w:i/>
          <w:sz w:val="24"/>
        </w:rPr>
        <w:t xml:space="preserve"> </w:t>
      </w:r>
    </w:p>
    <w:p w:rsidR="006A13FA" w:rsidP="006A13FA" w14:paraId="664D67FE" w14:textId="77777777">
      <w:pPr>
        <w:spacing w:after="0" w:line="240" w:lineRule="auto"/>
        <w:rPr>
          <w:rFonts w:asciiTheme="majorHAnsi" w:hAnsiTheme="majorHAnsi"/>
          <w:i/>
          <w:sz w:val="24"/>
        </w:rPr>
      </w:pPr>
    </w:p>
    <w:p w:rsidR="00F97482" w:rsidP="006A13FA" w14:paraId="429B79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A7EBD" w:rsidP="00070CD9" w14:paraId="61920C5A" w14:textId="77777777">
      <w:pPr>
        <w:spacing w:after="0" w:line="240" w:lineRule="auto"/>
        <w:rPr>
          <w:rFonts w:asciiTheme="majorHAnsi" w:hAnsiTheme="majorHAnsi"/>
          <w:sz w:val="24"/>
        </w:rPr>
      </w:pPr>
    </w:p>
    <w:p w:rsidR="00070CD9" w:rsidP="00070CD9" w14:paraId="3AF0D082" w14:textId="77777777">
      <w:pPr>
        <w:spacing w:after="0" w:line="240" w:lineRule="auto"/>
        <w:rPr>
          <w:rFonts w:asciiTheme="majorHAnsi" w:hAnsiTheme="majorHAnsi"/>
          <w:i/>
          <w:sz w:val="24"/>
        </w:rPr>
      </w:pPr>
      <w:r w:rsidRPr="00735332">
        <w:rPr>
          <w:rFonts w:asciiTheme="majorHAnsi" w:hAnsiTheme="majorHAnsi"/>
          <w:sz w:val="24"/>
        </w:rPr>
        <w:t xml:space="preserve">No </w:t>
      </w:r>
      <w:r>
        <w:rPr>
          <w:rFonts w:asciiTheme="majorHAnsi" w:hAnsiTheme="majorHAnsi"/>
          <w:sz w:val="24"/>
        </w:rPr>
        <w:t>assurances of confidentiality</w:t>
      </w:r>
      <w:r w:rsidRPr="00735332">
        <w:rPr>
          <w:rFonts w:asciiTheme="majorHAnsi" w:hAnsiTheme="majorHAnsi"/>
          <w:sz w:val="24"/>
        </w:rPr>
        <w:t xml:space="preserve"> are being offered to respondents </w:t>
      </w:r>
      <w:r>
        <w:rPr>
          <w:rFonts w:asciiTheme="majorHAnsi" w:hAnsiTheme="majorHAnsi"/>
          <w:sz w:val="24"/>
        </w:rPr>
        <w:t>participating</w:t>
      </w:r>
      <w:r w:rsidRPr="00735332">
        <w:rPr>
          <w:rFonts w:asciiTheme="majorHAnsi" w:hAnsiTheme="majorHAnsi"/>
          <w:sz w:val="24"/>
        </w:rPr>
        <w:t xml:space="preserve"> in the collection.</w:t>
      </w:r>
      <w:r w:rsidRPr="006A13FA">
        <w:rPr>
          <w:rFonts w:asciiTheme="majorHAnsi" w:hAnsiTheme="majorHAnsi"/>
          <w:i/>
          <w:sz w:val="24"/>
        </w:rPr>
        <w:t xml:space="preserve"> </w:t>
      </w:r>
    </w:p>
    <w:p w:rsidR="00996894" w:rsidP="00996894" w14:paraId="437BCFB6" w14:textId="77777777">
      <w:pPr>
        <w:spacing w:after="0" w:line="240" w:lineRule="auto"/>
        <w:rPr>
          <w:rFonts w:asciiTheme="majorHAnsi" w:hAnsiTheme="majorHAnsi"/>
          <w:i/>
          <w:sz w:val="24"/>
        </w:rPr>
      </w:pPr>
    </w:p>
    <w:p w:rsidR="00996894" w:rsidP="00996894" w14:paraId="7FDC53B4"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070CD9" w:rsidP="00337EF1" w14:paraId="42841162" w14:textId="77777777">
      <w:pPr>
        <w:spacing w:after="0" w:line="240" w:lineRule="auto"/>
        <w:rPr>
          <w:rFonts w:asciiTheme="majorHAnsi" w:hAnsiTheme="majorHAnsi"/>
          <w:i/>
          <w:sz w:val="24"/>
        </w:rPr>
      </w:pPr>
    </w:p>
    <w:p w:rsidR="009A6246" w:rsidP="00337EF1" w14:paraId="5F9BB324" w14:textId="77777777">
      <w:pPr>
        <w:spacing w:after="0" w:line="240" w:lineRule="auto"/>
        <w:rPr>
          <w:rFonts w:asciiTheme="majorHAnsi" w:hAnsiTheme="majorHAnsi"/>
          <w:sz w:val="24"/>
        </w:rPr>
      </w:pPr>
      <w:r w:rsidRPr="00070CD9">
        <w:rPr>
          <w:rFonts w:asciiTheme="majorHAnsi" w:hAnsiTheme="majorHAnsi"/>
          <w:sz w:val="24"/>
        </w:rPr>
        <w:t>No questions considered sensitive are bei</w:t>
      </w:r>
      <w:r w:rsidRPr="00070CD9">
        <w:rPr>
          <w:rFonts w:asciiTheme="majorHAnsi" w:hAnsiTheme="majorHAnsi"/>
          <w:sz w:val="24"/>
        </w:rPr>
        <w:t>ng asked in this collection.</w:t>
      </w:r>
      <w:r>
        <w:rPr>
          <w:rFonts w:asciiTheme="majorHAnsi" w:hAnsiTheme="majorHAnsi"/>
          <w:sz w:val="24"/>
        </w:rPr>
        <w:t xml:space="preserve"> </w:t>
      </w:r>
    </w:p>
    <w:p w:rsidR="00D21AA6" w:rsidP="00337EF1" w14:paraId="73346469" w14:textId="77777777">
      <w:pPr>
        <w:spacing w:after="0" w:line="240" w:lineRule="auto"/>
        <w:rPr>
          <w:rFonts w:asciiTheme="majorHAnsi" w:hAnsiTheme="majorHAnsi"/>
          <w:sz w:val="24"/>
        </w:rPr>
      </w:pPr>
    </w:p>
    <w:p w:rsidR="00D21AA6" w:rsidP="00337EF1" w14:paraId="3BFD056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F2DF8" w:rsidP="00337EF1" w14:paraId="74C54AF5" w14:textId="77777777">
      <w:pPr>
        <w:spacing w:after="0" w:line="240" w:lineRule="auto"/>
        <w:rPr>
          <w:rFonts w:asciiTheme="majorHAnsi" w:hAnsiTheme="majorHAnsi"/>
          <w:sz w:val="24"/>
        </w:rPr>
      </w:pPr>
    </w:p>
    <w:p w:rsidR="000A3E87" w:rsidP="000A3E87" w14:paraId="4FD99396" w14:textId="77777777">
      <w:pPr>
        <w:spacing w:after="0" w:line="240" w:lineRule="auto"/>
        <w:rPr>
          <w:rFonts w:asciiTheme="majorHAnsi" w:hAnsiTheme="majorHAnsi"/>
          <w:sz w:val="24"/>
        </w:rPr>
      </w:pPr>
      <w:r>
        <w:rPr>
          <w:rFonts w:asciiTheme="majorHAnsi" w:hAnsiTheme="majorHAnsi"/>
          <w:sz w:val="24"/>
        </w:rPr>
        <w:t>Staff estimates the burden of this collection of information as follows:</w:t>
      </w:r>
    </w:p>
    <w:p w:rsidR="000A3E87" w:rsidP="00337EF1" w14:paraId="68FFC19F" w14:textId="77777777">
      <w:pPr>
        <w:spacing w:after="0" w:line="240" w:lineRule="auto"/>
        <w:rPr>
          <w:rFonts w:asciiTheme="majorHAnsi" w:hAnsiTheme="majorHAnsi"/>
          <w:sz w:val="24"/>
        </w:rPr>
      </w:pPr>
    </w:p>
    <w:p w:rsidR="000A3E87" w:rsidP="00337EF1" w14:paraId="36B3F2B0" w14:textId="77777777">
      <w:pPr>
        <w:spacing w:after="0" w:line="240" w:lineRule="auto"/>
        <w:rPr>
          <w:rFonts w:asciiTheme="majorHAnsi" w:hAnsiTheme="majorHAnsi"/>
          <w:sz w:val="24"/>
        </w:rPr>
      </w:pPr>
      <w:r>
        <w:rPr>
          <w:rFonts w:asciiTheme="majorHAnsi" w:hAnsiTheme="majorHAnsi"/>
          <w:sz w:val="24"/>
        </w:rPr>
        <w:t>Table – Estimated Annual Reporting Burden</w:t>
      </w:r>
    </w:p>
    <w:tbl>
      <w:tblPr>
        <w:tblStyle w:val="TableGrid"/>
        <w:tblW w:w="0" w:type="auto"/>
        <w:tblLook w:val="04A0"/>
      </w:tblPr>
      <w:tblGrid>
        <w:gridCol w:w="1431"/>
        <w:gridCol w:w="1324"/>
        <w:gridCol w:w="1328"/>
        <w:gridCol w:w="1325"/>
        <w:gridCol w:w="1319"/>
        <w:gridCol w:w="1307"/>
        <w:gridCol w:w="1316"/>
      </w:tblGrid>
      <w:tr w14:paraId="0E55FD86" w14:textId="77777777" w:rsidTr="000A3E87">
        <w:tblPrEx>
          <w:tblW w:w="0" w:type="auto"/>
          <w:tblLook w:val="04A0"/>
        </w:tblPrEx>
        <w:tc>
          <w:tcPr>
            <w:tcW w:w="1335" w:type="dxa"/>
            <w:shd w:val="clear" w:color="auto" w:fill="F2F2F2" w:themeFill="background1" w:themeFillShade="F2"/>
          </w:tcPr>
          <w:p w:rsidR="000A3E87" w:rsidRPr="000A3E87" w:rsidP="00337EF1" w14:paraId="3072226E" w14:textId="77777777">
            <w:pPr>
              <w:rPr>
                <w:rFonts w:asciiTheme="majorHAnsi" w:hAnsiTheme="majorHAnsi"/>
              </w:rPr>
            </w:pPr>
            <w:r w:rsidRPr="000A3E87">
              <w:rPr>
                <w:rFonts w:asciiTheme="majorHAnsi" w:hAnsiTheme="majorHAnsi"/>
              </w:rPr>
              <w:t>Burden type</w:t>
            </w:r>
          </w:p>
        </w:tc>
        <w:tc>
          <w:tcPr>
            <w:tcW w:w="1335" w:type="dxa"/>
            <w:shd w:val="clear" w:color="auto" w:fill="F2F2F2" w:themeFill="background1" w:themeFillShade="F2"/>
          </w:tcPr>
          <w:p w:rsidR="000A3E87" w:rsidRPr="000A3E87" w:rsidP="00337EF1" w14:paraId="259F9D4B" w14:textId="77777777">
            <w:pPr>
              <w:rPr>
                <w:rFonts w:asciiTheme="majorHAnsi" w:hAnsiTheme="majorHAnsi"/>
              </w:rPr>
            </w:pPr>
            <w:r w:rsidRPr="000A3E87">
              <w:rPr>
                <w:rFonts w:asciiTheme="majorHAnsi" w:hAnsiTheme="majorHAnsi"/>
              </w:rPr>
              <w:t>Number of responses</w:t>
            </w:r>
          </w:p>
        </w:tc>
        <w:tc>
          <w:tcPr>
            <w:tcW w:w="1336" w:type="dxa"/>
            <w:shd w:val="clear" w:color="auto" w:fill="F2F2F2" w:themeFill="background1" w:themeFillShade="F2"/>
          </w:tcPr>
          <w:p w:rsidR="000A3E87" w:rsidRPr="000A3E87" w:rsidP="00337EF1" w14:paraId="77621D16" w14:textId="77777777">
            <w:pPr>
              <w:rPr>
                <w:rFonts w:asciiTheme="majorHAnsi" w:hAnsiTheme="majorHAnsi"/>
              </w:rPr>
            </w:pPr>
            <w:r w:rsidRPr="000A3E87">
              <w:rPr>
                <w:rFonts w:asciiTheme="majorHAnsi" w:hAnsiTheme="majorHAnsi"/>
              </w:rPr>
              <w:t>Frequency of response</w:t>
            </w:r>
          </w:p>
        </w:tc>
        <w:tc>
          <w:tcPr>
            <w:tcW w:w="1336" w:type="dxa"/>
            <w:shd w:val="clear" w:color="auto" w:fill="F2F2F2" w:themeFill="background1" w:themeFillShade="F2"/>
          </w:tcPr>
          <w:p w:rsidR="000A3E87" w:rsidRPr="000A3E87" w:rsidP="00337EF1" w14:paraId="0A02C2D7" w14:textId="77777777">
            <w:pPr>
              <w:rPr>
                <w:rFonts w:asciiTheme="majorHAnsi" w:hAnsiTheme="majorHAnsi"/>
              </w:rPr>
            </w:pPr>
            <w:r w:rsidRPr="000A3E87">
              <w:rPr>
                <w:rFonts w:asciiTheme="majorHAnsi" w:hAnsiTheme="majorHAnsi"/>
              </w:rPr>
              <w:t xml:space="preserve">Total </w:t>
            </w:r>
            <w:r w:rsidRPr="000A3E87">
              <w:rPr>
                <w:rFonts w:asciiTheme="majorHAnsi" w:hAnsiTheme="majorHAnsi"/>
              </w:rPr>
              <w:t>annual responses</w:t>
            </w:r>
          </w:p>
        </w:tc>
        <w:tc>
          <w:tcPr>
            <w:tcW w:w="1336" w:type="dxa"/>
            <w:shd w:val="clear" w:color="auto" w:fill="F2F2F2" w:themeFill="background1" w:themeFillShade="F2"/>
          </w:tcPr>
          <w:p w:rsidR="000A3E87" w:rsidRPr="000A3E87" w:rsidP="00337EF1" w14:paraId="26F970AC" w14:textId="77777777">
            <w:pPr>
              <w:rPr>
                <w:rFonts w:asciiTheme="majorHAnsi" w:hAnsiTheme="majorHAnsi"/>
              </w:rPr>
            </w:pPr>
            <w:r w:rsidRPr="000A3E87">
              <w:rPr>
                <w:rFonts w:asciiTheme="majorHAnsi" w:hAnsiTheme="majorHAnsi"/>
              </w:rPr>
              <w:t>Hours per response</w:t>
            </w:r>
          </w:p>
        </w:tc>
        <w:tc>
          <w:tcPr>
            <w:tcW w:w="1336" w:type="dxa"/>
            <w:shd w:val="clear" w:color="auto" w:fill="F2F2F2" w:themeFill="background1" w:themeFillShade="F2"/>
          </w:tcPr>
          <w:p w:rsidR="000A3E87" w:rsidRPr="000A3E87" w:rsidP="00337EF1" w14:paraId="4A6443A9" w14:textId="77777777">
            <w:pPr>
              <w:rPr>
                <w:rFonts w:asciiTheme="majorHAnsi" w:hAnsiTheme="majorHAnsi"/>
              </w:rPr>
            </w:pPr>
            <w:r w:rsidRPr="000A3E87">
              <w:rPr>
                <w:rFonts w:asciiTheme="majorHAnsi" w:hAnsiTheme="majorHAnsi"/>
              </w:rPr>
              <w:t>Total burden hours</w:t>
            </w:r>
          </w:p>
        </w:tc>
        <w:tc>
          <w:tcPr>
            <w:tcW w:w="1336" w:type="dxa"/>
            <w:shd w:val="clear" w:color="auto" w:fill="F2F2F2" w:themeFill="background1" w:themeFillShade="F2"/>
          </w:tcPr>
          <w:p w:rsidR="000A3E87" w:rsidRPr="000A3E87" w:rsidP="00337EF1" w14:paraId="038487AF" w14:textId="77777777">
            <w:pPr>
              <w:rPr>
                <w:rFonts w:asciiTheme="majorHAnsi" w:hAnsiTheme="majorHAnsi"/>
              </w:rPr>
            </w:pPr>
            <w:r w:rsidRPr="000A3E87">
              <w:rPr>
                <w:rFonts w:asciiTheme="majorHAnsi" w:hAnsiTheme="majorHAnsi"/>
              </w:rPr>
              <w:t>Annual cost</w:t>
            </w:r>
          </w:p>
        </w:tc>
      </w:tr>
      <w:tr w14:paraId="3D6943D8" w14:textId="77777777" w:rsidTr="000A3E87">
        <w:tblPrEx>
          <w:tblW w:w="0" w:type="auto"/>
          <w:tblLook w:val="04A0"/>
        </w:tblPrEx>
        <w:tc>
          <w:tcPr>
            <w:tcW w:w="1335" w:type="dxa"/>
          </w:tcPr>
          <w:p w:rsidR="000A3E87" w:rsidRPr="000A3E87" w:rsidP="00337EF1" w14:paraId="13EBB2F5" w14:textId="77777777">
            <w:pPr>
              <w:rPr>
                <w:rFonts w:asciiTheme="majorHAnsi" w:hAnsiTheme="majorHAnsi"/>
              </w:rPr>
            </w:pPr>
            <w:r w:rsidRPr="000A3E87">
              <w:rPr>
                <w:rFonts w:asciiTheme="majorHAnsi" w:hAnsiTheme="majorHAnsi"/>
              </w:rPr>
              <w:t>Labeling</w:t>
            </w:r>
          </w:p>
        </w:tc>
        <w:tc>
          <w:tcPr>
            <w:tcW w:w="1335" w:type="dxa"/>
          </w:tcPr>
          <w:p w:rsidR="000A3E87" w:rsidRPr="000A3E87" w:rsidP="00337EF1" w14:paraId="543D1A19" w14:textId="77777777">
            <w:pPr>
              <w:rPr>
                <w:rFonts w:asciiTheme="majorHAnsi" w:hAnsiTheme="majorHAnsi"/>
              </w:rPr>
            </w:pPr>
            <w:r w:rsidRPr="000A3E87">
              <w:rPr>
                <w:rFonts w:asciiTheme="majorHAnsi" w:hAnsiTheme="majorHAnsi"/>
              </w:rPr>
              <w:t>12</w:t>
            </w:r>
          </w:p>
        </w:tc>
        <w:tc>
          <w:tcPr>
            <w:tcW w:w="1336" w:type="dxa"/>
          </w:tcPr>
          <w:p w:rsidR="000A3E87" w:rsidRPr="000A3E87" w:rsidP="00337EF1" w14:paraId="471F1AA8" w14:textId="77777777">
            <w:pPr>
              <w:rPr>
                <w:rFonts w:asciiTheme="majorHAnsi" w:hAnsiTheme="majorHAnsi"/>
              </w:rPr>
            </w:pPr>
            <w:r w:rsidRPr="000A3E87">
              <w:rPr>
                <w:rFonts w:asciiTheme="majorHAnsi" w:hAnsiTheme="majorHAnsi"/>
              </w:rPr>
              <w:t>6</w:t>
            </w:r>
          </w:p>
        </w:tc>
        <w:tc>
          <w:tcPr>
            <w:tcW w:w="1336" w:type="dxa"/>
          </w:tcPr>
          <w:p w:rsidR="000A3E87" w:rsidRPr="000A3E87" w:rsidP="00337EF1" w14:paraId="0F4E7640" w14:textId="77777777">
            <w:pPr>
              <w:rPr>
                <w:rFonts w:asciiTheme="majorHAnsi" w:hAnsiTheme="majorHAnsi"/>
              </w:rPr>
            </w:pPr>
            <w:r w:rsidRPr="000A3E87">
              <w:rPr>
                <w:rFonts w:asciiTheme="majorHAnsi" w:hAnsiTheme="majorHAnsi"/>
              </w:rPr>
              <w:t>72</w:t>
            </w:r>
          </w:p>
        </w:tc>
        <w:tc>
          <w:tcPr>
            <w:tcW w:w="1336" w:type="dxa"/>
          </w:tcPr>
          <w:p w:rsidR="000A3E87" w:rsidRPr="000A3E87" w:rsidP="00337EF1" w14:paraId="501B3936" w14:textId="77777777">
            <w:pPr>
              <w:rPr>
                <w:rFonts w:asciiTheme="majorHAnsi" w:hAnsiTheme="majorHAnsi"/>
              </w:rPr>
            </w:pPr>
            <w:r w:rsidRPr="000A3E87">
              <w:rPr>
                <w:rFonts w:asciiTheme="majorHAnsi" w:hAnsiTheme="majorHAnsi"/>
              </w:rPr>
              <w:t>8</w:t>
            </w:r>
          </w:p>
        </w:tc>
        <w:tc>
          <w:tcPr>
            <w:tcW w:w="1336" w:type="dxa"/>
          </w:tcPr>
          <w:p w:rsidR="000A3E87" w:rsidRPr="000A3E87" w:rsidP="00337EF1" w14:paraId="3F6E9CCA" w14:textId="77777777">
            <w:pPr>
              <w:rPr>
                <w:rFonts w:asciiTheme="majorHAnsi" w:hAnsiTheme="majorHAnsi"/>
              </w:rPr>
            </w:pPr>
            <w:r w:rsidRPr="000A3E87">
              <w:rPr>
                <w:rFonts w:asciiTheme="majorHAnsi" w:hAnsiTheme="majorHAnsi"/>
              </w:rPr>
              <w:t>576</w:t>
            </w:r>
          </w:p>
        </w:tc>
        <w:tc>
          <w:tcPr>
            <w:tcW w:w="1336" w:type="dxa"/>
          </w:tcPr>
          <w:p w:rsidR="000A3E87" w:rsidRPr="000A3E87" w:rsidP="00337EF1" w14:paraId="1181D8DD" w14:textId="77777777">
            <w:pPr>
              <w:rPr>
                <w:rFonts w:asciiTheme="majorHAnsi" w:hAnsiTheme="majorHAnsi"/>
              </w:rPr>
            </w:pPr>
            <w:r w:rsidRPr="000A3E87">
              <w:rPr>
                <w:rFonts w:asciiTheme="majorHAnsi" w:hAnsiTheme="majorHAnsi"/>
              </w:rPr>
              <w:t>$20,304</w:t>
            </w:r>
          </w:p>
        </w:tc>
      </w:tr>
      <w:tr w14:paraId="0EE53014" w14:textId="77777777" w:rsidTr="000A3E87">
        <w:tblPrEx>
          <w:tblW w:w="0" w:type="auto"/>
          <w:tblLook w:val="04A0"/>
        </w:tblPrEx>
        <w:tc>
          <w:tcPr>
            <w:tcW w:w="1335" w:type="dxa"/>
          </w:tcPr>
          <w:p w:rsidR="000A3E87" w:rsidRPr="000A3E87" w:rsidP="00337EF1" w14:paraId="0A5C79BB" w14:textId="77777777">
            <w:pPr>
              <w:rPr>
                <w:rFonts w:asciiTheme="majorHAnsi" w:hAnsiTheme="majorHAnsi"/>
              </w:rPr>
            </w:pPr>
            <w:r w:rsidRPr="000A3E87">
              <w:rPr>
                <w:rFonts w:asciiTheme="majorHAnsi" w:hAnsiTheme="majorHAnsi"/>
              </w:rPr>
              <w:t>Instructional literature</w:t>
            </w:r>
          </w:p>
        </w:tc>
        <w:tc>
          <w:tcPr>
            <w:tcW w:w="1335" w:type="dxa"/>
          </w:tcPr>
          <w:p w:rsidR="000A3E87" w:rsidRPr="000A3E87" w:rsidP="00337EF1" w14:paraId="18B6C09F" w14:textId="77777777">
            <w:pPr>
              <w:rPr>
                <w:rFonts w:asciiTheme="majorHAnsi" w:hAnsiTheme="majorHAnsi"/>
              </w:rPr>
            </w:pPr>
            <w:r w:rsidRPr="000A3E87">
              <w:rPr>
                <w:rFonts w:asciiTheme="majorHAnsi" w:hAnsiTheme="majorHAnsi"/>
              </w:rPr>
              <w:t>12</w:t>
            </w:r>
          </w:p>
        </w:tc>
        <w:tc>
          <w:tcPr>
            <w:tcW w:w="1336" w:type="dxa"/>
          </w:tcPr>
          <w:p w:rsidR="000A3E87" w:rsidRPr="000A3E87" w:rsidP="00337EF1" w14:paraId="36084464" w14:textId="77777777">
            <w:pPr>
              <w:rPr>
                <w:rFonts w:asciiTheme="majorHAnsi" w:hAnsiTheme="majorHAnsi"/>
              </w:rPr>
            </w:pPr>
            <w:r w:rsidRPr="000A3E87">
              <w:rPr>
                <w:rFonts w:asciiTheme="majorHAnsi" w:hAnsiTheme="majorHAnsi"/>
              </w:rPr>
              <w:t>6</w:t>
            </w:r>
          </w:p>
        </w:tc>
        <w:tc>
          <w:tcPr>
            <w:tcW w:w="1336" w:type="dxa"/>
          </w:tcPr>
          <w:p w:rsidR="000A3E87" w:rsidRPr="000A3E87" w:rsidP="00337EF1" w14:paraId="763485BE" w14:textId="77777777">
            <w:pPr>
              <w:rPr>
                <w:rFonts w:asciiTheme="majorHAnsi" w:hAnsiTheme="majorHAnsi"/>
              </w:rPr>
            </w:pPr>
            <w:r w:rsidRPr="000A3E87">
              <w:rPr>
                <w:rFonts w:asciiTheme="majorHAnsi" w:hAnsiTheme="majorHAnsi"/>
              </w:rPr>
              <w:t>72</w:t>
            </w:r>
          </w:p>
        </w:tc>
        <w:tc>
          <w:tcPr>
            <w:tcW w:w="1336" w:type="dxa"/>
          </w:tcPr>
          <w:p w:rsidR="000A3E87" w:rsidRPr="000A3E87" w:rsidP="00337EF1" w14:paraId="57FBCCEC" w14:textId="77777777">
            <w:pPr>
              <w:rPr>
                <w:rFonts w:asciiTheme="majorHAnsi" w:hAnsiTheme="majorHAnsi"/>
              </w:rPr>
            </w:pPr>
            <w:r w:rsidRPr="000A3E87">
              <w:rPr>
                <w:rFonts w:asciiTheme="majorHAnsi" w:hAnsiTheme="majorHAnsi"/>
              </w:rPr>
              <w:t>24</w:t>
            </w:r>
          </w:p>
        </w:tc>
        <w:tc>
          <w:tcPr>
            <w:tcW w:w="1336" w:type="dxa"/>
          </w:tcPr>
          <w:p w:rsidR="000A3E87" w:rsidRPr="000A3E87" w:rsidP="00337EF1" w14:paraId="71F16029" w14:textId="77777777">
            <w:pPr>
              <w:rPr>
                <w:rFonts w:asciiTheme="majorHAnsi" w:hAnsiTheme="majorHAnsi"/>
              </w:rPr>
            </w:pPr>
            <w:r w:rsidRPr="000A3E87">
              <w:rPr>
                <w:rFonts w:asciiTheme="majorHAnsi" w:hAnsiTheme="majorHAnsi"/>
              </w:rPr>
              <w:t>1,728</w:t>
            </w:r>
          </w:p>
        </w:tc>
        <w:tc>
          <w:tcPr>
            <w:tcW w:w="1336" w:type="dxa"/>
          </w:tcPr>
          <w:p w:rsidR="000A3E87" w:rsidRPr="000A3E87" w:rsidP="00337EF1" w14:paraId="5402EA59" w14:textId="77777777">
            <w:pPr>
              <w:rPr>
                <w:rFonts w:asciiTheme="majorHAnsi" w:hAnsiTheme="majorHAnsi"/>
              </w:rPr>
            </w:pPr>
            <w:r w:rsidRPr="000A3E87">
              <w:rPr>
                <w:rFonts w:asciiTheme="majorHAnsi" w:hAnsiTheme="majorHAnsi"/>
              </w:rPr>
              <w:t>$60,912</w:t>
            </w:r>
          </w:p>
        </w:tc>
      </w:tr>
      <w:tr w14:paraId="49A74FC2" w14:textId="77777777" w:rsidTr="000A3E87">
        <w:tblPrEx>
          <w:tblW w:w="0" w:type="auto"/>
          <w:tblLook w:val="04A0"/>
        </w:tblPrEx>
        <w:tc>
          <w:tcPr>
            <w:tcW w:w="1335" w:type="dxa"/>
          </w:tcPr>
          <w:p w:rsidR="000A3E87" w:rsidRPr="000A3E87" w:rsidP="00337EF1" w14:paraId="09721748" w14:textId="77777777">
            <w:pPr>
              <w:rPr>
                <w:rFonts w:asciiTheme="majorHAnsi" w:hAnsiTheme="majorHAnsi"/>
                <w:b/>
              </w:rPr>
            </w:pPr>
            <w:r w:rsidRPr="000A3E87">
              <w:rPr>
                <w:rFonts w:asciiTheme="majorHAnsi" w:hAnsiTheme="majorHAnsi"/>
                <w:b/>
              </w:rPr>
              <w:t>Total Burden</w:t>
            </w:r>
          </w:p>
        </w:tc>
        <w:tc>
          <w:tcPr>
            <w:tcW w:w="1335" w:type="dxa"/>
          </w:tcPr>
          <w:p w:rsidR="000A3E87" w:rsidRPr="000A3E87" w:rsidP="00337EF1" w14:paraId="78F3D87B" w14:textId="77777777">
            <w:pPr>
              <w:rPr>
                <w:rFonts w:asciiTheme="majorHAnsi" w:hAnsiTheme="majorHAnsi"/>
                <w:b/>
              </w:rPr>
            </w:pPr>
            <w:r w:rsidRPr="000A3E87">
              <w:rPr>
                <w:rFonts w:asciiTheme="majorHAnsi" w:hAnsiTheme="majorHAnsi"/>
                <w:b/>
              </w:rPr>
              <w:t>—</w:t>
            </w:r>
          </w:p>
        </w:tc>
        <w:tc>
          <w:tcPr>
            <w:tcW w:w="1336" w:type="dxa"/>
          </w:tcPr>
          <w:p w:rsidR="000A3E87" w:rsidRPr="000A3E87" w:rsidP="00337EF1" w14:paraId="3DC4D0C8" w14:textId="77777777">
            <w:pPr>
              <w:rPr>
                <w:rFonts w:asciiTheme="majorHAnsi" w:hAnsiTheme="majorHAnsi"/>
                <w:b/>
              </w:rPr>
            </w:pPr>
            <w:r w:rsidRPr="000A3E87">
              <w:rPr>
                <w:rFonts w:asciiTheme="majorHAnsi" w:hAnsiTheme="majorHAnsi"/>
                <w:b/>
              </w:rPr>
              <w:t>—</w:t>
            </w:r>
          </w:p>
        </w:tc>
        <w:tc>
          <w:tcPr>
            <w:tcW w:w="1336" w:type="dxa"/>
          </w:tcPr>
          <w:p w:rsidR="000A3E87" w:rsidRPr="000A3E87" w:rsidP="00337EF1" w14:paraId="428A6A4A" w14:textId="77777777">
            <w:pPr>
              <w:rPr>
                <w:rFonts w:asciiTheme="majorHAnsi" w:hAnsiTheme="majorHAnsi"/>
                <w:b/>
              </w:rPr>
            </w:pPr>
            <w:r w:rsidRPr="000A3E87">
              <w:rPr>
                <w:rFonts w:asciiTheme="majorHAnsi" w:hAnsiTheme="majorHAnsi"/>
                <w:b/>
              </w:rPr>
              <w:t>—</w:t>
            </w:r>
          </w:p>
        </w:tc>
        <w:tc>
          <w:tcPr>
            <w:tcW w:w="1336" w:type="dxa"/>
          </w:tcPr>
          <w:p w:rsidR="000A3E87" w:rsidRPr="000A3E87" w:rsidP="00337EF1" w14:paraId="531C665C" w14:textId="77777777">
            <w:pPr>
              <w:rPr>
                <w:rFonts w:asciiTheme="majorHAnsi" w:hAnsiTheme="majorHAnsi"/>
                <w:b/>
              </w:rPr>
            </w:pPr>
            <w:r w:rsidRPr="000A3E87">
              <w:rPr>
                <w:rFonts w:asciiTheme="majorHAnsi" w:hAnsiTheme="majorHAnsi"/>
                <w:b/>
              </w:rPr>
              <w:t>—</w:t>
            </w:r>
          </w:p>
        </w:tc>
        <w:tc>
          <w:tcPr>
            <w:tcW w:w="1336" w:type="dxa"/>
          </w:tcPr>
          <w:p w:rsidR="000A3E87" w:rsidRPr="000A3E87" w:rsidP="00337EF1" w14:paraId="038FAA39" w14:textId="77777777">
            <w:pPr>
              <w:rPr>
                <w:rFonts w:asciiTheme="majorHAnsi" w:hAnsiTheme="majorHAnsi"/>
                <w:b/>
              </w:rPr>
            </w:pPr>
            <w:r w:rsidRPr="000A3E87">
              <w:rPr>
                <w:rFonts w:asciiTheme="majorHAnsi" w:hAnsiTheme="majorHAnsi"/>
                <w:b/>
              </w:rPr>
              <w:t>2,304</w:t>
            </w:r>
          </w:p>
        </w:tc>
        <w:tc>
          <w:tcPr>
            <w:tcW w:w="1336" w:type="dxa"/>
          </w:tcPr>
          <w:p w:rsidR="000A3E87" w:rsidRPr="000A3E87" w:rsidP="00337EF1" w14:paraId="3981F52B" w14:textId="77777777">
            <w:pPr>
              <w:rPr>
                <w:rFonts w:asciiTheme="majorHAnsi" w:hAnsiTheme="majorHAnsi"/>
                <w:b/>
              </w:rPr>
            </w:pPr>
            <w:r w:rsidRPr="000A3E87">
              <w:rPr>
                <w:rFonts w:asciiTheme="majorHAnsi" w:hAnsiTheme="majorHAnsi"/>
                <w:b/>
              </w:rPr>
              <w:t>$81,216</w:t>
            </w:r>
          </w:p>
        </w:tc>
      </w:tr>
    </w:tbl>
    <w:p w:rsidR="00FA7EBD" w:rsidP="00337EF1" w14:paraId="32AB96DA" w14:textId="77777777">
      <w:pPr>
        <w:spacing w:after="0" w:line="240" w:lineRule="auto"/>
        <w:rPr>
          <w:rFonts w:asciiTheme="majorHAnsi" w:hAnsiTheme="majorHAnsi"/>
          <w:sz w:val="24"/>
        </w:rPr>
      </w:pPr>
    </w:p>
    <w:p w:rsidR="002C43BE" w:rsidP="00337EF1" w14:paraId="7BC6E6B5" w14:textId="77777777">
      <w:pPr>
        <w:spacing w:after="0" w:line="240" w:lineRule="auto"/>
        <w:rPr>
          <w:rFonts w:asciiTheme="majorHAnsi" w:hAnsiTheme="majorHAnsi"/>
          <w:sz w:val="24"/>
        </w:rPr>
      </w:pPr>
      <w:r>
        <w:rPr>
          <w:rFonts w:asciiTheme="majorHAnsi" w:hAnsiTheme="majorHAnsi"/>
          <w:sz w:val="24"/>
        </w:rPr>
        <w:t xml:space="preserve">Our estimate is based on the following. There are 12 known entities supplying APBRs to the U.S. market. On average, each entity supplies six APBR models to the market. All 12 entities are assumed to already use labels on both their products and packaging. </w:t>
      </w:r>
      <w:r>
        <w:rPr>
          <w:rFonts w:asciiTheme="majorHAnsi" w:hAnsiTheme="majorHAnsi"/>
          <w:sz w:val="24"/>
        </w:rPr>
        <w:t>However, none of the APBR models tested comply with ASTM F3186-17 labeling and information requirements. CPSC therefore expects all entities will need to make modifications to their existing labels. The estimated time required to make these modifications i</w:t>
      </w:r>
      <w:r>
        <w:rPr>
          <w:rFonts w:asciiTheme="majorHAnsi" w:hAnsiTheme="majorHAnsi"/>
          <w:sz w:val="24"/>
        </w:rPr>
        <w:t xml:space="preserve">s about eight hours per model. Each entity supplies an average of six different APBR models. Therefore, the estimated burden associated with labels is 576 hours (12 entities × 6 models per entity × 8 hours per model = 576 hours). </w:t>
      </w:r>
    </w:p>
    <w:p w:rsidR="002C43BE" w:rsidP="00337EF1" w14:paraId="188DB2D4" w14:textId="77777777">
      <w:pPr>
        <w:spacing w:after="0" w:line="240" w:lineRule="auto"/>
        <w:rPr>
          <w:rFonts w:asciiTheme="majorHAnsi" w:hAnsiTheme="majorHAnsi"/>
          <w:sz w:val="24"/>
        </w:rPr>
      </w:pPr>
    </w:p>
    <w:p w:rsidR="002C43BE" w:rsidRPr="002C43BE" w:rsidP="00337EF1" w14:paraId="0F123946" w14:textId="77777777">
      <w:pPr>
        <w:spacing w:after="0" w:line="240" w:lineRule="auto"/>
        <w:rPr>
          <w:rFonts w:asciiTheme="majorHAnsi" w:hAnsiTheme="majorHAnsi"/>
          <w:sz w:val="24"/>
        </w:rPr>
      </w:pPr>
      <w:r>
        <w:rPr>
          <w:rFonts w:asciiTheme="majorHAnsi" w:hAnsiTheme="majorHAnsi"/>
          <w:sz w:val="24"/>
        </w:rPr>
        <w:t xml:space="preserve">We estimate the hourly compensation for the time required to create and update labels is </w:t>
      </w:r>
      <w:r w:rsidRPr="002C43BE">
        <w:rPr>
          <w:rFonts w:asciiTheme="majorHAnsi" w:hAnsiTheme="majorHAnsi"/>
          <w:sz w:val="24"/>
          <w:szCs w:val="24"/>
        </w:rPr>
        <w:t>$35.25 (U.S. Bureau of Labor Statistics, ‘‘Employer Costs for Employee Compensation,’’ March 2022, total compensation for all sales and office workers in goods-produci</w:t>
      </w:r>
      <w:r w:rsidRPr="002C43BE">
        <w:rPr>
          <w:rFonts w:asciiTheme="majorHAnsi" w:hAnsiTheme="majorHAnsi"/>
          <w:sz w:val="24"/>
          <w:szCs w:val="24"/>
        </w:rPr>
        <w:t xml:space="preserve">ng private industries: www.bls.gov/ncs/.) Therefore, the estimated annual cost to industry associated with the labeling requirements is $20,304 ($35.25 per hour × 576 hours). </w:t>
      </w:r>
    </w:p>
    <w:p w:rsidR="002C43BE" w:rsidP="00337EF1" w14:paraId="492BE621" w14:textId="77777777">
      <w:pPr>
        <w:spacing w:after="0" w:line="240" w:lineRule="auto"/>
      </w:pPr>
    </w:p>
    <w:p w:rsidR="000A3E87" w:rsidP="00337EF1" w14:paraId="34286691" w14:textId="011CE1F7">
      <w:pPr>
        <w:spacing w:after="0" w:line="240" w:lineRule="auto"/>
        <w:rPr>
          <w:rFonts w:asciiTheme="majorHAnsi" w:hAnsiTheme="majorHAnsi"/>
          <w:sz w:val="24"/>
          <w:szCs w:val="24"/>
        </w:rPr>
      </w:pPr>
      <w:r w:rsidRPr="002C43BE">
        <w:rPr>
          <w:rFonts w:asciiTheme="majorHAnsi" w:hAnsiTheme="majorHAnsi"/>
          <w:sz w:val="24"/>
          <w:szCs w:val="24"/>
        </w:rPr>
        <w:t xml:space="preserve">The </w:t>
      </w:r>
      <w:r w:rsidRPr="002C43BE">
        <w:rPr>
          <w:rFonts w:asciiTheme="majorHAnsi" w:hAnsiTheme="majorHAnsi"/>
          <w:sz w:val="24"/>
          <w:szCs w:val="24"/>
        </w:rPr>
        <w:t>rule would also require instructions to be supplied with the produ</w:t>
      </w:r>
      <w:r w:rsidRPr="002C43BE">
        <w:rPr>
          <w:rFonts w:asciiTheme="majorHAnsi" w:hAnsiTheme="majorHAnsi"/>
          <w:sz w:val="24"/>
          <w:szCs w:val="24"/>
        </w:rPr>
        <w:t>ct. Under the OMB’s regulations (5 CFR 1320.3(b)(2)), the time, effort, and financial resources necessary to comply with a collection of information that would be incurred by persons in the ‘‘normal course of their activities’’ are excluded from a burden e</w:t>
      </w:r>
      <w:r w:rsidRPr="002C43BE">
        <w:rPr>
          <w:rFonts w:asciiTheme="majorHAnsi" w:hAnsiTheme="majorHAnsi"/>
          <w:sz w:val="24"/>
          <w:szCs w:val="24"/>
        </w:rPr>
        <w:t>stimate, where an agency demonstrates that the disclosure activities required to comply are ‘‘usual and customary.’’ APBRs require installation on an existing bed, which implies instructions for proper use, fit, and position on a bed, as well as cleaning a</w:t>
      </w:r>
      <w:r w:rsidRPr="002C43BE">
        <w:rPr>
          <w:rFonts w:asciiTheme="majorHAnsi" w:hAnsiTheme="majorHAnsi"/>
          <w:sz w:val="24"/>
          <w:szCs w:val="24"/>
        </w:rPr>
        <w:t>re necessary. While many APBR entities already provide some instructional material, CPSC expects all will need to make some modifications to existing material. The estimated time to modify the instructional material is 24 hours per model. Each entity suppl</w:t>
      </w:r>
      <w:r w:rsidRPr="002C43BE">
        <w:rPr>
          <w:rFonts w:asciiTheme="majorHAnsi" w:hAnsiTheme="majorHAnsi"/>
          <w:sz w:val="24"/>
          <w:szCs w:val="24"/>
        </w:rPr>
        <w:t>ies an average of six different APBR models. Therefore, the estimated burden associated with instructional literature is 1,728 hours (12 entities × 6 models per entity × 24 hours per model). We estimate the hourly compensation for the time required to crea</w:t>
      </w:r>
      <w:r w:rsidRPr="002C43BE">
        <w:rPr>
          <w:rFonts w:asciiTheme="majorHAnsi" w:hAnsiTheme="majorHAnsi"/>
          <w:sz w:val="24"/>
          <w:szCs w:val="24"/>
        </w:rPr>
        <w:t>te and update instructional material is $35.25 (U.S. Bureau of Labor Statistics, ‘‘Employer Costs for Employee Compensation,’’ March 2022), total compensation for all sales and office workers in goodsproducing private industries: www.bls.gov/ncs/). Therefo</w:t>
      </w:r>
      <w:r w:rsidRPr="002C43BE">
        <w:rPr>
          <w:rFonts w:asciiTheme="majorHAnsi" w:hAnsiTheme="majorHAnsi"/>
          <w:sz w:val="24"/>
          <w:szCs w:val="24"/>
        </w:rPr>
        <w:t xml:space="preserve">re, the estimated annual cost to industry associated with the instructional material requirements is $60,912 ($35.25 per hour × 1,728 hours). </w:t>
      </w:r>
    </w:p>
    <w:p w:rsidR="002C43BE" w:rsidP="00337EF1" w14:paraId="0CF395B5" w14:textId="77777777">
      <w:pPr>
        <w:spacing w:after="0" w:line="240" w:lineRule="auto"/>
        <w:rPr>
          <w:rFonts w:asciiTheme="majorHAnsi" w:hAnsiTheme="majorHAnsi"/>
          <w:sz w:val="24"/>
          <w:szCs w:val="24"/>
        </w:rPr>
      </w:pPr>
    </w:p>
    <w:p w:rsidR="002C43BE" w:rsidRPr="002C43BE" w:rsidP="00337EF1" w14:paraId="77C2E9BD" w14:textId="4C1561B3">
      <w:pPr>
        <w:spacing w:after="0" w:line="240" w:lineRule="auto"/>
        <w:rPr>
          <w:rFonts w:asciiTheme="majorHAnsi" w:hAnsiTheme="majorHAnsi"/>
          <w:sz w:val="24"/>
          <w:szCs w:val="24"/>
        </w:rPr>
      </w:pPr>
      <w:r w:rsidRPr="002C43BE">
        <w:rPr>
          <w:rFonts w:asciiTheme="majorHAnsi" w:hAnsiTheme="majorHAnsi"/>
          <w:sz w:val="24"/>
          <w:szCs w:val="24"/>
        </w:rPr>
        <w:t xml:space="preserve">Based on this analysis, the proposed standard for APBRs would impose a burden to industry of 2,304 hours, at an </w:t>
      </w:r>
      <w:r w:rsidRPr="002C43BE">
        <w:rPr>
          <w:rFonts w:asciiTheme="majorHAnsi" w:hAnsiTheme="majorHAnsi"/>
          <w:sz w:val="24"/>
          <w:szCs w:val="24"/>
        </w:rPr>
        <w:t xml:space="preserve">estimated cost of $81,216 annually ($20,304 + $60.912). Existing APBR entities would incur these costs in the first year following the </w:t>
      </w:r>
      <w:r w:rsidRPr="002C43BE">
        <w:rPr>
          <w:rFonts w:asciiTheme="majorHAnsi" w:hAnsiTheme="majorHAnsi"/>
          <w:sz w:val="24"/>
          <w:szCs w:val="24"/>
        </w:rPr>
        <w:t>rule’s effective date. In subsequent years, costs could be less, depending on the number of new APBR models intr</w:t>
      </w:r>
      <w:r w:rsidRPr="002C43BE">
        <w:rPr>
          <w:rFonts w:asciiTheme="majorHAnsi" w:hAnsiTheme="majorHAnsi"/>
          <w:sz w:val="24"/>
          <w:szCs w:val="24"/>
        </w:rPr>
        <w:t>oduced by existing entities and/or by entities entering the APBR market.</w:t>
      </w:r>
    </w:p>
    <w:p w:rsidR="002C43BE" w:rsidP="00337EF1" w14:paraId="0B8DDF37" w14:textId="77777777">
      <w:pPr>
        <w:spacing w:after="0" w:line="240" w:lineRule="auto"/>
        <w:rPr>
          <w:rFonts w:asciiTheme="majorHAnsi" w:hAnsiTheme="majorHAnsi"/>
          <w:sz w:val="24"/>
        </w:rPr>
      </w:pPr>
    </w:p>
    <w:p w:rsidR="0019309D" w:rsidP="00337EF1" w14:paraId="5CB8F5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C43BE" w:rsidP="0019309D" w14:paraId="3EB4FC1B" w14:textId="77777777">
      <w:pPr>
        <w:spacing w:after="0" w:line="240" w:lineRule="auto"/>
        <w:rPr>
          <w:rFonts w:asciiTheme="majorHAnsi" w:hAnsiTheme="majorHAnsi"/>
          <w:sz w:val="24"/>
        </w:rPr>
      </w:pPr>
    </w:p>
    <w:p w:rsidR="0019309D" w:rsidRPr="00293CDA" w:rsidP="0019309D" w14:paraId="40387BFD" w14:textId="77777777">
      <w:pPr>
        <w:spacing w:after="0" w:line="240" w:lineRule="auto"/>
        <w:rPr>
          <w:rFonts w:asciiTheme="majorHAnsi" w:hAnsiTheme="majorHAnsi"/>
          <w:i/>
          <w:sz w:val="24"/>
        </w:rPr>
      </w:pPr>
      <w:r>
        <w:rPr>
          <w:rFonts w:asciiTheme="majorHAnsi" w:hAnsiTheme="majorHAnsi"/>
          <w:sz w:val="24"/>
        </w:rPr>
        <w:t>There are no operating, maintenance, or capital costs associate with the collection and there are no annualized costs to responden</w:t>
      </w:r>
      <w:r>
        <w:rPr>
          <w:rFonts w:asciiTheme="majorHAnsi" w:hAnsiTheme="majorHAnsi"/>
          <w:sz w:val="24"/>
        </w:rPr>
        <w:t xml:space="preserve">ts other than the labor burden costs addressed in Section 12 of this document to complete this collection. </w:t>
      </w:r>
    </w:p>
    <w:p w:rsidR="0019309D" w:rsidP="0019309D" w14:paraId="51F96D21" w14:textId="77777777">
      <w:pPr>
        <w:spacing w:after="0" w:line="240" w:lineRule="auto"/>
        <w:rPr>
          <w:rFonts w:asciiTheme="majorHAnsi" w:hAnsiTheme="majorHAnsi"/>
          <w:sz w:val="24"/>
        </w:rPr>
      </w:pPr>
    </w:p>
    <w:p w:rsidR="00F25499" w:rsidP="00FA7EBD" w14:paraId="68DC6B1E" w14:textId="77777777">
      <w:pPr>
        <w:keepNext/>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FA7EBD" w14:paraId="6B065FD2" w14:textId="77777777">
      <w:pPr>
        <w:keepNext/>
        <w:spacing w:after="0" w:line="240" w:lineRule="auto"/>
        <w:rPr>
          <w:rFonts w:asciiTheme="majorHAnsi" w:hAnsiTheme="majorHAnsi"/>
          <w:sz w:val="24"/>
        </w:rPr>
      </w:pPr>
    </w:p>
    <w:p w:rsidR="00235D71" w:rsidP="00FA7EBD" w14:paraId="6E96FA24" w14:textId="77777777">
      <w:pPr>
        <w:keepNext/>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10724D9" w14:textId="77777777">
      <w:pPr>
        <w:pStyle w:val="ListParagraph"/>
        <w:spacing w:after="0" w:line="240" w:lineRule="auto"/>
        <w:rPr>
          <w:rFonts w:asciiTheme="majorHAnsi" w:hAnsiTheme="majorHAnsi"/>
          <w:sz w:val="24"/>
        </w:rPr>
      </w:pPr>
    </w:p>
    <w:p w:rsidR="002C43BE" w:rsidRPr="002C43BE" w:rsidP="002C43BE" w14:paraId="7A1D76B7" w14:textId="714EA073">
      <w:pPr>
        <w:spacing w:after="0" w:line="240" w:lineRule="auto"/>
        <w:rPr>
          <w:rFonts w:asciiTheme="majorHAnsi" w:hAnsiTheme="majorHAnsi"/>
          <w:sz w:val="24"/>
        </w:rPr>
      </w:pPr>
      <w:r w:rsidRPr="002C43BE">
        <w:rPr>
          <w:rFonts w:asciiTheme="majorHAnsi" w:hAnsiTheme="majorHAnsi"/>
          <w:sz w:val="24"/>
        </w:rPr>
        <w:t>The estimated annual cost of the information collection requirem</w:t>
      </w:r>
      <w:r w:rsidRPr="002C43BE">
        <w:rPr>
          <w:rFonts w:asciiTheme="majorHAnsi" w:hAnsiTheme="majorHAnsi"/>
          <w:sz w:val="24"/>
        </w:rPr>
        <w:t>ents to the federal government is approximately $</w:t>
      </w:r>
      <w:r w:rsidR="00824518">
        <w:rPr>
          <w:rFonts w:asciiTheme="majorHAnsi" w:hAnsiTheme="majorHAnsi"/>
          <w:sz w:val="24"/>
        </w:rPr>
        <w:t>1,719</w:t>
      </w:r>
      <w:r w:rsidRPr="002C43BE">
        <w:rPr>
          <w:rFonts w:asciiTheme="majorHAnsi" w:hAnsiTheme="majorHAnsi"/>
          <w:sz w:val="24"/>
        </w:rPr>
        <w:t xml:space="preserve">, which includes </w:t>
      </w:r>
      <w:r w:rsidR="00824518">
        <w:rPr>
          <w:rFonts w:asciiTheme="majorHAnsi" w:hAnsiTheme="majorHAnsi"/>
          <w:sz w:val="24"/>
        </w:rPr>
        <w:t>24</w:t>
      </w:r>
      <w:r w:rsidRPr="002C43BE">
        <w:rPr>
          <w:rFonts w:asciiTheme="majorHAnsi" w:hAnsiTheme="majorHAnsi"/>
          <w:sz w:val="24"/>
        </w:rPr>
        <w:t xml:space="preserve"> staff hours to examine and evaluate the information as needed for Compliance activities. This is based on a GS-12, step 5 level salaried employee. The average hourly wage rate for a mid-level salaried GS-12 employee in the Washington, DC metropolitan area</w:t>
      </w:r>
      <w:r w:rsidRPr="002C43BE">
        <w:rPr>
          <w:rFonts w:asciiTheme="majorHAnsi" w:hAnsiTheme="majorHAnsi"/>
          <w:sz w:val="24"/>
        </w:rPr>
        <w:t xml:space="preserve"> (effective as of January 202</w:t>
      </w:r>
      <w:r w:rsidR="009A65FC">
        <w:rPr>
          <w:rFonts w:asciiTheme="majorHAnsi" w:hAnsiTheme="majorHAnsi"/>
          <w:sz w:val="24"/>
        </w:rPr>
        <w:t>2</w:t>
      </w:r>
      <w:r w:rsidRPr="002C43BE">
        <w:rPr>
          <w:rFonts w:asciiTheme="majorHAnsi" w:hAnsiTheme="majorHAnsi"/>
          <w:sz w:val="24"/>
        </w:rPr>
        <w:t>) is $4</w:t>
      </w:r>
      <w:r w:rsidR="00C9088D">
        <w:rPr>
          <w:rFonts w:asciiTheme="majorHAnsi" w:hAnsiTheme="majorHAnsi"/>
          <w:sz w:val="24"/>
        </w:rPr>
        <w:t>8.78</w:t>
      </w:r>
      <w:r w:rsidRPr="002C43BE">
        <w:rPr>
          <w:rFonts w:asciiTheme="majorHAnsi" w:hAnsiTheme="majorHAnsi"/>
          <w:sz w:val="24"/>
        </w:rPr>
        <w:t xml:space="preserve"> (GS-12, step 5). This represents 6</w:t>
      </w:r>
      <w:r w:rsidR="00C9088D">
        <w:rPr>
          <w:rFonts w:asciiTheme="majorHAnsi" w:hAnsiTheme="majorHAnsi"/>
          <w:sz w:val="24"/>
        </w:rPr>
        <w:t>8.1</w:t>
      </w:r>
      <w:r w:rsidRPr="002C43BE">
        <w:rPr>
          <w:rFonts w:asciiTheme="majorHAnsi" w:hAnsiTheme="majorHAnsi"/>
          <w:sz w:val="24"/>
        </w:rPr>
        <w:t xml:space="preserve"> percent of total compensation (U.S. Bureau of Labor Statistics, “Employer Costs for Employee Compensation,” </w:t>
      </w:r>
      <w:r w:rsidR="00C9088D">
        <w:rPr>
          <w:rFonts w:asciiTheme="majorHAnsi" w:hAnsiTheme="majorHAnsi"/>
          <w:sz w:val="24"/>
        </w:rPr>
        <w:t>June</w:t>
      </w:r>
      <w:r w:rsidRPr="002C43BE">
        <w:rPr>
          <w:rFonts w:asciiTheme="majorHAnsi" w:hAnsiTheme="majorHAnsi"/>
          <w:sz w:val="24"/>
        </w:rPr>
        <w:t xml:space="preserve"> 202</w:t>
      </w:r>
      <w:r w:rsidR="00C9088D">
        <w:rPr>
          <w:rFonts w:asciiTheme="majorHAnsi" w:hAnsiTheme="majorHAnsi"/>
          <w:sz w:val="24"/>
        </w:rPr>
        <w:t>2</w:t>
      </w:r>
      <w:r w:rsidRPr="002C43BE">
        <w:rPr>
          <w:rFonts w:asciiTheme="majorHAnsi" w:hAnsiTheme="majorHAnsi"/>
          <w:sz w:val="24"/>
        </w:rPr>
        <w:t>, Table 2, percentage of wages and salaries for all civilia</w:t>
      </w:r>
      <w:r w:rsidRPr="002C43BE">
        <w:rPr>
          <w:rFonts w:asciiTheme="majorHAnsi" w:hAnsiTheme="majorHAnsi"/>
          <w:sz w:val="24"/>
        </w:rPr>
        <w:t xml:space="preserve">n management, professional, and related employees: </w:t>
      </w:r>
      <w:r w:rsidRPr="00C9088D" w:rsidR="00C9088D">
        <w:rPr>
          <w:rFonts w:asciiTheme="majorHAnsi" w:hAnsiTheme="majorHAnsi"/>
          <w:sz w:val="24"/>
          <w:szCs w:val="24"/>
        </w:rPr>
        <w:t>https://www.bls.gov/news.release/archives/ecec_09202022.pdf</w:t>
      </w:r>
      <w:r w:rsidRPr="00C9088D">
        <w:rPr>
          <w:rFonts w:asciiTheme="majorHAnsi" w:hAnsiTheme="majorHAnsi"/>
          <w:sz w:val="24"/>
          <w:szCs w:val="24"/>
        </w:rPr>
        <w:t>).</w:t>
      </w:r>
      <w:r w:rsidRPr="002C43BE">
        <w:rPr>
          <w:rFonts w:asciiTheme="majorHAnsi" w:hAnsiTheme="majorHAnsi"/>
          <w:sz w:val="24"/>
        </w:rPr>
        <w:t xml:space="preserve"> Adding an additional 31.9 percent for benefits brings average annual compensation for mid-level salaried GS-12 employee to $</w:t>
      </w:r>
      <w:r w:rsidR="00C9088D">
        <w:rPr>
          <w:rFonts w:asciiTheme="majorHAnsi" w:hAnsiTheme="majorHAnsi"/>
          <w:sz w:val="24"/>
        </w:rPr>
        <w:t>71.63</w:t>
      </w:r>
      <w:r w:rsidRPr="002C43BE">
        <w:rPr>
          <w:rFonts w:asciiTheme="majorHAnsi" w:hAnsiTheme="majorHAnsi"/>
          <w:sz w:val="24"/>
        </w:rPr>
        <w:t xml:space="preserve"> per hour. Ass</w:t>
      </w:r>
      <w:r w:rsidRPr="002C43BE">
        <w:rPr>
          <w:rFonts w:asciiTheme="majorHAnsi" w:hAnsiTheme="majorHAnsi"/>
          <w:sz w:val="24"/>
        </w:rPr>
        <w:t xml:space="preserve">uming that approximately </w:t>
      </w:r>
      <w:r w:rsidR="00824518">
        <w:rPr>
          <w:rFonts w:asciiTheme="majorHAnsi" w:hAnsiTheme="majorHAnsi"/>
          <w:sz w:val="24"/>
        </w:rPr>
        <w:t>24</w:t>
      </w:r>
      <w:r w:rsidRPr="002C43BE">
        <w:rPr>
          <w:rFonts w:asciiTheme="majorHAnsi" w:hAnsiTheme="majorHAnsi"/>
          <w:sz w:val="24"/>
        </w:rPr>
        <w:t xml:space="preserve"> hours will be required annually, this results in an annual cost of $</w:t>
      </w:r>
      <w:r w:rsidR="00824518">
        <w:rPr>
          <w:rFonts w:asciiTheme="majorHAnsi" w:hAnsiTheme="majorHAnsi"/>
          <w:sz w:val="24"/>
        </w:rPr>
        <w:t>1,719</w:t>
      </w:r>
      <w:r w:rsidRPr="002C43BE">
        <w:rPr>
          <w:rFonts w:asciiTheme="majorHAnsi" w:hAnsiTheme="majorHAnsi"/>
          <w:sz w:val="24"/>
        </w:rPr>
        <w:t xml:space="preserve"> ($</w:t>
      </w:r>
      <w:r w:rsidR="00C9088D">
        <w:rPr>
          <w:rFonts w:asciiTheme="majorHAnsi" w:hAnsiTheme="majorHAnsi"/>
          <w:sz w:val="24"/>
        </w:rPr>
        <w:t>71.63</w:t>
      </w:r>
      <w:r w:rsidRPr="002C43BE">
        <w:rPr>
          <w:rFonts w:asciiTheme="majorHAnsi" w:hAnsiTheme="majorHAnsi"/>
          <w:sz w:val="24"/>
        </w:rPr>
        <w:t xml:space="preserve"> per hour × </w:t>
      </w:r>
      <w:r w:rsidR="00824518">
        <w:rPr>
          <w:rFonts w:asciiTheme="majorHAnsi" w:hAnsiTheme="majorHAnsi"/>
          <w:sz w:val="24"/>
        </w:rPr>
        <w:t>24</w:t>
      </w:r>
      <w:r w:rsidRPr="002C43BE">
        <w:rPr>
          <w:rFonts w:asciiTheme="majorHAnsi" w:hAnsiTheme="majorHAnsi"/>
          <w:sz w:val="24"/>
        </w:rPr>
        <w:t xml:space="preserve"> hours = $</w:t>
      </w:r>
      <w:r w:rsidR="00824518">
        <w:rPr>
          <w:rFonts w:asciiTheme="majorHAnsi" w:hAnsiTheme="majorHAnsi"/>
          <w:sz w:val="24"/>
        </w:rPr>
        <w:t>1,719.12</w:t>
      </w:r>
      <w:r w:rsidRPr="002C43BE">
        <w:rPr>
          <w:rFonts w:asciiTheme="majorHAnsi" w:hAnsiTheme="majorHAnsi"/>
          <w:sz w:val="24"/>
        </w:rPr>
        <w:t>).</w:t>
      </w:r>
    </w:p>
    <w:p w:rsidR="00B55E9F" w:rsidP="00B55E9F" w14:paraId="57603B2C" w14:textId="77777777">
      <w:pPr>
        <w:spacing w:after="0" w:line="240" w:lineRule="auto"/>
        <w:rPr>
          <w:rFonts w:asciiTheme="majorHAnsi" w:hAnsiTheme="majorHAnsi"/>
          <w:sz w:val="24"/>
        </w:rPr>
      </w:pPr>
    </w:p>
    <w:p w:rsidR="00722FDB" w:rsidRPr="00B55E9F" w:rsidP="00B55E9F" w14:paraId="21CAE80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r w:rsidR="0060780E">
        <w:rPr>
          <w:rFonts w:asciiTheme="majorHAnsi" w:hAnsiTheme="majorHAnsi"/>
          <w:sz w:val="24"/>
        </w:rPr>
        <w:t xml:space="preserve"> TO THE FEDERAL GOVERNMENT</w:t>
      </w:r>
    </w:p>
    <w:p w:rsidR="002C43BE" w:rsidP="002C43BE" w14:paraId="0033C3EA" w14:textId="77777777">
      <w:pPr>
        <w:spacing w:after="0" w:line="240" w:lineRule="auto"/>
        <w:rPr>
          <w:rFonts w:asciiTheme="majorHAnsi" w:hAnsiTheme="majorHAnsi"/>
          <w:i/>
          <w:sz w:val="24"/>
        </w:rPr>
      </w:pPr>
    </w:p>
    <w:p w:rsidR="002C43BE" w:rsidP="002C43BE" w14:paraId="5CEF8F0B" w14:textId="77777777">
      <w:pPr>
        <w:spacing w:after="0" w:line="240" w:lineRule="auto"/>
        <w:rPr>
          <w:rFonts w:asciiTheme="majorHAnsi" w:hAnsiTheme="majorHAnsi"/>
          <w:sz w:val="24"/>
          <w:szCs w:val="24"/>
        </w:rPr>
      </w:pPr>
      <w:r w:rsidRPr="002C43BE">
        <w:rPr>
          <w:rFonts w:asciiTheme="majorHAnsi" w:hAnsiTheme="majorHAnsi"/>
          <w:sz w:val="24"/>
          <w:szCs w:val="24"/>
        </w:rPr>
        <w:t>There are no operating, maintenance, or ca</w:t>
      </w:r>
      <w:r w:rsidRPr="002C43BE">
        <w:rPr>
          <w:rFonts w:asciiTheme="majorHAnsi" w:hAnsiTheme="majorHAnsi"/>
          <w:sz w:val="24"/>
          <w:szCs w:val="24"/>
        </w:rPr>
        <w:t xml:space="preserve">pital costs </w:t>
      </w:r>
      <w:r w:rsidR="0060780E">
        <w:rPr>
          <w:rFonts w:asciiTheme="majorHAnsi" w:hAnsiTheme="majorHAnsi"/>
          <w:sz w:val="24"/>
          <w:szCs w:val="24"/>
        </w:rPr>
        <w:t xml:space="preserve">to the federal government </w:t>
      </w:r>
      <w:r w:rsidRPr="002C43BE">
        <w:rPr>
          <w:rFonts w:asciiTheme="majorHAnsi" w:hAnsiTheme="majorHAnsi"/>
          <w:sz w:val="24"/>
          <w:szCs w:val="24"/>
        </w:rPr>
        <w:t>associated with the collection.</w:t>
      </w:r>
    </w:p>
    <w:p w:rsidR="002C43BE" w:rsidRPr="002C43BE" w:rsidP="002C43BE" w14:paraId="6D4F8B30" w14:textId="77777777">
      <w:pPr>
        <w:spacing w:after="0" w:line="240" w:lineRule="auto"/>
        <w:rPr>
          <w:rFonts w:asciiTheme="majorHAnsi" w:hAnsiTheme="majorHAnsi"/>
          <w:sz w:val="24"/>
          <w:szCs w:val="24"/>
        </w:rPr>
      </w:pPr>
    </w:p>
    <w:p w:rsidR="00DA2B37" w:rsidP="00486235" w14:paraId="1F9B91C6"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2C43BE" w:rsidP="002C43BE" w14:paraId="2E340A9C" w14:textId="77777777">
      <w:pPr>
        <w:spacing w:after="0" w:line="240" w:lineRule="auto"/>
        <w:rPr>
          <w:rFonts w:asciiTheme="majorHAnsi" w:hAnsiTheme="majorHAnsi"/>
          <w:sz w:val="24"/>
        </w:rPr>
      </w:pPr>
    </w:p>
    <w:p w:rsidR="00DA2B37" w:rsidP="002C43BE" w14:paraId="1D87C68F" w14:textId="77777777">
      <w:pPr>
        <w:spacing w:after="0" w:line="240" w:lineRule="auto"/>
        <w:rPr>
          <w:rFonts w:asciiTheme="majorHAnsi" w:hAnsiTheme="majorHAnsi"/>
          <w:sz w:val="24"/>
        </w:rPr>
      </w:pPr>
      <w:r>
        <w:rPr>
          <w:rFonts w:asciiTheme="majorHAnsi" w:hAnsiTheme="majorHAnsi"/>
          <w:sz w:val="24"/>
        </w:rPr>
        <w:t xml:space="preserve">There has been no change in burden. </w:t>
      </w:r>
      <w:r w:rsidRPr="002C43BE">
        <w:rPr>
          <w:rFonts w:asciiTheme="majorHAnsi" w:hAnsiTheme="majorHAnsi"/>
          <w:sz w:val="24"/>
        </w:rPr>
        <w:t>This is a new collection with a new associated burden.</w:t>
      </w:r>
    </w:p>
    <w:p w:rsidR="00B55E9F" w:rsidP="00DA2B37" w14:paraId="7CD92527" w14:textId="77777777">
      <w:pPr>
        <w:spacing w:after="0" w:line="240" w:lineRule="auto"/>
        <w:ind w:firstLine="720"/>
        <w:rPr>
          <w:rFonts w:asciiTheme="majorHAnsi" w:hAnsiTheme="majorHAnsi"/>
          <w:sz w:val="24"/>
        </w:rPr>
      </w:pPr>
    </w:p>
    <w:p w:rsidR="00DA2B37" w:rsidP="00486235" w14:paraId="317334C4"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437A5" w:rsidP="006F0BC7" w14:paraId="2BBC16C0" w14:textId="77777777">
      <w:pPr>
        <w:spacing w:after="0" w:line="240" w:lineRule="auto"/>
        <w:rPr>
          <w:rFonts w:asciiTheme="majorHAnsi" w:hAnsiTheme="majorHAnsi"/>
          <w:i/>
          <w:sz w:val="24"/>
        </w:rPr>
      </w:pPr>
    </w:p>
    <w:p w:rsidR="006F0BC7" w:rsidRPr="003C1DDB" w:rsidP="006F0BC7" w14:paraId="69C18B87" w14:textId="77777777">
      <w:pPr>
        <w:spacing w:after="0" w:line="240" w:lineRule="auto"/>
        <w:rPr>
          <w:rFonts w:asciiTheme="majorHAnsi" w:hAnsiTheme="majorHAnsi"/>
          <w:sz w:val="24"/>
        </w:rPr>
      </w:pPr>
      <w:r>
        <w:rPr>
          <w:rFonts w:asciiTheme="majorHAnsi" w:hAnsiTheme="majorHAnsi"/>
          <w:sz w:val="24"/>
        </w:rPr>
        <w:t xml:space="preserve">Labeling </w:t>
      </w:r>
      <w:r>
        <w:rPr>
          <w:rFonts w:asciiTheme="majorHAnsi" w:hAnsiTheme="majorHAnsi"/>
          <w:sz w:val="24"/>
        </w:rPr>
        <w:t>requirements will provide information to consumers and regulators needed to locate and recall noncomplying products. Information collected will be used by consumers and regulators to identify, locate or recall noncomplying products.</w:t>
      </w:r>
    </w:p>
    <w:p w:rsidR="005C3A95" w:rsidP="00486235" w14:paraId="4112BAB2" w14:textId="77777777">
      <w:pPr>
        <w:spacing w:after="0" w:line="240" w:lineRule="auto"/>
        <w:rPr>
          <w:rFonts w:asciiTheme="majorHAnsi" w:hAnsiTheme="majorHAnsi"/>
          <w:sz w:val="24"/>
        </w:rPr>
      </w:pPr>
    </w:p>
    <w:p w:rsidR="005C3A95" w:rsidRPr="0085688C" w:rsidP="00486235" w14:paraId="069113C9"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06B0C6B0" w14:textId="77777777">
      <w:pPr>
        <w:spacing w:after="0" w:line="240" w:lineRule="auto"/>
        <w:rPr>
          <w:rFonts w:asciiTheme="majorHAnsi" w:hAnsiTheme="majorHAnsi"/>
          <w:i/>
          <w:sz w:val="24"/>
        </w:rPr>
      </w:pPr>
    </w:p>
    <w:p w:rsidR="007437A5" w:rsidRPr="006467AD" w:rsidP="007437A5" w14:paraId="46C2F80C" w14:textId="77777777">
      <w:pPr>
        <w:spacing w:after="0" w:line="240" w:lineRule="auto"/>
        <w:rPr>
          <w:rFonts w:asciiTheme="majorHAnsi" w:hAnsiTheme="majorHAnsi"/>
          <w:sz w:val="24"/>
        </w:rPr>
      </w:pPr>
      <w:r>
        <w:rPr>
          <w:rFonts w:asciiTheme="majorHAnsi" w:hAnsiTheme="majorHAnsi"/>
          <w:sz w:val="24"/>
        </w:rPr>
        <w:t>We are not seeking approval to omit the display of the expiration date of the OMB approval on the collection instrument.</w:t>
      </w:r>
    </w:p>
    <w:p w:rsidR="007437A5" w:rsidP="00486235" w14:paraId="40B2C158" w14:textId="77777777">
      <w:pPr>
        <w:spacing w:after="0" w:line="240" w:lineRule="auto"/>
        <w:rPr>
          <w:rFonts w:asciiTheme="majorHAnsi" w:hAnsiTheme="majorHAnsi"/>
          <w:sz w:val="24"/>
        </w:rPr>
      </w:pPr>
    </w:p>
    <w:p w:rsidR="00C62D17" w:rsidRPr="0085688C" w:rsidP="00486235" w14:paraId="24B036C5"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1731E954" w14:textId="77777777">
      <w:pPr>
        <w:spacing w:after="0" w:line="240" w:lineRule="auto"/>
        <w:rPr>
          <w:rFonts w:asciiTheme="majorHAnsi" w:hAnsiTheme="majorHAnsi"/>
          <w:i/>
          <w:sz w:val="24"/>
        </w:rPr>
      </w:pPr>
    </w:p>
    <w:p w:rsidR="007437A5" w:rsidRPr="00C62D17" w:rsidP="007437A5" w14:paraId="70D0F31C" w14:textId="77777777">
      <w:pPr>
        <w:spacing w:after="0" w:line="240" w:lineRule="auto"/>
        <w:rPr>
          <w:rFonts w:asciiTheme="majorHAnsi" w:hAnsiTheme="majorHAnsi"/>
          <w:i/>
          <w:sz w:val="24"/>
        </w:rPr>
      </w:pPr>
      <w:r>
        <w:rPr>
          <w:rFonts w:asciiTheme="majorHAnsi" w:hAnsiTheme="majorHAnsi"/>
          <w:sz w:val="24"/>
        </w:rPr>
        <w:t xml:space="preserve">We are not requesting any </w:t>
      </w:r>
      <w:r>
        <w:rPr>
          <w:rFonts w:asciiTheme="majorHAnsi" w:hAnsiTheme="majorHAnsi"/>
          <w:sz w:val="24"/>
        </w:rPr>
        <w:t>exemptions to the provisions stated in 5 CFR 1320.9.</w:t>
      </w:r>
      <w:r>
        <w:rPr>
          <w:rFonts w:asciiTheme="majorHAnsi" w:hAnsiTheme="majorHAnsi"/>
          <w:sz w:val="24"/>
          <w:highlight w:val="cyan"/>
        </w:rPr>
        <w:t xml:space="preserve"> </w:t>
      </w:r>
    </w:p>
    <w:p w:rsidR="00A50A0F" w:rsidRPr="00C62D17" w:rsidP="00B55E9F" w14:paraId="1B0B70D6" w14:textId="77777777">
      <w:pPr>
        <w:spacing w:after="0" w:line="240" w:lineRule="auto"/>
        <w:rPr>
          <w:rFonts w:asciiTheme="majorHAnsi" w:hAnsiTheme="majorHAnsi"/>
          <w:i/>
          <w:sz w:val="24"/>
        </w:rPr>
      </w:pPr>
      <w:r>
        <w:rPr>
          <w:rFonts w:asciiTheme="majorHAnsi" w:hAnsiTheme="majorHAnsi"/>
          <w:sz w:val="24"/>
          <w:highlight w:val="cyan"/>
        </w:rPr>
        <w:t xml:space="preserve"> </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5FC" w14:paraId="2029B8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4487791"/>
      <w:docPartObj>
        <w:docPartGallery w:val="Page Numbers (Bottom of Page)"/>
        <w:docPartUnique/>
      </w:docPartObj>
    </w:sdtPr>
    <w:sdtEndPr>
      <w:rPr>
        <w:noProof/>
      </w:rPr>
    </w:sdtEndPr>
    <w:sdtContent>
      <w:p w:rsidR="009A65FC" w14:paraId="587179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A65FC" w14:paraId="145E90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5FC" w14:paraId="48BF49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5FC" w14:paraId="726570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5FC" w14:paraId="7BD821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5FC" w14:paraId="607AE2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4473165">
    <w:abstractNumId w:val="14"/>
  </w:num>
  <w:num w:numId="2" w16cid:durableId="102505040">
    <w:abstractNumId w:val="0"/>
  </w:num>
  <w:num w:numId="3" w16cid:durableId="1637099620">
    <w:abstractNumId w:val="11"/>
  </w:num>
  <w:num w:numId="4" w16cid:durableId="476580601">
    <w:abstractNumId w:val="10"/>
  </w:num>
  <w:num w:numId="5" w16cid:durableId="1138109286">
    <w:abstractNumId w:val="18"/>
  </w:num>
  <w:num w:numId="6" w16cid:durableId="1316690111">
    <w:abstractNumId w:val="1"/>
  </w:num>
  <w:num w:numId="7" w16cid:durableId="1668635348">
    <w:abstractNumId w:val="19"/>
  </w:num>
  <w:num w:numId="8" w16cid:durableId="803353413">
    <w:abstractNumId w:val="16"/>
  </w:num>
  <w:num w:numId="9" w16cid:durableId="147479546">
    <w:abstractNumId w:val="20"/>
  </w:num>
  <w:num w:numId="10" w16cid:durableId="1211108933">
    <w:abstractNumId w:val="3"/>
  </w:num>
  <w:num w:numId="11" w16cid:durableId="410932103">
    <w:abstractNumId w:val="15"/>
  </w:num>
  <w:num w:numId="12" w16cid:durableId="1293634852">
    <w:abstractNumId w:val="17"/>
  </w:num>
  <w:num w:numId="13" w16cid:durableId="906719232">
    <w:abstractNumId w:val="22"/>
  </w:num>
  <w:num w:numId="14" w16cid:durableId="1922635155">
    <w:abstractNumId w:val="23"/>
  </w:num>
  <w:num w:numId="15" w16cid:durableId="1681733430">
    <w:abstractNumId w:val="9"/>
  </w:num>
  <w:num w:numId="16" w16cid:durableId="1328560978">
    <w:abstractNumId w:val="8"/>
  </w:num>
  <w:num w:numId="17" w16cid:durableId="1042708954">
    <w:abstractNumId w:val="12"/>
  </w:num>
  <w:num w:numId="18" w16cid:durableId="2011978449">
    <w:abstractNumId w:val="7"/>
  </w:num>
  <w:num w:numId="19" w16cid:durableId="658191733">
    <w:abstractNumId w:val="6"/>
  </w:num>
  <w:num w:numId="20" w16cid:durableId="2108890528">
    <w:abstractNumId w:val="5"/>
  </w:num>
  <w:num w:numId="21" w16cid:durableId="1922832479">
    <w:abstractNumId w:val="13"/>
  </w:num>
  <w:num w:numId="22" w16cid:durableId="1660690479">
    <w:abstractNumId w:val="2"/>
  </w:num>
  <w:num w:numId="23" w16cid:durableId="1925066588">
    <w:abstractNumId w:val="4"/>
  </w:num>
  <w:num w:numId="24" w16cid:durableId="1138299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6B0"/>
    <w:rsid w:val="00070CD9"/>
    <w:rsid w:val="000A3E87"/>
    <w:rsid w:val="000B0E70"/>
    <w:rsid w:val="00105F45"/>
    <w:rsid w:val="00127B46"/>
    <w:rsid w:val="0019309D"/>
    <w:rsid w:val="001F526C"/>
    <w:rsid w:val="00200261"/>
    <w:rsid w:val="00203BC2"/>
    <w:rsid w:val="00211832"/>
    <w:rsid w:val="00222D1B"/>
    <w:rsid w:val="00230465"/>
    <w:rsid w:val="00235D71"/>
    <w:rsid w:val="0024335E"/>
    <w:rsid w:val="00254DCF"/>
    <w:rsid w:val="002567F9"/>
    <w:rsid w:val="0027743E"/>
    <w:rsid w:val="00293CDA"/>
    <w:rsid w:val="00294E92"/>
    <w:rsid w:val="002C43BE"/>
    <w:rsid w:val="002D7713"/>
    <w:rsid w:val="002F7F11"/>
    <w:rsid w:val="00300F24"/>
    <w:rsid w:val="003132E7"/>
    <w:rsid w:val="00331D7E"/>
    <w:rsid w:val="00337EF1"/>
    <w:rsid w:val="00340D9B"/>
    <w:rsid w:val="00394A8A"/>
    <w:rsid w:val="003A360C"/>
    <w:rsid w:val="003C0540"/>
    <w:rsid w:val="003C1DDB"/>
    <w:rsid w:val="003E63C6"/>
    <w:rsid w:val="004021D6"/>
    <w:rsid w:val="00415373"/>
    <w:rsid w:val="0041695E"/>
    <w:rsid w:val="00420AE9"/>
    <w:rsid w:val="00480AFF"/>
    <w:rsid w:val="00486235"/>
    <w:rsid w:val="00490797"/>
    <w:rsid w:val="004C74D6"/>
    <w:rsid w:val="004F4F5D"/>
    <w:rsid w:val="00502FF3"/>
    <w:rsid w:val="00503503"/>
    <w:rsid w:val="00510F0C"/>
    <w:rsid w:val="00520B36"/>
    <w:rsid w:val="00571698"/>
    <w:rsid w:val="00576EDB"/>
    <w:rsid w:val="00594B6B"/>
    <w:rsid w:val="00596BBA"/>
    <w:rsid w:val="005C3A95"/>
    <w:rsid w:val="005C7428"/>
    <w:rsid w:val="005D010A"/>
    <w:rsid w:val="005D5C81"/>
    <w:rsid w:val="00603CE4"/>
    <w:rsid w:val="006072C7"/>
    <w:rsid w:val="0060780E"/>
    <w:rsid w:val="00642741"/>
    <w:rsid w:val="006467AD"/>
    <w:rsid w:val="0065530D"/>
    <w:rsid w:val="006A13FA"/>
    <w:rsid w:val="006E563D"/>
    <w:rsid w:val="006F0BC7"/>
    <w:rsid w:val="006F2DF8"/>
    <w:rsid w:val="00722FDB"/>
    <w:rsid w:val="00735332"/>
    <w:rsid w:val="007437A5"/>
    <w:rsid w:val="0077261C"/>
    <w:rsid w:val="007D18D6"/>
    <w:rsid w:val="00824518"/>
    <w:rsid w:val="0085688C"/>
    <w:rsid w:val="008635C4"/>
    <w:rsid w:val="008A06EF"/>
    <w:rsid w:val="008D1294"/>
    <w:rsid w:val="008E3029"/>
    <w:rsid w:val="0098628F"/>
    <w:rsid w:val="00994F2B"/>
    <w:rsid w:val="00996894"/>
    <w:rsid w:val="009A6246"/>
    <w:rsid w:val="009A65FC"/>
    <w:rsid w:val="009F2544"/>
    <w:rsid w:val="00A50A0F"/>
    <w:rsid w:val="00A523AF"/>
    <w:rsid w:val="00A76F7E"/>
    <w:rsid w:val="00A77157"/>
    <w:rsid w:val="00AC6432"/>
    <w:rsid w:val="00B3205B"/>
    <w:rsid w:val="00B360B9"/>
    <w:rsid w:val="00B52F4E"/>
    <w:rsid w:val="00B55E9F"/>
    <w:rsid w:val="00B933B0"/>
    <w:rsid w:val="00BD7755"/>
    <w:rsid w:val="00C33684"/>
    <w:rsid w:val="00C62D17"/>
    <w:rsid w:val="00C808F4"/>
    <w:rsid w:val="00C906C2"/>
    <w:rsid w:val="00C9088D"/>
    <w:rsid w:val="00CA15B1"/>
    <w:rsid w:val="00CC24D5"/>
    <w:rsid w:val="00CC2835"/>
    <w:rsid w:val="00D21AA6"/>
    <w:rsid w:val="00D462F7"/>
    <w:rsid w:val="00D734A2"/>
    <w:rsid w:val="00D84839"/>
    <w:rsid w:val="00D9664C"/>
    <w:rsid w:val="00DA2B37"/>
    <w:rsid w:val="00DC7310"/>
    <w:rsid w:val="00E5409A"/>
    <w:rsid w:val="00E65D41"/>
    <w:rsid w:val="00E95FFB"/>
    <w:rsid w:val="00EA6C04"/>
    <w:rsid w:val="00EC5E01"/>
    <w:rsid w:val="00F25499"/>
    <w:rsid w:val="00F86C35"/>
    <w:rsid w:val="00F90AA7"/>
    <w:rsid w:val="00F97482"/>
    <w:rsid w:val="00FA7EBD"/>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1ACDA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CD9"/>
    <w:rPr>
      <w:sz w:val="16"/>
      <w:szCs w:val="16"/>
    </w:rPr>
  </w:style>
  <w:style w:type="paragraph" w:styleId="CommentText">
    <w:name w:val="annotation text"/>
    <w:basedOn w:val="Normal"/>
    <w:link w:val="CommentTextChar"/>
    <w:uiPriority w:val="99"/>
    <w:semiHidden/>
    <w:unhideWhenUsed/>
    <w:rsid w:val="00070CD9"/>
    <w:pPr>
      <w:spacing w:line="240" w:lineRule="auto"/>
    </w:pPr>
    <w:rPr>
      <w:sz w:val="20"/>
      <w:szCs w:val="20"/>
    </w:rPr>
  </w:style>
  <w:style w:type="character" w:customStyle="1" w:styleId="CommentTextChar">
    <w:name w:val="Comment Text Char"/>
    <w:basedOn w:val="DefaultParagraphFont"/>
    <w:link w:val="CommentText"/>
    <w:uiPriority w:val="99"/>
    <w:semiHidden/>
    <w:rsid w:val="00070C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psc.gov/Business--Manufacturing/Business-Educatio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Griffin, Bretford</cp:lastModifiedBy>
  <cp:revision>4</cp:revision>
  <cp:lastPrinted>2016-09-20T19:55:00Z</cp:lastPrinted>
  <dcterms:created xsi:type="dcterms:W3CDTF">2023-07-20T20:42:00Z</dcterms:created>
  <dcterms:modified xsi:type="dcterms:W3CDTF">2023-07-20T21:07:00Z</dcterms:modified>
</cp:coreProperties>
</file>