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6E9" w:rsidP="001C4327" w14:paraId="5F45B392" w14:textId="77777777">
      <w:r>
        <w:pict>
          <v:rect id="_x0000_i1025" style="width:730.5pt;height:1.5pt" o:hralign="center" o:hrstd="t" o:hr="t" fillcolor="gray" stroked="f"/>
        </w:pict>
      </w:r>
    </w:p>
    <w:p w:rsidR="000576E9" w:rsidRPr="00EA37E6" w:rsidP="001C4327" w14:paraId="1006D836" w14:textId="77777777">
      <w:pPr>
        <w:jc w:val="center"/>
        <w:rPr>
          <w:rFonts w:ascii="Arial Narrow" w:hAnsi="Arial Narrow"/>
          <w:sz w:val="16"/>
          <w:szCs w:val="16"/>
        </w:rPr>
      </w:pPr>
      <w:r w:rsidRPr="00EA37E6">
        <w:rPr>
          <w:b/>
          <w:bCs/>
          <w:sz w:val="32"/>
          <w:szCs w:val="32"/>
        </w:rPr>
        <w:t>SUPPORTING STATEMENT FOR PAPERWORK REDUCTION ACT SUBMISSIONS</w:t>
      </w:r>
    </w:p>
    <w:p w:rsidR="000576E9" w:rsidRPr="00EA37E6" w:rsidP="001C4327" w14:paraId="71A13FDE" w14:textId="77777777">
      <w:pPr>
        <w:jc w:val="center"/>
        <w:rPr>
          <w:rFonts w:ascii="Arial Narrow" w:hAnsi="Arial Narrow"/>
          <w:sz w:val="16"/>
          <w:szCs w:val="16"/>
        </w:rPr>
      </w:pPr>
      <w:r w:rsidRPr="00EA37E6">
        <w:rPr>
          <w:b/>
          <w:bCs/>
          <w:sz w:val="32"/>
          <w:szCs w:val="32"/>
        </w:rPr>
        <w:t> </w:t>
      </w:r>
    </w:p>
    <w:p w:rsidR="000576E9" w:rsidRPr="001C4327" w:rsidP="00A54952" w14:paraId="521C26F3" w14:textId="10AF22A3">
      <w:pPr>
        <w:keepNext/>
        <w:ind w:left="540" w:hanging="540"/>
        <w:outlineLvl w:val="0"/>
        <w:rPr>
          <w:b/>
          <w:bCs/>
          <w:kern w:val="36"/>
        </w:rPr>
      </w:pPr>
      <w:r w:rsidRPr="000513D6">
        <w:rPr>
          <w:b/>
          <w:bCs/>
          <w:kern w:val="36"/>
        </w:rPr>
        <w:t>A</w:t>
      </w:r>
      <w:r w:rsidR="00254304">
        <w:rPr>
          <w:b/>
          <w:bCs/>
          <w:kern w:val="36"/>
        </w:rPr>
        <w:t xml:space="preserve">. </w:t>
      </w:r>
      <w:r w:rsidRPr="001C4327">
        <w:rPr>
          <w:b/>
          <w:bCs/>
          <w:kern w:val="36"/>
        </w:rPr>
        <w:t>Justification</w:t>
      </w:r>
    </w:p>
    <w:p w:rsidR="000513D6" w:rsidRPr="001C4327" w:rsidP="00A54952" w14:paraId="1D0F297F" w14:textId="77777777">
      <w:pPr>
        <w:keepNext/>
        <w:ind w:left="540" w:hanging="540"/>
        <w:outlineLvl w:val="0"/>
        <w:rPr>
          <w:b/>
          <w:bCs/>
          <w:kern w:val="36"/>
        </w:rPr>
      </w:pPr>
    </w:p>
    <w:p w:rsidR="000576E9" w:rsidRPr="001C4327" w:rsidP="00A54952" w14:paraId="69B7B238" w14:textId="3DA96DDA">
      <w:pPr>
        <w:keepNext/>
        <w:outlineLvl w:val="0"/>
        <w:rPr>
          <w:b/>
          <w:bCs/>
          <w:kern w:val="36"/>
        </w:rPr>
      </w:pPr>
      <w:r w:rsidRPr="001C4327">
        <w:rPr>
          <w:b/>
          <w:bCs/>
          <w:kern w:val="36"/>
        </w:rPr>
        <w:t>A1</w:t>
      </w:r>
      <w:r w:rsidR="00254304">
        <w:rPr>
          <w:b/>
          <w:bCs/>
          <w:kern w:val="36"/>
        </w:rPr>
        <w:t xml:space="preserve">. </w:t>
      </w:r>
      <w:r w:rsidRPr="001C4327">
        <w:rPr>
          <w:b/>
          <w:bCs/>
          <w:kern w:val="36"/>
        </w:rPr>
        <w:t>Need for Information Collection</w:t>
      </w:r>
    </w:p>
    <w:p w:rsidR="00395ED5" w:rsidP="00A54952" w14:paraId="473CFA51" w14:textId="77777777">
      <w:pPr>
        <w:ind w:firstLine="720"/>
        <w:rPr>
          <w:bCs/>
          <w:kern w:val="36"/>
        </w:rPr>
      </w:pPr>
    </w:p>
    <w:p w:rsidR="00783B2E" w:rsidRPr="001B1A4B" w:rsidP="00783B2E" w14:paraId="095BC574" w14:textId="5E79FEF6">
      <w:pPr>
        <w:ind w:firstLine="720"/>
        <w:rPr>
          <w:rFonts w:ascii="Arial Narrow" w:hAnsi="Arial Narrow"/>
        </w:rPr>
      </w:pPr>
      <w:r w:rsidRPr="001C4327">
        <w:rPr>
          <w:bCs/>
          <w:kern w:val="36"/>
        </w:rPr>
        <w:t xml:space="preserve">The Corporation for National and Community Service </w:t>
      </w:r>
      <w:r w:rsidRPr="001C4327" w:rsidR="00F52800">
        <w:rPr>
          <w:bCs/>
          <w:kern w:val="36"/>
        </w:rPr>
        <w:t>(</w:t>
      </w:r>
      <w:r w:rsidR="00254304">
        <w:rPr>
          <w:bCs/>
          <w:kern w:val="36"/>
        </w:rPr>
        <w:t>AmeriCorps</w:t>
      </w:r>
      <w:r w:rsidRPr="001C4327" w:rsidR="00F52800">
        <w:rPr>
          <w:bCs/>
          <w:kern w:val="36"/>
        </w:rPr>
        <w:t xml:space="preserve">) </w:t>
      </w:r>
      <w:r w:rsidR="00254304">
        <w:rPr>
          <w:bCs/>
          <w:kern w:val="36"/>
        </w:rPr>
        <w:t xml:space="preserve">dba AmeriCorps </w:t>
      </w:r>
      <w:r w:rsidRPr="001C4327">
        <w:rPr>
          <w:bCs/>
          <w:kern w:val="36"/>
        </w:rPr>
        <w:t>awards grants to states, institutions of higher education, non-profit organizations, Indian tribes, and U.S. Territories to operate AmeriCorps</w:t>
      </w:r>
      <w:r>
        <w:rPr>
          <w:bCs/>
          <w:kern w:val="36"/>
        </w:rPr>
        <w:t xml:space="preserve"> State, AmeriCorps National, AmeriCorps NCCC, </w:t>
      </w:r>
      <w:r w:rsidR="007918B7">
        <w:rPr>
          <w:bCs/>
          <w:kern w:val="36"/>
        </w:rPr>
        <w:t xml:space="preserve">AmeriCorps VISTA, </w:t>
      </w:r>
      <w:r w:rsidR="009F4E3E">
        <w:rPr>
          <w:bCs/>
          <w:kern w:val="36"/>
        </w:rPr>
        <w:t>and AmeriCorps Seniors</w:t>
      </w:r>
      <w:r w:rsidRPr="001C4327">
        <w:rPr>
          <w:bCs/>
          <w:kern w:val="36"/>
        </w:rPr>
        <w:t xml:space="preserve"> programs</w:t>
      </w:r>
      <w:r w:rsidR="00254304">
        <w:rPr>
          <w:bCs/>
          <w:kern w:val="36"/>
        </w:rPr>
        <w:t xml:space="preserve">. </w:t>
      </w:r>
      <w:r w:rsidRPr="001C4327" w:rsidR="001C4327">
        <w:rPr>
          <w:bCs/>
          <w:kern w:val="36"/>
        </w:rPr>
        <w:t>This</w:t>
      </w:r>
      <w:r w:rsidRPr="001C4327">
        <w:rPr>
          <w:bCs/>
          <w:kern w:val="36"/>
        </w:rPr>
        <w:t xml:space="preserve"> information collection</w:t>
      </w:r>
      <w:r w:rsidRPr="001C4327" w:rsidR="008204A0">
        <w:rPr>
          <w:bCs/>
          <w:kern w:val="36"/>
        </w:rPr>
        <w:t xml:space="preserve"> </w:t>
      </w:r>
      <w:r w:rsidR="00382088">
        <w:rPr>
          <w:bCs/>
          <w:kern w:val="36"/>
        </w:rPr>
        <w:t xml:space="preserve">comprises the </w:t>
      </w:r>
      <w:r w:rsidR="009F4E3E">
        <w:rPr>
          <w:bCs/>
          <w:kern w:val="36"/>
        </w:rPr>
        <w:t>Application Package for AmeriCorps Seniors grantees, Progress Reporting, and Independent Living and Respite Surveys.</w:t>
      </w:r>
    </w:p>
    <w:p w:rsidR="00A54952" w:rsidRPr="00BE0835" w:rsidP="00A54952" w14:paraId="20B2A652"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000576E9" w:rsidRPr="001C4327" w:rsidP="001C4327" w14:paraId="00A34D97" w14:textId="2039A876">
      <w:pPr>
        <w:rPr>
          <w:b/>
          <w:bCs/>
        </w:rPr>
      </w:pPr>
      <w:r w:rsidRPr="001C4327">
        <w:rPr>
          <w:b/>
          <w:bCs/>
        </w:rPr>
        <w:t>A2</w:t>
      </w:r>
      <w:r w:rsidR="00254304">
        <w:rPr>
          <w:b/>
          <w:bCs/>
        </w:rPr>
        <w:t xml:space="preserve">. </w:t>
      </w:r>
      <w:r w:rsidRPr="001C4327">
        <w:rPr>
          <w:b/>
          <w:bCs/>
        </w:rPr>
        <w:t>Indicate how, by whom, and for what purpose the information is to be used.</w:t>
      </w:r>
    </w:p>
    <w:p w:rsidR="00395ED5" w:rsidP="001C4327" w14:paraId="13E45D5E"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C06453" w14:paraId="3ADEABE0" w14:textId="257446F9">
      <w:pPr>
        <w:pStyle w:val="CommentText"/>
        <w:ind w:firstLine="720"/>
        <w:rPr>
          <w:sz w:val="24"/>
          <w:szCs w:val="24"/>
        </w:rPr>
      </w:pPr>
      <w:r w:rsidRPr="00D456B5">
        <w:rPr>
          <w:sz w:val="24"/>
          <w:szCs w:val="24"/>
        </w:rPr>
        <w:t xml:space="preserve">Applicants respond to the questions included in these instructions </w:t>
      </w:r>
      <w:r w:rsidRPr="00D456B5">
        <w:rPr>
          <w:sz w:val="24"/>
          <w:szCs w:val="24"/>
        </w:rPr>
        <w:t>in order to</w:t>
      </w:r>
      <w:r w:rsidRPr="00D456B5">
        <w:rPr>
          <w:sz w:val="24"/>
          <w:szCs w:val="24"/>
        </w:rPr>
        <w:t xml:space="preserve"> apply </w:t>
      </w:r>
      <w:r w:rsidR="00FA076B">
        <w:rPr>
          <w:sz w:val="24"/>
          <w:szCs w:val="24"/>
        </w:rPr>
        <w:t xml:space="preserve">for </w:t>
      </w:r>
      <w:r w:rsidR="009F4E3E">
        <w:rPr>
          <w:sz w:val="24"/>
          <w:szCs w:val="24"/>
        </w:rPr>
        <w:t xml:space="preserve">AmeriCorps Seniors </w:t>
      </w:r>
      <w:r w:rsidR="00FA076B">
        <w:rPr>
          <w:sz w:val="24"/>
          <w:szCs w:val="24"/>
        </w:rPr>
        <w:t>funding</w:t>
      </w:r>
      <w:r w:rsidR="009F4E3E">
        <w:rPr>
          <w:sz w:val="24"/>
          <w:szCs w:val="24"/>
        </w:rPr>
        <w:t xml:space="preserve"> and to report out on performance of their project</w:t>
      </w:r>
      <w:r w:rsidR="005459C9">
        <w:rPr>
          <w:bCs/>
          <w:kern w:val="36"/>
          <w:sz w:val="24"/>
          <w:szCs w:val="24"/>
        </w:rPr>
        <w:t xml:space="preserve">. </w:t>
      </w:r>
      <w:r w:rsidR="009F4E3E">
        <w:rPr>
          <w:sz w:val="24"/>
          <w:szCs w:val="24"/>
        </w:rPr>
        <w:t>AmeriCorps Seniors</w:t>
      </w:r>
      <w:r w:rsidR="00CE1E6A">
        <w:rPr>
          <w:sz w:val="24"/>
          <w:szCs w:val="24"/>
        </w:rPr>
        <w:t xml:space="preserve"> </w:t>
      </w:r>
      <w:r w:rsidR="00FA076B">
        <w:rPr>
          <w:sz w:val="24"/>
          <w:szCs w:val="24"/>
        </w:rPr>
        <w:t xml:space="preserve">will use the information collection to select grantmaking entities </w:t>
      </w:r>
      <w:r w:rsidR="00E842BB">
        <w:rPr>
          <w:sz w:val="24"/>
          <w:szCs w:val="24"/>
        </w:rPr>
        <w:t>that</w:t>
      </w:r>
      <w:r w:rsidR="00FA076B">
        <w:rPr>
          <w:sz w:val="24"/>
          <w:szCs w:val="24"/>
        </w:rPr>
        <w:t xml:space="preserve"> will</w:t>
      </w:r>
      <w:r w:rsidR="00CE1E6A">
        <w:rPr>
          <w:sz w:val="24"/>
          <w:szCs w:val="24"/>
        </w:rPr>
        <w:t xml:space="preserve"> </w:t>
      </w:r>
      <w:r w:rsidR="00FA076B">
        <w:rPr>
          <w:sz w:val="24"/>
          <w:szCs w:val="24"/>
        </w:rPr>
        <w:t>identify</w:t>
      </w:r>
      <w:r w:rsidR="00CE1E6A">
        <w:rPr>
          <w:sz w:val="24"/>
          <w:szCs w:val="24"/>
        </w:rPr>
        <w:t xml:space="preserve">, </w:t>
      </w:r>
      <w:r w:rsidR="00CE1E6A">
        <w:rPr>
          <w:sz w:val="24"/>
          <w:szCs w:val="24"/>
        </w:rPr>
        <w:t>support</w:t>
      </w:r>
      <w:r w:rsidR="00CE1E6A">
        <w:rPr>
          <w:sz w:val="24"/>
          <w:szCs w:val="24"/>
        </w:rPr>
        <w:t xml:space="preserve"> and evaluate nonprofit organizations </w:t>
      </w:r>
      <w:r w:rsidR="00FA076B">
        <w:rPr>
          <w:sz w:val="24"/>
          <w:szCs w:val="24"/>
        </w:rPr>
        <w:t>to</w:t>
      </w:r>
      <w:r w:rsidR="00CE1E6A">
        <w:rPr>
          <w:sz w:val="24"/>
          <w:szCs w:val="24"/>
        </w:rPr>
        <w:t xml:space="preserve"> implement and scal</w:t>
      </w:r>
      <w:r w:rsidR="00FA076B">
        <w:rPr>
          <w:sz w:val="24"/>
          <w:szCs w:val="24"/>
        </w:rPr>
        <w:t>e</w:t>
      </w:r>
      <w:r w:rsidR="00CE1E6A">
        <w:rPr>
          <w:sz w:val="24"/>
          <w:szCs w:val="24"/>
        </w:rPr>
        <w:t xml:space="preserve"> evidence-based solutions to community challenges</w:t>
      </w:r>
      <w:r w:rsidR="007918B7">
        <w:rPr>
          <w:sz w:val="24"/>
          <w:szCs w:val="24"/>
        </w:rPr>
        <w:t>.</w:t>
      </w:r>
      <w:r w:rsidRPr="00D456B5">
        <w:rPr>
          <w:sz w:val="24"/>
          <w:szCs w:val="24"/>
        </w:rPr>
        <w:t xml:space="preserve"> </w:t>
      </w:r>
    </w:p>
    <w:p w:rsidR="006610A8" w:rsidP="00C06453" w14:paraId="78D38FAD" w14:textId="673BDC27">
      <w:pPr>
        <w:pStyle w:val="CommentText"/>
        <w:ind w:firstLine="720"/>
        <w:rPr>
          <w:sz w:val="24"/>
          <w:szCs w:val="24"/>
        </w:rPr>
      </w:pPr>
    </w:p>
    <w:p w:rsidR="006610A8" w:rsidP="00C06453" w14:paraId="7E79AB31" w14:textId="006DE98D">
      <w:pPr>
        <w:pStyle w:val="CommentText"/>
        <w:ind w:firstLine="720"/>
        <w:rPr>
          <w:sz w:val="24"/>
          <w:szCs w:val="24"/>
        </w:rPr>
      </w:pPr>
      <w:r>
        <w:rPr>
          <w:sz w:val="24"/>
          <w:szCs w:val="24"/>
        </w:rPr>
        <w:t xml:space="preserve">There is no travel time associated with developing or submitting these documents, nor is their time waiting to speak with agency personnel. Cognitive load, discomfort, and stress is </w:t>
      </w:r>
      <w:r>
        <w:rPr>
          <w:sz w:val="24"/>
          <w:szCs w:val="24"/>
        </w:rPr>
        <w:t>similar to</w:t>
      </w:r>
      <w:r>
        <w:rPr>
          <w:sz w:val="24"/>
          <w:szCs w:val="24"/>
        </w:rPr>
        <w:t xml:space="preserve"> other federal applications. While new questions are being proposed for the annual Progress Report Supplement, AmeriCorps Seniors is also planning to reduce the number of questions, potentially leading to increased institutional trust as AmeriCorps is committed to only asking information from grantees and applicants </w:t>
      </w:r>
      <w:r w:rsidR="00001748">
        <w:rPr>
          <w:sz w:val="24"/>
          <w:szCs w:val="24"/>
        </w:rPr>
        <w:t>that is determined is needed. There will be some time needed to determine how to collect new information as being proposed in the Progress Report Supplement.</w:t>
      </w:r>
    </w:p>
    <w:p w:rsidR="000576E9" w:rsidRPr="001C4327" w:rsidP="000576E9" w14:paraId="0B7495B8" w14:textId="77777777">
      <w:pPr>
        <w:rPr>
          <w:rFonts w:ascii="Arial Narrow" w:hAnsi="Arial Narrow"/>
        </w:rPr>
      </w:pPr>
      <w:r w:rsidRPr="001C4327">
        <w:t> </w:t>
      </w:r>
    </w:p>
    <w:p w:rsidR="000576E9" w:rsidRPr="001C4327" w:rsidP="000576E9" w14:paraId="12A06DD7" w14:textId="0673798E">
      <w:pPr>
        <w:rPr>
          <w:rFonts w:ascii="Arial Narrow" w:hAnsi="Arial Narrow"/>
        </w:rPr>
      </w:pPr>
      <w:r w:rsidRPr="001C4327">
        <w:t> </w:t>
      </w:r>
      <w:r w:rsidRPr="001C4327">
        <w:rPr>
          <w:b/>
          <w:bCs/>
        </w:rPr>
        <w:t>A3</w:t>
      </w:r>
      <w:r w:rsidR="00254304">
        <w:rPr>
          <w:b/>
          <w:bCs/>
        </w:rPr>
        <w:t xml:space="preserve">. </w:t>
      </w:r>
      <w:r w:rsidRPr="001C4327">
        <w:rPr>
          <w:b/>
          <w:bCs/>
        </w:rPr>
        <w:t>Minimize Burden: Use of Improved Technology to Reduce Burden</w:t>
      </w:r>
    </w:p>
    <w:p w:rsidR="00395ED5" w:rsidP="000576E9" w14:paraId="2FA29B36" w14:textId="77777777"/>
    <w:p w:rsidR="000576E9" w:rsidRPr="001C4327" w:rsidP="007918B7" w14:paraId="0C2932BF" w14:textId="186C35B7">
      <w:pPr>
        <w:ind w:firstLine="720"/>
      </w:pPr>
      <w:r>
        <w:t>AmeriCorps</w:t>
      </w:r>
      <w:r w:rsidRPr="001C4327" w:rsidR="009A0CC2">
        <w:t xml:space="preserve"> </w:t>
      </w:r>
      <w:r w:rsidR="001C4327">
        <w:t>will be eliciti</w:t>
      </w:r>
      <w:r w:rsidR="00A54952">
        <w:t xml:space="preserve">ng and accepting </w:t>
      </w:r>
      <w:r w:rsidR="000D0B1C">
        <w:t xml:space="preserve">applicants’ </w:t>
      </w:r>
      <w:r w:rsidR="00783B2E">
        <w:t xml:space="preserve">response to these </w:t>
      </w:r>
      <w:r w:rsidR="00382088">
        <w:t>questions</w:t>
      </w:r>
      <w:r w:rsidR="00A54952">
        <w:t xml:space="preserve"> electronically via</w:t>
      </w:r>
      <w:r w:rsidR="00FA076B">
        <w:t xml:space="preserve"> eGrants</w:t>
      </w:r>
      <w:r w:rsidR="00A54952">
        <w:t xml:space="preserve"> the </w:t>
      </w:r>
      <w:r>
        <w:t>AmeriCorps</w:t>
      </w:r>
      <w:r w:rsidR="000D0B1C">
        <w:t xml:space="preserve">’ </w:t>
      </w:r>
      <w:r w:rsidR="00A54952">
        <w:t xml:space="preserve">secure online </w:t>
      </w:r>
      <w:r w:rsidR="007918B7">
        <w:t>grants management system</w:t>
      </w:r>
      <w:r>
        <w:t xml:space="preserve">. </w:t>
      </w:r>
      <w:r w:rsidRPr="001C4327" w:rsidR="009A0CC2">
        <w:t xml:space="preserve">If applicants are unable to </w:t>
      </w:r>
      <w:r w:rsidR="00C06453">
        <w:t xml:space="preserve">apply or </w:t>
      </w:r>
      <w:r w:rsidR="00783B2E">
        <w:t>report</w:t>
      </w:r>
      <w:r w:rsidRPr="001C4327" w:rsidR="009A0CC2">
        <w:t xml:space="preserve"> on-line</w:t>
      </w:r>
      <w:smartTag w:uri="urn:schemas-microsoft-com:office:smarttags" w:element="PersonName">
        <w:r w:rsidRPr="001C4327" w:rsidR="009A0CC2">
          <w:t>,</w:t>
        </w:r>
      </w:smartTag>
      <w:r w:rsidRPr="001C4327" w:rsidR="009A0CC2">
        <w:t xml:space="preserve"> the</w:t>
      </w:r>
      <w:r w:rsidRPr="001C4327" w:rsidR="007844D8">
        <w:t>y</w:t>
      </w:r>
      <w:r w:rsidRPr="001C4327" w:rsidR="009A0CC2">
        <w:t xml:space="preserve"> can use </w:t>
      </w:r>
      <w:r w:rsidR="00783B2E">
        <w:t>the attached form</w:t>
      </w:r>
      <w:r w:rsidR="00C06453">
        <w:t>s</w:t>
      </w:r>
      <w:r w:rsidRPr="001C4327" w:rsidR="009A0CC2">
        <w:t xml:space="preserve"> and instru</w:t>
      </w:r>
      <w:r w:rsidR="00430F73">
        <w:t xml:space="preserve">ctions to submit their </w:t>
      </w:r>
      <w:r w:rsidR="00C06453">
        <w:t>application</w:t>
      </w:r>
      <w:r w:rsidR="00281BA0">
        <w:t>.</w:t>
      </w:r>
      <w:r w:rsidR="00C06453">
        <w:t xml:space="preserve"> </w:t>
      </w:r>
    </w:p>
    <w:p w:rsidR="009A0CC2" w:rsidRPr="001C4327" w:rsidP="000576E9" w14:paraId="238C91D8" w14:textId="77777777"/>
    <w:p w:rsidR="000576E9" w:rsidRPr="001C4327" w:rsidP="000576E9" w14:paraId="62C3D7BE" w14:textId="0755F59D">
      <w:pPr>
        <w:rPr>
          <w:b/>
          <w:bCs/>
        </w:rPr>
      </w:pPr>
      <w:r w:rsidRPr="001C4327">
        <w:rPr>
          <w:b/>
          <w:bCs/>
        </w:rPr>
        <w:t>A4</w:t>
      </w:r>
      <w:r w:rsidR="00254304">
        <w:rPr>
          <w:b/>
          <w:bCs/>
        </w:rPr>
        <w:t xml:space="preserve">. </w:t>
      </w:r>
      <w:r w:rsidRPr="001C4327">
        <w:rPr>
          <w:b/>
          <w:bCs/>
        </w:rPr>
        <w:t>Non-Duplication</w:t>
      </w:r>
    </w:p>
    <w:p w:rsidR="003E34C0" w:rsidP="00395ED5" w14:paraId="0E3890C8" w14:textId="77777777">
      <w:pPr>
        <w:ind w:firstLine="720"/>
        <w:rPr>
          <w:bCs/>
        </w:rPr>
      </w:pPr>
    </w:p>
    <w:p w:rsidR="009A0CC2" w:rsidRPr="001C4327" w:rsidP="00395ED5" w14:paraId="2B170CB1" w14:textId="59B7341B">
      <w:pPr>
        <w:ind w:firstLine="720"/>
        <w:rPr>
          <w:rFonts w:ascii="Arial Narrow" w:hAnsi="Arial Narrow"/>
        </w:rPr>
      </w:pPr>
      <w:r w:rsidRPr="001C4327">
        <w:rPr>
          <w:bCs/>
        </w:rPr>
        <w:t xml:space="preserve">There are no other sources of information by which </w:t>
      </w:r>
      <w:r w:rsidR="00254304">
        <w:rPr>
          <w:bCs/>
        </w:rPr>
        <w:t>AmeriCorps</w:t>
      </w:r>
      <w:r w:rsidRPr="001C4327">
        <w:rPr>
          <w:bCs/>
        </w:rPr>
        <w:t xml:space="preserve"> can meet the purposes described in A2 (above)</w:t>
      </w:r>
      <w:r w:rsidR="00254304">
        <w:rPr>
          <w:bCs/>
        </w:rPr>
        <w:t xml:space="preserve">. </w:t>
      </w:r>
    </w:p>
    <w:p w:rsidR="000576E9" w:rsidRPr="001C4327" w:rsidP="000576E9" w14:paraId="2E4EB972" w14:textId="77777777">
      <w:pPr>
        <w:rPr>
          <w:rFonts w:ascii="Arial Narrow" w:hAnsi="Arial Narrow"/>
        </w:rPr>
      </w:pPr>
      <w:r w:rsidRPr="001C4327">
        <w:t> </w:t>
      </w:r>
    </w:p>
    <w:p w:rsidR="000576E9" w:rsidRPr="001C4327" w:rsidP="000576E9" w14:paraId="1D2D0768" w14:textId="752E812D">
      <w:pPr>
        <w:rPr>
          <w:b/>
          <w:bCs/>
        </w:rPr>
      </w:pPr>
      <w:r w:rsidRPr="001C4327">
        <w:rPr>
          <w:b/>
          <w:bCs/>
        </w:rPr>
        <w:t>A5</w:t>
      </w:r>
      <w:r w:rsidR="00254304">
        <w:rPr>
          <w:b/>
          <w:bCs/>
        </w:rPr>
        <w:t xml:space="preserve">. </w:t>
      </w:r>
      <w:r w:rsidRPr="001C4327">
        <w:rPr>
          <w:b/>
          <w:bCs/>
        </w:rPr>
        <w:t>Minimizing for economic burden for small businesses or other small entities.</w:t>
      </w:r>
    </w:p>
    <w:p w:rsidR="003E34C0" w:rsidP="00395ED5" w14:paraId="6381F513" w14:textId="77777777">
      <w:pPr>
        <w:ind w:firstLine="720"/>
      </w:pPr>
    </w:p>
    <w:p w:rsidR="000576E9" w:rsidRPr="001C4327" w:rsidP="00395ED5" w14:paraId="0BA3C102" w14:textId="73236382">
      <w:pPr>
        <w:ind w:firstLine="720"/>
        <w:rPr>
          <w:rFonts w:ascii="Arial Narrow" w:hAnsi="Arial Narrow"/>
        </w:rPr>
      </w:pPr>
      <w:r w:rsidRPr="001C4327">
        <w:t>This collection of information does not impact small businesses because they are not eligible to apply for grants</w:t>
      </w:r>
      <w:r w:rsidR="00254304">
        <w:t xml:space="preserve">. </w:t>
      </w:r>
      <w:r w:rsidRPr="001C4327">
        <w:t>There is no economic burden to any other small entities beyond the co</w:t>
      </w:r>
      <w:r w:rsidR="00783B2E">
        <w:t>st of staff time to collect and report the data</w:t>
      </w:r>
      <w:r w:rsidR="00254304">
        <w:t xml:space="preserve">. </w:t>
      </w:r>
      <w:r w:rsidRPr="001C4327">
        <w:t xml:space="preserve">This is minimized to the degree possible by only asking for the information absolutely necessary to </w:t>
      </w:r>
      <w:r w:rsidR="000D0B1C">
        <w:t>assess an organization’s eligibility to apply to administer</w:t>
      </w:r>
      <w:r w:rsidR="00783B2E">
        <w:t xml:space="preserve"> </w:t>
      </w:r>
      <w:r w:rsidR="000D0B1C">
        <w:t>a Social Innovation Fund grant</w:t>
      </w:r>
      <w:r w:rsidR="009F4E3E">
        <w:t xml:space="preserve"> and only information required to assess a grantee’s annual performance.</w:t>
      </w:r>
    </w:p>
    <w:p w:rsidR="000576E9" w:rsidRPr="001C4327" w:rsidP="000576E9" w14:paraId="24301ACE" w14:textId="77777777">
      <w:pPr>
        <w:rPr>
          <w:b/>
          <w:bCs/>
        </w:rPr>
      </w:pPr>
    </w:p>
    <w:p w:rsidR="000576E9" w:rsidRPr="001C4327" w:rsidP="000576E9" w14:paraId="648129B3" w14:textId="4662C967">
      <w:pPr>
        <w:rPr>
          <w:rFonts w:ascii="Arial Narrow" w:hAnsi="Arial Narrow"/>
        </w:rPr>
      </w:pPr>
      <w:r w:rsidRPr="001C4327">
        <w:rPr>
          <w:b/>
          <w:bCs/>
        </w:rPr>
        <w:t>A6</w:t>
      </w:r>
      <w:r w:rsidR="00254304">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14:paraId="4A29A233" w14:textId="77777777">
      <w:pPr>
        <w:ind w:firstLine="720"/>
      </w:pPr>
      <w:r w:rsidRPr="001C4327">
        <w:t> </w:t>
      </w:r>
    </w:p>
    <w:p w:rsidR="009A0CC2" w:rsidRPr="001C4327" w:rsidP="00395ED5" w14:paraId="3A406721" w14:textId="31FCC601">
      <w:pPr>
        <w:ind w:firstLine="720"/>
      </w:pPr>
      <w:r>
        <w:t>AmeriCorps</w:t>
      </w:r>
      <w:r w:rsidRPr="001C4327">
        <w:t xml:space="preserve"> will be unable to </w:t>
      </w:r>
      <w:r w:rsidR="000D0B1C">
        <w:t xml:space="preserve">request the necessary information to assess prospective </w:t>
      </w:r>
      <w:r w:rsidR="009F4E3E">
        <w:t>AmeriCorps Seniors</w:t>
      </w:r>
      <w:r w:rsidR="000D0B1C">
        <w:t xml:space="preserve"> grantees</w:t>
      </w:r>
      <w:r w:rsidR="009F4E3E">
        <w:t>, nor able to assess the performance of AmeriCorps Seniors grants</w:t>
      </w:r>
      <w:r w:rsidR="001C4327">
        <w:t xml:space="preserve">. </w:t>
      </w:r>
    </w:p>
    <w:p w:rsidR="000576E9" w:rsidRPr="001C4327" w:rsidP="000576E9" w14:paraId="53C12658" w14:textId="77777777">
      <w:pPr>
        <w:ind w:left="540" w:hanging="630"/>
        <w:rPr>
          <w:b/>
          <w:bCs/>
        </w:rPr>
      </w:pPr>
    </w:p>
    <w:p w:rsidR="000576E9" w:rsidRPr="001C4327" w:rsidP="000576E9" w14:paraId="33E8D124" w14:textId="511C60A8">
      <w:pPr>
        <w:ind w:left="540" w:hanging="630"/>
        <w:rPr>
          <w:b/>
          <w:bCs/>
        </w:rPr>
      </w:pPr>
      <w:r w:rsidRPr="001C4327">
        <w:rPr>
          <w:b/>
          <w:bCs/>
        </w:rPr>
        <w:t xml:space="preserve">  A7</w:t>
      </w:r>
      <w:r w:rsidR="00254304">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14:paraId="05AC1D63" w14:textId="77777777">
      <w:pPr>
        <w:tabs>
          <w:tab w:val="left" w:pos="540"/>
          <w:tab w:val="left" w:pos="900"/>
        </w:tabs>
        <w:ind w:firstLine="720"/>
        <w:outlineLvl w:val="0"/>
        <w:rPr>
          <w:bCs/>
        </w:rPr>
      </w:pPr>
    </w:p>
    <w:p w:rsidR="000576E9" w:rsidRPr="001C4327" w:rsidP="00395ED5" w14:paraId="36F00122"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000576E9" w:rsidRPr="001C4327" w:rsidP="00E178E3" w14:paraId="30684899" w14:textId="77777777">
      <w:pPr>
        <w:ind w:left="360"/>
        <w:outlineLvl w:val="0"/>
        <w:rPr>
          <w:rFonts w:ascii="Arial Narrow" w:hAnsi="Arial Narrow"/>
        </w:rPr>
      </w:pPr>
    </w:p>
    <w:p w:rsidR="000576E9" w:rsidRPr="001C4327" w:rsidP="000576E9" w14:paraId="2BB5E7DB" w14:textId="6BCA6148">
      <w:pPr>
        <w:ind w:left="540" w:hanging="540"/>
        <w:rPr>
          <w:b/>
          <w:bCs/>
        </w:rPr>
      </w:pPr>
      <w:r w:rsidRPr="001C4327">
        <w:rPr>
          <w:b/>
          <w:bCs/>
        </w:rPr>
        <w:t>A8</w:t>
      </w:r>
      <w:r w:rsidR="00254304">
        <w:rPr>
          <w:b/>
          <w:bCs/>
        </w:rPr>
        <w:t xml:space="preserve">. </w:t>
      </w:r>
      <w:r w:rsidRPr="001C4327">
        <w:rPr>
          <w:b/>
          <w:bCs/>
        </w:rPr>
        <w:t>Provide copy and identify the date and page number of publication in the Federal Register of the Agency’s notice</w:t>
      </w:r>
      <w:r w:rsidR="00254304">
        <w:rPr>
          <w:b/>
          <w:bCs/>
        </w:rPr>
        <w:t xml:space="preserve">. </w:t>
      </w:r>
      <w:r w:rsidR="003E34C0">
        <w:rPr>
          <w:b/>
          <w:bCs/>
        </w:rPr>
        <w:t>Summarize comments received and actions taken in response to comments</w:t>
      </w:r>
      <w:r w:rsidR="00254304">
        <w:rPr>
          <w:b/>
          <w:bCs/>
        </w:rPr>
        <w:t xml:space="preserve">. </w:t>
      </w:r>
      <w:r w:rsidR="003E34C0">
        <w:rPr>
          <w:b/>
          <w:bCs/>
        </w:rPr>
        <w:t>Specifically address comments received on cost and hour burden.</w:t>
      </w:r>
    </w:p>
    <w:p w:rsidR="00D74ADD" w:rsidP="004163D5" w14:paraId="7C8C80F7" w14:textId="77777777"/>
    <w:p w:rsidR="004163D5" w:rsidRPr="00BE0835" w:rsidP="00D74ADD" w14:paraId="353C7DB7" w14:textId="0415EDD5">
      <w:pPr>
        <w:ind w:firstLine="720"/>
      </w:pPr>
      <w:r>
        <w:t>The</w:t>
      </w:r>
      <w:r>
        <w:t xml:space="preserve"> 60</w:t>
      </w:r>
      <w:r w:rsidR="11164400">
        <w:t>-</w:t>
      </w:r>
      <w:r>
        <w:t>day</w:t>
      </w:r>
      <w:r>
        <w:t xml:space="preserve"> </w:t>
      </w:r>
      <w:r w:rsidRPr="3D3CA4AF">
        <w:rPr>
          <w:i/>
          <w:iCs/>
        </w:rPr>
        <w:t>Not</w:t>
      </w:r>
      <w:r w:rsidRPr="3D3CA4AF" w:rsidR="007844D8">
        <w:rPr>
          <w:i/>
          <w:iCs/>
        </w:rPr>
        <w:t xml:space="preserve">ice </w:t>
      </w:r>
      <w:r w:rsidR="007844D8">
        <w:t xml:space="preserve">soliciting comments was </w:t>
      </w:r>
      <w:r>
        <w:t>published</w:t>
      </w:r>
      <w:r w:rsidR="007844D8">
        <w:t xml:space="preserve"> on </w:t>
      </w:r>
      <w:r w:rsidR="009F4E3E">
        <w:t>April 27, 2023</w:t>
      </w:r>
      <w:r w:rsidR="000D0B1C">
        <w:t xml:space="preserve">, </w:t>
      </w:r>
      <w:r w:rsidR="001C4327">
        <w:t xml:space="preserve">on </w:t>
      </w:r>
      <w:r w:rsidR="32CD211E">
        <w:t>Vol. 88, FR 25625</w:t>
      </w:r>
      <w:r w:rsidR="00254304">
        <w:t xml:space="preserve">. </w:t>
      </w:r>
      <w:r w:rsidR="1CA24E92">
        <w:t xml:space="preserve">32 </w:t>
      </w:r>
      <w:r w:rsidR="00FA076B">
        <w:t>comments were received.</w:t>
      </w:r>
      <w:r w:rsidR="00A01ED0">
        <w:t xml:space="preserve"> </w:t>
      </w:r>
      <w:r w:rsidR="006610A8">
        <w:t xml:space="preserve">AmeriCorps Seniors proactively reached out to AmeriCorps’ Office of Research and Evaluation who, in conjunction with AmeriCorps Seniors, to identify reporting questions that allow AmeriCorps Seniors to report out on key metrics in as minimally burdensome process as possible.  Additionally, AmeriCorps Seniors reached out the board members of the AmeriCorps Seniors Associations – representatives of AmeriCorps Seniors grantees with proposed changes to the Progress Report Supplement, the only document proposed being changed. The Associations were appreciative of efforts by AmeriCorps to reduce the overall number of questions in the annual report.  They provided feedback that guidance would need to be updated and they would need time to implement data collection mechanisms to report out on new questions. AmeriCorps agreed that time may be needed to implement data collection mechanisms for new reporting questions and, thus, would not make them required for the first year implemented. </w:t>
      </w:r>
    </w:p>
    <w:p w:rsidR="2C47749E" w:rsidP="2C47749E" w14:paraId="5E80E4AE" w14:textId="49FEFDF7">
      <w:pPr>
        <w:ind w:firstLine="720"/>
      </w:pPr>
    </w:p>
    <w:p w:rsidR="640FCA63" w:rsidP="2C47749E" w14:paraId="5EFC5F0A" w14:textId="796F3997">
      <w:r w:rsidRPr="2C47749E">
        <w:t xml:space="preserve">There were 32 total comments. Of these, 26 were the same comment. Of the other comments, one was in support, one was without specific comment, and the others detailing that the Progress Report Supplement (PRS) is a burden. In relation to the Progress Report Supplement (PRS), the only document with proposes revisions, AmeriCorps Seniors agrees that reporting may be burdensome and is thus reducing the overall number of questions required within the Progress Report Supplement. </w:t>
      </w:r>
    </w:p>
    <w:p w:rsidR="640FCA63" w14:paraId="47DB366C" w14:textId="3552D345">
      <w:r w:rsidRPr="2C47749E">
        <w:rPr>
          <w:rFonts w:ascii="Calibri" w:eastAsia="Calibri" w:hAnsi="Calibri" w:cs="Calibri"/>
          <w:sz w:val="22"/>
          <w:szCs w:val="22"/>
        </w:rPr>
        <w:t xml:space="preserve"> </w:t>
      </w:r>
    </w:p>
    <w:p w:rsidR="640FCA63" w:rsidP="2C47749E" w14:paraId="614D8638" w14:textId="50606699">
      <w:r w:rsidRPr="2C47749E">
        <w:rPr>
          <w:u w:val="single"/>
        </w:rPr>
        <w:t>Comment</w:t>
      </w:r>
      <w:r w:rsidRPr="2C47749E">
        <w:t>: AmeriCorps Seniors grants are awarded for a three-year period with required annual budget submissions. ASPN questions the value and additional time needed to update the grant application and workplan submission annually. With a three-year performance period, ASPN proposes for a grantee to submit an annual budget application and an executive summary to update amended community needs and changes instead of the entire grant application. This change would not only reduce the time needed of grantee staff, but also regional staff grant reviewers.</w:t>
      </w:r>
    </w:p>
    <w:p w:rsidR="640FCA63" w:rsidP="2C47749E" w14:paraId="5010FD43" w14:textId="50538CE0">
      <w:r w:rsidRPr="2C47749E">
        <w:rPr>
          <w:u w:val="single"/>
        </w:rPr>
        <w:t>AmeriCorps Response</w:t>
      </w:r>
      <w:r w:rsidRPr="2C47749E">
        <w:t>: AmeriCorps is in the process of modernizing our grant management systems. As part of the modernization effort, AmeriCorps will propose grantees to submit a simplified budget application and an update through a simplified amendment process rather than an entire grant continuation application.</w:t>
      </w:r>
      <w:r>
        <w:br/>
      </w:r>
      <w:r w:rsidRPr="2C47749E">
        <w:rPr>
          <w:rFonts w:ascii="Calibri" w:eastAsia="Calibri" w:hAnsi="Calibri" w:cs="Calibri"/>
          <w:color w:val="FF0000"/>
          <w:sz w:val="22"/>
          <w:szCs w:val="22"/>
        </w:rPr>
        <w:t xml:space="preserve"> </w:t>
      </w:r>
      <w:r>
        <w:br/>
      </w:r>
      <w:r w:rsidRPr="2C47749E">
        <w:rPr>
          <w:u w:val="single"/>
        </w:rPr>
        <w:t>Comment</w:t>
      </w:r>
      <w:r w:rsidRPr="2C47749E">
        <w:t>: While the Progress Report at the end of a grant year is straightforward, there is confusion as to how much information is needed in the narrative section. Instructions about the examples of info that is most helpful in the narrative sections would be welcome.</w:t>
      </w:r>
    </w:p>
    <w:p w:rsidR="640FCA63" w:rsidP="2C47749E" w14:paraId="313D8E64" w14:textId="005078C8">
      <w:r w:rsidRPr="2C47749E">
        <w:rPr>
          <w:u w:val="single"/>
        </w:rPr>
        <w:t>AmeriCorps Response</w:t>
      </w:r>
      <w:r w:rsidRPr="2C47749E">
        <w:t>: In addition to Progress Report Instructions and training, AmeriCorps provides Appendix A.4 – AmeriCorps Seniors Progress Report Tips in each Program Handbook.  This document shares examples about what information is worth considering for the narrative sections of the Progress Report. In addition, grantees can also speak with their Portfolio Manager about what information and to what extent they should include.</w:t>
      </w:r>
      <w:r>
        <w:br/>
      </w:r>
      <w:r w:rsidRPr="2C47749E">
        <w:t xml:space="preserve"> </w:t>
      </w:r>
      <w:r>
        <w:br/>
      </w:r>
      <w:r w:rsidRPr="2C47749E">
        <w:rPr>
          <w:u w:val="single"/>
        </w:rPr>
        <w:t>Comment</w:t>
      </w:r>
      <w:r w:rsidRPr="2C47749E">
        <w:t>: The Progress Report Supplement has been referred to as many different things over the years. With current Performance Measure workplans being very specific as to the special needs served by volunteers, this complete demographic report is burdensome for both program and station staff. ASPN has been told that there is no way for CNCS to aggregate the data reported into a national needs snapshot. As such, ASPN strongly believes that is CNCS unable to aggregate this data, programs should not be asked to collect it. The current reporting dates do not take into account grant years; therefore, programs are reporting on portions of two different grant years, causing the information to often be incorrect. Demographics of the volunteers should be rolled into the annual Progress Report. The PPR-S should be eliminated and would reduce the administrative burden for both grantees and agency staff.</w:t>
      </w:r>
    </w:p>
    <w:p w:rsidR="640FCA63" w:rsidP="2C47749E" w14:paraId="498EF115" w14:textId="44E8BA0D">
      <w:r w:rsidRPr="2C47749E">
        <w:rPr>
          <w:u w:val="single"/>
        </w:rPr>
        <w:t>AmeriCorps Response</w:t>
      </w:r>
      <w:r w:rsidRPr="2C47749E">
        <w:t xml:space="preserve">: AmeriCorps can and does aggregate the demographic section of the Progress Report Supplement (PRS). At this time, AmeriCorps is in the process of updating their grant management systems to enable volunteer information to be able to be entered directly into the system. AmeriCorps Seniors anticipates that this will eliminate the need for the Progress Report Supplement, reducing the administrative burden for </w:t>
      </w:r>
      <w:r w:rsidRPr="2C47749E">
        <w:t>grantees and agency staff.</w:t>
      </w:r>
      <w:r>
        <w:br/>
      </w:r>
      <w:r w:rsidRPr="2C47749E">
        <w:t xml:space="preserve"> </w:t>
      </w:r>
      <w:r>
        <w:br/>
      </w:r>
      <w:r w:rsidRPr="2C47749E">
        <w:rPr>
          <w:u w:val="single"/>
        </w:rPr>
        <w:t>Comment</w:t>
      </w:r>
      <w:r w:rsidRPr="2C47749E">
        <w:t>: Independent Living and Respite Surveys: SCP directors report that national work-plans do not require all the information requested on these surveys. If the workplan does not request the information, it would be best if those questions were eliminated from the survey and would possibly result in a better return on the number of clients completing the surveys. As Senior Companions serve those with dementia, it is often the caregiver of the client that completes this survey. In an effort to mitigate adding to caregiver burden, a shortened survey could be more easily completed which would then in turn, produce a better response rate.</w:t>
      </w:r>
    </w:p>
    <w:p w:rsidR="640FCA63" w:rsidP="2C47749E" w14:paraId="515140DA" w14:textId="5EA38B0F">
      <w:r w:rsidRPr="2C47749E">
        <w:rPr>
          <w:u w:val="single"/>
        </w:rPr>
        <w:t>AmeriCorps Response</w:t>
      </w:r>
      <w:r w:rsidRPr="2C47749E">
        <w:t>: At only 13 questions, AmeriCorps Seniors disagrees that this survey is too burdensome. However, AmeriCorps Seniors will review the Independent Living and Respite Survey. AmeriCorps Seniors is interested in the specific questions which SCP Directors propose to be eliminated.</w:t>
      </w:r>
    </w:p>
    <w:p w:rsidR="000576E9" w:rsidRPr="001C4327" w:rsidP="000576E9" w14:paraId="6CAFA43A" w14:textId="77777777">
      <w:pPr>
        <w:rPr>
          <w:rFonts w:ascii="Arial Narrow" w:hAnsi="Arial Narrow"/>
        </w:rPr>
      </w:pPr>
      <w:r w:rsidRPr="001C4327">
        <w:t> </w:t>
      </w:r>
    </w:p>
    <w:p w:rsidR="000576E9" w:rsidRPr="001C4327" w:rsidP="00AD792F" w14:paraId="293C419A" w14:textId="17AF28DC">
      <w:pPr>
        <w:rPr>
          <w:b/>
          <w:bCs/>
          <w:kern w:val="36"/>
        </w:rPr>
      </w:pPr>
      <w:r w:rsidRPr="001C4327">
        <w:t> </w:t>
      </w:r>
      <w:r w:rsidRPr="001C4327">
        <w:rPr>
          <w:b/>
          <w:bCs/>
          <w:kern w:val="36"/>
        </w:rPr>
        <w:t>A9</w:t>
      </w:r>
      <w:r w:rsidR="00254304">
        <w:rPr>
          <w:b/>
          <w:bCs/>
          <w:kern w:val="36"/>
        </w:rPr>
        <w:t xml:space="preserve">. </w:t>
      </w:r>
      <w:r w:rsidRPr="001C4327">
        <w:rPr>
          <w:b/>
          <w:bCs/>
          <w:kern w:val="36"/>
        </w:rPr>
        <w:t>Payment to Respondents</w:t>
      </w:r>
    </w:p>
    <w:p w:rsidR="00D74ADD" w:rsidP="00395ED5" w14:paraId="07AD8698" w14:textId="77777777">
      <w:pPr>
        <w:keepNext/>
        <w:ind w:firstLine="720"/>
        <w:outlineLvl w:val="0"/>
        <w:rPr>
          <w:bCs/>
          <w:kern w:val="36"/>
        </w:rPr>
      </w:pPr>
    </w:p>
    <w:p w:rsidR="009437C4" w:rsidRPr="001C4327" w:rsidP="00395ED5" w14:paraId="271119EF"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000576E9" w:rsidRPr="001C4327" w:rsidP="000576E9" w14:paraId="561CBFD0" w14:textId="77777777">
      <w:pPr>
        <w:rPr>
          <w:rFonts w:ascii="Arial Narrow" w:hAnsi="Arial Narrow"/>
        </w:rPr>
      </w:pPr>
      <w:r w:rsidRPr="001C4327">
        <w:t>  </w:t>
      </w:r>
    </w:p>
    <w:p w:rsidR="0035071A" w:rsidP="0035071A" w14:paraId="27F76E2C" w14:textId="06345E6D">
      <w:pPr>
        <w:rPr>
          <w:rFonts w:ascii="Arial Narrow" w:hAnsi="Arial Narrow"/>
        </w:rPr>
      </w:pPr>
      <w:r>
        <w:rPr>
          <w:b/>
          <w:bCs/>
        </w:rPr>
        <w:t>A10</w:t>
      </w:r>
      <w:r w:rsidR="00254304">
        <w:rPr>
          <w:b/>
          <w:bCs/>
        </w:rPr>
        <w:t xml:space="preserve">. </w:t>
      </w:r>
      <w:r>
        <w:rPr>
          <w:b/>
          <w:bCs/>
        </w:rPr>
        <w:t>Assurance of Confidentiality and its basis in statute, regulation, or agency policy.</w:t>
      </w:r>
    </w:p>
    <w:p w:rsidR="0035071A" w:rsidP="0035071A" w14:paraId="5A4A5F21" w14:textId="77777777">
      <w:pPr>
        <w:ind w:firstLine="540"/>
        <w:rPr>
          <w:bCs/>
        </w:rPr>
      </w:pPr>
    </w:p>
    <w:p w:rsidR="0035071A" w:rsidP="0035071A" w14:paraId="72306A53" w14:textId="77777777">
      <w:pPr>
        <w:ind w:firstLine="720"/>
      </w:pPr>
      <w:r>
        <w:t xml:space="preserve">Your responses to this information collection will be disclosed as appropriate unless prohibited by law. </w:t>
      </w:r>
    </w:p>
    <w:p w:rsidR="0035071A" w:rsidP="0035071A" w14:paraId="466BDD3A" w14:textId="77777777">
      <w:pPr>
        <w:rPr>
          <w:b/>
          <w:bCs/>
        </w:rPr>
      </w:pPr>
    </w:p>
    <w:p w:rsidR="0035071A" w:rsidP="0035071A" w14:paraId="3312C347" w14:textId="6C8473F2">
      <w:pPr>
        <w:rPr>
          <w:rFonts w:ascii="Arial Narrow" w:hAnsi="Arial Narrow"/>
        </w:rPr>
      </w:pPr>
      <w:r>
        <w:rPr>
          <w:b/>
          <w:bCs/>
        </w:rPr>
        <w:t>A11</w:t>
      </w:r>
      <w:r w:rsidR="00254304">
        <w:rPr>
          <w:b/>
          <w:bCs/>
        </w:rPr>
        <w:t xml:space="preserve">. </w:t>
      </w:r>
      <w:r>
        <w:rPr>
          <w:b/>
          <w:bCs/>
        </w:rPr>
        <w:t>Sensitive Questions</w:t>
      </w:r>
    </w:p>
    <w:p w:rsidR="0035071A" w:rsidP="0035071A" w14:paraId="71DA4006" w14:textId="77777777">
      <w:pPr>
        <w:ind w:firstLine="720"/>
      </w:pPr>
      <w:r>
        <w:t> </w:t>
      </w:r>
    </w:p>
    <w:p w:rsidR="0035071A" w:rsidP="0035071A" w14:paraId="5CD72016" w14:textId="77777777">
      <w:pPr>
        <w:ind w:firstLine="720"/>
      </w:pPr>
      <w:r>
        <w:t>The information collection does not include questions of a sensitive nature.</w:t>
      </w:r>
    </w:p>
    <w:p w:rsidR="000576E9" w:rsidRPr="001C4327" w:rsidP="000576E9" w14:paraId="0E6C38D5" w14:textId="074A0AB6">
      <w:pPr>
        <w:rPr>
          <w:rFonts w:ascii="Arial Narrow" w:hAnsi="Arial Narrow"/>
        </w:rPr>
      </w:pPr>
      <w:r w:rsidRPr="001C4327">
        <w:t>  </w:t>
      </w:r>
    </w:p>
    <w:p w:rsidR="00254304" w:rsidRPr="009A69EA" w:rsidP="00254304" w14:paraId="44C160D8" w14:textId="418D1799">
      <w:pPr>
        <w:rPr>
          <w:rFonts w:ascii="Arial Narrow" w:hAnsi="Arial Narrow"/>
        </w:rPr>
      </w:pPr>
      <w:r w:rsidRPr="009A69EA">
        <w:rPr>
          <w:b/>
          <w:bCs/>
        </w:rPr>
        <w:t>A1</w:t>
      </w:r>
      <w:r w:rsidR="00A01ED0">
        <w:rPr>
          <w:b/>
          <w:bCs/>
        </w:rPr>
        <w:t>2</w:t>
      </w:r>
      <w:r>
        <w:rPr>
          <w:b/>
          <w:bCs/>
        </w:rPr>
        <w:t xml:space="preserve">. </w:t>
      </w:r>
      <w:r w:rsidRPr="009A69EA">
        <w:rPr>
          <w:b/>
          <w:bCs/>
        </w:rPr>
        <w:t>Hour burden of the collection</w:t>
      </w:r>
    </w:p>
    <w:p w:rsidR="00254304" w:rsidRPr="009A69EA" w:rsidP="00254304" w14:paraId="49AD0547" w14:textId="77777777">
      <w:pPr>
        <w:ind w:firstLine="720"/>
      </w:pPr>
    </w:p>
    <w:p w:rsidR="00254304" w:rsidRPr="009A69EA" w:rsidP="00254304" w14:paraId="0DB04139" w14:textId="214D09BD">
      <w:pPr>
        <w:ind w:firstLine="720"/>
      </w:pPr>
      <w:r w:rsidRPr="009A69EA">
        <w:t>We expect approximately 1</w:t>
      </w:r>
      <w:r w:rsidR="009F4E3E">
        <w:t>25</w:t>
      </w:r>
      <w:r w:rsidRPr="009A69EA">
        <w:t xml:space="preserve">0 respondents to </w:t>
      </w:r>
      <w:r>
        <w:t xml:space="preserve">apply via the enrollment form and/or complete the annual survey. </w:t>
      </w:r>
      <w:r w:rsidRPr="009A69EA">
        <w:t xml:space="preserve">The frequency of response will not be greater than annually and should not exceed </w:t>
      </w:r>
      <w:r w:rsidR="009F4E3E">
        <w:t>one hour</w:t>
      </w:r>
      <w:r w:rsidRPr="009A69EA">
        <w:t xml:space="preserve"> of effort per respondent</w:t>
      </w:r>
      <w:r>
        <w:t xml:space="preserve">. </w:t>
      </w:r>
      <w:r w:rsidRPr="009A69EA">
        <w:t>There is no estimated annual hour burden outside of the customary and usual business practices</w:t>
      </w:r>
      <w:r>
        <w:t xml:space="preserve">. </w:t>
      </w:r>
    </w:p>
    <w:p w:rsidR="00254304" w:rsidRPr="009A69EA" w:rsidP="00254304" w14:paraId="3DC2E5AC" w14:textId="77777777">
      <w:pPr>
        <w:rPr>
          <w:rFonts w:ascii="Arial Narrow" w:hAnsi="Arial Narrow"/>
        </w:rPr>
      </w:pPr>
      <w:r w:rsidRPr="009A69EA">
        <w:t> </w:t>
      </w:r>
    </w:p>
    <w:p w:rsidR="00254304" w:rsidRPr="009A69EA" w:rsidP="00254304" w14:paraId="78F1D9A3" w14:textId="0E437F1F">
      <w:pPr>
        <w:keepNext/>
        <w:outlineLvl w:val="1"/>
        <w:rPr>
          <w:b/>
          <w:bCs/>
        </w:rPr>
      </w:pPr>
      <w:r w:rsidRPr="009A69EA">
        <w:rPr>
          <w:b/>
          <w:bCs/>
        </w:rPr>
        <w:t>A1</w:t>
      </w:r>
      <w:r w:rsidR="00A01ED0">
        <w:rPr>
          <w:b/>
          <w:bCs/>
        </w:rPr>
        <w:t>3</w:t>
      </w:r>
      <w:r>
        <w:rPr>
          <w:b/>
          <w:bCs/>
        </w:rPr>
        <w:t xml:space="preserve">. </w:t>
      </w:r>
      <w:r w:rsidRPr="009A69EA">
        <w:rPr>
          <w:b/>
          <w:bCs/>
        </w:rPr>
        <w:t>Cost burden to the respondent</w:t>
      </w:r>
    </w:p>
    <w:p w:rsidR="00254304" w:rsidRPr="009A69EA" w:rsidP="00254304" w14:paraId="71374077" w14:textId="77777777">
      <w:pPr>
        <w:ind w:firstLine="720"/>
      </w:pPr>
    </w:p>
    <w:p w:rsidR="00254304" w:rsidRPr="00937EAC" w:rsidP="00254304" w14:paraId="6FB117FA" w14:textId="77777777">
      <w:pPr>
        <w:pStyle w:val="HTMLPreformatted"/>
        <w:shd w:val="clear" w:color="auto" w:fill="FFFFFF"/>
        <w:rPr>
          <w:rFonts w:ascii="Times New Roman" w:hAnsi="Times New Roman" w:cs="Times New Roman"/>
          <w:color w:val="201F1E"/>
          <w:sz w:val="24"/>
          <w:szCs w:val="24"/>
        </w:rPr>
      </w:pPr>
      <w:r>
        <w:rPr>
          <w:rFonts w:ascii="Times New Roman" w:hAnsi="Times New Roman" w:cs="Times New Roman"/>
          <w:color w:val="201F1E"/>
          <w:sz w:val="24"/>
          <w:szCs w:val="24"/>
          <w:bdr w:val="none" w:sz="0" w:space="0" w:color="auto" w:frame="1"/>
        </w:rPr>
        <w:tab/>
      </w:r>
      <w:r w:rsidRPr="00937EAC">
        <w:rPr>
          <w:rFonts w:ascii="Times New Roman" w:hAnsi="Times New Roman" w:cs="Times New Roman"/>
          <w:color w:val="201F1E"/>
          <w:sz w:val="24"/>
          <w:szCs w:val="24"/>
          <w:bdr w:val="none" w:sz="0" w:space="0" w:color="auto" w:frame="1"/>
        </w:rPr>
        <w:t>The estimated respondent burdens and labor costs are shown in the following table.</w:t>
      </w:r>
    </w:p>
    <w:p w:rsidR="00254304" w:rsidRPr="00937EAC" w:rsidP="00254304" w14:paraId="77F1D0AC" w14:textId="77777777">
      <w:pPr>
        <w:pStyle w:val="HTMLPreformatted"/>
        <w:shd w:val="clear" w:color="auto" w:fill="FFFFFF"/>
        <w:rPr>
          <w:rFonts w:ascii="Times New Roman" w:hAnsi="Times New Roman" w:cs="Times New Roman"/>
          <w:color w:val="201F1E"/>
          <w:sz w:val="24"/>
          <w:szCs w:val="24"/>
        </w:rPr>
      </w:pPr>
      <w:r w:rsidRPr="00937EAC">
        <w:rPr>
          <w:rFonts w:ascii="Times New Roman" w:hAnsi="Times New Roman" w:cs="Times New Roman"/>
          <w:color w:val="201F1E"/>
          <w:sz w:val="24"/>
          <w:szCs w:val="24"/>
          <w:bdr w:val="none" w:sz="0" w:space="0" w:color="auto" w:frame="1"/>
        </w:rPr>
        <w:t> </w:t>
      </w:r>
    </w:p>
    <w:tbl>
      <w:tblPr>
        <w:tblW w:w="9270" w:type="dxa"/>
        <w:tblInd w:w="108" w:type="dxa"/>
        <w:shd w:val="clear" w:color="auto" w:fill="FFFFFF"/>
        <w:tblCellMar>
          <w:left w:w="0" w:type="dxa"/>
          <w:right w:w="0" w:type="dxa"/>
        </w:tblCellMar>
        <w:tblLook w:val="04A0"/>
      </w:tblPr>
      <w:tblGrid>
        <w:gridCol w:w="7020"/>
        <w:gridCol w:w="2250"/>
      </w:tblGrid>
      <w:tr w14:paraId="1A4A4F80" w14:textId="77777777" w:rsidTr="6B9F3698">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12DF4442" w14:textId="77777777">
            <w:pPr>
              <w:pStyle w:val="xmsonormal"/>
              <w:spacing w:before="0" w:beforeAutospacing="0" w:after="0" w:afterAutospacing="0" w:line="288" w:lineRule="atLeast"/>
              <w:jc w:val="center"/>
              <w:rPr>
                <w:color w:val="201F1E"/>
              </w:rPr>
            </w:pPr>
            <w:r w:rsidRPr="00937EAC">
              <w:rPr>
                <w:color w:val="201F1E"/>
              </w:rPr>
              <w:t>Estimation of Respondent Burden</w:t>
            </w:r>
          </w:p>
        </w:tc>
      </w:tr>
      <w:tr w14:paraId="37483FD1" w14:textId="77777777" w:rsidTr="6B9F3698">
        <w:tblPrEx>
          <w:tblW w:w="9270" w:type="dxa"/>
          <w:tblInd w:w="108" w:type="dxa"/>
          <w:shd w:val="clear" w:color="auto" w:fill="FFFFFF"/>
          <w:tblCellMar>
            <w:left w:w="0" w:type="dxa"/>
            <w:right w:w="0" w:type="dxa"/>
          </w:tblCellMar>
          <w:tblLook w:val="04A0"/>
        </w:tblPrEx>
        <w:trPr>
          <w:trHeight w:val="386"/>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FD8ABD5" w14:textId="77777777">
            <w:pPr>
              <w:pStyle w:val="xmsonormal"/>
              <w:spacing w:before="0" w:beforeAutospacing="0" w:after="0" w:afterAutospacing="0"/>
              <w:rPr>
                <w:color w:val="201F1E"/>
              </w:rPr>
            </w:pPr>
            <w:bookmarkStart w:id="0" w:name="x_cp458"/>
            <w:r w:rsidRPr="00937EAC">
              <w:rPr>
                <w:color w:val="000000"/>
                <w:bdr w:val="none" w:sz="0" w:space="0" w:color="auto" w:frame="1"/>
              </w:rPr>
              <w:t>Number of respondents</w:t>
            </w:r>
            <w:bookmarkEnd w:id="0"/>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644C50D" w14:textId="1E61AA31">
            <w:pPr>
              <w:pStyle w:val="xmsonormal"/>
              <w:spacing w:before="0" w:beforeAutospacing="0" w:after="0" w:afterAutospacing="0"/>
              <w:rPr>
                <w:color w:val="201F1E"/>
              </w:rPr>
            </w:pPr>
            <w:r>
              <w:rPr>
                <w:color w:val="201F1E"/>
              </w:rPr>
              <w:t>1</w:t>
            </w:r>
            <w:r w:rsidR="009F4E3E">
              <w:rPr>
                <w:color w:val="201F1E"/>
              </w:rPr>
              <w:t>250</w:t>
            </w:r>
          </w:p>
        </w:tc>
      </w:tr>
      <w:tr w14:paraId="34072EEA" w14:textId="77777777" w:rsidTr="6B9F3698">
        <w:tblPrEx>
          <w:tblW w:w="9270" w:type="dxa"/>
          <w:tblInd w:w="108" w:type="dxa"/>
          <w:shd w:val="clear" w:color="auto" w:fill="FFFFFF"/>
          <w:tblCellMar>
            <w:left w:w="0" w:type="dxa"/>
            <w:right w:w="0" w:type="dxa"/>
          </w:tblCellMar>
          <w:tblLook w:val="04A0"/>
        </w:tblPrEx>
        <w:trPr>
          <w:trHeight w:val="422"/>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69C50253" w14:textId="77777777">
            <w:pPr>
              <w:pStyle w:val="xmsonormal"/>
              <w:spacing w:before="0" w:beforeAutospacing="0" w:after="0" w:afterAutospacing="0"/>
              <w:rPr>
                <w:color w:val="201F1E"/>
              </w:rPr>
            </w:pPr>
            <w:r w:rsidRPr="00937EAC">
              <w:rPr>
                <w:color w:val="000000"/>
                <w:bdr w:val="none" w:sz="0" w:space="0" w:color="auto" w:frame="1"/>
              </w:rPr>
              <w:t>Responses per respondent</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45F71C58" w14:textId="58AA75FB">
            <w:pPr>
              <w:pStyle w:val="xmsonormal"/>
              <w:spacing w:before="0" w:beforeAutospacing="0" w:after="0" w:afterAutospacing="0"/>
              <w:rPr>
                <w:color w:val="201F1E"/>
              </w:rPr>
            </w:pPr>
            <w:r w:rsidRPr="28E9427E">
              <w:rPr>
                <w:color w:val="201F1E"/>
              </w:rPr>
              <w:t>5</w:t>
            </w:r>
          </w:p>
        </w:tc>
      </w:tr>
      <w:tr w14:paraId="5A8B2DFD" w14:textId="77777777" w:rsidTr="6B9F3698">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129FA3C6" w14:textId="77777777">
            <w:pPr>
              <w:pStyle w:val="xmsonormal"/>
              <w:spacing w:before="0" w:beforeAutospacing="0" w:after="0" w:afterAutospacing="0"/>
              <w:rPr>
                <w:color w:val="201F1E"/>
              </w:rPr>
            </w:pPr>
            <w:r w:rsidRPr="00937EAC">
              <w:rPr>
                <w:color w:val="000000"/>
                <w:bdr w:val="none" w:sz="0" w:space="0" w:color="auto" w:frame="1"/>
              </w:rPr>
              <w:t>Number of responses</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115A9177" w14:textId="0D52C740">
            <w:pPr>
              <w:pStyle w:val="xmsonormal"/>
              <w:spacing w:before="0" w:beforeAutospacing="0" w:after="0" w:afterAutospacing="0" w:line="259" w:lineRule="auto"/>
            </w:pPr>
            <w:r w:rsidRPr="6B9F3698">
              <w:rPr>
                <w:color w:val="000000" w:themeColor="text1"/>
              </w:rPr>
              <w:t>6250</w:t>
            </w:r>
          </w:p>
        </w:tc>
      </w:tr>
      <w:tr w14:paraId="49556B40" w14:textId="77777777" w:rsidTr="6B9F3698">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8701FC0" w14:textId="77777777">
            <w:pPr>
              <w:pStyle w:val="xmsonormal"/>
              <w:spacing w:before="0" w:beforeAutospacing="0" w:after="0" w:afterAutospacing="0"/>
              <w:rPr>
                <w:color w:val="201F1E"/>
              </w:rPr>
            </w:pPr>
            <w:r w:rsidRPr="00937EAC">
              <w:rPr>
                <w:color w:val="000000"/>
                <w:bdr w:val="none" w:sz="0" w:space="0" w:color="auto" w:frame="1"/>
              </w:rPr>
              <w:t>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707EBE3F" w14:textId="79CB4F52">
            <w:pPr>
              <w:pStyle w:val="xmsonormal"/>
              <w:spacing w:before="0" w:beforeAutospacing="0" w:after="0" w:afterAutospacing="0"/>
              <w:rPr>
                <w:color w:val="000000" w:themeColor="text1"/>
              </w:rPr>
            </w:pPr>
            <w:r>
              <w:rPr>
                <w:color w:val="000000"/>
                <w:bdr w:val="none" w:sz="0" w:space="0" w:color="auto" w:frame="1"/>
              </w:rPr>
              <w:t>1</w:t>
            </w:r>
          </w:p>
        </w:tc>
      </w:tr>
      <w:tr w14:paraId="2B0470E8" w14:textId="77777777" w:rsidTr="6B9F3698">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6D005389" w14:textId="77777777">
            <w:pPr>
              <w:pStyle w:val="xmsonormal"/>
              <w:spacing w:before="0" w:beforeAutospacing="0" w:after="0" w:afterAutospacing="0"/>
              <w:rPr>
                <w:color w:val="201F1E"/>
              </w:rPr>
            </w:pPr>
            <w:r w:rsidRPr="00937EAC">
              <w:rPr>
                <w:color w:val="000000"/>
                <w:bdr w:val="none" w:sz="0" w:space="0" w:color="auto" w:frame="1"/>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40918E14" w14:textId="53C5D50B">
            <w:pPr>
              <w:pStyle w:val="xmsonormal"/>
              <w:spacing w:before="0" w:beforeAutospacing="0" w:after="0" w:afterAutospacing="0" w:line="259" w:lineRule="auto"/>
            </w:pPr>
            <w:r w:rsidRPr="6B9F3698">
              <w:rPr>
                <w:color w:val="201F1E"/>
              </w:rPr>
              <w:t>6250</w:t>
            </w:r>
          </w:p>
        </w:tc>
      </w:tr>
      <w:tr w14:paraId="4A7903FE" w14:textId="77777777" w:rsidTr="6B9F3698">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646C2D60" w14:textId="77777777">
            <w:pPr>
              <w:pStyle w:val="xmsonormal"/>
              <w:spacing w:before="0" w:beforeAutospacing="0" w:after="0" w:afterAutospacing="0"/>
              <w:rPr>
                <w:color w:val="201F1E"/>
              </w:rPr>
            </w:pPr>
            <w:r w:rsidRPr="00937EAC">
              <w:rPr>
                <w:color w:val="000000"/>
                <w:bdr w:val="none" w:sz="0" w:space="0" w:color="auto" w:frame="1"/>
              </w:rPr>
              <w:t>Cost per hour (hourly wage)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515A573" w14:textId="77777777">
            <w:pPr>
              <w:pStyle w:val="xmsonormal"/>
              <w:spacing w:before="0" w:beforeAutospacing="0" w:after="0" w:afterAutospacing="0"/>
              <w:rPr>
                <w:color w:val="201F1E"/>
              </w:rPr>
            </w:pPr>
            <w:r w:rsidRPr="00937EAC">
              <w:rPr>
                <w:color w:val="201F1E"/>
                <w:bdr w:val="none" w:sz="0" w:space="0" w:color="auto" w:frame="1"/>
              </w:rPr>
              <w:t>$45.14</w:t>
            </w:r>
          </w:p>
        </w:tc>
      </w:tr>
      <w:tr w14:paraId="4080D597" w14:textId="77777777" w:rsidTr="6B9F3698">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1F9B1199" w14:textId="77777777">
            <w:pPr>
              <w:pStyle w:val="xmsonormal"/>
              <w:spacing w:before="0" w:beforeAutospacing="0" w:after="0" w:afterAutospacing="0"/>
              <w:rPr>
                <w:color w:val="201F1E"/>
              </w:rPr>
            </w:pPr>
            <w:r w:rsidRPr="00937EAC">
              <w:rPr>
                <w:color w:val="000000"/>
                <w:bdr w:val="none" w:sz="0" w:space="0" w:color="auto" w:frame="1"/>
              </w:rPr>
              <w:t>Annual public burden (estimated hours multiplied by cost per hour)</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1AFEEAC2" w14:textId="7FA3AD75">
            <w:pPr>
              <w:pStyle w:val="xmsonormal"/>
              <w:spacing w:before="0" w:beforeAutospacing="0" w:after="0" w:afterAutospacing="0"/>
              <w:rPr>
                <w:color w:val="201F1E"/>
              </w:rPr>
            </w:pPr>
            <w:r w:rsidRPr="00937EAC">
              <w:rPr>
                <w:color w:val="201F1E"/>
                <w:bdr w:val="none" w:sz="0" w:space="0" w:color="auto" w:frame="1"/>
              </w:rPr>
              <w:t>$</w:t>
            </w:r>
            <w:r w:rsidRPr="00937EAC" w:rsidR="4670A696">
              <w:rPr>
                <w:color w:val="201F1E"/>
                <w:bdr w:val="none" w:sz="0" w:space="0" w:color="auto" w:frame="1"/>
              </w:rPr>
              <w:t>282,125.00</w:t>
            </w:r>
          </w:p>
        </w:tc>
      </w:tr>
    </w:tbl>
    <w:p w:rsidR="00254304" w:rsidRPr="00937EAC" w:rsidP="00254304" w14:paraId="298ED5C7"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 </w:t>
      </w:r>
    </w:p>
    <w:p w:rsidR="00254304" w:rsidRPr="00937EAC" w:rsidP="00254304" w14:paraId="67ABF78D"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Note:</w:t>
      </w:r>
      <w:r w:rsidRPr="00937EAC">
        <w:rPr>
          <w:color w:val="201F1E"/>
          <w:bdr w:val="none" w:sz="0" w:space="0" w:color="auto" w:frame="1"/>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w:t>
      </w:r>
    </w:p>
    <w:p w:rsidR="00254304" w:rsidRPr="00937EAC" w:rsidP="00254304" w14:paraId="4B44C845"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254304" w:rsidRPr="00937EAC" w:rsidP="00254304" w14:paraId="28C3D60F" w14:textId="77777777">
      <w:pPr>
        <w:pStyle w:val="xmsonormal"/>
        <w:shd w:val="clear" w:color="auto" w:fill="FFFFFF"/>
        <w:spacing w:before="0" w:beforeAutospacing="0" w:after="0" w:afterAutospacing="0"/>
        <w:rPr>
          <w:color w:val="201F1E"/>
        </w:rPr>
      </w:pPr>
      <w:r w:rsidRPr="00937EAC">
        <w:rPr>
          <w:color w:val="201F1E"/>
          <w:bdr w:val="none" w:sz="0" w:space="0" w:color="auto" w:frame="1"/>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254304" w:rsidRPr="00937EAC" w:rsidP="00254304" w14:paraId="7BF7D2DD" w14:textId="77777777">
      <w:r w:rsidRPr="00937EAC">
        <w:t> </w:t>
      </w:r>
    </w:p>
    <w:p w:rsidR="00254304" w:rsidRPr="009A69EA" w:rsidP="00254304" w14:paraId="6D616B2F" w14:textId="4CA98EEF">
      <w:pPr>
        <w:rPr>
          <w:rFonts w:ascii="Arial Narrow" w:hAnsi="Arial Narrow"/>
        </w:rPr>
      </w:pPr>
      <w:r w:rsidRPr="009A69EA">
        <w:rPr>
          <w:b/>
          <w:bCs/>
        </w:rPr>
        <w:t>A1</w:t>
      </w:r>
      <w:r w:rsidR="00A01ED0">
        <w:rPr>
          <w:b/>
          <w:bCs/>
        </w:rPr>
        <w:t>4</w:t>
      </w:r>
      <w:r>
        <w:rPr>
          <w:b/>
          <w:bCs/>
        </w:rPr>
        <w:t xml:space="preserve">. </w:t>
      </w:r>
      <w:r w:rsidRPr="009A69EA">
        <w:rPr>
          <w:b/>
          <w:bCs/>
        </w:rPr>
        <w:t>Cost to Government</w:t>
      </w:r>
    </w:p>
    <w:p w:rsidR="00254304" w:rsidRPr="009A69EA" w:rsidP="00254304" w14:paraId="4D59D080" w14:textId="77777777">
      <w:pPr>
        <w:ind w:firstLine="540"/>
      </w:pPr>
    </w:p>
    <w:p w:rsidR="00254304" w:rsidRPr="00937EAC" w:rsidP="00254304" w14:paraId="09A0A408" w14:textId="73D8FC0F">
      <w:pPr>
        <w:pStyle w:val="xmsonormal"/>
        <w:shd w:val="clear" w:color="auto" w:fill="FFFFFF"/>
        <w:spacing w:before="0" w:beforeAutospacing="0" w:after="0" w:afterAutospacing="0"/>
        <w:ind w:firstLine="720"/>
        <w:rPr>
          <w:color w:val="201F1E"/>
        </w:rPr>
      </w:pPr>
      <w:r>
        <w:rPr>
          <w:color w:val="201F1E"/>
          <w:bdr w:val="none" w:sz="0" w:space="0" w:color="auto" w:frame="1"/>
        </w:rPr>
        <w:tab/>
      </w:r>
      <w:r w:rsidRPr="00937EAC">
        <w:rPr>
          <w:color w:val="201F1E"/>
        </w:rPr>
        <w:t xml:space="preserve">The estimated cost to the Government is shown in the following table. It is estimated that it will take the Government </w:t>
      </w:r>
      <w:r w:rsidR="009F4E3E">
        <w:rPr>
          <w:color w:val="201F1E"/>
        </w:rPr>
        <w:t>1</w:t>
      </w:r>
      <w:r w:rsidRPr="00937EAC">
        <w:rPr>
          <w:color w:val="201F1E"/>
        </w:rPr>
        <w:t xml:space="preserve"> hour to review and verify the information contained in each response. This estimate was developed by staff involved in the management of current activity.</w:t>
      </w:r>
    </w:p>
    <w:p w:rsidR="00254304" w:rsidRPr="00937EAC" w:rsidP="00254304" w14:paraId="72C17F1A" w14:textId="77777777">
      <w:pPr>
        <w:pStyle w:val="xmsonormal"/>
        <w:shd w:val="clear" w:color="auto" w:fill="FFFFFF"/>
        <w:spacing w:before="0" w:beforeAutospacing="0" w:after="0" w:afterAutospacing="0"/>
        <w:rPr>
          <w:color w:val="201F1E"/>
        </w:rPr>
      </w:pPr>
      <w:r w:rsidRPr="00937EAC">
        <w:rPr>
          <w:color w:val="201F1E"/>
        </w:rPr>
        <w:t> </w:t>
      </w:r>
    </w:p>
    <w:tbl>
      <w:tblPr>
        <w:tblW w:w="9270" w:type="dxa"/>
        <w:tblInd w:w="108" w:type="dxa"/>
        <w:shd w:val="clear" w:color="auto" w:fill="FFFFFF"/>
        <w:tblCellMar>
          <w:left w:w="0" w:type="dxa"/>
          <w:right w:w="0" w:type="dxa"/>
        </w:tblCellMar>
        <w:tblLook w:val="04A0"/>
      </w:tblPr>
      <w:tblGrid>
        <w:gridCol w:w="7020"/>
        <w:gridCol w:w="2250"/>
      </w:tblGrid>
      <w:tr w14:paraId="238A0D02" w14:textId="77777777" w:rsidTr="0061272F">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0435EB21" w14:textId="77777777">
            <w:pPr>
              <w:pStyle w:val="xmsonormal"/>
              <w:spacing w:before="0" w:beforeAutospacing="0" w:after="0" w:afterAutospacing="0"/>
              <w:jc w:val="center"/>
              <w:rPr>
                <w:color w:val="201F1E"/>
              </w:rPr>
            </w:pPr>
            <w:r w:rsidRPr="00937EAC">
              <w:rPr>
                <w:color w:val="201F1E"/>
              </w:rPr>
              <w:t>Estimation of Cost to the Government</w:t>
            </w:r>
          </w:p>
        </w:tc>
      </w:tr>
      <w:tr w14:paraId="156D010C" w14:textId="77777777" w:rsidTr="0061272F">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0221CC2A" w14:textId="77777777">
            <w:pPr>
              <w:pStyle w:val="xmsonormal"/>
              <w:spacing w:before="0" w:beforeAutospacing="0" w:after="0" w:afterAutospacing="0"/>
              <w:rPr>
                <w:color w:val="201F1E"/>
              </w:rPr>
            </w:pPr>
            <w:r w:rsidRPr="00937EAC">
              <w:rPr>
                <w:color w:val="201F1E"/>
              </w:rPr>
              <w:t>Number of responses</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65A210D7" w14:textId="49530833">
            <w:pPr>
              <w:pStyle w:val="xmsonormal"/>
              <w:spacing w:before="0" w:beforeAutospacing="0" w:after="0" w:afterAutospacing="0"/>
              <w:rPr>
                <w:color w:val="201F1E"/>
              </w:rPr>
            </w:pPr>
            <w:r>
              <w:rPr>
                <w:color w:val="201F1E"/>
              </w:rPr>
              <w:t>3750</w:t>
            </w:r>
          </w:p>
        </w:tc>
      </w:tr>
      <w:tr w14:paraId="7B6FB5E8" w14:textId="77777777" w:rsidTr="0061272F">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11CDD3EC" w14:textId="77777777">
            <w:pPr>
              <w:pStyle w:val="xmsonormal"/>
              <w:spacing w:before="0" w:beforeAutospacing="0" w:after="0" w:afterAutospacing="0"/>
              <w:rPr>
                <w:color w:val="201F1E"/>
              </w:rPr>
            </w:pPr>
            <w:r w:rsidRPr="00937EAC">
              <w:rPr>
                <w:color w:val="201F1E"/>
              </w:rPr>
              <w:t>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2047BECE" w14:textId="5E59C6E3">
            <w:pPr>
              <w:pStyle w:val="xmsonormal"/>
              <w:spacing w:before="0" w:beforeAutospacing="0" w:after="0" w:afterAutospacing="0"/>
              <w:rPr>
                <w:color w:val="201F1E"/>
              </w:rPr>
            </w:pPr>
            <w:r>
              <w:rPr>
                <w:color w:val="201F1E"/>
              </w:rPr>
              <w:t>1</w:t>
            </w:r>
          </w:p>
        </w:tc>
      </w:tr>
      <w:tr w14:paraId="4F0C5520" w14:textId="77777777" w:rsidTr="0061272F">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07A273A8" w14:textId="77777777">
            <w:pPr>
              <w:pStyle w:val="xmsonormal"/>
              <w:spacing w:before="0" w:beforeAutospacing="0" w:after="0" w:afterAutospacing="0"/>
              <w:rPr>
                <w:color w:val="201F1E"/>
              </w:rPr>
            </w:pPr>
            <w:r w:rsidRPr="00937EAC">
              <w:rPr>
                <w:color w:val="201F1E"/>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7E3B9692" w14:textId="6F83DCCF">
            <w:pPr>
              <w:pStyle w:val="xmsonormal"/>
              <w:spacing w:before="0" w:beforeAutospacing="0" w:after="0" w:afterAutospacing="0"/>
              <w:rPr>
                <w:color w:val="201F1E"/>
              </w:rPr>
            </w:pPr>
            <w:r>
              <w:rPr>
                <w:color w:val="201F1E"/>
              </w:rPr>
              <w:t>3750</w:t>
            </w:r>
          </w:p>
        </w:tc>
      </w:tr>
      <w:tr w14:paraId="36AF3C70" w14:textId="77777777" w:rsidTr="0061272F">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272A90A8" w14:textId="77777777">
            <w:pPr>
              <w:pStyle w:val="xmsonormal"/>
              <w:spacing w:before="0" w:beforeAutospacing="0" w:after="0" w:afterAutospacing="0"/>
              <w:rPr>
                <w:color w:val="201F1E"/>
              </w:rPr>
            </w:pPr>
            <w:r w:rsidRPr="00937EAC">
              <w:rPr>
                <w:color w:val="201F1E"/>
              </w:rPr>
              <w:t>Cost per hour (hourly wage)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26FC4351" w14:textId="77777777">
            <w:pPr>
              <w:pStyle w:val="xmsonormal"/>
              <w:spacing w:before="0" w:beforeAutospacing="0" w:after="0" w:afterAutospacing="0"/>
              <w:rPr>
                <w:color w:val="201F1E"/>
              </w:rPr>
            </w:pPr>
            <w:r w:rsidRPr="00937EAC">
              <w:rPr>
                <w:color w:val="201F1E"/>
              </w:rPr>
              <w:t>$45.14</w:t>
            </w:r>
          </w:p>
        </w:tc>
      </w:tr>
      <w:tr w14:paraId="6CAF6085" w14:textId="77777777" w:rsidTr="0061272F">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7BAE6F7F" w14:textId="77777777">
            <w:pPr>
              <w:pStyle w:val="xmsonormal"/>
              <w:spacing w:before="0" w:beforeAutospacing="0" w:after="0" w:afterAutospacing="0"/>
              <w:rPr>
                <w:color w:val="201F1E"/>
              </w:rPr>
            </w:pPr>
            <w:r w:rsidRPr="00937EAC">
              <w:rPr>
                <w:color w:val="201F1E"/>
              </w:rPr>
              <w:t>Annual burden (estimated hours multiplied by cost per hour)</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6DF86108" w14:textId="78D66877">
            <w:pPr>
              <w:pStyle w:val="xmsonormal"/>
              <w:spacing w:before="0" w:beforeAutospacing="0" w:after="0" w:afterAutospacing="0"/>
              <w:rPr>
                <w:color w:val="201F1E"/>
              </w:rPr>
            </w:pPr>
            <w:r w:rsidRPr="00937EAC">
              <w:rPr>
                <w:color w:val="201F1E"/>
              </w:rPr>
              <w:t>$</w:t>
            </w:r>
            <w:r w:rsidR="009F4E3E">
              <w:rPr>
                <w:color w:val="201F1E"/>
              </w:rPr>
              <w:t>169,275</w:t>
            </w:r>
          </w:p>
        </w:tc>
      </w:tr>
    </w:tbl>
    <w:p w:rsidR="00254304" w:rsidRPr="00937EAC" w:rsidP="00254304" w14:paraId="1F16CED2"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254304" w:rsidRPr="00937EAC" w:rsidP="00254304" w14:paraId="4909158C"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Note:</w:t>
      </w:r>
      <w:r w:rsidRPr="00937EAC">
        <w:rPr>
          <w:color w:val="201F1E"/>
          <w:bdr w:val="none" w:sz="0" w:space="0" w:color="auto" w:frame="1"/>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w:t>
      </w:r>
    </w:p>
    <w:p w:rsidR="00254304" w:rsidRPr="00937EAC" w:rsidP="00254304" w14:paraId="7C8C6BBB"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254304" w:rsidRPr="00937EAC" w:rsidP="00254304" w14:paraId="320DD6E7" w14:textId="77777777">
      <w:pPr>
        <w:pStyle w:val="xmsonormal"/>
        <w:shd w:val="clear" w:color="auto" w:fill="FFFFFF"/>
        <w:spacing w:before="0" w:beforeAutospacing="0" w:after="0" w:afterAutospacing="0"/>
        <w:rPr>
          <w:color w:val="201F1E"/>
        </w:rPr>
      </w:pPr>
      <w:r w:rsidRPr="00937EAC">
        <w:rPr>
          <w:color w:val="201F1E"/>
          <w:bdr w:val="none" w:sz="0" w:space="0" w:color="auto" w:frame="1"/>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0576E9" w:rsidRPr="001C4327" w:rsidP="000576E9" w14:paraId="6409CFA3" w14:textId="77777777">
      <w:pPr>
        <w:rPr>
          <w:rFonts w:ascii="Arial Narrow" w:hAnsi="Arial Narrow"/>
        </w:rPr>
      </w:pPr>
    </w:p>
    <w:p w:rsidR="009437C4" w:rsidP="000576E9" w14:paraId="676F94A7" w14:textId="07F4F530">
      <w:pPr>
        <w:rPr>
          <w:b/>
          <w:bCs/>
        </w:rPr>
      </w:pPr>
      <w:r w:rsidRPr="001C4327">
        <w:rPr>
          <w:b/>
          <w:bCs/>
        </w:rPr>
        <w:t>A1</w:t>
      </w:r>
      <w:r w:rsidR="00A01ED0">
        <w:rPr>
          <w:b/>
          <w:bCs/>
        </w:rPr>
        <w:t>5</w:t>
      </w:r>
      <w:r w:rsidR="00254304">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rsidR="00395ED5" w:rsidRPr="001C4327" w:rsidP="000576E9" w14:paraId="3EA6AED9" w14:textId="77777777">
      <w:pPr>
        <w:rPr>
          <w:b/>
          <w:bCs/>
        </w:rPr>
      </w:pPr>
    </w:p>
    <w:p w:rsidR="00395ED5" w:rsidRPr="001C4327" w:rsidP="00395ED5" w14:paraId="1B8E8F0E" w14:textId="408D136B">
      <w:pPr>
        <w:ind w:firstLine="720"/>
      </w:pPr>
      <w:r>
        <w:t>Adjustments in burden and cost were determined after meeting with AmeriCorps Staff and AmeriCorps Seniors grantees</w:t>
      </w:r>
      <w:r>
        <w:t>.</w:t>
      </w:r>
    </w:p>
    <w:p w:rsidR="000576E9" w:rsidRPr="001C4327" w:rsidP="000576E9" w14:paraId="4712C5DB" w14:textId="77777777">
      <w:pPr>
        <w:rPr>
          <w:rFonts w:ascii="Arial Narrow" w:hAnsi="Arial Narrow"/>
        </w:rPr>
      </w:pPr>
      <w:r w:rsidRPr="001C4327">
        <w:t> </w:t>
      </w:r>
    </w:p>
    <w:p w:rsidR="009437C4" w:rsidRPr="001C4327" w:rsidP="000576E9" w14:paraId="363D3E1F" w14:textId="4B6831CC">
      <w:pPr>
        <w:rPr>
          <w:rFonts w:ascii="Arial Narrow" w:hAnsi="Arial Narrow"/>
        </w:rPr>
      </w:pPr>
      <w:r w:rsidRPr="001C4327">
        <w:t> </w:t>
      </w:r>
      <w:r w:rsidRPr="001C4327">
        <w:rPr>
          <w:b/>
          <w:bCs/>
        </w:rPr>
        <w:t>A1</w:t>
      </w:r>
      <w:r w:rsidR="00A01ED0">
        <w:rPr>
          <w:b/>
          <w:bCs/>
        </w:rPr>
        <w:t>6</w:t>
      </w:r>
      <w:r w:rsidR="00254304">
        <w:rPr>
          <w:b/>
          <w:bCs/>
        </w:rPr>
        <w:t xml:space="preserve">. </w:t>
      </w:r>
      <w:r w:rsidRPr="001C4327">
        <w:rPr>
          <w:b/>
          <w:bCs/>
        </w:rPr>
        <w:t>Publication of results</w:t>
      </w:r>
    </w:p>
    <w:p w:rsidR="00395ED5" w:rsidP="000576E9" w14:paraId="668503C0" w14:textId="77777777"/>
    <w:p w:rsidR="000576E9" w:rsidRPr="001C4327" w:rsidP="00395ED5" w14:paraId="17EDCA73" w14:textId="1302391D">
      <w:pPr>
        <w:ind w:firstLine="720"/>
        <w:rPr>
          <w:rFonts w:ascii="Arial Narrow" w:hAnsi="Arial Narrow"/>
        </w:rPr>
      </w:pPr>
      <w:r>
        <w:t>Some results of this grant competition</w:t>
      </w:r>
      <w:r w:rsidR="009F4E3E">
        <w:t xml:space="preserve"> and progress reporting</w:t>
      </w:r>
      <w:r>
        <w:t xml:space="preserve"> will be published on the </w:t>
      </w:r>
      <w:r w:rsidR="00254304">
        <w:t>AmeriCorps</w:t>
      </w:r>
      <w:r>
        <w:t xml:space="preserve"> website for the purpose of transparency in federal grantmaking</w:t>
      </w:r>
      <w:r w:rsidRPr="001C4327" w:rsidR="009437C4">
        <w:t>.</w:t>
      </w:r>
      <w:r w:rsidRPr="001C4327">
        <w:t> </w:t>
      </w:r>
    </w:p>
    <w:p w:rsidR="000A1932" w:rsidRPr="001C4327" w:rsidP="001C4327" w14:paraId="187C4E42" w14:textId="77777777">
      <w:pPr>
        <w:rPr>
          <w:rFonts w:ascii="Arial Narrow" w:hAnsi="Arial Narrow"/>
        </w:rPr>
      </w:pPr>
      <w:r w:rsidRPr="001C4327">
        <w:t> </w:t>
      </w:r>
    </w:p>
    <w:p w:rsidR="00AB33DD" w:rsidRPr="001C4327" w:rsidP="001C4327" w14:paraId="73D30175" w14:textId="1AEE9E4C">
      <w:pPr>
        <w:ind w:left="540" w:hanging="540"/>
        <w:rPr>
          <w:b/>
          <w:bCs/>
        </w:rPr>
      </w:pPr>
      <w:r w:rsidRPr="001C4327">
        <w:rPr>
          <w:b/>
          <w:bCs/>
        </w:rPr>
        <w:t>A1</w:t>
      </w:r>
      <w:r w:rsidR="00A01ED0">
        <w:rPr>
          <w:b/>
          <w:bCs/>
        </w:rPr>
        <w:t>7</w:t>
      </w:r>
      <w:r w:rsidR="00254304">
        <w:rPr>
          <w:b/>
          <w:bCs/>
        </w:rPr>
        <w:t xml:space="preserve">. </w:t>
      </w:r>
      <w:r w:rsidRPr="001C4327">
        <w:rPr>
          <w:b/>
          <w:bCs/>
        </w:rPr>
        <w:t>Explain the reason for seeking approval to not display the expiration date for OMB approval of the information collection.</w:t>
      </w:r>
    </w:p>
    <w:p w:rsidR="00395ED5" w:rsidP="000576E9" w14:paraId="00EBCA49" w14:textId="77777777">
      <w:pPr>
        <w:ind w:left="540" w:hanging="540"/>
        <w:rPr>
          <w:bCs/>
        </w:rPr>
      </w:pPr>
    </w:p>
    <w:p w:rsidR="00AB33DD" w:rsidRPr="001C4327" w:rsidP="00395ED5" w14:paraId="70BC11D5" w14:textId="77777777">
      <w:pPr>
        <w:ind w:firstLine="720"/>
        <w:rPr>
          <w:rFonts w:ascii="Arial Narrow" w:hAnsi="Arial Narrow"/>
        </w:rPr>
      </w:pPr>
      <w:r w:rsidRPr="001C4327">
        <w:rPr>
          <w:bCs/>
        </w:rPr>
        <w:t>Not applicable</w:t>
      </w:r>
      <w:r w:rsidR="00395ED5">
        <w:rPr>
          <w:bCs/>
        </w:rPr>
        <w:t>.</w:t>
      </w:r>
    </w:p>
    <w:p w:rsidR="000576E9" w:rsidRPr="001C4327" w:rsidP="000576E9" w14:paraId="7A0504DF" w14:textId="77777777">
      <w:pPr>
        <w:rPr>
          <w:rFonts w:ascii="Arial Narrow" w:hAnsi="Arial Narrow"/>
        </w:rPr>
      </w:pPr>
      <w:r w:rsidRPr="001C4327">
        <w:t> </w:t>
      </w:r>
    </w:p>
    <w:p w:rsidR="000576E9" w:rsidRPr="001C4327" w:rsidP="000576E9" w14:paraId="2D98EB5B" w14:textId="3B98DFDE">
      <w:pPr>
        <w:rPr>
          <w:b/>
          <w:bCs/>
        </w:rPr>
      </w:pPr>
      <w:r w:rsidRPr="001C4327">
        <w:t> </w:t>
      </w:r>
      <w:r w:rsidRPr="001C4327">
        <w:rPr>
          <w:b/>
          <w:bCs/>
        </w:rPr>
        <w:t>A1</w:t>
      </w:r>
      <w:r w:rsidR="00A01ED0">
        <w:rPr>
          <w:b/>
          <w:bCs/>
        </w:rPr>
        <w:t>8</w:t>
      </w:r>
      <w:r w:rsidR="00254304">
        <w:rPr>
          <w:b/>
          <w:bCs/>
        </w:rPr>
        <w:t xml:space="preserve">. </w:t>
      </w:r>
      <w:r w:rsidRPr="001C4327">
        <w:rPr>
          <w:b/>
          <w:bCs/>
        </w:rPr>
        <w:t>Exceptions to the certification statement</w:t>
      </w:r>
    </w:p>
    <w:p w:rsidR="00AB33DD" w:rsidRPr="001C4327" w:rsidP="000576E9" w14:paraId="5E89BDC6" w14:textId="77777777">
      <w:pPr>
        <w:rPr>
          <w:b/>
          <w:bCs/>
        </w:rPr>
      </w:pPr>
    </w:p>
    <w:p w:rsidR="00AB33DD" w:rsidRPr="001C4327" w:rsidP="00395ED5" w14:paraId="65424C37" w14:textId="77777777">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00F64EE0" w:rsidRPr="001C4327" w14:paraId="3B72BA6A" w14:textId="77777777"/>
    <w:sectPr>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P="00E178E3" w14:paraId="7DA184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1E" w14:paraId="386361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RPr="00E178E3" w:rsidP="00E178E3" w14:paraId="1DD8C019"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5071A">
      <w:rPr>
        <w:rStyle w:val="PageNumber"/>
        <w:noProof/>
        <w:sz w:val="22"/>
        <w:szCs w:val="22"/>
      </w:rPr>
      <w:t>2</w:t>
    </w:r>
    <w:r w:rsidRPr="00E178E3">
      <w:rPr>
        <w:rStyle w:val="PageNumber"/>
        <w:sz w:val="22"/>
        <w:szCs w:val="22"/>
      </w:rPr>
      <w:fldChar w:fldCharType="end"/>
    </w:r>
  </w:p>
  <w:p w:rsidR="001A191E" w14:paraId="1F4E32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55872493">
    <w:abstractNumId w:val="0"/>
  </w:num>
  <w:num w:numId="2" w16cid:durableId="26431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01748"/>
    <w:rsid w:val="00036EB8"/>
    <w:rsid w:val="000513D6"/>
    <w:rsid w:val="000568D3"/>
    <w:rsid w:val="000576E9"/>
    <w:rsid w:val="00094EFB"/>
    <w:rsid w:val="000A1932"/>
    <w:rsid w:val="000D0B1C"/>
    <w:rsid w:val="000D704C"/>
    <w:rsid w:val="000E3007"/>
    <w:rsid w:val="001072CB"/>
    <w:rsid w:val="00142DC2"/>
    <w:rsid w:val="001A191E"/>
    <w:rsid w:val="001B1A4B"/>
    <w:rsid w:val="001C4327"/>
    <w:rsid w:val="001E555C"/>
    <w:rsid w:val="002105CD"/>
    <w:rsid w:val="002126B4"/>
    <w:rsid w:val="00213BA9"/>
    <w:rsid w:val="0021772D"/>
    <w:rsid w:val="00254304"/>
    <w:rsid w:val="002618B1"/>
    <w:rsid w:val="00281BA0"/>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5178D2"/>
    <w:rsid w:val="0052336C"/>
    <w:rsid w:val="00533E46"/>
    <w:rsid w:val="00536EBB"/>
    <w:rsid w:val="005459C9"/>
    <w:rsid w:val="00582187"/>
    <w:rsid w:val="00595812"/>
    <w:rsid w:val="00597953"/>
    <w:rsid w:val="0061272F"/>
    <w:rsid w:val="00616EA0"/>
    <w:rsid w:val="006302B8"/>
    <w:rsid w:val="006520B0"/>
    <w:rsid w:val="006610A8"/>
    <w:rsid w:val="00697658"/>
    <w:rsid w:val="00700BBD"/>
    <w:rsid w:val="007045A0"/>
    <w:rsid w:val="00783B2E"/>
    <w:rsid w:val="007844D8"/>
    <w:rsid w:val="007918B7"/>
    <w:rsid w:val="007C1F0A"/>
    <w:rsid w:val="007C230B"/>
    <w:rsid w:val="008204A0"/>
    <w:rsid w:val="00825B1C"/>
    <w:rsid w:val="00883F8D"/>
    <w:rsid w:val="008C0903"/>
    <w:rsid w:val="008C5735"/>
    <w:rsid w:val="008D6C60"/>
    <w:rsid w:val="00926B3E"/>
    <w:rsid w:val="0093680B"/>
    <w:rsid w:val="00937EAC"/>
    <w:rsid w:val="009437C4"/>
    <w:rsid w:val="009541E3"/>
    <w:rsid w:val="00956385"/>
    <w:rsid w:val="00997736"/>
    <w:rsid w:val="009A0CC2"/>
    <w:rsid w:val="009A69EA"/>
    <w:rsid w:val="009C640B"/>
    <w:rsid w:val="009E7092"/>
    <w:rsid w:val="009F4E3E"/>
    <w:rsid w:val="00A01ED0"/>
    <w:rsid w:val="00A05737"/>
    <w:rsid w:val="00A155EA"/>
    <w:rsid w:val="00A54952"/>
    <w:rsid w:val="00A705FF"/>
    <w:rsid w:val="00A76525"/>
    <w:rsid w:val="00AB33DD"/>
    <w:rsid w:val="00AB5526"/>
    <w:rsid w:val="00AB5E90"/>
    <w:rsid w:val="00AD792F"/>
    <w:rsid w:val="00AE12A7"/>
    <w:rsid w:val="00AE4ABC"/>
    <w:rsid w:val="00AF42D4"/>
    <w:rsid w:val="00B303C0"/>
    <w:rsid w:val="00B35DE1"/>
    <w:rsid w:val="00B56C03"/>
    <w:rsid w:val="00B7197E"/>
    <w:rsid w:val="00B865BD"/>
    <w:rsid w:val="00BE0835"/>
    <w:rsid w:val="00C06453"/>
    <w:rsid w:val="00C47EA0"/>
    <w:rsid w:val="00C67C91"/>
    <w:rsid w:val="00C740E1"/>
    <w:rsid w:val="00CA01B6"/>
    <w:rsid w:val="00CB7174"/>
    <w:rsid w:val="00CE1E6A"/>
    <w:rsid w:val="00CF36A8"/>
    <w:rsid w:val="00CF7ACB"/>
    <w:rsid w:val="00D00B81"/>
    <w:rsid w:val="00D456B5"/>
    <w:rsid w:val="00D74ADD"/>
    <w:rsid w:val="00D81506"/>
    <w:rsid w:val="00DE1D58"/>
    <w:rsid w:val="00DE3BFD"/>
    <w:rsid w:val="00DF349F"/>
    <w:rsid w:val="00E178E3"/>
    <w:rsid w:val="00E518D1"/>
    <w:rsid w:val="00E51CE6"/>
    <w:rsid w:val="00E77FA0"/>
    <w:rsid w:val="00E842BB"/>
    <w:rsid w:val="00E90DD5"/>
    <w:rsid w:val="00EA37E6"/>
    <w:rsid w:val="00EE6ED2"/>
    <w:rsid w:val="00EF33B1"/>
    <w:rsid w:val="00F13321"/>
    <w:rsid w:val="00F37DF3"/>
    <w:rsid w:val="00F52800"/>
    <w:rsid w:val="00F603F8"/>
    <w:rsid w:val="00F64EE0"/>
    <w:rsid w:val="00F87E57"/>
    <w:rsid w:val="00FA076B"/>
    <w:rsid w:val="00FA62F5"/>
    <w:rsid w:val="00FA7B79"/>
    <w:rsid w:val="00FB0EED"/>
    <w:rsid w:val="00FB3670"/>
    <w:rsid w:val="00FF10A0"/>
    <w:rsid w:val="102A6E93"/>
    <w:rsid w:val="11164400"/>
    <w:rsid w:val="13620F55"/>
    <w:rsid w:val="1CA24E92"/>
    <w:rsid w:val="28E9427E"/>
    <w:rsid w:val="2C47749E"/>
    <w:rsid w:val="2EA9AAEF"/>
    <w:rsid w:val="32CD211E"/>
    <w:rsid w:val="366FF54C"/>
    <w:rsid w:val="3D3CA4AF"/>
    <w:rsid w:val="3E72D386"/>
    <w:rsid w:val="3FB391AC"/>
    <w:rsid w:val="4670A696"/>
    <w:rsid w:val="5BE702B3"/>
    <w:rsid w:val="5D82D314"/>
    <w:rsid w:val="5F3A00B1"/>
    <w:rsid w:val="640FCA63"/>
    <w:rsid w:val="671E33FD"/>
    <w:rsid w:val="6A036637"/>
    <w:rsid w:val="6B9F3698"/>
    <w:rsid w:val="6F39CC18"/>
    <w:rsid w:val="718BF04C"/>
    <w:rsid w:val="7DD27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A16FB5"/>
  <w15:chartTrackingRefBased/>
  <w15:docId w15:val="{FB813FEA-32AB-4FB6-B78B-C305AC05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paragraph" w:styleId="HTMLPreformatted">
    <w:name w:val="HTML Preformatted"/>
    <w:basedOn w:val="Normal"/>
    <w:link w:val="HTMLPreformattedChar"/>
    <w:uiPriority w:val="99"/>
    <w:unhideWhenUsed/>
    <w:rsid w:val="0025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4304"/>
    <w:rPr>
      <w:rFonts w:ascii="Courier New" w:hAnsi="Courier New" w:cs="Courier New"/>
    </w:rPr>
  </w:style>
  <w:style w:type="paragraph" w:customStyle="1" w:styleId="xmsonormal">
    <w:name w:val="x_msonormal"/>
    <w:basedOn w:val="Normal"/>
    <w:rsid w:val="002543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88ac32-33d1-4efc-b131-5aec47c92a5b">
      <UserInfo>
        <DisplayName>King, Moriah</DisplayName>
        <AccountId>1305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E09102F5-41E3-4E3C-A45C-2C346F87D0DA}">
  <ds:schemaRefs>
    <ds:schemaRef ds:uri="df88ac32-33d1-4efc-b131-5aec47c92a5b"/>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2011ee46-da43-4a55-9734-10700f5be09a"/>
    <ds:schemaRef ds:uri="http://purl.org/dc/terms/"/>
  </ds:schemaRefs>
</ds:datastoreItem>
</file>

<file path=customXml/itemProps3.xml><?xml version="1.0" encoding="utf-8"?>
<ds:datastoreItem xmlns:ds="http://schemas.openxmlformats.org/officeDocument/2006/customXml" ds:itemID="{0041F883-23FF-42F5-9468-FE295BD4C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11483</Characters>
  <Application>Microsoft Office Word</Application>
  <DocSecurity>0</DocSecurity>
  <Lines>95</Lines>
  <Paragraphs>26</Paragraphs>
  <ScaleCrop>false</ScaleCrop>
  <Company>Corporation for National and Community Service</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keywords>OMB</cp:keywords>
  <cp:lastModifiedBy>Borgstrom, Amy</cp:lastModifiedBy>
  <cp:revision>2</cp:revision>
  <cp:lastPrinted>2006-03-09T20:43:00Z</cp:lastPrinted>
  <dcterms:created xsi:type="dcterms:W3CDTF">2023-07-13T12:28:00Z</dcterms:created>
  <dcterms:modified xsi:type="dcterms:W3CDTF">2023-07-13T12:28:00Z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mplianceAssetId">
    <vt:lpwstr/>
  </property>
  <property fmtid="{D5CDD505-2E9C-101B-9397-08002B2CF9AE}" pid="5" name="ContentType">
    <vt:lpwstr>Document</vt:lpwstr>
  </property>
  <property fmtid="{D5CDD505-2E9C-101B-9397-08002B2CF9AE}" pid="6" name="ContentTypeId">
    <vt:lpwstr>0x01010010821FFAF1487F4FB20C884C690B5D10</vt:lpwstr>
  </property>
  <property fmtid="{D5CDD505-2E9C-101B-9397-08002B2CF9AE}" pid="7" name="display_urn:schemas-microsoft-com:office:office#Author">
    <vt:lpwstr>Borgstrom, Amy</vt:lpwstr>
  </property>
  <property fmtid="{D5CDD505-2E9C-101B-9397-08002B2CF9AE}" pid="8" name="display_urn:schemas-microsoft-com:office:office#Editor">
    <vt:lpwstr>Borgstrom, Amy</vt:lpwstr>
  </property>
  <property fmtid="{D5CDD505-2E9C-101B-9397-08002B2CF9AE}" pid="9" name="display_urn:schemas-microsoft-com:office:office#SharedWithUsers">
    <vt:lpwstr>King, Moriah</vt:lpwstr>
  </property>
  <property fmtid="{D5CDD505-2E9C-101B-9397-08002B2CF9AE}" pid="10" name="FileLeafRef">
    <vt:lpwstr>Sample Justification.doc</vt:lpwstr>
  </property>
  <property fmtid="{D5CDD505-2E9C-101B-9397-08002B2CF9AE}" pid="11" name="Sensitivity_Level">
    <vt:lpwstr/>
  </property>
  <property fmtid="{D5CDD505-2E9C-101B-9397-08002B2CF9AE}" pid="12" name="SharedWithUsers">
    <vt:lpwstr>1305;#King, Moriah</vt:lpwstr>
  </property>
  <property fmtid="{D5CDD505-2E9C-101B-9397-08002B2CF9AE}" pid="13" name="TaxKeyword">
    <vt:lpwstr>25;#OMB|04ce8ce4-fc8e-4995-9967-59c5db76beaf</vt:lpwstr>
  </property>
  <property fmtid="{D5CDD505-2E9C-101B-9397-08002B2CF9AE}" pid="14" name="TemplateUrl">
    <vt:lpwstr/>
  </property>
  <property fmtid="{D5CDD505-2E9C-101B-9397-08002B2CF9AE}" pid="15" name="xd_ProgID">
    <vt:lpwstr/>
  </property>
  <property fmtid="{D5CDD505-2E9C-101B-9397-08002B2CF9AE}" pid="16" name="xd_Signature">
    <vt:lpwstr/>
  </property>
  <property fmtid="{D5CDD505-2E9C-101B-9397-08002B2CF9AE}" pid="17" name="_dlc_DocId">
    <vt:lpwstr>VWMP5RR7HZ5Z-257178891-34896</vt:lpwstr>
  </property>
  <property fmtid="{D5CDD505-2E9C-101B-9397-08002B2CF9AE}" pid="18" name="_dlc_DocIdItemGuid">
    <vt:lpwstr>923b9f4d-9c22-47bc-a3d6-157c70ea1896</vt:lpwstr>
  </property>
  <property fmtid="{D5CDD505-2E9C-101B-9397-08002B2CF9AE}" pid="19" name="_dlc_DocIdPersistId">
    <vt:lpwstr/>
  </property>
  <property fmtid="{D5CDD505-2E9C-101B-9397-08002B2CF9AE}" pid="20" name="_dlc_DocIdUrl">
    <vt:lpwstr>https://cnsgov.sharepoint.com/sites/COO/Internal%20Site/_layouts/15/DocIdRedir.aspx?ID=VWMP5RR7HZ5Z-257178891-34896, VWMP5RR7HZ5Z-257178891-34896</vt:lpwstr>
  </property>
  <property fmtid="{D5CDD505-2E9C-101B-9397-08002B2CF9AE}" pid="21" name="_ip_UnifiedCompliancePolicyProperties">
    <vt:lpwstr/>
  </property>
  <property fmtid="{D5CDD505-2E9C-101B-9397-08002B2CF9AE}" pid="22" name="_ip_UnifiedCompliancePolicyUIAction">
    <vt:lpwstr/>
  </property>
</Properties>
</file>