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BE5" w:rsidRPr="00915869" w:rsidP="00C01BE5" w14:paraId="515EC8BE" w14:textId="77777777">
      <w:pPr>
        <w:jc w:val="center"/>
        <w:rPr>
          <w:b/>
          <w:bCs/>
        </w:rPr>
      </w:pPr>
      <w:r w:rsidRPr="315E2978">
        <w:rPr>
          <w:b/>
          <w:bCs/>
        </w:rPr>
        <w:t>Corporation for National and Community Service (AmeriCorps)</w:t>
      </w:r>
    </w:p>
    <w:p w:rsidR="00C01BE5" w:rsidRPr="00915869" w:rsidP="00C01BE5" w14:paraId="3C48134A" w14:textId="61931081">
      <w:pPr>
        <w:jc w:val="center"/>
        <w:rPr>
          <w:b/>
          <w:bCs/>
        </w:rPr>
      </w:pPr>
      <w:r>
        <w:rPr>
          <w:b/>
          <w:bCs/>
        </w:rPr>
        <w:t>Education Award Transfer Forms</w:t>
      </w:r>
    </w:p>
    <w:p w:rsidR="00C01BE5" w:rsidP="00C01BE5" w14:paraId="3418D7CC" w14:textId="6630B03D">
      <w:pPr>
        <w:jc w:val="center"/>
        <w:rPr>
          <w:b/>
          <w:bCs/>
        </w:rPr>
      </w:pPr>
      <w:r w:rsidRPr="315E2978">
        <w:rPr>
          <w:b/>
          <w:bCs/>
        </w:rPr>
        <w:t>OMB Control Number 3045-01</w:t>
      </w:r>
      <w:r w:rsidR="00195DE0">
        <w:rPr>
          <w:b/>
          <w:bCs/>
        </w:rPr>
        <w:t>36</w:t>
      </w:r>
    </w:p>
    <w:p w:rsidR="00C01BE5" w:rsidRPr="00915869" w:rsidP="00C01BE5" w14:paraId="381B85C0" w14:textId="77777777">
      <w:pPr>
        <w:jc w:val="center"/>
        <w:rPr>
          <w:szCs w:val="22"/>
        </w:rPr>
      </w:pPr>
      <w:r w:rsidRPr="00915869">
        <w:rPr>
          <w:szCs w:val="22"/>
        </w:rPr>
        <w:t xml:space="preserve">Justification – Part A Supporting Statement </w:t>
      </w:r>
    </w:p>
    <w:p w:rsidR="000576E9" w:rsidRPr="00EA37E6" w:rsidP="001C4327" w14:paraId="7C297812" w14:textId="77777777">
      <w:pPr>
        <w:jc w:val="center"/>
        <w:rPr>
          <w:rFonts w:ascii="Arial Narrow" w:hAnsi="Arial Narrow"/>
          <w:sz w:val="16"/>
          <w:szCs w:val="16"/>
        </w:rPr>
      </w:pPr>
      <w:r w:rsidRPr="00EA37E6">
        <w:rPr>
          <w:b/>
          <w:bCs/>
          <w:sz w:val="32"/>
          <w:szCs w:val="32"/>
        </w:rPr>
        <w:t> </w:t>
      </w:r>
    </w:p>
    <w:p w:rsidR="00FE3113" w:rsidP="00B2798B" w14:paraId="76EBFD18" w14:textId="243E2D01">
      <w:pPr>
        <w:autoSpaceDE w:val="0"/>
        <w:autoSpaceDN w:val="0"/>
        <w:adjustRightInd w:val="0"/>
        <w:ind w:firstLine="720"/>
        <w:rPr>
          <w:bCs/>
          <w:kern w:val="36"/>
        </w:rPr>
      </w:pPr>
      <w:r w:rsidRPr="00FE3113">
        <w:rPr>
          <w:bCs/>
          <w:kern w:val="36"/>
        </w:rPr>
        <w:t xml:space="preserve">The </w:t>
      </w:r>
      <w:r w:rsidR="007521C9">
        <w:rPr>
          <w:bCs/>
          <w:kern w:val="36"/>
        </w:rPr>
        <w:t xml:space="preserve">National and Community Service Act as amended by the </w:t>
      </w:r>
      <w:r w:rsidRPr="00FE3113">
        <w:rPr>
          <w:bCs/>
          <w:kern w:val="36"/>
        </w:rPr>
        <w:t xml:space="preserve">Edward M Kennedy Serve America Act, </w:t>
      </w:r>
      <w:r w:rsidR="007521C9">
        <w:rPr>
          <w:bCs/>
          <w:kern w:val="36"/>
        </w:rPr>
        <w:t xml:space="preserve">25 U.S.C. </w:t>
      </w:r>
      <w:r w:rsidR="004B1BBA">
        <w:rPr>
          <w:bCs/>
          <w:kern w:val="36"/>
        </w:rPr>
        <w:t xml:space="preserve">12501 </w:t>
      </w:r>
      <w:r w:rsidR="004B1BBA">
        <w:rPr>
          <w:bCs/>
          <w:i/>
          <w:iCs/>
          <w:kern w:val="36"/>
        </w:rPr>
        <w:t>et seq.</w:t>
      </w:r>
      <w:r w:rsidR="00813A61">
        <w:rPr>
          <w:bCs/>
          <w:i/>
          <w:iCs/>
          <w:kern w:val="36"/>
        </w:rPr>
        <w:t>,</w:t>
      </w:r>
      <w:r w:rsidR="00B110EF">
        <w:rPr>
          <w:bCs/>
          <w:i/>
          <w:iCs/>
          <w:kern w:val="36"/>
        </w:rPr>
        <w:t xml:space="preserve"> </w:t>
      </w:r>
      <w:r w:rsidR="00B110EF">
        <w:rPr>
          <w:bCs/>
          <w:kern w:val="36"/>
        </w:rPr>
        <w:t>(NCSA)</w:t>
      </w:r>
      <w:r w:rsidR="00813A61">
        <w:rPr>
          <w:bCs/>
          <w:i/>
          <w:iCs/>
          <w:kern w:val="36"/>
        </w:rPr>
        <w:t xml:space="preserve"> </w:t>
      </w:r>
      <w:r w:rsidR="00813A61">
        <w:rPr>
          <w:bCs/>
          <w:kern w:val="36"/>
        </w:rPr>
        <w:t xml:space="preserve">establishes the </w:t>
      </w:r>
      <w:r w:rsidRPr="00390139" w:rsidR="00390139">
        <w:rPr>
          <w:bCs/>
          <w:kern w:val="36"/>
        </w:rPr>
        <w:t>National Service Trust</w:t>
      </w:r>
      <w:r w:rsidR="00390139">
        <w:rPr>
          <w:bCs/>
          <w:kern w:val="36"/>
        </w:rPr>
        <w:t>, which</w:t>
      </w:r>
      <w:r w:rsidRPr="00390139" w:rsidR="00390139">
        <w:rPr>
          <w:bCs/>
          <w:kern w:val="36"/>
        </w:rPr>
        <w:t xml:space="preserve"> is an account from which AmeriCorps pays education awards to eligible AmeriCorps participants</w:t>
      </w:r>
      <w:r w:rsidR="005D4B51">
        <w:rPr>
          <w:bCs/>
          <w:kern w:val="36"/>
        </w:rPr>
        <w:t xml:space="preserve"> (i.e., members)</w:t>
      </w:r>
      <w:r w:rsidRPr="00390139" w:rsidR="00390139">
        <w:rPr>
          <w:bCs/>
          <w:kern w:val="36"/>
        </w:rPr>
        <w:t xml:space="preserve"> and interest on qualified student loans for AmeriCorps </w:t>
      </w:r>
      <w:r w:rsidR="005D4B51">
        <w:rPr>
          <w:bCs/>
          <w:kern w:val="36"/>
        </w:rPr>
        <w:t>members</w:t>
      </w:r>
      <w:r w:rsidRPr="00390139" w:rsidR="00390139">
        <w:rPr>
          <w:bCs/>
          <w:kern w:val="36"/>
        </w:rPr>
        <w:t xml:space="preserve"> during their terms of service in approved national service positions. </w:t>
      </w:r>
      <w:r w:rsidR="00B110EF">
        <w:rPr>
          <w:bCs/>
          <w:kern w:val="36"/>
        </w:rPr>
        <w:t>The NCSA</w:t>
      </w:r>
      <w:r w:rsidRPr="00FE3113">
        <w:rPr>
          <w:bCs/>
          <w:kern w:val="36"/>
        </w:rPr>
        <w:t xml:space="preserve"> authorizes AmeriCorps members to transfer all or part of an education award, with limitations on who can transfer the award and who can receive the transferred award.  This information collection </w:t>
      </w:r>
      <w:r w:rsidR="00DF31EB">
        <w:rPr>
          <w:bCs/>
          <w:kern w:val="36"/>
        </w:rPr>
        <w:t xml:space="preserve">is associated with a rulemaking and </w:t>
      </w:r>
      <w:r w:rsidRPr="00FE3113">
        <w:rPr>
          <w:bCs/>
          <w:kern w:val="36"/>
        </w:rPr>
        <w:t>implements provisions of 42 U</w:t>
      </w:r>
      <w:r w:rsidR="00D03842">
        <w:rPr>
          <w:bCs/>
          <w:kern w:val="36"/>
        </w:rPr>
        <w:t>.</w:t>
      </w:r>
      <w:r w:rsidRPr="00FE3113">
        <w:rPr>
          <w:bCs/>
          <w:kern w:val="36"/>
        </w:rPr>
        <w:t>S</w:t>
      </w:r>
      <w:r w:rsidR="00D03842">
        <w:rPr>
          <w:bCs/>
          <w:kern w:val="36"/>
        </w:rPr>
        <w:t>.</w:t>
      </w:r>
      <w:r w:rsidRPr="00FE3113">
        <w:rPr>
          <w:bCs/>
          <w:kern w:val="36"/>
        </w:rPr>
        <w:t>C</w:t>
      </w:r>
      <w:r w:rsidR="00D03842">
        <w:rPr>
          <w:bCs/>
          <w:kern w:val="36"/>
        </w:rPr>
        <w:t>.</w:t>
      </w:r>
      <w:r w:rsidRPr="00FE3113">
        <w:rPr>
          <w:bCs/>
          <w:kern w:val="36"/>
        </w:rPr>
        <w:t xml:space="preserve"> 12604(f) concerning award transfers.</w:t>
      </w:r>
    </w:p>
    <w:p w:rsidR="003E3526" w:rsidP="003E3526" w14:paraId="51B1D714" w14:textId="1532A62B">
      <w:pPr>
        <w:pStyle w:val="ListParagraph"/>
        <w:numPr>
          <w:ilvl w:val="0"/>
          <w:numId w:val="3"/>
        </w:numPr>
        <w:autoSpaceDE w:val="0"/>
        <w:autoSpaceDN w:val="0"/>
        <w:adjustRightInd w:val="0"/>
        <w:rPr>
          <w:bCs/>
          <w:kern w:val="36"/>
        </w:rPr>
      </w:pPr>
      <w:r>
        <w:rPr>
          <w:bCs/>
          <w:kern w:val="36"/>
        </w:rPr>
        <w:t xml:space="preserve">This is a Revision to an Existing Collection. The currently approved information collection is due to expire on </w:t>
      </w:r>
      <w:r w:rsidR="00A35852">
        <w:rPr>
          <w:bCs/>
          <w:kern w:val="36"/>
        </w:rPr>
        <w:t>1/31/2024.</w:t>
      </w:r>
    </w:p>
    <w:p w:rsidR="00787B41" w:rsidP="008D2EAC" w14:paraId="786A41BF" w14:textId="4DA99CE3">
      <w:pPr>
        <w:pStyle w:val="ListParagraph"/>
        <w:numPr>
          <w:ilvl w:val="0"/>
          <w:numId w:val="3"/>
        </w:numPr>
        <w:autoSpaceDE w:val="0"/>
        <w:autoSpaceDN w:val="0"/>
        <w:adjustRightInd w:val="0"/>
        <w:rPr>
          <w:bCs/>
          <w:kern w:val="36"/>
        </w:rPr>
      </w:pPr>
      <w:r>
        <w:rPr>
          <w:bCs/>
          <w:kern w:val="36"/>
        </w:rPr>
        <w:t>The forms used for this information collection are</w:t>
      </w:r>
      <w:r w:rsidR="00E26789">
        <w:rPr>
          <w:bCs/>
          <w:kern w:val="36"/>
        </w:rPr>
        <w:t xml:space="preserve"> the following, but only the first two are affected by the changing regulation</w:t>
      </w:r>
      <w:r>
        <w:rPr>
          <w:bCs/>
          <w:kern w:val="36"/>
        </w:rPr>
        <w:t>:</w:t>
      </w:r>
      <w:r>
        <w:rPr>
          <w:bCs/>
          <w:kern w:val="36"/>
        </w:rPr>
        <w:t xml:space="preserve"> </w:t>
      </w:r>
      <w:r w:rsidR="00D939EC">
        <w:rPr>
          <w:bCs/>
          <w:kern w:val="36"/>
        </w:rPr>
        <w:t xml:space="preserve"> </w:t>
      </w:r>
    </w:p>
    <w:p w:rsidR="00787B41" w:rsidP="00787B41" w14:paraId="22186C42" w14:textId="77777777">
      <w:pPr>
        <w:pStyle w:val="ListParagraph"/>
        <w:numPr>
          <w:ilvl w:val="1"/>
          <w:numId w:val="3"/>
        </w:numPr>
        <w:autoSpaceDE w:val="0"/>
        <w:autoSpaceDN w:val="0"/>
        <w:adjustRightInd w:val="0"/>
        <w:rPr>
          <w:bCs/>
          <w:kern w:val="36"/>
        </w:rPr>
      </w:pPr>
      <w:r>
        <w:rPr>
          <w:bCs/>
          <w:kern w:val="36"/>
        </w:rPr>
        <w:t xml:space="preserve">Transfer Application Form, </w:t>
      </w:r>
    </w:p>
    <w:p w:rsidR="00787B41" w:rsidP="00787B41" w14:paraId="3146510B" w14:textId="77777777">
      <w:pPr>
        <w:pStyle w:val="ListParagraph"/>
        <w:numPr>
          <w:ilvl w:val="1"/>
          <w:numId w:val="3"/>
        </w:numPr>
        <w:autoSpaceDE w:val="0"/>
        <w:autoSpaceDN w:val="0"/>
        <w:adjustRightInd w:val="0"/>
        <w:rPr>
          <w:bCs/>
          <w:kern w:val="36"/>
        </w:rPr>
      </w:pPr>
      <w:r>
        <w:rPr>
          <w:bCs/>
          <w:kern w:val="36"/>
        </w:rPr>
        <w:t xml:space="preserve">Award Transfer Acceptance Form, </w:t>
      </w:r>
    </w:p>
    <w:p w:rsidR="00787B41" w:rsidP="00787B41" w14:paraId="1B3A2E5D" w14:textId="77777777">
      <w:pPr>
        <w:pStyle w:val="ListParagraph"/>
        <w:numPr>
          <w:ilvl w:val="1"/>
          <w:numId w:val="3"/>
        </w:numPr>
        <w:autoSpaceDE w:val="0"/>
        <w:autoSpaceDN w:val="0"/>
        <w:adjustRightInd w:val="0"/>
        <w:rPr>
          <w:bCs/>
          <w:kern w:val="36"/>
        </w:rPr>
      </w:pPr>
      <w:r>
        <w:rPr>
          <w:bCs/>
          <w:kern w:val="36"/>
        </w:rPr>
        <w:t xml:space="preserve">Award Transfer Rescind Form, and </w:t>
      </w:r>
    </w:p>
    <w:p w:rsidR="00A54952" w:rsidP="00787B41" w14:paraId="40F16278" w14:textId="7EF48F19">
      <w:pPr>
        <w:pStyle w:val="ListParagraph"/>
        <w:numPr>
          <w:ilvl w:val="1"/>
          <w:numId w:val="3"/>
        </w:numPr>
        <w:autoSpaceDE w:val="0"/>
        <w:autoSpaceDN w:val="0"/>
        <w:adjustRightInd w:val="0"/>
        <w:rPr>
          <w:bCs/>
          <w:kern w:val="36"/>
        </w:rPr>
      </w:pPr>
      <w:r>
        <w:rPr>
          <w:bCs/>
          <w:kern w:val="36"/>
        </w:rPr>
        <w:t xml:space="preserve">Award Transfer Revoke Form.  </w:t>
      </w:r>
    </w:p>
    <w:p w:rsidR="004D11E2" w:rsidP="008D2EAC" w14:paraId="31C8430A" w14:textId="11B11626">
      <w:pPr>
        <w:pStyle w:val="ListParagraph"/>
        <w:numPr>
          <w:ilvl w:val="0"/>
          <w:numId w:val="3"/>
        </w:numPr>
        <w:autoSpaceDE w:val="0"/>
        <w:autoSpaceDN w:val="0"/>
        <w:adjustRightInd w:val="0"/>
        <w:rPr>
          <w:bCs/>
          <w:kern w:val="36"/>
        </w:rPr>
      </w:pPr>
      <w:r>
        <w:rPr>
          <w:bCs/>
          <w:kern w:val="36"/>
        </w:rPr>
        <w:t xml:space="preserve">Changes to the forms are: </w:t>
      </w:r>
    </w:p>
    <w:p w:rsidR="00CD771B" w:rsidP="004D11E2" w14:paraId="769C0102" w14:textId="77777777">
      <w:pPr>
        <w:pStyle w:val="ListParagraph"/>
        <w:numPr>
          <w:ilvl w:val="1"/>
          <w:numId w:val="3"/>
        </w:numPr>
        <w:autoSpaceDE w:val="0"/>
        <w:autoSpaceDN w:val="0"/>
        <w:adjustRightInd w:val="0"/>
        <w:rPr>
          <w:bCs/>
          <w:kern w:val="36"/>
        </w:rPr>
      </w:pPr>
      <w:r>
        <w:rPr>
          <w:bCs/>
          <w:kern w:val="36"/>
        </w:rPr>
        <w:t xml:space="preserve">Transfer Application Form: </w:t>
      </w:r>
    </w:p>
    <w:p w:rsidR="00CD771B" w:rsidP="00CD771B" w14:paraId="64C4C6A5" w14:textId="188153E3">
      <w:pPr>
        <w:pStyle w:val="ListParagraph"/>
        <w:numPr>
          <w:ilvl w:val="2"/>
          <w:numId w:val="3"/>
        </w:numPr>
        <w:autoSpaceDE w:val="0"/>
        <w:autoSpaceDN w:val="0"/>
        <w:adjustRightInd w:val="0"/>
        <w:rPr>
          <w:bCs/>
          <w:kern w:val="36"/>
        </w:rPr>
      </w:pPr>
      <w:r>
        <w:rPr>
          <w:bCs/>
          <w:kern w:val="36"/>
        </w:rPr>
        <w:t>State</w:t>
      </w:r>
      <w:r w:rsidRPr="004D2933" w:rsidR="004D2933">
        <w:rPr>
          <w:bCs/>
          <w:kern w:val="36"/>
        </w:rPr>
        <w:t xml:space="preserve"> that an award may be transferred to no more than two individuals</w:t>
      </w:r>
      <w:r>
        <w:rPr>
          <w:bCs/>
          <w:kern w:val="36"/>
        </w:rPr>
        <w:t xml:space="preserve"> - </w:t>
      </w:r>
      <w:r w:rsidR="00757C28">
        <w:rPr>
          <w:bCs/>
          <w:kern w:val="36"/>
        </w:rPr>
        <w:t>this is a result of changing regulations</w:t>
      </w:r>
      <w:r w:rsidR="004A2A71">
        <w:rPr>
          <w:bCs/>
          <w:kern w:val="36"/>
        </w:rPr>
        <w:t>, as the current regulations allow the transfer to only one individual</w:t>
      </w:r>
      <w:r w:rsidRPr="004D2933" w:rsidR="004D2933">
        <w:rPr>
          <w:bCs/>
          <w:kern w:val="36"/>
        </w:rPr>
        <w:t>,</w:t>
      </w:r>
    </w:p>
    <w:p w:rsidR="00CD771B" w:rsidP="00CD771B" w14:paraId="6E556755" w14:textId="77777777">
      <w:pPr>
        <w:pStyle w:val="ListParagraph"/>
        <w:numPr>
          <w:ilvl w:val="2"/>
          <w:numId w:val="3"/>
        </w:numPr>
        <w:autoSpaceDE w:val="0"/>
        <w:autoSpaceDN w:val="0"/>
        <w:adjustRightInd w:val="0"/>
        <w:rPr>
          <w:bCs/>
          <w:kern w:val="36"/>
        </w:rPr>
      </w:pPr>
      <w:r>
        <w:rPr>
          <w:bCs/>
          <w:kern w:val="36"/>
        </w:rPr>
        <w:t>State that</w:t>
      </w:r>
      <w:r w:rsidRPr="004D2933" w:rsidR="004D2933">
        <w:rPr>
          <w:bCs/>
          <w:kern w:val="36"/>
        </w:rPr>
        <w:t xml:space="preserve"> a transfer may be declined in part or in full or revoked in part or in full</w:t>
      </w:r>
      <w:r w:rsidR="004A2A71">
        <w:rPr>
          <w:bCs/>
          <w:kern w:val="36"/>
        </w:rPr>
        <w:t xml:space="preserve"> </w:t>
      </w:r>
      <w:r>
        <w:rPr>
          <w:bCs/>
          <w:kern w:val="36"/>
        </w:rPr>
        <w:t xml:space="preserve">- </w:t>
      </w:r>
      <w:r w:rsidR="004A2A71">
        <w:rPr>
          <w:bCs/>
          <w:kern w:val="36"/>
        </w:rPr>
        <w:t xml:space="preserve">this is also the result of changing regulations, which allow </w:t>
      </w:r>
      <w:r w:rsidR="000C0E45">
        <w:rPr>
          <w:bCs/>
          <w:kern w:val="36"/>
        </w:rPr>
        <w:t>part of an education award to be rejected</w:t>
      </w:r>
      <w:r w:rsidRPr="004D2933" w:rsidR="004D2933">
        <w:rPr>
          <w:bCs/>
          <w:kern w:val="36"/>
        </w:rPr>
        <w:t xml:space="preserve">, and </w:t>
      </w:r>
    </w:p>
    <w:p w:rsidR="004D11E2" w:rsidP="00CD771B" w14:paraId="43C533E7" w14:textId="7ABD0EED">
      <w:pPr>
        <w:pStyle w:val="ListParagraph"/>
        <w:numPr>
          <w:ilvl w:val="2"/>
          <w:numId w:val="3"/>
        </w:numPr>
        <w:autoSpaceDE w:val="0"/>
        <w:autoSpaceDN w:val="0"/>
        <w:adjustRightInd w:val="0"/>
        <w:rPr>
          <w:bCs/>
          <w:kern w:val="36"/>
        </w:rPr>
      </w:pPr>
      <w:r>
        <w:rPr>
          <w:bCs/>
          <w:kern w:val="36"/>
        </w:rPr>
        <w:t>D</w:t>
      </w:r>
      <w:r w:rsidRPr="004D2933" w:rsidR="004D2933">
        <w:rPr>
          <w:bCs/>
          <w:kern w:val="36"/>
        </w:rPr>
        <w:t>elete the portion of the form requiring request of a waiver to re-transfer</w:t>
      </w:r>
      <w:r>
        <w:rPr>
          <w:bCs/>
          <w:kern w:val="36"/>
        </w:rPr>
        <w:t xml:space="preserve"> </w:t>
      </w:r>
      <w:r w:rsidR="00B67617">
        <w:rPr>
          <w:bCs/>
          <w:kern w:val="36"/>
        </w:rPr>
        <w:t>–</w:t>
      </w:r>
      <w:r>
        <w:rPr>
          <w:bCs/>
          <w:kern w:val="36"/>
        </w:rPr>
        <w:t xml:space="preserve"> </w:t>
      </w:r>
      <w:r w:rsidR="00B67617">
        <w:rPr>
          <w:bCs/>
          <w:kern w:val="36"/>
        </w:rPr>
        <w:t>changing regulations eliminate the need for a waiver to re-transfer</w:t>
      </w:r>
      <w:r w:rsidRPr="004D2933" w:rsidR="004D2933">
        <w:rPr>
          <w:bCs/>
          <w:kern w:val="36"/>
        </w:rPr>
        <w:t xml:space="preserve">. </w:t>
      </w:r>
    </w:p>
    <w:p w:rsidR="002028DA" w:rsidP="00CD771B" w14:paraId="1DC7FCEC" w14:textId="14585984">
      <w:pPr>
        <w:pStyle w:val="ListParagraph"/>
        <w:numPr>
          <w:ilvl w:val="2"/>
          <w:numId w:val="3"/>
        </w:numPr>
        <w:autoSpaceDE w:val="0"/>
        <w:autoSpaceDN w:val="0"/>
        <w:adjustRightInd w:val="0"/>
        <w:rPr>
          <w:bCs/>
          <w:kern w:val="36"/>
        </w:rPr>
      </w:pPr>
      <w:r>
        <w:rPr>
          <w:bCs/>
          <w:kern w:val="36"/>
        </w:rPr>
        <w:t>Removal of a</w:t>
      </w:r>
      <w:r w:rsidR="00115D37">
        <w:rPr>
          <w:bCs/>
          <w:kern w:val="36"/>
        </w:rPr>
        <w:t xml:space="preserve"> provision relating to </w:t>
      </w:r>
      <w:r w:rsidR="004F7ED3">
        <w:rPr>
          <w:bCs/>
          <w:kern w:val="36"/>
        </w:rPr>
        <w:t xml:space="preserve">individuals </w:t>
      </w:r>
      <w:r w:rsidR="00023833">
        <w:rPr>
          <w:bCs/>
          <w:kern w:val="36"/>
        </w:rPr>
        <w:t xml:space="preserve">who began service </w:t>
      </w:r>
      <w:r w:rsidR="00C77A72">
        <w:rPr>
          <w:bCs/>
          <w:kern w:val="36"/>
        </w:rPr>
        <w:t>after</w:t>
      </w:r>
      <w:r w:rsidR="00023833">
        <w:rPr>
          <w:bCs/>
          <w:kern w:val="36"/>
        </w:rPr>
        <w:t xml:space="preserve"> </w:t>
      </w:r>
      <w:r w:rsidR="00115D37">
        <w:rPr>
          <w:bCs/>
          <w:kern w:val="36"/>
        </w:rPr>
        <w:t xml:space="preserve">2009 </w:t>
      </w:r>
      <w:r w:rsidR="00CB7400">
        <w:rPr>
          <w:bCs/>
          <w:kern w:val="36"/>
        </w:rPr>
        <w:t>–</w:t>
      </w:r>
      <w:r w:rsidR="00115D37">
        <w:rPr>
          <w:bCs/>
          <w:kern w:val="36"/>
        </w:rPr>
        <w:t xml:space="preserve"> no longer needed. </w:t>
      </w:r>
    </w:p>
    <w:p w:rsidR="00E70003" w:rsidP="004D11E2" w14:paraId="33994926" w14:textId="77777777">
      <w:pPr>
        <w:pStyle w:val="ListParagraph"/>
        <w:numPr>
          <w:ilvl w:val="1"/>
          <w:numId w:val="3"/>
        </w:numPr>
        <w:autoSpaceDE w:val="0"/>
        <w:autoSpaceDN w:val="0"/>
        <w:adjustRightInd w:val="0"/>
        <w:rPr>
          <w:bCs/>
          <w:kern w:val="36"/>
        </w:rPr>
      </w:pPr>
      <w:r>
        <w:rPr>
          <w:bCs/>
          <w:kern w:val="36"/>
        </w:rPr>
        <w:t xml:space="preserve">Award Transfer Acceptance Form:  </w:t>
      </w:r>
    </w:p>
    <w:p w:rsidR="008D2EAC" w:rsidP="00E70003" w14:paraId="2D2C8849" w14:textId="306D18AE">
      <w:pPr>
        <w:pStyle w:val="ListParagraph"/>
        <w:numPr>
          <w:ilvl w:val="2"/>
          <w:numId w:val="3"/>
        </w:numPr>
        <w:autoSpaceDE w:val="0"/>
        <w:autoSpaceDN w:val="0"/>
        <w:adjustRightInd w:val="0"/>
        <w:rPr>
          <w:bCs/>
          <w:kern w:val="36"/>
        </w:rPr>
      </w:pPr>
      <w:r>
        <w:rPr>
          <w:bCs/>
          <w:kern w:val="36"/>
        </w:rPr>
        <w:t>R</w:t>
      </w:r>
      <w:r w:rsidR="00A34937">
        <w:rPr>
          <w:bCs/>
          <w:kern w:val="36"/>
        </w:rPr>
        <w:t xml:space="preserve">evisions to </w:t>
      </w:r>
      <w:r w:rsidRPr="004D2933" w:rsidR="004D2933">
        <w:rPr>
          <w:bCs/>
          <w:kern w:val="36"/>
        </w:rPr>
        <w:t>indicate that step-children and step</w:t>
      </w:r>
      <w:r w:rsidR="00BE37EC">
        <w:rPr>
          <w:bCs/>
          <w:kern w:val="36"/>
        </w:rPr>
        <w:t>-</w:t>
      </w:r>
      <w:r w:rsidR="007E60E3">
        <w:rPr>
          <w:bCs/>
          <w:kern w:val="36"/>
        </w:rPr>
        <w:t>grand</w:t>
      </w:r>
      <w:r w:rsidRPr="004D2933" w:rsidR="004D2933">
        <w:rPr>
          <w:bCs/>
          <w:kern w:val="36"/>
        </w:rPr>
        <w:t>children may accept the transfer of an education award</w:t>
      </w:r>
      <w:r w:rsidR="007E60E3">
        <w:rPr>
          <w:bCs/>
          <w:kern w:val="36"/>
        </w:rPr>
        <w:t xml:space="preserve"> – changing regulations allow step-children and step-grandchildren to accept transferred awards</w:t>
      </w:r>
      <w:r w:rsidRPr="004D2933" w:rsidR="004D2933">
        <w:rPr>
          <w:bCs/>
          <w:kern w:val="36"/>
        </w:rPr>
        <w:t xml:space="preserve">.  </w:t>
      </w:r>
    </w:p>
    <w:p w:rsidR="00A34937" w:rsidP="00A34937" w14:paraId="05BD94CB" w14:textId="61D87EDA">
      <w:pPr>
        <w:pStyle w:val="ListParagraph"/>
        <w:numPr>
          <w:ilvl w:val="0"/>
          <w:numId w:val="3"/>
        </w:numPr>
        <w:autoSpaceDE w:val="0"/>
        <w:autoSpaceDN w:val="0"/>
        <w:adjustRightInd w:val="0"/>
        <w:rPr>
          <w:bCs/>
          <w:kern w:val="36"/>
        </w:rPr>
      </w:pPr>
      <w:r>
        <w:rPr>
          <w:bCs/>
          <w:kern w:val="36"/>
        </w:rPr>
        <w:t xml:space="preserve">No changes to burden estimates </w:t>
      </w:r>
      <w:r w:rsidR="007E5C93">
        <w:rPr>
          <w:bCs/>
          <w:kern w:val="36"/>
        </w:rPr>
        <w:t xml:space="preserve">are occurring. </w:t>
      </w:r>
    </w:p>
    <w:p w:rsidR="001F19B7" w:rsidRPr="008D2EAC" w:rsidP="00A34937" w14:paraId="30537F4E" w14:textId="54AB7635">
      <w:pPr>
        <w:pStyle w:val="ListParagraph"/>
        <w:numPr>
          <w:ilvl w:val="0"/>
          <w:numId w:val="3"/>
        </w:numPr>
        <w:autoSpaceDE w:val="0"/>
        <w:autoSpaceDN w:val="0"/>
        <w:adjustRightInd w:val="0"/>
        <w:rPr>
          <w:bCs/>
          <w:kern w:val="36"/>
        </w:rPr>
      </w:pPr>
      <w:r>
        <w:rPr>
          <w:bCs/>
          <w:kern w:val="36"/>
        </w:rPr>
        <w:t xml:space="preserve">Respondents include </w:t>
      </w:r>
      <w:r w:rsidR="0075414C">
        <w:rPr>
          <w:bCs/>
          <w:kern w:val="36"/>
        </w:rPr>
        <w:t xml:space="preserve">AmeriCorps members who want to transfer </w:t>
      </w:r>
      <w:r w:rsidR="002847FA">
        <w:rPr>
          <w:bCs/>
          <w:kern w:val="36"/>
        </w:rPr>
        <w:t xml:space="preserve">or revoke the transfer of their education awards and </w:t>
      </w:r>
      <w:r w:rsidR="003B3B0A">
        <w:rPr>
          <w:bCs/>
          <w:kern w:val="36"/>
        </w:rPr>
        <w:t xml:space="preserve">transfer recipients who want to accept or rescind acceptance of the transferred education award. </w:t>
      </w:r>
    </w:p>
    <w:p w:rsidR="003E3526" w:rsidRPr="003E3526" w:rsidP="003E3526" w14:paraId="2EFFC165" w14:textId="77777777">
      <w:pPr>
        <w:ind w:firstLine="720"/>
        <w:rPr>
          <w:rFonts w:ascii="Arial Narrow" w:hAnsi="Arial Narrow"/>
        </w:rPr>
      </w:pPr>
    </w:p>
    <w:p w:rsidR="004610CB" w:rsidP="001C4327" w14:paraId="7636C2E2" w14:textId="77777777">
      <w:pPr>
        <w:rPr>
          <w:b/>
          <w:bCs/>
        </w:rPr>
      </w:pPr>
      <w:r>
        <w:rPr>
          <w:b/>
          <w:bCs/>
        </w:rPr>
        <w:t xml:space="preserve">1. Need &amp; Method for the Information Collection  </w:t>
      </w:r>
    </w:p>
    <w:p w:rsidR="00CA2A79" w:rsidP="001C4327" w14:paraId="1AAD3F1F" w14:textId="77777777">
      <w:pPr>
        <w:rPr>
          <w:b/>
          <w:bCs/>
        </w:rPr>
      </w:pPr>
    </w:p>
    <w:p w:rsidR="00CA2A79" w:rsidRPr="00CA2A79" w:rsidP="001C4327" w14:paraId="46706C5D" w14:textId="4A5ED8A8">
      <w:r>
        <w:t xml:space="preserve">This information collection is necessary to identify when AmeriCorps members would like to </w:t>
      </w:r>
      <w:r w:rsidR="004825E1">
        <w:t xml:space="preserve">transfer </w:t>
      </w:r>
      <w:r w:rsidR="002F0A38">
        <w:t xml:space="preserve">or revoke the transfer of </w:t>
      </w:r>
      <w:r w:rsidR="004825E1">
        <w:t>their education awards, determine their eligibility to transfer the awards,</w:t>
      </w:r>
      <w:r w:rsidR="002F0A38">
        <w:t xml:space="preserve"> determine whether the designated recipient is eligible to receive the transferred award and whether the recipient accepts the award </w:t>
      </w:r>
      <w:r w:rsidR="00B649E2">
        <w:t xml:space="preserve">and if they later rescind their acceptance. </w:t>
      </w:r>
      <w:r w:rsidR="004825E1">
        <w:t xml:space="preserve"> </w:t>
      </w:r>
    </w:p>
    <w:p w:rsidR="004610CB" w:rsidP="001C4327" w14:paraId="6A18136E" w14:textId="77777777">
      <w:pPr>
        <w:rPr>
          <w:b/>
          <w:bCs/>
        </w:rPr>
      </w:pPr>
    </w:p>
    <w:p w:rsidR="004610CB" w:rsidP="001C4327" w14:paraId="0F21E2B6" w14:textId="77777777">
      <w:pPr>
        <w:rPr>
          <w:b/>
          <w:bCs/>
        </w:rPr>
      </w:pPr>
      <w:r>
        <w:rPr>
          <w:b/>
          <w:bCs/>
        </w:rPr>
        <w:t>2</w:t>
      </w:r>
      <w:r w:rsidRPr="001C4327" w:rsidR="000576E9">
        <w:rPr>
          <w:b/>
          <w:bCs/>
        </w:rPr>
        <w:t xml:space="preserve">. </w:t>
      </w:r>
      <w:r>
        <w:rPr>
          <w:b/>
          <w:bCs/>
        </w:rPr>
        <w:t xml:space="preserve">Use of the Information </w:t>
      </w:r>
    </w:p>
    <w:p w:rsidR="00395ED5" w:rsidP="001C4327" w14:paraId="568A4CA1"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FE3113" w:rsidRPr="006C7604" w:rsidP="00CA2A79" w14:paraId="12AA9FD9" w14:textId="6847B0EA">
      <w:pPr>
        <w:autoSpaceDE w:val="0"/>
        <w:autoSpaceDN w:val="0"/>
        <w:adjustRightInd w:val="0"/>
      </w:pPr>
      <w:r>
        <w:t>AmeriCorps</w:t>
      </w:r>
      <w:r w:rsidRPr="006C7604">
        <w:t xml:space="preserve"> </w:t>
      </w:r>
      <w:r>
        <w:t>use</w:t>
      </w:r>
      <w:r>
        <w:t>s</w:t>
      </w:r>
      <w:r>
        <w:t xml:space="preserve"> these forms to verify </w:t>
      </w:r>
      <w:r>
        <w:t>members’</w:t>
      </w:r>
      <w:r>
        <w:t xml:space="preserve"> eligibility to request a transfer </w:t>
      </w:r>
      <w:r w:rsidR="00021C8C">
        <w:t xml:space="preserve">of </w:t>
      </w:r>
      <w:r w:rsidR="005D4B51">
        <w:t xml:space="preserve">an education award </w:t>
      </w:r>
      <w:r>
        <w:t xml:space="preserve">and the eligibility of the person </w:t>
      </w:r>
      <w:r w:rsidR="008E0D8D">
        <w:t xml:space="preserve">designated to </w:t>
      </w:r>
      <w:r>
        <w:t>receiv</w:t>
      </w:r>
      <w:r w:rsidR="008E0D8D">
        <w:t>e</w:t>
      </w:r>
      <w:r>
        <w:t xml:space="preserve"> the transferred award, </w:t>
      </w:r>
      <w:r w:rsidR="00EB41BC">
        <w:t xml:space="preserve">and to determine whether the person designated to receive the award accepts the award. If so, then AmeriCorps uses the information from the Award Transfer Acceptance Form to </w:t>
      </w:r>
      <w:r>
        <w:t>establish a Trust account for the transfer recipient.</w:t>
      </w:r>
      <w:r w:rsidR="00D46240">
        <w:t xml:space="preserve"> AmeriCorps </w:t>
      </w:r>
      <w:r w:rsidR="004A1F56">
        <w:t xml:space="preserve">uses the Award Transfer </w:t>
      </w:r>
      <w:r w:rsidR="00A57E70">
        <w:t>Revoke</w:t>
      </w:r>
      <w:r w:rsidR="004A1F56">
        <w:t xml:space="preserve"> Form and Award Transfer </w:t>
      </w:r>
      <w:r w:rsidR="00A57E70">
        <w:t>Rescind</w:t>
      </w:r>
      <w:r w:rsidR="004A1F56">
        <w:t xml:space="preserve"> Form to carry out </w:t>
      </w:r>
      <w:r w:rsidR="0014463D">
        <w:t xml:space="preserve">members’ </w:t>
      </w:r>
      <w:r w:rsidR="00A57E70">
        <w:t>direction</w:t>
      </w:r>
      <w:r w:rsidR="004E18A6">
        <w:t xml:space="preserve">s in situations where the </w:t>
      </w:r>
      <w:r w:rsidR="003E2E6D">
        <w:t xml:space="preserve">members would like to revoke or rescind transfer of their education award. </w:t>
      </w:r>
      <w:r w:rsidR="00A57E70">
        <w:t xml:space="preserve"> </w:t>
      </w:r>
    </w:p>
    <w:p w:rsidR="000576E9" w:rsidRPr="001C4327" w:rsidP="000576E9" w14:paraId="36C2F5C4" w14:textId="77777777">
      <w:pPr>
        <w:rPr>
          <w:rFonts w:ascii="Arial Narrow" w:hAnsi="Arial Narrow"/>
        </w:rPr>
      </w:pPr>
      <w:r w:rsidRPr="001C4327">
        <w:t> </w:t>
      </w:r>
    </w:p>
    <w:p w:rsidR="000576E9" w:rsidRPr="001C4327" w:rsidP="000576E9" w14:paraId="705B20F0" w14:textId="5AD9431C">
      <w:pPr>
        <w:rPr>
          <w:rFonts w:ascii="Arial Narrow" w:hAnsi="Arial Narrow"/>
        </w:rPr>
      </w:pPr>
      <w:r w:rsidRPr="001C4327">
        <w:t> </w:t>
      </w:r>
      <w:r w:rsidRPr="001C4327">
        <w:rPr>
          <w:b/>
          <w:bCs/>
        </w:rPr>
        <w:t>3.  Use of I</w:t>
      </w:r>
      <w:r w:rsidR="00B649E2">
        <w:rPr>
          <w:b/>
          <w:bCs/>
        </w:rPr>
        <w:t>nformation</w:t>
      </w:r>
      <w:r w:rsidRPr="001C4327">
        <w:rPr>
          <w:b/>
          <w:bCs/>
        </w:rPr>
        <w:t xml:space="preserve"> Technology </w:t>
      </w:r>
    </w:p>
    <w:p w:rsidR="007E4B05" w:rsidP="007E4B05" w14:paraId="00E16C9F" w14:textId="77777777"/>
    <w:p w:rsidR="000576E9" w:rsidRPr="001C4327" w:rsidP="007E4B05" w14:paraId="1E5FAD37" w14:textId="1173D4B6">
      <w:r>
        <w:t>AmeriCorps</w:t>
      </w:r>
      <w:r w:rsidR="00FE3113">
        <w:t xml:space="preserve"> </w:t>
      </w:r>
      <w:r w:rsidR="00B649E2">
        <w:t>accepts</w:t>
      </w:r>
      <w:r w:rsidR="00FE3113">
        <w:t xml:space="preserve"> members’ and award transfer recipients’ responses electronically via the My AmeriCorps portal, </w:t>
      </w:r>
      <w:r w:rsidR="00C73FA5">
        <w:t>AmeriCorps’</w:t>
      </w:r>
      <w:r w:rsidR="00FE3113">
        <w:t xml:space="preserve"> secure online member account management system.  If </w:t>
      </w:r>
      <w:r w:rsidR="006C2DF3">
        <w:t>members or award transfer recipients</w:t>
      </w:r>
      <w:r w:rsidR="00FE3113">
        <w:t xml:space="preserve"> are unable to apply or respond on-line, they can use </w:t>
      </w:r>
      <w:r w:rsidR="00B649E2">
        <w:t>the hard copy</w:t>
      </w:r>
      <w:r w:rsidR="00FE3113">
        <w:t xml:space="preserve"> forms and instructions to submit their application</w:t>
      </w:r>
      <w:r w:rsidR="00281BA0">
        <w:t>.</w:t>
      </w:r>
      <w:r w:rsidR="00C06453">
        <w:t xml:space="preserve"> </w:t>
      </w:r>
    </w:p>
    <w:p w:rsidR="009A0CC2" w:rsidRPr="001C4327" w:rsidP="000576E9" w14:paraId="5784E1D5" w14:textId="77777777"/>
    <w:p w:rsidR="000576E9" w:rsidRPr="001C4327" w:rsidP="000576E9" w14:paraId="1FD893D4" w14:textId="55B7941E">
      <w:pPr>
        <w:rPr>
          <w:b/>
          <w:bCs/>
        </w:rPr>
      </w:pPr>
      <w:r w:rsidRPr="001C4327">
        <w:rPr>
          <w:b/>
          <w:bCs/>
        </w:rPr>
        <w:t>4.  Non-Duplication</w:t>
      </w:r>
    </w:p>
    <w:p w:rsidR="003E34C0" w:rsidP="00395ED5" w14:paraId="52ABF1A0" w14:textId="77777777">
      <w:pPr>
        <w:ind w:firstLine="720"/>
        <w:rPr>
          <w:bCs/>
        </w:rPr>
      </w:pPr>
    </w:p>
    <w:p w:rsidR="009A0CC2" w:rsidRPr="001C4327" w:rsidP="007E4B05" w14:paraId="29615726" w14:textId="3DC2F237">
      <w:pPr>
        <w:rPr>
          <w:rFonts w:ascii="Arial Narrow" w:hAnsi="Arial Narrow"/>
        </w:rPr>
      </w:pPr>
      <w:r w:rsidRPr="001C4327">
        <w:rPr>
          <w:bCs/>
        </w:rPr>
        <w:t xml:space="preserve">There are no other sources of information by which </w:t>
      </w:r>
      <w:r w:rsidR="007E4B05">
        <w:rPr>
          <w:bCs/>
        </w:rPr>
        <w:t xml:space="preserve">AmeriCorps </w:t>
      </w:r>
      <w:r w:rsidRPr="001C4327">
        <w:rPr>
          <w:bCs/>
        </w:rPr>
        <w:t>can meet the purposes described in</w:t>
      </w:r>
      <w:r w:rsidR="006C2DF3">
        <w:rPr>
          <w:bCs/>
        </w:rPr>
        <w:t xml:space="preserve"> response to Question 2</w:t>
      </w:r>
      <w:r w:rsidRPr="001C4327">
        <w:rPr>
          <w:bCs/>
        </w:rPr>
        <w:t xml:space="preserve"> (above)</w:t>
      </w:r>
      <w:r w:rsidR="00783B2E">
        <w:rPr>
          <w:bCs/>
        </w:rPr>
        <w:t xml:space="preserve">.  </w:t>
      </w:r>
    </w:p>
    <w:p w:rsidR="000576E9" w:rsidRPr="001C4327" w:rsidP="000576E9" w14:paraId="16592659" w14:textId="77777777">
      <w:pPr>
        <w:rPr>
          <w:rFonts w:ascii="Arial Narrow" w:hAnsi="Arial Narrow"/>
        </w:rPr>
      </w:pPr>
      <w:r w:rsidRPr="001C4327">
        <w:t> </w:t>
      </w:r>
    </w:p>
    <w:p w:rsidR="000576E9" w:rsidRPr="001C4327" w:rsidP="000576E9" w14:paraId="7520DA21" w14:textId="2D66199D">
      <w:pPr>
        <w:rPr>
          <w:b/>
          <w:bCs/>
        </w:rPr>
      </w:pPr>
      <w:r w:rsidRPr="001C4327">
        <w:rPr>
          <w:b/>
          <w:bCs/>
        </w:rPr>
        <w:t xml:space="preserve">5.  Minimizing </w:t>
      </w:r>
      <w:r w:rsidR="002B2B76">
        <w:rPr>
          <w:b/>
          <w:bCs/>
        </w:rPr>
        <w:t>Burden on Small Businesses</w:t>
      </w:r>
    </w:p>
    <w:p w:rsidR="003E34C0" w:rsidP="00395ED5" w14:paraId="085D0DDE" w14:textId="77777777">
      <w:pPr>
        <w:ind w:firstLine="720"/>
      </w:pPr>
    </w:p>
    <w:p w:rsidR="000576E9" w:rsidRPr="001C4327" w:rsidP="004D2024" w14:paraId="74E9A415" w14:textId="6B54C627">
      <w:pPr>
        <w:rPr>
          <w:rFonts w:ascii="Arial Narrow" w:hAnsi="Arial Narrow"/>
        </w:rPr>
      </w:pPr>
      <w:r w:rsidRPr="001C4327">
        <w:t>This collection of information does not impact small businesses because they are not eligible to apply for</w:t>
      </w:r>
      <w:r w:rsidR="004D2024">
        <w:t xml:space="preserve"> or receive</w:t>
      </w:r>
      <w:r w:rsidRPr="001C4327">
        <w:t xml:space="preserve"> </w:t>
      </w:r>
      <w:r w:rsidR="00FE3113">
        <w:t>award transfers</w:t>
      </w:r>
      <w:r w:rsidRPr="001C4327">
        <w:t xml:space="preserve">.  </w:t>
      </w:r>
    </w:p>
    <w:p w:rsidR="000576E9" w:rsidRPr="001C4327" w:rsidP="000576E9" w14:paraId="4248C0CD" w14:textId="77777777">
      <w:pPr>
        <w:rPr>
          <w:b/>
          <w:bCs/>
        </w:rPr>
      </w:pPr>
    </w:p>
    <w:p w:rsidR="000576E9" w:rsidRPr="001C4327" w:rsidP="000576E9" w14:paraId="7C194605" w14:textId="76986E7A">
      <w:pPr>
        <w:rPr>
          <w:rFonts w:ascii="Arial Narrow" w:hAnsi="Arial Narrow"/>
        </w:rPr>
      </w:pPr>
      <w:r w:rsidRPr="001C4327">
        <w:rPr>
          <w:b/>
          <w:bCs/>
        </w:rPr>
        <w:t xml:space="preserve">6.  </w:t>
      </w:r>
      <w:r w:rsidR="004D2024">
        <w:rPr>
          <w:b/>
          <w:bCs/>
        </w:rPr>
        <w:t xml:space="preserve">Less Frequent Collection </w:t>
      </w:r>
    </w:p>
    <w:p w:rsidR="003E34C0" w:rsidP="00395ED5" w14:paraId="70A02DF1" w14:textId="77777777">
      <w:pPr>
        <w:ind w:firstLine="720"/>
      </w:pPr>
      <w:r w:rsidRPr="001C4327">
        <w:t> </w:t>
      </w:r>
    </w:p>
    <w:p w:rsidR="009A0CC2" w:rsidRPr="001C4327" w:rsidP="004D2024" w14:paraId="4C0F67C4" w14:textId="36A4D1E1">
      <w:r>
        <w:t xml:space="preserve">The information is collected only at the </w:t>
      </w:r>
      <w:r w:rsidR="0003559C">
        <w:t xml:space="preserve">initiation of AmeriCorps members or recipients. If this information collection were conducted less frequently, </w:t>
      </w:r>
      <w:r w:rsidR="004D2024">
        <w:t>AmeriCorps</w:t>
      </w:r>
      <w:r w:rsidRPr="001C4327" w:rsidR="00FE3113">
        <w:t xml:space="preserve"> w</w:t>
      </w:r>
      <w:r w:rsidR="0003559C">
        <w:t>ould</w:t>
      </w:r>
      <w:r w:rsidRPr="001C4327" w:rsidR="00FE3113">
        <w:t xml:space="preserve"> </w:t>
      </w:r>
      <w:r w:rsidR="00FE3113">
        <w:t xml:space="preserve">be unable to identify members </w:t>
      </w:r>
      <w:r>
        <w:t xml:space="preserve">who desire to and are </w:t>
      </w:r>
      <w:r w:rsidR="00FE3113">
        <w:t>qualified to transfer their awards or those</w:t>
      </w:r>
      <w:r>
        <w:t xml:space="preserve"> who desire to and are</w:t>
      </w:r>
      <w:r w:rsidR="00FE3113">
        <w:t xml:space="preserve"> qualified to accept transfer of the award in accordance with the provisions of 42 U.S.C 12604(f)</w:t>
      </w:r>
      <w:r w:rsidR="001C4327">
        <w:t xml:space="preserve">. </w:t>
      </w:r>
    </w:p>
    <w:p w:rsidR="000576E9" w:rsidRPr="001C4327" w:rsidP="000576E9" w14:paraId="060CB5BB" w14:textId="77777777">
      <w:pPr>
        <w:ind w:left="540" w:hanging="630"/>
        <w:rPr>
          <w:b/>
          <w:bCs/>
        </w:rPr>
      </w:pPr>
    </w:p>
    <w:p w:rsidR="000576E9" w:rsidRPr="001C4327" w:rsidP="000576E9" w14:paraId="30A46D26" w14:textId="50ADEAD2">
      <w:pPr>
        <w:ind w:left="540" w:hanging="630"/>
        <w:rPr>
          <w:b/>
          <w:bCs/>
        </w:rPr>
      </w:pPr>
      <w:r w:rsidRPr="001C4327">
        <w:rPr>
          <w:b/>
          <w:bCs/>
        </w:rPr>
        <w:t xml:space="preserve">  7.  </w:t>
      </w:r>
      <w:r w:rsidR="005A412F">
        <w:rPr>
          <w:b/>
          <w:bCs/>
        </w:rPr>
        <w:t>Paperwork Reduction Act Guidelines</w:t>
      </w:r>
    </w:p>
    <w:p w:rsidR="00D74ADD" w:rsidP="00395ED5" w14:paraId="2EFC16B5" w14:textId="77777777">
      <w:pPr>
        <w:tabs>
          <w:tab w:val="left" w:pos="540"/>
          <w:tab w:val="left" w:pos="900"/>
        </w:tabs>
        <w:ind w:firstLine="720"/>
        <w:outlineLvl w:val="0"/>
        <w:rPr>
          <w:bCs/>
        </w:rPr>
      </w:pPr>
    </w:p>
    <w:p w:rsidR="000576E9" w:rsidP="00AB5D41" w14:paraId="51CD33C3" w14:textId="4DA86713">
      <w:pPr>
        <w:outlineLvl w:val="0"/>
      </w:pPr>
      <w:r>
        <w:t xml:space="preserve">This collection does not involve any special circumstances that would require respondents to submit multiple copies of the document, retain records, or be conducted in any other of the listed manners.  </w:t>
      </w:r>
    </w:p>
    <w:p w:rsidR="00AB5D41" w:rsidRPr="001C4327" w:rsidP="00AB5D41" w14:paraId="735960D3" w14:textId="77777777">
      <w:pPr>
        <w:outlineLvl w:val="0"/>
        <w:rPr>
          <w:rFonts w:ascii="Arial Narrow" w:hAnsi="Arial Narrow"/>
        </w:rPr>
      </w:pPr>
    </w:p>
    <w:p w:rsidR="000576E9" w:rsidRPr="001C4327" w:rsidP="000576E9" w14:paraId="4847951C" w14:textId="3293D696">
      <w:pPr>
        <w:ind w:left="540" w:hanging="540"/>
        <w:rPr>
          <w:b/>
          <w:bCs/>
        </w:rPr>
      </w:pPr>
      <w:r w:rsidRPr="001C4327">
        <w:rPr>
          <w:b/>
          <w:bCs/>
        </w:rPr>
        <w:t xml:space="preserve">8.  </w:t>
      </w:r>
      <w:r w:rsidR="00AB5D41">
        <w:rPr>
          <w:b/>
          <w:bCs/>
        </w:rPr>
        <w:t>Consultation and Public Comments</w:t>
      </w:r>
    </w:p>
    <w:p w:rsidR="00D74ADD" w:rsidP="004163D5" w14:paraId="7D3021C5" w14:textId="77777777"/>
    <w:p w:rsidR="004163D5" w:rsidRPr="00BE0835" w:rsidP="00AB5D41" w14:paraId="3A8C7129" w14:textId="0D78304E">
      <w:pPr>
        <w:rPr>
          <w:szCs w:val="22"/>
        </w:rPr>
      </w:pPr>
      <w:r>
        <w:t>AmeriCorps</w:t>
      </w:r>
      <w:r w:rsidR="000370E8">
        <w:t xml:space="preserve"> requested</w:t>
      </w:r>
      <w:r w:rsidRPr="001C4327" w:rsidR="007844D8">
        <w:t xml:space="preserve"> comments</w:t>
      </w:r>
      <w:r>
        <w:t xml:space="preserve"> on this information collection as part of the proposed rule publication</w:t>
      </w:r>
      <w:r w:rsidR="000370E8">
        <w:t>,</w:t>
      </w:r>
      <w:r w:rsidR="00057445">
        <w:t xml:space="preserve"> at 88 FR 1021 (January 6, 2023), but received no comments in response</w:t>
      </w:r>
      <w:r w:rsidR="008E65C8">
        <w:t>.</w:t>
      </w:r>
      <w:r w:rsidR="00803514">
        <w:t xml:space="preserve"> AmeriCorps </w:t>
      </w:r>
      <w:r w:rsidR="00E366FB">
        <w:t xml:space="preserve">also </w:t>
      </w:r>
      <w:r w:rsidR="00803514">
        <w:t>accepts input on an ongoing basis from any individual filling in the forms who would like to comment on any aspect of the form</w:t>
      </w:r>
      <w:r w:rsidR="00E366FB">
        <w:t>.</w:t>
      </w:r>
    </w:p>
    <w:p w:rsidR="000576E9" w:rsidRPr="001C4327" w:rsidP="000576E9" w14:paraId="38DE0FA1" w14:textId="77777777">
      <w:pPr>
        <w:rPr>
          <w:rFonts w:ascii="Arial Narrow" w:hAnsi="Arial Narrow"/>
        </w:rPr>
      </w:pPr>
      <w:r w:rsidRPr="001C4327">
        <w:t> </w:t>
      </w:r>
    </w:p>
    <w:p w:rsidR="000576E9" w:rsidRPr="001C4327" w:rsidP="00AD792F" w14:paraId="3A0A763F" w14:textId="4D25C0B4">
      <w:pPr>
        <w:rPr>
          <w:b/>
          <w:bCs/>
          <w:kern w:val="36"/>
        </w:rPr>
      </w:pPr>
      <w:r w:rsidRPr="001C4327">
        <w:rPr>
          <w:b/>
          <w:bCs/>
          <w:kern w:val="36"/>
        </w:rPr>
        <w:t xml:space="preserve">9.  </w:t>
      </w:r>
      <w:r w:rsidR="00195084">
        <w:rPr>
          <w:b/>
          <w:bCs/>
          <w:kern w:val="36"/>
        </w:rPr>
        <w:t>Gifts or Payments</w:t>
      </w:r>
    </w:p>
    <w:p w:rsidR="00F64EE0" w14:paraId="04AE7FB9" w14:textId="77777777">
      <w:pPr>
        <w:rPr>
          <w:bCs/>
          <w:kern w:val="36"/>
        </w:rPr>
      </w:pPr>
    </w:p>
    <w:p w:rsidR="00DC3CFA" w:rsidP="00DC3CFA" w14:paraId="44CF4352" w14:textId="77777777">
      <w:pPr>
        <w:rPr>
          <w:szCs w:val="22"/>
        </w:rPr>
      </w:pPr>
      <w:r>
        <w:rPr>
          <w:szCs w:val="22"/>
        </w:rPr>
        <w:t xml:space="preserve">The </w:t>
      </w:r>
      <w:r w:rsidRPr="00915869">
        <w:rPr>
          <w:szCs w:val="22"/>
        </w:rPr>
        <w:t xml:space="preserve">agency </w:t>
      </w:r>
      <w:r>
        <w:rPr>
          <w:szCs w:val="22"/>
        </w:rPr>
        <w:t xml:space="preserve">is not </w:t>
      </w:r>
      <w:r w:rsidRPr="00915869">
        <w:rPr>
          <w:szCs w:val="22"/>
        </w:rPr>
        <w:t>proposing to provide any incentive (monetary or non-monetary) to potential respondents to obtain their information or to encourage respondents to provide the requested information</w:t>
      </w:r>
      <w:r>
        <w:rPr>
          <w:szCs w:val="22"/>
        </w:rPr>
        <w:t xml:space="preserve">. </w:t>
      </w:r>
      <w:r w:rsidRPr="00915869">
        <w:rPr>
          <w:szCs w:val="22"/>
        </w:rPr>
        <w:t xml:space="preserve"> </w:t>
      </w:r>
    </w:p>
    <w:p w:rsidR="00DC3CFA" w:rsidP="00DC3CFA" w14:paraId="08092078" w14:textId="77777777">
      <w:pPr>
        <w:rPr>
          <w:szCs w:val="22"/>
        </w:rPr>
      </w:pPr>
    </w:p>
    <w:p w:rsidR="00DC3CFA" w:rsidP="00DC3CFA" w14:paraId="6F833100" w14:textId="5BA846E5">
      <w:pPr>
        <w:rPr>
          <w:b/>
          <w:bCs/>
          <w:szCs w:val="22"/>
        </w:rPr>
      </w:pPr>
      <w:r>
        <w:rPr>
          <w:b/>
          <w:bCs/>
          <w:szCs w:val="22"/>
        </w:rPr>
        <w:t>10.  Privacy and Confidentiality</w:t>
      </w:r>
    </w:p>
    <w:p w:rsidR="00DC3CFA" w:rsidP="00DC3CFA" w14:paraId="68EF531C" w14:textId="77777777">
      <w:pPr>
        <w:rPr>
          <w:b/>
          <w:bCs/>
          <w:szCs w:val="22"/>
        </w:rPr>
      </w:pPr>
    </w:p>
    <w:p w:rsidR="005C4580" w:rsidP="005C4580" w14:paraId="3620A5DD" w14:textId="38379396">
      <w:r>
        <w:t>Information provided by this collection will be held solely by AmeriCorps member, award transfer recipients, and</w:t>
      </w:r>
      <w:r w:rsidR="00DD0FA6">
        <w:t xml:space="preserve"> AmeriCorps</w:t>
      </w:r>
      <w:r>
        <w:t xml:space="preserve"> staff.  Confidentiality of information supplied by respondents is ensured by the Privacy Act.  A Privacy Act notice appears on the forms. </w:t>
      </w:r>
    </w:p>
    <w:p w:rsidR="00EA1405" w:rsidP="00DC3CFA" w14:paraId="013C4581" w14:textId="77777777">
      <w:pPr>
        <w:rPr>
          <w:szCs w:val="22"/>
        </w:rPr>
      </w:pPr>
    </w:p>
    <w:p w:rsidR="00EA1405" w:rsidP="00DC3CFA" w14:paraId="29D6A8C7" w14:textId="4D9DD7D4">
      <w:pPr>
        <w:rPr>
          <w:b/>
          <w:bCs/>
          <w:szCs w:val="22"/>
        </w:rPr>
      </w:pPr>
      <w:r>
        <w:rPr>
          <w:b/>
          <w:bCs/>
          <w:szCs w:val="22"/>
        </w:rPr>
        <w:t>11.  Sensitive Questions</w:t>
      </w:r>
    </w:p>
    <w:p w:rsidR="00EA1405" w:rsidP="00DC3CFA" w14:paraId="7EB8D31C" w14:textId="77777777">
      <w:pPr>
        <w:rPr>
          <w:b/>
          <w:bCs/>
          <w:szCs w:val="22"/>
        </w:rPr>
      </w:pPr>
    </w:p>
    <w:p w:rsidR="0064683F" w:rsidP="0064683F" w14:paraId="016889E3" w14:textId="77777777">
      <w:r>
        <w:t>The information collection does not include questions of a sensitive nature.</w:t>
      </w:r>
    </w:p>
    <w:p w:rsidR="00F75EBA" w:rsidP="00DC3CFA" w14:paraId="7AD26CD2" w14:textId="77777777">
      <w:pPr>
        <w:rPr>
          <w:szCs w:val="22"/>
        </w:rPr>
      </w:pPr>
    </w:p>
    <w:p w:rsidR="00F75EBA" w:rsidP="00DC3CFA" w14:paraId="6E4CB713" w14:textId="548F3A44">
      <w:pPr>
        <w:rPr>
          <w:b/>
          <w:bCs/>
          <w:szCs w:val="22"/>
        </w:rPr>
      </w:pPr>
      <w:r>
        <w:rPr>
          <w:b/>
          <w:bCs/>
          <w:szCs w:val="22"/>
        </w:rPr>
        <w:t>12.  Burden Estimate</w:t>
      </w:r>
    </w:p>
    <w:p w:rsidR="00F75EBA" w:rsidP="00DC3CFA" w14:paraId="45CA1799" w14:textId="77777777">
      <w:pPr>
        <w:rPr>
          <w:b/>
          <w:bCs/>
          <w:szCs w:val="22"/>
        </w:rPr>
      </w:pPr>
    </w:p>
    <w:p w:rsidR="00F75EBA" w:rsidP="00DC3CFA" w14:paraId="712D39CC" w14:textId="190E2EC2">
      <w:pPr>
        <w:rPr>
          <w:szCs w:val="22"/>
        </w:rPr>
      </w:pPr>
      <w:r>
        <w:rPr>
          <w:szCs w:val="22"/>
        </w:rPr>
        <w:t>The total number of respondents is 900</w:t>
      </w:r>
      <w:r w:rsidR="00D86F41">
        <w:rPr>
          <w:szCs w:val="22"/>
        </w:rPr>
        <w:t xml:space="preserve"> and includes AmeriCorps members and recipients of transferred education awards. </w:t>
      </w:r>
    </w:p>
    <w:p w:rsidR="00D50F56" w:rsidP="00DC3CFA" w14:paraId="1CB366C7" w14:textId="77777777">
      <w:pPr>
        <w:rPr>
          <w:szCs w:val="22"/>
        </w:rPr>
      </w:pPr>
    </w:p>
    <w:p w:rsidR="00426A2E" w:rsidP="00426A2E" w14:paraId="217D15C1" w14:textId="77777777">
      <w:r w:rsidRPr="315E2978">
        <w:t>The estimated respondent burdens and labor costs are shown in the following table.</w:t>
      </w:r>
    </w:p>
    <w:p w:rsidR="00426A2E" w:rsidP="00426A2E" w14:paraId="56B84B14" w14:textId="77777777">
      <w:pPr>
        <w:ind w:left="360"/>
      </w:pPr>
    </w:p>
    <w:tbl>
      <w:tblPr>
        <w:tblW w:w="8705" w:type="dxa"/>
        <w:tblInd w:w="105" w:type="dxa"/>
        <w:tblLayout w:type="fixed"/>
        <w:tblLook w:val="04A0"/>
      </w:tblPr>
      <w:tblGrid>
        <w:gridCol w:w="7020"/>
        <w:gridCol w:w="1685"/>
      </w:tblGrid>
      <w:tr w14:paraId="6659A720" w14:textId="77777777" w:rsidTr="009F1FED">
        <w:tblPrEx>
          <w:tblW w:w="8705" w:type="dxa"/>
          <w:tblInd w:w="105" w:type="dxa"/>
          <w:tblLayout w:type="fixed"/>
          <w:tblLook w:val="04A0"/>
        </w:tblPrEx>
        <w:trPr>
          <w:trHeight w:val="390"/>
        </w:trPr>
        <w:tc>
          <w:tcPr>
            <w:tcW w:w="8705" w:type="dxa"/>
            <w:gridSpan w:val="2"/>
            <w:tcBorders>
              <w:top w:val="single" w:sz="8" w:space="0" w:color="auto"/>
              <w:left w:val="single" w:sz="8" w:space="0" w:color="auto"/>
              <w:bottom w:val="single" w:sz="8" w:space="0" w:color="auto"/>
              <w:right w:val="single" w:sz="8" w:space="0" w:color="auto"/>
            </w:tcBorders>
            <w:vAlign w:val="center"/>
          </w:tcPr>
          <w:p w:rsidR="00426A2E" w:rsidP="00392038" w14:paraId="7725206B" w14:textId="77777777">
            <w:pPr>
              <w:jc w:val="center"/>
            </w:pPr>
            <w:r w:rsidRPr="315E2978">
              <w:t>Estimation of Respondent Burden</w:t>
            </w:r>
          </w:p>
        </w:tc>
      </w:tr>
      <w:tr w14:paraId="3933A597" w14:textId="77777777" w:rsidTr="009F1FED">
        <w:tblPrEx>
          <w:tblW w:w="8705" w:type="dxa"/>
          <w:tblInd w:w="105" w:type="dxa"/>
          <w:tblLayout w:type="fixed"/>
          <w:tblLook w:val="04A0"/>
        </w:tblPrEx>
        <w:trPr>
          <w:trHeight w:val="390"/>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186D5304" w14:textId="77777777">
            <w:r w:rsidRPr="00822225">
              <w:rPr>
                <w:color w:val="000000"/>
              </w:rPr>
              <w:t xml:space="preserve">Number of respondents </w:t>
            </w:r>
          </w:p>
        </w:tc>
        <w:tc>
          <w:tcPr>
            <w:tcW w:w="1685" w:type="dxa"/>
            <w:tcBorders>
              <w:top w:val="nil"/>
              <w:left w:val="single" w:sz="8" w:space="0" w:color="auto"/>
              <w:bottom w:val="single" w:sz="8" w:space="0" w:color="auto"/>
              <w:right w:val="single" w:sz="8" w:space="0" w:color="auto"/>
            </w:tcBorders>
            <w:vAlign w:val="center"/>
          </w:tcPr>
          <w:p w:rsidR="00426A2E" w:rsidRPr="002F6903" w:rsidP="00392038" w14:paraId="35167282" w14:textId="6A8D76BD">
            <w:pPr>
              <w:rPr>
                <w:color w:val="000000"/>
              </w:rPr>
            </w:pPr>
            <w:r>
              <w:rPr>
                <w:color w:val="000000"/>
              </w:rPr>
              <w:t>900</w:t>
            </w:r>
          </w:p>
        </w:tc>
      </w:tr>
      <w:tr w14:paraId="471DB9FE" w14:textId="77777777" w:rsidTr="009F1FED">
        <w:tblPrEx>
          <w:tblW w:w="8705" w:type="dxa"/>
          <w:tblInd w:w="105" w:type="dxa"/>
          <w:tblLayout w:type="fixed"/>
          <w:tblLook w:val="04A0"/>
        </w:tblPrEx>
        <w:trPr>
          <w:trHeight w:val="420"/>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0D646CD2" w14:textId="77777777">
            <w:r w:rsidRPr="00822225">
              <w:rPr>
                <w:color w:val="000000"/>
              </w:rPr>
              <w:t>Responses per respondent (annually)</w:t>
            </w:r>
          </w:p>
        </w:tc>
        <w:tc>
          <w:tcPr>
            <w:tcW w:w="1685" w:type="dxa"/>
            <w:tcBorders>
              <w:top w:val="single" w:sz="8" w:space="0" w:color="auto"/>
              <w:left w:val="single" w:sz="8" w:space="0" w:color="auto"/>
              <w:bottom w:val="single" w:sz="8" w:space="0" w:color="auto"/>
              <w:right w:val="single" w:sz="8" w:space="0" w:color="auto"/>
            </w:tcBorders>
            <w:vAlign w:val="center"/>
          </w:tcPr>
          <w:p w:rsidR="00426A2E" w:rsidP="00392038" w14:paraId="60AF7B65" w14:textId="77777777">
            <w:r w:rsidRPr="00822225">
              <w:rPr>
                <w:color w:val="000000"/>
              </w:rPr>
              <w:t>1</w:t>
            </w:r>
          </w:p>
        </w:tc>
      </w:tr>
      <w:tr w14:paraId="25644C64" w14:textId="77777777" w:rsidTr="009F1FED">
        <w:tblPrEx>
          <w:tblW w:w="8705" w:type="dxa"/>
          <w:tblInd w:w="105" w:type="dxa"/>
          <w:tblLayout w:type="fixed"/>
          <w:tblLook w:val="04A0"/>
        </w:tblPrEx>
        <w:trPr>
          <w:trHeight w:val="435"/>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5A75191E" w14:textId="77777777">
            <w:r w:rsidRPr="00822225">
              <w:rPr>
                <w:color w:val="000000"/>
              </w:rPr>
              <w:t xml:space="preserve">Number of responses </w:t>
            </w:r>
          </w:p>
        </w:tc>
        <w:tc>
          <w:tcPr>
            <w:tcW w:w="1685" w:type="dxa"/>
            <w:tcBorders>
              <w:top w:val="single" w:sz="8" w:space="0" w:color="auto"/>
              <w:left w:val="single" w:sz="8" w:space="0" w:color="auto"/>
              <w:bottom w:val="single" w:sz="8" w:space="0" w:color="auto"/>
              <w:right w:val="single" w:sz="8" w:space="0" w:color="auto"/>
            </w:tcBorders>
            <w:vAlign w:val="center"/>
          </w:tcPr>
          <w:p w:rsidR="00426A2E" w:rsidRPr="002F6903" w:rsidP="00392038" w14:paraId="5951778D" w14:textId="2C998512">
            <w:pPr>
              <w:rPr>
                <w:color w:val="000000"/>
              </w:rPr>
            </w:pPr>
            <w:r>
              <w:rPr>
                <w:color w:val="000000"/>
              </w:rPr>
              <w:t>900</w:t>
            </w:r>
          </w:p>
        </w:tc>
      </w:tr>
      <w:tr w14:paraId="01642657" w14:textId="77777777" w:rsidTr="009F1FED">
        <w:tblPrEx>
          <w:tblW w:w="8705" w:type="dxa"/>
          <w:tblInd w:w="105" w:type="dxa"/>
          <w:tblLayout w:type="fixed"/>
          <w:tblLook w:val="04A0"/>
        </w:tblPrEx>
        <w:trPr>
          <w:trHeight w:val="435"/>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13D36EF3" w14:textId="77777777">
            <w:r w:rsidRPr="00822225">
              <w:rPr>
                <w:color w:val="000000"/>
              </w:rPr>
              <w:t xml:space="preserve">Hours per response </w:t>
            </w:r>
          </w:p>
        </w:tc>
        <w:tc>
          <w:tcPr>
            <w:tcW w:w="1685" w:type="dxa"/>
            <w:tcBorders>
              <w:top w:val="single" w:sz="8" w:space="0" w:color="auto"/>
              <w:left w:val="single" w:sz="8" w:space="0" w:color="auto"/>
              <w:bottom w:val="single" w:sz="8" w:space="0" w:color="auto"/>
              <w:right w:val="single" w:sz="8" w:space="0" w:color="auto"/>
            </w:tcBorders>
            <w:vAlign w:val="center"/>
          </w:tcPr>
          <w:p w:rsidR="003E75F8" w:rsidP="00392038" w14:paraId="7B9173E9" w14:textId="77777777">
            <w:pPr>
              <w:rPr>
                <w:color w:val="000000"/>
              </w:rPr>
            </w:pPr>
            <w:r>
              <w:rPr>
                <w:color w:val="000000"/>
              </w:rPr>
              <w:t xml:space="preserve">0.083333 </w:t>
            </w:r>
          </w:p>
          <w:p w:rsidR="00426A2E" w:rsidRPr="00822225" w:rsidP="00392038" w14:paraId="315412DB" w14:textId="2F5218E2">
            <w:pPr>
              <w:rPr>
                <w:color w:val="000000"/>
              </w:rPr>
            </w:pPr>
            <w:r>
              <w:rPr>
                <w:color w:val="000000"/>
              </w:rPr>
              <w:t>(</w:t>
            </w:r>
            <w:r w:rsidRPr="002F6903">
              <w:rPr>
                <w:color w:val="000000"/>
              </w:rPr>
              <w:t>5</w:t>
            </w:r>
            <w:r w:rsidR="003E75F8">
              <w:rPr>
                <w:color w:val="000000"/>
              </w:rPr>
              <w:t xml:space="preserve"> minutes)</w:t>
            </w:r>
          </w:p>
        </w:tc>
      </w:tr>
      <w:tr w14:paraId="5B010960" w14:textId="77777777" w:rsidTr="009F1FED">
        <w:tblPrEx>
          <w:tblW w:w="8705" w:type="dxa"/>
          <w:tblInd w:w="105" w:type="dxa"/>
          <w:tblLayout w:type="fixed"/>
          <w:tblLook w:val="04A0"/>
        </w:tblPrEx>
        <w:trPr>
          <w:trHeight w:val="450"/>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7A1F95B8" w14:textId="77777777">
            <w:r w:rsidRPr="00822225">
              <w:rPr>
                <w:color w:val="000000"/>
              </w:rPr>
              <w:t>Total estimated hours (number of responses multiplied by hours per response)</w:t>
            </w:r>
          </w:p>
        </w:tc>
        <w:tc>
          <w:tcPr>
            <w:tcW w:w="1685" w:type="dxa"/>
            <w:tcBorders>
              <w:top w:val="single" w:sz="8" w:space="0" w:color="auto"/>
              <w:left w:val="single" w:sz="8" w:space="0" w:color="auto"/>
              <w:bottom w:val="single" w:sz="8" w:space="0" w:color="auto"/>
              <w:right w:val="single" w:sz="8" w:space="0" w:color="auto"/>
            </w:tcBorders>
            <w:vAlign w:val="center"/>
          </w:tcPr>
          <w:p w:rsidR="00426A2E" w:rsidRPr="00822225" w:rsidP="00392038" w14:paraId="28BFA3F0" w14:textId="598280F3">
            <w:pPr>
              <w:rPr>
                <w:color w:val="000000"/>
              </w:rPr>
            </w:pPr>
            <w:r>
              <w:rPr>
                <w:color w:val="000000"/>
              </w:rPr>
              <w:t>75</w:t>
            </w:r>
          </w:p>
        </w:tc>
      </w:tr>
      <w:tr w14:paraId="189A7F64" w14:textId="77777777" w:rsidTr="009F1FED">
        <w:tblPrEx>
          <w:tblW w:w="8705" w:type="dxa"/>
          <w:tblInd w:w="105" w:type="dxa"/>
          <w:tblLayout w:type="fixed"/>
          <w:tblLook w:val="04A0"/>
        </w:tblPrEx>
        <w:trPr>
          <w:trHeight w:val="435"/>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51D183E3" w14:textId="77777777">
            <w:r w:rsidRPr="00822225">
              <w:rPr>
                <w:color w:val="000000"/>
              </w:rPr>
              <w:t xml:space="preserve">Cost per hour (hourly wage) </w:t>
            </w:r>
          </w:p>
        </w:tc>
        <w:tc>
          <w:tcPr>
            <w:tcW w:w="1685" w:type="dxa"/>
            <w:tcBorders>
              <w:top w:val="single" w:sz="8" w:space="0" w:color="auto"/>
              <w:left w:val="single" w:sz="8" w:space="0" w:color="auto"/>
              <w:bottom w:val="single" w:sz="8" w:space="0" w:color="auto"/>
              <w:right w:val="single" w:sz="8" w:space="0" w:color="auto"/>
            </w:tcBorders>
            <w:vAlign w:val="center"/>
          </w:tcPr>
          <w:p w:rsidR="00426A2E" w:rsidP="00392038" w14:paraId="6DBD7766" w14:textId="1A935D37">
            <w:r w:rsidRPr="315E2978">
              <w:t>$</w:t>
            </w:r>
            <w:r w:rsidR="007A7172">
              <w:t>58.72</w:t>
            </w:r>
          </w:p>
        </w:tc>
      </w:tr>
      <w:tr w14:paraId="2917D7A4" w14:textId="77777777" w:rsidTr="009F1FED">
        <w:tblPrEx>
          <w:tblW w:w="8705" w:type="dxa"/>
          <w:tblInd w:w="105" w:type="dxa"/>
          <w:tblLayout w:type="fixed"/>
          <w:tblLook w:val="04A0"/>
        </w:tblPrEx>
        <w:trPr>
          <w:trHeight w:val="435"/>
        </w:trPr>
        <w:tc>
          <w:tcPr>
            <w:tcW w:w="7020" w:type="dxa"/>
            <w:tcBorders>
              <w:top w:val="single" w:sz="8" w:space="0" w:color="auto"/>
              <w:left w:val="single" w:sz="8" w:space="0" w:color="auto"/>
              <w:bottom w:val="single" w:sz="8" w:space="0" w:color="auto"/>
              <w:right w:val="single" w:sz="8" w:space="0" w:color="auto"/>
            </w:tcBorders>
            <w:vAlign w:val="center"/>
          </w:tcPr>
          <w:p w:rsidR="00426A2E" w:rsidP="00392038" w14:paraId="7A15D234" w14:textId="77777777">
            <w:r w:rsidRPr="00822225">
              <w:rPr>
                <w:color w:val="000000"/>
              </w:rPr>
              <w:t>Annual public burden (estimated hours multiplied by cost per hour)</w:t>
            </w:r>
          </w:p>
        </w:tc>
        <w:tc>
          <w:tcPr>
            <w:tcW w:w="1685" w:type="dxa"/>
            <w:tcBorders>
              <w:top w:val="single" w:sz="8" w:space="0" w:color="auto"/>
              <w:left w:val="single" w:sz="8" w:space="0" w:color="auto"/>
              <w:bottom w:val="single" w:sz="8" w:space="0" w:color="auto"/>
              <w:right w:val="single" w:sz="8" w:space="0" w:color="auto"/>
            </w:tcBorders>
            <w:vAlign w:val="center"/>
          </w:tcPr>
          <w:p w:rsidR="00426A2E" w:rsidP="00392038" w14:paraId="322DFB8B" w14:textId="1AE5F95A">
            <w:r>
              <w:t>$</w:t>
            </w:r>
            <w:r w:rsidR="007A7172">
              <w:t>4,404</w:t>
            </w:r>
          </w:p>
        </w:tc>
      </w:tr>
    </w:tbl>
    <w:p w:rsidR="00426A2E" w:rsidP="00426A2E" w14:paraId="12B887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p w:rsidR="00426A2E" w:rsidP="00E51F0F" w14:paraId="34DDABDE" w14:textId="5FE38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9663920">
        <w:rPr>
          <w:b/>
          <w:bCs/>
          <w:sz w:val="20"/>
          <w:szCs w:val="20"/>
        </w:rPr>
        <w:t>Note:</w:t>
      </w:r>
      <w:r w:rsidRPr="29663920">
        <w:rPr>
          <w:sz w:val="20"/>
          <w:szCs w:val="20"/>
        </w:rPr>
        <w:t xml:space="preserve"> The</w:t>
      </w:r>
      <w:r w:rsidRPr="00CF491F" w:rsidR="00CF491F">
        <w:rPr>
          <w:sz w:val="20"/>
          <w:szCs w:val="20"/>
        </w:rPr>
        <w:t xml:space="preserve"> cost per hour is based on the Office of Personnel Management(OPM) General Schedule (GS) hourly rate of $</w:t>
      </w:r>
      <w:r w:rsidR="00A618DD">
        <w:rPr>
          <w:sz w:val="20"/>
          <w:szCs w:val="20"/>
        </w:rPr>
        <w:t>43.10</w:t>
      </w:r>
      <w:r w:rsidRPr="00CF491F" w:rsidR="00CF491F">
        <w:rPr>
          <w:sz w:val="20"/>
          <w:szCs w:val="20"/>
        </w:rPr>
        <w:t xml:space="preserve"> for a GS-12, step 5, employee (for calendar year 202</w:t>
      </w:r>
      <w:r w:rsidR="00AE7E77">
        <w:rPr>
          <w:sz w:val="20"/>
          <w:szCs w:val="20"/>
        </w:rPr>
        <w:t>2</w:t>
      </w:r>
      <w:r w:rsidRPr="00CF491F" w:rsidR="00CF491F">
        <w:rPr>
          <w:sz w:val="20"/>
          <w:szCs w:val="20"/>
        </w:rPr>
        <w:t xml:space="preserve"> for the rest of the U.S.) plus the 36.25% civilian personnel full fringe benefit rate from OMB memorandum M-08-13 ($</w:t>
      </w:r>
      <w:r w:rsidR="00AE7E77">
        <w:rPr>
          <w:sz w:val="20"/>
          <w:szCs w:val="20"/>
        </w:rPr>
        <w:t>43.10</w:t>
      </w:r>
      <w:r w:rsidRPr="00CF491F" w:rsidR="00CF491F">
        <w:rPr>
          <w:sz w:val="20"/>
          <w:szCs w:val="20"/>
        </w:rPr>
        <w:t xml:space="preserve"> + $15.</w:t>
      </w:r>
      <w:r w:rsidR="00C83255">
        <w:rPr>
          <w:sz w:val="20"/>
          <w:szCs w:val="20"/>
        </w:rPr>
        <w:t>62</w:t>
      </w:r>
      <w:r w:rsidRPr="00CF491F" w:rsidR="00CF491F">
        <w:rPr>
          <w:sz w:val="20"/>
          <w:szCs w:val="20"/>
        </w:rPr>
        <w:t xml:space="preserve"> = $</w:t>
      </w:r>
      <w:r w:rsidR="00AD1EC1">
        <w:rPr>
          <w:sz w:val="20"/>
          <w:szCs w:val="20"/>
        </w:rPr>
        <w:t>58.72</w:t>
      </w:r>
      <w:r w:rsidRPr="00CF491F" w:rsidR="00CF491F">
        <w:rPr>
          <w:sz w:val="20"/>
          <w:szCs w:val="20"/>
        </w:rPr>
        <w:t xml:space="preserve">, rounded to the nearest dollar).  </w:t>
      </w:r>
    </w:p>
    <w:p w:rsidR="00426A2E" w:rsidRPr="00915869" w:rsidP="00426A2E" w14:paraId="371728BC" w14:textId="77777777">
      <w:pPr>
        <w:pStyle w:val="Default"/>
        <w:rPr>
          <w:rFonts w:ascii="Times New Roman" w:hAnsi="Times New Roman"/>
          <w:color w:val="auto"/>
          <w:szCs w:val="22"/>
        </w:rPr>
      </w:pPr>
    </w:p>
    <w:tbl>
      <w:tblPr>
        <w:tblW w:w="5000" w:type="pct"/>
        <w:tblCellSpacing w:w="22" w:type="dxa"/>
        <w:tblCellMar>
          <w:left w:w="0" w:type="dxa"/>
          <w:right w:w="0" w:type="dxa"/>
        </w:tblCellMar>
        <w:tblLook w:val="04A0"/>
      </w:tblPr>
      <w:tblGrid>
        <w:gridCol w:w="8640"/>
      </w:tblGrid>
      <w:tr w14:paraId="73918541" w14:textId="77777777" w:rsidTr="00392038">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center"/>
            <w:hideMark/>
          </w:tcPr>
          <w:p w:rsidR="00426A2E" w:rsidRPr="00915869" w:rsidP="00392038" w14:paraId="0E8279E9" w14:textId="77777777">
            <w:r>
              <w:t xml:space="preserve">Annual Responses and Burden with Changes: </w:t>
            </w:r>
          </w:p>
          <w:tbl>
            <w:tblPr>
              <w:tblW w:w="830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450"/>
              <w:gridCol w:w="1097"/>
              <w:gridCol w:w="1150"/>
              <w:gridCol w:w="1218"/>
              <w:gridCol w:w="1300"/>
              <w:gridCol w:w="977"/>
              <w:gridCol w:w="1110"/>
            </w:tblGrid>
            <w:tr w14:paraId="2E90A33A" w14:textId="77777777" w:rsidTr="00E76B6B">
              <w:tblPrEx>
                <w:tblW w:w="8302"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65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3E8B894E" w14:textId="77777777">
                  <w:pPr>
                    <w:jc w:val="center"/>
                    <w:rPr>
                      <w:b/>
                      <w:bCs/>
                      <w:szCs w:val="22"/>
                    </w:rPr>
                  </w:pPr>
                  <w:r w:rsidRPr="00915869">
                    <w:rPr>
                      <w:b/>
                      <w:bCs/>
                      <w:szCs w:val="22"/>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0A1F4EE1" w14:textId="77777777">
                  <w:pPr>
                    <w:jc w:val="center"/>
                    <w:rPr>
                      <w:b/>
                      <w:bCs/>
                      <w:szCs w:val="22"/>
                    </w:rPr>
                  </w:pPr>
                  <w:r w:rsidRPr="00915869">
                    <w:rPr>
                      <w:b/>
                      <w:bCs/>
                      <w:szCs w:val="22"/>
                    </w:rPr>
                    <w:t xml:space="preserve">Requested </w:t>
                  </w:r>
                </w:p>
              </w:tc>
              <w:tc>
                <w:tcPr>
                  <w:tcW w:w="1264"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6E21C389" w14:textId="77777777">
                  <w:pPr>
                    <w:jc w:val="center"/>
                    <w:rPr>
                      <w:b/>
                      <w:bCs/>
                      <w:szCs w:val="22"/>
                    </w:rPr>
                  </w:pPr>
                  <w:r w:rsidRPr="00915869">
                    <w:rPr>
                      <w:b/>
                      <w:bCs/>
                      <w:szCs w:val="22"/>
                    </w:rPr>
                    <w:t xml:space="preserve">Program Change Due to New Statute </w:t>
                  </w:r>
                </w:p>
              </w:tc>
              <w:tc>
                <w:tcPr>
                  <w:tcW w:w="1295"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205748A5" w14:textId="77777777">
                  <w:pPr>
                    <w:jc w:val="center"/>
                    <w:rPr>
                      <w:b/>
                      <w:bCs/>
                      <w:szCs w:val="22"/>
                    </w:rPr>
                  </w:pPr>
                  <w:r w:rsidRPr="00915869">
                    <w:rPr>
                      <w:b/>
                      <w:bCs/>
                      <w:szCs w:val="22"/>
                    </w:rPr>
                    <w:t xml:space="preserve">Program Change Due to Agency Discretion </w:t>
                  </w:r>
                </w:p>
              </w:tc>
              <w:tc>
                <w:tcPr>
                  <w:tcW w:w="1332"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4F8AAEBE" w14:textId="77777777">
                  <w:pPr>
                    <w:jc w:val="center"/>
                    <w:rPr>
                      <w:b/>
                      <w:bCs/>
                      <w:szCs w:val="22"/>
                    </w:rPr>
                  </w:pPr>
                  <w:r w:rsidRPr="00915869">
                    <w:rPr>
                      <w:b/>
                      <w:bCs/>
                      <w:szCs w:val="22"/>
                    </w:rPr>
                    <w:t xml:space="preserve">Change Due to Adjustment in Agency Estimate </w:t>
                  </w:r>
                </w:p>
              </w:tc>
              <w:tc>
                <w:tcPr>
                  <w:tcW w:w="977"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165E8FD5" w14:textId="77777777">
                  <w:pPr>
                    <w:jc w:val="center"/>
                    <w:rPr>
                      <w:b/>
                      <w:bCs/>
                      <w:szCs w:val="22"/>
                    </w:rPr>
                  </w:pPr>
                  <w:r w:rsidRPr="00915869">
                    <w:rPr>
                      <w:b/>
                      <w:bCs/>
                      <w:szCs w:val="22"/>
                    </w:rPr>
                    <w:t xml:space="preserve">Change Due to Potential Violation of the PRA </w:t>
                  </w:r>
                </w:p>
              </w:tc>
              <w:tc>
                <w:tcPr>
                  <w:tcW w:w="681"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44C0ABEE" w14:textId="77777777">
                  <w:pPr>
                    <w:jc w:val="center"/>
                    <w:rPr>
                      <w:b/>
                      <w:bCs/>
                      <w:szCs w:val="22"/>
                    </w:rPr>
                  </w:pPr>
                  <w:r w:rsidRPr="00915869">
                    <w:rPr>
                      <w:b/>
                      <w:bCs/>
                      <w:szCs w:val="22"/>
                    </w:rPr>
                    <w:t xml:space="preserve">Previously Approved </w:t>
                  </w:r>
                </w:p>
              </w:tc>
            </w:tr>
            <w:tr w14:paraId="20289386" w14:textId="77777777" w:rsidTr="00E76B6B">
              <w:tblPrEx>
                <w:tblW w:w="8302" w:type="dxa"/>
                <w:tblCellSpacing w:w="0" w:type="dxa"/>
                <w:shd w:val="clear" w:color="auto" w:fill="EFEFEF"/>
                <w:tblCellMar>
                  <w:left w:w="0" w:type="dxa"/>
                  <w:right w:w="0" w:type="dxa"/>
                </w:tblCellMar>
                <w:tblLook w:val="04A0"/>
              </w:tblPrEx>
              <w:trPr>
                <w:tblCellSpacing w:w="0" w:type="dxa"/>
              </w:trPr>
              <w:tc>
                <w:tcPr>
                  <w:tcW w:w="1656"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DD2B2C5" w14:textId="77777777">
                  <w:pPr>
                    <w:rPr>
                      <w:szCs w:val="22"/>
                    </w:rPr>
                  </w:pPr>
                  <w:r w:rsidRPr="00915869">
                    <w:rPr>
                      <w:szCs w:val="22"/>
                    </w:rPr>
                    <w:t xml:space="preserve">Annual Number of Responses for this IC </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17213371" w14:textId="28067DC7">
                  <w:r>
                    <w:t>900</w:t>
                  </w:r>
                </w:p>
              </w:tc>
              <w:tc>
                <w:tcPr>
                  <w:tcW w:w="1264"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6FBF43E6" w14:textId="77777777">
                  <w:r>
                    <w:t>N/A</w:t>
                  </w:r>
                </w:p>
              </w:tc>
              <w:tc>
                <w:tcPr>
                  <w:tcW w:w="129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179CC432" w14:textId="5F748A4B">
                  <w:r>
                    <w:t>N/A</w:t>
                  </w:r>
                </w:p>
              </w:tc>
              <w:tc>
                <w:tcPr>
                  <w:tcW w:w="133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41F6C88" w14:textId="77777777">
                  <w:r>
                    <w:t>N/A</w:t>
                  </w:r>
                </w:p>
                <w:p w:rsidR="00426A2E" w:rsidRPr="00915869" w:rsidP="00392038" w14:paraId="74938A59" w14:textId="77777777"/>
              </w:tc>
              <w:tc>
                <w:tcPr>
                  <w:tcW w:w="977"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5B2F7CBB" w14:textId="77777777">
                  <w:r>
                    <w:t>N/A</w:t>
                  </w:r>
                </w:p>
                <w:p w:rsidR="00426A2E" w:rsidRPr="00915869" w:rsidP="00392038" w14:paraId="47D0EA46" w14:textId="77777777"/>
              </w:tc>
              <w:tc>
                <w:tcPr>
                  <w:tcW w:w="68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34B85F30" w14:textId="5DF6906C">
                  <w:r>
                    <w:t>900</w:t>
                  </w:r>
                </w:p>
              </w:tc>
            </w:tr>
            <w:tr w14:paraId="4196CC31" w14:textId="77777777" w:rsidTr="00E76B6B">
              <w:tblPrEx>
                <w:tblW w:w="8302" w:type="dxa"/>
                <w:tblCellSpacing w:w="0" w:type="dxa"/>
                <w:shd w:val="clear" w:color="auto" w:fill="EFEFEF"/>
                <w:tblCellMar>
                  <w:left w:w="0" w:type="dxa"/>
                  <w:right w:w="0" w:type="dxa"/>
                </w:tblCellMar>
                <w:tblLook w:val="04A0"/>
              </w:tblPrEx>
              <w:trPr>
                <w:tblCellSpacing w:w="0" w:type="dxa"/>
              </w:trPr>
              <w:tc>
                <w:tcPr>
                  <w:tcW w:w="1656"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4FB04269" w14:textId="77777777">
                  <w:pPr>
                    <w:rPr>
                      <w:szCs w:val="22"/>
                    </w:rPr>
                  </w:pPr>
                  <w:r w:rsidRPr="00915869">
                    <w:rPr>
                      <w:szCs w:val="22"/>
                    </w:rPr>
                    <w:t xml:space="preserve">Annual IC Time Burden (Hour) </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37F0A1F8" w14:textId="6D71FDF6">
                  <w:r>
                    <w:t>75</w:t>
                  </w:r>
                </w:p>
              </w:tc>
              <w:tc>
                <w:tcPr>
                  <w:tcW w:w="1264"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582692F" w14:textId="77777777">
                  <w:r>
                    <w:t>N/A</w:t>
                  </w:r>
                </w:p>
                <w:p w:rsidR="00426A2E" w:rsidRPr="00915869" w:rsidP="00392038" w14:paraId="1709EB7F" w14:textId="77777777"/>
              </w:tc>
              <w:tc>
                <w:tcPr>
                  <w:tcW w:w="129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29C1C2F" w14:textId="21D86CF1">
                  <w:r>
                    <w:t>N/A</w:t>
                  </w:r>
                </w:p>
              </w:tc>
              <w:tc>
                <w:tcPr>
                  <w:tcW w:w="133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69F227FD" w14:textId="501C73B2">
                  <w:r>
                    <w:t>N/A</w:t>
                  </w:r>
                </w:p>
                <w:p w:rsidR="00426A2E" w:rsidRPr="00915869" w:rsidP="00392038" w14:paraId="09F50AED" w14:textId="77777777"/>
              </w:tc>
              <w:tc>
                <w:tcPr>
                  <w:tcW w:w="977"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18B0DCCC" w14:textId="77777777">
                  <w:r>
                    <w:t>N/A</w:t>
                  </w:r>
                </w:p>
                <w:p w:rsidR="00426A2E" w:rsidRPr="00915869" w:rsidP="00392038" w14:paraId="54134883" w14:textId="77777777"/>
              </w:tc>
              <w:tc>
                <w:tcPr>
                  <w:tcW w:w="68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2D1B198" w14:textId="3AC4B912">
                  <w:r>
                    <w:t>75</w:t>
                  </w:r>
                </w:p>
              </w:tc>
            </w:tr>
            <w:tr w14:paraId="153E594E" w14:textId="77777777" w:rsidTr="00E76B6B">
              <w:tblPrEx>
                <w:tblW w:w="8302" w:type="dxa"/>
                <w:tblCellSpacing w:w="0" w:type="dxa"/>
                <w:shd w:val="clear" w:color="auto" w:fill="EFEFEF"/>
                <w:tblCellMar>
                  <w:left w:w="0" w:type="dxa"/>
                  <w:right w:w="0" w:type="dxa"/>
                </w:tblCellMar>
                <w:tblLook w:val="04A0"/>
              </w:tblPrEx>
              <w:trPr>
                <w:tblCellSpacing w:w="0" w:type="dxa"/>
              </w:trPr>
              <w:tc>
                <w:tcPr>
                  <w:tcW w:w="1656"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51244194" w14:textId="77777777">
                  <w:pPr>
                    <w:rPr>
                      <w:szCs w:val="22"/>
                    </w:rPr>
                  </w:pPr>
                  <w:r w:rsidRPr="00915869">
                    <w:rPr>
                      <w:szCs w:val="22"/>
                    </w:rPr>
                    <w:t xml:space="preserve">Annual IC Cost Burden (Dollars) </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6F4AA12" w14:textId="77777777">
                  <w:r>
                    <w:t>0</w:t>
                  </w:r>
                </w:p>
              </w:tc>
              <w:tc>
                <w:tcPr>
                  <w:tcW w:w="1264"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32D768B" w14:textId="77777777">
                  <w:r>
                    <w:t>N/A</w:t>
                  </w:r>
                </w:p>
                <w:p w:rsidR="00426A2E" w:rsidRPr="00915869" w:rsidP="00392038" w14:paraId="22296BAB" w14:textId="77777777"/>
              </w:tc>
              <w:tc>
                <w:tcPr>
                  <w:tcW w:w="129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A14494D" w14:textId="77777777">
                  <w:r>
                    <w:t>N/A</w:t>
                  </w:r>
                </w:p>
              </w:tc>
              <w:tc>
                <w:tcPr>
                  <w:tcW w:w="133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674CE211" w14:textId="345EB86D">
                  <w:r>
                    <w:t>N/A</w:t>
                  </w:r>
                </w:p>
              </w:tc>
              <w:tc>
                <w:tcPr>
                  <w:tcW w:w="977"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B8990E1" w14:textId="77777777">
                  <w:r>
                    <w:t>N/A</w:t>
                  </w:r>
                </w:p>
                <w:p w:rsidR="00426A2E" w:rsidRPr="00915869" w:rsidP="00392038" w14:paraId="3787AE07" w14:textId="77777777"/>
              </w:tc>
              <w:tc>
                <w:tcPr>
                  <w:tcW w:w="681"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6B2C1569" w14:textId="1BD45D4A">
                  <w:r>
                    <w:t>0</w:t>
                  </w:r>
                </w:p>
              </w:tc>
            </w:tr>
          </w:tbl>
          <w:p w:rsidR="00426A2E" w:rsidRPr="00915869" w:rsidP="00392038" w14:paraId="4B6EC53D" w14:textId="79A59C00"/>
        </w:tc>
      </w:tr>
    </w:tbl>
    <w:p w:rsidR="00426A2E" w:rsidRPr="00915869" w:rsidP="00426A2E" w14:paraId="30B2157C" w14:textId="77777777">
      <w:pPr>
        <w:pStyle w:val="Default"/>
        <w:rPr>
          <w:rFonts w:ascii="Times New Roman" w:hAnsi="Times New Roman"/>
          <w:szCs w:val="22"/>
        </w:rPr>
      </w:pPr>
    </w:p>
    <w:tbl>
      <w:tblPr>
        <w:tblW w:w="9478" w:type="dxa"/>
        <w:tblCellSpacing w:w="22" w:type="dxa"/>
        <w:tblCellMar>
          <w:left w:w="0" w:type="dxa"/>
          <w:right w:w="0" w:type="dxa"/>
        </w:tblCellMar>
        <w:tblLook w:val="04A0"/>
      </w:tblPr>
      <w:tblGrid>
        <w:gridCol w:w="9242"/>
        <w:gridCol w:w="236"/>
      </w:tblGrid>
      <w:tr w14:paraId="08414D7B" w14:textId="77777777" w:rsidTr="00392038">
        <w:tblPrEx>
          <w:tblW w:w="9478" w:type="dxa"/>
          <w:tblCellSpacing w:w="22" w:type="dxa"/>
          <w:tblCellMar>
            <w:left w:w="0" w:type="dxa"/>
            <w:right w:w="0" w:type="dxa"/>
          </w:tblCellMar>
          <w:tblLook w:val="04A0"/>
        </w:tblPrEx>
        <w:trPr>
          <w:gridAfter w:val="1"/>
          <w:wAfter w:w="193" w:type="dxa"/>
          <w:tblCellSpacing w:w="22" w:type="dxa"/>
        </w:trPr>
        <w:tc>
          <w:tcPr>
            <w:tcW w:w="9285" w:type="dxa"/>
            <w:tcMar>
              <w:top w:w="15" w:type="dxa"/>
              <w:left w:w="15" w:type="dxa"/>
              <w:bottom w:w="15" w:type="dxa"/>
              <w:right w:w="15" w:type="dxa"/>
            </w:tcMar>
            <w:vAlign w:val="center"/>
            <w:hideMark/>
          </w:tcPr>
          <w:p w:rsidR="00426A2E" w:rsidRPr="00915869" w:rsidP="00392038" w14:paraId="3AEF0E17" w14:textId="77777777">
            <w:r>
              <w:t xml:space="preserve">Burden per Response: </w:t>
            </w:r>
          </w:p>
          <w:tbl>
            <w:tblPr>
              <w:tblW w:w="8339"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70"/>
              <w:gridCol w:w="4142"/>
              <w:gridCol w:w="1725"/>
              <w:gridCol w:w="1102"/>
            </w:tblGrid>
            <w:tr w14:paraId="1052824C" w14:textId="77777777" w:rsidTr="00F400EF">
              <w:tblPrEx>
                <w:tblW w:w="8339"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70"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7FFC4C3D" w14:textId="77777777">
                  <w:pPr>
                    <w:jc w:val="center"/>
                    <w:rPr>
                      <w:b/>
                      <w:bCs/>
                      <w:szCs w:val="22"/>
                    </w:rPr>
                  </w:pPr>
                  <w:r w:rsidRPr="00915869">
                    <w:rPr>
                      <w:b/>
                      <w:bCs/>
                      <w:szCs w:val="22"/>
                    </w:rPr>
                    <w:t xml:space="preserve">  </w:t>
                  </w:r>
                </w:p>
              </w:tc>
              <w:tc>
                <w:tcPr>
                  <w:tcW w:w="4142"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0D05AFBB" w14:textId="77777777">
                  <w:pPr>
                    <w:jc w:val="center"/>
                    <w:rPr>
                      <w:b/>
                      <w:bCs/>
                      <w:szCs w:val="22"/>
                    </w:rPr>
                  </w:pPr>
                  <w:r w:rsidRPr="00915869">
                    <w:rPr>
                      <w:b/>
                      <w:bCs/>
                      <w:szCs w:val="22"/>
                    </w:rPr>
                    <w:t xml:space="preserve">Time Per Response </w:t>
                  </w:r>
                </w:p>
              </w:tc>
              <w:tc>
                <w:tcPr>
                  <w:tcW w:w="1725"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2E335E3E" w14:textId="77777777">
                  <w:pPr>
                    <w:jc w:val="center"/>
                    <w:rPr>
                      <w:b/>
                      <w:bCs/>
                      <w:szCs w:val="22"/>
                    </w:rPr>
                  </w:pPr>
                  <w:r w:rsidRPr="00915869">
                    <w:rPr>
                      <w:b/>
                      <w:bCs/>
                      <w:szCs w:val="22"/>
                    </w:rPr>
                    <w:t xml:space="preserve">Hours </w:t>
                  </w:r>
                </w:p>
              </w:tc>
              <w:tc>
                <w:tcPr>
                  <w:tcW w:w="1102"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03B34B0A" w14:textId="77777777">
                  <w:pPr>
                    <w:jc w:val="center"/>
                    <w:rPr>
                      <w:b/>
                      <w:bCs/>
                      <w:szCs w:val="22"/>
                    </w:rPr>
                  </w:pPr>
                  <w:r w:rsidRPr="00915869">
                    <w:rPr>
                      <w:b/>
                      <w:bCs/>
                      <w:szCs w:val="22"/>
                    </w:rPr>
                    <w:t xml:space="preserve">Cost Per Response </w:t>
                  </w:r>
                </w:p>
              </w:tc>
            </w:tr>
            <w:tr w14:paraId="46CC9CB8" w14:textId="77777777" w:rsidTr="00F400EF">
              <w:tblPrEx>
                <w:tblW w:w="8339" w:type="dxa"/>
                <w:tblCellSpacing w:w="0" w:type="dxa"/>
                <w:shd w:val="clear" w:color="auto" w:fill="EFEFEF"/>
                <w:tblCellMar>
                  <w:left w:w="0" w:type="dxa"/>
                  <w:right w:w="0" w:type="dxa"/>
                </w:tblCellMar>
                <w:tblLook w:val="04A0"/>
              </w:tblPrEx>
              <w:trPr>
                <w:tblCellSpacing w:w="0" w:type="dxa"/>
              </w:trPr>
              <w:tc>
                <w:tcPr>
                  <w:tcW w:w="137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485D51E9" w14:textId="77777777">
                  <w:pPr>
                    <w:rPr>
                      <w:szCs w:val="22"/>
                    </w:rPr>
                  </w:pPr>
                  <w:r w:rsidRPr="00915869">
                    <w:rPr>
                      <w:szCs w:val="22"/>
                    </w:rPr>
                    <w:t xml:space="preserve">Reporting </w:t>
                  </w:r>
                </w:p>
              </w:tc>
              <w:tc>
                <w:tcPr>
                  <w:tcW w:w="41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3F1C293E" w14:textId="25C28240">
                  <w:r>
                    <w:t xml:space="preserve">5 </w:t>
                  </w:r>
                  <w:r w:rsidR="005C7575">
                    <w:t>minutes</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366701F2" w14:textId="4B7A874F">
                  <w:r>
                    <w:t>0.</w:t>
                  </w:r>
                  <w:r w:rsidR="00773E4E">
                    <w:t>0833333</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8C27343" w14:textId="77777777">
                  <w:r>
                    <w:t>0</w:t>
                  </w:r>
                </w:p>
              </w:tc>
            </w:tr>
            <w:tr w14:paraId="28B7D11D" w14:textId="77777777" w:rsidTr="00F400EF">
              <w:tblPrEx>
                <w:tblW w:w="8339" w:type="dxa"/>
                <w:tblCellSpacing w:w="0" w:type="dxa"/>
                <w:shd w:val="clear" w:color="auto" w:fill="EFEFEF"/>
                <w:tblCellMar>
                  <w:left w:w="0" w:type="dxa"/>
                  <w:right w:w="0" w:type="dxa"/>
                </w:tblCellMar>
                <w:tblLook w:val="04A0"/>
              </w:tblPrEx>
              <w:trPr>
                <w:tblCellSpacing w:w="0" w:type="dxa"/>
              </w:trPr>
              <w:tc>
                <w:tcPr>
                  <w:tcW w:w="137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32A50E58" w14:textId="77777777">
                  <w:pPr>
                    <w:rPr>
                      <w:szCs w:val="22"/>
                    </w:rPr>
                  </w:pPr>
                  <w:r w:rsidRPr="00915869">
                    <w:rPr>
                      <w:szCs w:val="22"/>
                    </w:rPr>
                    <w:t xml:space="preserve">Record Keeping </w:t>
                  </w:r>
                </w:p>
              </w:tc>
              <w:tc>
                <w:tcPr>
                  <w:tcW w:w="41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1241519" w14:textId="77777777">
                  <w:r>
                    <w:t>0</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604A0C5D" w14:textId="77777777">
                  <w:r>
                    <w:t>0</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13C9330A" w14:textId="77777777">
                  <w:r>
                    <w:t>0</w:t>
                  </w:r>
                </w:p>
              </w:tc>
            </w:tr>
            <w:tr w14:paraId="69CA0D34" w14:textId="77777777" w:rsidTr="00F400EF">
              <w:tblPrEx>
                <w:tblW w:w="8339" w:type="dxa"/>
                <w:tblCellSpacing w:w="0" w:type="dxa"/>
                <w:shd w:val="clear" w:color="auto" w:fill="EFEFEF"/>
                <w:tblCellMar>
                  <w:left w:w="0" w:type="dxa"/>
                  <w:right w:w="0" w:type="dxa"/>
                </w:tblCellMar>
                <w:tblLook w:val="04A0"/>
              </w:tblPrEx>
              <w:trPr>
                <w:tblCellSpacing w:w="0" w:type="dxa"/>
              </w:trPr>
              <w:tc>
                <w:tcPr>
                  <w:tcW w:w="137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EDE0E24" w14:textId="77777777">
                  <w:pPr>
                    <w:rPr>
                      <w:szCs w:val="22"/>
                    </w:rPr>
                  </w:pPr>
                  <w:r w:rsidRPr="00915869">
                    <w:rPr>
                      <w:szCs w:val="22"/>
                    </w:rPr>
                    <w:t xml:space="preserve">Third Party Disclosure </w:t>
                  </w:r>
                </w:p>
              </w:tc>
              <w:tc>
                <w:tcPr>
                  <w:tcW w:w="41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17D1554B" w14:textId="77777777">
                  <w:r>
                    <w:t>0</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54C1EC65" w14:textId="77777777">
                  <w:r>
                    <w:t>0</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E96C9D7" w14:textId="77777777">
                  <w:r>
                    <w:t>0</w:t>
                  </w:r>
                </w:p>
              </w:tc>
            </w:tr>
            <w:tr w14:paraId="7CE0B0F2" w14:textId="77777777" w:rsidTr="00F400EF">
              <w:tblPrEx>
                <w:tblW w:w="8339" w:type="dxa"/>
                <w:tblCellSpacing w:w="0" w:type="dxa"/>
                <w:shd w:val="clear" w:color="auto" w:fill="EFEFEF"/>
                <w:tblCellMar>
                  <w:left w:w="0" w:type="dxa"/>
                  <w:right w:w="0" w:type="dxa"/>
                </w:tblCellMar>
                <w:tblLook w:val="04A0"/>
              </w:tblPrEx>
              <w:trPr>
                <w:tblCellSpacing w:w="0" w:type="dxa"/>
              </w:trPr>
              <w:tc>
                <w:tcPr>
                  <w:tcW w:w="1370"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7696467" w14:textId="77777777">
                  <w:pPr>
                    <w:rPr>
                      <w:szCs w:val="22"/>
                    </w:rPr>
                  </w:pPr>
                  <w:r w:rsidRPr="00915869">
                    <w:rPr>
                      <w:szCs w:val="22"/>
                    </w:rPr>
                    <w:t xml:space="preserve">Total </w:t>
                  </w:r>
                </w:p>
              </w:tc>
              <w:tc>
                <w:tcPr>
                  <w:tcW w:w="414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13D7518" w14:textId="277D9B46">
                  <w:r>
                    <w:t xml:space="preserve">5 </w:t>
                  </w:r>
                  <w:r w:rsidR="00773E4E">
                    <w:t>minutes</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5DC203F7" w14:textId="50873527">
                  <w:r>
                    <w:t>0.0833333</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71F0A72" w14:textId="77777777">
                  <w:r>
                    <w:t>0</w:t>
                  </w:r>
                </w:p>
              </w:tc>
            </w:tr>
          </w:tbl>
          <w:p w:rsidR="00426A2E" w:rsidRPr="00915869" w:rsidP="00392038" w14:paraId="52F125BB" w14:textId="77777777">
            <w:pPr>
              <w:rPr>
                <w:szCs w:val="22"/>
              </w:rPr>
            </w:pPr>
          </w:p>
        </w:tc>
      </w:tr>
      <w:tr w14:paraId="77CEAFDC" w14:textId="77777777" w:rsidTr="00392038">
        <w:tblPrEx>
          <w:tblW w:w="9478" w:type="dxa"/>
          <w:tblCellSpacing w:w="22" w:type="dxa"/>
          <w:tblCellMar>
            <w:left w:w="0" w:type="dxa"/>
            <w:right w:w="0" w:type="dxa"/>
          </w:tblCellMar>
          <w:tblLook w:val="04A0"/>
        </w:tblPrEx>
        <w:trPr>
          <w:tblCellSpacing w:w="22" w:type="dxa"/>
        </w:trPr>
        <w:tc>
          <w:tcPr>
            <w:tcW w:w="9478" w:type="dxa"/>
            <w:gridSpan w:val="2"/>
            <w:tcMar>
              <w:top w:w="15" w:type="dxa"/>
              <w:left w:w="15" w:type="dxa"/>
              <w:bottom w:w="15" w:type="dxa"/>
              <w:right w:w="15" w:type="dxa"/>
            </w:tcMar>
            <w:vAlign w:val="center"/>
            <w:hideMark/>
          </w:tcPr>
          <w:p w:rsidR="00426A2E" w:rsidRPr="00915869" w:rsidP="00392038" w14:paraId="4C46134B" w14:textId="77777777">
            <w:pPr>
              <w:rPr>
                <w:szCs w:val="22"/>
              </w:rPr>
            </w:pPr>
          </w:p>
          <w:p w:rsidR="00426A2E" w:rsidRPr="00915869" w:rsidP="00392038" w14:paraId="375EF325" w14:textId="77777777">
            <w:r>
              <w:t xml:space="preserve">Annual Burden: </w:t>
            </w:r>
          </w:p>
          <w:tbl>
            <w:tblPr>
              <w:tblW w:w="3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82"/>
              <w:gridCol w:w="1682"/>
              <w:gridCol w:w="2242"/>
            </w:tblGrid>
            <w:tr w14:paraId="2321C4CA" w14:textId="77777777" w:rsidTr="00392038">
              <w:tblPrEx>
                <w:tblW w:w="3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50A2B68B" w14:textId="77777777">
                  <w:pPr>
                    <w:jc w:val="center"/>
                    <w:rPr>
                      <w:b/>
                      <w:bCs/>
                      <w:szCs w:val="22"/>
                    </w:rPr>
                  </w:pPr>
                  <w:r w:rsidRPr="00915869">
                    <w:rPr>
                      <w:b/>
                      <w:bCs/>
                      <w:szCs w:val="22"/>
                    </w:rPr>
                    <w:t xml:space="preserve">  </w:t>
                  </w:r>
                </w:p>
              </w:tc>
              <w:tc>
                <w:tcPr>
                  <w:tcW w:w="150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0D41E61D" w14:textId="77777777">
                  <w:pPr>
                    <w:jc w:val="center"/>
                    <w:rPr>
                      <w:b/>
                      <w:bCs/>
                      <w:szCs w:val="22"/>
                    </w:rPr>
                  </w:pPr>
                  <w:r w:rsidRPr="00915869">
                    <w:rPr>
                      <w:b/>
                      <w:bCs/>
                      <w:szCs w:val="22"/>
                    </w:rPr>
                    <w:t xml:space="preserve">Annual Time Burden (Hours) </w:t>
                  </w:r>
                </w:p>
              </w:tc>
              <w:tc>
                <w:tcPr>
                  <w:tcW w:w="200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426A2E" w:rsidRPr="00915869" w:rsidP="00392038" w14:paraId="3425A46D" w14:textId="77777777">
                  <w:pPr>
                    <w:jc w:val="center"/>
                    <w:rPr>
                      <w:b/>
                      <w:bCs/>
                      <w:szCs w:val="22"/>
                    </w:rPr>
                  </w:pPr>
                  <w:r w:rsidRPr="00915869">
                    <w:rPr>
                      <w:b/>
                      <w:bCs/>
                      <w:szCs w:val="22"/>
                    </w:rPr>
                    <w:t xml:space="preserve">Annual Cost Burden (Dollars) </w:t>
                  </w:r>
                </w:p>
              </w:tc>
            </w:tr>
            <w:tr w14:paraId="01D611C8" w14:textId="77777777" w:rsidTr="00392038">
              <w:tblPrEx>
                <w:tblW w:w="3000" w:type="pct"/>
                <w:tblCellSpacing w:w="0" w:type="dxa"/>
                <w:shd w:val="clear" w:color="auto" w:fill="EFEFEF"/>
                <w:tblCellMar>
                  <w:left w:w="0" w:type="dxa"/>
                  <w:right w:w="0" w:type="dxa"/>
                </w:tblCellMar>
                <w:tblLook w:val="04A0"/>
              </w:tblPrEx>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61872F08" w14:textId="77777777">
                  <w:pPr>
                    <w:rPr>
                      <w:szCs w:val="22"/>
                    </w:rPr>
                  </w:pPr>
                  <w:r w:rsidRPr="00915869">
                    <w:rPr>
                      <w:szCs w:val="22"/>
                    </w:rPr>
                    <w:t xml:space="preserve">Reporting </w:t>
                  </w:r>
                </w:p>
              </w:tc>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1A2421D9" w14:textId="47101E17">
                  <w:r>
                    <w:t>75</w:t>
                  </w:r>
                </w:p>
              </w:tc>
              <w:tc>
                <w:tcPr>
                  <w:tcW w:w="20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733306F" w14:textId="77777777">
                  <w:r>
                    <w:t>0</w:t>
                  </w:r>
                </w:p>
              </w:tc>
            </w:tr>
            <w:tr w14:paraId="4263C2DC" w14:textId="77777777" w:rsidTr="00392038">
              <w:tblPrEx>
                <w:tblW w:w="3000" w:type="pct"/>
                <w:tblCellSpacing w:w="0" w:type="dxa"/>
                <w:shd w:val="clear" w:color="auto" w:fill="EFEFEF"/>
                <w:tblCellMar>
                  <w:left w:w="0" w:type="dxa"/>
                  <w:right w:w="0" w:type="dxa"/>
                </w:tblCellMar>
                <w:tblLook w:val="04A0"/>
              </w:tblPrEx>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C74D816" w14:textId="77777777">
                  <w:pPr>
                    <w:rPr>
                      <w:szCs w:val="22"/>
                    </w:rPr>
                  </w:pPr>
                  <w:r w:rsidRPr="00915869">
                    <w:rPr>
                      <w:szCs w:val="22"/>
                    </w:rPr>
                    <w:t xml:space="preserve">Record Keeping </w:t>
                  </w:r>
                </w:p>
              </w:tc>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799280D5" w14:textId="77777777">
                  <w:r>
                    <w:t>0</w:t>
                  </w:r>
                </w:p>
              </w:tc>
              <w:tc>
                <w:tcPr>
                  <w:tcW w:w="20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4656F19" w14:textId="77777777">
                  <w:r>
                    <w:t>0 </w:t>
                  </w:r>
                </w:p>
              </w:tc>
            </w:tr>
            <w:tr w14:paraId="6B06D828" w14:textId="77777777" w:rsidTr="00392038">
              <w:tblPrEx>
                <w:tblW w:w="3000" w:type="pct"/>
                <w:tblCellSpacing w:w="0" w:type="dxa"/>
                <w:shd w:val="clear" w:color="auto" w:fill="EFEFEF"/>
                <w:tblCellMar>
                  <w:left w:w="0" w:type="dxa"/>
                  <w:right w:w="0" w:type="dxa"/>
                </w:tblCellMar>
                <w:tblLook w:val="04A0"/>
              </w:tblPrEx>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8375548" w14:textId="77777777">
                  <w:pPr>
                    <w:rPr>
                      <w:szCs w:val="22"/>
                    </w:rPr>
                  </w:pPr>
                  <w:r w:rsidRPr="00915869">
                    <w:rPr>
                      <w:szCs w:val="22"/>
                    </w:rPr>
                    <w:t xml:space="preserve">Third Party Disclosure </w:t>
                  </w:r>
                </w:p>
              </w:tc>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4DCF5916" w14:textId="77777777">
                  <w:r>
                    <w:t xml:space="preserve">0 </w:t>
                  </w:r>
                </w:p>
              </w:tc>
              <w:tc>
                <w:tcPr>
                  <w:tcW w:w="20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26998818" w14:textId="77777777">
                  <w:r>
                    <w:t>0 </w:t>
                  </w:r>
                </w:p>
              </w:tc>
            </w:tr>
            <w:tr w14:paraId="4CAE39EB" w14:textId="77777777" w:rsidTr="00392038">
              <w:tblPrEx>
                <w:tblW w:w="3000" w:type="pct"/>
                <w:tblCellSpacing w:w="0" w:type="dxa"/>
                <w:shd w:val="clear" w:color="auto" w:fill="EFEFEF"/>
                <w:tblCellMar>
                  <w:left w:w="0" w:type="dxa"/>
                  <w:right w:w="0" w:type="dxa"/>
                </w:tblCellMar>
                <w:tblLook w:val="04A0"/>
              </w:tblPrEx>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09F75C4" w14:textId="77777777">
                  <w:pPr>
                    <w:rPr>
                      <w:szCs w:val="22"/>
                    </w:rPr>
                  </w:pPr>
                  <w:r w:rsidRPr="00915869">
                    <w:rPr>
                      <w:szCs w:val="22"/>
                    </w:rPr>
                    <w:t xml:space="preserve">Total </w:t>
                  </w:r>
                </w:p>
              </w:tc>
              <w:tc>
                <w:tcPr>
                  <w:tcW w:w="15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00757DCE" w14:textId="4E3E035A">
                  <w:r>
                    <w:t>75</w:t>
                  </w:r>
                </w:p>
              </w:tc>
              <w:tc>
                <w:tcPr>
                  <w:tcW w:w="2000"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26A2E" w:rsidRPr="00915869" w:rsidP="00392038" w14:paraId="3667F1A6" w14:textId="77777777">
                  <w:r>
                    <w:t>0</w:t>
                  </w:r>
                </w:p>
              </w:tc>
            </w:tr>
          </w:tbl>
          <w:p w:rsidR="00426A2E" w:rsidRPr="00915869" w:rsidP="00392038" w14:paraId="52F0B7F9" w14:textId="77777777">
            <w:pPr>
              <w:rPr>
                <w:szCs w:val="22"/>
              </w:rPr>
            </w:pPr>
          </w:p>
        </w:tc>
      </w:tr>
    </w:tbl>
    <w:p w:rsidR="00426A2E" w:rsidRPr="00915869" w:rsidP="00426A2E" w14:paraId="4F3D740C" w14:textId="77777777">
      <w:pPr>
        <w:rPr>
          <w:szCs w:val="22"/>
        </w:rPr>
      </w:pPr>
    </w:p>
    <w:p w:rsidR="003B0CB8" w:rsidRPr="00A95DD7" w:rsidP="003B0CB8" w14:paraId="2B57D703" w14:textId="5610883C">
      <w:r>
        <w:rPr>
          <w:b/>
          <w:bCs/>
        </w:rPr>
        <w:t xml:space="preserve">13. </w:t>
      </w:r>
      <w:r w:rsidRPr="531E33AA">
        <w:rPr>
          <w:b/>
          <w:bCs/>
        </w:rPr>
        <w:t>Estimated Nonrecurring Costs.</w:t>
      </w:r>
    </w:p>
    <w:p w:rsidR="003B0CB8" w:rsidRPr="00A95DD7" w:rsidP="003B0CB8" w14:paraId="63E05100" w14:textId="77777777">
      <w:pPr>
        <w:rPr>
          <w:b/>
          <w:bCs/>
        </w:rPr>
      </w:pPr>
    </w:p>
    <w:p w:rsidR="003B0CB8" w:rsidRPr="002B3671" w:rsidP="003B0CB8" w14:paraId="2F904EB5" w14:textId="47698D7A">
      <w:r w:rsidRPr="315E2978">
        <w:t xml:space="preserve">This information collection does not impose any annual cost burden on respondents, as the respondents are </w:t>
      </w:r>
      <w:r>
        <w:t xml:space="preserve">members and </w:t>
      </w:r>
      <w:r w:rsidR="00F955B2">
        <w:t xml:space="preserve">recipients of transferred education awards that may complete the forms either online or by hard copy.  </w:t>
      </w:r>
      <w:r w:rsidRPr="315E2978">
        <w:t xml:space="preserve">No capital and start-up costs are expected. </w:t>
      </w:r>
    </w:p>
    <w:p w:rsidR="00F955B2" w:rsidP="00F955B2" w14:paraId="13808277" w14:textId="77777777">
      <w:pPr>
        <w:rPr>
          <w:b/>
          <w:bCs/>
        </w:rPr>
      </w:pPr>
    </w:p>
    <w:p w:rsidR="003B0CB8" w:rsidRPr="00A95DD7" w:rsidP="00F955B2" w14:paraId="7AB35533" w14:textId="44A6896E">
      <w:r>
        <w:rPr>
          <w:b/>
          <w:bCs/>
        </w:rPr>
        <w:t xml:space="preserve">14. </w:t>
      </w:r>
      <w:r w:rsidRPr="531E33AA">
        <w:rPr>
          <w:b/>
          <w:bCs/>
        </w:rPr>
        <w:t>Estimated Cost to the Government</w:t>
      </w:r>
    </w:p>
    <w:p w:rsidR="003B0CB8" w:rsidP="003B0CB8" w14:paraId="4CD87B17" w14:textId="77777777">
      <w:pPr>
        <w:rPr>
          <w:szCs w:val="22"/>
        </w:rPr>
      </w:pPr>
    </w:p>
    <w:p w:rsidR="003B0CB8" w:rsidP="003B0CB8" w14:paraId="27F6FB0C" w14:textId="1C6E59A3">
      <w:pPr>
        <w:pStyle w:val="ListParagraph"/>
        <w:ind w:left="0"/>
        <w:rPr>
          <w:sz w:val="22"/>
          <w:szCs w:val="22"/>
        </w:rPr>
      </w:pPr>
      <w:r>
        <w:t xml:space="preserve">The annual cost of this </w:t>
      </w:r>
      <w:r w:rsidR="00F955B2">
        <w:t>information collection</w:t>
      </w:r>
      <w:r>
        <w:t xml:space="preserve"> to AmeriCorps is $</w:t>
      </w:r>
      <w:r w:rsidR="00197A08">
        <w:t>3,708</w:t>
      </w:r>
      <w:r>
        <w:t xml:space="preserve">.  This annual cost is salary expense for the AmeriCorps staff who assist </w:t>
      </w:r>
      <w:r w:rsidR="00F955B2">
        <w:t>respondents</w:t>
      </w:r>
      <w:r>
        <w:t xml:space="preserve"> </w:t>
      </w:r>
      <w:r w:rsidR="00F955B2">
        <w:t xml:space="preserve">and </w:t>
      </w:r>
      <w:r w:rsidR="00785313">
        <w:t xml:space="preserve">process the requests for transfers, revocations of transfers, acceptances of transfers, and rescissions of accepted transfers. </w:t>
      </w:r>
      <w:r>
        <w:t xml:space="preserve">We estimate that approximately </w:t>
      </w:r>
      <w:r w:rsidR="00571A0F">
        <w:t>3</w:t>
      </w:r>
      <w:r>
        <w:t xml:space="preserve"> staff will assist with these efforts.  We are using an average GS-12 salary, Step 10 (similar to average of NY-4/NY-3) at $49.44/hour, and average of </w:t>
      </w:r>
      <w:r w:rsidR="00571A0F">
        <w:t>25</w:t>
      </w:r>
      <w:r>
        <w:t xml:space="preserve"> hours/staff member.  </w:t>
      </w:r>
    </w:p>
    <w:p w:rsidR="003B0CB8" w:rsidRPr="00915869" w:rsidP="003B0CB8" w14:paraId="4909BF18" w14:textId="77777777"/>
    <w:p w:rsidR="003B0CB8" w:rsidRPr="00915869" w:rsidP="003B0CB8" w14:paraId="15F4DD5A" w14:textId="77777777">
      <w:r>
        <w:t xml:space="preserve">The federal government employee salary information was obtained from OPM’s 2022 Salary Table for the Rest of the U.S. (RUS) at </w:t>
      </w:r>
      <w:hyperlink r:id="rId8">
        <w:r w:rsidRPr="29663920">
          <w:rPr>
            <w:rStyle w:val="Hyperlink"/>
          </w:rPr>
          <w:t>https://www.opm.gov/policy-data-oversight/pay-leave/salaries-wages/salary-tables/pdf/2022/RUS_h.pdf</w:t>
        </w:r>
      </w:hyperlink>
      <w:r>
        <w:t xml:space="preserve"> and includes a 1.5 multiplier to account for the costs of benefits.  </w:t>
      </w:r>
    </w:p>
    <w:p w:rsidR="003B0CB8" w:rsidP="003B0CB8" w14:paraId="6DDC932B" w14:textId="77777777"/>
    <w:p w:rsidR="003B0CB8" w:rsidRPr="00A95DD7" w:rsidP="00197A08" w14:paraId="4206D1C8" w14:textId="32464588">
      <w:pPr>
        <w:rPr>
          <w:i/>
          <w:iCs/>
        </w:rPr>
      </w:pPr>
      <w:r>
        <w:rPr>
          <w:b/>
          <w:bCs/>
        </w:rPr>
        <w:t xml:space="preserve">15. </w:t>
      </w:r>
      <w:r w:rsidRPr="315E2978">
        <w:rPr>
          <w:b/>
          <w:bCs/>
        </w:rPr>
        <w:t>Reasons for Changes</w:t>
      </w:r>
    </w:p>
    <w:p w:rsidR="003B0CB8" w:rsidP="003B0CB8" w14:paraId="1AAAB48F" w14:textId="77777777">
      <w:pPr>
        <w:rPr>
          <w:i/>
          <w:iCs/>
        </w:rPr>
      </w:pPr>
    </w:p>
    <w:p w:rsidR="00BF4AFC" w:rsidP="003B0CB8" w14:paraId="1CB36F97" w14:textId="17D30CC4">
      <w:r>
        <w:t xml:space="preserve">AmeriCorps </w:t>
      </w:r>
      <w:r w:rsidR="00197A08">
        <w:t xml:space="preserve">is updating its regulations regarding education awards and made </w:t>
      </w:r>
      <w:r>
        <w:t xml:space="preserve">substantive changes that affect </w:t>
      </w:r>
      <w:r w:rsidR="006413E5">
        <w:t>the Transfer Application Form</w:t>
      </w:r>
      <w:r w:rsidR="00777E09">
        <w:t xml:space="preserve"> and </w:t>
      </w:r>
      <w:r w:rsidR="00824E4F">
        <w:t>Award Transfer Acceptance Form</w:t>
      </w:r>
      <w:r>
        <w:t>, but no change to responses or burden hours is expected.</w:t>
      </w:r>
      <w:r w:rsidR="006413E5">
        <w:t xml:space="preserve"> </w:t>
      </w:r>
    </w:p>
    <w:p w:rsidR="003B0CB8" w:rsidRPr="00A95DD7" w:rsidP="003B0CB8" w14:paraId="4BDE468D" w14:textId="77777777"/>
    <w:p w:rsidR="003B0CB8" w:rsidRPr="00A95DD7" w:rsidP="00BF4AFC" w14:paraId="2945737A" w14:textId="1E91BDD4">
      <w:pPr>
        <w:rPr>
          <w:i/>
          <w:iCs/>
        </w:rPr>
      </w:pPr>
      <w:r>
        <w:rPr>
          <w:b/>
          <w:bCs/>
        </w:rPr>
        <w:t xml:space="preserve">16. </w:t>
      </w:r>
      <w:r w:rsidRPr="531E33AA">
        <w:rPr>
          <w:b/>
          <w:bCs/>
        </w:rPr>
        <w:t>Publicizing Results</w:t>
      </w:r>
    </w:p>
    <w:p w:rsidR="003B0CB8" w:rsidP="003B0CB8" w14:paraId="686BEA82" w14:textId="77777777">
      <w:pPr>
        <w:rPr>
          <w:i/>
          <w:iCs/>
        </w:rPr>
      </w:pPr>
    </w:p>
    <w:p w:rsidR="003B0CB8" w:rsidP="00BF4AFC" w14:paraId="0299750E" w14:textId="26C07E5D">
      <w:r>
        <w:rPr>
          <w:color w:val="000000"/>
        </w:rPr>
        <w:t xml:space="preserve">AmeriCorps </w:t>
      </w:r>
      <w:r w:rsidR="00CA47EA">
        <w:rPr>
          <w:color w:val="000000"/>
        </w:rPr>
        <w:t>will not publish responses to</w:t>
      </w:r>
      <w:r>
        <w:rPr>
          <w:color w:val="000000"/>
        </w:rPr>
        <w:t xml:space="preserve"> this information collection. </w:t>
      </w:r>
      <w:r>
        <w:t xml:space="preserve"> </w:t>
      </w:r>
    </w:p>
    <w:p w:rsidR="003B0CB8" w:rsidRPr="00A95DD7" w:rsidP="003B0CB8" w14:paraId="542C4CD0" w14:textId="77777777">
      <w:pPr>
        <w:rPr>
          <w:i/>
          <w:iCs/>
        </w:rPr>
      </w:pPr>
    </w:p>
    <w:p w:rsidR="003B0CB8" w:rsidRPr="00A95DD7" w:rsidP="00BF4AFC" w14:paraId="428BABC7" w14:textId="3BE151BE">
      <w:r>
        <w:rPr>
          <w:b/>
          <w:bCs/>
        </w:rPr>
        <w:t xml:space="preserve">17. </w:t>
      </w:r>
      <w:r w:rsidRPr="00BF4AFC">
        <w:rPr>
          <w:b/>
          <w:bCs/>
        </w:rPr>
        <w:t>OMB Not to Display Approval</w:t>
      </w:r>
    </w:p>
    <w:p w:rsidR="003B0CB8" w:rsidP="003B0CB8" w14:paraId="0349C537" w14:textId="77777777">
      <w:pPr>
        <w:rPr>
          <w:i/>
          <w:iCs/>
        </w:rPr>
      </w:pPr>
    </w:p>
    <w:p w:rsidR="003B0CB8" w:rsidP="003B0CB8" w14:paraId="401F933E" w14:textId="77777777">
      <w:pPr>
        <w:rPr>
          <w:i/>
          <w:iCs/>
        </w:rPr>
      </w:pPr>
      <w:r w:rsidRPr="315E2978">
        <w:t xml:space="preserve">AmeriCorps will display the expiration date of OMB’s approval. </w:t>
      </w:r>
    </w:p>
    <w:p w:rsidR="003B0CB8" w:rsidRPr="00A95DD7" w:rsidP="003B0CB8" w14:paraId="16607736" w14:textId="77777777">
      <w:pPr>
        <w:rPr>
          <w:i/>
          <w:iCs/>
          <w:szCs w:val="22"/>
        </w:rPr>
      </w:pPr>
    </w:p>
    <w:p w:rsidR="003B0CB8" w:rsidRPr="00BF4AFC" w:rsidP="00BF4AFC" w14:paraId="0DCA1A41" w14:textId="74F33597">
      <w:pPr>
        <w:rPr>
          <w:b/>
          <w:bCs/>
        </w:rPr>
      </w:pPr>
      <w:r>
        <w:rPr>
          <w:b/>
          <w:bCs/>
        </w:rPr>
        <w:t>18.</w:t>
      </w:r>
      <w:r w:rsidRPr="00BF4AFC">
        <w:rPr>
          <w:b/>
          <w:bCs/>
        </w:rPr>
        <w:t xml:space="preserve"> Exceptions to “Certification for Paperwork Reduction Submissions”</w:t>
      </w:r>
    </w:p>
    <w:p w:rsidR="003B0CB8" w:rsidP="003B0CB8" w14:paraId="1D5DD59B" w14:textId="77777777">
      <w:pPr>
        <w:rPr>
          <w:i/>
          <w:iCs/>
        </w:rPr>
      </w:pPr>
    </w:p>
    <w:p w:rsidR="003B0CB8" w:rsidP="003B0CB8" w14:paraId="33D8524F" w14:textId="77777777">
      <w:pPr>
        <w:rPr>
          <w:i/>
          <w:iCs/>
        </w:rPr>
      </w:pPr>
      <w:r w:rsidRPr="315E2978">
        <w:t>There are no exceptions because this information collection:</w:t>
      </w:r>
    </w:p>
    <w:p w:rsidR="003B0CB8" w:rsidP="003B0CB8" w14:paraId="0CDA609E" w14:textId="77777777">
      <w:pPr>
        <w:pStyle w:val="ListParagraph"/>
        <w:numPr>
          <w:ilvl w:val="0"/>
          <w:numId w:val="5"/>
        </w:numPr>
        <w:contextualSpacing w:val="0"/>
      </w:pPr>
      <w:r w:rsidRPr="315E2978">
        <w:t>Is necessary for the proper performance of agency functions;</w:t>
      </w:r>
    </w:p>
    <w:p w:rsidR="003B0CB8" w:rsidP="003B0CB8" w14:paraId="30B93E8D" w14:textId="77777777">
      <w:pPr>
        <w:pStyle w:val="ListParagraph"/>
        <w:numPr>
          <w:ilvl w:val="0"/>
          <w:numId w:val="5"/>
        </w:numPr>
        <w:contextualSpacing w:val="0"/>
      </w:pPr>
      <w:r w:rsidRPr="315E2978">
        <w:t>Avoids necessary duplication;</w:t>
      </w:r>
    </w:p>
    <w:p w:rsidR="003B0CB8" w:rsidP="003B0CB8" w14:paraId="4DA1870E" w14:textId="77777777">
      <w:pPr>
        <w:pStyle w:val="ListParagraph"/>
        <w:numPr>
          <w:ilvl w:val="0"/>
          <w:numId w:val="5"/>
        </w:numPr>
        <w:contextualSpacing w:val="0"/>
      </w:pPr>
      <w:r w:rsidRPr="315E2978">
        <w:t>Reduces burden on small entities;</w:t>
      </w:r>
    </w:p>
    <w:p w:rsidR="003B0CB8" w:rsidP="003B0CB8" w14:paraId="48C70A23" w14:textId="77777777">
      <w:pPr>
        <w:pStyle w:val="ListParagraph"/>
        <w:numPr>
          <w:ilvl w:val="0"/>
          <w:numId w:val="5"/>
        </w:numPr>
        <w:contextualSpacing w:val="0"/>
      </w:pPr>
      <w:r w:rsidRPr="315E2978">
        <w:t>Uses plain, coherent, and unambiguous language that is understandable to respondents;</w:t>
      </w:r>
    </w:p>
    <w:p w:rsidR="003B0CB8" w:rsidP="003B0CB8" w14:paraId="16DCC9B1" w14:textId="77777777">
      <w:pPr>
        <w:pStyle w:val="ListParagraph"/>
        <w:numPr>
          <w:ilvl w:val="0"/>
          <w:numId w:val="5"/>
        </w:numPr>
        <w:contextualSpacing w:val="0"/>
      </w:pPr>
      <w:r w:rsidRPr="315E2978">
        <w:t>Will be implemented consistent and compatible with current reporting and recordkeeping practices;</w:t>
      </w:r>
    </w:p>
    <w:p w:rsidR="003B0CB8" w:rsidP="003B0CB8" w14:paraId="2F325123" w14:textId="77777777">
      <w:pPr>
        <w:pStyle w:val="ListParagraph"/>
        <w:numPr>
          <w:ilvl w:val="0"/>
          <w:numId w:val="5"/>
        </w:numPr>
        <w:contextualSpacing w:val="0"/>
      </w:pPr>
      <w:r w:rsidRPr="315E2978">
        <w:t>Indicates the retention periods for recordkeeping requirements;</w:t>
      </w:r>
    </w:p>
    <w:p w:rsidR="003B0CB8" w:rsidP="003B0CB8" w14:paraId="385F6A48" w14:textId="77777777">
      <w:pPr>
        <w:pStyle w:val="ListParagraph"/>
        <w:numPr>
          <w:ilvl w:val="0"/>
          <w:numId w:val="5"/>
        </w:numPr>
        <w:contextualSpacing w:val="0"/>
      </w:pPr>
      <w:r w:rsidRPr="315E2978">
        <w:t>Informs respondents of the information called for under 5 CFR 1320.8(b)(3) about:</w:t>
      </w:r>
    </w:p>
    <w:p w:rsidR="003B0CB8" w:rsidP="003B0CB8" w14:paraId="3F7D1955" w14:textId="77777777">
      <w:pPr>
        <w:pStyle w:val="ListParagraph"/>
        <w:numPr>
          <w:ilvl w:val="1"/>
          <w:numId w:val="5"/>
        </w:numPr>
        <w:contextualSpacing w:val="0"/>
      </w:pPr>
      <w:r w:rsidRPr="315E2978">
        <w:t>Why the information is being collected;</w:t>
      </w:r>
    </w:p>
    <w:p w:rsidR="003B0CB8" w:rsidP="003B0CB8" w14:paraId="3D41AF2A" w14:textId="77777777">
      <w:pPr>
        <w:pStyle w:val="ListParagraph"/>
        <w:numPr>
          <w:ilvl w:val="1"/>
          <w:numId w:val="5"/>
        </w:numPr>
        <w:contextualSpacing w:val="0"/>
      </w:pPr>
      <w:r w:rsidRPr="315E2978">
        <w:t>Use of the information;</w:t>
      </w:r>
    </w:p>
    <w:p w:rsidR="003B0CB8" w:rsidP="003B0CB8" w14:paraId="1BE9BD92" w14:textId="77777777">
      <w:pPr>
        <w:pStyle w:val="ListParagraph"/>
        <w:numPr>
          <w:ilvl w:val="1"/>
          <w:numId w:val="5"/>
        </w:numPr>
        <w:contextualSpacing w:val="0"/>
      </w:pPr>
      <w:r w:rsidRPr="315E2978">
        <w:t>Burden estimate;</w:t>
      </w:r>
    </w:p>
    <w:p w:rsidR="003B0CB8" w:rsidP="003B0CB8" w14:paraId="711A3F4F" w14:textId="77777777">
      <w:pPr>
        <w:pStyle w:val="ListParagraph"/>
        <w:numPr>
          <w:ilvl w:val="1"/>
          <w:numId w:val="5"/>
        </w:numPr>
        <w:contextualSpacing w:val="0"/>
      </w:pPr>
      <w:r w:rsidRPr="315E2978">
        <w:t>Nature of response (voluntary, required for benefit, or mandatory);</w:t>
      </w:r>
    </w:p>
    <w:p w:rsidR="003B0CB8" w:rsidP="003B0CB8" w14:paraId="16FBBF86" w14:textId="77777777">
      <w:pPr>
        <w:pStyle w:val="ListParagraph"/>
        <w:numPr>
          <w:ilvl w:val="1"/>
          <w:numId w:val="5"/>
        </w:numPr>
        <w:contextualSpacing w:val="0"/>
      </w:pPr>
      <w:r w:rsidRPr="315E2978">
        <w:t>Nature and extent of confidentiality; and</w:t>
      </w:r>
    </w:p>
    <w:p w:rsidR="003B0CB8" w:rsidP="003B0CB8" w14:paraId="52EF3B0A" w14:textId="77777777">
      <w:pPr>
        <w:pStyle w:val="ListParagraph"/>
        <w:numPr>
          <w:ilvl w:val="1"/>
          <w:numId w:val="5"/>
        </w:numPr>
        <w:contextualSpacing w:val="0"/>
      </w:pPr>
      <w:r w:rsidRPr="315E2978">
        <w:t>Need to display current valid OMB control number;</w:t>
      </w:r>
    </w:p>
    <w:p w:rsidR="003B0CB8" w:rsidP="003B0CB8" w14:paraId="3EB8D3C9" w14:textId="77777777">
      <w:pPr>
        <w:pStyle w:val="ListParagraph"/>
        <w:numPr>
          <w:ilvl w:val="0"/>
          <w:numId w:val="5"/>
        </w:numPr>
        <w:contextualSpacing w:val="0"/>
      </w:pPr>
      <w:r w:rsidRPr="315E2978">
        <w:t>Was developed by an office that has planned and allocated resources for the efficient and effective management and use of the information to be collected;</w:t>
      </w:r>
    </w:p>
    <w:p w:rsidR="003B0CB8" w:rsidP="003B0CB8" w14:paraId="53A1A81A" w14:textId="77777777">
      <w:pPr>
        <w:pStyle w:val="ListParagraph"/>
        <w:numPr>
          <w:ilvl w:val="0"/>
          <w:numId w:val="5"/>
        </w:numPr>
        <w:contextualSpacing w:val="0"/>
      </w:pPr>
      <w:r w:rsidRPr="315E2978">
        <w:t>Uses effective and efficient statistical survey methodology (if applicable); and</w:t>
      </w:r>
    </w:p>
    <w:p w:rsidR="00BF4AFC" w:rsidP="00BF4AFC" w14:paraId="669966B0" w14:textId="77777777">
      <w:pPr>
        <w:pStyle w:val="ListParagraph"/>
        <w:numPr>
          <w:ilvl w:val="0"/>
          <w:numId w:val="5"/>
        </w:numPr>
        <w:contextualSpacing w:val="0"/>
      </w:pPr>
      <w:r w:rsidRPr="315E2978">
        <w:t xml:space="preserve">Makes appropriate use of information technology. </w:t>
      </w:r>
    </w:p>
    <w:p w:rsidR="00BF4AFC" w:rsidP="00BF4AFC" w14:paraId="347D03D7" w14:textId="77777777"/>
    <w:p w:rsidR="003B0CB8" w:rsidP="00BF4AFC" w14:paraId="3A57B147" w14:textId="47611334">
      <w:r>
        <w:rPr>
          <w:b/>
          <w:bCs/>
        </w:rPr>
        <w:t>19.</w:t>
      </w:r>
      <w:r w:rsidRPr="531E33AA">
        <w:t xml:space="preserve"> </w:t>
      </w:r>
      <w:r w:rsidRPr="00BF4AFC">
        <w:rPr>
          <w:b/>
          <w:bCs/>
        </w:rPr>
        <w:t>Surveys, Censuses, and Other Collections that Employ Statistical Methods</w:t>
      </w:r>
    </w:p>
    <w:p w:rsidR="003B0CB8" w:rsidP="003B0CB8" w14:paraId="5138BFC4" w14:textId="77777777">
      <w:pPr>
        <w:rPr>
          <w:b/>
          <w:bCs/>
        </w:rPr>
      </w:pPr>
    </w:p>
    <w:p w:rsidR="003B0CB8" w:rsidRPr="007674AD" w:rsidP="003B0CB8" w14:paraId="0921AD48" w14:textId="77777777">
      <w:r w:rsidRPr="007674AD">
        <w:t>This request does not include surveys or censuses and does not use statistical methods</w:t>
      </w:r>
      <w:r>
        <w:t>.</w:t>
      </w:r>
    </w:p>
    <w:p w:rsidR="00D50F56" w:rsidRPr="00F75EBA" w:rsidP="00DC3CFA" w14:paraId="610A8123" w14:textId="77777777">
      <w:pPr>
        <w:rPr>
          <w:szCs w:val="22"/>
        </w:rPr>
      </w:pPr>
    </w:p>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1E" w:rsidP="00E178E3" w14:paraId="76E7A1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1E" w14:paraId="2F26E1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1E" w:rsidRPr="00E178E3" w:rsidP="00E178E3" w14:paraId="62AB927A" w14:textId="77777777">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607D7">
      <w:rPr>
        <w:rStyle w:val="PageNumber"/>
        <w:noProof/>
        <w:sz w:val="22"/>
        <w:szCs w:val="22"/>
      </w:rPr>
      <w:t>1</w:t>
    </w:r>
    <w:r w:rsidRPr="00E178E3">
      <w:rPr>
        <w:rStyle w:val="PageNumber"/>
        <w:sz w:val="22"/>
        <w:szCs w:val="22"/>
      </w:rPr>
      <w:fldChar w:fldCharType="end"/>
    </w:r>
  </w:p>
  <w:p w:rsidR="001A191E" w14:paraId="6B1F49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637F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870F76"/>
    <w:multiLevelType w:val="hybridMultilevel"/>
    <w:tmpl w:val="9154A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E9425FA"/>
    <w:multiLevelType w:val="hybridMultilevel"/>
    <w:tmpl w:val="36D01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05384440">
    <w:abstractNumId w:val="2"/>
  </w:num>
  <w:num w:numId="2" w16cid:durableId="1801075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662601">
    <w:abstractNumId w:val="4"/>
  </w:num>
  <w:num w:numId="4" w16cid:durableId="1131169368">
    <w:abstractNumId w:val="1"/>
  </w:num>
  <w:num w:numId="5" w16cid:durableId="1043286952">
    <w:abstractNumId w:val="3"/>
  </w:num>
  <w:num w:numId="6" w16cid:durableId="15816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21C8C"/>
    <w:rsid w:val="00023833"/>
    <w:rsid w:val="0003559C"/>
    <w:rsid w:val="000370E8"/>
    <w:rsid w:val="000513D6"/>
    <w:rsid w:val="000568D3"/>
    <w:rsid w:val="00057445"/>
    <w:rsid w:val="000576E9"/>
    <w:rsid w:val="00094EFB"/>
    <w:rsid w:val="000A1932"/>
    <w:rsid w:val="000C0E45"/>
    <w:rsid w:val="000C46C4"/>
    <w:rsid w:val="000D0B1C"/>
    <w:rsid w:val="000D704C"/>
    <w:rsid w:val="000E3007"/>
    <w:rsid w:val="001072CB"/>
    <w:rsid w:val="00115D37"/>
    <w:rsid w:val="00142DC2"/>
    <w:rsid w:val="0014463D"/>
    <w:rsid w:val="00195084"/>
    <w:rsid w:val="00195DE0"/>
    <w:rsid w:val="00197591"/>
    <w:rsid w:val="00197A08"/>
    <w:rsid w:val="001A191E"/>
    <w:rsid w:val="001B1A4B"/>
    <w:rsid w:val="001B205C"/>
    <w:rsid w:val="001C4327"/>
    <w:rsid w:val="001D4A4E"/>
    <w:rsid w:val="001F19B7"/>
    <w:rsid w:val="002028DA"/>
    <w:rsid w:val="002105CD"/>
    <w:rsid w:val="002126B4"/>
    <w:rsid w:val="00213BA9"/>
    <w:rsid w:val="0021772D"/>
    <w:rsid w:val="002618B1"/>
    <w:rsid w:val="00281BA0"/>
    <w:rsid w:val="002847FA"/>
    <w:rsid w:val="00291C13"/>
    <w:rsid w:val="002B2B76"/>
    <w:rsid w:val="002B3671"/>
    <w:rsid w:val="002B7037"/>
    <w:rsid w:val="002E1E83"/>
    <w:rsid w:val="002E2B3E"/>
    <w:rsid w:val="002F0A38"/>
    <w:rsid w:val="002F6903"/>
    <w:rsid w:val="00312270"/>
    <w:rsid w:val="0035071A"/>
    <w:rsid w:val="003574A0"/>
    <w:rsid w:val="00375E83"/>
    <w:rsid w:val="00382088"/>
    <w:rsid w:val="00385146"/>
    <w:rsid w:val="00390139"/>
    <w:rsid w:val="00392038"/>
    <w:rsid w:val="00395ED5"/>
    <w:rsid w:val="003A0561"/>
    <w:rsid w:val="003A12BC"/>
    <w:rsid w:val="003B09F8"/>
    <w:rsid w:val="003B0CB8"/>
    <w:rsid w:val="003B3B0A"/>
    <w:rsid w:val="003D34C2"/>
    <w:rsid w:val="003E2E6D"/>
    <w:rsid w:val="003E34C0"/>
    <w:rsid w:val="003E3526"/>
    <w:rsid w:val="003E75F8"/>
    <w:rsid w:val="003F7DFE"/>
    <w:rsid w:val="00405DFA"/>
    <w:rsid w:val="004163D5"/>
    <w:rsid w:val="00426A2E"/>
    <w:rsid w:val="00430F73"/>
    <w:rsid w:val="004340BF"/>
    <w:rsid w:val="0044080F"/>
    <w:rsid w:val="004610CB"/>
    <w:rsid w:val="004825E1"/>
    <w:rsid w:val="004A1F56"/>
    <w:rsid w:val="004A2A71"/>
    <w:rsid w:val="004B1BBA"/>
    <w:rsid w:val="004B647F"/>
    <w:rsid w:val="004D11E2"/>
    <w:rsid w:val="004D2024"/>
    <w:rsid w:val="004D2933"/>
    <w:rsid w:val="004E18A6"/>
    <w:rsid w:val="004F7ED3"/>
    <w:rsid w:val="00514C13"/>
    <w:rsid w:val="005178D2"/>
    <w:rsid w:val="00520D60"/>
    <w:rsid w:val="0052336C"/>
    <w:rsid w:val="0053009D"/>
    <w:rsid w:val="00533E46"/>
    <w:rsid w:val="00536EBB"/>
    <w:rsid w:val="00567E8B"/>
    <w:rsid w:val="00571A0F"/>
    <w:rsid w:val="00595812"/>
    <w:rsid w:val="00597953"/>
    <w:rsid w:val="005A412F"/>
    <w:rsid w:val="005B5518"/>
    <w:rsid w:val="005B6ABB"/>
    <w:rsid w:val="005C4580"/>
    <w:rsid w:val="005C7575"/>
    <w:rsid w:val="005D4B51"/>
    <w:rsid w:val="00616EA0"/>
    <w:rsid w:val="006302B8"/>
    <w:rsid w:val="006413E5"/>
    <w:rsid w:val="0064683F"/>
    <w:rsid w:val="006520B0"/>
    <w:rsid w:val="00697658"/>
    <w:rsid w:val="006C2DF3"/>
    <w:rsid w:val="006C7604"/>
    <w:rsid w:val="00700BBD"/>
    <w:rsid w:val="007045A0"/>
    <w:rsid w:val="007521C9"/>
    <w:rsid w:val="0075414C"/>
    <w:rsid w:val="00757C28"/>
    <w:rsid w:val="007674AD"/>
    <w:rsid w:val="00773E4E"/>
    <w:rsid w:val="00777E09"/>
    <w:rsid w:val="00783B2E"/>
    <w:rsid w:val="007844D8"/>
    <w:rsid w:val="00785313"/>
    <w:rsid w:val="00787B41"/>
    <w:rsid w:val="007918B7"/>
    <w:rsid w:val="007A7172"/>
    <w:rsid w:val="007C1F0A"/>
    <w:rsid w:val="007C230B"/>
    <w:rsid w:val="007C2DF1"/>
    <w:rsid w:val="007E2CA3"/>
    <w:rsid w:val="007E4B05"/>
    <w:rsid w:val="007E5C93"/>
    <w:rsid w:val="007E60E3"/>
    <w:rsid w:val="00803514"/>
    <w:rsid w:val="00813A61"/>
    <w:rsid w:val="008204A0"/>
    <w:rsid w:val="00822225"/>
    <w:rsid w:val="00824E4F"/>
    <w:rsid w:val="00825B1C"/>
    <w:rsid w:val="00872BF9"/>
    <w:rsid w:val="00883F8D"/>
    <w:rsid w:val="008C0903"/>
    <w:rsid w:val="008C5735"/>
    <w:rsid w:val="008D2EAC"/>
    <w:rsid w:val="008D6C60"/>
    <w:rsid w:val="008E0D8D"/>
    <w:rsid w:val="008E65C8"/>
    <w:rsid w:val="00915869"/>
    <w:rsid w:val="00926B3E"/>
    <w:rsid w:val="0093680B"/>
    <w:rsid w:val="00940440"/>
    <w:rsid w:val="009437C4"/>
    <w:rsid w:val="009541E3"/>
    <w:rsid w:val="00956385"/>
    <w:rsid w:val="009607D7"/>
    <w:rsid w:val="00992B15"/>
    <w:rsid w:val="00997736"/>
    <w:rsid w:val="009A0CC2"/>
    <w:rsid w:val="009E7092"/>
    <w:rsid w:val="009F1FED"/>
    <w:rsid w:val="00A05737"/>
    <w:rsid w:val="00A155EA"/>
    <w:rsid w:val="00A34937"/>
    <w:rsid w:val="00A35852"/>
    <w:rsid w:val="00A427DC"/>
    <w:rsid w:val="00A54952"/>
    <w:rsid w:val="00A57E70"/>
    <w:rsid w:val="00A618DD"/>
    <w:rsid w:val="00A705FF"/>
    <w:rsid w:val="00A76525"/>
    <w:rsid w:val="00A95DD7"/>
    <w:rsid w:val="00AB33DD"/>
    <w:rsid w:val="00AB5526"/>
    <w:rsid w:val="00AB5D41"/>
    <w:rsid w:val="00AB5E90"/>
    <w:rsid w:val="00AD1EC1"/>
    <w:rsid w:val="00AD792F"/>
    <w:rsid w:val="00AE12A7"/>
    <w:rsid w:val="00AE4ABC"/>
    <w:rsid w:val="00AE7E77"/>
    <w:rsid w:val="00AF42D4"/>
    <w:rsid w:val="00B110EF"/>
    <w:rsid w:val="00B24E7F"/>
    <w:rsid w:val="00B2798B"/>
    <w:rsid w:val="00B303C0"/>
    <w:rsid w:val="00B30940"/>
    <w:rsid w:val="00B35DE1"/>
    <w:rsid w:val="00B56C03"/>
    <w:rsid w:val="00B649E2"/>
    <w:rsid w:val="00B67617"/>
    <w:rsid w:val="00B7197E"/>
    <w:rsid w:val="00B865BD"/>
    <w:rsid w:val="00BE0835"/>
    <w:rsid w:val="00BE37EC"/>
    <w:rsid w:val="00BE6A6C"/>
    <w:rsid w:val="00BF4AFC"/>
    <w:rsid w:val="00BF7EF1"/>
    <w:rsid w:val="00C01BE5"/>
    <w:rsid w:val="00C02877"/>
    <w:rsid w:val="00C06453"/>
    <w:rsid w:val="00C31B0D"/>
    <w:rsid w:val="00C45897"/>
    <w:rsid w:val="00C47EA0"/>
    <w:rsid w:val="00C50556"/>
    <w:rsid w:val="00C51390"/>
    <w:rsid w:val="00C67C91"/>
    <w:rsid w:val="00C73FA5"/>
    <w:rsid w:val="00C740E1"/>
    <w:rsid w:val="00C77A72"/>
    <w:rsid w:val="00C83255"/>
    <w:rsid w:val="00CA01B6"/>
    <w:rsid w:val="00CA2A79"/>
    <w:rsid w:val="00CA47EA"/>
    <w:rsid w:val="00CA52B9"/>
    <w:rsid w:val="00CB7174"/>
    <w:rsid w:val="00CB7400"/>
    <w:rsid w:val="00CD771B"/>
    <w:rsid w:val="00CE1E6A"/>
    <w:rsid w:val="00CF36A8"/>
    <w:rsid w:val="00CF491F"/>
    <w:rsid w:val="00CF7ACB"/>
    <w:rsid w:val="00D00B81"/>
    <w:rsid w:val="00D03842"/>
    <w:rsid w:val="00D46240"/>
    <w:rsid w:val="00D50F56"/>
    <w:rsid w:val="00D635C5"/>
    <w:rsid w:val="00D74ADD"/>
    <w:rsid w:val="00D81506"/>
    <w:rsid w:val="00D86F41"/>
    <w:rsid w:val="00D939EC"/>
    <w:rsid w:val="00DB0B23"/>
    <w:rsid w:val="00DB26CE"/>
    <w:rsid w:val="00DC3CFA"/>
    <w:rsid w:val="00DD0FA6"/>
    <w:rsid w:val="00DE1D58"/>
    <w:rsid w:val="00DE3BFD"/>
    <w:rsid w:val="00DF31EB"/>
    <w:rsid w:val="00DF349F"/>
    <w:rsid w:val="00E178E3"/>
    <w:rsid w:val="00E26789"/>
    <w:rsid w:val="00E30376"/>
    <w:rsid w:val="00E366FB"/>
    <w:rsid w:val="00E41851"/>
    <w:rsid w:val="00E518D1"/>
    <w:rsid w:val="00E51CE6"/>
    <w:rsid w:val="00E51F0F"/>
    <w:rsid w:val="00E70003"/>
    <w:rsid w:val="00E76B6B"/>
    <w:rsid w:val="00E77FA0"/>
    <w:rsid w:val="00E842BB"/>
    <w:rsid w:val="00E90DD5"/>
    <w:rsid w:val="00EA1405"/>
    <w:rsid w:val="00EA37E6"/>
    <w:rsid w:val="00EB41BC"/>
    <w:rsid w:val="00EE6ED2"/>
    <w:rsid w:val="00EF33B1"/>
    <w:rsid w:val="00F13321"/>
    <w:rsid w:val="00F21ACE"/>
    <w:rsid w:val="00F24A85"/>
    <w:rsid w:val="00F37DF3"/>
    <w:rsid w:val="00F400EF"/>
    <w:rsid w:val="00F52800"/>
    <w:rsid w:val="00F64EE0"/>
    <w:rsid w:val="00F75EBA"/>
    <w:rsid w:val="00F87E57"/>
    <w:rsid w:val="00F955B2"/>
    <w:rsid w:val="00FA076B"/>
    <w:rsid w:val="00FA62F5"/>
    <w:rsid w:val="00FA7B79"/>
    <w:rsid w:val="00FB0EED"/>
    <w:rsid w:val="00FB3670"/>
    <w:rsid w:val="00FE3113"/>
    <w:rsid w:val="00FF10A0"/>
    <w:rsid w:val="29663920"/>
    <w:rsid w:val="315E2978"/>
    <w:rsid w:val="531E33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57FCBC"/>
  <w15:chartTrackingRefBased/>
  <w15:docId w15:val="{8AC80168-9BB7-45D4-9708-63B9C022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B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B0B23"/>
    <w:rPr>
      <w:rFonts w:ascii="Courier New" w:hAnsi="Courier New"/>
      <w:lang w:val="x-none" w:eastAsia="x-none"/>
    </w:rPr>
  </w:style>
  <w:style w:type="paragraph" w:styleId="ListParagraph">
    <w:name w:val="List Paragraph"/>
    <w:basedOn w:val="Normal"/>
    <w:uiPriority w:val="34"/>
    <w:qFormat/>
    <w:rsid w:val="003E3526"/>
    <w:pPr>
      <w:ind w:left="720"/>
      <w:contextualSpacing/>
    </w:pPr>
  </w:style>
  <w:style w:type="paragraph" w:customStyle="1" w:styleId="Default">
    <w:name w:val="Default"/>
    <w:basedOn w:val="Normal"/>
    <w:rsid w:val="00426A2E"/>
    <w:pPr>
      <w:autoSpaceDE w:val="0"/>
      <w:autoSpaceDN w:val="0"/>
    </w:pPr>
    <w:rPr>
      <w:rFonts w:ascii="Calibri" w:eastAsia="Calibri" w:hAnsi="Calibri"/>
      <w:color w:val="000000"/>
    </w:rPr>
  </w:style>
  <w:style w:type="character" w:styleId="Hyperlink">
    <w:name w:val="Hyperlink"/>
    <w:rsid w:val="003B0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pdf/2022/RUS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a43b28a6-9bb0-4696-b776-f7505fe88166" xsi:nil="true"/>
    <PublishingStartDate xmlns="a43b28a6-9bb0-4696-b776-f7505fe88166" xsi:nil="true"/>
    <lcf76f155ced4ddcb4097134ff3c332f xmlns="a43b28a6-9bb0-4696-b776-f7505fe88166">
      <Terms xmlns="http://schemas.microsoft.com/office/infopath/2007/PartnerControls"/>
    </lcf76f155ced4ddcb4097134ff3c332f>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4" ma:contentTypeDescription="Create a new document." ma:contentTypeScope="" ma:versionID="83ba29fcf4fc96bce899ccd95791f77a">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67d262960ada8f6e98186815c82a5a0f"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2.xml><?xml version="1.0" encoding="utf-8"?>
<ds:datastoreItem xmlns:ds="http://schemas.openxmlformats.org/officeDocument/2006/customXml" ds:itemID="{0978BE43-1707-45F7-BE7C-BF6C41191F91}">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B1731F50-E610-4447-A47F-858460AE2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0AEA2-998A-4783-A33B-5CD7E40C9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keywords>OMB</cp:keywords>
  <cp:lastModifiedBy>Appel, Elizabeth</cp:lastModifiedBy>
  <cp:revision>6</cp:revision>
  <cp:lastPrinted>2006-03-09T20:43:00Z</cp:lastPrinted>
  <dcterms:created xsi:type="dcterms:W3CDTF">2023-04-26T18:55:00Z</dcterms:created>
  <dcterms:modified xsi:type="dcterms:W3CDTF">2023-04-26T18:58:00Z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0x0101003263C97756FA2D47B45612684054DAE2</vt:lpwstr>
  </property>
  <property fmtid="{D5CDD505-2E9C-101B-9397-08002B2CF9AE}" pid="4" name="display_urn:schemas-microsoft-com:office:office#Author">
    <vt:lpwstr>Borgstrom, Amy</vt:lpwstr>
  </property>
  <property fmtid="{D5CDD505-2E9C-101B-9397-08002B2CF9AE}" pid="5" name="display_urn:schemas-microsoft-com:office:office#Editor">
    <vt:lpwstr>Borgstrom, Amy</vt:lpwstr>
  </property>
  <property fmtid="{D5CDD505-2E9C-101B-9397-08002B2CF9AE}" pid="6" name="display_urn:schemas-microsoft-com:office:office#SharedWithUsers">
    <vt:lpwstr>Clinton, John;Taylor, Rhonda;Wallinger, Greg;Menon, Roshni;Premo, Dave;Bruder, Carly</vt:lpwstr>
  </property>
  <property fmtid="{D5CDD505-2E9C-101B-9397-08002B2CF9AE}" pid="7" name="MediaServiceImageTags">
    <vt:lpwstr/>
  </property>
  <property fmtid="{D5CDD505-2E9C-101B-9397-08002B2CF9AE}" pid="8" name="TaxCatchAll">
    <vt:lpwstr>25;#OMB</vt:lpwstr>
  </property>
  <property fmtid="{D5CDD505-2E9C-101B-9397-08002B2CF9AE}" pid="9" name="TaxKeyword">
    <vt:lpwstr>25;#OMB|04ce8ce4-fc8e-4995-9967-59c5db76beaf</vt:lpwstr>
  </property>
  <property fmtid="{D5CDD505-2E9C-101B-9397-08002B2CF9AE}" pid="10" name="TaxKeywordTaxHTField">
    <vt:lpwstr>OMB|04ce8ce4-fc8e-4995-9967-59c5db76beaf</vt:lpwstr>
  </property>
  <property fmtid="{D5CDD505-2E9C-101B-9397-08002B2CF9AE}" pid="11" name="_dlc_DocId">
    <vt:lpwstr>VWMP5RR7HZ5Z-913038089-34896</vt:lpwstr>
  </property>
  <property fmtid="{D5CDD505-2E9C-101B-9397-08002B2CF9AE}" pid="12" name="_dlc_DocIdItemGuid">
    <vt:lpwstr>4dcb563b-272d-4659-8057-5ebe3269309f</vt:lpwstr>
  </property>
  <property fmtid="{D5CDD505-2E9C-101B-9397-08002B2CF9AE}" pid="13" name="_dlc_DocIdUrl">
    <vt:lpwstr>https://cnsgov.sharepoint.com/sites/CEO/InternalSite/_layouts/15/DocIdRedir.aspx?ID=VWMP5RR7HZ5Z-913038089-34896, VWMP5RR7HZ5Z-913038089-34896</vt:lpwstr>
  </property>
  <property fmtid="{D5CDD505-2E9C-101B-9397-08002B2CF9AE}" pid="14" name="_ExtendedDescription">
    <vt:lpwstr/>
  </property>
</Properties>
</file>