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C62" w:rsidRPr="00AA68A7" w:rsidP="00B728DE" w14:paraId="790A43D8" w14:textId="77777777">
      <w:pPr>
        <w:jc w:val="center"/>
        <w:rPr>
          <w:b/>
          <w:bCs/>
          <w:sz w:val="22"/>
          <w:szCs w:val="22"/>
        </w:rPr>
      </w:pPr>
      <w:r w:rsidRPr="00AA68A7">
        <w:rPr>
          <w:b/>
          <w:bCs/>
          <w:sz w:val="22"/>
          <w:szCs w:val="22"/>
        </w:rPr>
        <w:t>SUPPORTING STATEMENT</w:t>
      </w:r>
    </w:p>
    <w:p w:rsidR="00C07C62" w:rsidRPr="00AA68A7" w:rsidP="00C07C62" w14:paraId="19D9A976" w14:textId="77777777">
      <w:pPr>
        <w:rPr>
          <w:spacing w:val="-3"/>
          <w:sz w:val="22"/>
          <w:szCs w:val="22"/>
        </w:rPr>
      </w:pPr>
      <w:r w:rsidRPr="00AA68A7">
        <w:rPr>
          <w:b/>
          <w:spacing w:val="-3"/>
          <w:sz w:val="22"/>
          <w:szCs w:val="22"/>
        </w:rPr>
        <w:t>A. Justification</w:t>
      </w:r>
      <w:r w:rsidRPr="00AA68A7">
        <w:rPr>
          <w:spacing w:val="-3"/>
          <w:sz w:val="22"/>
          <w:szCs w:val="22"/>
        </w:rPr>
        <w:t>:</w:t>
      </w:r>
    </w:p>
    <w:p w:rsidR="00271983" w:rsidRPr="00AA68A7" w:rsidP="00C07C62" w14:paraId="4E46CE3C" w14:textId="77777777">
      <w:pPr>
        <w:rPr>
          <w:spacing w:val="-3"/>
          <w:sz w:val="22"/>
          <w:szCs w:val="22"/>
        </w:rPr>
      </w:pPr>
    </w:p>
    <w:p w:rsidR="00C11F28" w:rsidRPr="00AA68A7" w:rsidP="007A474D" w14:paraId="0D62C0BF" w14:textId="77777777">
      <w:pPr>
        <w:suppressAutoHyphens/>
        <w:spacing w:after="240"/>
        <w:rPr>
          <w:sz w:val="22"/>
          <w:szCs w:val="22"/>
        </w:rPr>
      </w:pPr>
      <w:r w:rsidRPr="00AA68A7">
        <w:rPr>
          <w:spacing w:val="-3"/>
          <w:sz w:val="22"/>
          <w:szCs w:val="22"/>
        </w:rPr>
        <w:t xml:space="preserve">1.  </w:t>
      </w:r>
      <w:r w:rsidRPr="00AA68A7" w:rsidR="00A32558">
        <w:rPr>
          <w:spacing w:val="-3"/>
          <w:sz w:val="22"/>
          <w:szCs w:val="22"/>
        </w:rPr>
        <w:t xml:space="preserve">Form 2100, </w:t>
      </w:r>
      <w:r w:rsidRPr="00AA68A7" w:rsidR="00857065">
        <w:rPr>
          <w:spacing w:val="-3"/>
          <w:sz w:val="22"/>
          <w:szCs w:val="22"/>
        </w:rPr>
        <w:t xml:space="preserve">Schedule </w:t>
      </w:r>
      <w:r w:rsidRPr="00AA68A7" w:rsidR="00835EE1">
        <w:rPr>
          <w:spacing w:val="-3"/>
          <w:sz w:val="22"/>
          <w:szCs w:val="22"/>
        </w:rPr>
        <w:t>318,</w:t>
      </w:r>
      <w:r w:rsidRPr="00AA68A7" w:rsidR="00835EE1">
        <w:rPr>
          <w:b/>
          <w:spacing w:val="-3"/>
          <w:sz w:val="22"/>
          <w:szCs w:val="22"/>
        </w:rPr>
        <w:t xml:space="preserve"> </w:t>
      </w:r>
      <w:r w:rsidRPr="00AA68A7" w:rsidR="00857065">
        <w:rPr>
          <w:bCs/>
          <w:spacing w:val="-3"/>
          <w:sz w:val="22"/>
          <w:szCs w:val="22"/>
        </w:rPr>
        <w:t>Low</w:t>
      </w:r>
      <w:r w:rsidRPr="00AA68A7" w:rsidR="00857065">
        <w:rPr>
          <w:b/>
          <w:spacing w:val="-3"/>
          <w:sz w:val="22"/>
          <w:szCs w:val="22"/>
        </w:rPr>
        <w:t xml:space="preserve"> </w:t>
      </w:r>
      <w:r w:rsidRPr="00AA68A7" w:rsidR="00857065">
        <w:rPr>
          <w:bCs/>
          <w:spacing w:val="-3"/>
          <w:sz w:val="22"/>
          <w:szCs w:val="22"/>
        </w:rPr>
        <w:t xml:space="preserve">Power FM Station Construction Permit </w:t>
      </w:r>
      <w:r w:rsidRPr="00AA68A7" w:rsidR="00835EE1">
        <w:rPr>
          <w:bCs/>
          <w:sz w:val="22"/>
          <w:szCs w:val="22"/>
        </w:rPr>
        <w:t>Application</w:t>
      </w:r>
      <w:r w:rsidRPr="00AA68A7" w:rsidR="00A32558">
        <w:rPr>
          <w:bCs/>
          <w:sz w:val="22"/>
          <w:szCs w:val="22"/>
        </w:rPr>
        <w:t xml:space="preserve"> (Schedule 318)</w:t>
      </w:r>
      <w:r w:rsidRPr="00AA68A7" w:rsidR="00835EE1">
        <w:rPr>
          <w:sz w:val="22"/>
          <w:szCs w:val="22"/>
        </w:rPr>
        <w:t>, is used to</w:t>
      </w:r>
      <w:r w:rsidRPr="00AA68A7" w:rsidR="00FE0990">
        <w:rPr>
          <w:sz w:val="22"/>
          <w:szCs w:val="22"/>
        </w:rPr>
        <w:t>: (1)</w:t>
      </w:r>
      <w:r w:rsidRPr="00AA68A7" w:rsidR="00835EE1">
        <w:rPr>
          <w:sz w:val="22"/>
          <w:szCs w:val="22"/>
        </w:rPr>
        <w:t xml:space="preserve"> apply to construct a new</w:t>
      </w:r>
      <w:r w:rsidRPr="00AA68A7" w:rsidR="00FE0990">
        <w:rPr>
          <w:sz w:val="22"/>
          <w:szCs w:val="22"/>
        </w:rPr>
        <w:t xml:space="preserve"> Low Power FM</w:t>
      </w:r>
      <w:r w:rsidRPr="00AA68A7" w:rsidR="00835EE1">
        <w:rPr>
          <w:sz w:val="22"/>
          <w:szCs w:val="22"/>
        </w:rPr>
        <w:t xml:space="preserve"> </w:t>
      </w:r>
      <w:r w:rsidRPr="00AA68A7" w:rsidR="00FE0990">
        <w:rPr>
          <w:sz w:val="22"/>
          <w:szCs w:val="22"/>
        </w:rPr>
        <w:t>(</w:t>
      </w:r>
      <w:r w:rsidRPr="00AA68A7" w:rsidR="00835EE1">
        <w:rPr>
          <w:sz w:val="22"/>
          <w:szCs w:val="22"/>
        </w:rPr>
        <w:t>LPFM</w:t>
      </w:r>
      <w:r w:rsidRPr="00AA68A7" w:rsidR="00FE0990">
        <w:rPr>
          <w:sz w:val="22"/>
          <w:szCs w:val="22"/>
        </w:rPr>
        <w:t xml:space="preserve">) </w:t>
      </w:r>
      <w:r w:rsidRPr="00AA68A7" w:rsidR="00835EE1">
        <w:rPr>
          <w:sz w:val="22"/>
          <w:szCs w:val="22"/>
        </w:rPr>
        <w:t>broadcast station</w:t>
      </w:r>
      <w:r w:rsidRPr="00AA68A7" w:rsidR="00FE0990">
        <w:rPr>
          <w:sz w:val="22"/>
          <w:szCs w:val="22"/>
        </w:rPr>
        <w:t>; (2)</w:t>
      </w:r>
      <w:r w:rsidRPr="00AA68A7" w:rsidR="00835EE1">
        <w:rPr>
          <w:sz w:val="22"/>
          <w:szCs w:val="22"/>
        </w:rPr>
        <w:t xml:space="preserve"> make changes </w:t>
      </w:r>
      <w:r w:rsidRPr="00AA68A7" w:rsidR="00644C34">
        <w:rPr>
          <w:sz w:val="22"/>
          <w:szCs w:val="22"/>
        </w:rPr>
        <w:t>to</w:t>
      </w:r>
      <w:r w:rsidRPr="00AA68A7" w:rsidR="00835EE1">
        <w:rPr>
          <w:sz w:val="22"/>
          <w:szCs w:val="22"/>
        </w:rPr>
        <w:t xml:space="preserve"> an authorized LPFM broadcast station</w:t>
      </w:r>
      <w:r w:rsidRPr="00AA68A7" w:rsidR="00FE0990">
        <w:rPr>
          <w:sz w:val="22"/>
          <w:szCs w:val="22"/>
        </w:rPr>
        <w:t>; (3)</w:t>
      </w:r>
      <w:r w:rsidRPr="00AA68A7" w:rsidR="00835EE1">
        <w:rPr>
          <w:sz w:val="22"/>
          <w:szCs w:val="22"/>
        </w:rPr>
        <w:t xml:space="preserve"> amend a pending </w:t>
      </w:r>
      <w:r w:rsidRPr="00AA68A7" w:rsidR="00A5582B">
        <w:rPr>
          <w:sz w:val="22"/>
          <w:szCs w:val="22"/>
        </w:rPr>
        <w:t>LPFM c</w:t>
      </w:r>
      <w:r w:rsidRPr="00AA68A7" w:rsidR="00835EE1">
        <w:rPr>
          <w:sz w:val="22"/>
          <w:szCs w:val="22"/>
        </w:rPr>
        <w:t xml:space="preserve">onstruction </w:t>
      </w:r>
      <w:r w:rsidRPr="00AA68A7" w:rsidR="00A5582B">
        <w:rPr>
          <w:sz w:val="22"/>
          <w:szCs w:val="22"/>
        </w:rPr>
        <w:t>p</w:t>
      </w:r>
      <w:r w:rsidRPr="00AA68A7" w:rsidR="00835EE1">
        <w:rPr>
          <w:sz w:val="22"/>
          <w:szCs w:val="22"/>
        </w:rPr>
        <w:t>ermit application</w:t>
      </w:r>
      <w:r w:rsidRPr="00AA68A7" w:rsidR="00FE0990">
        <w:rPr>
          <w:sz w:val="22"/>
          <w:szCs w:val="22"/>
        </w:rPr>
        <w:t>; or (4) propose mandatory time-sharing</w:t>
      </w:r>
      <w:r w:rsidRPr="00AA68A7" w:rsidR="00835EE1">
        <w:rPr>
          <w:sz w:val="22"/>
          <w:szCs w:val="22"/>
        </w:rPr>
        <w:t xml:space="preserve">.  </w:t>
      </w:r>
    </w:p>
    <w:p w:rsidR="007A474D" w:rsidRPr="00AA68A7" w:rsidP="007A474D" w14:paraId="208916E9" w14:textId="77777777">
      <w:pPr>
        <w:widowControl w:val="0"/>
        <w:snapToGrid w:val="0"/>
        <w:rPr>
          <w:b/>
          <w:sz w:val="22"/>
          <w:szCs w:val="22"/>
        </w:rPr>
      </w:pPr>
      <w:r w:rsidRPr="00AA68A7">
        <w:rPr>
          <w:i/>
          <w:spacing w:val="-3"/>
          <w:sz w:val="22"/>
          <w:szCs w:val="22"/>
        </w:rPr>
        <w:t>Schedule 3</w:t>
      </w:r>
      <w:r w:rsidRPr="00AA68A7" w:rsidR="0022376D">
        <w:rPr>
          <w:i/>
          <w:spacing w:val="-3"/>
          <w:sz w:val="22"/>
          <w:szCs w:val="22"/>
        </w:rPr>
        <w:t>18</w:t>
      </w:r>
      <w:r w:rsidRPr="00AA68A7">
        <w:rPr>
          <w:i/>
          <w:spacing w:val="-3"/>
          <w:sz w:val="22"/>
          <w:szCs w:val="22"/>
        </w:rPr>
        <w:t>’s Online Notice (third party disclosure) Requirement</w:t>
      </w:r>
      <w:r w:rsidRPr="00AA68A7">
        <w:rPr>
          <w:iCs/>
          <w:spacing w:val="-3"/>
          <w:sz w:val="22"/>
          <w:szCs w:val="22"/>
        </w:rPr>
        <w:t>:</w:t>
      </w:r>
      <w:r w:rsidRPr="00AA68A7">
        <w:rPr>
          <w:spacing w:val="-3"/>
          <w:sz w:val="22"/>
          <w:szCs w:val="22"/>
          <w:shd w:val="clear" w:color="auto" w:fill="FFFFFF"/>
        </w:rPr>
        <w:t xml:space="preserve">  47 CFR </w:t>
      </w:r>
      <w:r w:rsidRPr="00AA68A7" w:rsidR="003C1C55">
        <w:rPr>
          <w:sz w:val="22"/>
          <w:szCs w:val="22"/>
        </w:rPr>
        <w:t>§</w:t>
      </w:r>
      <w:r w:rsidRPr="00AA68A7">
        <w:rPr>
          <w:spacing w:val="-3"/>
          <w:sz w:val="22"/>
          <w:szCs w:val="22"/>
          <w:shd w:val="clear" w:color="auto" w:fill="FFFFFF"/>
        </w:rPr>
        <w:t>73.3580, as amended in the Commission’s 2020 Public Notice Second Report and Order,</w:t>
      </w:r>
      <w:r>
        <w:rPr>
          <w:spacing w:val="-3"/>
          <w:sz w:val="22"/>
          <w:szCs w:val="22"/>
          <w:shd w:val="clear" w:color="auto" w:fill="FFFFFF"/>
          <w:vertAlign w:val="superscript"/>
        </w:rPr>
        <w:footnoteReference w:id="2"/>
      </w:r>
      <w:r w:rsidRPr="00AA68A7">
        <w:rPr>
          <w:spacing w:val="-3"/>
          <w:sz w:val="22"/>
          <w:szCs w:val="22"/>
          <w:shd w:val="clear" w:color="auto" w:fill="FFFFFF"/>
        </w:rPr>
        <w:t xml:space="preserve"> discussed below, requires local public notice of the filing of all applications to construct a new </w:t>
      </w:r>
      <w:r w:rsidRPr="00AA68A7" w:rsidR="0079348B">
        <w:rPr>
          <w:spacing w:val="-3"/>
          <w:sz w:val="22"/>
          <w:szCs w:val="22"/>
          <w:shd w:val="clear" w:color="auto" w:fill="FFFFFF"/>
        </w:rPr>
        <w:t>LPFM</w:t>
      </w:r>
      <w:r w:rsidRPr="00AA68A7">
        <w:rPr>
          <w:spacing w:val="-3"/>
          <w:sz w:val="22"/>
          <w:szCs w:val="22"/>
          <w:shd w:val="clear" w:color="auto" w:fill="FFFFFF"/>
        </w:rPr>
        <w:t xml:space="preserve"> broadcast station.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r w:rsidRPr="00AA68A7">
        <w:rPr>
          <w:spacing w:val="-3"/>
          <w:sz w:val="22"/>
          <w:szCs w:val="22"/>
          <w:shd w:val="clear" w:color="auto" w:fill="FFFFFF"/>
        </w:rPr>
        <w:t>as</w:t>
      </w:r>
      <w:r w:rsidRPr="00AA68A7">
        <w:rPr>
          <w:spacing w:val="-3"/>
          <w:sz w:val="22"/>
          <w:szCs w:val="22"/>
          <w:shd w:val="clear" w:color="auto" w:fill="FFFFFF"/>
        </w:rPr>
        <w:t xml:space="preserve"> filed in </w:t>
      </w:r>
      <w:r w:rsidRPr="00AA68A7" w:rsidR="0044377F">
        <w:rPr>
          <w:spacing w:val="-3"/>
          <w:sz w:val="22"/>
          <w:szCs w:val="22"/>
          <w:shd w:val="clear" w:color="auto" w:fill="FFFFFF"/>
        </w:rPr>
        <w:t xml:space="preserve">the Commission’s LMS licensing </w:t>
      </w:r>
      <w:r w:rsidRPr="00AA68A7">
        <w:rPr>
          <w:spacing w:val="-3"/>
          <w:sz w:val="22"/>
          <w:szCs w:val="22"/>
          <w:shd w:val="clear" w:color="auto" w:fill="FFFFFF"/>
        </w:rPr>
        <w:t>database.</w:t>
      </w:r>
      <w:r w:rsidRPr="00AA68A7" w:rsidR="001D54D4">
        <w:rPr>
          <w:spacing w:val="-3"/>
          <w:sz w:val="22"/>
          <w:szCs w:val="22"/>
          <w:shd w:val="clear" w:color="auto" w:fill="FFFFFF"/>
        </w:rPr>
        <w:t xml:space="preserve">  </w:t>
      </w:r>
      <w:r w:rsidRPr="00AA68A7" w:rsidR="0080344E">
        <w:rPr>
          <w:sz w:val="22"/>
          <w:szCs w:val="22"/>
        </w:rPr>
        <w:t>In the 2020 Public Notice Second Report and Order, t</w:t>
      </w:r>
      <w:r w:rsidRPr="00AA68A7" w:rsidR="001D54D4">
        <w:rPr>
          <w:sz w:val="22"/>
          <w:szCs w:val="22"/>
        </w:rPr>
        <w:t>he Commission also clarified LPFM stations’ obligations to provide local public notice,</w:t>
      </w:r>
      <w:r w:rsidRPr="00AA68A7" w:rsidR="00615ED1">
        <w:rPr>
          <w:sz w:val="22"/>
          <w:szCs w:val="22"/>
        </w:rPr>
        <w:t xml:space="preserve"> </w:t>
      </w:r>
      <w:r w:rsidRPr="00AA68A7" w:rsidR="001D54D4">
        <w:rPr>
          <w:sz w:val="22"/>
          <w:szCs w:val="22"/>
        </w:rPr>
        <w:t xml:space="preserve">and amended section 73.801 of the rules to </w:t>
      </w:r>
      <w:r w:rsidRPr="00AA68A7" w:rsidR="0080344E">
        <w:rPr>
          <w:sz w:val="22"/>
          <w:szCs w:val="22"/>
        </w:rPr>
        <w:t>indicate that</w:t>
      </w:r>
      <w:r w:rsidRPr="00AA68A7" w:rsidR="001D54D4">
        <w:rPr>
          <w:sz w:val="22"/>
          <w:szCs w:val="22"/>
        </w:rPr>
        <w:t xml:space="preserve"> the local public notice rule, 47 CFR § 73.3580</w:t>
      </w:r>
      <w:r w:rsidRPr="00AA68A7" w:rsidR="0080344E">
        <w:rPr>
          <w:sz w:val="22"/>
          <w:szCs w:val="22"/>
        </w:rPr>
        <w:t>, applies to the LPFM service</w:t>
      </w:r>
      <w:r w:rsidRPr="00AA68A7" w:rsidR="001D54D4">
        <w:rPr>
          <w:sz w:val="22"/>
          <w:szCs w:val="22"/>
        </w:rPr>
        <w:t>.</w:t>
      </w:r>
    </w:p>
    <w:p w:rsidR="00647639" w:rsidRPr="00AA68A7" w:rsidP="00C11F28" w14:paraId="4640B2F9" w14:textId="77777777">
      <w:pPr>
        <w:suppressAutoHyphens/>
        <w:spacing w:after="240"/>
        <w:jc w:val="both"/>
        <w:rPr>
          <w:b/>
          <w:spacing w:val="-3"/>
          <w:sz w:val="22"/>
          <w:szCs w:val="22"/>
          <w:u w:val="single"/>
        </w:rPr>
      </w:pPr>
    </w:p>
    <w:p w:rsidR="00D95A88" w:rsidRPr="00AA68A7" w:rsidP="00D95A88" w14:paraId="3EE10E0D" w14:textId="77777777">
      <w:pPr>
        <w:widowControl w:val="0"/>
        <w:numPr>
          <w:ilvl w:val="0"/>
          <w:numId w:val="6"/>
        </w:numPr>
        <w:autoSpaceDE w:val="0"/>
        <w:autoSpaceDN w:val="0"/>
        <w:adjustRightInd w:val="0"/>
        <w:snapToGrid w:val="0"/>
        <w:contextualSpacing/>
        <w:rPr>
          <w:b/>
          <w:bCs/>
          <w:sz w:val="22"/>
          <w:szCs w:val="22"/>
        </w:rPr>
      </w:pPr>
      <w:r w:rsidRPr="00AA68A7">
        <w:rPr>
          <w:b/>
          <w:bCs/>
          <w:sz w:val="22"/>
          <w:szCs w:val="22"/>
        </w:rPr>
        <w:t>2019 NCE -LPFM Report and Order</w:t>
      </w:r>
    </w:p>
    <w:p w:rsidR="00D95A88" w:rsidRPr="00AA68A7" w:rsidP="00D95A88" w14:paraId="5AE4D48C" w14:textId="77777777">
      <w:pPr>
        <w:widowControl w:val="0"/>
        <w:autoSpaceDE w:val="0"/>
        <w:autoSpaceDN w:val="0"/>
        <w:adjustRightInd w:val="0"/>
        <w:snapToGrid w:val="0"/>
        <w:rPr>
          <w:sz w:val="22"/>
          <w:szCs w:val="22"/>
        </w:rPr>
      </w:pPr>
    </w:p>
    <w:p w:rsidR="00D95A88" w:rsidRPr="00AA68A7" w:rsidP="00D95A88" w14:paraId="17BAF82C" w14:textId="77777777">
      <w:pPr>
        <w:widowControl w:val="0"/>
        <w:snapToGrid w:val="0"/>
        <w:ind w:firstLine="720"/>
        <w:rPr>
          <w:sz w:val="22"/>
          <w:szCs w:val="22"/>
        </w:rPr>
      </w:pPr>
      <w:r w:rsidRPr="00AA68A7">
        <w:rPr>
          <w:spacing w:val="-3"/>
          <w:sz w:val="22"/>
          <w:szCs w:val="22"/>
        </w:rPr>
        <w:t xml:space="preserve">This submission is being made to the Office of Management (OMB) for the approval of information collection requirements contained in the Commission’s </w:t>
      </w:r>
      <w:r w:rsidRPr="00AA68A7">
        <w:rPr>
          <w:i/>
          <w:iCs/>
          <w:spacing w:val="-3"/>
          <w:sz w:val="22"/>
          <w:szCs w:val="22"/>
        </w:rPr>
        <w:t>NCE LPFM</w:t>
      </w:r>
      <w:r w:rsidRPr="00AA68A7">
        <w:rPr>
          <w:spacing w:val="-3"/>
          <w:sz w:val="22"/>
          <w:szCs w:val="22"/>
        </w:rPr>
        <w:t xml:space="preserve"> </w:t>
      </w:r>
      <w:r w:rsidRPr="00AA68A7">
        <w:rPr>
          <w:i/>
          <w:sz w:val="22"/>
          <w:szCs w:val="22"/>
        </w:rPr>
        <w:t>Report and Order</w:t>
      </w:r>
      <w:r w:rsidRPr="00AA68A7">
        <w:rPr>
          <w:sz w:val="22"/>
          <w:szCs w:val="22"/>
        </w:rPr>
        <w:t xml:space="preserve"> </w:t>
      </w:r>
      <w:r>
        <w:rPr>
          <w:sz w:val="22"/>
          <w:szCs w:val="22"/>
          <w:vertAlign w:val="superscript"/>
        </w:rPr>
        <w:footnoteReference w:id="3"/>
      </w:r>
      <w:r w:rsidRPr="00AA68A7">
        <w:rPr>
          <w:sz w:val="22"/>
          <w:szCs w:val="22"/>
        </w:rPr>
        <w:t xml:space="preserve"> adopted December 10, 2019, and released on December 11, 2019, where the Commission revised its rules and procedures for considering competing applications for new and major modifications to noncommercial educational full-service FM and full-power television (NCE), and low power FM (LPFM) broadcast stations.  The changes are designed to improve the comparative selection and licensing procedures, expedite the initiation of new service to the public, eliminate unnecessary applicant burdens, and reduce the number of appeals of NCE comparative licensing decisions.</w:t>
      </w:r>
    </w:p>
    <w:p w:rsidR="00D95A88" w:rsidRPr="00AA68A7" w:rsidP="00D95A88" w14:paraId="7ACF6661" w14:textId="77777777">
      <w:pPr>
        <w:widowControl w:val="0"/>
        <w:tabs>
          <w:tab w:val="left" w:pos="8640"/>
        </w:tabs>
        <w:snapToGrid w:val="0"/>
        <w:rPr>
          <w:sz w:val="22"/>
          <w:szCs w:val="22"/>
        </w:rPr>
      </w:pPr>
    </w:p>
    <w:p w:rsidR="00D95A88" w:rsidRPr="00AA68A7" w:rsidP="00D95A88" w14:paraId="01979280" w14:textId="77777777">
      <w:pPr>
        <w:widowControl w:val="0"/>
        <w:snapToGrid w:val="0"/>
        <w:rPr>
          <w:sz w:val="22"/>
          <w:szCs w:val="22"/>
        </w:rPr>
      </w:pPr>
      <w:r w:rsidRPr="00AA68A7">
        <w:rPr>
          <w:sz w:val="22"/>
          <w:szCs w:val="22"/>
        </w:rPr>
        <w:tab/>
        <w:t xml:space="preserve">First, to improve the NCE comparative process, the </w:t>
      </w:r>
      <w:r w:rsidRPr="00AA68A7">
        <w:rPr>
          <w:i/>
          <w:sz w:val="22"/>
          <w:szCs w:val="22"/>
        </w:rPr>
        <w:t>NCE LPFM Report and Order</w:t>
      </w:r>
      <w:r w:rsidRPr="00AA68A7">
        <w:rPr>
          <w:sz w:val="22"/>
          <w:szCs w:val="22"/>
        </w:rPr>
        <w:t xml:space="preserve">: (1) eliminates the governing document requirements for established local applicants and applicants claiming diversity points; (2) establishes a uniform divestiture pledge policy; (3) expands the tie-breaker criteria and revises </w:t>
      </w:r>
      <w:r w:rsidRPr="00AA68A7">
        <w:rPr>
          <w:sz w:val="22"/>
          <w:szCs w:val="22"/>
        </w:rPr>
        <w:t>the procedures for allocating time in mandatory time-sharing situations; and (4) clarifies and modifies the “holding period” rule.</w:t>
      </w:r>
    </w:p>
    <w:p w:rsidR="00D95A88" w:rsidRPr="00AA68A7" w:rsidP="00D95A88" w14:paraId="2EDBE456" w14:textId="77777777">
      <w:pPr>
        <w:widowControl w:val="0"/>
        <w:tabs>
          <w:tab w:val="left" w:pos="8640"/>
        </w:tabs>
        <w:snapToGrid w:val="0"/>
        <w:rPr>
          <w:sz w:val="22"/>
          <w:szCs w:val="22"/>
        </w:rPr>
      </w:pPr>
    </w:p>
    <w:p w:rsidR="00D95A88" w:rsidRPr="00AA68A7" w:rsidP="00D95A88" w14:paraId="44D374AF" w14:textId="77777777">
      <w:pPr>
        <w:widowControl w:val="0"/>
        <w:tabs>
          <w:tab w:val="left" w:pos="810"/>
          <w:tab w:val="left" w:pos="8280"/>
        </w:tabs>
        <w:snapToGrid w:val="0"/>
        <w:rPr>
          <w:sz w:val="22"/>
          <w:szCs w:val="22"/>
        </w:rPr>
      </w:pPr>
      <w:r w:rsidRPr="00AA68A7">
        <w:rPr>
          <w:sz w:val="22"/>
          <w:szCs w:val="22"/>
        </w:rPr>
        <w:tab/>
        <w:t xml:space="preserve">Second, the </w:t>
      </w:r>
      <w:r w:rsidRPr="00AA68A7">
        <w:rPr>
          <w:i/>
          <w:iCs/>
          <w:sz w:val="22"/>
          <w:szCs w:val="22"/>
        </w:rPr>
        <w:t>NCE LPFM Report</w:t>
      </w:r>
      <w:r w:rsidRPr="00AA68A7">
        <w:rPr>
          <w:i/>
          <w:sz w:val="22"/>
          <w:szCs w:val="22"/>
        </w:rPr>
        <w:t xml:space="preserve"> and Order </w:t>
      </w:r>
      <w:r w:rsidRPr="00AA68A7">
        <w:rPr>
          <w:sz w:val="22"/>
          <w:szCs w:val="22"/>
        </w:rPr>
        <w:t>adopts the following changes to the LPFM comparative process: (1) prohibits amendments that attempt to cure past unauthorized station violations; (2) authorizes time-sharing discussions prior to tentative selectee designations; and (3) establishes procedures for remaining tentative selectees following dismissal of point aggregation time-share agreements.</w:t>
      </w:r>
    </w:p>
    <w:p w:rsidR="00D95A88" w:rsidRPr="00AA68A7" w:rsidP="00D95A88" w14:paraId="7F3040D0" w14:textId="77777777">
      <w:pPr>
        <w:widowControl w:val="0"/>
        <w:tabs>
          <w:tab w:val="left" w:pos="8640"/>
        </w:tabs>
        <w:snapToGrid w:val="0"/>
        <w:rPr>
          <w:sz w:val="22"/>
          <w:szCs w:val="22"/>
        </w:rPr>
      </w:pPr>
    </w:p>
    <w:p w:rsidR="00D95A88" w:rsidRPr="00AA68A7" w:rsidP="00D95A88" w14:paraId="79336EFC" w14:textId="77777777">
      <w:pPr>
        <w:widowControl w:val="0"/>
        <w:snapToGrid w:val="0"/>
        <w:ind w:firstLine="720"/>
        <w:rPr>
          <w:sz w:val="22"/>
          <w:szCs w:val="22"/>
        </w:rPr>
      </w:pPr>
      <w:r w:rsidRPr="00AA68A7">
        <w:rPr>
          <w:sz w:val="22"/>
          <w:szCs w:val="22"/>
        </w:rPr>
        <w:t xml:space="preserve">Third, the </w:t>
      </w:r>
      <w:r w:rsidRPr="00AA68A7">
        <w:rPr>
          <w:i/>
          <w:iCs/>
          <w:sz w:val="22"/>
          <w:szCs w:val="22"/>
        </w:rPr>
        <w:t>NCE LPFM Report</w:t>
      </w:r>
      <w:r w:rsidRPr="00AA68A7">
        <w:rPr>
          <w:i/>
          <w:sz w:val="22"/>
          <w:szCs w:val="22"/>
        </w:rPr>
        <w:t xml:space="preserve"> and Order</w:t>
      </w:r>
      <w:r w:rsidRPr="00AA68A7">
        <w:rPr>
          <w:sz w:val="22"/>
          <w:szCs w:val="22"/>
        </w:rPr>
        <w:t xml:space="preserve"> adopts the following general changes: (1) defines which applicant board changes are major changes; (2) clarifies the reasonable site assurance requirements; (3) streamlines construction deadline tolling procedures and notification requirements; (4) lengthens the LPFM construction period; and (5) eliminates restrictions on the assignment and transfer of LPFM authorizations.   </w:t>
      </w:r>
    </w:p>
    <w:p w:rsidR="00D95A88" w:rsidRPr="00AA68A7" w:rsidP="00D95A88" w14:paraId="4535AA77" w14:textId="77777777">
      <w:pPr>
        <w:widowControl w:val="0"/>
        <w:snapToGrid w:val="0"/>
        <w:ind w:firstLine="720"/>
        <w:rPr>
          <w:sz w:val="22"/>
          <w:szCs w:val="22"/>
        </w:rPr>
      </w:pPr>
    </w:p>
    <w:p w:rsidR="00D95A88" w:rsidRPr="00AA68A7" w:rsidP="00D95A88" w14:paraId="36D966E1" w14:textId="77777777">
      <w:pPr>
        <w:widowControl w:val="0"/>
        <w:snapToGrid w:val="0"/>
        <w:ind w:firstLine="720"/>
        <w:rPr>
          <w:sz w:val="22"/>
          <w:szCs w:val="22"/>
        </w:rPr>
      </w:pPr>
      <w:r w:rsidRPr="00AA68A7">
        <w:rPr>
          <w:sz w:val="22"/>
          <w:szCs w:val="22"/>
        </w:rPr>
        <w:t>Specifically, pertaining to this Information Collection and LPFM stations, the Commission is revising the relevant rules, 47 CFR Section 73.</w:t>
      </w:r>
      <w:r w:rsidRPr="00AA68A7" w:rsidR="00EB1AA3">
        <w:rPr>
          <w:sz w:val="22"/>
          <w:szCs w:val="22"/>
        </w:rPr>
        <w:t>872</w:t>
      </w:r>
      <w:r w:rsidRPr="00AA68A7">
        <w:rPr>
          <w:sz w:val="22"/>
          <w:szCs w:val="22"/>
        </w:rPr>
        <w:t>, the form, and corresponding instructions, as follows:</w:t>
      </w:r>
    </w:p>
    <w:p w:rsidR="00D95A88" w:rsidRPr="00AA68A7" w:rsidP="00D95A88" w14:paraId="4D4CA2CC" w14:textId="77777777">
      <w:pPr>
        <w:widowControl w:val="0"/>
        <w:snapToGrid w:val="0"/>
        <w:rPr>
          <w:sz w:val="22"/>
          <w:szCs w:val="22"/>
        </w:rPr>
      </w:pPr>
    </w:p>
    <w:p w:rsidR="00D95A88" w:rsidRPr="00AA68A7" w:rsidP="00D95A88" w14:paraId="100E5CE1" w14:textId="77777777">
      <w:pPr>
        <w:widowControl w:val="0"/>
        <w:numPr>
          <w:ilvl w:val="0"/>
          <w:numId w:val="7"/>
        </w:numPr>
        <w:snapToGrid w:val="0"/>
        <w:rPr>
          <w:kern w:val="28"/>
          <w:sz w:val="22"/>
          <w:szCs w:val="22"/>
        </w:rPr>
      </w:pPr>
      <w:r w:rsidRPr="00AA68A7">
        <w:rPr>
          <w:kern w:val="28"/>
          <w:sz w:val="22"/>
          <w:szCs w:val="22"/>
        </w:rPr>
        <w:t>Adding a Reasonable Site Assurance Certification in the Technical Certifications Section of the form, requiring the applicant to certify that it has obtained reasonable assurance from the tower owner or authorized representative, that its specified site will be available.</w:t>
      </w:r>
      <w:r>
        <w:rPr>
          <w:kern w:val="28"/>
          <w:sz w:val="22"/>
          <w:szCs w:val="22"/>
          <w:vertAlign w:val="superscript"/>
        </w:rPr>
        <w:footnoteReference w:id="4"/>
      </w:r>
    </w:p>
    <w:p w:rsidR="00D95A88" w:rsidRPr="00AA68A7" w:rsidP="00D95A88" w14:paraId="120DE561" w14:textId="77777777">
      <w:pPr>
        <w:widowControl w:val="0"/>
        <w:snapToGrid w:val="0"/>
        <w:ind w:left="420"/>
        <w:rPr>
          <w:kern w:val="28"/>
          <w:sz w:val="22"/>
          <w:szCs w:val="22"/>
        </w:rPr>
      </w:pPr>
    </w:p>
    <w:p w:rsidR="00D95A88" w:rsidRPr="00AA68A7" w:rsidP="00D95A88" w14:paraId="3A257236" w14:textId="77777777">
      <w:pPr>
        <w:widowControl w:val="0"/>
        <w:snapToGrid w:val="0"/>
        <w:ind w:left="720"/>
        <w:rPr>
          <w:kern w:val="28"/>
          <w:sz w:val="22"/>
          <w:szCs w:val="22"/>
        </w:rPr>
      </w:pPr>
      <w:r w:rsidRPr="00AA68A7">
        <w:rPr>
          <w:sz w:val="22"/>
          <w:szCs w:val="22"/>
        </w:rPr>
        <w:t>The revisions to the relevant rules, and the changes to the questions in Schedule 3</w:t>
      </w:r>
      <w:r w:rsidRPr="00AA68A7" w:rsidR="00EB1AA3">
        <w:rPr>
          <w:sz w:val="22"/>
          <w:szCs w:val="22"/>
        </w:rPr>
        <w:t>18</w:t>
      </w:r>
      <w:r w:rsidRPr="00AA68A7">
        <w:rPr>
          <w:sz w:val="22"/>
          <w:szCs w:val="22"/>
        </w:rPr>
        <w:t xml:space="preserve"> listed above affect the substance, burden hours, and costs of completing the Schedule 3</w:t>
      </w:r>
      <w:r w:rsidRPr="00AA68A7" w:rsidR="00EB1AA3">
        <w:rPr>
          <w:sz w:val="22"/>
          <w:szCs w:val="22"/>
        </w:rPr>
        <w:t>18</w:t>
      </w:r>
      <w:r w:rsidRPr="00AA68A7">
        <w:rPr>
          <w:sz w:val="22"/>
          <w:szCs w:val="22"/>
        </w:rPr>
        <w:t xml:space="preserve">.  Therefore, this submission is being made to OMB for approval of revised Information Collection requirements. </w:t>
      </w:r>
    </w:p>
    <w:p w:rsidR="00D95A88" w:rsidRPr="00AA68A7" w:rsidP="00D95A88" w14:paraId="499B4F64" w14:textId="77777777">
      <w:pPr>
        <w:widowControl w:val="0"/>
        <w:autoSpaceDE w:val="0"/>
        <w:autoSpaceDN w:val="0"/>
        <w:adjustRightInd w:val="0"/>
        <w:snapToGrid w:val="0"/>
        <w:ind w:left="1080"/>
        <w:rPr>
          <w:sz w:val="22"/>
          <w:szCs w:val="22"/>
        </w:rPr>
      </w:pPr>
    </w:p>
    <w:p w:rsidR="007A474D" w:rsidRPr="00AA68A7" w:rsidP="00930A54" w14:paraId="66419DFF" w14:textId="77777777">
      <w:pPr>
        <w:rPr>
          <w:spacing w:val="-3"/>
          <w:sz w:val="22"/>
          <w:szCs w:val="22"/>
          <w:u w:val="single"/>
        </w:rPr>
      </w:pPr>
    </w:p>
    <w:p w:rsidR="0067495D" w:rsidRPr="00AA68A7" w:rsidP="0067495D" w14:paraId="7E572456" w14:textId="77777777">
      <w:pPr>
        <w:widowControl w:val="0"/>
        <w:numPr>
          <w:ilvl w:val="0"/>
          <w:numId w:val="6"/>
        </w:numPr>
        <w:autoSpaceDE w:val="0"/>
        <w:autoSpaceDN w:val="0"/>
        <w:adjustRightInd w:val="0"/>
        <w:snapToGrid w:val="0"/>
        <w:contextualSpacing/>
        <w:rPr>
          <w:b/>
          <w:bCs/>
          <w:sz w:val="22"/>
          <w:szCs w:val="22"/>
        </w:rPr>
      </w:pPr>
      <w:r w:rsidRPr="00AA68A7">
        <w:rPr>
          <w:b/>
          <w:bCs/>
          <w:sz w:val="22"/>
          <w:szCs w:val="22"/>
        </w:rPr>
        <w:t>2020 Public Notice Second Report and Order</w:t>
      </w:r>
    </w:p>
    <w:p w:rsidR="0067495D" w:rsidRPr="00AA68A7" w:rsidP="0067495D" w14:paraId="7019FC3D" w14:textId="77777777">
      <w:pPr>
        <w:widowControl w:val="0"/>
        <w:autoSpaceDE w:val="0"/>
        <w:autoSpaceDN w:val="0"/>
        <w:adjustRightInd w:val="0"/>
        <w:snapToGrid w:val="0"/>
        <w:rPr>
          <w:b/>
          <w:bCs/>
          <w:sz w:val="22"/>
          <w:szCs w:val="22"/>
        </w:rPr>
      </w:pPr>
    </w:p>
    <w:p w:rsidR="0067495D" w:rsidRPr="00AA68A7" w:rsidP="0067495D" w14:paraId="2FEE99E3" w14:textId="77777777">
      <w:pPr>
        <w:widowControl w:val="0"/>
        <w:snapToGrid w:val="0"/>
        <w:ind w:firstLine="720"/>
        <w:rPr>
          <w:sz w:val="22"/>
          <w:szCs w:val="22"/>
        </w:rPr>
      </w:pPr>
      <w:r w:rsidRPr="00AA68A7">
        <w:rPr>
          <w:sz w:val="22"/>
          <w:szCs w:val="22"/>
        </w:rPr>
        <w:t xml:space="preserve">On May </w:t>
      </w:r>
      <w:r w:rsidRPr="00AA68A7" w:rsidR="00247DB6">
        <w:rPr>
          <w:sz w:val="22"/>
          <w:szCs w:val="22"/>
        </w:rPr>
        <w:t>12</w:t>
      </w:r>
      <w:r w:rsidRPr="00AA68A7">
        <w:rPr>
          <w:sz w:val="22"/>
          <w:szCs w:val="22"/>
        </w:rPr>
        <w:t xml:space="preserve">, 2020, the Commission adopted </w:t>
      </w:r>
      <w:r w:rsidRPr="00AA68A7">
        <w:rPr>
          <w:i/>
          <w:iCs/>
          <w:spacing w:val="-2"/>
          <w:sz w:val="22"/>
          <w:szCs w:val="22"/>
        </w:rPr>
        <w:t>Amendment of Section 73.3580 of the Commission’s Rules Regarding Public Notice of the Filing of Applications</w:t>
      </w:r>
      <w:r w:rsidRPr="00AA68A7">
        <w:rPr>
          <w:i/>
          <w:sz w:val="22"/>
          <w:szCs w:val="22"/>
        </w:rPr>
        <w:t>; Modernization of Media Regulation Initiative</w:t>
      </w:r>
      <w:r w:rsidRPr="00AA68A7">
        <w:rPr>
          <w:iCs/>
          <w:sz w:val="22"/>
          <w:szCs w:val="22"/>
        </w:rPr>
        <w:t xml:space="preserve">; </w:t>
      </w:r>
      <w:r w:rsidRPr="00AA68A7">
        <w:rPr>
          <w:i/>
          <w:iCs/>
          <w:spacing w:val="-2"/>
          <w:sz w:val="22"/>
        </w:rPr>
        <w:t>Revision of the Public Notice Requirements of Section 73.3580</w:t>
      </w:r>
      <w:r w:rsidRPr="00AA68A7">
        <w:rPr>
          <w:sz w:val="22"/>
          <w:szCs w:val="22"/>
        </w:rPr>
        <w:t>, Second Report and Order, MB Docket Nos. 17-254, 17-105, &amp; 05-6, FCC 20-</w:t>
      </w:r>
      <w:r w:rsidRPr="00AA68A7" w:rsidR="00EF42D4">
        <w:rPr>
          <w:sz w:val="22"/>
          <w:szCs w:val="22"/>
        </w:rPr>
        <w:t>65</w:t>
      </w:r>
      <w:r w:rsidRPr="00AA68A7">
        <w:rPr>
          <w:sz w:val="22"/>
          <w:szCs w:val="22"/>
        </w:rPr>
        <w:t xml:space="preserve"> (rel. May </w:t>
      </w:r>
      <w:r w:rsidRPr="00AA68A7" w:rsidR="00295F15">
        <w:rPr>
          <w:sz w:val="22"/>
          <w:szCs w:val="22"/>
        </w:rPr>
        <w:t>13</w:t>
      </w:r>
      <w:r w:rsidRPr="00AA68A7">
        <w:rPr>
          <w:sz w:val="22"/>
          <w:szCs w:val="22"/>
        </w:rPr>
        <w:t xml:space="preserve">,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w:t>
      </w:r>
      <w:r w:rsidRPr="00AA68A7">
        <w:rPr>
          <w:sz w:val="22"/>
          <w:szCs w:val="22"/>
        </w:rPr>
        <w:t xml:space="preserve">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bookmarkStart w:id="1" w:name="_Hlk40342139"/>
      <w:r w:rsidRPr="00AA68A7" w:rsidR="00655E8F">
        <w:rPr>
          <w:sz w:val="22"/>
          <w:szCs w:val="22"/>
        </w:rPr>
        <w:t>The Commission also clarified LPFM stations’ obligations to provide local public notice, and amended section 73.801 of the rules (47 CFR § 73.801, listing FCC rules that apply to the LPFM service) to include the local public notice rule, 47 CFR § 73.3580.</w:t>
      </w:r>
      <w:bookmarkEnd w:id="1"/>
      <w:r w:rsidRPr="00AA68A7" w:rsidR="00655E8F">
        <w:rPr>
          <w:sz w:val="22"/>
          <w:szCs w:val="22"/>
        </w:rPr>
        <w:t xml:space="preserve"> </w:t>
      </w:r>
    </w:p>
    <w:p w:rsidR="0067495D" w:rsidRPr="00AA68A7" w:rsidP="0067495D" w14:paraId="6F925854" w14:textId="77777777">
      <w:pPr>
        <w:widowControl w:val="0"/>
        <w:snapToGrid w:val="0"/>
        <w:ind w:firstLine="720"/>
        <w:rPr>
          <w:sz w:val="22"/>
          <w:szCs w:val="22"/>
        </w:rPr>
      </w:pPr>
    </w:p>
    <w:p w:rsidR="0067495D" w:rsidRPr="00AA68A7" w:rsidP="0067495D" w14:paraId="5C537790" w14:textId="77777777">
      <w:pPr>
        <w:widowControl w:val="0"/>
        <w:snapToGrid w:val="0"/>
        <w:ind w:firstLine="720"/>
        <w:rPr>
          <w:sz w:val="22"/>
          <w:szCs w:val="22"/>
        </w:rPr>
      </w:pPr>
      <w:r w:rsidRPr="00AA68A7">
        <w:rPr>
          <w:sz w:val="22"/>
          <w:szCs w:val="22"/>
        </w:rPr>
        <w:t xml:space="preserve">This submission is being made to OMB for approval of the modified third-party disclosure requirements for this Information Collection, as adopted in the </w:t>
      </w:r>
      <w:r w:rsidRPr="00AA68A7">
        <w:rPr>
          <w:i/>
          <w:iCs/>
          <w:sz w:val="22"/>
          <w:szCs w:val="22"/>
        </w:rPr>
        <w:t xml:space="preserve">2020 Public Notice Second Report and Order.  </w:t>
      </w:r>
      <w:r w:rsidRPr="00AA68A7">
        <w:rPr>
          <w:sz w:val="22"/>
          <w:szCs w:val="22"/>
        </w:rPr>
        <w:t xml:space="preserve">The changes pertaining to this Information Collection and to 47 CFR </w:t>
      </w:r>
      <w:r w:rsidRPr="00AA68A7" w:rsidR="00121F0D">
        <w:rPr>
          <w:sz w:val="22"/>
          <w:szCs w:val="22"/>
        </w:rPr>
        <w:t>§</w:t>
      </w:r>
      <w:r w:rsidRPr="00AA68A7">
        <w:rPr>
          <w:sz w:val="22"/>
          <w:szCs w:val="22"/>
        </w:rPr>
        <w:t xml:space="preserve"> 73.3580 adopted in the </w:t>
      </w:r>
      <w:r w:rsidRPr="00AA68A7">
        <w:rPr>
          <w:i/>
          <w:iCs/>
          <w:sz w:val="22"/>
          <w:szCs w:val="22"/>
        </w:rPr>
        <w:t>2020 Public Notice Second Report and Order</w:t>
      </w:r>
      <w:r w:rsidRPr="00AA68A7">
        <w:rPr>
          <w:sz w:val="22"/>
          <w:szCs w:val="22"/>
        </w:rPr>
        <w:t>, which are listed below, do not necessitate changes to the Schedule 3</w:t>
      </w:r>
      <w:r w:rsidRPr="00AA68A7" w:rsidR="00B11F1B">
        <w:rPr>
          <w:sz w:val="22"/>
          <w:szCs w:val="22"/>
        </w:rPr>
        <w:t>18</w:t>
      </w:r>
      <w:r w:rsidRPr="00AA68A7">
        <w:rPr>
          <w:sz w:val="22"/>
          <w:szCs w:val="22"/>
        </w:rPr>
        <w:t>, nor do they affect the substance, burden hours, or costs of completing the forms.  The rule changes do, however, reduce burdens and costs associated with filing the application, as set forth below.</w:t>
      </w:r>
    </w:p>
    <w:p w:rsidR="00655E8F" w:rsidRPr="00AA68A7" w:rsidP="0067495D" w14:paraId="091EC2A1" w14:textId="77777777">
      <w:pPr>
        <w:widowControl w:val="0"/>
        <w:snapToGrid w:val="0"/>
        <w:ind w:firstLine="720"/>
        <w:rPr>
          <w:sz w:val="22"/>
          <w:szCs w:val="22"/>
        </w:rPr>
      </w:pPr>
    </w:p>
    <w:p w:rsidR="00655E8F" w:rsidRPr="00AA68A7" w:rsidP="00655E8F" w14:paraId="7C1D62DE" w14:textId="77777777">
      <w:pPr>
        <w:widowControl w:val="0"/>
        <w:numPr>
          <w:ilvl w:val="0"/>
          <w:numId w:val="6"/>
        </w:numPr>
        <w:autoSpaceDE w:val="0"/>
        <w:autoSpaceDN w:val="0"/>
        <w:adjustRightInd w:val="0"/>
        <w:snapToGrid w:val="0"/>
        <w:contextualSpacing/>
        <w:rPr>
          <w:b/>
          <w:bCs/>
          <w:kern w:val="28"/>
          <w:sz w:val="22"/>
          <w:szCs w:val="22"/>
        </w:rPr>
      </w:pPr>
      <w:r w:rsidRPr="00AA68A7">
        <w:rPr>
          <w:b/>
          <w:bCs/>
          <w:kern w:val="28"/>
          <w:sz w:val="22"/>
          <w:szCs w:val="22"/>
        </w:rPr>
        <w:t xml:space="preserve">  </w:t>
      </w:r>
      <w:r w:rsidRPr="00AA68A7">
        <w:rPr>
          <w:b/>
          <w:bCs/>
          <w:kern w:val="28"/>
          <w:sz w:val="22"/>
          <w:szCs w:val="22"/>
        </w:rPr>
        <w:t xml:space="preserve">2020 Improvement of Low-Power </w:t>
      </w:r>
      <w:r w:rsidRPr="00AA68A7">
        <w:rPr>
          <w:b/>
          <w:bCs/>
          <w:sz w:val="22"/>
          <w:szCs w:val="22"/>
        </w:rPr>
        <w:t>FM</w:t>
      </w:r>
      <w:r w:rsidRPr="00AA68A7">
        <w:rPr>
          <w:b/>
          <w:bCs/>
          <w:kern w:val="28"/>
          <w:sz w:val="22"/>
          <w:szCs w:val="22"/>
        </w:rPr>
        <w:t xml:space="preserve"> Technical Rules Report and Order</w:t>
      </w:r>
    </w:p>
    <w:p w:rsidR="00655E8F" w:rsidRPr="00AA68A7" w:rsidP="00655E8F" w14:paraId="0E66CA53" w14:textId="77777777">
      <w:pPr>
        <w:widowControl w:val="0"/>
        <w:autoSpaceDE w:val="0"/>
        <w:autoSpaceDN w:val="0"/>
        <w:adjustRightInd w:val="0"/>
        <w:snapToGrid w:val="0"/>
        <w:ind w:left="360"/>
        <w:contextualSpacing/>
        <w:rPr>
          <w:b/>
          <w:bCs/>
          <w:kern w:val="28"/>
          <w:sz w:val="22"/>
          <w:szCs w:val="22"/>
        </w:rPr>
      </w:pPr>
    </w:p>
    <w:p w:rsidR="007070BD" w:rsidRPr="00AA68A7" w:rsidP="004A3F56" w14:paraId="186C8661" w14:textId="77777777">
      <w:pPr>
        <w:ind w:firstLine="360"/>
        <w:rPr>
          <w:sz w:val="22"/>
          <w:szCs w:val="22"/>
        </w:rPr>
      </w:pPr>
      <w:r w:rsidRPr="00AA68A7">
        <w:rPr>
          <w:sz w:val="22"/>
          <w:szCs w:val="22"/>
        </w:rPr>
        <w:t>In April 2020, the Commission adopted a</w:t>
      </w:r>
      <w:r w:rsidRPr="00AA68A7">
        <w:rPr>
          <w:sz w:val="22"/>
          <w:szCs w:val="22"/>
        </w:rPr>
        <w:t xml:space="preserve"> Report and Order</w:t>
      </w:r>
      <w:r w:rsidRPr="00AA68A7">
        <w:rPr>
          <w:i/>
          <w:sz w:val="22"/>
          <w:szCs w:val="22"/>
        </w:rPr>
        <w:t xml:space="preserve"> </w:t>
      </w:r>
      <w:r w:rsidRPr="00AA68A7">
        <w:rPr>
          <w:sz w:val="22"/>
          <w:szCs w:val="22"/>
        </w:rPr>
        <w:t>making certain</w:t>
      </w:r>
      <w:r w:rsidRPr="00AA68A7">
        <w:rPr>
          <w:sz w:val="22"/>
          <w:szCs w:val="22"/>
        </w:rPr>
        <w:t xml:space="preserve"> changes to the LPFM</w:t>
      </w:r>
      <w:r w:rsidRPr="00AA68A7">
        <w:rPr>
          <w:sz w:val="22"/>
          <w:szCs w:val="22"/>
        </w:rPr>
        <w:t xml:space="preserve"> </w:t>
      </w:r>
      <w:r w:rsidRPr="00AA68A7">
        <w:rPr>
          <w:sz w:val="22"/>
          <w:szCs w:val="22"/>
        </w:rPr>
        <w:t>technical rules</w:t>
      </w:r>
      <w:r w:rsidRPr="00AA68A7">
        <w:rPr>
          <w:sz w:val="22"/>
          <w:szCs w:val="22"/>
        </w:rPr>
        <w:t>,</w:t>
      </w:r>
      <w:r w:rsidRPr="00AA68A7">
        <w:rPr>
          <w:sz w:val="22"/>
          <w:szCs w:val="22"/>
        </w:rPr>
        <w:t xml:space="preserve"> to improve reception and increase flexibility while maintaining interference protection and the core LPFM goals of diversity and localism.</w:t>
      </w:r>
      <w:r w:rsidRPr="00AA68A7">
        <w:rPr>
          <w:b/>
          <w:sz w:val="22"/>
          <w:szCs w:val="22"/>
        </w:rPr>
        <w:t xml:space="preserve"> </w:t>
      </w:r>
      <w:r w:rsidRPr="00AA68A7">
        <w:rPr>
          <w:sz w:val="22"/>
          <w:szCs w:val="22"/>
        </w:rPr>
        <w:t xml:space="preserve">  </w:t>
      </w:r>
      <w:r w:rsidRPr="00AA68A7" w:rsidR="00562957">
        <w:rPr>
          <w:i/>
          <w:iCs/>
          <w:sz w:val="22"/>
          <w:szCs w:val="22"/>
        </w:rPr>
        <w:t>Amendments of Parts 73 and 74 to Improve the Low Power FM Radio Service Technical Rules; Modernization of Media Regulation Initiative</w:t>
      </w:r>
      <w:r w:rsidRPr="00AA68A7" w:rsidR="00562957">
        <w:rPr>
          <w:sz w:val="22"/>
          <w:szCs w:val="22"/>
        </w:rPr>
        <w:t>, Report and Order, MB Docket Nos. 19-193, 17-105, FCC 20-53 (</w:t>
      </w:r>
      <w:r w:rsidRPr="00AA68A7" w:rsidR="00EF42D4">
        <w:rPr>
          <w:sz w:val="22"/>
          <w:szCs w:val="22"/>
        </w:rPr>
        <w:t xml:space="preserve">rel. </w:t>
      </w:r>
      <w:r w:rsidRPr="00AA68A7" w:rsidR="00562957">
        <w:rPr>
          <w:sz w:val="22"/>
          <w:szCs w:val="22"/>
        </w:rPr>
        <w:t>Apr. 23, 2020) (</w:t>
      </w:r>
      <w:r w:rsidRPr="00AA68A7" w:rsidR="00562957">
        <w:rPr>
          <w:i/>
          <w:iCs/>
          <w:sz w:val="22"/>
          <w:szCs w:val="22"/>
        </w:rPr>
        <w:t xml:space="preserve">2020 </w:t>
      </w:r>
      <w:r w:rsidRPr="00AA68A7" w:rsidR="00BD28AC">
        <w:rPr>
          <w:i/>
          <w:iCs/>
          <w:sz w:val="22"/>
          <w:szCs w:val="22"/>
        </w:rPr>
        <w:t xml:space="preserve">Technical </w:t>
      </w:r>
      <w:r w:rsidRPr="00AA68A7" w:rsidR="00562957">
        <w:rPr>
          <w:i/>
          <w:iCs/>
          <w:sz w:val="22"/>
          <w:szCs w:val="22"/>
        </w:rPr>
        <w:t>Report and Order</w:t>
      </w:r>
      <w:r w:rsidRPr="00AA68A7" w:rsidR="00562957">
        <w:rPr>
          <w:sz w:val="22"/>
          <w:szCs w:val="22"/>
        </w:rPr>
        <w:t>).</w:t>
      </w:r>
    </w:p>
    <w:p w:rsidR="00A22461" w:rsidRPr="00AA68A7" w:rsidP="007070BD" w14:paraId="166C01DF" w14:textId="77777777">
      <w:pPr>
        <w:rPr>
          <w:sz w:val="22"/>
          <w:szCs w:val="22"/>
        </w:rPr>
      </w:pPr>
    </w:p>
    <w:p w:rsidR="007070BD" w:rsidRPr="00AA68A7" w:rsidP="00552F63" w14:paraId="48907831" w14:textId="77777777">
      <w:pPr>
        <w:ind w:firstLine="360"/>
        <w:rPr>
          <w:sz w:val="22"/>
          <w:szCs w:val="22"/>
        </w:rPr>
      </w:pPr>
      <w:r w:rsidRPr="00AA68A7">
        <w:rPr>
          <w:sz w:val="22"/>
          <w:szCs w:val="22"/>
        </w:rPr>
        <w:t xml:space="preserve">LPFM stations provide a secondary, noncommercial radio service with a community focus.  The Commission </w:t>
      </w:r>
      <w:r w:rsidRPr="00AA68A7" w:rsidR="00A22461">
        <w:rPr>
          <w:sz w:val="22"/>
          <w:szCs w:val="22"/>
        </w:rPr>
        <w:t xml:space="preserve">originally </w:t>
      </w:r>
      <w:r w:rsidRPr="00AA68A7">
        <w:rPr>
          <w:sz w:val="22"/>
          <w:szCs w:val="22"/>
        </w:rPr>
        <w:t>designed LPFM engineering requirements to be simple so that non-profit organizations with limited engineering expertise and small budgets could readily apply for, construct, and operate community-oriented stations serving highly localized areas.  LPFM organizations suggest</w:t>
      </w:r>
      <w:r w:rsidRPr="00AA68A7" w:rsidR="00EF42D4">
        <w:rPr>
          <w:sz w:val="22"/>
          <w:szCs w:val="22"/>
        </w:rPr>
        <w:t>ed</w:t>
      </w:r>
      <w:r w:rsidRPr="00AA68A7">
        <w:rPr>
          <w:sz w:val="22"/>
          <w:szCs w:val="22"/>
        </w:rPr>
        <w:t xml:space="preserve"> that the service has matured and requires additional engineering options to improve reception.  T</w:t>
      </w:r>
      <w:r w:rsidRPr="00AA68A7" w:rsidR="00A22461">
        <w:rPr>
          <w:sz w:val="22"/>
          <w:szCs w:val="22"/>
        </w:rPr>
        <w:t>hus, t</w:t>
      </w:r>
      <w:r w:rsidRPr="00AA68A7">
        <w:rPr>
          <w:sz w:val="22"/>
          <w:szCs w:val="22"/>
        </w:rPr>
        <w:t xml:space="preserve">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 xml:space="preserve">Report and </w:t>
      </w:r>
      <w:r w:rsidRPr="00AA68A7">
        <w:rPr>
          <w:i/>
          <w:iCs/>
          <w:sz w:val="22"/>
          <w:szCs w:val="22"/>
        </w:rPr>
        <w:t>Order</w:t>
      </w:r>
      <w:r w:rsidRPr="00AA68A7">
        <w:rPr>
          <w:sz w:val="22"/>
          <w:szCs w:val="22"/>
        </w:rPr>
        <w:t xml:space="preserve"> </w:t>
      </w:r>
      <w:r w:rsidRPr="00AA68A7" w:rsidR="00A22461">
        <w:rPr>
          <w:sz w:val="22"/>
          <w:szCs w:val="22"/>
        </w:rPr>
        <w:t>adopted the following rules</w:t>
      </w:r>
      <w:r w:rsidRPr="00AA68A7">
        <w:rPr>
          <w:sz w:val="22"/>
          <w:szCs w:val="22"/>
        </w:rPr>
        <w:t>:</w:t>
      </w:r>
    </w:p>
    <w:p w:rsidR="007070BD" w:rsidRPr="00AA68A7" w:rsidP="007070BD" w14:paraId="695FC1C5" w14:textId="77777777">
      <w:pPr>
        <w:rPr>
          <w:sz w:val="22"/>
          <w:szCs w:val="22"/>
        </w:rPr>
      </w:pPr>
    </w:p>
    <w:p w:rsidR="007070BD" w:rsidRPr="00AA68A7" w:rsidP="007070BD" w14:paraId="199997D5" w14:textId="77777777">
      <w:pPr>
        <w:rPr>
          <w:sz w:val="22"/>
          <w:szCs w:val="22"/>
        </w:rPr>
      </w:pPr>
      <w:r w:rsidRPr="00AA68A7">
        <w:rPr>
          <w:sz w:val="22"/>
          <w:szCs w:val="22"/>
        </w:rPr>
        <w:t xml:space="preserve">     </w:t>
      </w:r>
      <w:r w:rsidRPr="00AA68A7">
        <w:rPr>
          <w:i/>
          <w:sz w:val="22"/>
          <w:szCs w:val="22"/>
        </w:rPr>
        <w:t xml:space="preserve">Allow expanded LPFM use of directional antennas.  </w:t>
      </w:r>
      <w:r w:rsidRPr="00AA68A7" w:rsidR="00A22461">
        <w:rPr>
          <w:sz w:val="22"/>
          <w:szCs w:val="22"/>
        </w:rPr>
        <w:t>All</w:t>
      </w:r>
      <w:r w:rsidRPr="00AA68A7">
        <w:rPr>
          <w:sz w:val="22"/>
          <w:szCs w:val="22"/>
        </w:rPr>
        <w:t xml:space="preserve"> LPFM stations </w:t>
      </w:r>
      <w:r w:rsidRPr="00AA68A7" w:rsidR="00A22461">
        <w:rPr>
          <w:sz w:val="22"/>
          <w:szCs w:val="22"/>
        </w:rPr>
        <w:t>may</w:t>
      </w:r>
      <w:r w:rsidRPr="00AA68A7">
        <w:rPr>
          <w:sz w:val="22"/>
          <w:szCs w:val="22"/>
        </w:rPr>
        <w:t xml:space="preserve">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007070BD" w:rsidRPr="00AA68A7" w:rsidP="007070BD" w14:paraId="3462841F" w14:textId="77777777">
      <w:pPr>
        <w:rPr>
          <w:sz w:val="22"/>
          <w:szCs w:val="22"/>
        </w:rPr>
      </w:pPr>
      <w:r w:rsidRPr="00AA68A7">
        <w:rPr>
          <w:sz w:val="22"/>
          <w:szCs w:val="22"/>
        </w:rPr>
        <w:t xml:space="preserve">   </w:t>
      </w:r>
    </w:p>
    <w:p w:rsidR="007070BD" w:rsidRPr="00AA68A7" w:rsidP="007070BD" w14:paraId="42736683" w14:textId="77777777">
      <w:pPr>
        <w:rPr>
          <w:sz w:val="22"/>
          <w:szCs w:val="22"/>
        </w:rPr>
      </w:pPr>
      <w:r w:rsidRPr="00AA68A7">
        <w:rPr>
          <w:sz w:val="22"/>
          <w:szCs w:val="22"/>
        </w:rPr>
        <w:t xml:space="preserve">     </w:t>
      </w:r>
      <w:r w:rsidRPr="00AA68A7">
        <w:rPr>
          <w:i/>
          <w:sz w:val="22"/>
          <w:szCs w:val="22"/>
        </w:rPr>
        <w:t>Redefine “Minor Changes” for LPFM stations.</w:t>
      </w:r>
      <w:r w:rsidRPr="00AA68A7">
        <w:rPr>
          <w:sz w:val="22"/>
          <w:szCs w:val="22"/>
        </w:rPr>
        <w:t xml:space="preserve">  An LPFM station may apply for approval to relocate its transmitter site without awaiting a filing window if the change is “minor,” </w:t>
      </w:r>
      <w:r w:rsidRPr="00AA68A7" w:rsidR="00A22461">
        <w:rPr>
          <w:sz w:val="22"/>
          <w:szCs w:val="22"/>
        </w:rPr>
        <w:t>re</w:t>
      </w:r>
      <w:r w:rsidRPr="00AA68A7">
        <w:rPr>
          <w:sz w:val="22"/>
          <w:szCs w:val="22"/>
        </w:rPr>
        <w:t xml:space="preserve">defined </w:t>
      </w:r>
      <w:r w:rsidRPr="00AA68A7" w:rsidR="00A22461">
        <w:rPr>
          <w:sz w:val="22"/>
          <w:szCs w:val="22"/>
        </w:rPr>
        <w:t xml:space="preserve">in the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Report and Order</w:t>
      </w:r>
      <w:r w:rsidRPr="00AA68A7" w:rsidR="00A22461">
        <w:rPr>
          <w:sz w:val="22"/>
          <w:szCs w:val="22"/>
        </w:rPr>
        <w:t xml:space="preserve"> </w:t>
      </w:r>
      <w:r w:rsidRPr="00AA68A7">
        <w:rPr>
          <w:sz w:val="22"/>
          <w:szCs w:val="22"/>
        </w:rPr>
        <w:t xml:space="preserve">as a move of </w:t>
      </w:r>
      <w:r w:rsidRPr="00AA68A7" w:rsidR="00A22461">
        <w:rPr>
          <w:sz w:val="22"/>
          <w:szCs w:val="22"/>
        </w:rPr>
        <w:t>11.2</w:t>
      </w:r>
      <w:r w:rsidRPr="00AA68A7">
        <w:rPr>
          <w:sz w:val="22"/>
          <w:szCs w:val="22"/>
        </w:rPr>
        <w:t xml:space="preserve"> kilometers or less.  The </w:t>
      </w:r>
      <w:r w:rsidRPr="00AA68A7" w:rsidR="00A22461">
        <w:rPr>
          <w:sz w:val="22"/>
          <w:szCs w:val="22"/>
        </w:rPr>
        <w:t xml:space="preserve">2020 </w:t>
      </w:r>
      <w:r w:rsidRPr="00AA68A7" w:rsidR="00EE6B19">
        <w:rPr>
          <w:sz w:val="22"/>
          <w:szCs w:val="22"/>
        </w:rPr>
        <w:t xml:space="preserve">Technical </w:t>
      </w:r>
      <w:r w:rsidRPr="00AA68A7" w:rsidR="00A22461">
        <w:rPr>
          <w:sz w:val="22"/>
          <w:szCs w:val="22"/>
        </w:rPr>
        <w:t>Report and</w:t>
      </w:r>
      <w:r w:rsidRPr="00AA68A7">
        <w:rPr>
          <w:sz w:val="22"/>
          <w:szCs w:val="22"/>
        </w:rPr>
        <w:t xml:space="preserve"> Order </w:t>
      </w:r>
      <w:r w:rsidRPr="00AA68A7" w:rsidR="00A22461">
        <w:rPr>
          <w:sz w:val="22"/>
          <w:szCs w:val="22"/>
        </w:rPr>
        <w:t>also</w:t>
      </w:r>
      <w:r w:rsidRPr="00AA68A7">
        <w:rPr>
          <w:sz w:val="22"/>
          <w:szCs w:val="22"/>
        </w:rPr>
        <w:t xml:space="preserve"> allow</w:t>
      </w:r>
      <w:r w:rsidRPr="00AA68A7" w:rsidR="00EF42D4">
        <w:rPr>
          <w:sz w:val="22"/>
          <w:szCs w:val="22"/>
        </w:rPr>
        <w:t>ed</w:t>
      </w:r>
      <w:r w:rsidRPr="00AA68A7">
        <w:rPr>
          <w:sz w:val="22"/>
          <w:szCs w:val="22"/>
        </w:rPr>
        <w:t xml:space="preserve"> proposals of greater distances to qualify as minor if the existing and proposed service contours overlap.    </w:t>
      </w:r>
    </w:p>
    <w:p w:rsidR="007070BD" w:rsidRPr="00AA68A7" w:rsidP="007070BD" w14:paraId="603093D8" w14:textId="77777777">
      <w:pPr>
        <w:rPr>
          <w:sz w:val="22"/>
          <w:szCs w:val="22"/>
        </w:rPr>
      </w:pPr>
    </w:p>
    <w:p w:rsidR="007070BD" w:rsidRPr="00AA68A7" w:rsidP="007070BD" w14:paraId="42A4A0A8" w14:textId="77777777">
      <w:pPr>
        <w:rPr>
          <w:sz w:val="22"/>
          <w:szCs w:val="22"/>
        </w:rPr>
      </w:pPr>
      <w:r w:rsidRPr="00AA68A7">
        <w:rPr>
          <w:sz w:val="22"/>
          <w:szCs w:val="22"/>
        </w:rPr>
        <w:t xml:space="preserve">     </w:t>
      </w:r>
      <w:r w:rsidRPr="00AA68A7">
        <w:rPr>
          <w:i/>
          <w:sz w:val="22"/>
          <w:szCs w:val="22"/>
        </w:rPr>
        <w:t>Permit LPFM Use of FM Booster Stations</w:t>
      </w:r>
      <w:r w:rsidRPr="00AA68A7">
        <w:rPr>
          <w:sz w:val="22"/>
          <w:szCs w:val="22"/>
        </w:rPr>
        <w:t xml:space="preserve">.  FM booster stations amplify and retransmit a station’s signal.   The </w:t>
      </w:r>
      <w:r w:rsidRPr="00AA68A7" w:rsidR="00562957">
        <w:rPr>
          <w:i/>
          <w:iCs/>
          <w:sz w:val="22"/>
          <w:szCs w:val="22"/>
        </w:rPr>
        <w:t xml:space="preserve">2020 </w:t>
      </w:r>
      <w:r w:rsidRPr="00AA68A7" w:rsidR="004D331B">
        <w:rPr>
          <w:i/>
          <w:iCs/>
          <w:sz w:val="22"/>
          <w:szCs w:val="22"/>
        </w:rPr>
        <w:t xml:space="preserve">Technical </w:t>
      </w:r>
      <w:r w:rsidRPr="00AA68A7" w:rsidR="00562957">
        <w:rPr>
          <w:i/>
          <w:iCs/>
          <w:sz w:val="22"/>
          <w:szCs w:val="22"/>
        </w:rPr>
        <w:t>Report and Order</w:t>
      </w:r>
      <w:r w:rsidRPr="00AA68A7" w:rsidR="00562957">
        <w:rPr>
          <w:sz w:val="22"/>
          <w:szCs w:val="22"/>
        </w:rPr>
        <w:t xml:space="preserve"> amended</w:t>
      </w:r>
      <w:r w:rsidRPr="00AA68A7">
        <w:rPr>
          <w:sz w:val="22"/>
          <w:szCs w:val="22"/>
        </w:rPr>
        <w:t xml:space="preserve"> rules </w:t>
      </w:r>
      <w:r w:rsidRPr="00AA68A7" w:rsidR="004D331B">
        <w:rPr>
          <w:sz w:val="22"/>
          <w:szCs w:val="22"/>
        </w:rPr>
        <w:t>that</w:t>
      </w:r>
      <w:r w:rsidRPr="00AA68A7">
        <w:rPr>
          <w:sz w:val="22"/>
          <w:szCs w:val="22"/>
        </w:rPr>
        <w:t xml:space="preserve"> </w:t>
      </w:r>
      <w:r w:rsidRPr="00AA68A7" w:rsidR="004D331B">
        <w:rPr>
          <w:sz w:val="22"/>
          <w:szCs w:val="22"/>
        </w:rPr>
        <w:t xml:space="preserve">had </w:t>
      </w:r>
      <w:r w:rsidRPr="00AA68A7">
        <w:rPr>
          <w:sz w:val="22"/>
          <w:szCs w:val="22"/>
        </w:rPr>
        <w:t>prohibit</w:t>
      </w:r>
      <w:r w:rsidRPr="00AA68A7" w:rsidR="004D331B">
        <w:rPr>
          <w:sz w:val="22"/>
          <w:szCs w:val="22"/>
        </w:rPr>
        <w:t>ed</w:t>
      </w:r>
      <w:r w:rsidRPr="00AA68A7">
        <w:rPr>
          <w:sz w:val="22"/>
          <w:szCs w:val="22"/>
        </w:rPr>
        <w:t xml:space="preserve"> LPFM stations from operating booster stations</w:t>
      </w:r>
      <w:r w:rsidRPr="00AA68A7" w:rsidR="00562957">
        <w:rPr>
          <w:sz w:val="22"/>
          <w:szCs w:val="22"/>
        </w:rPr>
        <w:t xml:space="preserve">, allowing </w:t>
      </w:r>
      <w:r w:rsidRPr="00AA68A7">
        <w:rPr>
          <w:sz w:val="22"/>
          <w:szCs w:val="22"/>
        </w:rPr>
        <w:t xml:space="preserve">LPFM stations to operate an FM booster in lieu of an FM translator when a booster would better address unique terrain challenges.   </w:t>
      </w:r>
    </w:p>
    <w:p w:rsidR="007070BD" w:rsidRPr="00AA68A7" w:rsidP="007070BD" w14:paraId="40B4290B" w14:textId="77777777">
      <w:pPr>
        <w:rPr>
          <w:sz w:val="22"/>
          <w:szCs w:val="22"/>
        </w:rPr>
      </w:pPr>
    </w:p>
    <w:p w:rsidR="007070BD" w:rsidRPr="00AA68A7" w:rsidP="007070BD" w14:paraId="5A9766EF" w14:textId="77777777">
      <w:pPr>
        <w:rPr>
          <w:sz w:val="22"/>
          <w:szCs w:val="22"/>
        </w:rPr>
      </w:pPr>
      <w:r w:rsidRPr="00AA68A7">
        <w:rPr>
          <w:sz w:val="22"/>
          <w:szCs w:val="22"/>
        </w:rPr>
        <w:t xml:space="preserve">     </w:t>
      </w:r>
      <w:r w:rsidRPr="00AA68A7">
        <w:rPr>
          <w:i/>
          <w:sz w:val="22"/>
          <w:szCs w:val="22"/>
        </w:rPr>
        <w:t>Allow Shared Emergency Alert System (EAS) Equipment</w:t>
      </w:r>
      <w:r w:rsidRPr="00AA68A7">
        <w:rPr>
          <w:sz w:val="22"/>
          <w:szCs w:val="22"/>
        </w:rPr>
        <w:t xml:space="preserve">.  Co-owned, co-located radio stations can share EAS equipment, but this option </w:t>
      </w:r>
      <w:r w:rsidRPr="00AA68A7" w:rsidR="000F71E8">
        <w:rPr>
          <w:sz w:val="22"/>
          <w:szCs w:val="22"/>
        </w:rPr>
        <w:t>was</w:t>
      </w:r>
      <w:r w:rsidRPr="00AA68A7">
        <w:rPr>
          <w:sz w:val="22"/>
          <w:szCs w:val="22"/>
        </w:rPr>
        <w:t xml:space="preserve"> not available to LPFM stations because they cannot be co-owned.  The </w:t>
      </w:r>
      <w:r w:rsidRPr="00AA68A7" w:rsidR="000F71E8">
        <w:rPr>
          <w:i/>
          <w:iCs/>
          <w:sz w:val="22"/>
          <w:szCs w:val="22"/>
        </w:rPr>
        <w:t xml:space="preserve">2020 </w:t>
      </w:r>
      <w:r w:rsidRPr="00AA68A7" w:rsidR="003721B3">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w:t>
      </w:r>
      <w:r w:rsidRPr="00AA68A7" w:rsidR="000F71E8">
        <w:rPr>
          <w:sz w:val="22"/>
          <w:szCs w:val="22"/>
        </w:rPr>
        <w:t>permitted</w:t>
      </w:r>
      <w:r w:rsidRPr="00AA68A7">
        <w:rPr>
          <w:sz w:val="22"/>
          <w:szCs w:val="22"/>
        </w:rPr>
        <w:t xml:space="preserve"> co-located LPFM stations (particularly those in time-share arrangements) to share an EAS decoder pursuant to an agreement for common access as well as common responsibility for any EAS rule violations</w:t>
      </w:r>
      <w:r w:rsidRPr="00AA68A7" w:rsidR="000F71E8">
        <w:rPr>
          <w:sz w:val="22"/>
          <w:szCs w:val="22"/>
        </w:rPr>
        <w:t>, thus potentially reducing costs</w:t>
      </w:r>
      <w:r w:rsidRPr="00AA68A7">
        <w:rPr>
          <w:sz w:val="22"/>
          <w:szCs w:val="22"/>
        </w:rPr>
        <w:t>.</w:t>
      </w:r>
    </w:p>
    <w:p w:rsidR="007070BD" w:rsidRPr="00AA68A7" w:rsidP="007070BD" w14:paraId="7D54B3CA" w14:textId="77777777">
      <w:pPr>
        <w:rPr>
          <w:sz w:val="22"/>
          <w:szCs w:val="22"/>
        </w:rPr>
      </w:pPr>
    </w:p>
    <w:p w:rsidR="007070BD" w:rsidRPr="00AA68A7" w:rsidP="007070BD" w14:paraId="35824BD6" w14:textId="77777777">
      <w:pPr>
        <w:rPr>
          <w:sz w:val="22"/>
          <w:szCs w:val="22"/>
        </w:rPr>
      </w:pPr>
      <w:r w:rsidRPr="00AA68A7">
        <w:rPr>
          <w:sz w:val="22"/>
          <w:szCs w:val="22"/>
        </w:rPr>
        <w:t xml:space="preserve">     </w:t>
      </w:r>
      <w:r w:rsidRPr="00AA68A7">
        <w:rPr>
          <w:i/>
          <w:sz w:val="22"/>
          <w:szCs w:val="22"/>
        </w:rPr>
        <w:t xml:space="preserve">Facilitate Waivers of Requirement to Protect Television Stations Operating on Channel 6.  </w:t>
      </w:r>
      <w:r w:rsidRPr="00AA68A7">
        <w:rPr>
          <w:iCs/>
          <w:sz w:val="22"/>
          <w:szCs w:val="22"/>
        </w:rPr>
        <w:t xml:space="preserve">Stations on the </w:t>
      </w:r>
      <w:r w:rsidRPr="00AA68A7">
        <w:rPr>
          <w:sz w:val="22"/>
          <w:szCs w:val="22"/>
        </w:rPr>
        <w:t xml:space="preserve">part of the FM band reserved for NCE use must currently protect adjacent television stations on Channel 6 (TV6).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Report and</w:t>
      </w:r>
      <w:r w:rsidRPr="00AA68A7">
        <w:rPr>
          <w:i/>
          <w:iCs/>
          <w:sz w:val="22"/>
          <w:szCs w:val="22"/>
        </w:rPr>
        <w:t xml:space="preserve"> Order</w:t>
      </w:r>
      <w:r w:rsidRPr="00AA68A7">
        <w:rPr>
          <w:sz w:val="22"/>
          <w:szCs w:val="22"/>
        </w:rPr>
        <w:t xml:space="preserve"> defer</w:t>
      </w:r>
      <w:r w:rsidRPr="00AA68A7" w:rsidR="000F71E8">
        <w:rPr>
          <w:sz w:val="22"/>
          <w:szCs w:val="22"/>
        </w:rPr>
        <w:t>red</w:t>
      </w:r>
      <w:r w:rsidRPr="00AA68A7">
        <w:rPr>
          <w:sz w:val="22"/>
          <w:szCs w:val="22"/>
        </w:rPr>
        <w:t xml:space="preserve"> to a future proceeding consideration of a proposal to eliminate the protection of digital television stations operating on TV6.  The </w:t>
      </w:r>
      <w:r w:rsidRPr="00AA68A7" w:rsidR="000F71E8">
        <w:rPr>
          <w:sz w:val="22"/>
          <w:szCs w:val="22"/>
        </w:rPr>
        <w:t xml:space="preserve">2020 </w:t>
      </w:r>
      <w:r w:rsidRPr="00AA68A7" w:rsidR="000972B6">
        <w:rPr>
          <w:sz w:val="22"/>
          <w:szCs w:val="22"/>
        </w:rPr>
        <w:t xml:space="preserve">Technical </w:t>
      </w:r>
      <w:r w:rsidRPr="00AA68A7" w:rsidR="000F71E8">
        <w:rPr>
          <w:sz w:val="22"/>
          <w:szCs w:val="22"/>
        </w:rPr>
        <w:t>Report and</w:t>
      </w:r>
      <w:r w:rsidRPr="00AA68A7">
        <w:rPr>
          <w:sz w:val="22"/>
          <w:szCs w:val="22"/>
        </w:rPr>
        <w:t xml:space="preserve"> Order state</w:t>
      </w:r>
      <w:r w:rsidRPr="00AA68A7" w:rsidR="000F71E8">
        <w:rPr>
          <w:sz w:val="22"/>
          <w:szCs w:val="22"/>
        </w:rPr>
        <w:t>d</w:t>
      </w:r>
      <w:r w:rsidRPr="00AA68A7">
        <w:rPr>
          <w:sz w:val="22"/>
          <w:szCs w:val="22"/>
        </w:rPr>
        <w:t xml:space="preserve"> that until such a proceeding is resolved, the Commission will accept FM proposals that are short-spaced to TV6 if the FM applicant demonstrates no interference.  Alternatively,</w:t>
      </w:r>
      <w:r w:rsidRPr="00AA68A7" w:rsidR="00EF42D4">
        <w:rPr>
          <w:sz w:val="22"/>
          <w:szCs w:val="22"/>
        </w:rPr>
        <w:t xml:space="preserve"> the 2020 </w:t>
      </w:r>
      <w:r w:rsidRPr="00AA68A7" w:rsidR="000972B6">
        <w:rPr>
          <w:sz w:val="22"/>
          <w:szCs w:val="22"/>
        </w:rPr>
        <w:t xml:space="preserve">Technical </w:t>
      </w:r>
      <w:r w:rsidRPr="00AA68A7" w:rsidR="00EF42D4">
        <w:rPr>
          <w:sz w:val="22"/>
          <w:szCs w:val="22"/>
        </w:rPr>
        <w:t>Report and Order</w:t>
      </w:r>
      <w:r w:rsidRPr="00AA68A7">
        <w:rPr>
          <w:sz w:val="22"/>
          <w:szCs w:val="22"/>
        </w:rPr>
        <w:t xml:space="preserve"> </w:t>
      </w:r>
      <w:r w:rsidRPr="00AA68A7" w:rsidR="000F71E8">
        <w:rPr>
          <w:sz w:val="22"/>
          <w:szCs w:val="22"/>
        </w:rPr>
        <w:t xml:space="preserve">added language to the rules allowing </w:t>
      </w:r>
      <w:r w:rsidRPr="00AA68A7">
        <w:rPr>
          <w:sz w:val="22"/>
          <w:szCs w:val="22"/>
        </w:rPr>
        <w:t xml:space="preserve">reserved band radio stations </w:t>
      </w:r>
      <w:r w:rsidRPr="00AA68A7" w:rsidR="000F71E8">
        <w:rPr>
          <w:sz w:val="22"/>
          <w:szCs w:val="22"/>
        </w:rPr>
        <w:t>to</w:t>
      </w:r>
      <w:r w:rsidRPr="00AA68A7">
        <w:rPr>
          <w:sz w:val="22"/>
          <w:szCs w:val="22"/>
        </w:rPr>
        <w:t xml:space="preserve"> provide an agreement indicating the concurrence of all potentially affected digital TV6 stations.     </w:t>
      </w:r>
    </w:p>
    <w:p w:rsidR="007070BD" w:rsidRPr="00AA68A7" w:rsidP="007070BD" w14:paraId="62A42988" w14:textId="77777777">
      <w:pPr>
        <w:rPr>
          <w:sz w:val="22"/>
          <w:szCs w:val="22"/>
        </w:rPr>
      </w:pPr>
      <w:r w:rsidRPr="00AA68A7">
        <w:rPr>
          <w:sz w:val="22"/>
          <w:szCs w:val="22"/>
        </w:rPr>
        <w:t xml:space="preserve">     </w:t>
      </w:r>
    </w:p>
    <w:p w:rsidR="0067495D" w:rsidRPr="00AA68A7" w:rsidP="0067495D" w14:paraId="4EDA299C" w14:textId="77777777">
      <w:pPr>
        <w:widowControl w:val="0"/>
        <w:autoSpaceDE w:val="0"/>
        <w:autoSpaceDN w:val="0"/>
        <w:adjustRightInd w:val="0"/>
        <w:snapToGrid w:val="0"/>
        <w:rPr>
          <w:b/>
          <w:bCs/>
          <w:sz w:val="22"/>
          <w:szCs w:val="22"/>
        </w:rPr>
      </w:pPr>
      <w:r w:rsidRPr="00AA68A7">
        <w:rPr>
          <w:sz w:val="22"/>
          <w:szCs w:val="22"/>
        </w:rPr>
        <w:t xml:space="preserve">     </w:t>
      </w:r>
      <w:r w:rsidRPr="00AA68A7">
        <w:rPr>
          <w:i/>
          <w:sz w:val="22"/>
          <w:szCs w:val="22"/>
        </w:rPr>
        <w:t>Miscellaneous Changes</w:t>
      </w:r>
      <w:r w:rsidRPr="00AA68A7">
        <w:rPr>
          <w:sz w:val="22"/>
          <w:szCs w:val="22"/>
        </w:rPr>
        <w:t xml:space="preserve">.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add</w:t>
      </w:r>
      <w:r w:rsidRPr="00AA68A7" w:rsidR="000F71E8">
        <w:rPr>
          <w:sz w:val="22"/>
          <w:szCs w:val="22"/>
        </w:rPr>
        <w:t>ed</w:t>
      </w:r>
      <w:r w:rsidRPr="00AA68A7">
        <w:rPr>
          <w:sz w:val="22"/>
          <w:szCs w:val="22"/>
        </w:rPr>
        <w:t xml:space="preserve"> language to </w:t>
      </w:r>
      <w:r w:rsidRPr="00AA68A7" w:rsidR="000F71E8">
        <w:rPr>
          <w:sz w:val="22"/>
          <w:szCs w:val="22"/>
        </w:rPr>
        <w:t>47 CFR §</w:t>
      </w:r>
      <w:r w:rsidRPr="00AA68A7">
        <w:rPr>
          <w:sz w:val="22"/>
          <w:szCs w:val="22"/>
        </w:rPr>
        <w:t xml:space="preserve"> 73.850 requiring LPFM stations to notify the Commission if they are silent for ten days and to seek authority for </w:t>
      </w:r>
      <w:r w:rsidRPr="00AA68A7" w:rsidR="00EF42D4">
        <w:rPr>
          <w:sz w:val="22"/>
          <w:szCs w:val="22"/>
        </w:rPr>
        <w:t xml:space="preserve">silent </w:t>
      </w:r>
      <w:r w:rsidRPr="00AA68A7">
        <w:rPr>
          <w:sz w:val="22"/>
          <w:szCs w:val="22"/>
        </w:rPr>
        <w:t xml:space="preserve">periods over 30 days, </w:t>
      </w:r>
      <w:r w:rsidRPr="00AA68A7" w:rsidR="00567601">
        <w:rPr>
          <w:sz w:val="22"/>
          <w:szCs w:val="22"/>
        </w:rPr>
        <w:t>as required</w:t>
      </w:r>
      <w:r w:rsidRPr="00AA68A7">
        <w:rPr>
          <w:sz w:val="22"/>
          <w:szCs w:val="22"/>
        </w:rPr>
        <w:t xml:space="preserve"> for all other broadcasters</w:t>
      </w:r>
      <w:r w:rsidRPr="00AA68A7" w:rsidR="00567601">
        <w:rPr>
          <w:sz w:val="22"/>
          <w:szCs w:val="22"/>
        </w:rPr>
        <w:t>, thus codifying</w:t>
      </w:r>
      <w:r w:rsidRPr="00AA68A7">
        <w:rPr>
          <w:sz w:val="22"/>
          <w:szCs w:val="22"/>
        </w:rPr>
        <w:t xml:space="preserve"> a longstanding policy that the Bureau already applies to the LPFM service that allows it to identify and assist LPFM stations at risk of losing their licenses automatic</w:t>
      </w:r>
      <w:r w:rsidRPr="00AA68A7" w:rsidR="00567601">
        <w:rPr>
          <w:sz w:val="22"/>
          <w:szCs w:val="22"/>
        </w:rPr>
        <w:t>ally</w:t>
      </w:r>
      <w:r w:rsidRPr="00AA68A7">
        <w:rPr>
          <w:sz w:val="22"/>
          <w:szCs w:val="22"/>
        </w:rPr>
        <w:t xml:space="preserve"> under </w:t>
      </w:r>
      <w:r w:rsidRPr="00AA68A7" w:rsidR="00567601">
        <w:rPr>
          <w:sz w:val="22"/>
          <w:szCs w:val="22"/>
        </w:rPr>
        <w:t>s</w:t>
      </w:r>
      <w:r w:rsidRPr="00AA68A7">
        <w:rPr>
          <w:sz w:val="22"/>
          <w:szCs w:val="22"/>
        </w:rPr>
        <w:t xml:space="preserve">ection 312(g) of the </w:t>
      </w:r>
      <w:r w:rsidRPr="00AA68A7" w:rsidR="00567601">
        <w:rPr>
          <w:sz w:val="22"/>
          <w:szCs w:val="22"/>
        </w:rPr>
        <w:t xml:space="preserve">Communications </w:t>
      </w:r>
      <w:r w:rsidRPr="00AA68A7">
        <w:rPr>
          <w:sz w:val="22"/>
          <w:szCs w:val="22"/>
        </w:rPr>
        <w:t xml:space="preserve">Act.  The </w:t>
      </w:r>
      <w:r w:rsidRPr="00AA68A7" w:rsidR="00567601">
        <w:rPr>
          <w:i/>
          <w:iCs/>
          <w:sz w:val="22"/>
          <w:szCs w:val="22"/>
        </w:rPr>
        <w:t xml:space="preserve">2020 </w:t>
      </w:r>
      <w:r w:rsidRPr="00AA68A7" w:rsidR="000972B6">
        <w:rPr>
          <w:i/>
          <w:iCs/>
          <w:sz w:val="22"/>
          <w:szCs w:val="22"/>
        </w:rPr>
        <w:t xml:space="preserve">Technical </w:t>
      </w:r>
      <w:r w:rsidRPr="00AA68A7" w:rsidR="00567601">
        <w:rPr>
          <w:i/>
          <w:iCs/>
          <w:sz w:val="22"/>
          <w:szCs w:val="22"/>
        </w:rPr>
        <w:t xml:space="preserve">Report and </w:t>
      </w:r>
      <w:r w:rsidRPr="00AA68A7">
        <w:rPr>
          <w:i/>
          <w:iCs/>
          <w:sz w:val="22"/>
          <w:szCs w:val="22"/>
        </w:rPr>
        <w:t>Order</w:t>
      </w:r>
      <w:r w:rsidRPr="00AA68A7">
        <w:rPr>
          <w:sz w:val="22"/>
          <w:szCs w:val="22"/>
        </w:rPr>
        <w:t xml:space="preserve"> also </w:t>
      </w:r>
      <w:r w:rsidRPr="00AA68A7" w:rsidR="00567601">
        <w:rPr>
          <w:sz w:val="22"/>
          <w:szCs w:val="22"/>
        </w:rPr>
        <w:t>made</w:t>
      </w:r>
      <w:r w:rsidRPr="00AA68A7">
        <w:rPr>
          <w:sz w:val="22"/>
          <w:szCs w:val="22"/>
        </w:rPr>
        <w:t xml:space="preserve"> several non-substantive changes to remove duplicative and out-of-date information. </w:t>
      </w:r>
    </w:p>
    <w:p w:rsidR="00481FDB" w:rsidRPr="00AA68A7" w:rsidP="00481FDB" w14:paraId="227B3265" w14:textId="77777777">
      <w:pPr>
        <w:widowControl w:val="0"/>
        <w:snapToGrid w:val="0"/>
        <w:ind w:firstLine="720"/>
        <w:rPr>
          <w:sz w:val="22"/>
          <w:szCs w:val="22"/>
        </w:rPr>
      </w:pPr>
    </w:p>
    <w:p w:rsidR="00481FDB" w:rsidRPr="00AA68A7" w:rsidP="00545CF5" w14:paraId="6B4915AB" w14:textId="77777777">
      <w:pPr>
        <w:widowControl w:val="0"/>
        <w:snapToGrid w:val="0"/>
        <w:ind w:firstLine="420"/>
        <w:rPr>
          <w:sz w:val="22"/>
          <w:szCs w:val="22"/>
        </w:rPr>
      </w:pPr>
      <w:r w:rsidRPr="00AA68A7">
        <w:rPr>
          <w:sz w:val="22"/>
          <w:szCs w:val="22"/>
        </w:rPr>
        <w:t xml:space="preserve">Specifically, pertaining to this Information Collection and LPFM stations, the Commission is revising the relevant rules, 47 CFR </w:t>
      </w:r>
      <w:r w:rsidRPr="00AA68A7" w:rsidR="00B75EA5">
        <w:t xml:space="preserve">§§ </w:t>
      </w:r>
      <w:r w:rsidRPr="00AA68A7">
        <w:rPr>
          <w:sz w:val="22"/>
          <w:szCs w:val="22"/>
        </w:rPr>
        <w:t>73.8</w:t>
      </w:r>
      <w:r w:rsidRPr="00AA68A7" w:rsidR="00C870E4">
        <w:rPr>
          <w:sz w:val="22"/>
          <w:szCs w:val="22"/>
        </w:rPr>
        <w:t>16</w:t>
      </w:r>
      <w:r w:rsidRPr="00AA68A7" w:rsidR="009C29D2">
        <w:rPr>
          <w:sz w:val="22"/>
          <w:szCs w:val="22"/>
        </w:rPr>
        <w:t>,</w:t>
      </w:r>
      <w:r w:rsidRPr="00AA68A7">
        <w:rPr>
          <w:sz w:val="22"/>
          <w:szCs w:val="22"/>
        </w:rPr>
        <w:t xml:space="preserve"> </w:t>
      </w:r>
      <w:r w:rsidRPr="00AA68A7" w:rsidR="00944019">
        <w:rPr>
          <w:sz w:val="22"/>
          <w:szCs w:val="22"/>
        </w:rPr>
        <w:t xml:space="preserve">73.850, </w:t>
      </w:r>
      <w:r w:rsidRPr="00AA68A7" w:rsidR="009C29D2">
        <w:rPr>
          <w:sz w:val="22"/>
          <w:szCs w:val="22"/>
        </w:rPr>
        <w:t xml:space="preserve">and 73.870, </w:t>
      </w:r>
      <w:r w:rsidRPr="00AA68A7">
        <w:rPr>
          <w:sz w:val="22"/>
          <w:szCs w:val="22"/>
        </w:rPr>
        <w:t>the form, and corresponding instructions, as follows:</w:t>
      </w:r>
    </w:p>
    <w:p w:rsidR="00481FDB" w:rsidRPr="00AA68A7" w:rsidP="002B285D" w14:paraId="6DD13E2D" w14:textId="77777777">
      <w:pPr>
        <w:widowControl w:val="0"/>
        <w:snapToGrid w:val="0"/>
        <w:rPr>
          <w:sz w:val="22"/>
          <w:szCs w:val="22"/>
        </w:rPr>
      </w:pPr>
    </w:p>
    <w:p w:rsidR="007B6B87" w:rsidRPr="00AA68A7" w:rsidP="00E767D3" w14:paraId="0F4B2456" w14:textId="77777777">
      <w:pPr>
        <w:widowControl w:val="0"/>
        <w:numPr>
          <w:ilvl w:val="0"/>
          <w:numId w:val="8"/>
        </w:numPr>
        <w:snapToGrid w:val="0"/>
        <w:ind w:left="420"/>
        <w:rPr>
          <w:spacing w:val="-3"/>
          <w:sz w:val="22"/>
          <w:szCs w:val="22"/>
          <w:u w:val="single"/>
        </w:rPr>
      </w:pPr>
      <w:r w:rsidRPr="00AA68A7">
        <w:rPr>
          <w:kern w:val="28"/>
          <w:sz w:val="22"/>
          <w:szCs w:val="22"/>
        </w:rPr>
        <w:t>Adding a</w:t>
      </w:r>
      <w:r w:rsidRPr="00AA68A7" w:rsidR="002B285D">
        <w:rPr>
          <w:kern w:val="28"/>
          <w:sz w:val="22"/>
          <w:szCs w:val="22"/>
        </w:rPr>
        <w:t xml:space="preserve">n Antenna Type question in the </w:t>
      </w:r>
      <w:r w:rsidRPr="00AA68A7">
        <w:rPr>
          <w:kern w:val="28"/>
          <w:sz w:val="22"/>
          <w:szCs w:val="22"/>
        </w:rPr>
        <w:t xml:space="preserve">Technical Certifications Section of the form, requiring the applicant to </w:t>
      </w:r>
      <w:r w:rsidRPr="00AA68A7" w:rsidR="002B285D">
        <w:rPr>
          <w:kern w:val="28"/>
          <w:sz w:val="22"/>
          <w:szCs w:val="22"/>
        </w:rPr>
        <w:t xml:space="preserve">describe the </w:t>
      </w:r>
      <w:r w:rsidRPr="00AA68A7">
        <w:rPr>
          <w:kern w:val="28"/>
          <w:sz w:val="22"/>
          <w:szCs w:val="22"/>
        </w:rPr>
        <w:t xml:space="preserve">proposed </w:t>
      </w:r>
      <w:r w:rsidRPr="00AA68A7" w:rsidR="002B285D">
        <w:rPr>
          <w:kern w:val="28"/>
          <w:sz w:val="22"/>
          <w:szCs w:val="22"/>
        </w:rPr>
        <w:t>antenna type</w:t>
      </w:r>
      <w:r w:rsidRPr="00AA68A7">
        <w:rPr>
          <w:kern w:val="28"/>
          <w:sz w:val="22"/>
          <w:szCs w:val="22"/>
        </w:rPr>
        <w:t xml:space="preserve"> (directional or non-directional).  Applicants proposing a directional antenna </w:t>
      </w:r>
      <w:r w:rsidRPr="00AA68A7" w:rsidR="00CE7D4C">
        <w:rPr>
          <w:kern w:val="28"/>
          <w:sz w:val="22"/>
          <w:szCs w:val="22"/>
        </w:rPr>
        <w:t xml:space="preserve">(as now permitted by </w:t>
      </w:r>
      <w:r w:rsidRPr="00AA68A7" w:rsidR="00D80A53">
        <w:rPr>
          <w:kern w:val="28"/>
          <w:sz w:val="22"/>
          <w:szCs w:val="22"/>
        </w:rPr>
        <w:t xml:space="preserve">section </w:t>
      </w:r>
      <w:r w:rsidRPr="00AA68A7" w:rsidR="00CE7D4C">
        <w:rPr>
          <w:kern w:val="28"/>
          <w:sz w:val="22"/>
          <w:szCs w:val="22"/>
        </w:rPr>
        <w:t xml:space="preserve">73.816) </w:t>
      </w:r>
      <w:r w:rsidRPr="00AA68A7">
        <w:rPr>
          <w:kern w:val="28"/>
          <w:sz w:val="22"/>
          <w:szCs w:val="22"/>
        </w:rPr>
        <w:t>must complete a data table, providing relative field values for every 10 degrees on the unit circle.</w:t>
      </w:r>
    </w:p>
    <w:p w:rsidR="00D660DD" w:rsidRPr="00AA68A7" w:rsidP="00E767D3" w14:paraId="50BD9E94" w14:textId="77777777">
      <w:pPr>
        <w:widowControl w:val="0"/>
        <w:numPr>
          <w:ilvl w:val="0"/>
          <w:numId w:val="8"/>
        </w:numPr>
        <w:snapToGrid w:val="0"/>
        <w:ind w:left="420"/>
        <w:rPr>
          <w:spacing w:val="-3"/>
          <w:sz w:val="22"/>
          <w:szCs w:val="22"/>
          <w:u w:val="single"/>
        </w:rPr>
      </w:pPr>
      <w:r w:rsidRPr="00AA68A7">
        <w:rPr>
          <w:kern w:val="28"/>
          <w:sz w:val="22"/>
          <w:szCs w:val="22"/>
        </w:rPr>
        <w:t xml:space="preserve">Modifying </w:t>
      </w:r>
      <w:r w:rsidRPr="00AA68A7">
        <w:rPr>
          <w:snapToGrid w:val="0"/>
          <w:kern w:val="28"/>
          <w:sz w:val="22"/>
        </w:rPr>
        <w:t xml:space="preserve">section 73.850 to clarify that LPFM stations must, like other broadcast stations, notify the Commission if they temporarily stop broadcasting.  The </w:t>
      </w:r>
      <w:r w:rsidRPr="00AA68A7" w:rsidR="0015541E">
        <w:rPr>
          <w:snapToGrid w:val="0"/>
          <w:kern w:val="28"/>
          <w:sz w:val="22"/>
        </w:rPr>
        <w:t>r</w:t>
      </w:r>
      <w:r w:rsidRPr="00AA68A7">
        <w:rPr>
          <w:snapToGrid w:val="0"/>
          <w:kern w:val="28"/>
          <w:sz w:val="22"/>
        </w:rPr>
        <w:t>ules require radio stations to notify the Commission within 10 days of temporarily discontinuing operations and to obtain Commission authorization if the discontinued operations last beyond 30 days.</w:t>
      </w:r>
      <w:r>
        <w:rPr>
          <w:rStyle w:val="FootnoteReference"/>
          <w:snapToGrid w:val="0"/>
          <w:kern w:val="28"/>
          <w:sz w:val="22"/>
        </w:rPr>
        <w:footnoteReference w:id="5"/>
      </w:r>
    </w:p>
    <w:p w:rsidR="00232D15" w:rsidRPr="00AA68A7" w:rsidP="00E767D3" w14:paraId="15797B78" w14:textId="77777777">
      <w:pPr>
        <w:widowControl w:val="0"/>
        <w:numPr>
          <w:ilvl w:val="0"/>
          <w:numId w:val="8"/>
        </w:numPr>
        <w:snapToGrid w:val="0"/>
        <w:ind w:left="420"/>
        <w:rPr>
          <w:spacing w:val="-3"/>
          <w:sz w:val="22"/>
          <w:szCs w:val="22"/>
          <w:u w:val="single"/>
        </w:rPr>
      </w:pPr>
      <w:r w:rsidRPr="00AA68A7">
        <w:rPr>
          <w:snapToGrid w:val="0"/>
          <w:kern w:val="28"/>
          <w:sz w:val="22"/>
          <w:szCs w:val="22"/>
        </w:rPr>
        <w:t xml:space="preserve">Redefining </w:t>
      </w:r>
      <w:r w:rsidRPr="00AA68A7">
        <w:rPr>
          <w:sz w:val="22"/>
          <w:szCs w:val="22"/>
        </w:rPr>
        <w:t xml:space="preserve">the types of LPFM facility changes that qualify as “minor” </w:t>
      </w:r>
      <w:r w:rsidRPr="00AA68A7" w:rsidR="00810844">
        <w:rPr>
          <w:sz w:val="22"/>
          <w:szCs w:val="22"/>
        </w:rPr>
        <w:t xml:space="preserve">(in section 73.870), </w:t>
      </w:r>
      <w:r w:rsidRPr="00AA68A7">
        <w:rPr>
          <w:sz w:val="22"/>
          <w:szCs w:val="22"/>
        </w:rPr>
        <w:t xml:space="preserve">to provide </w:t>
      </w:r>
      <w:r w:rsidRPr="00AA68A7">
        <w:rPr>
          <w:sz w:val="22"/>
          <w:szCs w:val="22"/>
        </w:rPr>
        <w:t>additional flexibility for LPFM stations to relocate their facilities</w:t>
      </w:r>
      <w:r w:rsidRPr="00AA68A7" w:rsidR="00810844">
        <w:rPr>
          <w:sz w:val="22"/>
          <w:szCs w:val="22"/>
        </w:rPr>
        <w:t>.</w:t>
      </w:r>
      <w:r>
        <w:rPr>
          <w:rStyle w:val="FootnoteReference"/>
          <w:sz w:val="22"/>
          <w:szCs w:val="22"/>
        </w:rPr>
        <w:footnoteReference w:id="6"/>
      </w:r>
    </w:p>
    <w:p w:rsidR="007B6B87" w:rsidRPr="00AA68A7" w:rsidP="007B6B87" w14:paraId="70826D0D" w14:textId="77777777">
      <w:pPr>
        <w:widowControl w:val="0"/>
        <w:snapToGrid w:val="0"/>
        <w:ind w:left="420"/>
        <w:rPr>
          <w:spacing w:val="-3"/>
          <w:sz w:val="22"/>
          <w:szCs w:val="22"/>
          <w:u w:val="single"/>
        </w:rPr>
      </w:pPr>
    </w:p>
    <w:p w:rsidR="007A474D" w:rsidRPr="00AA68A7" w:rsidP="007B6B87" w14:paraId="569E9058" w14:textId="77777777">
      <w:pPr>
        <w:widowControl w:val="0"/>
        <w:snapToGrid w:val="0"/>
        <w:rPr>
          <w:spacing w:val="-3"/>
          <w:sz w:val="22"/>
          <w:szCs w:val="22"/>
          <w:u w:val="single"/>
        </w:rPr>
      </w:pPr>
      <w:r w:rsidRPr="00AA68A7">
        <w:rPr>
          <w:sz w:val="22"/>
          <w:szCs w:val="22"/>
        </w:rPr>
        <w:t>The revisions to the relevant rules, and the changes to the questions in Schedule 318 listed above affect the substance, burden hours, and costs of completing the Schedule 318.  Therefore, this submission is being made to OMB for approval of revised Information Collection requirements</w:t>
      </w:r>
      <w:r w:rsidRPr="00AA68A7" w:rsidR="00144EA6">
        <w:rPr>
          <w:sz w:val="22"/>
          <w:szCs w:val="22"/>
        </w:rPr>
        <w:t>.</w:t>
      </w:r>
    </w:p>
    <w:p w:rsidR="00481FDB" w:rsidRPr="00AA68A7" w:rsidP="002B285D" w14:paraId="1C146D4B" w14:textId="77777777">
      <w:pPr>
        <w:rPr>
          <w:spacing w:val="-3"/>
          <w:sz w:val="22"/>
          <w:szCs w:val="22"/>
          <w:u w:val="single"/>
        </w:rPr>
      </w:pPr>
    </w:p>
    <w:p w:rsidR="00930A54" w:rsidRPr="00AA68A7" w:rsidP="00930A54" w14:paraId="56B18A3F" w14:textId="77777777">
      <w:pPr>
        <w:rPr>
          <w:spacing w:val="-3"/>
          <w:sz w:val="22"/>
          <w:szCs w:val="22"/>
          <w:u w:val="single"/>
        </w:rPr>
      </w:pPr>
      <w:r w:rsidRPr="00AA68A7">
        <w:rPr>
          <w:spacing w:val="-3"/>
          <w:sz w:val="22"/>
          <w:szCs w:val="22"/>
          <w:u w:val="single"/>
        </w:rPr>
        <w:t>History</w:t>
      </w:r>
      <w:r w:rsidRPr="00AA68A7" w:rsidR="00C07C62">
        <w:rPr>
          <w:spacing w:val="-3"/>
          <w:sz w:val="22"/>
          <w:szCs w:val="22"/>
        </w:rPr>
        <w:t>:</w:t>
      </w:r>
    </w:p>
    <w:p w:rsidR="00930A54" w:rsidRPr="00AA68A7" w:rsidP="00930A54" w14:paraId="74116EF9" w14:textId="77777777">
      <w:pPr>
        <w:rPr>
          <w:spacing w:val="-3"/>
          <w:sz w:val="22"/>
          <w:szCs w:val="22"/>
          <w:u w:val="single"/>
        </w:rPr>
      </w:pPr>
    </w:p>
    <w:p w:rsidR="007A474D" w:rsidRPr="00F81699" w:rsidP="007A474D" w14:paraId="01CEA5A3" w14:textId="77777777">
      <w:pPr>
        <w:autoSpaceDE w:val="0"/>
        <w:autoSpaceDN w:val="0"/>
        <w:adjustRightInd w:val="0"/>
        <w:rPr>
          <w:sz w:val="22"/>
          <w:szCs w:val="22"/>
        </w:rPr>
      </w:pPr>
      <w:bookmarkStart w:id="4" w:name="_Hlk529184930"/>
      <w:r w:rsidRPr="00AA68A7">
        <w:rPr>
          <w:sz w:val="22"/>
          <w:szCs w:val="22"/>
        </w:rPr>
        <w:t xml:space="preserve">On </w:t>
      </w:r>
      <w:r w:rsidRPr="00AA68A7" w:rsidR="004C7B5E">
        <w:rPr>
          <w:sz w:val="22"/>
          <w:szCs w:val="22"/>
        </w:rPr>
        <w:t>May 9</w:t>
      </w:r>
      <w:r w:rsidRPr="00AA68A7" w:rsidR="00DA5A13">
        <w:rPr>
          <w:sz w:val="22"/>
          <w:szCs w:val="22"/>
        </w:rPr>
        <w:t>, 2019,</w:t>
      </w:r>
      <w:r w:rsidRPr="00AA68A7">
        <w:rPr>
          <w:sz w:val="22"/>
          <w:szCs w:val="22"/>
        </w:rPr>
        <w:t xml:space="preserve"> t</w:t>
      </w:r>
      <w:r w:rsidRPr="00AA68A7">
        <w:rPr>
          <w:sz w:val="22"/>
          <w:szCs w:val="22"/>
        </w:rPr>
        <w:t>he Commission submitt</w:t>
      </w:r>
      <w:r w:rsidRPr="00AA68A7">
        <w:rPr>
          <w:sz w:val="22"/>
          <w:szCs w:val="22"/>
        </w:rPr>
        <w:t>ed a</w:t>
      </w:r>
      <w:r w:rsidRPr="00AA68A7">
        <w:rPr>
          <w:sz w:val="22"/>
          <w:szCs w:val="22"/>
        </w:rPr>
        <w:t xml:space="preserve"> non-substantive change request to OMB for approval of minor non-substantive changes made to </w:t>
      </w:r>
      <w:r w:rsidRPr="00AA68A7">
        <w:rPr>
          <w:sz w:val="22"/>
          <w:szCs w:val="22"/>
        </w:rPr>
        <w:t>the CDBS based</w:t>
      </w:r>
      <w:r w:rsidRPr="00AA68A7">
        <w:rPr>
          <w:sz w:val="22"/>
          <w:szCs w:val="22"/>
        </w:rPr>
        <w:t xml:space="preserve"> FCC Form 318.</w:t>
      </w:r>
      <w:r w:rsidRPr="00AA68A7" w:rsidR="00C65966">
        <w:rPr>
          <w:rStyle w:val="FootnoteReference"/>
          <w:sz w:val="22"/>
          <w:szCs w:val="22"/>
        </w:rPr>
        <w:t xml:space="preserve"> </w:t>
      </w:r>
      <w:r>
        <w:rPr>
          <w:rStyle w:val="FootnoteReference"/>
          <w:sz w:val="22"/>
          <w:szCs w:val="22"/>
        </w:rPr>
        <w:footnoteReference w:id="7"/>
      </w:r>
      <w:r w:rsidRPr="00AA68A7" w:rsidR="00C65966">
        <w:rPr>
          <w:sz w:val="22"/>
          <w:szCs w:val="22"/>
        </w:rPr>
        <w:t xml:space="preserve"> </w:t>
      </w:r>
      <w:r w:rsidRPr="00AA68A7">
        <w:rPr>
          <w:sz w:val="22"/>
          <w:szCs w:val="22"/>
        </w:rPr>
        <w:t xml:space="preserve"> The Media Bureau is transitioning to a new on-line, electronic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318</w:t>
      </w:r>
      <w:r w:rsidRPr="00AA68A7">
        <w:rPr>
          <w:b/>
          <w:sz w:val="22"/>
          <w:szCs w:val="22"/>
        </w:rPr>
        <w:t xml:space="preserve"> – </w:t>
      </w:r>
      <w:r w:rsidRPr="00AA68A7">
        <w:rPr>
          <w:sz w:val="22"/>
          <w:szCs w:val="22"/>
        </w:rPr>
        <w:t>Low Power FM Station Construction Permit Application.</w:t>
      </w:r>
    </w:p>
    <w:p w:rsidR="007A474D" w:rsidRPr="00F81699" w:rsidP="007A474D" w14:paraId="6FB51150" w14:textId="77777777">
      <w:pPr>
        <w:widowControl w:val="0"/>
        <w:snapToGrid w:val="0"/>
        <w:rPr>
          <w:sz w:val="22"/>
          <w:szCs w:val="22"/>
        </w:rPr>
      </w:pPr>
    </w:p>
    <w:p w:rsidR="007A474D" w:rsidRPr="00F81699" w:rsidP="007A474D" w14:paraId="106625A0" w14:textId="77777777">
      <w:pPr>
        <w:widowControl w:val="0"/>
        <w:snapToGrid w:val="0"/>
        <w:rPr>
          <w:sz w:val="22"/>
          <w:szCs w:val="22"/>
        </w:rPr>
      </w:pPr>
      <w:r w:rsidRPr="00F81699">
        <w:rPr>
          <w:sz w:val="22"/>
          <w:szCs w:val="22"/>
        </w:rPr>
        <w:t xml:space="preserve">In general, the </w:t>
      </w:r>
      <w:r w:rsidR="00504B76">
        <w:rPr>
          <w:sz w:val="22"/>
          <w:szCs w:val="22"/>
        </w:rPr>
        <w:t>L</w:t>
      </w:r>
      <w:r w:rsidRPr="00F81699">
        <w:rPr>
          <w:sz w:val="22"/>
          <w:szCs w:val="22"/>
        </w:rPr>
        <w:t xml:space="preserve">MS </w:t>
      </w:r>
      <w:r w:rsidR="00504B76">
        <w:rPr>
          <w:sz w:val="22"/>
          <w:szCs w:val="22"/>
        </w:rPr>
        <w:t>Schedule 318</w:t>
      </w:r>
      <w:r w:rsidRPr="00F81699">
        <w:rPr>
          <w:sz w:val="22"/>
          <w:szCs w:val="22"/>
        </w:rPr>
        <w:t xml:space="preserve"> replicate</w:t>
      </w:r>
      <w:r w:rsidR="00504B76">
        <w:rPr>
          <w:sz w:val="22"/>
          <w:szCs w:val="22"/>
        </w:rPr>
        <w:t>s</w:t>
      </w:r>
      <w:r w:rsidRPr="00F81699">
        <w:rPr>
          <w:sz w:val="22"/>
          <w:szCs w:val="22"/>
        </w:rPr>
        <w:t xml:space="preserve"> the FCC Form 318.  The form sections and substance of the individual questions essentially remain the same.  As with the FCC Form 318, the LMS </w:t>
      </w:r>
      <w:r w:rsidR="00504B76">
        <w:rPr>
          <w:sz w:val="22"/>
          <w:szCs w:val="22"/>
        </w:rPr>
        <w:t>Schedule 318</w:t>
      </w:r>
      <w:r>
        <w:rPr>
          <w:sz w:val="22"/>
          <w:szCs w:val="22"/>
        </w:rPr>
        <w:t xml:space="preserve"> </w:t>
      </w:r>
      <w:r w:rsidRPr="00F81699">
        <w:rPr>
          <w:sz w:val="22"/>
          <w:szCs w:val="22"/>
        </w:rPr>
        <w:t xml:space="preserve">requires applicants to certify compliance with statutory and regulatory requirements.  The application is presented primarily in a “Yes/No” certification format and contains places for submitting explanatory exhibits where appropriate.    </w:t>
      </w:r>
    </w:p>
    <w:p w:rsidR="007A474D" w:rsidRPr="00F81699" w:rsidP="007A474D" w14:paraId="39BE2366" w14:textId="77777777">
      <w:pPr>
        <w:widowControl w:val="0"/>
        <w:snapToGrid w:val="0"/>
        <w:ind w:firstLine="720"/>
        <w:rPr>
          <w:sz w:val="22"/>
          <w:szCs w:val="22"/>
        </w:rPr>
      </w:pPr>
    </w:p>
    <w:bookmarkEnd w:id="4"/>
    <w:p w:rsidR="00930A54" w:rsidP="00930A54" w14:paraId="4E60C357" w14:textId="77777777">
      <w:pPr>
        <w:rPr>
          <w:spacing w:val="-3"/>
          <w:sz w:val="22"/>
          <w:szCs w:val="22"/>
          <w:u w:val="single"/>
        </w:rPr>
      </w:pPr>
      <w:r w:rsidRPr="00F81699">
        <w:rPr>
          <w:spacing w:val="-3"/>
          <w:sz w:val="22"/>
          <w:szCs w:val="22"/>
        </w:rPr>
        <w:t xml:space="preserve">On </w:t>
      </w:r>
      <w:r w:rsidRPr="00F81699" w:rsidR="00E920EC">
        <w:rPr>
          <w:spacing w:val="-3"/>
          <w:sz w:val="22"/>
          <w:szCs w:val="22"/>
        </w:rPr>
        <w:t>December 4, 2012</w:t>
      </w:r>
      <w:r w:rsidRPr="00F81699">
        <w:rPr>
          <w:spacing w:val="-3"/>
          <w:sz w:val="22"/>
          <w:szCs w:val="22"/>
        </w:rPr>
        <w:t xml:space="preserve">, the FCC released a </w:t>
      </w:r>
      <w:r w:rsidRPr="00F81699" w:rsidR="00597B5B">
        <w:rPr>
          <w:spacing w:val="-3"/>
          <w:sz w:val="22"/>
          <w:szCs w:val="22"/>
        </w:rPr>
        <w:t xml:space="preserve">Sixth </w:t>
      </w:r>
      <w:r w:rsidRPr="00F81699">
        <w:rPr>
          <w:spacing w:val="-3"/>
          <w:sz w:val="22"/>
          <w:szCs w:val="22"/>
        </w:rPr>
        <w:t>Report and Order, Creation of a Low Power Radio Service, MM Docket No. 99-25, FCC 12</w:t>
      </w:r>
      <w:r w:rsidRPr="00F81699" w:rsidR="00DE1A20">
        <w:rPr>
          <w:spacing w:val="-3"/>
          <w:sz w:val="22"/>
          <w:szCs w:val="22"/>
        </w:rPr>
        <w:t>-</w:t>
      </w:r>
      <w:r w:rsidRPr="00F81699" w:rsidR="00E920EC">
        <w:rPr>
          <w:spacing w:val="-3"/>
          <w:sz w:val="22"/>
          <w:szCs w:val="22"/>
        </w:rPr>
        <w:t>144</w:t>
      </w:r>
      <w:r w:rsidRPr="00F81699" w:rsidR="00DE1A20">
        <w:rPr>
          <w:spacing w:val="-3"/>
          <w:sz w:val="22"/>
          <w:szCs w:val="22"/>
        </w:rPr>
        <w:t xml:space="preserve">.  </w:t>
      </w:r>
      <w:r w:rsidRPr="00F81699">
        <w:rPr>
          <w:spacing w:val="-3"/>
          <w:sz w:val="22"/>
          <w:szCs w:val="22"/>
        </w:rPr>
        <w:t xml:space="preserve">In the </w:t>
      </w:r>
      <w:r w:rsidRPr="00F81699" w:rsidR="00597B5B">
        <w:rPr>
          <w:spacing w:val="-3"/>
          <w:sz w:val="22"/>
          <w:szCs w:val="22"/>
        </w:rPr>
        <w:t>Sixth Report and Order (Order)</w:t>
      </w:r>
      <w:r w:rsidRPr="00F81699">
        <w:rPr>
          <w:spacing w:val="-3"/>
          <w:sz w:val="22"/>
          <w:szCs w:val="22"/>
        </w:rPr>
        <w:t xml:space="preserve">, the FCC </w:t>
      </w:r>
      <w:r w:rsidRPr="00F81699" w:rsidR="00597B5B">
        <w:rPr>
          <w:spacing w:val="-3"/>
          <w:sz w:val="22"/>
          <w:szCs w:val="22"/>
        </w:rPr>
        <w:t>revise</w:t>
      </w:r>
      <w:r w:rsidRPr="00F81699" w:rsidR="00466740">
        <w:rPr>
          <w:spacing w:val="-3"/>
          <w:sz w:val="22"/>
          <w:szCs w:val="22"/>
        </w:rPr>
        <w:t>d</w:t>
      </w:r>
      <w:r w:rsidRPr="00F81699">
        <w:rPr>
          <w:spacing w:val="-3"/>
          <w:sz w:val="22"/>
          <w:szCs w:val="22"/>
        </w:rPr>
        <w:t xml:space="preserve"> Section 73.853(b) of the Commission’s rules</w:t>
      </w:r>
      <w:r>
        <w:rPr>
          <w:rStyle w:val="FootnoteReference"/>
          <w:spacing w:val="-3"/>
          <w:sz w:val="22"/>
          <w:szCs w:val="22"/>
        </w:rPr>
        <w:footnoteReference w:id="8"/>
      </w:r>
      <w:r w:rsidRPr="00F81699">
        <w:rPr>
          <w:spacing w:val="-3"/>
          <w:sz w:val="22"/>
          <w:szCs w:val="22"/>
        </w:rPr>
        <w:t xml:space="preserve"> (rules) to permit federally recognized Native American Tribes and Alaska Native Villages (</w:t>
      </w:r>
      <w:r w:rsidRPr="00F81699" w:rsidR="00597B5B">
        <w:rPr>
          <w:spacing w:val="-3"/>
          <w:sz w:val="22"/>
          <w:szCs w:val="22"/>
        </w:rPr>
        <w:t>Native Nations</w:t>
      </w:r>
      <w:r w:rsidRPr="00F81699">
        <w:rPr>
          <w:spacing w:val="-3"/>
          <w:sz w:val="22"/>
          <w:szCs w:val="22"/>
        </w:rPr>
        <w:t xml:space="preserve">) and </w:t>
      </w:r>
      <w:r w:rsidRPr="00F81699" w:rsidR="00A46F90">
        <w:rPr>
          <w:spacing w:val="-3"/>
          <w:sz w:val="22"/>
          <w:szCs w:val="22"/>
        </w:rPr>
        <w:t>entities</w:t>
      </w:r>
      <w:r w:rsidRPr="00F81699">
        <w:rPr>
          <w:spacing w:val="-3"/>
          <w:sz w:val="22"/>
          <w:szCs w:val="22"/>
        </w:rPr>
        <w:t xml:space="preserve"> owned or controlled by </w:t>
      </w:r>
      <w:r w:rsidRPr="00F81699" w:rsidR="00597B5B">
        <w:rPr>
          <w:spacing w:val="-3"/>
          <w:sz w:val="22"/>
          <w:szCs w:val="22"/>
        </w:rPr>
        <w:t xml:space="preserve">Native Nations (collectively, Native Nation Applicants) </w:t>
      </w:r>
      <w:r w:rsidRPr="00F81699">
        <w:rPr>
          <w:spacing w:val="-3"/>
          <w:sz w:val="22"/>
          <w:szCs w:val="22"/>
        </w:rPr>
        <w:t xml:space="preserve">to hold LPFM licenses.  </w:t>
      </w:r>
      <w:r w:rsidRPr="00F81699" w:rsidR="0094006D">
        <w:rPr>
          <w:spacing w:val="-3"/>
          <w:sz w:val="22"/>
          <w:szCs w:val="22"/>
        </w:rPr>
        <w:t xml:space="preserve">The FCC also revised its definition of </w:t>
      </w:r>
      <w:r w:rsidR="00460807">
        <w:rPr>
          <w:spacing w:val="-3"/>
          <w:sz w:val="22"/>
          <w:szCs w:val="22"/>
        </w:rPr>
        <w:t>“</w:t>
      </w:r>
      <w:r w:rsidRPr="00F81699" w:rsidR="0094006D">
        <w:rPr>
          <w:spacing w:val="-3"/>
          <w:sz w:val="22"/>
          <w:szCs w:val="22"/>
        </w:rPr>
        <w:t>local</w:t>
      </w:r>
      <w:r w:rsidR="00460807">
        <w:rPr>
          <w:spacing w:val="-3"/>
          <w:sz w:val="22"/>
          <w:szCs w:val="22"/>
        </w:rPr>
        <w:t>”</w:t>
      </w:r>
      <w:r w:rsidRPr="00F81699" w:rsidR="0094006D">
        <w:rPr>
          <w:spacing w:val="-3"/>
          <w:sz w:val="22"/>
          <w:szCs w:val="22"/>
        </w:rPr>
        <w:t xml:space="preserve"> to specify that Native Nation Applicants are considered local </w:t>
      </w:r>
      <w:r w:rsidRPr="00F81699" w:rsidR="0094006D">
        <w:rPr>
          <w:sz w:val="22"/>
          <w:szCs w:val="22"/>
        </w:rPr>
        <w:t xml:space="preserve">throughout their Tribal lands. </w:t>
      </w:r>
      <w:r w:rsidRPr="00F81699" w:rsidR="0094006D">
        <w:rPr>
          <w:spacing w:val="-3"/>
          <w:sz w:val="22"/>
          <w:szCs w:val="22"/>
        </w:rPr>
        <w:t xml:space="preserve"> </w:t>
      </w:r>
      <w:r w:rsidRPr="00F81699" w:rsidR="00685378">
        <w:rPr>
          <w:spacing w:val="-3"/>
          <w:sz w:val="22"/>
          <w:szCs w:val="22"/>
        </w:rPr>
        <w:t>We note</w:t>
      </w:r>
      <w:r w:rsidR="006D72BB">
        <w:rPr>
          <w:spacing w:val="-3"/>
          <w:sz w:val="22"/>
          <w:szCs w:val="22"/>
        </w:rPr>
        <w:t>d</w:t>
      </w:r>
      <w:r w:rsidRPr="00F81699" w:rsidR="00685378">
        <w:rPr>
          <w:spacing w:val="-3"/>
          <w:sz w:val="22"/>
          <w:szCs w:val="22"/>
        </w:rPr>
        <w:t xml:space="preserve"> that the overall number of respondents may increase because </w:t>
      </w:r>
      <w:r w:rsidRPr="00F81699" w:rsidR="0094006D">
        <w:rPr>
          <w:spacing w:val="-3"/>
          <w:sz w:val="22"/>
          <w:szCs w:val="22"/>
        </w:rPr>
        <w:t>these</w:t>
      </w:r>
      <w:r w:rsidRPr="00F81699" w:rsidR="00685378">
        <w:rPr>
          <w:spacing w:val="-3"/>
          <w:sz w:val="22"/>
          <w:szCs w:val="22"/>
        </w:rPr>
        <w:t xml:space="preserve"> rule change</w:t>
      </w:r>
      <w:r w:rsidRPr="00F81699" w:rsidR="0094006D">
        <w:rPr>
          <w:spacing w:val="-3"/>
          <w:sz w:val="22"/>
          <w:szCs w:val="22"/>
        </w:rPr>
        <w:t>s</w:t>
      </w:r>
      <w:r w:rsidRPr="00F81699" w:rsidR="00685378">
        <w:rPr>
          <w:spacing w:val="-3"/>
          <w:sz w:val="22"/>
          <w:szCs w:val="22"/>
        </w:rPr>
        <w:t xml:space="preserve"> </w:t>
      </w:r>
      <w:r w:rsidRPr="00F81699" w:rsidR="00597DBB">
        <w:rPr>
          <w:spacing w:val="-3"/>
          <w:sz w:val="22"/>
          <w:szCs w:val="22"/>
        </w:rPr>
        <w:t>expand</w:t>
      </w:r>
      <w:r w:rsidRPr="00F81699" w:rsidR="00685378">
        <w:rPr>
          <w:spacing w:val="-3"/>
          <w:sz w:val="22"/>
          <w:szCs w:val="22"/>
        </w:rPr>
        <w:t xml:space="preserve"> the universe of applicants eligible to apply for an LPFM station.  </w:t>
      </w:r>
      <w:r w:rsidRPr="00F81699" w:rsidR="00247151">
        <w:rPr>
          <w:spacing w:val="-3"/>
          <w:sz w:val="22"/>
          <w:szCs w:val="22"/>
        </w:rPr>
        <w:t xml:space="preserve">We </w:t>
      </w:r>
      <w:r w:rsidRPr="00F81699">
        <w:rPr>
          <w:spacing w:val="-3"/>
          <w:sz w:val="22"/>
          <w:szCs w:val="22"/>
        </w:rPr>
        <w:t xml:space="preserve">revised the Form 318 to reflect </w:t>
      </w:r>
      <w:r w:rsidRPr="00F81699" w:rsidR="0094006D">
        <w:rPr>
          <w:spacing w:val="-3"/>
          <w:sz w:val="22"/>
          <w:szCs w:val="22"/>
        </w:rPr>
        <w:t>these</w:t>
      </w:r>
      <w:r w:rsidRPr="00F81699">
        <w:rPr>
          <w:spacing w:val="-3"/>
          <w:sz w:val="22"/>
          <w:szCs w:val="22"/>
        </w:rPr>
        <w:t xml:space="preserve"> </w:t>
      </w:r>
      <w:r w:rsidRPr="00F81699" w:rsidR="00B82F22">
        <w:rPr>
          <w:spacing w:val="-3"/>
          <w:sz w:val="22"/>
          <w:szCs w:val="22"/>
        </w:rPr>
        <w:t>change</w:t>
      </w:r>
      <w:r w:rsidRPr="00F81699" w:rsidR="0094006D">
        <w:rPr>
          <w:spacing w:val="-3"/>
          <w:sz w:val="22"/>
          <w:szCs w:val="22"/>
        </w:rPr>
        <w:t>s</w:t>
      </w:r>
      <w:r w:rsidRPr="00F81699">
        <w:rPr>
          <w:spacing w:val="-3"/>
          <w:sz w:val="22"/>
          <w:szCs w:val="22"/>
        </w:rPr>
        <w:t xml:space="preserve">.  </w:t>
      </w:r>
      <w:r w:rsidRPr="00F81699" w:rsidR="00247151">
        <w:rPr>
          <w:spacing w:val="-3"/>
          <w:sz w:val="22"/>
          <w:szCs w:val="22"/>
        </w:rPr>
        <w:t xml:space="preserve">We </w:t>
      </w:r>
      <w:r w:rsidRPr="00F81699" w:rsidR="00685378">
        <w:rPr>
          <w:spacing w:val="-3"/>
          <w:sz w:val="22"/>
          <w:szCs w:val="22"/>
        </w:rPr>
        <w:t>revised the Form 318 to</w:t>
      </w:r>
      <w:r w:rsidRPr="00F81699" w:rsidR="007C0B7E">
        <w:rPr>
          <w:spacing w:val="-3"/>
          <w:sz w:val="22"/>
          <w:szCs w:val="22"/>
        </w:rPr>
        <w:t xml:space="preserve"> </w:t>
      </w:r>
      <w:r w:rsidRPr="00F81699" w:rsidR="00685378">
        <w:rPr>
          <w:spacing w:val="-3"/>
          <w:sz w:val="22"/>
          <w:szCs w:val="22"/>
        </w:rPr>
        <w:t xml:space="preserve">specify new information collection requirements applicable to </w:t>
      </w:r>
      <w:r w:rsidRPr="00F81699" w:rsidR="007C0B7E">
        <w:rPr>
          <w:spacing w:val="-3"/>
          <w:sz w:val="22"/>
          <w:szCs w:val="22"/>
        </w:rPr>
        <w:t>the other categories of applicants eligible to seek LPFM licenses</w:t>
      </w:r>
      <w:r w:rsidRPr="00F81699">
        <w:rPr>
          <w:spacing w:val="-3"/>
          <w:sz w:val="22"/>
          <w:szCs w:val="22"/>
        </w:rPr>
        <w:t>.</w:t>
      </w:r>
    </w:p>
    <w:p w:rsidR="00930A54" w:rsidP="00930A54" w14:paraId="7132BECA" w14:textId="77777777">
      <w:pPr>
        <w:rPr>
          <w:spacing w:val="-3"/>
          <w:sz w:val="22"/>
          <w:szCs w:val="22"/>
          <w:u w:val="single"/>
        </w:rPr>
      </w:pPr>
    </w:p>
    <w:p w:rsidR="00930A54" w:rsidP="00930A54" w14:paraId="42CE3196" w14:textId="77777777">
      <w:pPr>
        <w:rPr>
          <w:spacing w:val="-3"/>
          <w:sz w:val="22"/>
          <w:szCs w:val="22"/>
          <w:u w:val="single"/>
        </w:rPr>
      </w:pPr>
      <w:r w:rsidRPr="00F81699">
        <w:rPr>
          <w:spacing w:val="-3"/>
          <w:sz w:val="22"/>
          <w:szCs w:val="22"/>
        </w:rPr>
        <w:t xml:space="preserve">In the </w:t>
      </w:r>
      <w:r w:rsidRPr="00F81699" w:rsidR="00B91AFF">
        <w:rPr>
          <w:spacing w:val="-3"/>
          <w:sz w:val="22"/>
          <w:szCs w:val="22"/>
        </w:rPr>
        <w:t>Order</w:t>
      </w:r>
      <w:r w:rsidRPr="00F81699">
        <w:rPr>
          <w:spacing w:val="-3"/>
          <w:sz w:val="22"/>
          <w:szCs w:val="22"/>
        </w:rPr>
        <w:t xml:space="preserve">, the FCC </w:t>
      </w:r>
      <w:r w:rsidRPr="00F81699" w:rsidR="007C0B7E">
        <w:rPr>
          <w:spacing w:val="-3"/>
          <w:sz w:val="22"/>
          <w:szCs w:val="22"/>
        </w:rPr>
        <w:t xml:space="preserve">also </w:t>
      </w:r>
      <w:r w:rsidRPr="00F81699">
        <w:rPr>
          <w:spacing w:val="-3"/>
          <w:sz w:val="22"/>
          <w:szCs w:val="22"/>
        </w:rPr>
        <w:t>modif</w:t>
      </w:r>
      <w:r w:rsidRPr="00F81699" w:rsidR="00466740">
        <w:rPr>
          <w:spacing w:val="-3"/>
          <w:sz w:val="22"/>
          <w:szCs w:val="22"/>
        </w:rPr>
        <w:t>ied</w:t>
      </w:r>
      <w:r w:rsidRPr="00F81699">
        <w:rPr>
          <w:spacing w:val="-3"/>
          <w:sz w:val="22"/>
          <w:szCs w:val="22"/>
        </w:rPr>
        <w:t xml:space="preserve"> its ownership rules.  First, the FCC revise</w:t>
      </w:r>
      <w:r w:rsidRPr="00F81699" w:rsidR="00466740">
        <w:rPr>
          <w:spacing w:val="-3"/>
          <w:sz w:val="22"/>
          <w:szCs w:val="22"/>
        </w:rPr>
        <w:t>d</w:t>
      </w:r>
      <w:r w:rsidRPr="00F81699">
        <w:rPr>
          <w:spacing w:val="-3"/>
          <w:sz w:val="22"/>
          <w:szCs w:val="22"/>
        </w:rPr>
        <w:t xml:space="preserve"> its</w:t>
      </w:r>
      <w:r w:rsidRPr="00F81699">
        <w:rPr>
          <w:sz w:val="22"/>
          <w:szCs w:val="22"/>
        </w:rPr>
        <w:t xml:space="preserve"> cross-ownership rule to permit cross-ownership of an LPFM station and </w:t>
      </w:r>
      <w:r w:rsidRPr="00F81699" w:rsidR="00B91AFF">
        <w:rPr>
          <w:sz w:val="22"/>
          <w:szCs w:val="22"/>
        </w:rPr>
        <w:t>up to two</w:t>
      </w:r>
      <w:r w:rsidRPr="00F81699">
        <w:rPr>
          <w:sz w:val="22"/>
          <w:szCs w:val="22"/>
        </w:rPr>
        <w:t xml:space="preserve"> FM translator</w:t>
      </w:r>
      <w:r w:rsidRPr="00F81699" w:rsidR="00B91AFF">
        <w:rPr>
          <w:spacing w:val="-3"/>
          <w:sz w:val="22"/>
          <w:szCs w:val="22"/>
        </w:rPr>
        <w:t xml:space="preserve"> stations</w:t>
      </w:r>
      <w:r w:rsidRPr="00F81699">
        <w:rPr>
          <w:spacing w:val="-3"/>
          <w:sz w:val="22"/>
          <w:szCs w:val="22"/>
        </w:rPr>
        <w:t xml:space="preserve">.  </w:t>
      </w:r>
      <w:r w:rsidRPr="00F81699" w:rsidR="00597DBB">
        <w:rPr>
          <w:spacing w:val="-3"/>
          <w:sz w:val="22"/>
          <w:szCs w:val="22"/>
        </w:rPr>
        <w:t xml:space="preserve">Second, </w:t>
      </w:r>
      <w:r w:rsidRPr="00F81699">
        <w:rPr>
          <w:color w:val="010101"/>
          <w:sz w:val="22"/>
          <w:szCs w:val="22"/>
        </w:rPr>
        <w:t xml:space="preserve">the FCC </w:t>
      </w:r>
      <w:r w:rsidRPr="00F81699" w:rsidR="00466740">
        <w:rPr>
          <w:color w:val="010101"/>
          <w:sz w:val="22"/>
          <w:szCs w:val="22"/>
        </w:rPr>
        <w:t xml:space="preserve">amended its rules to </w:t>
      </w:r>
      <w:r w:rsidRPr="00F81699">
        <w:rPr>
          <w:sz w:val="22"/>
          <w:szCs w:val="22"/>
        </w:rPr>
        <w:t xml:space="preserve">permit </w:t>
      </w:r>
      <w:r w:rsidRPr="00F81699" w:rsidR="00B91AFF">
        <w:rPr>
          <w:color w:val="010101"/>
          <w:sz w:val="22"/>
          <w:szCs w:val="22"/>
        </w:rPr>
        <w:t>Native Nation Applicants</w:t>
      </w:r>
      <w:r w:rsidRPr="00F81699">
        <w:rPr>
          <w:color w:val="010101"/>
          <w:sz w:val="22"/>
          <w:szCs w:val="22"/>
        </w:rPr>
        <w:t xml:space="preserve"> </w:t>
      </w:r>
      <w:r w:rsidRPr="00F81699">
        <w:rPr>
          <w:sz w:val="22"/>
          <w:szCs w:val="22"/>
        </w:rPr>
        <w:t xml:space="preserve">to seek </w:t>
      </w:r>
      <w:r w:rsidRPr="00F81699" w:rsidR="00B91AFF">
        <w:rPr>
          <w:sz w:val="22"/>
          <w:szCs w:val="22"/>
        </w:rPr>
        <w:t>up to two</w:t>
      </w:r>
      <w:r w:rsidRPr="00F81699">
        <w:rPr>
          <w:sz w:val="22"/>
          <w:szCs w:val="22"/>
        </w:rPr>
        <w:t xml:space="preserve"> LPFM construction permit</w:t>
      </w:r>
      <w:r w:rsidRPr="00F81699" w:rsidR="00104CAB">
        <w:rPr>
          <w:sz w:val="22"/>
          <w:szCs w:val="22"/>
        </w:rPr>
        <w:t>s</w:t>
      </w:r>
      <w:r w:rsidRPr="00F81699">
        <w:rPr>
          <w:sz w:val="22"/>
          <w:szCs w:val="22"/>
        </w:rPr>
        <w:t xml:space="preserve"> to ensure adequate coverage of </w:t>
      </w:r>
      <w:r w:rsidRPr="00F81699" w:rsidR="00D00576">
        <w:rPr>
          <w:sz w:val="22"/>
          <w:szCs w:val="22"/>
        </w:rPr>
        <w:t>T</w:t>
      </w:r>
      <w:r w:rsidRPr="00F81699">
        <w:rPr>
          <w:sz w:val="22"/>
          <w:szCs w:val="22"/>
        </w:rPr>
        <w:t xml:space="preserve">ribal </w:t>
      </w:r>
      <w:r w:rsidRPr="00F81699" w:rsidR="00D00576">
        <w:rPr>
          <w:sz w:val="22"/>
          <w:szCs w:val="22"/>
        </w:rPr>
        <w:t>l</w:t>
      </w:r>
      <w:r w:rsidRPr="00F81699">
        <w:rPr>
          <w:sz w:val="22"/>
          <w:szCs w:val="22"/>
        </w:rPr>
        <w:t xml:space="preserve">ands.  </w:t>
      </w:r>
      <w:r w:rsidRPr="00F81699">
        <w:rPr>
          <w:spacing w:val="-3"/>
          <w:sz w:val="22"/>
          <w:szCs w:val="22"/>
        </w:rPr>
        <w:t xml:space="preserve">We revised the Form 318 to reflect </w:t>
      </w:r>
      <w:r w:rsidRPr="00F81699" w:rsidR="007C0B7E">
        <w:rPr>
          <w:spacing w:val="-3"/>
          <w:sz w:val="22"/>
          <w:szCs w:val="22"/>
        </w:rPr>
        <w:t>these</w:t>
      </w:r>
      <w:r w:rsidRPr="00F81699">
        <w:rPr>
          <w:spacing w:val="-3"/>
          <w:sz w:val="22"/>
          <w:szCs w:val="22"/>
        </w:rPr>
        <w:t xml:space="preserve"> </w:t>
      </w:r>
      <w:r w:rsidRPr="00F81699" w:rsidR="00B82F22">
        <w:rPr>
          <w:spacing w:val="-3"/>
          <w:sz w:val="22"/>
          <w:szCs w:val="22"/>
        </w:rPr>
        <w:t>changes</w:t>
      </w:r>
      <w:r w:rsidRPr="00F81699">
        <w:rPr>
          <w:spacing w:val="-3"/>
          <w:sz w:val="22"/>
          <w:szCs w:val="22"/>
        </w:rPr>
        <w:t xml:space="preserve">.  </w:t>
      </w:r>
    </w:p>
    <w:p w:rsidR="00930A54" w:rsidP="00930A54" w14:paraId="7B511809" w14:textId="77777777">
      <w:pPr>
        <w:rPr>
          <w:spacing w:val="-3"/>
          <w:sz w:val="22"/>
          <w:szCs w:val="22"/>
          <w:u w:val="single"/>
        </w:rPr>
      </w:pPr>
    </w:p>
    <w:p w:rsidR="00930A54" w:rsidP="00930A54" w14:paraId="71141B96" w14:textId="77777777">
      <w:pPr>
        <w:rPr>
          <w:spacing w:val="-3"/>
          <w:sz w:val="22"/>
          <w:szCs w:val="22"/>
          <w:u w:val="single"/>
        </w:rPr>
      </w:pPr>
      <w:r w:rsidRPr="00F81699">
        <w:rPr>
          <w:spacing w:val="-3"/>
          <w:sz w:val="22"/>
          <w:szCs w:val="22"/>
        </w:rPr>
        <w:t>T</w:t>
      </w:r>
      <w:r w:rsidRPr="00F81699" w:rsidR="00C07C62">
        <w:rPr>
          <w:spacing w:val="-3"/>
          <w:sz w:val="22"/>
          <w:szCs w:val="22"/>
        </w:rPr>
        <w:t xml:space="preserve">he FCC </w:t>
      </w:r>
      <w:r w:rsidRPr="00F81699">
        <w:rPr>
          <w:spacing w:val="-3"/>
          <w:sz w:val="22"/>
          <w:szCs w:val="22"/>
        </w:rPr>
        <w:t>further</w:t>
      </w:r>
      <w:r w:rsidRPr="00F81699" w:rsidR="00C07C62">
        <w:rPr>
          <w:spacing w:val="-3"/>
          <w:sz w:val="22"/>
          <w:szCs w:val="22"/>
        </w:rPr>
        <w:t xml:space="preserve"> </w:t>
      </w:r>
      <w:r w:rsidRPr="00F81699" w:rsidR="00B82F22">
        <w:rPr>
          <w:spacing w:val="-3"/>
          <w:sz w:val="22"/>
          <w:szCs w:val="22"/>
        </w:rPr>
        <w:t>modifie</w:t>
      </w:r>
      <w:r w:rsidRPr="00F81699" w:rsidR="00466740">
        <w:rPr>
          <w:spacing w:val="-3"/>
          <w:sz w:val="22"/>
          <w:szCs w:val="22"/>
        </w:rPr>
        <w:t>d</w:t>
      </w:r>
      <w:r w:rsidRPr="00F81699" w:rsidR="00C07C62">
        <w:rPr>
          <w:spacing w:val="-3"/>
          <w:sz w:val="22"/>
          <w:szCs w:val="22"/>
        </w:rPr>
        <w:t xml:space="preserve"> the point system used to select among mutually exclusive LPFM applicants and set forth in Section 73.872 of the rules.</w:t>
      </w:r>
      <w:r>
        <w:rPr>
          <w:rStyle w:val="FootnoteReference"/>
          <w:spacing w:val="-3"/>
          <w:sz w:val="22"/>
          <w:szCs w:val="22"/>
        </w:rPr>
        <w:footnoteReference w:id="9"/>
      </w:r>
      <w:r w:rsidRPr="00F81699" w:rsidR="00C07C62">
        <w:rPr>
          <w:spacing w:val="-3"/>
          <w:sz w:val="22"/>
          <w:szCs w:val="22"/>
        </w:rPr>
        <w:t xml:space="preserve">  First, the FCC </w:t>
      </w:r>
      <w:r w:rsidRPr="00F81699" w:rsidR="00B82F22">
        <w:rPr>
          <w:spacing w:val="-3"/>
          <w:sz w:val="22"/>
          <w:szCs w:val="22"/>
        </w:rPr>
        <w:t>revise</w:t>
      </w:r>
      <w:r w:rsidRPr="00F81699" w:rsidR="00466740">
        <w:rPr>
          <w:spacing w:val="-3"/>
          <w:sz w:val="22"/>
          <w:szCs w:val="22"/>
        </w:rPr>
        <w:t>d</w:t>
      </w:r>
      <w:r w:rsidRPr="00F81699" w:rsidR="00C07C62">
        <w:rPr>
          <w:spacing w:val="-3"/>
          <w:sz w:val="22"/>
          <w:szCs w:val="22"/>
        </w:rPr>
        <w:t xml:space="preserve"> the “established community presence”</w:t>
      </w:r>
      <w:r w:rsidRPr="00F81699" w:rsidR="00D76CC7">
        <w:rPr>
          <w:spacing w:val="-3"/>
          <w:sz w:val="22"/>
          <w:szCs w:val="22"/>
        </w:rPr>
        <w:t xml:space="preserve"> </w:t>
      </w:r>
      <w:r w:rsidRPr="00F81699" w:rsidR="00C07C62">
        <w:rPr>
          <w:spacing w:val="-3"/>
          <w:sz w:val="22"/>
          <w:szCs w:val="22"/>
        </w:rPr>
        <w:t>criterion</w:t>
      </w:r>
      <w:r w:rsidRPr="00F81699" w:rsidR="00D76CC7">
        <w:rPr>
          <w:spacing w:val="-3"/>
          <w:sz w:val="22"/>
          <w:szCs w:val="22"/>
        </w:rPr>
        <w:t xml:space="preserve"> </w:t>
      </w:r>
      <w:r w:rsidRPr="00F81699" w:rsidR="00C07C62">
        <w:rPr>
          <w:spacing w:val="-3"/>
          <w:sz w:val="22"/>
          <w:szCs w:val="22"/>
        </w:rPr>
        <w:t xml:space="preserve">to extend the “established community presence” standard in rural areas.  Under the </w:t>
      </w:r>
      <w:r w:rsidRPr="00F81699" w:rsidR="00B82F22">
        <w:rPr>
          <w:spacing w:val="-3"/>
          <w:sz w:val="22"/>
          <w:szCs w:val="22"/>
        </w:rPr>
        <w:t xml:space="preserve">earlier version of the </w:t>
      </w:r>
      <w:r w:rsidRPr="00F81699" w:rsidR="00C07C62">
        <w:rPr>
          <w:spacing w:val="-3"/>
          <w:sz w:val="22"/>
          <w:szCs w:val="22"/>
        </w:rPr>
        <w:t xml:space="preserve">rule, an LPFM applicant was deemed to have an established community presence if it was physically headquartered or had a campus within ten miles of the proposed LPFM transmitter site, or if 75 percent of its board members resided within ten miles of the proposed LPFM transmitter site.  The </w:t>
      </w:r>
      <w:r w:rsidRPr="00F81699" w:rsidR="0094006D">
        <w:rPr>
          <w:spacing w:val="-3"/>
          <w:sz w:val="22"/>
          <w:szCs w:val="22"/>
        </w:rPr>
        <w:t>FCC</w:t>
      </w:r>
      <w:r w:rsidRPr="00F81699" w:rsidR="00B82F22">
        <w:rPr>
          <w:spacing w:val="-3"/>
          <w:sz w:val="22"/>
          <w:szCs w:val="22"/>
        </w:rPr>
        <w:t xml:space="preserve"> changed</w:t>
      </w:r>
      <w:r w:rsidRPr="00F81699" w:rsidR="00C07C62">
        <w:rPr>
          <w:spacing w:val="-3"/>
          <w:sz w:val="22"/>
          <w:szCs w:val="22"/>
        </w:rPr>
        <w:t xml:space="preserve"> the </w:t>
      </w:r>
      <w:r w:rsidRPr="00F81699" w:rsidR="00B82F22">
        <w:rPr>
          <w:spacing w:val="-3"/>
          <w:sz w:val="22"/>
          <w:szCs w:val="22"/>
        </w:rPr>
        <w:t>standard</w:t>
      </w:r>
      <w:r w:rsidRPr="00F81699" w:rsidR="00C07C62">
        <w:rPr>
          <w:spacing w:val="-3"/>
          <w:sz w:val="22"/>
          <w:szCs w:val="22"/>
        </w:rPr>
        <w:t xml:space="preserve"> </w:t>
      </w:r>
      <w:r w:rsidRPr="00F81699" w:rsidR="00B82F22">
        <w:rPr>
          <w:spacing w:val="-3"/>
          <w:sz w:val="22"/>
          <w:szCs w:val="22"/>
        </w:rPr>
        <w:t xml:space="preserve">from ten to </w:t>
      </w:r>
      <w:r w:rsidRPr="00F81699" w:rsidR="00C07C62">
        <w:rPr>
          <w:spacing w:val="-3"/>
          <w:sz w:val="22"/>
          <w:szCs w:val="22"/>
        </w:rPr>
        <w:t xml:space="preserve">twenty miles for all LPFM applicants proposing facilities located outside the top </w:t>
      </w:r>
      <w:r w:rsidR="00460807">
        <w:rPr>
          <w:spacing w:val="-3"/>
          <w:sz w:val="22"/>
          <w:szCs w:val="22"/>
        </w:rPr>
        <w:t>50</w:t>
      </w:r>
      <w:r w:rsidRPr="00F81699" w:rsidR="00C07C62">
        <w:rPr>
          <w:spacing w:val="-3"/>
          <w:sz w:val="22"/>
          <w:szCs w:val="22"/>
        </w:rPr>
        <w:t xml:space="preserve"> urban markets, for both the distance from transmitter and residence of board member standards.  </w:t>
      </w:r>
      <w:r w:rsidRPr="00F81699" w:rsidR="00B82F22">
        <w:rPr>
          <w:spacing w:val="-3"/>
          <w:sz w:val="22"/>
          <w:szCs w:val="22"/>
        </w:rPr>
        <w:t>Second</w:t>
      </w:r>
      <w:r w:rsidRPr="00F81699" w:rsidR="00C07C62">
        <w:rPr>
          <w:spacing w:val="-3"/>
          <w:sz w:val="22"/>
          <w:szCs w:val="22"/>
        </w:rPr>
        <w:t>, the FCC modif</w:t>
      </w:r>
      <w:r w:rsidRPr="00F81699" w:rsidR="00B82F22">
        <w:rPr>
          <w:spacing w:val="-3"/>
          <w:sz w:val="22"/>
          <w:szCs w:val="22"/>
        </w:rPr>
        <w:t>ied</w:t>
      </w:r>
      <w:r w:rsidRPr="00F81699" w:rsidR="00C07C62">
        <w:rPr>
          <w:spacing w:val="-3"/>
          <w:sz w:val="22"/>
          <w:szCs w:val="22"/>
        </w:rPr>
        <w:t xml:space="preserve"> the point system to award a point to </w:t>
      </w:r>
      <w:r w:rsidRPr="00F81699" w:rsidR="00B82F22">
        <w:rPr>
          <w:spacing w:val="-3"/>
          <w:sz w:val="22"/>
          <w:szCs w:val="22"/>
        </w:rPr>
        <w:t>Native Nation Applicants</w:t>
      </w:r>
      <w:r w:rsidRPr="00F81699" w:rsidR="00C07C62">
        <w:rPr>
          <w:spacing w:val="-3"/>
          <w:sz w:val="22"/>
          <w:szCs w:val="22"/>
        </w:rPr>
        <w:t xml:space="preserve">, when they propose to provide LPFM service to </w:t>
      </w:r>
      <w:r w:rsidRPr="00F81699" w:rsidR="00D00576">
        <w:rPr>
          <w:spacing w:val="-3"/>
          <w:sz w:val="22"/>
          <w:szCs w:val="22"/>
        </w:rPr>
        <w:t>T</w:t>
      </w:r>
      <w:r w:rsidRPr="00F81699">
        <w:rPr>
          <w:spacing w:val="-3"/>
          <w:sz w:val="22"/>
          <w:szCs w:val="22"/>
        </w:rPr>
        <w:t>ribal</w:t>
      </w:r>
      <w:r w:rsidRPr="00F81699" w:rsidR="00C07C62">
        <w:rPr>
          <w:spacing w:val="-3"/>
          <w:sz w:val="22"/>
          <w:szCs w:val="22"/>
        </w:rPr>
        <w:t xml:space="preserve"> communities.  </w:t>
      </w:r>
      <w:r w:rsidRPr="00F81699" w:rsidR="00B82F22">
        <w:rPr>
          <w:spacing w:val="-3"/>
          <w:sz w:val="22"/>
          <w:szCs w:val="22"/>
        </w:rPr>
        <w:t xml:space="preserve">Third, the FCC established additional points criteria related to maintenance and staffing of a main studio, commitments to locally originate programming and maintain and staff a main studio, and new entry into the broadcasting field.  </w:t>
      </w:r>
      <w:r w:rsidRPr="00F81699" w:rsidR="00C07C62">
        <w:rPr>
          <w:spacing w:val="-3"/>
          <w:sz w:val="22"/>
          <w:szCs w:val="22"/>
        </w:rPr>
        <w:t>We revised the</w:t>
      </w:r>
      <w:r w:rsidRPr="00F81699" w:rsidR="009410D9">
        <w:rPr>
          <w:spacing w:val="-3"/>
          <w:sz w:val="22"/>
          <w:szCs w:val="22"/>
        </w:rPr>
        <w:t xml:space="preserve"> </w:t>
      </w:r>
      <w:r w:rsidRPr="00F81699" w:rsidR="00C07C62">
        <w:rPr>
          <w:spacing w:val="-3"/>
          <w:sz w:val="22"/>
          <w:szCs w:val="22"/>
        </w:rPr>
        <w:t>Form 318 to reflect these changes to the point system.  We note</w:t>
      </w:r>
      <w:r w:rsidR="006D72BB">
        <w:rPr>
          <w:spacing w:val="-3"/>
          <w:sz w:val="22"/>
          <w:szCs w:val="22"/>
        </w:rPr>
        <w:t>d</w:t>
      </w:r>
      <w:r w:rsidRPr="00F81699" w:rsidR="00C07C62">
        <w:rPr>
          <w:spacing w:val="-3"/>
          <w:sz w:val="22"/>
          <w:szCs w:val="22"/>
        </w:rPr>
        <w:t xml:space="preserve"> that the overall number of respondents may increase because the </w:t>
      </w:r>
      <w:r w:rsidRPr="00F81699" w:rsidR="00597DBB">
        <w:rPr>
          <w:spacing w:val="-3"/>
          <w:sz w:val="22"/>
          <w:szCs w:val="22"/>
        </w:rPr>
        <w:t>r</w:t>
      </w:r>
      <w:r w:rsidRPr="00F81699" w:rsidR="00C07C62">
        <w:rPr>
          <w:spacing w:val="-3"/>
          <w:sz w:val="22"/>
          <w:szCs w:val="22"/>
        </w:rPr>
        <w:t xml:space="preserve">ule changes expand the universe of applicants eligible to claim points under the established community presence criterion, and award points to </w:t>
      </w:r>
      <w:r w:rsidRPr="00F81699" w:rsidR="002D6DD9">
        <w:rPr>
          <w:spacing w:val="-3"/>
          <w:sz w:val="22"/>
          <w:szCs w:val="22"/>
        </w:rPr>
        <w:t>Native Nations Applicants and other applicants</w:t>
      </w:r>
      <w:r w:rsidRPr="00F81699" w:rsidR="00C07C62">
        <w:rPr>
          <w:spacing w:val="-3"/>
          <w:sz w:val="22"/>
          <w:szCs w:val="22"/>
        </w:rPr>
        <w:t xml:space="preserve"> that previously were not eligible to claim them.</w:t>
      </w:r>
      <w:r>
        <w:rPr>
          <w:rStyle w:val="FootnoteReference"/>
          <w:spacing w:val="-3"/>
          <w:sz w:val="22"/>
          <w:szCs w:val="22"/>
        </w:rPr>
        <w:footnoteReference w:id="10"/>
      </w:r>
      <w:r w:rsidRPr="00F81699" w:rsidR="00C07C62">
        <w:rPr>
          <w:spacing w:val="-3"/>
          <w:sz w:val="22"/>
          <w:szCs w:val="22"/>
        </w:rPr>
        <w:t xml:space="preserve">  In addition, there </w:t>
      </w:r>
      <w:r w:rsidR="006D72BB">
        <w:rPr>
          <w:spacing w:val="-3"/>
          <w:sz w:val="22"/>
          <w:szCs w:val="22"/>
        </w:rPr>
        <w:t xml:space="preserve">were </w:t>
      </w:r>
      <w:r w:rsidRPr="00F81699" w:rsidR="00C07C62">
        <w:rPr>
          <w:spacing w:val="-3"/>
          <w:sz w:val="22"/>
          <w:szCs w:val="22"/>
        </w:rPr>
        <w:t>new information collection requirements</w:t>
      </w:r>
      <w:r w:rsidRPr="00F81699" w:rsidR="002D6DD9">
        <w:rPr>
          <w:spacing w:val="-3"/>
          <w:sz w:val="22"/>
          <w:szCs w:val="22"/>
        </w:rPr>
        <w:t xml:space="preserve"> set forth in Form 318 and</w:t>
      </w:r>
      <w:r w:rsidRPr="00F81699" w:rsidR="00C07C62">
        <w:rPr>
          <w:spacing w:val="-3"/>
          <w:sz w:val="22"/>
          <w:szCs w:val="22"/>
        </w:rPr>
        <w:t xml:space="preserve"> applicable to </w:t>
      </w:r>
      <w:r w:rsidRPr="00F81699" w:rsidR="002D6DD9">
        <w:rPr>
          <w:spacing w:val="-3"/>
          <w:sz w:val="22"/>
          <w:szCs w:val="22"/>
        </w:rPr>
        <w:t>applicants claiming points under the Native Nations and main studio criteria</w:t>
      </w:r>
      <w:r w:rsidRPr="00F81699" w:rsidR="00C07C62">
        <w:rPr>
          <w:spacing w:val="-3"/>
          <w:sz w:val="22"/>
          <w:szCs w:val="22"/>
        </w:rPr>
        <w:t xml:space="preserve">.   </w:t>
      </w:r>
      <w:r w:rsidRPr="00F81699" w:rsidR="008C4804">
        <w:rPr>
          <w:spacing w:val="-3"/>
          <w:sz w:val="22"/>
          <w:szCs w:val="22"/>
        </w:rPr>
        <w:t>We revised Form 318 to reflect these changes.</w:t>
      </w:r>
    </w:p>
    <w:p w:rsidR="00DA5A13" w:rsidP="00930A54" w14:paraId="2B732F52" w14:textId="77777777">
      <w:pPr>
        <w:rPr>
          <w:sz w:val="22"/>
          <w:szCs w:val="22"/>
        </w:rPr>
      </w:pPr>
    </w:p>
    <w:p w:rsidR="00930A54" w:rsidP="00930A54" w14:paraId="7CEB30EE" w14:textId="77777777">
      <w:pPr>
        <w:rPr>
          <w:sz w:val="22"/>
          <w:szCs w:val="22"/>
        </w:rPr>
      </w:pPr>
      <w:r w:rsidRPr="00F81699">
        <w:rPr>
          <w:sz w:val="22"/>
          <w:szCs w:val="22"/>
        </w:rPr>
        <w:t xml:space="preserve">The FCC </w:t>
      </w:r>
      <w:r w:rsidRPr="00F81699" w:rsidR="00466740">
        <w:rPr>
          <w:sz w:val="22"/>
          <w:szCs w:val="22"/>
        </w:rPr>
        <w:t>made</w:t>
      </w:r>
      <w:r w:rsidRPr="00F81699">
        <w:rPr>
          <w:sz w:val="22"/>
          <w:szCs w:val="22"/>
        </w:rPr>
        <w:t xml:space="preserve"> </w:t>
      </w:r>
      <w:r w:rsidR="006D72BB">
        <w:rPr>
          <w:sz w:val="22"/>
          <w:szCs w:val="22"/>
        </w:rPr>
        <w:t>several</w:t>
      </w:r>
      <w:r w:rsidRPr="00F81699">
        <w:rPr>
          <w:sz w:val="22"/>
          <w:szCs w:val="22"/>
        </w:rPr>
        <w:t xml:space="preserve"> changes related to time-sharing.  </w:t>
      </w:r>
      <w:r w:rsidRPr="00F81699" w:rsidR="00466740">
        <w:rPr>
          <w:sz w:val="22"/>
          <w:szCs w:val="22"/>
        </w:rPr>
        <w:t>It adopted</w:t>
      </w:r>
      <w:r w:rsidRPr="00F81699">
        <w:rPr>
          <w:sz w:val="22"/>
          <w:szCs w:val="22"/>
        </w:rPr>
        <w:t xml:space="preserve"> a requirement that parties submit voluntary time-sharing agreements via </w:t>
      </w:r>
      <w:r w:rsidR="006D72BB">
        <w:rPr>
          <w:sz w:val="22"/>
          <w:szCs w:val="22"/>
        </w:rPr>
        <w:t>CDBS</w:t>
      </w:r>
      <w:r w:rsidRPr="00F81699">
        <w:rPr>
          <w:sz w:val="22"/>
          <w:szCs w:val="22"/>
        </w:rPr>
        <w:t xml:space="preserve">.  It </w:t>
      </w:r>
      <w:r w:rsidRPr="00F81699" w:rsidR="00466740">
        <w:rPr>
          <w:sz w:val="22"/>
          <w:szCs w:val="22"/>
        </w:rPr>
        <w:t>revised</w:t>
      </w:r>
      <w:r w:rsidRPr="00F81699">
        <w:rPr>
          <w:sz w:val="22"/>
          <w:szCs w:val="22"/>
        </w:rPr>
        <w:t xml:space="preserve"> the Commission’s involuntary time-sharing policy.  As a result of these changes, an LPFM applicant must submit the date on which it qualified as having an “established community presence</w:t>
      </w:r>
      <w:r w:rsidRPr="00F81699" w:rsidR="00927A3B">
        <w:rPr>
          <w:sz w:val="22"/>
          <w:szCs w:val="22"/>
        </w:rPr>
        <w:t xml:space="preserve">.”  The FCC </w:t>
      </w:r>
      <w:r w:rsidRPr="00F81699" w:rsidR="00466740">
        <w:rPr>
          <w:sz w:val="22"/>
          <w:szCs w:val="22"/>
        </w:rPr>
        <w:t xml:space="preserve">indicated that it may </w:t>
      </w:r>
      <w:r w:rsidRPr="00F81699" w:rsidR="00927A3B">
        <w:rPr>
          <w:sz w:val="22"/>
          <w:szCs w:val="22"/>
        </w:rPr>
        <w:t>require certain LPFM applicants to</w:t>
      </w:r>
      <w:r w:rsidRPr="00F81699">
        <w:rPr>
          <w:sz w:val="22"/>
          <w:szCs w:val="22"/>
        </w:rPr>
        <w:t xml:space="preserve"> indicate which 8-hour and 12-hour time slots </w:t>
      </w:r>
      <w:r w:rsidRPr="00F81699" w:rsidR="00466740">
        <w:rPr>
          <w:sz w:val="22"/>
          <w:szCs w:val="22"/>
        </w:rPr>
        <w:t>they</w:t>
      </w:r>
      <w:r w:rsidRPr="00F81699">
        <w:rPr>
          <w:sz w:val="22"/>
          <w:szCs w:val="22"/>
        </w:rPr>
        <w:t xml:space="preserve"> prefer.  </w:t>
      </w:r>
      <w:r w:rsidRPr="00F81699" w:rsidR="00466740">
        <w:rPr>
          <w:sz w:val="22"/>
          <w:szCs w:val="22"/>
        </w:rPr>
        <w:t>T</w:t>
      </w:r>
      <w:r w:rsidRPr="00F81699" w:rsidR="00D971CA">
        <w:rPr>
          <w:sz w:val="22"/>
          <w:szCs w:val="22"/>
        </w:rPr>
        <w:t>he FCC</w:t>
      </w:r>
      <w:r w:rsidRPr="00F81699">
        <w:rPr>
          <w:i/>
          <w:sz w:val="22"/>
          <w:szCs w:val="22"/>
        </w:rPr>
        <w:t xml:space="preserve"> </w:t>
      </w:r>
      <w:r w:rsidRPr="00F81699">
        <w:rPr>
          <w:sz w:val="22"/>
          <w:szCs w:val="22"/>
        </w:rPr>
        <w:t>adopt</w:t>
      </w:r>
      <w:r w:rsidRPr="00F81699" w:rsidR="00466740">
        <w:rPr>
          <w:sz w:val="22"/>
          <w:szCs w:val="22"/>
        </w:rPr>
        <w:t>ed</w:t>
      </w:r>
      <w:r w:rsidRPr="00F81699">
        <w:rPr>
          <w:sz w:val="22"/>
          <w:szCs w:val="22"/>
        </w:rPr>
        <w:t xml:space="preserve"> a</w:t>
      </w:r>
      <w:r w:rsidRPr="00F81699" w:rsidR="00511A12">
        <w:rPr>
          <w:sz w:val="22"/>
          <w:szCs w:val="22"/>
        </w:rPr>
        <w:t xml:space="preserve"> </w:t>
      </w:r>
      <w:r w:rsidRPr="00F81699">
        <w:rPr>
          <w:sz w:val="22"/>
          <w:szCs w:val="22"/>
        </w:rPr>
        <w:t xml:space="preserve">mandatory time-sharing policy similar to that applicable to full-service </w:t>
      </w:r>
      <w:r w:rsidRPr="00F81699" w:rsidR="00B41A4E">
        <w:rPr>
          <w:sz w:val="22"/>
          <w:szCs w:val="22"/>
        </w:rPr>
        <w:t>noncommercial e</w:t>
      </w:r>
      <w:r w:rsidRPr="00F81699" w:rsidR="00511A12">
        <w:rPr>
          <w:sz w:val="22"/>
          <w:szCs w:val="22"/>
        </w:rPr>
        <w:t>ducational (</w:t>
      </w:r>
      <w:r w:rsidRPr="00F81699">
        <w:rPr>
          <w:sz w:val="22"/>
          <w:szCs w:val="22"/>
        </w:rPr>
        <w:t>NCE</w:t>
      </w:r>
      <w:r w:rsidRPr="00F81699" w:rsidR="00511A12">
        <w:rPr>
          <w:sz w:val="22"/>
          <w:szCs w:val="22"/>
        </w:rPr>
        <w:t>)</w:t>
      </w:r>
      <w:r w:rsidRPr="00F81699">
        <w:rPr>
          <w:sz w:val="22"/>
          <w:szCs w:val="22"/>
        </w:rPr>
        <w:t xml:space="preserve"> FM stations.  </w:t>
      </w:r>
      <w:r w:rsidRPr="00F81699" w:rsidR="004360C2">
        <w:rPr>
          <w:sz w:val="22"/>
          <w:szCs w:val="22"/>
        </w:rPr>
        <w:t>We note</w:t>
      </w:r>
      <w:r w:rsidR="006D72BB">
        <w:rPr>
          <w:sz w:val="22"/>
          <w:szCs w:val="22"/>
        </w:rPr>
        <w:t>d</w:t>
      </w:r>
      <w:r w:rsidRPr="00F81699" w:rsidR="004360C2">
        <w:rPr>
          <w:sz w:val="22"/>
          <w:szCs w:val="22"/>
        </w:rPr>
        <w:t xml:space="preserve"> that the overall number of respondents may increase because this rule change expands the universe of applicants eligible to apply for an LPFM station.   </w:t>
      </w:r>
      <w:r w:rsidRPr="00F81699" w:rsidR="00D971CA">
        <w:rPr>
          <w:sz w:val="22"/>
          <w:szCs w:val="22"/>
        </w:rPr>
        <w:t>We revised the Form 318 to reflect these</w:t>
      </w:r>
      <w:r>
        <w:rPr>
          <w:sz w:val="22"/>
          <w:szCs w:val="22"/>
        </w:rPr>
        <w:t xml:space="preserve"> changes.</w:t>
      </w:r>
    </w:p>
    <w:p w:rsidR="00930A54" w:rsidP="00930A54" w14:paraId="65C119FD" w14:textId="77777777">
      <w:pPr>
        <w:rPr>
          <w:sz w:val="22"/>
          <w:szCs w:val="22"/>
        </w:rPr>
      </w:pPr>
    </w:p>
    <w:p w:rsidR="00775518" w:rsidRPr="00930A54" w:rsidP="00930A54" w14:paraId="3C0EDEBE" w14:textId="77777777">
      <w:pPr>
        <w:rPr>
          <w:spacing w:val="-3"/>
          <w:sz w:val="22"/>
          <w:szCs w:val="22"/>
          <w:u w:val="single"/>
        </w:rPr>
      </w:pPr>
      <w:r w:rsidRPr="00F81699">
        <w:rPr>
          <w:spacing w:val="-3"/>
          <w:sz w:val="22"/>
          <w:szCs w:val="22"/>
        </w:rPr>
        <w:t xml:space="preserve">Finally, the FCC </w:t>
      </w:r>
      <w:r w:rsidRPr="00F81699" w:rsidR="00597DBB">
        <w:rPr>
          <w:spacing w:val="-3"/>
          <w:sz w:val="22"/>
          <w:szCs w:val="22"/>
        </w:rPr>
        <w:t>modif</w:t>
      </w:r>
      <w:r w:rsidRPr="00F81699" w:rsidR="002D6DD9">
        <w:rPr>
          <w:spacing w:val="-3"/>
          <w:sz w:val="22"/>
          <w:szCs w:val="22"/>
        </w:rPr>
        <w:t>ied</w:t>
      </w:r>
      <w:r w:rsidRPr="00F81699" w:rsidR="00597DBB">
        <w:rPr>
          <w:spacing w:val="-3"/>
          <w:sz w:val="22"/>
          <w:szCs w:val="22"/>
        </w:rPr>
        <w:t xml:space="preserve"> the manner in which it processes </w:t>
      </w:r>
      <w:r w:rsidRPr="00F81699" w:rsidR="00FE040B">
        <w:rPr>
          <w:spacing w:val="-3"/>
          <w:sz w:val="22"/>
          <w:szCs w:val="22"/>
        </w:rPr>
        <w:t>second-adjacent waiver</w:t>
      </w:r>
      <w:r w:rsidR="006D72BB">
        <w:rPr>
          <w:spacing w:val="-3"/>
          <w:sz w:val="22"/>
          <w:szCs w:val="22"/>
        </w:rPr>
        <w:t xml:space="preserve"> requests</w:t>
      </w:r>
      <w:r w:rsidRPr="00F81699" w:rsidR="00466740">
        <w:rPr>
          <w:spacing w:val="-3"/>
          <w:sz w:val="22"/>
          <w:szCs w:val="22"/>
        </w:rPr>
        <w:t>, modified the manner in which it handles complaints of interference</w:t>
      </w:r>
      <w:r w:rsidRPr="00F81699" w:rsidR="00FE040B">
        <w:rPr>
          <w:spacing w:val="-3"/>
          <w:sz w:val="22"/>
          <w:szCs w:val="22"/>
        </w:rPr>
        <w:t xml:space="preserve"> </w:t>
      </w:r>
      <w:r w:rsidRPr="00F81699" w:rsidR="00FE040B">
        <w:rPr>
          <w:sz w:val="22"/>
          <w:szCs w:val="22"/>
        </w:rPr>
        <w:t>caused by LPFM stations operating pursuant to second-adjacent waivers</w:t>
      </w:r>
      <w:r w:rsidRPr="00F81699" w:rsidR="00FE040B">
        <w:rPr>
          <w:spacing w:val="-3"/>
          <w:sz w:val="22"/>
          <w:szCs w:val="22"/>
        </w:rPr>
        <w:t>,</w:t>
      </w:r>
      <w:r w:rsidRPr="00F81699" w:rsidR="00597DBB">
        <w:rPr>
          <w:spacing w:val="-3"/>
          <w:sz w:val="22"/>
          <w:szCs w:val="22"/>
        </w:rPr>
        <w:t xml:space="preserve"> </w:t>
      </w:r>
      <w:r w:rsidRPr="00F81699" w:rsidR="00102398">
        <w:rPr>
          <w:spacing w:val="-3"/>
          <w:sz w:val="22"/>
          <w:szCs w:val="22"/>
        </w:rPr>
        <w:t>amended the rule related to</w:t>
      </w:r>
      <w:r w:rsidRPr="00F81699" w:rsidR="003E2DAB">
        <w:rPr>
          <w:spacing w:val="-3"/>
          <w:sz w:val="22"/>
          <w:szCs w:val="22"/>
        </w:rPr>
        <w:t xml:space="preserve"> complaints about and remediation of</w:t>
      </w:r>
      <w:r w:rsidRPr="00F81699" w:rsidR="00102398">
        <w:rPr>
          <w:spacing w:val="-3"/>
          <w:sz w:val="22"/>
          <w:szCs w:val="22"/>
        </w:rPr>
        <w:t xml:space="preserve"> third-adjacent channel interference</w:t>
      </w:r>
      <w:r w:rsidRPr="00F81699" w:rsidR="003E2DAB">
        <w:rPr>
          <w:spacing w:val="-3"/>
          <w:sz w:val="22"/>
          <w:szCs w:val="22"/>
        </w:rPr>
        <w:t>,</w:t>
      </w:r>
      <w:r w:rsidRPr="00F81699" w:rsidR="00466740">
        <w:rPr>
          <w:spacing w:val="-3"/>
          <w:sz w:val="22"/>
          <w:szCs w:val="22"/>
        </w:rPr>
        <w:t xml:space="preserve"> </w:t>
      </w:r>
      <w:r w:rsidRPr="00F81699" w:rsidR="00597DBB">
        <w:rPr>
          <w:spacing w:val="-3"/>
          <w:sz w:val="22"/>
          <w:szCs w:val="22"/>
        </w:rPr>
        <w:t xml:space="preserve">and </w:t>
      </w:r>
      <w:r w:rsidRPr="00F81699" w:rsidR="002D6DD9">
        <w:rPr>
          <w:spacing w:val="-3"/>
          <w:sz w:val="22"/>
          <w:szCs w:val="22"/>
        </w:rPr>
        <w:t>amended</w:t>
      </w:r>
      <w:r w:rsidRPr="00F81699">
        <w:rPr>
          <w:spacing w:val="-3"/>
          <w:sz w:val="22"/>
          <w:szCs w:val="22"/>
        </w:rPr>
        <w:t xml:space="preserve"> the rule that sets forth the obligations of LPFM stations with respect to interference to the input signals of FM translator or FM booster stations.  We revised the Form 318 to reflect </w:t>
      </w:r>
      <w:r w:rsidRPr="00F81699" w:rsidR="00597DBB">
        <w:rPr>
          <w:spacing w:val="-3"/>
          <w:sz w:val="22"/>
          <w:szCs w:val="22"/>
        </w:rPr>
        <w:t xml:space="preserve">these </w:t>
      </w:r>
      <w:r w:rsidRPr="00F81699">
        <w:rPr>
          <w:spacing w:val="-3"/>
          <w:sz w:val="22"/>
          <w:szCs w:val="22"/>
        </w:rPr>
        <w:t>change</w:t>
      </w:r>
      <w:r w:rsidRPr="00F81699" w:rsidR="00597DBB">
        <w:rPr>
          <w:spacing w:val="-3"/>
          <w:sz w:val="22"/>
          <w:szCs w:val="22"/>
        </w:rPr>
        <w:t>s</w:t>
      </w:r>
      <w:r w:rsidRPr="00F81699">
        <w:rPr>
          <w:spacing w:val="-3"/>
          <w:sz w:val="22"/>
          <w:szCs w:val="22"/>
        </w:rPr>
        <w:t xml:space="preserve">.  </w:t>
      </w:r>
    </w:p>
    <w:p w:rsidR="00C07C62" w:rsidRPr="00F81699" w:rsidP="00344FAF" w14:paraId="21840514" w14:textId="77777777">
      <w:pPr>
        <w:rPr>
          <w:spacing w:val="-3"/>
          <w:sz w:val="22"/>
          <w:szCs w:val="22"/>
        </w:rPr>
      </w:pPr>
    </w:p>
    <w:p w:rsidR="005D43D1" w:rsidRPr="00F81699" w:rsidP="00344FAF" w14:paraId="60C392E0" w14:textId="77777777">
      <w:pPr>
        <w:rPr>
          <w:rFonts w:eastAsia="Calibri"/>
          <w:sz w:val="22"/>
          <w:szCs w:val="22"/>
        </w:rPr>
      </w:pPr>
      <w:r w:rsidRPr="00F81699">
        <w:rPr>
          <w:spacing w:val="-3"/>
          <w:sz w:val="22"/>
          <w:szCs w:val="22"/>
        </w:rPr>
        <w:t xml:space="preserve">On </w:t>
      </w:r>
      <w:r w:rsidRPr="00F81699" w:rsidR="00F1598E">
        <w:rPr>
          <w:spacing w:val="-3"/>
          <w:sz w:val="22"/>
          <w:szCs w:val="22"/>
        </w:rPr>
        <w:t>September 30</w:t>
      </w:r>
      <w:r w:rsidRPr="00F81699">
        <w:rPr>
          <w:spacing w:val="-3"/>
          <w:sz w:val="22"/>
          <w:szCs w:val="22"/>
        </w:rPr>
        <w:t>, 2013, the Commission adopted</w:t>
      </w:r>
      <w:r w:rsidRPr="00F81699" w:rsidR="00591311">
        <w:rPr>
          <w:spacing w:val="-3"/>
          <w:sz w:val="22"/>
          <w:szCs w:val="22"/>
        </w:rPr>
        <w:t xml:space="preserve"> </w:t>
      </w:r>
      <w:r w:rsidRPr="00F81699">
        <w:rPr>
          <w:spacing w:val="-3"/>
          <w:sz w:val="22"/>
          <w:szCs w:val="22"/>
        </w:rPr>
        <w:t>FCC 13-</w:t>
      </w:r>
      <w:r w:rsidRPr="00F81699" w:rsidR="00F1598E">
        <w:rPr>
          <w:spacing w:val="-3"/>
          <w:sz w:val="22"/>
          <w:szCs w:val="22"/>
        </w:rPr>
        <w:t>134</w:t>
      </w:r>
      <w:r w:rsidRPr="00F81699">
        <w:rPr>
          <w:spacing w:val="-3"/>
          <w:sz w:val="22"/>
          <w:szCs w:val="22"/>
        </w:rPr>
        <w:t>.  FCC 13-</w:t>
      </w:r>
      <w:r w:rsidRPr="00F81699" w:rsidR="00F1598E">
        <w:rPr>
          <w:spacing w:val="-3"/>
          <w:sz w:val="22"/>
          <w:szCs w:val="22"/>
        </w:rPr>
        <w:t>134</w:t>
      </w:r>
      <w:r w:rsidRPr="00F81699">
        <w:rPr>
          <w:spacing w:val="-3"/>
          <w:sz w:val="22"/>
          <w:szCs w:val="22"/>
        </w:rPr>
        <w:t xml:space="preserve"> </w:t>
      </w:r>
      <w:r w:rsidRPr="00F81699">
        <w:rPr>
          <w:rFonts w:eastAsia="Calibri"/>
          <w:sz w:val="22"/>
          <w:szCs w:val="22"/>
        </w:rPr>
        <w:t>ma</w:t>
      </w:r>
      <w:r w:rsidRPr="00F81699" w:rsidR="00591311">
        <w:rPr>
          <w:rFonts w:eastAsia="Calibri"/>
          <w:sz w:val="22"/>
          <w:szCs w:val="22"/>
        </w:rPr>
        <w:t>d</w:t>
      </w:r>
      <w:r w:rsidRPr="00F81699">
        <w:rPr>
          <w:rFonts w:eastAsia="Calibri"/>
          <w:sz w:val="22"/>
          <w:szCs w:val="22"/>
        </w:rPr>
        <w:t xml:space="preserve">e a minor change to </w:t>
      </w:r>
      <w:r w:rsidRPr="00F81699" w:rsidR="008A58F3">
        <w:rPr>
          <w:rFonts w:eastAsia="Calibri"/>
          <w:sz w:val="22"/>
          <w:szCs w:val="22"/>
        </w:rPr>
        <w:t>47 CFR 73.827(a)</w:t>
      </w:r>
      <w:r w:rsidRPr="00F81699">
        <w:rPr>
          <w:rFonts w:eastAsia="Calibri"/>
          <w:sz w:val="22"/>
          <w:szCs w:val="22"/>
        </w:rPr>
        <w:t>.  47 CFR 73.827(a)(1)-(3) provide</w:t>
      </w:r>
      <w:r w:rsidR="007B514E">
        <w:rPr>
          <w:rFonts w:eastAsia="Calibri"/>
          <w:sz w:val="22"/>
          <w:szCs w:val="22"/>
        </w:rPr>
        <w:t>s</w:t>
      </w:r>
      <w:r w:rsidRPr="00F81699">
        <w:rPr>
          <w:rFonts w:eastAsia="Calibri"/>
          <w:sz w:val="22"/>
          <w:szCs w:val="22"/>
        </w:rPr>
        <w:t xml:space="preserve"> various methods by which </w:t>
      </w:r>
      <w:r w:rsidR="00E80616">
        <w:rPr>
          <w:rFonts w:eastAsia="Calibri"/>
          <w:sz w:val="22"/>
          <w:szCs w:val="22"/>
        </w:rPr>
        <w:t>an</w:t>
      </w:r>
      <w:r w:rsidRPr="00F81699">
        <w:rPr>
          <w:rFonts w:eastAsia="Calibri"/>
          <w:sz w:val="22"/>
          <w:szCs w:val="22"/>
        </w:rPr>
        <w:t xml:space="preserve"> LPFM station can demonstrate that it will not cause interference to the input signal.</w:t>
      </w:r>
      <w:r w:rsidRPr="00F81699" w:rsidR="00591311">
        <w:rPr>
          <w:rFonts w:eastAsia="Calibri"/>
          <w:sz w:val="22"/>
          <w:szCs w:val="22"/>
        </w:rPr>
        <w:t xml:space="preserve">  The Commission made</w:t>
      </w:r>
      <w:r w:rsidRPr="00F81699">
        <w:rPr>
          <w:rFonts w:eastAsia="Calibri"/>
          <w:sz w:val="22"/>
          <w:szCs w:val="22"/>
        </w:rPr>
        <w:t xml:space="preserve"> a slight change to 47 CFR 73.827(a)(1) – instead of demonstrating no interference at multiple locations, </w:t>
      </w:r>
      <w:r w:rsidRPr="00F81699" w:rsidR="008A58F3">
        <w:rPr>
          <w:rFonts w:eastAsia="Calibri"/>
          <w:sz w:val="22"/>
          <w:szCs w:val="22"/>
        </w:rPr>
        <w:t>the Commission will allow</w:t>
      </w:r>
      <w:r w:rsidRPr="00F81699">
        <w:rPr>
          <w:rFonts w:eastAsia="Calibri"/>
          <w:sz w:val="22"/>
          <w:szCs w:val="22"/>
        </w:rPr>
        <w:t xml:space="preserve"> the station to show no interference at one location.</w:t>
      </w:r>
      <w:r w:rsidRPr="00F81699" w:rsidR="00591311">
        <w:rPr>
          <w:rFonts w:eastAsia="Calibri"/>
          <w:sz w:val="22"/>
          <w:szCs w:val="22"/>
        </w:rPr>
        <w:t xml:space="preserve">  </w:t>
      </w:r>
      <w:r w:rsidRPr="00F81699">
        <w:rPr>
          <w:rFonts w:eastAsia="Calibri"/>
          <w:sz w:val="22"/>
          <w:szCs w:val="22"/>
        </w:rPr>
        <w:t>This is a minor tweak in the rule where the information collection/methodology is not impacted, but we are reducing the burden of the information being collected.  The modified methodology simplifies the (a)(1) “no interference” showing to the calculation of a single signal strength ratio at a defined location and by eliminating the requirement to make the calculation at locations which would be irrelevant for determining potential interference.</w:t>
      </w:r>
      <w:r w:rsidRPr="00F81699" w:rsidR="00591311">
        <w:rPr>
          <w:rFonts w:eastAsia="Calibri"/>
          <w:sz w:val="22"/>
          <w:szCs w:val="22"/>
        </w:rPr>
        <w:t xml:space="preserve">  Also, Section </w:t>
      </w:r>
      <w:r w:rsidRPr="00F81699">
        <w:rPr>
          <w:rFonts w:eastAsia="Calibri"/>
          <w:sz w:val="22"/>
          <w:szCs w:val="22"/>
        </w:rPr>
        <w:t xml:space="preserve">73.827(a)(1) is only one of 3 methods that an LPFM application can demonstrate that no interference will occur.  Thus, overall, there </w:t>
      </w:r>
      <w:r w:rsidR="00E80616">
        <w:rPr>
          <w:rFonts w:eastAsia="Calibri"/>
          <w:sz w:val="22"/>
          <w:szCs w:val="22"/>
        </w:rPr>
        <w:t xml:space="preserve">was </w:t>
      </w:r>
      <w:r w:rsidRPr="00F81699">
        <w:rPr>
          <w:rFonts w:eastAsia="Calibri"/>
          <w:sz w:val="22"/>
          <w:szCs w:val="22"/>
        </w:rPr>
        <w:t>not any major change in the burden reported in the supporting statement since the burden reported incorporates all 3 variables.</w:t>
      </w:r>
    </w:p>
    <w:p w:rsidR="00AA2EB6" w:rsidRPr="00F81699" w:rsidP="00344FAF" w14:paraId="49E68792" w14:textId="77777777">
      <w:pPr>
        <w:rPr>
          <w:rFonts w:eastAsia="Calibri"/>
          <w:sz w:val="22"/>
          <w:szCs w:val="22"/>
        </w:rPr>
      </w:pPr>
    </w:p>
    <w:p w:rsidR="00C07C62" w:rsidRPr="00B528EE" w:rsidP="00344FAF" w14:paraId="2BEBD0F8" w14:textId="77777777">
      <w:pPr>
        <w:rPr>
          <w:b/>
          <w:spacing w:val="-3"/>
          <w:sz w:val="22"/>
          <w:szCs w:val="22"/>
        </w:rPr>
      </w:pPr>
      <w:r w:rsidRPr="00B528EE">
        <w:rPr>
          <w:b/>
          <w:spacing w:val="-3"/>
          <w:sz w:val="22"/>
          <w:szCs w:val="22"/>
          <w:u w:val="single"/>
        </w:rPr>
        <w:t xml:space="preserve">LPFM Rules and Related Rules </w:t>
      </w:r>
      <w:r w:rsidR="0073640A">
        <w:rPr>
          <w:b/>
          <w:spacing w:val="-3"/>
          <w:sz w:val="22"/>
          <w:szCs w:val="22"/>
          <w:u w:val="single"/>
        </w:rPr>
        <w:t>w</w:t>
      </w:r>
      <w:r w:rsidRPr="00B528EE">
        <w:rPr>
          <w:b/>
          <w:spacing w:val="-3"/>
          <w:sz w:val="22"/>
          <w:szCs w:val="22"/>
          <w:u w:val="single"/>
        </w:rPr>
        <w:t>ith Information Collection Requirements</w:t>
      </w:r>
      <w:r w:rsidRPr="00B528EE">
        <w:rPr>
          <w:spacing w:val="-3"/>
          <w:sz w:val="22"/>
          <w:szCs w:val="22"/>
        </w:rPr>
        <w:t>:</w:t>
      </w:r>
    </w:p>
    <w:p w:rsidR="00C07C62" w:rsidRPr="00B528EE" w:rsidP="00344FAF" w14:paraId="10BC8746" w14:textId="77777777">
      <w:pPr>
        <w:rPr>
          <w:b/>
          <w:spacing w:val="-3"/>
          <w:sz w:val="22"/>
          <w:szCs w:val="22"/>
        </w:rPr>
      </w:pPr>
    </w:p>
    <w:p w:rsidR="00C07C62" w:rsidRPr="00B528EE" w:rsidP="00344FAF" w14:paraId="2B9E3F5B" w14:textId="77777777">
      <w:pPr>
        <w:rPr>
          <w:spacing w:val="-3"/>
          <w:sz w:val="22"/>
          <w:szCs w:val="22"/>
        </w:rPr>
      </w:pPr>
      <w:r w:rsidRPr="00B528EE">
        <w:rPr>
          <w:b/>
          <w:spacing w:val="-3"/>
          <w:sz w:val="22"/>
          <w:szCs w:val="22"/>
        </w:rPr>
        <w:t>47 CFR 73.807</w:t>
      </w:r>
      <w:r w:rsidRPr="00B528EE">
        <w:rPr>
          <w:spacing w:val="-3"/>
          <w:sz w:val="22"/>
          <w:szCs w:val="22"/>
        </w:rPr>
        <w:t xml:space="preserve"> sets forth minimum distance separation requirements for LPFM stations.  LPFM stations </w:t>
      </w:r>
      <w:r w:rsidRPr="00B528EE" w:rsidR="003102DC">
        <w:rPr>
          <w:spacing w:val="-3"/>
          <w:sz w:val="22"/>
          <w:szCs w:val="22"/>
        </w:rPr>
        <w:t xml:space="preserve">may seek </w:t>
      </w:r>
      <w:r w:rsidRPr="00B528EE" w:rsidR="007D22B8">
        <w:rPr>
          <w:spacing w:val="-3"/>
          <w:sz w:val="22"/>
          <w:szCs w:val="22"/>
        </w:rPr>
        <w:t>second-adjacent waivers</w:t>
      </w:r>
      <w:r w:rsidRPr="00B528EE">
        <w:rPr>
          <w:spacing w:val="-3"/>
          <w:sz w:val="22"/>
          <w:szCs w:val="22"/>
        </w:rPr>
        <w:t xml:space="preserve"> by filing a</w:t>
      </w:r>
      <w:r w:rsidR="00697408">
        <w:rPr>
          <w:spacing w:val="-3"/>
          <w:sz w:val="22"/>
          <w:szCs w:val="22"/>
        </w:rPr>
        <w:t>n</w:t>
      </w:r>
      <w:r w:rsidRPr="00B528EE">
        <w:rPr>
          <w:spacing w:val="-3"/>
          <w:sz w:val="22"/>
          <w:szCs w:val="22"/>
        </w:rPr>
        <w:t xml:space="preserve"> </w:t>
      </w:r>
      <w:r w:rsidRPr="00B528EE" w:rsidR="009410D9">
        <w:rPr>
          <w:sz w:val="22"/>
          <w:szCs w:val="22"/>
        </w:rPr>
        <w:t>LMS LPFM Construction Permit Form</w:t>
      </w:r>
      <w:r w:rsidRPr="00B528EE" w:rsidR="009410D9">
        <w:rPr>
          <w:spacing w:val="-3"/>
          <w:sz w:val="22"/>
          <w:szCs w:val="22"/>
        </w:rPr>
        <w:t xml:space="preserve"> </w:t>
      </w:r>
      <w:r w:rsidRPr="00B528EE" w:rsidR="003102DC">
        <w:rPr>
          <w:spacing w:val="-3"/>
          <w:sz w:val="22"/>
          <w:szCs w:val="22"/>
        </w:rPr>
        <w:t>and supporting materials</w:t>
      </w:r>
      <w:r w:rsidRPr="00B528EE" w:rsidR="00175BA4">
        <w:rPr>
          <w:spacing w:val="-3"/>
          <w:sz w:val="22"/>
          <w:szCs w:val="22"/>
        </w:rPr>
        <w:t xml:space="preserve"> demonstrat</w:t>
      </w:r>
      <w:r w:rsidR="00CD6607">
        <w:rPr>
          <w:spacing w:val="-3"/>
          <w:sz w:val="22"/>
          <w:szCs w:val="22"/>
        </w:rPr>
        <w:t>ing</w:t>
      </w:r>
      <w:r w:rsidRPr="00B528EE" w:rsidR="00175BA4">
        <w:rPr>
          <w:spacing w:val="-3"/>
          <w:sz w:val="22"/>
          <w:szCs w:val="22"/>
        </w:rPr>
        <w:t xml:space="preserve"> that their proposed operations will not result in interference to any authorized radio service</w:t>
      </w:r>
      <w:r w:rsidRPr="00B528EE">
        <w:rPr>
          <w:spacing w:val="-3"/>
          <w:sz w:val="22"/>
          <w:szCs w:val="22"/>
        </w:rPr>
        <w:t xml:space="preserve">.  </w:t>
      </w:r>
      <w:r w:rsidRPr="00B528EE" w:rsidR="00FE040B">
        <w:rPr>
          <w:spacing w:val="-3"/>
          <w:sz w:val="22"/>
          <w:szCs w:val="22"/>
        </w:rPr>
        <w:t xml:space="preserve">47 CFR 73.807 also sets forth </w:t>
      </w:r>
      <w:r w:rsidR="00697408">
        <w:rPr>
          <w:spacing w:val="-3"/>
          <w:sz w:val="22"/>
          <w:szCs w:val="22"/>
        </w:rPr>
        <w:t>how</w:t>
      </w:r>
      <w:r w:rsidRPr="00B528EE" w:rsidR="00FE040B">
        <w:rPr>
          <w:spacing w:val="-3"/>
          <w:sz w:val="22"/>
          <w:szCs w:val="22"/>
        </w:rPr>
        <w:t xml:space="preserve"> the FCC will handle complaints of interference caused by LPFM stations operating pursuant to </w:t>
      </w:r>
      <w:r w:rsidRPr="00B528EE" w:rsidR="007D22B8">
        <w:rPr>
          <w:spacing w:val="-3"/>
          <w:sz w:val="22"/>
          <w:szCs w:val="22"/>
        </w:rPr>
        <w:t>second-adjacent waivers.</w:t>
      </w:r>
    </w:p>
    <w:p w:rsidR="00C07C62" w:rsidRPr="00B528EE" w:rsidP="00344FAF" w14:paraId="70F13F00" w14:textId="77777777">
      <w:pPr>
        <w:rPr>
          <w:spacing w:val="-3"/>
          <w:sz w:val="22"/>
          <w:szCs w:val="22"/>
        </w:rPr>
      </w:pPr>
    </w:p>
    <w:p w:rsidR="00C07C62" w:rsidRPr="00B528EE" w:rsidP="00344FAF" w14:paraId="720AE4FF" w14:textId="77777777">
      <w:pPr>
        <w:rPr>
          <w:sz w:val="22"/>
          <w:szCs w:val="22"/>
        </w:rPr>
      </w:pPr>
      <w:r w:rsidRPr="00B528EE">
        <w:rPr>
          <w:b/>
          <w:sz w:val="22"/>
          <w:szCs w:val="22"/>
        </w:rPr>
        <w:t>47 CFR 73.809</w:t>
      </w:r>
      <w:r w:rsidRPr="00B528EE">
        <w:rPr>
          <w:rStyle w:val="documentbody1"/>
          <w:rFonts w:ascii="Times New Roman" w:hAnsi="Times New Roman"/>
          <w:b/>
          <w:spacing w:val="-3"/>
          <w:sz w:val="22"/>
          <w:szCs w:val="22"/>
        </w:rPr>
        <w:t>(b)</w:t>
      </w:r>
      <w:r w:rsidRPr="00B528EE">
        <w:rPr>
          <w:rStyle w:val="documentbody1"/>
          <w:rFonts w:ascii="Times New Roman" w:hAnsi="Times New Roman"/>
          <w:spacing w:val="-3"/>
          <w:sz w:val="22"/>
          <w:szCs w:val="22"/>
        </w:rPr>
        <w:t xml:space="preserve"> states that an LPFM station will be provided an opportunity to demonstrate in connection with the processing of the commercial or NCE FM application that interference as described in paragraph (a) of this section is unlikely. If the LPFM station fails to so demonstrate, it will be required to cease operations upon the commencement of program tests by the commercial or NCE FM station. </w:t>
      </w:r>
      <w:r w:rsidRPr="00B528EE">
        <w:rPr>
          <w:sz w:val="22"/>
          <w:szCs w:val="22"/>
        </w:rPr>
        <w:t xml:space="preserve"> </w:t>
      </w:r>
    </w:p>
    <w:p w:rsidR="00C07C62" w:rsidRPr="00B528EE" w:rsidP="00344FAF" w14:paraId="27001089" w14:textId="77777777">
      <w:pPr>
        <w:rPr>
          <w:sz w:val="22"/>
          <w:szCs w:val="22"/>
        </w:rPr>
      </w:pPr>
    </w:p>
    <w:p w:rsidR="00C07C62" w:rsidRPr="00B528EE" w:rsidP="00344FAF" w14:paraId="48872206" w14:textId="77777777">
      <w:pPr>
        <w:rPr>
          <w:sz w:val="22"/>
          <w:szCs w:val="22"/>
        </w:rPr>
      </w:pPr>
      <w:r w:rsidRPr="00B528EE">
        <w:rPr>
          <w:rStyle w:val="documentbody1"/>
          <w:rFonts w:ascii="Times New Roman" w:hAnsi="Times New Roman"/>
          <w:b/>
          <w:spacing w:val="-3"/>
          <w:sz w:val="22"/>
          <w:szCs w:val="22"/>
        </w:rPr>
        <w:t>47 CFR 809(c)</w:t>
      </w:r>
      <w:r w:rsidRPr="00B528EE">
        <w:rPr>
          <w:rStyle w:val="documentbody1"/>
          <w:rFonts w:ascii="Times New Roman" w:hAnsi="Times New Roman"/>
          <w:spacing w:val="-3"/>
          <w:sz w:val="22"/>
          <w:szCs w:val="22"/>
        </w:rPr>
        <w:t xml:space="preserve"> states complaints of actual interference by an LPFM station subject to paragraphs (a) and (b) of this section must be served on the LPFM licensee and the FCC</w:t>
      </w:r>
      <w:r w:rsidR="007B514E">
        <w:rPr>
          <w:rStyle w:val="documentbody1"/>
          <w:rFonts w:ascii="Times New Roman" w:hAnsi="Times New Roman"/>
          <w:spacing w:val="-3"/>
          <w:sz w:val="22"/>
          <w:szCs w:val="22"/>
        </w:rPr>
        <w:t>,</w:t>
      </w:r>
      <w:r w:rsidRPr="00B528EE">
        <w:rPr>
          <w:rStyle w:val="documentbody1"/>
          <w:rFonts w:ascii="Times New Roman" w:hAnsi="Times New Roman"/>
          <w:spacing w:val="-3"/>
          <w:sz w:val="22"/>
          <w:szCs w:val="22"/>
        </w:rPr>
        <w:t xml:space="preserve"> attention Audio Division. The LPFM station must suspend operations within </w:t>
      </w:r>
      <w:r w:rsidR="007B514E">
        <w:rPr>
          <w:rStyle w:val="documentbody1"/>
          <w:rFonts w:ascii="Times New Roman" w:hAnsi="Times New Roman"/>
          <w:spacing w:val="-3"/>
          <w:sz w:val="22"/>
          <w:szCs w:val="22"/>
        </w:rPr>
        <w:t>24</w:t>
      </w:r>
      <w:r w:rsidRPr="00B528EE">
        <w:rPr>
          <w:rStyle w:val="documentbody1"/>
          <w:rFonts w:ascii="Times New Roman" w:hAnsi="Times New Roman"/>
          <w:spacing w:val="-3"/>
          <w:sz w:val="22"/>
          <w:szCs w:val="22"/>
        </w:rPr>
        <w:t xml:space="preserve"> hours of the receipt of such </w:t>
      </w:r>
      <w:bookmarkStart w:id="5" w:name="SDU_3"/>
      <w:bookmarkEnd w:id="5"/>
      <w:r w:rsidRPr="00B528EE">
        <w:rPr>
          <w:rStyle w:val="documentbody1"/>
          <w:rFonts w:ascii="Times New Roman" w:hAnsi="Times New Roman"/>
          <w:spacing w:val="-3"/>
          <w:sz w:val="22"/>
          <w:szCs w:val="22"/>
        </w:rPr>
        <w:t>complaint unless the interference has been resolved to the satisfaction of the complainant on the basis of suitable techniques. An LPFM station may only resume operations at the direction of the FC</w:t>
      </w:r>
      <w:r w:rsidR="007B514E">
        <w:rPr>
          <w:rStyle w:val="documentbody1"/>
          <w:rFonts w:ascii="Times New Roman" w:hAnsi="Times New Roman"/>
          <w:spacing w:val="-3"/>
          <w:sz w:val="22"/>
          <w:szCs w:val="22"/>
        </w:rPr>
        <w:t>C</w:t>
      </w:r>
      <w:r w:rsidRPr="00B528EE">
        <w:rPr>
          <w:rStyle w:val="documentbody1"/>
          <w:rFonts w:ascii="Times New Roman" w:hAnsi="Times New Roman"/>
          <w:spacing w:val="-3"/>
          <w:sz w:val="22"/>
          <w:szCs w:val="22"/>
        </w:rPr>
        <w:t xml:space="preserve">. If the </w:t>
      </w:r>
      <w:r w:rsidR="009944E1">
        <w:rPr>
          <w:rStyle w:val="documentbody1"/>
          <w:rFonts w:ascii="Times New Roman" w:hAnsi="Times New Roman"/>
          <w:spacing w:val="-3"/>
          <w:sz w:val="22"/>
          <w:szCs w:val="22"/>
        </w:rPr>
        <w:t>FCC</w:t>
      </w:r>
      <w:r w:rsidRPr="00B528EE">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Pr>
          <w:sz w:val="22"/>
          <w:szCs w:val="22"/>
        </w:rPr>
        <w:t xml:space="preserve">  </w:t>
      </w:r>
    </w:p>
    <w:p w:rsidR="00C07C62" w:rsidRPr="00B528EE" w:rsidP="00344FAF" w14:paraId="03311A3F" w14:textId="77777777">
      <w:pPr>
        <w:rPr>
          <w:sz w:val="22"/>
          <w:szCs w:val="22"/>
        </w:rPr>
      </w:pPr>
    </w:p>
    <w:p w:rsidR="003102DC" w:rsidRPr="00B528EE" w:rsidP="00344FAF" w14:paraId="0DC8A31B" w14:textId="77777777">
      <w:pPr>
        <w:rPr>
          <w:rStyle w:val="documentbody1"/>
          <w:rFonts w:ascii="Times New Roman" w:hAnsi="Times New Roman"/>
          <w:spacing w:val="-3"/>
          <w:sz w:val="22"/>
          <w:szCs w:val="22"/>
        </w:rPr>
      </w:pPr>
      <w:r w:rsidRPr="00B528EE">
        <w:rPr>
          <w:b/>
          <w:sz w:val="22"/>
          <w:szCs w:val="22"/>
        </w:rPr>
        <w:t>47 CFR 73.809(e)</w:t>
      </w:r>
      <w:r w:rsidRPr="00B528EE" w:rsidR="009410D9">
        <w:rPr>
          <w:sz w:val="22"/>
          <w:szCs w:val="22"/>
        </w:rPr>
        <w:t xml:space="preserve"> states </w:t>
      </w:r>
      <w:r w:rsidRPr="00B528EE">
        <w:rPr>
          <w:sz w:val="22"/>
          <w:szCs w:val="22"/>
        </w:rPr>
        <w:t>that i</w:t>
      </w:r>
      <w:r w:rsidRPr="00B528EE">
        <w:rPr>
          <w:rStyle w:val="documentbody1"/>
          <w:rFonts w:ascii="Times New Roman" w:hAnsi="Times New Roman"/>
          <w:spacing w:val="-3"/>
          <w:sz w:val="22"/>
          <w:szCs w:val="22"/>
        </w:rPr>
        <w:t xml:space="preserve">n each instance where suspension of operation is required, the licensee shall submit a full report to the FCC, after operation is resumed, containing details of the nature of the interference, the source of </w:t>
      </w:r>
      <w:bookmarkStart w:id="6" w:name="SDU_4"/>
      <w:bookmarkEnd w:id="6"/>
      <w:r w:rsidRPr="00B528EE">
        <w:rPr>
          <w:rStyle w:val="documentbody1"/>
          <w:rFonts w:ascii="Times New Roman" w:hAnsi="Times New Roman"/>
          <w:spacing w:val="-3"/>
          <w:sz w:val="22"/>
          <w:szCs w:val="22"/>
        </w:rPr>
        <w:t>the interfering signals, and the remedial steps taken to eliminate the interference.</w:t>
      </w:r>
    </w:p>
    <w:p w:rsidR="00102398" w:rsidRPr="00B528EE" w:rsidP="00344FAF" w14:paraId="6525E979" w14:textId="77777777">
      <w:pPr>
        <w:rPr>
          <w:rStyle w:val="documentbody1"/>
          <w:rFonts w:ascii="Times New Roman" w:hAnsi="Times New Roman"/>
          <w:spacing w:val="-3"/>
          <w:sz w:val="22"/>
          <w:szCs w:val="22"/>
        </w:rPr>
      </w:pPr>
    </w:p>
    <w:p w:rsidR="00102398" w:rsidRPr="00B528EE" w:rsidP="00344FAF" w14:paraId="7A7AAD4E" w14:textId="77777777">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47 CFR 73.810</w:t>
      </w:r>
      <w:r w:rsidRPr="00B528EE">
        <w:rPr>
          <w:rStyle w:val="documentbody1"/>
          <w:rFonts w:ascii="Times New Roman" w:hAnsi="Times New Roman"/>
          <w:spacing w:val="-3"/>
          <w:sz w:val="22"/>
          <w:szCs w:val="22"/>
        </w:rPr>
        <w:t xml:space="preserve"> requires </w:t>
      </w:r>
      <w:r w:rsidRPr="00B528EE">
        <w:rPr>
          <w:sz w:val="22"/>
          <w:szCs w:val="22"/>
        </w:rPr>
        <w:t>a new LPFM station that is constructed on a third-adjacent channel and satisfies the third-adjacent channel minimum distance separations set forth in Section 73.807 to broadcast periodic announcements during the first year after licensing.</w:t>
      </w:r>
      <w:r w:rsidRPr="00B528EE" w:rsidR="00E71D9E">
        <w:rPr>
          <w:rStyle w:val="documentbody1"/>
          <w:rFonts w:ascii="Times New Roman" w:hAnsi="Times New Roman"/>
          <w:spacing w:val="-3"/>
          <w:sz w:val="22"/>
          <w:szCs w:val="22"/>
        </w:rPr>
        <w:t xml:space="preserve">  It also sets forth requirements related to complaints about interference caused by the operation of an LPFM station on a third-adjacent channel.</w:t>
      </w:r>
    </w:p>
    <w:p w:rsidR="003102DC" w:rsidRPr="00B528EE" w:rsidP="00344FAF" w14:paraId="4F578E2F" w14:textId="77777777">
      <w:pPr>
        <w:rPr>
          <w:rStyle w:val="documentbody1"/>
          <w:rFonts w:ascii="Times New Roman" w:hAnsi="Times New Roman"/>
          <w:spacing w:val="-3"/>
          <w:sz w:val="22"/>
          <w:szCs w:val="22"/>
        </w:rPr>
      </w:pPr>
    </w:p>
    <w:p w:rsidR="00FC6F77" w:rsidRPr="00B528EE" w:rsidP="00344FAF" w14:paraId="6CF67CDC" w14:textId="77777777">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47 CFR 73.827(</w:t>
      </w:r>
      <w:r w:rsidRPr="00B528EE">
        <w:rPr>
          <w:rStyle w:val="documentbody1"/>
          <w:rFonts w:ascii="Times New Roman" w:hAnsi="Times New Roman"/>
          <w:b/>
          <w:spacing w:val="-3"/>
          <w:sz w:val="22"/>
          <w:szCs w:val="22"/>
        </w:rPr>
        <w:t>a</w:t>
      </w:r>
      <w:r w:rsidRPr="00B528EE">
        <w:rPr>
          <w:rStyle w:val="documentbody1"/>
          <w:rFonts w:ascii="Times New Roman" w:hAnsi="Times New Roman"/>
          <w:b/>
          <w:spacing w:val="-3"/>
          <w:sz w:val="22"/>
          <w:szCs w:val="22"/>
        </w:rPr>
        <w:t xml:space="preserve">) </w:t>
      </w:r>
      <w:r w:rsidRPr="00B528EE">
        <w:rPr>
          <w:rStyle w:val="documentbody1"/>
          <w:rFonts w:ascii="Times New Roman" w:hAnsi="Times New Roman"/>
          <w:spacing w:val="-3"/>
          <w:sz w:val="22"/>
          <w:szCs w:val="22"/>
        </w:rPr>
        <w:t xml:space="preserve">states that, when an LPFM station proposes to operate near an FM translator station, the FM translator station is receiving its primary station signal off-air and the LPFM station proposes to operate on a third-adjacent channel to the primary station, the </w:t>
      </w:r>
      <w:r w:rsidR="009944E1">
        <w:rPr>
          <w:rStyle w:val="documentbody1"/>
          <w:rFonts w:ascii="Times New Roman" w:hAnsi="Times New Roman"/>
          <w:spacing w:val="-3"/>
          <w:sz w:val="22"/>
          <w:szCs w:val="22"/>
        </w:rPr>
        <w:t>FCC</w:t>
      </w:r>
      <w:r w:rsidRPr="00B528EE">
        <w:rPr>
          <w:rStyle w:val="documentbody1"/>
          <w:rFonts w:ascii="Times New Roman" w:hAnsi="Times New Roman"/>
          <w:spacing w:val="-3"/>
          <w:sz w:val="22"/>
          <w:szCs w:val="22"/>
        </w:rPr>
        <w:t xml:space="preserve"> will not authorize such LPFM operations unless the LPFM station proposes to locate its transmitter at least 2 kilometers from the FM translator station.</w:t>
      </w:r>
      <w:r w:rsidRPr="00B528EE" w:rsidR="00073BE6">
        <w:rPr>
          <w:rStyle w:val="documentbody1"/>
          <w:rFonts w:ascii="Times New Roman" w:hAnsi="Times New Roman"/>
          <w:spacing w:val="-3"/>
          <w:sz w:val="22"/>
          <w:szCs w:val="22"/>
        </w:rPr>
        <w:t xml:space="preserve">  In cases where the LPFM station is located within +/- 30 degrees of the azimuth between the FM translator station and its primary station, the </w:t>
      </w:r>
      <w:r w:rsidR="009944E1">
        <w:rPr>
          <w:rStyle w:val="documentbody1"/>
          <w:rFonts w:ascii="Times New Roman" w:hAnsi="Times New Roman"/>
          <w:spacing w:val="-3"/>
          <w:sz w:val="22"/>
          <w:szCs w:val="22"/>
        </w:rPr>
        <w:t xml:space="preserve">FCC </w:t>
      </w:r>
      <w:r w:rsidRPr="00B528EE" w:rsidR="00073BE6">
        <w:rPr>
          <w:rStyle w:val="documentbody1"/>
          <w:rFonts w:ascii="Times New Roman" w:hAnsi="Times New Roman"/>
          <w:spacing w:val="-3"/>
          <w:sz w:val="22"/>
          <w:szCs w:val="22"/>
        </w:rPr>
        <w:t>will not authorize such LPFM operations unless the LPFM station proposes to locate its transmitter at least 10 kilometers from the FM translator station.  In cases where an LPFM station proposes to locate its transmitter within the “potential interference area,” 47 CFR 73.827(a) permits the LPFM station to demonstrate that it will not cause interference to the input signal of the FM translator station at issue.</w:t>
      </w:r>
    </w:p>
    <w:p w:rsidR="00FC6F77" w:rsidRPr="00B528EE" w:rsidP="00344FAF" w14:paraId="4720F151" w14:textId="77777777">
      <w:pPr>
        <w:rPr>
          <w:rStyle w:val="documentbody1"/>
          <w:rFonts w:ascii="Times New Roman" w:hAnsi="Times New Roman"/>
          <w:spacing w:val="-3"/>
          <w:sz w:val="22"/>
          <w:szCs w:val="22"/>
        </w:rPr>
      </w:pPr>
    </w:p>
    <w:p w:rsidR="00C07C62" w:rsidRPr="00B528EE" w:rsidP="00344FAF" w14:paraId="55D691C2" w14:textId="77777777">
      <w:pPr>
        <w:rPr>
          <w:sz w:val="22"/>
          <w:szCs w:val="22"/>
        </w:rPr>
      </w:pPr>
      <w:r w:rsidRPr="00B528EE">
        <w:rPr>
          <w:rStyle w:val="documentbody1"/>
          <w:rFonts w:ascii="Times New Roman" w:hAnsi="Times New Roman"/>
          <w:b/>
          <w:spacing w:val="-3"/>
          <w:sz w:val="22"/>
          <w:szCs w:val="22"/>
        </w:rPr>
        <w:t xml:space="preserve">47 CFR 73.827(c) </w:t>
      </w:r>
      <w:r w:rsidRPr="00B528EE" w:rsidR="003102DC">
        <w:rPr>
          <w:rStyle w:val="documentbody1"/>
          <w:rFonts w:ascii="Times New Roman" w:hAnsi="Times New Roman"/>
          <w:spacing w:val="-3"/>
          <w:sz w:val="22"/>
          <w:szCs w:val="22"/>
        </w:rPr>
        <w:t>states that complaints of actual interference by an LPFM station to the direct reception off-air of the signal of an FM station on a third-adjacent channel by an FM translator or FM booster station must be served on the LPFM licensee and the F</w:t>
      </w:r>
      <w:r w:rsidR="009944E1">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attention Audio Division</w:t>
      </w:r>
      <w:r w:rsidR="00E6228A">
        <w:rPr>
          <w:rStyle w:val="documentbody1"/>
          <w:rFonts w:ascii="Times New Roman" w:hAnsi="Times New Roman"/>
          <w:spacing w:val="-3"/>
          <w:sz w:val="22"/>
          <w:szCs w:val="22"/>
        </w:rPr>
        <w:t>.</w:t>
      </w:r>
      <w:r w:rsidRPr="00B528EE" w:rsidR="003102DC">
        <w:rPr>
          <w:rStyle w:val="documentbody1"/>
          <w:rFonts w:ascii="Times New Roman" w:hAnsi="Times New Roman"/>
          <w:spacing w:val="-3"/>
          <w:sz w:val="22"/>
          <w:szCs w:val="22"/>
        </w:rPr>
        <w:t xml:space="preserve"> The LPFM station must suspend operations upon receipt of such complaint unless the interference has been resolved to the satisfaction of the complainant on the basis of suitable techniques.  An LPFM station may only resume operations at the direction of the F</w:t>
      </w:r>
      <w:r w:rsidR="00B057FE">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xml:space="preserve">. If the </w:t>
      </w:r>
      <w:r w:rsidR="00B057FE">
        <w:rPr>
          <w:rStyle w:val="documentbody1"/>
          <w:rFonts w:ascii="Times New Roman" w:hAnsi="Times New Roman"/>
          <w:spacing w:val="-3"/>
          <w:sz w:val="22"/>
          <w:szCs w:val="22"/>
        </w:rPr>
        <w:t>FCC</w:t>
      </w:r>
      <w:r w:rsidRPr="00B528EE" w:rsidR="003102DC">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sidR="003102DC">
        <w:rPr>
          <w:sz w:val="22"/>
          <w:szCs w:val="22"/>
        </w:rPr>
        <w:t xml:space="preserve">  </w:t>
      </w:r>
      <w:r w:rsidRPr="00B528EE">
        <w:rPr>
          <w:sz w:val="22"/>
          <w:szCs w:val="22"/>
        </w:rPr>
        <w:br/>
      </w:r>
    </w:p>
    <w:p w:rsidR="00324F4D" w:rsidRPr="00B528EE" w:rsidP="00344FAF" w14:paraId="23A29772" w14:textId="77777777">
      <w:pPr>
        <w:rPr>
          <w:spacing w:val="-3"/>
          <w:sz w:val="22"/>
          <w:szCs w:val="22"/>
        </w:rPr>
      </w:pPr>
      <w:r w:rsidRPr="00B528EE">
        <w:rPr>
          <w:b/>
          <w:spacing w:val="-3"/>
          <w:sz w:val="22"/>
          <w:szCs w:val="22"/>
        </w:rPr>
        <w:t xml:space="preserve">47 CFR 73.850 </w:t>
      </w:r>
      <w:r w:rsidRPr="00B528EE">
        <w:rPr>
          <w:spacing w:val="-3"/>
          <w:sz w:val="22"/>
          <w:szCs w:val="22"/>
        </w:rPr>
        <w:t xml:space="preserve">permits the filing of share time applications.  It also requires the submission to the Commission of agreements reached between share time applicant and current LPFM licensee, or a statement that the share time applicant and current LPFM licensee cannot reach agreement.  Upon the Commission’s issuance of a notice proposing a share time arrangement and grant of the share time application, the affected LPFM licensee may protest the proposed action, the share time applicant may oppose the protest and/or the proposed action, and the LPFM licensee may reply within the time limits delineated in the notice.  </w:t>
      </w:r>
    </w:p>
    <w:p w:rsidR="00324F4D" w:rsidRPr="00B528EE" w:rsidP="00344FAF" w14:paraId="2F98AD55" w14:textId="77777777">
      <w:pPr>
        <w:rPr>
          <w:b/>
          <w:spacing w:val="-3"/>
          <w:sz w:val="22"/>
          <w:szCs w:val="22"/>
        </w:rPr>
      </w:pPr>
    </w:p>
    <w:p w:rsidR="00C07C62" w:rsidRPr="00B528EE" w:rsidP="00344FAF" w14:paraId="0F3E6335" w14:textId="77777777">
      <w:pPr>
        <w:rPr>
          <w:spacing w:val="-3"/>
          <w:sz w:val="22"/>
          <w:szCs w:val="22"/>
        </w:rPr>
      </w:pPr>
      <w:r w:rsidRPr="00B528EE">
        <w:rPr>
          <w:b/>
          <w:spacing w:val="-3"/>
          <w:sz w:val="22"/>
          <w:szCs w:val="22"/>
        </w:rPr>
        <w:t>47 CFR 73.865</w:t>
      </w:r>
      <w:r w:rsidRPr="00B528EE">
        <w:rPr>
          <w:spacing w:val="-3"/>
          <w:sz w:val="22"/>
          <w:szCs w:val="22"/>
        </w:rPr>
        <w:t xml:space="preserve"> allows a change in the name of an LPFM licensee where no change in ownership or control is involved to be accomplished by a written notification by the licensee to the </w:t>
      </w:r>
      <w:r w:rsidR="00E6228A">
        <w:rPr>
          <w:spacing w:val="-3"/>
          <w:sz w:val="22"/>
          <w:szCs w:val="22"/>
        </w:rPr>
        <w:t>FCC</w:t>
      </w:r>
      <w:r w:rsidRPr="00B528EE">
        <w:rPr>
          <w:spacing w:val="-3"/>
          <w:sz w:val="22"/>
          <w:szCs w:val="22"/>
        </w:rPr>
        <w:t xml:space="preserve">. This section also prohibits assignment of an LPFM authorization or transfer of control of an LPFM permittee or licensee if (a) consideration exceeds the depreciated fair market value of the physical equipment and facilities, and/or (b) the transferee or assignee is incapable of satisfying all eligibility criteria that apply to a LPFM licensee.  Transfers of control involving a sudden change of more than 50 percent of an LPFM’s governing board shall not be deemed a substantial change in ownership or control, subject to the filing of an FCC Form 316.  </w:t>
      </w:r>
    </w:p>
    <w:p w:rsidR="00C07C62" w:rsidRPr="00B528EE" w:rsidP="00344FAF" w14:paraId="6770AD1C" w14:textId="77777777">
      <w:pPr>
        <w:suppressAutoHyphens/>
        <w:rPr>
          <w:spacing w:val="-3"/>
          <w:sz w:val="22"/>
          <w:szCs w:val="22"/>
        </w:rPr>
      </w:pPr>
    </w:p>
    <w:p w:rsidR="00C07C62" w:rsidRPr="00B528EE" w:rsidP="00344FAF" w14:paraId="68AE089A" w14:textId="77777777">
      <w:pPr>
        <w:rPr>
          <w:spacing w:val="-3"/>
          <w:sz w:val="22"/>
          <w:szCs w:val="22"/>
        </w:rPr>
      </w:pPr>
      <w:r w:rsidRPr="00B528EE">
        <w:rPr>
          <w:b/>
          <w:spacing w:val="-3"/>
          <w:sz w:val="22"/>
          <w:szCs w:val="22"/>
        </w:rPr>
        <w:t>47 CFR 73.870 and 73.871</w:t>
      </w:r>
      <w:r w:rsidRPr="00B528EE">
        <w:rPr>
          <w:spacing w:val="-3"/>
          <w:sz w:val="22"/>
          <w:szCs w:val="22"/>
        </w:rPr>
        <w:t xml:space="preserve"> allow licensees and permittees to file minor change applications and minor amendments to pending </w:t>
      </w:r>
      <w:r w:rsidR="00E6228A">
        <w:rPr>
          <w:spacing w:val="-3"/>
          <w:sz w:val="22"/>
          <w:szCs w:val="22"/>
        </w:rPr>
        <w:t>c</w:t>
      </w:r>
      <w:r w:rsidRPr="00B528EE" w:rsidR="009410D9">
        <w:rPr>
          <w:spacing w:val="-3"/>
          <w:sz w:val="22"/>
          <w:szCs w:val="22"/>
        </w:rPr>
        <w:t xml:space="preserve">onstruction </w:t>
      </w:r>
      <w:r w:rsidR="00E6228A">
        <w:rPr>
          <w:spacing w:val="-3"/>
          <w:sz w:val="22"/>
          <w:szCs w:val="22"/>
        </w:rPr>
        <w:t>p</w:t>
      </w:r>
      <w:r w:rsidRPr="00B528EE" w:rsidR="009410D9">
        <w:rPr>
          <w:spacing w:val="-3"/>
          <w:sz w:val="22"/>
          <w:szCs w:val="22"/>
        </w:rPr>
        <w:t>ermit</w:t>
      </w:r>
      <w:r w:rsidRPr="00B528EE">
        <w:rPr>
          <w:spacing w:val="-3"/>
          <w:sz w:val="22"/>
          <w:szCs w:val="22"/>
        </w:rPr>
        <w:t xml:space="preserve"> applications by requesting authority for transmitter site relocation of up to 5.6 kilometers.  LPFM applicants with mutually exclusive applications to file minor amendments and minor changes that reflect changes to time-sharing agreements, including universal agreements that supersede involuntary arrangements. </w:t>
      </w:r>
    </w:p>
    <w:p w:rsidR="00C07C62" w:rsidRPr="00B528EE" w:rsidP="00344FAF" w14:paraId="778CD854" w14:textId="77777777">
      <w:pPr>
        <w:rPr>
          <w:spacing w:val="-3"/>
          <w:sz w:val="22"/>
          <w:szCs w:val="22"/>
        </w:rPr>
      </w:pPr>
    </w:p>
    <w:p w:rsidR="00C07C62" w:rsidRPr="00B528EE" w:rsidP="00344FAF" w14:paraId="71540D4B" w14:textId="77777777">
      <w:pPr>
        <w:rPr>
          <w:spacing w:val="-3"/>
          <w:sz w:val="22"/>
          <w:szCs w:val="22"/>
        </w:rPr>
      </w:pPr>
      <w:r w:rsidRPr="00B528EE">
        <w:rPr>
          <w:b/>
          <w:spacing w:val="-3"/>
          <w:sz w:val="22"/>
          <w:szCs w:val="22"/>
        </w:rPr>
        <w:t>47 CFR 73.870 and 73.871</w:t>
      </w:r>
      <w:r w:rsidRPr="00B528EE">
        <w:rPr>
          <w:spacing w:val="-3"/>
          <w:sz w:val="22"/>
          <w:szCs w:val="22"/>
        </w:rPr>
        <w:t xml:space="preserve"> allow voluntary time-share applicants</w:t>
      </w:r>
      <w:r>
        <w:rPr>
          <w:rStyle w:val="FootnoteReference"/>
          <w:spacing w:val="-3"/>
          <w:sz w:val="22"/>
          <w:szCs w:val="22"/>
        </w:rPr>
        <w:footnoteReference w:id="11"/>
      </w:r>
      <w:r w:rsidRPr="00B528EE">
        <w:rPr>
          <w:spacing w:val="-3"/>
          <w:sz w:val="22"/>
          <w:szCs w:val="22"/>
        </w:rPr>
        <w:t xml:space="preserve"> to relocate an LPFM transmitter to a central location by filing amendments to their pending </w:t>
      </w:r>
      <w:r w:rsidR="00FD01D7">
        <w:rPr>
          <w:spacing w:val="-3"/>
          <w:sz w:val="22"/>
          <w:szCs w:val="22"/>
        </w:rPr>
        <w:t>c</w:t>
      </w:r>
      <w:r w:rsidRPr="00B528EE" w:rsidR="009410D9">
        <w:rPr>
          <w:spacing w:val="-3"/>
          <w:sz w:val="22"/>
          <w:szCs w:val="22"/>
        </w:rPr>
        <w:t xml:space="preserve">onstruction </w:t>
      </w:r>
      <w:r w:rsidR="00FD01D7">
        <w:rPr>
          <w:spacing w:val="-3"/>
          <w:sz w:val="22"/>
          <w:szCs w:val="22"/>
        </w:rPr>
        <w:t>p</w:t>
      </w:r>
      <w:r w:rsidRPr="00B528EE" w:rsidR="009410D9">
        <w:rPr>
          <w:spacing w:val="-3"/>
          <w:sz w:val="22"/>
          <w:szCs w:val="22"/>
        </w:rPr>
        <w:t>ermit</w:t>
      </w:r>
      <w:r w:rsidRPr="00B528EE">
        <w:rPr>
          <w:spacing w:val="-3"/>
          <w:sz w:val="22"/>
          <w:szCs w:val="22"/>
        </w:rPr>
        <w:t xml:space="preserve"> applications. </w:t>
      </w:r>
    </w:p>
    <w:p w:rsidR="00E646C2" w:rsidRPr="00B528EE" w:rsidP="00344FAF" w14:paraId="408EDCF9" w14:textId="77777777">
      <w:pPr>
        <w:rPr>
          <w:spacing w:val="-3"/>
          <w:sz w:val="22"/>
          <w:szCs w:val="22"/>
        </w:rPr>
      </w:pPr>
    </w:p>
    <w:p w:rsidR="00E646C2" w:rsidRPr="00B528EE" w:rsidP="00344FAF" w14:paraId="43C0177F" w14:textId="77777777">
      <w:pPr>
        <w:rPr>
          <w:spacing w:val="-3"/>
          <w:sz w:val="22"/>
          <w:szCs w:val="22"/>
        </w:rPr>
      </w:pPr>
      <w:r w:rsidRPr="00B528EE">
        <w:rPr>
          <w:b/>
          <w:spacing w:val="-3"/>
          <w:sz w:val="22"/>
          <w:szCs w:val="22"/>
        </w:rPr>
        <w:t>47 CFR 73.870 and 73.871</w:t>
      </w:r>
      <w:r w:rsidRPr="00B528EE">
        <w:rPr>
          <w:spacing w:val="-3"/>
          <w:sz w:val="22"/>
          <w:szCs w:val="22"/>
        </w:rPr>
        <w:t xml:space="preserve"> allow a licensee or permittee to file a minor change application to relocate an LPFM transmitter to a common location or a location within </w:t>
      </w:r>
      <w:r w:rsidRPr="00B528EE" w:rsidR="00B41A4E">
        <w:rPr>
          <w:spacing w:val="-3"/>
          <w:sz w:val="22"/>
          <w:szCs w:val="22"/>
        </w:rPr>
        <w:t xml:space="preserve">500 </w:t>
      </w:r>
      <w:r w:rsidRPr="00B528EE">
        <w:rPr>
          <w:spacing w:val="-3"/>
          <w:sz w:val="22"/>
          <w:szCs w:val="22"/>
        </w:rPr>
        <w:t>meters of another station operating on a third-adjacent channel in order to remediate interference to the other station.</w:t>
      </w:r>
    </w:p>
    <w:p w:rsidR="00C07C62" w:rsidRPr="00B528EE" w:rsidP="00344FAF" w14:paraId="3B523136" w14:textId="77777777">
      <w:pPr>
        <w:rPr>
          <w:spacing w:val="-3"/>
          <w:sz w:val="22"/>
          <w:szCs w:val="22"/>
        </w:rPr>
      </w:pPr>
    </w:p>
    <w:p w:rsidR="00522252" w:rsidRPr="00B528EE" w:rsidP="00344FAF" w14:paraId="5B36C8CC" w14:textId="77777777">
      <w:pPr>
        <w:rPr>
          <w:spacing w:val="-3"/>
          <w:sz w:val="22"/>
          <w:szCs w:val="22"/>
        </w:rPr>
      </w:pPr>
      <w:r w:rsidRPr="00B528EE">
        <w:rPr>
          <w:rStyle w:val="documentbody1"/>
          <w:rFonts w:ascii="Times New Roman" w:hAnsi="Times New Roman"/>
          <w:b/>
          <w:spacing w:val="-3"/>
          <w:sz w:val="22"/>
          <w:szCs w:val="22"/>
        </w:rPr>
        <w:t>47 CFR 73.870(d)</w:t>
      </w:r>
      <w:r w:rsidRPr="00B528EE">
        <w:rPr>
          <w:rStyle w:val="documentbody1"/>
          <w:rFonts w:ascii="Times New Roman" w:hAnsi="Times New Roman"/>
          <w:spacing w:val="-3"/>
          <w:sz w:val="22"/>
          <w:szCs w:val="22"/>
        </w:rPr>
        <w:t xml:space="preserve"> state</w:t>
      </w:r>
      <w:r w:rsidRPr="00B528EE" w:rsidR="006832D6">
        <w:rPr>
          <w:rStyle w:val="documentbody1"/>
          <w:rFonts w:ascii="Times New Roman" w:hAnsi="Times New Roman"/>
          <w:spacing w:val="-3"/>
          <w:sz w:val="22"/>
          <w:szCs w:val="22"/>
        </w:rPr>
        <w:t>s</w:t>
      </w:r>
      <w:r w:rsidRPr="00B528EE">
        <w:rPr>
          <w:rStyle w:val="documentbody1"/>
          <w:rFonts w:ascii="Times New Roman" w:hAnsi="Times New Roman"/>
          <w:spacing w:val="-3"/>
          <w:sz w:val="22"/>
          <w:szCs w:val="22"/>
        </w:rPr>
        <w:t xml:space="preserve"> petitions to deny</w:t>
      </w:r>
      <w:r w:rsidRPr="00B528EE" w:rsidR="00173F5F">
        <w:rPr>
          <w:rStyle w:val="documentbody1"/>
          <w:rFonts w:ascii="Times New Roman" w:hAnsi="Times New Roman"/>
          <w:spacing w:val="-3"/>
          <w:sz w:val="22"/>
          <w:szCs w:val="22"/>
        </w:rPr>
        <w:t xml:space="preserve"> the tentative select</w:t>
      </w:r>
      <w:r w:rsidRPr="00B528EE" w:rsidR="0080720E">
        <w:rPr>
          <w:rStyle w:val="documentbody1"/>
          <w:rFonts w:ascii="Times New Roman" w:hAnsi="Times New Roman"/>
          <w:spacing w:val="-3"/>
          <w:sz w:val="22"/>
          <w:szCs w:val="22"/>
        </w:rPr>
        <w:t>ee</w:t>
      </w:r>
      <w:r w:rsidRPr="00B528EE" w:rsidR="00173F5F">
        <w:rPr>
          <w:rStyle w:val="documentbody1"/>
          <w:rFonts w:ascii="Times New Roman" w:hAnsi="Times New Roman"/>
          <w:spacing w:val="-3"/>
          <w:sz w:val="22"/>
          <w:szCs w:val="22"/>
        </w:rPr>
        <w:t xml:space="preserve"> from a group of</w:t>
      </w:r>
      <w:r w:rsidRPr="00B528EE">
        <w:rPr>
          <w:rStyle w:val="documentbody1"/>
          <w:rFonts w:ascii="Times New Roman" w:hAnsi="Times New Roman"/>
          <w:spacing w:val="-3"/>
          <w:sz w:val="22"/>
          <w:szCs w:val="22"/>
        </w:rPr>
        <w:t xml:space="preserve"> mutually exclusive LPFM applications may be filed within 30 days of </w:t>
      </w:r>
      <w:r w:rsidRPr="00B528EE" w:rsidR="00173F5F">
        <w:rPr>
          <w:rStyle w:val="documentbody1"/>
          <w:rFonts w:ascii="Times New Roman" w:hAnsi="Times New Roman"/>
          <w:spacing w:val="-3"/>
          <w:sz w:val="22"/>
          <w:szCs w:val="22"/>
        </w:rPr>
        <w:t xml:space="preserve">the release of a </w:t>
      </w:r>
      <w:r w:rsidRPr="00B528EE">
        <w:rPr>
          <w:rStyle w:val="documentbody1"/>
          <w:rFonts w:ascii="Times New Roman" w:hAnsi="Times New Roman"/>
          <w:spacing w:val="-3"/>
          <w:sz w:val="22"/>
          <w:szCs w:val="22"/>
        </w:rPr>
        <w:t>public notice</w:t>
      </w:r>
      <w:r w:rsidRPr="00B528EE" w:rsidR="00173F5F">
        <w:rPr>
          <w:rStyle w:val="documentbody1"/>
          <w:rFonts w:ascii="Times New Roman" w:hAnsi="Times New Roman"/>
          <w:spacing w:val="-3"/>
          <w:sz w:val="22"/>
          <w:szCs w:val="22"/>
        </w:rPr>
        <w:t xml:space="preserve"> designating one of the mutually exclusive applicants as the tentative selectee.  47 CFR 73.870(d) specifies that such petitions be filed</w:t>
      </w:r>
      <w:r w:rsidRPr="00B528EE">
        <w:rPr>
          <w:rStyle w:val="documentbody1"/>
          <w:rFonts w:ascii="Times New Roman" w:hAnsi="Times New Roman"/>
          <w:spacing w:val="-3"/>
          <w:sz w:val="22"/>
          <w:szCs w:val="22"/>
        </w:rPr>
        <w:t xml:space="preserve"> in accordance with the procedures set forth at </w:t>
      </w:r>
      <w:r w:rsidRPr="00B528EE" w:rsidR="004464B9">
        <w:rPr>
          <w:rStyle w:val="documentbody1"/>
          <w:rFonts w:ascii="Times New Roman" w:hAnsi="Times New Roman"/>
          <w:spacing w:val="-3"/>
          <w:sz w:val="22"/>
          <w:szCs w:val="22"/>
        </w:rPr>
        <w:t xml:space="preserve">Section </w:t>
      </w:r>
      <w:r w:rsidRPr="00B528EE">
        <w:rPr>
          <w:rStyle w:val="documentbody1"/>
          <w:rFonts w:ascii="Times New Roman" w:hAnsi="Times New Roman"/>
          <w:spacing w:val="-3"/>
          <w:sz w:val="22"/>
          <w:szCs w:val="22"/>
        </w:rPr>
        <w:t>73.3584. A copy of any petition to deny must be served on the applicant.</w:t>
      </w:r>
      <w:r w:rsidRPr="00B528EE">
        <w:rPr>
          <w:spacing w:val="-3"/>
          <w:sz w:val="22"/>
          <w:szCs w:val="22"/>
        </w:rPr>
        <w:t xml:space="preserve">  </w:t>
      </w:r>
    </w:p>
    <w:p w:rsidR="00C07C62" w:rsidRPr="00B528EE" w:rsidP="00344FAF" w14:paraId="5FC20E54" w14:textId="77777777">
      <w:pPr>
        <w:rPr>
          <w:spacing w:val="-3"/>
          <w:sz w:val="22"/>
          <w:szCs w:val="22"/>
        </w:rPr>
      </w:pPr>
    </w:p>
    <w:p w:rsidR="00C07C62" w:rsidRPr="00B528EE" w:rsidP="00344FAF" w14:paraId="32AC8CA6" w14:textId="77777777">
      <w:pPr>
        <w:rPr>
          <w:spacing w:val="-3"/>
          <w:sz w:val="22"/>
          <w:szCs w:val="22"/>
        </w:rPr>
      </w:pPr>
      <w:r w:rsidRPr="00B528EE">
        <w:rPr>
          <w:b/>
          <w:spacing w:val="-3"/>
          <w:sz w:val="22"/>
          <w:szCs w:val="22"/>
        </w:rPr>
        <w:t xml:space="preserve">47 CFR 73.872(b) </w:t>
      </w:r>
      <w:r w:rsidRPr="00B528EE">
        <w:rPr>
          <w:spacing w:val="-3"/>
          <w:sz w:val="22"/>
          <w:szCs w:val="22"/>
        </w:rPr>
        <w:t>requires a party claiming eligibility for a point or points under the established community presence criterion</w:t>
      </w:r>
      <w:r w:rsidRPr="00B528EE" w:rsidR="00051C6E">
        <w:rPr>
          <w:spacing w:val="-3"/>
          <w:sz w:val="22"/>
          <w:szCs w:val="22"/>
        </w:rPr>
        <w:t xml:space="preserve"> and/or the </w:t>
      </w:r>
      <w:r w:rsidRPr="00B528EE" w:rsidR="0080720E">
        <w:rPr>
          <w:spacing w:val="-3"/>
          <w:sz w:val="22"/>
          <w:szCs w:val="22"/>
        </w:rPr>
        <w:t xml:space="preserve">Native Nations </w:t>
      </w:r>
      <w:r w:rsidRPr="00B528EE" w:rsidR="00051C6E">
        <w:rPr>
          <w:spacing w:val="-3"/>
          <w:sz w:val="22"/>
          <w:szCs w:val="22"/>
        </w:rPr>
        <w:t>criterion</w:t>
      </w:r>
      <w:r w:rsidRPr="00B528EE">
        <w:rPr>
          <w:spacing w:val="-3"/>
          <w:sz w:val="22"/>
          <w:szCs w:val="22"/>
        </w:rPr>
        <w:t xml:space="preserve"> to submit the documentation specified at the time of filing their applications.</w:t>
      </w:r>
      <w:r w:rsidRPr="00B528EE" w:rsidR="00772CBD">
        <w:rPr>
          <w:spacing w:val="-3"/>
          <w:sz w:val="22"/>
          <w:szCs w:val="22"/>
        </w:rPr>
        <w:t xml:space="preserve">  It also requires a party claiming eligibility for a point under the main studio criterion to specify the address and telephone number of the proposed main studio at the time of filing its applications.</w:t>
      </w:r>
    </w:p>
    <w:p w:rsidR="005D43D1" w:rsidRPr="00B528EE" w:rsidP="00344FAF" w14:paraId="209C97DF" w14:textId="77777777">
      <w:pPr>
        <w:rPr>
          <w:spacing w:val="-3"/>
          <w:sz w:val="22"/>
          <w:szCs w:val="22"/>
        </w:rPr>
      </w:pPr>
    </w:p>
    <w:p w:rsidR="00C07C62" w:rsidRPr="00B528EE" w:rsidP="00344FAF" w14:paraId="327AF824" w14:textId="77777777">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73.872(c)</w:t>
      </w:r>
      <w:r w:rsidRPr="00B528EE">
        <w:rPr>
          <w:rFonts w:ascii="Times New Roman" w:hAnsi="Times New Roman" w:cs="Times New Roman"/>
          <w:spacing w:val="-3"/>
          <w:sz w:val="22"/>
          <w:szCs w:val="22"/>
        </w:rPr>
        <w:t xml:space="preserve"> states if mutually exclusive</w:t>
      </w:r>
      <w:r w:rsidRPr="00B528EE" w:rsidR="00295337">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applications have the same point total</w:t>
      </w:r>
      <w:r>
        <w:rPr>
          <w:rStyle w:val="FootnoteReference"/>
          <w:rFonts w:ascii="Times New Roman" w:hAnsi="Times New Roman" w:cs="Times New Roman"/>
          <w:spacing w:val="-3"/>
          <w:sz w:val="22"/>
          <w:szCs w:val="22"/>
        </w:rPr>
        <w:footnoteReference w:id="12"/>
      </w:r>
      <w:r w:rsidRPr="00B528EE">
        <w:rPr>
          <w:rFonts w:ascii="Times New Roman" w:hAnsi="Times New Roman" w:cs="Times New Roman"/>
          <w:spacing w:val="-3"/>
          <w:sz w:val="22"/>
          <w:szCs w:val="22"/>
        </w:rPr>
        <w:t>, any two or more of the tied applicants may propose to share use of the frequency</w:t>
      </w:r>
      <w:r w:rsidR="000267D5">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by submitting, within 90 days of the release of a public notice announcing the tie, a time-share proposal. Such proposals shall be treated as minor amendments to the time</w:t>
      </w:r>
      <w:r w:rsidRPr="00B528EE" w:rsidR="009410D9">
        <w:rPr>
          <w:rFonts w:ascii="Times New Roman" w:hAnsi="Times New Roman" w:cs="Times New Roman"/>
          <w:spacing w:val="-3"/>
          <w:sz w:val="22"/>
          <w:szCs w:val="22"/>
        </w:rPr>
        <w:t>-share proponents' applications</w:t>
      </w:r>
      <w:r w:rsidRPr="00B528EE">
        <w:rPr>
          <w:rFonts w:ascii="Times New Roman" w:hAnsi="Times New Roman" w:cs="Times New Roman"/>
          <w:spacing w:val="-3"/>
          <w:sz w:val="22"/>
          <w:szCs w:val="22"/>
        </w:rPr>
        <w:t xml:space="preserve"> and shall become part of the terms of the station authorization. Where such proposals include all of the tied applications, all of the tied applications will be treated as tentative selectees; otherwise, time-share proponents</w:t>
      </w:r>
      <w:r w:rsidR="00FD01D7">
        <w:rPr>
          <w:rFonts w:ascii="Times New Roman" w:hAnsi="Times New Roman" w:cs="Times New Roman"/>
          <w:spacing w:val="-3"/>
          <w:sz w:val="22"/>
          <w:szCs w:val="22"/>
        </w:rPr>
        <w:t>’</w:t>
      </w:r>
      <w:r w:rsidRPr="00B528EE">
        <w:rPr>
          <w:rFonts w:ascii="Times New Roman" w:hAnsi="Times New Roman" w:cs="Times New Roman"/>
          <w:spacing w:val="-3"/>
          <w:sz w:val="22"/>
          <w:szCs w:val="22"/>
        </w:rPr>
        <w:t xml:space="preserve"> points will be aggregated to determine the tentative selectees.</w:t>
      </w:r>
    </w:p>
    <w:p w:rsidR="00C07C62" w:rsidRPr="00B528EE" w:rsidP="00344FAF" w14:paraId="328E4469" w14:textId="77777777">
      <w:pPr>
        <w:pStyle w:val="HTMLPreformatted"/>
        <w:ind w:firstLine="360"/>
        <w:rPr>
          <w:rFonts w:ascii="Times New Roman" w:hAnsi="Times New Roman" w:cs="Times New Roman"/>
          <w:spacing w:val="-3"/>
          <w:sz w:val="22"/>
          <w:szCs w:val="22"/>
        </w:rPr>
      </w:pPr>
    </w:p>
    <w:p w:rsidR="00C07C62" w:rsidRPr="00B528EE" w:rsidP="00344FAF" w14:paraId="16E346FD" w14:textId="77777777">
      <w:pPr>
        <w:pStyle w:val="HTMLPreformatted"/>
        <w:ind w:left="360"/>
        <w:rPr>
          <w:rFonts w:ascii="Times New Roman" w:hAnsi="Times New Roman" w:cs="Times New Roman"/>
          <w:spacing w:val="-3"/>
          <w:sz w:val="22"/>
          <w:szCs w:val="22"/>
        </w:rPr>
      </w:pPr>
      <w:r w:rsidRPr="00B528EE">
        <w:rPr>
          <w:rFonts w:ascii="Times New Roman" w:hAnsi="Times New Roman" w:cs="Times New Roman"/>
          <w:spacing w:val="-3"/>
          <w:sz w:val="22"/>
          <w:szCs w:val="22"/>
        </w:rPr>
        <w:t>(1) Time-share proposals shall be in writing and signed by each time-share proponent, and shall satisfy the following requirements:</w:t>
      </w:r>
    </w:p>
    <w:p w:rsidR="00C07C62" w:rsidRPr="00B528EE" w:rsidP="00C07C62" w14:paraId="28271F65" w14:textId="77777777">
      <w:pPr>
        <w:pStyle w:val="HTMLPreformatted"/>
        <w:ind w:firstLine="360"/>
        <w:rPr>
          <w:rFonts w:ascii="Times New Roman" w:hAnsi="Times New Roman" w:cs="Times New Roman"/>
          <w:spacing w:val="-3"/>
          <w:sz w:val="22"/>
          <w:szCs w:val="22"/>
        </w:rPr>
      </w:pPr>
    </w:p>
    <w:p w:rsidR="00C07C62" w:rsidRPr="00B528EE" w:rsidP="00C07C62" w14:paraId="7FEC241A"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w:t>
      </w:r>
      <w:r w:rsidRPr="00B528EE">
        <w:rPr>
          <w:rFonts w:ascii="Times New Roman" w:hAnsi="Times New Roman" w:cs="Times New Roman"/>
          <w:spacing w:val="-3"/>
          <w:sz w:val="22"/>
          <w:szCs w:val="22"/>
        </w:rPr>
        <w:t>i</w:t>
      </w:r>
      <w:r w:rsidRPr="00B528EE">
        <w:rPr>
          <w:rFonts w:ascii="Times New Roman" w:hAnsi="Times New Roman" w:cs="Times New Roman"/>
          <w:spacing w:val="-3"/>
          <w:sz w:val="22"/>
          <w:szCs w:val="22"/>
        </w:rPr>
        <w:t>) The proposal must specify the proposed hours of operation of each time-share proponent;</w:t>
      </w:r>
    </w:p>
    <w:p w:rsidR="00C07C62" w:rsidRPr="00B528EE" w:rsidP="00C07C62" w14:paraId="2132056A"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 xml:space="preserve">(ii) The proposal must not include simultaneous operation of the time-share proponents; and     </w:t>
      </w:r>
    </w:p>
    <w:p w:rsidR="00C07C62" w:rsidRPr="00B528EE" w:rsidP="00C07C62" w14:paraId="170672AD"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(iii) Each time-share proponent must propose to operate for at least 10 hours per week.</w:t>
      </w:r>
    </w:p>
    <w:p w:rsidR="00C07C62" w:rsidRPr="00B528EE" w:rsidP="00C07C62" w14:paraId="6D6A0F0B" w14:textId="77777777">
      <w:pPr>
        <w:pStyle w:val="HTMLPreformatted"/>
        <w:rPr>
          <w:rFonts w:ascii="Times New Roman" w:hAnsi="Times New Roman" w:cs="Times New Roman"/>
          <w:spacing w:val="-3"/>
          <w:sz w:val="22"/>
          <w:szCs w:val="22"/>
        </w:rPr>
      </w:pPr>
    </w:p>
    <w:p w:rsidR="00C07C62" w:rsidRPr="00B528EE" w:rsidP="007934F6" w14:paraId="18CFFBAE" w14:textId="77777777">
      <w:pPr>
        <w:pStyle w:val="HTMLPreformatted"/>
        <w:rPr>
          <w:rFonts w:ascii="Times New Roman" w:hAnsi="Times New Roman" w:cs="Times New Roman"/>
          <w:spacing w:val="-3"/>
          <w:sz w:val="22"/>
          <w:szCs w:val="22"/>
        </w:rPr>
      </w:pPr>
      <w:r w:rsidRPr="00B528EE">
        <w:rPr>
          <w:rFonts w:ascii="Times New Roman" w:hAnsi="Times New Roman" w:cs="Times New Roman"/>
          <w:spacing w:val="-3"/>
          <w:sz w:val="22"/>
          <w:szCs w:val="22"/>
        </w:rPr>
        <w:t>(2) Where a station is authorized pursuant to a time-sharing proposal, a change of the regular schedule set forth therein will be permitted only where a written agreement signed by each time-sharing permittee or licensee and complying with requirements in paragraphs (c)(1)(</w:t>
      </w:r>
      <w:r w:rsidRPr="00B528EE">
        <w:rPr>
          <w:rFonts w:ascii="Times New Roman" w:hAnsi="Times New Roman" w:cs="Times New Roman"/>
          <w:spacing w:val="-3"/>
          <w:sz w:val="22"/>
          <w:szCs w:val="22"/>
        </w:rPr>
        <w:t>i</w:t>
      </w:r>
      <w:r w:rsidRPr="00B528EE">
        <w:rPr>
          <w:rFonts w:ascii="Times New Roman" w:hAnsi="Times New Roman" w:cs="Times New Roman"/>
          <w:spacing w:val="-3"/>
          <w:sz w:val="22"/>
          <w:szCs w:val="22"/>
        </w:rPr>
        <w:t xml:space="preserve">) through (iii) of this section is filed with the </w:t>
      </w:r>
      <w:r w:rsidR="00FD01D7">
        <w:rPr>
          <w:rFonts w:ascii="Times New Roman" w:hAnsi="Times New Roman" w:cs="Times New Roman"/>
          <w:spacing w:val="-3"/>
          <w:sz w:val="22"/>
          <w:szCs w:val="22"/>
        </w:rPr>
        <w:t>FCC</w:t>
      </w:r>
      <w:r w:rsidRPr="00B528EE">
        <w:rPr>
          <w:rFonts w:ascii="Times New Roman" w:hAnsi="Times New Roman" w:cs="Times New Roman"/>
          <w:spacing w:val="-3"/>
          <w:sz w:val="22"/>
          <w:szCs w:val="22"/>
        </w:rPr>
        <w:t xml:space="preserve">, </w:t>
      </w:r>
      <w:r w:rsidR="00FD01D7">
        <w:rPr>
          <w:rFonts w:ascii="Times New Roman" w:hAnsi="Times New Roman" w:cs="Times New Roman"/>
          <w:spacing w:val="-3"/>
          <w:sz w:val="22"/>
          <w:szCs w:val="22"/>
        </w:rPr>
        <w:t>a</w:t>
      </w:r>
      <w:r w:rsidRPr="00B528EE">
        <w:rPr>
          <w:rFonts w:ascii="Times New Roman" w:hAnsi="Times New Roman" w:cs="Times New Roman"/>
          <w:spacing w:val="-3"/>
          <w:sz w:val="22"/>
          <w:szCs w:val="22"/>
        </w:rPr>
        <w:t xml:space="preserve">ttention Audio Division, prior to the date of the change.  </w:t>
      </w:r>
    </w:p>
    <w:p w:rsidR="00C07C62" w:rsidRPr="00B528EE" w:rsidP="007934F6" w14:paraId="7DF6FE3A" w14:textId="77777777">
      <w:pPr>
        <w:pStyle w:val="HTMLPreformatted"/>
        <w:rPr>
          <w:rFonts w:ascii="Times New Roman" w:hAnsi="Times New Roman" w:cs="Times New Roman"/>
          <w:spacing w:val="-3"/>
          <w:sz w:val="22"/>
          <w:szCs w:val="22"/>
        </w:rPr>
      </w:pPr>
    </w:p>
    <w:p w:rsidR="00C07C62" w:rsidRPr="00B528EE" w:rsidP="007934F6" w14:paraId="0783E3DF" w14:textId="77777777">
      <w:pPr>
        <w:rPr>
          <w:sz w:val="22"/>
          <w:szCs w:val="22"/>
        </w:rPr>
      </w:pPr>
      <w:r w:rsidRPr="00B528EE">
        <w:rPr>
          <w:b/>
          <w:spacing w:val="-3"/>
          <w:sz w:val="22"/>
          <w:szCs w:val="22"/>
        </w:rPr>
        <w:t>47 CFR 73.872(d)(2</w:t>
      </w:r>
      <w:r w:rsidRPr="00B528EE">
        <w:rPr>
          <w:spacing w:val="-3"/>
          <w:sz w:val="22"/>
          <w:szCs w:val="22"/>
        </w:rPr>
        <w:t xml:space="preserve">) </w:t>
      </w:r>
      <w:r w:rsidRPr="00B528EE" w:rsidR="00743B0A">
        <w:rPr>
          <w:spacing w:val="-3"/>
          <w:sz w:val="22"/>
          <w:szCs w:val="22"/>
        </w:rPr>
        <w:t xml:space="preserve">states that, if a mutually exclusive group has three or fewer tied, grantable applications, the Commission will simultaneously </w:t>
      </w:r>
      <w:r w:rsidRPr="00B528EE" w:rsidR="0080720E">
        <w:rPr>
          <w:spacing w:val="-3"/>
          <w:sz w:val="22"/>
          <w:szCs w:val="22"/>
        </w:rPr>
        <w:t>grant</w:t>
      </w:r>
      <w:r w:rsidRPr="00B528EE" w:rsidR="00743B0A">
        <w:rPr>
          <w:spacing w:val="-3"/>
          <w:sz w:val="22"/>
          <w:szCs w:val="22"/>
        </w:rPr>
        <w:t xml:space="preserve"> these applications, assigning an equal number of hours per week to each applicant.  </w:t>
      </w:r>
      <w:r w:rsidRPr="00B528EE" w:rsidR="00743B0A">
        <w:rPr>
          <w:sz w:val="22"/>
          <w:szCs w:val="22"/>
        </w:rPr>
        <w:t xml:space="preserve">The Commission will determine the hours assigned to each applicant by first assigning hours to the applicant that has been local, as defined in Section 73.853(b), for the longest uninterrupted period of time, then assigning hours to the applicant that has been local for the next longest uninterrupted period of time, and finally assigning hours to any remaining applicant. </w:t>
      </w:r>
      <w:r w:rsidRPr="00B528EE" w:rsidR="0080720E">
        <w:rPr>
          <w:sz w:val="22"/>
          <w:szCs w:val="22"/>
        </w:rPr>
        <w:t xml:space="preserve">The Commission will offer applicants an opportunity to voluntarily reach a time-sharing agreement.  In the event that applicants cannot reach such agreement, the Commission will require each applicant subject to involuntary time-sharing to simultaneously and confidentially submit their preferred time slots to the Commission.  The Commission will give preference to the applicant that has been local for the longest uninterrupted period of time.  </w:t>
      </w:r>
      <w:r w:rsidRPr="00B528EE" w:rsidR="00743B0A">
        <w:rPr>
          <w:sz w:val="22"/>
          <w:szCs w:val="22"/>
        </w:rPr>
        <w:t>In the event an applicant neglects to designate its preferred time slots, staff will select a time slot for that applicant</w:t>
      </w:r>
      <w:r w:rsidRPr="00B528EE" w:rsidR="00743B0A">
        <w:rPr>
          <w:spacing w:val="-3"/>
          <w:sz w:val="22"/>
          <w:szCs w:val="22"/>
        </w:rPr>
        <w:t>.</w:t>
      </w:r>
    </w:p>
    <w:p w:rsidR="00743B0A" w:rsidRPr="00B528EE" w:rsidP="007934F6" w14:paraId="69C98B98" w14:textId="77777777">
      <w:pPr>
        <w:rPr>
          <w:spacing w:val="-3"/>
          <w:sz w:val="22"/>
          <w:szCs w:val="22"/>
        </w:rPr>
      </w:pPr>
    </w:p>
    <w:p w:rsidR="00743B0A" w:rsidRPr="00B528EE" w:rsidP="007934F6" w14:paraId="73FD3F26" w14:textId="77777777">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73.872(d)(3)</w:t>
      </w:r>
      <w:r w:rsidRPr="00B528EE">
        <w:rPr>
          <w:rFonts w:ascii="Times New Roman" w:hAnsi="Times New Roman" w:cs="Times New Roman"/>
          <w:spacing w:val="-3"/>
          <w:sz w:val="22"/>
          <w:szCs w:val="22"/>
        </w:rPr>
        <w:t xml:space="preserve"> states that </w:t>
      </w:r>
      <w:r w:rsidRPr="00B528EE">
        <w:rPr>
          <w:rFonts w:ascii="Times New Roman" w:hAnsi="Times New Roman" w:cs="Times New Roman"/>
          <w:sz w:val="22"/>
          <w:szCs w:val="22"/>
        </w:rPr>
        <w:t>groups of more than three tied, grantable applications will not be eligible for licensing under this section.  Where such groups exist, the Commission will dismiss all but the applications of the three applicants that have been local, as defined in 47 CFR 73.853(b), for the longest uninterrupted periods of time.  The Commission then will process the remaining applications as set forth in paragraph (d)(2) of 47 CFR 73.872.</w:t>
      </w:r>
    </w:p>
    <w:p w:rsidR="00743B0A" w:rsidRPr="00B528EE" w:rsidP="007934F6" w14:paraId="556C9B73" w14:textId="77777777">
      <w:pPr>
        <w:rPr>
          <w:spacing w:val="-3"/>
          <w:sz w:val="22"/>
          <w:szCs w:val="22"/>
        </w:rPr>
      </w:pPr>
    </w:p>
    <w:p w:rsidR="00C07C62" w:rsidRPr="00B528EE" w:rsidP="007934F6" w14:paraId="4294745A" w14:textId="77777777">
      <w:pPr>
        <w:rPr>
          <w:spacing w:val="-3"/>
          <w:sz w:val="22"/>
          <w:szCs w:val="22"/>
        </w:rPr>
      </w:pPr>
      <w:r w:rsidRPr="00B528EE">
        <w:rPr>
          <w:b/>
          <w:spacing w:val="-3"/>
          <w:sz w:val="22"/>
          <w:szCs w:val="22"/>
        </w:rPr>
        <w:t>47 CFR 73.877</w:t>
      </w:r>
      <w:r w:rsidRPr="00B528EE">
        <w:rPr>
          <w:spacing w:val="-3"/>
          <w:sz w:val="22"/>
          <w:szCs w:val="22"/>
        </w:rPr>
        <w:t xml:space="preserve"> requires each LPFM station to maintain a station log.  Each log entry must include the time and date of observation and the name of the person making the entry.  This log must contain entries of the information specified in this section.  </w:t>
      </w:r>
    </w:p>
    <w:p w:rsidR="00C07C62" w:rsidRPr="00B528EE" w:rsidP="007934F6" w14:paraId="544077E9" w14:textId="77777777">
      <w:pPr>
        <w:rPr>
          <w:spacing w:val="-3"/>
          <w:sz w:val="22"/>
          <w:szCs w:val="22"/>
        </w:rPr>
      </w:pPr>
    </w:p>
    <w:p w:rsidR="00C07C62" w:rsidRPr="00B528EE" w:rsidP="007934F6" w14:paraId="48450FF8" w14:textId="77777777">
      <w:pPr>
        <w:rPr>
          <w:spacing w:val="-3"/>
          <w:sz w:val="22"/>
          <w:szCs w:val="22"/>
        </w:rPr>
      </w:pPr>
      <w:r w:rsidRPr="00B528EE">
        <w:rPr>
          <w:b/>
          <w:spacing w:val="-3"/>
          <w:sz w:val="22"/>
          <w:szCs w:val="22"/>
        </w:rPr>
        <w:t>47 CFR 73.878</w:t>
      </w:r>
      <w:r w:rsidRPr="00B528EE">
        <w:rPr>
          <w:spacing w:val="-3"/>
          <w:sz w:val="22"/>
          <w:szCs w:val="22"/>
        </w:rPr>
        <w:t xml:space="preserve"> requires licensees to make available to FCC representatives during regular business hours, the station records and logs.  Upon request of the FCC, the licensee must mail (by either registered mail, return receipt requested, or certified mail, return receipt requested) the station records and logs.  The licensee must retain the return receipt until such records are returned to the licensee.  </w:t>
      </w:r>
    </w:p>
    <w:p w:rsidR="00C07C62" w:rsidRPr="00B528EE" w:rsidP="007934F6" w14:paraId="1C826D45" w14:textId="77777777">
      <w:pPr>
        <w:rPr>
          <w:spacing w:val="-3"/>
          <w:sz w:val="22"/>
          <w:szCs w:val="22"/>
        </w:rPr>
      </w:pPr>
    </w:p>
    <w:p w:rsidR="00C07C62" w:rsidRPr="00B528EE" w:rsidP="007934F6" w14:paraId="52A6B12E" w14:textId="77777777">
      <w:pPr>
        <w:rPr>
          <w:spacing w:val="-3"/>
          <w:sz w:val="22"/>
          <w:szCs w:val="22"/>
        </w:rPr>
      </w:pPr>
      <w:r w:rsidRPr="00B528EE">
        <w:rPr>
          <w:b/>
          <w:spacing w:val="-3"/>
          <w:sz w:val="22"/>
          <w:szCs w:val="22"/>
        </w:rPr>
        <w:t>Unattended operation</w:t>
      </w:r>
      <w:r w:rsidRPr="00B528EE" w:rsidR="004464B9">
        <w:rPr>
          <w:spacing w:val="-3"/>
          <w:sz w:val="22"/>
          <w:szCs w:val="22"/>
        </w:rPr>
        <w:t xml:space="preserve">.  The Report and Order in MM Docket 99-25 </w:t>
      </w:r>
      <w:r w:rsidRPr="00B528EE">
        <w:rPr>
          <w:spacing w:val="-3"/>
          <w:sz w:val="22"/>
          <w:szCs w:val="22"/>
        </w:rPr>
        <w:t>requires that LPFM stations that will operate unattended will be required to advise the Commission by letter of the unattended operation and provide an address and telephone number where a responsible party can be reached during such times.</w:t>
      </w:r>
      <w:r>
        <w:rPr>
          <w:rStyle w:val="FootnoteReference"/>
          <w:spacing w:val="-3"/>
          <w:sz w:val="22"/>
          <w:szCs w:val="22"/>
        </w:rPr>
        <w:footnoteReference w:id="13"/>
      </w:r>
      <w:r w:rsidRPr="00B528EE">
        <w:rPr>
          <w:spacing w:val="-3"/>
          <w:sz w:val="22"/>
          <w:szCs w:val="22"/>
        </w:rPr>
        <w:t xml:space="preserve"> </w:t>
      </w:r>
    </w:p>
    <w:p w:rsidR="00C07C62" w:rsidRPr="00B528EE" w:rsidP="00C07C62" w14:paraId="5FE805A1" w14:textId="77777777">
      <w:pPr>
        <w:rPr>
          <w:spacing w:val="-3"/>
          <w:sz w:val="22"/>
          <w:szCs w:val="22"/>
        </w:rPr>
      </w:pPr>
    </w:p>
    <w:p w:rsidR="00C07C62" w:rsidRPr="00B528EE" w:rsidP="007934F6" w14:paraId="632CDC1C" w14:textId="77777777">
      <w:pPr>
        <w:rPr>
          <w:spacing w:val="-3"/>
          <w:sz w:val="22"/>
          <w:szCs w:val="22"/>
        </w:rPr>
      </w:pPr>
      <w:r w:rsidRPr="00B528EE">
        <w:rPr>
          <w:b/>
          <w:spacing w:val="-3"/>
          <w:sz w:val="22"/>
          <w:szCs w:val="22"/>
        </w:rPr>
        <w:t>47 CFR 73.318</w:t>
      </w:r>
      <w:r w:rsidRPr="00B528EE">
        <w:rPr>
          <w:spacing w:val="-3"/>
          <w:sz w:val="22"/>
          <w:szCs w:val="22"/>
        </w:rPr>
        <w:t xml:space="preserve"> requires LPFM stations to resolve all complaints received on blanketing interference occurring within the immediate vicinity of the antenna site for one year after commence</w:t>
      </w:r>
      <w:r w:rsidR="009C618C">
        <w:rPr>
          <w:spacing w:val="-3"/>
          <w:sz w:val="22"/>
          <w:szCs w:val="22"/>
        </w:rPr>
        <w:t>ment</w:t>
      </w:r>
      <w:r w:rsidRPr="00B528EE">
        <w:rPr>
          <w:spacing w:val="-3"/>
          <w:sz w:val="22"/>
          <w:szCs w:val="22"/>
        </w:rPr>
        <w:t xml:space="preserve"> of transmissions </w:t>
      </w:r>
      <w:r w:rsidRPr="00B528EE">
        <w:rPr>
          <w:spacing w:val="-3"/>
          <w:sz w:val="22"/>
          <w:szCs w:val="22"/>
        </w:rPr>
        <w:t xml:space="preserve">with new or modified facilities.  Licensee shall provide technical information, notifications or assistance to complainants on remedies for blanketing interference.  </w:t>
      </w:r>
    </w:p>
    <w:p w:rsidR="00C07C62" w:rsidRPr="00B528EE" w:rsidP="007934F6" w14:paraId="4B050A38" w14:textId="77777777">
      <w:pPr>
        <w:rPr>
          <w:spacing w:val="-3"/>
          <w:sz w:val="22"/>
          <w:szCs w:val="22"/>
        </w:rPr>
      </w:pPr>
    </w:p>
    <w:p w:rsidR="00C07C62" w:rsidRPr="00B528EE" w:rsidP="007934F6" w14:paraId="1B65DD57" w14:textId="77777777">
      <w:pPr>
        <w:rPr>
          <w:spacing w:val="-3"/>
          <w:sz w:val="22"/>
          <w:szCs w:val="22"/>
        </w:rPr>
      </w:pPr>
      <w:r w:rsidRPr="00B528EE">
        <w:rPr>
          <w:b/>
          <w:spacing w:val="-3"/>
          <w:sz w:val="22"/>
          <w:szCs w:val="22"/>
        </w:rPr>
        <w:t>47 CFR 73.1030</w:t>
      </w:r>
      <w:r w:rsidRPr="00B528EE">
        <w:rPr>
          <w:spacing w:val="-3"/>
          <w:sz w:val="22"/>
          <w:szCs w:val="22"/>
        </w:rPr>
        <w:t xml:space="preserve"> requires LPFM stations to coordinate, notify, and provide protection to the radio quiet zones at Green, West Virginia and at Boulder, Colorado.  In addition, LPFM applicants in Puerto Rico will need to coordinate and notify Cornell University regarding the radio coordination zone on that island.  This requirement is necessary to ensure that research work at these installations will not be disrupted. </w:t>
      </w:r>
    </w:p>
    <w:p w:rsidR="00C07C62" w:rsidRPr="00B528EE" w:rsidP="007934F6" w14:paraId="2DE901A9" w14:textId="77777777">
      <w:pPr>
        <w:rPr>
          <w:spacing w:val="-3"/>
          <w:sz w:val="22"/>
          <w:szCs w:val="22"/>
        </w:rPr>
      </w:pPr>
    </w:p>
    <w:p w:rsidR="00C07C62" w:rsidRPr="00B528EE" w:rsidP="007934F6" w14:paraId="5EF18CEE" w14:textId="77777777">
      <w:pPr>
        <w:rPr>
          <w:spacing w:val="-3"/>
          <w:sz w:val="22"/>
          <w:szCs w:val="22"/>
        </w:rPr>
      </w:pPr>
      <w:r w:rsidRPr="00B528EE">
        <w:rPr>
          <w:b/>
          <w:spacing w:val="-3"/>
          <w:sz w:val="22"/>
          <w:szCs w:val="22"/>
        </w:rPr>
        <w:t>47 CFR 73.1207</w:t>
      </w:r>
      <w:r w:rsidRPr="00B528EE">
        <w:rPr>
          <w:spacing w:val="-3"/>
          <w:sz w:val="22"/>
          <w:szCs w:val="22"/>
        </w:rPr>
        <w:t xml:space="preserve"> requires that licensees of broadcast stations obtain written permission from an originating station prior to retransmitting any program or any part thereof. A copy of the written consent must be kept in the station's files and made available to the FCC upon request. 47 CFR Section 73.1207 also requires stations that use the National Bureau of Standards (NBS) time signals to notify the NBS semiannually of use of time signals.  </w:t>
      </w:r>
    </w:p>
    <w:p w:rsidR="00C07C62" w:rsidRPr="00B528EE" w:rsidP="007934F6" w14:paraId="73B86CCF" w14:textId="77777777">
      <w:pPr>
        <w:rPr>
          <w:spacing w:val="-3"/>
          <w:sz w:val="22"/>
          <w:szCs w:val="22"/>
        </w:rPr>
      </w:pPr>
    </w:p>
    <w:p w:rsidR="00C07C62" w:rsidRPr="00B528EE" w:rsidP="007934F6" w14:paraId="0533460D" w14:textId="77777777">
      <w:pPr>
        <w:rPr>
          <w:spacing w:val="-3"/>
          <w:sz w:val="22"/>
          <w:szCs w:val="22"/>
        </w:rPr>
      </w:pPr>
      <w:r w:rsidRPr="00B528EE">
        <w:rPr>
          <w:b/>
          <w:spacing w:val="-3"/>
          <w:sz w:val="22"/>
          <w:szCs w:val="22"/>
        </w:rPr>
        <w:t>47 CFR 73.1212</w:t>
      </w:r>
      <w:r w:rsidRPr="00B528EE">
        <w:rPr>
          <w:spacing w:val="-3"/>
          <w:sz w:val="22"/>
          <w:szCs w:val="22"/>
        </w:rPr>
        <w:t xml:space="preserve"> requires a broadcast station to identify the sponsor of any matter for which consideration is provided.  For matter advertising commercial products or services, generally the mention of the name of the product or service constitutes sponsorship identification.  In addition, when an entity rather than an individual</w:t>
      </w:r>
      <w:r w:rsidRPr="00B528EE" w:rsidR="00F26434">
        <w:rPr>
          <w:spacing w:val="-3"/>
          <w:sz w:val="22"/>
          <w:szCs w:val="22"/>
        </w:rPr>
        <w:t>,</w:t>
      </w:r>
      <w:r w:rsidRPr="00B528EE">
        <w:rPr>
          <w:spacing w:val="-3"/>
          <w:sz w:val="22"/>
          <w:szCs w:val="22"/>
        </w:rPr>
        <w:t xml:space="preserve"> sponsors the broadcast of matter that is of a political or controversial nature,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 </w:t>
      </w:r>
    </w:p>
    <w:p w:rsidR="00C07C62" w:rsidRPr="00B528EE" w:rsidP="007934F6" w14:paraId="1B131626" w14:textId="77777777">
      <w:pPr>
        <w:rPr>
          <w:spacing w:val="-3"/>
          <w:sz w:val="22"/>
          <w:szCs w:val="22"/>
        </w:rPr>
      </w:pPr>
    </w:p>
    <w:p w:rsidR="00C07C62" w:rsidRPr="00B528EE" w:rsidP="007934F6" w14:paraId="464576D6" w14:textId="77777777">
      <w:pPr>
        <w:rPr>
          <w:spacing w:val="-3"/>
          <w:sz w:val="22"/>
          <w:szCs w:val="22"/>
        </w:rPr>
      </w:pPr>
      <w:r w:rsidRPr="00B528EE">
        <w:rPr>
          <w:b/>
          <w:spacing w:val="-3"/>
          <w:sz w:val="22"/>
          <w:szCs w:val="22"/>
        </w:rPr>
        <w:t>47 CFR 73.1300</w:t>
      </w:r>
      <w:r w:rsidRPr="00B528EE">
        <w:rPr>
          <w:spacing w:val="-3"/>
          <w:sz w:val="22"/>
          <w:szCs w:val="22"/>
        </w:rPr>
        <w:t xml:space="preserve"> allows broadcast stations to be operated either attended or unattended.  Regardless of which method is employed, licensees must employ written procedures and have them in the station’s files to ensure compliance with the rules governing the Emergency Alert System.  </w:t>
      </w:r>
    </w:p>
    <w:p w:rsidR="00C07C62" w:rsidRPr="00B528EE" w:rsidP="007934F6" w14:paraId="71ECD112" w14:textId="77777777">
      <w:pPr>
        <w:rPr>
          <w:spacing w:val="-3"/>
          <w:sz w:val="22"/>
          <w:szCs w:val="22"/>
        </w:rPr>
      </w:pPr>
    </w:p>
    <w:p w:rsidR="00C07C62" w:rsidRPr="00B528EE" w:rsidP="007934F6" w14:paraId="251D9DDF" w14:textId="77777777">
      <w:pPr>
        <w:rPr>
          <w:spacing w:val="-3"/>
          <w:sz w:val="22"/>
          <w:szCs w:val="22"/>
        </w:rPr>
      </w:pPr>
      <w:r w:rsidRPr="00B528EE">
        <w:rPr>
          <w:b/>
          <w:spacing w:val="-3"/>
          <w:sz w:val="22"/>
          <w:szCs w:val="22"/>
        </w:rPr>
        <w:t>47 CFR 73.1350</w:t>
      </w:r>
      <w:r w:rsidRPr="00B528EE">
        <w:rPr>
          <w:spacing w:val="-3"/>
          <w:sz w:val="22"/>
          <w:szCs w:val="22"/>
        </w:rPr>
        <w:t xml:space="preserve"> requires licensees of LPFM broadcast stations operating by remote control points at places other than the main studio or transmitter site locations to send written notifications containing the remote locations to the FCC within three days after commencing remote control operations from such points.  </w:t>
      </w:r>
    </w:p>
    <w:p w:rsidR="00C07C62" w:rsidRPr="00B528EE" w:rsidP="007934F6" w14:paraId="7C3E3113" w14:textId="77777777">
      <w:pPr>
        <w:rPr>
          <w:spacing w:val="-3"/>
          <w:sz w:val="22"/>
          <w:szCs w:val="22"/>
        </w:rPr>
      </w:pPr>
    </w:p>
    <w:p w:rsidR="00C07C62" w:rsidRPr="00B528EE" w:rsidP="007934F6" w14:paraId="78EDA786" w14:textId="77777777">
      <w:pPr>
        <w:rPr>
          <w:spacing w:val="-3"/>
          <w:sz w:val="22"/>
          <w:szCs w:val="22"/>
        </w:rPr>
      </w:pPr>
      <w:r w:rsidRPr="00B528EE">
        <w:rPr>
          <w:b/>
          <w:spacing w:val="-3"/>
          <w:sz w:val="22"/>
          <w:szCs w:val="22"/>
        </w:rPr>
        <w:t>47 CFR 73.1610</w:t>
      </w:r>
      <w:r w:rsidRPr="00B528EE">
        <w:rPr>
          <w:spacing w:val="-3"/>
          <w:sz w:val="22"/>
          <w:szCs w:val="22"/>
        </w:rPr>
        <w:t xml:space="preserve"> requires the permittee of a new broadcast station to notify the FCC of its plans to conduct equipment tests for the purpose of making adjustments and measurements as may be necessary to assure compliance with the terms of the construction permit and applicable engineering standards.  </w:t>
      </w:r>
    </w:p>
    <w:p w:rsidR="00C07C62" w:rsidRPr="00B528EE" w:rsidP="007934F6" w14:paraId="5040C92C" w14:textId="77777777">
      <w:pPr>
        <w:rPr>
          <w:spacing w:val="-3"/>
          <w:sz w:val="22"/>
          <w:szCs w:val="22"/>
        </w:rPr>
      </w:pPr>
    </w:p>
    <w:p w:rsidR="00C07C62" w:rsidRPr="00B528EE" w:rsidP="00B16F97" w14:paraId="607282CF" w14:textId="77777777">
      <w:pPr>
        <w:rPr>
          <w:spacing w:val="-3"/>
          <w:sz w:val="22"/>
          <w:szCs w:val="22"/>
        </w:rPr>
      </w:pPr>
      <w:r w:rsidRPr="00B528EE">
        <w:rPr>
          <w:b/>
          <w:spacing w:val="-3"/>
          <w:sz w:val="22"/>
          <w:szCs w:val="22"/>
        </w:rPr>
        <w:t>47 CFR 73.1620</w:t>
      </w:r>
      <w:r w:rsidRPr="00B528EE">
        <w:rPr>
          <w:spacing w:val="-3"/>
          <w:sz w:val="22"/>
          <w:szCs w:val="22"/>
        </w:rPr>
        <w:t xml:space="preserve"> requires that upon completion of construction of a LPFM station, the licensee may begin program tests upon notification to the </w:t>
      </w:r>
      <w:r w:rsidR="009C618C">
        <w:rPr>
          <w:spacing w:val="-3"/>
          <w:sz w:val="22"/>
          <w:szCs w:val="22"/>
        </w:rPr>
        <w:t>FC</w:t>
      </w:r>
      <w:r w:rsidRPr="00B528EE">
        <w:rPr>
          <w:spacing w:val="-3"/>
          <w:sz w:val="22"/>
          <w:szCs w:val="22"/>
        </w:rPr>
        <w:t xml:space="preserve">C. </w:t>
      </w:r>
    </w:p>
    <w:p w:rsidR="00C07C62" w:rsidRPr="00B528EE" w:rsidP="00B16F97" w14:paraId="241139A2" w14:textId="77777777">
      <w:pPr>
        <w:rPr>
          <w:spacing w:val="-3"/>
          <w:sz w:val="22"/>
          <w:szCs w:val="22"/>
        </w:rPr>
      </w:pPr>
      <w:bookmarkStart w:id="7" w:name="SP;4d690000c9482"/>
      <w:bookmarkStart w:id="8" w:name="SP;7952000083371"/>
      <w:bookmarkEnd w:id="7"/>
      <w:bookmarkEnd w:id="8"/>
    </w:p>
    <w:p w:rsidR="00C07C62" w:rsidRPr="00B528EE" w:rsidP="00B16F97" w14:paraId="43DCCE0C" w14:textId="77777777">
      <w:pPr>
        <w:rPr>
          <w:spacing w:val="-3"/>
          <w:sz w:val="22"/>
          <w:szCs w:val="22"/>
        </w:rPr>
      </w:pPr>
      <w:r w:rsidRPr="00B528EE">
        <w:rPr>
          <w:b/>
          <w:spacing w:val="-3"/>
          <w:sz w:val="22"/>
          <w:szCs w:val="22"/>
        </w:rPr>
        <w:t>47 CFR 73.1750</w:t>
      </w:r>
      <w:r w:rsidRPr="00B528EE">
        <w:rPr>
          <w:spacing w:val="-3"/>
          <w:sz w:val="22"/>
          <w:szCs w:val="22"/>
        </w:rPr>
        <w:t xml:space="preserve"> requires a broadcast licensee to notify the FCC of permanent discontinuance of operation and to forward the station license and other instruments of authorization immediately after discontinuance of operation.  </w:t>
      </w:r>
    </w:p>
    <w:p w:rsidR="00C07C62" w:rsidRPr="00B528EE" w:rsidP="00B16F97" w14:paraId="08D9862B" w14:textId="77777777">
      <w:pPr>
        <w:rPr>
          <w:spacing w:val="-3"/>
          <w:sz w:val="22"/>
          <w:szCs w:val="22"/>
        </w:rPr>
      </w:pPr>
    </w:p>
    <w:p w:rsidR="00C07C62" w:rsidRPr="00B528EE" w:rsidP="00B16F97" w14:paraId="1BFCD100" w14:textId="77777777">
      <w:pPr>
        <w:rPr>
          <w:spacing w:val="-3"/>
          <w:sz w:val="22"/>
          <w:szCs w:val="22"/>
        </w:rPr>
      </w:pPr>
      <w:r w:rsidRPr="00B528EE">
        <w:rPr>
          <w:b/>
          <w:spacing w:val="-3"/>
          <w:sz w:val="22"/>
          <w:szCs w:val="22"/>
        </w:rPr>
        <w:t>47 CFR 73.1943</w:t>
      </w:r>
      <w:r w:rsidRPr="00B528EE">
        <w:rPr>
          <w:spacing w:val="-3"/>
          <w:sz w:val="22"/>
          <w:szCs w:val="22"/>
        </w:rPr>
        <w:t xml:space="preserve"> requires licensees of broadcast stations to keep and permit public inspection of a complete record of all requests for broadcast time, together with an appropriate notation showing the disposition made by the licensee of such request.  </w:t>
      </w:r>
    </w:p>
    <w:p w:rsidR="00C07C62" w:rsidRPr="00B528EE" w:rsidP="00B16F97" w14:paraId="4CEABB60" w14:textId="77777777">
      <w:pPr>
        <w:rPr>
          <w:spacing w:val="-3"/>
          <w:sz w:val="22"/>
          <w:szCs w:val="22"/>
        </w:rPr>
      </w:pPr>
    </w:p>
    <w:p w:rsidR="00C07C62" w:rsidRPr="00B528EE" w:rsidP="00B16F97" w14:paraId="64232B90" w14:textId="77777777">
      <w:pPr>
        <w:rPr>
          <w:spacing w:val="-3"/>
          <w:sz w:val="22"/>
          <w:szCs w:val="22"/>
        </w:rPr>
      </w:pPr>
      <w:r w:rsidRPr="00B528EE">
        <w:rPr>
          <w:b/>
          <w:spacing w:val="-3"/>
          <w:sz w:val="22"/>
          <w:szCs w:val="22"/>
        </w:rPr>
        <w:t>47 CFR 73.3525</w:t>
      </w:r>
      <w:r w:rsidRPr="00B528EE">
        <w:rPr>
          <w:spacing w:val="-3"/>
          <w:sz w:val="22"/>
          <w:szCs w:val="22"/>
        </w:rPr>
        <w:t xml:space="preserve"> requires applicants for a construction permit for a broadcast station to obtain approval from the FCC to withdraw, dismiss or amend its application pursuant to a settlement agreement when that application is in conflict with another application pending before the FCC.  This request for approval to withdraw, dismiss or amend an application should contain a copy of the agreement and an affidavit of each party to the agreement.  In the event that the proposed withdrawal of a conflicting application would unduly impede achievement of a fair, efficient and equitable distribution of radio service, the FCC must issue an order providing further opportunity to apply for the facilities specified in the application(s) withdrawn.  </w:t>
      </w:r>
    </w:p>
    <w:p w:rsidR="00C07C62" w:rsidRPr="00B528EE" w:rsidP="00B16F97" w14:paraId="344B1D69" w14:textId="77777777">
      <w:pPr>
        <w:rPr>
          <w:spacing w:val="-3"/>
          <w:sz w:val="22"/>
          <w:szCs w:val="22"/>
        </w:rPr>
      </w:pPr>
    </w:p>
    <w:p w:rsidR="00C07C62" w:rsidRPr="00B528EE" w:rsidP="00B16F97" w14:paraId="40B426C7" w14:textId="77777777">
      <w:pPr>
        <w:rPr>
          <w:spacing w:val="-3"/>
          <w:sz w:val="22"/>
          <w:szCs w:val="22"/>
        </w:rPr>
      </w:pPr>
      <w:r w:rsidRPr="00B528EE">
        <w:rPr>
          <w:b/>
          <w:spacing w:val="-3"/>
          <w:sz w:val="22"/>
          <w:szCs w:val="22"/>
        </w:rPr>
        <w:t>47 CFR 73.3550</w:t>
      </w:r>
      <w:r w:rsidRPr="00B528EE">
        <w:rPr>
          <w:spacing w:val="-3"/>
          <w:sz w:val="22"/>
          <w:szCs w:val="22"/>
        </w:rPr>
        <w:t xml:space="preserve"> requests for call sign assignment for a LPFM station must be made using the </w:t>
      </w:r>
      <w:r w:rsidR="009C618C">
        <w:rPr>
          <w:spacing w:val="-3"/>
          <w:sz w:val="22"/>
          <w:szCs w:val="22"/>
        </w:rPr>
        <w:t>FCC</w:t>
      </w:r>
      <w:r w:rsidRPr="00B528EE">
        <w:rPr>
          <w:spacing w:val="-3"/>
          <w:sz w:val="22"/>
          <w:szCs w:val="22"/>
        </w:rPr>
        <w:t xml:space="preserve">'s electronic call sign system. </w:t>
      </w:r>
    </w:p>
    <w:p w:rsidR="00C07C62" w:rsidRPr="00B528EE" w:rsidP="00B16F97" w14:paraId="5A406DC4" w14:textId="77777777">
      <w:pPr>
        <w:rPr>
          <w:spacing w:val="-3"/>
          <w:sz w:val="22"/>
          <w:szCs w:val="22"/>
        </w:rPr>
      </w:pPr>
    </w:p>
    <w:p w:rsidR="00C07C62" w:rsidRPr="00B528EE" w:rsidP="00B16F97" w14:paraId="74BFF15C" w14:textId="77777777">
      <w:pPr>
        <w:rPr>
          <w:spacing w:val="-3"/>
          <w:sz w:val="22"/>
          <w:szCs w:val="22"/>
        </w:rPr>
      </w:pPr>
      <w:r w:rsidRPr="00B528EE">
        <w:rPr>
          <w:b/>
          <w:spacing w:val="-3"/>
          <w:sz w:val="22"/>
          <w:szCs w:val="22"/>
        </w:rPr>
        <w:t>47 CFR 73.3598</w:t>
      </w:r>
      <w:r w:rsidRPr="00B528EE">
        <w:rPr>
          <w:spacing w:val="-3"/>
          <w:sz w:val="22"/>
          <w:szCs w:val="22"/>
        </w:rPr>
        <w:t xml:space="preserve"> allows an LPFM permittee unable to complete construction within the timeframe specified in the original construction permit may apply for an </w:t>
      </w:r>
      <w:r w:rsidR="009C618C">
        <w:rPr>
          <w:spacing w:val="-3"/>
          <w:sz w:val="22"/>
          <w:szCs w:val="22"/>
        </w:rPr>
        <w:t>18</w:t>
      </w:r>
      <w:r w:rsidRPr="00B528EE">
        <w:rPr>
          <w:spacing w:val="-3"/>
          <w:sz w:val="22"/>
          <w:szCs w:val="22"/>
        </w:rPr>
        <w:t xml:space="preserve"> month extension upon a showing of good cause. </w:t>
      </w:r>
    </w:p>
    <w:p w:rsidR="00C07C62" w:rsidRPr="00B528EE" w:rsidP="00B16F97" w14:paraId="029B4B9D" w14:textId="77777777">
      <w:pPr>
        <w:rPr>
          <w:spacing w:val="-3"/>
          <w:sz w:val="22"/>
          <w:szCs w:val="22"/>
        </w:rPr>
      </w:pPr>
    </w:p>
    <w:p w:rsidR="00C07C62" w:rsidP="00B16F97" w14:paraId="1AB07CCF" w14:textId="77777777">
      <w:pPr>
        <w:rPr>
          <w:spacing w:val="-3"/>
          <w:sz w:val="22"/>
          <w:szCs w:val="22"/>
        </w:rPr>
      </w:pPr>
      <w:r w:rsidRPr="00B528EE">
        <w:rPr>
          <w:b/>
          <w:spacing w:val="-3"/>
          <w:sz w:val="22"/>
          <w:szCs w:val="22"/>
        </w:rPr>
        <w:t>47 CFR 11.61(ii)</w:t>
      </w:r>
      <w:r w:rsidRPr="00B528EE">
        <w:rPr>
          <w:spacing w:val="-3"/>
          <w:sz w:val="22"/>
          <w:szCs w:val="22"/>
        </w:rPr>
        <w:t xml:space="preserve"> states </w:t>
      </w:r>
      <w:r w:rsidRPr="00B528EE" w:rsidR="00B22486">
        <w:rPr>
          <w:spacing w:val="-3"/>
          <w:sz w:val="22"/>
          <w:szCs w:val="22"/>
        </w:rPr>
        <w:t>Direct Broadcast Satellite (</w:t>
      </w:r>
      <w:r w:rsidRPr="00B528EE">
        <w:rPr>
          <w:spacing w:val="-3"/>
          <w:sz w:val="22"/>
          <w:szCs w:val="22"/>
        </w:rPr>
        <w:t>DBS</w:t>
      </w:r>
      <w:r w:rsidRPr="00B528EE" w:rsidR="00B22486">
        <w:rPr>
          <w:spacing w:val="-3"/>
          <w:sz w:val="22"/>
          <w:szCs w:val="22"/>
        </w:rPr>
        <w:t>)</w:t>
      </w:r>
      <w:r w:rsidRPr="00B528EE">
        <w:rPr>
          <w:spacing w:val="-3"/>
          <w:sz w:val="22"/>
          <w:szCs w:val="22"/>
        </w:rPr>
        <w:t xml:space="preserve"> providers, analog and digital class D non-commercial educational FM stations, and analog and digital LPTV stations are required to log the receipt of emergency alert system transmissions.</w:t>
      </w:r>
    </w:p>
    <w:p w:rsidR="005A4D61" w:rsidP="00B16F97" w14:paraId="7FB0E292" w14:textId="77777777">
      <w:pPr>
        <w:rPr>
          <w:spacing w:val="-3"/>
          <w:sz w:val="22"/>
          <w:szCs w:val="22"/>
        </w:rPr>
      </w:pPr>
    </w:p>
    <w:p w:rsidR="00060C97" w:rsidP="00060C97" w14:paraId="63BA93A6" w14:textId="5741CA08">
      <w:pPr>
        <w:ind w:firstLine="720"/>
        <w:rPr>
          <w:spacing w:val="-3"/>
          <w:sz w:val="22"/>
          <w:szCs w:val="22"/>
        </w:rPr>
      </w:pPr>
      <w:r w:rsidRPr="00F81699">
        <w:rPr>
          <w:spacing w:val="-3"/>
          <w:sz w:val="22"/>
          <w:szCs w:val="22"/>
        </w:rPr>
        <w:t xml:space="preserve">To determine whether this information collection would affect individuals or households and thus have privacy impacts, the Commission conducted a Privacy Threshold Analysis (PTA).  The PTA determined that the Media Bureau will collect information about individuals, </w:t>
      </w:r>
      <w:r w:rsidRPr="00F81699">
        <w:rPr>
          <w:i/>
          <w:iCs/>
          <w:spacing w:val="-3"/>
          <w:sz w:val="22"/>
          <w:szCs w:val="22"/>
        </w:rPr>
        <w:t>i.e.</w:t>
      </w:r>
      <w:r w:rsidRPr="00F81699">
        <w:rPr>
          <w:spacing w:val="-3"/>
          <w:sz w:val="22"/>
          <w:szCs w:val="22"/>
        </w:rPr>
        <w:t xml:space="preserve">, personally identifiable information or PII from individuals or households, who submit complaints of interference caused by low power FM stations. This information will include an individual’s home address, home telephone number, and/or other PII.  However, because of the </w:t>
      </w:r>
      <w:r w:rsidRPr="00F81699">
        <w:rPr>
          <w:color w:val="000000"/>
          <w:sz w:val="22"/>
          <w:szCs w:val="22"/>
        </w:rPr>
        <w:t xml:space="preserve">way that the information will be structured, the information in the interference complaints, </w:t>
      </w:r>
      <w:r w:rsidRPr="00F81699">
        <w:rPr>
          <w:i/>
          <w:iCs/>
          <w:color w:val="000000"/>
          <w:sz w:val="22"/>
          <w:szCs w:val="22"/>
        </w:rPr>
        <w:t>i.e.</w:t>
      </w:r>
      <w:r w:rsidRPr="00F81699">
        <w:rPr>
          <w:color w:val="000000"/>
          <w:sz w:val="22"/>
          <w:szCs w:val="22"/>
        </w:rPr>
        <w:t>, PII from individuals who submit these complaints, will be stored under the call signs and/or the facility ID numbers of the LPFM stations that are the subjects of the complaints.</w:t>
      </w:r>
      <w:r w:rsidR="005A75A6">
        <w:rPr>
          <w:color w:val="000000"/>
          <w:sz w:val="22"/>
          <w:szCs w:val="22"/>
        </w:rPr>
        <w:t xml:space="preserve"> </w:t>
      </w:r>
      <w:r w:rsidRPr="00F81699">
        <w:rPr>
          <w:color w:val="000000"/>
          <w:sz w:val="22"/>
          <w:szCs w:val="22"/>
        </w:rPr>
        <w:t>There will not be the ability to retrieve information by an individual’s name or other personal identifier. Therefore, the PII collected here is not being handled in a manner that meets the Privacy Act’s definition of a “system of records.”</w:t>
      </w:r>
      <w:r>
        <w:rPr>
          <w:rStyle w:val="FootnoteReference"/>
          <w:color w:val="000000"/>
          <w:sz w:val="22"/>
          <w:szCs w:val="22"/>
        </w:rPr>
        <w:footnoteReference w:id="14"/>
      </w:r>
      <w:r w:rsidRPr="00F81699">
        <w:rPr>
          <w:color w:val="000000"/>
          <w:sz w:val="22"/>
          <w:szCs w:val="22"/>
        </w:rPr>
        <w:t> T</w:t>
      </w:r>
      <w:r w:rsidRPr="00F81699">
        <w:rPr>
          <w:spacing w:val="-3"/>
          <w:sz w:val="22"/>
          <w:szCs w:val="22"/>
        </w:rPr>
        <w:t>here will be no</w:t>
      </w:r>
      <w:r w:rsidR="00930A54">
        <w:rPr>
          <w:spacing w:val="-3"/>
          <w:sz w:val="22"/>
          <w:szCs w:val="22"/>
        </w:rPr>
        <w:t xml:space="preserve"> impacts under the Privacy Act.</w:t>
      </w:r>
    </w:p>
    <w:p w:rsidR="00060C97" w:rsidP="00060C97" w14:paraId="11F07830" w14:textId="513F96C3">
      <w:pPr>
        <w:ind w:firstLine="720"/>
        <w:rPr>
          <w:spacing w:val="-3"/>
          <w:sz w:val="22"/>
          <w:szCs w:val="22"/>
        </w:rPr>
      </w:pPr>
    </w:p>
    <w:p w:rsidR="00060C97" w:rsidP="00B16F97" w14:paraId="64B7921F" w14:textId="6912186C">
      <w:pPr>
        <w:rPr>
          <w:spacing w:val="-3"/>
          <w:sz w:val="22"/>
          <w:szCs w:val="22"/>
        </w:rPr>
      </w:pPr>
      <w:r>
        <w:rPr>
          <w:spacing w:val="-3"/>
          <w:sz w:val="22"/>
          <w:szCs w:val="22"/>
        </w:rPr>
        <w:t>The Commission is requesting a three year extension for this information collection from the Office of Management and Budget.</w:t>
      </w:r>
    </w:p>
    <w:p w:rsidR="00060C97" w:rsidP="00B16F97" w14:paraId="17BA9C5D" w14:textId="77777777">
      <w:pPr>
        <w:rPr>
          <w:spacing w:val="-3"/>
          <w:sz w:val="22"/>
          <w:szCs w:val="22"/>
        </w:rPr>
      </w:pPr>
    </w:p>
    <w:p w:rsidR="00930A54" w:rsidP="00B16F97" w14:paraId="07413852" w14:textId="716DAE0A">
      <w:pPr>
        <w:rPr>
          <w:spacing w:val="-3"/>
          <w:sz w:val="22"/>
          <w:szCs w:val="22"/>
        </w:rPr>
      </w:pPr>
      <w:r>
        <w:rPr>
          <w:spacing w:val="-3"/>
          <w:sz w:val="22"/>
          <w:szCs w:val="22"/>
        </w:rPr>
        <w:t>The statutory authority for this collection is contained in Sections 154(</w:t>
      </w:r>
      <w:r>
        <w:rPr>
          <w:spacing w:val="-3"/>
          <w:sz w:val="22"/>
          <w:szCs w:val="22"/>
        </w:rPr>
        <w:t>i</w:t>
      </w:r>
      <w:r>
        <w:rPr>
          <w:spacing w:val="-3"/>
          <w:sz w:val="22"/>
          <w:szCs w:val="22"/>
        </w:rPr>
        <w:t>), 303, 303, 308 and 325(a) of the Communications Act of 1934, as amended.</w:t>
      </w:r>
    </w:p>
    <w:p w:rsidR="00930A54" w:rsidP="00B16F97" w14:paraId="6C1A556A" w14:textId="77777777">
      <w:pPr>
        <w:rPr>
          <w:spacing w:val="-3"/>
          <w:sz w:val="22"/>
          <w:szCs w:val="22"/>
        </w:rPr>
      </w:pPr>
    </w:p>
    <w:p w:rsidR="00C07C62" w:rsidRPr="00B528EE" w:rsidP="00B16F97" w14:paraId="494BA31E" w14:textId="77777777">
      <w:pPr>
        <w:rPr>
          <w:spacing w:val="-3"/>
          <w:sz w:val="22"/>
          <w:szCs w:val="22"/>
        </w:rPr>
      </w:pPr>
      <w:r w:rsidRPr="00B528EE">
        <w:rPr>
          <w:spacing w:val="-3"/>
          <w:sz w:val="22"/>
          <w:szCs w:val="22"/>
        </w:rPr>
        <w:t xml:space="preserve">2.  </w:t>
      </w:r>
      <w:r w:rsidRPr="00B528EE">
        <w:rPr>
          <w:b/>
          <w:spacing w:val="-3"/>
          <w:sz w:val="22"/>
          <w:szCs w:val="22"/>
        </w:rPr>
        <w:t>Agency Use of Information</w:t>
      </w:r>
      <w:r w:rsidRPr="00B528EE">
        <w:rPr>
          <w:spacing w:val="-3"/>
          <w:sz w:val="22"/>
          <w:szCs w:val="22"/>
        </w:rPr>
        <w:t xml:space="preserve">:  FCC staff </w:t>
      </w:r>
      <w:r w:rsidRPr="00B528EE" w:rsidR="002E5180">
        <w:rPr>
          <w:spacing w:val="-3"/>
          <w:sz w:val="22"/>
          <w:szCs w:val="22"/>
        </w:rPr>
        <w:t xml:space="preserve">uses the data </w:t>
      </w:r>
      <w:r w:rsidRPr="00B528EE">
        <w:rPr>
          <w:spacing w:val="-3"/>
          <w:sz w:val="22"/>
          <w:szCs w:val="22"/>
        </w:rPr>
        <w:t>to determine whether an applicant meets basic statutory and regulatory requirements to become a Commission licensee and to ensure that the public interest would be served by grant of the application.  In addition, the information contained within this information collection ensures that (1) the integrity of the FM spectrum is not compromised, (2) unacceptable interference will not be caused to existing radio services, (3) statutory requirements are met, and (4) the stations operate in the public interest.</w:t>
      </w:r>
    </w:p>
    <w:p w:rsidR="00C07C62" w:rsidRPr="00B528EE" w:rsidP="00B16F97" w14:paraId="75BD870B" w14:textId="77777777">
      <w:pPr>
        <w:rPr>
          <w:spacing w:val="-3"/>
          <w:sz w:val="22"/>
          <w:szCs w:val="22"/>
        </w:rPr>
      </w:pPr>
    </w:p>
    <w:p w:rsidR="00C07C62" w:rsidRPr="00B528EE" w:rsidP="00B16F97" w14:paraId="02F2A656" w14:textId="77777777">
      <w:pPr>
        <w:suppressAutoHyphens/>
        <w:rPr>
          <w:spacing w:val="-3"/>
          <w:sz w:val="22"/>
          <w:szCs w:val="22"/>
        </w:rPr>
      </w:pPr>
      <w:r w:rsidRPr="00B528EE">
        <w:rPr>
          <w:spacing w:val="-3"/>
          <w:sz w:val="22"/>
          <w:szCs w:val="22"/>
        </w:rPr>
        <w:t xml:space="preserve">3.  </w:t>
      </w:r>
      <w:r w:rsidRPr="00B528EE">
        <w:rPr>
          <w:b/>
          <w:spacing w:val="-3"/>
          <w:sz w:val="22"/>
          <w:szCs w:val="22"/>
        </w:rPr>
        <w:t>Consideration Given to Information Technology</w:t>
      </w:r>
      <w:r w:rsidRPr="00B528EE">
        <w:rPr>
          <w:spacing w:val="-3"/>
          <w:sz w:val="22"/>
          <w:szCs w:val="22"/>
        </w:rPr>
        <w:t xml:space="preserve">:  The Commission </w:t>
      </w:r>
      <w:r w:rsidRPr="00B528EE" w:rsidR="00376113">
        <w:rPr>
          <w:spacing w:val="-3"/>
          <w:sz w:val="22"/>
          <w:szCs w:val="22"/>
        </w:rPr>
        <w:t xml:space="preserve">requires applicants to file </w:t>
      </w:r>
      <w:r w:rsidRPr="00B528EE" w:rsidR="009410D9">
        <w:rPr>
          <w:spacing w:val="-3"/>
          <w:sz w:val="22"/>
          <w:szCs w:val="22"/>
        </w:rPr>
        <w:t xml:space="preserve">LMS </w:t>
      </w:r>
      <w:r w:rsidR="00EE3C43">
        <w:rPr>
          <w:spacing w:val="-3"/>
          <w:sz w:val="22"/>
          <w:szCs w:val="22"/>
        </w:rPr>
        <w:t>Schedule 318</w:t>
      </w:r>
      <w:r w:rsidR="005B25C2">
        <w:rPr>
          <w:spacing w:val="-3"/>
          <w:sz w:val="22"/>
          <w:szCs w:val="22"/>
        </w:rPr>
        <w:t xml:space="preserve"> </w:t>
      </w:r>
      <w:r w:rsidRPr="00B528EE" w:rsidR="00376113">
        <w:rPr>
          <w:spacing w:val="-3"/>
          <w:sz w:val="22"/>
          <w:szCs w:val="22"/>
        </w:rPr>
        <w:t>electronically.</w:t>
      </w:r>
    </w:p>
    <w:p w:rsidR="00AA2695" w:rsidP="00522252" w14:paraId="31E3F61A" w14:textId="77777777">
      <w:pPr>
        <w:suppressAutoHyphens/>
        <w:jc w:val="both"/>
        <w:rPr>
          <w:spacing w:val="-3"/>
          <w:sz w:val="22"/>
          <w:szCs w:val="22"/>
        </w:rPr>
      </w:pPr>
    </w:p>
    <w:p w:rsidR="00C07C62" w:rsidRPr="00B528EE" w:rsidP="00522252" w14:paraId="11651A84" w14:textId="77777777">
      <w:pPr>
        <w:suppressAutoHyphens/>
        <w:jc w:val="both"/>
        <w:rPr>
          <w:spacing w:val="-3"/>
          <w:sz w:val="22"/>
          <w:szCs w:val="22"/>
        </w:rPr>
      </w:pPr>
      <w:r w:rsidRPr="00B528EE">
        <w:rPr>
          <w:spacing w:val="-3"/>
          <w:sz w:val="22"/>
          <w:szCs w:val="22"/>
        </w:rPr>
        <w:t xml:space="preserve"> 4.  </w:t>
      </w:r>
      <w:r w:rsidRPr="00B528EE">
        <w:rPr>
          <w:b/>
          <w:spacing w:val="-3"/>
          <w:sz w:val="22"/>
          <w:szCs w:val="22"/>
        </w:rPr>
        <w:t>Effort to Identify Duplication and Use Similar Information</w:t>
      </w:r>
      <w:r w:rsidRPr="00B528EE">
        <w:rPr>
          <w:spacing w:val="-3"/>
          <w:sz w:val="22"/>
          <w:szCs w:val="22"/>
        </w:rPr>
        <w:t>:  This agency does not impose a similar collection on the respondents.  There is no similar data available.</w:t>
      </w:r>
    </w:p>
    <w:p w:rsidR="00C07C62" w:rsidRPr="00B528EE" w:rsidP="00C07C62" w14:paraId="6EB706FA" w14:textId="77777777">
      <w:pPr>
        <w:rPr>
          <w:spacing w:val="-3"/>
          <w:sz w:val="22"/>
          <w:szCs w:val="22"/>
        </w:rPr>
      </w:pPr>
    </w:p>
    <w:p w:rsidR="00C07C62" w:rsidRPr="00B528EE" w:rsidP="00522252" w14:paraId="7E939A87" w14:textId="77777777">
      <w:pPr>
        <w:jc w:val="both"/>
        <w:rPr>
          <w:spacing w:val="-3"/>
          <w:sz w:val="22"/>
          <w:szCs w:val="22"/>
        </w:rPr>
      </w:pPr>
      <w:r w:rsidRPr="00B528EE">
        <w:rPr>
          <w:spacing w:val="-3"/>
          <w:sz w:val="22"/>
          <w:szCs w:val="22"/>
        </w:rPr>
        <w:t xml:space="preserve">5.  </w:t>
      </w:r>
      <w:r w:rsidRPr="00B528EE">
        <w:rPr>
          <w:b/>
          <w:spacing w:val="-3"/>
          <w:sz w:val="22"/>
          <w:szCs w:val="22"/>
        </w:rPr>
        <w:t>Effort to Reduce Small Business Burden</w:t>
      </w:r>
      <w:r w:rsidRPr="00B528EE">
        <w:rPr>
          <w:spacing w:val="-3"/>
          <w:sz w:val="22"/>
          <w:szCs w:val="22"/>
        </w:rPr>
        <w:t>:  This information collection will not have a significant economic impact on a substantial number of small entities/businesses.</w:t>
      </w:r>
    </w:p>
    <w:p w:rsidR="00C07C62" w:rsidRPr="00B528EE" w:rsidP="00C92E46" w14:paraId="7F9C3B07" w14:textId="77777777">
      <w:pPr>
        <w:rPr>
          <w:spacing w:val="-3"/>
          <w:sz w:val="22"/>
          <w:szCs w:val="22"/>
        </w:rPr>
      </w:pPr>
    </w:p>
    <w:p w:rsidR="00C07C62" w:rsidRPr="00B528EE" w:rsidP="00C92E46" w14:paraId="279183D7" w14:textId="77777777">
      <w:pPr>
        <w:suppressAutoHyphens/>
        <w:rPr>
          <w:spacing w:val="-3"/>
          <w:sz w:val="22"/>
          <w:szCs w:val="22"/>
        </w:rPr>
      </w:pPr>
      <w:r w:rsidRPr="00B528EE">
        <w:rPr>
          <w:spacing w:val="-3"/>
          <w:sz w:val="22"/>
          <w:szCs w:val="22"/>
        </w:rPr>
        <w:t xml:space="preserve">6.  </w:t>
      </w:r>
      <w:r w:rsidRPr="00B528EE">
        <w:rPr>
          <w:b/>
          <w:spacing w:val="-3"/>
          <w:sz w:val="22"/>
          <w:szCs w:val="22"/>
        </w:rPr>
        <w:t>Less Frequent Data Collection</w:t>
      </w:r>
      <w:r w:rsidRPr="00B528EE">
        <w:rPr>
          <w:spacing w:val="-3"/>
          <w:sz w:val="22"/>
          <w:szCs w:val="22"/>
        </w:rPr>
        <w:t xml:space="preserve">:  The frequency for filing the </w:t>
      </w:r>
      <w:r w:rsidRPr="00B528EE" w:rsidR="009410D9">
        <w:rPr>
          <w:spacing w:val="-3"/>
          <w:sz w:val="22"/>
          <w:szCs w:val="22"/>
        </w:rPr>
        <w:t>LMS</w:t>
      </w:r>
      <w:r w:rsidR="00EE3C43">
        <w:rPr>
          <w:spacing w:val="-3"/>
          <w:sz w:val="22"/>
          <w:szCs w:val="22"/>
        </w:rPr>
        <w:t xml:space="preserve"> Schedule 318</w:t>
      </w:r>
      <w:r w:rsidRPr="00B528EE">
        <w:rPr>
          <w:spacing w:val="-3"/>
          <w:sz w:val="22"/>
          <w:szCs w:val="22"/>
        </w:rPr>
        <w:t xml:space="preserve"> for new stations and for major changes in existing stations will be limited to the </w:t>
      </w:r>
      <w:r w:rsidR="005A75A6">
        <w:rPr>
          <w:spacing w:val="-3"/>
          <w:sz w:val="22"/>
          <w:szCs w:val="22"/>
        </w:rPr>
        <w:t>FCC</w:t>
      </w:r>
      <w:r w:rsidRPr="00B528EE">
        <w:rPr>
          <w:spacing w:val="-3"/>
          <w:sz w:val="22"/>
          <w:szCs w:val="22"/>
        </w:rPr>
        <w:t xml:space="preserve"> opening</w:t>
      </w:r>
      <w:r w:rsidR="005A75A6">
        <w:rPr>
          <w:spacing w:val="-3"/>
          <w:sz w:val="22"/>
          <w:szCs w:val="22"/>
        </w:rPr>
        <w:t xml:space="preserve"> a</w:t>
      </w:r>
      <w:r w:rsidRPr="00B528EE">
        <w:rPr>
          <w:spacing w:val="-3"/>
          <w:sz w:val="22"/>
          <w:szCs w:val="22"/>
        </w:rPr>
        <w:t xml:space="preserve"> filing window.  For the filing of minor changes to existing facilities, the frequency of filing is determined by the respondents.   However, no new or modified LPFM facility construction permits can be obtained without using </w:t>
      </w:r>
      <w:r w:rsidR="005A75A6">
        <w:rPr>
          <w:spacing w:val="-3"/>
          <w:sz w:val="22"/>
          <w:szCs w:val="22"/>
        </w:rPr>
        <w:t xml:space="preserve">the </w:t>
      </w:r>
      <w:r w:rsidRPr="00B528EE" w:rsidR="009410D9">
        <w:rPr>
          <w:spacing w:val="-3"/>
          <w:sz w:val="22"/>
          <w:szCs w:val="22"/>
        </w:rPr>
        <w:t xml:space="preserve">LMS </w:t>
      </w:r>
      <w:r w:rsidR="00EE3C43">
        <w:rPr>
          <w:spacing w:val="-3"/>
          <w:sz w:val="22"/>
          <w:szCs w:val="22"/>
        </w:rPr>
        <w:t>Schedule 318</w:t>
      </w:r>
      <w:r w:rsidRPr="00B528EE">
        <w:rPr>
          <w:spacing w:val="-3"/>
          <w:sz w:val="22"/>
          <w:szCs w:val="22"/>
        </w:rPr>
        <w:t xml:space="preserve">.  If this information is not collected, the </w:t>
      </w:r>
      <w:r w:rsidR="005A75A6">
        <w:rPr>
          <w:spacing w:val="-3"/>
          <w:sz w:val="22"/>
          <w:szCs w:val="22"/>
        </w:rPr>
        <w:t>FCC</w:t>
      </w:r>
      <w:r w:rsidRPr="00B528EE">
        <w:rPr>
          <w:spacing w:val="-3"/>
          <w:sz w:val="22"/>
          <w:szCs w:val="22"/>
        </w:rPr>
        <w:t xml:space="preserve"> cannot authorize new LPFM station construction permits.  </w:t>
      </w:r>
    </w:p>
    <w:p w:rsidR="00C07C62" w:rsidRPr="00B528EE" w:rsidP="00C92E46" w14:paraId="147B922B" w14:textId="77777777">
      <w:pPr>
        <w:suppressAutoHyphens/>
        <w:rPr>
          <w:spacing w:val="-3"/>
          <w:sz w:val="22"/>
          <w:szCs w:val="22"/>
        </w:rPr>
      </w:pPr>
    </w:p>
    <w:p w:rsidR="00C07C62" w:rsidRPr="00B528EE" w:rsidP="00C92E46" w14:paraId="63A344E6" w14:textId="77777777">
      <w:pPr>
        <w:suppressAutoHyphens/>
        <w:rPr>
          <w:spacing w:val="-3"/>
          <w:sz w:val="22"/>
          <w:szCs w:val="22"/>
        </w:rPr>
      </w:pPr>
      <w:r w:rsidRPr="00B528EE">
        <w:rPr>
          <w:spacing w:val="-3"/>
          <w:sz w:val="22"/>
          <w:szCs w:val="22"/>
        </w:rPr>
        <w:t xml:space="preserve">With regard to the recordkeeping and notification requirements, the frequency for these collections of information is determined by respondents, as necessary. </w:t>
      </w:r>
    </w:p>
    <w:p w:rsidR="00C07C62" w:rsidRPr="00B528EE" w:rsidP="00C92E46" w14:paraId="09971E20" w14:textId="77777777">
      <w:pPr>
        <w:rPr>
          <w:spacing w:val="-3"/>
          <w:sz w:val="22"/>
          <w:szCs w:val="22"/>
        </w:rPr>
      </w:pPr>
    </w:p>
    <w:p w:rsidR="00C07C62" w:rsidRPr="00B528EE" w:rsidP="00C92E46" w14:paraId="056B5AB1" w14:textId="77777777">
      <w:pPr>
        <w:rPr>
          <w:spacing w:val="-3"/>
          <w:sz w:val="22"/>
          <w:szCs w:val="22"/>
        </w:rPr>
      </w:pPr>
      <w:r w:rsidRPr="00B528EE">
        <w:rPr>
          <w:spacing w:val="-3"/>
          <w:sz w:val="22"/>
          <w:szCs w:val="22"/>
        </w:rPr>
        <w:t xml:space="preserve">7.  </w:t>
      </w:r>
      <w:r w:rsidRPr="00B528EE">
        <w:rPr>
          <w:b/>
          <w:spacing w:val="-3"/>
          <w:sz w:val="22"/>
          <w:szCs w:val="22"/>
        </w:rPr>
        <w:t>Information Collection Circumstances</w:t>
      </w:r>
      <w:r w:rsidRPr="00B528EE">
        <w:rPr>
          <w:spacing w:val="-3"/>
          <w:sz w:val="22"/>
          <w:szCs w:val="22"/>
        </w:rPr>
        <w:t xml:space="preserve">:  This collection of information is consistent with the guidelines in 5 CFR </w:t>
      </w:r>
      <w:r w:rsidR="004D1414">
        <w:t xml:space="preserve">§ </w:t>
      </w:r>
      <w:r w:rsidRPr="00B528EE">
        <w:rPr>
          <w:spacing w:val="-3"/>
          <w:sz w:val="22"/>
          <w:szCs w:val="22"/>
        </w:rPr>
        <w:t>1320.5(d)(2).</w:t>
      </w:r>
    </w:p>
    <w:p w:rsidR="00C07C62" w:rsidRPr="00B528EE" w:rsidP="00C92E46" w14:paraId="0282DA19" w14:textId="77777777">
      <w:pPr>
        <w:rPr>
          <w:spacing w:val="-3"/>
          <w:sz w:val="22"/>
          <w:szCs w:val="22"/>
        </w:rPr>
      </w:pPr>
    </w:p>
    <w:p w:rsidR="00C07C62" w:rsidP="00060C97" w14:paraId="410F991C" w14:textId="50E4248A">
      <w:pPr>
        <w:tabs>
          <w:tab w:val="left" w:pos="0"/>
          <w:tab w:val="left" w:pos="360"/>
          <w:tab w:val="left" w:pos="720"/>
        </w:tabs>
        <w:suppressAutoHyphens/>
        <w:rPr>
          <w:spacing w:val="-3"/>
          <w:sz w:val="22"/>
          <w:szCs w:val="22"/>
        </w:rPr>
      </w:pPr>
      <w:r w:rsidRPr="00B528EE">
        <w:rPr>
          <w:spacing w:val="-3"/>
          <w:sz w:val="22"/>
          <w:szCs w:val="22"/>
        </w:rPr>
        <w:t xml:space="preserve">8.  </w:t>
      </w:r>
      <w:r w:rsidRPr="00B528EE">
        <w:rPr>
          <w:b/>
          <w:spacing w:val="-3"/>
          <w:sz w:val="22"/>
          <w:szCs w:val="22"/>
        </w:rPr>
        <w:t>C</w:t>
      </w:r>
      <w:r w:rsidR="00F21AC0">
        <w:rPr>
          <w:b/>
          <w:spacing w:val="-3"/>
          <w:sz w:val="22"/>
          <w:szCs w:val="22"/>
        </w:rPr>
        <w:t>omments Received from the Public</w:t>
      </w:r>
      <w:r w:rsidRPr="00930A54">
        <w:rPr>
          <w:spacing w:val="-3"/>
          <w:sz w:val="22"/>
          <w:szCs w:val="22"/>
        </w:rPr>
        <w:t xml:space="preserve">:  The Commission </w:t>
      </w:r>
      <w:r w:rsidRPr="00930A54" w:rsidR="0084155D">
        <w:rPr>
          <w:spacing w:val="-3"/>
          <w:sz w:val="22"/>
          <w:szCs w:val="22"/>
        </w:rPr>
        <w:t>last</w:t>
      </w:r>
      <w:r w:rsidRPr="00930A54">
        <w:rPr>
          <w:spacing w:val="-3"/>
          <w:sz w:val="22"/>
          <w:szCs w:val="22"/>
        </w:rPr>
        <w:t xml:space="preserve"> published a Federal Register Notice </w:t>
      </w:r>
      <w:r w:rsidRPr="002F6146">
        <w:rPr>
          <w:spacing w:val="-3"/>
          <w:sz w:val="22"/>
          <w:szCs w:val="22"/>
        </w:rPr>
        <w:t>seeking public comment on the information collection requirements contained in this supporting statement</w:t>
      </w:r>
      <w:r w:rsidRPr="002F6146" w:rsidR="00194A51">
        <w:rPr>
          <w:spacing w:val="-3"/>
          <w:sz w:val="22"/>
          <w:szCs w:val="22"/>
        </w:rPr>
        <w:t xml:space="preserve"> (</w:t>
      </w:r>
      <w:r w:rsidRPr="002F6146" w:rsidR="002F6146">
        <w:rPr>
          <w:spacing w:val="-3"/>
          <w:sz w:val="22"/>
          <w:szCs w:val="22"/>
        </w:rPr>
        <w:t>8</w:t>
      </w:r>
      <w:r w:rsidR="00060C97">
        <w:rPr>
          <w:spacing w:val="-3"/>
          <w:sz w:val="22"/>
          <w:szCs w:val="22"/>
        </w:rPr>
        <w:t>8</w:t>
      </w:r>
      <w:r w:rsidRPr="002F6146" w:rsidR="00194A51">
        <w:rPr>
          <w:spacing w:val="-3"/>
          <w:sz w:val="22"/>
          <w:szCs w:val="22"/>
        </w:rPr>
        <w:t xml:space="preserve"> FR</w:t>
      </w:r>
      <w:r w:rsidR="009B135E">
        <w:rPr>
          <w:spacing w:val="-3"/>
          <w:sz w:val="22"/>
          <w:szCs w:val="22"/>
        </w:rPr>
        <w:t xml:space="preserve"> 27889</w:t>
      </w:r>
      <w:r w:rsidRPr="002F6146" w:rsidR="00194A51">
        <w:rPr>
          <w:spacing w:val="-3"/>
          <w:sz w:val="22"/>
          <w:szCs w:val="22"/>
        </w:rPr>
        <w:t xml:space="preserve">) on </w:t>
      </w:r>
      <w:r w:rsidR="009B135E">
        <w:rPr>
          <w:spacing w:val="-3"/>
          <w:sz w:val="22"/>
          <w:szCs w:val="22"/>
        </w:rPr>
        <w:t>May 3</w:t>
      </w:r>
      <w:r w:rsidRPr="002F6146" w:rsidR="00194A51">
        <w:rPr>
          <w:spacing w:val="-3"/>
          <w:sz w:val="22"/>
          <w:szCs w:val="22"/>
        </w:rPr>
        <w:t>, 20</w:t>
      </w:r>
      <w:r w:rsidRPr="002F6146" w:rsidR="00EE3C43">
        <w:rPr>
          <w:spacing w:val="-3"/>
          <w:sz w:val="22"/>
          <w:szCs w:val="22"/>
        </w:rPr>
        <w:t>2</w:t>
      </w:r>
      <w:r w:rsidR="00060C97">
        <w:rPr>
          <w:spacing w:val="-3"/>
          <w:sz w:val="22"/>
          <w:szCs w:val="22"/>
        </w:rPr>
        <w:t>3</w:t>
      </w:r>
      <w:r w:rsidRPr="002F6146">
        <w:rPr>
          <w:spacing w:val="-3"/>
          <w:sz w:val="22"/>
          <w:szCs w:val="22"/>
        </w:rPr>
        <w:t>.</w:t>
      </w:r>
      <w:r w:rsidRPr="00930A54" w:rsidR="002E5180">
        <w:rPr>
          <w:spacing w:val="-3"/>
          <w:sz w:val="22"/>
          <w:szCs w:val="22"/>
        </w:rPr>
        <w:t xml:space="preserve"> </w:t>
      </w:r>
      <w:r w:rsidR="000267D5">
        <w:rPr>
          <w:spacing w:val="-3"/>
          <w:sz w:val="22"/>
          <w:szCs w:val="22"/>
        </w:rPr>
        <w:t xml:space="preserve"> </w:t>
      </w:r>
    </w:p>
    <w:p w:rsidR="00060C97" w:rsidRPr="00B528EE" w:rsidP="00060C97" w14:paraId="0EC97EA6" w14:textId="77777777">
      <w:pPr>
        <w:tabs>
          <w:tab w:val="left" w:pos="0"/>
          <w:tab w:val="left" w:pos="360"/>
          <w:tab w:val="left" w:pos="720"/>
        </w:tabs>
        <w:suppressAutoHyphens/>
        <w:rPr>
          <w:spacing w:val="-3"/>
          <w:sz w:val="22"/>
          <w:szCs w:val="22"/>
        </w:rPr>
      </w:pPr>
    </w:p>
    <w:p w:rsidR="00C07C62" w:rsidRPr="00B528EE" w:rsidP="00C92E46" w14:paraId="0E7198C6" w14:textId="77777777">
      <w:pPr>
        <w:tabs>
          <w:tab w:val="left" w:pos="0"/>
          <w:tab w:val="left" w:pos="360"/>
          <w:tab w:val="left" w:pos="720"/>
        </w:tabs>
        <w:suppressAutoHyphens/>
        <w:rPr>
          <w:spacing w:val="-3"/>
          <w:sz w:val="22"/>
          <w:szCs w:val="22"/>
        </w:rPr>
      </w:pPr>
      <w:r w:rsidRPr="00B528EE">
        <w:rPr>
          <w:spacing w:val="-3"/>
          <w:sz w:val="22"/>
          <w:szCs w:val="22"/>
        </w:rPr>
        <w:t xml:space="preserve">9.  </w:t>
      </w:r>
      <w:r w:rsidRPr="00B528EE">
        <w:rPr>
          <w:b/>
          <w:spacing w:val="-3"/>
          <w:sz w:val="22"/>
          <w:szCs w:val="22"/>
        </w:rPr>
        <w:t>Payment or Gift</w:t>
      </w:r>
      <w:r w:rsidRPr="00B528EE">
        <w:rPr>
          <w:spacing w:val="-3"/>
          <w:sz w:val="22"/>
          <w:szCs w:val="22"/>
        </w:rPr>
        <w:t>:  No payment or gift was provided to respondents.</w:t>
      </w:r>
    </w:p>
    <w:p w:rsidR="00C07C62" w:rsidRPr="00B528EE" w:rsidP="00C92E46" w14:paraId="36FE8FFD" w14:textId="77777777">
      <w:pPr>
        <w:rPr>
          <w:spacing w:val="-3"/>
          <w:sz w:val="22"/>
          <w:szCs w:val="22"/>
        </w:rPr>
      </w:pPr>
    </w:p>
    <w:p w:rsidR="00CC3A4B" w:rsidRPr="00B528EE" w:rsidP="00C92E46" w14:paraId="5EE6AF41" w14:textId="77777777">
      <w:pPr>
        <w:rPr>
          <w:spacing w:val="-3"/>
          <w:sz w:val="22"/>
          <w:szCs w:val="22"/>
        </w:rPr>
      </w:pPr>
      <w:r w:rsidRPr="00B528EE">
        <w:rPr>
          <w:spacing w:val="-3"/>
          <w:sz w:val="22"/>
          <w:szCs w:val="22"/>
        </w:rPr>
        <w:t xml:space="preserve">10.  </w:t>
      </w:r>
      <w:r w:rsidRPr="00B528EE">
        <w:rPr>
          <w:b/>
          <w:spacing w:val="-3"/>
          <w:sz w:val="22"/>
          <w:szCs w:val="22"/>
        </w:rPr>
        <w:t>Confidentiality of Information</w:t>
      </w:r>
      <w:r w:rsidRPr="00B528EE">
        <w:rPr>
          <w:spacing w:val="-3"/>
          <w:sz w:val="22"/>
          <w:szCs w:val="22"/>
        </w:rPr>
        <w:t xml:space="preserve">:  </w:t>
      </w:r>
      <w:r w:rsidRPr="00B528EE">
        <w:rPr>
          <w:spacing w:val="-3"/>
          <w:sz w:val="22"/>
          <w:szCs w:val="22"/>
        </w:rPr>
        <w:t xml:space="preserve">The information collection does not address any confidential information.  </w:t>
      </w:r>
    </w:p>
    <w:p w:rsidR="00CC3A4B" w:rsidRPr="00B528EE" w:rsidP="00C92E46" w14:paraId="52DE425B" w14:textId="77777777">
      <w:pPr>
        <w:rPr>
          <w:spacing w:val="-3"/>
          <w:sz w:val="22"/>
          <w:szCs w:val="22"/>
        </w:rPr>
      </w:pPr>
      <w:r w:rsidRPr="00B528EE">
        <w:rPr>
          <w:spacing w:val="-3"/>
          <w:sz w:val="22"/>
          <w:szCs w:val="22"/>
        </w:rPr>
        <w:t xml:space="preserve"> </w:t>
      </w:r>
    </w:p>
    <w:p w:rsidR="00CC3A4B" w:rsidRPr="00B528EE" w:rsidP="00CC3A4B" w14:paraId="33A46C8F" w14:textId="77777777">
      <w:pPr>
        <w:rPr>
          <w:spacing w:val="-3"/>
          <w:sz w:val="22"/>
          <w:szCs w:val="22"/>
        </w:rPr>
      </w:pPr>
      <w:r w:rsidRPr="00B528EE">
        <w:rPr>
          <w:spacing w:val="-3"/>
          <w:sz w:val="22"/>
          <w:szCs w:val="22"/>
        </w:rPr>
        <w:t xml:space="preserve">11.  </w:t>
      </w:r>
      <w:r w:rsidRPr="00B528EE">
        <w:rPr>
          <w:b/>
          <w:spacing w:val="-3"/>
          <w:sz w:val="22"/>
          <w:szCs w:val="22"/>
        </w:rPr>
        <w:t>Justification for Sensitive Questions</w:t>
      </w:r>
      <w:r w:rsidRPr="00B528EE">
        <w:rPr>
          <w:spacing w:val="-3"/>
          <w:sz w:val="22"/>
          <w:szCs w:val="22"/>
        </w:rPr>
        <w:t>:  This collection of information does not address any private matters of a sensitive nature</w:t>
      </w:r>
      <w:r w:rsidRPr="00B528EE">
        <w:rPr>
          <w:spacing w:val="-3"/>
          <w:sz w:val="22"/>
          <w:szCs w:val="22"/>
        </w:rPr>
        <w:t xml:space="preserve">.    </w:t>
      </w:r>
    </w:p>
    <w:p w:rsidR="00C07C62" w:rsidRPr="00B528EE" w:rsidP="00C07C62" w14:paraId="45E57913" w14:textId="77777777">
      <w:pPr>
        <w:pStyle w:val="BodyText2"/>
        <w:rPr>
          <w:spacing w:val="-3"/>
          <w:sz w:val="22"/>
          <w:szCs w:val="22"/>
        </w:rPr>
      </w:pPr>
    </w:p>
    <w:p w:rsidR="00F74797" w:rsidP="00747BA1" w14:paraId="0F62A08D" w14:textId="77777777">
      <w:pPr>
        <w:shd w:val="clear" w:color="auto" w:fill="FFFFFF"/>
        <w:tabs>
          <w:tab w:val="left" w:pos="-720"/>
        </w:tabs>
        <w:suppressAutoHyphens/>
        <w:ind w:right="-270"/>
        <w:rPr>
          <w:sz w:val="22"/>
          <w:szCs w:val="22"/>
        </w:rPr>
      </w:pPr>
      <w:r w:rsidRPr="00B528EE">
        <w:rPr>
          <w:spacing w:val="-3"/>
          <w:sz w:val="22"/>
          <w:szCs w:val="22"/>
        </w:rPr>
        <w:t xml:space="preserve">12. </w:t>
      </w:r>
      <w:r w:rsidR="0000649D">
        <w:rPr>
          <w:spacing w:val="-3"/>
          <w:sz w:val="22"/>
          <w:szCs w:val="22"/>
        </w:rPr>
        <w:t xml:space="preserve"> </w:t>
      </w:r>
      <w:r w:rsidRPr="00B528EE">
        <w:rPr>
          <w:b/>
          <w:spacing w:val="-3"/>
          <w:sz w:val="22"/>
          <w:szCs w:val="22"/>
        </w:rPr>
        <w:t>Estimate of Burden and Burden Hour Cost</w:t>
      </w:r>
      <w:r w:rsidRPr="00B528EE">
        <w:rPr>
          <w:spacing w:val="-3"/>
          <w:sz w:val="22"/>
          <w:szCs w:val="22"/>
        </w:rPr>
        <w:t xml:space="preserve">:  We assume that the respondents will complete </w:t>
      </w:r>
      <w:r w:rsidR="00322C93">
        <w:rPr>
          <w:spacing w:val="-3"/>
          <w:sz w:val="22"/>
          <w:szCs w:val="22"/>
        </w:rPr>
        <w:t xml:space="preserve">the </w:t>
      </w:r>
      <w:r w:rsidRPr="00B528EE" w:rsidR="009410D9">
        <w:rPr>
          <w:spacing w:val="-3"/>
          <w:sz w:val="22"/>
          <w:szCs w:val="22"/>
        </w:rPr>
        <w:t xml:space="preserve">LMS </w:t>
      </w:r>
      <w:r w:rsidR="0000649D">
        <w:rPr>
          <w:spacing w:val="-3"/>
          <w:sz w:val="22"/>
          <w:szCs w:val="22"/>
        </w:rPr>
        <w:t>Schedule 318</w:t>
      </w:r>
      <w:r w:rsidRPr="00B528EE">
        <w:rPr>
          <w:spacing w:val="-3"/>
          <w:sz w:val="22"/>
          <w:szCs w:val="22"/>
        </w:rPr>
        <w:t xml:space="preserve"> themselves.  The respondents have an average salary of $100,000/year ($48.08/hour).  Also, the respondents would use a station engineer to complete the portions of this information collection pertaining to </w:t>
      </w:r>
      <w:r w:rsidRPr="00B528EE">
        <w:rPr>
          <w:spacing w:val="-3"/>
          <w:sz w:val="22"/>
          <w:szCs w:val="22"/>
        </w:rPr>
        <w:t>rules included in this collection.  The station engineers would have an average salary of $100,000/year ($48.08/hour</w:t>
      </w:r>
      <w:r w:rsidRPr="00747BA1">
        <w:rPr>
          <w:spacing w:val="-3"/>
          <w:sz w:val="22"/>
          <w:szCs w:val="22"/>
        </w:rPr>
        <w:t xml:space="preserve">).  </w:t>
      </w:r>
      <w:r w:rsidRPr="002C10CE" w:rsidR="00747BA1">
        <w:rPr>
          <w:sz w:val="22"/>
          <w:szCs w:val="22"/>
        </w:rPr>
        <w:t xml:space="preserve">Section 73.3580 online notices are required upon submission of construction permit applications for New &amp; Major Changes.  We estimate that it will take the respondent approximately one-half hour to fulfill the online notice requirement.  </w:t>
      </w:r>
      <w:r w:rsidRPr="00747BA1">
        <w:rPr>
          <w:spacing w:val="-3"/>
          <w:sz w:val="22"/>
          <w:szCs w:val="22"/>
        </w:rPr>
        <w:t>The annual burden to the respondent is as follows:</w:t>
      </w:r>
      <w:r w:rsidRPr="002C10CE">
        <w:rPr>
          <w:sz w:val="22"/>
          <w:szCs w:val="22"/>
        </w:rPr>
        <w:tab/>
      </w:r>
    </w:p>
    <w:p w:rsidR="00F74797" w:rsidP="00747BA1" w14:paraId="55B6021C" w14:textId="77777777">
      <w:pPr>
        <w:shd w:val="clear" w:color="auto" w:fill="FFFFFF"/>
        <w:tabs>
          <w:tab w:val="left" w:pos="-720"/>
        </w:tabs>
        <w:suppressAutoHyphens/>
        <w:ind w:right="-270"/>
        <w:rPr>
          <w:sz w:val="22"/>
          <w:szCs w:val="22"/>
        </w:rPr>
      </w:pPr>
    </w:p>
    <w:tbl>
      <w:tblPr>
        <w:tblW w:w="9828" w:type="dxa"/>
        <w:tblLook w:val="01E0"/>
      </w:tblPr>
      <w:tblGrid>
        <w:gridCol w:w="1989"/>
        <w:gridCol w:w="1544"/>
        <w:gridCol w:w="1603"/>
        <w:gridCol w:w="1740"/>
        <w:gridCol w:w="1356"/>
        <w:gridCol w:w="1596"/>
      </w:tblGrid>
      <w:tr w14:paraId="08D66654" w14:textId="77777777" w:rsidTr="00EC2BDB">
        <w:tblPrEx>
          <w:tblW w:w="9828" w:type="dxa"/>
          <w:tblLook w:val="01E0"/>
        </w:tblPrEx>
        <w:trPr>
          <w:tblHeader/>
        </w:trPr>
        <w:tc>
          <w:tcPr>
            <w:tcW w:w="1989" w:type="dxa"/>
            <w:shd w:val="clear" w:color="auto" w:fill="auto"/>
            <w:vAlign w:val="bottom"/>
          </w:tcPr>
          <w:p w:rsidR="004E78EC" w:rsidRPr="00A27EDB" w:rsidP="00C07C62" w14:paraId="427BD18D" w14:textId="77777777">
            <w:pPr>
              <w:pStyle w:val="BodyText2"/>
              <w:rPr>
                <w:b/>
                <w:sz w:val="22"/>
                <w:szCs w:val="22"/>
                <w:u w:val="single"/>
              </w:rPr>
            </w:pPr>
            <w:r w:rsidRPr="00A27EDB">
              <w:rPr>
                <w:b/>
                <w:sz w:val="22"/>
                <w:szCs w:val="22"/>
              </w:rPr>
              <w:t>Applications or</w:t>
            </w:r>
            <w:r w:rsidRPr="00A27EDB">
              <w:rPr>
                <w:b/>
                <w:sz w:val="22"/>
                <w:szCs w:val="22"/>
                <w:u w:val="single"/>
              </w:rPr>
              <w:t xml:space="preserve"> Rule Sections</w:t>
            </w:r>
          </w:p>
        </w:tc>
        <w:tc>
          <w:tcPr>
            <w:tcW w:w="1544" w:type="dxa"/>
            <w:shd w:val="clear" w:color="auto" w:fill="auto"/>
            <w:vAlign w:val="bottom"/>
          </w:tcPr>
          <w:p w:rsidR="004E78EC" w:rsidRPr="00A27EDB" w:rsidP="00C07C62" w14:paraId="2322DED9" w14:textId="77777777">
            <w:pPr>
              <w:pStyle w:val="BodyText2"/>
              <w:rPr>
                <w:b/>
                <w:sz w:val="22"/>
                <w:szCs w:val="22"/>
                <w:u w:val="single"/>
              </w:rPr>
            </w:pPr>
            <w:r w:rsidRPr="00A27EDB">
              <w:rPr>
                <w:b/>
                <w:sz w:val="22"/>
                <w:szCs w:val="22"/>
              </w:rPr>
              <w:t xml:space="preserve">Number of </w:t>
            </w:r>
            <w:r w:rsidRPr="00A27EDB">
              <w:rPr>
                <w:b/>
                <w:sz w:val="22"/>
                <w:szCs w:val="22"/>
                <w:u w:val="single"/>
              </w:rPr>
              <w:t>Responses</w:t>
            </w:r>
          </w:p>
        </w:tc>
        <w:tc>
          <w:tcPr>
            <w:tcW w:w="1603" w:type="dxa"/>
            <w:shd w:val="clear" w:color="auto" w:fill="auto"/>
            <w:vAlign w:val="bottom"/>
          </w:tcPr>
          <w:p w:rsidR="004E78EC" w:rsidRPr="00A27EDB" w:rsidP="00C07C62" w14:paraId="0BCBEF65" w14:textId="77777777">
            <w:pPr>
              <w:pStyle w:val="BodyText2"/>
              <w:rPr>
                <w:b/>
                <w:sz w:val="22"/>
                <w:szCs w:val="22"/>
              </w:rPr>
            </w:pPr>
            <w:r w:rsidRPr="00A27EDB">
              <w:rPr>
                <w:b/>
                <w:sz w:val="22"/>
                <w:szCs w:val="22"/>
              </w:rPr>
              <w:t xml:space="preserve">Respondent’s </w:t>
            </w:r>
            <w:r w:rsidRPr="00A27EDB">
              <w:rPr>
                <w:b/>
                <w:sz w:val="22"/>
                <w:szCs w:val="22"/>
                <w:u w:val="single"/>
              </w:rPr>
              <w:t>Burden</w:t>
            </w:r>
          </w:p>
        </w:tc>
        <w:tc>
          <w:tcPr>
            <w:tcW w:w="1740" w:type="dxa"/>
            <w:shd w:val="clear" w:color="auto" w:fill="auto"/>
            <w:vAlign w:val="bottom"/>
          </w:tcPr>
          <w:p w:rsidR="004E78EC" w:rsidRPr="00A27EDB" w:rsidP="00C07C62" w14:paraId="29ABB0E3" w14:textId="77777777">
            <w:pPr>
              <w:pStyle w:val="BodyText2"/>
              <w:rPr>
                <w:b/>
                <w:sz w:val="22"/>
                <w:szCs w:val="22"/>
              </w:rPr>
            </w:pPr>
            <w:r w:rsidRPr="00A27EDB">
              <w:rPr>
                <w:b/>
                <w:sz w:val="22"/>
                <w:szCs w:val="22"/>
              </w:rPr>
              <w:t xml:space="preserve">Total Annual </w:t>
            </w:r>
            <w:r w:rsidRPr="00A27EDB">
              <w:rPr>
                <w:b/>
                <w:sz w:val="22"/>
                <w:szCs w:val="22"/>
                <w:u w:val="single"/>
              </w:rPr>
              <w:t>Burden Hours</w:t>
            </w:r>
          </w:p>
        </w:tc>
        <w:tc>
          <w:tcPr>
            <w:tcW w:w="1356" w:type="dxa"/>
            <w:shd w:val="clear" w:color="auto" w:fill="auto"/>
            <w:vAlign w:val="bottom"/>
          </w:tcPr>
          <w:p w:rsidR="004E78EC" w:rsidRPr="00A27EDB" w:rsidP="00C07C62" w14:paraId="3AADBAF9" w14:textId="77777777">
            <w:pPr>
              <w:pStyle w:val="BodyText2"/>
              <w:rPr>
                <w:b/>
                <w:sz w:val="22"/>
                <w:szCs w:val="22"/>
              </w:rPr>
            </w:pPr>
            <w:r w:rsidRPr="00A27EDB">
              <w:rPr>
                <w:b/>
                <w:sz w:val="22"/>
                <w:szCs w:val="22"/>
              </w:rPr>
              <w:t>Total Hourly In-</w:t>
            </w:r>
            <w:r w:rsidRPr="00A27EDB">
              <w:rPr>
                <w:b/>
                <w:sz w:val="22"/>
                <w:szCs w:val="22"/>
                <w:u w:val="single"/>
              </w:rPr>
              <w:t>House Cost</w:t>
            </w:r>
          </w:p>
        </w:tc>
        <w:tc>
          <w:tcPr>
            <w:tcW w:w="1596" w:type="dxa"/>
            <w:shd w:val="clear" w:color="auto" w:fill="auto"/>
            <w:vAlign w:val="bottom"/>
          </w:tcPr>
          <w:p w:rsidR="004E78EC" w:rsidRPr="00A27EDB" w:rsidP="00C07C62" w14:paraId="35EAB960" w14:textId="77777777">
            <w:pPr>
              <w:pStyle w:val="BodyText2"/>
              <w:rPr>
                <w:b/>
                <w:sz w:val="22"/>
                <w:szCs w:val="22"/>
              </w:rPr>
            </w:pPr>
            <w:r w:rsidRPr="00A27EDB">
              <w:rPr>
                <w:b/>
                <w:sz w:val="22"/>
                <w:szCs w:val="22"/>
              </w:rPr>
              <w:t>Annual In-</w:t>
            </w:r>
            <w:r w:rsidRPr="00F74797">
              <w:rPr>
                <w:b/>
                <w:sz w:val="22"/>
                <w:szCs w:val="22"/>
                <w:u w:val="single"/>
              </w:rPr>
              <w:t>House</w:t>
            </w:r>
            <w:r w:rsidRPr="00A27EDB">
              <w:rPr>
                <w:b/>
                <w:sz w:val="22"/>
                <w:szCs w:val="22"/>
              </w:rPr>
              <w:t xml:space="preserve"> </w:t>
            </w:r>
            <w:r w:rsidRPr="00A27EDB">
              <w:rPr>
                <w:b/>
                <w:sz w:val="22"/>
                <w:szCs w:val="22"/>
                <w:u w:val="single"/>
              </w:rPr>
              <w:t>Cost</w:t>
            </w:r>
          </w:p>
        </w:tc>
      </w:tr>
      <w:tr w14:paraId="09A5CC48" w14:textId="77777777" w:rsidTr="00EC2BDB">
        <w:tblPrEx>
          <w:tblW w:w="9828" w:type="dxa"/>
          <w:tblLook w:val="01E0"/>
        </w:tblPrEx>
        <w:tc>
          <w:tcPr>
            <w:tcW w:w="1989" w:type="dxa"/>
            <w:shd w:val="clear" w:color="auto" w:fill="auto"/>
          </w:tcPr>
          <w:p w:rsidR="004E78EC" w:rsidP="00C07C62" w14:paraId="24205ED0" w14:textId="77777777">
            <w:pPr>
              <w:pStyle w:val="BodyText2"/>
              <w:rPr>
                <w:b/>
                <w:sz w:val="22"/>
                <w:szCs w:val="22"/>
              </w:rPr>
            </w:pPr>
          </w:p>
          <w:p w:rsidR="00194C5B" w:rsidP="00C07C62" w14:paraId="08E2112E" w14:textId="77777777">
            <w:pPr>
              <w:pStyle w:val="BodyText2"/>
              <w:rPr>
                <w:bCs/>
                <w:sz w:val="22"/>
                <w:szCs w:val="22"/>
              </w:rPr>
            </w:pPr>
            <w:r>
              <w:rPr>
                <w:bCs/>
                <w:sz w:val="22"/>
                <w:szCs w:val="22"/>
              </w:rPr>
              <w:t>New LPFM</w:t>
            </w:r>
          </w:p>
          <w:p w:rsidR="00194C5B" w:rsidRPr="00194C5B" w:rsidP="00C07C62" w14:paraId="63B9CD5A" w14:textId="77777777">
            <w:pPr>
              <w:pStyle w:val="BodyText2"/>
              <w:rPr>
                <w:bCs/>
                <w:sz w:val="22"/>
                <w:szCs w:val="22"/>
              </w:rPr>
            </w:pPr>
            <w:r>
              <w:rPr>
                <w:bCs/>
                <w:sz w:val="22"/>
                <w:szCs w:val="22"/>
              </w:rPr>
              <w:t>Applications</w:t>
            </w:r>
          </w:p>
        </w:tc>
        <w:tc>
          <w:tcPr>
            <w:tcW w:w="1544" w:type="dxa"/>
            <w:shd w:val="clear" w:color="auto" w:fill="auto"/>
          </w:tcPr>
          <w:p w:rsidR="004E78EC" w:rsidRPr="00B9158F" w:rsidP="00C07C62" w14:paraId="6A07E603" w14:textId="77777777">
            <w:pPr>
              <w:pStyle w:val="BodyText2"/>
              <w:rPr>
                <w:b/>
                <w:sz w:val="22"/>
                <w:szCs w:val="22"/>
              </w:rPr>
            </w:pPr>
          </w:p>
          <w:p w:rsidR="00194C5B" w:rsidRPr="00B9158F" w:rsidP="00C07C62" w14:paraId="4C0FE5A5" w14:textId="77777777">
            <w:pPr>
              <w:pStyle w:val="BodyText2"/>
              <w:rPr>
                <w:b/>
                <w:sz w:val="22"/>
                <w:szCs w:val="22"/>
              </w:rPr>
            </w:pPr>
          </w:p>
          <w:p w:rsidR="00194C5B" w:rsidRPr="00B9158F" w:rsidP="00C07C62" w14:paraId="18E9BBA4" w14:textId="77777777">
            <w:pPr>
              <w:pStyle w:val="BodyText2"/>
              <w:rPr>
                <w:bCs/>
                <w:sz w:val="22"/>
                <w:szCs w:val="22"/>
              </w:rPr>
            </w:pPr>
            <w:r w:rsidRPr="00B9158F">
              <w:rPr>
                <w:bCs/>
                <w:sz w:val="22"/>
                <w:szCs w:val="22"/>
              </w:rPr>
              <w:t>3,500</w:t>
            </w:r>
            <w:r>
              <w:rPr>
                <w:rStyle w:val="FootnoteReference"/>
                <w:sz w:val="22"/>
                <w:szCs w:val="22"/>
              </w:rPr>
              <w:footnoteReference w:id="15"/>
            </w:r>
          </w:p>
        </w:tc>
        <w:tc>
          <w:tcPr>
            <w:tcW w:w="1603" w:type="dxa"/>
            <w:shd w:val="clear" w:color="auto" w:fill="auto"/>
          </w:tcPr>
          <w:p w:rsidR="004E78EC" w:rsidRPr="00B9158F" w:rsidP="00C07C62" w14:paraId="59D04E1B" w14:textId="77777777">
            <w:pPr>
              <w:pStyle w:val="BodyText2"/>
              <w:rPr>
                <w:b/>
                <w:sz w:val="22"/>
                <w:szCs w:val="22"/>
              </w:rPr>
            </w:pPr>
          </w:p>
          <w:p w:rsidR="00194C5B" w:rsidRPr="00B9158F" w:rsidP="00C07C62" w14:paraId="27513F3F" w14:textId="77777777">
            <w:pPr>
              <w:pStyle w:val="BodyText2"/>
              <w:rPr>
                <w:b/>
                <w:sz w:val="22"/>
                <w:szCs w:val="22"/>
              </w:rPr>
            </w:pPr>
          </w:p>
          <w:p w:rsidR="00194C5B" w:rsidRPr="00B9158F" w:rsidP="00C07C62" w14:paraId="72F41AC4" w14:textId="77777777">
            <w:pPr>
              <w:pStyle w:val="BodyText2"/>
              <w:rPr>
                <w:bCs/>
                <w:sz w:val="22"/>
                <w:szCs w:val="22"/>
              </w:rPr>
            </w:pPr>
            <w:r w:rsidRPr="00B9158F">
              <w:rPr>
                <w:bCs/>
                <w:sz w:val="22"/>
                <w:szCs w:val="22"/>
              </w:rPr>
              <w:t>6 hours</w:t>
            </w:r>
          </w:p>
        </w:tc>
        <w:tc>
          <w:tcPr>
            <w:tcW w:w="1740" w:type="dxa"/>
            <w:shd w:val="clear" w:color="auto" w:fill="auto"/>
          </w:tcPr>
          <w:p w:rsidR="004E78EC" w:rsidRPr="00B9158F" w:rsidP="00C07C62" w14:paraId="19B3CAF7" w14:textId="77777777">
            <w:pPr>
              <w:pStyle w:val="BodyText2"/>
              <w:rPr>
                <w:b/>
                <w:sz w:val="22"/>
                <w:szCs w:val="22"/>
              </w:rPr>
            </w:pPr>
          </w:p>
          <w:p w:rsidR="00194C5B" w:rsidRPr="00B9158F" w:rsidP="00C07C62" w14:paraId="217E1FA7" w14:textId="77777777">
            <w:pPr>
              <w:pStyle w:val="BodyText2"/>
              <w:rPr>
                <w:b/>
                <w:sz w:val="22"/>
                <w:szCs w:val="22"/>
              </w:rPr>
            </w:pPr>
          </w:p>
          <w:p w:rsidR="00194C5B" w:rsidRPr="00B9158F" w:rsidP="00C07C62" w14:paraId="7E910CCD" w14:textId="77777777">
            <w:pPr>
              <w:pStyle w:val="BodyText2"/>
              <w:rPr>
                <w:bCs/>
                <w:sz w:val="22"/>
                <w:szCs w:val="22"/>
              </w:rPr>
            </w:pPr>
            <w:r w:rsidRPr="00B9158F">
              <w:rPr>
                <w:bCs/>
                <w:sz w:val="22"/>
                <w:szCs w:val="22"/>
              </w:rPr>
              <w:t>21,000 hours</w:t>
            </w:r>
          </w:p>
        </w:tc>
        <w:tc>
          <w:tcPr>
            <w:tcW w:w="1356" w:type="dxa"/>
            <w:shd w:val="clear" w:color="auto" w:fill="auto"/>
          </w:tcPr>
          <w:p w:rsidR="004E78EC" w:rsidRPr="00B9158F" w:rsidP="00C07C62" w14:paraId="1DA50B16" w14:textId="77777777">
            <w:pPr>
              <w:pStyle w:val="BodyText2"/>
              <w:rPr>
                <w:b/>
                <w:sz w:val="22"/>
                <w:szCs w:val="22"/>
              </w:rPr>
            </w:pPr>
          </w:p>
          <w:p w:rsidR="00194C5B" w:rsidRPr="00B9158F" w:rsidP="00C07C62" w14:paraId="5FA71326" w14:textId="77777777">
            <w:pPr>
              <w:pStyle w:val="BodyText2"/>
              <w:rPr>
                <w:b/>
                <w:sz w:val="22"/>
                <w:szCs w:val="22"/>
              </w:rPr>
            </w:pPr>
          </w:p>
          <w:p w:rsidR="00194C5B" w:rsidRPr="00B9158F" w:rsidP="00C07C62" w14:paraId="27966F93" w14:textId="77777777">
            <w:pPr>
              <w:pStyle w:val="BodyText2"/>
              <w:rPr>
                <w:bCs/>
                <w:sz w:val="22"/>
                <w:szCs w:val="22"/>
              </w:rPr>
            </w:pPr>
            <w:r w:rsidRPr="00B9158F">
              <w:rPr>
                <w:bCs/>
                <w:sz w:val="22"/>
                <w:szCs w:val="22"/>
              </w:rPr>
              <w:t>$48.08</w:t>
            </w:r>
          </w:p>
        </w:tc>
        <w:tc>
          <w:tcPr>
            <w:tcW w:w="1596" w:type="dxa"/>
            <w:shd w:val="clear" w:color="auto" w:fill="auto"/>
          </w:tcPr>
          <w:p w:rsidR="004E78EC" w:rsidRPr="00B9158F" w:rsidP="00C07C62" w14:paraId="51431AEA" w14:textId="77777777">
            <w:pPr>
              <w:pStyle w:val="BodyText2"/>
              <w:rPr>
                <w:b/>
                <w:sz w:val="22"/>
                <w:szCs w:val="22"/>
              </w:rPr>
            </w:pPr>
          </w:p>
          <w:p w:rsidR="00194C5B" w:rsidRPr="00B9158F" w:rsidP="00C07C62" w14:paraId="166C6BE9" w14:textId="77777777">
            <w:pPr>
              <w:pStyle w:val="BodyText2"/>
              <w:rPr>
                <w:b/>
                <w:sz w:val="22"/>
                <w:szCs w:val="22"/>
              </w:rPr>
            </w:pPr>
          </w:p>
          <w:p w:rsidR="00194C5B" w:rsidRPr="00B9158F" w:rsidP="00C07C62" w14:paraId="58748882" w14:textId="77777777">
            <w:pPr>
              <w:pStyle w:val="BodyText2"/>
              <w:rPr>
                <w:bCs/>
                <w:sz w:val="22"/>
                <w:szCs w:val="22"/>
              </w:rPr>
            </w:pPr>
            <w:r w:rsidRPr="00B9158F">
              <w:rPr>
                <w:bCs/>
                <w:sz w:val="22"/>
                <w:szCs w:val="22"/>
              </w:rPr>
              <w:t>$1,009,680</w:t>
            </w:r>
          </w:p>
        </w:tc>
      </w:tr>
      <w:tr w14:paraId="29221F56" w14:textId="77777777" w:rsidTr="00EC2BDB">
        <w:tblPrEx>
          <w:tblW w:w="9828" w:type="dxa"/>
          <w:tblLook w:val="01E0"/>
        </w:tblPrEx>
        <w:tc>
          <w:tcPr>
            <w:tcW w:w="1989" w:type="dxa"/>
            <w:shd w:val="clear" w:color="auto" w:fill="auto"/>
          </w:tcPr>
          <w:p w:rsidR="00F74797" w:rsidP="001D54D4" w14:paraId="389A8C98" w14:textId="77777777">
            <w:pPr>
              <w:pStyle w:val="BodyText2"/>
              <w:rPr>
                <w:sz w:val="22"/>
                <w:szCs w:val="22"/>
              </w:rPr>
            </w:pPr>
          </w:p>
          <w:p w:rsidR="001D54D4" w:rsidRPr="00A27EDB" w:rsidP="001D54D4" w14:paraId="1C108407" w14:textId="77777777">
            <w:pPr>
              <w:pStyle w:val="BodyText2"/>
              <w:rPr>
                <w:sz w:val="22"/>
                <w:szCs w:val="22"/>
              </w:rPr>
            </w:pPr>
            <w:r w:rsidRPr="00A27EDB">
              <w:rPr>
                <w:sz w:val="22"/>
                <w:szCs w:val="22"/>
              </w:rPr>
              <w:t xml:space="preserve">LPFM </w:t>
            </w:r>
            <w:r>
              <w:rPr>
                <w:sz w:val="22"/>
                <w:szCs w:val="22"/>
              </w:rPr>
              <w:t>Major</w:t>
            </w:r>
            <w:r w:rsidRPr="00A27EDB">
              <w:rPr>
                <w:sz w:val="22"/>
                <w:szCs w:val="22"/>
              </w:rPr>
              <w:t xml:space="preserve"> </w:t>
            </w:r>
            <w:r>
              <w:rPr>
                <w:sz w:val="22"/>
                <w:szCs w:val="22"/>
              </w:rPr>
              <w:t xml:space="preserve">Change </w:t>
            </w:r>
            <w:r w:rsidRPr="00A27EDB">
              <w:rPr>
                <w:sz w:val="22"/>
                <w:szCs w:val="22"/>
              </w:rPr>
              <w:t xml:space="preserve"> </w:t>
            </w:r>
            <w:r w:rsidR="00375929">
              <w:rPr>
                <w:sz w:val="22"/>
                <w:szCs w:val="22"/>
              </w:rPr>
              <w:t>A</w:t>
            </w:r>
            <w:r>
              <w:rPr>
                <w:sz w:val="22"/>
                <w:szCs w:val="22"/>
              </w:rPr>
              <w:t>pplications</w:t>
            </w:r>
          </w:p>
          <w:p w:rsidR="001D54D4" w:rsidRPr="00A27EDB" w:rsidP="001D54D4" w14:paraId="40A5CE18" w14:textId="77777777">
            <w:pPr>
              <w:pStyle w:val="BodyText2"/>
              <w:rPr>
                <w:sz w:val="22"/>
                <w:szCs w:val="22"/>
              </w:rPr>
            </w:pPr>
          </w:p>
        </w:tc>
        <w:tc>
          <w:tcPr>
            <w:tcW w:w="1544" w:type="dxa"/>
            <w:shd w:val="clear" w:color="auto" w:fill="auto"/>
          </w:tcPr>
          <w:p w:rsidR="00F74797" w:rsidP="001D54D4" w14:paraId="33E0487C" w14:textId="77777777">
            <w:pPr>
              <w:pStyle w:val="BodyText2"/>
              <w:rPr>
                <w:sz w:val="22"/>
                <w:szCs w:val="22"/>
              </w:rPr>
            </w:pPr>
          </w:p>
          <w:p w:rsidR="00F74797" w:rsidP="001D54D4" w14:paraId="3E4987C0" w14:textId="77777777">
            <w:pPr>
              <w:pStyle w:val="BodyText2"/>
              <w:rPr>
                <w:sz w:val="22"/>
                <w:szCs w:val="22"/>
              </w:rPr>
            </w:pPr>
          </w:p>
          <w:p w:rsidR="00F74797" w:rsidP="001D54D4" w14:paraId="25E9AE43" w14:textId="77777777">
            <w:pPr>
              <w:pStyle w:val="BodyText2"/>
              <w:rPr>
                <w:sz w:val="22"/>
                <w:szCs w:val="22"/>
              </w:rPr>
            </w:pPr>
          </w:p>
          <w:p w:rsidR="001D54D4" w:rsidRPr="00A27EDB" w:rsidP="001D54D4" w14:paraId="10CF0E32" w14:textId="77777777">
            <w:pPr>
              <w:pStyle w:val="BodyText2"/>
              <w:rPr>
                <w:sz w:val="22"/>
                <w:szCs w:val="22"/>
              </w:rPr>
            </w:pPr>
            <w:r w:rsidRPr="00A27EDB">
              <w:rPr>
                <w:sz w:val="22"/>
                <w:szCs w:val="22"/>
              </w:rPr>
              <w:t xml:space="preserve">100             </w:t>
            </w:r>
          </w:p>
        </w:tc>
        <w:tc>
          <w:tcPr>
            <w:tcW w:w="1603" w:type="dxa"/>
            <w:shd w:val="clear" w:color="auto" w:fill="auto"/>
          </w:tcPr>
          <w:p w:rsidR="00F74797" w:rsidRPr="00194C5B" w:rsidP="001D54D4" w14:paraId="72603D12" w14:textId="77777777">
            <w:pPr>
              <w:pStyle w:val="BodyText2"/>
              <w:rPr>
                <w:sz w:val="22"/>
                <w:szCs w:val="22"/>
              </w:rPr>
            </w:pPr>
          </w:p>
          <w:p w:rsidR="00F74797" w:rsidRPr="00194C5B" w:rsidP="001D54D4" w14:paraId="7113E27B" w14:textId="77777777">
            <w:pPr>
              <w:pStyle w:val="BodyText2"/>
              <w:rPr>
                <w:sz w:val="22"/>
                <w:szCs w:val="22"/>
              </w:rPr>
            </w:pPr>
          </w:p>
          <w:p w:rsidR="00F74797" w:rsidRPr="00194C5B" w:rsidP="001D54D4" w14:paraId="22E48E22" w14:textId="77777777">
            <w:pPr>
              <w:pStyle w:val="BodyText2"/>
              <w:rPr>
                <w:sz w:val="22"/>
                <w:szCs w:val="22"/>
              </w:rPr>
            </w:pPr>
          </w:p>
          <w:p w:rsidR="001D54D4" w:rsidRPr="00194C5B" w:rsidP="001D54D4" w14:paraId="352D7529" w14:textId="77777777">
            <w:pPr>
              <w:pStyle w:val="BodyText2"/>
              <w:rPr>
                <w:sz w:val="22"/>
                <w:szCs w:val="22"/>
              </w:rPr>
            </w:pPr>
            <w:r w:rsidRPr="00194C5B">
              <w:rPr>
                <w:sz w:val="22"/>
                <w:szCs w:val="22"/>
              </w:rPr>
              <w:t>6 hours</w:t>
            </w:r>
          </w:p>
        </w:tc>
        <w:tc>
          <w:tcPr>
            <w:tcW w:w="1740" w:type="dxa"/>
            <w:shd w:val="clear" w:color="auto" w:fill="auto"/>
          </w:tcPr>
          <w:p w:rsidR="00F74797" w:rsidRPr="00194C5B" w:rsidP="001D54D4" w14:paraId="2BF47253" w14:textId="77777777">
            <w:pPr>
              <w:pStyle w:val="BodyText2"/>
              <w:rPr>
                <w:sz w:val="22"/>
                <w:szCs w:val="22"/>
              </w:rPr>
            </w:pPr>
          </w:p>
          <w:p w:rsidR="00F74797" w:rsidRPr="00194C5B" w:rsidP="001D54D4" w14:paraId="5BD2981E" w14:textId="77777777">
            <w:pPr>
              <w:pStyle w:val="BodyText2"/>
              <w:rPr>
                <w:sz w:val="22"/>
                <w:szCs w:val="22"/>
              </w:rPr>
            </w:pPr>
          </w:p>
          <w:p w:rsidR="00F74797" w:rsidRPr="00194C5B" w:rsidP="001D54D4" w14:paraId="3922990E" w14:textId="77777777">
            <w:pPr>
              <w:pStyle w:val="BodyText2"/>
              <w:rPr>
                <w:sz w:val="22"/>
                <w:szCs w:val="22"/>
              </w:rPr>
            </w:pPr>
          </w:p>
          <w:p w:rsidR="001D54D4" w:rsidRPr="00194C5B" w:rsidP="001D54D4" w14:paraId="7F5685F9" w14:textId="77777777">
            <w:pPr>
              <w:pStyle w:val="BodyText2"/>
              <w:rPr>
                <w:sz w:val="22"/>
                <w:szCs w:val="22"/>
              </w:rPr>
            </w:pPr>
            <w:r w:rsidRPr="00194C5B">
              <w:rPr>
                <w:sz w:val="22"/>
                <w:szCs w:val="22"/>
              </w:rPr>
              <w:t>600 hours</w:t>
            </w:r>
          </w:p>
        </w:tc>
        <w:tc>
          <w:tcPr>
            <w:tcW w:w="1356" w:type="dxa"/>
            <w:shd w:val="clear" w:color="auto" w:fill="FFFFFF"/>
          </w:tcPr>
          <w:p w:rsidR="00F74797" w:rsidRPr="00194C5B" w:rsidP="001D54D4" w14:paraId="355EA422" w14:textId="77777777">
            <w:pPr>
              <w:pStyle w:val="BodyText2"/>
              <w:rPr>
                <w:sz w:val="22"/>
                <w:szCs w:val="22"/>
              </w:rPr>
            </w:pPr>
          </w:p>
          <w:p w:rsidR="00F74797" w:rsidRPr="00194C5B" w:rsidP="001D54D4" w14:paraId="0ACB7DCD" w14:textId="77777777">
            <w:pPr>
              <w:pStyle w:val="BodyText2"/>
              <w:rPr>
                <w:sz w:val="22"/>
                <w:szCs w:val="22"/>
              </w:rPr>
            </w:pPr>
          </w:p>
          <w:p w:rsidR="00F74797" w:rsidRPr="00194C5B" w:rsidP="001D54D4" w14:paraId="3BA5E5F5" w14:textId="77777777">
            <w:pPr>
              <w:pStyle w:val="BodyText2"/>
              <w:rPr>
                <w:sz w:val="22"/>
                <w:szCs w:val="22"/>
              </w:rPr>
            </w:pPr>
          </w:p>
          <w:p w:rsidR="001D54D4" w:rsidRPr="00194C5B" w:rsidP="001D54D4" w14:paraId="6673C297" w14:textId="77777777">
            <w:pPr>
              <w:pStyle w:val="BodyText2"/>
              <w:rPr>
                <w:sz w:val="22"/>
                <w:szCs w:val="22"/>
              </w:rPr>
            </w:pPr>
            <w:r w:rsidRPr="00194C5B">
              <w:rPr>
                <w:sz w:val="22"/>
                <w:szCs w:val="22"/>
              </w:rPr>
              <w:t>$48.08</w:t>
            </w:r>
          </w:p>
        </w:tc>
        <w:tc>
          <w:tcPr>
            <w:tcW w:w="1596" w:type="dxa"/>
            <w:shd w:val="clear" w:color="auto" w:fill="FFFFFF"/>
          </w:tcPr>
          <w:p w:rsidR="00F74797" w:rsidRPr="00194C5B" w:rsidP="001D54D4" w14:paraId="01FD0BDA" w14:textId="77777777">
            <w:pPr>
              <w:pStyle w:val="BodyText2"/>
              <w:rPr>
                <w:sz w:val="22"/>
                <w:szCs w:val="22"/>
              </w:rPr>
            </w:pPr>
          </w:p>
          <w:p w:rsidR="00F74797" w:rsidRPr="00194C5B" w:rsidP="001D54D4" w14:paraId="63BC5A5F" w14:textId="77777777">
            <w:pPr>
              <w:pStyle w:val="BodyText2"/>
              <w:rPr>
                <w:sz w:val="22"/>
                <w:szCs w:val="22"/>
              </w:rPr>
            </w:pPr>
          </w:p>
          <w:p w:rsidR="00194C5B" w:rsidRPr="00194C5B" w:rsidP="001D54D4" w14:paraId="4BE3E6D9" w14:textId="77777777">
            <w:pPr>
              <w:pStyle w:val="BodyText2"/>
              <w:rPr>
                <w:sz w:val="22"/>
                <w:szCs w:val="22"/>
              </w:rPr>
            </w:pPr>
          </w:p>
          <w:p w:rsidR="001D54D4" w:rsidRPr="00194C5B" w:rsidP="001D54D4" w14:paraId="011BF8BD" w14:textId="77777777">
            <w:pPr>
              <w:pStyle w:val="BodyText2"/>
              <w:rPr>
                <w:sz w:val="22"/>
                <w:szCs w:val="22"/>
              </w:rPr>
            </w:pPr>
            <w:r w:rsidRPr="00194C5B">
              <w:rPr>
                <w:sz w:val="22"/>
                <w:szCs w:val="22"/>
              </w:rPr>
              <w:t>$28,848.00</w:t>
            </w:r>
          </w:p>
        </w:tc>
      </w:tr>
      <w:tr w14:paraId="6D2424CF" w14:textId="77777777" w:rsidTr="00EC2BDB">
        <w:tblPrEx>
          <w:tblW w:w="9828" w:type="dxa"/>
          <w:tblLook w:val="01E0"/>
        </w:tblPrEx>
        <w:tc>
          <w:tcPr>
            <w:tcW w:w="1989" w:type="dxa"/>
            <w:shd w:val="clear" w:color="auto" w:fill="auto"/>
          </w:tcPr>
          <w:p w:rsidR="001D54D4" w:rsidRPr="00A27EDB" w:rsidP="001D54D4" w14:paraId="1D18F452" w14:textId="77777777">
            <w:pPr>
              <w:pStyle w:val="BodyText2"/>
              <w:rPr>
                <w:sz w:val="22"/>
                <w:szCs w:val="22"/>
              </w:rPr>
            </w:pPr>
            <w:r w:rsidRPr="00A27EDB">
              <w:rPr>
                <w:sz w:val="22"/>
                <w:szCs w:val="22"/>
              </w:rPr>
              <w:t xml:space="preserve">LPFM </w:t>
            </w:r>
            <w:r>
              <w:rPr>
                <w:sz w:val="22"/>
                <w:szCs w:val="22"/>
              </w:rPr>
              <w:t xml:space="preserve">Minor Change </w:t>
            </w:r>
            <w:r w:rsidRPr="00A27EDB">
              <w:rPr>
                <w:sz w:val="22"/>
                <w:szCs w:val="22"/>
              </w:rPr>
              <w:t>Applications</w:t>
            </w:r>
            <w:r>
              <w:rPr>
                <w:rStyle w:val="FootnoteReference"/>
                <w:sz w:val="22"/>
                <w:szCs w:val="22"/>
              </w:rPr>
              <w:footnoteReference w:id="16"/>
            </w:r>
          </w:p>
          <w:p w:rsidR="001D54D4" w:rsidRPr="00A27EDB" w:rsidP="001D54D4" w14:paraId="6161B71B" w14:textId="77777777">
            <w:pPr>
              <w:pStyle w:val="BodyText2"/>
              <w:rPr>
                <w:sz w:val="22"/>
                <w:szCs w:val="22"/>
              </w:rPr>
            </w:pPr>
          </w:p>
        </w:tc>
        <w:tc>
          <w:tcPr>
            <w:tcW w:w="1544" w:type="dxa"/>
            <w:shd w:val="clear" w:color="auto" w:fill="auto"/>
          </w:tcPr>
          <w:p w:rsidR="00DB3398" w:rsidP="001D54D4" w14:paraId="7CBA69AC" w14:textId="77777777">
            <w:pPr>
              <w:pStyle w:val="BodyText2"/>
              <w:rPr>
                <w:sz w:val="22"/>
                <w:szCs w:val="22"/>
              </w:rPr>
            </w:pPr>
          </w:p>
          <w:p w:rsidR="00DB3398" w:rsidP="001D54D4" w14:paraId="1674F25C" w14:textId="77777777">
            <w:pPr>
              <w:pStyle w:val="BodyText2"/>
              <w:rPr>
                <w:sz w:val="22"/>
                <w:szCs w:val="22"/>
              </w:rPr>
            </w:pPr>
          </w:p>
          <w:p w:rsidR="001D54D4" w:rsidRPr="00A27EDB" w:rsidP="001D54D4" w14:paraId="1F82651A" w14:textId="77777777">
            <w:pPr>
              <w:pStyle w:val="BodyText2"/>
              <w:rPr>
                <w:sz w:val="22"/>
                <w:szCs w:val="22"/>
              </w:rPr>
            </w:pPr>
            <w:r w:rsidRPr="00A27EDB">
              <w:rPr>
                <w:sz w:val="22"/>
                <w:szCs w:val="22"/>
              </w:rPr>
              <w:t>80</w:t>
            </w:r>
          </w:p>
        </w:tc>
        <w:tc>
          <w:tcPr>
            <w:tcW w:w="1603" w:type="dxa"/>
            <w:shd w:val="clear" w:color="auto" w:fill="auto"/>
          </w:tcPr>
          <w:p w:rsidR="00DB3398" w:rsidP="001D54D4" w14:paraId="686D5A54" w14:textId="77777777">
            <w:pPr>
              <w:pStyle w:val="BodyText2"/>
              <w:rPr>
                <w:sz w:val="22"/>
                <w:szCs w:val="22"/>
              </w:rPr>
            </w:pPr>
          </w:p>
          <w:p w:rsidR="00DB3398" w:rsidP="001D54D4" w14:paraId="462F3815" w14:textId="77777777">
            <w:pPr>
              <w:pStyle w:val="BodyText2"/>
              <w:rPr>
                <w:sz w:val="22"/>
                <w:szCs w:val="22"/>
              </w:rPr>
            </w:pPr>
          </w:p>
          <w:p w:rsidR="001D54D4" w:rsidRPr="00A27EDB" w:rsidP="001D54D4" w14:paraId="1C87693A" w14:textId="77777777">
            <w:pPr>
              <w:pStyle w:val="BodyText2"/>
              <w:rPr>
                <w:sz w:val="22"/>
                <w:szCs w:val="22"/>
              </w:rPr>
            </w:pPr>
            <w:r>
              <w:rPr>
                <w:sz w:val="22"/>
                <w:szCs w:val="22"/>
              </w:rPr>
              <w:t>1</w:t>
            </w:r>
            <w:r w:rsidRPr="00A27EDB">
              <w:rPr>
                <w:sz w:val="22"/>
                <w:szCs w:val="22"/>
              </w:rPr>
              <w:t xml:space="preserve"> hour</w:t>
            </w:r>
          </w:p>
        </w:tc>
        <w:tc>
          <w:tcPr>
            <w:tcW w:w="1740" w:type="dxa"/>
            <w:shd w:val="clear" w:color="auto" w:fill="auto"/>
          </w:tcPr>
          <w:p w:rsidR="00DB3398" w:rsidP="001D54D4" w14:paraId="11DCA99E" w14:textId="77777777">
            <w:pPr>
              <w:pStyle w:val="BodyText2"/>
              <w:rPr>
                <w:sz w:val="22"/>
                <w:szCs w:val="22"/>
              </w:rPr>
            </w:pPr>
          </w:p>
          <w:p w:rsidR="00DB3398" w:rsidP="001D54D4" w14:paraId="5963DA2E" w14:textId="77777777">
            <w:pPr>
              <w:pStyle w:val="BodyText2"/>
              <w:rPr>
                <w:sz w:val="22"/>
                <w:szCs w:val="22"/>
              </w:rPr>
            </w:pPr>
          </w:p>
          <w:p w:rsidR="001D54D4" w:rsidRPr="00A27EDB" w:rsidP="001D54D4" w14:paraId="66B5F0FF" w14:textId="77777777">
            <w:pPr>
              <w:pStyle w:val="BodyText2"/>
              <w:rPr>
                <w:sz w:val="22"/>
                <w:szCs w:val="22"/>
              </w:rPr>
            </w:pPr>
            <w:r>
              <w:rPr>
                <w:sz w:val="22"/>
                <w:szCs w:val="22"/>
              </w:rPr>
              <w:t>8</w:t>
            </w:r>
            <w:r w:rsidRPr="00A27EDB">
              <w:rPr>
                <w:sz w:val="22"/>
                <w:szCs w:val="22"/>
              </w:rPr>
              <w:t>0 hours</w:t>
            </w:r>
          </w:p>
        </w:tc>
        <w:tc>
          <w:tcPr>
            <w:tcW w:w="1356" w:type="dxa"/>
            <w:shd w:val="clear" w:color="auto" w:fill="FFFFFF"/>
          </w:tcPr>
          <w:p w:rsidR="00DB3398" w:rsidP="001D54D4" w14:paraId="6CEB621E" w14:textId="77777777">
            <w:pPr>
              <w:pStyle w:val="BodyText2"/>
              <w:rPr>
                <w:sz w:val="22"/>
                <w:szCs w:val="22"/>
              </w:rPr>
            </w:pPr>
          </w:p>
          <w:p w:rsidR="00DB3398" w:rsidP="001D54D4" w14:paraId="1D1FFFED" w14:textId="77777777">
            <w:pPr>
              <w:pStyle w:val="BodyText2"/>
              <w:rPr>
                <w:sz w:val="22"/>
                <w:szCs w:val="22"/>
              </w:rPr>
            </w:pPr>
          </w:p>
          <w:p w:rsidR="001D54D4" w:rsidRPr="00A27EDB" w:rsidP="001D54D4" w14:paraId="6FA9F7A5" w14:textId="77777777">
            <w:pPr>
              <w:pStyle w:val="BodyText2"/>
              <w:rPr>
                <w:sz w:val="22"/>
                <w:szCs w:val="22"/>
              </w:rPr>
            </w:pPr>
            <w:r w:rsidRPr="00A27EDB">
              <w:rPr>
                <w:sz w:val="22"/>
                <w:szCs w:val="22"/>
              </w:rPr>
              <w:t>$48.08</w:t>
            </w:r>
          </w:p>
        </w:tc>
        <w:tc>
          <w:tcPr>
            <w:tcW w:w="1596" w:type="dxa"/>
            <w:shd w:val="clear" w:color="auto" w:fill="FFFFFF"/>
          </w:tcPr>
          <w:p w:rsidR="00DB3398" w:rsidP="001D54D4" w14:paraId="668E58E5" w14:textId="77777777">
            <w:pPr>
              <w:pStyle w:val="BodyText2"/>
              <w:rPr>
                <w:sz w:val="22"/>
                <w:szCs w:val="22"/>
              </w:rPr>
            </w:pPr>
          </w:p>
          <w:p w:rsidR="00DB3398" w:rsidP="001D54D4" w14:paraId="7DF52F04" w14:textId="77777777">
            <w:pPr>
              <w:pStyle w:val="BodyText2"/>
              <w:rPr>
                <w:sz w:val="22"/>
                <w:szCs w:val="22"/>
              </w:rPr>
            </w:pPr>
          </w:p>
          <w:p w:rsidR="001D54D4" w:rsidRPr="00A27EDB" w:rsidP="001D54D4" w14:paraId="4219A6E3" w14:textId="77777777">
            <w:pPr>
              <w:pStyle w:val="BodyText2"/>
              <w:rPr>
                <w:sz w:val="22"/>
                <w:szCs w:val="22"/>
              </w:rPr>
            </w:pPr>
            <w:r w:rsidRPr="00A27EDB">
              <w:rPr>
                <w:sz w:val="22"/>
                <w:szCs w:val="22"/>
              </w:rPr>
              <w:t>$</w:t>
            </w:r>
            <w:r w:rsidR="00B5456B">
              <w:rPr>
                <w:sz w:val="22"/>
                <w:szCs w:val="22"/>
              </w:rPr>
              <w:t>3,846.40</w:t>
            </w:r>
          </w:p>
        </w:tc>
      </w:tr>
      <w:tr w14:paraId="5B40DB4E" w14:textId="77777777" w:rsidTr="00EC2BDB">
        <w:tblPrEx>
          <w:tblW w:w="9828" w:type="dxa"/>
          <w:tblLook w:val="01E0"/>
        </w:tblPrEx>
        <w:tc>
          <w:tcPr>
            <w:tcW w:w="1989" w:type="dxa"/>
            <w:shd w:val="clear" w:color="auto" w:fill="auto"/>
          </w:tcPr>
          <w:p w:rsidR="001D54D4" w:rsidRPr="00A27EDB" w:rsidP="001D54D4" w14:paraId="1EA50AF1" w14:textId="77777777">
            <w:pPr>
              <w:pStyle w:val="BodyText2"/>
              <w:rPr>
                <w:sz w:val="22"/>
                <w:szCs w:val="22"/>
              </w:rPr>
            </w:pPr>
          </w:p>
        </w:tc>
        <w:tc>
          <w:tcPr>
            <w:tcW w:w="1544" w:type="dxa"/>
            <w:shd w:val="clear" w:color="auto" w:fill="auto"/>
          </w:tcPr>
          <w:p w:rsidR="001D54D4" w:rsidRPr="00A27EDB" w:rsidP="001D54D4" w14:paraId="3CA18F33" w14:textId="77777777">
            <w:pPr>
              <w:pStyle w:val="BodyText2"/>
              <w:rPr>
                <w:sz w:val="22"/>
                <w:szCs w:val="22"/>
              </w:rPr>
            </w:pPr>
          </w:p>
        </w:tc>
        <w:tc>
          <w:tcPr>
            <w:tcW w:w="1603" w:type="dxa"/>
            <w:shd w:val="clear" w:color="auto" w:fill="auto"/>
          </w:tcPr>
          <w:p w:rsidR="001D54D4" w:rsidRPr="00A27EDB" w:rsidP="001D54D4" w14:paraId="1CFF7497" w14:textId="77777777">
            <w:pPr>
              <w:pStyle w:val="BodyText2"/>
              <w:rPr>
                <w:sz w:val="22"/>
                <w:szCs w:val="22"/>
              </w:rPr>
            </w:pPr>
          </w:p>
        </w:tc>
        <w:tc>
          <w:tcPr>
            <w:tcW w:w="1740" w:type="dxa"/>
            <w:shd w:val="clear" w:color="auto" w:fill="auto"/>
          </w:tcPr>
          <w:p w:rsidR="001D54D4" w:rsidRPr="00A27EDB" w:rsidP="001D54D4" w14:paraId="0F288F43" w14:textId="77777777">
            <w:pPr>
              <w:pStyle w:val="BodyText2"/>
              <w:rPr>
                <w:sz w:val="22"/>
                <w:szCs w:val="22"/>
              </w:rPr>
            </w:pPr>
          </w:p>
        </w:tc>
        <w:tc>
          <w:tcPr>
            <w:tcW w:w="1356" w:type="dxa"/>
            <w:shd w:val="clear" w:color="auto" w:fill="FFFFFF"/>
          </w:tcPr>
          <w:p w:rsidR="001D54D4" w:rsidRPr="00A27EDB" w:rsidP="001D54D4" w14:paraId="220CBEFB" w14:textId="77777777">
            <w:pPr>
              <w:pStyle w:val="BodyText2"/>
              <w:rPr>
                <w:sz w:val="22"/>
                <w:szCs w:val="22"/>
              </w:rPr>
            </w:pPr>
          </w:p>
        </w:tc>
        <w:tc>
          <w:tcPr>
            <w:tcW w:w="1596" w:type="dxa"/>
            <w:shd w:val="clear" w:color="auto" w:fill="FFFFFF"/>
          </w:tcPr>
          <w:p w:rsidR="001D54D4" w:rsidRPr="00A27EDB" w:rsidP="001D54D4" w14:paraId="5E075B27" w14:textId="77777777">
            <w:pPr>
              <w:pStyle w:val="BodyText2"/>
              <w:rPr>
                <w:sz w:val="22"/>
                <w:szCs w:val="22"/>
              </w:rPr>
            </w:pPr>
          </w:p>
        </w:tc>
      </w:tr>
      <w:tr w14:paraId="0F4DB895" w14:textId="77777777" w:rsidTr="00EC2BDB">
        <w:tblPrEx>
          <w:tblW w:w="9828" w:type="dxa"/>
          <w:tblLook w:val="01E0"/>
        </w:tblPrEx>
        <w:tc>
          <w:tcPr>
            <w:tcW w:w="1989" w:type="dxa"/>
            <w:shd w:val="clear" w:color="auto" w:fill="auto"/>
          </w:tcPr>
          <w:p w:rsidR="001D54D4" w:rsidRPr="00A27EDB" w:rsidP="001D54D4" w14:paraId="622A2E01" w14:textId="77777777">
            <w:pPr>
              <w:pStyle w:val="BodyText2"/>
              <w:rPr>
                <w:sz w:val="22"/>
                <w:szCs w:val="22"/>
              </w:rPr>
            </w:pPr>
            <w:r w:rsidRPr="00A27EDB">
              <w:rPr>
                <w:sz w:val="22"/>
                <w:szCs w:val="22"/>
              </w:rPr>
              <w:t>Waiver requests</w:t>
            </w:r>
          </w:p>
        </w:tc>
        <w:tc>
          <w:tcPr>
            <w:tcW w:w="1544" w:type="dxa"/>
            <w:shd w:val="clear" w:color="auto" w:fill="auto"/>
          </w:tcPr>
          <w:p w:rsidR="001D54D4" w:rsidRPr="00A27EDB" w:rsidP="001D54D4" w14:paraId="0733C112" w14:textId="77777777">
            <w:pPr>
              <w:pStyle w:val="BodyText2"/>
              <w:rPr>
                <w:sz w:val="22"/>
                <w:szCs w:val="22"/>
              </w:rPr>
            </w:pPr>
            <w:r w:rsidRPr="00A27EDB">
              <w:rPr>
                <w:sz w:val="22"/>
                <w:szCs w:val="22"/>
              </w:rPr>
              <w:t>50</w:t>
            </w:r>
            <w:r>
              <w:rPr>
                <w:rStyle w:val="FootnoteReference"/>
                <w:sz w:val="22"/>
                <w:szCs w:val="22"/>
              </w:rPr>
              <w:footnoteReference w:id="17"/>
            </w:r>
          </w:p>
        </w:tc>
        <w:tc>
          <w:tcPr>
            <w:tcW w:w="1603" w:type="dxa"/>
            <w:shd w:val="clear" w:color="auto" w:fill="auto"/>
          </w:tcPr>
          <w:p w:rsidR="001D54D4" w:rsidRPr="00A27EDB" w:rsidP="001D54D4" w14:paraId="678287CF"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15A0F9DA"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5B9DD80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174F7A8" w14:textId="77777777">
            <w:pPr>
              <w:pStyle w:val="BodyText2"/>
              <w:rPr>
                <w:sz w:val="22"/>
                <w:szCs w:val="22"/>
              </w:rPr>
            </w:pPr>
            <w:r w:rsidRPr="00A27EDB">
              <w:rPr>
                <w:sz w:val="22"/>
                <w:szCs w:val="22"/>
              </w:rPr>
              <w:t>$2,404.00</w:t>
            </w:r>
          </w:p>
        </w:tc>
      </w:tr>
      <w:tr w14:paraId="650D234F" w14:textId="77777777" w:rsidTr="00EC2BDB">
        <w:tblPrEx>
          <w:tblW w:w="9828" w:type="dxa"/>
          <w:tblLook w:val="01E0"/>
        </w:tblPrEx>
        <w:tc>
          <w:tcPr>
            <w:tcW w:w="1989" w:type="dxa"/>
            <w:shd w:val="clear" w:color="auto" w:fill="auto"/>
          </w:tcPr>
          <w:p w:rsidR="001D54D4" w:rsidRPr="00A27EDB" w:rsidP="001D54D4" w14:paraId="33AEE9B9" w14:textId="77777777">
            <w:pPr>
              <w:pStyle w:val="BodyText2"/>
              <w:rPr>
                <w:sz w:val="22"/>
                <w:szCs w:val="22"/>
              </w:rPr>
            </w:pPr>
            <w:r w:rsidRPr="00A27EDB">
              <w:rPr>
                <w:sz w:val="22"/>
                <w:szCs w:val="22"/>
              </w:rPr>
              <w:t>73.809(b)</w:t>
            </w:r>
          </w:p>
        </w:tc>
        <w:tc>
          <w:tcPr>
            <w:tcW w:w="1544" w:type="dxa"/>
            <w:shd w:val="clear" w:color="auto" w:fill="auto"/>
          </w:tcPr>
          <w:p w:rsidR="001D54D4" w:rsidRPr="00A27EDB" w:rsidP="001D54D4" w14:paraId="58491D85" w14:textId="77777777">
            <w:pPr>
              <w:pStyle w:val="BodyText2"/>
              <w:rPr>
                <w:sz w:val="22"/>
                <w:szCs w:val="22"/>
              </w:rPr>
            </w:pPr>
            <w:r w:rsidRPr="00A27EDB">
              <w:rPr>
                <w:sz w:val="22"/>
                <w:szCs w:val="22"/>
              </w:rPr>
              <w:t>10</w:t>
            </w:r>
          </w:p>
        </w:tc>
        <w:tc>
          <w:tcPr>
            <w:tcW w:w="1603" w:type="dxa"/>
            <w:shd w:val="clear" w:color="auto" w:fill="auto"/>
          </w:tcPr>
          <w:p w:rsidR="001D54D4" w:rsidRPr="00A27EDB" w:rsidP="001D54D4" w14:paraId="07FE63D1" w14:textId="77777777">
            <w:pPr>
              <w:pStyle w:val="BodyText2"/>
              <w:rPr>
                <w:sz w:val="22"/>
                <w:szCs w:val="22"/>
              </w:rPr>
            </w:pPr>
            <w:r w:rsidRPr="00A27EDB">
              <w:rPr>
                <w:sz w:val="22"/>
                <w:szCs w:val="22"/>
              </w:rPr>
              <w:t>2 hours</w:t>
            </w:r>
          </w:p>
        </w:tc>
        <w:tc>
          <w:tcPr>
            <w:tcW w:w="1740" w:type="dxa"/>
            <w:shd w:val="clear" w:color="auto" w:fill="auto"/>
          </w:tcPr>
          <w:p w:rsidR="001D54D4" w:rsidRPr="00A27EDB" w:rsidP="001D54D4" w14:paraId="4547FD00" w14:textId="77777777">
            <w:pPr>
              <w:pStyle w:val="BodyText2"/>
              <w:rPr>
                <w:sz w:val="22"/>
                <w:szCs w:val="22"/>
              </w:rPr>
            </w:pPr>
            <w:r w:rsidRPr="00A27EDB">
              <w:rPr>
                <w:sz w:val="22"/>
                <w:szCs w:val="22"/>
              </w:rPr>
              <w:t>20 hours</w:t>
            </w:r>
          </w:p>
        </w:tc>
        <w:tc>
          <w:tcPr>
            <w:tcW w:w="1356" w:type="dxa"/>
            <w:shd w:val="clear" w:color="auto" w:fill="FFFFFF"/>
          </w:tcPr>
          <w:p w:rsidR="001D54D4" w:rsidRPr="00A27EDB" w:rsidP="001D54D4" w14:paraId="75C1CC0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6BE13DF" w14:textId="77777777">
            <w:pPr>
              <w:pStyle w:val="BodyText2"/>
              <w:rPr>
                <w:sz w:val="22"/>
                <w:szCs w:val="22"/>
              </w:rPr>
            </w:pPr>
            <w:r w:rsidRPr="00A27EDB">
              <w:rPr>
                <w:sz w:val="22"/>
                <w:szCs w:val="22"/>
              </w:rPr>
              <w:t>$961.60</w:t>
            </w:r>
          </w:p>
        </w:tc>
      </w:tr>
      <w:tr w14:paraId="0CD874F3" w14:textId="77777777" w:rsidTr="00EC2BDB">
        <w:tblPrEx>
          <w:tblW w:w="9828" w:type="dxa"/>
          <w:tblLook w:val="01E0"/>
        </w:tblPrEx>
        <w:tc>
          <w:tcPr>
            <w:tcW w:w="1989" w:type="dxa"/>
            <w:shd w:val="clear" w:color="auto" w:fill="auto"/>
          </w:tcPr>
          <w:p w:rsidR="001D54D4" w:rsidRPr="00A27EDB" w:rsidP="001D54D4" w14:paraId="44106A9C" w14:textId="77777777">
            <w:pPr>
              <w:pStyle w:val="BodyText2"/>
              <w:rPr>
                <w:sz w:val="22"/>
                <w:szCs w:val="22"/>
              </w:rPr>
            </w:pPr>
            <w:r w:rsidRPr="00A27EDB">
              <w:rPr>
                <w:sz w:val="22"/>
                <w:szCs w:val="22"/>
              </w:rPr>
              <w:t>73.809(c)</w:t>
            </w:r>
          </w:p>
        </w:tc>
        <w:tc>
          <w:tcPr>
            <w:tcW w:w="1544" w:type="dxa"/>
            <w:shd w:val="clear" w:color="auto" w:fill="auto"/>
          </w:tcPr>
          <w:p w:rsidR="001D54D4" w:rsidRPr="00A27EDB" w:rsidP="001D54D4" w14:paraId="44D6C581" w14:textId="77777777">
            <w:pPr>
              <w:pStyle w:val="BodyText2"/>
              <w:rPr>
                <w:sz w:val="22"/>
                <w:szCs w:val="22"/>
              </w:rPr>
            </w:pPr>
            <w:r w:rsidRPr="00A27EDB">
              <w:rPr>
                <w:sz w:val="22"/>
                <w:szCs w:val="22"/>
              </w:rPr>
              <w:t>30</w:t>
            </w:r>
          </w:p>
        </w:tc>
        <w:tc>
          <w:tcPr>
            <w:tcW w:w="1603" w:type="dxa"/>
            <w:shd w:val="clear" w:color="auto" w:fill="auto"/>
          </w:tcPr>
          <w:p w:rsidR="001D54D4" w:rsidRPr="00A27EDB" w:rsidP="001D54D4" w14:paraId="7E63AFBD"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5159E99C"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0163DA92"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6EC4BECB" w14:textId="77777777">
            <w:pPr>
              <w:pStyle w:val="BodyText2"/>
              <w:rPr>
                <w:sz w:val="22"/>
                <w:szCs w:val="22"/>
              </w:rPr>
            </w:pPr>
            <w:r w:rsidRPr="00A27EDB">
              <w:rPr>
                <w:sz w:val="22"/>
                <w:szCs w:val="22"/>
              </w:rPr>
              <w:t>$721.20</w:t>
            </w:r>
          </w:p>
        </w:tc>
      </w:tr>
      <w:tr w14:paraId="575EE034" w14:textId="77777777" w:rsidTr="00EC2BDB">
        <w:tblPrEx>
          <w:tblW w:w="9828" w:type="dxa"/>
          <w:tblLook w:val="01E0"/>
        </w:tblPrEx>
        <w:tc>
          <w:tcPr>
            <w:tcW w:w="1989" w:type="dxa"/>
            <w:shd w:val="clear" w:color="auto" w:fill="auto"/>
          </w:tcPr>
          <w:p w:rsidR="001D54D4" w:rsidRPr="00A27EDB" w:rsidP="001D54D4" w14:paraId="670B4F63" w14:textId="77777777">
            <w:pPr>
              <w:pStyle w:val="BodyText2"/>
              <w:rPr>
                <w:sz w:val="22"/>
                <w:szCs w:val="22"/>
              </w:rPr>
            </w:pPr>
            <w:r w:rsidRPr="00A27EDB">
              <w:rPr>
                <w:sz w:val="22"/>
                <w:szCs w:val="22"/>
              </w:rPr>
              <w:t>73.809(e)</w:t>
            </w:r>
          </w:p>
        </w:tc>
        <w:tc>
          <w:tcPr>
            <w:tcW w:w="1544" w:type="dxa"/>
            <w:shd w:val="clear" w:color="auto" w:fill="auto"/>
          </w:tcPr>
          <w:p w:rsidR="001D54D4" w:rsidRPr="00A27EDB" w:rsidP="001D54D4" w14:paraId="37F18340" w14:textId="77777777">
            <w:pPr>
              <w:pStyle w:val="BodyText2"/>
              <w:rPr>
                <w:sz w:val="22"/>
                <w:szCs w:val="22"/>
              </w:rPr>
            </w:pPr>
            <w:r w:rsidRPr="00A27EDB">
              <w:rPr>
                <w:sz w:val="22"/>
                <w:szCs w:val="22"/>
              </w:rPr>
              <w:t>3</w:t>
            </w:r>
          </w:p>
        </w:tc>
        <w:tc>
          <w:tcPr>
            <w:tcW w:w="1603" w:type="dxa"/>
            <w:shd w:val="clear" w:color="auto" w:fill="auto"/>
          </w:tcPr>
          <w:p w:rsidR="001D54D4" w:rsidRPr="00A27EDB" w:rsidP="001D54D4" w14:paraId="4744F282"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3B185146" w14:textId="77777777">
            <w:pPr>
              <w:pStyle w:val="BodyText2"/>
              <w:rPr>
                <w:sz w:val="22"/>
                <w:szCs w:val="22"/>
              </w:rPr>
            </w:pPr>
            <w:r w:rsidRPr="00A27EDB">
              <w:rPr>
                <w:sz w:val="22"/>
                <w:szCs w:val="22"/>
              </w:rPr>
              <w:t>3 hours</w:t>
            </w:r>
          </w:p>
        </w:tc>
        <w:tc>
          <w:tcPr>
            <w:tcW w:w="1356" w:type="dxa"/>
            <w:shd w:val="clear" w:color="auto" w:fill="FFFFFF"/>
          </w:tcPr>
          <w:p w:rsidR="001D54D4" w:rsidRPr="00A27EDB" w:rsidP="001D54D4" w14:paraId="2EF2C16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1F321A7" w14:textId="77777777">
            <w:pPr>
              <w:pStyle w:val="BodyText2"/>
              <w:rPr>
                <w:sz w:val="22"/>
                <w:szCs w:val="22"/>
              </w:rPr>
            </w:pPr>
            <w:r w:rsidRPr="00A27EDB">
              <w:rPr>
                <w:sz w:val="22"/>
                <w:szCs w:val="22"/>
              </w:rPr>
              <w:t>$144.24</w:t>
            </w:r>
          </w:p>
        </w:tc>
      </w:tr>
      <w:tr w14:paraId="72E89FAB" w14:textId="77777777" w:rsidTr="00EC2BDB">
        <w:tblPrEx>
          <w:tblW w:w="9828" w:type="dxa"/>
          <w:tblLook w:val="01E0"/>
        </w:tblPrEx>
        <w:tc>
          <w:tcPr>
            <w:tcW w:w="1989" w:type="dxa"/>
            <w:shd w:val="clear" w:color="auto" w:fill="auto"/>
          </w:tcPr>
          <w:p w:rsidR="001D54D4" w:rsidRPr="00A27EDB" w:rsidP="001D54D4" w14:paraId="6DCC113D" w14:textId="77777777">
            <w:pPr>
              <w:pStyle w:val="BodyText2"/>
              <w:rPr>
                <w:sz w:val="22"/>
                <w:szCs w:val="22"/>
              </w:rPr>
            </w:pPr>
            <w:r w:rsidRPr="00A27EDB">
              <w:rPr>
                <w:sz w:val="22"/>
                <w:szCs w:val="22"/>
              </w:rPr>
              <w:t>73.807</w:t>
            </w:r>
          </w:p>
        </w:tc>
        <w:tc>
          <w:tcPr>
            <w:tcW w:w="1544" w:type="dxa"/>
            <w:shd w:val="clear" w:color="auto" w:fill="auto"/>
          </w:tcPr>
          <w:p w:rsidR="001D54D4" w:rsidRPr="00A27EDB" w:rsidP="001D54D4" w14:paraId="48BE5602"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48F66683"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2FC79CFD"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17DE50E2"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46D19FB4" w14:textId="77777777">
            <w:pPr>
              <w:pStyle w:val="BodyText2"/>
              <w:rPr>
                <w:sz w:val="22"/>
                <w:szCs w:val="22"/>
              </w:rPr>
            </w:pPr>
            <w:r w:rsidRPr="00A27EDB">
              <w:rPr>
                <w:sz w:val="22"/>
                <w:szCs w:val="22"/>
              </w:rPr>
              <w:t>$1,202.00</w:t>
            </w:r>
          </w:p>
        </w:tc>
      </w:tr>
      <w:tr w14:paraId="031E8D11" w14:textId="77777777" w:rsidTr="00EC2BDB">
        <w:tblPrEx>
          <w:tblW w:w="9828" w:type="dxa"/>
          <w:tblLook w:val="01E0"/>
        </w:tblPrEx>
        <w:tc>
          <w:tcPr>
            <w:tcW w:w="1989" w:type="dxa"/>
            <w:shd w:val="clear" w:color="auto" w:fill="auto"/>
          </w:tcPr>
          <w:p w:rsidR="001D54D4" w:rsidRPr="00A27EDB" w:rsidP="001D54D4" w14:paraId="614256CF" w14:textId="77777777">
            <w:pPr>
              <w:pStyle w:val="BodyText2"/>
              <w:rPr>
                <w:sz w:val="22"/>
                <w:szCs w:val="22"/>
              </w:rPr>
            </w:pPr>
          </w:p>
          <w:p w:rsidR="001D54D4" w:rsidRPr="00A27EDB" w:rsidP="001D54D4" w14:paraId="49092E6C" w14:textId="77777777">
            <w:pPr>
              <w:pStyle w:val="BodyText2"/>
              <w:rPr>
                <w:sz w:val="22"/>
                <w:szCs w:val="22"/>
              </w:rPr>
            </w:pPr>
            <w:r w:rsidRPr="00A27EDB">
              <w:rPr>
                <w:sz w:val="22"/>
                <w:szCs w:val="22"/>
              </w:rPr>
              <w:t>73.810</w:t>
            </w:r>
          </w:p>
        </w:tc>
        <w:tc>
          <w:tcPr>
            <w:tcW w:w="1544" w:type="dxa"/>
            <w:shd w:val="clear" w:color="auto" w:fill="auto"/>
          </w:tcPr>
          <w:p w:rsidR="001D54D4" w:rsidRPr="00A27EDB" w:rsidP="001D54D4" w14:paraId="0046BC4E"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34B2B25C"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46714BD7"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37745D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1BFB8BB" w14:textId="77777777">
            <w:pPr>
              <w:pStyle w:val="BodyText2"/>
              <w:rPr>
                <w:sz w:val="22"/>
                <w:szCs w:val="22"/>
              </w:rPr>
            </w:pPr>
            <w:r w:rsidRPr="00A27EDB">
              <w:rPr>
                <w:sz w:val="22"/>
                <w:szCs w:val="22"/>
              </w:rPr>
              <w:t>$1,202.00</w:t>
            </w:r>
          </w:p>
        </w:tc>
      </w:tr>
      <w:tr w14:paraId="01269AC4" w14:textId="77777777" w:rsidTr="00EC2BDB">
        <w:tblPrEx>
          <w:tblW w:w="9828" w:type="dxa"/>
          <w:tblLook w:val="01E0"/>
        </w:tblPrEx>
        <w:tc>
          <w:tcPr>
            <w:tcW w:w="1989" w:type="dxa"/>
            <w:shd w:val="clear" w:color="auto" w:fill="auto"/>
          </w:tcPr>
          <w:p w:rsidR="001D54D4" w:rsidRPr="00A27EDB" w:rsidP="001D54D4" w14:paraId="46168251" w14:textId="77777777">
            <w:pPr>
              <w:pStyle w:val="BodyText2"/>
              <w:rPr>
                <w:sz w:val="22"/>
                <w:szCs w:val="22"/>
              </w:rPr>
            </w:pPr>
            <w:r w:rsidRPr="00A27EDB">
              <w:rPr>
                <w:sz w:val="22"/>
                <w:szCs w:val="22"/>
              </w:rPr>
              <w:t>73.827(a)</w:t>
            </w:r>
          </w:p>
        </w:tc>
        <w:tc>
          <w:tcPr>
            <w:tcW w:w="1544" w:type="dxa"/>
            <w:shd w:val="clear" w:color="auto" w:fill="auto"/>
          </w:tcPr>
          <w:p w:rsidR="001D54D4" w:rsidRPr="00A27EDB" w:rsidP="001D54D4" w14:paraId="68923FA8" w14:textId="77777777">
            <w:pPr>
              <w:pStyle w:val="BodyText2"/>
              <w:rPr>
                <w:sz w:val="22"/>
                <w:szCs w:val="22"/>
              </w:rPr>
            </w:pPr>
            <w:r w:rsidRPr="00A27EDB">
              <w:rPr>
                <w:sz w:val="22"/>
                <w:szCs w:val="22"/>
              </w:rPr>
              <w:t>200</w:t>
            </w:r>
          </w:p>
        </w:tc>
        <w:tc>
          <w:tcPr>
            <w:tcW w:w="1603" w:type="dxa"/>
            <w:shd w:val="clear" w:color="auto" w:fill="auto"/>
          </w:tcPr>
          <w:p w:rsidR="001D54D4" w:rsidRPr="00A27EDB" w:rsidP="001D54D4" w14:paraId="4DA105E5"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356BF151" w14:textId="77777777">
            <w:pPr>
              <w:pStyle w:val="BodyText2"/>
              <w:rPr>
                <w:sz w:val="22"/>
                <w:szCs w:val="22"/>
              </w:rPr>
            </w:pPr>
            <w:r w:rsidRPr="00A27EDB">
              <w:rPr>
                <w:sz w:val="22"/>
                <w:szCs w:val="22"/>
              </w:rPr>
              <w:t>100 hours</w:t>
            </w:r>
          </w:p>
        </w:tc>
        <w:tc>
          <w:tcPr>
            <w:tcW w:w="1356" w:type="dxa"/>
            <w:shd w:val="clear" w:color="auto" w:fill="FFFFFF"/>
          </w:tcPr>
          <w:p w:rsidR="001D54D4" w:rsidRPr="00A27EDB" w:rsidP="001D54D4" w14:paraId="0915831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95230CB" w14:textId="77777777">
            <w:pPr>
              <w:pStyle w:val="BodyText2"/>
              <w:rPr>
                <w:sz w:val="22"/>
                <w:szCs w:val="22"/>
              </w:rPr>
            </w:pPr>
            <w:r w:rsidRPr="00A27EDB">
              <w:rPr>
                <w:sz w:val="22"/>
                <w:szCs w:val="22"/>
              </w:rPr>
              <w:t>$4,808.00</w:t>
            </w:r>
          </w:p>
        </w:tc>
      </w:tr>
      <w:tr w14:paraId="335E2191" w14:textId="77777777" w:rsidTr="00EC2BDB">
        <w:tblPrEx>
          <w:tblW w:w="9828" w:type="dxa"/>
          <w:tblLook w:val="01E0"/>
        </w:tblPrEx>
        <w:tc>
          <w:tcPr>
            <w:tcW w:w="1989" w:type="dxa"/>
            <w:shd w:val="clear" w:color="auto" w:fill="auto"/>
          </w:tcPr>
          <w:p w:rsidR="001D54D4" w:rsidRPr="00A27EDB" w:rsidP="001D54D4" w14:paraId="410BFB77" w14:textId="77777777">
            <w:pPr>
              <w:pStyle w:val="BodyText2"/>
              <w:rPr>
                <w:sz w:val="22"/>
                <w:szCs w:val="22"/>
              </w:rPr>
            </w:pPr>
            <w:r w:rsidRPr="00A27EDB">
              <w:rPr>
                <w:sz w:val="22"/>
                <w:szCs w:val="22"/>
              </w:rPr>
              <w:t>73.827(c)</w:t>
            </w:r>
          </w:p>
        </w:tc>
        <w:tc>
          <w:tcPr>
            <w:tcW w:w="1544" w:type="dxa"/>
            <w:shd w:val="clear" w:color="auto" w:fill="auto"/>
          </w:tcPr>
          <w:p w:rsidR="001D54D4" w:rsidRPr="00A27EDB" w:rsidP="001D54D4" w14:paraId="03BAC8CC"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2FB5DA68"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6E888645"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693F1A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4A9DBB2" w14:textId="77777777">
            <w:pPr>
              <w:pStyle w:val="BodyText2"/>
              <w:rPr>
                <w:sz w:val="22"/>
                <w:szCs w:val="22"/>
              </w:rPr>
            </w:pPr>
            <w:r w:rsidRPr="00A27EDB">
              <w:rPr>
                <w:sz w:val="22"/>
                <w:szCs w:val="22"/>
              </w:rPr>
              <w:t>$1,202.00</w:t>
            </w:r>
          </w:p>
        </w:tc>
      </w:tr>
      <w:tr w14:paraId="37A6809C" w14:textId="77777777" w:rsidTr="00EC2BDB">
        <w:tblPrEx>
          <w:tblW w:w="9828" w:type="dxa"/>
          <w:tblLook w:val="01E0"/>
        </w:tblPrEx>
        <w:tc>
          <w:tcPr>
            <w:tcW w:w="1989" w:type="dxa"/>
            <w:shd w:val="clear" w:color="auto" w:fill="auto"/>
          </w:tcPr>
          <w:p w:rsidR="001D54D4" w:rsidRPr="00A27EDB" w:rsidP="001D54D4" w14:paraId="3D3A92B7" w14:textId="77777777">
            <w:pPr>
              <w:pStyle w:val="BodyText2"/>
              <w:rPr>
                <w:sz w:val="22"/>
                <w:szCs w:val="22"/>
              </w:rPr>
            </w:pPr>
            <w:r w:rsidRPr="00A27EDB">
              <w:rPr>
                <w:sz w:val="22"/>
                <w:szCs w:val="22"/>
              </w:rPr>
              <w:t>73.850</w:t>
            </w:r>
          </w:p>
        </w:tc>
        <w:tc>
          <w:tcPr>
            <w:tcW w:w="1544" w:type="dxa"/>
            <w:shd w:val="clear" w:color="auto" w:fill="auto"/>
          </w:tcPr>
          <w:p w:rsidR="001D54D4" w:rsidRPr="00A27EDB" w:rsidP="001D54D4" w14:paraId="0B1B448F" w14:textId="77777777">
            <w:pPr>
              <w:pStyle w:val="BodyText2"/>
              <w:rPr>
                <w:sz w:val="22"/>
                <w:szCs w:val="22"/>
              </w:rPr>
            </w:pPr>
            <w:r w:rsidRPr="00A27EDB">
              <w:rPr>
                <w:sz w:val="22"/>
                <w:szCs w:val="22"/>
              </w:rPr>
              <w:t>100</w:t>
            </w:r>
          </w:p>
        </w:tc>
        <w:tc>
          <w:tcPr>
            <w:tcW w:w="1603" w:type="dxa"/>
            <w:shd w:val="clear" w:color="auto" w:fill="auto"/>
          </w:tcPr>
          <w:p w:rsidR="001D54D4" w:rsidRPr="00A27EDB" w:rsidP="001D54D4" w14:paraId="3021DFC4" w14:textId="77777777">
            <w:pPr>
              <w:pStyle w:val="BodyText2"/>
              <w:rPr>
                <w:sz w:val="22"/>
                <w:szCs w:val="22"/>
              </w:rPr>
            </w:pPr>
            <w:r w:rsidRPr="00A27EDB">
              <w:rPr>
                <w:sz w:val="22"/>
                <w:szCs w:val="22"/>
              </w:rPr>
              <w:t>1.5 hours</w:t>
            </w:r>
          </w:p>
        </w:tc>
        <w:tc>
          <w:tcPr>
            <w:tcW w:w="1740" w:type="dxa"/>
            <w:shd w:val="clear" w:color="auto" w:fill="auto"/>
          </w:tcPr>
          <w:p w:rsidR="001D54D4" w:rsidRPr="00A27EDB" w:rsidP="001D54D4" w14:paraId="1E92366D" w14:textId="77777777">
            <w:pPr>
              <w:pStyle w:val="BodyText2"/>
              <w:rPr>
                <w:sz w:val="22"/>
                <w:szCs w:val="22"/>
              </w:rPr>
            </w:pPr>
            <w:r w:rsidRPr="00A27EDB">
              <w:rPr>
                <w:sz w:val="22"/>
                <w:szCs w:val="22"/>
              </w:rPr>
              <w:t>150 hours</w:t>
            </w:r>
          </w:p>
        </w:tc>
        <w:tc>
          <w:tcPr>
            <w:tcW w:w="1356" w:type="dxa"/>
            <w:shd w:val="clear" w:color="auto" w:fill="FFFFFF"/>
          </w:tcPr>
          <w:p w:rsidR="001D54D4" w:rsidRPr="00A27EDB" w:rsidP="001D54D4" w14:paraId="6A3EAD5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18DCAB7" w14:textId="77777777">
            <w:pPr>
              <w:pStyle w:val="BodyText2"/>
              <w:rPr>
                <w:sz w:val="22"/>
                <w:szCs w:val="22"/>
              </w:rPr>
            </w:pPr>
            <w:r w:rsidRPr="00A27EDB">
              <w:rPr>
                <w:sz w:val="22"/>
                <w:szCs w:val="22"/>
              </w:rPr>
              <w:t>$7,212.00</w:t>
            </w:r>
          </w:p>
        </w:tc>
      </w:tr>
      <w:tr w14:paraId="058395C8" w14:textId="77777777" w:rsidTr="00EC2BDB">
        <w:tblPrEx>
          <w:tblW w:w="9828" w:type="dxa"/>
          <w:tblLook w:val="01E0"/>
        </w:tblPrEx>
        <w:tc>
          <w:tcPr>
            <w:tcW w:w="1989" w:type="dxa"/>
            <w:shd w:val="clear" w:color="auto" w:fill="auto"/>
          </w:tcPr>
          <w:p w:rsidR="001D54D4" w:rsidRPr="00A27EDB" w:rsidP="001D54D4" w14:paraId="09A0A802" w14:textId="77777777">
            <w:pPr>
              <w:pStyle w:val="BodyText2"/>
              <w:rPr>
                <w:sz w:val="22"/>
                <w:szCs w:val="22"/>
              </w:rPr>
            </w:pPr>
            <w:r w:rsidRPr="00A27EDB">
              <w:rPr>
                <w:sz w:val="22"/>
                <w:szCs w:val="22"/>
              </w:rPr>
              <w:t>73.865</w:t>
            </w:r>
          </w:p>
        </w:tc>
        <w:tc>
          <w:tcPr>
            <w:tcW w:w="1544" w:type="dxa"/>
            <w:shd w:val="clear" w:color="auto" w:fill="auto"/>
          </w:tcPr>
          <w:p w:rsidR="001D54D4" w:rsidRPr="00A27EDB" w:rsidP="001D54D4" w14:paraId="735A10AB"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613E55F2" w14:textId="77777777">
            <w:pPr>
              <w:pStyle w:val="BodyText2"/>
              <w:rPr>
                <w:sz w:val="22"/>
                <w:szCs w:val="22"/>
              </w:rPr>
            </w:pPr>
            <w:r w:rsidRPr="00A27EDB">
              <w:rPr>
                <w:sz w:val="22"/>
                <w:szCs w:val="22"/>
              </w:rPr>
              <w:t>4 hours</w:t>
            </w:r>
          </w:p>
        </w:tc>
        <w:tc>
          <w:tcPr>
            <w:tcW w:w="1740" w:type="dxa"/>
            <w:shd w:val="clear" w:color="auto" w:fill="auto"/>
          </w:tcPr>
          <w:p w:rsidR="001D54D4" w:rsidRPr="00A27EDB" w:rsidP="001D54D4" w14:paraId="2F741F6C" w14:textId="77777777">
            <w:pPr>
              <w:pStyle w:val="BodyText2"/>
              <w:rPr>
                <w:sz w:val="22"/>
                <w:szCs w:val="22"/>
              </w:rPr>
            </w:pPr>
            <w:r w:rsidRPr="00A27EDB">
              <w:rPr>
                <w:sz w:val="22"/>
                <w:szCs w:val="22"/>
              </w:rPr>
              <w:t>200 hours</w:t>
            </w:r>
          </w:p>
        </w:tc>
        <w:tc>
          <w:tcPr>
            <w:tcW w:w="1356" w:type="dxa"/>
            <w:shd w:val="clear" w:color="auto" w:fill="FFFFFF"/>
          </w:tcPr>
          <w:p w:rsidR="001D54D4" w:rsidRPr="00A27EDB" w:rsidP="001D54D4" w14:paraId="14E64B67"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61E767BD" w14:textId="77777777">
            <w:pPr>
              <w:pStyle w:val="BodyText2"/>
              <w:rPr>
                <w:sz w:val="22"/>
                <w:szCs w:val="22"/>
              </w:rPr>
            </w:pPr>
            <w:r w:rsidRPr="00A27EDB">
              <w:rPr>
                <w:sz w:val="22"/>
                <w:szCs w:val="22"/>
              </w:rPr>
              <w:t>$9,616.00</w:t>
            </w:r>
          </w:p>
        </w:tc>
      </w:tr>
      <w:tr w14:paraId="6E5FE1E0" w14:textId="77777777" w:rsidTr="00EC2BDB">
        <w:tblPrEx>
          <w:tblW w:w="9828" w:type="dxa"/>
          <w:tblLook w:val="01E0"/>
        </w:tblPrEx>
        <w:tc>
          <w:tcPr>
            <w:tcW w:w="1989" w:type="dxa"/>
            <w:shd w:val="clear" w:color="auto" w:fill="auto"/>
          </w:tcPr>
          <w:p w:rsidR="001D54D4" w:rsidRPr="00A27EDB" w:rsidP="001D54D4" w14:paraId="2415BE26" w14:textId="77777777">
            <w:pPr>
              <w:pStyle w:val="BodyText2"/>
              <w:rPr>
                <w:sz w:val="22"/>
                <w:szCs w:val="22"/>
              </w:rPr>
            </w:pPr>
            <w:r w:rsidRPr="00A27EDB">
              <w:rPr>
                <w:sz w:val="22"/>
                <w:szCs w:val="22"/>
              </w:rPr>
              <w:t>73.870(d)</w:t>
            </w:r>
          </w:p>
        </w:tc>
        <w:tc>
          <w:tcPr>
            <w:tcW w:w="1544" w:type="dxa"/>
            <w:shd w:val="clear" w:color="auto" w:fill="auto"/>
          </w:tcPr>
          <w:p w:rsidR="001D54D4" w:rsidRPr="00A27EDB" w:rsidP="001D54D4" w14:paraId="712C7CE3" w14:textId="77777777">
            <w:pPr>
              <w:pStyle w:val="BodyText2"/>
              <w:rPr>
                <w:sz w:val="22"/>
                <w:szCs w:val="22"/>
              </w:rPr>
            </w:pPr>
            <w:r w:rsidRPr="00A27EDB">
              <w:rPr>
                <w:sz w:val="22"/>
                <w:szCs w:val="22"/>
              </w:rPr>
              <w:t>15</w:t>
            </w:r>
          </w:p>
        </w:tc>
        <w:tc>
          <w:tcPr>
            <w:tcW w:w="1603" w:type="dxa"/>
            <w:shd w:val="clear" w:color="auto" w:fill="auto"/>
          </w:tcPr>
          <w:p w:rsidR="001D54D4" w:rsidRPr="00A27EDB" w:rsidP="001D54D4" w14:paraId="52BFFC70" w14:textId="77777777">
            <w:pPr>
              <w:pStyle w:val="BodyText2"/>
              <w:rPr>
                <w:sz w:val="22"/>
                <w:szCs w:val="22"/>
              </w:rPr>
            </w:pPr>
            <w:r w:rsidRPr="00A27EDB">
              <w:rPr>
                <w:sz w:val="22"/>
                <w:szCs w:val="22"/>
              </w:rPr>
              <w:t>2 hours</w:t>
            </w:r>
          </w:p>
        </w:tc>
        <w:tc>
          <w:tcPr>
            <w:tcW w:w="1740" w:type="dxa"/>
            <w:shd w:val="clear" w:color="auto" w:fill="auto"/>
          </w:tcPr>
          <w:p w:rsidR="001D54D4" w:rsidRPr="00A27EDB" w:rsidP="001D54D4" w14:paraId="2A4424CA" w14:textId="77777777">
            <w:pPr>
              <w:pStyle w:val="BodyText2"/>
              <w:rPr>
                <w:sz w:val="22"/>
                <w:szCs w:val="22"/>
              </w:rPr>
            </w:pPr>
            <w:r w:rsidRPr="00A27EDB">
              <w:rPr>
                <w:sz w:val="22"/>
                <w:szCs w:val="22"/>
              </w:rPr>
              <w:t>30 hours</w:t>
            </w:r>
          </w:p>
        </w:tc>
        <w:tc>
          <w:tcPr>
            <w:tcW w:w="1356" w:type="dxa"/>
            <w:shd w:val="clear" w:color="auto" w:fill="FFFFFF"/>
          </w:tcPr>
          <w:p w:rsidR="001D54D4" w:rsidRPr="00A27EDB" w:rsidP="001D54D4" w14:paraId="1344138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5ADFA16" w14:textId="77777777">
            <w:pPr>
              <w:pStyle w:val="BodyText2"/>
              <w:rPr>
                <w:sz w:val="22"/>
                <w:szCs w:val="22"/>
              </w:rPr>
            </w:pPr>
            <w:r w:rsidRPr="00A27EDB">
              <w:rPr>
                <w:sz w:val="22"/>
                <w:szCs w:val="22"/>
              </w:rPr>
              <w:t>$1,442.40</w:t>
            </w:r>
          </w:p>
        </w:tc>
      </w:tr>
      <w:tr w14:paraId="72E06CAF" w14:textId="77777777" w:rsidTr="00EC2BDB">
        <w:tblPrEx>
          <w:tblW w:w="9828" w:type="dxa"/>
          <w:tblLook w:val="01E0"/>
        </w:tblPrEx>
        <w:tc>
          <w:tcPr>
            <w:tcW w:w="1989" w:type="dxa"/>
            <w:shd w:val="clear" w:color="auto" w:fill="auto"/>
          </w:tcPr>
          <w:p w:rsidR="001D54D4" w:rsidRPr="00A27EDB" w:rsidP="001D54D4" w14:paraId="6F693DF1" w14:textId="77777777">
            <w:pPr>
              <w:pStyle w:val="BodyText2"/>
              <w:rPr>
                <w:sz w:val="22"/>
                <w:szCs w:val="22"/>
              </w:rPr>
            </w:pPr>
            <w:r w:rsidRPr="00A27EDB">
              <w:rPr>
                <w:sz w:val="22"/>
                <w:szCs w:val="22"/>
              </w:rPr>
              <w:t>73.872(b)</w:t>
            </w:r>
          </w:p>
        </w:tc>
        <w:tc>
          <w:tcPr>
            <w:tcW w:w="1544" w:type="dxa"/>
            <w:shd w:val="clear" w:color="auto" w:fill="auto"/>
          </w:tcPr>
          <w:p w:rsidR="001D54D4" w:rsidRPr="00A27EDB" w:rsidP="001D54D4" w14:paraId="337A3239" w14:textId="77777777">
            <w:pPr>
              <w:pStyle w:val="BodyText2"/>
              <w:rPr>
                <w:sz w:val="22"/>
                <w:szCs w:val="22"/>
              </w:rPr>
            </w:pPr>
            <w:r w:rsidRPr="00A27EDB">
              <w:rPr>
                <w:sz w:val="22"/>
                <w:szCs w:val="22"/>
              </w:rPr>
              <w:t>2,850</w:t>
            </w:r>
          </w:p>
        </w:tc>
        <w:tc>
          <w:tcPr>
            <w:tcW w:w="1603" w:type="dxa"/>
            <w:shd w:val="clear" w:color="auto" w:fill="auto"/>
          </w:tcPr>
          <w:p w:rsidR="001D54D4" w:rsidRPr="00A27EDB" w:rsidP="001D54D4" w14:paraId="71E58F4B"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0EB7213E" w14:textId="77777777">
            <w:pPr>
              <w:pStyle w:val="BodyText2"/>
              <w:rPr>
                <w:sz w:val="22"/>
                <w:szCs w:val="22"/>
              </w:rPr>
            </w:pPr>
            <w:r w:rsidRPr="00A27EDB">
              <w:rPr>
                <w:sz w:val="22"/>
                <w:szCs w:val="22"/>
              </w:rPr>
              <w:t>1,425 hours</w:t>
            </w:r>
          </w:p>
        </w:tc>
        <w:tc>
          <w:tcPr>
            <w:tcW w:w="1356" w:type="dxa"/>
            <w:shd w:val="clear" w:color="auto" w:fill="FFFFFF"/>
          </w:tcPr>
          <w:p w:rsidR="001D54D4" w:rsidRPr="00A27EDB" w:rsidP="001D54D4" w14:paraId="2282F7B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565865D" w14:textId="77777777">
            <w:pPr>
              <w:pStyle w:val="BodyText2"/>
              <w:rPr>
                <w:sz w:val="22"/>
                <w:szCs w:val="22"/>
              </w:rPr>
            </w:pPr>
            <w:r w:rsidRPr="00A27EDB">
              <w:rPr>
                <w:sz w:val="22"/>
                <w:szCs w:val="22"/>
              </w:rPr>
              <w:t>$68,514.00</w:t>
            </w:r>
          </w:p>
        </w:tc>
      </w:tr>
      <w:tr w14:paraId="2C53BEC2" w14:textId="77777777" w:rsidTr="00EC2BDB">
        <w:tblPrEx>
          <w:tblW w:w="9828" w:type="dxa"/>
          <w:tblLook w:val="01E0"/>
        </w:tblPrEx>
        <w:tc>
          <w:tcPr>
            <w:tcW w:w="1989" w:type="dxa"/>
            <w:shd w:val="clear" w:color="auto" w:fill="auto"/>
          </w:tcPr>
          <w:p w:rsidR="001D54D4" w:rsidRPr="00A27EDB" w:rsidP="001D54D4" w14:paraId="26B659AE" w14:textId="77777777">
            <w:pPr>
              <w:pStyle w:val="BodyText2"/>
              <w:rPr>
                <w:sz w:val="22"/>
                <w:szCs w:val="22"/>
              </w:rPr>
            </w:pPr>
            <w:r w:rsidRPr="00A27EDB">
              <w:rPr>
                <w:sz w:val="22"/>
                <w:szCs w:val="22"/>
              </w:rPr>
              <w:t>73.872(c)</w:t>
            </w:r>
          </w:p>
        </w:tc>
        <w:tc>
          <w:tcPr>
            <w:tcW w:w="1544" w:type="dxa"/>
            <w:shd w:val="clear" w:color="auto" w:fill="auto"/>
          </w:tcPr>
          <w:p w:rsidR="001D54D4" w:rsidRPr="00A27EDB" w:rsidP="001D54D4" w14:paraId="3C9B3576" w14:textId="77777777">
            <w:pPr>
              <w:pStyle w:val="BodyText2"/>
              <w:rPr>
                <w:sz w:val="22"/>
                <w:szCs w:val="22"/>
              </w:rPr>
            </w:pPr>
            <w:r w:rsidRPr="00A27EDB">
              <w:rPr>
                <w:sz w:val="22"/>
                <w:szCs w:val="22"/>
              </w:rPr>
              <w:t>200</w:t>
            </w:r>
          </w:p>
        </w:tc>
        <w:tc>
          <w:tcPr>
            <w:tcW w:w="1603" w:type="dxa"/>
            <w:shd w:val="clear" w:color="auto" w:fill="auto"/>
          </w:tcPr>
          <w:p w:rsidR="001D54D4" w:rsidRPr="00A27EDB" w:rsidP="001D54D4" w14:paraId="295ED41F" w14:textId="77777777">
            <w:pPr>
              <w:pStyle w:val="BodyText2"/>
              <w:rPr>
                <w:sz w:val="22"/>
                <w:szCs w:val="22"/>
              </w:rPr>
            </w:pPr>
            <w:r w:rsidRPr="00A27EDB">
              <w:rPr>
                <w:sz w:val="22"/>
                <w:szCs w:val="22"/>
              </w:rPr>
              <w:t>2 hours</w:t>
            </w:r>
          </w:p>
        </w:tc>
        <w:tc>
          <w:tcPr>
            <w:tcW w:w="1740" w:type="dxa"/>
            <w:shd w:val="clear" w:color="auto" w:fill="auto"/>
          </w:tcPr>
          <w:p w:rsidR="001D54D4" w:rsidRPr="00A27EDB" w:rsidP="001D54D4" w14:paraId="35FC8473" w14:textId="77777777">
            <w:pPr>
              <w:pStyle w:val="BodyText2"/>
              <w:rPr>
                <w:sz w:val="22"/>
                <w:szCs w:val="22"/>
              </w:rPr>
            </w:pPr>
            <w:r w:rsidRPr="00A27EDB">
              <w:rPr>
                <w:sz w:val="22"/>
                <w:szCs w:val="22"/>
              </w:rPr>
              <w:t>400 hours</w:t>
            </w:r>
          </w:p>
        </w:tc>
        <w:tc>
          <w:tcPr>
            <w:tcW w:w="1356" w:type="dxa"/>
            <w:shd w:val="clear" w:color="auto" w:fill="FFFFFF"/>
          </w:tcPr>
          <w:p w:rsidR="001D54D4" w:rsidRPr="00A27EDB" w:rsidP="001D54D4" w14:paraId="33720BCA"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93B2052" w14:textId="77777777">
            <w:pPr>
              <w:pStyle w:val="BodyText2"/>
              <w:rPr>
                <w:sz w:val="22"/>
                <w:szCs w:val="22"/>
              </w:rPr>
            </w:pPr>
            <w:r w:rsidRPr="00A27EDB">
              <w:rPr>
                <w:sz w:val="22"/>
                <w:szCs w:val="22"/>
              </w:rPr>
              <w:t>$19,232.00</w:t>
            </w:r>
          </w:p>
        </w:tc>
      </w:tr>
      <w:tr w14:paraId="60B3009C" w14:textId="77777777" w:rsidTr="00EC2BDB">
        <w:tblPrEx>
          <w:tblW w:w="9828" w:type="dxa"/>
          <w:tblLook w:val="01E0"/>
        </w:tblPrEx>
        <w:tc>
          <w:tcPr>
            <w:tcW w:w="1989" w:type="dxa"/>
            <w:shd w:val="clear" w:color="auto" w:fill="auto"/>
          </w:tcPr>
          <w:p w:rsidR="001D54D4" w:rsidRPr="00A27EDB" w:rsidP="001D54D4" w14:paraId="23C9F191" w14:textId="77777777">
            <w:pPr>
              <w:pStyle w:val="BodyText2"/>
              <w:rPr>
                <w:sz w:val="22"/>
                <w:szCs w:val="22"/>
              </w:rPr>
            </w:pPr>
            <w:r w:rsidRPr="00A27EDB">
              <w:rPr>
                <w:sz w:val="22"/>
                <w:szCs w:val="22"/>
              </w:rPr>
              <w:t>73.872(d)(2)</w:t>
            </w:r>
          </w:p>
        </w:tc>
        <w:tc>
          <w:tcPr>
            <w:tcW w:w="1544" w:type="dxa"/>
            <w:shd w:val="clear" w:color="auto" w:fill="auto"/>
          </w:tcPr>
          <w:p w:rsidR="001D54D4" w:rsidRPr="00A27EDB" w:rsidP="001D54D4" w14:paraId="15452065" w14:textId="77777777">
            <w:pPr>
              <w:pStyle w:val="BodyText2"/>
              <w:rPr>
                <w:sz w:val="22"/>
                <w:szCs w:val="22"/>
              </w:rPr>
            </w:pPr>
            <w:r w:rsidRPr="00A27EDB">
              <w:rPr>
                <w:sz w:val="22"/>
                <w:szCs w:val="22"/>
              </w:rPr>
              <w:t>15</w:t>
            </w:r>
          </w:p>
        </w:tc>
        <w:tc>
          <w:tcPr>
            <w:tcW w:w="1603" w:type="dxa"/>
            <w:shd w:val="clear" w:color="auto" w:fill="auto"/>
          </w:tcPr>
          <w:p w:rsidR="001D54D4" w:rsidRPr="00A27EDB" w:rsidP="001D54D4" w14:paraId="17F87891"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32361D28"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6109502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D5428EE" w14:textId="77777777">
            <w:pPr>
              <w:pStyle w:val="BodyText2"/>
              <w:rPr>
                <w:sz w:val="22"/>
                <w:szCs w:val="22"/>
              </w:rPr>
            </w:pPr>
            <w:r w:rsidRPr="00A27EDB">
              <w:rPr>
                <w:sz w:val="22"/>
                <w:szCs w:val="22"/>
              </w:rPr>
              <w:t>$721.20</w:t>
            </w:r>
          </w:p>
        </w:tc>
      </w:tr>
      <w:tr w14:paraId="47645276" w14:textId="77777777" w:rsidTr="00EC2BDB">
        <w:tblPrEx>
          <w:tblW w:w="9828" w:type="dxa"/>
          <w:tblLook w:val="01E0"/>
        </w:tblPrEx>
        <w:tc>
          <w:tcPr>
            <w:tcW w:w="1989" w:type="dxa"/>
            <w:shd w:val="clear" w:color="auto" w:fill="auto"/>
          </w:tcPr>
          <w:p w:rsidR="001D54D4" w:rsidRPr="00A27EDB" w:rsidP="001D54D4" w14:paraId="4E2B4BD2" w14:textId="77777777">
            <w:pPr>
              <w:pStyle w:val="BodyText2"/>
              <w:rPr>
                <w:sz w:val="22"/>
                <w:szCs w:val="22"/>
              </w:rPr>
            </w:pPr>
            <w:r w:rsidRPr="00A27EDB">
              <w:rPr>
                <w:sz w:val="22"/>
                <w:szCs w:val="22"/>
              </w:rPr>
              <w:t>73.872(d)(3)</w:t>
            </w:r>
          </w:p>
        </w:tc>
        <w:tc>
          <w:tcPr>
            <w:tcW w:w="1544" w:type="dxa"/>
            <w:shd w:val="clear" w:color="auto" w:fill="auto"/>
          </w:tcPr>
          <w:p w:rsidR="001D54D4" w:rsidRPr="00A27EDB" w:rsidP="001D54D4" w14:paraId="6E088763" w14:textId="77777777">
            <w:pPr>
              <w:pStyle w:val="BodyText2"/>
              <w:rPr>
                <w:sz w:val="22"/>
                <w:szCs w:val="22"/>
              </w:rPr>
            </w:pPr>
            <w:r w:rsidRPr="00A27EDB">
              <w:rPr>
                <w:sz w:val="22"/>
                <w:szCs w:val="22"/>
              </w:rPr>
              <w:t>15</w:t>
            </w:r>
          </w:p>
        </w:tc>
        <w:tc>
          <w:tcPr>
            <w:tcW w:w="1603" w:type="dxa"/>
            <w:shd w:val="clear" w:color="auto" w:fill="auto"/>
          </w:tcPr>
          <w:p w:rsidR="001D54D4" w:rsidRPr="00A27EDB" w:rsidP="001D54D4" w14:paraId="583EC179"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7A9116FF"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2B2C1EE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6A9B3D2" w14:textId="77777777">
            <w:pPr>
              <w:pStyle w:val="BodyText2"/>
              <w:rPr>
                <w:sz w:val="22"/>
                <w:szCs w:val="22"/>
              </w:rPr>
            </w:pPr>
            <w:r w:rsidRPr="00A27EDB">
              <w:rPr>
                <w:sz w:val="22"/>
                <w:szCs w:val="22"/>
              </w:rPr>
              <w:t>$721.20</w:t>
            </w:r>
          </w:p>
        </w:tc>
      </w:tr>
      <w:tr w14:paraId="4A4661E3" w14:textId="77777777" w:rsidTr="00EC2BDB">
        <w:tblPrEx>
          <w:tblW w:w="9828" w:type="dxa"/>
          <w:tblLook w:val="01E0"/>
        </w:tblPrEx>
        <w:tc>
          <w:tcPr>
            <w:tcW w:w="1989" w:type="dxa"/>
            <w:shd w:val="clear" w:color="auto" w:fill="auto"/>
          </w:tcPr>
          <w:p w:rsidR="001D54D4" w:rsidRPr="00A27EDB" w:rsidP="001D54D4" w14:paraId="6EBC442B" w14:textId="77777777">
            <w:pPr>
              <w:pStyle w:val="BodyText2"/>
              <w:rPr>
                <w:sz w:val="22"/>
                <w:szCs w:val="22"/>
              </w:rPr>
            </w:pPr>
            <w:r w:rsidRPr="00A27EDB">
              <w:rPr>
                <w:sz w:val="22"/>
                <w:szCs w:val="22"/>
              </w:rPr>
              <w:t>73.877</w:t>
            </w:r>
          </w:p>
        </w:tc>
        <w:tc>
          <w:tcPr>
            <w:tcW w:w="1544" w:type="dxa"/>
            <w:shd w:val="clear" w:color="auto" w:fill="auto"/>
          </w:tcPr>
          <w:p w:rsidR="001D54D4" w:rsidRPr="00A27EDB" w:rsidP="001D54D4" w14:paraId="47901484" w14:textId="77777777">
            <w:pPr>
              <w:pStyle w:val="BodyText2"/>
              <w:rPr>
                <w:sz w:val="22"/>
                <w:szCs w:val="22"/>
              </w:rPr>
            </w:pPr>
            <w:r w:rsidRPr="00A27EDB">
              <w:rPr>
                <w:sz w:val="22"/>
                <w:szCs w:val="22"/>
              </w:rPr>
              <w:t>1,200</w:t>
            </w:r>
          </w:p>
        </w:tc>
        <w:tc>
          <w:tcPr>
            <w:tcW w:w="1603" w:type="dxa"/>
            <w:shd w:val="clear" w:color="auto" w:fill="auto"/>
          </w:tcPr>
          <w:p w:rsidR="001D54D4" w:rsidRPr="00A27EDB" w:rsidP="001D54D4" w14:paraId="7D6FDF32" w14:textId="77777777">
            <w:pPr>
              <w:pStyle w:val="BodyText2"/>
              <w:rPr>
                <w:sz w:val="22"/>
                <w:szCs w:val="22"/>
              </w:rPr>
            </w:pPr>
            <w:r w:rsidRPr="00A27EDB">
              <w:rPr>
                <w:sz w:val="22"/>
                <w:szCs w:val="22"/>
              </w:rPr>
              <w:t>12 hours</w:t>
            </w:r>
          </w:p>
        </w:tc>
        <w:tc>
          <w:tcPr>
            <w:tcW w:w="1740" w:type="dxa"/>
            <w:shd w:val="clear" w:color="auto" w:fill="auto"/>
          </w:tcPr>
          <w:p w:rsidR="001D54D4" w:rsidRPr="00A27EDB" w:rsidP="001D54D4" w14:paraId="47D279CC" w14:textId="77777777">
            <w:pPr>
              <w:pStyle w:val="BodyText2"/>
              <w:rPr>
                <w:sz w:val="22"/>
                <w:szCs w:val="22"/>
              </w:rPr>
            </w:pPr>
            <w:r w:rsidRPr="00A27EDB">
              <w:rPr>
                <w:sz w:val="22"/>
                <w:szCs w:val="22"/>
              </w:rPr>
              <w:t>14,400 hours</w:t>
            </w:r>
          </w:p>
        </w:tc>
        <w:tc>
          <w:tcPr>
            <w:tcW w:w="1356" w:type="dxa"/>
            <w:shd w:val="clear" w:color="auto" w:fill="FFFFFF"/>
          </w:tcPr>
          <w:p w:rsidR="001D54D4" w:rsidRPr="00A27EDB" w:rsidP="001D54D4" w14:paraId="7097720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CFE7E76" w14:textId="77777777">
            <w:pPr>
              <w:pStyle w:val="BodyText2"/>
              <w:rPr>
                <w:sz w:val="22"/>
                <w:szCs w:val="22"/>
              </w:rPr>
            </w:pPr>
            <w:r w:rsidRPr="00A27EDB">
              <w:rPr>
                <w:sz w:val="22"/>
                <w:szCs w:val="22"/>
              </w:rPr>
              <w:t>$692,352.00</w:t>
            </w:r>
          </w:p>
        </w:tc>
      </w:tr>
      <w:tr w14:paraId="064029BA" w14:textId="77777777" w:rsidTr="00EC2BDB">
        <w:tblPrEx>
          <w:tblW w:w="9828" w:type="dxa"/>
          <w:tblLook w:val="01E0"/>
        </w:tblPrEx>
        <w:tc>
          <w:tcPr>
            <w:tcW w:w="1989" w:type="dxa"/>
            <w:shd w:val="clear" w:color="auto" w:fill="auto"/>
          </w:tcPr>
          <w:p w:rsidR="001D54D4" w:rsidRPr="00A27EDB" w:rsidP="001D54D4" w14:paraId="09262666" w14:textId="77777777">
            <w:pPr>
              <w:pStyle w:val="BodyText2"/>
              <w:rPr>
                <w:sz w:val="22"/>
                <w:szCs w:val="22"/>
              </w:rPr>
            </w:pPr>
            <w:r w:rsidRPr="00A27EDB">
              <w:rPr>
                <w:sz w:val="22"/>
                <w:szCs w:val="22"/>
              </w:rPr>
              <w:t>73.878</w:t>
            </w:r>
          </w:p>
        </w:tc>
        <w:tc>
          <w:tcPr>
            <w:tcW w:w="1544" w:type="dxa"/>
            <w:shd w:val="clear" w:color="auto" w:fill="auto"/>
          </w:tcPr>
          <w:p w:rsidR="001D54D4" w:rsidRPr="00A27EDB" w:rsidP="001D54D4" w14:paraId="179BBDDF" w14:textId="77777777">
            <w:pPr>
              <w:pStyle w:val="BodyText2"/>
              <w:rPr>
                <w:sz w:val="22"/>
                <w:szCs w:val="22"/>
              </w:rPr>
            </w:pPr>
            <w:r w:rsidRPr="00A27EDB">
              <w:rPr>
                <w:sz w:val="22"/>
                <w:szCs w:val="22"/>
              </w:rPr>
              <w:t>10</w:t>
            </w:r>
          </w:p>
        </w:tc>
        <w:tc>
          <w:tcPr>
            <w:tcW w:w="1603" w:type="dxa"/>
            <w:shd w:val="clear" w:color="auto" w:fill="auto"/>
          </w:tcPr>
          <w:p w:rsidR="001D54D4" w:rsidRPr="00A27EDB" w:rsidP="001D54D4" w14:paraId="4CCFCAEF"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5AA91222" w14:textId="77777777">
            <w:pPr>
              <w:pStyle w:val="BodyText2"/>
              <w:rPr>
                <w:sz w:val="22"/>
                <w:szCs w:val="22"/>
              </w:rPr>
            </w:pPr>
            <w:r w:rsidRPr="00A27EDB">
              <w:rPr>
                <w:sz w:val="22"/>
                <w:szCs w:val="22"/>
              </w:rPr>
              <w:t>10 hours</w:t>
            </w:r>
          </w:p>
        </w:tc>
        <w:tc>
          <w:tcPr>
            <w:tcW w:w="1356" w:type="dxa"/>
            <w:shd w:val="clear" w:color="auto" w:fill="FFFFFF"/>
          </w:tcPr>
          <w:p w:rsidR="001D54D4" w:rsidRPr="00A27EDB" w:rsidP="001D54D4" w14:paraId="23297DFE"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9D3325F" w14:textId="77777777">
            <w:pPr>
              <w:pStyle w:val="BodyText2"/>
              <w:rPr>
                <w:sz w:val="22"/>
                <w:szCs w:val="22"/>
              </w:rPr>
            </w:pPr>
            <w:r w:rsidRPr="00A27EDB">
              <w:rPr>
                <w:sz w:val="22"/>
                <w:szCs w:val="22"/>
              </w:rPr>
              <w:t>$480.80</w:t>
            </w:r>
          </w:p>
        </w:tc>
      </w:tr>
      <w:tr w14:paraId="3B933C03" w14:textId="77777777" w:rsidTr="00EC2BDB">
        <w:tblPrEx>
          <w:tblW w:w="9828" w:type="dxa"/>
          <w:tblLook w:val="01E0"/>
        </w:tblPrEx>
        <w:tc>
          <w:tcPr>
            <w:tcW w:w="1989" w:type="dxa"/>
            <w:shd w:val="clear" w:color="auto" w:fill="auto"/>
          </w:tcPr>
          <w:p w:rsidR="001D54D4" w:rsidRPr="00A27EDB" w:rsidP="001D54D4" w14:paraId="668D756C" w14:textId="77777777">
            <w:pPr>
              <w:pStyle w:val="BodyText2"/>
              <w:rPr>
                <w:sz w:val="22"/>
                <w:szCs w:val="22"/>
              </w:rPr>
            </w:pPr>
            <w:r w:rsidRPr="00A27EDB">
              <w:rPr>
                <w:sz w:val="22"/>
                <w:szCs w:val="22"/>
              </w:rPr>
              <w:t>11.61</w:t>
            </w:r>
          </w:p>
        </w:tc>
        <w:tc>
          <w:tcPr>
            <w:tcW w:w="1544" w:type="dxa"/>
            <w:shd w:val="clear" w:color="auto" w:fill="auto"/>
          </w:tcPr>
          <w:p w:rsidR="001D54D4" w:rsidRPr="00A27EDB" w:rsidP="001D54D4" w14:paraId="5BDE9A8E" w14:textId="77777777">
            <w:pPr>
              <w:pStyle w:val="BodyText2"/>
              <w:rPr>
                <w:sz w:val="22"/>
                <w:szCs w:val="22"/>
              </w:rPr>
            </w:pPr>
            <w:r w:rsidRPr="00A27EDB">
              <w:rPr>
                <w:sz w:val="22"/>
                <w:szCs w:val="22"/>
              </w:rPr>
              <w:t>1,200</w:t>
            </w:r>
          </w:p>
        </w:tc>
        <w:tc>
          <w:tcPr>
            <w:tcW w:w="1603" w:type="dxa"/>
            <w:shd w:val="clear" w:color="auto" w:fill="auto"/>
          </w:tcPr>
          <w:p w:rsidR="001D54D4" w:rsidRPr="00A27EDB" w:rsidP="001D54D4" w14:paraId="05DC3020" w14:textId="77777777">
            <w:pPr>
              <w:pStyle w:val="BodyText2"/>
              <w:rPr>
                <w:sz w:val="22"/>
                <w:szCs w:val="22"/>
              </w:rPr>
            </w:pPr>
            <w:r w:rsidRPr="00A27EDB">
              <w:rPr>
                <w:sz w:val="22"/>
                <w:szCs w:val="22"/>
              </w:rPr>
              <w:t>0.5 hours x 12 months</w:t>
            </w:r>
          </w:p>
        </w:tc>
        <w:tc>
          <w:tcPr>
            <w:tcW w:w="1740" w:type="dxa"/>
            <w:shd w:val="clear" w:color="auto" w:fill="auto"/>
          </w:tcPr>
          <w:p w:rsidR="001D54D4" w:rsidRPr="00A27EDB" w:rsidP="001D54D4" w14:paraId="6B2EFCBC" w14:textId="77777777">
            <w:pPr>
              <w:pStyle w:val="BodyText2"/>
              <w:rPr>
                <w:sz w:val="22"/>
                <w:szCs w:val="22"/>
              </w:rPr>
            </w:pPr>
            <w:r w:rsidRPr="00A27EDB">
              <w:rPr>
                <w:sz w:val="22"/>
                <w:szCs w:val="22"/>
              </w:rPr>
              <w:t>7,200 hours</w:t>
            </w:r>
            <w:r>
              <w:rPr>
                <w:rStyle w:val="FootnoteReference"/>
                <w:sz w:val="22"/>
                <w:szCs w:val="22"/>
              </w:rPr>
              <w:footnoteReference w:id="18"/>
            </w:r>
          </w:p>
        </w:tc>
        <w:tc>
          <w:tcPr>
            <w:tcW w:w="1356" w:type="dxa"/>
            <w:shd w:val="clear" w:color="auto" w:fill="FFFFFF"/>
          </w:tcPr>
          <w:p w:rsidR="001D54D4" w:rsidRPr="00A27EDB" w:rsidP="001D54D4" w14:paraId="04A2B295"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0A9C263" w14:textId="77777777">
            <w:pPr>
              <w:pStyle w:val="BodyText2"/>
              <w:rPr>
                <w:sz w:val="22"/>
                <w:szCs w:val="22"/>
              </w:rPr>
            </w:pPr>
            <w:r w:rsidRPr="00A27EDB">
              <w:rPr>
                <w:sz w:val="22"/>
                <w:szCs w:val="22"/>
              </w:rPr>
              <w:t>$346,176.00</w:t>
            </w:r>
          </w:p>
        </w:tc>
      </w:tr>
      <w:tr w14:paraId="41F3D1ED" w14:textId="77777777" w:rsidTr="00EC2BDB">
        <w:tblPrEx>
          <w:tblW w:w="9828" w:type="dxa"/>
          <w:tblLook w:val="01E0"/>
        </w:tblPrEx>
        <w:tc>
          <w:tcPr>
            <w:tcW w:w="1989" w:type="dxa"/>
            <w:shd w:val="clear" w:color="auto" w:fill="auto"/>
          </w:tcPr>
          <w:p w:rsidR="001D54D4" w:rsidRPr="00A27EDB" w:rsidP="001D54D4" w14:paraId="1A72163C" w14:textId="77777777">
            <w:pPr>
              <w:pStyle w:val="BodyText2"/>
              <w:rPr>
                <w:sz w:val="22"/>
                <w:szCs w:val="22"/>
              </w:rPr>
            </w:pPr>
            <w:r w:rsidRPr="00A27EDB">
              <w:rPr>
                <w:sz w:val="22"/>
                <w:szCs w:val="22"/>
              </w:rPr>
              <w:t>73.318</w:t>
            </w:r>
          </w:p>
        </w:tc>
        <w:tc>
          <w:tcPr>
            <w:tcW w:w="1544" w:type="dxa"/>
            <w:shd w:val="clear" w:color="auto" w:fill="auto"/>
          </w:tcPr>
          <w:p w:rsidR="001D54D4" w:rsidRPr="00A27EDB" w:rsidP="001D54D4" w14:paraId="25CBB8CA" w14:textId="77777777">
            <w:pPr>
              <w:pStyle w:val="BodyText2"/>
              <w:rPr>
                <w:sz w:val="22"/>
                <w:szCs w:val="22"/>
              </w:rPr>
            </w:pPr>
            <w:r w:rsidRPr="00A27EDB">
              <w:rPr>
                <w:sz w:val="22"/>
                <w:szCs w:val="22"/>
              </w:rPr>
              <w:t>25</w:t>
            </w:r>
          </w:p>
        </w:tc>
        <w:tc>
          <w:tcPr>
            <w:tcW w:w="1603" w:type="dxa"/>
            <w:shd w:val="clear" w:color="auto" w:fill="auto"/>
          </w:tcPr>
          <w:p w:rsidR="001D54D4" w:rsidRPr="00A27EDB" w:rsidP="001D54D4" w14:paraId="137CF1AE" w14:textId="77777777">
            <w:pPr>
              <w:pStyle w:val="BodyText2"/>
              <w:rPr>
                <w:sz w:val="22"/>
                <w:szCs w:val="22"/>
              </w:rPr>
            </w:pPr>
            <w:r w:rsidRPr="00A27EDB">
              <w:rPr>
                <w:sz w:val="22"/>
                <w:szCs w:val="22"/>
              </w:rPr>
              <w:t>2 hours</w:t>
            </w:r>
          </w:p>
        </w:tc>
        <w:tc>
          <w:tcPr>
            <w:tcW w:w="1740" w:type="dxa"/>
            <w:shd w:val="clear" w:color="auto" w:fill="auto"/>
          </w:tcPr>
          <w:p w:rsidR="001D54D4" w:rsidRPr="00A27EDB" w:rsidP="001D54D4" w14:paraId="3B5060F3"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15A421B9"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4AE68B5" w14:textId="77777777">
            <w:pPr>
              <w:pStyle w:val="BodyText2"/>
              <w:rPr>
                <w:sz w:val="22"/>
                <w:szCs w:val="22"/>
              </w:rPr>
            </w:pPr>
            <w:r w:rsidRPr="00A27EDB">
              <w:rPr>
                <w:sz w:val="22"/>
                <w:szCs w:val="22"/>
              </w:rPr>
              <w:t>$2,404.00</w:t>
            </w:r>
          </w:p>
        </w:tc>
      </w:tr>
      <w:tr w14:paraId="0B06381D" w14:textId="77777777" w:rsidTr="00EC2BDB">
        <w:tblPrEx>
          <w:tblW w:w="9828" w:type="dxa"/>
          <w:tblLook w:val="01E0"/>
        </w:tblPrEx>
        <w:tc>
          <w:tcPr>
            <w:tcW w:w="1989" w:type="dxa"/>
            <w:shd w:val="clear" w:color="auto" w:fill="auto"/>
          </w:tcPr>
          <w:p w:rsidR="001D54D4" w:rsidRPr="00A27EDB" w:rsidP="001D54D4" w14:paraId="41C959B3" w14:textId="77777777">
            <w:pPr>
              <w:pStyle w:val="BodyText2"/>
              <w:rPr>
                <w:sz w:val="22"/>
                <w:szCs w:val="22"/>
              </w:rPr>
            </w:pPr>
            <w:r w:rsidRPr="00A27EDB">
              <w:rPr>
                <w:sz w:val="22"/>
                <w:szCs w:val="22"/>
              </w:rPr>
              <w:t>73.1030</w:t>
            </w:r>
          </w:p>
        </w:tc>
        <w:tc>
          <w:tcPr>
            <w:tcW w:w="1544" w:type="dxa"/>
            <w:shd w:val="clear" w:color="auto" w:fill="auto"/>
          </w:tcPr>
          <w:p w:rsidR="001D54D4" w:rsidRPr="00A27EDB" w:rsidP="001D54D4" w14:paraId="6482F161" w14:textId="77777777">
            <w:pPr>
              <w:pStyle w:val="BodyText2"/>
              <w:rPr>
                <w:sz w:val="22"/>
                <w:szCs w:val="22"/>
              </w:rPr>
            </w:pPr>
            <w:r w:rsidRPr="00A27EDB">
              <w:rPr>
                <w:sz w:val="22"/>
                <w:szCs w:val="22"/>
              </w:rPr>
              <w:t>10</w:t>
            </w:r>
          </w:p>
        </w:tc>
        <w:tc>
          <w:tcPr>
            <w:tcW w:w="1603" w:type="dxa"/>
            <w:shd w:val="clear" w:color="auto" w:fill="auto"/>
          </w:tcPr>
          <w:p w:rsidR="001D54D4" w:rsidRPr="00A27EDB" w:rsidP="001D54D4" w14:paraId="0E730FC6"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6F30EA3B" w14:textId="77777777">
            <w:pPr>
              <w:pStyle w:val="BodyText2"/>
              <w:rPr>
                <w:sz w:val="22"/>
                <w:szCs w:val="22"/>
              </w:rPr>
            </w:pPr>
            <w:r w:rsidRPr="00A27EDB">
              <w:rPr>
                <w:sz w:val="22"/>
                <w:szCs w:val="22"/>
              </w:rPr>
              <w:t>5 hours</w:t>
            </w:r>
          </w:p>
        </w:tc>
        <w:tc>
          <w:tcPr>
            <w:tcW w:w="1356" w:type="dxa"/>
            <w:shd w:val="clear" w:color="auto" w:fill="FFFFFF"/>
          </w:tcPr>
          <w:p w:rsidR="001D54D4" w:rsidRPr="00A27EDB" w:rsidP="001D54D4" w14:paraId="4296C85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D9011C3" w14:textId="77777777">
            <w:pPr>
              <w:pStyle w:val="BodyText2"/>
              <w:rPr>
                <w:sz w:val="22"/>
                <w:szCs w:val="22"/>
              </w:rPr>
            </w:pPr>
            <w:r w:rsidRPr="00A27EDB">
              <w:rPr>
                <w:sz w:val="22"/>
                <w:szCs w:val="22"/>
              </w:rPr>
              <w:t>$240.40</w:t>
            </w:r>
          </w:p>
        </w:tc>
      </w:tr>
      <w:tr w14:paraId="055BDBE2" w14:textId="77777777" w:rsidTr="00EC2BDB">
        <w:tblPrEx>
          <w:tblW w:w="9828" w:type="dxa"/>
          <w:tblLook w:val="01E0"/>
        </w:tblPrEx>
        <w:tc>
          <w:tcPr>
            <w:tcW w:w="1989" w:type="dxa"/>
            <w:shd w:val="clear" w:color="auto" w:fill="auto"/>
          </w:tcPr>
          <w:p w:rsidR="001D54D4" w:rsidRPr="00A27EDB" w:rsidP="001D54D4" w14:paraId="08A374F3" w14:textId="77777777">
            <w:pPr>
              <w:pStyle w:val="BodyText2"/>
              <w:rPr>
                <w:sz w:val="22"/>
                <w:szCs w:val="22"/>
              </w:rPr>
            </w:pPr>
            <w:r w:rsidRPr="00A27EDB">
              <w:rPr>
                <w:sz w:val="22"/>
                <w:szCs w:val="22"/>
              </w:rPr>
              <w:t>73.1207</w:t>
            </w:r>
          </w:p>
        </w:tc>
        <w:tc>
          <w:tcPr>
            <w:tcW w:w="1544" w:type="dxa"/>
            <w:shd w:val="clear" w:color="auto" w:fill="auto"/>
          </w:tcPr>
          <w:p w:rsidR="001D54D4" w:rsidRPr="00A27EDB" w:rsidP="001D54D4" w14:paraId="01CA3B8A"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465AC585"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2358557D"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ED4628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4D548F0" w14:textId="77777777">
            <w:pPr>
              <w:pStyle w:val="BodyText2"/>
              <w:rPr>
                <w:sz w:val="22"/>
                <w:szCs w:val="22"/>
              </w:rPr>
            </w:pPr>
            <w:r w:rsidRPr="00A27EDB">
              <w:rPr>
                <w:sz w:val="22"/>
                <w:szCs w:val="22"/>
              </w:rPr>
              <w:t>$1,202.00</w:t>
            </w:r>
          </w:p>
        </w:tc>
      </w:tr>
      <w:tr w14:paraId="400300E5" w14:textId="77777777" w:rsidTr="00EC2BDB">
        <w:tblPrEx>
          <w:tblW w:w="9828" w:type="dxa"/>
          <w:tblLook w:val="01E0"/>
        </w:tblPrEx>
        <w:tc>
          <w:tcPr>
            <w:tcW w:w="1989" w:type="dxa"/>
            <w:shd w:val="clear" w:color="auto" w:fill="auto"/>
          </w:tcPr>
          <w:p w:rsidR="001D54D4" w:rsidRPr="00A27EDB" w:rsidP="001D54D4" w14:paraId="300F2586" w14:textId="77777777">
            <w:pPr>
              <w:pStyle w:val="BodyText2"/>
              <w:rPr>
                <w:sz w:val="22"/>
                <w:szCs w:val="22"/>
              </w:rPr>
            </w:pPr>
          </w:p>
        </w:tc>
        <w:tc>
          <w:tcPr>
            <w:tcW w:w="1544" w:type="dxa"/>
            <w:shd w:val="clear" w:color="auto" w:fill="auto"/>
          </w:tcPr>
          <w:p w:rsidR="001D54D4" w:rsidRPr="00A27EDB" w:rsidP="001D54D4" w14:paraId="501F56E7"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5D55B1DC" w14:textId="77777777">
            <w:pPr>
              <w:pStyle w:val="BodyText2"/>
              <w:rPr>
                <w:sz w:val="22"/>
                <w:szCs w:val="22"/>
              </w:rPr>
            </w:pPr>
            <w:r w:rsidRPr="00A27EDB">
              <w:rPr>
                <w:sz w:val="22"/>
                <w:szCs w:val="22"/>
              </w:rPr>
              <w:t>2 hours</w:t>
            </w:r>
          </w:p>
        </w:tc>
        <w:tc>
          <w:tcPr>
            <w:tcW w:w="1740" w:type="dxa"/>
            <w:shd w:val="clear" w:color="auto" w:fill="auto"/>
          </w:tcPr>
          <w:p w:rsidR="001D54D4" w:rsidRPr="00A27EDB" w:rsidP="001D54D4" w14:paraId="3B952BE0" w14:textId="77777777">
            <w:pPr>
              <w:pStyle w:val="BodyText2"/>
              <w:rPr>
                <w:sz w:val="22"/>
                <w:szCs w:val="22"/>
              </w:rPr>
            </w:pPr>
            <w:r w:rsidRPr="00A27EDB">
              <w:rPr>
                <w:sz w:val="22"/>
                <w:szCs w:val="22"/>
              </w:rPr>
              <w:t>100 hours</w:t>
            </w:r>
          </w:p>
        </w:tc>
        <w:tc>
          <w:tcPr>
            <w:tcW w:w="1356" w:type="dxa"/>
            <w:shd w:val="clear" w:color="auto" w:fill="FFFFFF"/>
          </w:tcPr>
          <w:p w:rsidR="001D54D4" w:rsidRPr="00A27EDB" w:rsidP="001D54D4" w14:paraId="64C0F9E1"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A3F0DD8" w14:textId="77777777">
            <w:pPr>
              <w:pStyle w:val="BodyText2"/>
              <w:rPr>
                <w:sz w:val="22"/>
                <w:szCs w:val="22"/>
              </w:rPr>
            </w:pPr>
            <w:r w:rsidRPr="00A27EDB">
              <w:rPr>
                <w:sz w:val="22"/>
                <w:szCs w:val="22"/>
              </w:rPr>
              <w:t>$4,808.00</w:t>
            </w:r>
          </w:p>
        </w:tc>
      </w:tr>
      <w:tr w14:paraId="02397D81" w14:textId="77777777" w:rsidTr="00EC2BDB">
        <w:tblPrEx>
          <w:tblW w:w="9828" w:type="dxa"/>
          <w:tblLook w:val="01E0"/>
        </w:tblPrEx>
        <w:tc>
          <w:tcPr>
            <w:tcW w:w="1989" w:type="dxa"/>
            <w:shd w:val="clear" w:color="auto" w:fill="auto"/>
          </w:tcPr>
          <w:p w:rsidR="001D54D4" w:rsidRPr="00A27EDB" w:rsidP="001D54D4" w14:paraId="4E461A79" w14:textId="77777777">
            <w:pPr>
              <w:pStyle w:val="BodyText2"/>
              <w:rPr>
                <w:sz w:val="22"/>
                <w:szCs w:val="22"/>
              </w:rPr>
            </w:pPr>
          </w:p>
          <w:p w:rsidR="001D54D4" w:rsidRPr="00A27EDB" w:rsidP="001D54D4" w14:paraId="72726028" w14:textId="77777777">
            <w:pPr>
              <w:pStyle w:val="BodyText2"/>
              <w:rPr>
                <w:sz w:val="22"/>
                <w:szCs w:val="22"/>
              </w:rPr>
            </w:pPr>
            <w:r w:rsidRPr="00A27EDB">
              <w:rPr>
                <w:sz w:val="22"/>
                <w:szCs w:val="22"/>
              </w:rPr>
              <w:t>73.1212</w:t>
            </w:r>
          </w:p>
        </w:tc>
        <w:tc>
          <w:tcPr>
            <w:tcW w:w="1544" w:type="dxa"/>
            <w:shd w:val="clear" w:color="auto" w:fill="auto"/>
          </w:tcPr>
          <w:p w:rsidR="001D54D4" w:rsidRPr="00A27EDB" w:rsidP="001D54D4" w14:paraId="28DFD452" w14:textId="77777777">
            <w:pPr>
              <w:pStyle w:val="BodyText2"/>
              <w:rPr>
                <w:sz w:val="22"/>
                <w:szCs w:val="22"/>
              </w:rPr>
            </w:pPr>
          </w:p>
          <w:p w:rsidR="001D54D4" w:rsidRPr="00A27EDB" w:rsidP="001D54D4" w14:paraId="2DE115F2" w14:textId="77777777">
            <w:pPr>
              <w:pStyle w:val="BodyText2"/>
              <w:rPr>
                <w:sz w:val="22"/>
                <w:szCs w:val="22"/>
              </w:rPr>
            </w:pPr>
            <w:r w:rsidRPr="00A27EDB">
              <w:rPr>
                <w:sz w:val="22"/>
                <w:szCs w:val="22"/>
              </w:rPr>
              <w:t>12,000</w:t>
            </w:r>
            <w:r>
              <w:rPr>
                <w:rStyle w:val="FootnoteReference"/>
                <w:sz w:val="22"/>
                <w:szCs w:val="22"/>
              </w:rPr>
              <w:footnoteReference w:id="19"/>
            </w:r>
          </w:p>
        </w:tc>
        <w:tc>
          <w:tcPr>
            <w:tcW w:w="1603" w:type="dxa"/>
            <w:shd w:val="clear" w:color="auto" w:fill="auto"/>
          </w:tcPr>
          <w:p w:rsidR="001D54D4" w:rsidRPr="00A27EDB" w:rsidP="001D54D4" w14:paraId="2F13BBAF" w14:textId="77777777">
            <w:pPr>
              <w:pStyle w:val="BodyText2"/>
              <w:rPr>
                <w:sz w:val="22"/>
                <w:szCs w:val="22"/>
              </w:rPr>
            </w:pPr>
          </w:p>
          <w:p w:rsidR="001D54D4" w:rsidRPr="00A27EDB" w:rsidP="001D54D4" w14:paraId="2313E917" w14:textId="77777777">
            <w:pPr>
              <w:pStyle w:val="BodyText2"/>
              <w:rPr>
                <w:sz w:val="22"/>
                <w:szCs w:val="22"/>
              </w:rPr>
            </w:pPr>
            <w:r w:rsidRPr="00A27EDB">
              <w:rPr>
                <w:sz w:val="22"/>
                <w:szCs w:val="22"/>
              </w:rPr>
              <w:t>0.1 hours</w:t>
            </w:r>
          </w:p>
        </w:tc>
        <w:tc>
          <w:tcPr>
            <w:tcW w:w="1740" w:type="dxa"/>
            <w:shd w:val="clear" w:color="auto" w:fill="auto"/>
          </w:tcPr>
          <w:p w:rsidR="001D54D4" w:rsidRPr="00A27EDB" w:rsidP="001D54D4" w14:paraId="4DE1D9E4" w14:textId="77777777">
            <w:pPr>
              <w:pStyle w:val="BodyText2"/>
              <w:rPr>
                <w:sz w:val="22"/>
                <w:szCs w:val="22"/>
              </w:rPr>
            </w:pPr>
          </w:p>
          <w:p w:rsidR="001D54D4" w:rsidRPr="00A27EDB" w:rsidP="001D54D4" w14:paraId="6C70E50E" w14:textId="77777777">
            <w:pPr>
              <w:pStyle w:val="BodyText2"/>
              <w:rPr>
                <w:sz w:val="22"/>
                <w:szCs w:val="22"/>
              </w:rPr>
            </w:pPr>
            <w:r w:rsidRPr="00A27EDB">
              <w:rPr>
                <w:sz w:val="22"/>
                <w:szCs w:val="22"/>
              </w:rPr>
              <w:t>1,200 hours</w:t>
            </w:r>
          </w:p>
        </w:tc>
        <w:tc>
          <w:tcPr>
            <w:tcW w:w="1356" w:type="dxa"/>
            <w:shd w:val="clear" w:color="auto" w:fill="FFFFFF"/>
          </w:tcPr>
          <w:p w:rsidR="001D54D4" w:rsidRPr="00A27EDB" w:rsidP="001D54D4" w14:paraId="42103323" w14:textId="77777777">
            <w:pPr>
              <w:pStyle w:val="BodyText2"/>
              <w:rPr>
                <w:sz w:val="22"/>
                <w:szCs w:val="22"/>
              </w:rPr>
            </w:pPr>
          </w:p>
          <w:p w:rsidR="001D54D4" w:rsidRPr="00A27EDB" w:rsidP="001D54D4" w14:paraId="028692A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FB57280" w14:textId="77777777">
            <w:pPr>
              <w:pStyle w:val="BodyText2"/>
              <w:rPr>
                <w:sz w:val="22"/>
                <w:szCs w:val="22"/>
              </w:rPr>
            </w:pPr>
          </w:p>
          <w:p w:rsidR="001D54D4" w:rsidRPr="00A27EDB" w:rsidP="001D54D4" w14:paraId="6EF6842C" w14:textId="77777777">
            <w:pPr>
              <w:pStyle w:val="BodyText2"/>
              <w:rPr>
                <w:sz w:val="22"/>
                <w:szCs w:val="22"/>
              </w:rPr>
            </w:pPr>
            <w:r w:rsidRPr="00A27EDB">
              <w:rPr>
                <w:sz w:val="22"/>
                <w:szCs w:val="22"/>
              </w:rPr>
              <w:t>$57,696.00</w:t>
            </w:r>
          </w:p>
        </w:tc>
      </w:tr>
      <w:tr w14:paraId="0F82F660" w14:textId="77777777" w:rsidTr="00EC2BDB">
        <w:tblPrEx>
          <w:tblW w:w="9828" w:type="dxa"/>
          <w:tblLook w:val="01E0"/>
        </w:tblPrEx>
        <w:tc>
          <w:tcPr>
            <w:tcW w:w="1989" w:type="dxa"/>
            <w:shd w:val="clear" w:color="auto" w:fill="auto"/>
          </w:tcPr>
          <w:p w:rsidR="001D54D4" w:rsidRPr="00A27EDB" w:rsidP="001D54D4" w14:paraId="72907888" w14:textId="77777777">
            <w:pPr>
              <w:pStyle w:val="BodyText2"/>
              <w:rPr>
                <w:sz w:val="22"/>
                <w:szCs w:val="22"/>
              </w:rPr>
            </w:pPr>
          </w:p>
        </w:tc>
        <w:tc>
          <w:tcPr>
            <w:tcW w:w="1544" w:type="dxa"/>
            <w:shd w:val="clear" w:color="auto" w:fill="auto"/>
          </w:tcPr>
          <w:p w:rsidR="001D54D4" w:rsidRPr="00A27EDB" w:rsidP="001D54D4" w14:paraId="2B6CDBDE" w14:textId="77777777">
            <w:pPr>
              <w:pStyle w:val="BodyText2"/>
              <w:rPr>
                <w:sz w:val="22"/>
                <w:szCs w:val="22"/>
              </w:rPr>
            </w:pPr>
            <w:r w:rsidRPr="00A27EDB">
              <w:rPr>
                <w:sz w:val="22"/>
                <w:szCs w:val="22"/>
              </w:rPr>
              <w:t>1,200</w:t>
            </w:r>
            <w:r>
              <w:rPr>
                <w:rStyle w:val="FootnoteReference"/>
                <w:sz w:val="22"/>
                <w:szCs w:val="22"/>
              </w:rPr>
              <w:footnoteReference w:id="20"/>
            </w:r>
            <w:r w:rsidRPr="00A27EDB">
              <w:rPr>
                <w:sz w:val="22"/>
                <w:szCs w:val="22"/>
              </w:rPr>
              <w:tab/>
            </w:r>
          </w:p>
        </w:tc>
        <w:tc>
          <w:tcPr>
            <w:tcW w:w="1603" w:type="dxa"/>
            <w:shd w:val="clear" w:color="auto" w:fill="auto"/>
          </w:tcPr>
          <w:p w:rsidR="001D54D4" w:rsidRPr="00A27EDB" w:rsidP="001D54D4" w14:paraId="0A3B91C5" w14:textId="77777777">
            <w:pPr>
              <w:pStyle w:val="BodyText2"/>
              <w:rPr>
                <w:sz w:val="22"/>
                <w:szCs w:val="22"/>
              </w:rPr>
            </w:pPr>
            <w:r w:rsidRPr="00A27EDB">
              <w:rPr>
                <w:sz w:val="22"/>
                <w:szCs w:val="22"/>
              </w:rPr>
              <w:t>0.0025 hours</w:t>
            </w:r>
          </w:p>
        </w:tc>
        <w:tc>
          <w:tcPr>
            <w:tcW w:w="1740" w:type="dxa"/>
            <w:shd w:val="clear" w:color="auto" w:fill="auto"/>
          </w:tcPr>
          <w:p w:rsidR="001D54D4" w:rsidRPr="00A27EDB" w:rsidP="001D54D4" w14:paraId="2A53D5EF" w14:textId="77777777">
            <w:pPr>
              <w:pStyle w:val="BodyText2"/>
              <w:rPr>
                <w:sz w:val="22"/>
                <w:szCs w:val="22"/>
              </w:rPr>
            </w:pPr>
            <w:r w:rsidRPr="00A27EDB">
              <w:rPr>
                <w:sz w:val="22"/>
                <w:szCs w:val="22"/>
              </w:rPr>
              <w:t>3 hours</w:t>
            </w:r>
          </w:p>
        </w:tc>
        <w:tc>
          <w:tcPr>
            <w:tcW w:w="1356" w:type="dxa"/>
            <w:shd w:val="clear" w:color="auto" w:fill="FFFFFF"/>
          </w:tcPr>
          <w:p w:rsidR="001D54D4" w:rsidRPr="00A27EDB" w:rsidP="001D54D4" w14:paraId="6D43017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E9C5C05" w14:textId="77777777">
            <w:pPr>
              <w:pStyle w:val="BodyText2"/>
              <w:rPr>
                <w:sz w:val="22"/>
                <w:szCs w:val="22"/>
              </w:rPr>
            </w:pPr>
            <w:r w:rsidRPr="00A27EDB">
              <w:rPr>
                <w:sz w:val="22"/>
                <w:szCs w:val="22"/>
              </w:rPr>
              <w:t>$144.24</w:t>
            </w:r>
          </w:p>
        </w:tc>
      </w:tr>
      <w:tr w14:paraId="79F0C6E0" w14:textId="77777777" w:rsidTr="00EC2BDB">
        <w:tblPrEx>
          <w:tblW w:w="9828" w:type="dxa"/>
          <w:tblLook w:val="01E0"/>
        </w:tblPrEx>
        <w:tc>
          <w:tcPr>
            <w:tcW w:w="1989" w:type="dxa"/>
            <w:shd w:val="clear" w:color="auto" w:fill="auto"/>
          </w:tcPr>
          <w:p w:rsidR="001D54D4" w:rsidRPr="00A27EDB" w:rsidP="001D54D4" w14:paraId="2E326A16" w14:textId="77777777">
            <w:pPr>
              <w:pStyle w:val="BodyText2"/>
              <w:rPr>
                <w:sz w:val="22"/>
                <w:szCs w:val="22"/>
              </w:rPr>
            </w:pPr>
            <w:r w:rsidRPr="00A27EDB">
              <w:rPr>
                <w:sz w:val="22"/>
                <w:szCs w:val="22"/>
              </w:rPr>
              <w:t>73.1230</w:t>
            </w:r>
          </w:p>
        </w:tc>
        <w:tc>
          <w:tcPr>
            <w:tcW w:w="1544" w:type="dxa"/>
            <w:shd w:val="clear" w:color="auto" w:fill="auto"/>
          </w:tcPr>
          <w:p w:rsidR="001D54D4" w:rsidRPr="00A27EDB" w:rsidP="001D54D4" w14:paraId="5F1CA415" w14:textId="77777777">
            <w:pPr>
              <w:pStyle w:val="BodyText2"/>
              <w:rPr>
                <w:sz w:val="22"/>
                <w:szCs w:val="22"/>
              </w:rPr>
            </w:pPr>
            <w:r w:rsidRPr="00A27EDB">
              <w:rPr>
                <w:sz w:val="22"/>
                <w:szCs w:val="22"/>
              </w:rPr>
              <w:t>1,200</w:t>
            </w:r>
          </w:p>
        </w:tc>
        <w:tc>
          <w:tcPr>
            <w:tcW w:w="1603" w:type="dxa"/>
            <w:shd w:val="clear" w:color="auto" w:fill="auto"/>
          </w:tcPr>
          <w:p w:rsidR="001D54D4" w:rsidRPr="00A27EDB" w:rsidP="001D54D4" w14:paraId="68CFAE84" w14:textId="77777777">
            <w:pPr>
              <w:pStyle w:val="BodyText2"/>
              <w:rPr>
                <w:sz w:val="22"/>
                <w:szCs w:val="22"/>
              </w:rPr>
            </w:pPr>
            <w:r w:rsidRPr="00A27EDB">
              <w:rPr>
                <w:sz w:val="22"/>
                <w:szCs w:val="22"/>
              </w:rPr>
              <w:t>0.085 hours</w:t>
            </w:r>
          </w:p>
        </w:tc>
        <w:tc>
          <w:tcPr>
            <w:tcW w:w="1740" w:type="dxa"/>
            <w:shd w:val="clear" w:color="auto" w:fill="auto"/>
          </w:tcPr>
          <w:p w:rsidR="001D54D4" w:rsidRPr="00A27EDB" w:rsidP="001D54D4" w14:paraId="0266E595" w14:textId="77777777">
            <w:pPr>
              <w:pStyle w:val="BodyText2"/>
              <w:rPr>
                <w:sz w:val="22"/>
                <w:szCs w:val="22"/>
              </w:rPr>
            </w:pPr>
            <w:r w:rsidRPr="00A27EDB">
              <w:rPr>
                <w:sz w:val="22"/>
                <w:szCs w:val="22"/>
              </w:rPr>
              <w:t>102 hours</w:t>
            </w:r>
          </w:p>
        </w:tc>
        <w:tc>
          <w:tcPr>
            <w:tcW w:w="1356" w:type="dxa"/>
            <w:shd w:val="clear" w:color="auto" w:fill="FFFFFF"/>
          </w:tcPr>
          <w:p w:rsidR="001D54D4" w:rsidRPr="00A27EDB" w:rsidP="001D54D4" w14:paraId="4082409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FF5F625" w14:textId="77777777">
            <w:pPr>
              <w:pStyle w:val="BodyText2"/>
              <w:rPr>
                <w:sz w:val="22"/>
                <w:szCs w:val="22"/>
              </w:rPr>
            </w:pPr>
            <w:r w:rsidRPr="00A27EDB">
              <w:rPr>
                <w:sz w:val="22"/>
                <w:szCs w:val="22"/>
              </w:rPr>
              <w:t>$4,904.16</w:t>
            </w:r>
          </w:p>
        </w:tc>
      </w:tr>
      <w:tr w14:paraId="76B05C6E" w14:textId="77777777" w:rsidTr="00EC2BDB">
        <w:tblPrEx>
          <w:tblW w:w="9828" w:type="dxa"/>
          <w:tblLook w:val="01E0"/>
        </w:tblPrEx>
        <w:tc>
          <w:tcPr>
            <w:tcW w:w="1989" w:type="dxa"/>
            <w:shd w:val="clear" w:color="auto" w:fill="auto"/>
          </w:tcPr>
          <w:p w:rsidR="001D54D4" w:rsidRPr="00A27EDB" w:rsidP="001D54D4" w14:paraId="250A6C9F" w14:textId="77777777">
            <w:pPr>
              <w:pStyle w:val="BodyText2"/>
              <w:rPr>
                <w:sz w:val="22"/>
                <w:szCs w:val="22"/>
              </w:rPr>
            </w:pPr>
            <w:r w:rsidRPr="00A27EDB">
              <w:rPr>
                <w:sz w:val="22"/>
                <w:szCs w:val="22"/>
              </w:rPr>
              <w:t>73.1300</w:t>
            </w:r>
          </w:p>
        </w:tc>
        <w:tc>
          <w:tcPr>
            <w:tcW w:w="1544" w:type="dxa"/>
            <w:shd w:val="clear" w:color="auto" w:fill="auto"/>
          </w:tcPr>
          <w:p w:rsidR="001D54D4" w:rsidRPr="00A27EDB" w:rsidP="001D54D4" w14:paraId="1BF5E34F" w14:textId="77777777">
            <w:pPr>
              <w:pStyle w:val="BodyText2"/>
              <w:rPr>
                <w:sz w:val="22"/>
                <w:szCs w:val="22"/>
              </w:rPr>
            </w:pPr>
            <w:r w:rsidRPr="00A27EDB">
              <w:rPr>
                <w:sz w:val="22"/>
                <w:szCs w:val="22"/>
              </w:rPr>
              <w:t>20</w:t>
            </w:r>
          </w:p>
        </w:tc>
        <w:tc>
          <w:tcPr>
            <w:tcW w:w="1603" w:type="dxa"/>
            <w:shd w:val="clear" w:color="auto" w:fill="auto"/>
          </w:tcPr>
          <w:p w:rsidR="001D54D4" w:rsidRPr="00A27EDB" w:rsidP="001D54D4" w14:paraId="431E157B"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742AE9F8" w14:textId="77777777">
            <w:pPr>
              <w:pStyle w:val="BodyText2"/>
              <w:rPr>
                <w:sz w:val="22"/>
                <w:szCs w:val="22"/>
              </w:rPr>
            </w:pPr>
            <w:r w:rsidRPr="00A27EDB">
              <w:rPr>
                <w:sz w:val="22"/>
                <w:szCs w:val="22"/>
              </w:rPr>
              <w:t>20 hours</w:t>
            </w:r>
          </w:p>
        </w:tc>
        <w:tc>
          <w:tcPr>
            <w:tcW w:w="1356" w:type="dxa"/>
            <w:shd w:val="clear" w:color="auto" w:fill="FFFFFF"/>
          </w:tcPr>
          <w:p w:rsidR="001D54D4" w:rsidRPr="00A27EDB" w:rsidP="001D54D4" w14:paraId="2D5ECA9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88E506E" w14:textId="77777777">
            <w:pPr>
              <w:pStyle w:val="BodyText2"/>
              <w:rPr>
                <w:sz w:val="22"/>
                <w:szCs w:val="22"/>
              </w:rPr>
            </w:pPr>
            <w:r w:rsidRPr="00A27EDB">
              <w:rPr>
                <w:sz w:val="22"/>
                <w:szCs w:val="22"/>
              </w:rPr>
              <w:t>$961.60</w:t>
            </w:r>
          </w:p>
        </w:tc>
      </w:tr>
      <w:tr w14:paraId="63119DBD" w14:textId="77777777" w:rsidTr="00EC2BDB">
        <w:tblPrEx>
          <w:tblW w:w="9828" w:type="dxa"/>
          <w:tblLook w:val="01E0"/>
        </w:tblPrEx>
        <w:tc>
          <w:tcPr>
            <w:tcW w:w="1989" w:type="dxa"/>
            <w:shd w:val="clear" w:color="auto" w:fill="auto"/>
          </w:tcPr>
          <w:p w:rsidR="001D54D4" w:rsidRPr="00A27EDB" w:rsidP="001D54D4" w14:paraId="66D6EB4F" w14:textId="77777777">
            <w:pPr>
              <w:pStyle w:val="BodyText2"/>
              <w:rPr>
                <w:sz w:val="22"/>
                <w:szCs w:val="22"/>
              </w:rPr>
            </w:pPr>
            <w:r w:rsidRPr="00A27EDB">
              <w:rPr>
                <w:sz w:val="22"/>
                <w:szCs w:val="22"/>
              </w:rPr>
              <w:t>73.1350</w:t>
            </w:r>
          </w:p>
        </w:tc>
        <w:tc>
          <w:tcPr>
            <w:tcW w:w="1544" w:type="dxa"/>
            <w:shd w:val="clear" w:color="auto" w:fill="auto"/>
          </w:tcPr>
          <w:p w:rsidR="001D54D4" w:rsidRPr="00A27EDB" w:rsidP="001D54D4" w14:paraId="5E0E1F92" w14:textId="77777777">
            <w:pPr>
              <w:pStyle w:val="BodyText2"/>
              <w:rPr>
                <w:sz w:val="22"/>
                <w:szCs w:val="22"/>
              </w:rPr>
            </w:pPr>
            <w:r w:rsidRPr="00A27EDB">
              <w:rPr>
                <w:sz w:val="22"/>
                <w:szCs w:val="22"/>
              </w:rPr>
              <w:t>1</w:t>
            </w:r>
          </w:p>
        </w:tc>
        <w:tc>
          <w:tcPr>
            <w:tcW w:w="1603" w:type="dxa"/>
            <w:shd w:val="clear" w:color="auto" w:fill="auto"/>
          </w:tcPr>
          <w:p w:rsidR="001D54D4" w:rsidRPr="00A27EDB" w:rsidP="001D54D4" w14:paraId="5EDE1721"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092A26D5" w14:textId="77777777">
            <w:pPr>
              <w:pStyle w:val="BodyText2"/>
              <w:rPr>
                <w:sz w:val="22"/>
                <w:szCs w:val="22"/>
              </w:rPr>
            </w:pPr>
            <w:r w:rsidRPr="00A27EDB">
              <w:rPr>
                <w:sz w:val="22"/>
                <w:szCs w:val="22"/>
              </w:rPr>
              <w:t>0.50 hours</w:t>
            </w:r>
          </w:p>
        </w:tc>
        <w:tc>
          <w:tcPr>
            <w:tcW w:w="1356" w:type="dxa"/>
            <w:shd w:val="clear" w:color="auto" w:fill="FFFFFF"/>
          </w:tcPr>
          <w:p w:rsidR="001D54D4" w:rsidRPr="00A27EDB" w:rsidP="001D54D4" w14:paraId="312064B0"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42C38D54" w14:textId="77777777">
            <w:pPr>
              <w:pStyle w:val="BodyText2"/>
              <w:rPr>
                <w:sz w:val="22"/>
                <w:szCs w:val="22"/>
              </w:rPr>
            </w:pPr>
            <w:r w:rsidRPr="00A27EDB">
              <w:rPr>
                <w:sz w:val="22"/>
                <w:szCs w:val="22"/>
              </w:rPr>
              <w:t>$24.04</w:t>
            </w:r>
          </w:p>
        </w:tc>
      </w:tr>
      <w:tr w14:paraId="3BAB53BC" w14:textId="77777777" w:rsidTr="00EC2BDB">
        <w:tblPrEx>
          <w:tblW w:w="9828" w:type="dxa"/>
          <w:tblLook w:val="01E0"/>
        </w:tblPrEx>
        <w:tc>
          <w:tcPr>
            <w:tcW w:w="1989" w:type="dxa"/>
            <w:shd w:val="clear" w:color="auto" w:fill="auto"/>
          </w:tcPr>
          <w:p w:rsidR="001D54D4" w:rsidRPr="00A27EDB" w:rsidP="001D54D4" w14:paraId="35DD4DC7" w14:textId="77777777">
            <w:pPr>
              <w:pStyle w:val="BodyText2"/>
              <w:rPr>
                <w:sz w:val="22"/>
                <w:szCs w:val="22"/>
              </w:rPr>
            </w:pPr>
            <w:r w:rsidRPr="00A27EDB">
              <w:rPr>
                <w:sz w:val="22"/>
                <w:szCs w:val="22"/>
              </w:rPr>
              <w:t>73.1610</w:t>
            </w:r>
          </w:p>
        </w:tc>
        <w:tc>
          <w:tcPr>
            <w:tcW w:w="1544" w:type="dxa"/>
            <w:shd w:val="clear" w:color="auto" w:fill="auto"/>
          </w:tcPr>
          <w:p w:rsidR="001D54D4" w:rsidRPr="00A27EDB" w:rsidP="001D54D4" w14:paraId="05FD9746" w14:textId="77777777">
            <w:pPr>
              <w:pStyle w:val="BodyText2"/>
              <w:rPr>
                <w:sz w:val="22"/>
                <w:szCs w:val="22"/>
              </w:rPr>
            </w:pPr>
            <w:r w:rsidRPr="00A27EDB">
              <w:rPr>
                <w:sz w:val="22"/>
                <w:szCs w:val="22"/>
              </w:rPr>
              <w:t>10</w:t>
            </w:r>
          </w:p>
        </w:tc>
        <w:tc>
          <w:tcPr>
            <w:tcW w:w="1603" w:type="dxa"/>
            <w:shd w:val="clear" w:color="auto" w:fill="auto"/>
          </w:tcPr>
          <w:p w:rsidR="001D54D4" w:rsidRPr="00A27EDB" w:rsidP="001D54D4" w14:paraId="6CA112F2"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7A60C8CB" w14:textId="77777777">
            <w:pPr>
              <w:pStyle w:val="BodyText2"/>
              <w:rPr>
                <w:sz w:val="22"/>
                <w:szCs w:val="22"/>
              </w:rPr>
            </w:pPr>
            <w:r w:rsidRPr="00A27EDB">
              <w:rPr>
                <w:sz w:val="22"/>
                <w:szCs w:val="22"/>
              </w:rPr>
              <w:t>5 hours</w:t>
            </w:r>
          </w:p>
        </w:tc>
        <w:tc>
          <w:tcPr>
            <w:tcW w:w="1356" w:type="dxa"/>
            <w:shd w:val="clear" w:color="auto" w:fill="FFFFFF"/>
          </w:tcPr>
          <w:p w:rsidR="001D54D4" w:rsidRPr="00A27EDB" w:rsidP="001D54D4" w14:paraId="6E040FC0"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CDD2A45" w14:textId="77777777">
            <w:pPr>
              <w:pStyle w:val="BodyText2"/>
              <w:rPr>
                <w:sz w:val="22"/>
                <w:szCs w:val="22"/>
              </w:rPr>
            </w:pPr>
            <w:r w:rsidRPr="00A27EDB">
              <w:rPr>
                <w:sz w:val="22"/>
                <w:szCs w:val="22"/>
              </w:rPr>
              <w:t>$240.40</w:t>
            </w:r>
          </w:p>
        </w:tc>
      </w:tr>
      <w:tr w14:paraId="49FD326D" w14:textId="77777777" w:rsidTr="00EC2BDB">
        <w:tblPrEx>
          <w:tblW w:w="9828" w:type="dxa"/>
          <w:tblLook w:val="01E0"/>
        </w:tblPrEx>
        <w:tc>
          <w:tcPr>
            <w:tcW w:w="1989" w:type="dxa"/>
            <w:shd w:val="clear" w:color="auto" w:fill="auto"/>
          </w:tcPr>
          <w:p w:rsidR="001D54D4" w:rsidRPr="00A27EDB" w:rsidP="001D54D4" w14:paraId="36B835C1" w14:textId="77777777">
            <w:pPr>
              <w:pStyle w:val="BodyText2"/>
              <w:rPr>
                <w:sz w:val="22"/>
                <w:szCs w:val="22"/>
              </w:rPr>
            </w:pPr>
            <w:r w:rsidRPr="00A27EDB">
              <w:rPr>
                <w:sz w:val="22"/>
                <w:szCs w:val="22"/>
              </w:rPr>
              <w:t>73.1620</w:t>
            </w:r>
          </w:p>
        </w:tc>
        <w:tc>
          <w:tcPr>
            <w:tcW w:w="1544" w:type="dxa"/>
            <w:shd w:val="clear" w:color="auto" w:fill="auto"/>
          </w:tcPr>
          <w:p w:rsidR="001D54D4" w:rsidRPr="00A27EDB" w:rsidP="001D54D4" w14:paraId="53F2FA83" w14:textId="77777777">
            <w:pPr>
              <w:pStyle w:val="BodyText2"/>
              <w:rPr>
                <w:sz w:val="22"/>
                <w:szCs w:val="22"/>
              </w:rPr>
            </w:pPr>
            <w:r w:rsidRPr="00A27EDB">
              <w:rPr>
                <w:sz w:val="22"/>
                <w:szCs w:val="22"/>
              </w:rPr>
              <w:t>1,200</w:t>
            </w:r>
          </w:p>
        </w:tc>
        <w:tc>
          <w:tcPr>
            <w:tcW w:w="1603" w:type="dxa"/>
            <w:shd w:val="clear" w:color="auto" w:fill="auto"/>
          </w:tcPr>
          <w:p w:rsidR="001D54D4" w:rsidRPr="00A27EDB" w:rsidP="001D54D4" w14:paraId="2B8165C8"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1E2A7C9B" w14:textId="77777777">
            <w:pPr>
              <w:pStyle w:val="BodyText2"/>
              <w:rPr>
                <w:sz w:val="22"/>
                <w:szCs w:val="22"/>
              </w:rPr>
            </w:pPr>
            <w:r w:rsidRPr="00A27EDB">
              <w:rPr>
                <w:sz w:val="22"/>
                <w:szCs w:val="22"/>
              </w:rPr>
              <w:t>600 hours</w:t>
            </w:r>
          </w:p>
        </w:tc>
        <w:tc>
          <w:tcPr>
            <w:tcW w:w="1356" w:type="dxa"/>
            <w:shd w:val="clear" w:color="auto" w:fill="FFFFFF"/>
          </w:tcPr>
          <w:p w:rsidR="001D54D4" w:rsidRPr="00A27EDB" w:rsidP="001D54D4" w14:paraId="5EFAFCB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DBD80A5" w14:textId="77777777">
            <w:pPr>
              <w:pStyle w:val="BodyText2"/>
              <w:rPr>
                <w:sz w:val="22"/>
                <w:szCs w:val="22"/>
              </w:rPr>
            </w:pPr>
            <w:r w:rsidRPr="00A27EDB">
              <w:rPr>
                <w:sz w:val="22"/>
                <w:szCs w:val="22"/>
              </w:rPr>
              <w:t>$28,848.00</w:t>
            </w:r>
          </w:p>
        </w:tc>
      </w:tr>
      <w:tr w14:paraId="5CD8CA5C" w14:textId="77777777" w:rsidTr="00EC2BDB">
        <w:tblPrEx>
          <w:tblW w:w="9828" w:type="dxa"/>
          <w:tblLook w:val="01E0"/>
        </w:tblPrEx>
        <w:tc>
          <w:tcPr>
            <w:tcW w:w="1989" w:type="dxa"/>
            <w:shd w:val="clear" w:color="auto" w:fill="auto"/>
          </w:tcPr>
          <w:p w:rsidR="001D54D4" w:rsidRPr="00A27EDB" w:rsidP="001D54D4" w14:paraId="11845C70" w14:textId="77777777">
            <w:pPr>
              <w:pStyle w:val="BodyText2"/>
              <w:rPr>
                <w:sz w:val="22"/>
                <w:szCs w:val="22"/>
              </w:rPr>
            </w:pPr>
            <w:r w:rsidRPr="00A27EDB">
              <w:rPr>
                <w:sz w:val="22"/>
                <w:szCs w:val="22"/>
              </w:rPr>
              <w:t>73.1750</w:t>
            </w:r>
          </w:p>
        </w:tc>
        <w:tc>
          <w:tcPr>
            <w:tcW w:w="1544" w:type="dxa"/>
            <w:shd w:val="clear" w:color="auto" w:fill="auto"/>
          </w:tcPr>
          <w:p w:rsidR="001D54D4" w:rsidRPr="00A27EDB" w:rsidP="001D54D4" w14:paraId="1DDAEA30" w14:textId="77777777">
            <w:pPr>
              <w:pStyle w:val="BodyText2"/>
              <w:rPr>
                <w:sz w:val="22"/>
                <w:szCs w:val="22"/>
              </w:rPr>
            </w:pPr>
            <w:r w:rsidRPr="00A27EDB">
              <w:rPr>
                <w:sz w:val="22"/>
                <w:szCs w:val="22"/>
              </w:rPr>
              <w:t>50</w:t>
            </w:r>
          </w:p>
        </w:tc>
        <w:tc>
          <w:tcPr>
            <w:tcW w:w="1603" w:type="dxa"/>
            <w:shd w:val="clear" w:color="auto" w:fill="auto"/>
          </w:tcPr>
          <w:p w:rsidR="001D54D4" w:rsidRPr="00A27EDB" w:rsidP="001D54D4" w14:paraId="7257016F"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0EDF02E7"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1C7F09E6"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0AB75F3" w14:textId="77777777">
            <w:pPr>
              <w:pStyle w:val="BodyText2"/>
              <w:rPr>
                <w:sz w:val="22"/>
                <w:szCs w:val="22"/>
              </w:rPr>
            </w:pPr>
            <w:r w:rsidRPr="00A27EDB">
              <w:rPr>
                <w:sz w:val="22"/>
                <w:szCs w:val="22"/>
              </w:rPr>
              <w:t>$1,202.00</w:t>
            </w:r>
          </w:p>
        </w:tc>
      </w:tr>
      <w:tr w14:paraId="3FD5E37C" w14:textId="77777777" w:rsidTr="00EC2BDB">
        <w:tblPrEx>
          <w:tblW w:w="9828" w:type="dxa"/>
          <w:tblLook w:val="01E0"/>
        </w:tblPrEx>
        <w:tc>
          <w:tcPr>
            <w:tcW w:w="1989" w:type="dxa"/>
            <w:shd w:val="clear" w:color="auto" w:fill="auto"/>
          </w:tcPr>
          <w:p w:rsidR="001D54D4" w:rsidRPr="00A27EDB" w:rsidP="001D54D4" w14:paraId="03D81885" w14:textId="77777777">
            <w:pPr>
              <w:rPr>
                <w:sz w:val="22"/>
                <w:szCs w:val="22"/>
              </w:rPr>
            </w:pPr>
            <w:r w:rsidRPr="00A27EDB">
              <w:rPr>
                <w:sz w:val="22"/>
                <w:szCs w:val="22"/>
              </w:rPr>
              <w:t>73.</w:t>
            </w:r>
            <w:r w:rsidRPr="00747BA1">
              <w:rPr>
                <w:szCs w:val="22"/>
              </w:rPr>
              <w:t>1943</w:t>
            </w:r>
          </w:p>
        </w:tc>
        <w:tc>
          <w:tcPr>
            <w:tcW w:w="1544" w:type="dxa"/>
            <w:shd w:val="clear" w:color="auto" w:fill="auto"/>
          </w:tcPr>
          <w:p w:rsidR="001D54D4" w:rsidRPr="00A27EDB" w:rsidP="001D54D4" w14:paraId="14316BC7" w14:textId="77777777">
            <w:pPr>
              <w:pStyle w:val="BodyText2"/>
              <w:rPr>
                <w:sz w:val="22"/>
                <w:szCs w:val="22"/>
              </w:rPr>
            </w:pPr>
            <w:r w:rsidRPr="00A27EDB">
              <w:rPr>
                <w:sz w:val="22"/>
                <w:szCs w:val="22"/>
              </w:rPr>
              <w:t>200</w:t>
            </w:r>
          </w:p>
        </w:tc>
        <w:tc>
          <w:tcPr>
            <w:tcW w:w="1603" w:type="dxa"/>
            <w:shd w:val="clear" w:color="auto" w:fill="auto"/>
          </w:tcPr>
          <w:p w:rsidR="001D54D4" w:rsidRPr="00A27EDB" w:rsidP="001D54D4" w14:paraId="47007361" w14:textId="77777777">
            <w:pPr>
              <w:pStyle w:val="BodyText2"/>
              <w:rPr>
                <w:sz w:val="22"/>
                <w:szCs w:val="22"/>
              </w:rPr>
            </w:pPr>
            <w:r w:rsidRPr="00A27EDB">
              <w:rPr>
                <w:sz w:val="22"/>
                <w:szCs w:val="22"/>
              </w:rPr>
              <w:t>0.25 hours</w:t>
            </w:r>
          </w:p>
        </w:tc>
        <w:tc>
          <w:tcPr>
            <w:tcW w:w="1740" w:type="dxa"/>
            <w:shd w:val="clear" w:color="auto" w:fill="auto"/>
          </w:tcPr>
          <w:p w:rsidR="001D54D4" w:rsidRPr="00A27EDB" w:rsidP="001D54D4" w14:paraId="77573204"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6726C53A"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56932FC" w14:textId="77777777">
            <w:pPr>
              <w:pStyle w:val="BodyText2"/>
              <w:rPr>
                <w:sz w:val="22"/>
                <w:szCs w:val="22"/>
              </w:rPr>
            </w:pPr>
            <w:r w:rsidRPr="00A27EDB">
              <w:rPr>
                <w:sz w:val="22"/>
                <w:szCs w:val="22"/>
              </w:rPr>
              <w:t>$2,404.00</w:t>
            </w:r>
          </w:p>
        </w:tc>
      </w:tr>
      <w:tr w14:paraId="0F7763B2" w14:textId="77777777" w:rsidTr="00EC2BDB">
        <w:tblPrEx>
          <w:tblW w:w="9828" w:type="dxa"/>
          <w:tblLook w:val="01E0"/>
        </w:tblPrEx>
        <w:tc>
          <w:tcPr>
            <w:tcW w:w="1989" w:type="dxa"/>
            <w:shd w:val="clear" w:color="auto" w:fill="auto"/>
          </w:tcPr>
          <w:p w:rsidR="001D54D4" w:rsidRPr="00A27EDB" w:rsidP="001D54D4" w14:paraId="0B84E225" w14:textId="77777777">
            <w:pPr>
              <w:pStyle w:val="BodyText2"/>
              <w:rPr>
                <w:sz w:val="22"/>
                <w:szCs w:val="22"/>
              </w:rPr>
            </w:pPr>
            <w:r w:rsidRPr="00A27EDB">
              <w:rPr>
                <w:sz w:val="22"/>
                <w:szCs w:val="22"/>
              </w:rPr>
              <w:t>73.3525</w:t>
            </w:r>
          </w:p>
        </w:tc>
        <w:tc>
          <w:tcPr>
            <w:tcW w:w="1544" w:type="dxa"/>
            <w:shd w:val="clear" w:color="auto" w:fill="auto"/>
          </w:tcPr>
          <w:p w:rsidR="001D54D4" w:rsidRPr="00A27EDB" w:rsidP="001D54D4" w14:paraId="03E44D9B" w14:textId="77777777">
            <w:pPr>
              <w:pStyle w:val="BodyText2"/>
              <w:rPr>
                <w:sz w:val="22"/>
                <w:szCs w:val="22"/>
              </w:rPr>
            </w:pPr>
            <w:r w:rsidRPr="00A27EDB">
              <w:rPr>
                <w:sz w:val="22"/>
                <w:szCs w:val="22"/>
              </w:rPr>
              <w:t>500</w:t>
            </w:r>
          </w:p>
        </w:tc>
        <w:tc>
          <w:tcPr>
            <w:tcW w:w="1603" w:type="dxa"/>
            <w:shd w:val="clear" w:color="auto" w:fill="auto"/>
          </w:tcPr>
          <w:p w:rsidR="001D54D4" w:rsidRPr="00A27EDB" w:rsidP="001D54D4" w14:paraId="6881F492" w14:textId="77777777">
            <w:pPr>
              <w:pStyle w:val="BodyText2"/>
              <w:rPr>
                <w:sz w:val="22"/>
                <w:szCs w:val="22"/>
              </w:rPr>
            </w:pPr>
            <w:r w:rsidRPr="00A27EDB">
              <w:rPr>
                <w:sz w:val="22"/>
                <w:szCs w:val="22"/>
              </w:rPr>
              <w:t>4 hours</w:t>
            </w:r>
          </w:p>
        </w:tc>
        <w:tc>
          <w:tcPr>
            <w:tcW w:w="1740" w:type="dxa"/>
            <w:shd w:val="clear" w:color="auto" w:fill="auto"/>
          </w:tcPr>
          <w:p w:rsidR="001D54D4" w:rsidRPr="00A27EDB" w:rsidP="001D54D4" w14:paraId="5C9066E5" w14:textId="77777777">
            <w:pPr>
              <w:pStyle w:val="BodyText2"/>
              <w:rPr>
                <w:sz w:val="22"/>
                <w:szCs w:val="22"/>
              </w:rPr>
            </w:pPr>
            <w:r w:rsidRPr="00A27EDB">
              <w:rPr>
                <w:sz w:val="22"/>
                <w:szCs w:val="22"/>
              </w:rPr>
              <w:t>2,000 hours</w:t>
            </w:r>
          </w:p>
        </w:tc>
        <w:tc>
          <w:tcPr>
            <w:tcW w:w="1356" w:type="dxa"/>
            <w:shd w:val="clear" w:color="auto" w:fill="FFFFFF"/>
          </w:tcPr>
          <w:p w:rsidR="001D54D4" w:rsidRPr="00A27EDB" w:rsidP="001D54D4" w14:paraId="2AC8419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F886AD5" w14:textId="77777777">
            <w:pPr>
              <w:pStyle w:val="BodyText2"/>
              <w:rPr>
                <w:sz w:val="22"/>
                <w:szCs w:val="22"/>
              </w:rPr>
            </w:pPr>
            <w:r w:rsidRPr="00A27EDB">
              <w:rPr>
                <w:sz w:val="22"/>
                <w:szCs w:val="22"/>
              </w:rPr>
              <w:t>$96,160.00</w:t>
            </w:r>
          </w:p>
        </w:tc>
      </w:tr>
      <w:tr w14:paraId="76E52359" w14:textId="77777777" w:rsidTr="00EC2BDB">
        <w:tblPrEx>
          <w:tblW w:w="9828" w:type="dxa"/>
          <w:tblLook w:val="01E0"/>
        </w:tblPrEx>
        <w:tc>
          <w:tcPr>
            <w:tcW w:w="1989" w:type="dxa"/>
            <w:shd w:val="clear" w:color="auto" w:fill="auto"/>
          </w:tcPr>
          <w:p w:rsidR="001D54D4" w:rsidRPr="00A27EDB" w:rsidP="001D54D4" w14:paraId="72384FDE" w14:textId="77777777">
            <w:pPr>
              <w:pStyle w:val="BodyText2"/>
              <w:rPr>
                <w:sz w:val="22"/>
                <w:szCs w:val="22"/>
              </w:rPr>
            </w:pPr>
            <w:r w:rsidRPr="00A27EDB">
              <w:rPr>
                <w:sz w:val="22"/>
                <w:szCs w:val="22"/>
              </w:rPr>
              <w:t>73.3550</w:t>
            </w:r>
          </w:p>
        </w:tc>
        <w:tc>
          <w:tcPr>
            <w:tcW w:w="1544" w:type="dxa"/>
            <w:shd w:val="clear" w:color="auto" w:fill="auto"/>
          </w:tcPr>
          <w:p w:rsidR="001D54D4" w:rsidRPr="00A27EDB" w:rsidP="001D54D4" w14:paraId="755CFE4B" w14:textId="77777777">
            <w:pPr>
              <w:pStyle w:val="BodyText2"/>
              <w:rPr>
                <w:sz w:val="22"/>
                <w:szCs w:val="22"/>
              </w:rPr>
            </w:pPr>
            <w:r w:rsidRPr="00A27EDB">
              <w:rPr>
                <w:sz w:val="22"/>
                <w:szCs w:val="22"/>
              </w:rPr>
              <w:t>1,200</w:t>
            </w:r>
          </w:p>
        </w:tc>
        <w:tc>
          <w:tcPr>
            <w:tcW w:w="1603" w:type="dxa"/>
            <w:shd w:val="clear" w:color="auto" w:fill="auto"/>
          </w:tcPr>
          <w:p w:rsidR="001D54D4" w:rsidRPr="00A27EDB" w:rsidP="001D54D4" w14:paraId="0B946CD3" w14:textId="77777777">
            <w:pPr>
              <w:pStyle w:val="BodyText2"/>
              <w:rPr>
                <w:sz w:val="22"/>
                <w:szCs w:val="22"/>
              </w:rPr>
            </w:pPr>
            <w:r w:rsidRPr="00A27EDB">
              <w:rPr>
                <w:sz w:val="22"/>
                <w:szCs w:val="22"/>
              </w:rPr>
              <w:t>0.75 hours</w:t>
            </w:r>
          </w:p>
        </w:tc>
        <w:tc>
          <w:tcPr>
            <w:tcW w:w="1740" w:type="dxa"/>
            <w:shd w:val="clear" w:color="auto" w:fill="auto"/>
          </w:tcPr>
          <w:p w:rsidR="001D54D4" w:rsidRPr="00A27EDB" w:rsidP="001D54D4" w14:paraId="581F8B94" w14:textId="77777777">
            <w:pPr>
              <w:pStyle w:val="BodyText2"/>
              <w:rPr>
                <w:sz w:val="22"/>
                <w:szCs w:val="22"/>
              </w:rPr>
            </w:pPr>
            <w:r w:rsidRPr="00A27EDB">
              <w:rPr>
                <w:sz w:val="22"/>
                <w:szCs w:val="22"/>
              </w:rPr>
              <w:t>900 hours</w:t>
            </w:r>
          </w:p>
        </w:tc>
        <w:tc>
          <w:tcPr>
            <w:tcW w:w="1356" w:type="dxa"/>
            <w:shd w:val="clear" w:color="auto" w:fill="FFFFFF"/>
          </w:tcPr>
          <w:p w:rsidR="001D54D4" w:rsidRPr="00A27EDB" w:rsidP="001D54D4" w14:paraId="4D3A9E0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CCE7180" w14:textId="77777777">
            <w:pPr>
              <w:pStyle w:val="BodyText2"/>
              <w:rPr>
                <w:sz w:val="22"/>
                <w:szCs w:val="22"/>
              </w:rPr>
            </w:pPr>
            <w:r w:rsidRPr="00A27EDB">
              <w:rPr>
                <w:sz w:val="22"/>
                <w:szCs w:val="22"/>
              </w:rPr>
              <w:t>$43,272.00</w:t>
            </w:r>
          </w:p>
        </w:tc>
      </w:tr>
      <w:tr w14:paraId="03AA5A13" w14:textId="77777777" w:rsidTr="00EC2BDB">
        <w:tblPrEx>
          <w:tblW w:w="9828" w:type="dxa"/>
          <w:tblLook w:val="01E0"/>
        </w:tblPrEx>
        <w:tc>
          <w:tcPr>
            <w:tcW w:w="1989" w:type="dxa"/>
            <w:shd w:val="clear" w:color="auto" w:fill="auto"/>
          </w:tcPr>
          <w:p w:rsidR="001D54D4" w:rsidRPr="00A27EDB" w:rsidP="001D54D4" w14:paraId="4F8A0418" w14:textId="77777777">
            <w:pPr>
              <w:pStyle w:val="BodyText2"/>
              <w:rPr>
                <w:sz w:val="22"/>
                <w:szCs w:val="22"/>
              </w:rPr>
            </w:pPr>
          </w:p>
        </w:tc>
        <w:tc>
          <w:tcPr>
            <w:tcW w:w="1544" w:type="dxa"/>
            <w:shd w:val="clear" w:color="auto" w:fill="auto"/>
          </w:tcPr>
          <w:p w:rsidR="001D54D4" w:rsidRPr="00A27EDB" w:rsidP="001D54D4" w14:paraId="7CCBE2CF" w14:textId="77777777">
            <w:pPr>
              <w:pStyle w:val="BodyText2"/>
              <w:rPr>
                <w:sz w:val="22"/>
                <w:szCs w:val="22"/>
              </w:rPr>
            </w:pPr>
          </w:p>
        </w:tc>
        <w:tc>
          <w:tcPr>
            <w:tcW w:w="1603" w:type="dxa"/>
            <w:shd w:val="clear" w:color="auto" w:fill="auto"/>
          </w:tcPr>
          <w:p w:rsidR="001D54D4" w:rsidRPr="00A27EDB" w:rsidP="001D54D4" w14:paraId="34C91417" w14:textId="77777777">
            <w:pPr>
              <w:pStyle w:val="BodyText2"/>
              <w:rPr>
                <w:sz w:val="22"/>
                <w:szCs w:val="22"/>
              </w:rPr>
            </w:pPr>
          </w:p>
        </w:tc>
        <w:tc>
          <w:tcPr>
            <w:tcW w:w="1740" w:type="dxa"/>
            <w:shd w:val="clear" w:color="auto" w:fill="auto"/>
          </w:tcPr>
          <w:p w:rsidR="001D54D4" w:rsidRPr="00A27EDB" w:rsidP="001D54D4" w14:paraId="2114779F" w14:textId="77777777">
            <w:pPr>
              <w:pStyle w:val="BodyText2"/>
              <w:rPr>
                <w:sz w:val="22"/>
                <w:szCs w:val="22"/>
              </w:rPr>
            </w:pPr>
          </w:p>
        </w:tc>
        <w:tc>
          <w:tcPr>
            <w:tcW w:w="1356" w:type="dxa"/>
            <w:shd w:val="clear" w:color="auto" w:fill="FFFFFF"/>
          </w:tcPr>
          <w:p w:rsidR="001D54D4" w:rsidRPr="00A27EDB" w:rsidP="001D54D4" w14:paraId="293DCA42" w14:textId="77777777">
            <w:pPr>
              <w:pStyle w:val="BodyText2"/>
              <w:rPr>
                <w:sz w:val="22"/>
                <w:szCs w:val="22"/>
              </w:rPr>
            </w:pPr>
          </w:p>
        </w:tc>
        <w:tc>
          <w:tcPr>
            <w:tcW w:w="1596" w:type="dxa"/>
            <w:shd w:val="clear" w:color="auto" w:fill="FFFFFF"/>
          </w:tcPr>
          <w:p w:rsidR="001D54D4" w:rsidRPr="00A27EDB" w:rsidP="001D54D4" w14:paraId="428501FF" w14:textId="77777777">
            <w:pPr>
              <w:pStyle w:val="BodyText2"/>
              <w:rPr>
                <w:sz w:val="22"/>
                <w:szCs w:val="22"/>
              </w:rPr>
            </w:pPr>
          </w:p>
        </w:tc>
      </w:tr>
      <w:tr w14:paraId="14D7DB55" w14:textId="77777777" w:rsidTr="00EC2BDB">
        <w:tblPrEx>
          <w:tblW w:w="9828" w:type="dxa"/>
          <w:tblLook w:val="01E0"/>
        </w:tblPrEx>
        <w:tc>
          <w:tcPr>
            <w:tcW w:w="1989" w:type="dxa"/>
            <w:shd w:val="clear" w:color="auto" w:fill="auto"/>
          </w:tcPr>
          <w:p w:rsidR="001D54D4" w:rsidRPr="00A27EDB" w:rsidP="001D54D4" w14:paraId="394E347D" w14:textId="77777777">
            <w:pPr>
              <w:pStyle w:val="BodyText2"/>
              <w:rPr>
                <w:sz w:val="22"/>
                <w:szCs w:val="22"/>
              </w:rPr>
            </w:pPr>
            <w:r w:rsidRPr="00A27EDB">
              <w:rPr>
                <w:sz w:val="22"/>
                <w:szCs w:val="22"/>
              </w:rPr>
              <w:t>73.3598</w:t>
            </w:r>
          </w:p>
        </w:tc>
        <w:tc>
          <w:tcPr>
            <w:tcW w:w="1544" w:type="dxa"/>
            <w:shd w:val="clear" w:color="auto" w:fill="auto"/>
          </w:tcPr>
          <w:p w:rsidR="001D54D4" w:rsidRPr="00A27EDB" w:rsidP="001D54D4" w14:paraId="084071FC" w14:textId="77777777">
            <w:pPr>
              <w:pStyle w:val="BodyText2"/>
              <w:rPr>
                <w:sz w:val="22"/>
                <w:szCs w:val="22"/>
              </w:rPr>
            </w:pPr>
            <w:r w:rsidRPr="00A27EDB">
              <w:rPr>
                <w:sz w:val="22"/>
                <w:szCs w:val="22"/>
              </w:rPr>
              <w:t>200</w:t>
            </w:r>
          </w:p>
        </w:tc>
        <w:tc>
          <w:tcPr>
            <w:tcW w:w="1603" w:type="dxa"/>
            <w:shd w:val="clear" w:color="auto" w:fill="auto"/>
          </w:tcPr>
          <w:p w:rsidR="001D54D4" w:rsidRPr="00A27EDB" w:rsidP="001D54D4" w14:paraId="2B618A78" w14:textId="77777777">
            <w:pPr>
              <w:pStyle w:val="BodyText2"/>
              <w:rPr>
                <w:sz w:val="22"/>
                <w:szCs w:val="22"/>
              </w:rPr>
            </w:pPr>
            <w:r w:rsidRPr="00A27EDB">
              <w:rPr>
                <w:sz w:val="22"/>
                <w:szCs w:val="22"/>
              </w:rPr>
              <w:t>1 hour</w:t>
            </w:r>
          </w:p>
        </w:tc>
        <w:tc>
          <w:tcPr>
            <w:tcW w:w="1740" w:type="dxa"/>
            <w:shd w:val="clear" w:color="auto" w:fill="auto"/>
          </w:tcPr>
          <w:p w:rsidR="001D54D4" w:rsidRPr="00A27EDB" w:rsidP="001D54D4" w14:paraId="5809E0BA" w14:textId="77777777">
            <w:pPr>
              <w:pStyle w:val="BodyText2"/>
              <w:rPr>
                <w:sz w:val="22"/>
                <w:szCs w:val="22"/>
              </w:rPr>
            </w:pPr>
            <w:r w:rsidRPr="00A27EDB">
              <w:rPr>
                <w:sz w:val="22"/>
                <w:szCs w:val="22"/>
              </w:rPr>
              <w:t>200 hours</w:t>
            </w:r>
          </w:p>
        </w:tc>
        <w:tc>
          <w:tcPr>
            <w:tcW w:w="1356" w:type="dxa"/>
            <w:shd w:val="clear" w:color="auto" w:fill="FFFFFF"/>
          </w:tcPr>
          <w:p w:rsidR="001D54D4" w:rsidRPr="00A27EDB" w:rsidP="001D54D4" w14:paraId="0DFF362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2CE7129" w14:textId="77777777">
            <w:pPr>
              <w:pStyle w:val="BodyText2"/>
              <w:rPr>
                <w:sz w:val="22"/>
                <w:szCs w:val="22"/>
              </w:rPr>
            </w:pPr>
            <w:r w:rsidRPr="00A27EDB">
              <w:rPr>
                <w:sz w:val="22"/>
                <w:szCs w:val="22"/>
              </w:rPr>
              <w:t>$9,616.00</w:t>
            </w:r>
          </w:p>
        </w:tc>
      </w:tr>
      <w:tr w14:paraId="4BB9CB81" w14:textId="77777777" w:rsidTr="00EC2BDB">
        <w:tblPrEx>
          <w:tblW w:w="9828" w:type="dxa"/>
          <w:tblLook w:val="01E0"/>
        </w:tblPrEx>
        <w:tc>
          <w:tcPr>
            <w:tcW w:w="1989" w:type="dxa"/>
            <w:shd w:val="clear" w:color="auto" w:fill="auto"/>
          </w:tcPr>
          <w:p w:rsidR="001D54D4" w:rsidRPr="00A27EDB" w:rsidP="001D54D4" w14:paraId="38061084" w14:textId="77777777">
            <w:pPr>
              <w:pStyle w:val="BodyText2"/>
              <w:rPr>
                <w:sz w:val="22"/>
                <w:szCs w:val="22"/>
              </w:rPr>
            </w:pPr>
            <w:r w:rsidRPr="00A27EDB">
              <w:rPr>
                <w:sz w:val="22"/>
                <w:szCs w:val="22"/>
              </w:rPr>
              <w:t>Unattended operation letters</w:t>
            </w:r>
          </w:p>
        </w:tc>
        <w:tc>
          <w:tcPr>
            <w:tcW w:w="1544" w:type="dxa"/>
            <w:shd w:val="clear" w:color="auto" w:fill="auto"/>
          </w:tcPr>
          <w:p w:rsidR="001D54D4" w:rsidRPr="00A27EDB" w:rsidP="001D54D4" w14:paraId="5BB45A1D" w14:textId="77777777">
            <w:pPr>
              <w:pStyle w:val="BodyText2"/>
              <w:rPr>
                <w:sz w:val="22"/>
                <w:szCs w:val="22"/>
                <w:u w:val="single"/>
              </w:rPr>
            </w:pPr>
            <w:r w:rsidRPr="00A27EDB">
              <w:rPr>
                <w:sz w:val="22"/>
                <w:szCs w:val="22"/>
                <w:u w:val="single"/>
              </w:rPr>
              <w:t>30</w:t>
            </w:r>
          </w:p>
        </w:tc>
        <w:tc>
          <w:tcPr>
            <w:tcW w:w="1603" w:type="dxa"/>
            <w:shd w:val="clear" w:color="auto" w:fill="auto"/>
          </w:tcPr>
          <w:p w:rsidR="001D54D4" w:rsidRPr="00A27EDB" w:rsidP="001D54D4" w14:paraId="30F1F349" w14:textId="77777777">
            <w:pPr>
              <w:pStyle w:val="BodyText2"/>
              <w:rPr>
                <w:sz w:val="22"/>
                <w:szCs w:val="22"/>
              </w:rPr>
            </w:pPr>
            <w:r w:rsidRPr="00A27EDB">
              <w:rPr>
                <w:sz w:val="22"/>
                <w:szCs w:val="22"/>
              </w:rPr>
              <w:t>0.5 hours</w:t>
            </w:r>
          </w:p>
        </w:tc>
        <w:tc>
          <w:tcPr>
            <w:tcW w:w="1740" w:type="dxa"/>
            <w:shd w:val="clear" w:color="auto" w:fill="auto"/>
          </w:tcPr>
          <w:p w:rsidR="001D54D4" w:rsidRPr="00A27EDB" w:rsidP="001D54D4" w14:paraId="4D0F0ECF" w14:textId="77777777">
            <w:pPr>
              <w:pStyle w:val="BodyText2"/>
              <w:rPr>
                <w:sz w:val="22"/>
                <w:szCs w:val="22"/>
                <w:u w:val="single"/>
              </w:rPr>
            </w:pPr>
            <w:r w:rsidRPr="00A27EDB">
              <w:rPr>
                <w:sz w:val="22"/>
                <w:szCs w:val="22"/>
                <w:u w:val="single"/>
              </w:rPr>
              <w:t>15 hours</w:t>
            </w:r>
          </w:p>
        </w:tc>
        <w:tc>
          <w:tcPr>
            <w:tcW w:w="1356" w:type="dxa"/>
            <w:shd w:val="clear" w:color="auto" w:fill="FFFFFF"/>
          </w:tcPr>
          <w:p w:rsidR="001D54D4" w:rsidRPr="00A27EDB" w:rsidP="001D54D4" w14:paraId="55B80C7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0C409D4" w14:textId="77777777">
            <w:pPr>
              <w:pStyle w:val="BodyText2"/>
              <w:rPr>
                <w:sz w:val="22"/>
                <w:szCs w:val="22"/>
                <w:u w:val="single"/>
              </w:rPr>
            </w:pPr>
            <w:r w:rsidRPr="00A27EDB">
              <w:rPr>
                <w:sz w:val="22"/>
                <w:szCs w:val="22"/>
                <w:u w:val="single"/>
              </w:rPr>
              <w:t>$721.20</w:t>
            </w:r>
          </w:p>
        </w:tc>
      </w:tr>
      <w:tr w14:paraId="000CB6D8" w14:textId="77777777" w:rsidTr="00EC2BDB">
        <w:tblPrEx>
          <w:tblW w:w="9828" w:type="dxa"/>
          <w:tblLook w:val="01E0"/>
        </w:tblPrEx>
        <w:tc>
          <w:tcPr>
            <w:tcW w:w="1989" w:type="dxa"/>
            <w:shd w:val="clear" w:color="auto" w:fill="auto"/>
          </w:tcPr>
          <w:p w:rsidR="001D54D4" w:rsidRPr="00AA68A7" w:rsidP="001D54D4" w14:paraId="31C0E443" w14:textId="77777777">
            <w:pPr>
              <w:pStyle w:val="BodyText2"/>
              <w:rPr>
                <w:b/>
                <w:sz w:val="22"/>
                <w:szCs w:val="22"/>
              </w:rPr>
            </w:pPr>
            <w:r w:rsidRPr="00AA68A7">
              <w:rPr>
                <w:b/>
                <w:sz w:val="22"/>
                <w:szCs w:val="22"/>
              </w:rPr>
              <w:t>Subtotals</w:t>
            </w:r>
          </w:p>
        </w:tc>
        <w:tc>
          <w:tcPr>
            <w:tcW w:w="1544" w:type="dxa"/>
            <w:shd w:val="clear" w:color="auto" w:fill="auto"/>
          </w:tcPr>
          <w:p w:rsidR="001D54D4" w:rsidRPr="00AA68A7" w:rsidP="001D54D4" w14:paraId="5001B45B" w14:textId="77777777">
            <w:pPr>
              <w:pStyle w:val="BodyText2"/>
              <w:rPr>
                <w:b/>
                <w:sz w:val="22"/>
                <w:szCs w:val="22"/>
              </w:rPr>
            </w:pPr>
            <w:r w:rsidRPr="00AA68A7">
              <w:rPr>
                <w:b/>
                <w:sz w:val="22"/>
                <w:szCs w:val="22"/>
              </w:rPr>
              <w:t>27,7</w:t>
            </w:r>
            <w:r w:rsidRPr="00AA68A7" w:rsidR="008C0440">
              <w:rPr>
                <w:b/>
                <w:sz w:val="22"/>
                <w:szCs w:val="22"/>
              </w:rPr>
              <w:t>24</w:t>
            </w:r>
          </w:p>
          <w:p w:rsidR="001D54D4" w:rsidRPr="00AA68A7" w:rsidP="001D54D4" w14:paraId="6C70F4FA" w14:textId="77777777">
            <w:pPr>
              <w:pStyle w:val="BodyText2"/>
              <w:rPr>
                <w:b/>
                <w:sz w:val="22"/>
                <w:szCs w:val="22"/>
              </w:rPr>
            </w:pPr>
            <w:r w:rsidRPr="00AA68A7">
              <w:rPr>
                <w:b/>
                <w:sz w:val="22"/>
                <w:szCs w:val="22"/>
              </w:rPr>
              <w:t>(responses)</w:t>
            </w:r>
          </w:p>
        </w:tc>
        <w:tc>
          <w:tcPr>
            <w:tcW w:w="1603" w:type="dxa"/>
            <w:shd w:val="clear" w:color="auto" w:fill="auto"/>
          </w:tcPr>
          <w:p w:rsidR="001D54D4" w:rsidRPr="00AA68A7" w:rsidP="001D54D4" w14:paraId="44730691" w14:textId="77777777">
            <w:pPr>
              <w:pStyle w:val="BodyText2"/>
              <w:rPr>
                <w:b/>
                <w:sz w:val="22"/>
                <w:szCs w:val="22"/>
              </w:rPr>
            </w:pPr>
          </w:p>
        </w:tc>
        <w:tc>
          <w:tcPr>
            <w:tcW w:w="1740" w:type="dxa"/>
            <w:shd w:val="clear" w:color="auto" w:fill="auto"/>
          </w:tcPr>
          <w:p w:rsidR="001D54D4" w:rsidRPr="00AA68A7" w:rsidP="001D54D4" w14:paraId="0BCFCA50" w14:textId="77777777">
            <w:pPr>
              <w:pStyle w:val="BodyText2"/>
              <w:rPr>
                <w:b/>
                <w:sz w:val="22"/>
                <w:szCs w:val="22"/>
              </w:rPr>
            </w:pPr>
            <w:r w:rsidRPr="00AA68A7">
              <w:rPr>
                <w:b/>
                <w:sz w:val="22"/>
                <w:szCs w:val="22"/>
              </w:rPr>
              <w:t>51,</w:t>
            </w:r>
            <w:r w:rsidRPr="00AA68A7" w:rsidR="008C0440">
              <w:rPr>
                <w:b/>
                <w:sz w:val="22"/>
                <w:szCs w:val="22"/>
              </w:rPr>
              <w:t>088.50</w:t>
            </w:r>
          </w:p>
          <w:p w:rsidR="001D54D4" w:rsidRPr="00AA68A7" w:rsidP="001D54D4" w14:paraId="3D91062D" w14:textId="77777777">
            <w:pPr>
              <w:pStyle w:val="BodyText2"/>
              <w:rPr>
                <w:b/>
                <w:sz w:val="22"/>
                <w:szCs w:val="22"/>
              </w:rPr>
            </w:pPr>
            <w:r w:rsidRPr="00AA68A7">
              <w:rPr>
                <w:b/>
                <w:sz w:val="22"/>
                <w:szCs w:val="22"/>
              </w:rPr>
              <w:t>(</w:t>
            </w:r>
            <w:r w:rsidRPr="00AA68A7" w:rsidR="00647639">
              <w:rPr>
                <w:b/>
                <w:sz w:val="22"/>
                <w:szCs w:val="22"/>
              </w:rPr>
              <w:t>51,</w:t>
            </w:r>
            <w:r w:rsidRPr="00AA68A7" w:rsidR="008C0440">
              <w:rPr>
                <w:b/>
                <w:sz w:val="22"/>
                <w:szCs w:val="22"/>
              </w:rPr>
              <w:t>089</w:t>
            </w:r>
            <w:r w:rsidRPr="00AA68A7">
              <w:rPr>
                <w:b/>
                <w:sz w:val="22"/>
                <w:szCs w:val="22"/>
              </w:rPr>
              <w:t xml:space="preserve"> hours rounded)</w:t>
            </w:r>
          </w:p>
        </w:tc>
        <w:tc>
          <w:tcPr>
            <w:tcW w:w="1356" w:type="dxa"/>
            <w:shd w:val="clear" w:color="auto" w:fill="FFFFFF"/>
          </w:tcPr>
          <w:p w:rsidR="001D54D4" w:rsidRPr="00AA68A7" w:rsidP="001D54D4" w14:paraId="7FA6BF24" w14:textId="77777777">
            <w:pPr>
              <w:pStyle w:val="BodyText2"/>
              <w:rPr>
                <w:b/>
                <w:sz w:val="22"/>
                <w:szCs w:val="22"/>
              </w:rPr>
            </w:pPr>
          </w:p>
        </w:tc>
        <w:tc>
          <w:tcPr>
            <w:tcW w:w="1596" w:type="dxa"/>
            <w:shd w:val="clear" w:color="auto" w:fill="FFFFFF"/>
          </w:tcPr>
          <w:p w:rsidR="001D54D4" w:rsidRPr="00AA68A7" w:rsidP="001D54D4" w14:paraId="3AFFBD44" w14:textId="77777777">
            <w:pPr>
              <w:pStyle w:val="BodyText2"/>
              <w:rPr>
                <w:b/>
                <w:sz w:val="22"/>
                <w:szCs w:val="22"/>
              </w:rPr>
            </w:pPr>
            <w:r w:rsidRPr="00AA68A7">
              <w:rPr>
                <w:b/>
                <w:sz w:val="22"/>
                <w:szCs w:val="22"/>
              </w:rPr>
              <w:t>$</w:t>
            </w:r>
            <w:r w:rsidRPr="00AA68A7" w:rsidR="00B9158F">
              <w:rPr>
                <w:b/>
                <w:sz w:val="22"/>
                <w:szCs w:val="22"/>
              </w:rPr>
              <w:t>2,45</w:t>
            </w:r>
            <w:r w:rsidRPr="00AA68A7" w:rsidR="008C0440">
              <w:rPr>
                <w:b/>
                <w:sz w:val="22"/>
                <w:szCs w:val="22"/>
              </w:rPr>
              <w:t>6,335.08</w:t>
            </w:r>
          </w:p>
        </w:tc>
      </w:tr>
    </w:tbl>
    <w:p w:rsidR="00060C97" w:rsidP="00C07C62" w14:paraId="409C5B67" w14:textId="496B569C">
      <w:pPr>
        <w:rPr>
          <w:b/>
          <w:sz w:val="22"/>
          <w:szCs w:val="22"/>
        </w:rPr>
      </w:pPr>
    </w:p>
    <w:p w:rsidR="00060C97" w:rsidP="00C07C62" w14:paraId="35E6707F" w14:textId="64767919">
      <w:pPr>
        <w:rPr>
          <w:b/>
          <w:sz w:val="22"/>
          <w:szCs w:val="22"/>
        </w:rPr>
      </w:pPr>
    </w:p>
    <w:p w:rsidR="00060C97" w:rsidP="00C07C62" w14:paraId="3010A06E" w14:textId="08E76877">
      <w:pPr>
        <w:rPr>
          <w:b/>
          <w:sz w:val="22"/>
          <w:szCs w:val="22"/>
        </w:rPr>
      </w:pPr>
    </w:p>
    <w:p w:rsidR="00060C97" w:rsidP="00C07C62" w14:paraId="309F622A" w14:textId="6D85C34A">
      <w:pPr>
        <w:rPr>
          <w:b/>
          <w:sz w:val="22"/>
          <w:szCs w:val="22"/>
        </w:rPr>
      </w:pPr>
    </w:p>
    <w:p w:rsidR="00060C97" w:rsidP="00C07C62" w14:paraId="3FA1EC83" w14:textId="41FB3688">
      <w:pPr>
        <w:rPr>
          <w:b/>
          <w:sz w:val="22"/>
          <w:szCs w:val="22"/>
        </w:rPr>
      </w:pPr>
    </w:p>
    <w:p w:rsidR="00060C97" w:rsidP="00C07C62" w14:paraId="5D67CA2F" w14:textId="71C4518D">
      <w:pPr>
        <w:rPr>
          <w:b/>
          <w:sz w:val="22"/>
          <w:szCs w:val="22"/>
        </w:rPr>
      </w:pPr>
    </w:p>
    <w:p w:rsidR="00060C97" w:rsidP="00C07C62" w14:paraId="13797E52" w14:textId="36EFB913">
      <w:pPr>
        <w:rPr>
          <w:b/>
          <w:sz w:val="22"/>
          <w:szCs w:val="22"/>
        </w:rPr>
      </w:pPr>
    </w:p>
    <w:p w:rsidR="00060C97" w:rsidP="00C07C62" w14:paraId="259BEAF7" w14:textId="6991D022">
      <w:pPr>
        <w:rPr>
          <w:b/>
          <w:sz w:val="22"/>
          <w:szCs w:val="22"/>
        </w:rPr>
      </w:pPr>
    </w:p>
    <w:p w:rsidR="00060C97" w:rsidP="00C07C62" w14:paraId="19EA905B" w14:textId="77777777">
      <w:pPr>
        <w:rPr>
          <w:b/>
          <w:sz w:val="22"/>
          <w:szCs w:val="22"/>
        </w:rPr>
      </w:pPr>
    </w:p>
    <w:p w:rsidR="00747BA1" w:rsidRPr="00AA68A7" w:rsidP="00C07C62" w14:paraId="0F3C061A" w14:textId="58013007">
      <w:pPr>
        <w:rPr>
          <w:b/>
          <w:sz w:val="22"/>
          <w:szCs w:val="22"/>
        </w:rPr>
      </w:pPr>
      <w:r w:rsidRPr="00AA68A7">
        <w:rPr>
          <w:b/>
          <w:sz w:val="22"/>
          <w:szCs w:val="22"/>
        </w:rPr>
        <w:t>Online Notices (Third Party Disclosure) Requirement; 47 CFR § 73.3580</w:t>
      </w:r>
    </w:p>
    <w:p w:rsidR="00747BA1" w:rsidRPr="00AA68A7" w:rsidP="00C07C62" w14:paraId="0CC2C460" w14:textId="77777777">
      <w:pPr>
        <w:rPr>
          <w:b/>
          <w:sz w:val="22"/>
          <w:szCs w:val="22"/>
        </w:rPr>
      </w:pPr>
    </w:p>
    <w:p w:rsidR="00747BA1" w:rsidRPr="00AA68A7" w:rsidP="00C07C62" w14:paraId="26F461CE" w14:textId="77777777">
      <w:pPr>
        <w:rPr>
          <w:sz w:val="22"/>
          <w:szCs w:val="22"/>
        </w:rPr>
      </w:pPr>
      <w:r w:rsidRPr="00AA68A7">
        <w:rPr>
          <w:sz w:val="22"/>
          <w:szCs w:val="22"/>
        </w:rPr>
        <w:t>Online Notices with       3,600</w:t>
      </w:r>
      <w:r w:rsidRPr="00AA68A7">
        <w:rPr>
          <w:sz w:val="22"/>
          <w:szCs w:val="22"/>
        </w:rPr>
        <w:tab/>
      </w:r>
      <w:r w:rsidRPr="00AA68A7">
        <w:rPr>
          <w:sz w:val="22"/>
          <w:szCs w:val="22"/>
        </w:rPr>
        <w:tab/>
        <w:t>0.5 hours</w:t>
      </w:r>
      <w:r w:rsidRPr="00AA68A7">
        <w:rPr>
          <w:sz w:val="22"/>
          <w:szCs w:val="22"/>
        </w:rPr>
        <w:tab/>
        <w:t>1,800</w:t>
      </w:r>
      <w:r w:rsidRPr="00AA68A7">
        <w:rPr>
          <w:sz w:val="22"/>
          <w:szCs w:val="22"/>
        </w:rPr>
        <w:tab/>
      </w:r>
      <w:r w:rsidRPr="00AA68A7">
        <w:rPr>
          <w:sz w:val="22"/>
          <w:szCs w:val="22"/>
        </w:rPr>
        <w:tab/>
        <w:t xml:space="preserve">         $48.08</w:t>
      </w:r>
      <w:r w:rsidRPr="00AA68A7">
        <w:rPr>
          <w:sz w:val="22"/>
          <w:szCs w:val="22"/>
        </w:rPr>
        <w:tab/>
        <w:t xml:space="preserve">      $86,544.00</w:t>
      </w:r>
    </w:p>
    <w:p w:rsidR="00747BA1" w:rsidRPr="00AA68A7" w:rsidP="00C07C62" w14:paraId="0858E7E4" w14:textId="77777777">
      <w:pPr>
        <w:rPr>
          <w:sz w:val="22"/>
          <w:szCs w:val="22"/>
        </w:rPr>
      </w:pPr>
      <w:r w:rsidRPr="00AA68A7">
        <w:rPr>
          <w:sz w:val="22"/>
          <w:szCs w:val="22"/>
        </w:rPr>
        <w:t xml:space="preserve">LPFM New &amp; </w:t>
      </w:r>
    </w:p>
    <w:p w:rsidR="00747BA1" w:rsidRPr="00AA68A7" w:rsidP="00C07C62" w14:paraId="55C4D750" w14:textId="77777777">
      <w:pPr>
        <w:rPr>
          <w:sz w:val="22"/>
          <w:szCs w:val="22"/>
        </w:rPr>
      </w:pPr>
      <w:r w:rsidRPr="00AA68A7">
        <w:rPr>
          <w:sz w:val="22"/>
          <w:szCs w:val="22"/>
        </w:rPr>
        <w:t xml:space="preserve">Major applications </w:t>
      </w:r>
    </w:p>
    <w:p w:rsidR="00747BA1" w:rsidRPr="00F203F9" w:rsidP="00C07C62" w14:paraId="7B850ED2" w14:textId="77777777">
      <w:pPr>
        <w:rPr>
          <w:sz w:val="22"/>
          <w:szCs w:val="22"/>
        </w:rPr>
      </w:pPr>
      <w:r w:rsidRPr="00AA68A7">
        <w:rPr>
          <w:sz w:val="22"/>
          <w:szCs w:val="22"/>
        </w:rPr>
        <w:t>(Schedule 318)</w:t>
      </w:r>
    </w:p>
    <w:p w:rsidR="00747BA1" w:rsidRPr="00B9158F" w:rsidP="00C07C62" w14:paraId="3A968AAC" w14:textId="77777777">
      <w:pPr>
        <w:rPr>
          <w:b/>
          <w:bCs/>
          <w:sz w:val="22"/>
          <w:szCs w:val="22"/>
        </w:rPr>
      </w:pPr>
    </w:p>
    <w:p w:rsidR="00F203F9" w:rsidRPr="00AA68A7" w:rsidP="00C07C62" w14:paraId="3C52B00B" w14:textId="77777777">
      <w:pPr>
        <w:rPr>
          <w:b/>
          <w:bCs/>
          <w:sz w:val="22"/>
          <w:szCs w:val="22"/>
        </w:rPr>
      </w:pPr>
      <w:r w:rsidRPr="00AA68A7">
        <w:rPr>
          <w:b/>
          <w:bCs/>
          <w:sz w:val="22"/>
          <w:szCs w:val="22"/>
        </w:rPr>
        <w:t>TOTALS</w:t>
      </w:r>
      <w:r w:rsidRPr="00AA68A7">
        <w:rPr>
          <w:b/>
          <w:bCs/>
          <w:sz w:val="22"/>
          <w:szCs w:val="22"/>
        </w:rPr>
        <w:tab/>
        <w:t xml:space="preserve">          </w:t>
      </w:r>
      <w:r w:rsidRPr="00AA68A7">
        <w:rPr>
          <w:b/>
          <w:bCs/>
          <w:sz w:val="22"/>
          <w:szCs w:val="22"/>
        </w:rPr>
        <w:t xml:space="preserve">  </w:t>
      </w:r>
      <w:r w:rsidRPr="00AA68A7" w:rsidR="00B9158F">
        <w:rPr>
          <w:b/>
          <w:bCs/>
          <w:sz w:val="22"/>
          <w:szCs w:val="22"/>
        </w:rPr>
        <w:t>31,3</w:t>
      </w:r>
      <w:r w:rsidRPr="00AA68A7" w:rsidR="008C0440">
        <w:rPr>
          <w:b/>
          <w:bCs/>
          <w:sz w:val="22"/>
          <w:szCs w:val="22"/>
        </w:rPr>
        <w:t>24</w:t>
      </w:r>
      <w:r w:rsidRPr="00AA68A7">
        <w:rPr>
          <w:b/>
          <w:bCs/>
          <w:sz w:val="22"/>
          <w:szCs w:val="22"/>
        </w:rPr>
        <w:tab/>
      </w:r>
      <w:r w:rsidRPr="00AA68A7">
        <w:rPr>
          <w:b/>
          <w:bCs/>
          <w:sz w:val="22"/>
          <w:szCs w:val="22"/>
        </w:rPr>
        <w:tab/>
      </w:r>
      <w:r w:rsidRPr="00AA68A7">
        <w:rPr>
          <w:b/>
          <w:bCs/>
          <w:sz w:val="22"/>
          <w:szCs w:val="22"/>
        </w:rPr>
        <w:tab/>
      </w:r>
      <w:r w:rsidRPr="00AA68A7">
        <w:rPr>
          <w:b/>
          <w:bCs/>
          <w:sz w:val="22"/>
          <w:szCs w:val="22"/>
        </w:rPr>
        <w:tab/>
      </w:r>
      <w:r w:rsidRPr="00AA68A7" w:rsidR="00B9158F">
        <w:rPr>
          <w:b/>
          <w:bCs/>
          <w:sz w:val="22"/>
          <w:szCs w:val="22"/>
        </w:rPr>
        <w:t>52,</w:t>
      </w:r>
      <w:r w:rsidRPr="00AA68A7" w:rsidR="008C0440">
        <w:rPr>
          <w:b/>
          <w:bCs/>
          <w:sz w:val="22"/>
          <w:szCs w:val="22"/>
        </w:rPr>
        <w:t>889</w:t>
      </w:r>
      <w:r w:rsidRPr="00AA68A7">
        <w:rPr>
          <w:b/>
          <w:bCs/>
          <w:sz w:val="22"/>
          <w:szCs w:val="22"/>
        </w:rPr>
        <w:t xml:space="preserve"> h</w:t>
      </w:r>
      <w:r w:rsidRPr="00AA68A7">
        <w:rPr>
          <w:b/>
          <w:bCs/>
          <w:sz w:val="22"/>
          <w:szCs w:val="22"/>
        </w:rPr>
        <w:t>o</w:t>
      </w:r>
      <w:r w:rsidRPr="00AA68A7">
        <w:rPr>
          <w:b/>
          <w:bCs/>
          <w:sz w:val="22"/>
          <w:szCs w:val="22"/>
        </w:rPr>
        <w:t>urs</w:t>
      </w:r>
      <w:r w:rsidRPr="00AA68A7">
        <w:rPr>
          <w:b/>
          <w:bCs/>
          <w:sz w:val="22"/>
          <w:szCs w:val="22"/>
        </w:rPr>
        <w:t xml:space="preserve">                              </w:t>
      </w:r>
      <w:r w:rsidRPr="00AA68A7" w:rsidR="00B9158F">
        <w:rPr>
          <w:b/>
          <w:bCs/>
          <w:sz w:val="22"/>
          <w:szCs w:val="22"/>
        </w:rPr>
        <w:t xml:space="preserve">   </w:t>
      </w:r>
      <w:r w:rsidRPr="00AA68A7">
        <w:rPr>
          <w:b/>
          <w:bCs/>
          <w:sz w:val="22"/>
          <w:szCs w:val="22"/>
        </w:rPr>
        <w:t>$</w:t>
      </w:r>
      <w:r w:rsidRPr="00AA68A7" w:rsidR="00B9158F">
        <w:rPr>
          <w:b/>
          <w:bCs/>
          <w:sz w:val="22"/>
          <w:szCs w:val="22"/>
        </w:rPr>
        <w:t>2,54</w:t>
      </w:r>
      <w:r w:rsidRPr="00AA68A7" w:rsidR="008C0440">
        <w:rPr>
          <w:b/>
          <w:bCs/>
          <w:sz w:val="22"/>
          <w:szCs w:val="22"/>
        </w:rPr>
        <w:t>2.879.08</w:t>
      </w:r>
    </w:p>
    <w:p w:rsidR="00747BA1" w:rsidRPr="00AA68A7" w:rsidP="00C07C62" w14:paraId="4B385B61" w14:textId="77777777">
      <w:pPr>
        <w:rPr>
          <w:b/>
          <w:bCs/>
          <w:sz w:val="22"/>
          <w:szCs w:val="22"/>
        </w:rPr>
      </w:pPr>
      <w:r w:rsidRPr="00AA68A7">
        <w:rPr>
          <w:sz w:val="22"/>
          <w:szCs w:val="22"/>
        </w:rPr>
        <w:t xml:space="preserve"> </w:t>
      </w:r>
      <w:r w:rsidRPr="00AA68A7" w:rsidR="003B23EE">
        <w:rPr>
          <w:sz w:val="22"/>
          <w:szCs w:val="22"/>
        </w:rPr>
        <w:tab/>
      </w:r>
      <w:r w:rsidRPr="00AA68A7" w:rsidR="003B23EE">
        <w:rPr>
          <w:sz w:val="22"/>
          <w:szCs w:val="22"/>
        </w:rPr>
        <w:tab/>
      </w:r>
      <w:r w:rsidRPr="00AA68A7" w:rsidR="003B23EE">
        <w:rPr>
          <w:b/>
          <w:bCs/>
          <w:sz w:val="22"/>
          <w:szCs w:val="22"/>
        </w:rPr>
        <w:t xml:space="preserve">            </w:t>
      </w:r>
      <w:r w:rsidRPr="00AA68A7">
        <w:rPr>
          <w:b/>
          <w:bCs/>
          <w:sz w:val="22"/>
          <w:szCs w:val="22"/>
        </w:rPr>
        <w:t>(responses)</w:t>
      </w:r>
    </w:p>
    <w:p w:rsidR="00747BA1" w:rsidRPr="00AA68A7" w:rsidP="00C07C62" w14:paraId="4C1679B8" w14:textId="77777777">
      <w:pPr>
        <w:rPr>
          <w:sz w:val="22"/>
          <w:szCs w:val="22"/>
        </w:rPr>
      </w:pPr>
    </w:p>
    <w:p w:rsidR="00C07C62" w:rsidRPr="00AA68A7" w:rsidP="00C07C62" w14:paraId="15486DC0" w14:textId="77777777">
      <w:pPr>
        <w:suppressAutoHyphens/>
        <w:jc w:val="both"/>
        <w:rPr>
          <w:b/>
          <w:spacing w:val="-3"/>
          <w:sz w:val="22"/>
          <w:szCs w:val="22"/>
        </w:rPr>
      </w:pPr>
      <w:r w:rsidRPr="00AA68A7">
        <w:rPr>
          <w:b/>
          <w:spacing w:val="-3"/>
          <w:sz w:val="22"/>
          <w:szCs w:val="22"/>
        </w:rPr>
        <w:t xml:space="preserve">Total Number of Annual Respondents:   </w:t>
      </w:r>
      <w:r w:rsidRPr="00AA68A7" w:rsidR="00A71120">
        <w:rPr>
          <w:b/>
          <w:spacing w:val="-3"/>
          <w:sz w:val="22"/>
          <w:szCs w:val="22"/>
        </w:rPr>
        <w:t>24,606</w:t>
      </w:r>
      <w:r w:rsidRPr="00AA68A7" w:rsidR="00EB2BB8">
        <w:rPr>
          <w:b/>
          <w:spacing w:val="-3"/>
          <w:sz w:val="22"/>
          <w:szCs w:val="22"/>
        </w:rPr>
        <w:t xml:space="preserve"> </w:t>
      </w:r>
      <w:r w:rsidRPr="00AA68A7">
        <w:rPr>
          <w:b/>
          <w:spacing w:val="-3"/>
          <w:sz w:val="22"/>
          <w:szCs w:val="22"/>
        </w:rPr>
        <w:t>respondents (w/multiple responses)</w:t>
      </w:r>
    </w:p>
    <w:p w:rsidR="00C07C62" w:rsidRPr="00AA68A7" w:rsidP="00C07C62" w14:paraId="16A7136D" w14:textId="77777777">
      <w:pPr>
        <w:pStyle w:val="BodyText2"/>
        <w:rPr>
          <w:sz w:val="22"/>
          <w:szCs w:val="22"/>
        </w:rPr>
      </w:pPr>
    </w:p>
    <w:p w:rsidR="00C07C62" w:rsidRPr="00AA68A7" w:rsidP="00C07C62" w14:paraId="22A10AAD" w14:textId="77777777">
      <w:pPr>
        <w:pStyle w:val="BodyText2"/>
        <w:rPr>
          <w:b/>
          <w:sz w:val="22"/>
          <w:szCs w:val="22"/>
        </w:rPr>
      </w:pPr>
      <w:r w:rsidRPr="00AA68A7">
        <w:rPr>
          <w:b/>
          <w:sz w:val="22"/>
          <w:szCs w:val="22"/>
        </w:rPr>
        <w:t xml:space="preserve">Total Number of Annual Responses:  </w:t>
      </w:r>
      <w:r w:rsidRPr="00AA68A7" w:rsidR="00B9158F">
        <w:rPr>
          <w:b/>
          <w:sz w:val="22"/>
          <w:szCs w:val="22"/>
        </w:rPr>
        <w:t>31,3</w:t>
      </w:r>
      <w:r w:rsidRPr="00AA68A7" w:rsidR="008C0440">
        <w:rPr>
          <w:b/>
          <w:sz w:val="22"/>
          <w:szCs w:val="22"/>
        </w:rPr>
        <w:t>24</w:t>
      </w:r>
      <w:r w:rsidRPr="00AA68A7" w:rsidR="00BB715B">
        <w:rPr>
          <w:b/>
          <w:sz w:val="22"/>
          <w:szCs w:val="22"/>
        </w:rPr>
        <w:t xml:space="preserve"> </w:t>
      </w:r>
      <w:r w:rsidRPr="00AA68A7">
        <w:rPr>
          <w:b/>
          <w:sz w:val="22"/>
          <w:szCs w:val="22"/>
        </w:rPr>
        <w:t>(responses)</w:t>
      </w:r>
    </w:p>
    <w:p w:rsidR="00C07C62" w:rsidRPr="00AA68A7" w:rsidP="00C07C62" w14:paraId="17234CAB" w14:textId="77777777">
      <w:pPr>
        <w:pStyle w:val="BodyText2"/>
        <w:rPr>
          <w:sz w:val="22"/>
          <w:szCs w:val="22"/>
        </w:rPr>
      </w:pPr>
    </w:p>
    <w:p w:rsidR="00C07C62" w:rsidRPr="00AA68A7" w:rsidP="00C07C62" w14:paraId="4040E9FA" w14:textId="77777777">
      <w:pPr>
        <w:pStyle w:val="BodyText2"/>
        <w:rPr>
          <w:b/>
          <w:sz w:val="22"/>
          <w:szCs w:val="22"/>
        </w:rPr>
      </w:pPr>
      <w:r w:rsidRPr="00AA68A7">
        <w:rPr>
          <w:b/>
          <w:sz w:val="22"/>
          <w:szCs w:val="22"/>
        </w:rPr>
        <w:t xml:space="preserve">Total Annual Burden Hours:   </w:t>
      </w:r>
      <w:r w:rsidRPr="00AA68A7" w:rsidR="00B9158F">
        <w:rPr>
          <w:b/>
          <w:sz w:val="22"/>
          <w:szCs w:val="22"/>
        </w:rPr>
        <w:t>52,</w:t>
      </w:r>
      <w:r w:rsidRPr="00AA68A7" w:rsidR="008C0440">
        <w:rPr>
          <w:b/>
          <w:sz w:val="22"/>
          <w:szCs w:val="22"/>
        </w:rPr>
        <w:t>889</w:t>
      </w:r>
      <w:r w:rsidRPr="00AA68A7" w:rsidR="00BB715B">
        <w:rPr>
          <w:b/>
          <w:sz w:val="22"/>
          <w:szCs w:val="22"/>
        </w:rPr>
        <w:t xml:space="preserve"> </w:t>
      </w:r>
      <w:r w:rsidRPr="00AA68A7" w:rsidR="007D4B09">
        <w:rPr>
          <w:b/>
          <w:sz w:val="22"/>
          <w:szCs w:val="22"/>
        </w:rPr>
        <w:t>h</w:t>
      </w:r>
      <w:r w:rsidRPr="00AA68A7">
        <w:rPr>
          <w:b/>
          <w:sz w:val="22"/>
          <w:szCs w:val="22"/>
        </w:rPr>
        <w:t>ours</w:t>
      </w:r>
      <w:r w:rsidRPr="00AA68A7" w:rsidR="00275B8A">
        <w:rPr>
          <w:b/>
          <w:sz w:val="22"/>
          <w:szCs w:val="22"/>
        </w:rPr>
        <w:t xml:space="preserve"> (rounded)</w:t>
      </w:r>
    </w:p>
    <w:p w:rsidR="00C07C62" w:rsidRPr="00AA68A7" w:rsidP="00C07C62" w14:paraId="155CFBF5" w14:textId="77777777">
      <w:pPr>
        <w:pStyle w:val="BodyText2"/>
        <w:rPr>
          <w:b/>
          <w:sz w:val="22"/>
          <w:szCs w:val="22"/>
        </w:rPr>
      </w:pPr>
    </w:p>
    <w:p w:rsidR="00C07C62" w:rsidRPr="00A27EDB" w:rsidP="00C07C62" w14:paraId="2B3A9B34" w14:textId="77777777">
      <w:pPr>
        <w:rPr>
          <w:b/>
          <w:sz w:val="22"/>
          <w:szCs w:val="22"/>
        </w:rPr>
      </w:pPr>
      <w:r w:rsidRPr="00AA68A7">
        <w:rPr>
          <w:b/>
          <w:sz w:val="22"/>
          <w:szCs w:val="22"/>
        </w:rPr>
        <w:t xml:space="preserve">Total Annual “In-House” Cost: </w:t>
      </w:r>
      <w:r w:rsidRPr="00AA68A7" w:rsidR="00CC4759">
        <w:rPr>
          <w:b/>
          <w:sz w:val="22"/>
          <w:szCs w:val="22"/>
        </w:rPr>
        <w:t>$</w:t>
      </w:r>
      <w:r w:rsidRPr="00AA68A7" w:rsidR="00B9158F">
        <w:rPr>
          <w:b/>
          <w:sz w:val="22"/>
          <w:szCs w:val="22"/>
        </w:rPr>
        <w:t>2,54</w:t>
      </w:r>
      <w:r w:rsidRPr="00AA68A7" w:rsidR="008C0440">
        <w:rPr>
          <w:b/>
          <w:sz w:val="22"/>
          <w:szCs w:val="22"/>
        </w:rPr>
        <w:t>2,879.08</w:t>
      </w:r>
    </w:p>
    <w:p w:rsidR="006402B0" w:rsidRPr="00A27EDB" w:rsidP="00C07C62" w14:paraId="0260F263" w14:textId="77777777">
      <w:pPr>
        <w:rPr>
          <w:b/>
          <w:sz w:val="22"/>
          <w:szCs w:val="22"/>
        </w:rPr>
      </w:pPr>
    </w:p>
    <w:p w:rsidR="00C07C62" w:rsidRPr="00A27EDB" w:rsidP="00A71186" w14:paraId="5C3F60EF" w14:textId="77777777">
      <w:pPr>
        <w:pStyle w:val="BodyText2"/>
        <w:rPr>
          <w:sz w:val="22"/>
          <w:szCs w:val="22"/>
        </w:rPr>
      </w:pPr>
      <w:r w:rsidRPr="00A27EDB">
        <w:rPr>
          <w:sz w:val="22"/>
          <w:szCs w:val="22"/>
        </w:rPr>
        <w:t>These estimates are based on FCC staff's knowledge and familiarity with the availability of the data required.</w:t>
      </w:r>
    </w:p>
    <w:p w:rsidR="005D43D1" w:rsidRPr="00A27EDB" w:rsidP="00A71186" w14:paraId="067687AC" w14:textId="77777777">
      <w:pPr>
        <w:pStyle w:val="BodyText2"/>
        <w:rPr>
          <w:sz w:val="22"/>
          <w:szCs w:val="22"/>
        </w:rPr>
      </w:pPr>
    </w:p>
    <w:p w:rsidR="00C07C62" w:rsidRPr="00A27EDB" w:rsidP="00C07C62" w14:paraId="0C3F899C" w14:textId="77777777">
      <w:pPr>
        <w:suppressAutoHyphens/>
        <w:jc w:val="both"/>
        <w:rPr>
          <w:spacing w:val="-3"/>
          <w:sz w:val="22"/>
          <w:szCs w:val="22"/>
        </w:rPr>
      </w:pPr>
      <w:r w:rsidRPr="00A27EDB">
        <w:rPr>
          <w:spacing w:val="-3"/>
          <w:sz w:val="22"/>
          <w:szCs w:val="22"/>
        </w:rPr>
        <w:t xml:space="preserve">13.  </w:t>
      </w:r>
      <w:r w:rsidRPr="00A27EDB">
        <w:rPr>
          <w:b/>
          <w:spacing w:val="-3"/>
          <w:sz w:val="22"/>
          <w:szCs w:val="22"/>
        </w:rPr>
        <w:t>Annual Cost Burden</w:t>
      </w:r>
      <w:r w:rsidRPr="00A27EDB">
        <w:rPr>
          <w:spacing w:val="-3"/>
          <w:sz w:val="22"/>
          <w:szCs w:val="22"/>
        </w:rPr>
        <w:t xml:space="preserve">: </w:t>
      </w:r>
    </w:p>
    <w:p w:rsidR="00C07C62" w:rsidRPr="00A27EDB" w:rsidP="00C07C62" w14:paraId="7C8EDB04" w14:textId="77777777">
      <w:pPr>
        <w:suppressAutoHyphens/>
        <w:jc w:val="both"/>
        <w:rPr>
          <w:spacing w:val="-3"/>
          <w:sz w:val="22"/>
          <w:szCs w:val="22"/>
        </w:rPr>
      </w:pPr>
    </w:p>
    <w:p w:rsidR="00C07C62" w:rsidRPr="00A27EDB" w:rsidP="00A71186" w14:paraId="0F75353F" w14:textId="77777777">
      <w:pPr>
        <w:suppressAutoHyphens/>
        <w:rPr>
          <w:spacing w:val="-3"/>
          <w:sz w:val="22"/>
          <w:szCs w:val="22"/>
        </w:rPr>
      </w:pPr>
      <w:r w:rsidRPr="00A27EDB">
        <w:rPr>
          <w:spacing w:val="-3"/>
          <w:sz w:val="22"/>
          <w:szCs w:val="22"/>
        </w:rPr>
        <w:t xml:space="preserve">We assume that the respondent would use a consulting engineer ($250/hour) to complete some of the information collections.  </w:t>
      </w:r>
      <w:r w:rsidR="00A248D0">
        <w:rPr>
          <w:spacing w:val="-3"/>
          <w:sz w:val="22"/>
          <w:szCs w:val="22"/>
        </w:rPr>
        <w:t xml:space="preserve">The consulting engineers’ burden estimates have been adjusted to reflect the modifications to the technical questions in the Schedule 318, as described above.  </w:t>
      </w:r>
      <w:r w:rsidRPr="00A27EDB">
        <w:rPr>
          <w:spacing w:val="-3"/>
          <w:sz w:val="22"/>
          <w:szCs w:val="22"/>
        </w:rPr>
        <w:t xml:space="preserve">The rule </w:t>
      </w:r>
      <w:r w:rsidR="00A248D0">
        <w:rPr>
          <w:spacing w:val="-3"/>
          <w:sz w:val="22"/>
          <w:szCs w:val="22"/>
        </w:rPr>
        <w:t xml:space="preserve">and application </w:t>
      </w:r>
      <w:r w:rsidRPr="00A27EDB">
        <w:rPr>
          <w:spacing w:val="-3"/>
          <w:sz w:val="22"/>
          <w:szCs w:val="22"/>
        </w:rPr>
        <w:t>sections involved include the following:</w:t>
      </w:r>
    </w:p>
    <w:p w:rsidR="00C07C62" w:rsidRPr="00A27EDB" w:rsidP="00A71186" w14:paraId="1E88710E" w14:textId="77777777">
      <w:pPr>
        <w:suppressAutoHyphens/>
        <w:rPr>
          <w:spacing w:val="-3"/>
          <w:sz w:val="22"/>
          <w:szCs w:val="22"/>
        </w:rPr>
      </w:pPr>
    </w:p>
    <w:p w:rsidR="00C07C62" w:rsidRPr="00C566AD" w:rsidP="00C07C62" w14:paraId="7365DE48" w14:textId="77777777">
      <w:pPr>
        <w:suppressAutoHyphens/>
        <w:jc w:val="both"/>
        <w:rPr>
          <w:spacing w:val="-3"/>
          <w:sz w:val="22"/>
          <w:szCs w:val="22"/>
        </w:rPr>
      </w:pPr>
      <w:r w:rsidRPr="00C566AD">
        <w:rPr>
          <w:spacing w:val="-3"/>
          <w:sz w:val="22"/>
          <w:szCs w:val="22"/>
        </w:rPr>
        <w:t>Section 73.318</w:t>
      </w:r>
      <w:r w:rsidRPr="00C566AD">
        <w:rPr>
          <w:spacing w:val="-3"/>
          <w:sz w:val="22"/>
          <w:szCs w:val="22"/>
        </w:rPr>
        <w:tab/>
      </w:r>
      <w:r w:rsidRPr="00C566AD">
        <w:rPr>
          <w:spacing w:val="-3"/>
          <w:sz w:val="22"/>
          <w:szCs w:val="22"/>
        </w:rPr>
        <w:tab/>
        <w:t>25 responses x 4 hours x $250/hour =   $25,000</w:t>
      </w:r>
    </w:p>
    <w:p w:rsidR="00C07C62" w:rsidRPr="00C566AD" w:rsidP="00C07C62" w14:paraId="260D52D7" w14:textId="77777777">
      <w:pPr>
        <w:suppressAutoHyphens/>
        <w:jc w:val="both"/>
        <w:rPr>
          <w:spacing w:val="-3"/>
          <w:sz w:val="22"/>
          <w:szCs w:val="22"/>
        </w:rPr>
      </w:pPr>
      <w:r w:rsidRPr="00C566AD">
        <w:rPr>
          <w:spacing w:val="-3"/>
          <w:sz w:val="22"/>
          <w:szCs w:val="22"/>
        </w:rPr>
        <w:t>Section 73.809</w:t>
      </w:r>
      <w:r w:rsidR="00BD2591">
        <w:rPr>
          <w:spacing w:val="-3"/>
          <w:sz w:val="22"/>
          <w:szCs w:val="22"/>
        </w:rPr>
        <w:tab/>
      </w:r>
      <w:r w:rsidRPr="00C566AD">
        <w:rPr>
          <w:spacing w:val="-3"/>
          <w:sz w:val="22"/>
          <w:szCs w:val="22"/>
        </w:rPr>
        <w:t xml:space="preserve"> </w:t>
      </w:r>
      <w:r w:rsidRPr="00C566AD">
        <w:rPr>
          <w:spacing w:val="-3"/>
          <w:sz w:val="22"/>
          <w:szCs w:val="22"/>
        </w:rPr>
        <w:tab/>
        <w:t>10 responses x 4 hours x $250/hour =   $10,000</w:t>
      </w:r>
    </w:p>
    <w:p w:rsidR="00C07C62" w:rsidRPr="00C566AD" w:rsidP="00C07C62" w14:paraId="682FBE1F" w14:textId="77777777">
      <w:pPr>
        <w:suppressAutoHyphens/>
        <w:jc w:val="both"/>
        <w:rPr>
          <w:spacing w:val="-3"/>
          <w:sz w:val="22"/>
          <w:szCs w:val="22"/>
        </w:rPr>
      </w:pPr>
      <w:r w:rsidRPr="00C566AD">
        <w:rPr>
          <w:spacing w:val="-3"/>
          <w:sz w:val="22"/>
          <w:szCs w:val="22"/>
        </w:rPr>
        <w:tab/>
      </w:r>
      <w:r w:rsidRPr="00C566AD">
        <w:rPr>
          <w:spacing w:val="-3"/>
          <w:sz w:val="22"/>
          <w:szCs w:val="22"/>
        </w:rPr>
        <w:tab/>
      </w:r>
      <w:r w:rsidRPr="00C566AD">
        <w:rPr>
          <w:spacing w:val="-3"/>
          <w:sz w:val="22"/>
          <w:szCs w:val="22"/>
        </w:rPr>
        <w:tab/>
        <w:t xml:space="preserve">  3 responses x 3 hours x $250/hour =   $  2,250</w:t>
      </w:r>
    </w:p>
    <w:p w:rsidR="00A75E78" w:rsidP="00C07C62" w14:paraId="0A9D9810" w14:textId="77777777">
      <w:pPr>
        <w:suppressAutoHyphens/>
        <w:jc w:val="both"/>
        <w:rPr>
          <w:spacing w:val="-3"/>
          <w:sz w:val="22"/>
          <w:szCs w:val="22"/>
        </w:rPr>
      </w:pPr>
      <w:r w:rsidRPr="008C0440">
        <w:rPr>
          <w:spacing w:val="-3"/>
          <w:sz w:val="22"/>
          <w:szCs w:val="22"/>
        </w:rPr>
        <w:t>Section 73.816</w:t>
      </w:r>
      <w:r w:rsidRPr="008C0440">
        <w:rPr>
          <w:spacing w:val="-3"/>
          <w:sz w:val="22"/>
          <w:szCs w:val="22"/>
        </w:rPr>
        <w:tab/>
      </w:r>
      <w:r w:rsidRPr="008C0440">
        <w:rPr>
          <w:spacing w:val="-3"/>
          <w:sz w:val="22"/>
          <w:szCs w:val="22"/>
        </w:rPr>
        <w:tab/>
        <w:t xml:space="preserve">50 responses x </w:t>
      </w:r>
      <w:r w:rsidRPr="008C0440" w:rsidR="003C7367">
        <w:rPr>
          <w:spacing w:val="-3"/>
          <w:sz w:val="22"/>
          <w:szCs w:val="22"/>
        </w:rPr>
        <w:t>2</w:t>
      </w:r>
      <w:r w:rsidRPr="008C0440">
        <w:rPr>
          <w:spacing w:val="-3"/>
          <w:sz w:val="22"/>
          <w:szCs w:val="22"/>
        </w:rPr>
        <w:t xml:space="preserve"> hours x $250/hour =</w:t>
      </w:r>
      <w:r w:rsidRPr="008C0440" w:rsidR="0071512B">
        <w:rPr>
          <w:spacing w:val="-3"/>
          <w:sz w:val="22"/>
          <w:szCs w:val="22"/>
        </w:rPr>
        <w:t xml:space="preserve">   $25,000</w:t>
      </w:r>
    </w:p>
    <w:p w:rsidR="00C07C62" w:rsidRPr="00AA68A7" w:rsidP="00C07C62" w14:paraId="5ADF4765" w14:textId="77777777">
      <w:pPr>
        <w:suppressAutoHyphens/>
        <w:jc w:val="both"/>
        <w:rPr>
          <w:spacing w:val="-3"/>
          <w:sz w:val="22"/>
          <w:szCs w:val="22"/>
          <w:u w:val="single"/>
        </w:rPr>
      </w:pPr>
      <w:r w:rsidRPr="00AA68A7">
        <w:rPr>
          <w:spacing w:val="-3"/>
          <w:sz w:val="22"/>
          <w:szCs w:val="22"/>
        </w:rPr>
        <w:t>Section 73.1030</w:t>
      </w:r>
      <w:r w:rsidRPr="00AA68A7">
        <w:rPr>
          <w:spacing w:val="-3"/>
          <w:sz w:val="22"/>
          <w:szCs w:val="22"/>
        </w:rPr>
        <w:tab/>
      </w:r>
      <w:r w:rsidRPr="00AA68A7" w:rsidR="00BB30B7">
        <w:rPr>
          <w:spacing w:val="-3"/>
          <w:sz w:val="22"/>
          <w:szCs w:val="22"/>
        </w:rPr>
        <w:tab/>
      </w:r>
      <w:r w:rsidRPr="00AA68A7">
        <w:rPr>
          <w:spacing w:val="-3"/>
          <w:sz w:val="22"/>
          <w:szCs w:val="22"/>
        </w:rPr>
        <w:t xml:space="preserve">10 responses x 1 hour  x $250/hour =   </w:t>
      </w:r>
      <w:r w:rsidRPr="00AA68A7" w:rsidR="00367FC1">
        <w:rPr>
          <w:spacing w:val="-3"/>
          <w:sz w:val="22"/>
          <w:szCs w:val="22"/>
        </w:rPr>
        <w:t xml:space="preserve"> </w:t>
      </w:r>
      <w:r w:rsidRPr="00AA68A7">
        <w:rPr>
          <w:spacing w:val="-3"/>
          <w:sz w:val="22"/>
          <w:szCs w:val="22"/>
        </w:rPr>
        <w:t>$  2,500</w:t>
      </w:r>
    </w:p>
    <w:p w:rsidR="00A75E78" w:rsidRPr="00AA68A7" w:rsidP="00247151" w14:paraId="42C2E6A0"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 xml:space="preserve">Reasonable Site </w:t>
      </w:r>
    </w:p>
    <w:p w:rsidR="00A75E78" w:rsidRPr="00AA68A7" w:rsidP="00247151" w14:paraId="4A166868"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Assurance Certification</w:t>
      </w:r>
      <w:r w:rsidRPr="00AA68A7" w:rsidR="00C07C62">
        <w:rPr>
          <w:spacing w:val="-3"/>
          <w:sz w:val="22"/>
          <w:szCs w:val="22"/>
        </w:rPr>
        <w:tab/>
      </w:r>
      <w:r w:rsidRPr="00AA68A7">
        <w:rPr>
          <w:spacing w:val="-3"/>
          <w:sz w:val="22"/>
          <w:szCs w:val="22"/>
        </w:rPr>
        <w:t>3,680 responses x 1 hour x $250/hour =</w:t>
      </w:r>
      <w:r w:rsidRPr="00AA68A7" w:rsidR="0071512B">
        <w:rPr>
          <w:spacing w:val="-3"/>
          <w:sz w:val="22"/>
          <w:szCs w:val="22"/>
        </w:rPr>
        <w:t>$9</w:t>
      </w:r>
      <w:r w:rsidRPr="00AA68A7" w:rsidR="008C0440">
        <w:rPr>
          <w:spacing w:val="-3"/>
          <w:sz w:val="22"/>
          <w:szCs w:val="22"/>
        </w:rPr>
        <w:t>20</w:t>
      </w:r>
      <w:r w:rsidRPr="00AA68A7" w:rsidR="0071512B">
        <w:rPr>
          <w:spacing w:val="-3"/>
          <w:sz w:val="22"/>
          <w:szCs w:val="22"/>
        </w:rPr>
        <w:t>,000</w:t>
      </w:r>
      <w:r w:rsidRPr="00AA68A7">
        <w:rPr>
          <w:spacing w:val="-3"/>
          <w:sz w:val="22"/>
          <w:szCs w:val="22"/>
        </w:rPr>
        <w:t xml:space="preserve"> </w:t>
      </w:r>
      <w:r w:rsidRPr="00AA68A7" w:rsidR="00C07C62">
        <w:rPr>
          <w:spacing w:val="-3"/>
          <w:sz w:val="22"/>
          <w:szCs w:val="22"/>
        </w:rPr>
        <w:tab/>
      </w:r>
      <w:r w:rsidRPr="00AA68A7" w:rsidR="00C07C62">
        <w:rPr>
          <w:spacing w:val="-3"/>
          <w:sz w:val="22"/>
          <w:szCs w:val="22"/>
        </w:rPr>
        <w:tab/>
        <w:t xml:space="preserve">             </w:t>
      </w:r>
    </w:p>
    <w:p w:rsidR="00C07C62" w:rsidP="00247151" w14:paraId="58B0474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r w:rsidRPr="00AA68A7">
        <w:rPr>
          <w:b/>
          <w:spacing w:val="-3"/>
          <w:sz w:val="22"/>
          <w:szCs w:val="22"/>
        </w:rPr>
        <w:t xml:space="preserve">                                                                 </w:t>
      </w:r>
      <w:r w:rsidRPr="00AA68A7">
        <w:rPr>
          <w:b/>
          <w:spacing w:val="-3"/>
          <w:sz w:val="22"/>
          <w:szCs w:val="22"/>
        </w:rPr>
        <w:t>Annual Cost Burden:</w:t>
      </w:r>
      <w:r w:rsidRPr="00AA68A7">
        <w:rPr>
          <w:spacing w:val="-3"/>
          <w:sz w:val="22"/>
          <w:szCs w:val="22"/>
        </w:rPr>
        <w:t xml:space="preserve">   </w:t>
      </w:r>
      <w:r w:rsidRPr="00AA68A7" w:rsidR="00367FC1">
        <w:rPr>
          <w:spacing w:val="-3"/>
          <w:sz w:val="22"/>
          <w:szCs w:val="22"/>
        </w:rPr>
        <w:t xml:space="preserve"> </w:t>
      </w:r>
      <w:r w:rsidRPr="00AA68A7">
        <w:rPr>
          <w:b/>
          <w:spacing w:val="-3"/>
          <w:sz w:val="22"/>
          <w:szCs w:val="22"/>
        </w:rPr>
        <w:t>$</w:t>
      </w:r>
      <w:r w:rsidRPr="00AA68A7">
        <w:rPr>
          <w:b/>
          <w:spacing w:val="-3"/>
          <w:sz w:val="22"/>
          <w:szCs w:val="22"/>
        </w:rPr>
        <w:t>984,750</w:t>
      </w:r>
      <w:r w:rsidRPr="00C566AD" w:rsidR="00247151">
        <w:rPr>
          <w:b/>
          <w:spacing w:val="-3"/>
          <w:sz w:val="22"/>
          <w:szCs w:val="22"/>
        </w:rPr>
        <w:tab/>
      </w:r>
    </w:p>
    <w:p w:rsidR="00486FC1" w:rsidP="00247151" w14:paraId="7DAB656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p>
    <w:p w:rsidR="00486FC1" w:rsidRPr="00F203F9" w:rsidP="00CE5AF8" w14:paraId="335E0EDD"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F203F9">
        <w:rPr>
          <w:spacing w:val="-3"/>
          <w:sz w:val="22"/>
          <w:szCs w:val="22"/>
          <w:u w:val="single"/>
        </w:rPr>
        <w:t>Online Notice Posting Fee</w:t>
      </w:r>
      <w:r w:rsidRPr="00F203F9">
        <w:rPr>
          <w:spacing w:val="-3"/>
          <w:sz w:val="22"/>
          <w:szCs w:val="22"/>
        </w:rPr>
        <w:t xml:space="preserve">:  An LPFM applicant must give local public notice of the filing of its Schedule 318 construction permit application for a new station or for a major change in facilities.  This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w:t>
      </w:r>
      <w:r w:rsidRPr="00F203F9">
        <w:rPr>
          <w:spacing w:val="-3"/>
          <w:sz w:val="22"/>
          <w:szCs w:val="22"/>
        </w:rPr>
        <w:t>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486FC1" w:rsidRPr="00F203F9" w:rsidP="00CE5AF8" w14:paraId="3A6D043C"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p>
    <w:p w:rsidR="00486FC1" w:rsidRPr="00AA68A7" w:rsidP="00CE5AF8" w14:paraId="0348445F"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AA68A7">
        <w:rPr>
          <w:spacing w:val="-3"/>
          <w:sz w:val="22"/>
          <w:szCs w:val="22"/>
        </w:rPr>
        <w:t>Online Posting Fee</w:t>
      </w:r>
      <w:r w:rsidRPr="00AA68A7" w:rsidR="00825E7A">
        <w:rPr>
          <w:spacing w:val="-3"/>
          <w:sz w:val="22"/>
          <w:szCs w:val="22"/>
        </w:rPr>
        <w:tab/>
        <w:t>540</w:t>
      </w:r>
      <w:r>
        <w:rPr>
          <w:rStyle w:val="FootnoteReference"/>
          <w:spacing w:val="-3"/>
          <w:sz w:val="22"/>
          <w:szCs w:val="22"/>
        </w:rPr>
        <w:footnoteReference w:id="21"/>
      </w:r>
      <w:r w:rsidRPr="00AA68A7" w:rsidR="00825E7A">
        <w:rPr>
          <w:spacing w:val="-3"/>
          <w:sz w:val="22"/>
          <w:szCs w:val="22"/>
        </w:rPr>
        <w:t xml:space="preserve"> responses x 4 postings x $113.25/posting = </w:t>
      </w:r>
      <w:r w:rsidRPr="00AA68A7" w:rsidR="00C00DF6">
        <w:rPr>
          <w:spacing w:val="-3"/>
          <w:sz w:val="22"/>
          <w:szCs w:val="22"/>
        </w:rPr>
        <w:t xml:space="preserve">    </w:t>
      </w:r>
      <w:r w:rsidRPr="00AA68A7" w:rsidR="00825E7A">
        <w:rPr>
          <w:spacing w:val="-3"/>
          <w:sz w:val="22"/>
          <w:szCs w:val="22"/>
        </w:rPr>
        <w:t>$244,620.00</w:t>
      </w:r>
    </w:p>
    <w:p w:rsidR="00CE35F5" w:rsidRPr="00AA68A7" w:rsidP="00CE5AF8" w14:paraId="0673AA6F"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b/>
          <w:bCs/>
          <w:spacing w:val="-3"/>
          <w:sz w:val="22"/>
          <w:szCs w:val="22"/>
        </w:rPr>
      </w:pPr>
      <w:r w:rsidRPr="00AA68A7">
        <w:rPr>
          <w:b/>
          <w:bCs/>
          <w:spacing w:val="-3"/>
          <w:sz w:val="22"/>
          <w:szCs w:val="22"/>
        </w:rPr>
        <w:t xml:space="preserve">                                                 </w:t>
      </w:r>
      <w:r w:rsidRPr="00AA68A7" w:rsidR="008C0440">
        <w:rPr>
          <w:b/>
          <w:bCs/>
          <w:spacing w:val="-3"/>
          <w:sz w:val="22"/>
          <w:szCs w:val="22"/>
        </w:rPr>
        <w:t xml:space="preserve">Total </w:t>
      </w:r>
      <w:r w:rsidRPr="00AA68A7">
        <w:rPr>
          <w:b/>
          <w:bCs/>
          <w:spacing w:val="-3"/>
          <w:sz w:val="22"/>
          <w:szCs w:val="22"/>
        </w:rPr>
        <w:t xml:space="preserve">Annual </w:t>
      </w:r>
      <w:r w:rsidRPr="00AA68A7">
        <w:rPr>
          <w:b/>
          <w:bCs/>
          <w:spacing w:val="-3"/>
          <w:sz w:val="22"/>
          <w:szCs w:val="22"/>
        </w:rPr>
        <w:t>Cost</w:t>
      </w:r>
      <w:r w:rsidRPr="00AA68A7">
        <w:rPr>
          <w:b/>
          <w:bCs/>
          <w:spacing w:val="-3"/>
          <w:sz w:val="22"/>
          <w:szCs w:val="22"/>
        </w:rPr>
        <w:t>:</w:t>
      </w:r>
      <w:r w:rsidRPr="00AA68A7">
        <w:rPr>
          <w:b/>
          <w:bCs/>
          <w:spacing w:val="-3"/>
          <w:sz w:val="22"/>
          <w:szCs w:val="22"/>
        </w:rPr>
        <w:t xml:space="preserve">  $984,750 + $244.620 = </w:t>
      </w:r>
      <w:r w:rsidRPr="00AA68A7" w:rsidR="00F82F7C">
        <w:rPr>
          <w:b/>
          <w:bCs/>
          <w:spacing w:val="-3"/>
          <w:sz w:val="22"/>
          <w:szCs w:val="22"/>
        </w:rPr>
        <w:t>$</w:t>
      </w:r>
      <w:r w:rsidRPr="00AA68A7" w:rsidR="00531553">
        <w:rPr>
          <w:b/>
          <w:bCs/>
          <w:spacing w:val="-3"/>
          <w:sz w:val="22"/>
          <w:szCs w:val="22"/>
        </w:rPr>
        <w:t>1,2</w:t>
      </w:r>
      <w:r w:rsidRPr="00AA68A7">
        <w:rPr>
          <w:b/>
          <w:bCs/>
          <w:spacing w:val="-3"/>
          <w:sz w:val="22"/>
          <w:szCs w:val="22"/>
        </w:rPr>
        <w:t>29,370</w:t>
      </w:r>
      <w:r w:rsidRPr="00AA68A7" w:rsidR="00F82F7C">
        <w:rPr>
          <w:b/>
          <w:bCs/>
          <w:spacing w:val="-3"/>
          <w:sz w:val="22"/>
          <w:szCs w:val="22"/>
        </w:rPr>
        <w:t>.00</w:t>
      </w:r>
    </w:p>
    <w:p w:rsidR="00247151" w:rsidRPr="00AA68A7" w:rsidP="00CE5AF8" w14:paraId="1E5E277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b/>
          <w:spacing w:val="-3"/>
          <w:sz w:val="22"/>
          <w:szCs w:val="22"/>
        </w:rPr>
      </w:pPr>
    </w:p>
    <w:p w:rsidR="00C07C62" w:rsidP="00CE5AF8" w14:paraId="1D1CC11D" w14:textId="4323B36F">
      <w:pPr>
        <w:tabs>
          <w:tab w:val="left" w:pos="-1440"/>
          <w:tab w:val="left" w:pos="-720"/>
          <w:tab w:val="left" w:pos="720"/>
          <w:tab w:val="left" w:pos="2610"/>
          <w:tab w:val="left" w:pos="3150"/>
          <w:tab w:val="left" w:pos="4680"/>
          <w:tab w:val="left" w:pos="5940"/>
          <w:tab w:val="left" w:pos="6480"/>
        </w:tabs>
        <w:suppressAutoHyphens/>
        <w:rPr>
          <w:spacing w:val="-3"/>
          <w:sz w:val="22"/>
          <w:szCs w:val="22"/>
        </w:rPr>
      </w:pPr>
      <w:r w:rsidRPr="00AA68A7">
        <w:rPr>
          <w:sz w:val="22"/>
          <w:szCs w:val="22"/>
        </w:rPr>
        <w:t xml:space="preserve">14.  </w:t>
      </w:r>
      <w:r w:rsidRPr="00AA68A7">
        <w:rPr>
          <w:b/>
          <w:sz w:val="22"/>
          <w:szCs w:val="22"/>
        </w:rPr>
        <w:t>Cost to the Federal Government.</w:t>
      </w:r>
      <w:r w:rsidRPr="00AA68A7">
        <w:rPr>
          <w:sz w:val="22"/>
          <w:szCs w:val="22"/>
        </w:rPr>
        <w:t xml:space="preserve"> </w:t>
      </w:r>
      <w:r w:rsidRPr="00AA68A7">
        <w:rPr>
          <w:spacing w:val="-3"/>
          <w:sz w:val="22"/>
          <w:szCs w:val="22"/>
        </w:rPr>
        <w:t>The Commission will use legal and engineering staff at</w:t>
      </w:r>
      <w:r w:rsidRPr="00AA68A7" w:rsidR="009E2D13">
        <w:rPr>
          <w:spacing w:val="-3"/>
          <w:sz w:val="22"/>
          <w:szCs w:val="22"/>
        </w:rPr>
        <w:t xml:space="preserve"> the GS-14 level, step 5 </w:t>
      </w:r>
      <w:r w:rsidRPr="00AA68A7" w:rsidR="00C566AD">
        <w:rPr>
          <w:spacing w:val="-3"/>
          <w:sz w:val="22"/>
          <w:szCs w:val="22"/>
        </w:rPr>
        <w:t>($</w:t>
      </w:r>
      <w:r w:rsidR="00060C97">
        <w:rPr>
          <w:spacing w:val="-3"/>
          <w:sz w:val="22"/>
          <w:szCs w:val="22"/>
        </w:rPr>
        <w:t>71</w:t>
      </w:r>
      <w:r w:rsidRPr="00AA68A7" w:rsidR="000C70D1">
        <w:rPr>
          <w:spacing w:val="-3"/>
          <w:sz w:val="22"/>
          <w:szCs w:val="22"/>
        </w:rPr>
        <w:t>.88</w:t>
      </w:r>
      <w:r w:rsidRPr="00AA68A7" w:rsidR="00F24212">
        <w:rPr>
          <w:spacing w:val="-3"/>
          <w:sz w:val="22"/>
          <w:szCs w:val="22"/>
        </w:rPr>
        <w:t>/</w:t>
      </w:r>
      <w:r w:rsidRPr="00AA68A7">
        <w:rPr>
          <w:spacing w:val="-3"/>
          <w:sz w:val="22"/>
          <w:szCs w:val="22"/>
        </w:rPr>
        <w:t>hour), paraprofessional staff at</w:t>
      </w:r>
      <w:r w:rsidRPr="00AA68A7" w:rsidR="009E2D13">
        <w:rPr>
          <w:spacing w:val="-3"/>
          <w:sz w:val="22"/>
          <w:szCs w:val="22"/>
        </w:rPr>
        <w:t xml:space="preserve"> the GS-11 level, step 5 </w:t>
      </w:r>
      <w:r w:rsidRPr="00AA68A7" w:rsidR="00C566AD">
        <w:rPr>
          <w:spacing w:val="-3"/>
          <w:sz w:val="22"/>
          <w:szCs w:val="22"/>
        </w:rPr>
        <w:t>($</w:t>
      </w:r>
      <w:r w:rsidR="00060C97">
        <w:rPr>
          <w:spacing w:val="-3"/>
          <w:sz w:val="22"/>
          <w:szCs w:val="22"/>
        </w:rPr>
        <w:t>42.68</w:t>
      </w:r>
      <w:r w:rsidRPr="00AA68A7">
        <w:rPr>
          <w:spacing w:val="-3"/>
          <w:sz w:val="22"/>
          <w:szCs w:val="22"/>
        </w:rPr>
        <w:t xml:space="preserve">/hour) and clerical staff at the GS-5 </w:t>
      </w:r>
      <w:r w:rsidRPr="00AA68A7" w:rsidR="009E2D13">
        <w:rPr>
          <w:spacing w:val="-3"/>
          <w:sz w:val="22"/>
          <w:szCs w:val="22"/>
        </w:rPr>
        <w:t xml:space="preserve">level, step 5 </w:t>
      </w:r>
      <w:r w:rsidRPr="00AA68A7" w:rsidR="00C566AD">
        <w:rPr>
          <w:spacing w:val="-3"/>
          <w:sz w:val="22"/>
          <w:szCs w:val="22"/>
        </w:rPr>
        <w:t>($</w:t>
      </w:r>
      <w:r w:rsidR="00060C97">
        <w:rPr>
          <w:spacing w:val="-3"/>
          <w:sz w:val="22"/>
          <w:szCs w:val="22"/>
        </w:rPr>
        <w:t>23.28</w:t>
      </w:r>
      <w:r w:rsidRPr="00AA68A7">
        <w:rPr>
          <w:spacing w:val="-3"/>
          <w:sz w:val="22"/>
          <w:szCs w:val="22"/>
        </w:rPr>
        <w:t xml:space="preserve">/hour) to process these applications, </w:t>
      </w:r>
      <w:r w:rsidRPr="00AA68A7" w:rsidR="009410D9">
        <w:rPr>
          <w:spacing w:val="-3"/>
          <w:sz w:val="22"/>
          <w:szCs w:val="22"/>
        </w:rPr>
        <w:t xml:space="preserve">LMS </w:t>
      </w:r>
      <w:r w:rsidRPr="00AA68A7" w:rsidR="00CE5AF8">
        <w:rPr>
          <w:spacing w:val="-3"/>
          <w:sz w:val="22"/>
          <w:szCs w:val="22"/>
        </w:rPr>
        <w:t>Schedule 318</w:t>
      </w:r>
      <w:r w:rsidRPr="00AA68A7">
        <w:rPr>
          <w:spacing w:val="-3"/>
          <w:sz w:val="22"/>
          <w:szCs w:val="22"/>
        </w:rPr>
        <w:t>. The Commission will use s</w:t>
      </w:r>
      <w:r w:rsidRPr="00AA68A7" w:rsidR="009E2D13">
        <w:rPr>
          <w:spacing w:val="-3"/>
          <w:sz w:val="22"/>
          <w:szCs w:val="22"/>
        </w:rPr>
        <w:t xml:space="preserve">taff at the GS-11 step 5 </w:t>
      </w:r>
      <w:r w:rsidRPr="00AA68A7" w:rsidR="00C566AD">
        <w:rPr>
          <w:spacing w:val="-3"/>
          <w:sz w:val="22"/>
          <w:szCs w:val="22"/>
        </w:rPr>
        <w:t>($</w:t>
      </w:r>
      <w:r w:rsidR="00060C97">
        <w:rPr>
          <w:spacing w:val="-3"/>
          <w:sz w:val="22"/>
          <w:szCs w:val="22"/>
        </w:rPr>
        <w:t>42.68</w:t>
      </w:r>
      <w:r w:rsidRPr="00AA68A7">
        <w:rPr>
          <w:spacing w:val="-3"/>
          <w:sz w:val="22"/>
          <w:szCs w:val="22"/>
        </w:rPr>
        <w:t>/hour) to process documents/notices received as a result of the rule sections involved with this information collection.  The average processing time for these documents is 2 hours per document received.</w:t>
      </w:r>
      <w:r w:rsidRPr="00C566AD">
        <w:rPr>
          <w:spacing w:val="-3"/>
          <w:sz w:val="22"/>
          <w:szCs w:val="22"/>
        </w:rPr>
        <w:t xml:space="preserve"> </w:t>
      </w:r>
    </w:p>
    <w:p w:rsidR="00C566AD" w:rsidRPr="00C566AD" w:rsidP="00CE5AF8" w14:paraId="7329254D" w14:textId="77777777">
      <w:pPr>
        <w:tabs>
          <w:tab w:val="left" w:pos="-1440"/>
          <w:tab w:val="left" w:pos="-720"/>
          <w:tab w:val="left" w:pos="720"/>
          <w:tab w:val="left" w:pos="2610"/>
          <w:tab w:val="left" w:pos="3150"/>
          <w:tab w:val="left" w:pos="4680"/>
          <w:tab w:val="left" w:pos="5940"/>
          <w:tab w:val="left" w:pos="6480"/>
        </w:tabs>
        <w:suppressAutoHyphens/>
        <w:rPr>
          <w:spacing w:val="-3"/>
          <w:sz w:val="22"/>
          <w:szCs w:val="22"/>
        </w:rPr>
      </w:pPr>
    </w:p>
    <w:p w:rsidR="00C07C62" w:rsidRPr="00C566AD" w:rsidP="00C07C62" w14:paraId="0C88E02B" w14:textId="77777777">
      <w:pPr>
        <w:tabs>
          <w:tab w:val="left" w:pos="-1440"/>
          <w:tab w:val="left" w:pos="-720"/>
          <w:tab w:val="left" w:pos="2610"/>
          <w:tab w:val="left" w:pos="3150"/>
          <w:tab w:val="left" w:pos="4680"/>
          <w:tab w:val="left" w:pos="5940"/>
          <w:tab w:val="left" w:pos="6480"/>
        </w:tabs>
        <w:suppressAutoHyphens/>
        <w:jc w:val="both"/>
        <w:rPr>
          <w:spacing w:val="-3"/>
          <w:sz w:val="22"/>
          <w:szCs w:val="22"/>
        </w:rPr>
      </w:pPr>
    </w:p>
    <w:p w:rsidR="00C07C62" w:rsidRPr="00AA68A7" w:rsidP="00C07C62" w14:paraId="7A0C7DC0" w14:textId="1981E38D">
      <w:pPr>
        <w:tabs>
          <w:tab w:val="left" w:pos="-720"/>
          <w:tab w:val="left" w:pos="720"/>
          <w:tab w:val="left" w:pos="2610"/>
          <w:tab w:val="left" w:pos="3150"/>
          <w:tab w:val="left" w:pos="4680"/>
          <w:tab w:val="left" w:pos="5940"/>
          <w:tab w:val="left" w:pos="6480"/>
        </w:tabs>
        <w:suppressAutoHyphens/>
        <w:jc w:val="both"/>
        <w:rPr>
          <w:spacing w:val="-3"/>
          <w:sz w:val="22"/>
          <w:szCs w:val="22"/>
        </w:rPr>
      </w:pPr>
      <w:r w:rsidRPr="00C566AD">
        <w:rPr>
          <w:spacing w:val="-3"/>
          <w:sz w:val="22"/>
          <w:szCs w:val="22"/>
        </w:rPr>
        <w:tab/>
        <w:t xml:space="preserve">  </w:t>
      </w:r>
      <w:r w:rsidRPr="00AA68A7">
        <w:rPr>
          <w:spacing w:val="-3"/>
          <w:sz w:val="22"/>
          <w:szCs w:val="22"/>
        </w:rPr>
        <w:t xml:space="preserve">0.083 hours data processing x </w:t>
      </w:r>
      <w:r w:rsidRPr="00AA68A7" w:rsidR="00B907EE">
        <w:rPr>
          <w:spacing w:val="-3"/>
          <w:sz w:val="22"/>
          <w:szCs w:val="22"/>
        </w:rPr>
        <w:t>3,680</w:t>
      </w:r>
      <w:r w:rsidRPr="00AA68A7" w:rsidR="009E2D13">
        <w:rPr>
          <w:spacing w:val="-3"/>
          <w:sz w:val="22"/>
          <w:szCs w:val="22"/>
        </w:rPr>
        <w:t xml:space="preserve"> applications x $</w:t>
      </w:r>
      <w:r w:rsidRPr="00AA68A7" w:rsidR="00C566AD">
        <w:rPr>
          <w:spacing w:val="-3"/>
          <w:sz w:val="22"/>
          <w:szCs w:val="22"/>
        </w:rPr>
        <w:t>2</w:t>
      </w:r>
      <w:r w:rsidR="00060C97">
        <w:rPr>
          <w:spacing w:val="-3"/>
          <w:sz w:val="22"/>
          <w:szCs w:val="22"/>
        </w:rPr>
        <w:t>3.28</w:t>
      </w:r>
      <w:r w:rsidRPr="00AA68A7">
        <w:rPr>
          <w:spacing w:val="-3"/>
          <w:sz w:val="22"/>
          <w:szCs w:val="22"/>
        </w:rPr>
        <w:t>hour =</w:t>
      </w:r>
      <w:r w:rsidRPr="00AA68A7" w:rsidR="00EB2BB8">
        <w:rPr>
          <w:spacing w:val="-3"/>
          <w:sz w:val="22"/>
          <w:szCs w:val="22"/>
        </w:rPr>
        <w:t xml:space="preserve"> </w:t>
      </w:r>
      <w:r w:rsidRPr="00AA68A7" w:rsidR="00247151">
        <w:rPr>
          <w:spacing w:val="-3"/>
          <w:sz w:val="22"/>
          <w:szCs w:val="22"/>
        </w:rPr>
        <w:t xml:space="preserve">  </w:t>
      </w:r>
      <w:r w:rsidRPr="00AA68A7" w:rsidR="00C566AD">
        <w:rPr>
          <w:spacing w:val="-3"/>
          <w:sz w:val="22"/>
          <w:szCs w:val="22"/>
        </w:rPr>
        <w:t xml:space="preserve"> </w:t>
      </w:r>
      <w:r w:rsidRPr="00AA68A7" w:rsidR="00A71120">
        <w:rPr>
          <w:spacing w:val="-3"/>
          <w:sz w:val="22"/>
          <w:szCs w:val="22"/>
        </w:rPr>
        <w:t xml:space="preserve"> </w:t>
      </w:r>
      <w:r w:rsidRPr="00AA68A7">
        <w:rPr>
          <w:spacing w:val="-3"/>
          <w:sz w:val="22"/>
          <w:szCs w:val="22"/>
        </w:rPr>
        <w:t>$</w:t>
      </w:r>
      <w:r w:rsidRPr="00AA68A7" w:rsidR="00F24212">
        <w:rPr>
          <w:spacing w:val="-3"/>
          <w:sz w:val="22"/>
          <w:szCs w:val="22"/>
        </w:rPr>
        <w:t xml:space="preserve">  </w:t>
      </w:r>
      <w:r w:rsidRPr="00AA68A7" w:rsidR="000C70D1">
        <w:rPr>
          <w:spacing w:val="-3"/>
          <w:sz w:val="22"/>
          <w:szCs w:val="22"/>
        </w:rPr>
        <w:t xml:space="preserve"> </w:t>
      </w:r>
      <w:r w:rsidRPr="00AA68A7" w:rsidR="00F24212">
        <w:rPr>
          <w:spacing w:val="-3"/>
          <w:sz w:val="22"/>
          <w:szCs w:val="22"/>
        </w:rPr>
        <w:t xml:space="preserve"> </w:t>
      </w:r>
      <w:r w:rsidR="00776853">
        <w:rPr>
          <w:spacing w:val="-3"/>
          <w:sz w:val="22"/>
          <w:szCs w:val="22"/>
        </w:rPr>
        <w:t>7,110.64</w:t>
      </w:r>
      <w:r w:rsidRPr="00AA68A7" w:rsidR="00E305B1">
        <w:rPr>
          <w:spacing w:val="-3"/>
          <w:sz w:val="22"/>
          <w:szCs w:val="22"/>
        </w:rPr>
        <w:t xml:space="preserve">   </w:t>
      </w:r>
    </w:p>
    <w:p w:rsidR="00C07C62" w:rsidRPr="00AA68A7" w:rsidP="00C07C62" w14:paraId="4C412E6D" w14:textId="62C13DC8">
      <w:pPr>
        <w:rPr>
          <w:sz w:val="22"/>
          <w:szCs w:val="22"/>
        </w:rPr>
      </w:pPr>
      <w:r w:rsidRPr="00AA68A7">
        <w:rPr>
          <w:sz w:val="22"/>
          <w:szCs w:val="22"/>
        </w:rPr>
        <w:tab/>
        <w:t xml:space="preserve">               0.5 hours clerical x </w:t>
      </w:r>
      <w:r w:rsidRPr="00AA68A7" w:rsidR="00B907EE">
        <w:rPr>
          <w:sz w:val="22"/>
          <w:szCs w:val="22"/>
        </w:rPr>
        <w:t>3,680</w:t>
      </w:r>
      <w:r w:rsidRPr="00AA68A7" w:rsidR="009E2D13">
        <w:rPr>
          <w:sz w:val="22"/>
          <w:szCs w:val="22"/>
        </w:rPr>
        <w:t xml:space="preserve"> applications x $</w:t>
      </w:r>
      <w:r w:rsidRPr="00AA68A7" w:rsidR="00C566AD">
        <w:rPr>
          <w:sz w:val="22"/>
          <w:szCs w:val="22"/>
        </w:rPr>
        <w:t>2</w:t>
      </w:r>
      <w:r w:rsidR="00060C97">
        <w:rPr>
          <w:sz w:val="22"/>
          <w:szCs w:val="22"/>
        </w:rPr>
        <w:t>3.28</w:t>
      </w:r>
      <w:r w:rsidRPr="00AA68A7">
        <w:rPr>
          <w:sz w:val="22"/>
          <w:szCs w:val="22"/>
        </w:rPr>
        <w:t xml:space="preserve">/hour =  </w:t>
      </w:r>
      <w:r w:rsidRPr="00AA68A7" w:rsidR="00EB2BB8">
        <w:rPr>
          <w:sz w:val="22"/>
          <w:szCs w:val="22"/>
        </w:rPr>
        <w:t xml:space="preserve">  </w:t>
      </w:r>
      <w:r w:rsidRPr="00AA68A7">
        <w:rPr>
          <w:sz w:val="22"/>
          <w:szCs w:val="22"/>
        </w:rPr>
        <w:t>$</w:t>
      </w:r>
      <w:r w:rsidRPr="00AA68A7" w:rsidR="00C566AD">
        <w:rPr>
          <w:sz w:val="22"/>
          <w:szCs w:val="22"/>
        </w:rPr>
        <w:t xml:space="preserve"> </w:t>
      </w:r>
      <w:r w:rsidRPr="00AA68A7" w:rsidR="000C70D1">
        <w:rPr>
          <w:sz w:val="22"/>
          <w:szCs w:val="22"/>
        </w:rPr>
        <w:t xml:space="preserve"> </w:t>
      </w:r>
      <w:r w:rsidR="00776853">
        <w:rPr>
          <w:sz w:val="22"/>
          <w:szCs w:val="22"/>
        </w:rPr>
        <w:t>42,835.20</w:t>
      </w:r>
      <w:r w:rsidRPr="00AA68A7" w:rsidR="00247151">
        <w:rPr>
          <w:sz w:val="22"/>
          <w:szCs w:val="22"/>
        </w:rPr>
        <w:t xml:space="preserve">  </w:t>
      </w:r>
    </w:p>
    <w:p w:rsidR="00C07C62" w:rsidRPr="00AA68A7" w:rsidP="00C07C62" w14:paraId="7B9EF937" w14:textId="34D5D34B">
      <w:pPr>
        <w:rPr>
          <w:sz w:val="22"/>
          <w:szCs w:val="22"/>
        </w:rPr>
      </w:pPr>
      <w:r w:rsidRPr="00AA68A7">
        <w:rPr>
          <w:sz w:val="22"/>
          <w:szCs w:val="22"/>
        </w:rPr>
        <w:tab/>
      </w:r>
      <w:r w:rsidRPr="00AA68A7">
        <w:rPr>
          <w:sz w:val="22"/>
          <w:szCs w:val="22"/>
        </w:rPr>
        <w:tab/>
        <w:t xml:space="preserve">     </w:t>
      </w:r>
      <w:r w:rsidRPr="00AA68A7" w:rsidR="00312E3E">
        <w:rPr>
          <w:sz w:val="22"/>
          <w:szCs w:val="22"/>
        </w:rPr>
        <w:t xml:space="preserve"> 1.5 hours le</w:t>
      </w:r>
      <w:r w:rsidRPr="00AA68A7" w:rsidR="00BD2793">
        <w:rPr>
          <w:sz w:val="22"/>
          <w:szCs w:val="22"/>
        </w:rPr>
        <w:t xml:space="preserve">gal x </w:t>
      </w:r>
      <w:r w:rsidRPr="00AA68A7" w:rsidR="00B907EE">
        <w:rPr>
          <w:sz w:val="22"/>
          <w:szCs w:val="22"/>
        </w:rPr>
        <w:t>3,680</w:t>
      </w:r>
      <w:r w:rsidRPr="00AA68A7">
        <w:rPr>
          <w:sz w:val="22"/>
          <w:szCs w:val="22"/>
        </w:rPr>
        <w:t xml:space="preserve"> applications x </w:t>
      </w:r>
      <w:r w:rsidRPr="00AA68A7" w:rsidR="009E2D13">
        <w:rPr>
          <w:sz w:val="22"/>
          <w:szCs w:val="22"/>
        </w:rPr>
        <w:t>$</w:t>
      </w:r>
      <w:r w:rsidR="00060C97">
        <w:rPr>
          <w:sz w:val="22"/>
          <w:szCs w:val="22"/>
        </w:rPr>
        <w:t>71.88</w:t>
      </w:r>
      <w:r w:rsidRPr="00AA68A7" w:rsidR="00E305B1">
        <w:rPr>
          <w:sz w:val="22"/>
          <w:szCs w:val="22"/>
        </w:rPr>
        <w:t xml:space="preserve">/hour =  </w:t>
      </w:r>
      <w:r w:rsidRPr="00AA68A7" w:rsidR="00F502A4">
        <w:rPr>
          <w:sz w:val="22"/>
          <w:szCs w:val="22"/>
        </w:rPr>
        <w:t xml:space="preserve"> </w:t>
      </w:r>
      <w:r w:rsidRPr="00AA68A7" w:rsidR="00C566AD">
        <w:rPr>
          <w:sz w:val="22"/>
          <w:szCs w:val="22"/>
        </w:rPr>
        <w:t xml:space="preserve"> </w:t>
      </w:r>
      <w:r w:rsidRPr="00AA68A7" w:rsidR="00E305B1">
        <w:rPr>
          <w:sz w:val="22"/>
          <w:szCs w:val="22"/>
        </w:rPr>
        <w:t>$</w:t>
      </w:r>
      <w:r w:rsidR="00776853">
        <w:rPr>
          <w:sz w:val="22"/>
          <w:szCs w:val="22"/>
        </w:rPr>
        <w:t>396,777.60</w:t>
      </w:r>
    </w:p>
    <w:p w:rsidR="00C07C62" w:rsidRPr="00AA68A7" w:rsidP="00C07C62" w14:paraId="1CCBA938" w14:textId="0B4E6891">
      <w:pPr>
        <w:rPr>
          <w:sz w:val="22"/>
          <w:szCs w:val="22"/>
        </w:rPr>
      </w:pPr>
      <w:r w:rsidRPr="00AA68A7">
        <w:rPr>
          <w:sz w:val="22"/>
          <w:szCs w:val="22"/>
        </w:rPr>
        <w:t xml:space="preserve">         </w:t>
      </w:r>
      <w:r w:rsidRPr="00AA68A7" w:rsidR="003B670A">
        <w:rPr>
          <w:sz w:val="22"/>
          <w:szCs w:val="22"/>
        </w:rPr>
        <w:tab/>
      </w:r>
      <w:r w:rsidRPr="00AA68A7">
        <w:rPr>
          <w:sz w:val="22"/>
          <w:szCs w:val="22"/>
        </w:rPr>
        <w:t xml:space="preserve">  </w:t>
      </w:r>
      <w:r w:rsidRPr="00AA68A7" w:rsidR="00F502A4">
        <w:rPr>
          <w:sz w:val="22"/>
          <w:szCs w:val="22"/>
        </w:rPr>
        <w:tab/>
      </w:r>
      <w:r w:rsidRPr="00AA68A7">
        <w:rPr>
          <w:sz w:val="22"/>
          <w:szCs w:val="22"/>
        </w:rPr>
        <w:t>1</w:t>
      </w:r>
      <w:r w:rsidRPr="00AA68A7" w:rsidR="00312E3E">
        <w:rPr>
          <w:sz w:val="22"/>
          <w:szCs w:val="22"/>
        </w:rPr>
        <w:t xml:space="preserve">.5 hours engineer x </w:t>
      </w:r>
      <w:r w:rsidRPr="00AA68A7" w:rsidR="00B907EE">
        <w:rPr>
          <w:sz w:val="22"/>
          <w:szCs w:val="22"/>
        </w:rPr>
        <w:t>3,680</w:t>
      </w:r>
      <w:r w:rsidRPr="00AA68A7" w:rsidR="009E2D13">
        <w:rPr>
          <w:sz w:val="22"/>
          <w:szCs w:val="22"/>
        </w:rPr>
        <w:t xml:space="preserve"> applications x $</w:t>
      </w:r>
      <w:r w:rsidR="00060C97">
        <w:rPr>
          <w:sz w:val="22"/>
          <w:szCs w:val="22"/>
        </w:rPr>
        <w:t>71.88</w:t>
      </w:r>
      <w:r w:rsidRPr="00AA68A7">
        <w:rPr>
          <w:sz w:val="22"/>
          <w:szCs w:val="22"/>
        </w:rPr>
        <w:t xml:space="preserve">/hour =  </w:t>
      </w:r>
      <w:r w:rsidRPr="00AA68A7" w:rsidR="00F502A4">
        <w:rPr>
          <w:sz w:val="22"/>
          <w:szCs w:val="22"/>
        </w:rPr>
        <w:t xml:space="preserve">  </w:t>
      </w:r>
      <w:r w:rsidRPr="00AA68A7">
        <w:rPr>
          <w:sz w:val="22"/>
          <w:szCs w:val="22"/>
        </w:rPr>
        <w:t>$</w:t>
      </w:r>
      <w:r w:rsidRPr="00AA68A7" w:rsidR="00847C7C">
        <w:rPr>
          <w:sz w:val="22"/>
          <w:szCs w:val="22"/>
        </w:rPr>
        <w:t>3</w:t>
      </w:r>
      <w:r w:rsidR="00776853">
        <w:rPr>
          <w:sz w:val="22"/>
          <w:szCs w:val="22"/>
        </w:rPr>
        <w:t>96,777.60</w:t>
      </w:r>
    </w:p>
    <w:p w:rsidR="00C07C62" w:rsidRPr="00AA68A7" w:rsidP="00C07C62" w14:paraId="4C279519" w14:textId="50DD2E9E">
      <w:pPr>
        <w:rPr>
          <w:sz w:val="22"/>
          <w:szCs w:val="22"/>
        </w:rPr>
      </w:pPr>
      <w:r w:rsidRPr="00AA68A7">
        <w:rPr>
          <w:sz w:val="22"/>
          <w:szCs w:val="22"/>
        </w:rPr>
        <w:t xml:space="preserve">             </w:t>
      </w:r>
      <w:r w:rsidRPr="00AA68A7" w:rsidR="00312E3E">
        <w:rPr>
          <w:sz w:val="22"/>
          <w:szCs w:val="22"/>
        </w:rPr>
        <w:t>0.5 hour paraprofes</w:t>
      </w:r>
      <w:r w:rsidRPr="00AA68A7" w:rsidR="00BD2793">
        <w:rPr>
          <w:sz w:val="22"/>
          <w:szCs w:val="22"/>
        </w:rPr>
        <w:t xml:space="preserve">sional x </w:t>
      </w:r>
      <w:r w:rsidRPr="00AA68A7" w:rsidR="00B907EE">
        <w:rPr>
          <w:sz w:val="22"/>
          <w:szCs w:val="22"/>
        </w:rPr>
        <w:t>3,680</w:t>
      </w:r>
      <w:r w:rsidRPr="00AA68A7" w:rsidR="009E2D13">
        <w:rPr>
          <w:sz w:val="22"/>
          <w:szCs w:val="22"/>
        </w:rPr>
        <w:t xml:space="preserve"> applications x $</w:t>
      </w:r>
      <w:r w:rsidR="00776853">
        <w:rPr>
          <w:sz w:val="22"/>
          <w:szCs w:val="22"/>
        </w:rPr>
        <w:t>42.68</w:t>
      </w:r>
      <w:r w:rsidRPr="00AA68A7">
        <w:rPr>
          <w:sz w:val="22"/>
          <w:szCs w:val="22"/>
        </w:rPr>
        <w:t>/ho</w:t>
      </w:r>
      <w:r w:rsidRPr="00AA68A7" w:rsidR="00E305B1">
        <w:rPr>
          <w:sz w:val="22"/>
          <w:szCs w:val="22"/>
        </w:rPr>
        <w:t xml:space="preserve">ur =   </w:t>
      </w:r>
      <w:r w:rsidRPr="00AA68A7" w:rsidR="003B670A">
        <w:rPr>
          <w:sz w:val="22"/>
          <w:szCs w:val="22"/>
        </w:rPr>
        <w:t xml:space="preserve">  </w:t>
      </w:r>
      <w:r w:rsidRPr="00AA68A7" w:rsidR="00C566AD">
        <w:rPr>
          <w:sz w:val="22"/>
          <w:szCs w:val="22"/>
        </w:rPr>
        <w:t xml:space="preserve"> </w:t>
      </w:r>
      <w:r w:rsidRPr="00AA68A7" w:rsidR="00E305B1">
        <w:rPr>
          <w:sz w:val="22"/>
          <w:szCs w:val="22"/>
        </w:rPr>
        <w:t>$</w:t>
      </w:r>
      <w:r w:rsidRPr="00AA68A7" w:rsidR="009E2D13">
        <w:rPr>
          <w:sz w:val="22"/>
          <w:szCs w:val="22"/>
        </w:rPr>
        <w:t xml:space="preserve">  </w:t>
      </w:r>
      <w:r w:rsidR="00776853">
        <w:rPr>
          <w:sz w:val="22"/>
          <w:szCs w:val="22"/>
        </w:rPr>
        <w:t>78,531.20</w:t>
      </w:r>
      <w:r w:rsidRPr="00AA68A7" w:rsidR="00E305B1">
        <w:rPr>
          <w:sz w:val="22"/>
          <w:szCs w:val="22"/>
        </w:rPr>
        <w:t xml:space="preserve"> </w:t>
      </w:r>
      <w:r w:rsidRPr="00AA68A7" w:rsidR="00DE6293">
        <w:rPr>
          <w:sz w:val="22"/>
          <w:szCs w:val="22"/>
        </w:rPr>
        <w:t xml:space="preserve"> </w:t>
      </w:r>
    </w:p>
    <w:p w:rsidR="00FD6E85" w:rsidRPr="00AA68A7" w:rsidP="00FD6E85" w14:paraId="258FAC10" w14:textId="267F273A">
      <w:pPr>
        <w:rPr>
          <w:b/>
          <w:sz w:val="22"/>
          <w:szCs w:val="22"/>
          <w:u w:val="single"/>
        </w:rPr>
      </w:pPr>
      <w:r w:rsidRPr="00AA68A7">
        <w:rPr>
          <w:sz w:val="22"/>
          <w:szCs w:val="22"/>
        </w:rPr>
        <w:t xml:space="preserve">  </w:t>
      </w:r>
      <w:r w:rsidRPr="00AA68A7" w:rsidR="00BD2793">
        <w:rPr>
          <w:sz w:val="22"/>
          <w:szCs w:val="22"/>
        </w:rPr>
        <w:t xml:space="preserve">  2 hours paraprofessional x </w:t>
      </w:r>
      <w:r w:rsidRPr="00AA68A7" w:rsidR="00B907EE">
        <w:rPr>
          <w:sz w:val="22"/>
          <w:szCs w:val="22"/>
        </w:rPr>
        <w:t>3,680</w:t>
      </w:r>
      <w:r w:rsidRPr="00AA68A7" w:rsidR="009E2D13">
        <w:rPr>
          <w:sz w:val="22"/>
          <w:szCs w:val="22"/>
        </w:rPr>
        <w:t xml:space="preserve"> documents/notices x $</w:t>
      </w:r>
      <w:r w:rsidR="00776853">
        <w:rPr>
          <w:sz w:val="22"/>
          <w:szCs w:val="22"/>
        </w:rPr>
        <w:t>42.68</w:t>
      </w:r>
      <w:r w:rsidRPr="00AA68A7">
        <w:rPr>
          <w:sz w:val="22"/>
          <w:szCs w:val="22"/>
        </w:rPr>
        <w:t xml:space="preserve">/hour =  </w:t>
      </w:r>
      <w:r w:rsidRPr="00AA68A7" w:rsidR="00B87F6C">
        <w:rPr>
          <w:sz w:val="22"/>
          <w:szCs w:val="22"/>
        </w:rPr>
        <w:t xml:space="preserve"> </w:t>
      </w:r>
      <w:r w:rsidRPr="00AA68A7" w:rsidR="003B670A">
        <w:rPr>
          <w:sz w:val="22"/>
          <w:szCs w:val="22"/>
        </w:rPr>
        <w:t xml:space="preserve">  </w:t>
      </w:r>
      <w:r w:rsidRPr="00AA68A7" w:rsidR="00C566AD">
        <w:rPr>
          <w:sz w:val="22"/>
          <w:szCs w:val="22"/>
        </w:rPr>
        <w:t xml:space="preserve"> </w:t>
      </w:r>
      <w:r w:rsidRPr="00AA68A7" w:rsidR="00B87F6C">
        <w:rPr>
          <w:sz w:val="22"/>
          <w:szCs w:val="22"/>
          <w:u w:val="single"/>
        </w:rPr>
        <w:t>$</w:t>
      </w:r>
      <w:r w:rsidR="00776853">
        <w:rPr>
          <w:sz w:val="22"/>
          <w:szCs w:val="22"/>
          <w:u w:val="single"/>
        </w:rPr>
        <w:t>314,124.80</w:t>
      </w:r>
      <w:r w:rsidRPr="00AA68A7">
        <w:rPr>
          <w:b/>
          <w:sz w:val="22"/>
          <w:szCs w:val="22"/>
          <w:u w:val="single"/>
        </w:rPr>
        <w:t xml:space="preserve"> </w:t>
      </w:r>
    </w:p>
    <w:p w:rsidR="00C07C62" w:rsidRPr="00AA68A7" w:rsidP="00C07C62" w14:paraId="13C89C56" w14:textId="2A454174">
      <w:pPr>
        <w:rPr>
          <w:b/>
          <w:sz w:val="22"/>
          <w:szCs w:val="22"/>
        </w:rPr>
      </w:pPr>
      <w:r w:rsidRPr="00AA68A7">
        <w:rPr>
          <w:b/>
          <w:sz w:val="22"/>
          <w:szCs w:val="22"/>
        </w:rPr>
        <w:t xml:space="preserve">                     Total Cost to the Federal Government:         </w:t>
      </w:r>
      <w:r w:rsidRPr="00AA68A7" w:rsidR="00E305B1">
        <w:rPr>
          <w:b/>
          <w:sz w:val="22"/>
          <w:szCs w:val="22"/>
        </w:rPr>
        <w:t xml:space="preserve">                  </w:t>
      </w:r>
      <w:r w:rsidRPr="00AA68A7" w:rsidR="00DE6293">
        <w:rPr>
          <w:b/>
          <w:sz w:val="22"/>
          <w:szCs w:val="22"/>
        </w:rPr>
        <w:t xml:space="preserve">  </w:t>
      </w:r>
      <w:r w:rsidRPr="00AA68A7" w:rsidR="003B56EF">
        <w:rPr>
          <w:b/>
          <w:sz w:val="22"/>
          <w:szCs w:val="22"/>
        </w:rPr>
        <w:t xml:space="preserve"> </w:t>
      </w:r>
      <w:r w:rsidRPr="00AA68A7" w:rsidR="00E305B1">
        <w:rPr>
          <w:b/>
          <w:sz w:val="22"/>
          <w:szCs w:val="22"/>
        </w:rPr>
        <w:t>$</w:t>
      </w:r>
      <w:r w:rsidR="00776853">
        <w:rPr>
          <w:b/>
          <w:sz w:val="22"/>
          <w:szCs w:val="22"/>
        </w:rPr>
        <w:t>1,236,157.04</w:t>
      </w:r>
      <w:r w:rsidRPr="00AA68A7">
        <w:rPr>
          <w:b/>
          <w:sz w:val="22"/>
          <w:szCs w:val="22"/>
        </w:rPr>
        <w:t xml:space="preserve">                                                                                    </w:t>
      </w:r>
      <w:r w:rsidRPr="00AA68A7">
        <w:rPr>
          <w:sz w:val="22"/>
          <w:szCs w:val="22"/>
        </w:rPr>
        <w:tab/>
      </w:r>
      <w:r w:rsidRPr="00AA68A7">
        <w:rPr>
          <w:sz w:val="22"/>
          <w:szCs w:val="22"/>
        </w:rPr>
        <w:tab/>
      </w:r>
      <w:r w:rsidRPr="00AA68A7">
        <w:rPr>
          <w:sz w:val="22"/>
          <w:szCs w:val="22"/>
        </w:rPr>
        <w:tab/>
      </w:r>
      <w:r w:rsidRPr="00AA68A7">
        <w:rPr>
          <w:sz w:val="22"/>
          <w:szCs w:val="22"/>
        </w:rPr>
        <w:tab/>
      </w:r>
      <w:r w:rsidRPr="00AA68A7">
        <w:rPr>
          <w:sz w:val="22"/>
          <w:szCs w:val="22"/>
        </w:rPr>
        <w:tab/>
      </w:r>
    </w:p>
    <w:p w:rsidR="00B654AC" w:rsidRPr="00AA68A7" w:rsidP="00522252" w14:paraId="12223D67" w14:textId="04A49B46">
      <w:pPr>
        <w:jc w:val="both"/>
        <w:rPr>
          <w:sz w:val="22"/>
          <w:szCs w:val="22"/>
        </w:rPr>
      </w:pPr>
      <w:r w:rsidRPr="00AA68A7">
        <w:rPr>
          <w:sz w:val="22"/>
          <w:szCs w:val="22"/>
        </w:rPr>
        <w:t>15</w:t>
      </w:r>
      <w:r w:rsidRPr="00AA68A7" w:rsidR="00F24212">
        <w:rPr>
          <w:sz w:val="22"/>
          <w:szCs w:val="22"/>
        </w:rPr>
        <w:t xml:space="preserve">. </w:t>
      </w:r>
      <w:r w:rsidRPr="00AA68A7">
        <w:rPr>
          <w:sz w:val="22"/>
          <w:szCs w:val="22"/>
        </w:rPr>
        <w:t xml:space="preserve">There are </w:t>
      </w:r>
      <w:r w:rsidRPr="00AA68A7" w:rsidR="00F24212">
        <w:rPr>
          <w:sz w:val="22"/>
          <w:szCs w:val="22"/>
        </w:rPr>
        <w:t>program change</w:t>
      </w:r>
      <w:r w:rsidR="00060C97">
        <w:rPr>
          <w:sz w:val="22"/>
          <w:szCs w:val="22"/>
        </w:rPr>
        <w:t xml:space="preserve">s or adjustments to this information collection.  </w:t>
      </w:r>
    </w:p>
    <w:p w:rsidR="00B654AC" w:rsidRPr="00AA68A7" w:rsidP="00522252" w14:paraId="469A47B3" w14:textId="77777777">
      <w:pPr>
        <w:jc w:val="both"/>
        <w:rPr>
          <w:sz w:val="22"/>
          <w:szCs w:val="22"/>
        </w:rPr>
      </w:pPr>
    </w:p>
    <w:p w:rsidR="00C07C62" w:rsidRPr="008508F4" w:rsidP="00C07C62" w14:paraId="538913B8" w14:textId="77777777">
      <w:pPr>
        <w:rPr>
          <w:sz w:val="22"/>
          <w:szCs w:val="22"/>
        </w:rPr>
      </w:pPr>
      <w:r w:rsidRPr="008508F4">
        <w:rPr>
          <w:sz w:val="22"/>
          <w:szCs w:val="22"/>
        </w:rPr>
        <w:t xml:space="preserve">16.  </w:t>
      </w:r>
      <w:r w:rsidRPr="008508F4">
        <w:rPr>
          <w:b/>
          <w:sz w:val="22"/>
          <w:szCs w:val="22"/>
        </w:rPr>
        <w:t>Plans for Publication:</w:t>
      </w:r>
      <w:r w:rsidRPr="008508F4">
        <w:rPr>
          <w:sz w:val="22"/>
          <w:szCs w:val="22"/>
        </w:rPr>
        <w:t xml:space="preserve">  The </w:t>
      </w:r>
      <w:r w:rsidR="00D832B0">
        <w:rPr>
          <w:sz w:val="22"/>
          <w:szCs w:val="22"/>
        </w:rPr>
        <w:t>application is electronically filed and available to the public.</w:t>
      </w:r>
    </w:p>
    <w:p w:rsidR="00C07C62" w:rsidRPr="008508F4" w:rsidP="00C07C62" w14:paraId="4CC64AFE" w14:textId="77777777">
      <w:pPr>
        <w:rPr>
          <w:sz w:val="22"/>
          <w:szCs w:val="22"/>
        </w:rPr>
      </w:pPr>
    </w:p>
    <w:p w:rsidR="00C07C62" w:rsidRPr="008508F4" w:rsidP="00DB2BF1" w14:paraId="6E37C13F" w14:textId="3DECC5A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8508F4">
        <w:rPr>
          <w:sz w:val="22"/>
          <w:szCs w:val="22"/>
        </w:rPr>
        <w:t xml:space="preserve">17.  </w:t>
      </w:r>
      <w:r w:rsidRPr="008508F4">
        <w:rPr>
          <w:b/>
          <w:sz w:val="22"/>
          <w:szCs w:val="22"/>
        </w:rPr>
        <w:t>Display of OMB Approval Date:</w:t>
      </w:r>
      <w:r w:rsidRPr="008508F4">
        <w:rPr>
          <w:sz w:val="22"/>
          <w:szCs w:val="22"/>
        </w:rPr>
        <w:t xml:space="preserve">  </w:t>
      </w:r>
      <w:r w:rsidRPr="008508F4">
        <w:rPr>
          <w:spacing w:val="-3"/>
          <w:sz w:val="22"/>
          <w:szCs w:val="22"/>
        </w:rPr>
        <w:t xml:space="preserve">An extension of the waiver not to publish the expiration date on the form is requested.  This will obviate the need for the Commission to update electronic forms upon the expiration of the clearance.  .  </w:t>
      </w:r>
    </w:p>
    <w:p w:rsidR="00C07C62" w:rsidRPr="008508F4" w:rsidP="00DB2BF1" w14:paraId="6BFD78F5" w14:textId="77777777">
      <w:pPr>
        <w:suppressAutoHyphens/>
        <w:rPr>
          <w:sz w:val="22"/>
          <w:szCs w:val="22"/>
        </w:rPr>
      </w:pPr>
    </w:p>
    <w:p w:rsidR="00C07C62" w:rsidRPr="008508F4" w:rsidP="00C07C62" w14:paraId="76163E92" w14:textId="77777777">
      <w:pPr>
        <w:suppressAutoHyphens/>
        <w:jc w:val="both"/>
        <w:rPr>
          <w:spacing w:val="-3"/>
          <w:sz w:val="22"/>
          <w:szCs w:val="22"/>
        </w:rPr>
      </w:pPr>
      <w:r w:rsidRPr="008508F4">
        <w:rPr>
          <w:sz w:val="22"/>
          <w:szCs w:val="22"/>
        </w:rPr>
        <w:t xml:space="preserve">18. </w:t>
      </w:r>
      <w:r w:rsidRPr="00AC78FB" w:rsidR="00F26434">
        <w:rPr>
          <w:b/>
          <w:sz w:val="22"/>
          <w:szCs w:val="22"/>
        </w:rPr>
        <w:t xml:space="preserve">Exceptions </w:t>
      </w:r>
      <w:r w:rsidRPr="00AC78FB" w:rsidR="00AC78FB">
        <w:rPr>
          <w:b/>
          <w:sz w:val="22"/>
          <w:szCs w:val="22"/>
        </w:rPr>
        <w:t>t</w:t>
      </w:r>
      <w:r w:rsidR="00AC78FB">
        <w:rPr>
          <w:b/>
          <w:sz w:val="22"/>
          <w:szCs w:val="22"/>
        </w:rPr>
        <w:t>o</w:t>
      </w:r>
      <w:r w:rsidRPr="00AC78FB" w:rsidR="00F26434">
        <w:rPr>
          <w:b/>
          <w:sz w:val="22"/>
          <w:szCs w:val="22"/>
        </w:rPr>
        <w:t xml:space="preserve"> the Certification Statement</w:t>
      </w:r>
      <w:r w:rsidRPr="008508F4" w:rsidR="00F26434">
        <w:rPr>
          <w:sz w:val="22"/>
          <w:szCs w:val="22"/>
        </w:rPr>
        <w:t xml:space="preserve">: </w:t>
      </w:r>
      <w:r w:rsidRPr="008508F4">
        <w:rPr>
          <w:spacing w:val="-3"/>
          <w:sz w:val="22"/>
          <w:szCs w:val="22"/>
        </w:rPr>
        <w:t xml:space="preserve">There are </w:t>
      </w:r>
      <w:r w:rsidRPr="008508F4" w:rsidR="003750C8">
        <w:rPr>
          <w:spacing w:val="-3"/>
          <w:sz w:val="22"/>
          <w:szCs w:val="22"/>
        </w:rPr>
        <w:t>no</w:t>
      </w:r>
      <w:r w:rsidRPr="008508F4" w:rsidR="00606ADB">
        <w:rPr>
          <w:spacing w:val="-3"/>
          <w:sz w:val="22"/>
          <w:szCs w:val="22"/>
        </w:rPr>
        <w:t xml:space="preserve"> </w:t>
      </w:r>
      <w:r w:rsidRPr="008508F4" w:rsidR="00F26434">
        <w:rPr>
          <w:spacing w:val="-3"/>
          <w:sz w:val="22"/>
          <w:szCs w:val="22"/>
        </w:rPr>
        <w:t>exceptions to the Certification S</w:t>
      </w:r>
      <w:r w:rsidRPr="008508F4">
        <w:rPr>
          <w:spacing w:val="-3"/>
          <w:sz w:val="22"/>
          <w:szCs w:val="22"/>
        </w:rPr>
        <w:t>tatement</w:t>
      </w:r>
      <w:r w:rsidRPr="008508F4" w:rsidR="00F24212">
        <w:rPr>
          <w:spacing w:val="-3"/>
          <w:sz w:val="22"/>
          <w:szCs w:val="22"/>
        </w:rPr>
        <w:t>.</w:t>
      </w:r>
      <w:r w:rsidRPr="008508F4" w:rsidR="005D43D1">
        <w:rPr>
          <w:spacing w:val="-3"/>
          <w:sz w:val="22"/>
          <w:szCs w:val="22"/>
        </w:rPr>
        <w:t xml:space="preserve"> </w:t>
      </w:r>
    </w:p>
    <w:p w:rsidR="00C07C62" w:rsidRPr="008508F4" w:rsidP="00C07C62" w14:paraId="4E6B52B6" w14:textId="77777777">
      <w:pPr>
        <w:tabs>
          <w:tab w:val="left" w:pos="0"/>
          <w:tab w:val="left" w:pos="360"/>
          <w:tab w:val="left" w:pos="720"/>
        </w:tabs>
        <w:suppressAutoHyphens/>
        <w:rPr>
          <w:sz w:val="22"/>
          <w:szCs w:val="22"/>
        </w:rPr>
      </w:pPr>
      <w:r w:rsidRPr="008508F4">
        <w:rPr>
          <w:sz w:val="22"/>
          <w:szCs w:val="22"/>
        </w:rPr>
        <w:t xml:space="preserve"> </w:t>
      </w:r>
    </w:p>
    <w:p w:rsidR="00C07C62" w:rsidRPr="008508F4" w:rsidP="00C07C62" w14:paraId="0650EAB6" w14:textId="77777777">
      <w:pPr>
        <w:outlineLvl w:val="0"/>
        <w:rPr>
          <w:b/>
          <w:sz w:val="22"/>
          <w:szCs w:val="22"/>
        </w:rPr>
      </w:pPr>
      <w:r w:rsidRPr="008508F4">
        <w:rPr>
          <w:b/>
          <w:sz w:val="22"/>
          <w:szCs w:val="22"/>
        </w:rPr>
        <w:t>B.  Collections of information employing statistical methods.</w:t>
      </w:r>
    </w:p>
    <w:p w:rsidR="00C07C62" w:rsidRPr="008508F4" w:rsidP="00C07C62" w14:paraId="6948EC61" w14:textId="77777777">
      <w:pPr>
        <w:rPr>
          <w:sz w:val="22"/>
          <w:szCs w:val="22"/>
        </w:rPr>
      </w:pPr>
    </w:p>
    <w:p w:rsidR="00C07C62" w:rsidRPr="008508F4" w:rsidP="00C07C62" w14:paraId="2DA14225" w14:textId="77777777">
      <w:pPr>
        <w:outlineLvl w:val="0"/>
        <w:rPr>
          <w:sz w:val="22"/>
          <w:szCs w:val="22"/>
        </w:rPr>
      </w:pPr>
      <w:r w:rsidRPr="008508F4">
        <w:rPr>
          <w:sz w:val="22"/>
          <w:szCs w:val="22"/>
        </w:rPr>
        <w:tab/>
        <w:t>No statistical methods are employed.</w:t>
      </w:r>
    </w:p>
    <w:p w:rsidR="001C24A0" w:rsidRPr="008508F4" w:rsidP="00C07C62" w14:paraId="1E73576A" w14:textId="77777777">
      <w:pPr>
        <w:outlineLvl w:val="0"/>
        <w:rPr>
          <w:sz w:val="22"/>
          <w:szCs w:val="22"/>
        </w:rPr>
      </w:pPr>
    </w:p>
    <w:p w:rsidR="00A6640B" w:rsidRPr="008508F4" w:rsidP="001C24A0" w14:paraId="49ED4C68" w14:textId="77777777">
      <w:pPr>
        <w:rPr>
          <w:b/>
          <w:sz w:val="22"/>
          <w:szCs w:val="22"/>
          <w:highlight w:val="cyan"/>
        </w:rPr>
      </w:pPr>
    </w:p>
    <w:p w:rsidR="00A6640B" w:rsidRPr="008508F4" w:rsidP="001C24A0" w14:paraId="2F9915E3" w14:textId="77777777">
      <w:pPr>
        <w:rPr>
          <w:b/>
          <w:sz w:val="22"/>
          <w:szCs w:val="22"/>
          <w:highlight w:val="cyan"/>
        </w:rPr>
      </w:pPr>
    </w:p>
    <w:p w:rsidR="001C24A0" w:rsidRPr="00F426CD" w:rsidP="00C07C62" w14:paraId="1EE972B8" w14:textId="77777777">
      <w:pPr>
        <w:outlineLvl w:val="0"/>
        <w:rPr>
          <w:sz w:val="24"/>
          <w:szCs w:val="24"/>
        </w:rPr>
      </w:pPr>
    </w:p>
    <w:sectPr w:rsidSect="0009466F">
      <w:headerReference w:type="default" r:id="rId6"/>
      <w:footerReference w:type="even" r:id="rId7"/>
      <w:footerReference w:type="default" r:id="rId8"/>
      <w:pgSz w:w="12240" w:h="15840" w:code="1"/>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P="0009466F" w14:paraId="62C70D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6DB1" w14:paraId="094EB3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RPr="00F426CD" w:rsidP="0009466F" w14:paraId="56D3E67C" w14:textId="77777777">
    <w:pPr>
      <w:pStyle w:val="Footer"/>
      <w:framePr w:wrap="around" w:vAnchor="text" w:hAnchor="margin" w:xAlign="center" w:y="1"/>
      <w:rPr>
        <w:rStyle w:val="PageNumber"/>
        <w:sz w:val="24"/>
        <w:szCs w:val="24"/>
      </w:rPr>
    </w:pPr>
    <w:r w:rsidRPr="00F426CD">
      <w:rPr>
        <w:rStyle w:val="PageNumber"/>
        <w:sz w:val="24"/>
        <w:szCs w:val="24"/>
      </w:rPr>
      <w:fldChar w:fldCharType="begin"/>
    </w:r>
    <w:r w:rsidRPr="00F426CD">
      <w:rPr>
        <w:rStyle w:val="PageNumber"/>
        <w:sz w:val="24"/>
        <w:szCs w:val="24"/>
      </w:rPr>
      <w:instrText xml:space="preserve">PAGE  </w:instrText>
    </w:r>
    <w:r w:rsidRPr="00F426CD">
      <w:rPr>
        <w:rStyle w:val="PageNumber"/>
        <w:sz w:val="24"/>
        <w:szCs w:val="24"/>
      </w:rPr>
      <w:fldChar w:fldCharType="separate"/>
    </w:r>
    <w:r w:rsidR="003A15D8">
      <w:rPr>
        <w:rStyle w:val="PageNumber"/>
        <w:noProof/>
        <w:sz w:val="24"/>
        <w:szCs w:val="24"/>
      </w:rPr>
      <w:t>1</w:t>
    </w:r>
    <w:r w:rsidRPr="00F426CD">
      <w:rPr>
        <w:rStyle w:val="PageNumber"/>
        <w:sz w:val="24"/>
        <w:szCs w:val="24"/>
      </w:rPr>
      <w:fldChar w:fldCharType="end"/>
    </w:r>
  </w:p>
  <w:p w:rsidR="00B86DB1" w14:paraId="1A3E0D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0CB8" w14:paraId="7CE2BABB" w14:textId="77777777">
      <w:r>
        <w:separator/>
      </w:r>
    </w:p>
  </w:footnote>
  <w:footnote w:type="continuationSeparator" w:id="1">
    <w:p w:rsidR="00860CB8" w14:paraId="47670622" w14:textId="77777777">
      <w:r>
        <w:continuationSeparator/>
      </w:r>
    </w:p>
  </w:footnote>
  <w:footnote w:id="2">
    <w:p w:rsidR="007A474D" w:rsidRPr="00652912" w:rsidP="007A474D" w14:paraId="436C51DC" w14:textId="77777777">
      <w:pPr>
        <w:pStyle w:val="FootnoteText"/>
      </w:pPr>
      <w:r>
        <w:rPr>
          <w:rStyle w:val="FootnoteReference"/>
        </w:rPr>
        <w:footnoteRef/>
      </w:r>
      <w:r>
        <w:t xml:space="preserve"> </w:t>
      </w:r>
      <w:r w:rsidRPr="00652912">
        <w:rPr>
          <w:i/>
          <w:iCs/>
          <w:spacing w:val="-2"/>
        </w:rPr>
        <w:t>Amendment of Section 73.3580 of the Commission’s Rules Regarding Public Notice of the Filing of Applications</w:t>
      </w:r>
      <w:r w:rsidRPr="00652912">
        <w:rPr>
          <w:i/>
        </w:rPr>
        <w:t>; Modernization of Media Regulation Initiative</w:t>
      </w:r>
      <w:r w:rsidRPr="00652912">
        <w:rPr>
          <w:iCs/>
        </w:rPr>
        <w:t xml:space="preserve">; </w:t>
      </w:r>
      <w:r w:rsidRPr="00652912">
        <w:rPr>
          <w:i/>
          <w:iCs/>
          <w:spacing w:val="-2"/>
        </w:rPr>
        <w:t>Revision of the Public Notice Requirements of Section 73.3580</w:t>
      </w:r>
      <w:r w:rsidRPr="00652912">
        <w:t>, Second Report and Order, MB Docket Nos. 17-254, 17-105, &amp; 05-6, FCC 20-</w:t>
      </w:r>
      <w:r w:rsidR="008E52ED">
        <w:t>65</w:t>
      </w:r>
      <w:r w:rsidRPr="00652912">
        <w:t xml:space="preserve"> (rel. May </w:t>
      </w:r>
      <w:r w:rsidR="00AB22D9">
        <w:t>13</w:t>
      </w:r>
      <w:r w:rsidRPr="00652912">
        <w:t>, 2020)</w:t>
      </w:r>
      <w:r>
        <w:t>. (</w:t>
      </w:r>
      <w:r w:rsidRPr="003B6D11">
        <w:rPr>
          <w:i/>
          <w:iCs/>
        </w:rPr>
        <w:t>2020 Public Notice Second Report and Order</w:t>
      </w:r>
      <w:r>
        <w:t>).</w:t>
      </w:r>
    </w:p>
  </w:footnote>
  <w:footnote w:id="3">
    <w:p w:rsidR="00D95A88" w:rsidRPr="00B7057D" w:rsidP="00D95A88" w14:paraId="2D8D3A6B" w14:textId="77777777">
      <w:pPr>
        <w:pStyle w:val="FootnoteText"/>
        <w:tabs>
          <w:tab w:val="left" w:pos="-720"/>
        </w:tabs>
        <w:suppressAutoHyphens/>
        <w:spacing w:before="100" w:beforeAutospacing="1" w:after="200"/>
      </w:pPr>
      <w:r w:rsidRPr="00BE7E2B">
        <w:rPr>
          <w:rStyle w:val="FootnoteReference"/>
        </w:rPr>
        <w:footnoteRef/>
      </w:r>
      <w:r w:rsidRPr="00BE7E2B">
        <w:t xml:space="preserve"> </w:t>
      </w:r>
      <w:r w:rsidRPr="003400AB">
        <w:rPr>
          <w:i/>
          <w:iCs/>
        </w:rPr>
        <w:t>Reexamination of the Comparative Standards and Procedures for Licensing Noncommercial Educational B</w:t>
      </w:r>
      <w:r w:rsidRPr="00EF0EF4">
        <w:rPr>
          <w:i/>
          <w:iCs/>
        </w:rPr>
        <w:t>roadcast Stations and Low Power FM Stations</w:t>
      </w:r>
      <w:r w:rsidRPr="00EF0EF4">
        <w:t xml:space="preserve">, Report and Order, FCC 19-127, 34 FCC </w:t>
      </w:r>
      <w:r w:rsidRPr="00EF0EF4">
        <w:t>Rcd</w:t>
      </w:r>
      <w:r w:rsidRPr="00EF0EF4">
        <w:t xml:space="preserve"> 12519 (2019) (</w:t>
      </w:r>
      <w:bookmarkStart w:id="0" w:name="_Hlk37390432"/>
      <w:r w:rsidRPr="00EF0EF4">
        <w:rPr>
          <w:i/>
          <w:iCs/>
        </w:rPr>
        <w:t xml:space="preserve">NCE </w:t>
      </w:r>
      <w:r w:rsidRPr="00B7057D">
        <w:rPr>
          <w:i/>
          <w:iCs/>
        </w:rPr>
        <w:t>LPFM Report and Order</w:t>
      </w:r>
      <w:bookmarkEnd w:id="0"/>
      <w:r w:rsidRPr="00B7057D">
        <w:t>).</w:t>
      </w:r>
    </w:p>
  </w:footnote>
  <w:footnote w:id="4">
    <w:p w:rsidR="00D95A88" w:rsidRPr="003D2412" w:rsidP="00D95A88" w14:paraId="1E06D804" w14:textId="77777777">
      <w:pPr>
        <w:pStyle w:val="FootnoteText"/>
      </w:pPr>
      <w:r w:rsidRPr="003D2412">
        <w:rPr>
          <w:rStyle w:val="FootnoteReference"/>
        </w:rPr>
        <w:footnoteRef/>
      </w:r>
      <w:r w:rsidRPr="003D2412">
        <w:t xml:space="preserve"> The certification will require the applicant to list the name and contact information of the tower owner or authorized representative.</w:t>
      </w:r>
    </w:p>
  </w:footnote>
  <w:footnote w:id="5">
    <w:p w:rsidR="00CE420F" w14:paraId="0799CD53" w14:textId="77777777">
      <w:pPr>
        <w:pStyle w:val="FootnoteText"/>
      </w:pPr>
      <w:r>
        <w:rPr>
          <w:rStyle w:val="FootnoteReference"/>
        </w:rPr>
        <w:footnoteRef/>
      </w:r>
      <w:r>
        <w:t xml:space="preserve"> </w:t>
      </w:r>
      <w:r w:rsidR="003D1763">
        <w:t xml:space="preserve">47 CFR </w:t>
      </w:r>
      <w:bookmarkStart w:id="2" w:name="_Hlk40342842"/>
      <w:bookmarkStart w:id="3" w:name="_Hlk40342948"/>
      <w:r w:rsidR="003D1763">
        <w:t>§</w:t>
      </w:r>
      <w:bookmarkEnd w:id="2"/>
      <w:r w:rsidR="003D1763">
        <w:t xml:space="preserve"> </w:t>
      </w:r>
      <w:bookmarkEnd w:id="3"/>
      <w:r w:rsidR="003D1763">
        <w:t>73.850</w:t>
      </w:r>
      <w:r w:rsidR="00903989">
        <w:t xml:space="preserve"> Operating Schedule</w:t>
      </w:r>
      <w:r w:rsidR="003D1763">
        <w:t xml:space="preserve">. </w:t>
      </w:r>
      <w:r w:rsidR="00903989">
        <w:t xml:space="preserve"> </w:t>
      </w:r>
    </w:p>
  </w:footnote>
  <w:footnote w:id="6">
    <w:p w:rsidR="00810844" w14:paraId="3266A1A6" w14:textId="77777777">
      <w:pPr>
        <w:pStyle w:val="FootnoteText"/>
      </w:pPr>
      <w:r>
        <w:rPr>
          <w:rStyle w:val="FootnoteReference"/>
        </w:rPr>
        <w:footnoteRef/>
      </w:r>
      <w:r>
        <w:t xml:space="preserve"> 47 CFR §73.870. Processing of LPFM broadcast station applications.</w:t>
      </w:r>
    </w:p>
  </w:footnote>
  <w:footnote w:id="7">
    <w:p w:rsidR="00C65966" w:rsidP="00C65966" w14:paraId="2654357F" w14:textId="77777777">
      <w:pPr>
        <w:pStyle w:val="FootnoteText"/>
      </w:pPr>
      <w:r>
        <w:rPr>
          <w:rStyle w:val="FootnoteReference"/>
        </w:rPr>
        <w:footnoteRef/>
      </w:r>
      <w:r>
        <w:t xml:space="preserve"> Pursuant to this non-substantive change, CDBS </w:t>
      </w:r>
      <w:r w:rsidR="00AC2CE8">
        <w:t xml:space="preserve">based </w:t>
      </w:r>
      <w:r>
        <w:t>FCC Form 318, “Application for Construction Permit for a Low Power FM Broadcast Station”</w:t>
      </w:r>
      <w:r w:rsidRPr="00271983">
        <w:t xml:space="preserve"> </w:t>
      </w:r>
      <w:r w:rsidR="00AC2CE8">
        <w:t xml:space="preserve">was </w:t>
      </w:r>
      <w:r w:rsidRPr="00271983">
        <w:t xml:space="preserve">renamed “Form 2100, Schedule 318 </w:t>
      </w:r>
      <w:r w:rsidRPr="00775B49">
        <w:t xml:space="preserve">– Low Power FM Station Construction Permit Application” </w:t>
      </w:r>
      <w:r w:rsidRPr="00271983">
        <w:t>and</w:t>
      </w:r>
      <w:r>
        <w:t xml:space="preserve"> </w:t>
      </w:r>
      <w:r w:rsidRPr="00271983">
        <w:t>encompassed within the new on-line l</w:t>
      </w:r>
      <w:r>
        <w:t xml:space="preserve">icensing database system called the </w:t>
      </w:r>
      <w:r w:rsidRPr="00AE1405">
        <w:t>Licensing Management System</w:t>
      </w:r>
      <w:r>
        <w:t>.  Accordingly, the title of this Information C</w:t>
      </w:r>
      <w:r w:rsidRPr="007D4661">
        <w:t xml:space="preserve">ollection </w:t>
      </w:r>
      <w:r w:rsidR="00AC2CE8">
        <w:t>was</w:t>
      </w:r>
      <w:r>
        <w:t xml:space="preserve"> also</w:t>
      </w:r>
      <w:r w:rsidRPr="007D4661">
        <w:t xml:space="preserve"> changed.</w:t>
      </w:r>
    </w:p>
  </w:footnote>
  <w:footnote w:id="8">
    <w:p w:rsidR="00B86DB1" w:rsidP="00C07C62" w14:paraId="07951AF6" w14:textId="77777777">
      <w:pPr>
        <w:pStyle w:val="FootnoteText"/>
      </w:pPr>
      <w:r>
        <w:rPr>
          <w:rStyle w:val="FootnoteReference"/>
        </w:rPr>
        <w:footnoteRef/>
      </w:r>
      <w:r>
        <w:t xml:space="preserve"> 47 CFR § 73.853(b).</w:t>
      </w:r>
    </w:p>
  </w:footnote>
  <w:footnote w:id="9">
    <w:p w:rsidR="00B86DB1" w:rsidP="00C07C62" w14:paraId="7E381054" w14:textId="77777777">
      <w:pPr>
        <w:pStyle w:val="FootnoteText"/>
      </w:pPr>
      <w:r>
        <w:rPr>
          <w:rStyle w:val="FootnoteReference"/>
        </w:rPr>
        <w:footnoteRef/>
      </w:r>
      <w:r>
        <w:t xml:space="preserve"> 47 CFR § 73.872.</w:t>
      </w:r>
    </w:p>
  </w:footnote>
  <w:footnote w:id="10">
    <w:p w:rsidR="00B86DB1" w:rsidP="00C07C62" w14:paraId="47D752DD" w14:textId="77777777">
      <w:pPr>
        <w:pStyle w:val="FootnoteText"/>
      </w:pPr>
      <w:r>
        <w:rPr>
          <w:rStyle w:val="FootnoteReference"/>
        </w:rPr>
        <w:footnoteRef/>
      </w:r>
      <w:r>
        <w:t xml:space="preserve"> The change in the number of points awarded under the local program origination criterion will not impact the number of respondents.</w:t>
      </w:r>
    </w:p>
  </w:footnote>
  <w:footnote w:id="11">
    <w:p w:rsidR="00B86DB1" w:rsidP="00C07C62" w14:paraId="2A92B4F0" w14:textId="77777777">
      <w:pPr>
        <w:pStyle w:val="FootnoteText"/>
      </w:pPr>
      <w:r>
        <w:rPr>
          <w:rStyle w:val="FootnoteReference"/>
        </w:rPr>
        <w:footnoteRef/>
      </w:r>
      <w:r>
        <w:t xml:space="preserve"> Voluntary time-share applicants are LPFM applicants who have the same point total and enter into an agreement together to share use of the frequency by submitting a time-share proposal within 30 days of the release of a public notice announcing the tie. </w:t>
      </w:r>
    </w:p>
  </w:footnote>
  <w:footnote w:id="12">
    <w:p w:rsidR="00B86DB1" w:rsidP="00C07C62" w14:paraId="59342E0F" w14:textId="77777777">
      <w:pPr>
        <w:pStyle w:val="FootnoteText"/>
      </w:pPr>
      <w:r>
        <w:rPr>
          <w:rStyle w:val="FootnoteReference"/>
        </w:rPr>
        <w:footnoteRef/>
      </w:r>
      <w:r>
        <w:t xml:space="preserve"> For mutually exclusive applications, the FCC will give each applicant points</w:t>
      </w:r>
      <w:r>
        <w:rPr>
          <w:rFonts w:ascii="Verdana" w:hAnsi="Verdana"/>
        </w:rPr>
        <w:t xml:space="preserve"> </w:t>
      </w:r>
      <w:r>
        <w:t>to determine who should receive the license. The FCC will announce the list of mutually exclusive applicants, and their point totals, including tied applicants. Applicants can cooperate with each other to remove the conflicts in two ways. First, if all the mutually exclusive applicants agree, virtually any proposal to allocate the licenses can be submitted to the FCC. Second, any number of tied applicants can pool their points if they agree to a time-sharing proposal that grants at least 10 hours per week to each applicant. Applicants will have 30 days</w:t>
      </w:r>
      <w:r w:rsidR="00FD01D7">
        <w:t>,</w:t>
      </w:r>
      <w:r>
        <w:t xml:space="preserve"> measured from the day the FCC makes the announcement, to submit their written time-sharing agreement to the FCC. The FCC will put the announcement on its website. It may or may not give applicants individual notice.</w:t>
      </w:r>
    </w:p>
  </w:footnote>
  <w:footnote w:id="13">
    <w:p w:rsidR="00B86DB1" w:rsidP="00C07C62" w14:paraId="41D7CB3E" w14:textId="77777777">
      <w:pPr>
        <w:pStyle w:val="FootnoteText"/>
      </w:pPr>
      <w:r>
        <w:rPr>
          <w:rStyle w:val="FootnoteReference"/>
        </w:rPr>
        <w:footnoteRef/>
      </w:r>
      <w:r>
        <w:t xml:space="preserve"> </w:t>
      </w:r>
      <w:r w:rsidRPr="005B2475">
        <w:rPr>
          <w:i/>
        </w:rPr>
        <w:t>Report and Order</w:t>
      </w:r>
      <w:r>
        <w:t xml:space="preserve">, 15 FCC </w:t>
      </w:r>
      <w:r>
        <w:t>Rcd</w:t>
      </w:r>
      <w:r>
        <w:t xml:space="preserve"> at 2251.</w:t>
      </w:r>
    </w:p>
  </w:footnote>
  <w:footnote w:id="14">
    <w:p w:rsidR="005A4D61" w:rsidRPr="00B41A4E" w:rsidP="005A4D61" w14:paraId="0E9CE28B" w14:textId="77777777">
      <w:pPr>
        <w:pStyle w:val="FootnoteText"/>
      </w:pPr>
      <w:r>
        <w:rPr>
          <w:rStyle w:val="FootnoteReference"/>
        </w:rPr>
        <w:footnoteRef/>
      </w:r>
      <w:r>
        <w:t xml:space="preserve"> </w:t>
      </w:r>
      <w:r>
        <w:rPr>
          <w:i/>
        </w:rPr>
        <w:t xml:space="preserve">See </w:t>
      </w:r>
      <w:r>
        <w:t xml:space="preserve">5 U.S.C. </w:t>
      </w:r>
      <w:bookmarkStart w:id="9" w:name="_Hlk40280068"/>
      <w:r>
        <w:t xml:space="preserve">§ </w:t>
      </w:r>
      <w:bookmarkEnd w:id="9"/>
      <w:r>
        <w:t>552a(a)(5).</w:t>
      </w:r>
    </w:p>
  </w:footnote>
  <w:footnote w:id="15">
    <w:p w:rsidR="00194C5B" w:rsidP="00194C5B" w14:paraId="593B2D18" w14:textId="77777777">
      <w:pPr>
        <w:pStyle w:val="FootnoteText"/>
      </w:pPr>
      <w:r w:rsidRPr="00976B43">
        <w:rPr>
          <w:rStyle w:val="FootnoteReference"/>
        </w:rPr>
        <w:footnoteRef/>
      </w:r>
      <w:r w:rsidRPr="00976B43">
        <w:t xml:space="preserve"> This reflects the number of LPFM applications the FCC expects to be filed during an upcoming window filing period.  Each respondent will file its application once during the filing period</w:t>
      </w:r>
      <w:r>
        <w:t>.</w:t>
      </w:r>
    </w:p>
  </w:footnote>
  <w:footnote w:id="16">
    <w:p w:rsidR="001D54D4" w14:paraId="4E3DE230" w14:textId="77777777">
      <w:pPr>
        <w:pStyle w:val="FootnoteText"/>
      </w:pPr>
      <w:r w:rsidRPr="00065F65">
        <w:rPr>
          <w:rStyle w:val="FootnoteReference"/>
        </w:rPr>
        <w:footnoteRef/>
      </w:r>
      <w:r w:rsidRPr="00065F65">
        <w:t xml:space="preserve"> The burden</w:t>
      </w:r>
      <w:r>
        <w:t>s</w:t>
      </w:r>
      <w:r w:rsidRPr="00065F65">
        <w:t xml:space="preserve"> for Sections 73.870 and 73.871 are included under these filings.</w:t>
      </w:r>
    </w:p>
  </w:footnote>
  <w:footnote w:id="17">
    <w:p w:rsidR="001D54D4" w:rsidP="004E78EC" w14:paraId="371B1791" w14:textId="77777777">
      <w:pPr>
        <w:pStyle w:val="FootnoteText"/>
      </w:pPr>
      <w:r>
        <w:rPr>
          <w:rStyle w:val="FootnoteReference"/>
        </w:rPr>
        <w:footnoteRef/>
      </w:r>
      <w:r>
        <w:t xml:space="preserve"> These new waiver filings are pursuant to 47 CFR </w:t>
      </w:r>
      <w:r w:rsidR="004D1414">
        <w:t xml:space="preserve">§ </w:t>
      </w:r>
      <w:r>
        <w:t xml:space="preserve">73.807 and 47 CFR </w:t>
      </w:r>
      <w:r w:rsidR="004D1414">
        <w:t xml:space="preserve">§ </w:t>
      </w:r>
      <w:r>
        <w:t>73.809.</w:t>
      </w:r>
    </w:p>
  </w:footnote>
  <w:footnote w:id="18">
    <w:p w:rsidR="001D54D4" w:rsidRPr="00050C88" w:rsidP="004926F1" w14:paraId="2563DE22" w14:textId="77777777">
      <w:pPr>
        <w:pStyle w:val="FootnoteText"/>
      </w:pPr>
      <w:r w:rsidRPr="00050C88">
        <w:rPr>
          <w:rStyle w:val="FootnoteReference"/>
        </w:rPr>
        <w:footnoteRef/>
      </w:r>
      <w:r w:rsidRPr="00050C88">
        <w:t xml:space="preserve"> This burden was calculated as follows:  1,200 responses x 0.5 hrs./month x 12 months = 7,200 hours.</w:t>
      </w:r>
    </w:p>
  </w:footnote>
  <w:footnote w:id="19">
    <w:p w:rsidR="001D54D4" w:rsidRPr="00050C88" w:rsidP="004926F1" w14:paraId="034D8AA2" w14:textId="77777777">
      <w:pPr>
        <w:pStyle w:val="FootnoteText"/>
      </w:pPr>
      <w:r w:rsidRPr="00050C88">
        <w:rPr>
          <w:rStyle w:val="FootnoteReference"/>
        </w:rPr>
        <w:footnoteRef/>
      </w:r>
      <w:r w:rsidRPr="00050C88">
        <w:t xml:space="preserve"> The total number of responses was calculated as follows:  1,200 responses x 10 broadcast/station = 12,000 responses.</w:t>
      </w:r>
    </w:p>
  </w:footnote>
  <w:footnote w:id="20">
    <w:p w:rsidR="001D54D4" w:rsidP="004926F1" w14:paraId="50CC18E1" w14:textId="77777777">
      <w:pPr>
        <w:pStyle w:val="FootnoteText"/>
      </w:pPr>
      <w:r w:rsidRPr="00050C88">
        <w:rPr>
          <w:rStyle w:val="FootnoteReference"/>
        </w:rPr>
        <w:footnoteRef/>
      </w:r>
      <w:r w:rsidRPr="00050C88">
        <w:t xml:space="preserve"> The total number of responses was calculated as follows:  1,200 responses x 1 broadcast/station = 1,200 responses.</w:t>
      </w:r>
    </w:p>
  </w:footnote>
  <w:footnote w:id="21">
    <w:p w:rsidR="00825E7A" w14:paraId="40E35A24" w14:textId="77777777">
      <w:pPr>
        <w:pStyle w:val="FootnoteText"/>
      </w:pPr>
      <w:r>
        <w:rPr>
          <w:rStyle w:val="FootnoteReference"/>
        </w:rPr>
        <w:footnoteRef/>
      </w:r>
      <w:r>
        <w:t xml:space="preserve"> 3,600 new and major change applications times 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RPr="00ED64C6" w:rsidP="0009466F" w14:paraId="2D6B3DEB" w14:textId="57965D0A">
    <w:pPr>
      <w:pStyle w:val="Header"/>
      <w:rPr>
        <w:b/>
        <w:sz w:val="22"/>
        <w:szCs w:val="22"/>
      </w:rPr>
    </w:pPr>
    <w:r w:rsidRPr="00ED64C6">
      <w:rPr>
        <w:b/>
        <w:sz w:val="22"/>
        <w:szCs w:val="22"/>
      </w:rPr>
      <w:t>OMB Control Number:  3060-0920</w:t>
    </w:r>
    <w:r w:rsidR="00A57374">
      <w:rPr>
        <w:b/>
        <w:sz w:val="22"/>
        <w:szCs w:val="22"/>
      </w:rPr>
      <w:tab/>
    </w:r>
    <w:r w:rsidR="00A57374">
      <w:rPr>
        <w:b/>
        <w:sz w:val="22"/>
        <w:szCs w:val="22"/>
      </w:rPr>
      <w:tab/>
    </w:r>
    <w:r w:rsidR="00060C97">
      <w:rPr>
        <w:b/>
        <w:sz w:val="22"/>
        <w:szCs w:val="22"/>
      </w:rPr>
      <w:t>July 2023</w:t>
    </w:r>
  </w:p>
  <w:p w:rsidR="00B86DB1" w:rsidRPr="00ED64C6" w:rsidP="0009466F" w14:paraId="0633399D" w14:textId="77777777">
    <w:pPr>
      <w:outlineLvl w:val="0"/>
      <w:rPr>
        <w:sz w:val="22"/>
        <w:szCs w:val="22"/>
      </w:rPr>
    </w:pPr>
    <w:r w:rsidRPr="00ED64C6">
      <w:rPr>
        <w:b/>
        <w:sz w:val="22"/>
        <w:szCs w:val="22"/>
      </w:rPr>
      <w:t>Title</w:t>
    </w:r>
    <w:r w:rsidRPr="00ED64C6">
      <w:rPr>
        <w:sz w:val="22"/>
        <w:szCs w:val="22"/>
      </w:rPr>
      <w:t xml:space="preserve">: </w:t>
    </w:r>
    <w:r w:rsidRPr="00ED64C6" w:rsidR="00BA1301">
      <w:rPr>
        <w:b/>
        <w:sz w:val="22"/>
        <w:szCs w:val="22"/>
      </w:rPr>
      <w:t xml:space="preserve">Form 2100, Schedule 318 – </w:t>
    </w:r>
    <w:r w:rsidRPr="00ED64C6" w:rsidR="00835EE1">
      <w:rPr>
        <w:b/>
        <w:sz w:val="22"/>
        <w:szCs w:val="22"/>
      </w:rPr>
      <w:t>Low Power FM Station Construction Permit Application</w:t>
    </w:r>
    <w:r w:rsidRPr="00ED64C6" w:rsidR="00271983">
      <w:rPr>
        <w:b/>
        <w:sz w:val="22"/>
        <w:szCs w:val="22"/>
      </w:rPr>
      <w:t xml:space="preserve">; </w:t>
    </w:r>
    <w:r w:rsidRPr="00ED64C6">
      <w:rPr>
        <w:b/>
        <w:noProof/>
        <w:sz w:val="22"/>
        <w:szCs w:val="22"/>
      </w:rPr>
      <w:t xml:space="preserve">Report and Order in MM Docket No. 99-25 Creation of Low Power Radio Service; Sections </w:t>
    </w:r>
    <w:r w:rsidRPr="00E0005C" w:rsidR="000C40A5">
      <w:rPr>
        <w:b/>
        <w:noProof/>
        <w:sz w:val="22"/>
        <w:szCs w:val="22"/>
      </w:rPr>
      <w:t xml:space="preserve">73.801, </w:t>
    </w:r>
    <w:r w:rsidRPr="00E0005C">
      <w:rPr>
        <w:b/>
        <w:noProof/>
        <w:sz w:val="22"/>
        <w:szCs w:val="22"/>
      </w:rPr>
      <w:t xml:space="preserve">73.807, 73.809, 73.810, </w:t>
    </w:r>
    <w:r w:rsidRPr="00E0005C" w:rsidR="000C40A5">
      <w:rPr>
        <w:b/>
        <w:noProof/>
        <w:sz w:val="22"/>
        <w:szCs w:val="22"/>
      </w:rPr>
      <w:t xml:space="preserve">73.816, </w:t>
    </w:r>
    <w:r w:rsidRPr="00E0005C">
      <w:rPr>
        <w:b/>
        <w:noProof/>
        <w:sz w:val="22"/>
        <w:szCs w:val="22"/>
      </w:rPr>
      <w:t>73.827, 73.850</w:t>
    </w:r>
    <w:r w:rsidRPr="00E0005C" w:rsidR="006D39A4">
      <w:rPr>
        <w:b/>
        <w:noProof/>
        <w:sz w:val="22"/>
        <w:szCs w:val="22"/>
      </w:rPr>
      <w:t xml:space="preserve">, </w:t>
    </w:r>
    <w:r w:rsidRPr="00E0005C">
      <w:rPr>
        <w:b/>
        <w:noProof/>
        <w:sz w:val="22"/>
        <w:szCs w:val="22"/>
      </w:rPr>
      <w:t xml:space="preserve">73.865, 73.870, 73.871, 73.872, 73.877, 73.878, 73.318, 73.1030, 73.1207, 73.1212, 73.1300, 73.1350, 73.1610, 73.1620, 73.1750, 73.1943, 73.3525, 73.3550, 73.3598, </w:t>
    </w:r>
    <w:r w:rsidRPr="00E0005C">
      <w:rPr>
        <w:b/>
        <w:spacing w:val="-3"/>
        <w:sz w:val="22"/>
        <w:szCs w:val="22"/>
      </w:rPr>
      <w:t>11.61(ii)</w:t>
    </w:r>
  </w:p>
  <w:p w:rsidR="00B86DB1" w:rsidRPr="00BA14B1" w14:paraId="7635FC52"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C43AB6"/>
    <w:multiLevelType w:val="hybridMultilevel"/>
    <w:tmpl w:val="CCA42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8A733E"/>
    <w:multiLevelType w:val="hybridMultilevel"/>
    <w:tmpl w:val="1E609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A85CDF"/>
    <w:multiLevelType w:val="hybridMultilevel"/>
    <w:tmpl w:val="02607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456BD3"/>
    <w:multiLevelType w:val="hybridMultilevel"/>
    <w:tmpl w:val="D92E7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19063D"/>
    <w:multiLevelType w:val="hybridMultilevel"/>
    <w:tmpl w:val="D4545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5F4E11"/>
    <w:multiLevelType w:val="hybridMultilevel"/>
    <w:tmpl w:val="A43E4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182925"/>
    <w:multiLevelType w:val="singleLevel"/>
    <w:tmpl w:val="33CC8962"/>
    <w:lvl w:ilvl="0">
      <w:start w:val="1"/>
      <w:numFmt w:val="decimal"/>
      <w:pStyle w:val="ParaNum"/>
      <w:lvlText w:val="%1."/>
      <w:lvlJc w:val="left"/>
      <w:pPr>
        <w:tabs>
          <w:tab w:val="num" w:pos="1080"/>
        </w:tabs>
        <w:ind w:left="0" w:firstLine="720"/>
      </w:pPr>
      <w:rPr>
        <w:b w:val="0"/>
        <w:i w:val="0"/>
        <w:sz w:val="22"/>
        <w:szCs w:val="22"/>
      </w:rPr>
    </w:lvl>
  </w:abstractNum>
  <w:abstractNum w:abstractNumId="7">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6701819">
    <w:abstractNumId w:val="6"/>
  </w:num>
  <w:num w:numId="2" w16cid:durableId="1360936891">
    <w:abstractNumId w:val="2"/>
  </w:num>
  <w:num w:numId="3" w16cid:durableId="358819623">
    <w:abstractNumId w:val="0"/>
  </w:num>
  <w:num w:numId="4" w16cid:durableId="287127595">
    <w:abstractNumId w:val="5"/>
  </w:num>
  <w:num w:numId="5" w16cid:durableId="1173835309">
    <w:abstractNumId w:val="4"/>
  </w:num>
  <w:num w:numId="6" w16cid:durableId="2114662133">
    <w:abstractNumId w:val="7"/>
  </w:num>
  <w:num w:numId="7" w16cid:durableId="820341572">
    <w:abstractNumId w:val="1"/>
  </w:num>
  <w:num w:numId="8" w16cid:durableId="1940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62"/>
    <w:rsid w:val="000004A1"/>
    <w:rsid w:val="00005D83"/>
    <w:rsid w:val="0000649D"/>
    <w:rsid w:val="0000732A"/>
    <w:rsid w:val="000121B4"/>
    <w:rsid w:val="00024F80"/>
    <w:rsid w:val="000267D5"/>
    <w:rsid w:val="000419BF"/>
    <w:rsid w:val="0004375D"/>
    <w:rsid w:val="00045692"/>
    <w:rsid w:val="0005033D"/>
    <w:rsid w:val="00050C88"/>
    <w:rsid w:val="0005182B"/>
    <w:rsid w:val="00051B41"/>
    <w:rsid w:val="00051C6E"/>
    <w:rsid w:val="00060954"/>
    <w:rsid w:val="00060C97"/>
    <w:rsid w:val="00065F65"/>
    <w:rsid w:val="00073BE6"/>
    <w:rsid w:val="00075AEB"/>
    <w:rsid w:val="000821CC"/>
    <w:rsid w:val="00085EE1"/>
    <w:rsid w:val="0009466F"/>
    <w:rsid w:val="000972B6"/>
    <w:rsid w:val="000B4403"/>
    <w:rsid w:val="000C40A5"/>
    <w:rsid w:val="000C70D1"/>
    <w:rsid w:val="000D0A01"/>
    <w:rsid w:val="000D675B"/>
    <w:rsid w:val="000F025A"/>
    <w:rsid w:val="000F2327"/>
    <w:rsid w:val="000F71E8"/>
    <w:rsid w:val="00102398"/>
    <w:rsid w:val="00104031"/>
    <w:rsid w:val="00104111"/>
    <w:rsid w:val="00104CAB"/>
    <w:rsid w:val="00115090"/>
    <w:rsid w:val="0012181D"/>
    <w:rsid w:val="00121F0D"/>
    <w:rsid w:val="001269DC"/>
    <w:rsid w:val="0013109F"/>
    <w:rsid w:val="001328D0"/>
    <w:rsid w:val="00133B77"/>
    <w:rsid w:val="00144EA6"/>
    <w:rsid w:val="0015466A"/>
    <w:rsid w:val="0015541E"/>
    <w:rsid w:val="00166461"/>
    <w:rsid w:val="0016681E"/>
    <w:rsid w:val="0017029F"/>
    <w:rsid w:val="001731A5"/>
    <w:rsid w:val="00173F5F"/>
    <w:rsid w:val="00175BA4"/>
    <w:rsid w:val="00175E62"/>
    <w:rsid w:val="0018410A"/>
    <w:rsid w:val="00194A51"/>
    <w:rsid w:val="00194C5B"/>
    <w:rsid w:val="001A08DC"/>
    <w:rsid w:val="001A4528"/>
    <w:rsid w:val="001A7957"/>
    <w:rsid w:val="001B59A0"/>
    <w:rsid w:val="001B6454"/>
    <w:rsid w:val="001C24A0"/>
    <w:rsid w:val="001C54A1"/>
    <w:rsid w:val="001C5BA2"/>
    <w:rsid w:val="001D0285"/>
    <w:rsid w:val="001D038E"/>
    <w:rsid w:val="001D54D4"/>
    <w:rsid w:val="001E2CBD"/>
    <w:rsid w:val="001E3343"/>
    <w:rsid w:val="001E573D"/>
    <w:rsid w:val="001F26C7"/>
    <w:rsid w:val="001F5463"/>
    <w:rsid w:val="002072A8"/>
    <w:rsid w:val="00207454"/>
    <w:rsid w:val="00210CFC"/>
    <w:rsid w:val="002111E0"/>
    <w:rsid w:val="0022376D"/>
    <w:rsid w:val="0022383E"/>
    <w:rsid w:val="00226372"/>
    <w:rsid w:val="00227F74"/>
    <w:rsid w:val="00232D15"/>
    <w:rsid w:val="002367FD"/>
    <w:rsid w:val="00242311"/>
    <w:rsid w:val="00244FDA"/>
    <w:rsid w:val="00247151"/>
    <w:rsid w:val="00247DB6"/>
    <w:rsid w:val="00263752"/>
    <w:rsid w:val="00271983"/>
    <w:rsid w:val="002719CE"/>
    <w:rsid w:val="00275B8A"/>
    <w:rsid w:val="00282E71"/>
    <w:rsid w:val="00293B57"/>
    <w:rsid w:val="00295337"/>
    <w:rsid w:val="00295F15"/>
    <w:rsid w:val="00296723"/>
    <w:rsid w:val="002A2C4D"/>
    <w:rsid w:val="002B285D"/>
    <w:rsid w:val="002C10CE"/>
    <w:rsid w:val="002C550C"/>
    <w:rsid w:val="002C56C8"/>
    <w:rsid w:val="002D53D1"/>
    <w:rsid w:val="002D61B6"/>
    <w:rsid w:val="002D6DD9"/>
    <w:rsid w:val="002D7CAB"/>
    <w:rsid w:val="002E5180"/>
    <w:rsid w:val="002F017C"/>
    <w:rsid w:val="002F488A"/>
    <w:rsid w:val="002F6146"/>
    <w:rsid w:val="002F6535"/>
    <w:rsid w:val="00301F44"/>
    <w:rsid w:val="003102DC"/>
    <w:rsid w:val="00312E3E"/>
    <w:rsid w:val="003202A3"/>
    <w:rsid w:val="003203CA"/>
    <w:rsid w:val="0032235C"/>
    <w:rsid w:val="00322C93"/>
    <w:rsid w:val="00324303"/>
    <w:rsid w:val="00324F4D"/>
    <w:rsid w:val="0033105A"/>
    <w:rsid w:val="00336162"/>
    <w:rsid w:val="003400AB"/>
    <w:rsid w:val="00344FAF"/>
    <w:rsid w:val="00353376"/>
    <w:rsid w:val="00354B94"/>
    <w:rsid w:val="00356294"/>
    <w:rsid w:val="00363946"/>
    <w:rsid w:val="00364C74"/>
    <w:rsid w:val="00365993"/>
    <w:rsid w:val="00366D12"/>
    <w:rsid w:val="00367AB6"/>
    <w:rsid w:val="00367FC1"/>
    <w:rsid w:val="003721B3"/>
    <w:rsid w:val="003750C8"/>
    <w:rsid w:val="00375929"/>
    <w:rsid w:val="00376113"/>
    <w:rsid w:val="00377206"/>
    <w:rsid w:val="00377F9C"/>
    <w:rsid w:val="00383E4E"/>
    <w:rsid w:val="003A15D8"/>
    <w:rsid w:val="003A4115"/>
    <w:rsid w:val="003A5585"/>
    <w:rsid w:val="003B23EE"/>
    <w:rsid w:val="003B56EF"/>
    <w:rsid w:val="003B670A"/>
    <w:rsid w:val="003B6D11"/>
    <w:rsid w:val="003C1C55"/>
    <w:rsid w:val="003C59C9"/>
    <w:rsid w:val="003C7367"/>
    <w:rsid w:val="003D1763"/>
    <w:rsid w:val="003D2412"/>
    <w:rsid w:val="003E2DAB"/>
    <w:rsid w:val="003E59FF"/>
    <w:rsid w:val="003F082C"/>
    <w:rsid w:val="003F5F8B"/>
    <w:rsid w:val="003F6FF2"/>
    <w:rsid w:val="003F7B96"/>
    <w:rsid w:val="00401600"/>
    <w:rsid w:val="004117D9"/>
    <w:rsid w:val="00411A79"/>
    <w:rsid w:val="00412D6D"/>
    <w:rsid w:val="00412F56"/>
    <w:rsid w:val="0041461F"/>
    <w:rsid w:val="00420136"/>
    <w:rsid w:val="004212BB"/>
    <w:rsid w:val="004360C2"/>
    <w:rsid w:val="00436B50"/>
    <w:rsid w:val="00441AFB"/>
    <w:rsid w:val="0044377F"/>
    <w:rsid w:val="004464B9"/>
    <w:rsid w:val="00453B05"/>
    <w:rsid w:val="00460807"/>
    <w:rsid w:val="00463326"/>
    <w:rsid w:val="004647F1"/>
    <w:rsid w:val="00466740"/>
    <w:rsid w:val="00472E58"/>
    <w:rsid w:val="00481052"/>
    <w:rsid w:val="00481FDB"/>
    <w:rsid w:val="00486FC1"/>
    <w:rsid w:val="004926F1"/>
    <w:rsid w:val="004A0540"/>
    <w:rsid w:val="004A3F56"/>
    <w:rsid w:val="004A6CB2"/>
    <w:rsid w:val="004A6F09"/>
    <w:rsid w:val="004B546E"/>
    <w:rsid w:val="004C4892"/>
    <w:rsid w:val="004C7B5E"/>
    <w:rsid w:val="004D1414"/>
    <w:rsid w:val="004D31EF"/>
    <w:rsid w:val="004D331B"/>
    <w:rsid w:val="004E27F5"/>
    <w:rsid w:val="004E78EC"/>
    <w:rsid w:val="004F49D6"/>
    <w:rsid w:val="0050196F"/>
    <w:rsid w:val="005036EC"/>
    <w:rsid w:val="00504B76"/>
    <w:rsid w:val="00504F6B"/>
    <w:rsid w:val="00507770"/>
    <w:rsid w:val="00511A12"/>
    <w:rsid w:val="005150EB"/>
    <w:rsid w:val="00515CE6"/>
    <w:rsid w:val="00521281"/>
    <w:rsid w:val="00522252"/>
    <w:rsid w:val="00523ED5"/>
    <w:rsid w:val="00531553"/>
    <w:rsid w:val="00531DB4"/>
    <w:rsid w:val="00532E98"/>
    <w:rsid w:val="0053354F"/>
    <w:rsid w:val="005335BD"/>
    <w:rsid w:val="00534B5A"/>
    <w:rsid w:val="00535FF5"/>
    <w:rsid w:val="005376C4"/>
    <w:rsid w:val="00545CF5"/>
    <w:rsid w:val="00552F63"/>
    <w:rsid w:val="00555B6B"/>
    <w:rsid w:val="0056066D"/>
    <w:rsid w:val="005608A5"/>
    <w:rsid w:val="00562957"/>
    <w:rsid w:val="00567601"/>
    <w:rsid w:val="00582F9E"/>
    <w:rsid w:val="005833BD"/>
    <w:rsid w:val="00587206"/>
    <w:rsid w:val="005903A6"/>
    <w:rsid w:val="00591311"/>
    <w:rsid w:val="00597B5B"/>
    <w:rsid w:val="00597DBB"/>
    <w:rsid w:val="005A4D61"/>
    <w:rsid w:val="005A5E7E"/>
    <w:rsid w:val="005A75A6"/>
    <w:rsid w:val="005B2475"/>
    <w:rsid w:val="005B25C2"/>
    <w:rsid w:val="005B37C1"/>
    <w:rsid w:val="005B7D4E"/>
    <w:rsid w:val="005C2DE2"/>
    <w:rsid w:val="005C3AA8"/>
    <w:rsid w:val="005C4F3A"/>
    <w:rsid w:val="005C5BF1"/>
    <w:rsid w:val="005D43D1"/>
    <w:rsid w:val="005E50CB"/>
    <w:rsid w:val="0060612F"/>
    <w:rsid w:val="00606ADB"/>
    <w:rsid w:val="00610758"/>
    <w:rsid w:val="00614F1B"/>
    <w:rsid w:val="00615ED1"/>
    <w:rsid w:val="006277EA"/>
    <w:rsid w:val="00633A36"/>
    <w:rsid w:val="006402B0"/>
    <w:rsid w:val="00644C34"/>
    <w:rsid w:val="00647639"/>
    <w:rsid w:val="00650827"/>
    <w:rsid w:val="00652912"/>
    <w:rsid w:val="00655E8F"/>
    <w:rsid w:val="006568EE"/>
    <w:rsid w:val="00662B32"/>
    <w:rsid w:val="00663E44"/>
    <w:rsid w:val="00667536"/>
    <w:rsid w:val="00671AE1"/>
    <w:rsid w:val="0067495D"/>
    <w:rsid w:val="006817FE"/>
    <w:rsid w:val="006819EA"/>
    <w:rsid w:val="006830E8"/>
    <w:rsid w:val="006832D6"/>
    <w:rsid w:val="00685378"/>
    <w:rsid w:val="006860A2"/>
    <w:rsid w:val="0068707A"/>
    <w:rsid w:val="00697408"/>
    <w:rsid w:val="006B3B31"/>
    <w:rsid w:val="006C13B0"/>
    <w:rsid w:val="006C4669"/>
    <w:rsid w:val="006D26C1"/>
    <w:rsid w:val="006D39A4"/>
    <w:rsid w:val="006D5620"/>
    <w:rsid w:val="006D72BB"/>
    <w:rsid w:val="006E5DEB"/>
    <w:rsid w:val="006E6161"/>
    <w:rsid w:val="00701F9C"/>
    <w:rsid w:val="007070BD"/>
    <w:rsid w:val="00707613"/>
    <w:rsid w:val="0071512B"/>
    <w:rsid w:val="00732E8C"/>
    <w:rsid w:val="00735046"/>
    <w:rsid w:val="0073640A"/>
    <w:rsid w:val="00737059"/>
    <w:rsid w:val="00743B0A"/>
    <w:rsid w:val="0074460B"/>
    <w:rsid w:val="00747BA1"/>
    <w:rsid w:val="007579F9"/>
    <w:rsid w:val="007604CF"/>
    <w:rsid w:val="007727E8"/>
    <w:rsid w:val="00772CBD"/>
    <w:rsid w:val="00775518"/>
    <w:rsid w:val="00775B49"/>
    <w:rsid w:val="00776853"/>
    <w:rsid w:val="0079348B"/>
    <w:rsid w:val="007934F6"/>
    <w:rsid w:val="007A474D"/>
    <w:rsid w:val="007B4C8F"/>
    <w:rsid w:val="007B514E"/>
    <w:rsid w:val="007B6B87"/>
    <w:rsid w:val="007C0B7E"/>
    <w:rsid w:val="007D22B8"/>
    <w:rsid w:val="007D4661"/>
    <w:rsid w:val="007D4B09"/>
    <w:rsid w:val="007E1D28"/>
    <w:rsid w:val="007E3BC1"/>
    <w:rsid w:val="007E40C5"/>
    <w:rsid w:val="007E7BA7"/>
    <w:rsid w:val="007F5BFE"/>
    <w:rsid w:val="0080344E"/>
    <w:rsid w:val="008036B5"/>
    <w:rsid w:val="0080720E"/>
    <w:rsid w:val="0081007F"/>
    <w:rsid w:val="00810844"/>
    <w:rsid w:val="008127B7"/>
    <w:rsid w:val="00825E7A"/>
    <w:rsid w:val="00835C66"/>
    <w:rsid w:val="00835EE1"/>
    <w:rsid w:val="0084155D"/>
    <w:rsid w:val="00842858"/>
    <w:rsid w:val="00847959"/>
    <w:rsid w:val="00847C7C"/>
    <w:rsid w:val="008508F4"/>
    <w:rsid w:val="00857065"/>
    <w:rsid w:val="00860CB8"/>
    <w:rsid w:val="00863370"/>
    <w:rsid w:val="00884C32"/>
    <w:rsid w:val="008943C5"/>
    <w:rsid w:val="008A58F3"/>
    <w:rsid w:val="008B0823"/>
    <w:rsid w:val="008B5793"/>
    <w:rsid w:val="008C0440"/>
    <w:rsid w:val="008C1890"/>
    <w:rsid w:val="008C2E0F"/>
    <w:rsid w:val="008C33A6"/>
    <w:rsid w:val="008C4804"/>
    <w:rsid w:val="008E0A0E"/>
    <w:rsid w:val="008E52ED"/>
    <w:rsid w:val="008F52C4"/>
    <w:rsid w:val="00903989"/>
    <w:rsid w:val="00903AA3"/>
    <w:rsid w:val="00904CFE"/>
    <w:rsid w:val="00910145"/>
    <w:rsid w:val="00914CB6"/>
    <w:rsid w:val="009151B0"/>
    <w:rsid w:val="00915C65"/>
    <w:rsid w:val="00924634"/>
    <w:rsid w:val="009253FC"/>
    <w:rsid w:val="00927A3B"/>
    <w:rsid w:val="00930A54"/>
    <w:rsid w:val="0093602E"/>
    <w:rsid w:val="00936CCA"/>
    <w:rsid w:val="0094006D"/>
    <w:rsid w:val="009404DD"/>
    <w:rsid w:val="009410D9"/>
    <w:rsid w:val="00944019"/>
    <w:rsid w:val="00957859"/>
    <w:rsid w:val="009607EA"/>
    <w:rsid w:val="00960BC2"/>
    <w:rsid w:val="009639E2"/>
    <w:rsid w:val="0097448C"/>
    <w:rsid w:val="00976B43"/>
    <w:rsid w:val="00976FFF"/>
    <w:rsid w:val="0098027E"/>
    <w:rsid w:val="00980453"/>
    <w:rsid w:val="00984FFC"/>
    <w:rsid w:val="00990B7E"/>
    <w:rsid w:val="00991A19"/>
    <w:rsid w:val="009944E1"/>
    <w:rsid w:val="00996B44"/>
    <w:rsid w:val="009A3E18"/>
    <w:rsid w:val="009B135E"/>
    <w:rsid w:val="009C29D2"/>
    <w:rsid w:val="009C618C"/>
    <w:rsid w:val="009D2949"/>
    <w:rsid w:val="009D4099"/>
    <w:rsid w:val="009E0DD3"/>
    <w:rsid w:val="009E2D13"/>
    <w:rsid w:val="009E61C0"/>
    <w:rsid w:val="009F1DD3"/>
    <w:rsid w:val="009F68B5"/>
    <w:rsid w:val="00A0027E"/>
    <w:rsid w:val="00A163D9"/>
    <w:rsid w:val="00A22461"/>
    <w:rsid w:val="00A248D0"/>
    <w:rsid w:val="00A27EDB"/>
    <w:rsid w:val="00A32558"/>
    <w:rsid w:val="00A35A1A"/>
    <w:rsid w:val="00A42FC7"/>
    <w:rsid w:val="00A43117"/>
    <w:rsid w:val="00A44918"/>
    <w:rsid w:val="00A46C9E"/>
    <w:rsid w:val="00A46F90"/>
    <w:rsid w:val="00A50168"/>
    <w:rsid w:val="00A5582B"/>
    <w:rsid w:val="00A57374"/>
    <w:rsid w:val="00A6640B"/>
    <w:rsid w:val="00A66C3F"/>
    <w:rsid w:val="00A71120"/>
    <w:rsid w:val="00A71186"/>
    <w:rsid w:val="00A7224F"/>
    <w:rsid w:val="00A75E78"/>
    <w:rsid w:val="00A81E23"/>
    <w:rsid w:val="00A85B4A"/>
    <w:rsid w:val="00A86A9A"/>
    <w:rsid w:val="00A9030D"/>
    <w:rsid w:val="00A94677"/>
    <w:rsid w:val="00A975DA"/>
    <w:rsid w:val="00A97D44"/>
    <w:rsid w:val="00AA2695"/>
    <w:rsid w:val="00AA2EB6"/>
    <w:rsid w:val="00AA68A7"/>
    <w:rsid w:val="00AA7E87"/>
    <w:rsid w:val="00AB22D9"/>
    <w:rsid w:val="00AB3546"/>
    <w:rsid w:val="00AC2CE8"/>
    <w:rsid w:val="00AC78FB"/>
    <w:rsid w:val="00AD2D56"/>
    <w:rsid w:val="00AE040C"/>
    <w:rsid w:val="00AE1405"/>
    <w:rsid w:val="00AE224F"/>
    <w:rsid w:val="00AE3CE1"/>
    <w:rsid w:val="00AE3DC8"/>
    <w:rsid w:val="00AE5E86"/>
    <w:rsid w:val="00AF154A"/>
    <w:rsid w:val="00AF6D5D"/>
    <w:rsid w:val="00B0261E"/>
    <w:rsid w:val="00B057FE"/>
    <w:rsid w:val="00B11F1B"/>
    <w:rsid w:val="00B131BE"/>
    <w:rsid w:val="00B16F97"/>
    <w:rsid w:val="00B2064C"/>
    <w:rsid w:val="00B22486"/>
    <w:rsid w:val="00B23402"/>
    <w:rsid w:val="00B32482"/>
    <w:rsid w:val="00B3550D"/>
    <w:rsid w:val="00B35EEB"/>
    <w:rsid w:val="00B41A4E"/>
    <w:rsid w:val="00B528EE"/>
    <w:rsid w:val="00B5456B"/>
    <w:rsid w:val="00B654AC"/>
    <w:rsid w:val="00B7057D"/>
    <w:rsid w:val="00B728DE"/>
    <w:rsid w:val="00B741BD"/>
    <w:rsid w:val="00B75193"/>
    <w:rsid w:val="00B75EA5"/>
    <w:rsid w:val="00B82F22"/>
    <w:rsid w:val="00B86DB1"/>
    <w:rsid w:val="00B87B7B"/>
    <w:rsid w:val="00B87F6C"/>
    <w:rsid w:val="00B907EE"/>
    <w:rsid w:val="00B9158F"/>
    <w:rsid w:val="00B91AFF"/>
    <w:rsid w:val="00B943E2"/>
    <w:rsid w:val="00B94D5D"/>
    <w:rsid w:val="00BA1301"/>
    <w:rsid w:val="00BA14B1"/>
    <w:rsid w:val="00BA17B5"/>
    <w:rsid w:val="00BA6EAE"/>
    <w:rsid w:val="00BB30B7"/>
    <w:rsid w:val="00BB715B"/>
    <w:rsid w:val="00BC240C"/>
    <w:rsid w:val="00BD2591"/>
    <w:rsid w:val="00BD2793"/>
    <w:rsid w:val="00BD28AC"/>
    <w:rsid w:val="00BD5402"/>
    <w:rsid w:val="00BE28EF"/>
    <w:rsid w:val="00BE4F84"/>
    <w:rsid w:val="00BE5E73"/>
    <w:rsid w:val="00BE7E2B"/>
    <w:rsid w:val="00BF3568"/>
    <w:rsid w:val="00BF6DBB"/>
    <w:rsid w:val="00C00DF6"/>
    <w:rsid w:val="00C07C62"/>
    <w:rsid w:val="00C11F28"/>
    <w:rsid w:val="00C14B11"/>
    <w:rsid w:val="00C1785C"/>
    <w:rsid w:val="00C27B1A"/>
    <w:rsid w:val="00C37D0A"/>
    <w:rsid w:val="00C47C15"/>
    <w:rsid w:val="00C566AD"/>
    <w:rsid w:val="00C56D35"/>
    <w:rsid w:val="00C57F9F"/>
    <w:rsid w:val="00C65966"/>
    <w:rsid w:val="00C749D0"/>
    <w:rsid w:val="00C7601A"/>
    <w:rsid w:val="00C84BC7"/>
    <w:rsid w:val="00C870E4"/>
    <w:rsid w:val="00C90E7A"/>
    <w:rsid w:val="00C92E46"/>
    <w:rsid w:val="00CB21E6"/>
    <w:rsid w:val="00CB244F"/>
    <w:rsid w:val="00CC3A4B"/>
    <w:rsid w:val="00CC4759"/>
    <w:rsid w:val="00CD57BC"/>
    <w:rsid w:val="00CD6607"/>
    <w:rsid w:val="00CD7FB1"/>
    <w:rsid w:val="00CE35F5"/>
    <w:rsid w:val="00CE420F"/>
    <w:rsid w:val="00CE456E"/>
    <w:rsid w:val="00CE5AF8"/>
    <w:rsid w:val="00CE7D4C"/>
    <w:rsid w:val="00CF50CB"/>
    <w:rsid w:val="00D00576"/>
    <w:rsid w:val="00D00DFA"/>
    <w:rsid w:val="00D03B85"/>
    <w:rsid w:val="00D06AC1"/>
    <w:rsid w:val="00D143D1"/>
    <w:rsid w:val="00D16C53"/>
    <w:rsid w:val="00D1746B"/>
    <w:rsid w:val="00D23ADC"/>
    <w:rsid w:val="00D310D1"/>
    <w:rsid w:val="00D33D54"/>
    <w:rsid w:val="00D50A4A"/>
    <w:rsid w:val="00D56435"/>
    <w:rsid w:val="00D63A52"/>
    <w:rsid w:val="00D660DD"/>
    <w:rsid w:val="00D70297"/>
    <w:rsid w:val="00D731F0"/>
    <w:rsid w:val="00D766C9"/>
    <w:rsid w:val="00D76CC7"/>
    <w:rsid w:val="00D80A53"/>
    <w:rsid w:val="00D832B0"/>
    <w:rsid w:val="00D91F1B"/>
    <w:rsid w:val="00D95A88"/>
    <w:rsid w:val="00D971CA"/>
    <w:rsid w:val="00D97886"/>
    <w:rsid w:val="00DA5A13"/>
    <w:rsid w:val="00DB2BF1"/>
    <w:rsid w:val="00DB3398"/>
    <w:rsid w:val="00DC0322"/>
    <w:rsid w:val="00DE1A20"/>
    <w:rsid w:val="00DE1A4A"/>
    <w:rsid w:val="00DE3A93"/>
    <w:rsid w:val="00DE3B9A"/>
    <w:rsid w:val="00DE47E5"/>
    <w:rsid w:val="00DE6293"/>
    <w:rsid w:val="00DF7069"/>
    <w:rsid w:val="00E0005C"/>
    <w:rsid w:val="00E014B7"/>
    <w:rsid w:val="00E03807"/>
    <w:rsid w:val="00E06AE7"/>
    <w:rsid w:val="00E075F5"/>
    <w:rsid w:val="00E1166E"/>
    <w:rsid w:val="00E16CEA"/>
    <w:rsid w:val="00E20CF5"/>
    <w:rsid w:val="00E2127C"/>
    <w:rsid w:val="00E27409"/>
    <w:rsid w:val="00E305B1"/>
    <w:rsid w:val="00E3634A"/>
    <w:rsid w:val="00E6228A"/>
    <w:rsid w:val="00E638D4"/>
    <w:rsid w:val="00E63A32"/>
    <w:rsid w:val="00E63FDA"/>
    <w:rsid w:val="00E646C2"/>
    <w:rsid w:val="00E7124A"/>
    <w:rsid w:val="00E71D9E"/>
    <w:rsid w:val="00E767D3"/>
    <w:rsid w:val="00E80616"/>
    <w:rsid w:val="00E920EC"/>
    <w:rsid w:val="00E9301C"/>
    <w:rsid w:val="00E93ACF"/>
    <w:rsid w:val="00EB1AA3"/>
    <w:rsid w:val="00EB2BB8"/>
    <w:rsid w:val="00EB6467"/>
    <w:rsid w:val="00EC2BDB"/>
    <w:rsid w:val="00ED64C6"/>
    <w:rsid w:val="00EE0057"/>
    <w:rsid w:val="00EE3C43"/>
    <w:rsid w:val="00EE6B19"/>
    <w:rsid w:val="00EF0EF4"/>
    <w:rsid w:val="00EF42D4"/>
    <w:rsid w:val="00EF457E"/>
    <w:rsid w:val="00EF5531"/>
    <w:rsid w:val="00EF5734"/>
    <w:rsid w:val="00EF5FBD"/>
    <w:rsid w:val="00F06E99"/>
    <w:rsid w:val="00F1204B"/>
    <w:rsid w:val="00F1598E"/>
    <w:rsid w:val="00F203F9"/>
    <w:rsid w:val="00F21AC0"/>
    <w:rsid w:val="00F24212"/>
    <w:rsid w:val="00F245BB"/>
    <w:rsid w:val="00F26434"/>
    <w:rsid w:val="00F426CD"/>
    <w:rsid w:val="00F45DE9"/>
    <w:rsid w:val="00F502A4"/>
    <w:rsid w:val="00F521AB"/>
    <w:rsid w:val="00F54240"/>
    <w:rsid w:val="00F7291D"/>
    <w:rsid w:val="00F74797"/>
    <w:rsid w:val="00F74D27"/>
    <w:rsid w:val="00F81699"/>
    <w:rsid w:val="00F81C10"/>
    <w:rsid w:val="00F82F7C"/>
    <w:rsid w:val="00F900C4"/>
    <w:rsid w:val="00F9328D"/>
    <w:rsid w:val="00F95B38"/>
    <w:rsid w:val="00F97DDE"/>
    <w:rsid w:val="00FA7180"/>
    <w:rsid w:val="00FA7E20"/>
    <w:rsid w:val="00FC1B49"/>
    <w:rsid w:val="00FC6F77"/>
    <w:rsid w:val="00FC70FA"/>
    <w:rsid w:val="00FD01D7"/>
    <w:rsid w:val="00FD42EA"/>
    <w:rsid w:val="00FD6E85"/>
    <w:rsid w:val="00FE040B"/>
    <w:rsid w:val="00FE0990"/>
    <w:rsid w:val="00FE20E6"/>
    <w:rsid w:val="00FE76FD"/>
    <w:rsid w:val="00FE7A0D"/>
    <w:rsid w:val="00FF25F8"/>
    <w:rsid w:val="00FF43A6"/>
    <w:rsid w:val="00FF4740"/>
    <w:rsid w:val="00FF6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784CF"/>
  <w15:chartTrackingRefBased/>
  <w15:docId w15:val="{1B12CF5B-C072-419E-A102-D87FF86E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7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C62"/>
    <w:rPr>
      <w:sz w:val="24"/>
    </w:rPr>
  </w:style>
  <w:style w:type="paragraph" w:styleId="Header">
    <w:name w:val="header"/>
    <w:basedOn w:val="Normal"/>
    <w:rsid w:val="00C07C62"/>
    <w:pPr>
      <w:tabs>
        <w:tab w:val="center" w:pos="4320"/>
        <w:tab w:val="right" w:pos="8640"/>
      </w:tabs>
    </w:pPr>
  </w:style>
  <w:style w:type="paragraph" w:styleId="Footer">
    <w:name w:val="footer"/>
    <w:basedOn w:val="Normal"/>
    <w:rsid w:val="00C07C62"/>
    <w:pPr>
      <w:tabs>
        <w:tab w:val="center" w:pos="4320"/>
        <w:tab w:val="right" w:pos="8640"/>
      </w:tabs>
    </w:pPr>
  </w:style>
  <w:style w:type="character" w:styleId="PageNumber">
    <w:name w:val="page number"/>
    <w:basedOn w:val="DefaultParagraphFont"/>
    <w:rsid w:val="00C07C62"/>
  </w:style>
  <w:style w:type="paragraph" w:styleId="FootnoteText">
    <w:name w:val="footnote text"/>
    <w:aliases w:val="Footnote Text Char,Footnote Text Char Char Char1 Char Char,Footnote Text Char1,Footnote Text Char1 Char Char,Footnote Text Char2,Footnote Text Char2 Char1 Char Char,Footnote Text Char3 Char Char Char1 Char Char,Footnote Text Char5 Char,fn"/>
    <w:basedOn w:val="Normal"/>
    <w:link w:val="FootnoteTextChar3"/>
    <w:semiHidden/>
    <w:rsid w:val="00C07C62"/>
  </w:style>
  <w:style w:type="character" w:styleId="FootnoteReference">
    <w:name w:val="footnote reference"/>
    <w:aliases w:val="(NECG) Footnote Reference,Appel note de bas de p,Style 12,Style 124,Style 3,fr,o"/>
    <w:semiHidden/>
    <w:rsid w:val="00C07C62"/>
    <w:rPr>
      <w:vertAlign w:val="superscript"/>
    </w:rPr>
  </w:style>
  <w:style w:type="character" w:customStyle="1" w:styleId="FootnoteTextChar3">
    <w:name w:val="Footnote Text Char3"/>
    <w:aliases w:val="Footnote Text Char Char,Footnote Text Char Char Char1 Char Char Char,Footnote Text Char1 Char Char Char,Footnote Text Char2 Char1 Char Char Char,Footnote Text Char3 Char Char Char1 Char Char Char,Footnote Text Char5 Char Char,fn Char"/>
    <w:link w:val="FootnoteText"/>
    <w:rsid w:val="00C07C62"/>
    <w:rPr>
      <w:lang w:val="en-US" w:eastAsia="en-US" w:bidi="ar-SA"/>
    </w:rPr>
  </w:style>
  <w:style w:type="paragraph" w:styleId="HTMLPreformatted">
    <w:name w:val="HTML Preformatted"/>
    <w:basedOn w:val="Normal"/>
    <w:rsid w:val="00C0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umentbody1">
    <w:name w:val="documentbody1"/>
    <w:rsid w:val="00C07C62"/>
    <w:rPr>
      <w:rFonts w:ascii="Verdana" w:hAnsi="Verdana" w:hint="default"/>
      <w:sz w:val="19"/>
      <w:szCs w:val="19"/>
    </w:rPr>
  </w:style>
  <w:style w:type="character" w:styleId="Hyperlink">
    <w:name w:val="Hyperlink"/>
    <w:rsid w:val="00C07C62"/>
    <w:rPr>
      <w:color w:val="0000FF"/>
      <w:u w:val="single"/>
    </w:rPr>
  </w:style>
  <w:style w:type="character" w:styleId="CommentReference">
    <w:name w:val="annotation reference"/>
    <w:semiHidden/>
    <w:rsid w:val="00C07C62"/>
    <w:rPr>
      <w:sz w:val="16"/>
      <w:szCs w:val="16"/>
    </w:rPr>
  </w:style>
  <w:style w:type="paragraph" w:styleId="CommentText">
    <w:name w:val="annotation text"/>
    <w:basedOn w:val="Normal"/>
    <w:semiHidden/>
    <w:rsid w:val="00C07C62"/>
  </w:style>
  <w:style w:type="paragraph" w:styleId="BalloonText">
    <w:name w:val="Balloon Text"/>
    <w:basedOn w:val="Normal"/>
    <w:semiHidden/>
    <w:rsid w:val="00C07C62"/>
    <w:rPr>
      <w:rFonts w:ascii="Tahoma" w:hAnsi="Tahoma" w:cs="Tahoma"/>
      <w:sz w:val="16"/>
      <w:szCs w:val="16"/>
    </w:rPr>
  </w:style>
  <w:style w:type="paragraph" w:styleId="CommentSubject">
    <w:name w:val="annotation subject"/>
    <w:basedOn w:val="CommentText"/>
    <w:next w:val="CommentText"/>
    <w:semiHidden/>
    <w:rsid w:val="00376113"/>
    <w:rPr>
      <w:b/>
      <w:bCs/>
    </w:rPr>
  </w:style>
  <w:style w:type="table" w:styleId="TableGrid">
    <w:name w:val="Table Grid"/>
    <w:basedOn w:val="TableNormal"/>
    <w:rsid w:val="004E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924634"/>
    <w:pPr>
      <w:widowControl w:val="0"/>
      <w:numPr>
        <w:numId w:val="1"/>
      </w:numPr>
      <w:spacing w:after="120"/>
    </w:pPr>
    <w:rPr>
      <w:snapToGrid w:val="0"/>
      <w:kern w:val="28"/>
      <w:sz w:val="22"/>
    </w:rPr>
  </w:style>
  <w:style w:type="character" w:customStyle="1" w:styleId="ParaNumChar1">
    <w:name w:val="ParaNum Char1"/>
    <w:link w:val="ParaNum"/>
    <w:rsid w:val="00924634"/>
    <w:rPr>
      <w:snapToGrid w:val="0"/>
      <w:kern w:val="28"/>
      <w:sz w:val="22"/>
      <w:lang w:val="en-US" w:eastAsia="en-US" w:bidi="ar-SA"/>
    </w:rPr>
  </w:style>
  <w:style w:type="paragraph" w:styleId="PlainText">
    <w:name w:val="Plain Text"/>
    <w:basedOn w:val="Normal"/>
    <w:link w:val="PlainTextChar"/>
    <w:rsid w:val="005D43D1"/>
    <w:rPr>
      <w:rFonts w:ascii="Courier New" w:hAnsi="Courier New" w:cs="Courier New"/>
    </w:rPr>
  </w:style>
  <w:style w:type="character" w:customStyle="1" w:styleId="PlainTextChar">
    <w:name w:val="Plain Text Char"/>
    <w:link w:val="PlainText"/>
    <w:rsid w:val="005D43D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36BA-C6DA-4B3D-95F3-325CE5B6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7124</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Heather.Dixon</dc:creator>
  <cp:lastModifiedBy>Cathy Williams</cp:lastModifiedBy>
  <cp:revision>5</cp:revision>
  <cp:lastPrinted>2019-01-28T14:30:00Z</cp:lastPrinted>
  <dcterms:created xsi:type="dcterms:W3CDTF">2023-04-26T21:14:00Z</dcterms:created>
  <dcterms:modified xsi:type="dcterms:W3CDTF">2023-07-18T13:27:00Z</dcterms:modified>
</cp:coreProperties>
</file>