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6C63" w:rsidRPr="00FC41DF" w:rsidP="004A5959" w14:paraId="7F7E92DF" w14:textId="77777777">
      <w:pPr>
        <w:tabs>
          <w:tab w:val="center" w:pos="4680"/>
        </w:tabs>
        <w:jc w:val="center"/>
        <w:rPr>
          <w:rFonts w:ascii="Times New Roman" w:hAnsi="Times New Roman"/>
          <w:b/>
        </w:rPr>
      </w:pPr>
      <w:bookmarkStart w:id="0" w:name="_GoBack"/>
      <w:bookmarkEnd w:id="0"/>
      <w:r w:rsidRPr="00FC41DF">
        <w:rPr>
          <w:rFonts w:ascii="Calibri" w:hAnsi="Calibri" w:cs="Calibri"/>
          <w:b/>
          <w:color w:val="000000"/>
        </w:rPr>
        <w:t>S</w:t>
      </w:r>
      <w:r w:rsidRPr="00FC41DF">
        <w:rPr>
          <w:rFonts w:ascii="Times New Roman" w:hAnsi="Times New Roman"/>
          <w:b/>
        </w:rPr>
        <w:t>UPPORTING STATEMENT</w:t>
      </w:r>
    </w:p>
    <w:p w:rsidR="0071052F" w:rsidRPr="0071052F" w:rsidP="00D84B38" w14:paraId="35D5737E" w14:textId="77777777">
      <w:pPr>
        <w:ind w:left="2250" w:right="2160"/>
        <w:jc w:val="center"/>
        <w:rPr>
          <w:rFonts w:ascii="Times New Roman" w:hAnsi="Times New Roman"/>
          <w:b/>
          <w:bCs/>
        </w:rPr>
      </w:pPr>
      <w:r>
        <w:rPr>
          <w:rFonts w:ascii="Times New Roman" w:hAnsi="Times New Roman"/>
          <w:b/>
          <w:bCs/>
        </w:rPr>
        <w:t>FOREIGN BANKING AND INVESTMENT BY INSURED STATE NONMEMBER BANKS</w:t>
      </w:r>
    </w:p>
    <w:p w:rsidR="004A5959" w:rsidRPr="004A5959" w:rsidP="0071052F" w14:paraId="58BC73A0" w14:textId="77777777">
      <w:pPr>
        <w:jc w:val="center"/>
        <w:rPr>
          <w:rFonts w:ascii="Times New Roman" w:hAnsi="Times New Roman"/>
          <w:b/>
        </w:rPr>
      </w:pPr>
      <w:r>
        <w:rPr>
          <w:rFonts w:ascii="Times New Roman" w:hAnsi="Times New Roman"/>
          <w:b/>
          <w:bCs/>
        </w:rPr>
        <w:t>(OMB No. 3064-0125</w:t>
      </w:r>
      <w:r w:rsidR="0071052F">
        <w:rPr>
          <w:rFonts w:ascii="Times New Roman" w:hAnsi="Times New Roman"/>
          <w:b/>
          <w:bCs/>
        </w:rPr>
        <w:t>)</w:t>
      </w:r>
    </w:p>
    <w:p w:rsidR="007B6C63" w14:paraId="50ACAC92" w14:textId="77777777">
      <w:pPr>
        <w:rPr>
          <w:rFonts w:ascii="Times New Roman" w:hAnsi="Times New Roman"/>
        </w:rPr>
      </w:pPr>
    </w:p>
    <w:p w:rsidR="007B6C63" w:rsidRPr="00CF43C7" w14:paraId="0B654904" w14:textId="77777777">
      <w:pPr>
        <w:rPr>
          <w:rFonts w:ascii="Times New Roman" w:hAnsi="Times New Roman"/>
          <w:u w:val="single"/>
        </w:rPr>
      </w:pPr>
      <w:r w:rsidRPr="00CF43C7">
        <w:rPr>
          <w:rFonts w:ascii="Times New Roman" w:hAnsi="Times New Roman"/>
          <w:u w:val="single"/>
        </w:rPr>
        <w:t>INTRODUCTION</w:t>
      </w:r>
    </w:p>
    <w:p w:rsidR="007B6C63" w14:paraId="47AEC81D" w14:textId="77777777">
      <w:pPr>
        <w:rPr>
          <w:rFonts w:ascii="Times New Roman" w:hAnsi="Times New Roman"/>
        </w:rPr>
      </w:pPr>
    </w:p>
    <w:p w:rsidR="007B6C63" w14:paraId="173FDA14" w14:textId="77777777">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xml:space="preserve">, </w:t>
      </w:r>
      <w:r w:rsidR="00F040F7">
        <w:rPr>
          <w:rFonts w:ascii="Times New Roman" w:hAnsi="Times New Roman"/>
        </w:rPr>
        <w:t>without change</w:t>
      </w:r>
      <w:r w:rsidR="00615BAD">
        <w:rPr>
          <w:rFonts w:ascii="Times New Roman" w:hAnsi="Times New Roman"/>
        </w:rPr>
        <w:t>,</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 xml:space="preserve">entitled </w:t>
      </w:r>
      <w:r w:rsidR="00F040F7">
        <w:rPr>
          <w:rFonts w:ascii="Times New Roman" w:hAnsi="Times New Roman"/>
        </w:rPr>
        <w:t>“</w:t>
      </w:r>
      <w:r w:rsidRPr="00834179" w:rsidR="00834179">
        <w:rPr>
          <w:rFonts w:ascii="Times New Roman" w:hAnsi="Times New Roman"/>
        </w:rPr>
        <w:t>Foreign Banking and Investment by Insured State Nonmember Banks</w:t>
      </w:r>
      <w:r w:rsidR="00F040F7">
        <w:rPr>
          <w:rFonts w:ascii="Times New Roman" w:hAnsi="Times New Roman"/>
        </w:rPr>
        <w:t>” (OMB Control No. 3064-01</w:t>
      </w:r>
      <w:r w:rsidR="00834179">
        <w:rPr>
          <w:rFonts w:ascii="Times New Roman" w:hAnsi="Times New Roman"/>
        </w:rPr>
        <w:t>25</w:t>
      </w:r>
      <w:r w:rsidR="00F040F7">
        <w:rPr>
          <w:rFonts w:ascii="Times New Roman" w:hAnsi="Times New Roman"/>
        </w:rPr>
        <w:t xml:space="preserve">) which consists of </w:t>
      </w:r>
      <w:r w:rsidR="00F040F7">
        <w:rPr>
          <w:rFonts w:ascii="Times New Roman" w:hAnsi="Times New Roman"/>
          <w:color w:val="000000"/>
          <w:szCs w:val="24"/>
        </w:rPr>
        <w:t xml:space="preserve">reporting </w:t>
      </w:r>
      <w:r w:rsidR="00834179">
        <w:rPr>
          <w:rFonts w:ascii="Times New Roman" w:hAnsi="Times New Roman"/>
          <w:color w:val="000000"/>
          <w:szCs w:val="24"/>
        </w:rPr>
        <w:t xml:space="preserve">and recordkeeping </w:t>
      </w:r>
      <w:r w:rsidR="00F040F7">
        <w:rPr>
          <w:rFonts w:ascii="Times New Roman" w:hAnsi="Times New Roman"/>
          <w:color w:val="000000"/>
          <w:szCs w:val="24"/>
        </w:rPr>
        <w:t xml:space="preserve">requirements contained in </w:t>
      </w:r>
      <w:r w:rsidRPr="00834179" w:rsidR="00834179">
        <w:rPr>
          <w:rFonts w:ascii="Times New Roman" w:hAnsi="Times New Roman"/>
          <w:color w:val="000000"/>
          <w:szCs w:val="24"/>
        </w:rPr>
        <w:t>12 CFR Part 347 (International Banking) and 12 CFR Part 303 (Rules of Practice and Procedure).</w:t>
      </w:r>
      <w:r w:rsidR="00D765D6">
        <w:rPr>
          <w:rFonts w:ascii="Times New Roman" w:hAnsi="Times New Roman"/>
        </w:rPr>
        <w:t xml:space="preserve">  </w:t>
      </w:r>
      <w:r w:rsidR="00B06BE7">
        <w:rPr>
          <w:rFonts w:ascii="Times New Roman" w:hAnsi="Times New Roman"/>
          <w:spacing w:val="-3"/>
        </w:rPr>
        <w:t xml:space="preserve">There </w:t>
      </w:r>
      <w:r w:rsidR="00182279">
        <w:rPr>
          <w:rFonts w:ascii="Times New Roman" w:hAnsi="Times New Roman"/>
          <w:spacing w:val="-3"/>
        </w:rPr>
        <w:t>is no change in the method or substance of the collection</w:t>
      </w:r>
      <w:r w:rsidR="00655078">
        <w:rPr>
          <w:rFonts w:ascii="Times New Roman" w:hAnsi="Times New Roman"/>
        </w:rPr>
        <w:t xml:space="preserve"> which currently expires o</w:t>
      </w:r>
      <w:r w:rsidR="00DA5092">
        <w:rPr>
          <w:rFonts w:ascii="Times New Roman" w:hAnsi="Times New Roman"/>
        </w:rPr>
        <w:t>n</w:t>
      </w:r>
      <w:r w:rsidR="00655078">
        <w:rPr>
          <w:rFonts w:ascii="Times New Roman" w:hAnsi="Times New Roman"/>
        </w:rPr>
        <w:t xml:space="preserve"> Ju</w:t>
      </w:r>
      <w:r w:rsidR="00CF43C7">
        <w:rPr>
          <w:rFonts w:ascii="Times New Roman" w:hAnsi="Times New Roman"/>
        </w:rPr>
        <w:t>ly</w:t>
      </w:r>
      <w:r w:rsidR="00655078">
        <w:rPr>
          <w:rFonts w:ascii="Times New Roman" w:hAnsi="Times New Roman"/>
        </w:rPr>
        <w:t xml:space="preserve"> 3</w:t>
      </w:r>
      <w:r w:rsidR="00CF43C7">
        <w:rPr>
          <w:rFonts w:ascii="Times New Roman" w:hAnsi="Times New Roman"/>
        </w:rPr>
        <w:t>1</w:t>
      </w:r>
      <w:r w:rsidR="00655078">
        <w:rPr>
          <w:rFonts w:ascii="Times New Roman" w:hAnsi="Times New Roman"/>
        </w:rPr>
        <w:t>,</w:t>
      </w:r>
      <w:r>
        <w:rPr>
          <w:rFonts w:ascii="Times New Roman" w:hAnsi="Times New Roman"/>
        </w:rPr>
        <w:t xml:space="preserve"> </w:t>
      </w:r>
      <w:r w:rsidR="00CF43C7">
        <w:rPr>
          <w:rFonts w:ascii="Times New Roman" w:hAnsi="Times New Roman"/>
        </w:rPr>
        <w:t>2023</w:t>
      </w:r>
      <w:r w:rsidR="00FB759A">
        <w:rPr>
          <w:rFonts w:ascii="Times New Roman" w:hAnsi="Times New Roman"/>
        </w:rPr>
        <w:t>.</w:t>
      </w:r>
    </w:p>
    <w:p w:rsidR="007B6C63" w14:paraId="079DE711" w14:textId="77777777">
      <w:pPr>
        <w:rPr>
          <w:rFonts w:ascii="Times New Roman" w:hAnsi="Times New Roman"/>
        </w:rPr>
      </w:pPr>
    </w:p>
    <w:p w:rsidR="007B6C63" w14:paraId="4FB63AAF" w14:textId="77777777">
      <w:pPr>
        <w:tabs>
          <w:tab w:val="left" w:pos="-1440"/>
        </w:tabs>
        <w:rPr>
          <w:rFonts w:ascii="Times New Roman" w:hAnsi="Times New Roman"/>
        </w:rPr>
      </w:pPr>
      <w:r>
        <w:rPr>
          <w:rFonts w:ascii="Times New Roman" w:hAnsi="Times New Roman"/>
        </w:rPr>
        <w:t>A.</w:t>
      </w:r>
      <w:r>
        <w:rPr>
          <w:rFonts w:ascii="Times New Roman" w:hAnsi="Times New Roman"/>
        </w:rPr>
        <w:tab/>
      </w:r>
      <w:r w:rsidRPr="00CF43C7">
        <w:rPr>
          <w:rFonts w:ascii="Times New Roman" w:hAnsi="Times New Roman"/>
          <w:u w:val="single"/>
        </w:rPr>
        <w:t>JUSTIFICATION</w:t>
      </w:r>
    </w:p>
    <w:p w:rsidR="007B6C63" w14:paraId="1CF63EAB" w14:textId="77777777">
      <w:pPr>
        <w:rPr>
          <w:rFonts w:ascii="Times New Roman" w:hAnsi="Times New Roman"/>
        </w:rPr>
      </w:pPr>
    </w:p>
    <w:p w:rsidR="007B6C63" w:rsidP="00A1019D" w14:paraId="2DCED999" w14:textId="77777777">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CF43C7" w:rsidR="00386C94">
        <w:rPr>
          <w:rFonts w:ascii="Times New Roman" w:hAnsi="Times New Roman"/>
          <w:b/>
          <w:bCs/>
          <w:iCs/>
          <w:szCs w:val="24"/>
          <w:u w:val="single"/>
        </w:rPr>
        <w:t xml:space="preserve">Circumstances that make the collection </w:t>
      </w:r>
      <w:r w:rsidRPr="00CF43C7" w:rsidR="00386C94">
        <w:rPr>
          <w:rFonts w:ascii="Times New Roman" w:hAnsi="Times New Roman"/>
          <w:b/>
          <w:bCs/>
          <w:iCs/>
          <w:u w:val="single"/>
        </w:rPr>
        <w:t>necessary</w:t>
      </w:r>
      <w:r w:rsidRPr="00CF43C7" w:rsidR="00386C94">
        <w:rPr>
          <w:rFonts w:ascii="Times New Roman" w:hAnsi="Times New Roman"/>
          <w:b/>
          <w:bCs/>
          <w:iCs/>
          <w:szCs w:val="24"/>
          <w:u w:val="single"/>
        </w:rPr>
        <w:t>:</w:t>
      </w:r>
    </w:p>
    <w:p w:rsidR="007B6C63" w14:paraId="737E9440" w14:textId="77777777">
      <w:pPr>
        <w:rPr>
          <w:rFonts w:ascii="Times New Roman" w:hAnsi="Times New Roman"/>
        </w:rPr>
      </w:pPr>
    </w:p>
    <w:p w:rsidR="00D765D6" w:rsidP="007729D8" w14:paraId="5A0A5B00" w14:textId="77777777">
      <w:pPr>
        <w:ind w:left="720"/>
        <w:rPr>
          <w:rFonts w:ascii="Times New Roman" w:hAnsi="Times New Roman"/>
          <w:szCs w:val="24"/>
        </w:rPr>
      </w:pPr>
      <w:r w:rsidRPr="00834179">
        <w:rPr>
          <w:rFonts w:ascii="Times New Roman" w:hAnsi="Times New Roman"/>
          <w:szCs w:val="24"/>
        </w:rPr>
        <w:t>Part 347 implements 12 USC 1828(d)(2) and 1828(l), sections of the Federal Deposit Insurance Act which authorize the FDIC to establish conditions for foreign branching by insured state nonmember banks and investment in foreign organizations by nonmember banks.  The collections of information are discussed in detail below.  They consist of applications related to establishing and closing a foreign branch; applications related to acquiring stock of a foreign organization; and records and reports which a nonmember bank must maintain once it has established a foreign branch or foreign organization.</w:t>
      </w:r>
    </w:p>
    <w:p w:rsidR="00834179" w:rsidP="007729D8" w14:paraId="5A5203A9" w14:textId="77777777">
      <w:pPr>
        <w:ind w:left="720"/>
        <w:rPr>
          <w:rFonts w:ascii="Times New Roman" w:hAnsi="Times New Roman"/>
          <w:szCs w:val="24"/>
        </w:rPr>
      </w:pPr>
    </w:p>
    <w:p w:rsidR="00834179" w:rsidRPr="00834179" w:rsidP="00834179" w14:paraId="1763637B" w14:textId="77777777">
      <w:pPr>
        <w:ind w:left="720"/>
        <w:rPr>
          <w:rFonts w:ascii="Times New Roman" w:hAnsi="Times New Roman"/>
          <w:szCs w:val="24"/>
        </w:rPr>
      </w:pPr>
      <w:r w:rsidRPr="00834179">
        <w:rPr>
          <w:rFonts w:ascii="Times New Roman" w:hAnsi="Times New Roman"/>
          <w:szCs w:val="24"/>
        </w:rPr>
        <w:t>Section 18(d)(2) of the FDI Act requires a nonmember bank to obtain the FDIC’s consent to establish or operate a branch in a foreign country (foreign branch).  Section 18(d)(2) also authorizes the FDIC to impose conditions and issue regulations governing the operation and affairs of foreign branches.  FDIC’s regulations at 12 CFR 347.117-119 and 303.182 set forth procedures for a nonmember bank to apply for permission to establish a foreign branch, and to engage through a foreign branch in activities not otherwise approved by section 347.117-118.  These rules also require notice upon the closing of a foreign branch under section 347.121.  The notices and applications constitute information collections under the Paperwork Reduction Act.</w:t>
      </w:r>
    </w:p>
    <w:p w:rsidR="00834179" w:rsidRPr="00834179" w:rsidP="00834179" w14:paraId="5AEC2D8A" w14:textId="77777777">
      <w:pPr>
        <w:ind w:left="720"/>
        <w:rPr>
          <w:rFonts w:ascii="Times New Roman" w:hAnsi="Times New Roman"/>
          <w:szCs w:val="24"/>
        </w:rPr>
      </w:pPr>
    </w:p>
    <w:p w:rsidR="00834179" w:rsidRPr="00834179" w:rsidP="00834179" w14:paraId="319BE864" w14:textId="77777777">
      <w:pPr>
        <w:ind w:left="720"/>
        <w:rPr>
          <w:rFonts w:ascii="Times New Roman" w:hAnsi="Times New Roman"/>
          <w:szCs w:val="24"/>
          <w:u w:val="single"/>
        </w:rPr>
      </w:pPr>
      <w:r w:rsidRPr="00834179">
        <w:rPr>
          <w:rFonts w:ascii="Times New Roman" w:hAnsi="Times New Roman"/>
          <w:szCs w:val="24"/>
          <w:u w:val="single"/>
        </w:rPr>
        <w:t>Foreign Investments</w:t>
      </w:r>
    </w:p>
    <w:p w:rsidR="00834179" w:rsidRPr="00834179" w:rsidP="00834179" w14:paraId="452F1553" w14:textId="77777777">
      <w:pPr>
        <w:ind w:left="720"/>
        <w:rPr>
          <w:rFonts w:ascii="Times New Roman" w:hAnsi="Times New Roman"/>
          <w:szCs w:val="24"/>
        </w:rPr>
      </w:pPr>
      <w:r w:rsidRPr="00834179">
        <w:rPr>
          <w:rFonts w:ascii="Times New Roman" w:hAnsi="Times New Roman"/>
          <w:szCs w:val="24"/>
        </w:rPr>
        <w:t>Section 18(l) of the FDI Act, 12 U.S.C. 1828(l), requires a nonmember bank to obtain the FDIC’s consent to acquire and hold, directly or indirectly, stock or other evidences of ownership in any foreign bank or other entity.  Section 18(l) also states that these entities may not engage in any activities in the United States except as the FDIC’s Board of Directors has determined are incidental to the international or foreign business of these entities.  In addition, section 18(l) authorizes the FDIC to impose conditions and issue regulations governing these investments. The notices and applications constitute information collections under the Paperwork Reduction Act.</w:t>
      </w:r>
    </w:p>
    <w:p w:rsidR="00834179" w:rsidRPr="00834179" w:rsidP="00834179" w14:paraId="3A51F88E" w14:textId="77777777">
      <w:pPr>
        <w:ind w:left="720"/>
        <w:rPr>
          <w:rFonts w:ascii="Times New Roman" w:hAnsi="Times New Roman"/>
          <w:szCs w:val="24"/>
        </w:rPr>
      </w:pPr>
    </w:p>
    <w:p w:rsidR="00834179" w:rsidP="00076A5B" w14:paraId="75B92C89" w14:textId="77777777">
      <w:pPr>
        <w:keepNext/>
        <w:ind w:left="720"/>
        <w:rPr>
          <w:rFonts w:ascii="Times New Roman" w:hAnsi="Times New Roman"/>
          <w:szCs w:val="24"/>
          <w:u w:val="single"/>
        </w:rPr>
      </w:pPr>
      <w:r w:rsidRPr="00834179">
        <w:rPr>
          <w:rFonts w:ascii="Times New Roman" w:hAnsi="Times New Roman"/>
          <w:szCs w:val="24"/>
          <w:u w:val="single"/>
        </w:rPr>
        <w:t>Supervision and Recordkeeping of Foreign Activities</w:t>
      </w:r>
    </w:p>
    <w:p w:rsidR="00076A5B" w:rsidRPr="00834179" w:rsidP="00076A5B" w14:paraId="5BEE7283" w14:textId="77777777">
      <w:pPr>
        <w:keepNext/>
        <w:ind w:left="720"/>
        <w:rPr>
          <w:rFonts w:ascii="Times New Roman" w:hAnsi="Times New Roman"/>
          <w:szCs w:val="24"/>
        </w:rPr>
      </w:pPr>
    </w:p>
    <w:p w:rsidR="00834179" w:rsidP="00834179" w14:paraId="65ABF769" w14:textId="77777777">
      <w:pPr>
        <w:ind w:left="720"/>
        <w:rPr>
          <w:rFonts w:ascii="Times New Roman" w:hAnsi="Times New Roman"/>
          <w:szCs w:val="24"/>
        </w:rPr>
      </w:pPr>
      <w:r w:rsidRPr="00834179">
        <w:rPr>
          <w:rFonts w:ascii="Times New Roman" w:hAnsi="Times New Roman"/>
          <w:szCs w:val="24"/>
        </w:rPr>
        <w:t xml:space="preserve">Losses incurred by a nonmember bank’s foreign branches or foreign organizations will cause corresponding losses to the nonmember bank itself.  In extreme cases, banks in other countries have collapsed as a result of their failure to properly oversee their foreign operations.  The nonmember bank must establish a reporting system sufficient to permit the bank to know the true condition of its foreign operations and exercise prudent oversight and control to protect itself from this risk.  FDIC’s regulations at 12 </w:t>
      </w:r>
      <w:r w:rsidRPr="00834179" w:rsidR="00076A5B">
        <w:rPr>
          <w:rFonts w:ascii="Times New Roman" w:hAnsi="Times New Roman"/>
          <w:szCs w:val="24"/>
        </w:rPr>
        <w:t>CFR 347.116</w:t>
      </w:r>
      <w:r w:rsidRPr="00834179">
        <w:rPr>
          <w:rFonts w:ascii="Times New Roman" w:hAnsi="Times New Roman"/>
          <w:szCs w:val="24"/>
        </w:rPr>
        <w:t xml:space="preserve"> address these issues by requiring a nonmember bank with a foreign branch, or which holds 20 percent or more of the voting equity interests of a foreign organization, to maintain sufficient records on its activities to ensure the nonmember bank may properly control and oversee its foreign operations.  These recordkeeping requirements constitute information collections under the Paperwork Reduction Act.</w:t>
      </w:r>
    </w:p>
    <w:p w:rsidR="00834179" w:rsidP="007729D8" w14:paraId="113F5F99" w14:textId="77777777">
      <w:pPr>
        <w:ind w:left="720"/>
        <w:rPr>
          <w:rFonts w:ascii="Times New Roman" w:hAnsi="Times New Roman"/>
        </w:rPr>
      </w:pPr>
    </w:p>
    <w:p w:rsidR="00834179" w:rsidP="007729D8" w14:paraId="47432C00" w14:textId="77777777">
      <w:pPr>
        <w:ind w:left="720"/>
        <w:rPr>
          <w:rFonts w:ascii="Times New Roman" w:hAnsi="Times New Roman"/>
        </w:rPr>
      </w:pPr>
    </w:p>
    <w:p w:rsidR="007B6C63" w14:paraId="76FBD769" w14:textId="77777777">
      <w:pPr>
        <w:rPr>
          <w:rFonts w:ascii="Times New Roman" w:hAnsi="Times New Roman"/>
        </w:rPr>
      </w:pPr>
    </w:p>
    <w:p w:rsidR="007B6C63" w:rsidP="00A1019D" w14:paraId="3683C810" w14:textId="77777777">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14:paraId="789EDD75" w14:textId="77777777">
      <w:pPr>
        <w:rPr>
          <w:rFonts w:ascii="Times New Roman" w:hAnsi="Times New Roman"/>
        </w:rPr>
      </w:pPr>
    </w:p>
    <w:p w:rsidR="007B6C63" w:rsidP="0054621E" w14:paraId="01A2D4EF" w14:textId="77777777">
      <w:pPr>
        <w:ind w:left="720"/>
        <w:rPr>
          <w:rFonts w:ascii="Times New Roman" w:hAnsi="Times New Roman"/>
          <w:spacing w:val="-3"/>
        </w:rPr>
      </w:pPr>
      <w:r>
        <w:rPr>
          <w:rFonts w:ascii="Times New Roman" w:hAnsi="Times New Roman"/>
          <w:spacing w:val="-3"/>
        </w:rPr>
        <w:t xml:space="preserve">The FDIC will use the information as part of its supervisory process.  </w:t>
      </w:r>
      <w:r w:rsidRPr="00076A5B" w:rsidR="00076A5B">
        <w:rPr>
          <w:rFonts w:ascii="Times New Roman" w:hAnsi="Times New Roman"/>
          <w:spacing w:val="-3"/>
        </w:rPr>
        <w:t>The information in the notices and applications is used as part of the process by which the FDIC determines whether to permit a nonmember bank to establish or operate a foreign branch and to help the FDIC determine whether to permit a nonmember bank to make a foreign investment.  The recordkeeping requirements assist foreign organizations to monitor their condition and control their operations.</w:t>
      </w:r>
    </w:p>
    <w:p w:rsidR="0054621E" w:rsidRPr="0054621E" w:rsidP="0054621E" w14:paraId="5ECF7903" w14:textId="77777777">
      <w:pPr>
        <w:ind w:left="720"/>
        <w:rPr>
          <w:rFonts w:ascii="Times New Roman" w:hAnsi="Times New Roman"/>
          <w:spacing w:val="-3"/>
        </w:rPr>
      </w:pPr>
    </w:p>
    <w:p w:rsidR="007B6C63" w14:paraId="58625E07" w14:textId="77777777">
      <w:pPr>
        <w:ind w:left="720"/>
        <w:rPr>
          <w:rFonts w:ascii="Times New Roman" w:hAnsi="Times New Roman"/>
        </w:rPr>
      </w:pPr>
    </w:p>
    <w:p w:rsidR="007B6C63" w:rsidP="00990A9E" w14:paraId="50BE1419" w14:textId="77777777">
      <w:pPr>
        <w:keepNext/>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14:paraId="2715EFF4" w14:textId="77777777">
      <w:pPr>
        <w:keepNext/>
        <w:rPr>
          <w:rFonts w:ascii="Times New Roman" w:hAnsi="Times New Roman"/>
        </w:rPr>
      </w:pPr>
    </w:p>
    <w:p w:rsidR="007B6C63" w:rsidP="007522EF" w14:paraId="0FA33A90" w14:textId="77777777">
      <w:pPr>
        <w:keepNext/>
        <w:ind w:left="720"/>
        <w:rPr>
          <w:rFonts w:ascii="Times New Roman" w:hAnsi="Times New Roman"/>
        </w:rPr>
      </w:pPr>
      <w:r w:rsidRPr="00076A5B">
        <w:rPr>
          <w:rFonts w:ascii="Times New Roman" w:hAnsi="Times New Roman"/>
        </w:rPr>
        <w:t>Currently, the low number of respondents for the reporting requirements in this collection does not make conversion to electronic submission cost beneficial.  For the recordkeeping requirements, institutions may use whatever technology is most efficient for them as long as they have the information available on-site for review by state and federal examiners.</w:t>
      </w:r>
    </w:p>
    <w:p w:rsidR="007B6C63" w14:paraId="040A4E67" w14:textId="77777777">
      <w:pPr>
        <w:rPr>
          <w:rFonts w:ascii="Times New Roman" w:hAnsi="Times New Roman"/>
        </w:rPr>
      </w:pPr>
    </w:p>
    <w:p w:rsidR="007B6C63" w:rsidP="00A1019D" w14:paraId="1A6E7FB7" w14:textId="77777777">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14:paraId="1C264F19" w14:textId="77777777">
      <w:pPr>
        <w:ind w:left="1440"/>
        <w:rPr>
          <w:rFonts w:ascii="Times New Roman" w:hAnsi="Times New Roman"/>
        </w:rPr>
      </w:pPr>
    </w:p>
    <w:p w:rsidR="007B6C63" w:rsidP="000B0581" w14:paraId="04B52DBB" w14:textId="77777777">
      <w:pPr>
        <w:ind w:left="720"/>
        <w:rPr>
          <w:rFonts w:ascii="Times New Roman" w:hAnsi="Times New Roman"/>
        </w:rPr>
      </w:pPr>
      <w:r w:rsidRPr="00CF43C7">
        <w:rPr>
          <w:rFonts w:ascii="Times New Roman" w:hAnsi="Times New Roman"/>
          <w:color w:val="000000"/>
          <w:szCs w:val="24"/>
        </w:rPr>
        <w:t>This collection does not duplicate information provided elsewhere</w:t>
      </w:r>
      <w:r w:rsidRPr="007522EF" w:rsidR="007522EF">
        <w:rPr>
          <w:rFonts w:ascii="Times New Roman" w:hAnsi="Times New Roman"/>
          <w:color w:val="000000"/>
          <w:szCs w:val="24"/>
        </w:rPr>
        <w:t>.</w:t>
      </w:r>
    </w:p>
    <w:p w:rsidR="007B6C63" w14:paraId="35A80287" w14:textId="77777777">
      <w:pPr>
        <w:rPr>
          <w:rFonts w:ascii="Times New Roman" w:hAnsi="Times New Roman"/>
        </w:rPr>
      </w:pPr>
    </w:p>
    <w:p w:rsidR="007B6C63" w:rsidP="00A1019D" w14:paraId="0975B33D" w14:textId="77777777">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14:paraId="0369D580" w14:textId="77777777">
      <w:pPr>
        <w:rPr>
          <w:rFonts w:ascii="Times New Roman" w:hAnsi="Times New Roman"/>
        </w:rPr>
      </w:pPr>
    </w:p>
    <w:p w:rsidR="007B6C63" w:rsidP="007522EF" w14:paraId="0E3034AB" w14:textId="77777777">
      <w:pPr>
        <w:ind w:left="720"/>
        <w:rPr>
          <w:rFonts w:ascii="Times New Roman" w:hAnsi="Times New Roman"/>
        </w:rPr>
      </w:pPr>
      <w:r w:rsidRPr="007522EF">
        <w:rPr>
          <w:rFonts w:ascii="Times New Roman" w:hAnsi="Times New Roman"/>
        </w:rPr>
        <w:t>FDIC data show that nonmember banks with foreign branches generally have assets over $</w:t>
      </w:r>
      <w:r w:rsidR="00240393">
        <w:rPr>
          <w:rFonts w:ascii="Times New Roman" w:hAnsi="Times New Roman"/>
        </w:rPr>
        <w:t xml:space="preserve">850 </w:t>
      </w:r>
      <w:r w:rsidRPr="007522EF" w:rsidR="00240393">
        <w:rPr>
          <w:rFonts w:ascii="Times New Roman" w:hAnsi="Times New Roman"/>
        </w:rPr>
        <w:t xml:space="preserve"> </w:t>
      </w:r>
      <w:r w:rsidRPr="007522EF">
        <w:rPr>
          <w:rFonts w:ascii="Times New Roman" w:hAnsi="Times New Roman"/>
        </w:rPr>
        <w:t xml:space="preserve">million </w:t>
      </w:r>
      <w:r w:rsidRPr="007522EF">
        <w:rPr>
          <w:rFonts w:ascii="Times New Roman" w:hAnsi="Times New Roman"/>
        </w:rPr>
        <w:t>(the SBA’s threshold for small banks).  Consequently, th</w:t>
      </w:r>
      <w:r>
        <w:rPr>
          <w:rFonts w:ascii="Times New Roman" w:hAnsi="Times New Roman"/>
        </w:rPr>
        <w:t>is</w:t>
      </w:r>
      <w:r w:rsidRPr="007522EF">
        <w:rPr>
          <w:rFonts w:ascii="Times New Roman" w:hAnsi="Times New Roman"/>
        </w:rPr>
        <w:t xml:space="preserve"> </w:t>
      </w:r>
      <w:r>
        <w:rPr>
          <w:rFonts w:ascii="Times New Roman" w:hAnsi="Times New Roman"/>
        </w:rPr>
        <w:t>information collection does not have a significant impact on a substantial number of small entities</w:t>
      </w:r>
      <w:r w:rsidRPr="007522EF">
        <w:rPr>
          <w:rFonts w:ascii="Times New Roman" w:hAnsi="Times New Roman"/>
        </w:rPr>
        <w:t>.</w:t>
      </w:r>
    </w:p>
    <w:p w:rsidR="007B6C63" w14:paraId="6A613B31" w14:textId="77777777">
      <w:pPr>
        <w:rPr>
          <w:rFonts w:ascii="Times New Roman" w:hAnsi="Times New Roman"/>
        </w:rPr>
      </w:pPr>
    </w:p>
    <w:p w:rsidR="007B6C63" w:rsidRPr="00FC41DF" w:rsidP="007522EF" w14:paraId="2F28B40C" w14:textId="77777777">
      <w:pPr>
        <w:keepNext/>
        <w:keepLines/>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14:paraId="479003C1" w14:textId="77777777">
      <w:pPr>
        <w:rPr>
          <w:rFonts w:ascii="Times New Roman" w:hAnsi="Times New Roman"/>
        </w:rPr>
      </w:pPr>
    </w:p>
    <w:p w:rsidR="007B6C63" w:rsidP="007522EF" w14:paraId="7AECE351" w14:textId="77777777">
      <w:pPr>
        <w:ind w:left="720"/>
        <w:rPr>
          <w:rFonts w:ascii="Times New Roman" w:hAnsi="Times New Roman"/>
        </w:rPr>
      </w:pPr>
      <w:r w:rsidRPr="007522EF">
        <w:rPr>
          <w:rFonts w:ascii="Times New Roman" w:hAnsi="Times New Roman"/>
        </w:rPr>
        <w:t>For the notices and applications requirements, the information is collected only once</w:t>
      </w:r>
      <w:r>
        <w:rPr>
          <w:rFonts w:ascii="Times New Roman" w:hAnsi="Times New Roman"/>
        </w:rPr>
        <w:t xml:space="preserve"> </w:t>
      </w:r>
      <w:r w:rsidR="00266C54">
        <w:rPr>
          <w:rFonts w:ascii="Times New Roman" w:hAnsi="Times New Roman"/>
        </w:rPr>
        <w:t>occasionally</w:t>
      </w:r>
      <w:r w:rsidRPr="007522EF">
        <w:rPr>
          <w:rFonts w:ascii="Times New Roman" w:hAnsi="Times New Roman"/>
        </w:rPr>
        <w:t>.  For the recordkeeping requirements, affected nonmember banks are expected to collect relevant information as frequently as is necessary to keep abreast of the foreign operation’s condition.  Any less frequent collection would expose the nonmember bank to the risk that undetected problems at the foreign operation would cause loss to the nonmember bank</w:t>
      </w:r>
      <w:r>
        <w:rPr>
          <w:rFonts w:ascii="Times New Roman" w:hAnsi="Times New Roman"/>
        </w:rPr>
        <w:t xml:space="preserve"> and </w:t>
      </w:r>
      <w:r>
        <w:rPr>
          <w:rFonts w:ascii="Times New Roman" w:hAnsi="Times New Roman"/>
        </w:rPr>
        <w:t xml:space="preserve">would </w:t>
      </w:r>
      <w:r w:rsidR="009557A1">
        <w:rPr>
          <w:rFonts w:ascii="Times New Roman" w:hAnsi="Times New Roman"/>
        </w:rPr>
        <w:t>hinder the FDIC’s ability to assess the safety and soundness of FDIC-supervised institutions and take corrective action as needed.</w:t>
      </w:r>
    </w:p>
    <w:p w:rsidR="007B6C63" w:rsidRPr="00386C94" w14:paraId="6CD9A351" w14:textId="77777777">
      <w:pPr>
        <w:rPr>
          <w:rFonts w:ascii="Times New Roman" w:hAnsi="Times New Roman"/>
        </w:rPr>
      </w:pPr>
    </w:p>
    <w:p w:rsidR="00386C94" w:rsidRPr="00386C94" w:rsidP="00A1019D" w14:paraId="745B553B" w14:textId="77777777">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Pr>
          <w:rFonts w:ascii="Times New Roman" w:hAnsi="Times New Roman"/>
          <w:b/>
          <w:bCs/>
          <w:iCs/>
          <w:u w:val="single"/>
        </w:rPr>
        <w:t>Special circumstances necessitating collection inconsistent with 5 CFR Part 1320.5(d)(2):</w:t>
      </w:r>
    </w:p>
    <w:p w:rsidR="007B6C63" w14:paraId="6EE1AD8B" w14:textId="77777777">
      <w:pPr>
        <w:rPr>
          <w:rFonts w:ascii="Times New Roman" w:hAnsi="Times New Roman"/>
        </w:rPr>
      </w:pPr>
    </w:p>
    <w:p w:rsidR="007B6C63" w:rsidP="000B0581" w14:paraId="62CBAA1A" w14:textId="77777777">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14:paraId="3A4983FC" w14:textId="77777777">
      <w:pPr>
        <w:rPr>
          <w:rFonts w:ascii="Times New Roman" w:hAnsi="Times New Roman"/>
        </w:rPr>
      </w:pPr>
    </w:p>
    <w:p w:rsidR="007B6C63" w:rsidP="00A1019D" w14:paraId="31591A89" w14:textId="77777777">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14:paraId="425BD841" w14:textId="77777777">
      <w:pPr>
        <w:rPr>
          <w:rFonts w:ascii="Times New Roman" w:hAnsi="Times New Roman"/>
        </w:rPr>
      </w:pPr>
    </w:p>
    <w:p w:rsidR="007B6C63" w:rsidP="000B0581" w14:paraId="58841153" w14:textId="77777777">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B0581" w:rsidR="00DE2D0B">
        <w:rPr>
          <w:rFonts w:ascii="Times New Roman" w:hAnsi="Times New Roman"/>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EF7AD0">
        <w:rPr>
          <w:rFonts w:ascii="Times New Roman" w:hAnsi="Times New Roman"/>
        </w:rPr>
        <w:t>February 10, 2023</w:t>
      </w:r>
      <w:r w:rsidR="00DE2D0B">
        <w:rPr>
          <w:rFonts w:ascii="Times New Roman" w:hAnsi="Times New Roman"/>
        </w:rPr>
        <w:t xml:space="preserve"> (</w:t>
      </w:r>
      <w:r w:rsidR="00EF7AD0">
        <w:rPr>
          <w:rFonts w:ascii="Times New Roman" w:hAnsi="Times New Roman"/>
        </w:rPr>
        <w:t>88</w:t>
      </w:r>
      <w:r w:rsidR="00DE2D0B">
        <w:rPr>
          <w:rFonts w:ascii="Times New Roman" w:hAnsi="Times New Roman"/>
        </w:rPr>
        <w:t xml:space="preserve"> FR </w:t>
      </w:r>
      <w:r w:rsidR="00EF7AD0">
        <w:rPr>
          <w:rFonts w:ascii="Times New Roman" w:hAnsi="Times New Roman"/>
        </w:rPr>
        <w:t>8860</w:t>
      </w:r>
      <w:r w:rsidR="00DE2D0B">
        <w:rPr>
          <w:rFonts w:ascii="Times New Roman" w:hAnsi="Times New Roman"/>
        </w:rPr>
        <w:t>)</w:t>
      </w:r>
      <w:r>
        <w:rPr>
          <w:rFonts w:ascii="Times New Roman" w:hAnsi="Times New Roman"/>
        </w:rPr>
        <w:t>.  No comments were received.</w:t>
      </w:r>
    </w:p>
    <w:p w:rsidR="007B6C63" w14:paraId="5D998394" w14:textId="77777777">
      <w:pPr>
        <w:rPr>
          <w:rFonts w:ascii="Times New Roman" w:hAnsi="Times New Roman"/>
        </w:rPr>
      </w:pPr>
    </w:p>
    <w:p w:rsidR="007B6C63" w:rsidP="00A1019D" w14:paraId="6559AA37" w14:textId="77777777">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14:paraId="3BE3FDEF" w14:textId="77777777">
      <w:pPr>
        <w:rPr>
          <w:rFonts w:ascii="Times New Roman" w:hAnsi="Times New Roman"/>
        </w:rPr>
      </w:pPr>
    </w:p>
    <w:p w:rsidR="007B6C63" w:rsidP="000B0581" w14:paraId="3491A0A0" w14:textId="77777777">
      <w:pPr>
        <w:ind w:left="720"/>
        <w:rPr>
          <w:rFonts w:ascii="Times New Roman" w:hAnsi="Times New Roman"/>
        </w:rPr>
      </w:pPr>
      <w:r>
        <w:rPr>
          <w:rFonts w:ascii="Times New Roman" w:hAnsi="Times New Roman"/>
        </w:rPr>
        <w:t>None.</w:t>
      </w:r>
    </w:p>
    <w:p w:rsidR="007B6C63" w:rsidP="00437618" w14:paraId="51CBFC0E" w14:textId="77777777">
      <w:pPr>
        <w:keepNext/>
        <w:ind w:left="720" w:firstLine="720"/>
        <w:rPr>
          <w:rFonts w:ascii="Times New Roman" w:hAnsi="Times New Roman"/>
        </w:rPr>
      </w:pPr>
    </w:p>
    <w:p w:rsidR="007B6C63" w:rsidP="00437618" w14:paraId="19918E70" w14:textId="77777777">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14:paraId="00122101" w14:textId="77777777">
      <w:pPr>
        <w:keepNext/>
        <w:rPr>
          <w:rFonts w:ascii="Times New Roman" w:hAnsi="Times New Roman"/>
        </w:rPr>
      </w:pPr>
    </w:p>
    <w:p w:rsidR="00881712" w:rsidP="00437618" w14:paraId="5288CD53" w14:textId="77777777">
      <w:pPr>
        <w:keepNext/>
        <w:ind w:left="720"/>
        <w:rPr>
          <w:rFonts w:ascii="Times New Roman" w:hAnsi="Times New Roman"/>
        </w:rPr>
      </w:pPr>
      <w:r>
        <w:rPr>
          <w:rFonts w:ascii="Times New Roman" w:hAnsi="Times New Roman"/>
        </w:rPr>
        <w:t>Information is kept private to the extent allowed by law</w:t>
      </w:r>
      <w:r w:rsidRPr="00371017" w:rsidR="00371017">
        <w:rPr>
          <w:rFonts w:ascii="Times New Roman" w:hAnsi="Times New Roman"/>
        </w:rPr>
        <w:t>.</w:t>
      </w:r>
      <w:r w:rsidR="00266C54">
        <w:rPr>
          <w:rFonts w:ascii="Times New Roman" w:hAnsi="Times New Roman"/>
        </w:rPr>
        <w:t xml:space="preserve">  </w:t>
      </w:r>
      <w:r w:rsidRPr="00266C54" w:rsidR="00266C54">
        <w:rPr>
          <w:rFonts w:ascii="Times New Roman" w:hAnsi="Times New Roman"/>
        </w:rPr>
        <w:t>The information is generally available to the public; however, any information deemed to be of a confidential nature would be exempt from public disclosure in accordance with the provisions of the Freedom of Information Act (5 U.S.C. 552).</w:t>
      </w:r>
    </w:p>
    <w:p w:rsidR="007B6C63" w14:paraId="6539B833" w14:textId="77777777">
      <w:pPr>
        <w:ind w:left="720" w:firstLine="720"/>
        <w:rPr>
          <w:rFonts w:ascii="Times New Roman" w:hAnsi="Times New Roman"/>
        </w:rPr>
      </w:pPr>
    </w:p>
    <w:p w:rsidR="00881712" w:rsidRPr="00F04445" w:rsidP="00A1019D" w14:paraId="725C7C34" w14:textId="77777777">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Pr>
          <w:rFonts w:ascii="Times New Roman" w:hAnsi="Times New Roman"/>
          <w:b/>
          <w:bCs/>
          <w:iCs/>
          <w:u w:val="single"/>
        </w:rPr>
        <w:t>Justification</w:t>
      </w:r>
      <w:r w:rsidRPr="00846A1A">
        <w:rPr>
          <w:rFonts w:ascii="Times New Roman" w:hAnsi="Times New Roman"/>
          <w:b/>
          <w:bCs/>
          <w:spacing w:val="-1"/>
          <w:szCs w:val="24"/>
          <w:u w:val="single"/>
        </w:rPr>
        <w:t xml:space="preserve"> </w:t>
      </w:r>
      <w:r w:rsidRPr="00846A1A">
        <w:rPr>
          <w:rFonts w:ascii="Times New Roman" w:hAnsi="Times New Roman"/>
          <w:b/>
          <w:u w:val="single"/>
        </w:rPr>
        <w:t>for</w:t>
      </w:r>
      <w:r w:rsidRPr="002A5F6B">
        <w:rPr>
          <w:rFonts w:ascii="Times New Roman" w:hAnsi="Times New Roman"/>
          <w:b/>
          <w:bCs/>
          <w:spacing w:val="-1"/>
          <w:szCs w:val="24"/>
          <w:u w:val="single"/>
        </w:rPr>
        <w:t xml:space="preserve"> questions of a sensitive nature:</w:t>
      </w:r>
    </w:p>
    <w:p w:rsidR="007B6C63" w14:paraId="6115C482" w14:textId="77777777">
      <w:pPr>
        <w:tabs>
          <w:tab w:val="left" w:pos="-1440"/>
        </w:tabs>
        <w:ind w:firstLine="720"/>
        <w:rPr>
          <w:rFonts w:ascii="Times New Roman" w:hAnsi="Times New Roman"/>
        </w:rPr>
      </w:pPr>
    </w:p>
    <w:p w:rsidR="00EF7AD0" w:rsidP="009557A1" w14:paraId="1B20A58A" w14:textId="77777777">
      <w:pPr>
        <w:ind w:left="720"/>
        <w:rPr>
          <w:rFonts w:ascii="Times New Roman" w:hAnsi="Times New Roman"/>
          <w:spacing w:val="-1"/>
          <w:szCs w:val="24"/>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EF7AD0" w14:paraId="4E7B71B4" w14:textId="77777777">
      <w:pPr>
        <w:widowControl/>
        <w:rPr>
          <w:rFonts w:ascii="Times New Roman" w:hAnsi="Times New Roman"/>
          <w:spacing w:val="-1"/>
          <w:szCs w:val="24"/>
        </w:rPr>
      </w:pPr>
      <w:r>
        <w:rPr>
          <w:rFonts w:ascii="Times New Roman" w:hAnsi="Times New Roman"/>
          <w:spacing w:val="-1"/>
          <w:szCs w:val="24"/>
        </w:rPr>
        <w:br w:type="page"/>
      </w:r>
    </w:p>
    <w:p w:rsidR="007B6C63" w:rsidP="009557A1" w14:paraId="70C5E6AC" w14:textId="77777777">
      <w:pPr>
        <w:ind w:left="720"/>
        <w:rPr>
          <w:rFonts w:ascii="Times New Roman" w:hAnsi="Times New Roman"/>
        </w:rPr>
      </w:pPr>
    </w:p>
    <w:p w:rsidR="00615BAD" w14:paraId="732F3DFB" w14:textId="77777777">
      <w:pPr>
        <w:rPr>
          <w:rFonts w:ascii="Times New Roman" w:hAnsi="Times New Roman"/>
        </w:rPr>
      </w:pPr>
    </w:p>
    <w:p w:rsidR="00EF7AD0" w:rsidP="00285D59" w14:paraId="7669BCCB" w14:textId="77777777">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846A1A" w:rsidP="002668A9" w14:paraId="517CA644" w14:textId="77777777">
      <w:pPr>
        <w:keepNext/>
        <w:rPr>
          <w:rFonts w:ascii="Times New Roman" w:hAnsi="Times New Roman"/>
          <w:snapToGrid/>
          <w:szCs w:val="24"/>
        </w:rPr>
      </w:pPr>
    </w:p>
    <w:tbl>
      <w:tblPr>
        <w:tblW w:w="9460" w:type="dxa"/>
        <w:tblLook w:val="04A0"/>
      </w:tblPr>
      <w:tblGrid>
        <w:gridCol w:w="2372"/>
        <w:gridCol w:w="1669"/>
        <w:gridCol w:w="1443"/>
        <w:gridCol w:w="1600"/>
        <w:gridCol w:w="1216"/>
        <w:gridCol w:w="1160"/>
      </w:tblGrid>
      <w:tr w14:paraId="38F5A357" w14:textId="77777777" w:rsidTr="00A8087E">
        <w:tblPrEx>
          <w:tblW w:w="9460" w:type="dxa"/>
          <w:tblLook w:val="04A0"/>
        </w:tblPrEx>
        <w:trPr>
          <w:trHeight w:val="360"/>
        </w:trPr>
        <w:tc>
          <w:tcPr>
            <w:tcW w:w="94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F7AD0" w:rsidRPr="00EF7AD0" w:rsidP="00EF7AD0" w14:paraId="3603558C" w14:textId="77777777">
            <w:pPr>
              <w:jc w:val="center"/>
              <w:rPr>
                <w:rFonts w:ascii="Times New Roman" w:hAnsi="Times New Roman"/>
              </w:rPr>
            </w:pPr>
            <w:r w:rsidRPr="00EF7AD0">
              <w:rPr>
                <w:rFonts w:ascii="Times New Roman" w:hAnsi="Times New Roman"/>
              </w:rPr>
              <w:t>Summary of Estimated Annual Burden (OMB No. 3064-0125)</w:t>
            </w:r>
          </w:p>
        </w:tc>
      </w:tr>
      <w:tr w14:paraId="0AFBE3E0" w14:textId="77777777" w:rsidTr="00EF7AD0">
        <w:tblPrEx>
          <w:tblW w:w="9460" w:type="dxa"/>
          <w:tblLook w:val="04A0"/>
        </w:tblPrEx>
        <w:trPr>
          <w:trHeight w:val="84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42882562" w14:textId="77777777">
            <w:pPr>
              <w:rPr>
                <w:rFonts w:ascii="Times New Roman" w:hAnsi="Times New Roman"/>
              </w:rPr>
            </w:pPr>
            <w:r w:rsidRPr="00EF7AD0">
              <w:rPr>
                <w:rFonts w:ascii="Times New Roman" w:hAnsi="Times New Roman"/>
              </w:rPr>
              <w:t>Information Collection (Obligation to Respond)</w:t>
            </w:r>
          </w:p>
        </w:tc>
        <w:tc>
          <w:tcPr>
            <w:tcW w:w="1669" w:type="dxa"/>
            <w:tcBorders>
              <w:top w:val="nil"/>
              <w:left w:val="nil"/>
              <w:bottom w:val="single" w:sz="8" w:space="0" w:color="auto"/>
              <w:right w:val="single" w:sz="8" w:space="0" w:color="auto"/>
            </w:tcBorders>
            <w:shd w:val="clear" w:color="auto" w:fill="auto"/>
            <w:vAlign w:val="center"/>
            <w:hideMark/>
          </w:tcPr>
          <w:p w:rsidR="00EF7AD0" w:rsidRPr="00EF7AD0" w:rsidP="00EF7AD0" w14:paraId="7C0F0633" w14:textId="77777777">
            <w:pPr>
              <w:rPr>
                <w:rFonts w:ascii="Times New Roman" w:hAnsi="Times New Roman"/>
              </w:rPr>
            </w:pPr>
            <w:r w:rsidRPr="00EF7AD0">
              <w:rPr>
                <w:rFonts w:ascii="Times New Roman" w:hAnsi="Times New Roman"/>
              </w:rPr>
              <w:t>Type of Burden</w:t>
            </w:r>
            <w:r w:rsidRPr="00EF7AD0">
              <w:rPr>
                <w:rFonts w:ascii="Times New Roman" w:hAnsi="Times New Roman"/>
              </w:rPr>
              <w:br/>
              <w:t>(Frequency of Response)</w:t>
            </w:r>
          </w:p>
        </w:tc>
        <w:tc>
          <w:tcPr>
            <w:tcW w:w="1443" w:type="dxa"/>
            <w:tcBorders>
              <w:top w:val="nil"/>
              <w:left w:val="nil"/>
              <w:bottom w:val="single" w:sz="8" w:space="0" w:color="auto"/>
              <w:right w:val="single" w:sz="8" w:space="0" w:color="auto"/>
            </w:tcBorders>
            <w:shd w:val="clear" w:color="auto" w:fill="auto"/>
            <w:vAlign w:val="center"/>
            <w:hideMark/>
          </w:tcPr>
          <w:p w:rsidR="00EF7AD0" w:rsidRPr="00EF7AD0" w:rsidP="00EF7AD0" w14:paraId="676DDE6B" w14:textId="77777777">
            <w:pPr>
              <w:rPr>
                <w:rFonts w:ascii="Times New Roman" w:hAnsi="Times New Roman"/>
              </w:rPr>
            </w:pPr>
            <w:r w:rsidRPr="00EF7AD0">
              <w:rPr>
                <w:rFonts w:ascii="Times New Roman" w:hAnsi="Times New Roman"/>
              </w:rPr>
              <w:t xml:space="preserve"> Number of Respondents</w:t>
            </w:r>
          </w:p>
        </w:tc>
        <w:tc>
          <w:tcPr>
            <w:tcW w:w="1600" w:type="dxa"/>
            <w:tcBorders>
              <w:top w:val="nil"/>
              <w:left w:val="nil"/>
              <w:bottom w:val="single" w:sz="8" w:space="0" w:color="auto"/>
              <w:right w:val="single" w:sz="8" w:space="0" w:color="auto"/>
            </w:tcBorders>
            <w:shd w:val="clear" w:color="auto" w:fill="auto"/>
            <w:vAlign w:val="center"/>
            <w:hideMark/>
          </w:tcPr>
          <w:p w:rsidR="00EF7AD0" w:rsidRPr="00EF7AD0" w:rsidP="00EF7AD0" w14:paraId="7CFA8D81" w14:textId="77777777">
            <w:pPr>
              <w:rPr>
                <w:rFonts w:ascii="Times New Roman" w:hAnsi="Times New Roman"/>
              </w:rPr>
            </w:pPr>
            <w:r w:rsidRPr="00EF7AD0">
              <w:rPr>
                <w:rFonts w:ascii="Times New Roman" w:hAnsi="Times New Roman"/>
              </w:rPr>
              <w:t xml:space="preserve"> Number of Responses per Respondent</w:t>
            </w:r>
          </w:p>
        </w:tc>
        <w:tc>
          <w:tcPr>
            <w:tcW w:w="1216" w:type="dxa"/>
            <w:tcBorders>
              <w:top w:val="nil"/>
              <w:left w:val="nil"/>
              <w:bottom w:val="single" w:sz="8" w:space="0" w:color="auto"/>
              <w:right w:val="single" w:sz="8" w:space="0" w:color="auto"/>
            </w:tcBorders>
            <w:shd w:val="clear" w:color="auto" w:fill="auto"/>
            <w:vAlign w:val="center"/>
            <w:hideMark/>
          </w:tcPr>
          <w:p w:rsidR="00EF7AD0" w:rsidRPr="00EF7AD0" w:rsidP="00EF7AD0" w14:paraId="33137783" w14:textId="77777777">
            <w:pPr>
              <w:rPr>
                <w:rFonts w:ascii="Times New Roman" w:hAnsi="Times New Roman"/>
              </w:rPr>
            </w:pPr>
            <w:r w:rsidRPr="00EF7AD0">
              <w:rPr>
                <w:rFonts w:ascii="Times New Roman" w:hAnsi="Times New Roman"/>
              </w:rPr>
              <w:t>Time per Response (HH:MM)</w:t>
            </w:r>
          </w:p>
        </w:tc>
        <w:tc>
          <w:tcPr>
            <w:tcW w:w="1160" w:type="dxa"/>
            <w:tcBorders>
              <w:top w:val="nil"/>
              <w:left w:val="nil"/>
              <w:bottom w:val="single" w:sz="8" w:space="0" w:color="auto"/>
              <w:right w:val="single" w:sz="8" w:space="0" w:color="auto"/>
            </w:tcBorders>
            <w:shd w:val="clear" w:color="auto" w:fill="auto"/>
            <w:vAlign w:val="center"/>
            <w:hideMark/>
          </w:tcPr>
          <w:p w:rsidR="00EF7AD0" w:rsidRPr="00EF7AD0" w:rsidP="00EF7AD0" w14:paraId="0CDCBAEE" w14:textId="77777777">
            <w:pPr>
              <w:rPr>
                <w:rFonts w:ascii="Times New Roman" w:hAnsi="Times New Roman"/>
              </w:rPr>
            </w:pPr>
            <w:r w:rsidRPr="00EF7AD0">
              <w:rPr>
                <w:rFonts w:ascii="Times New Roman" w:hAnsi="Times New Roman"/>
              </w:rPr>
              <w:t>Annual Burden (Hours)</w:t>
            </w:r>
          </w:p>
        </w:tc>
      </w:tr>
      <w:tr w14:paraId="32CA2B7A" w14:textId="77777777" w:rsidTr="00EF7AD0">
        <w:tblPrEx>
          <w:tblW w:w="9460" w:type="dxa"/>
          <w:tblLook w:val="04A0"/>
        </w:tblPrEx>
        <w:trPr>
          <w:trHeight w:val="1116"/>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7C61D0AD" w14:textId="77777777">
            <w:pPr>
              <w:rPr>
                <w:rFonts w:ascii="Times New Roman" w:hAnsi="Times New Roman"/>
              </w:rPr>
            </w:pPr>
            <w:r w:rsidRPr="00EF7AD0">
              <w:rPr>
                <w:rFonts w:ascii="Times New Roman" w:hAnsi="Times New Roman"/>
              </w:rPr>
              <w:t>1. Notices or applications to establish, move, or close a foreign branch, 12 CFR 303.182 (Mandatory)</w:t>
            </w:r>
          </w:p>
        </w:tc>
        <w:tc>
          <w:tcPr>
            <w:tcW w:w="1669" w:type="dxa"/>
            <w:tcBorders>
              <w:top w:val="nil"/>
              <w:left w:val="nil"/>
              <w:bottom w:val="single" w:sz="8" w:space="0" w:color="auto"/>
              <w:right w:val="single" w:sz="8" w:space="0" w:color="auto"/>
            </w:tcBorders>
            <w:shd w:val="clear" w:color="auto" w:fill="auto"/>
            <w:vAlign w:val="center"/>
            <w:hideMark/>
          </w:tcPr>
          <w:p w:rsidR="00EF7AD0" w:rsidRPr="00EF7AD0" w:rsidP="00EF7AD0" w14:paraId="4F8F87EA" w14:textId="77777777">
            <w:pPr>
              <w:rPr>
                <w:rFonts w:ascii="Times New Roman" w:hAnsi="Times New Roman"/>
              </w:rPr>
            </w:pPr>
            <w:r w:rsidRPr="00EF7AD0">
              <w:rPr>
                <w:rFonts w:ascii="Times New Roman" w:hAnsi="Times New Roman"/>
              </w:rPr>
              <w:t>Reporting (On Occasion)</w:t>
            </w:r>
          </w:p>
        </w:tc>
        <w:tc>
          <w:tcPr>
            <w:tcW w:w="1443"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505DFAA4" w14:textId="77777777">
            <w:pPr>
              <w:rPr>
                <w:rFonts w:ascii="Times New Roman" w:hAnsi="Times New Roman"/>
              </w:rPr>
            </w:pPr>
            <w:r w:rsidRPr="00EF7AD0">
              <w:rPr>
                <w:rFonts w:ascii="Times New Roman" w:hAnsi="Times New Roman"/>
              </w:rPr>
              <w:t>1</w:t>
            </w:r>
          </w:p>
        </w:tc>
        <w:tc>
          <w:tcPr>
            <w:tcW w:w="1600"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40654F3A" w14:textId="77777777">
            <w:pPr>
              <w:rPr>
                <w:rFonts w:ascii="Times New Roman" w:hAnsi="Times New Roman"/>
              </w:rPr>
            </w:pPr>
            <w:r w:rsidRPr="00EF7AD0">
              <w:rPr>
                <w:rFonts w:ascii="Times New Roman" w:hAnsi="Times New Roman"/>
              </w:rPr>
              <w:t>1</w:t>
            </w:r>
          </w:p>
        </w:tc>
        <w:tc>
          <w:tcPr>
            <w:tcW w:w="1216" w:type="dxa"/>
            <w:tcBorders>
              <w:top w:val="nil"/>
              <w:left w:val="nil"/>
              <w:bottom w:val="single" w:sz="8" w:space="0" w:color="auto"/>
              <w:right w:val="nil"/>
            </w:tcBorders>
            <w:shd w:val="clear" w:color="auto" w:fill="auto"/>
            <w:vAlign w:val="center"/>
            <w:hideMark/>
          </w:tcPr>
          <w:p w:rsidR="00EF7AD0" w:rsidRPr="00EF7AD0" w:rsidP="00EF7AD0" w14:paraId="099D4242" w14:textId="77777777">
            <w:pPr>
              <w:rPr>
                <w:rFonts w:ascii="Times New Roman" w:hAnsi="Times New Roman"/>
              </w:rPr>
            </w:pPr>
            <w:r w:rsidRPr="00EF7AD0">
              <w:rPr>
                <w:rFonts w:ascii="Times New Roman" w:hAnsi="Times New Roman"/>
              </w:rPr>
              <w:t>02:00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F7AD0" w:rsidRPr="00EF7AD0" w:rsidP="00EF7AD0" w14:paraId="71039DD0" w14:textId="77777777">
            <w:pPr>
              <w:rPr>
                <w:rFonts w:ascii="Times New Roman" w:hAnsi="Times New Roman"/>
              </w:rPr>
            </w:pPr>
            <w:r w:rsidRPr="00EF7AD0">
              <w:rPr>
                <w:rFonts w:ascii="Times New Roman" w:hAnsi="Times New Roman"/>
              </w:rPr>
              <w:t>2</w:t>
            </w:r>
          </w:p>
        </w:tc>
      </w:tr>
      <w:tr w14:paraId="504BFB53" w14:textId="77777777" w:rsidTr="00EF7AD0">
        <w:tblPrEx>
          <w:tblW w:w="9460" w:type="dxa"/>
          <w:tblLook w:val="04A0"/>
        </w:tblPrEx>
        <w:trPr>
          <w:trHeight w:val="1668"/>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10F2A4FD" w14:textId="77777777">
            <w:pPr>
              <w:rPr>
                <w:rFonts w:ascii="Times New Roman" w:hAnsi="Times New Roman"/>
              </w:rPr>
            </w:pPr>
            <w:r w:rsidRPr="00EF7AD0">
              <w:rPr>
                <w:rFonts w:ascii="Times New Roman" w:hAnsi="Times New Roman"/>
              </w:rPr>
              <w:t>2. Filings for authorization for foreign branch to engage in activities other than those permitted under 12 CFR 347.115, 12 CFR 303 (Mandatory)</w:t>
            </w:r>
          </w:p>
        </w:tc>
        <w:tc>
          <w:tcPr>
            <w:tcW w:w="1669" w:type="dxa"/>
            <w:tcBorders>
              <w:top w:val="nil"/>
              <w:left w:val="nil"/>
              <w:bottom w:val="single" w:sz="8" w:space="0" w:color="auto"/>
              <w:right w:val="single" w:sz="8" w:space="0" w:color="auto"/>
            </w:tcBorders>
            <w:shd w:val="clear" w:color="auto" w:fill="auto"/>
            <w:vAlign w:val="center"/>
            <w:hideMark/>
          </w:tcPr>
          <w:p w:rsidR="00EF7AD0" w:rsidRPr="00EF7AD0" w:rsidP="00EF7AD0" w14:paraId="47B04431" w14:textId="77777777">
            <w:pPr>
              <w:rPr>
                <w:rFonts w:ascii="Times New Roman" w:hAnsi="Times New Roman"/>
              </w:rPr>
            </w:pPr>
            <w:r w:rsidRPr="00EF7AD0">
              <w:rPr>
                <w:rFonts w:ascii="Times New Roman" w:hAnsi="Times New Roman"/>
              </w:rPr>
              <w:t>Reporting (On Occasion)</w:t>
            </w:r>
          </w:p>
        </w:tc>
        <w:tc>
          <w:tcPr>
            <w:tcW w:w="1443"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5034F42D" w14:textId="77777777">
            <w:pPr>
              <w:rPr>
                <w:rFonts w:ascii="Times New Roman" w:hAnsi="Times New Roman"/>
              </w:rPr>
            </w:pPr>
            <w:r w:rsidRPr="00EF7AD0">
              <w:rPr>
                <w:rFonts w:ascii="Times New Roman" w:hAnsi="Times New Roman"/>
              </w:rPr>
              <w:t>1</w:t>
            </w:r>
          </w:p>
        </w:tc>
        <w:tc>
          <w:tcPr>
            <w:tcW w:w="1600"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1A883D2A" w14:textId="77777777">
            <w:pPr>
              <w:rPr>
                <w:rFonts w:ascii="Times New Roman" w:hAnsi="Times New Roman"/>
              </w:rPr>
            </w:pPr>
            <w:r w:rsidRPr="00EF7AD0">
              <w:rPr>
                <w:rFonts w:ascii="Times New Roman" w:hAnsi="Times New Roman"/>
              </w:rPr>
              <w:t>1</w:t>
            </w:r>
          </w:p>
        </w:tc>
        <w:tc>
          <w:tcPr>
            <w:tcW w:w="1216" w:type="dxa"/>
            <w:tcBorders>
              <w:top w:val="nil"/>
              <w:left w:val="nil"/>
              <w:bottom w:val="single" w:sz="8" w:space="0" w:color="auto"/>
              <w:right w:val="nil"/>
            </w:tcBorders>
            <w:shd w:val="clear" w:color="auto" w:fill="auto"/>
            <w:vAlign w:val="center"/>
            <w:hideMark/>
          </w:tcPr>
          <w:p w:rsidR="00EF7AD0" w:rsidRPr="00EF7AD0" w:rsidP="00EF7AD0" w14:paraId="779F2D6D" w14:textId="77777777">
            <w:pPr>
              <w:rPr>
                <w:rFonts w:ascii="Times New Roman" w:hAnsi="Times New Roman"/>
              </w:rPr>
            </w:pPr>
            <w:r w:rsidRPr="00EF7AD0">
              <w:rPr>
                <w:rFonts w:ascii="Times New Roman" w:hAnsi="Times New Roman"/>
              </w:rPr>
              <w:t>40:00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F7AD0" w:rsidRPr="00EF7AD0" w:rsidP="00EF7AD0" w14:paraId="309E9F24" w14:textId="77777777">
            <w:pPr>
              <w:rPr>
                <w:rFonts w:ascii="Times New Roman" w:hAnsi="Times New Roman"/>
              </w:rPr>
            </w:pPr>
            <w:r w:rsidRPr="00EF7AD0">
              <w:rPr>
                <w:rFonts w:ascii="Times New Roman" w:hAnsi="Times New Roman"/>
              </w:rPr>
              <w:t>40</w:t>
            </w:r>
          </w:p>
        </w:tc>
      </w:tr>
      <w:tr w14:paraId="2FE06974" w14:textId="77777777" w:rsidTr="00EF7AD0">
        <w:tblPrEx>
          <w:tblW w:w="9460" w:type="dxa"/>
          <w:tblLook w:val="04A0"/>
        </w:tblPrEx>
        <w:trPr>
          <w:trHeight w:val="186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0DF5716D" w14:textId="77777777">
            <w:pPr>
              <w:rPr>
                <w:rFonts w:ascii="Times New Roman" w:hAnsi="Times New Roman"/>
              </w:rPr>
            </w:pPr>
            <w:r w:rsidRPr="00EF7AD0">
              <w:rPr>
                <w:rFonts w:ascii="Times New Roman" w:hAnsi="Times New Roman"/>
              </w:rPr>
              <w:t>3. Filings to invest in foreign organizations, or to engage in certain activities through foreign organizations, 12 CFR 303.183(b) and</w:t>
            </w:r>
            <w:r w:rsidRPr="00EF7AD0">
              <w:rPr>
                <w:rFonts w:ascii="Times New Roman" w:hAnsi="Times New Roman"/>
              </w:rPr>
              <w:br/>
              <w:t>303.121, (Mandatory)</w:t>
            </w:r>
          </w:p>
        </w:tc>
        <w:tc>
          <w:tcPr>
            <w:tcW w:w="1669" w:type="dxa"/>
            <w:tcBorders>
              <w:top w:val="nil"/>
              <w:left w:val="nil"/>
              <w:bottom w:val="single" w:sz="8" w:space="0" w:color="auto"/>
              <w:right w:val="single" w:sz="8" w:space="0" w:color="auto"/>
            </w:tcBorders>
            <w:shd w:val="clear" w:color="auto" w:fill="auto"/>
            <w:vAlign w:val="center"/>
            <w:hideMark/>
          </w:tcPr>
          <w:p w:rsidR="00EF7AD0" w:rsidRPr="00EF7AD0" w:rsidP="00EF7AD0" w14:paraId="1C0D2702" w14:textId="77777777">
            <w:pPr>
              <w:rPr>
                <w:rFonts w:ascii="Times New Roman" w:hAnsi="Times New Roman"/>
              </w:rPr>
            </w:pPr>
            <w:r w:rsidRPr="00EF7AD0">
              <w:rPr>
                <w:rFonts w:ascii="Times New Roman" w:hAnsi="Times New Roman"/>
              </w:rPr>
              <w:t>Reporting (On Occasion)</w:t>
            </w:r>
          </w:p>
        </w:tc>
        <w:tc>
          <w:tcPr>
            <w:tcW w:w="1443"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3F9E4B59" w14:textId="77777777">
            <w:pPr>
              <w:rPr>
                <w:rFonts w:ascii="Times New Roman" w:hAnsi="Times New Roman"/>
              </w:rPr>
            </w:pPr>
            <w:r w:rsidRPr="00EF7AD0">
              <w:rPr>
                <w:rFonts w:ascii="Times New Roman" w:hAnsi="Times New Roman"/>
              </w:rPr>
              <w:t>2</w:t>
            </w:r>
          </w:p>
        </w:tc>
        <w:tc>
          <w:tcPr>
            <w:tcW w:w="1600"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36BD6415" w14:textId="77777777">
            <w:pPr>
              <w:rPr>
                <w:rFonts w:ascii="Times New Roman" w:hAnsi="Times New Roman"/>
              </w:rPr>
            </w:pPr>
            <w:r w:rsidRPr="00EF7AD0">
              <w:rPr>
                <w:rFonts w:ascii="Times New Roman" w:hAnsi="Times New Roman"/>
              </w:rPr>
              <w:t>1</w:t>
            </w:r>
          </w:p>
        </w:tc>
        <w:tc>
          <w:tcPr>
            <w:tcW w:w="1216" w:type="dxa"/>
            <w:tcBorders>
              <w:top w:val="nil"/>
              <w:left w:val="nil"/>
              <w:bottom w:val="single" w:sz="8" w:space="0" w:color="auto"/>
              <w:right w:val="nil"/>
            </w:tcBorders>
            <w:shd w:val="clear" w:color="auto" w:fill="auto"/>
            <w:vAlign w:val="center"/>
            <w:hideMark/>
          </w:tcPr>
          <w:p w:rsidR="00EF7AD0" w:rsidRPr="00EF7AD0" w:rsidP="00EF7AD0" w14:paraId="1AB54FCD" w14:textId="77777777">
            <w:pPr>
              <w:rPr>
                <w:rFonts w:ascii="Times New Roman" w:hAnsi="Times New Roman"/>
              </w:rPr>
            </w:pPr>
            <w:r w:rsidRPr="00EF7AD0">
              <w:rPr>
                <w:rFonts w:ascii="Times New Roman" w:hAnsi="Times New Roman"/>
              </w:rPr>
              <w:t>60:00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F7AD0" w:rsidRPr="00EF7AD0" w:rsidP="00EF7AD0" w14:paraId="38C31A9A" w14:textId="77777777">
            <w:pPr>
              <w:rPr>
                <w:rFonts w:ascii="Times New Roman" w:hAnsi="Times New Roman"/>
              </w:rPr>
            </w:pPr>
            <w:r w:rsidRPr="00EF7AD0">
              <w:rPr>
                <w:rFonts w:ascii="Times New Roman" w:hAnsi="Times New Roman"/>
              </w:rPr>
              <w:t>120</w:t>
            </w:r>
          </w:p>
        </w:tc>
      </w:tr>
      <w:tr w14:paraId="6D4D32F9" w14:textId="77777777" w:rsidTr="00EF7AD0">
        <w:tblPrEx>
          <w:tblW w:w="9460" w:type="dxa"/>
          <w:tblLook w:val="04A0"/>
        </w:tblPrEx>
        <w:trPr>
          <w:trHeight w:val="1392"/>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4F3A4302" w14:textId="77777777">
            <w:pPr>
              <w:rPr>
                <w:rFonts w:ascii="Times New Roman" w:hAnsi="Times New Roman"/>
              </w:rPr>
            </w:pPr>
            <w:r w:rsidRPr="00EF7AD0">
              <w:rPr>
                <w:rFonts w:ascii="Times New Roman" w:hAnsi="Times New Roman"/>
              </w:rPr>
              <w:t>4. Merger transactions involving foreign</w:t>
            </w:r>
            <w:r w:rsidRPr="00EF7AD0">
              <w:rPr>
                <w:rFonts w:ascii="Times New Roman" w:hAnsi="Times New Roman"/>
              </w:rPr>
              <w:br/>
              <w:t>organizations, 12 CFR 303.185(b) and 12 CFR 303.62 (Mandatory)</w:t>
            </w:r>
          </w:p>
        </w:tc>
        <w:tc>
          <w:tcPr>
            <w:tcW w:w="1669" w:type="dxa"/>
            <w:tcBorders>
              <w:top w:val="nil"/>
              <w:left w:val="nil"/>
              <w:bottom w:val="single" w:sz="8" w:space="0" w:color="auto"/>
              <w:right w:val="single" w:sz="8" w:space="0" w:color="auto"/>
            </w:tcBorders>
            <w:shd w:val="clear" w:color="auto" w:fill="auto"/>
            <w:vAlign w:val="center"/>
            <w:hideMark/>
          </w:tcPr>
          <w:p w:rsidR="00EF7AD0" w:rsidRPr="00EF7AD0" w:rsidP="00EF7AD0" w14:paraId="09298297" w14:textId="77777777">
            <w:pPr>
              <w:rPr>
                <w:rFonts w:ascii="Times New Roman" w:hAnsi="Times New Roman"/>
              </w:rPr>
            </w:pPr>
            <w:r w:rsidRPr="00EF7AD0">
              <w:rPr>
                <w:rFonts w:ascii="Times New Roman" w:hAnsi="Times New Roman"/>
              </w:rPr>
              <w:t>Reporting (On Occasion)</w:t>
            </w:r>
          </w:p>
        </w:tc>
        <w:tc>
          <w:tcPr>
            <w:tcW w:w="1443"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18838CAF" w14:textId="77777777">
            <w:pPr>
              <w:rPr>
                <w:rFonts w:ascii="Times New Roman" w:hAnsi="Times New Roman"/>
              </w:rPr>
            </w:pPr>
            <w:r w:rsidRPr="00EF7AD0">
              <w:rPr>
                <w:rFonts w:ascii="Times New Roman" w:hAnsi="Times New Roman"/>
              </w:rPr>
              <w:t>1</w:t>
            </w:r>
          </w:p>
        </w:tc>
        <w:tc>
          <w:tcPr>
            <w:tcW w:w="1600"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09B8E766" w14:textId="77777777">
            <w:pPr>
              <w:rPr>
                <w:rFonts w:ascii="Times New Roman" w:hAnsi="Times New Roman"/>
              </w:rPr>
            </w:pPr>
            <w:r w:rsidRPr="00EF7AD0">
              <w:rPr>
                <w:rFonts w:ascii="Times New Roman" w:hAnsi="Times New Roman"/>
              </w:rPr>
              <w:t>1</w:t>
            </w:r>
          </w:p>
        </w:tc>
        <w:tc>
          <w:tcPr>
            <w:tcW w:w="1216" w:type="dxa"/>
            <w:tcBorders>
              <w:top w:val="nil"/>
              <w:left w:val="nil"/>
              <w:bottom w:val="single" w:sz="8" w:space="0" w:color="auto"/>
              <w:right w:val="nil"/>
            </w:tcBorders>
            <w:shd w:val="clear" w:color="auto" w:fill="auto"/>
            <w:vAlign w:val="center"/>
            <w:hideMark/>
          </w:tcPr>
          <w:p w:rsidR="00EF7AD0" w:rsidRPr="00EF7AD0" w:rsidP="00EF7AD0" w14:paraId="1591F505" w14:textId="77777777">
            <w:pPr>
              <w:rPr>
                <w:rFonts w:ascii="Times New Roman" w:hAnsi="Times New Roman"/>
              </w:rPr>
            </w:pPr>
            <w:r w:rsidRPr="00EF7AD0">
              <w:rPr>
                <w:rFonts w:ascii="Times New Roman" w:hAnsi="Times New Roman"/>
              </w:rPr>
              <w:t>06:00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F7AD0" w:rsidRPr="00EF7AD0" w:rsidP="00EF7AD0" w14:paraId="1B7186CD" w14:textId="77777777">
            <w:pPr>
              <w:rPr>
                <w:rFonts w:ascii="Times New Roman" w:hAnsi="Times New Roman"/>
              </w:rPr>
            </w:pPr>
            <w:r w:rsidRPr="00EF7AD0">
              <w:rPr>
                <w:rFonts w:ascii="Times New Roman" w:hAnsi="Times New Roman"/>
              </w:rPr>
              <w:t>6</w:t>
            </w:r>
          </w:p>
        </w:tc>
      </w:tr>
      <w:tr w14:paraId="6F38E7BA" w14:textId="77777777" w:rsidTr="00EF7AD0">
        <w:tblPrEx>
          <w:tblW w:w="9460" w:type="dxa"/>
          <w:tblLook w:val="04A0"/>
        </w:tblPrEx>
        <w:trPr>
          <w:trHeight w:val="1392"/>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45A965C1" w14:textId="77777777">
            <w:pPr>
              <w:rPr>
                <w:rFonts w:ascii="Times New Roman" w:hAnsi="Times New Roman"/>
              </w:rPr>
            </w:pPr>
            <w:r w:rsidRPr="00EF7AD0">
              <w:rPr>
                <w:rFonts w:ascii="Times New Roman" w:hAnsi="Times New Roman"/>
              </w:rPr>
              <w:t>5. Filings by insured state nonmember banks to invest in, or divest its interest in, a foreign organization, 12 CFR 303.183 (Mandatory)</w:t>
            </w:r>
          </w:p>
        </w:tc>
        <w:tc>
          <w:tcPr>
            <w:tcW w:w="1669" w:type="dxa"/>
            <w:tcBorders>
              <w:top w:val="nil"/>
              <w:left w:val="nil"/>
              <w:bottom w:val="single" w:sz="8" w:space="0" w:color="auto"/>
              <w:right w:val="single" w:sz="8" w:space="0" w:color="auto"/>
            </w:tcBorders>
            <w:shd w:val="clear" w:color="auto" w:fill="auto"/>
            <w:vAlign w:val="center"/>
            <w:hideMark/>
          </w:tcPr>
          <w:p w:rsidR="00EF7AD0" w:rsidRPr="00EF7AD0" w:rsidP="00EF7AD0" w14:paraId="0EB17B27" w14:textId="77777777">
            <w:pPr>
              <w:rPr>
                <w:rFonts w:ascii="Times New Roman" w:hAnsi="Times New Roman"/>
              </w:rPr>
            </w:pPr>
            <w:r w:rsidRPr="00EF7AD0">
              <w:rPr>
                <w:rFonts w:ascii="Times New Roman" w:hAnsi="Times New Roman"/>
              </w:rPr>
              <w:t>Reporting (On Occasion)</w:t>
            </w:r>
          </w:p>
        </w:tc>
        <w:tc>
          <w:tcPr>
            <w:tcW w:w="1443"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49CE3912" w14:textId="77777777">
            <w:pPr>
              <w:rPr>
                <w:rFonts w:ascii="Times New Roman" w:hAnsi="Times New Roman"/>
              </w:rPr>
            </w:pPr>
            <w:r w:rsidRPr="00EF7AD0">
              <w:rPr>
                <w:rFonts w:ascii="Times New Roman" w:hAnsi="Times New Roman"/>
              </w:rPr>
              <w:t>1</w:t>
            </w:r>
          </w:p>
        </w:tc>
        <w:tc>
          <w:tcPr>
            <w:tcW w:w="1600"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07704055" w14:textId="77777777">
            <w:pPr>
              <w:rPr>
                <w:rFonts w:ascii="Times New Roman" w:hAnsi="Times New Roman"/>
              </w:rPr>
            </w:pPr>
            <w:r w:rsidRPr="00EF7AD0">
              <w:rPr>
                <w:rFonts w:ascii="Times New Roman" w:hAnsi="Times New Roman"/>
              </w:rPr>
              <w:t>1</w:t>
            </w:r>
          </w:p>
        </w:tc>
        <w:tc>
          <w:tcPr>
            <w:tcW w:w="1216" w:type="dxa"/>
            <w:tcBorders>
              <w:top w:val="nil"/>
              <w:left w:val="nil"/>
              <w:bottom w:val="single" w:sz="8" w:space="0" w:color="auto"/>
              <w:right w:val="nil"/>
            </w:tcBorders>
            <w:shd w:val="clear" w:color="auto" w:fill="auto"/>
            <w:vAlign w:val="center"/>
            <w:hideMark/>
          </w:tcPr>
          <w:p w:rsidR="00EF7AD0" w:rsidRPr="00EF7AD0" w:rsidP="00EF7AD0" w14:paraId="7860B9B8" w14:textId="77777777">
            <w:pPr>
              <w:rPr>
                <w:rFonts w:ascii="Times New Roman" w:hAnsi="Times New Roman"/>
              </w:rPr>
            </w:pPr>
            <w:r w:rsidRPr="00EF7AD0">
              <w:rPr>
                <w:rFonts w:ascii="Times New Roman" w:hAnsi="Times New Roman"/>
              </w:rPr>
              <w:t>02:00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F7AD0" w:rsidRPr="00EF7AD0" w:rsidP="00EF7AD0" w14:paraId="31C1B491" w14:textId="77777777">
            <w:pPr>
              <w:rPr>
                <w:rFonts w:ascii="Times New Roman" w:hAnsi="Times New Roman"/>
              </w:rPr>
            </w:pPr>
            <w:r w:rsidRPr="00EF7AD0">
              <w:rPr>
                <w:rFonts w:ascii="Times New Roman" w:hAnsi="Times New Roman"/>
              </w:rPr>
              <w:t>2</w:t>
            </w:r>
          </w:p>
        </w:tc>
      </w:tr>
      <w:tr w14:paraId="5E035AA4" w14:textId="77777777" w:rsidTr="00EF7AD0">
        <w:tblPrEx>
          <w:tblW w:w="9460" w:type="dxa"/>
          <w:tblLook w:val="04A0"/>
        </w:tblPrEx>
        <w:trPr>
          <w:trHeight w:val="1116"/>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751ECE97" w14:textId="77777777">
            <w:pPr>
              <w:rPr>
                <w:rFonts w:ascii="Times New Roman" w:hAnsi="Times New Roman"/>
              </w:rPr>
            </w:pPr>
            <w:r w:rsidRPr="00EF7AD0">
              <w:rPr>
                <w:rFonts w:ascii="Times New Roman" w:hAnsi="Times New Roman"/>
              </w:rPr>
              <w:t>6. Notice of foreign divestiture of foreign organization, 12 CFR 303.183(d) (Mandatory)</w:t>
            </w:r>
          </w:p>
        </w:tc>
        <w:tc>
          <w:tcPr>
            <w:tcW w:w="1669" w:type="dxa"/>
            <w:tcBorders>
              <w:top w:val="nil"/>
              <w:left w:val="nil"/>
              <w:bottom w:val="single" w:sz="8" w:space="0" w:color="auto"/>
              <w:right w:val="single" w:sz="8" w:space="0" w:color="auto"/>
            </w:tcBorders>
            <w:shd w:val="clear" w:color="auto" w:fill="auto"/>
            <w:vAlign w:val="center"/>
            <w:hideMark/>
          </w:tcPr>
          <w:p w:rsidR="00EF7AD0" w:rsidRPr="00EF7AD0" w:rsidP="00EF7AD0" w14:paraId="39E87928" w14:textId="77777777">
            <w:pPr>
              <w:rPr>
                <w:rFonts w:ascii="Times New Roman" w:hAnsi="Times New Roman"/>
              </w:rPr>
            </w:pPr>
            <w:r w:rsidRPr="00EF7AD0">
              <w:rPr>
                <w:rFonts w:ascii="Times New Roman" w:hAnsi="Times New Roman"/>
              </w:rPr>
              <w:t>Reporting (On Occasion)</w:t>
            </w:r>
          </w:p>
        </w:tc>
        <w:tc>
          <w:tcPr>
            <w:tcW w:w="1443"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267CC894" w14:textId="77777777">
            <w:pPr>
              <w:rPr>
                <w:rFonts w:ascii="Times New Roman" w:hAnsi="Times New Roman"/>
              </w:rPr>
            </w:pPr>
            <w:r w:rsidRPr="00EF7AD0">
              <w:rPr>
                <w:rFonts w:ascii="Times New Roman" w:hAnsi="Times New Roman"/>
              </w:rPr>
              <w:t>1</w:t>
            </w:r>
          </w:p>
        </w:tc>
        <w:tc>
          <w:tcPr>
            <w:tcW w:w="1600"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1C278F77" w14:textId="77777777">
            <w:pPr>
              <w:rPr>
                <w:rFonts w:ascii="Times New Roman" w:hAnsi="Times New Roman"/>
              </w:rPr>
            </w:pPr>
            <w:r w:rsidRPr="00EF7AD0">
              <w:rPr>
                <w:rFonts w:ascii="Times New Roman" w:hAnsi="Times New Roman"/>
              </w:rPr>
              <w:t>1</w:t>
            </w:r>
          </w:p>
        </w:tc>
        <w:tc>
          <w:tcPr>
            <w:tcW w:w="1216" w:type="dxa"/>
            <w:tcBorders>
              <w:top w:val="nil"/>
              <w:left w:val="nil"/>
              <w:bottom w:val="single" w:sz="8" w:space="0" w:color="auto"/>
              <w:right w:val="nil"/>
            </w:tcBorders>
            <w:shd w:val="clear" w:color="auto" w:fill="auto"/>
            <w:vAlign w:val="center"/>
            <w:hideMark/>
          </w:tcPr>
          <w:p w:rsidR="00EF7AD0" w:rsidRPr="00EF7AD0" w:rsidP="00EF7AD0" w14:paraId="34B77676" w14:textId="77777777">
            <w:pPr>
              <w:rPr>
                <w:rFonts w:ascii="Times New Roman" w:hAnsi="Times New Roman"/>
              </w:rPr>
            </w:pPr>
            <w:r w:rsidRPr="00EF7AD0">
              <w:rPr>
                <w:rFonts w:ascii="Times New Roman" w:hAnsi="Times New Roman"/>
              </w:rPr>
              <w:t>01:00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F7AD0" w:rsidRPr="00EF7AD0" w:rsidP="00EF7AD0" w14:paraId="7D48697A" w14:textId="77777777">
            <w:pPr>
              <w:rPr>
                <w:rFonts w:ascii="Times New Roman" w:hAnsi="Times New Roman"/>
              </w:rPr>
            </w:pPr>
            <w:r w:rsidRPr="00EF7AD0">
              <w:rPr>
                <w:rFonts w:ascii="Times New Roman" w:hAnsi="Times New Roman"/>
              </w:rPr>
              <w:t>1</w:t>
            </w:r>
          </w:p>
        </w:tc>
      </w:tr>
      <w:tr w14:paraId="72F75B21" w14:textId="77777777" w:rsidTr="00EF7AD0">
        <w:tblPrEx>
          <w:tblW w:w="9460" w:type="dxa"/>
          <w:tblLook w:val="04A0"/>
        </w:tblPrEx>
        <w:trPr>
          <w:trHeight w:val="1116"/>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41B92004" w14:textId="77777777">
            <w:pPr>
              <w:rPr>
                <w:rFonts w:ascii="Times New Roman" w:hAnsi="Times New Roman"/>
              </w:rPr>
            </w:pPr>
            <w:r w:rsidRPr="00EF7AD0">
              <w:rPr>
                <w:rFonts w:ascii="Times New Roman" w:hAnsi="Times New Roman"/>
              </w:rPr>
              <w:t>7. Document policies and procedures for supervision of foreign activities, 12 CFR 347.116 (Mandatory)</w:t>
            </w:r>
          </w:p>
        </w:tc>
        <w:tc>
          <w:tcPr>
            <w:tcW w:w="1669" w:type="dxa"/>
            <w:tcBorders>
              <w:top w:val="nil"/>
              <w:left w:val="nil"/>
              <w:bottom w:val="single" w:sz="8" w:space="0" w:color="auto"/>
              <w:right w:val="single" w:sz="8" w:space="0" w:color="auto"/>
            </w:tcBorders>
            <w:shd w:val="clear" w:color="auto" w:fill="auto"/>
            <w:vAlign w:val="center"/>
            <w:hideMark/>
          </w:tcPr>
          <w:p w:rsidR="00EF7AD0" w:rsidRPr="00EF7AD0" w:rsidP="00EF7AD0" w14:paraId="760E1C81" w14:textId="77777777">
            <w:pPr>
              <w:rPr>
                <w:rFonts w:ascii="Times New Roman" w:hAnsi="Times New Roman"/>
              </w:rPr>
            </w:pPr>
            <w:r w:rsidRPr="00EF7AD0">
              <w:rPr>
                <w:rFonts w:ascii="Times New Roman" w:hAnsi="Times New Roman"/>
              </w:rPr>
              <w:t>Recordkeeping</w:t>
            </w:r>
            <w:r w:rsidRPr="00EF7AD0">
              <w:rPr>
                <w:rFonts w:ascii="Times New Roman" w:hAnsi="Times New Roman"/>
              </w:rPr>
              <w:br/>
              <w:t>(Annual)</w:t>
            </w:r>
          </w:p>
        </w:tc>
        <w:tc>
          <w:tcPr>
            <w:tcW w:w="1443"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16688604" w14:textId="77777777">
            <w:pPr>
              <w:rPr>
                <w:rFonts w:ascii="Times New Roman" w:hAnsi="Times New Roman"/>
              </w:rPr>
            </w:pPr>
            <w:r w:rsidRPr="00EF7AD0">
              <w:rPr>
                <w:rFonts w:ascii="Times New Roman" w:hAnsi="Times New Roman"/>
              </w:rPr>
              <w:t>6</w:t>
            </w:r>
          </w:p>
        </w:tc>
        <w:tc>
          <w:tcPr>
            <w:tcW w:w="1600"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42E9F263" w14:textId="77777777">
            <w:pPr>
              <w:rPr>
                <w:rFonts w:ascii="Times New Roman" w:hAnsi="Times New Roman"/>
              </w:rPr>
            </w:pPr>
            <w:r w:rsidRPr="00EF7AD0">
              <w:rPr>
                <w:rFonts w:ascii="Times New Roman" w:hAnsi="Times New Roman"/>
              </w:rPr>
              <w:t>1</w:t>
            </w:r>
          </w:p>
        </w:tc>
        <w:tc>
          <w:tcPr>
            <w:tcW w:w="1216" w:type="dxa"/>
            <w:tcBorders>
              <w:top w:val="nil"/>
              <w:left w:val="nil"/>
              <w:bottom w:val="single" w:sz="8" w:space="0" w:color="auto"/>
              <w:right w:val="nil"/>
            </w:tcBorders>
            <w:shd w:val="clear" w:color="auto" w:fill="auto"/>
            <w:vAlign w:val="center"/>
            <w:hideMark/>
          </w:tcPr>
          <w:p w:rsidR="00EF7AD0" w:rsidRPr="00EF7AD0" w:rsidP="00EF7AD0" w14:paraId="24049CE1" w14:textId="77777777">
            <w:pPr>
              <w:rPr>
                <w:rFonts w:ascii="Times New Roman" w:hAnsi="Times New Roman"/>
              </w:rPr>
            </w:pPr>
            <w:r w:rsidRPr="00EF7AD0">
              <w:rPr>
                <w:rFonts w:ascii="Times New Roman" w:hAnsi="Times New Roman"/>
              </w:rPr>
              <w:t>400:00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F7AD0" w:rsidRPr="00EF7AD0" w:rsidP="00EF7AD0" w14:paraId="60032034" w14:textId="77777777">
            <w:pPr>
              <w:rPr>
                <w:rFonts w:ascii="Times New Roman" w:hAnsi="Times New Roman"/>
              </w:rPr>
            </w:pPr>
            <w:r w:rsidRPr="00EF7AD0">
              <w:rPr>
                <w:rFonts w:ascii="Times New Roman" w:hAnsi="Times New Roman"/>
              </w:rPr>
              <w:t>2,400</w:t>
            </w:r>
          </w:p>
        </w:tc>
      </w:tr>
      <w:tr w14:paraId="06F937C1" w14:textId="77777777" w:rsidTr="00A8087E">
        <w:tblPrEx>
          <w:tblW w:w="9460" w:type="dxa"/>
          <w:tblLook w:val="04A0"/>
        </w:tblPrEx>
        <w:trPr>
          <w:trHeight w:val="300"/>
        </w:trPr>
        <w:tc>
          <w:tcPr>
            <w:tcW w:w="830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EF7AD0" w:rsidRPr="00EF7AD0" w:rsidP="00EF7AD0" w14:paraId="167004F1" w14:textId="77777777">
            <w:pPr>
              <w:rPr>
                <w:rFonts w:ascii="Times New Roman" w:hAnsi="Times New Roman"/>
                <w:b/>
                <w:bCs/>
                <w:i/>
                <w:iCs/>
              </w:rPr>
            </w:pPr>
            <w:r w:rsidRPr="00EF7AD0">
              <w:rPr>
                <w:rFonts w:ascii="Times New Roman" w:hAnsi="Times New Roman"/>
                <w:b/>
                <w:bCs/>
                <w:i/>
                <w:iCs/>
              </w:rPr>
              <w:t>Total Annual Burden (Hours):</w:t>
            </w:r>
          </w:p>
        </w:tc>
        <w:tc>
          <w:tcPr>
            <w:tcW w:w="1160" w:type="dxa"/>
            <w:tcBorders>
              <w:top w:val="nil"/>
              <w:left w:val="nil"/>
              <w:bottom w:val="single" w:sz="8" w:space="0" w:color="auto"/>
              <w:right w:val="single" w:sz="8" w:space="0" w:color="auto"/>
            </w:tcBorders>
            <w:shd w:val="clear" w:color="auto" w:fill="auto"/>
            <w:noWrap/>
            <w:vAlign w:val="bottom"/>
            <w:hideMark/>
          </w:tcPr>
          <w:p w:rsidR="00EF7AD0" w:rsidRPr="00EF7AD0" w:rsidP="00EF7AD0" w14:paraId="627A4014" w14:textId="77777777">
            <w:pPr>
              <w:rPr>
                <w:rFonts w:ascii="Times New Roman" w:hAnsi="Times New Roman"/>
                <w:b/>
                <w:bCs/>
                <w:i/>
                <w:iCs/>
              </w:rPr>
            </w:pPr>
            <w:r w:rsidRPr="00EF7AD0">
              <w:rPr>
                <w:rFonts w:ascii="Times New Roman" w:hAnsi="Times New Roman"/>
                <w:b/>
                <w:bCs/>
                <w:i/>
                <w:iCs/>
              </w:rPr>
              <w:t>2,571</w:t>
            </w:r>
          </w:p>
        </w:tc>
      </w:tr>
      <w:tr w14:paraId="27965F5B" w14:textId="77777777" w:rsidTr="00A8087E">
        <w:tblPrEx>
          <w:tblW w:w="9460" w:type="dxa"/>
          <w:tblLook w:val="04A0"/>
        </w:tblPrEx>
        <w:trPr>
          <w:trHeight w:val="252"/>
        </w:trPr>
        <w:tc>
          <w:tcPr>
            <w:tcW w:w="9460" w:type="dxa"/>
            <w:gridSpan w:val="6"/>
            <w:tcBorders>
              <w:top w:val="single" w:sz="8" w:space="0" w:color="auto"/>
              <w:left w:val="single" w:sz="8" w:space="0" w:color="auto"/>
              <w:bottom w:val="nil"/>
              <w:right w:val="single" w:sz="8" w:space="0" w:color="000000"/>
            </w:tcBorders>
            <w:shd w:val="clear" w:color="auto" w:fill="auto"/>
            <w:noWrap/>
            <w:hideMark/>
          </w:tcPr>
          <w:p w:rsidR="00EF7AD0" w:rsidRPr="00EF7AD0" w:rsidP="00EF7AD0" w14:paraId="21DC9D97" w14:textId="77777777">
            <w:pPr>
              <w:rPr>
                <w:rFonts w:ascii="Times New Roman" w:hAnsi="Times New Roman"/>
              </w:rPr>
            </w:pPr>
            <w:r w:rsidRPr="00EF7AD0">
              <w:rPr>
                <w:rFonts w:ascii="Times New Roman" w:hAnsi="Times New Roman"/>
              </w:rPr>
              <w:t>Source: FDIC.</w:t>
            </w:r>
          </w:p>
        </w:tc>
      </w:tr>
      <w:tr w14:paraId="5AA3C0A9" w14:textId="77777777" w:rsidTr="00A8087E">
        <w:tblPrEx>
          <w:tblW w:w="9460" w:type="dxa"/>
          <w:tblLook w:val="04A0"/>
        </w:tblPrEx>
        <w:trPr>
          <w:trHeight w:val="288"/>
        </w:trPr>
        <w:tc>
          <w:tcPr>
            <w:tcW w:w="9460" w:type="dxa"/>
            <w:gridSpan w:val="6"/>
            <w:tcBorders>
              <w:top w:val="nil"/>
              <w:left w:val="single" w:sz="8" w:space="0" w:color="auto"/>
              <w:bottom w:val="single" w:sz="8" w:space="0" w:color="000000"/>
              <w:right w:val="single" w:sz="8" w:space="0" w:color="000000"/>
            </w:tcBorders>
            <w:vAlign w:val="center"/>
            <w:hideMark/>
          </w:tcPr>
          <w:p w:rsidR="00EF7AD0" w:rsidRPr="00EF7AD0" w:rsidP="00EF7AD0" w14:paraId="4ED4F40F" w14:textId="77777777">
            <w:pPr>
              <w:rPr>
                <w:rFonts w:ascii="Times New Roman" w:hAnsi="Times New Roman"/>
              </w:rPr>
            </w:pPr>
          </w:p>
        </w:tc>
      </w:tr>
    </w:tbl>
    <w:p w:rsidR="00FC41DF" w:rsidP="002668A9" w14:paraId="5722EBBC" w14:textId="77777777">
      <w:pPr>
        <w:rPr>
          <w:rFonts w:ascii="Times New Roman" w:hAnsi="Times New Roman"/>
        </w:rPr>
      </w:pPr>
    </w:p>
    <w:tbl>
      <w:tblPr>
        <w:tblW w:w="9980" w:type="dxa"/>
        <w:tblLook w:val="04A0"/>
      </w:tblPr>
      <w:tblGrid>
        <w:gridCol w:w="2080"/>
        <w:gridCol w:w="850"/>
        <w:gridCol w:w="920"/>
        <w:gridCol w:w="984"/>
        <w:gridCol w:w="900"/>
        <w:gridCol w:w="984"/>
        <w:gridCol w:w="936"/>
        <w:gridCol w:w="884"/>
        <w:gridCol w:w="1444"/>
      </w:tblGrid>
      <w:tr w14:paraId="17A9D72C" w14:textId="77777777" w:rsidTr="00A8087E">
        <w:tblPrEx>
          <w:tblW w:w="9980" w:type="dxa"/>
          <w:tblLook w:val="04A0"/>
        </w:tblPrEx>
        <w:trPr>
          <w:trHeight w:val="360"/>
        </w:trPr>
        <w:tc>
          <w:tcPr>
            <w:tcW w:w="9980" w:type="dxa"/>
            <w:gridSpan w:val="9"/>
            <w:tcBorders>
              <w:top w:val="single" w:sz="8" w:space="0" w:color="auto"/>
              <w:left w:val="single" w:sz="8" w:space="0" w:color="auto"/>
              <w:bottom w:val="single" w:sz="12" w:space="0" w:color="auto"/>
              <w:right w:val="single" w:sz="8" w:space="0" w:color="000000"/>
            </w:tcBorders>
            <w:shd w:val="clear" w:color="auto" w:fill="auto"/>
            <w:noWrap/>
            <w:vAlign w:val="bottom"/>
            <w:hideMark/>
          </w:tcPr>
          <w:p w:rsidR="00EF7AD0" w:rsidRPr="00EF7AD0" w:rsidP="00EF7AD0" w14:paraId="71BA6B0D" w14:textId="77777777">
            <w:pPr>
              <w:suppressAutoHyphens/>
              <w:autoSpaceDE w:val="0"/>
              <w:autoSpaceDN w:val="0"/>
              <w:spacing w:after="240" w:line="260" w:lineRule="exact"/>
              <w:ind w:right="-86"/>
              <w:jc w:val="center"/>
              <w:rPr>
                <w:rFonts w:ascii="Source Sans Pro" w:hAnsi="Source Sans Pro" w:cs="Calibri"/>
                <w:snapToGrid/>
                <w:color w:val="000000"/>
                <w:szCs w:val="24"/>
              </w:rPr>
            </w:pPr>
            <w:r w:rsidRPr="00EF7AD0">
              <w:rPr>
                <w:rFonts w:ascii="Source Sans Pro" w:hAnsi="Source Sans Pro" w:cs="Calibri"/>
                <w:snapToGrid/>
                <w:color w:val="000000"/>
                <w:szCs w:val="24"/>
              </w:rPr>
              <w:t>Summary of Hourly Burden Cost Estimate (OMB No. 3064-0125)</w:t>
            </w:r>
          </w:p>
        </w:tc>
      </w:tr>
      <w:tr w14:paraId="2A6A7C63" w14:textId="77777777" w:rsidTr="00A8087E">
        <w:tblPrEx>
          <w:tblW w:w="9980" w:type="dxa"/>
          <w:tblLook w:val="04A0"/>
        </w:tblPrEx>
        <w:trPr>
          <w:trHeight w:val="600"/>
        </w:trPr>
        <w:tc>
          <w:tcPr>
            <w:tcW w:w="2522" w:type="dxa"/>
            <w:vMerge w:val="restart"/>
            <w:tcBorders>
              <w:top w:val="nil"/>
              <w:left w:val="single" w:sz="8" w:space="0" w:color="auto"/>
              <w:bottom w:val="single" w:sz="12" w:space="0" w:color="000000"/>
              <w:right w:val="single" w:sz="12" w:space="0" w:color="auto"/>
            </w:tcBorders>
            <w:shd w:val="clear" w:color="auto" w:fill="auto"/>
            <w:vAlign w:val="center"/>
            <w:hideMark/>
          </w:tcPr>
          <w:p w:rsidR="00EF7AD0" w:rsidRPr="00EF7AD0" w:rsidP="00EF7AD0" w14:paraId="69B079CA"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 xml:space="preserve">Information Collection (Obligation to Respond) </w:t>
            </w:r>
          </w:p>
        </w:tc>
        <w:tc>
          <w:tcPr>
            <w:tcW w:w="860" w:type="dxa"/>
            <w:vMerge w:val="restart"/>
            <w:tcBorders>
              <w:top w:val="nil"/>
              <w:left w:val="nil"/>
              <w:bottom w:val="single" w:sz="12" w:space="0" w:color="000000"/>
              <w:right w:val="single" w:sz="12" w:space="0" w:color="auto"/>
            </w:tcBorders>
            <w:shd w:val="clear" w:color="auto" w:fill="auto"/>
            <w:vAlign w:val="center"/>
            <w:hideMark/>
          </w:tcPr>
          <w:p w:rsidR="00EF7AD0" w:rsidRPr="00EF7AD0" w:rsidP="00EF7AD0" w14:paraId="323D2D2D"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 xml:space="preserve">Hourly Weight </w:t>
            </w:r>
            <w:r w:rsidRPr="00EF7AD0">
              <w:rPr>
                <w:rFonts w:ascii="Source Sans Pro" w:hAnsi="Source Sans Pro" w:cs="Calibri"/>
                <w:snapToGrid/>
                <w:color w:val="000000"/>
                <w:sz w:val="20"/>
              </w:rPr>
              <w:br/>
              <w:t>(%)</w:t>
            </w:r>
          </w:p>
        </w:tc>
        <w:tc>
          <w:tcPr>
            <w:tcW w:w="5198" w:type="dxa"/>
            <w:gridSpan w:val="6"/>
            <w:vMerge w:val="restart"/>
            <w:tcBorders>
              <w:top w:val="nil"/>
              <w:left w:val="single" w:sz="12" w:space="0" w:color="auto"/>
              <w:bottom w:val="single" w:sz="12" w:space="0" w:color="auto"/>
              <w:right w:val="single" w:sz="12" w:space="0" w:color="auto"/>
            </w:tcBorders>
            <w:shd w:val="clear" w:color="auto" w:fill="auto"/>
            <w:vAlign w:val="center"/>
            <w:hideMark/>
          </w:tcPr>
          <w:p w:rsidR="00EF7AD0" w:rsidRPr="00EF7AD0" w:rsidP="00EF7AD0" w14:paraId="6FFAD550"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 xml:space="preserve">Percentage Shares of Hours Spent by and </w:t>
            </w:r>
            <w:r w:rsidRPr="00EF7AD0">
              <w:rPr>
                <w:rFonts w:ascii="Source Sans Pro" w:hAnsi="Source Sans Pro" w:cs="Calibri"/>
                <w:snapToGrid/>
                <w:color w:val="000000"/>
                <w:sz w:val="20"/>
              </w:rPr>
              <w:br/>
              <w:t xml:space="preserve">Hourly Compensation Rates for each Occupation Group </w:t>
            </w:r>
            <w:r w:rsidRPr="00EF7AD0">
              <w:rPr>
                <w:rFonts w:ascii="Source Sans Pro" w:hAnsi="Source Sans Pro" w:cs="Calibri"/>
                <w:snapToGrid/>
                <w:color w:val="000000"/>
                <w:sz w:val="20"/>
              </w:rPr>
              <w:br/>
              <w:t>(by Collection)</w:t>
            </w:r>
          </w:p>
        </w:tc>
        <w:tc>
          <w:tcPr>
            <w:tcW w:w="1400" w:type="dxa"/>
            <w:vMerge w:val="restart"/>
            <w:tcBorders>
              <w:top w:val="nil"/>
              <w:left w:val="nil"/>
              <w:bottom w:val="single" w:sz="12" w:space="0" w:color="000000"/>
              <w:right w:val="single" w:sz="8" w:space="0" w:color="auto"/>
            </w:tcBorders>
            <w:shd w:val="clear" w:color="auto" w:fill="auto"/>
            <w:vAlign w:val="center"/>
            <w:hideMark/>
          </w:tcPr>
          <w:p w:rsidR="00EF7AD0" w:rsidRPr="00EF7AD0" w:rsidP="00EF7AD0" w14:paraId="04D64039"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Estimated Hourly Compensation Rate</w:t>
            </w:r>
          </w:p>
        </w:tc>
      </w:tr>
      <w:tr w14:paraId="3FF904C3" w14:textId="77777777" w:rsidTr="00A8087E">
        <w:tblPrEx>
          <w:tblW w:w="9980" w:type="dxa"/>
          <w:tblLook w:val="04A0"/>
        </w:tblPrEx>
        <w:trPr>
          <w:trHeight w:val="864"/>
        </w:trPr>
        <w:tc>
          <w:tcPr>
            <w:tcW w:w="2522" w:type="dxa"/>
            <w:vMerge/>
            <w:tcBorders>
              <w:top w:val="nil"/>
              <w:left w:val="single" w:sz="8" w:space="0" w:color="auto"/>
              <w:bottom w:val="single" w:sz="12" w:space="0" w:color="000000"/>
              <w:right w:val="single" w:sz="12" w:space="0" w:color="auto"/>
            </w:tcBorders>
            <w:vAlign w:val="center"/>
            <w:hideMark/>
          </w:tcPr>
          <w:p w:rsidR="00EF7AD0" w:rsidRPr="00EF7AD0" w:rsidP="00EF7AD0" w14:paraId="5232A5D9" w14:textId="77777777">
            <w:pPr>
              <w:widowControl/>
              <w:rPr>
                <w:rFonts w:ascii="Source Sans Pro" w:hAnsi="Source Sans Pro" w:cs="Calibri"/>
                <w:snapToGrid/>
                <w:color w:val="000000"/>
                <w:sz w:val="20"/>
              </w:rPr>
            </w:pPr>
          </w:p>
        </w:tc>
        <w:tc>
          <w:tcPr>
            <w:tcW w:w="860" w:type="dxa"/>
            <w:vMerge/>
            <w:tcBorders>
              <w:top w:val="nil"/>
              <w:left w:val="nil"/>
              <w:bottom w:val="single" w:sz="12" w:space="0" w:color="000000"/>
              <w:right w:val="single" w:sz="12" w:space="0" w:color="auto"/>
            </w:tcBorders>
            <w:vAlign w:val="center"/>
            <w:hideMark/>
          </w:tcPr>
          <w:p w:rsidR="00EF7AD0" w:rsidRPr="00EF7AD0" w:rsidP="00EF7AD0" w14:paraId="7C116566" w14:textId="77777777">
            <w:pPr>
              <w:widowControl/>
              <w:rPr>
                <w:rFonts w:ascii="Source Sans Pro" w:hAnsi="Source Sans Pro" w:cs="Calibri"/>
                <w:snapToGrid/>
                <w:color w:val="000000"/>
                <w:sz w:val="20"/>
              </w:rPr>
            </w:pPr>
          </w:p>
        </w:tc>
        <w:tc>
          <w:tcPr>
            <w:tcW w:w="5198" w:type="dxa"/>
            <w:gridSpan w:val="6"/>
            <w:vMerge/>
            <w:tcBorders>
              <w:top w:val="nil"/>
              <w:left w:val="single" w:sz="12" w:space="0" w:color="auto"/>
              <w:bottom w:val="single" w:sz="12" w:space="0" w:color="auto"/>
              <w:right w:val="single" w:sz="12" w:space="0" w:color="auto"/>
            </w:tcBorders>
            <w:vAlign w:val="center"/>
            <w:hideMark/>
          </w:tcPr>
          <w:p w:rsidR="00EF7AD0" w:rsidRPr="00EF7AD0" w:rsidP="00EF7AD0" w14:paraId="426BE5A7" w14:textId="77777777">
            <w:pPr>
              <w:widowControl/>
              <w:rPr>
                <w:rFonts w:ascii="Source Sans Pro" w:hAnsi="Source Sans Pro" w:cs="Calibri"/>
                <w:snapToGrid/>
                <w:color w:val="000000"/>
                <w:sz w:val="20"/>
              </w:rPr>
            </w:pPr>
          </w:p>
        </w:tc>
        <w:tc>
          <w:tcPr>
            <w:tcW w:w="1400" w:type="dxa"/>
            <w:vMerge/>
            <w:tcBorders>
              <w:top w:val="nil"/>
              <w:left w:val="nil"/>
              <w:bottom w:val="single" w:sz="12" w:space="0" w:color="000000"/>
              <w:right w:val="single" w:sz="8" w:space="0" w:color="auto"/>
            </w:tcBorders>
            <w:vAlign w:val="center"/>
            <w:hideMark/>
          </w:tcPr>
          <w:p w:rsidR="00EF7AD0" w:rsidRPr="00EF7AD0" w:rsidP="00EF7AD0" w14:paraId="40560B37" w14:textId="77777777">
            <w:pPr>
              <w:widowControl/>
              <w:rPr>
                <w:rFonts w:ascii="Source Sans Pro" w:hAnsi="Source Sans Pro" w:cs="Calibri"/>
                <w:snapToGrid/>
                <w:color w:val="000000"/>
                <w:sz w:val="20"/>
              </w:rPr>
            </w:pPr>
          </w:p>
        </w:tc>
      </w:tr>
      <w:tr w14:paraId="4DD0327D" w14:textId="77777777" w:rsidTr="00A8087E">
        <w:tblPrEx>
          <w:tblW w:w="9980" w:type="dxa"/>
          <w:tblLook w:val="04A0"/>
        </w:tblPrEx>
        <w:trPr>
          <w:trHeight w:val="360"/>
        </w:trPr>
        <w:tc>
          <w:tcPr>
            <w:tcW w:w="2522" w:type="dxa"/>
            <w:vMerge/>
            <w:tcBorders>
              <w:top w:val="nil"/>
              <w:left w:val="single" w:sz="8" w:space="0" w:color="auto"/>
              <w:bottom w:val="single" w:sz="12" w:space="0" w:color="000000"/>
              <w:right w:val="single" w:sz="12" w:space="0" w:color="auto"/>
            </w:tcBorders>
            <w:vAlign w:val="center"/>
            <w:hideMark/>
          </w:tcPr>
          <w:p w:rsidR="00EF7AD0" w:rsidRPr="00EF7AD0" w:rsidP="00EF7AD0" w14:paraId="4F388721" w14:textId="77777777">
            <w:pPr>
              <w:widowControl/>
              <w:rPr>
                <w:rFonts w:ascii="Source Sans Pro" w:hAnsi="Source Sans Pro" w:cs="Calibri"/>
                <w:snapToGrid/>
                <w:color w:val="000000"/>
                <w:sz w:val="20"/>
              </w:rPr>
            </w:pPr>
          </w:p>
        </w:tc>
        <w:tc>
          <w:tcPr>
            <w:tcW w:w="860" w:type="dxa"/>
            <w:vMerge/>
            <w:tcBorders>
              <w:top w:val="nil"/>
              <w:left w:val="nil"/>
              <w:bottom w:val="single" w:sz="12" w:space="0" w:color="000000"/>
              <w:right w:val="single" w:sz="12" w:space="0" w:color="auto"/>
            </w:tcBorders>
            <w:vAlign w:val="center"/>
            <w:hideMark/>
          </w:tcPr>
          <w:p w:rsidR="00EF7AD0" w:rsidRPr="00EF7AD0" w:rsidP="00EF7AD0" w14:paraId="46A4D21B" w14:textId="77777777">
            <w:pPr>
              <w:widowControl/>
              <w:rPr>
                <w:rFonts w:ascii="Source Sans Pro" w:hAnsi="Source Sans Pro" w:cs="Calibri"/>
                <w:snapToGrid/>
                <w:color w:val="000000"/>
                <w:sz w:val="20"/>
              </w:rPr>
            </w:pPr>
          </w:p>
        </w:tc>
        <w:tc>
          <w:tcPr>
            <w:tcW w:w="920" w:type="dxa"/>
            <w:vMerge w:val="restart"/>
            <w:tcBorders>
              <w:top w:val="nil"/>
              <w:left w:val="single" w:sz="12" w:space="0" w:color="auto"/>
              <w:bottom w:val="single" w:sz="12" w:space="0" w:color="auto"/>
              <w:right w:val="single" w:sz="12" w:space="0" w:color="auto"/>
            </w:tcBorders>
            <w:shd w:val="clear" w:color="auto" w:fill="auto"/>
            <w:vAlign w:val="center"/>
            <w:hideMark/>
          </w:tcPr>
          <w:p w:rsidR="00EF7AD0" w:rsidRPr="00EF7AD0" w:rsidP="00EF7AD0" w14:paraId="3C1D3CD6"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Exec. &amp; Mgr.      ($132.1)</w:t>
            </w:r>
          </w:p>
        </w:tc>
        <w:tc>
          <w:tcPr>
            <w:tcW w:w="820" w:type="dxa"/>
            <w:vMerge w:val="restart"/>
            <w:tcBorders>
              <w:top w:val="nil"/>
              <w:left w:val="single" w:sz="12" w:space="0" w:color="auto"/>
              <w:bottom w:val="single" w:sz="12" w:space="0" w:color="auto"/>
              <w:right w:val="single" w:sz="12" w:space="0" w:color="auto"/>
            </w:tcBorders>
            <w:shd w:val="clear" w:color="auto" w:fill="auto"/>
            <w:vAlign w:val="center"/>
            <w:hideMark/>
          </w:tcPr>
          <w:p w:rsidR="00EF7AD0" w:rsidRPr="00EF7AD0" w:rsidP="00EF7AD0" w14:paraId="48B3AE37"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Lawyer   ($163.63)</w:t>
            </w:r>
          </w:p>
        </w:tc>
        <w:tc>
          <w:tcPr>
            <w:tcW w:w="900" w:type="dxa"/>
            <w:vMerge w:val="restart"/>
            <w:tcBorders>
              <w:top w:val="nil"/>
              <w:left w:val="single" w:sz="12" w:space="0" w:color="auto"/>
              <w:bottom w:val="single" w:sz="12" w:space="0" w:color="auto"/>
              <w:right w:val="single" w:sz="12" w:space="0" w:color="auto"/>
            </w:tcBorders>
            <w:shd w:val="clear" w:color="auto" w:fill="auto"/>
            <w:vAlign w:val="center"/>
            <w:hideMark/>
          </w:tcPr>
          <w:p w:rsidR="00EF7AD0" w:rsidRPr="00EF7AD0" w:rsidP="00EF7AD0" w14:paraId="302F50F8"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Compl. Ofc.   ($63.78)</w:t>
            </w:r>
          </w:p>
        </w:tc>
        <w:tc>
          <w:tcPr>
            <w:tcW w:w="798" w:type="dxa"/>
            <w:vMerge w:val="restart"/>
            <w:tcBorders>
              <w:top w:val="nil"/>
              <w:left w:val="single" w:sz="12" w:space="0" w:color="auto"/>
              <w:bottom w:val="single" w:sz="12" w:space="0" w:color="auto"/>
              <w:right w:val="single" w:sz="12" w:space="0" w:color="auto"/>
            </w:tcBorders>
            <w:shd w:val="clear" w:color="auto" w:fill="auto"/>
            <w:vAlign w:val="center"/>
            <w:hideMark/>
          </w:tcPr>
          <w:p w:rsidR="00EF7AD0" w:rsidRPr="00EF7AD0" w:rsidP="00EF7AD0" w14:paraId="2241FD88"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IT    ($101.32)</w:t>
            </w:r>
          </w:p>
        </w:tc>
        <w:tc>
          <w:tcPr>
            <w:tcW w:w="960" w:type="dxa"/>
            <w:vMerge w:val="restart"/>
            <w:tcBorders>
              <w:top w:val="nil"/>
              <w:left w:val="single" w:sz="12" w:space="0" w:color="auto"/>
              <w:bottom w:val="single" w:sz="12" w:space="0" w:color="auto"/>
              <w:right w:val="single" w:sz="12" w:space="0" w:color="auto"/>
            </w:tcBorders>
            <w:shd w:val="clear" w:color="auto" w:fill="auto"/>
            <w:vAlign w:val="center"/>
            <w:hideMark/>
          </w:tcPr>
          <w:p w:rsidR="00EF7AD0" w:rsidRPr="00EF7AD0" w:rsidP="00EF7AD0" w14:paraId="58A8102A"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Fin. Anlst.    ($99.85)</w:t>
            </w:r>
          </w:p>
        </w:tc>
        <w:tc>
          <w:tcPr>
            <w:tcW w:w="800" w:type="dxa"/>
            <w:vMerge w:val="restart"/>
            <w:tcBorders>
              <w:top w:val="nil"/>
              <w:left w:val="single" w:sz="12" w:space="0" w:color="auto"/>
              <w:bottom w:val="single" w:sz="12" w:space="0" w:color="auto"/>
              <w:right w:val="single" w:sz="12" w:space="0" w:color="auto"/>
            </w:tcBorders>
            <w:shd w:val="clear" w:color="auto" w:fill="auto"/>
            <w:vAlign w:val="center"/>
            <w:hideMark/>
          </w:tcPr>
          <w:p w:rsidR="00EF7AD0" w:rsidRPr="00EF7AD0" w:rsidP="00EF7AD0" w14:paraId="4280F938"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Clerical    ($37.34)</w:t>
            </w:r>
          </w:p>
        </w:tc>
        <w:tc>
          <w:tcPr>
            <w:tcW w:w="1400" w:type="dxa"/>
            <w:vMerge/>
            <w:tcBorders>
              <w:top w:val="nil"/>
              <w:left w:val="nil"/>
              <w:bottom w:val="single" w:sz="12" w:space="0" w:color="000000"/>
              <w:right w:val="single" w:sz="8" w:space="0" w:color="auto"/>
            </w:tcBorders>
            <w:vAlign w:val="center"/>
            <w:hideMark/>
          </w:tcPr>
          <w:p w:rsidR="00EF7AD0" w:rsidRPr="00EF7AD0" w:rsidP="00EF7AD0" w14:paraId="68E5AAA4" w14:textId="77777777">
            <w:pPr>
              <w:widowControl/>
              <w:rPr>
                <w:rFonts w:ascii="Source Sans Pro" w:hAnsi="Source Sans Pro" w:cs="Calibri"/>
                <w:snapToGrid/>
                <w:color w:val="000000"/>
                <w:sz w:val="20"/>
              </w:rPr>
            </w:pPr>
          </w:p>
        </w:tc>
      </w:tr>
      <w:tr w14:paraId="4FCA8FF9" w14:textId="77777777" w:rsidTr="00A8087E">
        <w:tblPrEx>
          <w:tblW w:w="9980" w:type="dxa"/>
          <w:tblLook w:val="04A0"/>
        </w:tblPrEx>
        <w:trPr>
          <w:trHeight w:val="840"/>
        </w:trPr>
        <w:tc>
          <w:tcPr>
            <w:tcW w:w="2522" w:type="dxa"/>
            <w:vMerge/>
            <w:tcBorders>
              <w:top w:val="nil"/>
              <w:left w:val="single" w:sz="8" w:space="0" w:color="auto"/>
              <w:bottom w:val="single" w:sz="12" w:space="0" w:color="000000"/>
              <w:right w:val="single" w:sz="12" w:space="0" w:color="auto"/>
            </w:tcBorders>
            <w:vAlign w:val="center"/>
            <w:hideMark/>
          </w:tcPr>
          <w:p w:rsidR="00EF7AD0" w:rsidRPr="00EF7AD0" w:rsidP="00EF7AD0" w14:paraId="472DC83E" w14:textId="77777777">
            <w:pPr>
              <w:widowControl/>
              <w:rPr>
                <w:rFonts w:ascii="Source Sans Pro" w:hAnsi="Source Sans Pro" w:cs="Calibri"/>
                <w:snapToGrid/>
                <w:color w:val="000000"/>
                <w:sz w:val="20"/>
              </w:rPr>
            </w:pPr>
          </w:p>
        </w:tc>
        <w:tc>
          <w:tcPr>
            <w:tcW w:w="860" w:type="dxa"/>
            <w:vMerge/>
            <w:tcBorders>
              <w:top w:val="nil"/>
              <w:left w:val="nil"/>
              <w:bottom w:val="single" w:sz="12" w:space="0" w:color="000000"/>
              <w:right w:val="single" w:sz="12" w:space="0" w:color="auto"/>
            </w:tcBorders>
            <w:vAlign w:val="center"/>
            <w:hideMark/>
          </w:tcPr>
          <w:p w:rsidR="00EF7AD0" w:rsidRPr="00EF7AD0" w:rsidP="00EF7AD0" w14:paraId="4267BC67" w14:textId="77777777">
            <w:pPr>
              <w:widowControl/>
              <w:rPr>
                <w:rFonts w:ascii="Source Sans Pro" w:hAnsi="Source Sans Pro" w:cs="Calibri"/>
                <w:snapToGrid/>
                <w:color w:val="000000"/>
                <w:sz w:val="20"/>
              </w:rPr>
            </w:pPr>
          </w:p>
        </w:tc>
        <w:tc>
          <w:tcPr>
            <w:tcW w:w="920" w:type="dxa"/>
            <w:vMerge/>
            <w:tcBorders>
              <w:top w:val="nil"/>
              <w:left w:val="single" w:sz="12" w:space="0" w:color="auto"/>
              <w:bottom w:val="single" w:sz="12" w:space="0" w:color="auto"/>
              <w:right w:val="single" w:sz="12" w:space="0" w:color="auto"/>
            </w:tcBorders>
            <w:vAlign w:val="center"/>
            <w:hideMark/>
          </w:tcPr>
          <w:p w:rsidR="00EF7AD0" w:rsidRPr="00EF7AD0" w:rsidP="00EF7AD0" w14:paraId="20B39901" w14:textId="77777777">
            <w:pPr>
              <w:widowControl/>
              <w:rPr>
                <w:rFonts w:ascii="Source Sans Pro" w:hAnsi="Source Sans Pro" w:cs="Calibri"/>
                <w:snapToGrid/>
                <w:color w:val="000000"/>
                <w:sz w:val="20"/>
              </w:rPr>
            </w:pPr>
          </w:p>
        </w:tc>
        <w:tc>
          <w:tcPr>
            <w:tcW w:w="820" w:type="dxa"/>
            <w:vMerge/>
            <w:tcBorders>
              <w:top w:val="nil"/>
              <w:left w:val="single" w:sz="12" w:space="0" w:color="auto"/>
              <w:bottom w:val="single" w:sz="12" w:space="0" w:color="auto"/>
              <w:right w:val="single" w:sz="12" w:space="0" w:color="auto"/>
            </w:tcBorders>
            <w:vAlign w:val="center"/>
            <w:hideMark/>
          </w:tcPr>
          <w:p w:rsidR="00EF7AD0" w:rsidRPr="00EF7AD0" w:rsidP="00EF7AD0" w14:paraId="2501902F" w14:textId="77777777">
            <w:pPr>
              <w:widowControl/>
              <w:rPr>
                <w:rFonts w:ascii="Source Sans Pro" w:hAnsi="Source Sans Pro" w:cs="Calibri"/>
                <w:snapToGrid/>
                <w:color w:val="000000"/>
                <w:sz w:val="20"/>
              </w:rPr>
            </w:pPr>
          </w:p>
        </w:tc>
        <w:tc>
          <w:tcPr>
            <w:tcW w:w="900" w:type="dxa"/>
            <w:vMerge/>
            <w:tcBorders>
              <w:top w:val="nil"/>
              <w:left w:val="single" w:sz="12" w:space="0" w:color="auto"/>
              <w:bottom w:val="single" w:sz="12" w:space="0" w:color="auto"/>
              <w:right w:val="single" w:sz="12" w:space="0" w:color="auto"/>
            </w:tcBorders>
            <w:vAlign w:val="center"/>
            <w:hideMark/>
          </w:tcPr>
          <w:p w:rsidR="00EF7AD0" w:rsidRPr="00EF7AD0" w:rsidP="00EF7AD0" w14:paraId="4805263A" w14:textId="77777777">
            <w:pPr>
              <w:widowControl/>
              <w:rPr>
                <w:rFonts w:ascii="Source Sans Pro" w:hAnsi="Source Sans Pro" w:cs="Calibri"/>
                <w:snapToGrid/>
                <w:color w:val="000000"/>
                <w:sz w:val="20"/>
              </w:rPr>
            </w:pPr>
          </w:p>
        </w:tc>
        <w:tc>
          <w:tcPr>
            <w:tcW w:w="798" w:type="dxa"/>
            <w:vMerge/>
            <w:tcBorders>
              <w:top w:val="nil"/>
              <w:left w:val="single" w:sz="12" w:space="0" w:color="auto"/>
              <w:bottom w:val="single" w:sz="12" w:space="0" w:color="auto"/>
              <w:right w:val="single" w:sz="12" w:space="0" w:color="auto"/>
            </w:tcBorders>
            <w:vAlign w:val="center"/>
            <w:hideMark/>
          </w:tcPr>
          <w:p w:rsidR="00EF7AD0" w:rsidRPr="00EF7AD0" w:rsidP="00EF7AD0" w14:paraId="08986008" w14:textId="77777777">
            <w:pPr>
              <w:widowControl/>
              <w:rPr>
                <w:rFonts w:ascii="Source Sans Pro" w:hAnsi="Source Sans Pro" w:cs="Calibri"/>
                <w:snapToGrid/>
                <w:color w:val="000000"/>
                <w:sz w:val="20"/>
              </w:rPr>
            </w:pPr>
          </w:p>
        </w:tc>
        <w:tc>
          <w:tcPr>
            <w:tcW w:w="960" w:type="dxa"/>
            <w:vMerge/>
            <w:tcBorders>
              <w:top w:val="nil"/>
              <w:left w:val="single" w:sz="12" w:space="0" w:color="auto"/>
              <w:bottom w:val="single" w:sz="12" w:space="0" w:color="auto"/>
              <w:right w:val="single" w:sz="12" w:space="0" w:color="auto"/>
            </w:tcBorders>
            <w:vAlign w:val="center"/>
            <w:hideMark/>
          </w:tcPr>
          <w:p w:rsidR="00EF7AD0" w:rsidRPr="00EF7AD0" w:rsidP="00EF7AD0" w14:paraId="58A8C807" w14:textId="77777777">
            <w:pPr>
              <w:widowControl/>
              <w:rPr>
                <w:rFonts w:ascii="Source Sans Pro" w:hAnsi="Source Sans Pro" w:cs="Calibri"/>
                <w:snapToGrid/>
                <w:color w:val="000000"/>
                <w:sz w:val="20"/>
              </w:rPr>
            </w:pPr>
          </w:p>
        </w:tc>
        <w:tc>
          <w:tcPr>
            <w:tcW w:w="800" w:type="dxa"/>
            <w:vMerge/>
            <w:tcBorders>
              <w:top w:val="nil"/>
              <w:left w:val="single" w:sz="12" w:space="0" w:color="auto"/>
              <w:bottom w:val="single" w:sz="12" w:space="0" w:color="auto"/>
              <w:right w:val="single" w:sz="12" w:space="0" w:color="auto"/>
            </w:tcBorders>
            <w:vAlign w:val="center"/>
            <w:hideMark/>
          </w:tcPr>
          <w:p w:rsidR="00EF7AD0" w:rsidRPr="00EF7AD0" w:rsidP="00EF7AD0" w14:paraId="5E0EAC6D" w14:textId="77777777">
            <w:pPr>
              <w:widowControl/>
              <w:rPr>
                <w:rFonts w:ascii="Source Sans Pro" w:hAnsi="Source Sans Pro" w:cs="Calibri"/>
                <w:snapToGrid/>
                <w:color w:val="000000"/>
                <w:sz w:val="20"/>
              </w:rPr>
            </w:pPr>
          </w:p>
        </w:tc>
        <w:tc>
          <w:tcPr>
            <w:tcW w:w="1400" w:type="dxa"/>
            <w:vMerge/>
            <w:tcBorders>
              <w:top w:val="nil"/>
              <w:left w:val="nil"/>
              <w:bottom w:val="single" w:sz="12" w:space="0" w:color="000000"/>
              <w:right w:val="single" w:sz="8" w:space="0" w:color="auto"/>
            </w:tcBorders>
            <w:vAlign w:val="center"/>
            <w:hideMark/>
          </w:tcPr>
          <w:p w:rsidR="00EF7AD0" w:rsidRPr="00EF7AD0" w:rsidP="00EF7AD0" w14:paraId="73F9C369" w14:textId="77777777">
            <w:pPr>
              <w:widowControl/>
              <w:rPr>
                <w:rFonts w:ascii="Source Sans Pro" w:hAnsi="Source Sans Pro" w:cs="Calibri"/>
                <w:snapToGrid/>
                <w:color w:val="000000"/>
                <w:sz w:val="20"/>
              </w:rPr>
            </w:pPr>
          </w:p>
        </w:tc>
      </w:tr>
      <w:tr w14:paraId="4E6692E8" w14:textId="77777777" w:rsidTr="00A8087E">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290234FA"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1. Notices or applications to establish, move, or close a foreign branch, 12 CFR 303.182 (Mandatory)</w:t>
            </w:r>
          </w:p>
        </w:tc>
        <w:tc>
          <w:tcPr>
            <w:tcW w:w="860" w:type="dxa"/>
            <w:tcBorders>
              <w:top w:val="nil"/>
              <w:left w:val="nil"/>
              <w:bottom w:val="single" w:sz="8" w:space="0" w:color="auto"/>
              <w:right w:val="single" w:sz="8" w:space="0" w:color="auto"/>
            </w:tcBorders>
            <w:shd w:val="clear" w:color="auto" w:fill="auto"/>
            <w:vAlign w:val="center"/>
            <w:hideMark/>
          </w:tcPr>
          <w:p w:rsidR="00EF7AD0" w:rsidRPr="00EF7AD0" w:rsidP="00EF7AD0" w14:paraId="54B7156A"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0.08</w:t>
            </w:r>
          </w:p>
        </w:tc>
        <w:tc>
          <w:tcPr>
            <w:tcW w:w="920" w:type="dxa"/>
            <w:tcBorders>
              <w:top w:val="nil"/>
              <w:left w:val="nil"/>
              <w:bottom w:val="single" w:sz="8" w:space="0" w:color="auto"/>
              <w:right w:val="single" w:sz="8" w:space="0" w:color="auto"/>
            </w:tcBorders>
            <w:shd w:val="clear" w:color="auto" w:fill="auto"/>
            <w:vAlign w:val="center"/>
            <w:hideMark/>
          </w:tcPr>
          <w:p w:rsidR="00EF7AD0" w:rsidRPr="00EF7AD0" w:rsidP="00EF7AD0" w14:paraId="0EBD5F00"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50</w:t>
            </w:r>
          </w:p>
        </w:tc>
        <w:tc>
          <w:tcPr>
            <w:tcW w:w="820" w:type="dxa"/>
            <w:tcBorders>
              <w:top w:val="nil"/>
              <w:left w:val="nil"/>
              <w:bottom w:val="single" w:sz="8" w:space="0" w:color="auto"/>
              <w:right w:val="single" w:sz="8" w:space="0" w:color="auto"/>
            </w:tcBorders>
            <w:shd w:val="clear" w:color="auto" w:fill="auto"/>
            <w:vAlign w:val="center"/>
            <w:hideMark/>
          </w:tcPr>
          <w:p w:rsidR="00EF7AD0" w:rsidRPr="00EF7AD0" w:rsidP="00EF7AD0" w14:paraId="11F22E29"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EF7AD0" w:rsidRPr="00EF7AD0" w:rsidP="00EF7AD0" w14:paraId="12E1A65A"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EF7AD0" w:rsidRPr="00EF7AD0" w:rsidP="00EF7AD0" w14:paraId="75B77ACC"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EF7AD0" w:rsidRPr="00EF7AD0" w:rsidP="00EF7AD0" w14:paraId="1AEED57A"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EF7AD0" w:rsidRPr="00EF7AD0" w:rsidP="00EF7AD0" w14:paraId="57807C6A"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EF7AD0" w:rsidRPr="00EF7AD0" w:rsidP="00EF7AD0" w14:paraId="7731D934" w14:textId="77777777">
            <w:pPr>
              <w:widowControl/>
              <w:ind w:firstLine="200" w:firstLineChars="100"/>
              <w:jc w:val="right"/>
              <w:rPr>
                <w:rFonts w:ascii="Source Sans Pro" w:hAnsi="Source Sans Pro" w:cs="Calibri"/>
                <w:snapToGrid/>
                <w:color w:val="000000"/>
                <w:sz w:val="20"/>
              </w:rPr>
            </w:pPr>
            <w:r w:rsidRPr="00EF7AD0">
              <w:rPr>
                <w:rFonts w:ascii="Source Sans Pro" w:hAnsi="Source Sans Pro" w:cs="Calibri"/>
                <w:snapToGrid/>
                <w:color w:val="000000"/>
                <w:sz w:val="20"/>
              </w:rPr>
              <w:t xml:space="preserve">$147.87 </w:t>
            </w:r>
          </w:p>
        </w:tc>
      </w:tr>
      <w:tr w14:paraId="5C18F88E" w14:textId="77777777" w:rsidTr="00A8087E">
        <w:tblPrEx>
          <w:tblW w:w="9980" w:type="dxa"/>
          <w:tblLook w:val="04A0"/>
        </w:tblPrEx>
        <w:trPr>
          <w:trHeight w:val="1668"/>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501EA13A"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2. Filings for authorization for foreign branch to engage in activities other than those permitted under 12 CFR 347.115, 12 CFR 303 (Mandatory)</w:t>
            </w:r>
          </w:p>
        </w:tc>
        <w:tc>
          <w:tcPr>
            <w:tcW w:w="860" w:type="dxa"/>
            <w:tcBorders>
              <w:top w:val="nil"/>
              <w:left w:val="nil"/>
              <w:bottom w:val="single" w:sz="8" w:space="0" w:color="auto"/>
              <w:right w:val="single" w:sz="8" w:space="0" w:color="auto"/>
            </w:tcBorders>
            <w:shd w:val="clear" w:color="auto" w:fill="auto"/>
            <w:vAlign w:val="center"/>
            <w:hideMark/>
          </w:tcPr>
          <w:p w:rsidR="00EF7AD0" w:rsidRPr="00EF7AD0" w:rsidP="00EF7AD0" w14:paraId="421C0AD5"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1.56</w:t>
            </w:r>
          </w:p>
        </w:tc>
        <w:tc>
          <w:tcPr>
            <w:tcW w:w="920" w:type="dxa"/>
            <w:tcBorders>
              <w:top w:val="nil"/>
              <w:left w:val="nil"/>
              <w:bottom w:val="single" w:sz="8" w:space="0" w:color="auto"/>
              <w:right w:val="single" w:sz="8" w:space="0" w:color="auto"/>
            </w:tcBorders>
            <w:shd w:val="clear" w:color="auto" w:fill="auto"/>
            <w:vAlign w:val="center"/>
            <w:hideMark/>
          </w:tcPr>
          <w:p w:rsidR="00EF7AD0" w:rsidRPr="00EF7AD0" w:rsidP="00EF7AD0" w14:paraId="48D86246"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75</w:t>
            </w:r>
          </w:p>
        </w:tc>
        <w:tc>
          <w:tcPr>
            <w:tcW w:w="820" w:type="dxa"/>
            <w:tcBorders>
              <w:top w:val="nil"/>
              <w:left w:val="nil"/>
              <w:bottom w:val="single" w:sz="8" w:space="0" w:color="auto"/>
              <w:right w:val="single" w:sz="8" w:space="0" w:color="auto"/>
            </w:tcBorders>
            <w:shd w:val="clear" w:color="auto" w:fill="auto"/>
            <w:vAlign w:val="center"/>
            <w:hideMark/>
          </w:tcPr>
          <w:p w:rsidR="00EF7AD0" w:rsidRPr="00EF7AD0" w:rsidP="00EF7AD0" w14:paraId="303EE98D"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25</w:t>
            </w:r>
          </w:p>
        </w:tc>
        <w:tc>
          <w:tcPr>
            <w:tcW w:w="900" w:type="dxa"/>
            <w:tcBorders>
              <w:top w:val="nil"/>
              <w:left w:val="nil"/>
              <w:bottom w:val="single" w:sz="8" w:space="0" w:color="auto"/>
              <w:right w:val="single" w:sz="8" w:space="0" w:color="auto"/>
            </w:tcBorders>
            <w:shd w:val="clear" w:color="auto" w:fill="auto"/>
            <w:vAlign w:val="center"/>
            <w:hideMark/>
          </w:tcPr>
          <w:p w:rsidR="00EF7AD0" w:rsidRPr="00EF7AD0" w:rsidP="00EF7AD0" w14:paraId="7892A30E"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EF7AD0" w:rsidRPr="00EF7AD0" w:rsidP="00EF7AD0" w14:paraId="2C865250"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EF7AD0" w:rsidRPr="00EF7AD0" w:rsidP="00EF7AD0" w14:paraId="38109537"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EF7AD0" w:rsidRPr="00EF7AD0" w:rsidP="00EF7AD0" w14:paraId="6F3923C3"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EF7AD0" w:rsidRPr="00EF7AD0" w:rsidP="00EF7AD0" w14:paraId="7E1DE64C" w14:textId="77777777">
            <w:pPr>
              <w:widowControl/>
              <w:ind w:firstLine="200" w:firstLineChars="100"/>
              <w:jc w:val="right"/>
              <w:rPr>
                <w:rFonts w:ascii="Source Sans Pro" w:hAnsi="Source Sans Pro" w:cs="Calibri"/>
                <w:snapToGrid/>
                <w:color w:val="000000"/>
                <w:sz w:val="20"/>
              </w:rPr>
            </w:pPr>
            <w:r w:rsidRPr="00EF7AD0">
              <w:rPr>
                <w:rFonts w:ascii="Source Sans Pro" w:hAnsi="Source Sans Pro" w:cs="Calibri"/>
                <w:snapToGrid/>
                <w:color w:val="000000"/>
                <w:sz w:val="20"/>
              </w:rPr>
              <w:t xml:space="preserve">$139.98 </w:t>
            </w:r>
          </w:p>
        </w:tc>
      </w:tr>
      <w:tr w14:paraId="7FD0002D" w14:textId="77777777" w:rsidTr="00A8087E">
        <w:tblPrEx>
          <w:tblW w:w="9980" w:type="dxa"/>
          <w:tblLook w:val="04A0"/>
        </w:tblPrEx>
        <w:trPr>
          <w:trHeight w:val="1860"/>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45043EAC"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 xml:space="preserve">3. Filings to invest in foreign organizations, or to engage in certain activities through foreign organizations, 12 CFR </w:t>
            </w:r>
            <w:r w:rsidRPr="00EF7AD0">
              <w:rPr>
                <w:rFonts w:ascii="Source Sans Pro" w:hAnsi="Source Sans Pro" w:cs="Calibri"/>
                <w:snapToGrid/>
                <w:color w:val="000000"/>
                <w:sz w:val="20"/>
              </w:rPr>
              <w:t>303.183(b) and</w:t>
            </w:r>
            <w:r w:rsidRPr="00EF7AD0">
              <w:rPr>
                <w:rFonts w:ascii="Source Sans Pro" w:hAnsi="Source Sans Pro" w:cs="Calibri"/>
                <w:snapToGrid/>
                <w:color w:val="000000"/>
                <w:sz w:val="20"/>
              </w:rPr>
              <w:br/>
              <w:t>303.121, (Mandatory)</w:t>
            </w:r>
          </w:p>
        </w:tc>
        <w:tc>
          <w:tcPr>
            <w:tcW w:w="860" w:type="dxa"/>
            <w:tcBorders>
              <w:top w:val="nil"/>
              <w:left w:val="nil"/>
              <w:bottom w:val="single" w:sz="8" w:space="0" w:color="auto"/>
              <w:right w:val="single" w:sz="8" w:space="0" w:color="auto"/>
            </w:tcBorders>
            <w:shd w:val="clear" w:color="auto" w:fill="auto"/>
            <w:vAlign w:val="center"/>
            <w:hideMark/>
          </w:tcPr>
          <w:p w:rsidR="00EF7AD0" w:rsidRPr="00EF7AD0" w:rsidP="00EF7AD0" w14:paraId="4EE51337"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4.67</w:t>
            </w:r>
          </w:p>
        </w:tc>
        <w:tc>
          <w:tcPr>
            <w:tcW w:w="920" w:type="dxa"/>
            <w:tcBorders>
              <w:top w:val="nil"/>
              <w:left w:val="nil"/>
              <w:bottom w:val="single" w:sz="8" w:space="0" w:color="auto"/>
              <w:right w:val="single" w:sz="8" w:space="0" w:color="auto"/>
            </w:tcBorders>
            <w:shd w:val="clear" w:color="auto" w:fill="auto"/>
            <w:vAlign w:val="center"/>
            <w:hideMark/>
          </w:tcPr>
          <w:p w:rsidR="00EF7AD0" w:rsidRPr="00EF7AD0" w:rsidP="00EF7AD0" w14:paraId="451F10CD"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83</w:t>
            </w:r>
          </w:p>
        </w:tc>
        <w:tc>
          <w:tcPr>
            <w:tcW w:w="820" w:type="dxa"/>
            <w:tcBorders>
              <w:top w:val="nil"/>
              <w:left w:val="nil"/>
              <w:bottom w:val="single" w:sz="8" w:space="0" w:color="auto"/>
              <w:right w:val="single" w:sz="8" w:space="0" w:color="auto"/>
            </w:tcBorders>
            <w:shd w:val="clear" w:color="auto" w:fill="auto"/>
            <w:vAlign w:val="center"/>
            <w:hideMark/>
          </w:tcPr>
          <w:p w:rsidR="00EF7AD0" w:rsidRPr="00EF7AD0" w:rsidP="00EF7AD0" w14:paraId="53D470EC"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17</w:t>
            </w:r>
          </w:p>
        </w:tc>
        <w:tc>
          <w:tcPr>
            <w:tcW w:w="900" w:type="dxa"/>
            <w:tcBorders>
              <w:top w:val="nil"/>
              <w:left w:val="nil"/>
              <w:bottom w:val="single" w:sz="8" w:space="0" w:color="auto"/>
              <w:right w:val="single" w:sz="8" w:space="0" w:color="auto"/>
            </w:tcBorders>
            <w:shd w:val="clear" w:color="auto" w:fill="auto"/>
            <w:vAlign w:val="center"/>
            <w:hideMark/>
          </w:tcPr>
          <w:p w:rsidR="00EF7AD0" w:rsidRPr="00EF7AD0" w:rsidP="00EF7AD0" w14:paraId="17FCEF85"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EF7AD0" w:rsidRPr="00EF7AD0" w:rsidP="00EF7AD0" w14:paraId="5D7D765D"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EF7AD0" w:rsidRPr="00EF7AD0" w:rsidP="00EF7AD0" w14:paraId="3132BEB4"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EF7AD0" w:rsidRPr="00EF7AD0" w:rsidP="00EF7AD0" w14:paraId="02CACEF8"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EF7AD0" w:rsidRPr="00EF7AD0" w:rsidP="00EF7AD0" w14:paraId="3972AFD3" w14:textId="77777777">
            <w:pPr>
              <w:widowControl/>
              <w:ind w:firstLine="200" w:firstLineChars="100"/>
              <w:jc w:val="right"/>
              <w:rPr>
                <w:rFonts w:ascii="Source Sans Pro" w:hAnsi="Source Sans Pro" w:cs="Calibri"/>
                <w:snapToGrid/>
                <w:color w:val="000000"/>
                <w:sz w:val="20"/>
              </w:rPr>
            </w:pPr>
            <w:r w:rsidRPr="00EF7AD0">
              <w:rPr>
                <w:rFonts w:ascii="Source Sans Pro" w:hAnsi="Source Sans Pro" w:cs="Calibri"/>
                <w:snapToGrid/>
                <w:color w:val="000000"/>
                <w:sz w:val="20"/>
              </w:rPr>
              <w:t xml:space="preserve">$137.46 </w:t>
            </w:r>
          </w:p>
        </w:tc>
      </w:tr>
      <w:tr w14:paraId="3AB71D23" w14:textId="77777777" w:rsidTr="00A8087E">
        <w:tblPrEx>
          <w:tblW w:w="9980" w:type="dxa"/>
          <w:tblLook w:val="04A0"/>
        </w:tblPrEx>
        <w:trPr>
          <w:trHeight w:val="1392"/>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69A3BCF9"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4. Merger transactions involving foreign</w:t>
            </w:r>
            <w:r w:rsidRPr="00EF7AD0">
              <w:rPr>
                <w:rFonts w:ascii="Source Sans Pro" w:hAnsi="Source Sans Pro" w:cs="Calibri"/>
                <w:snapToGrid/>
                <w:color w:val="000000"/>
                <w:sz w:val="20"/>
              </w:rPr>
              <w:br/>
              <w:t>organizations, 12 CFR 303.185(b) and 12 CFR 303.62 (Mandatory)</w:t>
            </w:r>
          </w:p>
        </w:tc>
        <w:tc>
          <w:tcPr>
            <w:tcW w:w="860" w:type="dxa"/>
            <w:tcBorders>
              <w:top w:val="nil"/>
              <w:left w:val="nil"/>
              <w:bottom w:val="single" w:sz="8" w:space="0" w:color="auto"/>
              <w:right w:val="single" w:sz="8" w:space="0" w:color="auto"/>
            </w:tcBorders>
            <w:shd w:val="clear" w:color="auto" w:fill="auto"/>
            <w:vAlign w:val="center"/>
            <w:hideMark/>
          </w:tcPr>
          <w:p w:rsidR="00EF7AD0" w:rsidRPr="00EF7AD0" w:rsidP="00EF7AD0" w14:paraId="49959BC3"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0.23</w:t>
            </w:r>
          </w:p>
        </w:tc>
        <w:tc>
          <w:tcPr>
            <w:tcW w:w="920" w:type="dxa"/>
            <w:tcBorders>
              <w:top w:val="nil"/>
              <w:left w:val="nil"/>
              <w:bottom w:val="single" w:sz="8" w:space="0" w:color="auto"/>
              <w:right w:val="single" w:sz="8" w:space="0" w:color="auto"/>
            </w:tcBorders>
            <w:shd w:val="clear" w:color="auto" w:fill="auto"/>
            <w:vAlign w:val="center"/>
            <w:hideMark/>
          </w:tcPr>
          <w:p w:rsidR="00EF7AD0" w:rsidRPr="00EF7AD0" w:rsidP="00EF7AD0" w14:paraId="0B85529F"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67</w:t>
            </w:r>
          </w:p>
        </w:tc>
        <w:tc>
          <w:tcPr>
            <w:tcW w:w="820" w:type="dxa"/>
            <w:tcBorders>
              <w:top w:val="nil"/>
              <w:left w:val="nil"/>
              <w:bottom w:val="single" w:sz="8" w:space="0" w:color="auto"/>
              <w:right w:val="single" w:sz="8" w:space="0" w:color="auto"/>
            </w:tcBorders>
            <w:shd w:val="clear" w:color="auto" w:fill="auto"/>
            <w:vAlign w:val="center"/>
            <w:hideMark/>
          </w:tcPr>
          <w:p w:rsidR="00EF7AD0" w:rsidRPr="00EF7AD0" w:rsidP="00EF7AD0" w14:paraId="14BF5BE1"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33</w:t>
            </w:r>
          </w:p>
        </w:tc>
        <w:tc>
          <w:tcPr>
            <w:tcW w:w="900" w:type="dxa"/>
            <w:tcBorders>
              <w:top w:val="nil"/>
              <w:left w:val="nil"/>
              <w:bottom w:val="single" w:sz="8" w:space="0" w:color="auto"/>
              <w:right w:val="single" w:sz="8" w:space="0" w:color="auto"/>
            </w:tcBorders>
            <w:shd w:val="clear" w:color="auto" w:fill="auto"/>
            <w:vAlign w:val="center"/>
            <w:hideMark/>
          </w:tcPr>
          <w:p w:rsidR="00EF7AD0" w:rsidRPr="00EF7AD0" w:rsidP="00EF7AD0" w14:paraId="0C349079"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EF7AD0" w:rsidRPr="00EF7AD0" w:rsidP="00EF7AD0" w14:paraId="57971B3E"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EF7AD0" w:rsidRPr="00EF7AD0" w:rsidP="00EF7AD0" w14:paraId="5AFCF695"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EF7AD0" w:rsidRPr="00EF7AD0" w:rsidP="00EF7AD0" w14:paraId="358CA2E6"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EF7AD0" w:rsidRPr="00EF7AD0" w:rsidP="00EF7AD0" w14:paraId="6F521330" w14:textId="77777777">
            <w:pPr>
              <w:widowControl/>
              <w:ind w:firstLine="200" w:firstLineChars="100"/>
              <w:jc w:val="right"/>
              <w:rPr>
                <w:rFonts w:ascii="Source Sans Pro" w:hAnsi="Source Sans Pro" w:cs="Calibri"/>
                <w:snapToGrid/>
                <w:color w:val="000000"/>
                <w:sz w:val="20"/>
              </w:rPr>
            </w:pPr>
            <w:r w:rsidRPr="00EF7AD0">
              <w:rPr>
                <w:rFonts w:ascii="Source Sans Pro" w:hAnsi="Source Sans Pro" w:cs="Calibri"/>
                <w:snapToGrid/>
                <w:color w:val="000000"/>
                <w:sz w:val="20"/>
              </w:rPr>
              <w:t xml:space="preserve">$142.50 </w:t>
            </w:r>
          </w:p>
        </w:tc>
      </w:tr>
      <w:tr w14:paraId="6F64BAF2" w14:textId="77777777" w:rsidTr="00A8087E">
        <w:tblPrEx>
          <w:tblW w:w="9980" w:type="dxa"/>
          <w:tblLook w:val="04A0"/>
        </w:tblPrEx>
        <w:trPr>
          <w:trHeight w:val="1392"/>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1DE59591"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5. Filings by insured state nonmember banks to invest in, or divest its interest in, a foreign organization, 12 CFR 303.183 (Mandatory)</w:t>
            </w:r>
          </w:p>
        </w:tc>
        <w:tc>
          <w:tcPr>
            <w:tcW w:w="860" w:type="dxa"/>
            <w:tcBorders>
              <w:top w:val="nil"/>
              <w:left w:val="nil"/>
              <w:bottom w:val="single" w:sz="8" w:space="0" w:color="auto"/>
              <w:right w:val="single" w:sz="8" w:space="0" w:color="auto"/>
            </w:tcBorders>
            <w:shd w:val="clear" w:color="auto" w:fill="auto"/>
            <w:vAlign w:val="center"/>
            <w:hideMark/>
          </w:tcPr>
          <w:p w:rsidR="00EF7AD0" w:rsidRPr="00EF7AD0" w:rsidP="00EF7AD0" w14:paraId="0BA7AAF4"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0.08</w:t>
            </w:r>
          </w:p>
        </w:tc>
        <w:tc>
          <w:tcPr>
            <w:tcW w:w="920" w:type="dxa"/>
            <w:tcBorders>
              <w:top w:val="nil"/>
              <w:left w:val="nil"/>
              <w:bottom w:val="single" w:sz="8" w:space="0" w:color="auto"/>
              <w:right w:val="single" w:sz="8" w:space="0" w:color="auto"/>
            </w:tcBorders>
            <w:shd w:val="clear" w:color="auto" w:fill="auto"/>
            <w:vAlign w:val="center"/>
            <w:hideMark/>
          </w:tcPr>
          <w:p w:rsidR="00EF7AD0" w:rsidRPr="00EF7AD0" w:rsidP="00EF7AD0" w14:paraId="3A560CDC"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50</w:t>
            </w:r>
          </w:p>
        </w:tc>
        <w:tc>
          <w:tcPr>
            <w:tcW w:w="820" w:type="dxa"/>
            <w:tcBorders>
              <w:top w:val="nil"/>
              <w:left w:val="nil"/>
              <w:bottom w:val="single" w:sz="8" w:space="0" w:color="auto"/>
              <w:right w:val="single" w:sz="8" w:space="0" w:color="auto"/>
            </w:tcBorders>
            <w:shd w:val="clear" w:color="auto" w:fill="auto"/>
            <w:vAlign w:val="center"/>
            <w:hideMark/>
          </w:tcPr>
          <w:p w:rsidR="00EF7AD0" w:rsidRPr="00EF7AD0" w:rsidP="00EF7AD0" w14:paraId="123832EF"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EF7AD0" w:rsidRPr="00EF7AD0" w:rsidP="00EF7AD0" w14:paraId="1106BA97"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EF7AD0" w:rsidRPr="00EF7AD0" w:rsidP="00EF7AD0" w14:paraId="4A30FC6F"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EF7AD0" w:rsidRPr="00EF7AD0" w:rsidP="00EF7AD0" w14:paraId="54511666"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EF7AD0" w:rsidRPr="00EF7AD0" w:rsidP="00EF7AD0" w14:paraId="45D52C5C"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EF7AD0" w:rsidRPr="00EF7AD0" w:rsidP="00EF7AD0" w14:paraId="1E138F14" w14:textId="77777777">
            <w:pPr>
              <w:widowControl/>
              <w:ind w:firstLine="200" w:firstLineChars="100"/>
              <w:jc w:val="right"/>
              <w:rPr>
                <w:rFonts w:ascii="Source Sans Pro" w:hAnsi="Source Sans Pro" w:cs="Calibri"/>
                <w:snapToGrid/>
                <w:color w:val="000000"/>
                <w:sz w:val="20"/>
              </w:rPr>
            </w:pPr>
            <w:r w:rsidRPr="00EF7AD0">
              <w:rPr>
                <w:rFonts w:ascii="Source Sans Pro" w:hAnsi="Source Sans Pro" w:cs="Calibri"/>
                <w:snapToGrid/>
                <w:color w:val="000000"/>
                <w:sz w:val="20"/>
              </w:rPr>
              <w:t xml:space="preserve">$147.87 </w:t>
            </w:r>
          </w:p>
        </w:tc>
      </w:tr>
      <w:tr w14:paraId="3F2EEA74" w14:textId="77777777" w:rsidTr="00A8087E">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0664B71A"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6. Notice of foreign divestiture of foreign organization, 12 CFR 303.183(d) (Mandatory)</w:t>
            </w:r>
          </w:p>
        </w:tc>
        <w:tc>
          <w:tcPr>
            <w:tcW w:w="860" w:type="dxa"/>
            <w:tcBorders>
              <w:top w:val="nil"/>
              <w:left w:val="nil"/>
              <w:bottom w:val="single" w:sz="8" w:space="0" w:color="auto"/>
              <w:right w:val="single" w:sz="8" w:space="0" w:color="auto"/>
            </w:tcBorders>
            <w:shd w:val="clear" w:color="auto" w:fill="auto"/>
            <w:vAlign w:val="center"/>
            <w:hideMark/>
          </w:tcPr>
          <w:p w:rsidR="00EF7AD0" w:rsidRPr="00EF7AD0" w:rsidP="00EF7AD0" w14:paraId="60D1042F"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0.04</w:t>
            </w:r>
          </w:p>
        </w:tc>
        <w:tc>
          <w:tcPr>
            <w:tcW w:w="920" w:type="dxa"/>
            <w:tcBorders>
              <w:top w:val="nil"/>
              <w:left w:val="nil"/>
              <w:bottom w:val="single" w:sz="8" w:space="0" w:color="auto"/>
              <w:right w:val="single" w:sz="8" w:space="0" w:color="auto"/>
            </w:tcBorders>
            <w:shd w:val="clear" w:color="auto" w:fill="auto"/>
            <w:vAlign w:val="center"/>
            <w:hideMark/>
          </w:tcPr>
          <w:p w:rsidR="00EF7AD0" w:rsidRPr="00EF7AD0" w:rsidP="00EF7AD0" w14:paraId="4D9A7190"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100</w:t>
            </w:r>
          </w:p>
        </w:tc>
        <w:tc>
          <w:tcPr>
            <w:tcW w:w="820" w:type="dxa"/>
            <w:tcBorders>
              <w:top w:val="nil"/>
              <w:left w:val="nil"/>
              <w:bottom w:val="single" w:sz="8" w:space="0" w:color="auto"/>
              <w:right w:val="single" w:sz="8" w:space="0" w:color="auto"/>
            </w:tcBorders>
            <w:shd w:val="clear" w:color="auto" w:fill="auto"/>
            <w:vAlign w:val="center"/>
            <w:hideMark/>
          </w:tcPr>
          <w:p w:rsidR="00EF7AD0" w:rsidRPr="00EF7AD0" w:rsidP="00EF7AD0" w14:paraId="39039022"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EF7AD0" w:rsidRPr="00EF7AD0" w:rsidP="00EF7AD0" w14:paraId="58BD34A1"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EF7AD0" w:rsidRPr="00EF7AD0" w:rsidP="00EF7AD0" w14:paraId="6D98DAE1"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EF7AD0" w:rsidRPr="00EF7AD0" w:rsidP="00EF7AD0" w14:paraId="1C11D424"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EF7AD0" w:rsidRPr="00EF7AD0" w:rsidP="00EF7AD0" w14:paraId="730419DB"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EF7AD0" w:rsidRPr="00EF7AD0" w:rsidP="00EF7AD0" w14:paraId="7F60C9E9" w14:textId="77777777">
            <w:pPr>
              <w:widowControl/>
              <w:ind w:firstLine="200" w:firstLineChars="100"/>
              <w:jc w:val="right"/>
              <w:rPr>
                <w:rFonts w:ascii="Source Sans Pro" w:hAnsi="Source Sans Pro" w:cs="Calibri"/>
                <w:snapToGrid/>
                <w:color w:val="000000"/>
                <w:sz w:val="20"/>
              </w:rPr>
            </w:pPr>
            <w:r w:rsidRPr="00EF7AD0">
              <w:rPr>
                <w:rFonts w:ascii="Source Sans Pro" w:hAnsi="Source Sans Pro" w:cs="Calibri"/>
                <w:snapToGrid/>
                <w:color w:val="000000"/>
                <w:sz w:val="20"/>
              </w:rPr>
              <w:t xml:space="preserve">$132.10 </w:t>
            </w:r>
          </w:p>
        </w:tc>
      </w:tr>
      <w:tr w14:paraId="0072413F" w14:textId="77777777" w:rsidTr="00A8087E">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05E532E5"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7. Document policies and procedures for supervision of foreign activities, 12 CFR 347.116 (Mandatory)</w:t>
            </w:r>
          </w:p>
        </w:tc>
        <w:tc>
          <w:tcPr>
            <w:tcW w:w="860" w:type="dxa"/>
            <w:tcBorders>
              <w:top w:val="nil"/>
              <w:left w:val="nil"/>
              <w:bottom w:val="single" w:sz="8" w:space="0" w:color="auto"/>
              <w:right w:val="single" w:sz="8" w:space="0" w:color="auto"/>
            </w:tcBorders>
            <w:shd w:val="clear" w:color="auto" w:fill="auto"/>
            <w:vAlign w:val="center"/>
            <w:hideMark/>
          </w:tcPr>
          <w:p w:rsidR="00EF7AD0" w:rsidRPr="00EF7AD0" w:rsidP="00EF7AD0" w14:paraId="44DE2AFF"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93.35</w:t>
            </w:r>
          </w:p>
        </w:tc>
        <w:tc>
          <w:tcPr>
            <w:tcW w:w="920" w:type="dxa"/>
            <w:tcBorders>
              <w:top w:val="nil"/>
              <w:left w:val="nil"/>
              <w:bottom w:val="single" w:sz="8" w:space="0" w:color="auto"/>
              <w:right w:val="single" w:sz="8" w:space="0" w:color="auto"/>
            </w:tcBorders>
            <w:shd w:val="clear" w:color="auto" w:fill="auto"/>
            <w:vAlign w:val="center"/>
            <w:hideMark/>
          </w:tcPr>
          <w:p w:rsidR="00EF7AD0" w:rsidRPr="00EF7AD0" w:rsidP="00EF7AD0" w14:paraId="1A244E22"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75</w:t>
            </w:r>
          </w:p>
        </w:tc>
        <w:tc>
          <w:tcPr>
            <w:tcW w:w="820" w:type="dxa"/>
            <w:tcBorders>
              <w:top w:val="nil"/>
              <w:left w:val="nil"/>
              <w:bottom w:val="single" w:sz="8" w:space="0" w:color="auto"/>
              <w:right w:val="single" w:sz="8" w:space="0" w:color="auto"/>
            </w:tcBorders>
            <w:shd w:val="clear" w:color="auto" w:fill="auto"/>
            <w:vAlign w:val="center"/>
            <w:hideMark/>
          </w:tcPr>
          <w:p w:rsidR="00EF7AD0" w:rsidRPr="00EF7AD0" w:rsidP="00EF7AD0" w14:paraId="7DD62B7D"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12.5</w:t>
            </w:r>
          </w:p>
        </w:tc>
        <w:tc>
          <w:tcPr>
            <w:tcW w:w="900" w:type="dxa"/>
            <w:tcBorders>
              <w:top w:val="nil"/>
              <w:left w:val="nil"/>
              <w:bottom w:val="single" w:sz="8" w:space="0" w:color="auto"/>
              <w:right w:val="single" w:sz="8" w:space="0" w:color="auto"/>
            </w:tcBorders>
            <w:shd w:val="clear" w:color="auto" w:fill="auto"/>
            <w:vAlign w:val="center"/>
            <w:hideMark/>
          </w:tcPr>
          <w:p w:rsidR="00EF7AD0" w:rsidRPr="00EF7AD0" w:rsidP="00EF7AD0" w14:paraId="1C4F6302"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EF7AD0" w:rsidRPr="00EF7AD0" w:rsidP="00EF7AD0" w14:paraId="2C95FC4D"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EF7AD0" w:rsidRPr="00EF7AD0" w:rsidP="00EF7AD0" w14:paraId="10FCCEC6"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EF7AD0" w:rsidRPr="00EF7AD0" w:rsidP="00EF7AD0" w14:paraId="4D952944"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12.5</w:t>
            </w:r>
          </w:p>
        </w:tc>
        <w:tc>
          <w:tcPr>
            <w:tcW w:w="1400" w:type="dxa"/>
            <w:tcBorders>
              <w:top w:val="nil"/>
              <w:left w:val="nil"/>
              <w:bottom w:val="single" w:sz="8" w:space="0" w:color="auto"/>
              <w:right w:val="single" w:sz="8" w:space="0" w:color="auto"/>
            </w:tcBorders>
            <w:shd w:val="clear" w:color="auto" w:fill="auto"/>
            <w:vAlign w:val="center"/>
            <w:hideMark/>
          </w:tcPr>
          <w:p w:rsidR="00EF7AD0" w:rsidRPr="00EF7AD0" w:rsidP="00EF7AD0" w14:paraId="6E5CFD67" w14:textId="77777777">
            <w:pPr>
              <w:widowControl/>
              <w:ind w:firstLine="200" w:firstLineChars="100"/>
              <w:jc w:val="right"/>
              <w:rPr>
                <w:rFonts w:ascii="Source Sans Pro" w:hAnsi="Source Sans Pro" w:cs="Calibri"/>
                <w:snapToGrid/>
                <w:color w:val="000000"/>
                <w:sz w:val="20"/>
              </w:rPr>
            </w:pPr>
            <w:r w:rsidRPr="00EF7AD0">
              <w:rPr>
                <w:rFonts w:ascii="Source Sans Pro" w:hAnsi="Source Sans Pro" w:cs="Calibri"/>
                <w:snapToGrid/>
                <w:color w:val="000000"/>
                <w:sz w:val="20"/>
              </w:rPr>
              <w:t xml:space="preserve">$124.20 </w:t>
            </w:r>
          </w:p>
        </w:tc>
      </w:tr>
      <w:tr w14:paraId="15F6E4CD" w14:textId="77777777" w:rsidTr="00A8087E">
        <w:tblPrEx>
          <w:tblW w:w="9980" w:type="dxa"/>
          <w:tblLook w:val="04A0"/>
        </w:tblPrEx>
        <w:trPr>
          <w:trHeight w:val="300"/>
        </w:trPr>
        <w:tc>
          <w:tcPr>
            <w:tcW w:w="8580" w:type="dxa"/>
            <w:gridSpan w:val="8"/>
            <w:tcBorders>
              <w:top w:val="single" w:sz="8" w:space="0" w:color="auto"/>
              <w:left w:val="single" w:sz="8" w:space="0" w:color="auto"/>
              <w:bottom w:val="nil"/>
              <w:right w:val="nil"/>
            </w:tcBorders>
            <w:shd w:val="clear" w:color="auto" w:fill="auto"/>
            <w:vAlign w:val="center"/>
            <w:hideMark/>
          </w:tcPr>
          <w:p w:rsidR="00EF7AD0" w:rsidRPr="00EF7AD0" w:rsidP="00EF7AD0" w14:paraId="3A3DC5DC" w14:textId="77777777">
            <w:pPr>
              <w:widowControl/>
              <w:jc w:val="right"/>
              <w:rPr>
                <w:rFonts w:ascii="Source Sans Pro" w:hAnsi="Source Sans Pro" w:cs="Calibri"/>
                <w:b/>
                <w:bCs/>
                <w:i/>
                <w:iCs/>
                <w:snapToGrid/>
                <w:color w:val="000000"/>
                <w:sz w:val="22"/>
                <w:szCs w:val="22"/>
              </w:rPr>
            </w:pPr>
            <w:r w:rsidRPr="00EF7AD0">
              <w:rPr>
                <w:rFonts w:ascii="Source Sans Pro" w:hAnsi="Source Sans Pro" w:cs="Calibri"/>
                <w:b/>
                <w:bCs/>
                <w:i/>
                <w:iCs/>
                <w:snapToGrid/>
                <w:color w:val="000000"/>
                <w:sz w:val="22"/>
                <w:szCs w:val="22"/>
              </w:rPr>
              <w:t>Weighted Average Hourly Compensation Rate:</w:t>
            </w:r>
          </w:p>
        </w:tc>
        <w:tc>
          <w:tcPr>
            <w:tcW w:w="1400" w:type="dxa"/>
            <w:tcBorders>
              <w:top w:val="nil"/>
              <w:left w:val="nil"/>
              <w:bottom w:val="nil"/>
              <w:right w:val="single" w:sz="8" w:space="0" w:color="auto"/>
            </w:tcBorders>
            <w:shd w:val="clear" w:color="auto" w:fill="auto"/>
            <w:vAlign w:val="center"/>
            <w:hideMark/>
          </w:tcPr>
          <w:p w:rsidR="00EF7AD0" w:rsidRPr="00EF7AD0" w:rsidP="00EF7AD0" w14:paraId="6EDC56B2" w14:textId="77777777">
            <w:pPr>
              <w:widowControl/>
              <w:ind w:firstLine="220" w:firstLineChars="100"/>
              <w:jc w:val="right"/>
              <w:rPr>
                <w:rFonts w:ascii="Source Sans Pro" w:hAnsi="Source Sans Pro" w:cs="Calibri"/>
                <w:b/>
                <w:bCs/>
                <w:i/>
                <w:iCs/>
                <w:snapToGrid/>
                <w:color w:val="000000"/>
                <w:sz w:val="22"/>
                <w:szCs w:val="22"/>
              </w:rPr>
            </w:pPr>
            <w:r w:rsidRPr="00EF7AD0">
              <w:rPr>
                <w:rFonts w:ascii="Source Sans Pro" w:hAnsi="Source Sans Pro" w:cs="Calibri"/>
                <w:b/>
                <w:bCs/>
                <w:i/>
                <w:iCs/>
                <w:snapToGrid/>
                <w:color w:val="000000"/>
                <w:sz w:val="22"/>
                <w:szCs w:val="22"/>
              </w:rPr>
              <w:t xml:space="preserve">$125.15 </w:t>
            </w:r>
          </w:p>
        </w:tc>
      </w:tr>
      <w:tr w14:paraId="0D7919C8" w14:textId="77777777" w:rsidTr="00A8087E">
        <w:tblPrEx>
          <w:tblW w:w="9980" w:type="dxa"/>
          <w:tblLook w:val="04A0"/>
        </w:tblPrEx>
        <w:trPr>
          <w:trHeight w:val="252"/>
        </w:trPr>
        <w:tc>
          <w:tcPr>
            <w:tcW w:w="998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EF7AD0" w:rsidRPr="00EF7AD0" w:rsidP="00EF7AD0" w14:paraId="3BB442F2" w14:textId="77777777">
            <w:pPr>
              <w:widowControl/>
              <w:rPr>
                <w:rFonts w:ascii="Source Sans Pro" w:hAnsi="Source Sans Pro" w:cs="Calibri"/>
                <w:snapToGrid/>
                <w:color w:val="000000"/>
                <w:sz w:val="18"/>
                <w:szCs w:val="18"/>
              </w:rPr>
            </w:pPr>
            <w:r w:rsidRPr="00EF7AD0">
              <w:rPr>
                <w:rFonts w:ascii="Source Sans Pro" w:hAnsi="Source Sans Pro" w:cs="Calibri"/>
                <w:snapToGrid/>
                <w:color w:val="000000"/>
                <w:sz w:val="18"/>
                <w:szCs w:val="18"/>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June 2022).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6FDDDB74" w14:textId="77777777" w:rsidTr="00A8087E">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EF7AD0" w:rsidRPr="00EF7AD0" w:rsidP="00EF7AD0" w14:paraId="79DEB54A" w14:textId="77777777">
            <w:pPr>
              <w:widowControl/>
              <w:rPr>
                <w:rFonts w:ascii="Source Sans Pro" w:hAnsi="Source Sans Pro" w:cs="Calibri"/>
                <w:snapToGrid/>
                <w:color w:val="000000"/>
                <w:sz w:val="18"/>
                <w:szCs w:val="18"/>
              </w:rPr>
            </w:pPr>
          </w:p>
        </w:tc>
      </w:tr>
      <w:tr w14:paraId="7C56114C" w14:textId="77777777" w:rsidTr="00A8087E">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EF7AD0" w:rsidRPr="00EF7AD0" w:rsidP="00EF7AD0" w14:paraId="2D38EFD9" w14:textId="77777777">
            <w:pPr>
              <w:widowControl/>
              <w:rPr>
                <w:rFonts w:ascii="Source Sans Pro" w:hAnsi="Source Sans Pro" w:cs="Calibri"/>
                <w:snapToGrid/>
                <w:color w:val="000000"/>
                <w:sz w:val="18"/>
                <w:szCs w:val="18"/>
              </w:rPr>
            </w:pPr>
          </w:p>
        </w:tc>
      </w:tr>
      <w:tr w14:paraId="6CAED84D" w14:textId="77777777" w:rsidTr="00A8087E">
        <w:tblPrEx>
          <w:tblW w:w="9980" w:type="dxa"/>
          <w:tblLook w:val="04A0"/>
        </w:tblPrEx>
        <w:trPr>
          <w:trHeight w:val="312"/>
        </w:trPr>
        <w:tc>
          <w:tcPr>
            <w:tcW w:w="9980" w:type="dxa"/>
            <w:gridSpan w:val="9"/>
            <w:vMerge/>
            <w:tcBorders>
              <w:top w:val="single" w:sz="8" w:space="0" w:color="auto"/>
              <w:left w:val="single" w:sz="8" w:space="0" w:color="auto"/>
              <w:bottom w:val="nil"/>
              <w:right w:val="single" w:sz="8" w:space="0" w:color="000000"/>
            </w:tcBorders>
            <w:vAlign w:val="center"/>
            <w:hideMark/>
          </w:tcPr>
          <w:p w:rsidR="00EF7AD0" w:rsidRPr="00EF7AD0" w:rsidP="00EF7AD0" w14:paraId="0CE29D07" w14:textId="77777777">
            <w:pPr>
              <w:widowControl/>
              <w:rPr>
                <w:rFonts w:ascii="Source Sans Pro" w:hAnsi="Source Sans Pro" w:cs="Calibri"/>
                <w:snapToGrid/>
                <w:color w:val="000000"/>
                <w:sz w:val="18"/>
                <w:szCs w:val="18"/>
              </w:rPr>
            </w:pPr>
          </w:p>
        </w:tc>
      </w:tr>
      <w:tr w14:paraId="295074A5" w14:textId="77777777" w:rsidTr="00A8087E">
        <w:tblPrEx>
          <w:tblW w:w="9980" w:type="dxa"/>
          <w:tblLook w:val="04A0"/>
        </w:tblPrEx>
        <w:trPr>
          <w:trHeight w:val="348"/>
        </w:trPr>
        <w:tc>
          <w:tcPr>
            <w:tcW w:w="9980" w:type="dxa"/>
            <w:gridSpan w:val="9"/>
            <w:vMerge/>
            <w:tcBorders>
              <w:top w:val="single" w:sz="8" w:space="0" w:color="auto"/>
              <w:left w:val="single" w:sz="8" w:space="0" w:color="auto"/>
              <w:bottom w:val="nil"/>
              <w:right w:val="single" w:sz="8" w:space="0" w:color="000000"/>
            </w:tcBorders>
            <w:vAlign w:val="center"/>
            <w:hideMark/>
          </w:tcPr>
          <w:p w:rsidR="00EF7AD0" w:rsidRPr="00EF7AD0" w:rsidP="00EF7AD0" w14:paraId="0AACFC1C" w14:textId="77777777">
            <w:pPr>
              <w:widowControl/>
              <w:rPr>
                <w:rFonts w:ascii="Source Sans Pro" w:hAnsi="Source Sans Pro" w:cs="Calibri"/>
                <w:snapToGrid/>
                <w:color w:val="000000"/>
                <w:sz w:val="18"/>
                <w:szCs w:val="18"/>
              </w:rPr>
            </w:pPr>
          </w:p>
        </w:tc>
      </w:tr>
      <w:tr w14:paraId="6DBFE1D5" w14:textId="77777777" w:rsidTr="00A8087E">
        <w:tblPrEx>
          <w:tblW w:w="9980" w:type="dxa"/>
          <w:tblLook w:val="04A0"/>
        </w:tblPrEx>
        <w:trPr>
          <w:trHeight w:val="288"/>
        </w:trPr>
        <w:tc>
          <w:tcPr>
            <w:tcW w:w="9980" w:type="dxa"/>
            <w:gridSpan w:val="9"/>
            <w:vMerge w:val="restart"/>
            <w:tcBorders>
              <w:top w:val="nil"/>
              <w:left w:val="single" w:sz="8" w:space="0" w:color="auto"/>
              <w:bottom w:val="single" w:sz="8" w:space="0" w:color="000000"/>
              <w:right w:val="single" w:sz="8" w:space="0" w:color="000000"/>
            </w:tcBorders>
            <w:shd w:val="clear" w:color="auto" w:fill="auto"/>
            <w:vAlign w:val="center"/>
            <w:hideMark/>
          </w:tcPr>
          <w:p w:rsidR="00EF7AD0" w:rsidRPr="00EF7AD0" w:rsidP="00EF7AD0" w14:paraId="0E97B9CF" w14:textId="77777777">
            <w:pPr>
              <w:widowControl/>
              <w:rPr>
                <w:rFonts w:ascii="Source Sans Pro" w:hAnsi="Source Sans Pro" w:cs="Calibri"/>
                <w:snapToGrid/>
                <w:color w:val="000000"/>
                <w:sz w:val="18"/>
                <w:szCs w:val="18"/>
              </w:rPr>
            </w:pPr>
            <w:r w:rsidRPr="00EF7AD0">
              <w:rPr>
                <w:rFonts w:ascii="Source Sans Pro" w:hAnsi="Source Sans Pro" w:cs="Calibri"/>
                <w:snapToGrid/>
                <w:color w:val="000000"/>
                <w:sz w:val="18"/>
                <w:szCs w:val="18"/>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14:paraId="599C87FB" w14:textId="77777777" w:rsidTr="00A8087E">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EF7AD0" w:rsidRPr="00EF7AD0" w:rsidP="00EF7AD0" w14:paraId="7547ABF3" w14:textId="77777777">
            <w:pPr>
              <w:widowControl/>
              <w:rPr>
                <w:rFonts w:ascii="Source Sans Pro" w:hAnsi="Source Sans Pro" w:cs="Calibri"/>
                <w:snapToGrid/>
                <w:color w:val="000000"/>
                <w:sz w:val="18"/>
                <w:szCs w:val="18"/>
              </w:rPr>
            </w:pPr>
          </w:p>
        </w:tc>
      </w:tr>
      <w:tr w14:paraId="1F83E782" w14:textId="77777777" w:rsidTr="00A8087E">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EF7AD0" w:rsidRPr="00EF7AD0" w:rsidP="00EF7AD0" w14:paraId="65198804" w14:textId="77777777">
            <w:pPr>
              <w:widowControl/>
              <w:rPr>
                <w:rFonts w:ascii="Source Sans Pro" w:hAnsi="Source Sans Pro" w:cs="Calibri"/>
                <w:snapToGrid/>
                <w:color w:val="000000"/>
                <w:sz w:val="18"/>
                <w:szCs w:val="18"/>
              </w:rPr>
            </w:pPr>
          </w:p>
        </w:tc>
      </w:tr>
      <w:tr w14:paraId="380C85F0" w14:textId="77777777" w:rsidTr="00A8087E">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EF7AD0" w:rsidRPr="00EF7AD0" w:rsidP="00EF7AD0" w14:paraId="225528D7" w14:textId="77777777">
            <w:pPr>
              <w:widowControl/>
              <w:rPr>
                <w:rFonts w:ascii="Source Sans Pro" w:hAnsi="Source Sans Pro" w:cs="Calibri"/>
                <w:snapToGrid/>
                <w:color w:val="000000"/>
                <w:sz w:val="18"/>
                <w:szCs w:val="18"/>
              </w:rPr>
            </w:pPr>
          </w:p>
        </w:tc>
      </w:tr>
      <w:tr w14:paraId="377EA513" w14:textId="77777777" w:rsidTr="00A8087E">
        <w:tblPrEx>
          <w:tblW w:w="9980" w:type="dxa"/>
          <w:tblLook w:val="04A0"/>
        </w:tblPrEx>
        <w:trPr>
          <w:trHeight w:val="300"/>
        </w:trPr>
        <w:tc>
          <w:tcPr>
            <w:tcW w:w="9980" w:type="dxa"/>
            <w:gridSpan w:val="9"/>
            <w:vMerge/>
            <w:tcBorders>
              <w:top w:val="nil"/>
              <w:left w:val="single" w:sz="8" w:space="0" w:color="auto"/>
              <w:bottom w:val="single" w:sz="8" w:space="0" w:color="000000"/>
              <w:right w:val="single" w:sz="8" w:space="0" w:color="000000"/>
            </w:tcBorders>
            <w:vAlign w:val="center"/>
            <w:hideMark/>
          </w:tcPr>
          <w:p w:rsidR="00EF7AD0" w:rsidRPr="00EF7AD0" w:rsidP="00EF7AD0" w14:paraId="537B2D1D" w14:textId="77777777">
            <w:pPr>
              <w:widowControl/>
              <w:rPr>
                <w:rFonts w:ascii="Source Sans Pro" w:hAnsi="Source Sans Pro" w:cs="Calibri"/>
                <w:snapToGrid/>
                <w:color w:val="000000"/>
                <w:sz w:val="18"/>
                <w:szCs w:val="18"/>
              </w:rPr>
            </w:pPr>
          </w:p>
        </w:tc>
      </w:tr>
    </w:tbl>
    <w:p w:rsidR="00EF7AD0" w:rsidP="00881712" w14:paraId="108FA731" w14:textId="77777777">
      <w:pPr>
        <w:tabs>
          <w:tab w:val="left" w:pos="-1440"/>
        </w:tabs>
        <w:ind w:firstLine="720"/>
        <w:rPr>
          <w:rFonts w:ascii="Times New Roman" w:hAnsi="Times New Roman"/>
          <w:bCs/>
          <w:i/>
          <w:iCs/>
          <w:szCs w:val="24"/>
        </w:rPr>
      </w:pPr>
    </w:p>
    <w:p w:rsidR="00EF7AD0" w:rsidP="00881712" w14:paraId="720DBBBE" w14:textId="77777777">
      <w:pPr>
        <w:tabs>
          <w:tab w:val="left" w:pos="-1440"/>
        </w:tabs>
        <w:ind w:firstLine="720"/>
        <w:rPr>
          <w:rFonts w:ascii="Times New Roman" w:hAnsi="Times New Roman"/>
          <w:bCs/>
          <w:i/>
          <w:iCs/>
          <w:szCs w:val="24"/>
        </w:rPr>
      </w:pPr>
    </w:p>
    <w:p w:rsidR="00EF7AD0" w:rsidP="00881712" w14:paraId="13E86A07" w14:textId="77777777">
      <w:pPr>
        <w:tabs>
          <w:tab w:val="left" w:pos="-1440"/>
        </w:tabs>
        <w:ind w:firstLine="720"/>
        <w:rPr>
          <w:rFonts w:ascii="Times New Roman" w:hAnsi="Times New Roman"/>
          <w:bCs/>
          <w:i/>
          <w:iCs/>
          <w:szCs w:val="24"/>
        </w:rPr>
      </w:pPr>
    </w:p>
    <w:p w:rsidR="00EF7AD0" w:rsidP="00881712" w14:paraId="563847B6" w14:textId="77777777">
      <w:pPr>
        <w:tabs>
          <w:tab w:val="left" w:pos="-1440"/>
        </w:tabs>
        <w:ind w:firstLine="720"/>
        <w:rPr>
          <w:rFonts w:ascii="Times New Roman" w:hAnsi="Times New Roman"/>
          <w:bCs/>
          <w:i/>
          <w:iCs/>
          <w:szCs w:val="24"/>
        </w:rPr>
      </w:pPr>
    </w:p>
    <w:p w:rsidR="00EF7AD0" w:rsidP="00881712" w14:paraId="482401A9" w14:textId="77777777">
      <w:pPr>
        <w:tabs>
          <w:tab w:val="left" w:pos="-1440"/>
        </w:tabs>
        <w:ind w:firstLine="720"/>
        <w:rPr>
          <w:rFonts w:ascii="Times New Roman" w:hAnsi="Times New Roman"/>
          <w:bCs/>
          <w:i/>
          <w:iCs/>
          <w:szCs w:val="24"/>
        </w:rPr>
      </w:pPr>
    </w:p>
    <w:tbl>
      <w:tblPr>
        <w:tblW w:w="9422" w:type="dxa"/>
        <w:tblLook w:val="04A0"/>
      </w:tblPr>
      <w:tblGrid>
        <w:gridCol w:w="2232"/>
        <w:gridCol w:w="3063"/>
        <w:gridCol w:w="2168"/>
        <w:gridCol w:w="1959"/>
      </w:tblGrid>
      <w:tr w14:paraId="19A13D1C" w14:textId="77777777" w:rsidTr="00A8087E">
        <w:tblPrEx>
          <w:tblW w:w="9422" w:type="dxa"/>
          <w:tblLook w:val="04A0"/>
        </w:tblPrEx>
        <w:trPr>
          <w:trHeight w:val="360"/>
        </w:trPr>
        <w:tc>
          <w:tcPr>
            <w:tcW w:w="942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F7AD0" w:rsidRPr="00EF7AD0" w:rsidP="00EF7AD0" w14:paraId="2860837E" w14:textId="77777777">
            <w:pPr>
              <w:suppressAutoHyphens/>
              <w:autoSpaceDE w:val="0"/>
              <w:autoSpaceDN w:val="0"/>
              <w:spacing w:after="240" w:line="260" w:lineRule="exact"/>
              <w:ind w:right="-86"/>
              <w:jc w:val="center"/>
              <w:rPr>
                <w:rFonts w:ascii="Source Sans Pro" w:hAnsi="Source Sans Pro" w:cs="Calibri"/>
                <w:snapToGrid/>
                <w:color w:val="000000"/>
                <w:szCs w:val="24"/>
              </w:rPr>
            </w:pPr>
            <w:r w:rsidRPr="00EF7AD0">
              <w:rPr>
                <w:rFonts w:ascii="Source Sans Pro" w:hAnsi="Source Sans Pro" w:cs="Calibri"/>
                <w:snapToGrid/>
                <w:color w:val="000000"/>
                <w:szCs w:val="24"/>
              </w:rPr>
              <w:t>Total Estimated Cost Burden (OMB No. 3064-0125)</w:t>
            </w:r>
          </w:p>
        </w:tc>
      </w:tr>
      <w:tr w14:paraId="6971BA34" w14:textId="77777777" w:rsidTr="00A8087E">
        <w:tblPrEx>
          <w:tblW w:w="9422" w:type="dxa"/>
          <w:tblLook w:val="04A0"/>
        </w:tblPrEx>
        <w:trPr>
          <w:trHeight w:val="600"/>
        </w:trPr>
        <w:tc>
          <w:tcPr>
            <w:tcW w:w="223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59B227D3"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Information Collection Request</w:t>
            </w:r>
          </w:p>
        </w:tc>
        <w:tc>
          <w:tcPr>
            <w:tcW w:w="3063" w:type="dxa"/>
            <w:tcBorders>
              <w:top w:val="nil"/>
              <w:left w:val="nil"/>
              <w:bottom w:val="single" w:sz="8" w:space="0" w:color="auto"/>
              <w:right w:val="single" w:sz="8" w:space="0" w:color="auto"/>
            </w:tcBorders>
            <w:shd w:val="clear" w:color="auto" w:fill="auto"/>
            <w:vAlign w:val="center"/>
            <w:hideMark/>
          </w:tcPr>
          <w:p w:rsidR="00EF7AD0" w:rsidRPr="00EF7AD0" w:rsidP="00EF7AD0" w14:paraId="22AE9C86"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Annual Burden (Hours)</w:t>
            </w:r>
          </w:p>
        </w:tc>
        <w:tc>
          <w:tcPr>
            <w:tcW w:w="2168" w:type="dxa"/>
            <w:tcBorders>
              <w:top w:val="nil"/>
              <w:left w:val="nil"/>
              <w:bottom w:val="single" w:sz="8" w:space="0" w:color="auto"/>
              <w:right w:val="single" w:sz="8" w:space="0" w:color="auto"/>
            </w:tcBorders>
            <w:shd w:val="clear" w:color="auto" w:fill="auto"/>
            <w:vAlign w:val="center"/>
            <w:hideMark/>
          </w:tcPr>
          <w:p w:rsidR="00EF7AD0" w:rsidRPr="00EF7AD0" w:rsidP="00EF7AD0" w14:paraId="1FB7967A"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Weighted Average Hourly Compensation Rate</w:t>
            </w:r>
          </w:p>
        </w:tc>
        <w:tc>
          <w:tcPr>
            <w:tcW w:w="1959" w:type="dxa"/>
            <w:tcBorders>
              <w:top w:val="nil"/>
              <w:left w:val="nil"/>
              <w:bottom w:val="single" w:sz="8" w:space="0" w:color="auto"/>
              <w:right w:val="single" w:sz="8" w:space="0" w:color="auto"/>
            </w:tcBorders>
            <w:shd w:val="clear" w:color="auto" w:fill="auto"/>
            <w:vAlign w:val="center"/>
            <w:hideMark/>
          </w:tcPr>
          <w:p w:rsidR="00EF7AD0" w:rsidRPr="00EF7AD0" w:rsidP="00EF7AD0" w14:paraId="611478F8" w14:textId="77777777">
            <w:pPr>
              <w:widowControl/>
              <w:jc w:val="center"/>
              <w:rPr>
                <w:rFonts w:ascii="Source Sans Pro" w:hAnsi="Source Sans Pro" w:cs="Calibri"/>
                <w:snapToGrid/>
                <w:color w:val="000000"/>
                <w:sz w:val="20"/>
              </w:rPr>
            </w:pPr>
            <w:r w:rsidRPr="00EF7AD0">
              <w:rPr>
                <w:rFonts w:ascii="Source Sans Pro" w:hAnsi="Source Sans Pro" w:cs="Calibri"/>
                <w:snapToGrid/>
                <w:color w:val="000000"/>
                <w:sz w:val="20"/>
              </w:rPr>
              <w:t>Annual Respondent Cost</w:t>
            </w:r>
          </w:p>
        </w:tc>
      </w:tr>
      <w:tr w14:paraId="56E06B78" w14:textId="77777777" w:rsidTr="00A8087E">
        <w:tblPrEx>
          <w:tblW w:w="9422" w:type="dxa"/>
          <w:tblLook w:val="04A0"/>
        </w:tblPrEx>
        <w:trPr>
          <w:trHeight w:val="864"/>
        </w:trPr>
        <w:tc>
          <w:tcPr>
            <w:tcW w:w="2232" w:type="dxa"/>
            <w:tcBorders>
              <w:top w:val="nil"/>
              <w:left w:val="single" w:sz="8" w:space="0" w:color="auto"/>
              <w:bottom w:val="single" w:sz="8" w:space="0" w:color="auto"/>
              <w:right w:val="single" w:sz="8" w:space="0" w:color="auto"/>
            </w:tcBorders>
            <w:shd w:val="clear" w:color="auto" w:fill="auto"/>
            <w:vAlign w:val="center"/>
            <w:hideMark/>
          </w:tcPr>
          <w:p w:rsidR="00EF7AD0" w:rsidRPr="00EF7AD0" w:rsidP="00EF7AD0" w14:paraId="4B013D40" w14:textId="77777777">
            <w:pPr>
              <w:widowControl/>
              <w:rPr>
                <w:rFonts w:ascii="Source Sans Pro" w:hAnsi="Source Sans Pro" w:cs="Calibri"/>
                <w:snapToGrid/>
                <w:color w:val="000000"/>
                <w:sz w:val="20"/>
              </w:rPr>
            </w:pPr>
            <w:r w:rsidRPr="00EF7AD0">
              <w:rPr>
                <w:rFonts w:ascii="Source Sans Pro" w:hAnsi="Source Sans Pro" w:cs="Calibri"/>
                <w:snapToGrid/>
                <w:color w:val="000000"/>
                <w:sz w:val="20"/>
              </w:rPr>
              <w:t>Foreign Banking and Investment</w:t>
            </w:r>
          </w:p>
        </w:tc>
        <w:tc>
          <w:tcPr>
            <w:tcW w:w="3063"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09978A5C" w14:textId="77777777">
            <w:pPr>
              <w:widowControl/>
              <w:ind w:firstLine="400" w:firstLineChars="200"/>
              <w:jc w:val="right"/>
              <w:rPr>
                <w:rFonts w:ascii="Source Sans Pro" w:hAnsi="Source Sans Pro" w:cs="Calibri"/>
                <w:snapToGrid/>
                <w:color w:val="000000"/>
                <w:sz w:val="20"/>
              </w:rPr>
            </w:pPr>
            <w:r w:rsidRPr="00EF7AD0">
              <w:rPr>
                <w:rFonts w:ascii="Source Sans Pro" w:hAnsi="Source Sans Pro" w:cs="Calibri"/>
                <w:snapToGrid/>
                <w:color w:val="000000"/>
                <w:sz w:val="20"/>
              </w:rPr>
              <w:t xml:space="preserve">                                            2,571 </w:t>
            </w:r>
          </w:p>
        </w:tc>
        <w:tc>
          <w:tcPr>
            <w:tcW w:w="2168"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15A39130" w14:textId="77777777">
            <w:pPr>
              <w:widowControl/>
              <w:ind w:firstLine="200" w:firstLineChars="100"/>
              <w:jc w:val="right"/>
              <w:rPr>
                <w:rFonts w:ascii="Source Sans Pro" w:hAnsi="Source Sans Pro" w:cs="Calibri"/>
                <w:snapToGrid/>
                <w:color w:val="000000"/>
                <w:sz w:val="20"/>
              </w:rPr>
            </w:pPr>
            <w:r w:rsidRPr="00EF7AD0">
              <w:rPr>
                <w:rFonts w:ascii="Source Sans Pro" w:hAnsi="Source Sans Pro" w:cs="Calibri"/>
                <w:snapToGrid/>
                <w:color w:val="000000"/>
                <w:sz w:val="20"/>
              </w:rPr>
              <w:t>$125.15</w:t>
            </w:r>
          </w:p>
        </w:tc>
        <w:tc>
          <w:tcPr>
            <w:tcW w:w="1959" w:type="dxa"/>
            <w:tcBorders>
              <w:top w:val="nil"/>
              <w:left w:val="nil"/>
              <w:bottom w:val="single" w:sz="8" w:space="0" w:color="auto"/>
              <w:right w:val="single" w:sz="8" w:space="0" w:color="auto"/>
            </w:tcBorders>
            <w:shd w:val="clear" w:color="auto" w:fill="auto"/>
            <w:noWrap/>
            <w:vAlign w:val="center"/>
            <w:hideMark/>
          </w:tcPr>
          <w:p w:rsidR="00EF7AD0" w:rsidRPr="00EF7AD0" w:rsidP="00EF7AD0" w14:paraId="3F05A6E5" w14:textId="77777777">
            <w:pPr>
              <w:widowControl/>
              <w:ind w:firstLine="200" w:firstLineChars="100"/>
              <w:jc w:val="right"/>
              <w:rPr>
                <w:rFonts w:ascii="Source Sans Pro" w:hAnsi="Source Sans Pro" w:cs="Calibri"/>
                <w:snapToGrid/>
                <w:color w:val="000000"/>
                <w:sz w:val="20"/>
              </w:rPr>
            </w:pPr>
            <w:r w:rsidRPr="00EF7AD0">
              <w:rPr>
                <w:rFonts w:ascii="Source Sans Pro" w:hAnsi="Source Sans Pro" w:cs="Calibri"/>
                <w:snapToGrid/>
                <w:color w:val="000000"/>
                <w:sz w:val="20"/>
              </w:rPr>
              <w:t>$321,761</w:t>
            </w:r>
          </w:p>
        </w:tc>
      </w:tr>
      <w:tr w14:paraId="33C1240F" w14:textId="77777777" w:rsidTr="00A8087E">
        <w:tblPrEx>
          <w:tblW w:w="9422" w:type="dxa"/>
          <w:tblLook w:val="04A0"/>
        </w:tblPrEx>
        <w:trPr>
          <w:trHeight w:val="360"/>
        </w:trPr>
        <w:tc>
          <w:tcPr>
            <w:tcW w:w="7463"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EF7AD0" w:rsidRPr="00EF7AD0" w:rsidP="00EF7AD0" w14:paraId="7A87B0FC" w14:textId="77777777">
            <w:pPr>
              <w:widowControl/>
              <w:jc w:val="right"/>
              <w:rPr>
                <w:rFonts w:ascii="Source Sans Pro" w:hAnsi="Source Sans Pro" w:cs="Calibri"/>
                <w:b/>
                <w:bCs/>
                <w:i/>
                <w:iCs/>
                <w:snapToGrid/>
                <w:color w:val="000000"/>
                <w:sz w:val="22"/>
                <w:szCs w:val="22"/>
              </w:rPr>
            </w:pPr>
            <w:r w:rsidRPr="00EF7AD0">
              <w:rPr>
                <w:rFonts w:ascii="Source Sans Pro" w:hAnsi="Source Sans Pro" w:cs="Calibri"/>
                <w:b/>
                <w:bCs/>
                <w:i/>
                <w:iCs/>
                <w:snapToGrid/>
                <w:color w:val="000000"/>
                <w:sz w:val="22"/>
                <w:szCs w:val="22"/>
              </w:rPr>
              <w:t>Total Annual Respondent Cost:</w:t>
            </w:r>
          </w:p>
        </w:tc>
        <w:tc>
          <w:tcPr>
            <w:tcW w:w="1959" w:type="dxa"/>
            <w:tcBorders>
              <w:top w:val="nil"/>
              <w:left w:val="nil"/>
              <w:bottom w:val="single" w:sz="8" w:space="0" w:color="auto"/>
              <w:right w:val="single" w:sz="8" w:space="0" w:color="auto"/>
            </w:tcBorders>
            <w:shd w:val="clear" w:color="000000" w:fill="FFFFFF"/>
            <w:vAlign w:val="center"/>
            <w:hideMark/>
          </w:tcPr>
          <w:p w:rsidR="00EF7AD0" w:rsidRPr="00EF7AD0" w:rsidP="00EF7AD0" w14:paraId="429D9DF2" w14:textId="77777777">
            <w:pPr>
              <w:widowControl/>
              <w:ind w:firstLine="220" w:firstLineChars="100"/>
              <w:jc w:val="right"/>
              <w:rPr>
                <w:rFonts w:ascii="Source Sans Pro" w:hAnsi="Source Sans Pro" w:cs="Calibri"/>
                <w:b/>
                <w:bCs/>
                <w:i/>
                <w:iCs/>
                <w:snapToGrid/>
                <w:color w:val="000000"/>
                <w:sz w:val="22"/>
                <w:szCs w:val="22"/>
              </w:rPr>
            </w:pPr>
            <w:r w:rsidRPr="00EF7AD0">
              <w:rPr>
                <w:rFonts w:ascii="Source Sans Pro" w:hAnsi="Source Sans Pro" w:cs="Calibri"/>
                <w:b/>
                <w:bCs/>
                <w:i/>
                <w:iCs/>
                <w:snapToGrid/>
                <w:color w:val="000000"/>
                <w:sz w:val="22"/>
                <w:szCs w:val="22"/>
              </w:rPr>
              <w:t xml:space="preserve">$321,761 </w:t>
            </w:r>
          </w:p>
        </w:tc>
      </w:tr>
      <w:tr w14:paraId="3F309358" w14:textId="77777777" w:rsidTr="00A8087E">
        <w:tblPrEx>
          <w:tblW w:w="9422" w:type="dxa"/>
          <w:tblLook w:val="04A0"/>
        </w:tblPrEx>
        <w:trPr>
          <w:trHeight w:val="286"/>
        </w:trPr>
        <w:tc>
          <w:tcPr>
            <w:tcW w:w="9422"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EF7AD0" w:rsidRPr="00EF7AD0" w:rsidP="00EF7AD0" w14:paraId="13911072" w14:textId="77777777">
            <w:pPr>
              <w:widowControl/>
              <w:rPr>
                <w:rFonts w:ascii="Source Sans Pro" w:hAnsi="Source Sans Pro" w:cs="Calibri"/>
                <w:snapToGrid/>
                <w:color w:val="000000"/>
                <w:sz w:val="18"/>
                <w:szCs w:val="18"/>
              </w:rPr>
            </w:pPr>
            <w:r w:rsidRPr="00EF7AD0">
              <w:rPr>
                <w:rFonts w:ascii="Source Sans Pro" w:hAnsi="Source Sans Pro" w:cs="Calibri"/>
                <w:snapToGrid/>
                <w:color w:val="000000"/>
                <w:sz w:val="18"/>
                <w:szCs w:val="18"/>
              </w:rPr>
              <w:t>Source: FDIC.</w:t>
            </w:r>
          </w:p>
        </w:tc>
      </w:tr>
    </w:tbl>
    <w:p w:rsidR="007562B8" w:rsidRPr="005709AF" w:rsidP="00EF7AD0" w14:paraId="45917E12" w14:textId="77777777">
      <w:pPr>
        <w:widowControl/>
        <w:rPr>
          <w:rFonts w:ascii="Times New Roman" w:hAnsi="Times New Roman"/>
          <w:b/>
          <w:snapToGrid/>
          <w:szCs w:val="24"/>
        </w:rPr>
      </w:pPr>
      <w:r w:rsidRPr="002A5F6B">
        <w:rPr>
          <w:rFonts w:ascii="Times New Roman" w:hAnsi="Times New Roman"/>
          <w:snapToGrid/>
          <w:szCs w:val="24"/>
        </w:rPr>
        <w:t xml:space="preserve"> </w:t>
      </w:r>
    </w:p>
    <w:p w:rsidR="007562B8" w14:paraId="799E4FFA" w14:textId="77777777">
      <w:pPr>
        <w:rPr>
          <w:rFonts w:ascii="Times New Roman" w:hAnsi="Times New Roman"/>
        </w:rPr>
      </w:pPr>
    </w:p>
    <w:p w:rsidR="007B6C63" w:rsidRPr="000B0581" w:rsidP="000B0581" w14:paraId="496F290C" w14:textId="77777777">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007B6C63" w:rsidRPr="000B0581" w14:paraId="48869BAF" w14:textId="77777777">
      <w:pPr>
        <w:rPr>
          <w:rFonts w:ascii="Times New Roman" w:hAnsi="Times New Roman"/>
          <w:b/>
          <w:u w:val="single"/>
        </w:rPr>
      </w:pPr>
    </w:p>
    <w:p w:rsidR="007B6C63" w:rsidP="000B0581" w14:paraId="6F0F58BF" w14:textId="77777777">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14:paraId="3ACC7EDD" w14:textId="77777777">
      <w:pPr>
        <w:rPr>
          <w:rFonts w:ascii="Times New Roman" w:hAnsi="Times New Roman"/>
        </w:rPr>
      </w:pPr>
    </w:p>
    <w:p w:rsidR="007B6C63" w:rsidP="00A1019D" w14:paraId="522BB847" w14:textId="77777777">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14:paraId="72496D62" w14:textId="77777777">
      <w:pPr>
        <w:ind w:firstLine="720"/>
        <w:rPr>
          <w:rFonts w:ascii="Times New Roman" w:hAnsi="Times New Roman"/>
        </w:rPr>
      </w:pPr>
    </w:p>
    <w:p w:rsidR="007B6C63" w:rsidP="000B0581" w14:paraId="05F63088" w14:textId="77777777">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14:paraId="50B0827C" w14:textId="77777777">
      <w:pPr>
        <w:rPr>
          <w:rFonts w:ascii="Times New Roman" w:hAnsi="Times New Roman"/>
        </w:rPr>
      </w:pPr>
    </w:p>
    <w:p w:rsidR="007B6C63" w:rsidP="00B61AD2" w14:paraId="1E8AA7EA" w14:textId="77777777">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14:paraId="48587FD1" w14:textId="77777777">
      <w:pPr>
        <w:keepNext/>
        <w:rPr>
          <w:rFonts w:ascii="Times New Roman" w:hAnsi="Times New Roman"/>
        </w:rPr>
      </w:pPr>
    </w:p>
    <w:p w:rsidR="007B6C63" w:rsidP="00B61AD2" w14:paraId="062C5D88" w14:textId="77777777">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70221B">
        <w:rPr>
          <w:rFonts w:ascii="Times New Roman" w:hAnsi="Times New Roman"/>
          <w:szCs w:val="24"/>
        </w:rPr>
        <w:t xml:space="preserve">The hourly burden has decreased by 1,601 hours from 4,172 hours to 2,571 hours.  The change is due </w:t>
      </w:r>
      <w:r w:rsidR="000B5588">
        <w:rPr>
          <w:rFonts w:ascii="Times New Roman" w:hAnsi="Times New Roman"/>
        </w:rPr>
        <w:t xml:space="preserve">to a </w:t>
      </w:r>
      <w:r w:rsidR="00C06C77">
        <w:rPr>
          <w:rFonts w:ascii="Times New Roman" w:hAnsi="Times New Roman"/>
        </w:rPr>
        <w:t>de</w:t>
      </w:r>
      <w:r w:rsidR="000B5588">
        <w:rPr>
          <w:rFonts w:ascii="Times New Roman" w:hAnsi="Times New Roman"/>
        </w:rPr>
        <w:t xml:space="preserve">crease in the number of </w:t>
      </w:r>
      <w:r w:rsidR="00C06C77">
        <w:rPr>
          <w:rFonts w:ascii="Times New Roman" w:hAnsi="Times New Roman"/>
        </w:rPr>
        <w:t>respondents</w:t>
      </w:r>
      <w:r w:rsidR="0070221B">
        <w:rPr>
          <w:rFonts w:ascii="Times New Roman" w:hAnsi="Times New Roman"/>
        </w:rPr>
        <w:t>.</w:t>
      </w:r>
      <w:r w:rsidR="000B5588">
        <w:rPr>
          <w:rFonts w:ascii="Times New Roman" w:hAnsi="Times New Roman"/>
        </w:rPr>
        <w:t xml:space="preserve"> </w:t>
      </w:r>
      <w:r w:rsidR="00125A5D">
        <w:rPr>
          <w:rFonts w:ascii="Times New Roman" w:hAnsi="Times New Roman"/>
          <w:snapToGrid/>
          <w:szCs w:val="24"/>
        </w:rPr>
        <w:t>The hourly burden per response remains the same.</w:t>
      </w:r>
    </w:p>
    <w:p w:rsidR="00D35001" w:rsidRPr="00A1019D" w:rsidP="00A1019D" w14:paraId="6F0CCD65" w14:textId="77777777">
      <w:pPr>
        <w:tabs>
          <w:tab w:val="left" w:pos="-1440"/>
        </w:tabs>
        <w:ind w:left="720" w:hanging="360"/>
        <w:rPr>
          <w:rFonts w:ascii="Times New Roman" w:hAnsi="Times New Roman"/>
          <w:b/>
          <w:bCs/>
          <w:iCs/>
          <w:u w:val="single"/>
        </w:rPr>
      </w:pPr>
    </w:p>
    <w:p w:rsidR="00937218" w:rsidRPr="00D64624" w:rsidP="00A1019D" w14:paraId="59309539" w14:textId="77777777">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Pr>
          <w:rFonts w:ascii="Times New Roman" w:hAnsi="Times New Roman"/>
          <w:b/>
          <w:bCs/>
          <w:iCs/>
          <w:u w:val="single"/>
        </w:rPr>
        <w:t>Information</w:t>
      </w:r>
      <w:r w:rsidRPr="00D64624">
        <w:rPr>
          <w:rFonts w:ascii="Times New Roman" w:hAnsi="Times New Roman"/>
          <w:b/>
          <w:szCs w:val="24"/>
          <w:u w:val="single"/>
        </w:rPr>
        <w:t xml:space="preserve"> regarding collections whose results are planned to be published for statistical use:</w:t>
      </w:r>
    </w:p>
    <w:p w:rsidR="007B6C63" w14:paraId="37D99D86" w14:textId="77777777">
      <w:pPr>
        <w:rPr>
          <w:rFonts w:ascii="Times New Roman" w:hAnsi="Times New Roman"/>
        </w:rPr>
      </w:pPr>
    </w:p>
    <w:p w:rsidR="007B6C63" w:rsidP="000B0581" w14:paraId="327CF426" w14:textId="77777777">
      <w:pPr>
        <w:ind w:left="720"/>
        <w:rPr>
          <w:rFonts w:ascii="Times New Roman" w:hAnsi="Times New Roman"/>
        </w:rPr>
      </w:pPr>
      <w:r>
        <w:rPr>
          <w:rFonts w:ascii="Times New Roman" w:hAnsi="Times New Roman"/>
        </w:rPr>
        <w:t>The information collected is for internal FDIC use only and is not published.</w:t>
      </w:r>
    </w:p>
    <w:p w:rsidR="007B6C63" w14:paraId="7EAF20CE" w14:textId="77777777">
      <w:pPr>
        <w:rPr>
          <w:rFonts w:ascii="Times New Roman" w:hAnsi="Times New Roman"/>
        </w:rPr>
      </w:pPr>
    </w:p>
    <w:p w:rsidR="007B6C63" w:rsidP="00A1019D" w14:paraId="1F8A7839" w14:textId="77777777">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14:paraId="1E32E013" w14:textId="77777777">
      <w:pPr>
        <w:rPr>
          <w:rFonts w:ascii="Times New Roman" w:hAnsi="Times New Roman"/>
        </w:rPr>
      </w:pPr>
    </w:p>
    <w:p w:rsidR="007B6C63" w:rsidP="000B0581" w14:paraId="20CB09AD" w14:textId="77777777">
      <w:pPr>
        <w:ind w:left="720"/>
        <w:rPr>
          <w:rFonts w:ascii="Times New Roman" w:hAnsi="Times New Roman"/>
        </w:rPr>
      </w:pPr>
      <w:r>
        <w:rPr>
          <w:rFonts w:ascii="Times New Roman" w:hAnsi="Times New Roman"/>
          <w:szCs w:val="24"/>
        </w:rPr>
        <w:t>Th</w:t>
      </w:r>
      <w:r w:rsidR="00B76DC2">
        <w:rPr>
          <w:rFonts w:ascii="Times New Roman" w:hAnsi="Times New Roman"/>
          <w:szCs w:val="24"/>
        </w:rPr>
        <w:t xml:space="preserve">is information collection involves recordkeeping requirements only. </w:t>
      </w:r>
      <w:r>
        <w:rPr>
          <w:rFonts w:ascii="Times New Roman" w:hAnsi="Times New Roman"/>
          <w:szCs w:val="24"/>
        </w:rPr>
        <w:t xml:space="preserve"> </w:t>
      </w:r>
      <w:r w:rsidR="00B76DC2">
        <w:rPr>
          <w:rFonts w:ascii="Times New Roman" w:hAnsi="Times New Roman"/>
        </w:rPr>
        <w:t xml:space="preserve">The expiration date of the information collection is readily available at </w:t>
      </w:r>
      <w:hyperlink r:id="rId6" w:history="1">
        <w:r w:rsidRPr="00DD71EB" w:rsidR="00B76DC2">
          <w:rPr>
            <w:rStyle w:val="Hyperlink"/>
            <w:rFonts w:ascii="Times New Roman" w:hAnsi="Times New Roman"/>
          </w:rPr>
          <w:t>www.reginfo.gov</w:t>
        </w:r>
      </w:hyperlink>
      <w:r>
        <w:rPr>
          <w:rStyle w:val="FootnoteReference"/>
          <w:rFonts w:ascii="Times New Roman" w:hAnsi="Times New Roman"/>
          <w:vertAlign w:val="superscript"/>
        </w:rPr>
        <w:footnoteReference w:id="2"/>
      </w:r>
    </w:p>
    <w:p w:rsidR="007B6C63" w14:paraId="283F0458" w14:textId="77777777">
      <w:pPr>
        <w:rPr>
          <w:rFonts w:ascii="Times New Roman" w:hAnsi="Times New Roman"/>
        </w:rPr>
      </w:pPr>
    </w:p>
    <w:p w:rsidR="007B6C63" w:rsidP="00A1019D" w14:paraId="14967D49" w14:textId="77777777">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14:paraId="6C5120C6" w14:textId="77777777">
      <w:pPr>
        <w:tabs>
          <w:tab w:val="left" w:pos="-1440"/>
        </w:tabs>
        <w:ind w:firstLine="360"/>
        <w:rPr>
          <w:rFonts w:ascii="Times New Roman" w:hAnsi="Times New Roman"/>
        </w:rPr>
      </w:pPr>
    </w:p>
    <w:p w:rsidR="007B6C63" w:rsidP="000B0581" w14:paraId="7F63422A" w14:textId="77777777">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14:paraId="1DEE3760" w14:textId="77777777">
      <w:pPr>
        <w:ind w:left="720"/>
        <w:rPr>
          <w:rFonts w:ascii="Times New Roman" w:hAnsi="Times New Roman"/>
        </w:rPr>
      </w:pPr>
    </w:p>
    <w:p w:rsidR="007B6C63" w:rsidP="00715C41" w14:paraId="56CF29ED" w14:textId="77777777">
      <w:pPr>
        <w:keepNext/>
        <w:tabs>
          <w:tab w:val="left" w:pos="-1440"/>
        </w:tabs>
        <w:rPr>
          <w:rFonts w:ascii="Times New Roman" w:hAnsi="Times New Roman"/>
        </w:rPr>
      </w:pPr>
      <w:r>
        <w:rPr>
          <w:rFonts w:ascii="Times New Roman" w:hAnsi="Times New Roman"/>
        </w:rPr>
        <w:t>B.</w:t>
      </w:r>
      <w:r>
        <w:rPr>
          <w:rFonts w:ascii="Times New Roman" w:hAnsi="Times New Roman"/>
        </w:rPr>
        <w:tab/>
      </w:r>
      <w:r w:rsidRPr="00CF43C7" w:rsidR="00937218">
        <w:rPr>
          <w:rFonts w:ascii="Times New Roman" w:hAnsi="Times New Roman"/>
          <w:szCs w:val="24"/>
          <w:u w:val="single"/>
        </w:rPr>
        <w:t>COLLECTION OF INFORMATION EMPLOYING STATISTICAL METHODS</w:t>
      </w:r>
    </w:p>
    <w:p w:rsidR="007B6C63" w:rsidP="00715C41" w14:paraId="648850F2" w14:textId="77777777">
      <w:pPr>
        <w:keepNext/>
        <w:rPr>
          <w:rFonts w:ascii="Times New Roman" w:hAnsi="Times New Roman"/>
        </w:rPr>
      </w:pPr>
    </w:p>
    <w:p w:rsidR="007B6C63" w:rsidP="00715C41" w14:paraId="5C964AAD" w14:textId="77777777">
      <w:pPr>
        <w:keepNext/>
        <w:ind w:left="720"/>
        <w:rPr>
          <w:rFonts w:ascii="Times New Roman" w:hAnsi="Times New Roman"/>
        </w:rPr>
      </w:pPr>
      <w:r>
        <w:rPr>
          <w:rFonts w:ascii="Times New Roman" w:hAnsi="Times New Roman"/>
        </w:rPr>
        <w:t>Not applicable.</w:t>
      </w:r>
    </w:p>
    <w:p w:rsidR="007B6C63" w14:paraId="0CBBA4DE" w14:textId="77777777">
      <w:pPr>
        <w:rPr>
          <w:rFonts w:ascii="Times New Roman" w:hAnsi="Times New Roman"/>
        </w:rPr>
      </w:pPr>
    </w:p>
    <w:p w:rsidR="007B6C63" w14:paraId="15B0A035" w14:textId="77777777">
      <w:pPr>
        <w:rPr>
          <w:rFonts w:ascii="Times New Roman" w:hAnsi="Times New Roman"/>
        </w:rPr>
      </w:pPr>
    </w:p>
    <w:sectPr>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14:paraId="48F563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C63" w14:paraId="66407F16" w14:textId="77777777">
    <w:pPr>
      <w:spacing w:line="240" w:lineRule="exact"/>
    </w:pPr>
  </w:p>
  <w:p w:rsidR="007B6C63" w14:paraId="53584AEE" w14:textId="374466A2">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AE20EC">
      <w:rPr>
        <w:rFonts w:ascii="Times New Roman" w:hAnsi="Times New Roman"/>
        <w:noProof/>
      </w:rPr>
      <w:t>1</w:t>
    </w:r>
    <w:r>
      <w:rPr>
        <w:rFonts w:ascii="Times New Roman" w:hAnsi="Times New Roman"/>
      </w:rPr>
      <w:fldChar w:fldCharType="end"/>
    </w:r>
  </w:p>
  <w:p w:rsidR="007B6C63" w14:paraId="7D3F616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14:paraId="4ACF89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378C" w14:paraId="62390BB6" w14:textId="77777777">
      <w:r>
        <w:separator/>
      </w:r>
    </w:p>
  </w:footnote>
  <w:footnote w:type="continuationSeparator" w:id="1">
    <w:p w:rsidR="007F378C" w14:paraId="6243E0C3" w14:textId="77777777">
      <w:r>
        <w:continuationSeparator/>
      </w:r>
    </w:p>
  </w:footnote>
  <w:footnote w:id="2">
    <w:p w:rsidR="00B76DC2" w14:paraId="65A0AFA0" w14:textId="77777777">
      <w:pPr>
        <w:pStyle w:val="FootnoteText"/>
      </w:pPr>
      <w:r w:rsidRPr="00B76DC2">
        <w:rPr>
          <w:rStyle w:val="FootnoteReference"/>
          <w:vertAlign w:val="superscript"/>
        </w:rPr>
        <w:footnoteRef/>
      </w:r>
      <w:r>
        <w:t xml:space="preserve"> </w:t>
      </w:r>
      <w:hyperlink r:id="rId1" w:history="1">
        <w:r w:rsidRPr="00220586" w:rsidR="00220586">
          <w:rPr>
            <w:rStyle w:val="Hyperlink"/>
            <w:rFonts w:ascii="Times New Roman" w:hAnsi="Times New Roman"/>
          </w:rPr>
          <w:t>https://www.reginfo.gov/public/do/PRAViewICR?ref_nbr=201703-3064-003</w:t>
        </w:r>
      </w:hyperlink>
      <w:r w:rsidR="00220586">
        <w:t xml:space="preserve"> </w:t>
      </w:r>
      <w:r w:rsidR="00245E41">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14:paraId="7E7C1E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14:paraId="589977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14:paraId="4FB4D5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623CFC"/>
    <w:multiLevelType w:val="hybridMultilevel"/>
    <w:tmpl w:val="2FF4FEAA"/>
    <w:lvl w:ilvl="0">
      <w:start w:val="16"/>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BA5A7B"/>
    <w:multiLevelType w:val="hybridMultilevel"/>
    <w:tmpl w:val="4F6C3130"/>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C1D696F"/>
    <w:multiLevelType w:val="hybridMultilevel"/>
    <w:tmpl w:val="369A3B9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0482B"/>
    <w:rsid w:val="000171AA"/>
    <w:rsid w:val="00076A5B"/>
    <w:rsid w:val="000855E4"/>
    <w:rsid w:val="00093D0F"/>
    <w:rsid w:val="000B0581"/>
    <w:rsid w:val="000B5588"/>
    <w:rsid w:val="000C4F75"/>
    <w:rsid w:val="000C78A0"/>
    <w:rsid w:val="000F7E08"/>
    <w:rsid w:val="00125A5D"/>
    <w:rsid w:val="001305D1"/>
    <w:rsid w:val="00175893"/>
    <w:rsid w:val="00177720"/>
    <w:rsid w:val="001778A3"/>
    <w:rsid w:val="00182279"/>
    <w:rsid w:val="001D78D3"/>
    <w:rsid w:val="00220586"/>
    <w:rsid w:val="002331BC"/>
    <w:rsid w:val="00234383"/>
    <w:rsid w:val="00234F5A"/>
    <w:rsid w:val="00240097"/>
    <w:rsid w:val="00240393"/>
    <w:rsid w:val="00243D0C"/>
    <w:rsid w:val="00245E41"/>
    <w:rsid w:val="00254B08"/>
    <w:rsid w:val="00256F25"/>
    <w:rsid w:val="0025784A"/>
    <w:rsid w:val="002668A9"/>
    <w:rsid w:val="00266C54"/>
    <w:rsid w:val="00285D59"/>
    <w:rsid w:val="002A35F4"/>
    <w:rsid w:val="002A5F6B"/>
    <w:rsid w:val="002B1AFA"/>
    <w:rsid w:val="002F26D8"/>
    <w:rsid w:val="00304C3E"/>
    <w:rsid w:val="00371017"/>
    <w:rsid w:val="00386C94"/>
    <w:rsid w:val="00394F02"/>
    <w:rsid w:val="003A055C"/>
    <w:rsid w:val="003B3219"/>
    <w:rsid w:val="003E3404"/>
    <w:rsid w:val="003E5901"/>
    <w:rsid w:val="003F0288"/>
    <w:rsid w:val="003F2FF8"/>
    <w:rsid w:val="00404E91"/>
    <w:rsid w:val="00414ECF"/>
    <w:rsid w:val="00435A15"/>
    <w:rsid w:val="00437618"/>
    <w:rsid w:val="00454007"/>
    <w:rsid w:val="00471180"/>
    <w:rsid w:val="0048245A"/>
    <w:rsid w:val="004A5959"/>
    <w:rsid w:val="004B2F21"/>
    <w:rsid w:val="004C5B45"/>
    <w:rsid w:val="00523B22"/>
    <w:rsid w:val="0054621E"/>
    <w:rsid w:val="00563449"/>
    <w:rsid w:val="005709AF"/>
    <w:rsid w:val="005B79C4"/>
    <w:rsid w:val="005C5B63"/>
    <w:rsid w:val="005E117A"/>
    <w:rsid w:val="005E62DB"/>
    <w:rsid w:val="00615BAD"/>
    <w:rsid w:val="00630C5C"/>
    <w:rsid w:val="0063734B"/>
    <w:rsid w:val="00653821"/>
    <w:rsid w:val="00655078"/>
    <w:rsid w:val="00686F68"/>
    <w:rsid w:val="006B0048"/>
    <w:rsid w:val="006B3465"/>
    <w:rsid w:val="0070221B"/>
    <w:rsid w:val="0071052F"/>
    <w:rsid w:val="00715C41"/>
    <w:rsid w:val="007522EF"/>
    <w:rsid w:val="007562B8"/>
    <w:rsid w:val="007729D8"/>
    <w:rsid w:val="007B6C63"/>
    <w:rsid w:val="007F378C"/>
    <w:rsid w:val="0080546E"/>
    <w:rsid w:val="00820F79"/>
    <w:rsid w:val="00826F32"/>
    <w:rsid w:val="008332CE"/>
    <w:rsid w:val="00834179"/>
    <w:rsid w:val="00844536"/>
    <w:rsid w:val="00846A1A"/>
    <w:rsid w:val="00856473"/>
    <w:rsid w:val="008565C5"/>
    <w:rsid w:val="00862421"/>
    <w:rsid w:val="00863A45"/>
    <w:rsid w:val="00881712"/>
    <w:rsid w:val="008A7B8F"/>
    <w:rsid w:val="008B2102"/>
    <w:rsid w:val="009104FE"/>
    <w:rsid w:val="00913902"/>
    <w:rsid w:val="00921EFB"/>
    <w:rsid w:val="00937218"/>
    <w:rsid w:val="009557A1"/>
    <w:rsid w:val="0096157F"/>
    <w:rsid w:val="00990A9E"/>
    <w:rsid w:val="009B62D9"/>
    <w:rsid w:val="009B7A15"/>
    <w:rsid w:val="009C2BFF"/>
    <w:rsid w:val="009C759A"/>
    <w:rsid w:val="00A0001C"/>
    <w:rsid w:val="00A1019D"/>
    <w:rsid w:val="00A152B6"/>
    <w:rsid w:val="00A21CE3"/>
    <w:rsid w:val="00A249E9"/>
    <w:rsid w:val="00A26153"/>
    <w:rsid w:val="00A270BF"/>
    <w:rsid w:val="00A81BD7"/>
    <w:rsid w:val="00AE20EC"/>
    <w:rsid w:val="00B06BE7"/>
    <w:rsid w:val="00B13760"/>
    <w:rsid w:val="00B17BBF"/>
    <w:rsid w:val="00B17F71"/>
    <w:rsid w:val="00B36309"/>
    <w:rsid w:val="00B37DD6"/>
    <w:rsid w:val="00B61AD2"/>
    <w:rsid w:val="00B64991"/>
    <w:rsid w:val="00B66881"/>
    <w:rsid w:val="00B76DC2"/>
    <w:rsid w:val="00B977B5"/>
    <w:rsid w:val="00BD64F8"/>
    <w:rsid w:val="00BD7F95"/>
    <w:rsid w:val="00BF3B99"/>
    <w:rsid w:val="00C06C77"/>
    <w:rsid w:val="00C14D80"/>
    <w:rsid w:val="00C57AA4"/>
    <w:rsid w:val="00C66621"/>
    <w:rsid w:val="00C750AB"/>
    <w:rsid w:val="00C772BC"/>
    <w:rsid w:val="00C8275D"/>
    <w:rsid w:val="00C858DF"/>
    <w:rsid w:val="00CB2ED5"/>
    <w:rsid w:val="00CC7A55"/>
    <w:rsid w:val="00CF2C13"/>
    <w:rsid w:val="00CF43C7"/>
    <w:rsid w:val="00D0274E"/>
    <w:rsid w:val="00D1720C"/>
    <w:rsid w:val="00D35001"/>
    <w:rsid w:val="00D50321"/>
    <w:rsid w:val="00D50914"/>
    <w:rsid w:val="00D55074"/>
    <w:rsid w:val="00D55987"/>
    <w:rsid w:val="00D64624"/>
    <w:rsid w:val="00D65C01"/>
    <w:rsid w:val="00D746BF"/>
    <w:rsid w:val="00D765D6"/>
    <w:rsid w:val="00D804A5"/>
    <w:rsid w:val="00D84B38"/>
    <w:rsid w:val="00DA5092"/>
    <w:rsid w:val="00DB2FBD"/>
    <w:rsid w:val="00DD29EA"/>
    <w:rsid w:val="00DD71EB"/>
    <w:rsid w:val="00DE2D0B"/>
    <w:rsid w:val="00DE506D"/>
    <w:rsid w:val="00E50911"/>
    <w:rsid w:val="00EF7AD0"/>
    <w:rsid w:val="00F01C6F"/>
    <w:rsid w:val="00F040F7"/>
    <w:rsid w:val="00F04445"/>
    <w:rsid w:val="00F34CBE"/>
    <w:rsid w:val="00F90EAE"/>
    <w:rsid w:val="00F9430B"/>
    <w:rsid w:val="00FB759A"/>
    <w:rsid w:val="00FC0FB9"/>
    <w:rsid w:val="00FC41DF"/>
    <w:rsid w:val="00FC6915"/>
    <w:rsid w:val="00FC6E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CAA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Style 16,Style 19,Style 35,fr"/>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 w:type="character" w:styleId="CommentReference">
    <w:name w:val="annotation reference"/>
    <w:basedOn w:val="DefaultParagraphFont"/>
    <w:rsid w:val="00240393"/>
    <w:rPr>
      <w:sz w:val="16"/>
      <w:szCs w:val="16"/>
    </w:rPr>
  </w:style>
  <w:style w:type="paragraph" w:styleId="CommentText">
    <w:name w:val="annotation text"/>
    <w:basedOn w:val="Normal"/>
    <w:link w:val="CommentTextChar"/>
    <w:rsid w:val="00240393"/>
    <w:rPr>
      <w:sz w:val="20"/>
    </w:rPr>
  </w:style>
  <w:style w:type="character" w:customStyle="1" w:styleId="CommentTextChar">
    <w:name w:val="Comment Text Char"/>
    <w:basedOn w:val="DefaultParagraphFont"/>
    <w:link w:val="CommentText"/>
    <w:rsid w:val="00240393"/>
    <w:rPr>
      <w:rFonts w:ascii="Courier" w:hAnsi="Courier"/>
      <w:snapToGrid w:val="0"/>
    </w:rPr>
  </w:style>
  <w:style w:type="paragraph" w:styleId="CommentSubject">
    <w:name w:val="annotation subject"/>
    <w:basedOn w:val="CommentText"/>
    <w:next w:val="CommentText"/>
    <w:link w:val="CommentSubjectChar"/>
    <w:rsid w:val="00240393"/>
    <w:rPr>
      <w:b/>
      <w:bCs/>
    </w:rPr>
  </w:style>
  <w:style w:type="character" w:customStyle="1" w:styleId="CommentSubjectChar">
    <w:name w:val="Comment Subject Char"/>
    <w:basedOn w:val="CommentTextChar"/>
    <w:link w:val="CommentSubject"/>
    <w:rsid w:val="00240393"/>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1703-3064-0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EFE5-912A-479E-9799-43E29CB6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1821</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2023-06-28T10:47:00Z</dcterms:created>
  <dcterms:modified xsi:type="dcterms:W3CDTF">2023-06-28T10:47:00Z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704dc792-92a0-442d-97dc-d21820f0f9e9</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2023-06-22T17:10:14Z</vt:lpwstr>
  </property>
  <property fmtid="{D5CDD505-2E9C-101B-9397-08002B2CF9AE}" pid="8" name="MSIP_Label_3be8ab8c-433c-4394-a4fb-cd2d5c4d0a5e_SiteId">
    <vt:lpwstr>26c83bc9-31c1-4d77-a523-0816095aba31</vt:lpwstr>
  </property>
</Properties>
</file>