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C63" w:rsidRPr="00FC41DF" w:rsidP="004A5959">
      <w:pPr>
        <w:tabs>
          <w:tab w:val="center" w:pos="4680"/>
        </w:tabs>
        <w:jc w:val="center"/>
        <w:rPr>
          <w:rFonts w:ascii="Times New Roman" w:hAnsi="Times New Roman"/>
          <w:b/>
        </w:rPr>
      </w:pPr>
      <w:r>
        <w:rPr>
          <w:rFonts w:ascii="Times New Roman" w:hAnsi="Times New Roman"/>
          <w:b/>
        </w:rPr>
        <w:t>SU</w:t>
      </w:r>
      <w:r w:rsidRPr="00FC41DF">
        <w:rPr>
          <w:rFonts w:ascii="Times New Roman" w:hAnsi="Times New Roman"/>
          <w:b/>
        </w:rPr>
        <w:t>PPORTING STATEMENT</w:t>
      </w:r>
    </w:p>
    <w:p w:rsidR="0071052F" w:rsidRPr="0071052F" w:rsidP="0071052F">
      <w:pPr>
        <w:jc w:val="center"/>
        <w:rPr>
          <w:rFonts w:ascii="Times New Roman" w:hAnsi="Times New Roman"/>
          <w:b/>
          <w:bCs/>
        </w:rPr>
      </w:pPr>
      <w:r>
        <w:rPr>
          <w:rFonts w:ascii="Times New Roman" w:hAnsi="Times New Roman"/>
          <w:b/>
          <w:bCs/>
        </w:rPr>
        <w:t>INSURANCE SALES CONSUMER PROTECTION</w:t>
      </w:r>
    </w:p>
    <w:p w:rsidR="004A5959" w:rsidRPr="004A5959" w:rsidP="0071052F">
      <w:pPr>
        <w:jc w:val="center"/>
        <w:rPr>
          <w:rFonts w:ascii="Times New Roman" w:hAnsi="Times New Roman"/>
          <w:b/>
        </w:rPr>
      </w:pPr>
      <w:r w:rsidRPr="0071052F">
        <w:rPr>
          <w:rFonts w:ascii="Times New Roman" w:hAnsi="Times New Roman"/>
          <w:b/>
          <w:bCs/>
        </w:rPr>
        <w:t>(OMB No. 3064-01</w:t>
      </w:r>
      <w:r w:rsidR="006D6487">
        <w:rPr>
          <w:rFonts w:ascii="Times New Roman" w:hAnsi="Times New Roman"/>
          <w:b/>
          <w:bCs/>
        </w:rPr>
        <w:t>40</w:t>
      </w:r>
      <w:r>
        <w:rPr>
          <w:rFonts w:ascii="Times New Roman" w:hAnsi="Times New Roman"/>
          <w:b/>
          <w:bCs/>
        </w:rPr>
        <w:t>)</w:t>
      </w:r>
    </w:p>
    <w:p w:rsidR="007B6C63">
      <w:pPr>
        <w:rPr>
          <w:rFonts w:ascii="Times New Roman" w:hAnsi="Times New Roman"/>
        </w:rPr>
      </w:pPr>
    </w:p>
    <w:p w:rsidR="007B6C63" w:rsidRPr="004C5B45">
      <w:pPr>
        <w:rPr>
          <w:rFonts w:ascii="Times New Roman" w:hAnsi="Times New Roman"/>
          <w:b/>
        </w:rPr>
      </w:pPr>
      <w:r w:rsidRPr="004C5B45">
        <w:rPr>
          <w:rFonts w:ascii="Times New Roman" w:hAnsi="Times New Roman"/>
          <w:b/>
        </w:rPr>
        <w:t>INTRODUCTION</w:t>
      </w:r>
    </w:p>
    <w:p w:rsidR="007B6C63">
      <w:pPr>
        <w:rPr>
          <w:rFonts w:ascii="Times New Roman" w:hAnsi="Times New Roman"/>
        </w:rPr>
      </w:pPr>
    </w:p>
    <w:p w:rsidR="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xml:space="preserve">, </w:t>
      </w:r>
      <w:r w:rsidR="00F040F7">
        <w:rPr>
          <w:rFonts w:ascii="Times New Roman" w:hAnsi="Times New Roman"/>
        </w:rPr>
        <w:t>without change</w:t>
      </w:r>
      <w:r w:rsidR="00615BAD">
        <w:rPr>
          <w:rFonts w:ascii="Times New Roman" w:hAnsi="Times New Roman"/>
        </w:rPr>
        <w:t>,</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 xml:space="preserve">entitled </w:t>
      </w:r>
      <w:r w:rsidR="00F040F7">
        <w:rPr>
          <w:rFonts w:ascii="Times New Roman" w:hAnsi="Times New Roman"/>
        </w:rPr>
        <w:t>“</w:t>
      </w:r>
      <w:r w:rsidR="006D6487">
        <w:rPr>
          <w:rFonts w:ascii="Times New Roman" w:hAnsi="Times New Roman"/>
        </w:rPr>
        <w:t>Insurance Sales Consumer Protection</w:t>
      </w:r>
      <w:r w:rsidR="00F040F7">
        <w:rPr>
          <w:rFonts w:ascii="Times New Roman" w:hAnsi="Times New Roman"/>
        </w:rPr>
        <w:t>” (OMB Control No. 3064-01</w:t>
      </w:r>
      <w:r w:rsidR="006D6487">
        <w:rPr>
          <w:rFonts w:ascii="Times New Roman" w:hAnsi="Times New Roman"/>
        </w:rPr>
        <w:t>40</w:t>
      </w:r>
      <w:r w:rsidR="00F040F7">
        <w:rPr>
          <w:rFonts w:ascii="Times New Roman" w:hAnsi="Times New Roman"/>
        </w:rPr>
        <w:t xml:space="preserve">) which consists of </w:t>
      </w:r>
      <w:r w:rsidR="00AA20BE">
        <w:rPr>
          <w:rFonts w:ascii="Times New Roman" w:hAnsi="Times New Roman"/>
          <w:color w:val="000000"/>
          <w:szCs w:val="24"/>
        </w:rPr>
        <w:t>third-party disclosure requirements</w:t>
      </w:r>
      <w:r w:rsidR="00F040F7">
        <w:rPr>
          <w:rFonts w:ascii="Times New Roman" w:hAnsi="Times New Roman"/>
          <w:color w:val="000000"/>
          <w:szCs w:val="24"/>
        </w:rPr>
        <w:t xml:space="preserve"> contained in</w:t>
      </w:r>
      <w:r w:rsidR="00AA20BE">
        <w:rPr>
          <w:rFonts w:ascii="Times New Roman" w:hAnsi="Times New Roman"/>
          <w:color w:val="000000"/>
          <w:szCs w:val="24"/>
        </w:rPr>
        <w:t xml:space="preserve"> regulations</w:t>
      </w:r>
      <w:r w:rsidR="00F040F7">
        <w:rPr>
          <w:rFonts w:ascii="Times New Roman" w:hAnsi="Times New Roman"/>
          <w:color w:val="000000"/>
          <w:szCs w:val="24"/>
        </w:rPr>
        <w:t xml:space="preserve"> jointly issued by the federal financial institution regulatory agencies, including the FDIC.</w:t>
      </w:r>
      <w:r w:rsidR="00D765D6">
        <w:rPr>
          <w:rFonts w:ascii="Times New Roman" w:hAnsi="Times New Roman"/>
        </w:rPr>
        <w:t xml:space="preserve">  </w:t>
      </w:r>
      <w:r w:rsidR="00B06BE7">
        <w:rPr>
          <w:rFonts w:ascii="Times New Roman" w:hAnsi="Times New Roman"/>
          <w:spacing w:val="-3"/>
        </w:rPr>
        <w:t xml:space="preserve">There </w:t>
      </w:r>
      <w:r w:rsidR="00182279">
        <w:rPr>
          <w:rFonts w:ascii="Times New Roman" w:hAnsi="Times New Roman"/>
          <w:spacing w:val="-3"/>
        </w:rPr>
        <w:t>is no change in the method or substance of the collection</w:t>
      </w:r>
      <w:r w:rsidR="00655078">
        <w:rPr>
          <w:rFonts w:ascii="Times New Roman" w:hAnsi="Times New Roman"/>
        </w:rPr>
        <w:t xml:space="preserve"> which currently expires o</w:t>
      </w:r>
      <w:r w:rsidR="00DA5092">
        <w:rPr>
          <w:rFonts w:ascii="Times New Roman" w:hAnsi="Times New Roman"/>
        </w:rPr>
        <w:t>n</w:t>
      </w:r>
      <w:r w:rsidR="00655078">
        <w:rPr>
          <w:rFonts w:ascii="Times New Roman" w:hAnsi="Times New Roman"/>
        </w:rPr>
        <w:t xml:space="preserve"> </w:t>
      </w:r>
      <w:r w:rsidR="00674429">
        <w:rPr>
          <w:rFonts w:ascii="Times New Roman" w:hAnsi="Times New Roman"/>
        </w:rPr>
        <w:t>July 31</w:t>
      </w:r>
      <w:r w:rsidR="00655078">
        <w:rPr>
          <w:rFonts w:ascii="Times New Roman" w:hAnsi="Times New Roman"/>
        </w:rPr>
        <w:t>,</w:t>
      </w:r>
      <w:r>
        <w:rPr>
          <w:rFonts w:ascii="Times New Roman" w:hAnsi="Times New Roman"/>
        </w:rPr>
        <w:t xml:space="preserve"> </w:t>
      </w:r>
      <w:r w:rsidR="00674429">
        <w:rPr>
          <w:rFonts w:ascii="Times New Roman" w:hAnsi="Times New Roman"/>
        </w:rPr>
        <w:t>2023</w:t>
      </w:r>
      <w:r w:rsidR="00FB759A">
        <w:rPr>
          <w:rFonts w:ascii="Times New Roman" w:hAnsi="Times New Roman"/>
        </w:rPr>
        <w:t>.</w:t>
      </w:r>
    </w:p>
    <w:p w:rsidR="007B6C63">
      <w:pPr>
        <w:rPr>
          <w:rFonts w:ascii="Times New Roman" w:hAnsi="Times New Roman"/>
        </w:rPr>
      </w:pPr>
    </w:p>
    <w:p w:rsidR="007B6C63">
      <w:pPr>
        <w:tabs>
          <w:tab w:val="left" w:pos="-1440"/>
        </w:tabs>
        <w:rPr>
          <w:rFonts w:ascii="Times New Roman" w:hAnsi="Times New Roman"/>
        </w:rPr>
      </w:pPr>
      <w:r>
        <w:rPr>
          <w:rFonts w:ascii="Times New Roman" w:hAnsi="Times New Roman"/>
        </w:rPr>
        <w:t>A.</w:t>
      </w:r>
      <w:r>
        <w:rPr>
          <w:rFonts w:ascii="Times New Roman" w:hAnsi="Times New Roman"/>
        </w:rPr>
        <w:tab/>
      </w:r>
      <w:r w:rsidRPr="00674429">
        <w:rPr>
          <w:rFonts w:ascii="Times New Roman" w:hAnsi="Times New Roman"/>
        </w:rPr>
        <w:t>JUSTIFICATION</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pPr>
        <w:rPr>
          <w:rFonts w:ascii="Times New Roman" w:hAnsi="Times New Roman"/>
        </w:rPr>
      </w:pPr>
    </w:p>
    <w:p w:rsidR="00D765D6" w:rsidP="007729D8">
      <w:pPr>
        <w:ind w:left="720"/>
        <w:rPr>
          <w:rFonts w:ascii="Times New Roman" w:hAnsi="Times New Roman"/>
        </w:rPr>
      </w:pPr>
      <w:r w:rsidRPr="00FF24B6">
        <w:rPr>
          <w:rFonts w:ascii="Times New Roman" w:hAnsi="Times New Roman"/>
          <w:szCs w:val="24"/>
        </w:rPr>
        <w:t>This information collection is required by section 305 of the Gramm-Leach-Bliley Act (GLB Act), which mandates that the Office of the Comptroller of the Currency, Board of Governors of the Federal Reserve System, and Federal Deposit Insurance Corporation (collectively, the Agencies)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  Section 305 requires those performing such activities to disclose certain information to consumers (</w:t>
      </w:r>
      <w:r w:rsidRPr="00FF24B6">
        <w:rPr>
          <w:rFonts w:ascii="Times New Roman" w:hAnsi="Times New Roman"/>
          <w:szCs w:val="24"/>
          <w:u w:val="single"/>
        </w:rPr>
        <w:t>e.g.</w:t>
      </w:r>
      <w:r w:rsidRPr="00FF24B6">
        <w:rPr>
          <w:rFonts w:ascii="Times New Roman" w:hAnsi="Times New Roman"/>
          <w:szCs w:val="24"/>
        </w:rPr>
        <w:t xml:space="preserve">, that insurance products and annuities are not FDIC-insured) and to obtain consumer acknowledgments.  The </w:t>
      </w:r>
      <w:r>
        <w:rPr>
          <w:rFonts w:ascii="Times New Roman" w:hAnsi="Times New Roman"/>
          <w:szCs w:val="24"/>
        </w:rPr>
        <w:t>FDIC’s</w:t>
      </w:r>
      <w:r w:rsidRPr="00FF24B6">
        <w:rPr>
          <w:rFonts w:ascii="Times New Roman" w:hAnsi="Times New Roman"/>
          <w:szCs w:val="24"/>
        </w:rPr>
        <w:t xml:space="preserve"> implementing regulations (12 CFR </w:t>
      </w:r>
      <w:r>
        <w:rPr>
          <w:rFonts w:ascii="Times New Roman" w:hAnsi="Times New Roman"/>
          <w:szCs w:val="24"/>
        </w:rPr>
        <w:t xml:space="preserve">Part </w:t>
      </w:r>
      <w:r w:rsidRPr="00FF24B6">
        <w:rPr>
          <w:rFonts w:ascii="Times New Roman" w:hAnsi="Times New Roman"/>
          <w:szCs w:val="24"/>
        </w:rPr>
        <w:t>343) require disclosures at two different times.  Respondents must prepare and provide certain disclosures to consumers: 1) before the completion of the initial sale of an insurance product or annuity to a consumer; and 2) at the time of application for the extension of credit</w:t>
      </w:r>
      <w:r>
        <w:rPr>
          <w:rFonts w:ascii="Times New Roman" w:hAnsi="Times New Roman"/>
          <w:szCs w:val="24"/>
        </w:rPr>
        <w:t>,</w:t>
      </w:r>
      <w:r w:rsidRPr="00FF24B6">
        <w:rPr>
          <w:rFonts w:ascii="Times New Roman" w:hAnsi="Times New Roman"/>
          <w:szCs w:val="24"/>
        </w:rPr>
        <w:t xml:space="preserve"> if insurance products or annuities are sold, solicited, advertised, or offered in connection with an extension of credit.</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pPr>
        <w:rPr>
          <w:rFonts w:ascii="Times New Roman" w:hAnsi="Times New Roman"/>
        </w:rPr>
      </w:pPr>
    </w:p>
    <w:p w:rsidR="007B6C63" w:rsidP="0054621E">
      <w:pPr>
        <w:ind w:left="720"/>
        <w:rPr>
          <w:rFonts w:ascii="Times New Roman" w:hAnsi="Times New Roman"/>
          <w:spacing w:val="-3"/>
        </w:rPr>
      </w:pPr>
      <w:r w:rsidRPr="00B53ED3">
        <w:rPr>
          <w:rFonts w:ascii="Times New Roman" w:hAnsi="Times New Roman"/>
          <w:spacing w:val="-3"/>
        </w:rPr>
        <w:t>Consumers use the disclosures to understand the risks of insurance products or annuities and some of their rights.</w:t>
      </w:r>
    </w:p>
    <w:p w:rsidR="0054621E" w:rsidRPr="0054621E" w:rsidP="0054621E">
      <w:pPr>
        <w:ind w:left="720"/>
        <w:rPr>
          <w:rFonts w:ascii="Times New Roman" w:hAnsi="Times New Roman"/>
          <w:spacing w:val="-3"/>
        </w:rPr>
      </w:pPr>
    </w:p>
    <w:p w:rsidR="007B6C63">
      <w:pPr>
        <w:ind w:left="720"/>
        <w:rPr>
          <w:rFonts w:ascii="Times New Roman" w:hAnsi="Times New Roman"/>
        </w:rPr>
      </w:pPr>
    </w:p>
    <w:p w:rsidR="007B6C63" w:rsidP="00990A9E">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pPr>
        <w:keepNext/>
        <w:rPr>
          <w:rFonts w:ascii="Times New Roman" w:hAnsi="Times New Roman"/>
        </w:rPr>
      </w:pPr>
    </w:p>
    <w:p w:rsidR="007B6C63" w:rsidP="00B53ED3">
      <w:pPr>
        <w:ind w:left="720"/>
        <w:rPr>
          <w:rFonts w:ascii="Times New Roman" w:hAnsi="Times New Roman"/>
        </w:rPr>
      </w:pPr>
      <w:r w:rsidRPr="00B53ED3">
        <w:rPr>
          <w:rFonts w:ascii="Times New Roman" w:hAnsi="Times New Roman"/>
        </w:rPr>
        <w:t xml:space="preserve">Institutions and other covered persons may use any technology that is reasonable and </w:t>
      </w:r>
      <w:r w:rsidRPr="00B53ED3">
        <w:rPr>
          <w:rFonts w:ascii="Times New Roman" w:hAnsi="Times New Roman"/>
          <w:szCs w:val="24"/>
        </w:rPr>
        <w:t>appropriate</w:t>
      </w:r>
      <w:r w:rsidRPr="00B53ED3">
        <w:rPr>
          <w:rFonts w:ascii="Times New Roman" w:hAnsi="Times New Roman"/>
        </w:rPr>
        <w:t xml:space="preserve"> for their circumstances </w:t>
      </w:r>
      <w:r>
        <w:rPr>
          <w:rFonts w:ascii="Times New Roman" w:hAnsi="Times New Roman"/>
        </w:rPr>
        <w:t>as</w:t>
      </w:r>
      <w:r w:rsidRPr="00B53ED3">
        <w:rPr>
          <w:rFonts w:ascii="Times New Roman" w:hAnsi="Times New Roman"/>
        </w:rPr>
        <w:t xml:space="preserve"> long as the method is consistent with facilitating consumer receipt. There are specific disclosure rules for the timing and method of electronic and telephone disclosures. Where a consumer agrees, a Covered Person may provide the written disclosures through electronic media in a format that the consumer may retain or obtain later, for example, by printing or storing electronically, such as by </w:t>
      </w:r>
      <w:r w:rsidRPr="00B53ED3">
        <w:rPr>
          <w:rFonts w:ascii="Times New Roman" w:hAnsi="Times New Roman"/>
        </w:rPr>
        <w:t>downloading.</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pPr>
        <w:ind w:left="1440"/>
        <w:rPr>
          <w:rFonts w:ascii="Times New Roman" w:hAnsi="Times New Roman"/>
        </w:rPr>
      </w:pPr>
    </w:p>
    <w:p w:rsidR="00B53ED3" w:rsidRPr="00B53ED3" w:rsidP="00B53ED3">
      <w:pPr>
        <w:ind w:left="720"/>
        <w:rPr>
          <w:rFonts w:ascii="Times New Roman" w:hAnsi="Times New Roman"/>
          <w:spacing w:val="-3"/>
        </w:rPr>
      </w:pPr>
      <w:r w:rsidRPr="00B53ED3">
        <w:rPr>
          <w:rFonts w:ascii="Times New Roman" w:hAnsi="Times New Roman"/>
          <w:spacing w:val="-3"/>
        </w:rPr>
        <w:t>The collection of information is unique and covers the institution’s or other covered person’s particular circumstances.  No duplication with other collections exists.</w:t>
      </w:r>
    </w:p>
    <w:p w:rsidR="00B53ED3" w:rsidP="00A1019D">
      <w:pPr>
        <w:tabs>
          <w:tab w:val="left" w:pos="-1440"/>
        </w:tabs>
        <w:ind w:left="720" w:hanging="360"/>
      </w:pPr>
    </w:p>
    <w:p w:rsidR="007B6C63" w:rsidP="00A1019D">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pPr>
        <w:rPr>
          <w:rFonts w:ascii="Times New Roman" w:hAnsi="Times New Roman"/>
        </w:rPr>
      </w:pPr>
    </w:p>
    <w:p w:rsidR="007B6C63" w:rsidP="000B0581">
      <w:pPr>
        <w:ind w:left="720"/>
        <w:rPr>
          <w:rFonts w:ascii="Times New Roman" w:hAnsi="Times New Roman"/>
        </w:rPr>
      </w:pPr>
      <w:r w:rsidRPr="00B53ED3">
        <w:rPr>
          <w:rFonts w:ascii="Times New Roman" w:hAnsi="Times New Roman"/>
        </w:rPr>
        <w:t>The information collection is required by statute.  Because of the statutory requirements, there are no significant alternatives that would minimize burden on small businesses.</w:t>
      </w:r>
    </w:p>
    <w:p w:rsidR="007B6C63">
      <w:pPr>
        <w:rPr>
          <w:rFonts w:ascii="Times New Roman" w:hAnsi="Times New Roman"/>
        </w:rPr>
      </w:pPr>
    </w:p>
    <w:p w:rsidR="007B6C63" w:rsidRPr="00FC41DF" w:rsidP="00A1019D">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 xml:space="preserve">Less frequent collection would </w:t>
      </w:r>
      <w:r w:rsidR="009557A1">
        <w:rPr>
          <w:rFonts w:ascii="Times New Roman" w:hAnsi="Times New Roman"/>
        </w:rPr>
        <w:t xml:space="preserve">hinder </w:t>
      </w:r>
      <w:r w:rsidR="00B72EAD">
        <w:rPr>
          <w:rFonts w:ascii="Times New Roman" w:hAnsi="Times New Roman"/>
        </w:rPr>
        <w:t>consumers’</w:t>
      </w:r>
      <w:r w:rsidR="009557A1">
        <w:rPr>
          <w:rFonts w:ascii="Times New Roman" w:hAnsi="Times New Roman"/>
        </w:rPr>
        <w:t xml:space="preserve"> ability to </w:t>
      </w:r>
      <w:r w:rsidRPr="00B53ED3" w:rsidR="00B72EAD">
        <w:rPr>
          <w:rFonts w:ascii="Times New Roman" w:hAnsi="Times New Roman"/>
          <w:spacing w:val="-3"/>
        </w:rPr>
        <w:t xml:space="preserve">understand the risks of insurance products or annuities and </w:t>
      </w:r>
      <w:r w:rsidR="00B72EAD">
        <w:rPr>
          <w:rFonts w:ascii="Times New Roman" w:hAnsi="Times New Roman"/>
          <w:spacing w:val="-3"/>
        </w:rPr>
        <w:t>to be informed</w:t>
      </w:r>
      <w:r w:rsidRPr="00B53ED3" w:rsidR="00B72EAD">
        <w:rPr>
          <w:rFonts w:ascii="Times New Roman" w:hAnsi="Times New Roman"/>
          <w:spacing w:val="-3"/>
        </w:rPr>
        <w:t xml:space="preserve"> of their rights</w:t>
      </w:r>
      <w:r w:rsidR="009557A1">
        <w:rPr>
          <w:rFonts w:ascii="Times New Roman" w:hAnsi="Times New Roman"/>
        </w:rPr>
        <w:t>.</w:t>
      </w:r>
    </w:p>
    <w:p w:rsidR="007B6C63" w:rsidRPr="00386C94">
      <w:pPr>
        <w:rPr>
          <w:rFonts w:ascii="Times New Roman" w:hAnsi="Times New Roman"/>
        </w:rPr>
      </w:pPr>
    </w:p>
    <w:p w:rsidR="00386C94" w:rsidRPr="00386C94" w:rsidP="00A1019D">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Pr>
          <w:rFonts w:ascii="Times New Roman" w:hAnsi="Times New Roman"/>
          <w:b/>
          <w:bCs/>
          <w:iCs/>
          <w:u w:val="single"/>
        </w:rPr>
        <w:t>Special circumstances necessitating collection inconsistent with 5 CFR Part 1320.5(d)(2):</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pPr>
        <w:rPr>
          <w:rFonts w:ascii="Times New Roman" w:hAnsi="Times New Roman"/>
        </w:rPr>
      </w:pPr>
      <w:bookmarkStart w:id="0" w:name="_GoBack"/>
    </w:p>
    <w:bookmarkEnd w:id="0"/>
    <w:p w:rsidR="007B6C63" w:rsidP="000B0581">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4C1B58" w:rsidR="00DE2D0B">
        <w:rPr>
          <w:rFonts w:ascii="Times New Roman" w:hAnsi="Times New Roman"/>
          <w:i/>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B72EAD">
        <w:rPr>
          <w:rFonts w:ascii="Times New Roman" w:hAnsi="Times New Roman"/>
        </w:rPr>
        <w:t xml:space="preserve">March </w:t>
      </w:r>
      <w:r w:rsidR="00674429">
        <w:rPr>
          <w:rFonts w:ascii="Times New Roman" w:hAnsi="Times New Roman"/>
        </w:rPr>
        <w:t>2, 2023</w:t>
      </w:r>
      <w:r w:rsidR="00DE2D0B">
        <w:rPr>
          <w:rFonts w:ascii="Times New Roman" w:hAnsi="Times New Roman"/>
        </w:rPr>
        <w:t xml:space="preserve"> (</w:t>
      </w:r>
      <w:r w:rsidR="00674429">
        <w:rPr>
          <w:rFonts w:ascii="Times New Roman" w:hAnsi="Times New Roman"/>
        </w:rPr>
        <w:t>88</w:t>
      </w:r>
      <w:r w:rsidR="00DE2D0B">
        <w:rPr>
          <w:rFonts w:ascii="Times New Roman" w:hAnsi="Times New Roman"/>
        </w:rPr>
        <w:t xml:space="preserve"> FR </w:t>
      </w:r>
      <w:r w:rsidR="00B72EAD">
        <w:rPr>
          <w:rFonts w:ascii="Times New Roman" w:hAnsi="Times New Roman"/>
        </w:rPr>
        <w:t>1</w:t>
      </w:r>
      <w:r w:rsidR="00674429">
        <w:rPr>
          <w:rFonts w:ascii="Times New Roman" w:hAnsi="Times New Roman"/>
        </w:rPr>
        <w:t>3117</w:t>
      </w:r>
      <w:r w:rsidR="00DE2D0B">
        <w:rPr>
          <w:rFonts w:ascii="Times New Roman" w:hAnsi="Times New Roman"/>
        </w:rPr>
        <w:t>)</w:t>
      </w:r>
      <w:r>
        <w:rPr>
          <w:rFonts w:ascii="Times New Roman" w:hAnsi="Times New Roman"/>
        </w:rPr>
        <w:t>.  No comments were received.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None.</w:t>
      </w:r>
    </w:p>
    <w:p w:rsidR="007B6C63" w:rsidP="00437618">
      <w:pPr>
        <w:keepNext/>
        <w:ind w:left="720" w:firstLine="720"/>
        <w:rPr>
          <w:rFonts w:ascii="Times New Roman" w:hAnsi="Times New Roman"/>
        </w:rPr>
      </w:pPr>
    </w:p>
    <w:p w:rsidR="007B6C63" w:rsidP="00437618">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pPr>
        <w:keepNext/>
        <w:rPr>
          <w:rFonts w:ascii="Times New Roman" w:hAnsi="Times New Roman"/>
        </w:rPr>
      </w:pPr>
    </w:p>
    <w:p w:rsidR="00881712" w:rsidP="00437618">
      <w:pPr>
        <w:keepNext/>
        <w:ind w:left="720"/>
        <w:rPr>
          <w:rFonts w:ascii="Times New Roman" w:hAnsi="Times New Roman"/>
        </w:rPr>
      </w:pPr>
      <w:r>
        <w:rPr>
          <w:rFonts w:ascii="Times New Roman" w:hAnsi="Times New Roman"/>
        </w:rPr>
        <w:t>Information is kept private to the extent allowed by law</w:t>
      </w:r>
      <w:r w:rsidRPr="00371017" w:rsidR="00371017">
        <w:rPr>
          <w:rFonts w:ascii="Times New Roman" w:hAnsi="Times New Roman"/>
        </w:rPr>
        <w:t>.</w:t>
      </w:r>
    </w:p>
    <w:p w:rsidR="007B6C63">
      <w:pPr>
        <w:ind w:left="720" w:firstLine="720"/>
        <w:rPr>
          <w:rFonts w:ascii="Times New Roman" w:hAnsi="Times New Roman"/>
        </w:rPr>
      </w:pPr>
    </w:p>
    <w:p w:rsidR="00881712" w:rsidRPr="00F04445" w:rsidP="00A1019D">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Pr>
          <w:rFonts w:ascii="Times New Roman" w:hAnsi="Times New Roman"/>
          <w:b/>
          <w:bCs/>
          <w:iCs/>
          <w:u w:val="single"/>
        </w:rPr>
        <w:t>Justification</w:t>
      </w:r>
      <w:r w:rsidRPr="00846A1A">
        <w:rPr>
          <w:rFonts w:ascii="Times New Roman" w:hAnsi="Times New Roman"/>
          <w:b/>
          <w:bCs/>
          <w:spacing w:val="-1"/>
          <w:szCs w:val="24"/>
          <w:u w:val="single"/>
        </w:rPr>
        <w:t xml:space="preserve"> </w:t>
      </w:r>
      <w:r w:rsidRPr="00846A1A">
        <w:rPr>
          <w:rFonts w:ascii="Times New Roman" w:hAnsi="Times New Roman"/>
          <w:b/>
          <w:u w:val="single"/>
        </w:rPr>
        <w:t>for</w:t>
      </w:r>
      <w:r w:rsidRPr="002A5F6B">
        <w:rPr>
          <w:rFonts w:ascii="Times New Roman" w:hAnsi="Times New Roman"/>
          <w:b/>
          <w:bCs/>
          <w:spacing w:val="-1"/>
          <w:szCs w:val="24"/>
          <w:u w:val="single"/>
        </w:rPr>
        <w:t xml:space="preserve"> questions of a sensitive nature:</w:t>
      </w:r>
    </w:p>
    <w:p w:rsidR="007B6C63">
      <w:pPr>
        <w:tabs>
          <w:tab w:val="left" w:pos="-1440"/>
        </w:tabs>
        <w:ind w:firstLine="720"/>
        <w:rPr>
          <w:rFonts w:ascii="Times New Roman" w:hAnsi="Times New Roman"/>
        </w:rPr>
      </w:pPr>
    </w:p>
    <w:p w:rsidR="007B6C63" w:rsidP="009557A1">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615BAD">
      <w:pPr>
        <w:rPr>
          <w:rFonts w:ascii="Times New Roman" w:hAnsi="Times New Roman"/>
        </w:rPr>
      </w:pPr>
    </w:p>
    <w:p w:rsidR="00285D59" w:rsidP="00285D59">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285D59" w:rsidP="00285D59">
      <w:pPr>
        <w:keepNext/>
        <w:tabs>
          <w:tab w:val="left" w:pos="-1440"/>
        </w:tabs>
        <w:ind w:firstLine="720"/>
        <w:rPr>
          <w:rFonts w:ascii="Times New Roman" w:hAnsi="Times New Roman"/>
          <w:b/>
          <w:bCs/>
          <w:iCs/>
          <w:szCs w:val="24"/>
          <w:u w:val="single"/>
        </w:rPr>
      </w:pPr>
    </w:p>
    <w:p w:rsidR="00674429" w:rsidP="00285D59">
      <w:pPr>
        <w:keepNext/>
        <w:tabs>
          <w:tab w:val="left" w:pos="-1440"/>
        </w:tabs>
        <w:ind w:firstLine="720"/>
        <w:rPr>
          <w:rFonts w:ascii="Times New Roman" w:hAnsi="Times New Roman"/>
          <w:b/>
          <w:bCs/>
          <w:iCs/>
          <w:szCs w:val="24"/>
          <w:u w:val="single"/>
        </w:rPr>
      </w:pPr>
    </w:p>
    <w:p w:rsidR="00674429" w:rsidP="00285D59">
      <w:pPr>
        <w:keepNext/>
        <w:tabs>
          <w:tab w:val="left" w:pos="-1440"/>
        </w:tabs>
        <w:ind w:firstLine="720"/>
        <w:rPr>
          <w:rFonts w:ascii="Times New Roman" w:hAnsi="Times New Roman"/>
          <w:b/>
          <w:bCs/>
          <w:iCs/>
          <w:szCs w:val="24"/>
          <w:u w:val="single"/>
        </w:rPr>
      </w:pPr>
    </w:p>
    <w:tbl>
      <w:tblPr>
        <w:tblW w:w="10191" w:type="dxa"/>
        <w:tblLook w:val="04A0"/>
      </w:tblPr>
      <w:tblGrid>
        <w:gridCol w:w="2499"/>
        <w:gridCol w:w="1818"/>
        <w:gridCol w:w="1429"/>
        <w:gridCol w:w="1893"/>
        <w:gridCol w:w="1266"/>
        <w:gridCol w:w="1286"/>
      </w:tblGrid>
      <w:tr w:rsidTr="00674429">
        <w:tblPrEx>
          <w:tblW w:w="10191" w:type="dxa"/>
          <w:tblLook w:val="04A0"/>
        </w:tblPrEx>
        <w:trPr>
          <w:trHeight w:val="342"/>
        </w:trPr>
        <w:tc>
          <w:tcPr>
            <w:tcW w:w="1019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74429" w:rsidRPr="00674429" w:rsidP="00674429">
            <w:pPr>
              <w:autoSpaceDE w:val="0"/>
              <w:autoSpaceDN w:val="0"/>
              <w:jc w:val="center"/>
              <w:rPr>
                <w:rFonts w:ascii="Source Sans Pro" w:hAnsi="Source Sans Pro" w:cs="Calibri"/>
                <w:snapToGrid/>
                <w:color w:val="000000"/>
                <w:sz w:val="20"/>
              </w:rPr>
            </w:pPr>
            <w:r w:rsidRPr="00674429">
              <w:rPr>
                <w:rFonts w:ascii="Source Sans Pro" w:hAnsi="Source Sans Pro" w:cs="Calibri"/>
                <w:snapToGrid/>
                <w:color w:val="000000"/>
                <w:sz w:val="20"/>
              </w:rPr>
              <w:t>Summary of Estimated Annual Burden (OMB No. 3064-0140)</w:t>
            </w:r>
          </w:p>
        </w:tc>
      </w:tr>
      <w:tr w:rsidTr="00674429">
        <w:tblPrEx>
          <w:tblW w:w="10191" w:type="dxa"/>
          <w:tblLook w:val="04A0"/>
        </w:tblPrEx>
        <w:trPr>
          <w:trHeight w:val="800"/>
        </w:trPr>
        <w:tc>
          <w:tcPr>
            <w:tcW w:w="2499" w:type="dxa"/>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rPr>
                <w:rFonts w:ascii="Source Sans Pro" w:hAnsi="Source Sans Pro" w:cs="Calibri"/>
                <w:snapToGrid/>
                <w:color w:val="000000"/>
                <w:sz w:val="20"/>
              </w:rPr>
            </w:pPr>
            <w:r w:rsidRPr="00674429">
              <w:rPr>
                <w:rFonts w:ascii="Source Sans Pro" w:hAnsi="Source Sans Pro" w:cs="Calibri"/>
                <w:snapToGrid/>
                <w:color w:val="000000"/>
                <w:sz w:val="20"/>
              </w:rPr>
              <w:t>Information Collection (Obligation to Respond)</w:t>
            </w:r>
          </w:p>
        </w:tc>
        <w:tc>
          <w:tcPr>
            <w:tcW w:w="1818" w:type="dxa"/>
            <w:tcBorders>
              <w:top w:val="nil"/>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Type of Burden</w:t>
            </w:r>
            <w:r w:rsidRPr="00674429">
              <w:rPr>
                <w:rFonts w:ascii="Source Sans Pro" w:hAnsi="Source Sans Pro" w:cs="Calibri"/>
                <w:snapToGrid/>
                <w:color w:val="000000"/>
                <w:sz w:val="20"/>
              </w:rPr>
              <w:br/>
              <w:t>(Frequency of Response)</w:t>
            </w:r>
          </w:p>
        </w:tc>
        <w:tc>
          <w:tcPr>
            <w:tcW w:w="1429" w:type="dxa"/>
            <w:tcBorders>
              <w:top w:val="nil"/>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 xml:space="preserve"> Number of Respondents</w:t>
            </w:r>
          </w:p>
        </w:tc>
        <w:tc>
          <w:tcPr>
            <w:tcW w:w="1893" w:type="dxa"/>
            <w:tcBorders>
              <w:top w:val="nil"/>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 xml:space="preserve"> Number of Responses per Respondent</w:t>
            </w:r>
          </w:p>
        </w:tc>
        <w:tc>
          <w:tcPr>
            <w:tcW w:w="1264" w:type="dxa"/>
            <w:tcBorders>
              <w:top w:val="nil"/>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Time per Response (HH:MM)</w:t>
            </w:r>
          </w:p>
        </w:tc>
        <w:tc>
          <w:tcPr>
            <w:tcW w:w="1285" w:type="dxa"/>
            <w:tcBorders>
              <w:top w:val="nil"/>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Annual Burden (Hours)</w:t>
            </w:r>
          </w:p>
        </w:tc>
      </w:tr>
      <w:tr w:rsidTr="00674429">
        <w:tblPrEx>
          <w:tblW w:w="10191" w:type="dxa"/>
          <w:tblLook w:val="04A0"/>
        </w:tblPrEx>
        <w:trPr>
          <w:trHeight w:val="752"/>
        </w:trPr>
        <w:tc>
          <w:tcPr>
            <w:tcW w:w="2499" w:type="dxa"/>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rPr>
                <w:rFonts w:ascii="Source Sans Pro" w:hAnsi="Source Sans Pro" w:cs="Calibri"/>
                <w:snapToGrid/>
                <w:color w:val="000000"/>
                <w:sz w:val="20"/>
              </w:rPr>
            </w:pPr>
            <w:r w:rsidRPr="00674429">
              <w:rPr>
                <w:rFonts w:ascii="Source Sans Pro" w:hAnsi="Source Sans Pro" w:cs="Calibri"/>
                <w:snapToGrid/>
                <w:color w:val="000000"/>
                <w:sz w:val="20"/>
              </w:rPr>
              <w:t>1. Insurance Sales Consumer Protections,</w:t>
            </w:r>
            <w:r w:rsidRPr="00674429">
              <w:rPr>
                <w:rFonts w:ascii="Source Sans Pro" w:hAnsi="Source Sans Pro" w:cs="Calibri"/>
                <w:snapToGrid/>
                <w:color w:val="000000"/>
                <w:sz w:val="20"/>
              </w:rPr>
              <w:br/>
              <w:t>12 CFR 343 (Mandatory)</w:t>
            </w:r>
          </w:p>
        </w:tc>
        <w:tc>
          <w:tcPr>
            <w:tcW w:w="1818" w:type="dxa"/>
            <w:tcBorders>
              <w:top w:val="nil"/>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Third Party Disclosure</w:t>
            </w:r>
            <w:r w:rsidRPr="00674429">
              <w:rPr>
                <w:rFonts w:ascii="Source Sans Pro" w:hAnsi="Source Sans Pro" w:cs="Calibri"/>
                <w:snapToGrid/>
                <w:color w:val="000000"/>
                <w:sz w:val="20"/>
              </w:rPr>
              <w:br/>
              <w:t>(On Occasion)</w:t>
            </w:r>
          </w:p>
        </w:tc>
        <w:tc>
          <w:tcPr>
            <w:tcW w:w="1429" w:type="dxa"/>
            <w:tcBorders>
              <w:top w:val="nil"/>
              <w:left w:val="nil"/>
              <w:bottom w:val="single" w:sz="8" w:space="0" w:color="auto"/>
              <w:right w:val="single" w:sz="8" w:space="0" w:color="auto"/>
            </w:tcBorders>
            <w:shd w:val="clear" w:color="auto" w:fill="auto"/>
            <w:noWrap/>
            <w:vAlign w:val="center"/>
            <w:hideMark/>
          </w:tcPr>
          <w:p w:rsidR="00674429" w:rsidRPr="00674429" w:rsidP="00674429">
            <w:pPr>
              <w:widowControl/>
              <w:jc w:val="right"/>
              <w:rPr>
                <w:rFonts w:ascii="Source Sans Pro" w:hAnsi="Source Sans Pro" w:cs="Calibri"/>
                <w:snapToGrid/>
                <w:color w:val="000000"/>
                <w:sz w:val="20"/>
              </w:rPr>
            </w:pPr>
            <w:r w:rsidRPr="00674429">
              <w:rPr>
                <w:rFonts w:ascii="Source Sans Pro" w:hAnsi="Source Sans Pro" w:cs="Calibri"/>
                <w:snapToGrid/>
                <w:color w:val="000000"/>
                <w:sz w:val="20"/>
              </w:rPr>
              <w:t>1,101</w:t>
            </w:r>
          </w:p>
        </w:tc>
        <w:tc>
          <w:tcPr>
            <w:tcW w:w="1893" w:type="dxa"/>
            <w:tcBorders>
              <w:top w:val="nil"/>
              <w:left w:val="nil"/>
              <w:bottom w:val="single" w:sz="8" w:space="0" w:color="auto"/>
              <w:right w:val="single" w:sz="8" w:space="0" w:color="auto"/>
            </w:tcBorders>
            <w:shd w:val="clear" w:color="auto" w:fill="auto"/>
            <w:noWrap/>
            <w:vAlign w:val="center"/>
            <w:hideMark/>
          </w:tcPr>
          <w:p w:rsidR="00674429" w:rsidRPr="00674429" w:rsidP="00674429">
            <w:pPr>
              <w:widowControl/>
              <w:jc w:val="right"/>
              <w:rPr>
                <w:rFonts w:ascii="Source Sans Pro" w:hAnsi="Source Sans Pro" w:cs="Calibri"/>
                <w:snapToGrid/>
                <w:color w:val="000000"/>
                <w:sz w:val="20"/>
              </w:rPr>
            </w:pPr>
            <w:r w:rsidRPr="00674429">
              <w:rPr>
                <w:rFonts w:ascii="Source Sans Pro" w:hAnsi="Source Sans Pro" w:cs="Calibri"/>
                <w:snapToGrid/>
                <w:color w:val="000000"/>
                <w:sz w:val="20"/>
              </w:rPr>
              <w:t>1</w:t>
            </w:r>
          </w:p>
        </w:tc>
        <w:tc>
          <w:tcPr>
            <w:tcW w:w="1264" w:type="dxa"/>
            <w:tcBorders>
              <w:top w:val="nil"/>
              <w:left w:val="nil"/>
              <w:bottom w:val="single" w:sz="8" w:space="0" w:color="auto"/>
              <w:right w:val="nil"/>
            </w:tcBorders>
            <w:shd w:val="clear" w:color="auto" w:fill="auto"/>
            <w:vAlign w:val="center"/>
            <w:hideMark/>
          </w:tcPr>
          <w:p w:rsidR="00674429" w:rsidRPr="00674429" w:rsidP="00674429">
            <w:pPr>
              <w:widowControl/>
              <w:jc w:val="right"/>
              <w:rPr>
                <w:rFonts w:ascii="Source Sans Pro" w:hAnsi="Source Sans Pro" w:cs="Calibri"/>
                <w:snapToGrid/>
                <w:color w:val="000000"/>
                <w:sz w:val="20"/>
              </w:rPr>
            </w:pPr>
            <w:r w:rsidRPr="00674429">
              <w:rPr>
                <w:rFonts w:ascii="Source Sans Pro" w:hAnsi="Source Sans Pro" w:cs="Calibri"/>
                <w:snapToGrid/>
                <w:color w:val="000000"/>
                <w:sz w:val="20"/>
              </w:rPr>
              <w:t>05:00</w:t>
            </w:r>
          </w:p>
        </w:tc>
        <w:tc>
          <w:tcPr>
            <w:tcW w:w="1285" w:type="dxa"/>
            <w:tcBorders>
              <w:top w:val="nil"/>
              <w:left w:val="single" w:sz="8" w:space="0" w:color="auto"/>
              <w:bottom w:val="single" w:sz="8" w:space="0" w:color="auto"/>
              <w:right w:val="single" w:sz="8" w:space="0" w:color="auto"/>
            </w:tcBorders>
            <w:shd w:val="clear" w:color="auto" w:fill="auto"/>
            <w:noWrap/>
            <w:vAlign w:val="center"/>
            <w:hideMark/>
          </w:tcPr>
          <w:p w:rsidR="00674429" w:rsidRPr="00674429" w:rsidP="00674429">
            <w:pPr>
              <w:widowControl/>
              <w:jc w:val="right"/>
              <w:rPr>
                <w:rFonts w:ascii="Source Sans Pro" w:hAnsi="Source Sans Pro" w:cs="Calibri"/>
                <w:snapToGrid/>
                <w:color w:val="000000"/>
                <w:sz w:val="20"/>
              </w:rPr>
            </w:pPr>
            <w:r w:rsidRPr="00674429">
              <w:rPr>
                <w:rFonts w:ascii="Source Sans Pro" w:hAnsi="Source Sans Pro" w:cs="Calibri"/>
                <w:snapToGrid/>
                <w:color w:val="000000"/>
                <w:sz w:val="20"/>
              </w:rPr>
              <w:t>5,505</w:t>
            </w:r>
          </w:p>
        </w:tc>
      </w:tr>
      <w:tr w:rsidTr="00674429">
        <w:tblPrEx>
          <w:tblW w:w="10191" w:type="dxa"/>
          <w:tblLook w:val="04A0"/>
        </w:tblPrEx>
        <w:trPr>
          <w:trHeight w:val="285"/>
        </w:trPr>
        <w:tc>
          <w:tcPr>
            <w:tcW w:w="8905"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674429" w:rsidRPr="00674429" w:rsidP="00674429">
            <w:pPr>
              <w:widowControl/>
              <w:jc w:val="right"/>
              <w:rPr>
                <w:rFonts w:ascii="Source Sans Pro" w:hAnsi="Source Sans Pro" w:cs="Calibri"/>
                <w:b/>
                <w:bCs/>
                <w:i/>
                <w:iCs/>
                <w:snapToGrid/>
                <w:color w:val="000000"/>
                <w:sz w:val="20"/>
              </w:rPr>
            </w:pPr>
            <w:r w:rsidRPr="00674429">
              <w:rPr>
                <w:rFonts w:ascii="Source Sans Pro" w:hAnsi="Source Sans Pro" w:cs="Calibri"/>
                <w:b/>
                <w:bCs/>
                <w:i/>
                <w:iCs/>
                <w:snapToGrid/>
                <w:color w:val="000000"/>
                <w:sz w:val="20"/>
              </w:rPr>
              <w:t>Total Annual Burden (Hours):</w:t>
            </w:r>
          </w:p>
        </w:tc>
        <w:tc>
          <w:tcPr>
            <w:tcW w:w="1285" w:type="dxa"/>
            <w:tcBorders>
              <w:top w:val="nil"/>
              <w:left w:val="nil"/>
              <w:bottom w:val="single" w:sz="8" w:space="0" w:color="auto"/>
              <w:right w:val="single" w:sz="8" w:space="0" w:color="auto"/>
            </w:tcBorders>
            <w:shd w:val="clear" w:color="auto" w:fill="auto"/>
            <w:noWrap/>
            <w:vAlign w:val="bottom"/>
            <w:hideMark/>
          </w:tcPr>
          <w:p w:rsidR="00674429" w:rsidRPr="00674429" w:rsidP="00674429">
            <w:pPr>
              <w:widowControl/>
              <w:jc w:val="right"/>
              <w:rPr>
                <w:rFonts w:ascii="Source Sans Pro" w:hAnsi="Source Sans Pro" w:cs="Calibri"/>
                <w:b/>
                <w:bCs/>
                <w:i/>
                <w:iCs/>
                <w:snapToGrid/>
                <w:color w:val="000000"/>
                <w:sz w:val="20"/>
              </w:rPr>
            </w:pPr>
            <w:r w:rsidRPr="00674429">
              <w:rPr>
                <w:rFonts w:ascii="Source Sans Pro" w:hAnsi="Source Sans Pro" w:cs="Calibri"/>
                <w:b/>
                <w:bCs/>
                <w:i/>
                <w:iCs/>
                <w:snapToGrid/>
                <w:color w:val="000000"/>
                <w:sz w:val="20"/>
              </w:rPr>
              <w:t>5,505</w:t>
            </w:r>
          </w:p>
        </w:tc>
      </w:tr>
      <w:tr w:rsidTr="00674429">
        <w:tblPrEx>
          <w:tblW w:w="10191" w:type="dxa"/>
          <w:tblLook w:val="04A0"/>
        </w:tblPrEx>
        <w:trPr>
          <w:trHeight w:val="240"/>
        </w:trPr>
        <w:tc>
          <w:tcPr>
            <w:tcW w:w="10191" w:type="dxa"/>
            <w:gridSpan w:val="6"/>
            <w:tcBorders>
              <w:top w:val="single" w:sz="8" w:space="0" w:color="auto"/>
              <w:left w:val="single" w:sz="8" w:space="0" w:color="auto"/>
              <w:bottom w:val="single" w:sz="8" w:space="0" w:color="auto"/>
              <w:right w:val="single" w:sz="8" w:space="0" w:color="auto"/>
            </w:tcBorders>
            <w:shd w:val="clear" w:color="auto" w:fill="auto"/>
            <w:noWrap/>
            <w:hideMark/>
          </w:tcPr>
          <w:p w:rsidR="00674429" w:rsidRPr="00674429" w:rsidP="00674429">
            <w:pPr>
              <w:widowControl/>
              <w:rPr>
                <w:rFonts w:ascii="Source Sans Pro" w:hAnsi="Source Sans Pro" w:cs="Calibri"/>
                <w:snapToGrid/>
                <w:color w:val="000000"/>
                <w:sz w:val="18"/>
                <w:szCs w:val="18"/>
              </w:rPr>
            </w:pPr>
            <w:r w:rsidRPr="00674429">
              <w:rPr>
                <w:rFonts w:ascii="Source Sans Pro" w:hAnsi="Source Sans Pro" w:cs="Calibri"/>
                <w:snapToGrid/>
                <w:color w:val="000000"/>
                <w:sz w:val="18"/>
                <w:szCs w:val="18"/>
              </w:rPr>
              <w:t>Source: FDIC.</w:t>
            </w:r>
          </w:p>
        </w:tc>
      </w:tr>
      <w:tr w:rsidTr="00674429">
        <w:tblPrEx>
          <w:tblW w:w="10191" w:type="dxa"/>
          <w:tblLook w:val="04A0"/>
        </w:tblPrEx>
        <w:trPr>
          <w:trHeight w:val="275"/>
        </w:trPr>
        <w:tc>
          <w:tcPr>
            <w:tcW w:w="10191"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74429" w:rsidRPr="00674429" w:rsidP="00674429">
            <w:pPr>
              <w:widowControl/>
              <w:rPr>
                <w:rFonts w:ascii="Source Sans Pro" w:hAnsi="Source Sans Pro" w:cs="Calibri"/>
                <w:snapToGrid/>
                <w:color w:val="000000"/>
                <w:sz w:val="18"/>
                <w:szCs w:val="18"/>
              </w:rPr>
            </w:pPr>
            <w:r w:rsidRPr="00674429">
              <w:rPr>
                <w:rFonts w:ascii="Source Sans Pro" w:hAnsi="Source Sans Pro" w:cs="Calibri"/>
                <w:snapToGrid/>
                <w:color w:val="000000"/>
                <w:sz w:val="18"/>
                <w:szCs w:val="18"/>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r w:rsidTr="00674429">
        <w:tblPrEx>
          <w:tblW w:w="10191" w:type="dxa"/>
          <w:tblLook w:val="04A0"/>
        </w:tblPrEx>
        <w:trPr>
          <w:trHeight w:val="275"/>
        </w:trPr>
        <w:tc>
          <w:tcPr>
            <w:tcW w:w="10191" w:type="dxa"/>
            <w:gridSpan w:val="6"/>
            <w:vMerge/>
            <w:tcBorders>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18"/>
                <w:szCs w:val="18"/>
              </w:rPr>
            </w:pPr>
          </w:p>
        </w:tc>
      </w:tr>
      <w:tr w:rsidTr="00674429">
        <w:tblPrEx>
          <w:tblW w:w="10191" w:type="dxa"/>
          <w:tblLook w:val="04A0"/>
        </w:tblPrEx>
        <w:trPr>
          <w:trHeight w:val="298"/>
        </w:trPr>
        <w:tc>
          <w:tcPr>
            <w:tcW w:w="10191" w:type="dxa"/>
            <w:gridSpan w:val="6"/>
            <w:vMerge/>
            <w:tcBorders>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18"/>
                <w:szCs w:val="18"/>
              </w:rPr>
            </w:pPr>
          </w:p>
        </w:tc>
      </w:tr>
      <w:tr w:rsidTr="00674429">
        <w:tblPrEx>
          <w:tblW w:w="10191" w:type="dxa"/>
          <w:tblLook w:val="04A0"/>
        </w:tblPrEx>
        <w:trPr>
          <w:trHeight w:val="333"/>
        </w:trPr>
        <w:tc>
          <w:tcPr>
            <w:tcW w:w="10191" w:type="dxa"/>
            <w:gridSpan w:val="6"/>
            <w:vMerge/>
            <w:tcBorders>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18"/>
                <w:szCs w:val="18"/>
              </w:rPr>
            </w:pPr>
          </w:p>
        </w:tc>
      </w:tr>
      <w:tr w:rsidTr="00674429">
        <w:tblPrEx>
          <w:tblW w:w="10191" w:type="dxa"/>
          <w:tblLook w:val="04A0"/>
        </w:tblPrEx>
        <w:trPr>
          <w:trHeight w:val="275"/>
        </w:trPr>
        <w:tc>
          <w:tcPr>
            <w:tcW w:w="10191" w:type="dxa"/>
            <w:gridSpan w:val="6"/>
            <w:vMerge/>
            <w:tcBorders>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18"/>
                <w:szCs w:val="18"/>
              </w:rPr>
            </w:pPr>
          </w:p>
        </w:tc>
      </w:tr>
    </w:tbl>
    <w:p w:rsidR="00856473" w:rsidRPr="002A5F6B" w:rsidP="002A5F6B">
      <w:pPr>
        <w:widowControl/>
        <w:rPr>
          <w:rFonts w:ascii="Times New Roman" w:hAnsi="Times New Roman"/>
          <w:snapToGrid/>
          <w:sz w:val="20"/>
        </w:rPr>
      </w:pPr>
    </w:p>
    <w:tbl>
      <w:tblPr>
        <w:tblW w:w="10240" w:type="dxa"/>
        <w:tblLook w:val="04A0"/>
      </w:tblPr>
      <w:tblGrid>
        <w:gridCol w:w="2330"/>
        <w:gridCol w:w="862"/>
        <w:gridCol w:w="984"/>
        <w:gridCol w:w="884"/>
        <w:gridCol w:w="920"/>
        <w:gridCol w:w="984"/>
        <w:gridCol w:w="948"/>
        <w:gridCol w:w="884"/>
        <w:gridCol w:w="1444"/>
      </w:tblGrid>
      <w:tr w:rsidTr="00E11745">
        <w:tblPrEx>
          <w:tblW w:w="10240" w:type="dxa"/>
          <w:tblLook w:val="04A0"/>
        </w:tblPrEx>
        <w:trPr>
          <w:trHeight w:val="360"/>
        </w:trPr>
        <w:tc>
          <w:tcPr>
            <w:tcW w:w="102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Summary of Hourly Burden Cost Estimate (OMB No. 3064-0140)</w:t>
            </w:r>
          </w:p>
        </w:tc>
      </w:tr>
      <w:tr w:rsidTr="00E11745">
        <w:tblPrEx>
          <w:tblW w:w="10240" w:type="dxa"/>
          <w:tblLook w:val="04A0"/>
        </w:tblPrEx>
        <w:trPr>
          <w:trHeight w:val="600"/>
        </w:trPr>
        <w:tc>
          <w:tcPr>
            <w:tcW w:w="23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74429" w:rsidRPr="00674429" w:rsidP="00674429">
            <w:pPr>
              <w:widowControl/>
              <w:rPr>
                <w:rFonts w:ascii="Source Sans Pro" w:hAnsi="Source Sans Pro" w:cs="Calibri"/>
                <w:snapToGrid/>
                <w:color w:val="000000"/>
                <w:sz w:val="20"/>
              </w:rPr>
            </w:pPr>
            <w:r w:rsidRPr="00674429">
              <w:rPr>
                <w:rFonts w:ascii="Source Sans Pro" w:hAnsi="Source Sans Pro" w:cs="Calibri"/>
                <w:snapToGrid/>
                <w:color w:val="000000"/>
                <w:sz w:val="20"/>
              </w:rPr>
              <w:t xml:space="preserve">Information Collection (Obligation to Respond) </w:t>
            </w:r>
          </w:p>
        </w:tc>
        <w:tc>
          <w:tcPr>
            <w:tcW w:w="86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 xml:space="preserve">Hourly Weight </w:t>
            </w:r>
            <w:r w:rsidRPr="00674429">
              <w:rPr>
                <w:rFonts w:ascii="Source Sans Pro" w:hAnsi="Source Sans Pro" w:cs="Calibri"/>
                <w:snapToGrid/>
                <w:color w:val="000000"/>
                <w:sz w:val="20"/>
              </w:rPr>
              <w:br/>
              <w:t>(%)</w:t>
            </w:r>
          </w:p>
        </w:tc>
        <w:tc>
          <w:tcPr>
            <w:tcW w:w="5604"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 xml:space="preserve">Percentage Shares of Hours Spent by and </w:t>
            </w:r>
            <w:r w:rsidRPr="00674429">
              <w:rPr>
                <w:rFonts w:ascii="Source Sans Pro" w:hAnsi="Source Sans Pro" w:cs="Calibri"/>
                <w:snapToGrid/>
                <w:color w:val="000000"/>
                <w:sz w:val="20"/>
              </w:rPr>
              <w:br/>
              <w:t xml:space="preserve">Hourly Compensation Rates for each Occupation Group </w:t>
            </w:r>
            <w:r w:rsidRPr="00674429">
              <w:rPr>
                <w:rFonts w:ascii="Source Sans Pro" w:hAnsi="Source Sans Pro" w:cs="Calibri"/>
                <w:snapToGrid/>
                <w:color w:val="000000"/>
                <w:sz w:val="20"/>
              </w:rPr>
              <w:br/>
              <w:t>(by Collection)</w:t>
            </w:r>
          </w:p>
        </w:tc>
        <w:tc>
          <w:tcPr>
            <w:tcW w:w="144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Estimated Hourly Compensation Rate</w:t>
            </w:r>
          </w:p>
        </w:tc>
      </w:tr>
      <w:tr w:rsidTr="00E11745">
        <w:tblPrEx>
          <w:tblW w:w="10240" w:type="dxa"/>
          <w:tblLook w:val="04A0"/>
        </w:tblPrEx>
        <w:trPr>
          <w:trHeight w:val="863"/>
        </w:trPr>
        <w:tc>
          <w:tcPr>
            <w:tcW w:w="2330" w:type="dxa"/>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862" w:type="dxa"/>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5604" w:type="dxa"/>
            <w:gridSpan w:val="6"/>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r>
      <w:tr w:rsidTr="00E11745">
        <w:tblPrEx>
          <w:tblW w:w="10240" w:type="dxa"/>
          <w:tblLook w:val="04A0"/>
        </w:tblPrEx>
        <w:trPr>
          <w:trHeight w:val="360"/>
        </w:trPr>
        <w:tc>
          <w:tcPr>
            <w:tcW w:w="2330" w:type="dxa"/>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862" w:type="dxa"/>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Exec. &amp; Mgr.      ($131.75)</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Lawyer   ($163.2)</w:t>
            </w: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Compl. Ofc.   ($63.62)</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IT    ($101.06)</w:t>
            </w:r>
          </w:p>
        </w:tc>
        <w:tc>
          <w:tcPr>
            <w:tcW w:w="948" w:type="dxa"/>
            <w:vMerge w:val="restart"/>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Fin. Anlst.    ($99.59)</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Clerical    ($37.24)</w:t>
            </w:r>
          </w:p>
        </w:tc>
        <w:tc>
          <w:tcPr>
            <w:tcW w:w="1444" w:type="dxa"/>
            <w:vMerge/>
            <w:tcBorders>
              <w:top w:val="nil"/>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r>
      <w:tr w:rsidTr="00E11745">
        <w:tblPrEx>
          <w:tblW w:w="10240" w:type="dxa"/>
          <w:tblLook w:val="04A0"/>
        </w:tblPrEx>
        <w:trPr>
          <w:trHeight w:val="840"/>
        </w:trPr>
        <w:tc>
          <w:tcPr>
            <w:tcW w:w="2330" w:type="dxa"/>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862" w:type="dxa"/>
            <w:vMerge/>
            <w:tcBorders>
              <w:top w:val="single" w:sz="8"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984" w:type="dxa"/>
            <w:vMerge/>
            <w:tcBorders>
              <w:top w:val="single" w:sz="12"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884" w:type="dxa"/>
            <w:vMerge/>
            <w:tcBorders>
              <w:top w:val="single" w:sz="12"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920" w:type="dxa"/>
            <w:vMerge/>
            <w:tcBorders>
              <w:top w:val="single" w:sz="12"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984" w:type="dxa"/>
            <w:vMerge/>
            <w:tcBorders>
              <w:top w:val="single" w:sz="12"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948" w:type="dxa"/>
            <w:vMerge/>
            <w:tcBorders>
              <w:top w:val="single" w:sz="12"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884" w:type="dxa"/>
            <w:vMerge/>
            <w:tcBorders>
              <w:top w:val="single" w:sz="12" w:space="0" w:color="auto"/>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674429" w:rsidRPr="00674429" w:rsidP="00674429">
            <w:pPr>
              <w:widowControl/>
              <w:rPr>
                <w:rFonts w:ascii="Source Sans Pro" w:hAnsi="Source Sans Pro" w:cs="Calibri"/>
                <w:snapToGrid/>
                <w:color w:val="000000"/>
                <w:sz w:val="20"/>
              </w:rPr>
            </w:pPr>
          </w:p>
        </w:tc>
      </w:tr>
      <w:tr w:rsidTr="00E11745">
        <w:tblPrEx>
          <w:tblW w:w="10240" w:type="dxa"/>
          <w:tblLook w:val="04A0"/>
        </w:tblPrEx>
        <w:trPr>
          <w:trHeight w:val="790"/>
        </w:trPr>
        <w:tc>
          <w:tcPr>
            <w:tcW w:w="23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4429" w:rsidRPr="00674429" w:rsidP="00674429">
            <w:pPr>
              <w:widowControl/>
              <w:rPr>
                <w:rFonts w:ascii="Source Sans Pro" w:hAnsi="Source Sans Pro" w:cs="Calibri"/>
                <w:snapToGrid/>
                <w:color w:val="000000"/>
                <w:sz w:val="20"/>
              </w:rPr>
            </w:pPr>
            <w:r w:rsidRPr="00674429">
              <w:rPr>
                <w:rFonts w:ascii="Source Sans Pro" w:hAnsi="Source Sans Pro" w:cs="Calibri"/>
                <w:snapToGrid/>
                <w:color w:val="000000"/>
                <w:sz w:val="20"/>
              </w:rPr>
              <w:t>1. Insurance Sales Consumer Protections,</w:t>
            </w:r>
            <w:r w:rsidRPr="00674429">
              <w:rPr>
                <w:rFonts w:ascii="Source Sans Pro" w:hAnsi="Source Sans Pro" w:cs="Calibri"/>
                <w:snapToGrid/>
                <w:color w:val="000000"/>
                <w:sz w:val="20"/>
              </w:rPr>
              <w:br/>
              <w:t>12 CFR 343 (Mandatory)</w:t>
            </w:r>
          </w:p>
        </w:tc>
        <w:tc>
          <w:tcPr>
            <w:tcW w:w="862"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100.00</w:t>
            </w:r>
          </w:p>
        </w:tc>
        <w:tc>
          <w:tcPr>
            <w:tcW w:w="984"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1</w:t>
            </w:r>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2</w:t>
            </w:r>
          </w:p>
        </w:tc>
        <w:tc>
          <w:tcPr>
            <w:tcW w:w="920"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4</w:t>
            </w:r>
          </w:p>
        </w:tc>
        <w:tc>
          <w:tcPr>
            <w:tcW w:w="984"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3</w:t>
            </w:r>
          </w:p>
        </w:tc>
        <w:tc>
          <w:tcPr>
            <w:tcW w:w="948"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70</w:t>
            </w:r>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jc w:val="center"/>
              <w:rPr>
                <w:rFonts w:ascii="Source Sans Pro" w:hAnsi="Source Sans Pro" w:cs="Calibri"/>
                <w:snapToGrid/>
                <w:color w:val="000000"/>
                <w:sz w:val="20"/>
              </w:rPr>
            </w:pPr>
            <w:r w:rsidRPr="00674429">
              <w:rPr>
                <w:rFonts w:ascii="Source Sans Pro" w:hAnsi="Source Sans Pro" w:cs="Calibri"/>
                <w:snapToGrid/>
                <w:color w:val="000000"/>
                <w:sz w:val="20"/>
              </w:rPr>
              <w:t>20</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rsidR="00674429" w:rsidRPr="00674429" w:rsidP="00674429">
            <w:pPr>
              <w:widowControl/>
              <w:ind w:firstLine="200" w:firstLineChars="100"/>
              <w:jc w:val="right"/>
              <w:rPr>
                <w:rFonts w:ascii="Source Sans Pro" w:hAnsi="Source Sans Pro" w:cs="Calibri"/>
                <w:snapToGrid/>
                <w:color w:val="000000"/>
                <w:sz w:val="20"/>
              </w:rPr>
            </w:pPr>
            <w:r w:rsidRPr="00674429">
              <w:rPr>
                <w:rFonts w:ascii="Source Sans Pro" w:hAnsi="Source Sans Pro" w:cs="Calibri"/>
                <w:snapToGrid/>
                <w:color w:val="000000"/>
                <w:sz w:val="20"/>
              </w:rPr>
              <w:t xml:space="preserve">$87.32 </w:t>
            </w:r>
          </w:p>
        </w:tc>
      </w:tr>
      <w:tr w:rsidTr="00E11745">
        <w:tblPrEx>
          <w:tblW w:w="10240" w:type="dxa"/>
          <w:tblLook w:val="04A0"/>
        </w:tblPrEx>
        <w:trPr>
          <w:trHeight w:val="300"/>
        </w:trPr>
        <w:tc>
          <w:tcPr>
            <w:tcW w:w="8796" w:type="dxa"/>
            <w:gridSpan w:val="8"/>
            <w:tcBorders>
              <w:top w:val="single" w:sz="8" w:space="0" w:color="auto"/>
              <w:left w:val="single" w:sz="8" w:space="0" w:color="auto"/>
              <w:bottom w:val="nil"/>
              <w:right w:val="nil"/>
            </w:tcBorders>
            <w:shd w:val="clear" w:color="auto" w:fill="auto"/>
            <w:vAlign w:val="center"/>
            <w:hideMark/>
          </w:tcPr>
          <w:p w:rsidR="00674429" w:rsidRPr="00674429" w:rsidP="00674429">
            <w:pPr>
              <w:widowControl/>
              <w:jc w:val="right"/>
              <w:rPr>
                <w:rFonts w:ascii="Source Sans Pro" w:hAnsi="Source Sans Pro" w:cs="Calibri"/>
                <w:b/>
                <w:bCs/>
                <w:i/>
                <w:iCs/>
                <w:snapToGrid/>
                <w:color w:val="000000"/>
                <w:sz w:val="20"/>
              </w:rPr>
            </w:pPr>
            <w:r w:rsidRPr="00674429">
              <w:rPr>
                <w:rFonts w:ascii="Source Sans Pro" w:hAnsi="Source Sans Pro" w:cs="Calibri"/>
                <w:b/>
                <w:bCs/>
                <w:i/>
                <w:iCs/>
                <w:snapToGrid/>
                <w:color w:val="000000"/>
                <w:sz w:val="20"/>
              </w:rPr>
              <w:t>Weighted Average Hourly Compensation Rate:</w:t>
            </w:r>
          </w:p>
        </w:tc>
        <w:tc>
          <w:tcPr>
            <w:tcW w:w="1444" w:type="dxa"/>
            <w:tcBorders>
              <w:top w:val="nil"/>
              <w:left w:val="nil"/>
              <w:bottom w:val="nil"/>
              <w:right w:val="single" w:sz="8" w:space="0" w:color="auto"/>
            </w:tcBorders>
            <w:shd w:val="clear" w:color="auto" w:fill="auto"/>
            <w:vAlign w:val="center"/>
            <w:hideMark/>
          </w:tcPr>
          <w:p w:rsidR="00674429" w:rsidRPr="00674429" w:rsidP="00674429">
            <w:pPr>
              <w:widowControl/>
              <w:ind w:firstLine="200" w:firstLineChars="100"/>
              <w:jc w:val="right"/>
              <w:rPr>
                <w:rFonts w:ascii="Source Sans Pro" w:hAnsi="Source Sans Pro" w:cs="Calibri"/>
                <w:b/>
                <w:bCs/>
                <w:i/>
                <w:iCs/>
                <w:snapToGrid/>
                <w:color w:val="000000"/>
                <w:sz w:val="20"/>
              </w:rPr>
            </w:pPr>
            <w:r w:rsidRPr="00674429">
              <w:rPr>
                <w:rFonts w:ascii="Source Sans Pro" w:hAnsi="Source Sans Pro" w:cs="Calibri"/>
                <w:b/>
                <w:bCs/>
                <w:i/>
                <w:iCs/>
                <w:snapToGrid/>
                <w:color w:val="000000"/>
                <w:sz w:val="20"/>
              </w:rPr>
              <w:t xml:space="preserve">$87.32 </w:t>
            </w:r>
          </w:p>
        </w:tc>
      </w:tr>
      <w:tr w:rsidTr="00E11745">
        <w:tblPrEx>
          <w:tblW w:w="10240" w:type="dxa"/>
          <w:tblLook w:val="04A0"/>
        </w:tblPrEx>
        <w:trPr>
          <w:trHeight w:val="253"/>
        </w:trPr>
        <w:tc>
          <w:tcPr>
            <w:tcW w:w="1024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674429" w:rsidRPr="00674429" w:rsidP="00674429">
            <w:pPr>
              <w:widowControl/>
              <w:rPr>
                <w:rFonts w:ascii="Source Sans Pro" w:hAnsi="Source Sans Pro" w:cs="Calibri"/>
                <w:snapToGrid/>
                <w:color w:val="000000"/>
                <w:sz w:val="18"/>
                <w:szCs w:val="18"/>
              </w:rPr>
            </w:pPr>
            <w:r w:rsidRPr="00674429">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September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rsidTr="00E11745">
        <w:tblPrEx>
          <w:tblW w:w="10240" w:type="dxa"/>
          <w:tblLook w:val="04A0"/>
        </w:tblPrEx>
        <w:trPr>
          <w:trHeight w:val="290"/>
        </w:trPr>
        <w:tc>
          <w:tcPr>
            <w:tcW w:w="10240" w:type="dxa"/>
            <w:gridSpan w:val="9"/>
            <w:vMerge/>
            <w:tcBorders>
              <w:top w:val="single" w:sz="8" w:space="0" w:color="auto"/>
              <w:left w:val="single" w:sz="8" w:space="0" w:color="auto"/>
              <w:bottom w:val="nil"/>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290"/>
        </w:trPr>
        <w:tc>
          <w:tcPr>
            <w:tcW w:w="10240" w:type="dxa"/>
            <w:gridSpan w:val="9"/>
            <w:vMerge/>
            <w:tcBorders>
              <w:top w:val="single" w:sz="8" w:space="0" w:color="auto"/>
              <w:left w:val="single" w:sz="8" w:space="0" w:color="auto"/>
              <w:bottom w:val="nil"/>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313"/>
        </w:trPr>
        <w:tc>
          <w:tcPr>
            <w:tcW w:w="10240" w:type="dxa"/>
            <w:gridSpan w:val="9"/>
            <w:vMerge/>
            <w:tcBorders>
              <w:top w:val="single" w:sz="8" w:space="0" w:color="auto"/>
              <w:left w:val="single" w:sz="8" w:space="0" w:color="auto"/>
              <w:bottom w:val="nil"/>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272"/>
        </w:trPr>
        <w:tc>
          <w:tcPr>
            <w:tcW w:w="10240" w:type="dxa"/>
            <w:gridSpan w:val="9"/>
            <w:vMerge/>
            <w:tcBorders>
              <w:top w:val="single" w:sz="8" w:space="0" w:color="auto"/>
              <w:left w:val="single" w:sz="8" w:space="0" w:color="auto"/>
              <w:bottom w:val="nil"/>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290"/>
        </w:trPr>
        <w:tc>
          <w:tcPr>
            <w:tcW w:w="10240" w:type="dxa"/>
            <w:gridSpan w:val="9"/>
            <w:vMerge w:val="restart"/>
            <w:tcBorders>
              <w:top w:val="nil"/>
              <w:left w:val="single" w:sz="8" w:space="0" w:color="auto"/>
              <w:bottom w:val="single" w:sz="8" w:space="0" w:color="000000"/>
              <w:right w:val="single" w:sz="8" w:space="0" w:color="000000"/>
            </w:tcBorders>
            <w:shd w:val="clear" w:color="auto" w:fill="auto"/>
            <w:vAlign w:val="center"/>
            <w:hideMark/>
          </w:tcPr>
          <w:p w:rsidR="00674429" w:rsidRPr="00674429" w:rsidP="00674429">
            <w:pPr>
              <w:widowControl/>
              <w:rPr>
                <w:rFonts w:ascii="Source Sans Pro" w:hAnsi="Source Sans Pro" w:cs="Calibri"/>
                <w:snapToGrid/>
                <w:color w:val="000000"/>
                <w:sz w:val="18"/>
                <w:szCs w:val="18"/>
              </w:rPr>
            </w:pPr>
            <w:r w:rsidRPr="00674429">
              <w:rPr>
                <w:rFonts w:ascii="Source Sans Pro" w:hAnsi="Source Sans Pro" w:cs="Calibri"/>
                <w:snapToGrid/>
                <w:color w:val="000000"/>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rsidTr="00E11745">
        <w:tblPrEx>
          <w:tblW w:w="10240" w:type="dxa"/>
          <w:tblLook w:val="04A0"/>
        </w:tblPrEx>
        <w:trPr>
          <w:trHeight w:val="290"/>
        </w:trPr>
        <w:tc>
          <w:tcPr>
            <w:tcW w:w="10240" w:type="dxa"/>
            <w:gridSpan w:val="9"/>
            <w:vMerge/>
            <w:tcBorders>
              <w:top w:val="nil"/>
              <w:left w:val="single" w:sz="8" w:space="0" w:color="auto"/>
              <w:bottom w:val="single" w:sz="8" w:space="0" w:color="000000"/>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290"/>
        </w:trPr>
        <w:tc>
          <w:tcPr>
            <w:tcW w:w="10240" w:type="dxa"/>
            <w:gridSpan w:val="9"/>
            <w:vMerge/>
            <w:tcBorders>
              <w:top w:val="nil"/>
              <w:left w:val="single" w:sz="8" w:space="0" w:color="auto"/>
              <w:bottom w:val="single" w:sz="8" w:space="0" w:color="000000"/>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290"/>
        </w:trPr>
        <w:tc>
          <w:tcPr>
            <w:tcW w:w="10240" w:type="dxa"/>
            <w:gridSpan w:val="9"/>
            <w:vMerge/>
            <w:tcBorders>
              <w:top w:val="nil"/>
              <w:left w:val="single" w:sz="8" w:space="0" w:color="auto"/>
              <w:bottom w:val="single" w:sz="8" w:space="0" w:color="000000"/>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r w:rsidTr="00E11745">
        <w:tblPrEx>
          <w:tblW w:w="10240" w:type="dxa"/>
          <w:tblLook w:val="04A0"/>
        </w:tblPrEx>
        <w:trPr>
          <w:trHeight w:val="300"/>
        </w:trPr>
        <w:tc>
          <w:tcPr>
            <w:tcW w:w="10240" w:type="dxa"/>
            <w:gridSpan w:val="9"/>
            <w:vMerge/>
            <w:tcBorders>
              <w:top w:val="nil"/>
              <w:left w:val="single" w:sz="8" w:space="0" w:color="auto"/>
              <w:bottom w:val="single" w:sz="8" w:space="0" w:color="auto"/>
              <w:right w:val="single" w:sz="8" w:space="0" w:color="000000"/>
            </w:tcBorders>
            <w:vAlign w:val="center"/>
            <w:hideMark/>
          </w:tcPr>
          <w:p w:rsidR="00674429" w:rsidRPr="00674429" w:rsidP="00674429">
            <w:pPr>
              <w:widowControl/>
              <w:rPr>
                <w:rFonts w:ascii="Source Sans Pro" w:hAnsi="Source Sans Pro" w:cs="Calibri"/>
                <w:snapToGrid/>
                <w:color w:val="000000"/>
                <w:sz w:val="18"/>
                <w:szCs w:val="18"/>
              </w:rPr>
            </w:pPr>
          </w:p>
        </w:tc>
      </w:tr>
    </w:tbl>
    <w:p w:rsidR="002A5F6B" w:rsidP="002A5F6B">
      <w:pPr>
        <w:widowControl/>
        <w:rPr>
          <w:rFonts w:ascii="Times New Roman" w:hAnsi="Times New Roman"/>
          <w:b/>
          <w:snapToGrid/>
          <w:szCs w:val="24"/>
        </w:rPr>
      </w:pPr>
    </w:p>
    <w:p w:rsidR="00674429" w:rsidRPr="002A5F6B" w:rsidP="002A5F6B">
      <w:pPr>
        <w:widowControl/>
        <w:rPr>
          <w:rFonts w:ascii="Times New Roman" w:hAnsi="Times New Roman"/>
          <w:b/>
          <w:snapToGrid/>
          <w:szCs w:val="24"/>
        </w:rPr>
      </w:pPr>
    </w:p>
    <w:p w:rsidR="007562B8" w:rsidRPr="005709AF" w:rsidP="004B2F21">
      <w:pPr>
        <w:keepNext/>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674429">
        <w:rPr>
          <w:rFonts w:ascii="Times New Roman" w:hAnsi="Times New Roman"/>
          <w:snapToGrid/>
          <w:szCs w:val="24"/>
        </w:rPr>
        <w:t>5,505</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674429">
        <w:rPr>
          <w:rFonts w:ascii="Times New Roman" w:hAnsi="Times New Roman"/>
          <w:snapToGrid/>
          <w:szCs w:val="24"/>
        </w:rPr>
        <w:t>87.32</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00CF05E1">
        <w:rPr>
          <w:rFonts w:ascii="Times New Roman" w:hAnsi="Times New Roman"/>
          <w:snapToGrid/>
          <w:szCs w:val="24"/>
        </w:rPr>
        <w:t xml:space="preserve"> </w:t>
      </w:r>
      <w:r w:rsidRPr="00CF05E1" w:rsidR="00CF05E1">
        <w:rPr>
          <w:rFonts w:ascii="Times New Roman" w:hAnsi="Times New Roman"/>
          <w:snapToGrid/>
          <w:szCs w:val="24"/>
        </w:rPr>
        <w:t>$</w:t>
      </w:r>
      <w:r w:rsidR="00674429">
        <w:rPr>
          <w:rFonts w:ascii="Times New Roman" w:hAnsi="Times New Roman"/>
          <w:snapToGrid/>
          <w:szCs w:val="24"/>
        </w:rPr>
        <w:t>480,697</w:t>
      </w:r>
      <w:r w:rsidR="00CF05E1">
        <w:rPr>
          <w:rFonts w:ascii="Times New Roman" w:hAnsi="Times New Roman"/>
          <w:snapToGrid/>
          <w:szCs w:val="24"/>
        </w:rPr>
        <w:t xml:space="preserve"> </w:t>
      </w:r>
      <w:r w:rsidRPr="002A5F6B" w:rsidR="002A5F6B">
        <w:rPr>
          <w:rFonts w:ascii="Times New Roman" w:hAnsi="Times New Roman"/>
          <w:snapToGrid/>
          <w:szCs w:val="24"/>
        </w:rPr>
        <w:t xml:space="preserve">per year. </w:t>
      </w:r>
    </w:p>
    <w:p w:rsidR="007562B8">
      <w:pPr>
        <w:rPr>
          <w:rFonts w:ascii="Times New Roman" w:hAnsi="Times New Roman"/>
        </w:rPr>
      </w:pPr>
    </w:p>
    <w:p w:rsidR="007B6C63" w:rsidRPr="000B0581" w:rsidP="000B0581">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007B6C63" w:rsidRPr="000B0581">
      <w:pPr>
        <w:rPr>
          <w:rFonts w:ascii="Times New Roman" w:hAnsi="Times New Roman"/>
          <w:b/>
          <w:u w:val="single"/>
        </w:rPr>
      </w:pPr>
    </w:p>
    <w:p w:rsidR="007B6C63" w:rsidP="000B0581">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pPr>
        <w:ind w:firstLine="72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pPr>
        <w:rPr>
          <w:rFonts w:ascii="Times New Roman" w:hAnsi="Times New Roman"/>
        </w:rPr>
      </w:pPr>
    </w:p>
    <w:p w:rsidR="007B6C63" w:rsidP="00B61AD2">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pPr>
        <w:keepNext/>
        <w:rPr>
          <w:rFonts w:ascii="Times New Roman" w:hAnsi="Times New Roman"/>
        </w:rPr>
      </w:pPr>
    </w:p>
    <w:p w:rsidR="00CF05E1" w:rsidP="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 change in burden is due</w:t>
      </w:r>
      <w:r w:rsidR="000B5588">
        <w:rPr>
          <w:rFonts w:ascii="Times New Roman" w:hAnsi="Times New Roman"/>
        </w:rPr>
        <w:t xml:space="preserve"> solely to </w:t>
      </w:r>
      <w:r w:rsidR="00674429">
        <w:rPr>
          <w:rFonts w:ascii="Times New Roman" w:hAnsi="Times New Roman"/>
        </w:rPr>
        <w:t>the decrease</w:t>
      </w:r>
      <w:r w:rsidR="000B5588">
        <w:rPr>
          <w:rFonts w:ascii="Times New Roman" w:hAnsi="Times New Roman"/>
        </w:rPr>
        <w:t xml:space="preserve"> in the </w:t>
      </w:r>
      <w:r>
        <w:rPr>
          <w:rFonts w:ascii="Times New Roman" w:hAnsi="Times New Roman"/>
        </w:rPr>
        <w:t xml:space="preserve">estimated </w:t>
      </w:r>
      <w:r w:rsidR="000B5588">
        <w:rPr>
          <w:rFonts w:ascii="Times New Roman" w:hAnsi="Times New Roman"/>
        </w:rPr>
        <w:t xml:space="preserve">number of </w:t>
      </w:r>
      <w:r>
        <w:rPr>
          <w:rFonts w:ascii="Times New Roman" w:hAnsi="Times New Roman"/>
        </w:rPr>
        <w:t>respondents</w:t>
      </w:r>
      <w:r w:rsidR="00674429">
        <w:rPr>
          <w:rFonts w:ascii="Times New Roman" w:hAnsi="Times New Roman"/>
        </w:rPr>
        <w:t>.</w:t>
      </w:r>
      <w:r>
        <w:rPr>
          <w:rFonts w:ascii="Times New Roman" w:hAnsi="Times New Roman"/>
        </w:rPr>
        <w:t xml:space="preserve"> The number of respondents </w:t>
      </w:r>
      <w:r w:rsidR="00C95961">
        <w:rPr>
          <w:rFonts w:ascii="Times New Roman" w:hAnsi="Times New Roman"/>
        </w:rPr>
        <w:t>decreased</w:t>
      </w:r>
      <w:r>
        <w:rPr>
          <w:rFonts w:ascii="Times New Roman" w:hAnsi="Times New Roman"/>
        </w:rPr>
        <w:t xml:space="preserve"> by </w:t>
      </w:r>
      <w:r w:rsidR="00C95961">
        <w:rPr>
          <w:rFonts w:ascii="Times New Roman" w:hAnsi="Times New Roman"/>
        </w:rPr>
        <w:t>280</w:t>
      </w:r>
      <w:r>
        <w:rPr>
          <w:rFonts w:ascii="Times New Roman" w:hAnsi="Times New Roman"/>
        </w:rPr>
        <w:t xml:space="preserve"> from </w:t>
      </w:r>
      <w:r w:rsidR="00C95961">
        <w:rPr>
          <w:rFonts w:ascii="Times New Roman" w:hAnsi="Times New Roman"/>
        </w:rPr>
        <w:t>5,505</w:t>
      </w:r>
      <w:r>
        <w:rPr>
          <w:rFonts w:ascii="Times New Roman" w:hAnsi="Times New Roman"/>
        </w:rPr>
        <w:t xml:space="preserve"> to </w:t>
      </w:r>
      <w:r w:rsidR="00C95961">
        <w:rPr>
          <w:rFonts w:ascii="Times New Roman" w:hAnsi="Times New Roman"/>
        </w:rPr>
        <w:t>5,225</w:t>
      </w:r>
      <w:r>
        <w:rPr>
          <w:rFonts w:ascii="Times New Roman" w:hAnsi="Times New Roman"/>
        </w:rPr>
        <w:t>.</w:t>
      </w:r>
    </w:p>
    <w:p w:rsidR="007B6C63" w:rsidP="00B61AD2">
      <w:pPr>
        <w:keepNext/>
        <w:ind w:left="720"/>
        <w:rPr>
          <w:rFonts w:ascii="Times New Roman" w:hAnsi="Times New Roman"/>
        </w:rPr>
      </w:pPr>
    </w:p>
    <w:p w:rsidR="00D35001" w:rsidRPr="00A1019D" w:rsidP="00A1019D">
      <w:pPr>
        <w:tabs>
          <w:tab w:val="left" w:pos="-1440"/>
        </w:tabs>
        <w:ind w:left="720" w:hanging="360"/>
        <w:rPr>
          <w:rFonts w:ascii="Times New Roman" w:hAnsi="Times New Roman"/>
          <w:b/>
          <w:bCs/>
          <w:iCs/>
          <w:u w:val="single"/>
        </w:rPr>
      </w:pPr>
    </w:p>
    <w:p w:rsidR="00937218" w:rsidRPr="00D64624" w:rsidP="00CF05E1">
      <w:pPr>
        <w:keepNext/>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Pr>
          <w:rFonts w:ascii="Times New Roman" w:hAnsi="Times New Roman"/>
          <w:b/>
          <w:bCs/>
          <w:iCs/>
          <w:u w:val="single"/>
        </w:rPr>
        <w:t>Information</w:t>
      </w:r>
      <w:r w:rsidRPr="00D64624">
        <w:rPr>
          <w:rFonts w:ascii="Times New Roman" w:hAnsi="Times New Roman"/>
          <w:b/>
          <w:szCs w:val="24"/>
          <w:u w:val="single"/>
        </w:rPr>
        <w:t xml:space="preserve"> regarding collections whose results are planned to be published for statistical use:</w:t>
      </w:r>
    </w:p>
    <w:p w:rsidR="007B6C63" w:rsidP="00CF05E1">
      <w:pPr>
        <w:keepNext/>
        <w:rPr>
          <w:rFonts w:ascii="Times New Roman" w:hAnsi="Times New Roman"/>
        </w:rPr>
      </w:pPr>
    </w:p>
    <w:p w:rsidR="007B6C63" w:rsidP="00CF05E1">
      <w:pPr>
        <w:keepNext/>
        <w:ind w:left="720"/>
        <w:rPr>
          <w:rFonts w:ascii="Times New Roman" w:hAnsi="Times New Roman"/>
        </w:rPr>
      </w:pPr>
      <w:r>
        <w:rPr>
          <w:rFonts w:ascii="Times New Roman" w:hAnsi="Times New Roman"/>
        </w:rPr>
        <w:t xml:space="preserve">The information </w:t>
      </w:r>
      <w:r w:rsidR="00CF05E1">
        <w:rPr>
          <w:rFonts w:ascii="Times New Roman" w:hAnsi="Times New Roman"/>
        </w:rPr>
        <w:t xml:space="preserve">collection consists of consumer disclosures and </w:t>
      </w:r>
      <w:r>
        <w:rPr>
          <w:rFonts w:ascii="Times New Roman" w:hAnsi="Times New Roman"/>
        </w:rPr>
        <w:t xml:space="preserve">is not </w:t>
      </w:r>
      <w:r w:rsidR="00CF05E1">
        <w:rPr>
          <w:rFonts w:ascii="Times New Roman" w:hAnsi="Times New Roman"/>
        </w:rPr>
        <w:t xml:space="preserve">intended to be </w:t>
      </w:r>
      <w:r>
        <w:rPr>
          <w:rFonts w:ascii="Times New Roman" w:hAnsi="Times New Roman"/>
        </w:rPr>
        <w:t>published.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szCs w:val="24"/>
        </w:rPr>
        <w:t>Th</w:t>
      </w:r>
      <w:r w:rsidR="00B76DC2">
        <w:rPr>
          <w:rFonts w:ascii="Times New Roman" w:hAnsi="Times New Roman"/>
          <w:szCs w:val="24"/>
        </w:rPr>
        <w:t xml:space="preserve">is information collection involves </w:t>
      </w:r>
      <w:r w:rsidR="00EE3ED4">
        <w:rPr>
          <w:rFonts w:ascii="Times New Roman" w:hAnsi="Times New Roman"/>
          <w:szCs w:val="24"/>
        </w:rPr>
        <w:t>third-party disclosure requirements</w:t>
      </w:r>
      <w:r w:rsidR="00B76DC2">
        <w:rPr>
          <w:rFonts w:ascii="Times New Roman" w:hAnsi="Times New Roman"/>
          <w:szCs w:val="24"/>
        </w:rPr>
        <w:t xml:space="preserve"> only. </w:t>
      </w:r>
      <w:r>
        <w:rPr>
          <w:rFonts w:ascii="Times New Roman" w:hAnsi="Times New Roman"/>
          <w:szCs w:val="24"/>
        </w:rPr>
        <w:t xml:space="preserve"> </w:t>
      </w:r>
      <w:r w:rsidR="00B76DC2">
        <w:rPr>
          <w:rFonts w:ascii="Times New Roman" w:hAnsi="Times New Roman"/>
        </w:rPr>
        <w:t xml:space="preserve">The expiration date of the information collection is readily available at </w:t>
      </w:r>
      <w:hyperlink r:id="rId6" w:history="1">
        <w:r w:rsidRPr="00DD71EB" w:rsidR="00B76DC2">
          <w:rPr>
            <w:rStyle w:val="Hyperlink"/>
            <w:rFonts w:ascii="Times New Roman" w:hAnsi="Times New Roman"/>
          </w:rPr>
          <w:t>www.reginfo.gov</w:t>
        </w:r>
      </w:hyperlink>
      <w:r>
        <w:rPr>
          <w:rStyle w:val="FootnoteReference"/>
          <w:rFonts w:ascii="Times New Roman" w:hAnsi="Times New Roman"/>
          <w:vertAlign w:val="superscript"/>
        </w:rPr>
        <w:footnoteReference w:id="2"/>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pPr>
        <w:tabs>
          <w:tab w:val="left" w:pos="-1440"/>
        </w:tabs>
        <w:ind w:firstLine="36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pPr>
        <w:ind w:left="720"/>
        <w:rPr>
          <w:rFonts w:ascii="Times New Roman" w:hAnsi="Times New Roman"/>
        </w:rPr>
      </w:pPr>
    </w:p>
    <w:p w:rsidR="007B6C63" w:rsidP="00715C41">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pPr>
        <w:keepNext/>
        <w:rPr>
          <w:rFonts w:ascii="Times New Roman" w:hAnsi="Times New Roman"/>
        </w:rPr>
      </w:pPr>
    </w:p>
    <w:p w:rsidR="007B6C63" w:rsidP="00715C41">
      <w:pPr>
        <w:keepNext/>
        <w:ind w:left="720"/>
        <w:rPr>
          <w:rFonts w:ascii="Times New Roman" w:hAnsi="Times New Roman"/>
        </w:rPr>
      </w:pPr>
      <w:r>
        <w:rPr>
          <w:rFonts w:ascii="Times New Roman" w:hAnsi="Times New Roman"/>
        </w:rPr>
        <w:t>Not applicable.</w:t>
      </w:r>
    </w:p>
    <w:p w:rsidR="007B6C63">
      <w:pPr>
        <w:rPr>
          <w:rFonts w:ascii="Times New Roman" w:hAnsi="Times New Roman"/>
        </w:rPr>
      </w:pPr>
    </w:p>
    <w:p w:rsidR="007B6C63">
      <w:pPr>
        <w:rPr>
          <w:rFonts w:ascii="Times New Roman" w:hAnsi="Times New Roman"/>
        </w:rPr>
      </w:pPr>
    </w:p>
    <w:sectPr>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C63">
    <w:pPr>
      <w:spacing w:line="240" w:lineRule="exact"/>
    </w:pPr>
  </w:p>
  <w:p w:rsidR="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C1B58">
      <w:rPr>
        <w:rFonts w:ascii="Times New Roman" w:hAnsi="Times New Roman"/>
        <w:noProof/>
      </w:rPr>
      <w:t>2</w:t>
    </w:r>
    <w:r>
      <w:rPr>
        <w:rFonts w:ascii="Times New Roman" w:hAnsi="Times New Roman"/>
      </w:rPr>
      <w:fldChar w:fldCharType="end"/>
    </w:r>
  </w:p>
  <w:p w:rsidR="007B6C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471F">
      <w:r>
        <w:separator/>
      </w:r>
    </w:p>
  </w:footnote>
  <w:footnote w:type="continuationSeparator" w:id="1">
    <w:p w:rsidR="003B471F">
      <w:r>
        <w:continuationSeparator/>
      </w:r>
    </w:p>
  </w:footnote>
  <w:footnote w:id="2">
    <w:p w:rsidR="00B76DC2">
      <w:pPr>
        <w:pStyle w:val="FootnoteText"/>
      </w:pPr>
      <w:r w:rsidRPr="00B76DC2">
        <w:rPr>
          <w:rStyle w:val="FootnoteReference"/>
          <w:vertAlign w:val="superscript"/>
        </w:rPr>
        <w:footnoteRef/>
      </w:r>
      <w:r>
        <w:t xml:space="preserve"> </w:t>
      </w:r>
      <w:hyperlink r:id="rId1" w:history="1">
        <w:r w:rsidRPr="007771E0" w:rsidR="00EE3ED4">
          <w:rPr>
            <w:rStyle w:val="Hyperlink"/>
            <w:rFonts w:ascii="Times New Roman" w:hAnsi="Times New Roman"/>
          </w:rPr>
          <w:t>https://www.reginfo.gov/public/Forward?SearchTarget=PRA&amp;textfield=3064-0140</w:t>
        </w:r>
      </w:hyperlink>
      <w:r w:rsidR="00EE3ED4">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C1D696F"/>
    <w:multiLevelType w:val="hybridMultilevel"/>
    <w:tmpl w:val="369A3B9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71AA"/>
    <w:rsid w:val="00051B52"/>
    <w:rsid w:val="000855E4"/>
    <w:rsid w:val="00093D0F"/>
    <w:rsid w:val="000B0581"/>
    <w:rsid w:val="000B5588"/>
    <w:rsid w:val="000C4F75"/>
    <w:rsid w:val="000E7E58"/>
    <w:rsid w:val="000F7E08"/>
    <w:rsid w:val="001305D1"/>
    <w:rsid w:val="00146B09"/>
    <w:rsid w:val="00175893"/>
    <w:rsid w:val="00177720"/>
    <w:rsid w:val="001778A3"/>
    <w:rsid w:val="00182279"/>
    <w:rsid w:val="001D78D3"/>
    <w:rsid w:val="002331BC"/>
    <w:rsid w:val="00234383"/>
    <w:rsid w:val="00240097"/>
    <w:rsid w:val="00243D0C"/>
    <w:rsid w:val="00245E41"/>
    <w:rsid w:val="002512BE"/>
    <w:rsid w:val="0025784A"/>
    <w:rsid w:val="00285D59"/>
    <w:rsid w:val="002A35F4"/>
    <w:rsid w:val="002A5F6B"/>
    <w:rsid w:val="002B1AFA"/>
    <w:rsid w:val="002F26D8"/>
    <w:rsid w:val="00304C3E"/>
    <w:rsid w:val="003514D6"/>
    <w:rsid w:val="00371017"/>
    <w:rsid w:val="00386C94"/>
    <w:rsid w:val="003A055C"/>
    <w:rsid w:val="003B3219"/>
    <w:rsid w:val="003B471F"/>
    <w:rsid w:val="003E3404"/>
    <w:rsid w:val="003E5901"/>
    <w:rsid w:val="003F0288"/>
    <w:rsid w:val="003F2FF8"/>
    <w:rsid w:val="00414ECF"/>
    <w:rsid w:val="00435A15"/>
    <w:rsid w:val="00437618"/>
    <w:rsid w:val="00454007"/>
    <w:rsid w:val="0048245A"/>
    <w:rsid w:val="004A5959"/>
    <w:rsid w:val="004B2F21"/>
    <w:rsid w:val="004C1B58"/>
    <w:rsid w:val="004C5B45"/>
    <w:rsid w:val="00523B22"/>
    <w:rsid w:val="0054621E"/>
    <w:rsid w:val="00554D8E"/>
    <w:rsid w:val="00563449"/>
    <w:rsid w:val="005709AF"/>
    <w:rsid w:val="005B79C4"/>
    <w:rsid w:val="005C5B63"/>
    <w:rsid w:val="005E62DB"/>
    <w:rsid w:val="00615BAD"/>
    <w:rsid w:val="00630C5C"/>
    <w:rsid w:val="0063734B"/>
    <w:rsid w:val="00653821"/>
    <w:rsid w:val="00655078"/>
    <w:rsid w:val="00674429"/>
    <w:rsid w:val="00686F68"/>
    <w:rsid w:val="006B0048"/>
    <w:rsid w:val="006B3465"/>
    <w:rsid w:val="006D6371"/>
    <w:rsid w:val="006D6487"/>
    <w:rsid w:val="0071052F"/>
    <w:rsid w:val="00715C41"/>
    <w:rsid w:val="00753A70"/>
    <w:rsid w:val="007562B8"/>
    <w:rsid w:val="007729D8"/>
    <w:rsid w:val="007771E0"/>
    <w:rsid w:val="007B6C63"/>
    <w:rsid w:val="0080546E"/>
    <w:rsid w:val="00820F79"/>
    <w:rsid w:val="00826F32"/>
    <w:rsid w:val="008332CE"/>
    <w:rsid w:val="00844536"/>
    <w:rsid w:val="00846A1A"/>
    <w:rsid w:val="00856473"/>
    <w:rsid w:val="008565C5"/>
    <w:rsid w:val="00862421"/>
    <w:rsid w:val="00863A45"/>
    <w:rsid w:val="00881712"/>
    <w:rsid w:val="008A7B8F"/>
    <w:rsid w:val="008B2102"/>
    <w:rsid w:val="009104FE"/>
    <w:rsid w:val="00913902"/>
    <w:rsid w:val="00921EFB"/>
    <w:rsid w:val="00937218"/>
    <w:rsid w:val="009557A1"/>
    <w:rsid w:val="0096157F"/>
    <w:rsid w:val="00967E9D"/>
    <w:rsid w:val="00990A9E"/>
    <w:rsid w:val="009B62D9"/>
    <w:rsid w:val="009B7A15"/>
    <w:rsid w:val="009C2BFF"/>
    <w:rsid w:val="009C759A"/>
    <w:rsid w:val="00A0001C"/>
    <w:rsid w:val="00A1019D"/>
    <w:rsid w:val="00A152B6"/>
    <w:rsid w:val="00A249E9"/>
    <w:rsid w:val="00A26153"/>
    <w:rsid w:val="00A270BF"/>
    <w:rsid w:val="00A81BD7"/>
    <w:rsid w:val="00A86F90"/>
    <w:rsid w:val="00AA20BE"/>
    <w:rsid w:val="00B06BE7"/>
    <w:rsid w:val="00B17BBF"/>
    <w:rsid w:val="00B17F71"/>
    <w:rsid w:val="00B367D9"/>
    <w:rsid w:val="00B37DD6"/>
    <w:rsid w:val="00B45DBA"/>
    <w:rsid w:val="00B53ED3"/>
    <w:rsid w:val="00B61AD2"/>
    <w:rsid w:val="00B64991"/>
    <w:rsid w:val="00B66881"/>
    <w:rsid w:val="00B72EAD"/>
    <w:rsid w:val="00B76DC2"/>
    <w:rsid w:val="00B977B5"/>
    <w:rsid w:val="00BD64F8"/>
    <w:rsid w:val="00BD7F95"/>
    <w:rsid w:val="00BF3B99"/>
    <w:rsid w:val="00C14D80"/>
    <w:rsid w:val="00C750AB"/>
    <w:rsid w:val="00C772BC"/>
    <w:rsid w:val="00C8275D"/>
    <w:rsid w:val="00C858DF"/>
    <w:rsid w:val="00C87D33"/>
    <w:rsid w:val="00C95961"/>
    <w:rsid w:val="00CB2ED5"/>
    <w:rsid w:val="00CC7A55"/>
    <w:rsid w:val="00CF05E1"/>
    <w:rsid w:val="00CF2C13"/>
    <w:rsid w:val="00D0274E"/>
    <w:rsid w:val="00D1720C"/>
    <w:rsid w:val="00D318CC"/>
    <w:rsid w:val="00D35001"/>
    <w:rsid w:val="00D50321"/>
    <w:rsid w:val="00D50914"/>
    <w:rsid w:val="00D55074"/>
    <w:rsid w:val="00D64624"/>
    <w:rsid w:val="00D746BF"/>
    <w:rsid w:val="00D765D6"/>
    <w:rsid w:val="00D804A5"/>
    <w:rsid w:val="00D863E3"/>
    <w:rsid w:val="00DA5092"/>
    <w:rsid w:val="00DD29EA"/>
    <w:rsid w:val="00DD71EB"/>
    <w:rsid w:val="00DE2D0B"/>
    <w:rsid w:val="00E50911"/>
    <w:rsid w:val="00EE3ED4"/>
    <w:rsid w:val="00F01C6F"/>
    <w:rsid w:val="00F040F7"/>
    <w:rsid w:val="00F04445"/>
    <w:rsid w:val="00F34CBE"/>
    <w:rsid w:val="00F90EAE"/>
    <w:rsid w:val="00F9430B"/>
    <w:rsid w:val="00FA493D"/>
    <w:rsid w:val="00FB759A"/>
    <w:rsid w:val="00FC0FB9"/>
    <w:rsid w:val="00FC41DF"/>
    <w:rsid w:val="00FC6915"/>
    <w:rsid w:val="00FC6E6C"/>
    <w:rsid w:val="00FF24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Style 16,Style 19,Style 35,fr"/>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Forward?SearchTarget=PRA&amp;textfield=3064-01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E48F-4626-429D-89BE-41BBBA93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2023-07-12T11:11:00Z</dcterms:created>
  <dcterms:modified xsi:type="dcterms:W3CDTF">2023-07-20T12:22:00Z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84170253-7a0c-484b-a1ad-ea15cfdcf3ee</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2023-07-11T15:05:07Z</vt:lpwstr>
  </property>
  <property fmtid="{D5CDD505-2E9C-101B-9397-08002B2CF9AE}" pid="8" name="MSIP_Label_3be8ab8c-433c-4394-a4fb-cd2d5c4d0a5e_SiteId">
    <vt:lpwstr>26c83bc9-31c1-4d77-a523-0816095aba31</vt:lpwstr>
  </property>
</Properties>
</file>