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25522" w:rsidRPr="007E1D3E" w:rsidP="00825522" w14:paraId="6260012F" w14:textId="77777777">
      <w:pPr>
        <w:pStyle w:val="Title"/>
        <w:ind w:firstLine="0"/>
        <w:rPr>
          <w:b w:val="0"/>
          <w:sz w:val="36"/>
        </w:rPr>
      </w:pPr>
      <w:bookmarkStart w:id="0" w:name="_Hlk129961111"/>
      <w:r w:rsidRPr="007E1D3E">
        <w:rPr>
          <w:b w:val="0"/>
          <w:sz w:val="36"/>
        </w:rPr>
        <w:t>SUPPORTING STATEMENT</w:t>
      </w:r>
    </w:p>
    <w:p w:rsidR="00825522" w:rsidRPr="007E1D3E" w:rsidP="00825522" w14:paraId="181A62A9" w14:textId="77777777">
      <w:pPr>
        <w:pStyle w:val="Title"/>
        <w:ind w:firstLine="0"/>
        <w:rPr>
          <w:b w:val="0"/>
          <w:sz w:val="36"/>
        </w:rPr>
      </w:pPr>
      <w:r>
        <w:rPr>
          <w:b w:val="0"/>
          <w:sz w:val="36"/>
        </w:rPr>
        <w:t>f</w:t>
      </w:r>
      <w:r w:rsidRPr="007E1D3E">
        <w:rPr>
          <w:b w:val="0"/>
          <w:sz w:val="36"/>
        </w:rPr>
        <w:t>or the</w:t>
      </w:r>
    </w:p>
    <w:p w:rsidR="00825522" w:rsidRPr="007E1D3E" w:rsidP="00825522" w14:paraId="4747A72A" w14:textId="77777777">
      <w:pPr>
        <w:tabs>
          <w:tab w:val="left" w:pos="270"/>
          <w:tab w:val="left" w:pos="6570"/>
        </w:tabs>
        <w:suppressAutoHyphens/>
        <w:jc w:val="center"/>
        <w:rPr>
          <w:sz w:val="36"/>
        </w:rPr>
      </w:pPr>
      <w:r w:rsidRPr="007E1D3E">
        <w:rPr>
          <w:sz w:val="36"/>
        </w:rPr>
        <w:t>Survey of Science and Engineering Research Facilities</w:t>
      </w:r>
    </w:p>
    <w:p w:rsidR="00825522" w:rsidRPr="007E1D3E" w:rsidP="00825522" w14:paraId="22E4D1D3" w14:textId="77777777">
      <w:pPr>
        <w:tabs>
          <w:tab w:val="left" w:pos="270"/>
          <w:tab w:val="left" w:pos="6570"/>
        </w:tabs>
        <w:suppressAutoHyphens/>
        <w:jc w:val="center"/>
        <w:rPr>
          <w:sz w:val="36"/>
        </w:rPr>
      </w:pPr>
    </w:p>
    <w:p w:rsidR="00825522" w:rsidRPr="007E1D3E" w:rsidP="00825522" w14:paraId="3F523DC8" w14:textId="666965AF">
      <w:pPr>
        <w:tabs>
          <w:tab w:val="left" w:pos="270"/>
          <w:tab w:val="left" w:pos="6570"/>
        </w:tabs>
        <w:suppressAutoHyphens/>
        <w:jc w:val="center"/>
        <w:rPr>
          <w:sz w:val="36"/>
        </w:rPr>
      </w:pPr>
      <w:r w:rsidRPr="007E1D3E">
        <w:rPr>
          <w:sz w:val="36"/>
        </w:rPr>
        <w:t xml:space="preserve">Section </w:t>
      </w:r>
      <w:r>
        <w:rPr>
          <w:sz w:val="36"/>
        </w:rPr>
        <w:t>A</w:t>
      </w:r>
    </w:p>
    <w:p w:rsidR="00825522" w:rsidRPr="007E1D3E" w:rsidP="00825522" w14:paraId="5118E8FD" w14:textId="77777777">
      <w:pPr>
        <w:tabs>
          <w:tab w:val="left" w:pos="270"/>
          <w:tab w:val="left" w:pos="6570"/>
        </w:tabs>
        <w:suppressAutoHyphens/>
        <w:jc w:val="center"/>
        <w:rPr>
          <w:sz w:val="36"/>
        </w:rPr>
      </w:pPr>
    </w:p>
    <w:p w:rsidR="00825522" w:rsidRPr="007E1D3E" w:rsidP="00825522" w14:paraId="43AF08C1" w14:textId="77777777">
      <w:pPr>
        <w:tabs>
          <w:tab w:val="left" w:pos="270"/>
          <w:tab w:val="left" w:pos="6570"/>
        </w:tabs>
        <w:suppressAutoHyphens/>
        <w:jc w:val="center"/>
        <w:rPr>
          <w:sz w:val="36"/>
        </w:rPr>
      </w:pPr>
      <w:r w:rsidRPr="007E1D3E">
        <w:rPr>
          <w:sz w:val="36"/>
        </w:rPr>
        <w:t>FY 2023 and FY 2025 Cycles</w:t>
      </w:r>
    </w:p>
    <w:p w:rsidR="00825522" w:rsidRPr="007E1D3E" w:rsidP="00825522" w14:paraId="2CEF9B99" w14:textId="77777777">
      <w:pPr>
        <w:pStyle w:val="Heading1"/>
        <w:rPr>
          <w:b w:val="0"/>
        </w:rPr>
      </w:pPr>
    </w:p>
    <w:p w:rsidR="00825522" w:rsidRPr="007E1D3E" w:rsidP="00825522" w14:paraId="7F30FAFE" w14:textId="77777777"/>
    <w:p w:rsidR="00825522" w:rsidRPr="007E1D3E" w:rsidP="00825522" w14:paraId="1519EE3E" w14:textId="77777777">
      <w:pPr>
        <w:jc w:val="center"/>
        <w:rPr>
          <w:sz w:val="36"/>
          <w:szCs w:val="36"/>
        </w:rPr>
        <w:sectPr w:rsidSect="00825522">
          <w:footerReference w:type="even" r:id="rId5"/>
          <w:footerReference w:type="default" r:id="rId6"/>
          <w:footerReference w:type="first" r:id="rId7"/>
          <w:endnotePr>
            <w:numFmt w:val="decimal"/>
          </w:endnotePr>
          <w:type w:val="continuous"/>
          <w:pgSz w:w="12240" w:h="15840"/>
          <w:pgMar w:top="1440" w:right="1440" w:bottom="1440" w:left="1440" w:header="720" w:footer="720" w:gutter="0"/>
          <w:cols w:space="720"/>
          <w:titlePg/>
          <w:docGrid w:linePitch="272"/>
        </w:sectPr>
      </w:pPr>
      <w:r w:rsidRPr="007E1D3E">
        <w:rPr>
          <w:sz w:val="36"/>
          <w:szCs w:val="36"/>
        </w:rPr>
        <w:t>3145-0101</w:t>
      </w:r>
    </w:p>
    <w:bookmarkEnd w:id="0"/>
    <w:p w:rsidR="001E2CA6" w14:paraId="36486B60" w14:textId="2BE34D81">
      <w:pPr>
        <w:spacing w:line="240" w:lineRule="auto"/>
        <w:jc w:val="left"/>
        <w:rPr>
          <w:b/>
          <w:caps/>
        </w:rPr>
      </w:pPr>
      <w:r>
        <w:br w:type="page"/>
      </w:r>
    </w:p>
    <w:p w:rsidR="008E3995" w14:paraId="4A211CEA" w14:textId="77777777">
      <w:pPr>
        <w:pStyle w:val="C1-CtrBoldHd"/>
        <w:spacing w:line="360" w:lineRule="auto"/>
      </w:pPr>
    </w:p>
    <w:p w:rsidR="001834E0" w14:paraId="392B9C7D" w14:textId="3DC97AC6">
      <w:pPr>
        <w:pStyle w:val="TOCHeading"/>
      </w:pPr>
    </w:p>
    <w:sdt>
      <w:sdtPr>
        <w:rPr>
          <w:rFonts w:ascii="Times New Roman" w:eastAsia="Times New Roman" w:hAnsi="Times New Roman" w:cs="Times New Roman"/>
          <w:color w:val="auto"/>
          <w:sz w:val="22"/>
          <w:szCs w:val="20"/>
        </w:rPr>
        <w:id w:val="1949032924"/>
        <w:docPartObj>
          <w:docPartGallery w:val="Table of Contents"/>
          <w:docPartUnique/>
        </w:docPartObj>
      </w:sdtPr>
      <w:sdtEndPr>
        <w:rPr>
          <w:b/>
          <w:bCs/>
          <w:noProof/>
        </w:rPr>
      </w:sdtEndPr>
      <w:sdtContent>
        <w:p w:rsidR="002A257D" w:rsidRPr="001E2CA6" w:rsidP="00BE0BD1" w14:paraId="384E36D9" w14:textId="3D39F130">
          <w:pPr>
            <w:pStyle w:val="TOCHeading"/>
          </w:pPr>
        </w:p>
        <w:p w:rsidR="001834E0" w:rsidRPr="00BE0BD1" w:rsidP="001834E0" w14:paraId="2C467D12" w14:textId="44F2F92E">
          <w:pPr>
            <w:pStyle w:val="TOCHeading"/>
            <w:jc w:val="center"/>
            <w:rPr>
              <w:color w:val="auto"/>
            </w:rPr>
          </w:pPr>
          <w:r w:rsidRPr="00BE0BD1">
            <w:rPr>
              <w:color w:val="auto"/>
            </w:rPr>
            <w:t>Table of Contents</w:t>
          </w:r>
        </w:p>
        <w:p w:rsidR="001834E0" w:rsidRPr="001834E0" w:rsidP="00BE0BD1" w14:paraId="2B070CAE" w14:textId="77777777"/>
        <w:p w:rsidR="005A10E3" w14:paraId="08CE0C72" w14:textId="3AA6B488">
          <w:pPr>
            <w:pStyle w:val="TOC1"/>
            <w:rPr>
              <w:rFonts w:asciiTheme="minorHAnsi" w:eastAsiaTheme="minorEastAsia" w:hAnsiTheme="minorHAnsi" w:cstheme="minorBidi"/>
              <w:caps w:val="0"/>
              <w:noProof/>
              <w:szCs w:val="22"/>
            </w:rPr>
          </w:pPr>
          <w:r>
            <w:fldChar w:fldCharType="begin"/>
          </w:r>
          <w:r>
            <w:instrText xml:space="preserve"> TOC \o "1-3" \h \z \u </w:instrText>
          </w:r>
          <w:r>
            <w:fldChar w:fldCharType="separate"/>
          </w:r>
          <w:hyperlink w:anchor="_Toc129861806" w:history="1">
            <w:r w:rsidRPr="00164F4B">
              <w:rPr>
                <w:rStyle w:val="Hyperlink"/>
                <w:noProof/>
              </w:rPr>
              <w:t>Section A:  Justification</w:t>
            </w:r>
            <w:r>
              <w:rPr>
                <w:noProof/>
                <w:webHidden/>
              </w:rPr>
              <w:tab/>
            </w:r>
            <w:r>
              <w:rPr>
                <w:noProof/>
                <w:webHidden/>
              </w:rPr>
              <w:fldChar w:fldCharType="begin"/>
            </w:r>
            <w:r>
              <w:rPr>
                <w:noProof/>
                <w:webHidden/>
              </w:rPr>
              <w:instrText xml:space="preserve"> PAGEREF _Toc129861806 \h </w:instrText>
            </w:r>
            <w:r>
              <w:rPr>
                <w:noProof/>
                <w:webHidden/>
              </w:rPr>
              <w:fldChar w:fldCharType="separate"/>
            </w:r>
            <w:r>
              <w:rPr>
                <w:noProof/>
                <w:webHidden/>
              </w:rPr>
              <w:t>3</w:t>
            </w:r>
            <w:r>
              <w:rPr>
                <w:noProof/>
                <w:webHidden/>
              </w:rPr>
              <w:fldChar w:fldCharType="end"/>
            </w:r>
          </w:hyperlink>
        </w:p>
        <w:p w:rsidR="005A10E3" w:rsidP="00BE0BD1" w14:paraId="63C0305A" w14:textId="31A87B50">
          <w:pPr>
            <w:pStyle w:val="TOC2"/>
            <w:rPr>
              <w:rFonts w:asciiTheme="minorHAnsi" w:eastAsiaTheme="minorEastAsia" w:hAnsiTheme="minorHAnsi" w:cstheme="minorBidi"/>
              <w:noProof/>
              <w:szCs w:val="22"/>
            </w:rPr>
          </w:pPr>
          <w:hyperlink w:anchor="_Toc129861807" w:history="1">
            <w:r w:rsidRPr="00164F4B">
              <w:rPr>
                <w:rStyle w:val="Hyperlink"/>
                <w:noProof/>
              </w:rPr>
              <w:t>A.1.</w:t>
            </w:r>
            <w:r>
              <w:rPr>
                <w:rFonts w:asciiTheme="minorHAnsi" w:eastAsiaTheme="minorEastAsia" w:hAnsiTheme="minorHAnsi" w:cstheme="minorBidi"/>
                <w:noProof/>
                <w:szCs w:val="22"/>
              </w:rPr>
              <w:tab/>
            </w:r>
            <w:r w:rsidRPr="00164F4B">
              <w:rPr>
                <w:rStyle w:val="Hyperlink"/>
                <w:noProof/>
              </w:rPr>
              <w:t>Why the Collection is Necessary</w:t>
            </w:r>
            <w:r>
              <w:rPr>
                <w:noProof/>
                <w:webHidden/>
              </w:rPr>
              <w:tab/>
            </w:r>
            <w:r>
              <w:rPr>
                <w:noProof/>
                <w:webHidden/>
              </w:rPr>
              <w:fldChar w:fldCharType="begin"/>
            </w:r>
            <w:r>
              <w:rPr>
                <w:noProof/>
                <w:webHidden/>
              </w:rPr>
              <w:instrText xml:space="preserve"> PAGEREF _Toc129861807 \h </w:instrText>
            </w:r>
            <w:r>
              <w:rPr>
                <w:noProof/>
                <w:webHidden/>
              </w:rPr>
              <w:fldChar w:fldCharType="separate"/>
            </w:r>
            <w:r>
              <w:rPr>
                <w:noProof/>
                <w:webHidden/>
              </w:rPr>
              <w:t>3</w:t>
            </w:r>
            <w:r>
              <w:rPr>
                <w:noProof/>
                <w:webHidden/>
              </w:rPr>
              <w:fldChar w:fldCharType="end"/>
            </w:r>
          </w:hyperlink>
        </w:p>
        <w:p w:rsidR="005A10E3" w:rsidP="00BE0BD1" w14:paraId="5F0BDCB6" w14:textId="6520641F">
          <w:pPr>
            <w:pStyle w:val="TOC2"/>
            <w:rPr>
              <w:rFonts w:asciiTheme="minorHAnsi" w:eastAsiaTheme="minorEastAsia" w:hAnsiTheme="minorHAnsi" w:cstheme="minorBidi"/>
              <w:noProof/>
              <w:szCs w:val="22"/>
            </w:rPr>
          </w:pPr>
          <w:hyperlink w:anchor="_Toc129861808" w:history="1">
            <w:r w:rsidRPr="00164F4B">
              <w:rPr>
                <w:rStyle w:val="Hyperlink"/>
                <w:noProof/>
              </w:rPr>
              <w:t>A.2.</w:t>
            </w:r>
            <w:r>
              <w:rPr>
                <w:rFonts w:asciiTheme="minorHAnsi" w:eastAsiaTheme="minorEastAsia" w:hAnsiTheme="minorHAnsi" w:cstheme="minorBidi"/>
                <w:noProof/>
                <w:szCs w:val="22"/>
              </w:rPr>
              <w:tab/>
            </w:r>
            <w:r w:rsidRPr="00164F4B">
              <w:rPr>
                <w:rStyle w:val="Hyperlink"/>
                <w:noProof/>
              </w:rPr>
              <w:t>Uses of this Information</w:t>
            </w:r>
            <w:r>
              <w:rPr>
                <w:noProof/>
                <w:webHidden/>
              </w:rPr>
              <w:tab/>
            </w:r>
            <w:r>
              <w:rPr>
                <w:noProof/>
                <w:webHidden/>
              </w:rPr>
              <w:fldChar w:fldCharType="begin"/>
            </w:r>
            <w:r>
              <w:rPr>
                <w:noProof/>
                <w:webHidden/>
              </w:rPr>
              <w:instrText xml:space="preserve"> PAGEREF _Toc129861808 \h </w:instrText>
            </w:r>
            <w:r>
              <w:rPr>
                <w:noProof/>
                <w:webHidden/>
              </w:rPr>
              <w:fldChar w:fldCharType="separate"/>
            </w:r>
            <w:r>
              <w:rPr>
                <w:noProof/>
                <w:webHidden/>
              </w:rPr>
              <w:t>6</w:t>
            </w:r>
            <w:r>
              <w:rPr>
                <w:noProof/>
                <w:webHidden/>
              </w:rPr>
              <w:fldChar w:fldCharType="end"/>
            </w:r>
          </w:hyperlink>
        </w:p>
        <w:p w:rsidR="005A10E3" w:rsidP="00BE0BD1" w14:paraId="651F2129" w14:textId="3BB173B8">
          <w:pPr>
            <w:pStyle w:val="TOC2"/>
            <w:rPr>
              <w:rFonts w:asciiTheme="minorHAnsi" w:eastAsiaTheme="minorEastAsia" w:hAnsiTheme="minorHAnsi" w:cstheme="minorBidi"/>
              <w:noProof/>
              <w:szCs w:val="22"/>
            </w:rPr>
          </w:pPr>
          <w:hyperlink w:anchor="_Toc129861809" w:history="1">
            <w:r w:rsidRPr="00164F4B">
              <w:rPr>
                <w:rStyle w:val="Hyperlink"/>
                <w:noProof/>
              </w:rPr>
              <w:t>A.3.</w:t>
            </w:r>
            <w:r>
              <w:rPr>
                <w:rFonts w:asciiTheme="minorHAnsi" w:eastAsiaTheme="minorEastAsia" w:hAnsiTheme="minorHAnsi" w:cstheme="minorBidi"/>
                <w:noProof/>
                <w:szCs w:val="22"/>
              </w:rPr>
              <w:tab/>
            </w:r>
            <w:r w:rsidRPr="00164F4B">
              <w:rPr>
                <w:rStyle w:val="Hyperlink"/>
                <w:noProof/>
              </w:rPr>
              <w:t>Use of Automated, Electronic, Mechanical or Other Tech</w:t>
            </w:r>
            <w:r w:rsidR="007C6258">
              <w:rPr>
                <w:rStyle w:val="Hyperlink"/>
                <w:noProof/>
              </w:rPr>
              <w:t>.</w:t>
            </w:r>
            <w:r w:rsidRPr="00164F4B">
              <w:rPr>
                <w:rStyle w:val="Hyperlink"/>
                <w:noProof/>
              </w:rPr>
              <w:t xml:space="preserve"> Techniques </w:t>
            </w:r>
            <w:r>
              <w:rPr>
                <w:noProof/>
                <w:webHidden/>
              </w:rPr>
              <w:tab/>
            </w:r>
            <w:r>
              <w:rPr>
                <w:noProof/>
                <w:webHidden/>
              </w:rPr>
              <w:fldChar w:fldCharType="begin"/>
            </w:r>
            <w:r>
              <w:rPr>
                <w:noProof/>
                <w:webHidden/>
              </w:rPr>
              <w:instrText xml:space="preserve"> PAGEREF _Toc129861809 \h </w:instrText>
            </w:r>
            <w:r>
              <w:rPr>
                <w:noProof/>
                <w:webHidden/>
              </w:rPr>
              <w:fldChar w:fldCharType="separate"/>
            </w:r>
            <w:r>
              <w:rPr>
                <w:noProof/>
                <w:webHidden/>
              </w:rPr>
              <w:t>7</w:t>
            </w:r>
            <w:r>
              <w:rPr>
                <w:noProof/>
                <w:webHidden/>
              </w:rPr>
              <w:fldChar w:fldCharType="end"/>
            </w:r>
          </w:hyperlink>
        </w:p>
        <w:p w:rsidR="005A10E3" w:rsidP="00BE0BD1" w14:paraId="76480313" w14:textId="1F76FB2A">
          <w:pPr>
            <w:pStyle w:val="TOC2"/>
            <w:rPr>
              <w:rFonts w:asciiTheme="minorHAnsi" w:eastAsiaTheme="minorEastAsia" w:hAnsiTheme="minorHAnsi" w:cstheme="minorBidi"/>
              <w:noProof/>
              <w:szCs w:val="22"/>
            </w:rPr>
          </w:pPr>
          <w:hyperlink w:anchor="_Toc129861810" w:history="1">
            <w:r w:rsidRPr="00164F4B">
              <w:rPr>
                <w:rStyle w:val="Hyperlink"/>
                <w:noProof/>
              </w:rPr>
              <w:t>A.4.</w:t>
            </w:r>
            <w:r>
              <w:rPr>
                <w:rFonts w:asciiTheme="minorHAnsi" w:eastAsiaTheme="minorEastAsia" w:hAnsiTheme="minorHAnsi" w:cstheme="minorBidi"/>
                <w:noProof/>
                <w:szCs w:val="22"/>
              </w:rPr>
              <w:tab/>
            </w:r>
            <w:r w:rsidRPr="00164F4B">
              <w:rPr>
                <w:rStyle w:val="Hyperlink"/>
                <w:noProof/>
              </w:rPr>
              <w:t>Efforts to Identify Duplication</w:t>
            </w:r>
            <w:r>
              <w:rPr>
                <w:noProof/>
                <w:webHidden/>
              </w:rPr>
              <w:tab/>
            </w:r>
            <w:r>
              <w:rPr>
                <w:noProof/>
                <w:webHidden/>
              </w:rPr>
              <w:fldChar w:fldCharType="begin"/>
            </w:r>
            <w:r>
              <w:rPr>
                <w:noProof/>
                <w:webHidden/>
              </w:rPr>
              <w:instrText xml:space="preserve"> PAGEREF _Toc129861810 \h </w:instrText>
            </w:r>
            <w:r>
              <w:rPr>
                <w:noProof/>
                <w:webHidden/>
              </w:rPr>
              <w:fldChar w:fldCharType="separate"/>
            </w:r>
            <w:r>
              <w:rPr>
                <w:noProof/>
                <w:webHidden/>
              </w:rPr>
              <w:t>7</w:t>
            </w:r>
            <w:r>
              <w:rPr>
                <w:noProof/>
                <w:webHidden/>
              </w:rPr>
              <w:fldChar w:fldCharType="end"/>
            </w:r>
          </w:hyperlink>
        </w:p>
        <w:p w:rsidR="005A10E3" w:rsidP="00BE0BD1" w14:paraId="43AAE04B" w14:textId="6BAD3251">
          <w:pPr>
            <w:pStyle w:val="TOC2"/>
            <w:rPr>
              <w:rFonts w:asciiTheme="minorHAnsi" w:eastAsiaTheme="minorEastAsia" w:hAnsiTheme="minorHAnsi" w:cstheme="minorBidi"/>
              <w:noProof/>
              <w:szCs w:val="22"/>
            </w:rPr>
          </w:pPr>
          <w:hyperlink w:anchor="_Toc129861811" w:history="1">
            <w:r w:rsidRPr="00164F4B">
              <w:rPr>
                <w:rStyle w:val="Hyperlink"/>
                <w:noProof/>
              </w:rPr>
              <w:t>A.5.</w:t>
            </w:r>
            <w:r>
              <w:rPr>
                <w:rFonts w:asciiTheme="minorHAnsi" w:eastAsiaTheme="minorEastAsia" w:hAnsiTheme="minorHAnsi" w:cstheme="minorBidi"/>
                <w:noProof/>
                <w:szCs w:val="22"/>
              </w:rPr>
              <w:tab/>
            </w:r>
            <w:r w:rsidRPr="00164F4B">
              <w:rPr>
                <w:rStyle w:val="Hyperlink"/>
                <w:noProof/>
              </w:rPr>
              <w:t>Impact on Small Entities</w:t>
            </w:r>
            <w:r>
              <w:rPr>
                <w:noProof/>
                <w:webHidden/>
              </w:rPr>
              <w:tab/>
            </w:r>
            <w:r>
              <w:rPr>
                <w:noProof/>
                <w:webHidden/>
              </w:rPr>
              <w:fldChar w:fldCharType="begin"/>
            </w:r>
            <w:r>
              <w:rPr>
                <w:noProof/>
                <w:webHidden/>
              </w:rPr>
              <w:instrText xml:space="preserve"> PAGEREF _Toc129861811 \h </w:instrText>
            </w:r>
            <w:r>
              <w:rPr>
                <w:noProof/>
                <w:webHidden/>
              </w:rPr>
              <w:fldChar w:fldCharType="separate"/>
            </w:r>
            <w:r>
              <w:rPr>
                <w:noProof/>
                <w:webHidden/>
              </w:rPr>
              <w:t>8</w:t>
            </w:r>
            <w:r>
              <w:rPr>
                <w:noProof/>
                <w:webHidden/>
              </w:rPr>
              <w:fldChar w:fldCharType="end"/>
            </w:r>
          </w:hyperlink>
        </w:p>
        <w:p w:rsidR="005A10E3" w:rsidP="00BE0BD1" w14:paraId="0D6B88C6" w14:textId="4D14444F">
          <w:pPr>
            <w:pStyle w:val="TOC2"/>
            <w:rPr>
              <w:rFonts w:asciiTheme="minorHAnsi" w:eastAsiaTheme="minorEastAsia" w:hAnsiTheme="minorHAnsi" w:cstheme="minorBidi"/>
              <w:noProof/>
              <w:szCs w:val="22"/>
            </w:rPr>
          </w:pPr>
          <w:hyperlink w:anchor="_Toc129861812" w:history="1">
            <w:r w:rsidRPr="00164F4B">
              <w:rPr>
                <w:rStyle w:val="Hyperlink"/>
                <w:noProof/>
              </w:rPr>
              <w:t>A.6.</w:t>
            </w:r>
            <w:r>
              <w:rPr>
                <w:rFonts w:asciiTheme="minorHAnsi" w:eastAsiaTheme="minorEastAsia" w:hAnsiTheme="minorHAnsi" w:cstheme="minorBidi"/>
                <w:noProof/>
                <w:szCs w:val="22"/>
              </w:rPr>
              <w:tab/>
            </w:r>
            <w:r w:rsidRPr="00164F4B">
              <w:rPr>
                <w:rStyle w:val="Hyperlink"/>
                <w:noProof/>
              </w:rPr>
              <w:t>Consequences of Less Frequent Data Collection</w:t>
            </w:r>
            <w:r>
              <w:rPr>
                <w:noProof/>
                <w:webHidden/>
              </w:rPr>
              <w:tab/>
            </w:r>
            <w:r>
              <w:rPr>
                <w:noProof/>
                <w:webHidden/>
              </w:rPr>
              <w:fldChar w:fldCharType="begin"/>
            </w:r>
            <w:r>
              <w:rPr>
                <w:noProof/>
                <w:webHidden/>
              </w:rPr>
              <w:instrText xml:space="preserve"> PAGEREF _Toc129861812 \h </w:instrText>
            </w:r>
            <w:r>
              <w:rPr>
                <w:noProof/>
                <w:webHidden/>
              </w:rPr>
              <w:fldChar w:fldCharType="separate"/>
            </w:r>
            <w:r>
              <w:rPr>
                <w:noProof/>
                <w:webHidden/>
              </w:rPr>
              <w:t>8</w:t>
            </w:r>
            <w:r>
              <w:rPr>
                <w:noProof/>
                <w:webHidden/>
              </w:rPr>
              <w:fldChar w:fldCharType="end"/>
            </w:r>
          </w:hyperlink>
        </w:p>
        <w:p w:rsidR="005A10E3" w:rsidP="00BE0BD1" w14:paraId="716ABA24" w14:textId="554E3D7D">
          <w:pPr>
            <w:pStyle w:val="TOC2"/>
            <w:rPr>
              <w:rFonts w:asciiTheme="minorHAnsi" w:eastAsiaTheme="minorEastAsia" w:hAnsiTheme="minorHAnsi" w:cstheme="minorBidi"/>
              <w:noProof/>
              <w:szCs w:val="22"/>
            </w:rPr>
          </w:pPr>
          <w:hyperlink w:anchor="_Toc129861813" w:history="1">
            <w:r w:rsidRPr="00164F4B">
              <w:rPr>
                <w:rStyle w:val="Hyperlink"/>
                <w:noProof/>
              </w:rPr>
              <w:t>A.7.</w:t>
            </w:r>
            <w:r>
              <w:rPr>
                <w:rFonts w:asciiTheme="minorHAnsi" w:eastAsiaTheme="minorEastAsia" w:hAnsiTheme="minorHAnsi" w:cstheme="minorBidi"/>
                <w:noProof/>
                <w:szCs w:val="22"/>
              </w:rPr>
              <w:tab/>
            </w:r>
            <w:r w:rsidRPr="00164F4B">
              <w:rPr>
                <w:rStyle w:val="Hyperlink"/>
                <w:noProof/>
              </w:rPr>
              <w:t>Special Circumstances</w:t>
            </w:r>
            <w:r>
              <w:rPr>
                <w:noProof/>
                <w:webHidden/>
              </w:rPr>
              <w:tab/>
            </w:r>
            <w:r>
              <w:rPr>
                <w:noProof/>
                <w:webHidden/>
              </w:rPr>
              <w:fldChar w:fldCharType="begin"/>
            </w:r>
            <w:r>
              <w:rPr>
                <w:noProof/>
                <w:webHidden/>
              </w:rPr>
              <w:instrText xml:space="preserve"> PAGEREF _Toc129861813 \h </w:instrText>
            </w:r>
            <w:r>
              <w:rPr>
                <w:noProof/>
                <w:webHidden/>
              </w:rPr>
              <w:fldChar w:fldCharType="separate"/>
            </w:r>
            <w:r>
              <w:rPr>
                <w:noProof/>
                <w:webHidden/>
              </w:rPr>
              <w:t>8</w:t>
            </w:r>
            <w:r>
              <w:rPr>
                <w:noProof/>
                <w:webHidden/>
              </w:rPr>
              <w:fldChar w:fldCharType="end"/>
            </w:r>
          </w:hyperlink>
        </w:p>
        <w:p w:rsidR="005A10E3" w:rsidP="00BE0BD1" w14:paraId="2673E958" w14:textId="674F2F69">
          <w:pPr>
            <w:pStyle w:val="TOC2"/>
            <w:rPr>
              <w:rFonts w:asciiTheme="minorHAnsi" w:eastAsiaTheme="minorEastAsia" w:hAnsiTheme="minorHAnsi" w:cstheme="minorBidi"/>
              <w:noProof/>
              <w:szCs w:val="22"/>
            </w:rPr>
          </w:pPr>
          <w:hyperlink w:anchor="_Toc129861814" w:history="1">
            <w:r w:rsidRPr="00164F4B">
              <w:rPr>
                <w:rStyle w:val="Hyperlink"/>
                <w:noProof/>
              </w:rPr>
              <w:t>A.8.</w:t>
            </w:r>
            <w:r>
              <w:rPr>
                <w:rFonts w:asciiTheme="minorHAnsi" w:eastAsiaTheme="minorEastAsia" w:hAnsiTheme="minorHAnsi" w:cstheme="minorBidi"/>
                <w:noProof/>
                <w:szCs w:val="22"/>
              </w:rPr>
              <w:tab/>
            </w:r>
            <w:r w:rsidRPr="00164F4B">
              <w:rPr>
                <w:rStyle w:val="Hyperlink"/>
                <w:noProof/>
              </w:rPr>
              <w:t>Consultations Outside the Agency</w:t>
            </w:r>
            <w:r>
              <w:rPr>
                <w:noProof/>
                <w:webHidden/>
              </w:rPr>
              <w:tab/>
            </w:r>
            <w:r>
              <w:rPr>
                <w:noProof/>
                <w:webHidden/>
              </w:rPr>
              <w:fldChar w:fldCharType="begin"/>
            </w:r>
            <w:r>
              <w:rPr>
                <w:noProof/>
                <w:webHidden/>
              </w:rPr>
              <w:instrText xml:space="preserve"> PAGEREF _Toc129861814 \h </w:instrText>
            </w:r>
            <w:r>
              <w:rPr>
                <w:noProof/>
                <w:webHidden/>
              </w:rPr>
              <w:fldChar w:fldCharType="separate"/>
            </w:r>
            <w:r>
              <w:rPr>
                <w:noProof/>
                <w:webHidden/>
              </w:rPr>
              <w:t>8</w:t>
            </w:r>
            <w:r>
              <w:rPr>
                <w:noProof/>
                <w:webHidden/>
              </w:rPr>
              <w:fldChar w:fldCharType="end"/>
            </w:r>
          </w:hyperlink>
        </w:p>
        <w:p w:rsidR="005A10E3" w:rsidP="00BE0BD1" w14:paraId="47CBAEF5" w14:textId="449E6D19">
          <w:pPr>
            <w:pStyle w:val="TOC2"/>
            <w:rPr>
              <w:rFonts w:asciiTheme="minorHAnsi" w:eastAsiaTheme="minorEastAsia" w:hAnsiTheme="minorHAnsi" w:cstheme="minorBidi"/>
              <w:noProof/>
              <w:szCs w:val="22"/>
            </w:rPr>
          </w:pPr>
          <w:hyperlink w:anchor="_Toc129861815" w:history="1">
            <w:r w:rsidRPr="00164F4B">
              <w:rPr>
                <w:rStyle w:val="Hyperlink"/>
                <w:noProof/>
              </w:rPr>
              <w:t>A.9.</w:t>
            </w:r>
            <w:r>
              <w:rPr>
                <w:rFonts w:asciiTheme="minorHAnsi" w:eastAsiaTheme="minorEastAsia" w:hAnsiTheme="minorHAnsi" w:cstheme="minorBidi"/>
                <w:noProof/>
                <w:szCs w:val="22"/>
              </w:rPr>
              <w:tab/>
            </w:r>
            <w:r w:rsidRPr="00164F4B">
              <w:rPr>
                <w:rStyle w:val="Hyperlink"/>
                <w:noProof/>
              </w:rPr>
              <w:t>Payments or Gifts to Respondents</w:t>
            </w:r>
            <w:r>
              <w:rPr>
                <w:noProof/>
                <w:webHidden/>
              </w:rPr>
              <w:tab/>
            </w:r>
            <w:r>
              <w:rPr>
                <w:noProof/>
                <w:webHidden/>
              </w:rPr>
              <w:fldChar w:fldCharType="begin"/>
            </w:r>
            <w:r>
              <w:rPr>
                <w:noProof/>
                <w:webHidden/>
              </w:rPr>
              <w:instrText xml:space="preserve"> PAGEREF _Toc129861815 \h </w:instrText>
            </w:r>
            <w:r>
              <w:rPr>
                <w:noProof/>
                <w:webHidden/>
              </w:rPr>
              <w:fldChar w:fldCharType="separate"/>
            </w:r>
            <w:r>
              <w:rPr>
                <w:noProof/>
                <w:webHidden/>
              </w:rPr>
              <w:t>9</w:t>
            </w:r>
            <w:r>
              <w:rPr>
                <w:noProof/>
                <w:webHidden/>
              </w:rPr>
              <w:fldChar w:fldCharType="end"/>
            </w:r>
          </w:hyperlink>
        </w:p>
        <w:p w:rsidR="005A10E3" w:rsidP="00BE0BD1" w14:paraId="6C03CC9C" w14:textId="2B4AD5ED">
          <w:pPr>
            <w:pStyle w:val="TOC2"/>
            <w:rPr>
              <w:rFonts w:asciiTheme="minorHAnsi" w:eastAsiaTheme="minorEastAsia" w:hAnsiTheme="minorHAnsi" w:cstheme="minorBidi"/>
              <w:noProof/>
              <w:szCs w:val="22"/>
            </w:rPr>
          </w:pPr>
          <w:hyperlink w:anchor="_Toc129861816" w:history="1">
            <w:r w:rsidRPr="00164F4B">
              <w:rPr>
                <w:rStyle w:val="Hyperlink"/>
                <w:noProof/>
              </w:rPr>
              <w:t>A.10.</w:t>
            </w:r>
            <w:r>
              <w:rPr>
                <w:rFonts w:asciiTheme="minorHAnsi" w:eastAsiaTheme="minorEastAsia" w:hAnsiTheme="minorHAnsi" w:cstheme="minorBidi"/>
                <w:noProof/>
                <w:szCs w:val="22"/>
              </w:rPr>
              <w:tab/>
            </w:r>
            <w:r w:rsidRPr="00164F4B">
              <w:rPr>
                <w:rStyle w:val="Hyperlink"/>
                <w:noProof/>
              </w:rPr>
              <w:t>Assurance of Confidentiality</w:t>
            </w:r>
            <w:r>
              <w:rPr>
                <w:noProof/>
                <w:webHidden/>
              </w:rPr>
              <w:tab/>
            </w:r>
            <w:r>
              <w:rPr>
                <w:noProof/>
                <w:webHidden/>
              </w:rPr>
              <w:fldChar w:fldCharType="begin"/>
            </w:r>
            <w:r>
              <w:rPr>
                <w:noProof/>
                <w:webHidden/>
              </w:rPr>
              <w:instrText xml:space="preserve"> PAGEREF _Toc129861816 \h </w:instrText>
            </w:r>
            <w:r>
              <w:rPr>
                <w:noProof/>
                <w:webHidden/>
              </w:rPr>
              <w:fldChar w:fldCharType="separate"/>
            </w:r>
            <w:r>
              <w:rPr>
                <w:noProof/>
                <w:webHidden/>
              </w:rPr>
              <w:t>9</w:t>
            </w:r>
            <w:r>
              <w:rPr>
                <w:noProof/>
                <w:webHidden/>
              </w:rPr>
              <w:fldChar w:fldCharType="end"/>
            </w:r>
          </w:hyperlink>
        </w:p>
        <w:p w:rsidR="005A10E3" w:rsidP="00BE0BD1" w14:paraId="68CD742E" w14:textId="18A40813">
          <w:pPr>
            <w:pStyle w:val="TOC2"/>
            <w:rPr>
              <w:rFonts w:asciiTheme="minorHAnsi" w:eastAsiaTheme="minorEastAsia" w:hAnsiTheme="minorHAnsi" w:cstheme="minorBidi"/>
              <w:noProof/>
              <w:szCs w:val="22"/>
            </w:rPr>
          </w:pPr>
          <w:hyperlink w:anchor="_Toc129861817" w:history="1">
            <w:r w:rsidRPr="00164F4B">
              <w:rPr>
                <w:rStyle w:val="Hyperlink"/>
                <w:noProof/>
                <w:lang w:val="fr-FR"/>
              </w:rPr>
              <w:t>A.11.</w:t>
            </w:r>
            <w:r>
              <w:rPr>
                <w:rFonts w:asciiTheme="minorHAnsi" w:eastAsiaTheme="minorEastAsia" w:hAnsiTheme="minorHAnsi" w:cstheme="minorBidi"/>
                <w:noProof/>
                <w:szCs w:val="22"/>
              </w:rPr>
              <w:tab/>
            </w:r>
            <w:r w:rsidRPr="00164F4B">
              <w:rPr>
                <w:rStyle w:val="Hyperlink"/>
                <w:noProof/>
                <w:lang w:val="fr-FR"/>
              </w:rPr>
              <w:t>Justification for Asking Sensitive Questions</w:t>
            </w:r>
            <w:r>
              <w:rPr>
                <w:noProof/>
                <w:webHidden/>
              </w:rPr>
              <w:tab/>
            </w:r>
            <w:r>
              <w:rPr>
                <w:noProof/>
                <w:webHidden/>
              </w:rPr>
              <w:fldChar w:fldCharType="begin"/>
            </w:r>
            <w:r>
              <w:rPr>
                <w:noProof/>
                <w:webHidden/>
              </w:rPr>
              <w:instrText xml:space="preserve"> PAGEREF _Toc129861817 \h </w:instrText>
            </w:r>
            <w:r>
              <w:rPr>
                <w:noProof/>
                <w:webHidden/>
              </w:rPr>
              <w:fldChar w:fldCharType="separate"/>
            </w:r>
            <w:r>
              <w:rPr>
                <w:noProof/>
                <w:webHidden/>
              </w:rPr>
              <w:t>9</w:t>
            </w:r>
            <w:r>
              <w:rPr>
                <w:noProof/>
                <w:webHidden/>
              </w:rPr>
              <w:fldChar w:fldCharType="end"/>
            </w:r>
          </w:hyperlink>
        </w:p>
        <w:p w:rsidR="005A10E3" w:rsidP="00BE0BD1" w14:paraId="2CEEFE20" w14:textId="4858B058">
          <w:pPr>
            <w:pStyle w:val="TOC2"/>
            <w:rPr>
              <w:rFonts w:asciiTheme="minorHAnsi" w:eastAsiaTheme="minorEastAsia" w:hAnsiTheme="minorHAnsi" w:cstheme="minorBidi"/>
              <w:noProof/>
              <w:szCs w:val="22"/>
            </w:rPr>
          </w:pPr>
          <w:hyperlink w:anchor="_Toc129861818" w:history="1">
            <w:r w:rsidRPr="00164F4B">
              <w:rPr>
                <w:rStyle w:val="Hyperlink"/>
                <w:noProof/>
              </w:rPr>
              <w:t>A.12.</w:t>
            </w:r>
            <w:r>
              <w:rPr>
                <w:rFonts w:asciiTheme="minorHAnsi" w:eastAsiaTheme="minorEastAsia" w:hAnsiTheme="minorHAnsi" w:cstheme="minorBidi"/>
                <w:noProof/>
                <w:szCs w:val="22"/>
              </w:rPr>
              <w:tab/>
            </w:r>
            <w:r w:rsidRPr="00164F4B">
              <w:rPr>
                <w:rStyle w:val="Hyperlink"/>
                <w:noProof/>
              </w:rPr>
              <w:t>Burden Estimate</w:t>
            </w:r>
            <w:r>
              <w:rPr>
                <w:noProof/>
                <w:webHidden/>
              </w:rPr>
              <w:tab/>
            </w:r>
            <w:r>
              <w:rPr>
                <w:noProof/>
                <w:webHidden/>
              </w:rPr>
              <w:fldChar w:fldCharType="begin"/>
            </w:r>
            <w:r>
              <w:rPr>
                <w:noProof/>
                <w:webHidden/>
              </w:rPr>
              <w:instrText xml:space="preserve"> PAGEREF _Toc129861818 \h </w:instrText>
            </w:r>
            <w:r>
              <w:rPr>
                <w:noProof/>
                <w:webHidden/>
              </w:rPr>
              <w:fldChar w:fldCharType="separate"/>
            </w:r>
            <w:r>
              <w:rPr>
                <w:noProof/>
                <w:webHidden/>
              </w:rPr>
              <w:t>10</w:t>
            </w:r>
            <w:r>
              <w:rPr>
                <w:noProof/>
                <w:webHidden/>
              </w:rPr>
              <w:fldChar w:fldCharType="end"/>
            </w:r>
          </w:hyperlink>
        </w:p>
        <w:p w:rsidR="005A10E3" w:rsidP="00BE0BD1" w14:paraId="6797DD4D" w14:textId="604BCDD7">
          <w:pPr>
            <w:pStyle w:val="TOC2"/>
            <w:rPr>
              <w:rFonts w:asciiTheme="minorHAnsi" w:eastAsiaTheme="minorEastAsia" w:hAnsiTheme="minorHAnsi" w:cstheme="minorBidi"/>
              <w:noProof/>
              <w:szCs w:val="22"/>
            </w:rPr>
          </w:pPr>
          <w:hyperlink w:anchor="_Toc129861819" w:history="1">
            <w:r w:rsidRPr="00164F4B">
              <w:rPr>
                <w:rStyle w:val="Hyperlink"/>
                <w:noProof/>
              </w:rPr>
              <w:t>A.13.</w:t>
            </w:r>
            <w:r>
              <w:rPr>
                <w:rFonts w:asciiTheme="minorHAnsi" w:eastAsiaTheme="minorEastAsia" w:hAnsiTheme="minorHAnsi" w:cstheme="minorBidi"/>
                <w:noProof/>
                <w:szCs w:val="22"/>
              </w:rPr>
              <w:tab/>
            </w:r>
            <w:r w:rsidRPr="00164F4B">
              <w:rPr>
                <w:rStyle w:val="Hyperlink"/>
                <w:noProof/>
              </w:rPr>
              <w:t>Costs to Respondents</w:t>
            </w:r>
            <w:r>
              <w:rPr>
                <w:noProof/>
                <w:webHidden/>
              </w:rPr>
              <w:tab/>
            </w:r>
            <w:r>
              <w:rPr>
                <w:noProof/>
                <w:webHidden/>
              </w:rPr>
              <w:fldChar w:fldCharType="begin"/>
            </w:r>
            <w:r>
              <w:rPr>
                <w:noProof/>
                <w:webHidden/>
              </w:rPr>
              <w:instrText xml:space="preserve"> PAGEREF _Toc129861819 \h </w:instrText>
            </w:r>
            <w:r>
              <w:rPr>
                <w:noProof/>
                <w:webHidden/>
              </w:rPr>
              <w:fldChar w:fldCharType="separate"/>
            </w:r>
            <w:r>
              <w:rPr>
                <w:noProof/>
                <w:webHidden/>
              </w:rPr>
              <w:t>11</w:t>
            </w:r>
            <w:r>
              <w:rPr>
                <w:noProof/>
                <w:webHidden/>
              </w:rPr>
              <w:fldChar w:fldCharType="end"/>
            </w:r>
          </w:hyperlink>
        </w:p>
        <w:p w:rsidR="005A10E3" w:rsidP="00BE0BD1" w14:paraId="4811BE58" w14:textId="6E8EA60A">
          <w:pPr>
            <w:pStyle w:val="TOC2"/>
            <w:rPr>
              <w:rFonts w:asciiTheme="minorHAnsi" w:eastAsiaTheme="minorEastAsia" w:hAnsiTheme="minorHAnsi" w:cstheme="minorBidi"/>
              <w:noProof/>
              <w:szCs w:val="22"/>
            </w:rPr>
          </w:pPr>
          <w:hyperlink w:anchor="_Toc129861820" w:history="1">
            <w:r w:rsidRPr="00164F4B">
              <w:rPr>
                <w:rStyle w:val="Hyperlink"/>
                <w:noProof/>
              </w:rPr>
              <w:t>A.14.</w:t>
            </w:r>
            <w:r>
              <w:rPr>
                <w:rFonts w:asciiTheme="minorHAnsi" w:eastAsiaTheme="minorEastAsia" w:hAnsiTheme="minorHAnsi" w:cstheme="minorBidi"/>
                <w:noProof/>
                <w:szCs w:val="22"/>
              </w:rPr>
              <w:tab/>
            </w:r>
            <w:r w:rsidRPr="00164F4B">
              <w:rPr>
                <w:rStyle w:val="Hyperlink"/>
                <w:noProof/>
              </w:rPr>
              <w:t>Costs to Federal Government</w:t>
            </w:r>
            <w:r>
              <w:rPr>
                <w:noProof/>
                <w:webHidden/>
              </w:rPr>
              <w:tab/>
            </w:r>
            <w:r>
              <w:rPr>
                <w:noProof/>
                <w:webHidden/>
              </w:rPr>
              <w:fldChar w:fldCharType="begin"/>
            </w:r>
            <w:r>
              <w:rPr>
                <w:noProof/>
                <w:webHidden/>
              </w:rPr>
              <w:instrText xml:space="preserve"> PAGEREF _Toc129861820 \h </w:instrText>
            </w:r>
            <w:r>
              <w:rPr>
                <w:noProof/>
                <w:webHidden/>
              </w:rPr>
              <w:fldChar w:fldCharType="separate"/>
            </w:r>
            <w:r>
              <w:rPr>
                <w:noProof/>
                <w:webHidden/>
              </w:rPr>
              <w:t>11</w:t>
            </w:r>
            <w:r>
              <w:rPr>
                <w:noProof/>
                <w:webHidden/>
              </w:rPr>
              <w:fldChar w:fldCharType="end"/>
            </w:r>
          </w:hyperlink>
        </w:p>
        <w:p w:rsidR="005A10E3" w:rsidP="00BE0BD1" w14:paraId="6BC01AF8" w14:textId="4478B67C">
          <w:pPr>
            <w:pStyle w:val="TOC2"/>
            <w:rPr>
              <w:rFonts w:asciiTheme="minorHAnsi" w:eastAsiaTheme="minorEastAsia" w:hAnsiTheme="minorHAnsi" w:cstheme="minorBidi"/>
              <w:noProof/>
              <w:szCs w:val="22"/>
            </w:rPr>
          </w:pPr>
          <w:hyperlink w:anchor="_Toc129861821" w:history="1">
            <w:r w:rsidRPr="00164F4B">
              <w:rPr>
                <w:rStyle w:val="Hyperlink"/>
                <w:noProof/>
              </w:rPr>
              <w:t>A.15.</w:t>
            </w:r>
            <w:r>
              <w:rPr>
                <w:rFonts w:asciiTheme="minorHAnsi" w:eastAsiaTheme="minorEastAsia" w:hAnsiTheme="minorHAnsi" w:cstheme="minorBidi"/>
                <w:noProof/>
                <w:szCs w:val="22"/>
              </w:rPr>
              <w:tab/>
            </w:r>
            <w:r w:rsidRPr="00164F4B">
              <w:rPr>
                <w:rStyle w:val="Hyperlink"/>
                <w:noProof/>
              </w:rPr>
              <w:t>Changes from Prior Cycle</w:t>
            </w:r>
            <w:r>
              <w:rPr>
                <w:noProof/>
                <w:webHidden/>
              </w:rPr>
              <w:tab/>
            </w:r>
            <w:r>
              <w:rPr>
                <w:noProof/>
                <w:webHidden/>
              </w:rPr>
              <w:fldChar w:fldCharType="begin"/>
            </w:r>
            <w:r>
              <w:rPr>
                <w:noProof/>
                <w:webHidden/>
              </w:rPr>
              <w:instrText xml:space="preserve"> PAGEREF _Toc129861821 \h </w:instrText>
            </w:r>
            <w:r>
              <w:rPr>
                <w:noProof/>
                <w:webHidden/>
              </w:rPr>
              <w:fldChar w:fldCharType="separate"/>
            </w:r>
            <w:r>
              <w:rPr>
                <w:noProof/>
                <w:webHidden/>
              </w:rPr>
              <w:t>11</w:t>
            </w:r>
            <w:r>
              <w:rPr>
                <w:noProof/>
                <w:webHidden/>
              </w:rPr>
              <w:fldChar w:fldCharType="end"/>
            </w:r>
          </w:hyperlink>
        </w:p>
        <w:p w:rsidR="005A10E3" w:rsidP="00BE0BD1" w14:paraId="43D7969A" w14:textId="780EE62E">
          <w:pPr>
            <w:pStyle w:val="TOC2"/>
            <w:rPr>
              <w:rFonts w:asciiTheme="minorHAnsi" w:eastAsiaTheme="minorEastAsia" w:hAnsiTheme="minorHAnsi" w:cstheme="minorBidi"/>
              <w:noProof/>
              <w:szCs w:val="22"/>
            </w:rPr>
          </w:pPr>
          <w:hyperlink w:anchor="_Toc129861822" w:history="1">
            <w:r w:rsidRPr="00164F4B">
              <w:rPr>
                <w:rStyle w:val="Hyperlink"/>
                <w:noProof/>
              </w:rPr>
              <w:t>A.16.</w:t>
            </w:r>
            <w:r>
              <w:rPr>
                <w:rFonts w:asciiTheme="minorHAnsi" w:eastAsiaTheme="minorEastAsia" w:hAnsiTheme="minorHAnsi" w:cstheme="minorBidi"/>
                <w:noProof/>
                <w:szCs w:val="22"/>
              </w:rPr>
              <w:tab/>
            </w:r>
            <w:r w:rsidRPr="00164F4B">
              <w:rPr>
                <w:rStyle w:val="Hyperlink"/>
                <w:noProof/>
              </w:rPr>
              <w:t>Plans for Tabulation or Publication</w:t>
            </w:r>
            <w:r>
              <w:rPr>
                <w:noProof/>
                <w:webHidden/>
              </w:rPr>
              <w:tab/>
            </w:r>
            <w:r>
              <w:rPr>
                <w:noProof/>
                <w:webHidden/>
              </w:rPr>
              <w:fldChar w:fldCharType="begin"/>
            </w:r>
            <w:r>
              <w:rPr>
                <w:noProof/>
                <w:webHidden/>
              </w:rPr>
              <w:instrText xml:space="preserve"> PAGEREF _Toc129861822 \h </w:instrText>
            </w:r>
            <w:r>
              <w:rPr>
                <w:noProof/>
                <w:webHidden/>
              </w:rPr>
              <w:fldChar w:fldCharType="separate"/>
            </w:r>
            <w:r>
              <w:rPr>
                <w:noProof/>
                <w:webHidden/>
              </w:rPr>
              <w:t>12</w:t>
            </w:r>
            <w:r>
              <w:rPr>
                <w:noProof/>
                <w:webHidden/>
              </w:rPr>
              <w:fldChar w:fldCharType="end"/>
            </w:r>
          </w:hyperlink>
        </w:p>
        <w:p w:rsidR="005A10E3" w:rsidP="00BE0BD1" w14:paraId="40B96B2F" w14:textId="0243FFE2">
          <w:pPr>
            <w:pStyle w:val="TOC2"/>
            <w:rPr>
              <w:rFonts w:asciiTheme="minorHAnsi" w:eastAsiaTheme="minorEastAsia" w:hAnsiTheme="minorHAnsi" w:cstheme="minorBidi"/>
              <w:noProof/>
              <w:szCs w:val="22"/>
            </w:rPr>
          </w:pPr>
          <w:hyperlink w:anchor="_Toc129861823" w:history="1">
            <w:r w:rsidRPr="00164F4B">
              <w:rPr>
                <w:rStyle w:val="Hyperlink"/>
                <w:noProof/>
              </w:rPr>
              <w:t>A.17.</w:t>
            </w:r>
            <w:r>
              <w:rPr>
                <w:rFonts w:asciiTheme="minorHAnsi" w:eastAsiaTheme="minorEastAsia" w:hAnsiTheme="minorHAnsi" w:cstheme="minorBidi"/>
                <w:noProof/>
                <w:szCs w:val="22"/>
              </w:rPr>
              <w:tab/>
            </w:r>
            <w:r w:rsidRPr="00164F4B">
              <w:rPr>
                <w:rStyle w:val="Hyperlink"/>
                <w:noProof/>
              </w:rPr>
              <w:t>Exception to Displaying the OMB Expiration Date</w:t>
            </w:r>
            <w:r>
              <w:rPr>
                <w:noProof/>
                <w:webHidden/>
              </w:rPr>
              <w:tab/>
            </w:r>
            <w:r>
              <w:rPr>
                <w:noProof/>
                <w:webHidden/>
              </w:rPr>
              <w:fldChar w:fldCharType="begin"/>
            </w:r>
            <w:r>
              <w:rPr>
                <w:noProof/>
                <w:webHidden/>
              </w:rPr>
              <w:instrText xml:space="preserve"> PAGEREF _Toc129861823 \h </w:instrText>
            </w:r>
            <w:r>
              <w:rPr>
                <w:noProof/>
                <w:webHidden/>
              </w:rPr>
              <w:fldChar w:fldCharType="separate"/>
            </w:r>
            <w:r>
              <w:rPr>
                <w:noProof/>
                <w:webHidden/>
              </w:rPr>
              <w:t>12</w:t>
            </w:r>
            <w:r>
              <w:rPr>
                <w:noProof/>
                <w:webHidden/>
              </w:rPr>
              <w:fldChar w:fldCharType="end"/>
            </w:r>
          </w:hyperlink>
        </w:p>
        <w:p w:rsidR="005A10E3" w:rsidP="00BE0BD1" w14:paraId="2451D0BA" w14:textId="34531798">
          <w:pPr>
            <w:pStyle w:val="TOC2"/>
            <w:rPr>
              <w:rFonts w:asciiTheme="minorHAnsi" w:eastAsiaTheme="minorEastAsia" w:hAnsiTheme="minorHAnsi" w:cstheme="minorBidi"/>
              <w:noProof/>
              <w:szCs w:val="22"/>
            </w:rPr>
          </w:pPr>
          <w:hyperlink w:anchor="_Toc129861824" w:history="1">
            <w:r w:rsidRPr="00164F4B">
              <w:rPr>
                <w:rStyle w:val="Hyperlink"/>
                <w:noProof/>
              </w:rPr>
              <w:t>A.18.</w:t>
            </w:r>
            <w:r>
              <w:rPr>
                <w:rFonts w:asciiTheme="minorHAnsi" w:eastAsiaTheme="minorEastAsia" w:hAnsiTheme="minorHAnsi" w:cstheme="minorBidi"/>
                <w:noProof/>
                <w:szCs w:val="22"/>
              </w:rPr>
              <w:tab/>
            </w:r>
            <w:r w:rsidRPr="00164F4B">
              <w:rPr>
                <w:rStyle w:val="Hyperlink"/>
                <w:noProof/>
              </w:rPr>
              <w:t>Exceptions to the Certification Statement</w:t>
            </w:r>
            <w:r>
              <w:rPr>
                <w:noProof/>
                <w:webHidden/>
              </w:rPr>
              <w:tab/>
            </w:r>
            <w:r>
              <w:rPr>
                <w:noProof/>
                <w:webHidden/>
              </w:rPr>
              <w:fldChar w:fldCharType="begin"/>
            </w:r>
            <w:r>
              <w:rPr>
                <w:noProof/>
                <w:webHidden/>
              </w:rPr>
              <w:instrText xml:space="preserve"> PAGEREF _Toc129861824 \h </w:instrText>
            </w:r>
            <w:r>
              <w:rPr>
                <w:noProof/>
                <w:webHidden/>
              </w:rPr>
              <w:fldChar w:fldCharType="separate"/>
            </w:r>
            <w:r>
              <w:rPr>
                <w:noProof/>
                <w:webHidden/>
              </w:rPr>
              <w:t>12</w:t>
            </w:r>
            <w:r>
              <w:rPr>
                <w:noProof/>
                <w:webHidden/>
              </w:rPr>
              <w:fldChar w:fldCharType="end"/>
            </w:r>
          </w:hyperlink>
        </w:p>
        <w:p w:rsidR="001834E0" w14:paraId="2738E63F" w14:textId="5A02AFA3">
          <w:r>
            <w:rPr>
              <w:b/>
              <w:bCs/>
              <w:noProof/>
            </w:rPr>
            <w:fldChar w:fldCharType="end"/>
          </w:r>
        </w:p>
      </w:sdtContent>
    </w:sdt>
    <w:p w:rsidR="001834E0" w14:paraId="70876BD6" w14:textId="750F1E37">
      <w:pPr>
        <w:spacing w:line="240" w:lineRule="auto"/>
        <w:jc w:val="left"/>
        <w:rPr>
          <w:b/>
          <w:caps/>
        </w:rPr>
      </w:pPr>
    </w:p>
    <w:p w:rsidR="006C6E93" w14:paraId="4B711021" w14:textId="77777777">
      <w:pPr>
        <w:spacing w:line="240" w:lineRule="auto"/>
        <w:jc w:val="left"/>
        <w:rPr>
          <w:b/>
          <w:caps/>
        </w:rPr>
      </w:pPr>
      <w:r>
        <w:br w:type="page"/>
      </w:r>
    </w:p>
    <w:p w:rsidR="00EF62BA" w14:paraId="49FE1B70" w14:textId="77777777">
      <w:pPr>
        <w:pStyle w:val="C1-CtrBoldHd"/>
        <w:spacing w:line="360" w:lineRule="auto"/>
        <w:outlineLvl w:val="0"/>
        <w:sectPr w:rsidSect="004C2260">
          <w:footerReference w:type="even" r:id="rId8"/>
          <w:footerReference w:type="default" r:id="rId9"/>
          <w:footerReference w:type="first" r:id="rId10"/>
          <w:type w:val="continuous"/>
          <w:pgSz w:w="12240" w:h="15840"/>
          <w:pgMar w:top="1440" w:right="1254" w:bottom="1440" w:left="1800" w:header="720" w:footer="720" w:gutter="0"/>
          <w:cols w:space="720"/>
          <w:titlePg/>
        </w:sectPr>
      </w:pPr>
    </w:p>
    <w:p w:rsidR="00221D90" w:rsidP="00BE0BD1" w14:paraId="6629D2EB" w14:textId="4638249E">
      <w:pPr>
        <w:pStyle w:val="Heading1"/>
        <w:rPr>
          <w:bCs/>
        </w:rPr>
      </w:pPr>
      <w:bookmarkStart w:id="2" w:name="_Toc129861806"/>
      <w:r>
        <w:t xml:space="preserve">Section </w:t>
      </w:r>
      <w:r>
        <w:t>A:  Justification</w:t>
      </w:r>
      <w:bookmarkEnd w:id="2"/>
    </w:p>
    <w:p w:rsidR="00221D90" w:rsidP="00BE0BD1" w14:paraId="65411DA5" w14:textId="2A893FE9">
      <w:pPr>
        <w:pStyle w:val="Heading2"/>
      </w:pPr>
      <w:bookmarkStart w:id="3" w:name="_Toc129861807"/>
      <w:r>
        <w:t>A.1.</w:t>
      </w:r>
      <w:r>
        <w:tab/>
      </w:r>
      <w:r w:rsidR="00BE31EB">
        <w:t>Why the Collection is Necessary</w:t>
      </w:r>
      <w:bookmarkEnd w:id="3"/>
    </w:p>
    <w:p w:rsidR="00836FD8" w:rsidRPr="00836FD8" w:rsidP="00836FD8" w14:paraId="2F3A52EE" w14:textId="77777777">
      <w:pPr>
        <w:spacing w:line="360" w:lineRule="auto"/>
        <w:ind w:firstLine="720"/>
        <w:jc w:val="left"/>
      </w:pPr>
      <w:r w:rsidRPr="00836FD8">
        <w:t>Established within the NSF by the America COMPETES Reauthorization Act of 2010 § 505, codified in the National Science Foundation Act of 1950, as amended, the National Center for Science and Engineering Statistics (NCSES) serves as a central Federal clearinghouse for the collection, interpretation, analysis, and dissemination of objective data on science, engineering, technology, and research and development for use by practitioners, researchers, policymakers, and the public.</w:t>
      </w:r>
    </w:p>
    <w:p w:rsidR="0046316C" w:rsidP="00226D25" w14:paraId="569B13BE" w14:textId="77777777">
      <w:pPr>
        <w:spacing w:line="360" w:lineRule="auto"/>
        <w:jc w:val="left"/>
      </w:pPr>
    </w:p>
    <w:p w:rsidR="00955386" w:rsidRPr="00F01DFE" w:rsidP="004F6EF3" w14:paraId="0E1B3DC1" w14:textId="382DD238">
      <w:pPr>
        <w:spacing w:line="360" w:lineRule="auto"/>
        <w:ind w:firstLine="720"/>
        <w:jc w:val="left"/>
        <w:rPr>
          <w:szCs w:val="22"/>
        </w:rPr>
      </w:pPr>
      <w:r>
        <w:t xml:space="preserve">The Survey of Science and Engineering Research Facilities </w:t>
      </w:r>
      <w:r w:rsidR="00A844CD">
        <w:t xml:space="preserve">(Facilities survey) </w:t>
      </w:r>
      <w:r w:rsidR="00775583">
        <w:t xml:space="preserve">conducted by the </w:t>
      </w:r>
      <w:r w:rsidR="00790517">
        <w:t xml:space="preserve">National Center for Science and Engineering Statistics (NCSES) within the </w:t>
      </w:r>
      <w:r w:rsidR="00775583">
        <w:t xml:space="preserve">National Science Foundation (NSF) </w:t>
      </w:r>
      <w:r>
        <w:t xml:space="preserve">is a </w:t>
      </w:r>
      <w:r w:rsidR="005B506F">
        <w:t>c</w:t>
      </w:r>
      <w:r>
        <w:t>ongressionally mandated biennial survey that has been conducted since 1986</w:t>
      </w:r>
      <w:r w:rsidRPr="00F01DFE">
        <w:rPr>
          <w:szCs w:val="22"/>
        </w:rPr>
        <w:t xml:space="preserve">. </w:t>
      </w:r>
      <w:r w:rsidRPr="00F01DFE">
        <w:rPr>
          <w:szCs w:val="22"/>
        </w:rPr>
        <w:t>The Facilities</w:t>
      </w:r>
      <w:r w:rsidRPr="00F01DFE" w:rsidR="00226D25">
        <w:rPr>
          <w:szCs w:val="22"/>
        </w:rPr>
        <w:t xml:space="preserve"> survey c</w:t>
      </w:r>
      <w:r w:rsidRPr="00F01DFE">
        <w:rPr>
          <w:szCs w:val="22"/>
        </w:rPr>
        <w:t>ollects data on “bricks and mortar” research facilities</w:t>
      </w:r>
      <w:r w:rsidRPr="00F01DFE" w:rsidR="001E37F7">
        <w:rPr>
          <w:szCs w:val="22"/>
        </w:rPr>
        <w:t xml:space="preserve">, including </w:t>
      </w:r>
      <w:r w:rsidR="00C26E20">
        <w:rPr>
          <w:szCs w:val="22"/>
        </w:rPr>
        <w:t xml:space="preserve">total research space by field, condition of research space, and expenses for construction, </w:t>
      </w:r>
      <w:r w:rsidR="00C26E20">
        <w:rPr>
          <w:szCs w:val="22"/>
        </w:rPr>
        <w:t>repairs</w:t>
      </w:r>
      <w:r w:rsidR="00C26E20">
        <w:rPr>
          <w:szCs w:val="22"/>
        </w:rPr>
        <w:t xml:space="preserve"> and renovation</w:t>
      </w:r>
      <w:r w:rsidR="0046316C">
        <w:rPr>
          <w:szCs w:val="22"/>
        </w:rPr>
        <w:t xml:space="preserve"> of research space</w:t>
      </w:r>
      <w:r w:rsidR="00C26E20">
        <w:rPr>
          <w:szCs w:val="22"/>
        </w:rPr>
        <w:t>.</w:t>
      </w:r>
      <w:r w:rsidR="0046316C">
        <w:rPr>
          <w:szCs w:val="22"/>
        </w:rPr>
        <w:t xml:space="preserve"> </w:t>
      </w:r>
    </w:p>
    <w:p w:rsidR="00221D90" w14:paraId="461CBD6D" w14:textId="77777777">
      <w:pPr>
        <w:pStyle w:val="P1-StandPara"/>
        <w:spacing w:line="360" w:lineRule="auto"/>
        <w:ind w:firstLine="0"/>
        <w:jc w:val="left"/>
      </w:pPr>
    </w:p>
    <w:p w:rsidR="00221D90" w14:paraId="579BCDCC" w14:textId="77777777">
      <w:pPr>
        <w:pStyle w:val="P1-StandPara"/>
        <w:spacing w:line="360" w:lineRule="auto"/>
        <w:ind w:firstLine="720"/>
        <w:jc w:val="left"/>
        <w:rPr>
          <w:b/>
          <w:i/>
          <w:iCs/>
        </w:rPr>
      </w:pPr>
      <w:r>
        <w:rPr>
          <w:b/>
          <w:i/>
          <w:iCs/>
        </w:rPr>
        <w:t>Background</w:t>
      </w:r>
    </w:p>
    <w:p w:rsidR="00221D90" w14:paraId="0F32E4BA" w14:textId="77777777">
      <w:pPr>
        <w:spacing w:line="360" w:lineRule="auto"/>
        <w:jc w:val="left"/>
      </w:pPr>
    </w:p>
    <w:p w:rsidR="00221D90" w14:paraId="2E7D7057" w14:textId="64EBD308">
      <w:pPr>
        <w:spacing w:line="360" w:lineRule="auto"/>
        <w:ind w:firstLine="720"/>
        <w:jc w:val="left"/>
      </w:pPr>
      <w:r>
        <w:t>Academic research facilities in the fields of science and engineering (S&amp;E) are an important national resource. Extensive hearings were held during the 99</w:t>
      </w:r>
      <w:r>
        <w:rPr>
          <w:vertAlign w:val="superscript"/>
        </w:rPr>
        <w:t>th</w:t>
      </w:r>
      <w:r>
        <w:t xml:space="preserve"> Congress in the House and Senate committees on science and technology to examine the research facilities needs of universities and colleges. Both committees found “sufficient evidence to suggest the presence of a serious and growing problem…” and expressed concern that the Federal government did not have in place an ongoing analytical system to document the </w:t>
      </w:r>
      <w:r>
        <w:t>current status</w:t>
      </w:r>
      <w:r>
        <w:t xml:space="preserve"> of and needs for research facilities by major field of science and engineering.  </w:t>
      </w:r>
    </w:p>
    <w:p w:rsidR="00221D90" w14:paraId="1D4B78FF" w14:textId="77777777">
      <w:pPr>
        <w:spacing w:line="360" w:lineRule="auto"/>
        <w:jc w:val="left"/>
      </w:pPr>
    </w:p>
    <w:p w:rsidR="00221D90" w14:paraId="736D9BBC" w14:textId="6859BE34">
      <w:pPr>
        <w:spacing w:line="360" w:lineRule="auto"/>
        <w:ind w:firstLine="720"/>
        <w:jc w:val="left"/>
      </w:pPr>
      <w:r>
        <w:t>In recognition of the need for objective information about research facilities, Congress directed NSF, in the Authorization Act of November 22, 1985 (P.L. 99-159, Section 108</w:t>
      </w:r>
      <w:r w:rsidR="00F2526B">
        <w:t>) as follows:</w:t>
      </w:r>
    </w:p>
    <w:p w:rsidR="00221D90" w14:paraId="4EFC77FA" w14:textId="77777777">
      <w:pPr>
        <w:pStyle w:val="P1-StandPara"/>
        <w:spacing w:line="360" w:lineRule="auto"/>
        <w:jc w:val="left"/>
      </w:pPr>
    </w:p>
    <w:p w:rsidR="00221D90" w14:paraId="46939540" w14:textId="38629156">
      <w:pPr>
        <w:pStyle w:val="P1-StandPara"/>
        <w:spacing w:line="240" w:lineRule="auto"/>
        <w:ind w:left="1152" w:firstLine="0"/>
        <w:jc w:val="left"/>
      </w:pPr>
      <w:r>
        <w:t xml:space="preserve">The National Science Foundation is authorized to design, establish, and maintain a data collection and analysis capability in the Foundation for the purpose of identifying and assessing the research facilities needs of universities. The needs of universities, by field of science and engineering, for construction and modernization of research laboratories, including fixed equipment and major research equipment, shall be documented. University expenditures for the construction and modernization of research facilities, the sources of </w:t>
      </w:r>
      <w:r>
        <w:t xml:space="preserve">funds, and other appropriate data shall be collected and analyzed. The Foundation, in conjunction with other appropriate Federal agencies, shall conduct the necessary survey every 2 years and report the results to the Congress.  </w:t>
      </w:r>
    </w:p>
    <w:p w:rsidR="00221D90" w14:paraId="26D19384" w14:textId="77777777">
      <w:pPr>
        <w:pStyle w:val="P1-StandPara"/>
        <w:spacing w:line="360" w:lineRule="auto"/>
        <w:ind w:left="1152" w:firstLine="0"/>
        <w:jc w:val="left"/>
      </w:pPr>
    </w:p>
    <w:p w:rsidR="003A2473" w:rsidP="003A2473" w14:paraId="5114EB92" w14:textId="0AA5A5B2">
      <w:pPr>
        <w:spacing w:line="360" w:lineRule="auto"/>
        <w:ind w:firstLine="720"/>
      </w:pPr>
      <w:r>
        <w:t xml:space="preserve">In response to this directive, </w:t>
      </w:r>
      <w:r w:rsidR="002E0FFD">
        <w:t>NCSES</w:t>
      </w:r>
      <w:r>
        <w:t xml:space="preserve"> has conducted </w:t>
      </w:r>
      <w:r w:rsidR="00AD5936">
        <w:t xml:space="preserve">nineteen </w:t>
      </w:r>
      <w:r>
        <w:t>surveys</w:t>
      </w:r>
      <w:r w:rsidR="000B48E8">
        <w:t xml:space="preserve">, generally </w:t>
      </w:r>
      <w:r w:rsidRPr="000B48E8" w:rsidR="000B48E8">
        <w:t>on a biennial basis</w:t>
      </w:r>
      <w:r w:rsidRPr="000B48E8">
        <w:t>.</w:t>
      </w:r>
      <w:r>
        <w:t xml:space="preserve"> The National Institutes of Health (NIH) cosponsored the surveys with </w:t>
      </w:r>
      <w:r w:rsidR="002E0FFD">
        <w:t>NCSES</w:t>
      </w:r>
      <w:r>
        <w:t xml:space="preserve"> beginning with the initial survey</w:t>
      </w:r>
      <w:r w:rsidR="001E37F7">
        <w:t xml:space="preserve"> and ending with the 2009 survey</w:t>
      </w:r>
      <w:r>
        <w:t>. At the request of NIH, the survey also collected data from nonprofit, biomedical research organizations and hospitals that receive</w:t>
      </w:r>
      <w:r w:rsidR="00226D25">
        <w:t>d</w:t>
      </w:r>
      <w:r>
        <w:t xml:space="preserve"> NIH research funds.</w:t>
      </w:r>
    </w:p>
    <w:p w:rsidR="00221D90" w:rsidP="00625771" w14:paraId="2A9E17DB" w14:textId="77777777">
      <w:pPr>
        <w:pStyle w:val="BodyTextIndent3"/>
        <w:tabs>
          <w:tab w:val="clear" w:pos="1008"/>
          <w:tab w:val="clear" w:pos="3330"/>
          <w:tab w:val="clear" w:pos="3744"/>
          <w:tab w:val="clear" w:pos="4752"/>
          <w:tab w:val="clear" w:pos="5760"/>
          <w:tab w:val="clear" w:pos="6768"/>
          <w:tab w:val="clear" w:pos="7776"/>
          <w:tab w:val="clear" w:pos="8784"/>
        </w:tabs>
        <w:spacing w:line="360" w:lineRule="auto"/>
        <w:ind w:firstLine="0"/>
        <w:jc w:val="both"/>
      </w:pPr>
    </w:p>
    <w:p w:rsidR="00221D90" w:rsidP="000C7DEE" w14:paraId="01E017D6" w14:textId="078EB6FB">
      <w:pPr>
        <w:spacing w:line="360" w:lineRule="auto"/>
        <w:ind w:firstLine="720"/>
        <w:jc w:val="left"/>
      </w:pPr>
      <w:r>
        <w:t xml:space="preserve">Since 1986, </w:t>
      </w:r>
      <w:r w:rsidR="002E0FFD">
        <w:t>NCSES</w:t>
      </w:r>
      <w:r>
        <w:t xml:space="preserve"> has modified the survey several times with the goals of improving data quality and reducing respondent burden. The </w:t>
      </w:r>
      <w:r w:rsidR="00836FD8">
        <w:t xml:space="preserve">inaugural </w:t>
      </w:r>
      <w:r>
        <w:t xml:space="preserve">survey was limited </w:t>
      </w:r>
      <w:r w:rsidR="00B25C53">
        <w:t xml:space="preserve">to a small set of prescribed questions sent to a sample of institutions </w:t>
      </w:r>
      <w:r>
        <w:t xml:space="preserve">using </w:t>
      </w:r>
      <w:r w:rsidR="002E0FFD">
        <w:t>NCSES</w:t>
      </w:r>
      <w:r>
        <w:t xml:space="preserve">’s Quick Response Survey questionnaire capability </w:t>
      </w:r>
      <w:r w:rsidR="00836FD8">
        <w:t>to</w:t>
      </w:r>
      <w:r>
        <w:t xml:space="preserve"> meet the Congressional timeframes.  </w:t>
      </w:r>
      <w:r w:rsidR="000C7DEE">
        <w:t>D</w:t>
      </w:r>
      <w:r>
        <w:t xml:space="preserve">ata collection was </w:t>
      </w:r>
      <w:r w:rsidR="000C7DEE">
        <w:t xml:space="preserve">subsequently </w:t>
      </w:r>
      <w:r>
        <w:t xml:space="preserve">expanded to a census of institutions </w:t>
      </w:r>
      <w:r w:rsidR="00836FD8">
        <w:t>to</w:t>
      </w:r>
      <w:r>
        <w:t xml:space="preserve"> make the data more useful to Federal and State agencies and to the higher education community.  </w:t>
      </w:r>
    </w:p>
    <w:p w:rsidR="00221D90" w14:paraId="2CE2A32D" w14:textId="77777777">
      <w:pPr>
        <w:spacing w:line="360" w:lineRule="auto"/>
        <w:ind w:firstLine="720"/>
        <w:jc w:val="left"/>
      </w:pPr>
    </w:p>
    <w:p w:rsidR="00AC3BCE" w:rsidP="006C3147" w14:paraId="06336D96" w14:textId="115EA4E5">
      <w:pPr>
        <w:spacing w:line="360" w:lineRule="auto"/>
        <w:ind w:firstLine="720"/>
        <w:jc w:val="left"/>
        <w:rPr>
          <w:szCs w:val="22"/>
        </w:rPr>
      </w:pPr>
      <w:r>
        <w:t xml:space="preserve">NCSES undertook a major review of the survey prior to the FY 2003 data collection. This included improving the research space questionnaire and adding a second questionnaire </w:t>
      </w:r>
      <w:r w:rsidR="00836FD8">
        <w:t>to capture</w:t>
      </w:r>
      <w:r w:rsidRPr="00E30955" w:rsidR="00836FD8">
        <w:rPr>
          <w:szCs w:val="22"/>
        </w:rPr>
        <w:t xml:space="preserve"> </w:t>
      </w:r>
      <w:r w:rsidRPr="00E30955" w:rsidR="008F7E83">
        <w:rPr>
          <w:szCs w:val="22"/>
        </w:rPr>
        <w:t>the growing use of computing and networking resources (cyberinfrastructure) in conducting research</w:t>
      </w:r>
      <w:r>
        <w:rPr>
          <w:szCs w:val="22"/>
        </w:rPr>
        <w:t xml:space="preserve">. </w:t>
      </w:r>
      <w:r w:rsidR="009D3573">
        <w:rPr>
          <w:szCs w:val="22"/>
        </w:rPr>
        <w:t xml:space="preserve"> </w:t>
      </w:r>
      <w:r w:rsidRPr="003830E6" w:rsidR="00483B73">
        <w:rPr>
          <w:szCs w:val="22"/>
        </w:rPr>
        <w:t xml:space="preserve">NCSES continually reviewed the </w:t>
      </w:r>
      <w:r w:rsidR="00483B73">
        <w:rPr>
          <w:szCs w:val="22"/>
        </w:rPr>
        <w:t xml:space="preserve">second </w:t>
      </w:r>
      <w:r w:rsidRPr="003830E6" w:rsidR="00483B73">
        <w:rPr>
          <w:szCs w:val="22"/>
        </w:rPr>
        <w:t xml:space="preserve">questionnaire </w:t>
      </w:r>
      <w:r w:rsidRPr="003830E6" w:rsidR="00836FD8">
        <w:rPr>
          <w:szCs w:val="22"/>
        </w:rPr>
        <w:t>to</w:t>
      </w:r>
      <w:r w:rsidRPr="003830E6" w:rsidR="00483B73">
        <w:rPr>
          <w:szCs w:val="22"/>
        </w:rPr>
        <w:t xml:space="preserve"> stay current with the rapidly changing developments in academic R&amp;D cyberinfrastructure. </w:t>
      </w:r>
    </w:p>
    <w:p w:rsidR="00AC3BCE" w:rsidP="00B10647" w14:paraId="5880E9C4" w14:textId="77777777">
      <w:pPr>
        <w:spacing w:line="360" w:lineRule="auto"/>
        <w:jc w:val="left"/>
        <w:rPr>
          <w:szCs w:val="22"/>
        </w:rPr>
      </w:pPr>
    </w:p>
    <w:p w:rsidR="003830E6" w:rsidP="006C3147" w14:paraId="33FAF340" w14:textId="4933B234">
      <w:pPr>
        <w:spacing w:line="360" w:lineRule="auto"/>
        <w:ind w:firstLine="720"/>
        <w:jc w:val="left"/>
        <w:rPr>
          <w:szCs w:val="22"/>
        </w:rPr>
      </w:pPr>
      <w:r w:rsidRPr="003830E6">
        <w:rPr>
          <w:szCs w:val="22"/>
        </w:rPr>
        <w:t>Despite these efforts, NCSES believe</w:t>
      </w:r>
      <w:r w:rsidR="006F57DF">
        <w:rPr>
          <w:szCs w:val="22"/>
        </w:rPr>
        <w:t>d</w:t>
      </w:r>
      <w:r w:rsidRPr="003830E6">
        <w:rPr>
          <w:szCs w:val="22"/>
        </w:rPr>
        <w:t xml:space="preserve"> that the </w:t>
      </w:r>
      <w:r w:rsidR="00CC207B">
        <w:rPr>
          <w:szCs w:val="22"/>
        </w:rPr>
        <w:t>cyberinfrastructure questionnaire</w:t>
      </w:r>
      <w:r w:rsidRPr="003830E6" w:rsidR="00CC207B">
        <w:rPr>
          <w:szCs w:val="22"/>
        </w:rPr>
        <w:t xml:space="preserve"> </w:t>
      </w:r>
      <w:r w:rsidRPr="003830E6">
        <w:rPr>
          <w:szCs w:val="22"/>
        </w:rPr>
        <w:t>provide</w:t>
      </w:r>
      <w:r w:rsidR="00095D9E">
        <w:rPr>
          <w:szCs w:val="22"/>
        </w:rPr>
        <w:t>d</w:t>
      </w:r>
      <w:r w:rsidRPr="003830E6">
        <w:rPr>
          <w:szCs w:val="22"/>
        </w:rPr>
        <w:t xml:space="preserve"> little utility to policymakers and researchers. A 2013 review of the survey by the NSF Division of Advanced Cyberinfrastructure (ACI) provided feedback on shortcomings and potential changes to improve the survey. The assessment indicated that the “information is not useful for program planning at NSF and is probably not very useful to campuses either.” Anecdotal evidence </w:t>
      </w:r>
      <w:r w:rsidR="007308DE">
        <w:rPr>
          <w:szCs w:val="22"/>
        </w:rPr>
        <w:t>solicited</w:t>
      </w:r>
      <w:r w:rsidRPr="003830E6">
        <w:rPr>
          <w:szCs w:val="22"/>
        </w:rPr>
        <w:t xml:space="preserve"> through several </w:t>
      </w:r>
      <w:r w:rsidR="007308DE">
        <w:rPr>
          <w:szCs w:val="22"/>
        </w:rPr>
        <w:t xml:space="preserve">interviews and meetings with groups of field experts </w:t>
      </w:r>
      <w:r w:rsidR="000C75F4">
        <w:rPr>
          <w:szCs w:val="22"/>
        </w:rPr>
        <w:t>indicated</w:t>
      </w:r>
      <w:r w:rsidRPr="003830E6" w:rsidR="000C75F4">
        <w:rPr>
          <w:szCs w:val="22"/>
        </w:rPr>
        <w:t xml:space="preserve"> </w:t>
      </w:r>
      <w:r w:rsidRPr="003830E6">
        <w:rPr>
          <w:szCs w:val="22"/>
        </w:rPr>
        <w:t xml:space="preserve">that these data are rarely used by those who are aware of this survey. </w:t>
      </w:r>
      <w:r w:rsidR="007308DE">
        <w:rPr>
          <w:szCs w:val="22"/>
        </w:rPr>
        <w:t xml:space="preserve">This view was substantiated by analysis of low web traffic to the relevant data files on the </w:t>
      </w:r>
      <w:r w:rsidR="004A699A">
        <w:rPr>
          <w:szCs w:val="22"/>
        </w:rPr>
        <w:t xml:space="preserve">NCSES </w:t>
      </w:r>
      <w:r w:rsidR="007308DE">
        <w:rPr>
          <w:szCs w:val="22"/>
        </w:rPr>
        <w:t xml:space="preserve">website. </w:t>
      </w:r>
      <w:r w:rsidRPr="003830E6">
        <w:rPr>
          <w:szCs w:val="22"/>
        </w:rPr>
        <w:t xml:space="preserve">Further inquiries revealed that many </w:t>
      </w:r>
      <w:r w:rsidR="00C95884">
        <w:rPr>
          <w:szCs w:val="22"/>
        </w:rPr>
        <w:t xml:space="preserve">potential data users </w:t>
      </w:r>
      <w:r w:rsidRPr="003830E6">
        <w:rPr>
          <w:szCs w:val="22"/>
        </w:rPr>
        <w:t>believe</w:t>
      </w:r>
      <w:r w:rsidR="00906582">
        <w:rPr>
          <w:szCs w:val="22"/>
        </w:rPr>
        <w:t>d</w:t>
      </w:r>
      <w:r w:rsidRPr="003830E6">
        <w:rPr>
          <w:szCs w:val="22"/>
        </w:rPr>
        <w:t xml:space="preserve"> the data would be difficult to incorporate into their </w:t>
      </w:r>
      <w:r w:rsidRPr="003830E6">
        <w:rPr>
          <w:szCs w:val="22"/>
        </w:rPr>
        <w:t>decision making</w:t>
      </w:r>
      <w:r w:rsidRPr="003830E6">
        <w:rPr>
          <w:szCs w:val="22"/>
        </w:rPr>
        <w:t xml:space="preserve"> processes.</w:t>
      </w:r>
      <w:r w:rsidR="008B6C6D">
        <w:rPr>
          <w:szCs w:val="22"/>
        </w:rPr>
        <w:t xml:space="preserve"> </w:t>
      </w:r>
      <w:r w:rsidR="004F6253">
        <w:rPr>
          <w:szCs w:val="22"/>
        </w:rPr>
        <w:t xml:space="preserve">Consequently, the questionnaire on computing and networking capacity was </w:t>
      </w:r>
      <w:r w:rsidR="00F66433">
        <w:rPr>
          <w:szCs w:val="22"/>
        </w:rPr>
        <w:t>discontinued starting with the FY 2015</w:t>
      </w:r>
      <w:r w:rsidR="00425823">
        <w:rPr>
          <w:szCs w:val="22"/>
        </w:rPr>
        <w:t xml:space="preserve"> survey. </w:t>
      </w:r>
    </w:p>
    <w:p w:rsidR="003830E6" w:rsidP="00F01DFE" w14:paraId="65C0A8F6" w14:textId="61926766">
      <w:pPr>
        <w:spacing w:line="360" w:lineRule="auto"/>
        <w:ind w:firstLine="720"/>
        <w:jc w:val="left"/>
        <w:rPr>
          <w:szCs w:val="22"/>
        </w:rPr>
      </w:pPr>
    </w:p>
    <w:p w:rsidR="0085019F" w:rsidP="00F01DFE" w14:paraId="4E3B1846" w14:textId="77777777">
      <w:pPr>
        <w:spacing w:line="360" w:lineRule="auto"/>
        <w:ind w:firstLine="720"/>
        <w:jc w:val="left"/>
        <w:rPr>
          <w:szCs w:val="22"/>
        </w:rPr>
      </w:pPr>
    </w:p>
    <w:p w:rsidR="005644CE" w:rsidP="00F01DFE" w14:paraId="00032D67" w14:textId="6A58D6F1">
      <w:pPr>
        <w:spacing w:line="360" w:lineRule="auto"/>
        <w:ind w:firstLine="720"/>
        <w:jc w:val="left"/>
        <w:rPr>
          <w:szCs w:val="22"/>
        </w:rPr>
      </w:pPr>
      <w:r>
        <w:rPr>
          <w:szCs w:val="22"/>
        </w:rPr>
        <w:t xml:space="preserve">NCSES conducted a review </w:t>
      </w:r>
      <w:r w:rsidR="003B5E0C">
        <w:rPr>
          <w:szCs w:val="22"/>
        </w:rPr>
        <w:t xml:space="preserve">from 2010 to 2015 </w:t>
      </w:r>
      <w:r>
        <w:rPr>
          <w:szCs w:val="22"/>
        </w:rPr>
        <w:t>of the S&amp;E fields used in its portfolio of surveys to ensure consistency and comparability across national academic surveys.</w:t>
      </w:r>
      <w:r w:rsidR="002A5943">
        <w:rPr>
          <w:szCs w:val="22"/>
        </w:rPr>
        <w:t xml:space="preserve"> The review resulted in a modi</w:t>
      </w:r>
      <w:r w:rsidR="006E5FF4">
        <w:rPr>
          <w:szCs w:val="22"/>
        </w:rPr>
        <w:t xml:space="preserve">fied taxonomy of S&amp;E discipline that </w:t>
      </w:r>
      <w:r w:rsidR="002A5943">
        <w:rPr>
          <w:szCs w:val="22"/>
        </w:rPr>
        <w:t>reassign</w:t>
      </w:r>
      <w:r w:rsidR="006E5FF4">
        <w:rPr>
          <w:szCs w:val="22"/>
        </w:rPr>
        <w:t>ed</w:t>
      </w:r>
      <w:r w:rsidR="002A5943">
        <w:rPr>
          <w:szCs w:val="22"/>
        </w:rPr>
        <w:t xml:space="preserve"> </w:t>
      </w:r>
      <w:r w:rsidR="006E5FF4">
        <w:rPr>
          <w:szCs w:val="22"/>
        </w:rPr>
        <w:t>a number of</w:t>
      </w:r>
      <w:r w:rsidR="006E5FF4">
        <w:rPr>
          <w:szCs w:val="22"/>
        </w:rPr>
        <w:t xml:space="preserve"> </w:t>
      </w:r>
      <w:r w:rsidR="002A5943">
        <w:rPr>
          <w:szCs w:val="22"/>
        </w:rPr>
        <w:t>subfields and relabel</w:t>
      </w:r>
      <w:r w:rsidR="006E5FF4">
        <w:rPr>
          <w:szCs w:val="22"/>
        </w:rPr>
        <w:t>ed</w:t>
      </w:r>
      <w:r w:rsidR="002A5943">
        <w:rPr>
          <w:szCs w:val="22"/>
        </w:rPr>
        <w:t xml:space="preserve"> some field names. These changes </w:t>
      </w:r>
      <w:r w:rsidR="006F57DF">
        <w:rPr>
          <w:szCs w:val="22"/>
        </w:rPr>
        <w:t>were thereafter</w:t>
      </w:r>
      <w:r w:rsidR="002A5943">
        <w:rPr>
          <w:szCs w:val="22"/>
        </w:rPr>
        <w:t xml:space="preserve"> employed by all NCSES academic surveys, including the Facilities survey.</w:t>
      </w:r>
      <w:r w:rsidR="003B5E0C">
        <w:rPr>
          <w:szCs w:val="22"/>
        </w:rPr>
        <w:t xml:space="preserve"> </w:t>
      </w:r>
    </w:p>
    <w:p w:rsidR="005644CE" w:rsidP="00F01DFE" w14:paraId="0C003657" w14:textId="77777777">
      <w:pPr>
        <w:spacing w:line="360" w:lineRule="auto"/>
        <w:ind w:firstLine="720"/>
        <w:jc w:val="left"/>
        <w:rPr>
          <w:szCs w:val="22"/>
        </w:rPr>
      </w:pPr>
    </w:p>
    <w:p w:rsidR="00F75D49" w:rsidRPr="003830E6" w:rsidP="00906582" w14:paraId="004A53DA" w14:textId="61600864">
      <w:pPr>
        <w:spacing w:line="360" w:lineRule="auto"/>
        <w:ind w:firstLine="720"/>
        <w:jc w:val="left"/>
        <w:rPr>
          <w:szCs w:val="22"/>
        </w:rPr>
      </w:pPr>
      <w:r>
        <w:t>NCSES</w:t>
      </w:r>
      <w:r w:rsidR="00CE2CCD">
        <w:t xml:space="preserve"> </w:t>
      </w:r>
      <w:r>
        <w:t xml:space="preserve">revised the FY 2017 survey and data collection materials based on a </w:t>
      </w:r>
      <w:r w:rsidRPr="00AD3918">
        <w:t xml:space="preserve">methodological </w:t>
      </w:r>
      <w:r>
        <w:t>review of several items. These include</w:t>
      </w:r>
      <w:r w:rsidR="006F57DF">
        <w:t>d</w:t>
      </w:r>
      <w:r>
        <w:t xml:space="preserve"> a new question on shared research space, changes to the definition of start date for new construction, and changes to the instructions for completion costs. </w:t>
      </w:r>
      <w:r w:rsidR="00A73CDC">
        <w:t>NCSES</w:t>
      </w:r>
      <w:r>
        <w:t xml:space="preserve"> also revised </w:t>
      </w:r>
      <w:r w:rsidR="006F57DF">
        <w:t xml:space="preserve">the </w:t>
      </w:r>
      <w:r>
        <w:t xml:space="preserve">definition of research </w:t>
      </w:r>
      <w:r w:rsidR="00836FD8">
        <w:t>to</w:t>
      </w:r>
      <w:r>
        <w:t xml:space="preserve"> better align </w:t>
      </w:r>
      <w:r w:rsidR="005C3D1E">
        <w:t xml:space="preserve">the definition across </w:t>
      </w:r>
      <w:r w:rsidR="00A73CDC">
        <w:t>NCSES</w:t>
      </w:r>
      <w:r>
        <w:t xml:space="preserve"> surveys</w:t>
      </w:r>
      <w:r w:rsidR="005A0847">
        <w:t>.</w:t>
      </w:r>
      <w:r w:rsidR="006F57DF">
        <w:t xml:space="preserve"> No substantive changes have been made to the survey</w:t>
      </w:r>
      <w:r w:rsidR="00483F4F">
        <w:t xml:space="preserve"> </w:t>
      </w:r>
      <w:r w:rsidR="00B9534E">
        <w:t xml:space="preserve">since then </w:t>
      </w:r>
      <w:r w:rsidR="002772ED">
        <w:t xml:space="preserve">and </w:t>
      </w:r>
      <w:r w:rsidR="00B9534E">
        <w:t xml:space="preserve">no substantive </w:t>
      </w:r>
      <w:r w:rsidR="002772ED">
        <w:t xml:space="preserve">changes are </w:t>
      </w:r>
      <w:r w:rsidR="00B9534E">
        <w:t xml:space="preserve">proposed </w:t>
      </w:r>
      <w:r w:rsidR="002772ED">
        <w:t xml:space="preserve">for the FY </w:t>
      </w:r>
      <w:r w:rsidR="00E17F98">
        <w:t>202</w:t>
      </w:r>
      <w:r w:rsidR="00D40B9F">
        <w:t>3</w:t>
      </w:r>
      <w:r w:rsidR="002772ED">
        <w:t xml:space="preserve"> survey</w:t>
      </w:r>
      <w:r w:rsidR="000C75F4">
        <w:t>.</w:t>
      </w:r>
      <w:r w:rsidRPr="00E006D0" w:rsidR="00E006D0">
        <w:t xml:space="preserve"> </w:t>
      </w:r>
      <w:r w:rsidR="00E006D0">
        <w:t>The complete questionnaire can be found in Attachment B.</w:t>
      </w:r>
    </w:p>
    <w:p w:rsidR="005B6BCA" w14:paraId="37C7A0B1" w14:textId="77777777">
      <w:pPr>
        <w:pStyle w:val="P1-StandPara"/>
        <w:spacing w:line="360" w:lineRule="auto"/>
        <w:ind w:firstLine="720"/>
        <w:jc w:val="left"/>
      </w:pPr>
    </w:p>
    <w:p w:rsidR="00221D90" w:rsidP="00BE0BD1" w14:paraId="02EB9D2A" w14:textId="056C4618">
      <w:pPr>
        <w:pStyle w:val="Heading2"/>
      </w:pPr>
      <w:bookmarkStart w:id="4" w:name="_Toc129861808"/>
      <w:r>
        <w:t>A.2.</w:t>
      </w:r>
      <w:r>
        <w:tab/>
      </w:r>
      <w:r w:rsidR="00BE31EB">
        <w:t>Uses of this Information</w:t>
      </w:r>
      <w:bookmarkEnd w:id="4"/>
    </w:p>
    <w:p w:rsidR="00180D7E" w:rsidP="00456DD9" w14:paraId="23F910BA" w14:textId="26E14DB9">
      <w:pPr>
        <w:pStyle w:val="P1-StandPara"/>
        <w:spacing w:line="360" w:lineRule="auto"/>
        <w:ind w:firstLine="720"/>
        <w:jc w:val="left"/>
      </w:pPr>
      <w:r>
        <w:t xml:space="preserve">Data from this survey serve several audiences. </w:t>
      </w:r>
      <w:r w:rsidR="00FB6D2B">
        <w:t>At the national level</w:t>
      </w:r>
      <w:r w:rsidR="00CC22B1">
        <w:t>,</w:t>
      </w:r>
      <w:r w:rsidR="00FB6D2B">
        <w:t xml:space="preserve"> t</w:t>
      </w:r>
      <w:r>
        <w:t xml:space="preserve">he data provide Congress </w:t>
      </w:r>
      <w:r w:rsidR="004D6D12">
        <w:t xml:space="preserve">and federal agencies </w:t>
      </w:r>
      <w:r>
        <w:t>with a broad, quantitative picture of the inventory and condition of existing S&amp;E research space at research-performing academic institutions. The survey also provides data on the current and future capital expenditures for research facilities by universities</w:t>
      </w:r>
      <w:r w:rsidR="00763A76">
        <w:t xml:space="preserve"> and</w:t>
      </w:r>
      <w:r>
        <w:t xml:space="preserve"> colleges; sources of funding for research facilities at these institutions</w:t>
      </w:r>
      <w:r w:rsidR="00441192">
        <w:t xml:space="preserve"> </w:t>
      </w:r>
      <w:r w:rsidR="00441192">
        <w:t>and</w:t>
      </w:r>
      <w:r>
        <w:t>;</w:t>
      </w:r>
      <w:r>
        <w:t xml:space="preserve"> plans for future repair/renovation and new construction of science and engine</w:t>
      </w:r>
      <w:r w:rsidR="009A443D">
        <w:t>ering research facilities</w:t>
      </w:r>
      <w:r>
        <w:t xml:space="preserve">.  </w:t>
      </w:r>
      <w:r w:rsidR="000257E6">
        <w:t xml:space="preserve">Congress </w:t>
      </w:r>
      <w:r w:rsidR="00ED4338">
        <w:t>uses the</w:t>
      </w:r>
      <w:r w:rsidR="000257E6">
        <w:t xml:space="preserve"> F</w:t>
      </w:r>
      <w:r w:rsidR="004D6D12">
        <w:t xml:space="preserve">acilities </w:t>
      </w:r>
      <w:r w:rsidR="000257E6">
        <w:t xml:space="preserve">survey </w:t>
      </w:r>
      <w:r w:rsidR="004D6D12">
        <w:t xml:space="preserve">data to </w:t>
      </w:r>
      <w:r>
        <w:t xml:space="preserve">assist them in estimating </w:t>
      </w:r>
      <w:r w:rsidR="000257E6">
        <w:t xml:space="preserve">appropriations and programmatic decisions.  </w:t>
      </w:r>
    </w:p>
    <w:p w:rsidR="00221D90" w14:paraId="25037974" w14:textId="77777777">
      <w:pPr>
        <w:pStyle w:val="P1-StandPara"/>
        <w:spacing w:line="360" w:lineRule="auto"/>
        <w:jc w:val="left"/>
      </w:pPr>
    </w:p>
    <w:p w:rsidR="00221D90" w:rsidP="00763A76" w14:paraId="001633E6" w14:textId="395E743D">
      <w:pPr>
        <w:spacing w:line="360" w:lineRule="auto"/>
        <w:ind w:firstLine="720"/>
        <w:jc w:val="left"/>
      </w:pPr>
      <w:r>
        <w:t>At the state and local level</w:t>
      </w:r>
      <w:r>
        <w:t xml:space="preserve">, </w:t>
      </w:r>
      <w:r w:rsidR="00763A76">
        <w:t>s</w:t>
      </w:r>
      <w:r>
        <w:t xml:space="preserve">tate legislatures, </w:t>
      </w:r>
      <w:r w:rsidR="00763A76">
        <w:t>s</w:t>
      </w:r>
      <w:r>
        <w:t>tate agencies</w:t>
      </w:r>
      <w:r w:rsidR="00763A76">
        <w:t>,</w:t>
      </w:r>
      <w:r>
        <w:t xml:space="preserve"> and </w:t>
      </w:r>
      <w:r w:rsidR="00763A76">
        <w:t xml:space="preserve">individual </w:t>
      </w:r>
      <w:r>
        <w:t>universities and colleges use the data to</w:t>
      </w:r>
      <w:r w:rsidR="00002517">
        <w:t xml:space="preserve"> assist them in making budgetary</w:t>
      </w:r>
      <w:r>
        <w:t xml:space="preserve"> decisions and in planning future activities. Private sector architectural, engineering, and construction firms use the data for several purposes including forecasting the demand for their products and services.</w:t>
      </w:r>
      <w:r w:rsidR="00763A76">
        <w:t xml:space="preserve"> </w:t>
      </w:r>
      <w:r>
        <w:t xml:space="preserve">Finally, professional associations such as </w:t>
      </w:r>
      <w:r w:rsidR="007E1B10">
        <w:t xml:space="preserve">the Federation of American Societies for Experimental Biology </w:t>
      </w:r>
      <w:r>
        <w:t xml:space="preserve">use the data to assist them in assessing needs </w:t>
      </w:r>
      <w:r w:rsidR="00763A76">
        <w:t xml:space="preserve">related to </w:t>
      </w:r>
      <w:r>
        <w:t xml:space="preserve">their </w:t>
      </w:r>
      <w:r w:rsidR="00763A76">
        <w:t xml:space="preserve">associated </w:t>
      </w:r>
      <w:r>
        <w:t>fields of science.</w:t>
      </w:r>
    </w:p>
    <w:p w:rsidR="00221D90" w14:paraId="6ED1B912" w14:textId="3599CFE3">
      <w:pPr>
        <w:spacing w:line="360" w:lineRule="auto"/>
        <w:jc w:val="left"/>
      </w:pPr>
    </w:p>
    <w:p w:rsidR="00221D90" w:rsidRPr="009F7FD4" w:rsidP="00A8051C" w14:paraId="7EB5E26B" w14:textId="318FA286">
      <w:pPr>
        <w:spacing w:line="360" w:lineRule="auto"/>
        <w:jc w:val="left"/>
        <w:rPr>
          <w:szCs w:val="22"/>
        </w:rPr>
      </w:pPr>
      <w:r>
        <w:tab/>
        <w:t xml:space="preserve">NCSES also uses the data in its own survey specific publications as well as in the Academic R&amp;D thematic report of </w:t>
      </w:r>
      <w:r w:rsidRPr="0019531D">
        <w:rPr>
          <w:i/>
          <w:iCs/>
        </w:rPr>
        <w:t>Science and Engineering Indicators</w:t>
      </w:r>
      <w:r>
        <w:t xml:space="preserve"> produced for the National Science Board. </w:t>
      </w:r>
      <w:r w:rsidR="00FB4D8D">
        <w:t xml:space="preserve">Data are publicly available through an </w:t>
      </w:r>
      <w:r w:rsidR="00FB4D8D">
        <w:t>InfoBrief</w:t>
      </w:r>
      <w:r w:rsidR="00FB4D8D">
        <w:t xml:space="preserve"> and detailed statistical tables on the </w:t>
      </w:r>
      <w:r w:rsidR="004A699A">
        <w:t xml:space="preserve">NCSES </w:t>
      </w:r>
      <w:r w:rsidR="00FB4D8D">
        <w:t xml:space="preserve">website at </w:t>
      </w:r>
      <w:hyperlink r:id="rId11" w:history="1">
        <w:r w:rsidRPr="00EC3DA2" w:rsidR="00FB4D8D">
          <w:rPr>
            <w:rStyle w:val="Hyperlink"/>
          </w:rPr>
          <w:t>http://nsf.gov/statistics/srvyfacilities/</w:t>
        </w:r>
      </w:hyperlink>
      <w:r w:rsidR="00FB4D8D">
        <w:t xml:space="preserve">. Users can run custom data reports from the Facilities survey and other NCSES surveys through the </w:t>
      </w:r>
      <w:r>
        <w:t>Interactive Data Tool</w:t>
      </w:r>
      <w:r w:rsidRPr="009F7FD4" w:rsidR="00FB4D8D">
        <w:rPr>
          <w:szCs w:val="22"/>
        </w:rPr>
        <w:t xml:space="preserve"> at </w:t>
      </w:r>
      <w:hyperlink r:id="rId12" w:history="1">
        <w:r w:rsidRPr="00D47064">
          <w:rPr>
            <w:rStyle w:val="Hyperlink"/>
            <w:szCs w:val="22"/>
          </w:rPr>
          <w:t>https://ncsesdata.nsf.gov/home</w:t>
        </w:r>
      </w:hyperlink>
      <w:r w:rsidRPr="00A33C7C" w:rsidR="00241C98">
        <w:rPr>
          <w:color w:val="000000"/>
          <w:szCs w:val="22"/>
        </w:rPr>
        <w:t>.</w:t>
      </w:r>
      <w:r w:rsidRPr="009F7FD4" w:rsidR="00FB4D8D">
        <w:rPr>
          <w:szCs w:val="22"/>
        </w:rPr>
        <w:t xml:space="preserve">  </w:t>
      </w:r>
    </w:p>
    <w:p w:rsidR="00300E87" w14:paraId="22BC2CAB" w14:textId="77777777">
      <w:pPr>
        <w:pStyle w:val="P1-StandPara"/>
        <w:spacing w:line="360" w:lineRule="auto"/>
        <w:ind w:firstLine="720"/>
        <w:jc w:val="left"/>
      </w:pPr>
    </w:p>
    <w:p w:rsidR="00221D90" w:rsidP="00BE0BD1" w14:paraId="280A5119" w14:textId="52A8308F">
      <w:pPr>
        <w:pStyle w:val="Heading2"/>
      </w:pPr>
      <w:bookmarkStart w:id="5" w:name="_Toc129861809"/>
      <w:r>
        <w:t>A.3.</w:t>
      </w:r>
      <w:r>
        <w:tab/>
      </w:r>
      <w:r w:rsidRPr="00BE31EB" w:rsidR="00BE31EB">
        <w:t xml:space="preserve">Use of Automated, Electronic, Mechanical or Other Technological Techniques </w:t>
      </w:r>
      <w:bookmarkEnd w:id="5"/>
    </w:p>
    <w:p w:rsidR="00221D90" w14:paraId="2ED5EFAB" w14:textId="6F069D56">
      <w:pPr>
        <w:pStyle w:val="P1-StandPara"/>
        <w:spacing w:line="360" w:lineRule="auto"/>
        <w:ind w:firstLine="720"/>
        <w:jc w:val="left"/>
      </w:pPr>
      <w:r>
        <w:t xml:space="preserve">The survey is a mixed mode survey:  respondents have the option of completing a </w:t>
      </w:r>
      <w:r w:rsidR="005A55F4">
        <w:t>printable PDF version</w:t>
      </w:r>
      <w:r>
        <w:t xml:space="preserve"> or a </w:t>
      </w:r>
      <w:r w:rsidR="00CA031A">
        <w:t xml:space="preserve">web </w:t>
      </w:r>
      <w:r>
        <w:t xml:space="preserve">version. </w:t>
      </w:r>
      <w:r>
        <w:t>The large majority of</w:t>
      </w:r>
      <w:r>
        <w:t xml:space="preserve"> institutions (</w:t>
      </w:r>
      <w:r w:rsidR="000C0521">
        <w:t>99</w:t>
      </w:r>
      <w:r w:rsidR="000A2CEA">
        <w:t xml:space="preserve">% in FY </w:t>
      </w:r>
      <w:r w:rsidR="00E17F98">
        <w:t xml:space="preserve">2021 </w:t>
      </w:r>
      <w:r>
        <w:t>cycle) respond to the survey via the web.</w:t>
      </w:r>
    </w:p>
    <w:p w:rsidR="00221D90" w14:paraId="605846D0" w14:textId="77777777">
      <w:pPr>
        <w:pStyle w:val="P1-StandPara"/>
        <w:spacing w:line="360" w:lineRule="auto"/>
        <w:jc w:val="left"/>
      </w:pPr>
    </w:p>
    <w:p w:rsidR="00221D90" w14:paraId="35A195A5" w14:textId="7F33EAB0">
      <w:pPr>
        <w:pStyle w:val="P1-StandPara"/>
        <w:spacing w:line="360" w:lineRule="auto"/>
        <w:ind w:firstLine="720"/>
        <w:jc w:val="left"/>
      </w:pPr>
      <w:r>
        <w:t>The web version of the survey is a .NET application with a real-time monitoring system, which allows NCSES to monitor data, response status, and comments from respondents. The web version provides convenient functionality for the respondents through automated skip patterns and automatically calculated totals.</w:t>
      </w:r>
      <w:r>
        <w:t xml:space="preserve"> N</w:t>
      </w:r>
      <w:r w:rsidR="00FB6D2B">
        <w:t>CSES</w:t>
      </w:r>
      <w:r>
        <w:t xml:space="preserve"> also benefits from use of the web version by receiving improved data quality. Data quality is improved using several techniques such as </w:t>
      </w:r>
      <w:r w:rsidR="00230529">
        <w:t xml:space="preserve">data checks, </w:t>
      </w:r>
      <w:r>
        <w:t>skip pattern</w:t>
      </w:r>
      <w:r w:rsidR="00B97CD0">
        <w:t>s</w:t>
      </w:r>
      <w:r w:rsidR="00230529">
        <w:t>,</w:t>
      </w:r>
      <w:r>
        <w:t xml:space="preserve"> and consis</w:t>
      </w:r>
      <w:r w:rsidR="00230529">
        <w:t xml:space="preserve">tency checks. For example, data checks are used to calculate totals and inform respondents if </w:t>
      </w:r>
      <w:r w:rsidR="00CC22B1">
        <w:t xml:space="preserve">percentages </w:t>
      </w:r>
      <w:r w:rsidR="00230529">
        <w:t xml:space="preserve">do not add to 100. </w:t>
      </w:r>
      <w:bookmarkStart w:id="6" w:name="_Hlk135387815"/>
      <w:r w:rsidR="00B97CD0">
        <w:t xml:space="preserve">When there are inconsistencies, respondents will receive error messages notifying them of the problem and the actions they need to take to correct it.     </w:t>
      </w:r>
      <w:r>
        <w:t xml:space="preserve">  </w:t>
      </w:r>
      <w:bookmarkEnd w:id="6"/>
      <w:r>
        <w:t xml:space="preserve">   </w:t>
      </w:r>
    </w:p>
    <w:p w:rsidR="00221D90" w14:paraId="12F6ACFE" w14:textId="77777777">
      <w:pPr>
        <w:pStyle w:val="P1-StandPara"/>
        <w:spacing w:line="360" w:lineRule="auto"/>
        <w:jc w:val="left"/>
      </w:pPr>
    </w:p>
    <w:p w:rsidR="00221D90" w:rsidP="00BE0BD1" w14:paraId="1C573BC8" w14:textId="77777777">
      <w:pPr>
        <w:pStyle w:val="Heading2"/>
      </w:pPr>
      <w:bookmarkStart w:id="7" w:name="_Toc129861810"/>
      <w:r>
        <w:t>A.4.</w:t>
      </w:r>
      <w:r>
        <w:tab/>
        <w:t>Efforts to Identify Duplication</w:t>
      </w:r>
      <w:bookmarkEnd w:id="7"/>
    </w:p>
    <w:p w:rsidR="00221D90" w14:paraId="599D2146" w14:textId="1C90A55B">
      <w:pPr>
        <w:pStyle w:val="P1-StandPara"/>
        <w:spacing w:line="360" w:lineRule="auto"/>
        <w:ind w:firstLine="720"/>
        <w:jc w:val="left"/>
      </w:pPr>
      <w:r>
        <w:t>NCSES monitors the availability and release of higher education research facilities data through relevant sources published by individual university and university consortia (e.g.</w:t>
      </w:r>
      <w:r w:rsidRPr="008C1F90">
        <w:t>, North Carolina’s Facilities Inventory and Utilization Study),</w:t>
      </w:r>
      <w:r>
        <w:t xml:space="preserve"> nonprofit organizations (e.g., Tradeline, Inc.), and for-profit publications (e.g., Sightlines).</w:t>
      </w:r>
      <w:r w:rsidR="00B06C4E">
        <w:t xml:space="preserve"> While some sources provide data on </w:t>
      </w:r>
      <w:r w:rsidR="007050D9">
        <w:t xml:space="preserve">amount of </w:t>
      </w:r>
      <w:r w:rsidR="00B06C4E">
        <w:t>construction or costs o</w:t>
      </w:r>
      <w:r w:rsidR="007050D9">
        <w:t>f</w:t>
      </w:r>
      <w:r w:rsidR="00B06C4E">
        <w:t xml:space="preserve"> construction, no</w:t>
      </w:r>
      <w:r w:rsidR="00154C69">
        <w:t xml:space="preserve"> </w:t>
      </w:r>
      <w:r w:rsidR="007050D9">
        <w:t>organization provides data</w:t>
      </w:r>
      <w:r w:rsidR="00154C69">
        <w:t xml:space="preserve"> on </w:t>
      </w:r>
      <w:r w:rsidR="00CA031A">
        <w:t xml:space="preserve">higher education </w:t>
      </w:r>
      <w:r w:rsidR="00154C69">
        <w:t>research</w:t>
      </w:r>
      <w:r w:rsidR="00B06C4E">
        <w:t xml:space="preserve"> facilities</w:t>
      </w:r>
      <w:r w:rsidR="00154C69">
        <w:t>,</w:t>
      </w:r>
      <w:r w:rsidR="00B06C4E">
        <w:t xml:space="preserve"> individual</w:t>
      </w:r>
      <w:r w:rsidR="00154C69">
        <w:t xml:space="preserve"> fields of science</w:t>
      </w:r>
      <w:r w:rsidR="00B06C4E">
        <w:t>,</w:t>
      </w:r>
      <w:r w:rsidR="00154C69">
        <w:t xml:space="preserve"> or </w:t>
      </w:r>
      <w:r>
        <w:t xml:space="preserve">science and engineering </w:t>
      </w:r>
      <w:r w:rsidR="00154C69">
        <w:t>in the aggregate</w:t>
      </w:r>
      <w:r w:rsidR="00B06C4E">
        <w:t>. For example, a</w:t>
      </w:r>
      <w:r>
        <w:t xml:space="preserve">t the national level, data on the book value of higher education physical plant assets is collected periodically on the </w:t>
      </w:r>
      <w:r w:rsidR="00CC22B1">
        <w:t>National Center for Education Statistics</w:t>
      </w:r>
      <w:r w:rsidR="00563E2C">
        <w:t>’</w:t>
      </w:r>
      <w:r>
        <w:t xml:space="preserve"> Integrated Postsecondary Education Data System. However, these data are only collected in t</w:t>
      </w:r>
      <w:r w:rsidR="00FB6D2B">
        <w:t>he aggregate for an institution;</w:t>
      </w:r>
      <w:r>
        <w:t xml:space="preserve"> the data are not available for research space, and the data are not available by S&amp;E field.  The Facilities </w:t>
      </w:r>
      <w:r w:rsidR="0035565F">
        <w:t xml:space="preserve">survey </w:t>
      </w:r>
      <w:r>
        <w:t>is the only survey to collect data from research-performing higher education institutions on research space and fields of S&amp;E.  The data do not duplicate statistical data from any other sources.</w:t>
      </w:r>
    </w:p>
    <w:p w:rsidR="00FB6D2B" w14:paraId="6A22DF9A" w14:textId="2C2F53BF">
      <w:pPr>
        <w:pStyle w:val="P1-StandPara"/>
        <w:spacing w:line="360" w:lineRule="auto"/>
        <w:ind w:firstLine="720"/>
        <w:jc w:val="left"/>
      </w:pPr>
      <w:r>
        <w:t xml:space="preserve">  </w:t>
      </w:r>
    </w:p>
    <w:p w:rsidR="00221D90" w:rsidP="00BE0BD1" w14:paraId="4449FF96" w14:textId="73A2AC0F">
      <w:pPr>
        <w:pStyle w:val="Heading2"/>
      </w:pPr>
      <w:bookmarkStart w:id="8" w:name="_Toc129861811"/>
      <w:r>
        <w:t>A.5.</w:t>
      </w:r>
      <w:r>
        <w:tab/>
      </w:r>
      <w:r w:rsidR="00BE31EB">
        <w:t>Impact on Small Entities</w:t>
      </w:r>
      <w:bookmarkEnd w:id="8"/>
    </w:p>
    <w:p w:rsidR="00221D90" w14:paraId="65DEE3B3" w14:textId="77777777">
      <w:pPr>
        <w:pStyle w:val="P1-StandPara"/>
        <w:spacing w:line="360" w:lineRule="auto"/>
        <w:ind w:firstLine="720"/>
        <w:jc w:val="left"/>
      </w:pPr>
      <w:r>
        <w:t>Data are not collected from small business.</w:t>
      </w:r>
    </w:p>
    <w:p w:rsidR="00221D90" w14:paraId="32D22B6F" w14:textId="77777777">
      <w:pPr>
        <w:pStyle w:val="P1-StandPara"/>
        <w:spacing w:line="360" w:lineRule="auto"/>
        <w:jc w:val="left"/>
      </w:pPr>
    </w:p>
    <w:p w:rsidR="00221D90" w:rsidP="00BE0BD1" w14:paraId="43D92042" w14:textId="77777777">
      <w:pPr>
        <w:pStyle w:val="Heading2"/>
      </w:pPr>
      <w:bookmarkStart w:id="9" w:name="_Toc129861812"/>
      <w:r>
        <w:t>A.6.</w:t>
      </w:r>
      <w:r>
        <w:tab/>
        <w:t>Consequences of Less Frequent Data Collection</w:t>
      </w:r>
      <w:bookmarkEnd w:id="9"/>
    </w:p>
    <w:p w:rsidR="00221D90" w14:paraId="7BB76322" w14:textId="6288138B">
      <w:pPr>
        <w:pStyle w:val="P1-StandPara"/>
        <w:spacing w:line="360" w:lineRule="auto"/>
        <w:ind w:firstLine="720"/>
        <w:jc w:val="left"/>
      </w:pPr>
      <w:r>
        <w:t xml:space="preserve">The Congressional mandate requires that data collection occur every two years, which ensures that the data are current. This </w:t>
      </w:r>
      <w:r w:rsidR="008E4A09">
        <w:t xml:space="preserve">frequency </w:t>
      </w:r>
      <w:r>
        <w:t xml:space="preserve">also lessens burden when compared with an annual survey. Conducting the survey less frequently </w:t>
      </w:r>
      <w:r w:rsidR="00EC1E24">
        <w:t xml:space="preserve">could </w:t>
      </w:r>
      <w:r>
        <w:t xml:space="preserve">adversely affect the relevance of the data both for policymakers and </w:t>
      </w:r>
      <w:r w:rsidR="004B6193">
        <w:t xml:space="preserve">other data </w:t>
      </w:r>
      <w:r>
        <w:t xml:space="preserve">users. </w:t>
      </w:r>
      <w:r w:rsidR="004B6193">
        <w:t>NCSES</w:t>
      </w:r>
      <w:r w:rsidR="006A1334">
        <w:t xml:space="preserve"> has</w:t>
      </w:r>
      <w:r>
        <w:t xml:space="preserve"> consulted with numerous individual institutions </w:t>
      </w:r>
      <w:r w:rsidR="004B6193">
        <w:t xml:space="preserve">on the periodicity of data collection </w:t>
      </w:r>
      <w:r>
        <w:t>(see section A.8. on public comment and consultations outside the agency)</w:t>
      </w:r>
      <w:r w:rsidR="004B6193">
        <w:t xml:space="preserve">. These institutions believe that more frequent data collection would not benefit the data-user community due to the relatively slow processes of space management (construction, </w:t>
      </w:r>
      <w:r w:rsidR="004B6193">
        <w:t>repairs</w:t>
      </w:r>
      <w:r w:rsidR="004B6193">
        <w:t xml:space="preserve"> and renovations). It would only result in greater </w:t>
      </w:r>
      <w:r w:rsidR="0019578B">
        <w:t>burden on the institutions.</w:t>
      </w:r>
    </w:p>
    <w:p w:rsidR="00221D90" w14:paraId="4563036A" w14:textId="77777777">
      <w:pPr>
        <w:pStyle w:val="P1-StandPara"/>
        <w:spacing w:line="360" w:lineRule="auto"/>
        <w:jc w:val="left"/>
      </w:pPr>
    </w:p>
    <w:p w:rsidR="00221D90" w:rsidP="00BE0BD1" w14:paraId="0286E14A" w14:textId="77777777">
      <w:pPr>
        <w:pStyle w:val="Heading2"/>
      </w:pPr>
      <w:bookmarkStart w:id="10" w:name="_Toc129861813"/>
      <w:r>
        <w:t>A.7.</w:t>
      </w:r>
      <w:r>
        <w:tab/>
        <w:t>Special Circumstances</w:t>
      </w:r>
      <w:bookmarkEnd w:id="10"/>
    </w:p>
    <w:p w:rsidR="00221D90" w14:paraId="0B7D76F4" w14:textId="77777777">
      <w:pPr>
        <w:pStyle w:val="P1-StandPara"/>
        <w:spacing w:line="360" w:lineRule="auto"/>
        <w:ind w:firstLine="720"/>
        <w:jc w:val="left"/>
      </w:pPr>
      <w:r>
        <w:t>No special circumstances.</w:t>
      </w:r>
    </w:p>
    <w:p w:rsidR="00221D90" w14:paraId="6749226B" w14:textId="77777777">
      <w:pPr>
        <w:pStyle w:val="P1-StandPara"/>
        <w:spacing w:line="360" w:lineRule="auto"/>
        <w:jc w:val="left"/>
      </w:pPr>
    </w:p>
    <w:p w:rsidR="00221D90" w:rsidP="00BE0BD1" w14:paraId="7BBA410B" w14:textId="72D17D82">
      <w:pPr>
        <w:pStyle w:val="Heading2"/>
      </w:pPr>
      <w:bookmarkStart w:id="11" w:name="_Toc129861814"/>
      <w:r>
        <w:t>A.8.</w:t>
      </w:r>
      <w:r>
        <w:tab/>
        <w:t>Consultations Outside the Agency</w:t>
      </w:r>
      <w:bookmarkEnd w:id="11"/>
    </w:p>
    <w:p w:rsidR="00466795" w14:paraId="6389B209" w14:textId="1E46B883">
      <w:pPr>
        <w:pStyle w:val="P1-StandPara"/>
        <w:spacing w:line="360" w:lineRule="auto"/>
        <w:ind w:firstLine="720"/>
        <w:jc w:val="left"/>
      </w:pPr>
      <w:r w:rsidRPr="007D1D8E">
        <w:t xml:space="preserve">In preparation for the FY 2023 survey cycle, </w:t>
      </w:r>
      <w:r>
        <w:t xml:space="preserve">NCSES </w:t>
      </w:r>
      <w:r w:rsidRPr="007D1D8E">
        <w:t xml:space="preserve">conducted </w:t>
      </w:r>
      <w:r>
        <w:t xml:space="preserve">nine </w:t>
      </w:r>
      <w:r w:rsidR="008B225A">
        <w:t>online interviews</w:t>
      </w:r>
      <w:r>
        <w:t xml:space="preserve"> </w:t>
      </w:r>
      <w:r w:rsidRPr="007D1D8E">
        <w:t>with survey coordinators to explore ways in which space usage and reporting may have changed in recent years</w:t>
      </w:r>
      <w:r>
        <w:t xml:space="preserve"> and whether changes are attributable to the COVID-19 pandemic, which has substantially altered e</w:t>
      </w:r>
      <w:r w:rsidRPr="007D1D8E">
        <w:t>mployment and workspace dynamics.</w:t>
      </w:r>
      <w:r>
        <w:t xml:space="preserve"> The interviews corroborated results of similar interviews conducted prior to the FY 2021 survey on potential impacts of the pandemic. The interviews helped determine whether more extensive exploration was needed for</w:t>
      </w:r>
      <w:r w:rsidRPr="007D1D8E">
        <w:rPr>
          <w:color w:val="000000"/>
        </w:rPr>
        <w:t xml:space="preserve"> </w:t>
      </w:r>
      <w:r>
        <w:rPr>
          <w:color w:val="000000"/>
        </w:rPr>
        <w:t xml:space="preserve">potential </w:t>
      </w:r>
      <w:r w:rsidRPr="007D1D8E">
        <w:rPr>
          <w:color w:val="000000"/>
        </w:rPr>
        <w:t>survey instruction</w:t>
      </w:r>
      <w:r>
        <w:rPr>
          <w:color w:val="000000"/>
        </w:rPr>
        <w:t xml:space="preserve">al </w:t>
      </w:r>
      <w:r w:rsidRPr="007D1D8E">
        <w:rPr>
          <w:color w:val="000000"/>
        </w:rPr>
        <w:t xml:space="preserve">or question </w:t>
      </w:r>
      <w:r>
        <w:rPr>
          <w:color w:val="000000"/>
        </w:rPr>
        <w:t xml:space="preserve">changes </w:t>
      </w:r>
      <w:r w:rsidRPr="007D1D8E">
        <w:rPr>
          <w:color w:val="000000"/>
        </w:rPr>
        <w:t>to the FY 2023 survey instrument.</w:t>
      </w:r>
      <w:r>
        <w:t xml:space="preserve"> </w:t>
      </w:r>
    </w:p>
    <w:p w:rsidR="00466795" w14:paraId="6B111FEC" w14:textId="77777777">
      <w:pPr>
        <w:pStyle w:val="P1-StandPara"/>
        <w:spacing w:line="360" w:lineRule="auto"/>
        <w:ind w:firstLine="720"/>
        <w:jc w:val="left"/>
      </w:pPr>
    </w:p>
    <w:p w:rsidR="00A259C2" w14:paraId="5EFDEF79" w14:textId="74FF805E">
      <w:pPr>
        <w:pStyle w:val="P1-StandPara"/>
        <w:spacing w:line="360" w:lineRule="auto"/>
        <w:ind w:firstLine="720"/>
        <w:jc w:val="left"/>
      </w:pPr>
      <w:r>
        <w:t>R</w:t>
      </w:r>
      <w:r>
        <w:t xml:space="preserve">espondents reported little impact to </w:t>
      </w:r>
      <w:r w:rsidR="0002662A">
        <w:t xml:space="preserve">the total amount of </w:t>
      </w:r>
      <w:r>
        <w:t xml:space="preserve">research </w:t>
      </w:r>
      <w:r w:rsidR="00460773">
        <w:t xml:space="preserve">space </w:t>
      </w:r>
      <w:r w:rsidR="008B225A">
        <w:t>due</w:t>
      </w:r>
      <w:r>
        <w:t xml:space="preserve"> to the pandemic. </w:t>
      </w:r>
      <w:r>
        <w:t xml:space="preserve">Any noted changes were related to </w:t>
      </w:r>
      <w:r>
        <w:t xml:space="preserve">how the research space was used. For some, the use of the research space intensified, being used more often, while others noted that their research space was becoming more interdisciplinary. </w:t>
      </w:r>
      <w:r>
        <w:t xml:space="preserve">Similarly, </w:t>
      </w:r>
      <w:r w:rsidRPr="00413C87">
        <w:t>the amount of office research space was largely unaffected by the pandemic.</w:t>
      </w:r>
      <w:r>
        <w:t xml:space="preserve"> Changes in this area could have necessitated a change in guidelines. Consequently, no </w:t>
      </w:r>
      <w:r>
        <w:t xml:space="preserve">further investigations were </w:t>
      </w:r>
      <w:r w:rsidR="00345B3F">
        <w:t>needed,</w:t>
      </w:r>
      <w:r>
        <w:t xml:space="preserve"> and no changes were recommended for the FY 2023 survey instrument.  </w:t>
      </w:r>
    </w:p>
    <w:p w:rsidR="00345B3F" w14:paraId="158E6DC4" w14:textId="77777777">
      <w:pPr>
        <w:pStyle w:val="P1-StandPara"/>
        <w:spacing w:line="360" w:lineRule="auto"/>
        <w:ind w:firstLine="720"/>
        <w:jc w:val="left"/>
      </w:pPr>
    </w:p>
    <w:p w:rsidR="00F413CA" w:rsidRPr="00221D90" w14:paraId="1078306E" w14:textId="14E2F119">
      <w:pPr>
        <w:pStyle w:val="P1-StandPara"/>
        <w:spacing w:line="360" w:lineRule="auto"/>
        <w:ind w:firstLine="720"/>
        <w:jc w:val="left"/>
      </w:pPr>
      <w:r>
        <w:t xml:space="preserve">NCSES </w:t>
      </w:r>
      <w:r w:rsidR="00CC207B">
        <w:t xml:space="preserve">published </w:t>
      </w:r>
      <w:r>
        <w:t>a</w:t>
      </w:r>
      <w:r>
        <w:t xml:space="preserve"> 60-day Federal Register </w:t>
      </w:r>
      <w:r w:rsidRPr="002772ED">
        <w:t xml:space="preserve">Notice </w:t>
      </w:r>
      <w:r w:rsidRPr="002772ED" w:rsidR="000C37E3">
        <w:rPr>
          <w:szCs w:val="22"/>
        </w:rPr>
        <w:t>(</w:t>
      </w:r>
      <w:r w:rsidRPr="00BE0BD1" w:rsidR="00A8051C">
        <w:t>8</w:t>
      </w:r>
      <w:r w:rsidR="00A8051C">
        <w:t>8</w:t>
      </w:r>
      <w:r w:rsidRPr="00BE0BD1" w:rsidR="00A8051C">
        <w:t xml:space="preserve"> </w:t>
      </w:r>
      <w:r w:rsidRPr="00BE0BD1" w:rsidR="000C75F4">
        <w:t xml:space="preserve">FR </w:t>
      </w:r>
      <w:r w:rsidR="00A8051C">
        <w:t>15102</w:t>
      </w:r>
      <w:r w:rsidRPr="002772ED" w:rsidR="000C37E3">
        <w:rPr>
          <w:szCs w:val="22"/>
        </w:rPr>
        <w:t xml:space="preserve">) </w:t>
      </w:r>
      <w:r w:rsidRPr="002772ED">
        <w:t>on</w:t>
      </w:r>
      <w:r w:rsidRPr="002772ED">
        <w:t xml:space="preserve"> </w:t>
      </w:r>
      <w:r w:rsidRPr="00BE0BD1" w:rsidR="000C75F4">
        <w:t xml:space="preserve">March </w:t>
      </w:r>
      <w:r w:rsidRPr="00BE0BD1" w:rsidR="00A8051C">
        <w:t>1</w:t>
      </w:r>
      <w:r w:rsidR="00A8051C">
        <w:t>0</w:t>
      </w:r>
      <w:r w:rsidRPr="00BE0BD1">
        <w:t xml:space="preserve">, </w:t>
      </w:r>
      <w:r w:rsidRPr="00BE0BD1" w:rsidR="00A8051C">
        <w:t>20</w:t>
      </w:r>
      <w:r w:rsidR="00A8051C">
        <w:t>23</w:t>
      </w:r>
      <w:r w:rsidR="00A8051C">
        <w:t xml:space="preserve"> </w:t>
      </w:r>
      <w:r>
        <w:t xml:space="preserve">to solicit public feedback on the reinstatement and approval of data collection for the Facilities Survey </w:t>
      </w:r>
      <w:r w:rsidR="000C37E3">
        <w:rPr>
          <w:szCs w:val="22"/>
        </w:rPr>
        <w:t xml:space="preserve">(Attachment </w:t>
      </w:r>
      <w:r w:rsidR="00576FFE">
        <w:rPr>
          <w:szCs w:val="22"/>
        </w:rPr>
        <w:t>C</w:t>
      </w:r>
      <w:r w:rsidR="00DF1242">
        <w:rPr>
          <w:szCs w:val="22"/>
        </w:rPr>
        <w:t>)</w:t>
      </w:r>
      <w:r w:rsidR="000C37E3">
        <w:rPr>
          <w:szCs w:val="22"/>
        </w:rPr>
        <w:t xml:space="preserve">. </w:t>
      </w:r>
      <w:r w:rsidRPr="00A8051C" w:rsidR="000C37E3">
        <w:t>No comments were received</w:t>
      </w:r>
      <w:r w:rsidRPr="002F655C" w:rsidR="000C37E3">
        <w:t>.</w:t>
      </w:r>
      <w:r w:rsidR="000C37E3">
        <w:t xml:space="preserve"> </w:t>
      </w:r>
    </w:p>
    <w:p w:rsidR="00B35FDD" w:rsidP="00B35FDD" w14:paraId="65B09567" w14:textId="77777777">
      <w:pPr>
        <w:pStyle w:val="P1-StandPara"/>
        <w:spacing w:line="360" w:lineRule="auto"/>
        <w:ind w:left="1440" w:firstLine="0"/>
        <w:jc w:val="left"/>
      </w:pPr>
    </w:p>
    <w:p w:rsidR="00221D90" w:rsidP="00BE0BD1" w14:paraId="426083F5" w14:textId="77777777">
      <w:pPr>
        <w:pStyle w:val="Heading2"/>
      </w:pPr>
      <w:bookmarkStart w:id="12" w:name="_Toc129861815"/>
      <w:r>
        <w:t>A.9.</w:t>
      </w:r>
      <w:r>
        <w:tab/>
        <w:t>Payments or Gifts to Respondents</w:t>
      </w:r>
      <w:bookmarkEnd w:id="12"/>
    </w:p>
    <w:p w:rsidR="00221D90" w14:paraId="0BB32B4B" w14:textId="77777777">
      <w:pPr>
        <w:pStyle w:val="P1-StandPara"/>
        <w:spacing w:line="360" w:lineRule="auto"/>
        <w:ind w:firstLine="720"/>
        <w:jc w:val="left"/>
      </w:pPr>
      <w:r>
        <w:t>Respondents will not be paid or receive gifts.</w:t>
      </w:r>
    </w:p>
    <w:p w:rsidR="00221D90" w14:paraId="73909530" w14:textId="77777777">
      <w:pPr>
        <w:pStyle w:val="P1-StandPara"/>
        <w:spacing w:line="360" w:lineRule="auto"/>
        <w:jc w:val="left"/>
      </w:pPr>
    </w:p>
    <w:p w:rsidR="00221D90" w:rsidP="00BE0BD1" w14:paraId="0CB85471" w14:textId="77777777">
      <w:pPr>
        <w:pStyle w:val="Heading2"/>
      </w:pPr>
      <w:bookmarkStart w:id="13" w:name="_Toc129861816"/>
      <w:r>
        <w:t>A.10.</w:t>
      </w:r>
      <w:r>
        <w:tab/>
        <w:t>Assurance of Confidentiality</w:t>
      </w:r>
      <w:bookmarkEnd w:id="13"/>
    </w:p>
    <w:p w:rsidR="005D0E18" w:rsidP="001F04EA" w14:paraId="6D67BD47" w14:textId="5BB99C64">
      <w:pPr>
        <w:pStyle w:val="P1-StandPara"/>
        <w:ind w:firstLine="720"/>
      </w:pPr>
      <w:r>
        <w:t>Data on individuals are not collected. Based on the idea that the data should be available to all interested parties and that making the in</w:t>
      </w:r>
      <w:r w:rsidR="004A3403">
        <w:t>stitutional</w:t>
      </w:r>
      <w:r>
        <w:t xml:space="preserve"> level data more accessible will provide institutions with a reason to respond to the survey, </w:t>
      </w:r>
      <w:r w:rsidR="00C26E20">
        <w:t>NCSES</w:t>
      </w:r>
      <w:r>
        <w:t xml:space="preserve"> </w:t>
      </w:r>
      <w:r>
        <w:t xml:space="preserve">makes </w:t>
      </w:r>
      <w:r>
        <w:t xml:space="preserve">the data publicly available </w:t>
      </w:r>
      <w:r w:rsidR="002E6F20">
        <w:t xml:space="preserve">at </w:t>
      </w:r>
      <w:r w:rsidR="001F04EA">
        <w:t>the institution level</w:t>
      </w:r>
      <w:r>
        <w:t xml:space="preserve"> with a few key exceptions (see section A.11 on sensitive questions)</w:t>
      </w:r>
      <w:r>
        <w:t>.</w:t>
      </w:r>
      <w:r>
        <w:t xml:space="preserve"> Institutions </w:t>
      </w:r>
      <w:r w:rsidR="005578F7">
        <w:t>a</w:t>
      </w:r>
      <w:r>
        <w:t>re cl</w:t>
      </w:r>
      <w:r w:rsidR="005578F7">
        <w:t xml:space="preserve">early informed of </w:t>
      </w:r>
      <w:r w:rsidR="00C26E20">
        <w:t>NCSES</w:t>
      </w:r>
      <w:r w:rsidR="001D5249">
        <w:t>’s</w:t>
      </w:r>
      <w:r w:rsidR="0057751C">
        <w:t xml:space="preserve"> </w:t>
      </w:r>
      <w:r w:rsidR="001D5249">
        <w:t>confidential</w:t>
      </w:r>
      <w:r w:rsidR="0054044F">
        <w:t>ity</w:t>
      </w:r>
      <w:r>
        <w:t xml:space="preserve"> policy</w:t>
      </w:r>
      <w:r w:rsidR="005578F7">
        <w:t xml:space="preserve"> </w:t>
      </w:r>
      <w:r w:rsidR="0057751C">
        <w:t xml:space="preserve">at the front of the survey </w:t>
      </w:r>
      <w:r w:rsidR="005578F7">
        <w:t xml:space="preserve">and the </w:t>
      </w:r>
      <w:r w:rsidR="001D5249">
        <w:t>confidentiality</w:t>
      </w:r>
      <w:r w:rsidR="0057751C">
        <w:t xml:space="preserve"> of specific questions</w:t>
      </w:r>
      <w:r w:rsidR="0054044F">
        <w:t>.</w:t>
      </w:r>
      <w:r w:rsidR="005578F7">
        <w:t xml:space="preserve"> </w:t>
      </w:r>
      <w:r>
        <w:t xml:space="preserve">Institutions </w:t>
      </w:r>
      <w:r w:rsidR="00384283">
        <w:t>are</w:t>
      </w:r>
      <w:r>
        <w:t xml:space="preserve"> informed of the plans for public release of institution-</w:t>
      </w:r>
      <w:r w:rsidR="00384283">
        <w:t>level data before they complete</w:t>
      </w:r>
      <w:r>
        <w:t xml:space="preserve"> the survey. This information </w:t>
      </w:r>
      <w:r w:rsidR="00384283">
        <w:t>is</w:t>
      </w:r>
      <w:r>
        <w:t xml:space="preserve"> included in the questionnaire. In addition, institutions </w:t>
      </w:r>
      <w:r w:rsidR="00384283">
        <w:t>are</w:t>
      </w:r>
      <w:r>
        <w:t xml:space="preserve"> informed that the survey </w:t>
      </w:r>
      <w:r w:rsidR="00384283">
        <w:t>is</w:t>
      </w:r>
      <w:r>
        <w:t xml:space="preserve"> </w:t>
      </w:r>
      <w:r>
        <w:t>voluntary</w:t>
      </w:r>
      <w:r>
        <w:t xml:space="preserve"> and they c</w:t>
      </w:r>
      <w:r w:rsidR="00384283">
        <w:t>an</w:t>
      </w:r>
      <w:r>
        <w:t xml:space="preserve"> decline to answer any or all questions. </w:t>
      </w:r>
    </w:p>
    <w:p w:rsidR="00221D90" w14:paraId="20F0E790" w14:textId="32FD8124">
      <w:pPr>
        <w:pStyle w:val="P1-StandPara"/>
        <w:spacing w:line="360" w:lineRule="auto"/>
        <w:ind w:firstLine="720"/>
        <w:jc w:val="left"/>
      </w:pPr>
      <w:r>
        <w:t xml:space="preserve"> </w:t>
      </w:r>
    </w:p>
    <w:p w:rsidR="00221D90" w:rsidP="00BE0BD1" w14:paraId="206003F5" w14:textId="72511B48">
      <w:pPr>
        <w:pStyle w:val="Heading2"/>
        <w:rPr>
          <w:lang w:val="fr-FR"/>
        </w:rPr>
      </w:pPr>
      <w:bookmarkStart w:id="14" w:name="_Toc129861817"/>
      <w:r>
        <w:rPr>
          <w:lang w:val="fr-FR"/>
        </w:rPr>
        <w:t>A.11.</w:t>
      </w:r>
      <w:r>
        <w:rPr>
          <w:lang w:val="fr-FR"/>
        </w:rPr>
        <w:tab/>
      </w:r>
      <w:r w:rsidR="00BE31EB">
        <w:rPr>
          <w:lang w:val="fr-FR"/>
        </w:rPr>
        <w:t xml:space="preserve">Justification for </w:t>
      </w:r>
      <w:r w:rsidR="00BE31EB">
        <w:rPr>
          <w:lang w:val="fr-FR"/>
        </w:rPr>
        <w:t>Asking</w:t>
      </w:r>
      <w:r w:rsidR="00BE31EB">
        <w:rPr>
          <w:lang w:val="fr-FR"/>
        </w:rPr>
        <w:t xml:space="preserve"> </w:t>
      </w:r>
      <w:r>
        <w:rPr>
          <w:lang w:val="fr-FR"/>
        </w:rPr>
        <w:t>Sensitive Questions</w:t>
      </w:r>
      <w:bookmarkEnd w:id="14"/>
    </w:p>
    <w:p w:rsidR="00A808A4" w14:paraId="1E84A0E1" w14:textId="16DEB1C9">
      <w:pPr>
        <w:pStyle w:val="P1-StandPara"/>
        <w:spacing w:line="360" w:lineRule="auto"/>
        <w:ind w:firstLine="720"/>
        <w:jc w:val="left"/>
      </w:pPr>
      <w:r>
        <w:t xml:space="preserve">While </w:t>
      </w:r>
      <w:r w:rsidR="00C26E20">
        <w:t>NCSES</w:t>
      </w:r>
      <w:r>
        <w:t xml:space="preserve"> decided to make </w:t>
      </w:r>
      <w:r w:rsidR="00911102">
        <w:t>the</w:t>
      </w:r>
      <w:r w:rsidR="003B32C9">
        <w:t xml:space="preserve"> large</w:t>
      </w:r>
      <w:r w:rsidR="00911102">
        <w:t xml:space="preserve"> majority</w:t>
      </w:r>
      <w:r>
        <w:t xml:space="preserve"> of</w:t>
      </w:r>
      <w:r>
        <w:t xml:space="preserve"> the survey data publicly available, </w:t>
      </w:r>
      <w:r w:rsidR="000A7B2B">
        <w:t xml:space="preserve">three </w:t>
      </w:r>
      <w:r>
        <w:t xml:space="preserve">survey items </w:t>
      </w:r>
      <w:r w:rsidR="006A526D">
        <w:t xml:space="preserve">are deemed </w:t>
      </w:r>
      <w:r>
        <w:t xml:space="preserve">particularly sensitive. The </w:t>
      </w:r>
      <w:r w:rsidR="000A7B2B">
        <w:t xml:space="preserve">public </w:t>
      </w:r>
      <w:r>
        <w:t xml:space="preserve">release of data on those questions could make institutions less inclined to respond to the survey. </w:t>
      </w:r>
      <w:r w:rsidR="00BB4078">
        <w:t>D</w:t>
      </w:r>
      <w:r>
        <w:t xml:space="preserve">uring pretests of the </w:t>
      </w:r>
      <w:r w:rsidR="006A526D">
        <w:t xml:space="preserve">2001 survey </w:t>
      </w:r>
      <w:r>
        <w:t>redesign</w:t>
      </w:r>
      <w:r w:rsidR="006A526D">
        <w:t>,</w:t>
      </w:r>
      <w:r>
        <w:t xml:space="preserve"> respondents expressed concern about the confidentiality of </w:t>
      </w:r>
      <w:r w:rsidR="009B140B">
        <w:t>the</w:t>
      </w:r>
      <w:r>
        <w:t xml:space="preserve"> following survey items: condition of research space (question </w:t>
      </w:r>
      <w:r w:rsidR="00C2190A">
        <w:t>7</w:t>
      </w:r>
      <w:r>
        <w:t>)</w:t>
      </w:r>
      <w:r w:rsidR="00DF356A">
        <w:t>,</w:t>
      </w:r>
      <w:r>
        <w:t xml:space="preserve"> and </w:t>
      </w:r>
      <w:r w:rsidR="003B32C9">
        <w:t xml:space="preserve">the </w:t>
      </w:r>
      <w:r w:rsidR="00DF356A">
        <w:t xml:space="preserve">presence and </w:t>
      </w:r>
      <w:r>
        <w:t>amount of research animal space (</w:t>
      </w:r>
      <w:r w:rsidR="003B32C9">
        <w:t>question</w:t>
      </w:r>
      <w:r w:rsidR="00BE526C">
        <w:t>s</w:t>
      </w:r>
      <w:r w:rsidR="003B32C9">
        <w:t xml:space="preserve"> </w:t>
      </w:r>
      <w:r w:rsidR="00DF356A">
        <w:t xml:space="preserve">1i, </w:t>
      </w:r>
      <w:r w:rsidR="003B32C9">
        <w:t>3</w:t>
      </w:r>
      <w:r w:rsidR="00DF356A">
        <w:t>,</w:t>
      </w:r>
      <w:r w:rsidR="003B32C9">
        <w:t xml:space="preserve"> and </w:t>
      </w:r>
      <w:r w:rsidR="009F7FD4">
        <w:t>10</w:t>
      </w:r>
      <w:r w:rsidR="003B32C9">
        <w:t>f</w:t>
      </w:r>
      <w:r>
        <w:t xml:space="preserve">). </w:t>
      </w:r>
      <w:r w:rsidR="002330A3">
        <w:t xml:space="preserve">Publicly reporting the condition of research space might motivate institutions to overstate their facilities’ condition </w:t>
      </w:r>
      <w:r w:rsidR="002330A3">
        <w:t>as a way to</w:t>
      </w:r>
      <w:r w:rsidR="002330A3">
        <w:t xml:space="preserve"> recruit researchers or gain research funding. Animal research space has always been sensitive due to public concerns </w:t>
      </w:r>
      <w:r w:rsidR="00541F36">
        <w:t>about</w:t>
      </w:r>
      <w:r w:rsidR="002330A3">
        <w:t xml:space="preserve"> </w:t>
      </w:r>
      <w:r w:rsidR="00541F36">
        <w:t xml:space="preserve">the use and </w:t>
      </w:r>
      <w:r w:rsidR="002330A3">
        <w:t>treatment</w:t>
      </w:r>
      <w:r w:rsidR="00541F36">
        <w:t xml:space="preserve"> of research animals</w:t>
      </w:r>
      <w:r w:rsidR="002330A3">
        <w:t xml:space="preserve">. </w:t>
      </w:r>
      <w:r w:rsidR="00CC207B">
        <w:t>Based on the 2001 pretest and the 2014</w:t>
      </w:r>
      <w:r w:rsidR="00DF356A">
        <w:t>–</w:t>
      </w:r>
      <w:r w:rsidR="00CC207B">
        <w:t xml:space="preserve">15 interviews, NCSES believes these data points might not be </w:t>
      </w:r>
      <w:r w:rsidR="00541F36">
        <w:t>able to collect quality data</w:t>
      </w:r>
      <w:r w:rsidR="00CC207B">
        <w:t xml:space="preserve">, if at all, if they were published on the institutional level. Therefore, data on these fields are only published at the national level. </w:t>
      </w:r>
    </w:p>
    <w:p w:rsidR="00580378" w:rsidP="00E005C8" w14:paraId="56341FF6" w14:textId="6D73431C">
      <w:pPr>
        <w:pStyle w:val="P1-StandPara"/>
        <w:spacing w:line="360" w:lineRule="auto"/>
        <w:ind w:firstLine="0"/>
        <w:jc w:val="left"/>
      </w:pPr>
      <w:r>
        <w:tab/>
      </w:r>
    </w:p>
    <w:p w:rsidR="00221D90" w:rsidP="00BE0BD1" w14:paraId="28BB00BA" w14:textId="6793B89F">
      <w:pPr>
        <w:pStyle w:val="Heading2"/>
      </w:pPr>
      <w:bookmarkStart w:id="15" w:name="_Toc129861818"/>
      <w:r>
        <w:t>A.12.</w:t>
      </w:r>
      <w:r>
        <w:tab/>
        <w:t>Burden</w:t>
      </w:r>
      <w:r w:rsidR="00BE31EB">
        <w:t xml:space="preserve"> Estimate</w:t>
      </w:r>
      <w:bookmarkEnd w:id="15"/>
    </w:p>
    <w:p w:rsidR="00221D90" w14:paraId="2917A9AD" w14:textId="77777777">
      <w:pPr>
        <w:pStyle w:val="Heading9"/>
        <w:rPr>
          <w:i/>
          <w:iCs/>
        </w:rPr>
      </w:pPr>
      <w:r>
        <w:rPr>
          <w:i/>
          <w:iCs/>
        </w:rPr>
        <w:t>Burden hours</w:t>
      </w:r>
    </w:p>
    <w:p w:rsidR="00221D90" w14:paraId="0BD51DFA" w14:textId="77777777">
      <w:pPr>
        <w:spacing w:line="360" w:lineRule="auto"/>
        <w:ind w:firstLine="720"/>
        <w:jc w:val="left"/>
      </w:pPr>
    </w:p>
    <w:p w:rsidR="00221D90" w14:paraId="09EBC848" w14:textId="1F8A58E2">
      <w:pPr>
        <w:spacing w:line="360" w:lineRule="auto"/>
        <w:ind w:firstLine="720"/>
        <w:jc w:val="left"/>
      </w:pPr>
      <w:r>
        <w:t xml:space="preserve">The Facilities survey is a biennial </w:t>
      </w:r>
      <w:r w:rsidR="00541F36">
        <w:t xml:space="preserve">census </w:t>
      </w:r>
      <w:r>
        <w:t xml:space="preserve">of approximately </w:t>
      </w:r>
      <w:r w:rsidR="00384BFB">
        <w:t>600</w:t>
      </w:r>
      <w:r w:rsidR="00152AF8">
        <w:t xml:space="preserve"> </w:t>
      </w:r>
      <w:r w:rsidR="00580378">
        <w:t>academic institutions</w:t>
      </w:r>
      <w:r>
        <w:t xml:space="preserve">. </w:t>
      </w:r>
      <w:r w:rsidR="005673A9">
        <w:t>T</w:t>
      </w:r>
      <w:r>
        <w:t xml:space="preserve">he burden for any </w:t>
      </w:r>
      <w:r>
        <w:t>particular institution</w:t>
      </w:r>
      <w:r>
        <w:t xml:space="preserve"> will be affected by two major factors</w:t>
      </w:r>
      <w:r w:rsidR="00384BFB">
        <w:t xml:space="preserve">: </w:t>
      </w:r>
      <w:r>
        <w:t xml:space="preserve">the size of the institution (in terms of number of S&amp;E departments and/or the number and size of research facilities) and the status of the institution's central records system. </w:t>
      </w:r>
      <w:r w:rsidR="00541F36">
        <w:t xml:space="preserve">Record-keeping research </w:t>
      </w:r>
      <w:r>
        <w:t>showed that many institutions</w:t>
      </w:r>
      <w:r w:rsidR="00911102">
        <w:t>, as part of their compliance</w:t>
      </w:r>
      <w:r>
        <w:t xml:space="preserve"> with OMB Circular A-21</w:t>
      </w:r>
      <w:r w:rsidR="00CC41BA">
        <w:t xml:space="preserve"> and </w:t>
      </w:r>
      <w:r w:rsidR="00422D48">
        <w:t>2 CFR 220</w:t>
      </w:r>
      <w:r w:rsidR="00911102">
        <w:t>,</w:t>
      </w:r>
      <w:r>
        <w:t xml:space="preserve"> have created centralized da</w:t>
      </w:r>
      <w:r w:rsidR="000C352F">
        <w:t>tabases, including a measure</w:t>
      </w:r>
      <w:r>
        <w:t xml:space="preserve"> of space devoted to research.</w:t>
      </w:r>
    </w:p>
    <w:p w:rsidR="00221D90" w14:paraId="356F1812" w14:textId="77777777">
      <w:pPr>
        <w:spacing w:line="360" w:lineRule="auto"/>
        <w:ind w:firstLine="720"/>
        <w:jc w:val="left"/>
      </w:pPr>
    </w:p>
    <w:p w:rsidR="00221D90" w:rsidP="00216021" w14:paraId="01FB40EF" w14:textId="3D99AFD8">
      <w:pPr>
        <w:spacing w:line="360" w:lineRule="auto"/>
        <w:ind w:firstLine="720"/>
        <w:jc w:val="left"/>
      </w:pPr>
      <w:r>
        <w:t xml:space="preserve">Because of these factors, the completion time varies </w:t>
      </w:r>
      <w:r w:rsidR="007D2ACA">
        <w:t xml:space="preserve">between </w:t>
      </w:r>
      <w:r>
        <w:t xml:space="preserve">institutions. </w:t>
      </w:r>
      <w:r w:rsidR="00384BFB">
        <w:t xml:space="preserve">A question on survey completion time was added to the FY 2013 questionnaire. </w:t>
      </w:r>
      <w:r w:rsidR="005A0838">
        <w:t>T</w:t>
      </w:r>
      <w:r>
        <w:t xml:space="preserve">he </w:t>
      </w:r>
      <w:r w:rsidR="001068C0">
        <w:t xml:space="preserve">average </w:t>
      </w:r>
      <w:r>
        <w:t xml:space="preserve">time to complete the research space </w:t>
      </w:r>
      <w:r w:rsidR="00384BFB">
        <w:t>questionnaire</w:t>
      </w:r>
      <w:r w:rsidR="00F108D7">
        <w:t xml:space="preserve"> </w:t>
      </w:r>
      <w:r w:rsidR="001068C0">
        <w:t>was</w:t>
      </w:r>
      <w:r>
        <w:t xml:space="preserve"> </w:t>
      </w:r>
      <w:r w:rsidR="000077FE">
        <w:t xml:space="preserve">19 </w:t>
      </w:r>
      <w:r w:rsidR="005A0838">
        <w:t>h</w:t>
      </w:r>
      <w:r>
        <w:t xml:space="preserve">ours. </w:t>
      </w:r>
      <w:r w:rsidR="001068C0">
        <w:t xml:space="preserve">The survey typically has </w:t>
      </w:r>
      <w:r>
        <w:t xml:space="preserve">a </w:t>
      </w:r>
      <w:r w:rsidR="00E44AE2">
        <w:t>97</w:t>
      </w:r>
      <w:r>
        <w:t>% response rate</w:t>
      </w:r>
      <w:r w:rsidR="00D30881">
        <w:t xml:space="preserve"> (based on the FY </w:t>
      </w:r>
      <w:r w:rsidR="00F503A2">
        <w:t xml:space="preserve">2019 </w:t>
      </w:r>
      <w:r w:rsidRPr="00DF356A" w:rsidR="00DF356A">
        <w:t>–</w:t>
      </w:r>
      <w:r w:rsidR="00152AF8">
        <w:t xml:space="preserve"> </w:t>
      </w:r>
      <w:r w:rsidR="00F503A2">
        <w:t xml:space="preserve">2021 </w:t>
      </w:r>
      <w:r w:rsidR="00D30881">
        <w:t>response rate</w:t>
      </w:r>
      <w:r w:rsidR="00152AF8">
        <w:t>s</w:t>
      </w:r>
      <w:r w:rsidR="00D30881">
        <w:t>)</w:t>
      </w:r>
      <w:r w:rsidR="001068C0">
        <w:t xml:space="preserve">. The </w:t>
      </w:r>
      <w:r>
        <w:t xml:space="preserve">estimated </w:t>
      </w:r>
      <w:r w:rsidR="005A0838">
        <w:t xml:space="preserve">total </w:t>
      </w:r>
      <w:r>
        <w:t xml:space="preserve">burden </w:t>
      </w:r>
      <w:r w:rsidR="001068C0">
        <w:t>for FY 20</w:t>
      </w:r>
      <w:r w:rsidR="00F503A2">
        <w:t>23</w:t>
      </w:r>
      <w:r w:rsidR="001068C0">
        <w:t xml:space="preserve"> is </w:t>
      </w:r>
      <w:r w:rsidR="000077FE">
        <w:t>11,</w:t>
      </w:r>
      <w:r w:rsidR="001068C0">
        <w:t xml:space="preserve">400 </w:t>
      </w:r>
      <w:r>
        <w:t>hours</w:t>
      </w:r>
      <w:r w:rsidR="001068C0">
        <w:t xml:space="preserve">, with </w:t>
      </w:r>
      <w:r>
        <w:t xml:space="preserve">a similar burden </w:t>
      </w:r>
      <w:r w:rsidR="00902384">
        <w:t xml:space="preserve">estimated for </w:t>
      </w:r>
      <w:r>
        <w:t xml:space="preserve">FY </w:t>
      </w:r>
      <w:r w:rsidR="00E17F98">
        <w:t>202</w:t>
      </w:r>
      <w:r w:rsidR="00F503A2">
        <w:t>5</w:t>
      </w:r>
      <w:r>
        <w:t xml:space="preserve"> </w:t>
      </w:r>
      <w:r w:rsidR="00920005">
        <w:t>(</w:t>
      </w:r>
      <w:r w:rsidR="002C4905">
        <w:t xml:space="preserve">600 </w:t>
      </w:r>
      <w:r w:rsidR="00911102">
        <w:t>i</w:t>
      </w:r>
      <w:r w:rsidR="00BE526C">
        <w:t xml:space="preserve">nstitutions x </w:t>
      </w:r>
      <w:r w:rsidR="000077FE">
        <w:t xml:space="preserve">19 </w:t>
      </w:r>
      <w:r w:rsidR="00BE526C">
        <w:t>h</w:t>
      </w:r>
      <w:r>
        <w:t xml:space="preserve">ours </w:t>
      </w:r>
      <w:r w:rsidR="002C4905">
        <w:t xml:space="preserve">x 2 data collection cycles </w:t>
      </w:r>
      <w:r>
        <w:t xml:space="preserve">= </w:t>
      </w:r>
      <w:r w:rsidR="000077FE">
        <w:t>22,</w:t>
      </w:r>
      <w:r w:rsidR="001068C0">
        <w:t xml:space="preserve">800 </w:t>
      </w:r>
      <w:r w:rsidR="005B02BB">
        <w:t>total burden hours over the total clearance period.</w:t>
      </w:r>
      <w:r w:rsidR="00920005">
        <w:t>).</w:t>
      </w:r>
    </w:p>
    <w:p w:rsidR="005A5705" w:rsidP="00216021" w14:paraId="6856A8BE" w14:textId="55036CD1">
      <w:pPr>
        <w:spacing w:line="360" w:lineRule="auto"/>
        <w:ind w:firstLine="720"/>
        <w:jc w:val="left"/>
      </w:pPr>
    </w:p>
    <w:p w:rsidR="00FB26FC" w:rsidP="006932F4" w14:paraId="7F726CEE" w14:textId="042B1E74">
      <w:pPr>
        <w:spacing w:line="360" w:lineRule="auto"/>
        <w:jc w:val="left"/>
      </w:pPr>
      <w:r>
        <w:t>The table below summarizes the average annual respondent burden anticipated for each survey cycle.</w:t>
      </w:r>
    </w:p>
    <w:tbl>
      <w:tblPr>
        <w:tblW w:w="8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5"/>
        <w:gridCol w:w="1260"/>
        <w:gridCol w:w="1530"/>
        <w:gridCol w:w="1440"/>
        <w:gridCol w:w="1440"/>
        <w:gridCol w:w="1350"/>
      </w:tblGrid>
      <w:tr w14:paraId="714F72A9" w14:textId="77777777" w:rsidTr="0098404C">
        <w:tblPrEx>
          <w:tblW w:w="8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trPr>
        <w:tc>
          <w:tcPr>
            <w:tcW w:w="985" w:type="dxa"/>
            <w:shd w:val="clear" w:color="auto" w:fill="auto"/>
            <w:noWrap/>
            <w:vAlign w:val="bottom"/>
            <w:hideMark/>
          </w:tcPr>
          <w:p w:rsidR="00FB26FC" w:rsidRPr="0098404C" w:rsidP="00C06D3C" w14:paraId="2196AB3A" w14:textId="77777777">
            <w:pPr>
              <w:jc w:val="center"/>
              <w:rPr>
                <w:bCs/>
                <w:color w:val="000000"/>
                <w:szCs w:val="22"/>
              </w:rPr>
            </w:pPr>
            <w:r w:rsidRPr="0098404C">
              <w:rPr>
                <w:bCs/>
                <w:color w:val="000000"/>
                <w:szCs w:val="22"/>
              </w:rPr>
              <w:t>Year</w:t>
            </w:r>
          </w:p>
        </w:tc>
        <w:tc>
          <w:tcPr>
            <w:tcW w:w="1260" w:type="dxa"/>
            <w:shd w:val="clear" w:color="auto" w:fill="auto"/>
            <w:vAlign w:val="bottom"/>
            <w:hideMark/>
          </w:tcPr>
          <w:p w:rsidR="00FB26FC" w:rsidRPr="0098404C" w:rsidP="00C06D3C" w14:paraId="507DF5B1" w14:textId="77777777">
            <w:pPr>
              <w:ind w:right="-101" w:hanging="110"/>
              <w:jc w:val="center"/>
              <w:rPr>
                <w:bCs/>
                <w:color w:val="000000"/>
                <w:szCs w:val="22"/>
              </w:rPr>
            </w:pPr>
            <w:r w:rsidRPr="0098404C">
              <w:rPr>
                <w:bCs/>
                <w:color w:val="000000"/>
                <w:szCs w:val="22"/>
              </w:rPr>
              <w:t xml:space="preserve">Respondents </w:t>
            </w:r>
          </w:p>
        </w:tc>
        <w:tc>
          <w:tcPr>
            <w:tcW w:w="1530" w:type="dxa"/>
            <w:shd w:val="clear" w:color="auto" w:fill="auto"/>
            <w:vAlign w:val="bottom"/>
            <w:hideMark/>
          </w:tcPr>
          <w:p w:rsidR="00FB26FC" w:rsidRPr="0098404C" w:rsidP="00C06D3C" w14:paraId="0B47741A" w14:textId="77777777">
            <w:pPr>
              <w:ind w:left="-110" w:right="-114" w:firstLine="8"/>
              <w:jc w:val="center"/>
              <w:rPr>
                <w:bCs/>
                <w:color w:val="000000"/>
                <w:szCs w:val="22"/>
              </w:rPr>
            </w:pPr>
            <w:r w:rsidRPr="0098404C">
              <w:rPr>
                <w:bCs/>
                <w:color w:val="000000"/>
                <w:szCs w:val="22"/>
              </w:rPr>
              <w:t>Average   Response Time</w:t>
            </w:r>
          </w:p>
        </w:tc>
        <w:tc>
          <w:tcPr>
            <w:tcW w:w="1440" w:type="dxa"/>
            <w:shd w:val="clear" w:color="auto" w:fill="auto"/>
            <w:vAlign w:val="bottom"/>
            <w:hideMark/>
          </w:tcPr>
          <w:p w:rsidR="00FB26FC" w:rsidRPr="0098404C" w:rsidP="00C06D3C" w14:paraId="4F3DB308" w14:textId="77777777">
            <w:pPr>
              <w:jc w:val="center"/>
              <w:rPr>
                <w:bCs/>
                <w:color w:val="000000"/>
                <w:szCs w:val="22"/>
              </w:rPr>
            </w:pPr>
            <w:r w:rsidRPr="0098404C">
              <w:rPr>
                <w:bCs/>
                <w:color w:val="000000"/>
                <w:szCs w:val="22"/>
              </w:rPr>
              <w:t>Total Burden Hours</w:t>
            </w:r>
          </w:p>
        </w:tc>
        <w:tc>
          <w:tcPr>
            <w:tcW w:w="1440" w:type="dxa"/>
            <w:vAlign w:val="bottom"/>
          </w:tcPr>
          <w:p w:rsidR="00FB26FC" w:rsidRPr="0098404C" w:rsidP="00C06D3C" w14:paraId="0D0A0C7B" w14:textId="77777777">
            <w:pPr>
              <w:ind w:left="-109" w:right="-108" w:hanging="1"/>
              <w:jc w:val="center"/>
              <w:rPr>
                <w:bCs/>
                <w:color w:val="000000"/>
                <w:szCs w:val="22"/>
              </w:rPr>
            </w:pPr>
            <w:r w:rsidRPr="0098404C">
              <w:rPr>
                <w:bCs/>
                <w:color w:val="000000"/>
                <w:szCs w:val="22"/>
              </w:rPr>
              <w:t xml:space="preserve">Estimated </w:t>
            </w:r>
          </w:p>
          <w:p w:rsidR="00FB26FC" w:rsidRPr="0098404C" w:rsidP="00C06D3C" w14:paraId="558D849A" w14:textId="77777777">
            <w:pPr>
              <w:ind w:left="-109" w:right="-108" w:hanging="1"/>
              <w:jc w:val="center"/>
              <w:rPr>
                <w:bCs/>
                <w:color w:val="000000"/>
                <w:szCs w:val="22"/>
              </w:rPr>
            </w:pPr>
            <w:r w:rsidRPr="0098404C">
              <w:rPr>
                <w:bCs/>
                <w:color w:val="000000"/>
                <w:szCs w:val="22"/>
              </w:rPr>
              <w:t>Hourly Wage</w:t>
            </w:r>
          </w:p>
        </w:tc>
        <w:tc>
          <w:tcPr>
            <w:tcW w:w="1350" w:type="dxa"/>
            <w:shd w:val="clear" w:color="auto" w:fill="auto"/>
            <w:vAlign w:val="bottom"/>
            <w:hideMark/>
          </w:tcPr>
          <w:p w:rsidR="00FB26FC" w:rsidRPr="0098404C" w:rsidP="00C06D3C" w14:paraId="3124F172" w14:textId="77777777">
            <w:pPr>
              <w:ind w:left="-109" w:right="-19" w:firstLine="90"/>
              <w:jc w:val="center"/>
              <w:rPr>
                <w:bCs/>
                <w:color w:val="000000"/>
                <w:szCs w:val="22"/>
              </w:rPr>
            </w:pPr>
            <w:r w:rsidRPr="0098404C">
              <w:rPr>
                <w:bCs/>
                <w:color w:val="000000"/>
                <w:szCs w:val="22"/>
              </w:rPr>
              <w:t xml:space="preserve">Total Cost </w:t>
            </w:r>
          </w:p>
        </w:tc>
      </w:tr>
      <w:tr w14:paraId="6DA23C3D" w14:textId="77777777" w:rsidTr="0098404C">
        <w:tblPrEx>
          <w:tblW w:w="8005" w:type="dxa"/>
          <w:tblLayout w:type="fixed"/>
          <w:tblLook w:val="04A0"/>
        </w:tblPrEx>
        <w:trPr>
          <w:trHeight w:val="288"/>
        </w:trPr>
        <w:tc>
          <w:tcPr>
            <w:tcW w:w="985" w:type="dxa"/>
            <w:shd w:val="clear" w:color="auto" w:fill="auto"/>
            <w:noWrap/>
            <w:vAlign w:val="bottom"/>
            <w:hideMark/>
          </w:tcPr>
          <w:p w:rsidR="00FB26FC" w:rsidRPr="0098404C" w:rsidP="00C06D3C" w14:paraId="0FEEABD8" w14:textId="40034C6A">
            <w:pPr>
              <w:spacing w:before="40"/>
              <w:jc w:val="center"/>
              <w:rPr>
                <w:color w:val="000000"/>
                <w:szCs w:val="22"/>
              </w:rPr>
            </w:pPr>
            <w:r w:rsidRPr="0098404C">
              <w:rPr>
                <w:color w:val="000000"/>
                <w:szCs w:val="22"/>
              </w:rPr>
              <w:t xml:space="preserve"> 2023 </w:t>
            </w:r>
          </w:p>
          <w:p w:rsidR="00FB26FC" w:rsidRPr="0098404C" w:rsidP="00C06D3C" w14:paraId="5243270E" w14:textId="77777777">
            <w:pPr>
              <w:spacing w:after="40"/>
              <w:jc w:val="center"/>
              <w:rPr>
                <w:color w:val="000000"/>
                <w:szCs w:val="22"/>
              </w:rPr>
            </w:pPr>
          </w:p>
        </w:tc>
        <w:tc>
          <w:tcPr>
            <w:tcW w:w="1260" w:type="dxa"/>
            <w:shd w:val="clear" w:color="auto" w:fill="auto"/>
            <w:noWrap/>
            <w:vAlign w:val="bottom"/>
            <w:hideMark/>
          </w:tcPr>
          <w:p w:rsidR="00FB26FC" w:rsidRPr="0098404C" w:rsidP="00C06D3C" w14:paraId="69F80B50" w14:textId="04FD416B">
            <w:pPr>
              <w:spacing w:before="40" w:after="40"/>
              <w:ind w:right="160" w:firstLine="200"/>
              <w:jc w:val="center"/>
              <w:rPr>
                <w:color w:val="000000"/>
                <w:szCs w:val="22"/>
              </w:rPr>
            </w:pPr>
            <w:r w:rsidRPr="0098404C">
              <w:rPr>
                <w:color w:val="000000"/>
                <w:szCs w:val="22"/>
              </w:rPr>
              <w:t>600</w:t>
            </w:r>
          </w:p>
        </w:tc>
        <w:tc>
          <w:tcPr>
            <w:tcW w:w="1530" w:type="dxa"/>
            <w:shd w:val="clear" w:color="auto" w:fill="auto"/>
            <w:noWrap/>
            <w:vAlign w:val="bottom"/>
            <w:hideMark/>
          </w:tcPr>
          <w:p w:rsidR="00FB26FC" w:rsidRPr="0098404C" w:rsidP="00C06D3C" w14:paraId="6BD6E5A2" w14:textId="7FA875E5">
            <w:pPr>
              <w:spacing w:before="40" w:after="40"/>
              <w:jc w:val="center"/>
              <w:rPr>
                <w:color w:val="000000"/>
                <w:szCs w:val="22"/>
              </w:rPr>
            </w:pPr>
            <w:r w:rsidRPr="0098404C">
              <w:rPr>
                <w:color w:val="000000"/>
                <w:szCs w:val="22"/>
              </w:rPr>
              <w:t>19 hours</w:t>
            </w:r>
          </w:p>
        </w:tc>
        <w:tc>
          <w:tcPr>
            <w:tcW w:w="1440" w:type="dxa"/>
            <w:shd w:val="clear" w:color="auto" w:fill="auto"/>
            <w:noWrap/>
            <w:vAlign w:val="bottom"/>
            <w:hideMark/>
          </w:tcPr>
          <w:p w:rsidR="00FB26FC" w:rsidRPr="0098404C" w:rsidP="00C06D3C" w14:paraId="2E34756F" w14:textId="76FFB538">
            <w:pPr>
              <w:spacing w:before="40"/>
              <w:jc w:val="center"/>
              <w:rPr>
                <w:color w:val="000000"/>
                <w:szCs w:val="22"/>
              </w:rPr>
            </w:pPr>
            <w:r w:rsidRPr="0098404C">
              <w:rPr>
                <w:color w:val="000000"/>
                <w:szCs w:val="22"/>
              </w:rPr>
              <w:t>11,400</w:t>
            </w:r>
          </w:p>
          <w:p w:rsidR="00FB26FC" w:rsidRPr="0098404C" w:rsidP="00C06D3C" w14:paraId="2D89E749" w14:textId="77777777">
            <w:pPr>
              <w:spacing w:after="40"/>
              <w:jc w:val="center"/>
              <w:rPr>
                <w:color w:val="000000"/>
                <w:szCs w:val="22"/>
              </w:rPr>
            </w:pPr>
          </w:p>
        </w:tc>
        <w:tc>
          <w:tcPr>
            <w:tcW w:w="1440" w:type="dxa"/>
            <w:vAlign w:val="bottom"/>
          </w:tcPr>
          <w:p w:rsidR="00FB26FC" w:rsidRPr="0098404C" w:rsidP="00C06D3C" w14:paraId="1E7AABB2" w14:textId="4EDF6F0E">
            <w:pPr>
              <w:spacing w:before="40" w:after="40"/>
              <w:jc w:val="center"/>
              <w:rPr>
                <w:color w:val="000000"/>
                <w:szCs w:val="22"/>
              </w:rPr>
            </w:pPr>
            <w:r w:rsidRPr="0098404C">
              <w:rPr>
                <w:color w:val="000000"/>
                <w:szCs w:val="22"/>
              </w:rPr>
              <w:t>$</w:t>
            </w:r>
            <w:r w:rsidRPr="0098404C" w:rsidR="003E3D40">
              <w:rPr>
                <w:color w:val="000000"/>
                <w:szCs w:val="22"/>
              </w:rPr>
              <w:t>42</w:t>
            </w:r>
          </w:p>
        </w:tc>
        <w:tc>
          <w:tcPr>
            <w:tcW w:w="1350" w:type="dxa"/>
            <w:shd w:val="clear" w:color="auto" w:fill="auto"/>
            <w:noWrap/>
            <w:vAlign w:val="bottom"/>
            <w:hideMark/>
          </w:tcPr>
          <w:p w:rsidR="00FB26FC" w:rsidRPr="0098404C" w:rsidP="00C06D3C" w14:paraId="63198CC6" w14:textId="1F83F5CA">
            <w:pPr>
              <w:spacing w:before="40"/>
              <w:jc w:val="center"/>
              <w:rPr>
                <w:color w:val="000000"/>
                <w:szCs w:val="22"/>
              </w:rPr>
            </w:pPr>
            <w:r w:rsidRPr="0098404C">
              <w:rPr>
                <w:color w:val="000000"/>
                <w:szCs w:val="22"/>
              </w:rPr>
              <w:t xml:space="preserve">$ </w:t>
            </w:r>
            <w:r w:rsidRPr="0098404C" w:rsidR="003E3D40">
              <w:rPr>
                <w:color w:val="000000"/>
                <w:szCs w:val="22"/>
              </w:rPr>
              <w:t>478,800</w:t>
            </w:r>
            <w:r w:rsidRPr="0098404C">
              <w:rPr>
                <w:color w:val="000000"/>
                <w:szCs w:val="22"/>
              </w:rPr>
              <w:t xml:space="preserve"> </w:t>
            </w:r>
          </w:p>
          <w:p w:rsidR="00FB26FC" w:rsidRPr="0098404C" w:rsidP="00C06D3C" w14:paraId="663A8236" w14:textId="77777777">
            <w:pPr>
              <w:spacing w:after="40"/>
              <w:jc w:val="center"/>
              <w:rPr>
                <w:color w:val="000000"/>
                <w:szCs w:val="22"/>
              </w:rPr>
            </w:pPr>
          </w:p>
        </w:tc>
      </w:tr>
      <w:tr w14:paraId="43D26407" w14:textId="77777777" w:rsidTr="0098404C">
        <w:tblPrEx>
          <w:tblW w:w="8005" w:type="dxa"/>
          <w:tblLayout w:type="fixed"/>
          <w:tblLook w:val="04A0"/>
        </w:tblPrEx>
        <w:trPr>
          <w:trHeight w:val="288"/>
        </w:trPr>
        <w:tc>
          <w:tcPr>
            <w:tcW w:w="985" w:type="dxa"/>
            <w:shd w:val="clear" w:color="auto" w:fill="auto"/>
            <w:noWrap/>
            <w:vAlign w:val="bottom"/>
            <w:hideMark/>
          </w:tcPr>
          <w:p w:rsidR="00FB26FC" w:rsidRPr="0098404C" w:rsidP="00C06D3C" w14:paraId="03EDDC36" w14:textId="77777777">
            <w:pPr>
              <w:spacing w:before="40" w:after="40"/>
              <w:jc w:val="center"/>
              <w:rPr>
                <w:color w:val="000000"/>
                <w:szCs w:val="22"/>
              </w:rPr>
            </w:pPr>
            <w:r w:rsidRPr="0098404C">
              <w:rPr>
                <w:color w:val="000000"/>
                <w:szCs w:val="22"/>
              </w:rPr>
              <w:t xml:space="preserve"> 2025  </w:t>
            </w:r>
          </w:p>
        </w:tc>
        <w:tc>
          <w:tcPr>
            <w:tcW w:w="1260" w:type="dxa"/>
            <w:shd w:val="clear" w:color="auto" w:fill="auto"/>
            <w:noWrap/>
            <w:vAlign w:val="bottom"/>
            <w:hideMark/>
          </w:tcPr>
          <w:p w:rsidR="00FB26FC" w:rsidRPr="0098404C" w:rsidP="00C06D3C" w14:paraId="5C866A0B" w14:textId="76D421A0">
            <w:pPr>
              <w:spacing w:before="40" w:after="40"/>
              <w:ind w:right="160" w:firstLine="200"/>
              <w:jc w:val="center"/>
              <w:rPr>
                <w:color w:val="000000"/>
                <w:szCs w:val="22"/>
              </w:rPr>
            </w:pPr>
            <w:r w:rsidRPr="0098404C">
              <w:rPr>
                <w:color w:val="000000"/>
                <w:szCs w:val="22"/>
              </w:rPr>
              <w:t>600</w:t>
            </w:r>
          </w:p>
        </w:tc>
        <w:tc>
          <w:tcPr>
            <w:tcW w:w="1530" w:type="dxa"/>
            <w:shd w:val="clear" w:color="auto" w:fill="auto"/>
            <w:noWrap/>
            <w:vAlign w:val="bottom"/>
            <w:hideMark/>
          </w:tcPr>
          <w:p w:rsidR="00FB26FC" w:rsidRPr="0098404C" w:rsidP="00C06D3C" w14:paraId="2B9F22A8" w14:textId="5143C557">
            <w:pPr>
              <w:spacing w:before="40" w:after="40"/>
              <w:jc w:val="center"/>
              <w:rPr>
                <w:color w:val="000000"/>
                <w:szCs w:val="22"/>
              </w:rPr>
            </w:pPr>
            <w:r w:rsidRPr="0098404C">
              <w:rPr>
                <w:color w:val="000000"/>
                <w:szCs w:val="22"/>
              </w:rPr>
              <w:t>19 hours</w:t>
            </w:r>
          </w:p>
        </w:tc>
        <w:tc>
          <w:tcPr>
            <w:tcW w:w="1440" w:type="dxa"/>
            <w:shd w:val="clear" w:color="auto" w:fill="auto"/>
            <w:noWrap/>
            <w:vAlign w:val="bottom"/>
            <w:hideMark/>
          </w:tcPr>
          <w:p w:rsidR="00FB26FC" w:rsidRPr="0098404C" w:rsidP="00C06D3C" w14:paraId="130147C6" w14:textId="6BFDABF2">
            <w:pPr>
              <w:spacing w:before="40" w:after="40"/>
              <w:jc w:val="center"/>
              <w:rPr>
                <w:color w:val="000000"/>
                <w:szCs w:val="22"/>
              </w:rPr>
            </w:pPr>
            <w:r w:rsidRPr="0098404C">
              <w:rPr>
                <w:color w:val="000000"/>
                <w:szCs w:val="22"/>
              </w:rPr>
              <w:t xml:space="preserve">11,400  </w:t>
            </w:r>
          </w:p>
        </w:tc>
        <w:tc>
          <w:tcPr>
            <w:tcW w:w="1440" w:type="dxa"/>
            <w:vAlign w:val="bottom"/>
          </w:tcPr>
          <w:p w:rsidR="00FB26FC" w:rsidRPr="0098404C" w:rsidP="00C06D3C" w14:paraId="332B2802" w14:textId="2E05D563">
            <w:pPr>
              <w:spacing w:before="40" w:after="40"/>
              <w:jc w:val="center"/>
              <w:rPr>
                <w:color w:val="000000"/>
                <w:szCs w:val="22"/>
              </w:rPr>
            </w:pPr>
            <w:r w:rsidRPr="0098404C">
              <w:rPr>
                <w:color w:val="000000"/>
                <w:szCs w:val="22"/>
              </w:rPr>
              <w:t>$</w:t>
            </w:r>
            <w:r w:rsidRPr="0098404C" w:rsidR="003E3D40">
              <w:rPr>
                <w:color w:val="000000"/>
                <w:szCs w:val="22"/>
              </w:rPr>
              <w:t>42</w:t>
            </w:r>
          </w:p>
        </w:tc>
        <w:tc>
          <w:tcPr>
            <w:tcW w:w="1350" w:type="dxa"/>
            <w:shd w:val="clear" w:color="auto" w:fill="auto"/>
            <w:noWrap/>
            <w:vAlign w:val="bottom"/>
            <w:hideMark/>
          </w:tcPr>
          <w:p w:rsidR="00FB26FC" w:rsidRPr="0098404C" w:rsidP="00C06D3C" w14:paraId="19AAAD98" w14:textId="6253E63A">
            <w:pPr>
              <w:spacing w:before="40" w:after="40"/>
              <w:jc w:val="center"/>
              <w:rPr>
                <w:color w:val="000000"/>
                <w:szCs w:val="22"/>
              </w:rPr>
            </w:pPr>
            <w:r w:rsidRPr="0098404C">
              <w:rPr>
                <w:color w:val="000000"/>
                <w:szCs w:val="22"/>
              </w:rPr>
              <w:t>$</w:t>
            </w:r>
            <w:bookmarkStart w:id="16" w:name="_Hlk124260795"/>
            <w:r w:rsidRPr="0098404C">
              <w:rPr>
                <w:color w:val="000000"/>
                <w:szCs w:val="22"/>
              </w:rPr>
              <w:t xml:space="preserve"> </w:t>
            </w:r>
            <w:bookmarkEnd w:id="16"/>
            <w:r w:rsidRPr="0098404C" w:rsidR="003E3D40">
              <w:rPr>
                <w:color w:val="000000"/>
                <w:szCs w:val="22"/>
              </w:rPr>
              <w:t>478,800</w:t>
            </w:r>
          </w:p>
        </w:tc>
      </w:tr>
      <w:tr w14:paraId="3B6F5088" w14:textId="77777777" w:rsidTr="0098404C">
        <w:tblPrEx>
          <w:tblW w:w="8005" w:type="dxa"/>
          <w:tblLayout w:type="fixed"/>
          <w:tblLook w:val="04A0"/>
        </w:tblPrEx>
        <w:trPr>
          <w:trHeight w:val="288"/>
        </w:trPr>
        <w:tc>
          <w:tcPr>
            <w:tcW w:w="985" w:type="dxa"/>
            <w:shd w:val="clear" w:color="auto" w:fill="auto"/>
            <w:noWrap/>
            <w:vAlign w:val="bottom"/>
          </w:tcPr>
          <w:p w:rsidR="00FB26FC" w:rsidRPr="0098404C" w:rsidP="00C06D3C" w14:paraId="01E80597" w14:textId="4FFE306E">
            <w:pPr>
              <w:spacing w:before="40" w:after="40"/>
              <w:jc w:val="center"/>
              <w:rPr>
                <w:b/>
                <w:bCs/>
                <w:color w:val="000000"/>
                <w:szCs w:val="22"/>
              </w:rPr>
            </w:pPr>
            <w:r w:rsidRPr="0098404C">
              <w:rPr>
                <w:b/>
                <w:bCs/>
                <w:color w:val="000000"/>
                <w:szCs w:val="22"/>
              </w:rPr>
              <w:t>Total Burden</w:t>
            </w:r>
          </w:p>
        </w:tc>
        <w:tc>
          <w:tcPr>
            <w:tcW w:w="1260" w:type="dxa"/>
            <w:shd w:val="clear" w:color="auto" w:fill="auto"/>
            <w:noWrap/>
            <w:vAlign w:val="bottom"/>
          </w:tcPr>
          <w:p w:rsidR="00FB26FC" w:rsidRPr="0098404C" w:rsidP="00C06D3C" w14:paraId="3D2B21A9" w14:textId="147420CC">
            <w:pPr>
              <w:spacing w:before="40" w:after="40"/>
              <w:ind w:right="160" w:firstLine="200"/>
              <w:jc w:val="center"/>
              <w:rPr>
                <w:b/>
                <w:bCs/>
                <w:color w:val="000000"/>
                <w:szCs w:val="22"/>
              </w:rPr>
            </w:pPr>
            <w:r w:rsidRPr="0098404C">
              <w:rPr>
                <w:b/>
                <w:bCs/>
                <w:color w:val="000000"/>
                <w:szCs w:val="22"/>
              </w:rPr>
              <w:t>1,200</w:t>
            </w:r>
          </w:p>
        </w:tc>
        <w:tc>
          <w:tcPr>
            <w:tcW w:w="1530" w:type="dxa"/>
            <w:shd w:val="clear" w:color="auto" w:fill="auto"/>
            <w:noWrap/>
            <w:vAlign w:val="bottom"/>
          </w:tcPr>
          <w:p w:rsidR="00FB26FC" w:rsidRPr="0098404C" w:rsidP="00C06D3C" w14:paraId="3AB725E4" w14:textId="77777777">
            <w:pPr>
              <w:spacing w:before="40" w:after="40"/>
              <w:jc w:val="center"/>
              <w:rPr>
                <w:b/>
                <w:bCs/>
                <w:color w:val="000000"/>
                <w:szCs w:val="22"/>
              </w:rPr>
            </w:pPr>
          </w:p>
        </w:tc>
        <w:tc>
          <w:tcPr>
            <w:tcW w:w="1440" w:type="dxa"/>
            <w:shd w:val="clear" w:color="auto" w:fill="auto"/>
            <w:noWrap/>
            <w:vAlign w:val="bottom"/>
          </w:tcPr>
          <w:p w:rsidR="00FB26FC" w:rsidRPr="0098404C" w:rsidP="00C06D3C" w14:paraId="1F356FFA" w14:textId="6A251299">
            <w:pPr>
              <w:spacing w:before="40" w:after="40"/>
              <w:jc w:val="center"/>
              <w:rPr>
                <w:b/>
                <w:bCs/>
                <w:color w:val="000000"/>
                <w:szCs w:val="22"/>
              </w:rPr>
            </w:pPr>
            <w:r w:rsidRPr="0098404C">
              <w:rPr>
                <w:b/>
                <w:bCs/>
                <w:color w:val="000000"/>
                <w:szCs w:val="22"/>
              </w:rPr>
              <w:t>22,800</w:t>
            </w:r>
          </w:p>
        </w:tc>
        <w:tc>
          <w:tcPr>
            <w:tcW w:w="1440" w:type="dxa"/>
            <w:vAlign w:val="bottom"/>
          </w:tcPr>
          <w:p w:rsidR="00FB26FC" w:rsidRPr="0098404C" w:rsidP="00C06D3C" w14:paraId="60157C9F" w14:textId="77777777">
            <w:pPr>
              <w:spacing w:before="40" w:after="40"/>
              <w:jc w:val="center"/>
              <w:rPr>
                <w:b/>
                <w:bCs/>
                <w:color w:val="000000"/>
                <w:szCs w:val="22"/>
              </w:rPr>
            </w:pPr>
          </w:p>
        </w:tc>
        <w:tc>
          <w:tcPr>
            <w:tcW w:w="1350" w:type="dxa"/>
            <w:shd w:val="clear" w:color="auto" w:fill="auto"/>
            <w:noWrap/>
            <w:vAlign w:val="bottom"/>
          </w:tcPr>
          <w:p w:rsidR="00FB26FC" w:rsidRPr="0098404C" w:rsidP="00C06D3C" w14:paraId="335ABF72" w14:textId="0AB99AEA">
            <w:pPr>
              <w:spacing w:before="40" w:after="40"/>
              <w:jc w:val="center"/>
              <w:rPr>
                <w:b/>
                <w:bCs/>
                <w:color w:val="000000"/>
                <w:szCs w:val="22"/>
              </w:rPr>
            </w:pPr>
            <w:r w:rsidRPr="0098404C">
              <w:rPr>
                <w:b/>
                <w:bCs/>
                <w:color w:val="000000"/>
                <w:szCs w:val="22"/>
              </w:rPr>
              <w:t>$</w:t>
            </w:r>
            <w:r w:rsidRPr="0098404C" w:rsidR="003E3D40">
              <w:rPr>
                <w:b/>
                <w:bCs/>
                <w:color w:val="000000"/>
                <w:szCs w:val="22"/>
              </w:rPr>
              <w:t>957,600</w:t>
            </w:r>
          </w:p>
        </w:tc>
      </w:tr>
    </w:tbl>
    <w:p w:rsidR="005A5705" w:rsidP="00216021" w14:paraId="0C2B1B23" w14:textId="77777777">
      <w:pPr>
        <w:spacing w:line="360" w:lineRule="auto"/>
        <w:ind w:firstLine="720"/>
        <w:jc w:val="left"/>
      </w:pPr>
    </w:p>
    <w:p w:rsidR="00D30881" w:rsidP="00216021" w14:paraId="1EF6D4DD" w14:textId="77777777">
      <w:pPr>
        <w:spacing w:line="360" w:lineRule="auto"/>
        <w:ind w:firstLine="720"/>
        <w:jc w:val="left"/>
      </w:pPr>
    </w:p>
    <w:p w:rsidR="00221D90" w14:paraId="7E50D310" w14:textId="77777777">
      <w:pPr>
        <w:pStyle w:val="Heading9"/>
        <w:rPr>
          <w:i/>
          <w:iCs/>
        </w:rPr>
      </w:pPr>
      <w:r>
        <w:rPr>
          <w:i/>
          <w:iCs/>
        </w:rPr>
        <w:t xml:space="preserve">Costs to responding </w:t>
      </w:r>
      <w:r>
        <w:rPr>
          <w:i/>
          <w:iCs/>
        </w:rPr>
        <w:t>institutions</w:t>
      </w:r>
    </w:p>
    <w:p w:rsidR="00221D90" w14:paraId="7DBE072B" w14:textId="77777777">
      <w:pPr>
        <w:spacing w:line="360" w:lineRule="auto"/>
        <w:jc w:val="left"/>
      </w:pPr>
      <w:r>
        <w:tab/>
      </w:r>
    </w:p>
    <w:p w:rsidR="007D2ACA" w:rsidP="007D2ACA" w14:paraId="5EDCD68D" w14:textId="52CBA0FE">
      <w:pPr>
        <w:spacing w:line="360" w:lineRule="auto"/>
        <w:ind w:firstLine="720"/>
        <w:jc w:val="left"/>
      </w:pPr>
      <w:r>
        <w:t xml:space="preserve">Costs that will be incurred by responding institutions include the completion time for filling out the questionnaire and the additional time institutional coordinators need to manage the distribution of survey questionnaire to its responding units and submission of the responses. The institutional coordinator makes the initial contacts with the relevant individual offices at the institution informing </w:t>
      </w:r>
      <w:r>
        <w:t>them of the survey, distributes the questionnaire, follows up on the return of the forms or data to the coordinator’s office, and transmits the forms or data to NCSES.</w:t>
      </w:r>
    </w:p>
    <w:p w:rsidR="00221D90" w14:paraId="1033557E" w14:textId="77777777">
      <w:pPr>
        <w:spacing w:line="360" w:lineRule="auto"/>
        <w:jc w:val="left"/>
      </w:pPr>
    </w:p>
    <w:p w:rsidR="00FB26FC" w:rsidP="00FB26FC" w14:paraId="5F64E3CE" w14:textId="33CAE07B">
      <w:pPr>
        <w:spacing w:line="360" w:lineRule="auto"/>
        <w:ind w:firstLine="720"/>
        <w:jc w:val="left"/>
      </w:pPr>
      <w:r>
        <w:t>At an estimated cost of $</w:t>
      </w:r>
      <w:r w:rsidR="00F7479D">
        <w:t>4</w:t>
      </w:r>
      <w:r w:rsidR="003E3D40">
        <w:t>2</w:t>
      </w:r>
      <w:r w:rsidR="00F503A2">
        <w:t xml:space="preserve"> </w:t>
      </w:r>
      <w:r w:rsidR="00221D90">
        <w:t>an hour for institution staff</w:t>
      </w:r>
      <w:r w:rsidR="00CE2BF6">
        <w:t xml:space="preserve"> </w:t>
      </w:r>
      <w:r w:rsidRPr="00CE2BF6" w:rsidR="00CE2BF6">
        <w:rPr>
          <w:szCs w:val="22"/>
        </w:rPr>
        <w:t xml:space="preserve">(based on </w:t>
      </w:r>
      <w:r w:rsidR="00DF356A">
        <w:rPr>
          <w:szCs w:val="22"/>
        </w:rPr>
        <w:t xml:space="preserve">an average across categories of </w:t>
      </w:r>
      <w:r w:rsidRPr="00CE2BF6" w:rsidR="00CE2BF6">
        <w:rPr>
          <w:szCs w:val="22"/>
        </w:rPr>
        <w:t xml:space="preserve">the Bureau of Labor Statistics May </w:t>
      </w:r>
      <w:r w:rsidRPr="00CE2BF6" w:rsidR="00F503A2">
        <w:rPr>
          <w:szCs w:val="22"/>
        </w:rPr>
        <w:t>20</w:t>
      </w:r>
      <w:r w:rsidR="00FE0FBD">
        <w:rPr>
          <w:szCs w:val="22"/>
        </w:rPr>
        <w:t>2</w:t>
      </w:r>
      <w:r w:rsidR="00F503A2">
        <w:rPr>
          <w:szCs w:val="22"/>
        </w:rPr>
        <w:t>1</w:t>
      </w:r>
      <w:r w:rsidRPr="00CE2BF6" w:rsidR="00F503A2">
        <w:rPr>
          <w:szCs w:val="22"/>
        </w:rPr>
        <w:t xml:space="preserve"> </w:t>
      </w:r>
      <w:r w:rsidRPr="00CE2BF6" w:rsidR="00CE2BF6">
        <w:rPr>
          <w:szCs w:val="22"/>
        </w:rPr>
        <w:t xml:space="preserve">average hourly wages for </w:t>
      </w:r>
      <w:r w:rsidR="00CE2BF6">
        <w:rPr>
          <w:szCs w:val="22"/>
        </w:rPr>
        <w:t>“</w:t>
      </w:r>
      <w:r w:rsidRPr="00F7479D" w:rsidR="00F7479D">
        <w:rPr>
          <w:szCs w:val="22"/>
        </w:rPr>
        <w:t>Administrative Services and Facilities Managers</w:t>
      </w:r>
      <w:r w:rsidR="00CE2BF6">
        <w:rPr>
          <w:szCs w:val="22"/>
        </w:rPr>
        <w:t>,” “Budget Analysts</w:t>
      </w:r>
      <w:r w:rsidR="00DF356A">
        <w:rPr>
          <w:szCs w:val="22"/>
        </w:rPr>
        <w:t>,</w:t>
      </w:r>
      <w:r w:rsidR="00CE2BF6">
        <w:rPr>
          <w:szCs w:val="22"/>
        </w:rPr>
        <w:t xml:space="preserve">” and </w:t>
      </w:r>
      <w:r w:rsidRPr="00CE2BF6" w:rsidR="00CE2BF6">
        <w:rPr>
          <w:szCs w:val="22"/>
        </w:rPr>
        <w:t>“</w:t>
      </w:r>
      <w:r w:rsidRPr="00F7479D" w:rsidR="00F7479D">
        <w:rPr>
          <w:szCs w:val="22"/>
        </w:rPr>
        <w:t>Financial Analysts</w:t>
      </w:r>
      <w:r w:rsidRPr="00CE2BF6" w:rsidR="00CE2BF6">
        <w:rPr>
          <w:szCs w:val="22"/>
        </w:rPr>
        <w:t>” within NAICS 611300 - Colleges, Universities, and Professional Schools)</w:t>
      </w:r>
      <w:r w:rsidR="00221D90">
        <w:t xml:space="preserve">, </w:t>
      </w:r>
      <w:bookmarkStart w:id="17" w:name="_Hlk125121168"/>
      <w:r w:rsidR="00221D90">
        <w:t>the average cost to each academic institution is $</w:t>
      </w:r>
      <w:r w:rsidR="003E3D40">
        <w:t>798</w:t>
      </w:r>
      <w:r w:rsidR="002E6F20">
        <w:t xml:space="preserve"> </w:t>
      </w:r>
      <w:r w:rsidR="00221D90">
        <w:t xml:space="preserve">for FY </w:t>
      </w:r>
      <w:r w:rsidR="00E96CFA">
        <w:t>20</w:t>
      </w:r>
      <w:r w:rsidR="00D25569">
        <w:t>23</w:t>
      </w:r>
      <w:r w:rsidR="00E96CFA">
        <w:t xml:space="preserve"> </w:t>
      </w:r>
      <w:r w:rsidR="00D30881">
        <w:t xml:space="preserve">and a similar cost for FY </w:t>
      </w:r>
      <w:r w:rsidR="00E17F98">
        <w:t>202</w:t>
      </w:r>
      <w:bookmarkEnd w:id="17"/>
      <w:r w:rsidR="005D20D6">
        <w:t>5</w:t>
      </w:r>
      <w:r w:rsidR="00221D90">
        <w:t>.</w:t>
      </w:r>
      <w:r w:rsidR="00D30881">
        <w:t xml:space="preserve"> </w:t>
      </w:r>
      <w:r w:rsidR="001068C0">
        <w:t>T</w:t>
      </w:r>
      <w:r w:rsidR="00221D90">
        <w:t>he total</w:t>
      </w:r>
      <w:r w:rsidR="00D30881">
        <w:t xml:space="preserve"> respondent costs for the FY </w:t>
      </w:r>
      <w:r w:rsidR="00E96CFA">
        <w:t>20</w:t>
      </w:r>
      <w:r w:rsidR="00F503A2">
        <w:t>23</w:t>
      </w:r>
      <w:r w:rsidR="00E96CFA">
        <w:t xml:space="preserve"> </w:t>
      </w:r>
      <w:r w:rsidR="00221D90">
        <w:t>survey are estimated to be</w:t>
      </w:r>
      <w:r w:rsidR="005159C3">
        <w:t xml:space="preserve"> $</w:t>
      </w:r>
      <w:r w:rsidR="003E3D40">
        <w:t>478,800</w:t>
      </w:r>
      <w:r w:rsidR="005159C3">
        <w:t>(</w:t>
      </w:r>
      <w:r w:rsidR="00920005">
        <w:t xml:space="preserve">600 </w:t>
      </w:r>
      <w:r w:rsidR="005159C3">
        <w:t>institutions x $</w:t>
      </w:r>
      <w:r w:rsidR="003E3D40">
        <w:t>798</w:t>
      </w:r>
      <w:r w:rsidR="00920005">
        <w:t>)</w:t>
      </w:r>
      <w:r w:rsidR="00F56E14">
        <w:t>.</w:t>
      </w:r>
      <w:r>
        <w:t xml:space="preserve"> T</w:t>
      </w:r>
      <w:r w:rsidR="00221D90">
        <w:t xml:space="preserve">hese costs are expected to be similar for the FY </w:t>
      </w:r>
      <w:r w:rsidR="00E17F98">
        <w:t>202</w:t>
      </w:r>
      <w:r w:rsidR="005D20D6">
        <w:t>5</w:t>
      </w:r>
      <w:r w:rsidR="00E96CFA">
        <w:t xml:space="preserve"> </w:t>
      </w:r>
      <w:r w:rsidR="00221D90">
        <w:t>cycle of the survey.</w:t>
      </w:r>
      <w:r>
        <w:t xml:space="preserve"> </w:t>
      </w:r>
    </w:p>
    <w:p w:rsidR="00221D90" w14:paraId="230A6C12" w14:textId="77777777">
      <w:pPr>
        <w:pStyle w:val="P1-StandPara"/>
        <w:spacing w:line="360" w:lineRule="auto"/>
        <w:jc w:val="left"/>
      </w:pPr>
    </w:p>
    <w:p w:rsidR="00221D90" w:rsidP="00BE0BD1" w14:paraId="61E0A529" w14:textId="451A03A0">
      <w:pPr>
        <w:pStyle w:val="Heading2"/>
      </w:pPr>
      <w:bookmarkStart w:id="18" w:name="_Toc129861819"/>
      <w:r>
        <w:t>A.13.</w:t>
      </w:r>
      <w:r>
        <w:tab/>
        <w:t>Cost</w:t>
      </w:r>
      <w:r w:rsidR="00BE31EB">
        <w:t>s</w:t>
      </w:r>
      <w:r>
        <w:t xml:space="preserve"> to Respondents</w:t>
      </w:r>
      <w:bookmarkEnd w:id="18"/>
    </w:p>
    <w:p w:rsidR="00221D90" w14:paraId="022CFFB3" w14:textId="0C38631B">
      <w:pPr>
        <w:pStyle w:val="P1-StandPara"/>
        <w:spacing w:line="360" w:lineRule="auto"/>
        <w:ind w:firstLine="720"/>
        <w:jc w:val="left"/>
      </w:pPr>
      <w:r>
        <w:t xml:space="preserve">There are no capital or startup costs </w:t>
      </w:r>
      <w:r w:rsidR="00D40E1B">
        <w:t xml:space="preserve">for </w:t>
      </w:r>
      <w:r>
        <w:t xml:space="preserve">the respondents </w:t>
      </w:r>
      <w:r w:rsidR="00D40E1B">
        <w:t xml:space="preserve">of </w:t>
      </w:r>
      <w:r>
        <w:t xml:space="preserve">the Facilities survey. </w:t>
      </w:r>
    </w:p>
    <w:p w:rsidR="00221D90" w14:paraId="135A156D" w14:textId="77777777">
      <w:pPr>
        <w:pStyle w:val="P1-StandPara"/>
        <w:spacing w:line="360" w:lineRule="auto"/>
        <w:jc w:val="left"/>
      </w:pPr>
    </w:p>
    <w:p w:rsidR="00221D90" w:rsidP="00BE0BD1" w14:paraId="01F4AE33" w14:textId="3873F412">
      <w:pPr>
        <w:pStyle w:val="Heading2"/>
      </w:pPr>
      <w:bookmarkStart w:id="19" w:name="_Toc129861820"/>
      <w:r>
        <w:t>A.14.</w:t>
      </w:r>
      <w:r>
        <w:tab/>
        <w:t>Cost</w:t>
      </w:r>
      <w:r w:rsidR="00BE31EB">
        <w:t>s</w:t>
      </w:r>
      <w:r>
        <w:t xml:space="preserve"> to Federal Government</w:t>
      </w:r>
      <w:bookmarkEnd w:id="19"/>
    </w:p>
    <w:p w:rsidR="00221D90" w:rsidP="00D40E1B" w14:paraId="04FBDF0A" w14:textId="29D31EED">
      <w:pPr>
        <w:spacing w:line="360" w:lineRule="auto"/>
        <w:ind w:firstLine="720"/>
        <w:jc w:val="left"/>
        <w:rPr>
          <w:b/>
        </w:rPr>
      </w:pPr>
      <w:r>
        <w:t xml:space="preserve">The estimated total cost of the FY </w:t>
      </w:r>
      <w:r w:rsidR="001E6345">
        <w:t>20</w:t>
      </w:r>
      <w:r w:rsidR="00F503A2">
        <w:t>23</w:t>
      </w:r>
      <w:r w:rsidR="001E6345">
        <w:t xml:space="preserve"> </w:t>
      </w:r>
      <w:r>
        <w:t xml:space="preserve">Facilities survey to the Federal Government is </w:t>
      </w:r>
      <w:r w:rsidR="00765F89">
        <w:t>approximately $1,</w:t>
      </w:r>
      <w:r w:rsidR="000C3077">
        <w:t>765</w:t>
      </w:r>
      <w:r w:rsidR="00765F89">
        <w:t>,000 over a period of 24 months, for an annualized cost of $</w:t>
      </w:r>
      <w:r w:rsidR="000C3077">
        <w:t>883</w:t>
      </w:r>
      <w:r w:rsidR="00765F89">
        <w:t xml:space="preserve">,000. The estimate includes labor costs </w:t>
      </w:r>
      <w:r w:rsidR="00077B44">
        <w:t>of $</w:t>
      </w:r>
      <w:r w:rsidR="000C3077">
        <w:t>340</w:t>
      </w:r>
      <w:r w:rsidR="00077B44">
        <w:t xml:space="preserve">,000 </w:t>
      </w:r>
      <w:r w:rsidR="00765F89">
        <w:t xml:space="preserve">for NCSES staff </w:t>
      </w:r>
      <w:r w:rsidR="000C3077">
        <w:t>(</w:t>
      </w:r>
      <w:r w:rsidR="00765F89">
        <w:t>project manager</w:t>
      </w:r>
      <w:r w:rsidR="00077B44">
        <w:t xml:space="preserve"> (</w:t>
      </w:r>
      <w:r w:rsidR="000C3077">
        <w:t xml:space="preserve">part </w:t>
      </w:r>
      <w:r w:rsidR="00077B44">
        <w:t>time)</w:t>
      </w:r>
      <w:r w:rsidR="00765F89">
        <w:t xml:space="preserve">, </w:t>
      </w:r>
      <w:r w:rsidR="00077B44">
        <w:t>NCSES management, statistical support</w:t>
      </w:r>
      <w:r w:rsidR="000C3077">
        <w:t>, and other staff)</w:t>
      </w:r>
      <w:r w:rsidR="00077B44">
        <w:t xml:space="preserve"> and the </w:t>
      </w:r>
      <w:r w:rsidR="0051348F">
        <w:t>survey management</w:t>
      </w:r>
      <w:r w:rsidR="00077B44">
        <w:t xml:space="preserve"> contractual cost of $1,</w:t>
      </w:r>
      <w:r w:rsidR="000C3077">
        <w:t>425</w:t>
      </w:r>
      <w:r w:rsidR="00077B44">
        <w:t xml:space="preserve">,000. </w:t>
      </w:r>
    </w:p>
    <w:p w:rsidR="00221D90" w14:paraId="4DA83103" w14:textId="77777777">
      <w:pPr>
        <w:pStyle w:val="P1-StandPara"/>
        <w:spacing w:line="360" w:lineRule="auto"/>
        <w:jc w:val="left"/>
      </w:pPr>
    </w:p>
    <w:p w:rsidR="00221D90" w14:paraId="1F09944C" w14:textId="70BF4B3A">
      <w:pPr>
        <w:pStyle w:val="P1-StandPara"/>
        <w:spacing w:line="360" w:lineRule="auto"/>
        <w:ind w:firstLine="720"/>
        <w:jc w:val="left"/>
      </w:pPr>
      <w:r>
        <w:t>The contract will include all direct and indirect costs of data collection, analysis, reporting, and the production of public and proprietary data sets</w:t>
      </w:r>
      <w:r w:rsidR="00FA726D">
        <w:t>. These costs are expec</w:t>
      </w:r>
      <w:r w:rsidR="00093C0E">
        <w:t xml:space="preserve">ted to be similar for the FY </w:t>
      </w:r>
      <w:r w:rsidR="00E17F98">
        <w:t>202</w:t>
      </w:r>
      <w:r w:rsidR="00F503A2">
        <w:t>5</w:t>
      </w:r>
      <w:r w:rsidR="001E6345">
        <w:t xml:space="preserve"> </w:t>
      </w:r>
      <w:r w:rsidR="00FA726D">
        <w:t>survey cycle.</w:t>
      </w:r>
    </w:p>
    <w:p w:rsidR="00221D90" w14:paraId="4D8ADC5C" w14:textId="1F832D68">
      <w:pPr>
        <w:pStyle w:val="P1-StandPara"/>
        <w:spacing w:line="360" w:lineRule="auto"/>
        <w:jc w:val="left"/>
      </w:pPr>
    </w:p>
    <w:p w:rsidR="00221D90" w:rsidP="00BE0BD1" w14:paraId="63348A77" w14:textId="124E37A8">
      <w:pPr>
        <w:pStyle w:val="Heading2"/>
      </w:pPr>
      <w:bookmarkStart w:id="20" w:name="_Toc129861821"/>
      <w:r>
        <w:t>A.15.</w:t>
      </w:r>
      <w:r>
        <w:tab/>
      </w:r>
      <w:r w:rsidR="00BE31EB">
        <w:t>Changes from Prior Cycle</w:t>
      </w:r>
      <w:bookmarkEnd w:id="20"/>
    </w:p>
    <w:p w:rsidR="00221D90" w14:paraId="71B0D749" w14:textId="77777777">
      <w:pPr>
        <w:pStyle w:val="P1-StandPara"/>
        <w:spacing w:line="360" w:lineRule="auto"/>
        <w:ind w:firstLine="720"/>
        <w:jc w:val="left"/>
      </w:pPr>
      <w:r>
        <w:t>No program changes.</w:t>
      </w:r>
    </w:p>
    <w:p w:rsidR="00221D90" w14:paraId="2840067B" w14:textId="77777777">
      <w:pPr>
        <w:pStyle w:val="P1-StandPara"/>
        <w:spacing w:line="360" w:lineRule="auto"/>
        <w:jc w:val="left"/>
      </w:pPr>
    </w:p>
    <w:p w:rsidR="00221D90" w:rsidP="00BE0BD1" w14:paraId="3B455302" w14:textId="04A5F0EB">
      <w:pPr>
        <w:pStyle w:val="Heading2"/>
      </w:pPr>
      <w:bookmarkStart w:id="21" w:name="_Toc129861822"/>
      <w:r>
        <w:t>A.16.</w:t>
      </w:r>
      <w:r>
        <w:tab/>
        <w:t xml:space="preserve">Plans </w:t>
      </w:r>
      <w:r w:rsidR="00BE31EB">
        <w:t>for Tabulation or Publication</w:t>
      </w:r>
      <w:bookmarkEnd w:id="21"/>
    </w:p>
    <w:p w:rsidR="00221D90" w14:paraId="6D8E41A6" w14:textId="05ED5293">
      <w:pPr>
        <w:spacing w:line="360" w:lineRule="auto"/>
        <w:ind w:firstLine="720"/>
        <w:jc w:val="left"/>
      </w:pPr>
      <w:r>
        <w:t xml:space="preserve">The FY </w:t>
      </w:r>
      <w:r w:rsidR="00E96CFA">
        <w:t>20</w:t>
      </w:r>
      <w:r w:rsidR="000019A6">
        <w:t>23</w:t>
      </w:r>
      <w:r w:rsidR="00E96CFA">
        <w:t xml:space="preserve"> </w:t>
      </w:r>
      <w:r>
        <w:t xml:space="preserve">survey </w:t>
      </w:r>
      <w:r w:rsidR="00310DE0">
        <w:t>implementation</w:t>
      </w:r>
      <w:r>
        <w:t xml:space="preserve"> is </w:t>
      </w:r>
      <w:r w:rsidR="00CD6AED">
        <w:t xml:space="preserve">scheduled </w:t>
      </w:r>
      <w:r>
        <w:t xml:space="preserve">to begin in </w:t>
      </w:r>
      <w:r w:rsidR="00895B35">
        <w:t>October</w:t>
      </w:r>
      <w:r>
        <w:t xml:space="preserve"> of </w:t>
      </w:r>
      <w:r w:rsidR="00E96CFA">
        <w:t>20</w:t>
      </w:r>
      <w:r w:rsidR="000019A6">
        <w:t>23</w:t>
      </w:r>
      <w:r>
        <w:t>. Data collec</w:t>
      </w:r>
      <w:r w:rsidR="00310DE0">
        <w:t>tion will take place over a six</w:t>
      </w:r>
      <w:r>
        <w:t xml:space="preserve">-month period </w:t>
      </w:r>
      <w:r>
        <w:t>in order to</w:t>
      </w:r>
      <w:r>
        <w:t xml:space="preserve"> provide insti</w:t>
      </w:r>
      <w:r w:rsidR="004E0525">
        <w:t>tutions adequate time to identify</w:t>
      </w:r>
      <w:r>
        <w:t xml:space="preserve"> a </w:t>
      </w:r>
      <w:r>
        <w:t xml:space="preserve">coordinator and to gather the appropriate records and data. Data collection is expected to end </w:t>
      </w:r>
      <w:r w:rsidR="00D40E1B">
        <w:t xml:space="preserve">in </w:t>
      </w:r>
      <w:r>
        <w:t xml:space="preserve">the </w:t>
      </w:r>
      <w:r w:rsidR="00895B35">
        <w:t>spring</w:t>
      </w:r>
      <w:r w:rsidR="004E0525">
        <w:t xml:space="preserve"> of </w:t>
      </w:r>
      <w:r w:rsidR="00E96CFA">
        <w:t>20</w:t>
      </w:r>
      <w:r w:rsidR="00D46ACE">
        <w:t>2</w:t>
      </w:r>
      <w:r w:rsidR="000019A6">
        <w:t>4</w:t>
      </w:r>
      <w:r>
        <w:t>. Th</w:t>
      </w:r>
      <w:r w:rsidR="004E0525">
        <w:t xml:space="preserve">e data collection for the FY </w:t>
      </w:r>
      <w:r w:rsidR="00E17F98">
        <w:t>202</w:t>
      </w:r>
      <w:r w:rsidR="000019A6">
        <w:t>5</w:t>
      </w:r>
      <w:r w:rsidR="00E96CFA">
        <w:t xml:space="preserve"> </w:t>
      </w:r>
      <w:r w:rsidR="004E0525">
        <w:t>cycle will begin in October</w:t>
      </w:r>
      <w:r>
        <w:t xml:space="preserve"> of </w:t>
      </w:r>
      <w:r w:rsidR="00E17F98">
        <w:t>202</w:t>
      </w:r>
      <w:r w:rsidR="000019A6">
        <w:t>5</w:t>
      </w:r>
      <w:r w:rsidR="00E96CFA">
        <w:t xml:space="preserve"> </w:t>
      </w:r>
      <w:r>
        <w:t xml:space="preserve">and will end in the </w:t>
      </w:r>
      <w:r w:rsidR="00895B35">
        <w:t>spring</w:t>
      </w:r>
      <w:r w:rsidR="004E0525">
        <w:t xml:space="preserve"> of </w:t>
      </w:r>
      <w:r w:rsidR="00E96CFA">
        <w:t>20</w:t>
      </w:r>
      <w:r w:rsidR="00D46ACE">
        <w:t>2</w:t>
      </w:r>
      <w:r w:rsidR="000019A6">
        <w:t>6</w:t>
      </w:r>
      <w:r>
        <w:t>.</w:t>
      </w:r>
    </w:p>
    <w:p w:rsidR="00221D90" w14:paraId="057979EA" w14:textId="77777777">
      <w:pPr>
        <w:spacing w:line="360" w:lineRule="auto"/>
        <w:jc w:val="left"/>
      </w:pPr>
    </w:p>
    <w:p w:rsidR="00221D90" w14:paraId="2046BC2F" w14:textId="2BE1B857">
      <w:pPr>
        <w:spacing w:line="360" w:lineRule="auto"/>
        <w:ind w:firstLine="720"/>
        <w:jc w:val="left"/>
      </w:pPr>
      <w:r>
        <w:t xml:space="preserve">The contractor will submit draft data tabulations within </w:t>
      </w:r>
      <w:r w:rsidR="00B876EC">
        <w:t>three</w:t>
      </w:r>
      <w:r>
        <w:t xml:space="preserve"> months following </w:t>
      </w:r>
      <w:r w:rsidR="00B07970">
        <w:t xml:space="preserve">completion of </w:t>
      </w:r>
      <w:r>
        <w:t xml:space="preserve">data collection. These will be reviewed and revised as needed by </w:t>
      </w:r>
      <w:r w:rsidR="00C26E20">
        <w:t>NCSES</w:t>
      </w:r>
      <w:r>
        <w:t xml:space="preserve"> before production of final data tabulations. </w:t>
      </w:r>
      <w:r w:rsidR="00C26E20">
        <w:t>NCSES</w:t>
      </w:r>
      <w:r>
        <w:t xml:space="preserve"> will be responsible for </w:t>
      </w:r>
      <w:r w:rsidR="00895B35">
        <w:t>electronic</w:t>
      </w:r>
      <w:r>
        <w:t xml:space="preserve"> dissemination of the tables to NSF offices, participating academic institutions, professional associations, and others who may request information about the survey.</w:t>
      </w:r>
    </w:p>
    <w:p w:rsidR="00221D90" w14:paraId="54AE1710" w14:textId="77777777">
      <w:pPr>
        <w:spacing w:line="360" w:lineRule="auto"/>
        <w:jc w:val="left"/>
      </w:pPr>
    </w:p>
    <w:p w:rsidR="00221D90" w14:paraId="35B79F4C" w14:textId="3B6694D7">
      <w:pPr>
        <w:spacing w:line="360" w:lineRule="auto"/>
        <w:ind w:firstLine="720"/>
        <w:jc w:val="left"/>
      </w:pPr>
      <w:r>
        <w:t>The contractor will also pro</w:t>
      </w:r>
      <w:r w:rsidR="00895B35">
        <w:t xml:space="preserve">vide a </w:t>
      </w:r>
      <w:r>
        <w:t xml:space="preserve">public use data file that </w:t>
      </w:r>
      <w:r w:rsidR="00CD6AED">
        <w:t xml:space="preserve">will be </w:t>
      </w:r>
      <w:r>
        <w:t>a</w:t>
      </w:r>
      <w:r w:rsidR="008A3D94">
        <w:t xml:space="preserve">ccessible via the </w:t>
      </w:r>
      <w:r w:rsidR="00B876EC">
        <w:t xml:space="preserve">NSF website </w:t>
      </w:r>
      <w:r>
        <w:t>and include</w:t>
      </w:r>
      <w:r w:rsidR="008A3D94">
        <w:t>s</w:t>
      </w:r>
      <w:r>
        <w:t xml:space="preserve"> electronic data files. The data files, including documentation, will contain institutional dat</w:t>
      </w:r>
      <w:r w:rsidR="005D5255">
        <w:t xml:space="preserve">a and will be delivered within </w:t>
      </w:r>
      <w:r w:rsidR="00B876EC">
        <w:t>3</w:t>
      </w:r>
      <w:r>
        <w:t xml:space="preserve"> months of data collection. In addition, the contractor will provide a methodology report detailing all survey activities, materials, and procedures.</w:t>
      </w:r>
    </w:p>
    <w:p w:rsidR="00221D90" w14:paraId="60670252" w14:textId="77777777">
      <w:pPr>
        <w:spacing w:line="360" w:lineRule="auto"/>
        <w:ind w:firstLine="720"/>
        <w:jc w:val="left"/>
      </w:pPr>
    </w:p>
    <w:p w:rsidR="00221D90" w14:paraId="6AD0EA37" w14:textId="3401831A">
      <w:pPr>
        <w:pStyle w:val="P1-StandPara"/>
        <w:spacing w:line="360" w:lineRule="auto"/>
        <w:ind w:firstLine="720"/>
        <w:jc w:val="left"/>
      </w:pPr>
      <w:r>
        <w:t>NCSES</w:t>
      </w:r>
      <w:r w:rsidR="00014438">
        <w:t xml:space="preserve"> </w:t>
      </w:r>
      <w:r>
        <w:t xml:space="preserve">produced </w:t>
      </w:r>
      <w:r w:rsidR="00014438">
        <w:t xml:space="preserve">an </w:t>
      </w:r>
      <w:r w:rsidR="00895B35">
        <w:t>Infobrief</w:t>
      </w:r>
      <w:r w:rsidR="00443215">
        <w:t xml:space="preserve"> on the results of the FY </w:t>
      </w:r>
      <w:r w:rsidR="00EA6B78">
        <w:t xml:space="preserve">2021 </w:t>
      </w:r>
      <w:r>
        <w:t xml:space="preserve">survey </w:t>
      </w:r>
      <w:r w:rsidR="00014438">
        <w:t xml:space="preserve">in </w:t>
      </w:r>
      <w:r w:rsidR="00EA6B78">
        <w:t xml:space="preserve">December </w:t>
      </w:r>
      <w:r w:rsidR="00443215">
        <w:t xml:space="preserve">of </w:t>
      </w:r>
      <w:r w:rsidR="00E96CFA">
        <w:t>20</w:t>
      </w:r>
      <w:r w:rsidR="00EA6B78">
        <w:t>22</w:t>
      </w:r>
      <w:r>
        <w:t xml:space="preserve">. The </w:t>
      </w:r>
      <w:r w:rsidR="00895B35">
        <w:t>Infobrief</w:t>
      </w:r>
      <w:r>
        <w:t xml:space="preserve"> include</w:t>
      </w:r>
      <w:r w:rsidR="00014438">
        <w:t>s</w:t>
      </w:r>
      <w:r w:rsidR="00895B35">
        <w:t xml:space="preserve"> </w:t>
      </w:r>
      <w:r>
        <w:t>a presentation of major findings</w:t>
      </w:r>
      <w:r w:rsidR="00895B35">
        <w:t>,</w:t>
      </w:r>
      <w:r>
        <w:t xml:space="preserve"> </w:t>
      </w:r>
      <w:r>
        <w:t>charts</w:t>
      </w:r>
      <w:r>
        <w:t xml:space="preserve"> and graphs relevant to the </w:t>
      </w:r>
      <w:r w:rsidR="00895B35">
        <w:t xml:space="preserve">survey, and </w:t>
      </w:r>
      <w:r>
        <w:t xml:space="preserve">relevant statistical tables. </w:t>
      </w:r>
      <w:r w:rsidR="00895B35">
        <w:t>It also refer</w:t>
      </w:r>
      <w:r w:rsidR="00014438">
        <w:t>s</w:t>
      </w:r>
      <w:r w:rsidR="00895B35">
        <w:t xml:space="preserve"> the reader to additional information about survey limitations and other technical information.</w:t>
      </w:r>
    </w:p>
    <w:p w:rsidR="00221D90" w14:paraId="6BB6256E" w14:textId="77777777">
      <w:pPr>
        <w:spacing w:line="360" w:lineRule="auto"/>
        <w:ind w:firstLine="720"/>
        <w:jc w:val="left"/>
      </w:pPr>
    </w:p>
    <w:p w:rsidR="00221D90" w14:paraId="45C6EB11" w14:textId="20E9CAAE">
      <w:pPr>
        <w:spacing w:line="360" w:lineRule="auto"/>
        <w:ind w:firstLine="720"/>
        <w:jc w:val="left"/>
      </w:pPr>
      <w:r>
        <w:t>NCSES</w:t>
      </w:r>
      <w:r>
        <w:t xml:space="preserve"> anticipates a </w:t>
      </w:r>
      <w:r w:rsidR="00B01F7F">
        <w:t xml:space="preserve">similar schedule for the FY </w:t>
      </w:r>
      <w:r w:rsidR="00E96CFA">
        <w:t>20</w:t>
      </w:r>
      <w:r w:rsidR="00E17F98">
        <w:t>23</w:t>
      </w:r>
      <w:r w:rsidR="00E96CFA">
        <w:t xml:space="preserve"> </w:t>
      </w:r>
      <w:r w:rsidR="00AC4F27">
        <w:t>and FY 20</w:t>
      </w:r>
      <w:r w:rsidR="00D46ACE">
        <w:t>2</w:t>
      </w:r>
      <w:r w:rsidR="00E17F98">
        <w:t>5</w:t>
      </w:r>
      <w:r w:rsidR="00AC4F27">
        <w:t xml:space="preserve"> survey </w:t>
      </w:r>
      <w:r>
        <w:t>cycle</w:t>
      </w:r>
      <w:r w:rsidR="00AC4F27">
        <w:t>s</w:t>
      </w:r>
      <w:r>
        <w:t>.</w:t>
      </w:r>
    </w:p>
    <w:p w:rsidR="00221D90" w14:paraId="7B34B99F" w14:textId="77777777">
      <w:pPr>
        <w:pStyle w:val="P1-StandPara"/>
        <w:spacing w:line="360" w:lineRule="auto"/>
        <w:ind w:firstLine="0"/>
        <w:jc w:val="left"/>
      </w:pPr>
    </w:p>
    <w:p w:rsidR="00221D90" w:rsidP="00BE0BD1" w14:paraId="30C20FC9" w14:textId="0B108EDB">
      <w:pPr>
        <w:pStyle w:val="Heading2"/>
      </w:pPr>
      <w:bookmarkStart w:id="22" w:name="_Toc129861823"/>
      <w:r>
        <w:t>A.17.</w:t>
      </w:r>
      <w:r>
        <w:tab/>
      </w:r>
      <w:r w:rsidR="00BE31EB">
        <w:t>Exception to Displaying the OMB Expiration Date</w:t>
      </w:r>
      <w:bookmarkEnd w:id="22"/>
    </w:p>
    <w:p w:rsidR="00221D90" w14:paraId="1FE451C9" w14:textId="691C186D">
      <w:pPr>
        <w:pStyle w:val="P1-StandPara"/>
        <w:spacing w:line="360" w:lineRule="auto"/>
        <w:ind w:firstLine="720"/>
        <w:jc w:val="left"/>
      </w:pPr>
      <w:r>
        <w:t xml:space="preserve">Not applicable. The OMB number and expiration date will be displayed. </w:t>
      </w:r>
    </w:p>
    <w:p w:rsidR="00221D90" w14:paraId="1522559A" w14:textId="77777777">
      <w:pPr>
        <w:pStyle w:val="P1-StandPara"/>
        <w:spacing w:line="360" w:lineRule="auto"/>
        <w:jc w:val="left"/>
      </w:pPr>
    </w:p>
    <w:p w:rsidR="00221D90" w:rsidP="00BE0BD1" w14:paraId="613AB6A8" w14:textId="77777777">
      <w:pPr>
        <w:pStyle w:val="Heading2"/>
      </w:pPr>
      <w:bookmarkStart w:id="23" w:name="_Toc129861824"/>
      <w:r>
        <w:t>A.18.</w:t>
      </w:r>
      <w:r>
        <w:tab/>
        <w:t>Exceptions to the Certification Statement</w:t>
      </w:r>
      <w:bookmarkEnd w:id="23"/>
    </w:p>
    <w:p w:rsidR="00221D90" w:rsidP="00C659D9" w14:paraId="638E6C3C" w14:textId="37BDC937">
      <w:pPr>
        <w:pStyle w:val="P1-StandPara"/>
        <w:spacing w:line="360" w:lineRule="auto"/>
        <w:ind w:firstLine="720"/>
        <w:jc w:val="left"/>
      </w:pPr>
      <w:r>
        <w:t xml:space="preserve">Not applicable.  No exceptions to the certification statement are being sought. </w:t>
      </w:r>
    </w:p>
    <w:sectPr w:rsidSect="00ED5473">
      <w:footerReference w:type="default" r:id="rId13"/>
      <w:footerReference w:type="first" r:id="rId14"/>
      <w:pgSz w:w="12240" w:h="15840"/>
      <w:pgMar w:top="1440" w:right="1254" w:bottom="1440" w:left="1800" w:header="720" w:footer="720" w:gutter="0"/>
      <w:pgNumType w:start="3"/>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5522" w:rsidP="009D1976" w14:paraId="1ED57FB1"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25522" w:rsidP="009D1976" w14:paraId="7F90617E"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623776"/>
      <w:docPartObj>
        <w:docPartGallery w:val="Page Numbers (Bottom of Page)"/>
        <w:docPartUnique/>
      </w:docPartObj>
    </w:sdtPr>
    <w:sdtEndPr>
      <w:rPr>
        <w:noProof/>
        <w:sz w:val="24"/>
        <w:szCs w:val="24"/>
      </w:rPr>
    </w:sdtEndPr>
    <w:sdtContent>
      <w:p w:rsidR="00825522" w:rsidRPr="00E91EA6" w14:paraId="51795F4E" w14:textId="77777777">
        <w:pPr>
          <w:pStyle w:val="Footer"/>
          <w:jc w:val="center"/>
          <w:rPr>
            <w:sz w:val="24"/>
            <w:szCs w:val="24"/>
          </w:rPr>
        </w:pPr>
        <w:r w:rsidRPr="00E91EA6">
          <w:rPr>
            <w:sz w:val="24"/>
            <w:szCs w:val="24"/>
          </w:rPr>
          <w:fldChar w:fldCharType="begin"/>
        </w:r>
        <w:r w:rsidRPr="00E91EA6">
          <w:rPr>
            <w:sz w:val="24"/>
            <w:szCs w:val="24"/>
          </w:rPr>
          <w:instrText xml:space="preserve"> PAGE   \* MERGEFORMAT </w:instrText>
        </w:r>
        <w:r w:rsidRPr="00E91EA6">
          <w:rPr>
            <w:sz w:val="24"/>
            <w:szCs w:val="24"/>
          </w:rPr>
          <w:fldChar w:fldCharType="separate"/>
        </w:r>
        <w:r w:rsidRPr="00E91EA6">
          <w:rPr>
            <w:noProof/>
            <w:sz w:val="24"/>
            <w:szCs w:val="24"/>
          </w:rPr>
          <w:t>2</w:t>
        </w:r>
        <w:r w:rsidRPr="00E91EA6">
          <w:rPr>
            <w:noProof/>
            <w:sz w:val="24"/>
            <w:szCs w:val="24"/>
          </w:rPr>
          <w:fldChar w:fldCharType="end"/>
        </w:r>
      </w:p>
    </w:sdtContent>
  </w:sdt>
  <w:p w:rsidR="00825522" w:rsidP="009D1976" w14:paraId="384A2022" w14:textId="77777777">
    <w:pPr>
      <w:tabs>
        <w:tab w:val="left" w:pos="-720"/>
      </w:tabs>
      <w:suppressAutoHyphens/>
      <w:ind w:right="360"/>
      <w:rPr>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09105629"/>
      <w:docPartObj>
        <w:docPartGallery w:val="Page Numbers (Bottom of Page)"/>
        <w:docPartUnique/>
      </w:docPartObj>
    </w:sdtPr>
    <w:sdtEndPr>
      <w:rPr>
        <w:noProof/>
      </w:rPr>
    </w:sdtEndPr>
    <w:sdtContent>
      <w:p w:rsidR="00825522" w14:paraId="64DCC48B"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25522" w14:paraId="046CE8C8"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3741" w:rsidP="004C2260" w14:paraId="76887291" w14:textId="26AC22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C6E93">
      <w:rPr>
        <w:rStyle w:val="PageNumber"/>
        <w:noProof/>
      </w:rPr>
      <w:t>2</w:t>
    </w:r>
    <w:r>
      <w:rPr>
        <w:rStyle w:val="PageNumber"/>
      </w:rPr>
      <w:fldChar w:fldCharType="end"/>
    </w:r>
  </w:p>
  <w:p w:rsidR="00A23741" w14:paraId="6BA01A3C"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7064" w:rsidP="006932F4" w14:paraId="518FB2F8" w14:textId="2A3BE6F4">
    <w:pPr>
      <w:pStyle w:val="Footer"/>
      <w:framePr w:wrap="around" w:vAnchor="text" w:hAnchor="margin" w:xAlign="center" w:y="1"/>
      <w:jc w:val="left"/>
      <w:rPr>
        <w:rStyle w:val="PageNumber"/>
      </w:rPr>
    </w:pPr>
    <w:bookmarkStart w:id="1" w:name="TITUS1FooterPrimary"/>
    <w:r w:rsidRPr="006932F4">
      <w:rPr>
        <w:rStyle w:val="PageNumber"/>
        <w:color w:val="000000"/>
        <w:sz w:val="17"/>
      </w:rPr>
      <w:t>  </w:t>
    </w:r>
    <w:bookmarkEnd w:id="1"/>
  </w:p>
  <w:p w:rsidR="00A23741" w14:paraId="1885890A"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7064" w:rsidP="006932F4" w14:paraId="5197828E" w14:textId="10E72CD6">
    <w:pPr>
      <w:pStyle w:val="Footer"/>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14461649"/>
      <w:docPartObj>
        <w:docPartGallery w:val="Page Numbers (Bottom of Page)"/>
        <w:docPartUnique/>
      </w:docPartObj>
    </w:sdtPr>
    <w:sdtEndPr>
      <w:rPr>
        <w:noProof/>
      </w:rPr>
    </w:sdtEndPr>
    <w:sdtContent>
      <w:p w:rsidR="00F00597" w14:paraId="6B3F5B09" w14:textId="44F06221">
        <w:pPr>
          <w:pStyle w:val="Footer"/>
        </w:pPr>
        <w:r>
          <w:fldChar w:fldCharType="begin"/>
        </w:r>
        <w:r>
          <w:instrText xml:space="preserve"> PAGE   \* MERGEFORMAT </w:instrText>
        </w:r>
        <w:r>
          <w:fldChar w:fldCharType="separate"/>
        </w:r>
        <w:r w:rsidR="006C3147">
          <w:rPr>
            <w:noProof/>
          </w:rPr>
          <w:t>13</w:t>
        </w:r>
        <w:r>
          <w:rPr>
            <w:noProof/>
          </w:rPr>
          <w:fldChar w:fldCharType="end"/>
        </w:r>
      </w:p>
    </w:sdtContent>
  </w:sdt>
  <w:p w:rsidR="00F00597" w14:paraId="1F95D404"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99533338"/>
      <w:docPartObj>
        <w:docPartGallery w:val="Page Numbers (Bottom of Page)"/>
        <w:docPartUnique/>
      </w:docPartObj>
    </w:sdtPr>
    <w:sdtEndPr>
      <w:rPr>
        <w:noProof/>
      </w:rPr>
    </w:sdtEndPr>
    <w:sdtContent>
      <w:p w:rsidR="00F00597" w14:paraId="128BCC36" w14:textId="6CD3426C">
        <w:pPr>
          <w:pStyle w:val="Footer"/>
        </w:pPr>
        <w:r>
          <w:fldChar w:fldCharType="begin"/>
        </w:r>
        <w:r>
          <w:instrText xml:space="preserve"> PAGE   \* MERGEFORMAT </w:instrText>
        </w:r>
        <w:r>
          <w:fldChar w:fldCharType="separate"/>
        </w:r>
        <w:r w:rsidR="006C3147">
          <w:rPr>
            <w:noProof/>
          </w:rPr>
          <w:t>3</w:t>
        </w:r>
        <w:r>
          <w:rPr>
            <w:noProof/>
          </w:rPr>
          <w:fldChar w:fldCharType="end"/>
        </w:r>
      </w:p>
    </w:sdtContent>
  </w:sdt>
  <w:p w:rsidR="00F00597" w:rsidP="006932F4" w14:paraId="1825DC02" w14:textId="77777777">
    <w:pPr>
      <w:pStyle w:val="Footer"/>
      <w:jc w:val="left"/>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B23D4A"/>
    <w:multiLevelType w:val="hybridMultilevel"/>
    <w:tmpl w:val="0C84838C"/>
    <w:lvl w:ilvl="0">
      <w:start w:val="1"/>
      <w:numFmt w:val="bullet"/>
      <w:lvlText w:val=""/>
      <w:lvlJc w:val="left"/>
      <w:pPr>
        <w:tabs>
          <w:tab w:val="num" w:pos="-72"/>
        </w:tabs>
        <w:ind w:left="1656" w:hanging="576"/>
      </w:pPr>
      <w:rPr>
        <w:rFonts w:ascii="Wingdings" w:hAnsi="Wingdings" w:hint="default"/>
        <w:sz w:val="16"/>
      </w:rPr>
    </w:lvl>
    <w:lvl w:ilvl="1">
      <w:start w:val="1"/>
      <w:numFmt w:val="decimal"/>
      <w:lvlText w:val="%2."/>
      <w:lvlJc w:val="left"/>
      <w:pPr>
        <w:tabs>
          <w:tab w:val="num" w:pos="1440"/>
        </w:tabs>
        <w:ind w:left="1440" w:hanging="360"/>
      </w:pPr>
      <w:rPr>
        <w:rFonts w:hint="default"/>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sz w:val="16"/>
      </w:rPr>
    </w:lvl>
    <w:lvl w:ilvl="4">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447638F"/>
    <w:multiLevelType w:val="hybridMultilevel"/>
    <w:tmpl w:val="8242B5C8"/>
    <w:lvl w:ilvl="0">
      <w:start w:val="1"/>
      <w:numFmt w:val="bullet"/>
      <w:lvlText w:val=""/>
      <w:lvlJc w:val="left"/>
      <w:pPr>
        <w:tabs>
          <w:tab w:val="num" w:pos="1872"/>
        </w:tabs>
        <w:ind w:left="1872" w:hanging="360"/>
      </w:pPr>
      <w:rPr>
        <w:rFonts w:ascii="Symbol" w:hAnsi="Symbol" w:hint="default"/>
      </w:rPr>
    </w:lvl>
    <w:lvl w:ilvl="1" w:tentative="1">
      <w:start w:val="1"/>
      <w:numFmt w:val="bullet"/>
      <w:lvlText w:val="o"/>
      <w:lvlJc w:val="left"/>
      <w:pPr>
        <w:tabs>
          <w:tab w:val="num" w:pos="2592"/>
        </w:tabs>
        <w:ind w:left="2592" w:hanging="360"/>
      </w:pPr>
      <w:rPr>
        <w:rFonts w:ascii="Courier New" w:hAnsi="Courier New" w:hint="default"/>
      </w:rPr>
    </w:lvl>
    <w:lvl w:ilvl="2" w:tentative="1">
      <w:start w:val="1"/>
      <w:numFmt w:val="bullet"/>
      <w:lvlText w:val=""/>
      <w:lvlJc w:val="left"/>
      <w:pPr>
        <w:tabs>
          <w:tab w:val="num" w:pos="3312"/>
        </w:tabs>
        <w:ind w:left="3312" w:hanging="360"/>
      </w:pPr>
      <w:rPr>
        <w:rFonts w:ascii="Wingdings" w:hAnsi="Wingdings" w:hint="default"/>
      </w:rPr>
    </w:lvl>
    <w:lvl w:ilvl="3" w:tentative="1">
      <w:start w:val="1"/>
      <w:numFmt w:val="bullet"/>
      <w:lvlText w:val=""/>
      <w:lvlJc w:val="left"/>
      <w:pPr>
        <w:tabs>
          <w:tab w:val="num" w:pos="4032"/>
        </w:tabs>
        <w:ind w:left="4032" w:hanging="360"/>
      </w:pPr>
      <w:rPr>
        <w:rFonts w:ascii="Symbol" w:hAnsi="Symbol" w:hint="default"/>
      </w:rPr>
    </w:lvl>
    <w:lvl w:ilvl="4" w:tentative="1">
      <w:start w:val="1"/>
      <w:numFmt w:val="bullet"/>
      <w:lvlText w:val="o"/>
      <w:lvlJc w:val="left"/>
      <w:pPr>
        <w:tabs>
          <w:tab w:val="num" w:pos="4752"/>
        </w:tabs>
        <w:ind w:left="4752" w:hanging="360"/>
      </w:pPr>
      <w:rPr>
        <w:rFonts w:ascii="Courier New" w:hAnsi="Courier New" w:hint="default"/>
      </w:rPr>
    </w:lvl>
    <w:lvl w:ilvl="5" w:tentative="1">
      <w:start w:val="1"/>
      <w:numFmt w:val="bullet"/>
      <w:lvlText w:val=""/>
      <w:lvlJc w:val="left"/>
      <w:pPr>
        <w:tabs>
          <w:tab w:val="num" w:pos="5472"/>
        </w:tabs>
        <w:ind w:left="5472" w:hanging="360"/>
      </w:pPr>
      <w:rPr>
        <w:rFonts w:ascii="Wingdings" w:hAnsi="Wingdings" w:hint="default"/>
      </w:rPr>
    </w:lvl>
    <w:lvl w:ilvl="6" w:tentative="1">
      <w:start w:val="1"/>
      <w:numFmt w:val="bullet"/>
      <w:lvlText w:val=""/>
      <w:lvlJc w:val="left"/>
      <w:pPr>
        <w:tabs>
          <w:tab w:val="num" w:pos="6192"/>
        </w:tabs>
        <w:ind w:left="6192" w:hanging="360"/>
      </w:pPr>
      <w:rPr>
        <w:rFonts w:ascii="Symbol" w:hAnsi="Symbol" w:hint="default"/>
      </w:rPr>
    </w:lvl>
    <w:lvl w:ilvl="7" w:tentative="1">
      <w:start w:val="1"/>
      <w:numFmt w:val="bullet"/>
      <w:lvlText w:val="o"/>
      <w:lvlJc w:val="left"/>
      <w:pPr>
        <w:tabs>
          <w:tab w:val="num" w:pos="6912"/>
        </w:tabs>
        <w:ind w:left="6912" w:hanging="360"/>
      </w:pPr>
      <w:rPr>
        <w:rFonts w:ascii="Courier New" w:hAnsi="Courier New" w:hint="default"/>
      </w:rPr>
    </w:lvl>
    <w:lvl w:ilvl="8" w:tentative="1">
      <w:start w:val="1"/>
      <w:numFmt w:val="bullet"/>
      <w:lvlText w:val=""/>
      <w:lvlJc w:val="left"/>
      <w:pPr>
        <w:tabs>
          <w:tab w:val="num" w:pos="7632"/>
        </w:tabs>
        <w:ind w:left="7632" w:hanging="360"/>
      </w:pPr>
      <w:rPr>
        <w:rFonts w:ascii="Wingdings" w:hAnsi="Wingdings" w:hint="default"/>
      </w:rPr>
    </w:lvl>
  </w:abstractNum>
  <w:abstractNum w:abstractNumId="2">
    <w:nsid w:val="32C332FF"/>
    <w:multiLevelType w:val="hybridMultilevel"/>
    <w:tmpl w:val="2A242ED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
    <w:nsid w:val="38DC0016"/>
    <w:multiLevelType w:val="hybridMultilevel"/>
    <w:tmpl w:val="D4AC709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
    <w:nsid w:val="604D3C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C7D1DC7"/>
    <w:multiLevelType w:val="hybridMultilevel"/>
    <w:tmpl w:val="085054E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num w:numId="1" w16cid:durableId="252596389">
    <w:abstractNumId w:val="4"/>
  </w:num>
  <w:num w:numId="2" w16cid:durableId="358707690">
    <w:abstractNumId w:val="1"/>
  </w:num>
  <w:num w:numId="3" w16cid:durableId="272058211">
    <w:abstractNumId w:val="5"/>
  </w:num>
  <w:num w:numId="4" w16cid:durableId="970675597">
    <w:abstractNumId w:val="2"/>
  </w:num>
  <w:num w:numId="5" w16cid:durableId="393479190">
    <w:abstractNumId w:val="3"/>
  </w:num>
  <w:num w:numId="6" w16cid:durableId="55431323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0C6"/>
    <w:rsid w:val="000019A6"/>
    <w:rsid w:val="00002517"/>
    <w:rsid w:val="00007758"/>
    <w:rsid w:val="000077FE"/>
    <w:rsid w:val="00014438"/>
    <w:rsid w:val="0002166F"/>
    <w:rsid w:val="000257E6"/>
    <w:rsid w:val="0002662A"/>
    <w:rsid w:val="00032662"/>
    <w:rsid w:val="00043366"/>
    <w:rsid w:val="000469EF"/>
    <w:rsid w:val="0006214B"/>
    <w:rsid w:val="00072032"/>
    <w:rsid w:val="00072578"/>
    <w:rsid w:val="00075500"/>
    <w:rsid w:val="00077B44"/>
    <w:rsid w:val="00080D4D"/>
    <w:rsid w:val="00091CEB"/>
    <w:rsid w:val="00093C0E"/>
    <w:rsid w:val="00094086"/>
    <w:rsid w:val="00095D9E"/>
    <w:rsid w:val="000A137A"/>
    <w:rsid w:val="000A2CEA"/>
    <w:rsid w:val="000A30BA"/>
    <w:rsid w:val="000A42B3"/>
    <w:rsid w:val="000A6851"/>
    <w:rsid w:val="000A6882"/>
    <w:rsid w:val="000A7B2B"/>
    <w:rsid w:val="000B29A7"/>
    <w:rsid w:val="000B48E8"/>
    <w:rsid w:val="000B4CD2"/>
    <w:rsid w:val="000B7BC5"/>
    <w:rsid w:val="000C0521"/>
    <w:rsid w:val="000C0D41"/>
    <w:rsid w:val="000C3077"/>
    <w:rsid w:val="000C352F"/>
    <w:rsid w:val="000C37E3"/>
    <w:rsid w:val="000C75F4"/>
    <w:rsid w:val="000C7DEE"/>
    <w:rsid w:val="000D0721"/>
    <w:rsid w:val="000D1977"/>
    <w:rsid w:val="000D5061"/>
    <w:rsid w:val="000E1BFC"/>
    <w:rsid w:val="000F403E"/>
    <w:rsid w:val="000F4059"/>
    <w:rsid w:val="00101E9D"/>
    <w:rsid w:val="001068C0"/>
    <w:rsid w:val="00106C54"/>
    <w:rsid w:val="00110E4B"/>
    <w:rsid w:val="00122F48"/>
    <w:rsid w:val="00123E1F"/>
    <w:rsid w:val="00133DB1"/>
    <w:rsid w:val="00141F02"/>
    <w:rsid w:val="001465E3"/>
    <w:rsid w:val="00152AF8"/>
    <w:rsid w:val="00152B76"/>
    <w:rsid w:val="00153AB1"/>
    <w:rsid w:val="00154C69"/>
    <w:rsid w:val="00157BC3"/>
    <w:rsid w:val="00160434"/>
    <w:rsid w:val="00164F4B"/>
    <w:rsid w:val="001727D6"/>
    <w:rsid w:val="001808C0"/>
    <w:rsid w:val="00180D7E"/>
    <w:rsid w:val="001834E0"/>
    <w:rsid w:val="00184C6D"/>
    <w:rsid w:val="00184FD6"/>
    <w:rsid w:val="0019531D"/>
    <w:rsid w:val="0019578B"/>
    <w:rsid w:val="001A4D32"/>
    <w:rsid w:val="001A7B4B"/>
    <w:rsid w:val="001B7070"/>
    <w:rsid w:val="001C71F8"/>
    <w:rsid w:val="001C78FA"/>
    <w:rsid w:val="001D5249"/>
    <w:rsid w:val="001E2070"/>
    <w:rsid w:val="001E2175"/>
    <w:rsid w:val="001E2CA6"/>
    <w:rsid w:val="001E37F7"/>
    <w:rsid w:val="001E5E51"/>
    <w:rsid w:val="001E6345"/>
    <w:rsid w:val="001F04EA"/>
    <w:rsid w:val="001F1187"/>
    <w:rsid w:val="001F3C34"/>
    <w:rsid w:val="0020025A"/>
    <w:rsid w:val="00206611"/>
    <w:rsid w:val="00216021"/>
    <w:rsid w:val="00220BDE"/>
    <w:rsid w:val="00221D90"/>
    <w:rsid w:val="00226D25"/>
    <w:rsid w:val="00230529"/>
    <w:rsid w:val="002330A3"/>
    <w:rsid w:val="002362B2"/>
    <w:rsid w:val="00241C98"/>
    <w:rsid w:val="00267D1C"/>
    <w:rsid w:val="00275AE9"/>
    <w:rsid w:val="002772ED"/>
    <w:rsid w:val="00282E6C"/>
    <w:rsid w:val="00284486"/>
    <w:rsid w:val="00287D67"/>
    <w:rsid w:val="00292029"/>
    <w:rsid w:val="00292513"/>
    <w:rsid w:val="002972EB"/>
    <w:rsid w:val="002A0A81"/>
    <w:rsid w:val="002A257D"/>
    <w:rsid w:val="002A2F67"/>
    <w:rsid w:val="002A4581"/>
    <w:rsid w:val="002A5943"/>
    <w:rsid w:val="002B1FA4"/>
    <w:rsid w:val="002C08E4"/>
    <w:rsid w:val="002C4905"/>
    <w:rsid w:val="002E0FFD"/>
    <w:rsid w:val="002E6F20"/>
    <w:rsid w:val="002E7989"/>
    <w:rsid w:val="002E7E11"/>
    <w:rsid w:val="002F1347"/>
    <w:rsid w:val="002F33D4"/>
    <w:rsid w:val="002F655C"/>
    <w:rsid w:val="002F734A"/>
    <w:rsid w:val="00300E87"/>
    <w:rsid w:val="00310DE0"/>
    <w:rsid w:val="003155B1"/>
    <w:rsid w:val="003172B6"/>
    <w:rsid w:val="0031746E"/>
    <w:rsid w:val="00320E63"/>
    <w:rsid w:val="0033160C"/>
    <w:rsid w:val="00333918"/>
    <w:rsid w:val="00340651"/>
    <w:rsid w:val="00341952"/>
    <w:rsid w:val="00345B3F"/>
    <w:rsid w:val="00351F70"/>
    <w:rsid w:val="0035565F"/>
    <w:rsid w:val="003775E9"/>
    <w:rsid w:val="00382E5C"/>
    <w:rsid w:val="003830E6"/>
    <w:rsid w:val="003838EF"/>
    <w:rsid w:val="00384283"/>
    <w:rsid w:val="00384BFB"/>
    <w:rsid w:val="003A2473"/>
    <w:rsid w:val="003A35AD"/>
    <w:rsid w:val="003A376F"/>
    <w:rsid w:val="003A6FE3"/>
    <w:rsid w:val="003B173F"/>
    <w:rsid w:val="003B32C9"/>
    <w:rsid w:val="003B34BE"/>
    <w:rsid w:val="003B5E0C"/>
    <w:rsid w:val="003C3B1C"/>
    <w:rsid w:val="003D2BBB"/>
    <w:rsid w:val="003D543B"/>
    <w:rsid w:val="003D763A"/>
    <w:rsid w:val="003E3D40"/>
    <w:rsid w:val="003E60DE"/>
    <w:rsid w:val="003F369B"/>
    <w:rsid w:val="00407995"/>
    <w:rsid w:val="00413C87"/>
    <w:rsid w:val="00416659"/>
    <w:rsid w:val="00417275"/>
    <w:rsid w:val="004210B0"/>
    <w:rsid w:val="004220BF"/>
    <w:rsid w:val="004223CB"/>
    <w:rsid w:val="00422D48"/>
    <w:rsid w:val="004235C4"/>
    <w:rsid w:val="00425823"/>
    <w:rsid w:val="00432274"/>
    <w:rsid w:val="00441192"/>
    <w:rsid w:val="00443215"/>
    <w:rsid w:val="004513FD"/>
    <w:rsid w:val="00456DD9"/>
    <w:rsid w:val="004570F3"/>
    <w:rsid w:val="00460773"/>
    <w:rsid w:val="00460B40"/>
    <w:rsid w:val="0046316C"/>
    <w:rsid w:val="00466795"/>
    <w:rsid w:val="00470CB1"/>
    <w:rsid w:val="00476A42"/>
    <w:rsid w:val="00483B73"/>
    <w:rsid w:val="00483F4F"/>
    <w:rsid w:val="00485631"/>
    <w:rsid w:val="00490017"/>
    <w:rsid w:val="00493C92"/>
    <w:rsid w:val="004A0672"/>
    <w:rsid w:val="004A084E"/>
    <w:rsid w:val="004A11EF"/>
    <w:rsid w:val="004A3403"/>
    <w:rsid w:val="004A699A"/>
    <w:rsid w:val="004B0B09"/>
    <w:rsid w:val="004B6193"/>
    <w:rsid w:val="004C2260"/>
    <w:rsid w:val="004D0738"/>
    <w:rsid w:val="004D09F5"/>
    <w:rsid w:val="004D1B4F"/>
    <w:rsid w:val="004D6D12"/>
    <w:rsid w:val="004E009F"/>
    <w:rsid w:val="004E0525"/>
    <w:rsid w:val="004E661E"/>
    <w:rsid w:val="004F06A4"/>
    <w:rsid w:val="004F1808"/>
    <w:rsid w:val="004F6253"/>
    <w:rsid w:val="004F6EF3"/>
    <w:rsid w:val="00501335"/>
    <w:rsid w:val="005113A7"/>
    <w:rsid w:val="00512728"/>
    <w:rsid w:val="0051348F"/>
    <w:rsid w:val="005156B0"/>
    <w:rsid w:val="005159C3"/>
    <w:rsid w:val="00525A3A"/>
    <w:rsid w:val="00526A0E"/>
    <w:rsid w:val="005306B4"/>
    <w:rsid w:val="005330C6"/>
    <w:rsid w:val="0053415D"/>
    <w:rsid w:val="0054044F"/>
    <w:rsid w:val="00541F36"/>
    <w:rsid w:val="00543582"/>
    <w:rsid w:val="00551559"/>
    <w:rsid w:val="005578F7"/>
    <w:rsid w:val="00563E2C"/>
    <w:rsid w:val="005644CE"/>
    <w:rsid w:val="005673A9"/>
    <w:rsid w:val="0057340D"/>
    <w:rsid w:val="00576FFE"/>
    <w:rsid w:val="0057751C"/>
    <w:rsid w:val="00580378"/>
    <w:rsid w:val="00581D07"/>
    <w:rsid w:val="00591253"/>
    <w:rsid w:val="00595D84"/>
    <w:rsid w:val="005A0838"/>
    <w:rsid w:val="005A0847"/>
    <w:rsid w:val="005A10E3"/>
    <w:rsid w:val="005A55F4"/>
    <w:rsid w:val="005A5705"/>
    <w:rsid w:val="005A7157"/>
    <w:rsid w:val="005B02BB"/>
    <w:rsid w:val="005B0FFA"/>
    <w:rsid w:val="005B506F"/>
    <w:rsid w:val="005B6106"/>
    <w:rsid w:val="005B6BCA"/>
    <w:rsid w:val="005C3D1E"/>
    <w:rsid w:val="005D0E18"/>
    <w:rsid w:val="005D1D16"/>
    <w:rsid w:val="005D20D6"/>
    <w:rsid w:val="005D3802"/>
    <w:rsid w:val="005D5255"/>
    <w:rsid w:val="005D5E0C"/>
    <w:rsid w:val="005E1C9D"/>
    <w:rsid w:val="005E4376"/>
    <w:rsid w:val="005E5CD8"/>
    <w:rsid w:val="005E720A"/>
    <w:rsid w:val="005F0150"/>
    <w:rsid w:val="005F3AD1"/>
    <w:rsid w:val="005F7F9F"/>
    <w:rsid w:val="006013BF"/>
    <w:rsid w:val="00606EFD"/>
    <w:rsid w:val="00615FDB"/>
    <w:rsid w:val="00624D76"/>
    <w:rsid w:val="00625771"/>
    <w:rsid w:val="00631D68"/>
    <w:rsid w:val="006352F1"/>
    <w:rsid w:val="0064394B"/>
    <w:rsid w:val="0066142A"/>
    <w:rsid w:val="00690B0B"/>
    <w:rsid w:val="00690D22"/>
    <w:rsid w:val="00691065"/>
    <w:rsid w:val="006932F4"/>
    <w:rsid w:val="00695844"/>
    <w:rsid w:val="006A09BF"/>
    <w:rsid w:val="006A1334"/>
    <w:rsid w:val="006A242F"/>
    <w:rsid w:val="006A526D"/>
    <w:rsid w:val="006C212A"/>
    <w:rsid w:val="006C3147"/>
    <w:rsid w:val="006C316A"/>
    <w:rsid w:val="006C634C"/>
    <w:rsid w:val="006C6E93"/>
    <w:rsid w:val="006D495B"/>
    <w:rsid w:val="006E5DBB"/>
    <w:rsid w:val="006E5FF4"/>
    <w:rsid w:val="006F1F3F"/>
    <w:rsid w:val="006F3C15"/>
    <w:rsid w:val="006F57DF"/>
    <w:rsid w:val="007050D9"/>
    <w:rsid w:val="00713804"/>
    <w:rsid w:val="00713E25"/>
    <w:rsid w:val="007242C4"/>
    <w:rsid w:val="0073084F"/>
    <w:rsid w:val="007308DE"/>
    <w:rsid w:val="0074575A"/>
    <w:rsid w:val="007470AA"/>
    <w:rsid w:val="0076014C"/>
    <w:rsid w:val="00761C0A"/>
    <w:rsid w:val="00763A76"/>
    <w:rsid w:val="00765F89"/>
    <w:rsid w:val="00766570"/>
    <w:rsid w:val="007743B1"/>
    <w:rsid w:val="00774B4F"/>
    <w:rsid w:val="00775583"/>
    <w:rsid w:val="007761E7"/>
    <w:rsid w:val="007822B7"/>
    <w:rsid w:val="00787F4D"/>
    <w:rsid w:val="00790517"/>
    <w:rsid w:val="00793290"/>
    <w:rsid w:val="00797F49"/>
    <w:rsid w:val="007A0048"/>
    <w:rsid w:val="007B0C95"/>
    <w:rsid w:val="007C6258"/>
    <w:rsid w:val="007D1D8E"/>
    <w:rsid w:val="007D288A"/>
    <w:rsid w:val="007D2ACA"/>
    <w:rsid w:val="007D608E"/>
    <w:rsid w:val="007D7F0A"/>
    <w:rsid w:val="007E1B10"/>
    <w:rsid w:val="007E1D3E"/>
    <w:rsid w:val="007F71E5"/>
    <w:rsid w:val="00802649"/>
    <w:rsid w:val="0081613D"/>
    <w:rsid w:val="00816ED1"/>
    <w:rsid w:val="00817B74"/>
    <w:rsid w:val="00820271"/>
    <w:rsid w:val="00825522"/>
    <w:rsid w:val="00831783"/>
    <w:rsid w:val="0083535E"/>
    <w:rsid w:val="00836FD8"/>
    <w:rsid w:val="008423AE"/>
    <w:rsid w:val="00844A97"/>
    <w:rsid w:val="008453CE"/>
    <w:rsid w:val="0085019F"/>
    <w:rsid w:val="0085303F"/>
    <w:rsid w:val="00862D63"/>
    <w:rsid w:val="008640C9"/>
    <w:rsid w:val="0087409B"/>
    <w:rsid w:val="00876A33"/>
    <w:rsid w:val="008771E7"/>
    <w:rsid w:val="008775FD"/>
    <w:rsid w:val="008779D8"/>
    <w:rsid w:val="00880128"/>
    <w:rsid w:val="00895B35"/>
    <w:rsid w:val="008A0F52"/>
    <w:rsid w:val="008A1C1E"/>
    <w:rsid w:val="008A3D94"/>
    <w:rsid w:val="008A734F"/>
    <w:rsid w:val="008B225A"/>
    <w:rsid w:val="008B6C6D"/>
    <w:rsid w:val="008C00D1"/>
    <w:rsid w:val="008C1F90"/>
    <w:rsid w:val="008C2C1A"/>
    <w:rsid w:val="008C65CF"/>
    <w:rsid w:val="008C6906"/>
    <w:rsid w:val="008D3DDA"/>
    <w:rsid w:val="008E3995"/>
    <w:rsid w:val="008E4A09"/>
    <w:rsid w:val="008E72ED"/>
    <w:rsid w:val="008F7E83"/>
    <w:rsid w:val="00902384"/>
    <w:rsid w:val="00906582"/>
    <w:rsid w:val="009067B6"/>
    <w:rsid w:val="00911102"/>
    <w:rsid w:val="00914CD6"/>
    <w:rsid w:val="00920005"/>
    <w:rsid w:val="00933428"/>
    <w:rsid w:val="00937811"/>
    <w:rsid w:val="00941EA3"/>
    <w:rsid w:val="00942339"/>
    <w:rsid w:val="0094529E"/>
    <w:rsid w:val="0094645C"/>
    <w:rsid w:val="0094697B"/>
    <w:rsid w:val="00955386"/>
    <w:rsid w:val="00964B89"/>
    <w:rsid w:val="00964CF3"/>
    <w:rsid w:val="00972B16"/>
    <w:rsid w:val="0097629C"/>
    <w:rsid w:val="00983F77"/>
    <w:rsid w:val="0098404C"/>
    <w:rsid w:val="0098417E"/>
    <w:rsid w:val="009841E6"/>
    <w:rsid w:val="00985C0F"/>
    <w:rsid w:val="009872BD"/>
    <w:rsid w:val="00987A05"/>
    <w:rsid w:val="00991767"/>
    <w:rsid w:val="00992D58"/>
    <w:rsid w:val="00993595"/>
    <w:rsid w:val="00996B8D"/>
    <w:rsid w:val="00997645"/>
    <w:rsid w:val="009A443D"/>
    <w:rsid w:val="009A5ABE"/>
    <w:rsid w:val="009A5FF3"/>
    <w:rsid w:val="009B140B"/>
    <w:rsid w:val="009B29D4"/>
    <w:rsid w:val="009B4BB2"/>
    <w:rsid w:val="009B69A9"/>
    <w:rsid w:val="009B70CD"/>
    <w:rsid w:val="009B7526"/>
    <w:rsid w:val="009C05F3"/>
    <w:rsid w:val="009D0694"/>
    <w:rsid w:val="009D1313"/>
    <w:rsid w:val="009D1976"/>
    <w:rsid w:val="009D27A7"/>
    <w:rsid w:val="009D3573"/>
    <w:rsid w:val="009D5915"/>
    <w:rsid w:val="009E3634"/>
    <w:rsid w:val="009E74E1"/>
    <w:rsid w:val="009F0E2C"/>
    <w:rsid w:val="009F7FD4"/>
    <w:rsid w:val="00A050E9"/>
    <w:rsid w:val="00A204AB"/>
    <w:rsid w:val="00A23741"/>
    <w:rsid w:val="00A259C2"/>
    <w:rsid w:val="00A26363"/>
    <w:rsid w:val="00A30D2F"/>
    <w:rsid w:val="00A33C7C"/>
    <w:rsid w:val="00A379C4"/>
    <w:rsid w:val="00A6313D"/>
    <w:rsid w:val="00A73137"/>
    <w:rsid w:val="00A73CDC"/>
    <w:rsid w:val="00A74635"/>
    <w:rsid w:val="00A75E44"/>
    <w:rsid w:val="00A76574"/>
    <w:rsid w:val="00A76EC0"/>
    <w:rsid w:val="00A8051C"/>
    <w:rsid w:val="00A808A4"/>
    <w:rsid w:val="00A82880"/>
    <w:rsid w:val="00A844CD"/>
    <w:rsid w:val="00A85651"/>
    <w:rsid w:val="00A8648A"/>
    <w:rsid w:val="00A96732"/>
    <w:rsid w:val="00AC133C"/>
    <w:rsid w:val="00AC3BCE"/>
    <w:rsid w:val="00AC4F27"/>
    <w:rsid w:val="00AD1032"/>
    <w:rsid w:val="00AD3918"/>
    <w:rsid w:val="00AD5936"/>
    <w:rsid w:val="00AE5334"/>
    <w:rsid w:val="00AF072B"/>
    <w:rsid w:val="00AF2352"/>
    <w:rsid w:val="00AF6CE0"/>
    <w:rsid w:val="00AF7792"/>
    <w:rsid w:val="00B01F7F"/>
    <w:rsid w:val="00B04A1B"/>
    <w:rsid w:val="00B06C4E"/>
    <w:rsid w:val="00B06D32"/>
    <w:rsid w:val="00B07970"/>
    <w:rsid w:val="00B10647"/>
    <w:rsid w:val="00B25950"/>
    <w:rsid w:val="00B25C53"/>
    <w:rsid w:val="00B35FDD"/>
    <w:rsid w:val="00B37128"/>
    <w:rsid w:val="00B475D1"/>
    <w:rsid w:val="00B50F61"/>
    <w:rsid w:val="00B51414"/>
    <w:rsid w:val="00B532A0"/>
    <w:rsid w:val="00B613E5"/>
    <w:rsid w:val="00B62B4B"/>
    <w:rsid w:val="00B64586"/>
    <w:rsid w:val="00B64D94"/>
    <w:rsid w:val="00B77AD6"/>
    <w:rsid w:val="00B83883"/>
    <w:rsid w:val="00B876EC"/>
    <w:rsid w:val="00B91CD1"/>
    <w:rsid w:val="00B9534E"/>
    <w:rsid w:val="00B97CD0"/>
    <w:rsid w:val="00BA6B42"/>
    <w:rsid w:val="00BB0F9E"/>
    <w:rsid w:val="00BB4078"/>
    <w:rsid w:val="00BC1BAE"/>
    <w:rsid w:val="00BC427F"/>
    <w:rsid w:val="00BD3F42"/>
    <w:rsid w:val="00BE0BD1"/>
    <w:rsid w:val="00BE31EB"/>
    <w:rsid w:val="00BE526C"/>
    <w:rsid w:val="00BE55CC"/>
    <w:rsid w:val="00BF2846"/>
    <w:rsid w:val="00BF7BE7"/>
    <w:rsid w:val="00C02A78"/>
    <w:rsid w:val="00C06D3C"/>
    <w:rsid w:val="00C12332"/>
    <w:rsid w:val="00C2190A"/>
    <w:rsid w:val="00C239AE"/>
    <w:rsid w:val="00C26E20"/>
    <w:rsid w:val="00C31A2F"/>
    <w:rsid w:val="00C4180B"/>
    <w:rsid w:val="00C462D2"/>
    <w:rsid w:val="00C47FB7"/>
    <w:rsid w:val="00C50642"/>
    <w:rsid w:val="00C5343E"/>
    <w:rsid w:val="00C604E8"/>
    <w:rsid w:val="00C6598C"/>
    <w:rsid w:val="00C659D9"/>
    <w:rsid w:val="00C72529"/>
    <w:rsid w:val="00C729DF"/>
    <w:rsid w:val="00C8351B"/>
    <w:rsid w:val="00C8376E"/>
    <w:rsid w:val="00C95884"/>
    <w:rsid w:val="00CA031A"/>
    <w:rsid w:val="00CB1609"/>
    <w:rsid w:val="00CC0133"/>
    <w:rsid w:val="00CC207B"/>
    <w:rsid w:val="00CC22B1"/>
    <w:rsid w:val="00CC3A0C"/>
    <w:rsid w:val="00CC41BA"/>
    <w:rsid w:val="00CD3857"/>
    <w:rsid w:val="00CD6AED"/>
    <w:rsid w:val="00CD7FD5"/>
    <w:rsid w:val="00CE2BF6"/>
    <w:rsid w:val="00CE2CCD"/>
    <w:rsid w:val="00CF0D1A"/>
    <w:rsid w:val="00CF7564"/>
    <w:rsid w:val="00D009DF"/>
    <w:rsid w:val="00D25569"/>
    <w:rsid w:val="00D26A84"/>
    <w:rsid w:val="00D30881"/>
    <w:rsid w:val="00D3180C"/>
    <w:rsid w:val="00D40B9F"/>
    <w:rsid w:val="00D40E1B"/>
    <w:rsid w:val="00D451EB"/>
    <w:rsid w:val="00D46ACE"/>
    <w:rsid w:val="00D47064"/>
    <w:rsid w:val="00D53CF8"/>
    <w:rsid w:val="00D61F06"/>
    <w:rsid w:val="00D7027F"/>
    <w:rsid w:val="00D70E1D"/>
    <w:rsid w:val="00D80489"/>
    <w:rsid w:val="00D85681"/>
    <w:rsid w:val="00D8647D"/>
    <w:rsid w:val="00D93772"/>
    <w:rsid w:val="00D97006"/>
    <w:rsid w:val="00DA029F"/>
    <w:rsid w:val="00DB6729"/>
    <w:rsid w:val="00DC305A"/>
    <w:rsid w:val="00DD3787"/>
    <w:rsid w:val="00DD56A8"/>
    <w:rsid w:val="00DE5675"/>
    <w:rsid w:val="00DE7806"/>
    <w:rsid w:val="00DF1242"/>
    <w:rsid w:val="00DF2900"/>
    <w:rsid w:val="00DF356A"/>
    <w:rsid w:val="00DF476B"/>
    <w:rsid w:val="00E005C8"/>
    <w:rsid w:val="00E006D0"/>
    <w:rsid w:val="00E01567"/>
    <w:rsid w:val="00E10370"/>
    <w:rsid w:val="00E116BD"/>
    <w:rsid w:val="00E14641"/>
    <w:rsid w:val="00E15258"/>
    <w:rsid w:val="00E17F98"/>
    <w:rsid w:val="00E3036C"/>
    <w:rsid w:val="00E3057F"/>
    <w:rsid w:val="00E30955"/>
    <w:rsid w:val="00E35869"/>
    <w:rsid w:val="00E37F02"/>
    <w:rsid w:val="00E44AE2"/>
    <w:rsid w:val="00E4507C"/>
    <w:rsid w:val="00E54AD3"/>
    <w:rsid w:val="00E559CC"/>
    <w:rsid w:val="00E56F50"/>
    <w:rsid w:val="00E57498"/>
    <w:rsid w:val="00E63E40"/>
    <w:rsid w:val="00E91EA6"/>
    <w:rsid w:val="00E9465C"/>
    <w:rsid w:val="00E96CFA"/>
    <w:rsid w:val="00EA4B54"/>
    <w:rsid w:val="00EA6B78"/>
    <w:rsid w:val="00EC1E24"/>
    <w:rsid w:val="00EC3DA2"/>
    <w:rsid w:val="00ED197B"/>
    <w:rsid w:val="00ED4338"/>
    <w:rsid w:val="00ED5473"/>
    <w:rsid w:val="00ED7674"/>
    <w:rsid w:val="00EE7FB1"/>
    <w:rsid w:val="00EF217E"/>
    <w:rsid w:val="00EF62BA"/>
    <w:rsid w:val="00EF6DAC"/>
    <w:rsid w:val="00F00270"/>
    <w:rsid w:val="00F00597"/>
    <w:rsid w:val="00F01DFE"/>
    <w:rsid w:val="00F05F5C"/>
    <w:rsid w:val="00F108D7"/>
    <w:rsid w:val="00F20B11"/>
    <w:rsid w:val="00F22B91"/>
    <w:rsid w:val="00F23929"/>
    <w:rsid w:val="00F2526B"/>
    <w:rsid w:val="00F274BA"/>
    <w:rsid w:val="00F413CA"/>
    <w:rsid w:val="00F41D6F"/>
    <w:rsid w:val="00F503A2"/>
    <w:rsid w:val="00F56E14"/>
    <w:rsid w:val="00F57017"/>
    <w:rsid w:val="00F66433"/>
    <w:rsid w:val="00F74245"/>
    <w:rsid w:val="00F7479D"/>
    <w:rsid w:val="00F75D49"/>
    <w:rsid w:val="00F77D8F"/>
    <w:rsid w:val="00F80307"/>
    <w:rsid w:val="00F916ED"/>
    <w:rsid w:val="00F9487A"/>
    <w:rsid w:val="00F96D99"/>
    <w:rsid w:val="00FA47D3"/>
    <w:rsid w:val="00FA726D"/>
    <w:rsid w:val="00FA7BC1"/>
    <w:rsid w:val="00FB26FC"/>
    <w:rsid w:val="00FB4D8D"/>
    <w:rsid w:val="00FB6D2B"/>
    <w:rsid w:val="00FC076F"/>
    <w:rsid w:val="00FC1FFE"/>
    <w:rsid w:val="00FD4E9E"/>
    <w:rsid w:val="00FD7865"/>
    <w:rsid w:val="00FE0FBD"/>
    <w:rsid w:val="00FF0BFB"/>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2336D5E9"/>
  <w15:docId w15:val="{DE29DA3D-E035-424C-B6DA-3FB8446CA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line="240" w:lineRule="atLeast"/>
      <w:jc w:val="both"/>
    </w:pPr>
    <w:rPr>
      <w:sz w:val="22"/>
    </w:rPr>
  </w:style>
  <w:style w:type="paragraph" w:styleId="Heading1">
    <w:name w:val="heading 1"/>
    <w:aliases w:val="H1-Sec.Head"/>
    <w:basedOn w:val="Normal"/>
    <w:next w:val="Normal"/>
    <w:link w:val="Heading1Char"/>
    <w:qFormat/>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Normal"/>
    <w:qFormat/>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Normal"/>
    <w:qFormat/>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Normal"/>
    <w:qFormat/>
    <w:pPr>
      <w:keepNext/>
      <w:tabs>
        <w:tab w:val="left" w:pos="1152"/>
      </w:tabs>
      <w:spacing w:after="360" w:line="360" w:lineRule="atLeast"/>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keepNext/>
      <w:keepLines/>
      <w:ind w:left="80"/>
      <w:outlineLvl w:val="7"/>
    </w:pPr>
    <w:rPr>
      <w:i/>
      <w:color w:val="000000"/>
      <w:sz w:val="20"/>
    </w:rPr>
  </w:style>
  <w:style w:type="paragraph" w:styleId="Heading9">
    <w:name w:val="heading 9"/>
    <w:basedOn w:val="Normal"/>
    <w:next w:val="Normal"/>
    <w:qFormat/>
    <w:pPr>
      <w:keepNext/>
      <w:spacing w:line="360" w:lineRule="auto"/>
      <w:ind w:firstLine="720"/>
      <w:jc w:val="lef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C3-CtrSp12">
    <w:name w:val="C3-Ctr Sp&amp;1/2"/>
    <w:pPr>
      <w:keepLines/>
      <w:spacing w:line="360" w:lineRule="atLeast"/>
      <w:jc w:val="center"/>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right" w:pos="1152"/>
        <w:tab w:val="center" w:pos="1440"/>
        <w:tab w:val="left" w:pos="1728"/>
        <w:tab w:val="clear" w:pos="4680"/>
        <w:tab w:val="clear" w:pos="9360"/>
      </w:tabs>
      <w:ind w:left="1728" w:hanging="1728"/>
    </w:pPr>
  </w:style>
  <w:style w:type="paragraph" w:styleId="FootnoteText">
    <w:name w:val="footnote text"/>
    <w:aliases w:val="F1"/>
    <w:link w:val="FootnoteTextChar"/>
    <w:uiPriority w:val="99"/>
    <w:semiHidden/>
    <w:pPr>
      <w:tabs>
        <w:tab w:val="left" w:pos="120"/>
      </w:tabs>
      <w:spacing w:before="120" w:line="200" w:lineRule="atLeast"/>
      <w:ind w:left="115" w:hanging="115"/>
      <w:jc w:val="both"/>
    </w:pPr>
    <w:rPr>
      <w:sz w:val="16"/>
    </w:rPr>
  </w:style>
  <w:style w:type="paragraph" w:customStyle="1" w:styleId="L1-FlLSp12">
    <w:name w:val="L1-FlL Sp&amp;1/2"/>
    <w:link w:val="L1-FlLSp12Char"/>
    <w:uiPriority w:val="99"/>
    <w:pPr>
      <w:tabs>
        <w:tab w:val="left" w:pos="1200"/>
      </w:tabs>
      <w:spacing w:line="360" w:lineRule="atLeast"/>
      <w:jc w:val="both"/>
    </w:pPr>
    <w:rPr>
      <w:sz w:val="22"/>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tabs>
        <w:tab w:val="left" w:pos="1152"/>
      </w:tabs>
      <w:spacing w:after="240"/>
      <w:ind w:left="1152" w:hanging="576"/>
    </w:pPr>
  </w:style>
  <w:style w:type="paragraph" w:customStyle="1" w:styleId="N2-2ndBullet">
    <w:name w:val="N2-2nd Bullet"/>
    <w:basedOn w:val="Normal"/>
    <w:pPr>
      <w:tabs>
        <w:tab w:val="left" w:pos="1728"/>
      </w:tabs>
      <w:spacing w:after="240"/>
      <w:ind w:left="1728" w:hanging="576"/>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P1-StandPara">
    <w:name w:val="P1-Stand Para"/>
    <w:uiPriority w:val="99"/>
    <w:pPr>
      <w:spacing w:line="360" w:lineRule="atLeast"/>
      <w:ind w:firstLine="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L-FlLftSgl">
    <w:name w:val="SL-Fl Lft Sgl"/>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T0-ChapPgHd">
    <w:name w:val="T0-Chap/Pg Hd"/>
    <w:pPr>
      <w:tabs>
        <w:tab w:val="left" w:pos="8640"/>
      </w:tabs>
      <w:spacing w:line="240" w:lineRule="atLeast"/>
      <w:jc w:val="both"/>
    </w:pPr>
    <w:rPr>
      <w:sz w:val="22"/>
      <w:u w:val="words"/>
    </w:rPr>
  </w:style>
  <w:style w:type="paragraph" w:styleId="TOC1">
    <w:name w:val="toc 1"/>
    <w:autoRedefine/>
    <w:uiPriority w:val="39"/>
    <w:pPr>
      <w:tabs>
        <w:tab w:val="left" w:pos="1440"/>
        <w:tab w:val="right" w:leader="dot" w:pos="8208"/>
        <w:tab w:val="left" w:pos="8640"/>
      </w:tabs>
      <w:spacing w:line="240" w:lineRule="atLeast"/>
      <w:ind w:left="288"/>
    </w:pPr>
    <w:rPr>
      <w:caps/>
      <w:sz w:val="22"/>
    </w:rPr>
  </w:style>
  <w:style w:type="paragraph" w:styleId="TOC2">
    <w:name w:val="toc 2"/>
    <w:autoRedefine/>
    <w:uiPriority w:val="39"/>
    <w:rsid w:val="00BE0BD1"/>
    <w:pPr>
      <w:tabs>
        <w:tab w:val="left" w:pos="1440"/>
        <w:tab w:val="right" w:leader="dot" w:pos="8208"/>
        <w:tab w:val="left" w:pos="8640"/>
      </w:tabs>
      <w:spacing w:line="240" w:lineRule="atLeast"/>
      <w:ind w:left="1440" w:hanging="720"/>
    </w:pPr>
    <w:rPr>
      <w:sz w:val="22"/>
    </w:rPr>
  </w:style>
  <w:style w:type="paragraph" w:styleId="TOC3">
    <w:name w:val="toc 3"/>
    <w:autoRedefine/>
    <w:semiHidden/>
    <w:pPr>
      <w:tabs>
        <w:tab w:val="left" w:pos="3024"/>
        <w:tab w:val="right" w:leader="dot" w:pos="8208"/>
        <w:tab w:val="left" w:pos="8640"/>
      </w:tabs>
      <w:spacing w:line="240" w:lineRule="atLeast"/>
      <w:ind w:left="3024" w:hanging="864"/>
    </w:pPr>
    <w:rPr>
      <w:sz w:val="22"/>
    </w:rPr>
  </w:style>
  <w:style w:type="paragraph" w:styleId="TOC4">
    <w:name w:val="toc 4"/>
    <w:autoRedefine/>
    <w:semiHidden/>
    <w:pPr>
      <w:tabs>
        <w:tab w:val="left" w:pos="3888"/>
        <w:tab w:val="right" w:leader="dot" w:pos="8208"/>
        <w:tab w:val="left" w:pos="8640"/>
      </w:tabs>
      <w:spacing w:line="240" w:lineRule="atLeast"/>
      <w:ind w:left="3888" w:hanging="864"/>
    </w:pPr>
    <w:rPr>
      <w:sz w:val="22"/>
    </w:rPr>
  </w:style>
  <w:style w:type="paragraph" w:styleId="TOC5">
    <w:name w:val="toc 5"/>
    <w:basedOn w:val="TOC1"/>
    <w:autoRedefine/>
    <w:semiHidden/>
    <w:rPr>
      <w:caps w:val="0"/>
    </w:rPr>
  </w:style>
  <w:style w:type="paragraph" w:customStyle="1" w:styleId="TT-TableTitle">
    <w:name w:val="TT-Table Title"/>
    <w:pPr>
      <w:tabs>
        <w:tab w:val="left" w:pos="1152"/>
      </w:tabs>
      <w:spacing w:line="240" w:lineRule="atLeast"/>
      <w:ind w:left="1152" w:hanging="1152"/>
    </w:pPr>
    <w:rPr>
      <w:sz w:val="22"/>
    </w:rPr>
  </w:style>
  <w:style w:type="character" w:styleId="FootnoteReference">
    <w:name w:val="footnote reference"/>
    <w:basedOn w:val="DefaultParagraphFont"/>
    <w:uiPriority w:val="99"/>
    <w:semiHidden/>
    <w:rPr>
      <w:vertAlign w:val="superscript"/>
    </w:rPr>
  </w:style>
  <w:style w:type="paragraph" w:styleId="BodyText">
    <w:name w:val="Body Text"/>
    <w:basedOn w:val="Normal"/>
    <w:pPr>
      <w:jc w:val="left"/>
    </w:pPr>
  </w:style>
  <w:style w:type="paragraph" w:styleId="BodyText2">
    <w:name w:val="Body Text 2"/>
    <w:basedOn w:val="Normal"/>
    <w:pPr>
      <w:spacing w:before="120"/>
      <w:jc w:val="left"/>
    </w:pPr>
    <w:rPr>
      <w:snapToGrid w:val="0"/>
      <w:color w:val="000000"/>
    </w:rPr>
  </w:style>
  <w:style w:type="paragraph" w:styleId="BodyText3">
    <w:name w:val="Body Text 3"/>
    <w:basedOn w:val="Normal"/>
    <w:pPr>
      <w:spacing w:before="120"/>
      <w:jc w:val="left"/>
    </w:pPr>
    <w:rPr>
      <w:snapToGrid w:val="0"/>
      <w:color w:val="000000"/>
      <w:sz w:val="20"/>
    </w:rPr>
  </w:style>
  <w:style w:type="character" w:customStyle="1" w:styleId="ALT-uunderlining">
    <w:name w:val="ALT-u underlining"/>
    <w:rPr>
      <w:rFonts w:ascii="Times" w:hAnsi="Times"/>
      <w:sz w:val="22"/>
      <w:u w:val="single"/>
    </w:rPr>
  </w:style>
  <w:style w:type="paragraph" w:customStyle="1" w:styleId="memo-regpara">
    <w:name w:val="memo-reg para"/>
    <w:basedOn w:val="Normal"/>
    <w:pPr>
      <w:tabs>
        <w:tab w:val="left" w:pos="1440"/>
      </w:tabs>
      <w:spacing w:line="240" w:lineRule="auto"/>
      <w:jc w:val="left"/>
    </w:pPr>
    <w:rPr>
      <w:rFonts w:ascii="Times" w:hAnsi="Times"/>
      <w:sz w:val="24"/>
    </w:rPr>
  </w:style>
  <w:style w:type="paragraph" w:customStyle="1" w:styleId="report-tablehead">
    <w:name w:val="report-table head"/>
    <w:basedOn w:val="report-contparagraph"/>
    <w:pPr>
      <w:tabs>
        <w:tab w:val="clear" w:pos="1440"/>
      </w:tabs>
      <w:ind w:left="1080" w:hanging="1080"/>
    </w:pPr>
  </w:style>
  <w:style w:type="paragraph" w:customStyle="1" w:styleId="report-contparagraph">
    <w:name w:val="report-cont paragraph"/>
    <w:basedOn w:val="memo-regpara"/>
    <w:pPr>
      <w:tabs>
        <w:tab w:val="center" w:pos="4320"/>
        <w:tab w:val="center" w:pos="792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C1">
    <w:name w:val="C1"/>
    <w:pPr>
      <w:keepLines/>
      <w:spacing w:line="240" w:lineRule="atLeast"/>
      <w:jc w:val="center"/>
    </w:pPr>
    <w:rPr>
      <w:rFonts w:ascii="Times" w:hAnsi="Times"/>
      <w:b/>
      <w:sz w:val="24"/>
    </w:rPr>
  </w:style>
  <w:style w:type="paragraph" w:styleId="BlockText">
    <w:name w:val="Block Text"/>
    <w:basedOn w:val="Normal"/>
    <w:pPr>
      <w:ind w:left="630" w:right="720" w:hanging="180"/>
    </w:pPr>
    <w:rPr>
      <w:color w:val="000000"/>
    </w:rPr>
  </w:style>
  <w:style w:type="character" w:styleId="Strong">
    <w:name w:val="Strong"/>
    <w:basedOn w:val="DefaultParagraphFont"/>
    <w:qFormat/>
    <w:rPr>
      <w:b/>
    </w:rPr>
  </w:style>
  <w:style w:type="paragraph" w:styleId="EndnoteText">
    <w:name w:val="endnote text"/>
    <w:basedOn w:val="Normal"/>
    <w:semiHidden/>
    <w:rPr>
      <w:sz w:val="20"/>
    </w:rPr>
  </w:style>
  <w:style w:type="paragraph" w:styleId="BodyTextIndent3">
    <w:name w:val="Body Text Indent 3"/>
    <w:basedOn w:val="Normal"/>
    <w:pPr>
      <w:tabs>
        <w:tab w:val="left" w:pos="1008"/>
        <w:tab w:val="left" w:leader="dot" w:pos="3330"/>
        <w:tab w:val="center" w:pos="3744"/>
        <w:tab w:val="center" w:pos="4752"/>
        <w:tab w:val="center" w:pos="5760"/>
        <w:tab w:val="center" w:pos="6768"/>
        <w:tab w:val="center" w:pos="7776"/>
        <w:tab w:val="center" w:pos="8784"/>
      </w:tabs>
      <w:ind w:firstLine="720"/>
      <w:jc w:val="left"/>
    </w:pPr>
  </w:style>
  <w:style w:type="character" w:styleId="Hyperlink">
    <w:name w:val="Hyperlink"/>
    <w:basedOn w:val="DefaultParagraphFont"/>
    <w:uiPriority w:val="99"/>
    <w:rPr>
      <w:color w:val="0000FF"/>
      <w:u w:val="single"/>
    </w:rPr>
  </w:style>
  <w:style w:type="paragraph" w:styleId="TOC6">
    <w:name w:val="toc 6"/>
    <w:basedOn w:val="Normal"/>
    <w:next w:val="Normal"/>
    <w:autoRedefine/>
    <w:semiHidden/>
    <w:pPr>
      <w:spacing w:line="240" w:lineRule="auto"/>
      <w:ind w:left="1200"/>
      <w:jc w:val="left"/>
    </w:pPr>
    <w:rPr>
      <w:sz w:val="18"/>
    </w:rPr>
  </w:style>
  <w:style w:type="paragraph" w:styleId="BodyTextIndent">
    <w:name w:val="Body Text Indent"/>
    <w:basedOn w:val="Normal"/>
    <w:pPr>
      <w:spacing w:line="240" w:lineRule="auto"/>
      <w:ind w:left="720"/>
      <w:jc w:val="left"/>
    </w:pPr>
    <w:rPr>
      <w:sz w:val="20"/>
    </w:rPr>
  </w:style>
  <w:style w:type="paragraph" w:styleId="CommentText">
    <w:name w:val="annotation text"/>
    <w:basedOn w:val="Normal"/>
    <w:link w:val="CommentTextChar"/>
    <w:semiHidden/>
    <w:pPr>
      <w:spacing w:line="240" w:lineRule="auto"/>
      <w:jc w:val="left"/>
    </w:pPr>
    <w:rPr>
      <w:sz w:val="20"/>
    </w:rPr>
  </w:style>
  <w:style w:type="paragraph" w:styleId="BodyTextIndent2">
    <w:name w:val="Body Text Indent 2"/>
    <w:basedOn w:val="Normal"/>
    <w:pPr>
      <w:spacing w:line="360" w:lineRule="auto"/>
      <w:ind w:left="1440"/>
      <w:jc w:val="left"/>
    </w:pPr>
  </w:style>
  <w:style w:type="paragraph" w:styleId="Title">
    <w:name w:val="Title"/>
    <w:basedOn w:val="Normal"/>
    <w:link w:val="TitleChar"/>
    <w:qFormat/>
    <w:rsid w:val="008E3995"/>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jc w:val="center"/>
    </w:pPr>
    <w:rPr>
      <w:b/>
      <w:sz w:val="24"/>
    </w:rPr>
  </w:style>
  <w:style w:type="character" w:customStyle="1" w:styleId="field">
    <w:name w:val="field"/>
    <w:basedOn w:val="DefaultParagraphFont"/>
    <w:rsid w:val="00FD7865"/>
  </w:style>
  <w:style w:type="character" w:customStyle="1" w:styleId="key">
    <w:name w:val="key"/>
    <w:basedOn w:val="DefaultParagraphFont"/>
    <w:rsid w:val="00FD7865"/>
  </w:style>
  <w:style w:type="character" w:customStyle="1" w:styleId="value">
    <w:name w:val="value"/>
    <w:basedOn w:val="DefaultParagraphFont"/>
    <w:rsid w:val="00FD7865"/>
  </w:style>
  <w:style w:type="paragraph" w:styleId="NormalWeb">
    <w:name w:val="Normal (Web)"/>
    <w:basedOn w:val="Normal"/>
    <w:uiPriority w:val="99"/>
    <w:unhideWhenUsed/>
    <w:rsid w:val="001465E3"/>
    <w:pPr>
      <w:spacing w:before="100" w:beforeAutospacing="1" w:after="100" w:afterAutospacing="1" w:line="240" w:lineRule="auto"/>
      <w:jc w:val="left"/>
    </w:pPr>
    <w:rPr>
      <w:sz w:val="24"/>
      <w:szCs w:val="24"/>
    </w:rPr>
  </w:style>
  <w:style w:type="character" w:styleId="CommentReference">
    <w:name w:val="annotation reference"/>
    <w:basedOn w:val="DefaultParagraphFont"/>
    <w:rsid w:val="00072032"/>
    <w:rPr>
      <w:sz w:val="16"/>
      <w:szCs w:val="16"/>
    </w:rPr>
  </w:style>
  <w:style w:type="paragraph" w:styleId="CommentSubject">
    <w:name w:val="annotation subject"/>
    <w:basedOn w:val="CommentText"/>
    <w:next w:val="CommentText"/>
    <w:link w:val="CommentSubjectChar"/>
    <w:rsid w:val="00072032"/>
    <w:pPr>
      <w:jc w:val="both"/>
    </w:pPr>
    <w:rPr>
      <w:b/>
      <w:bCs/>
    </w:rPr>
  </w:style>
  <w:style w:type="character" w:customStyle="1" w:styleId="CommentTextChar">
    <w:name w:val="Comment Text Char"/>
    <w:basedOn w:val="DefaultParagraphFont"/>
    <w:link w:val="CommentText"/>
    <w:semiHidden/>
    <w:rsid w:val="00072032"/>
  </w:style>
  <w:style w:type="character" w:customStyle="1" w:styleId="CommentSubjectChar">
    <w:name w:val="Comment Subject Char"/>
    <w:basedOn w:val="CommentTextChar"/>
    <w:link w:val="CommentSubject"/>
    <w:rsid w:val="00072032"/>
    <w:rPr>
      <w:b/>
      <w:bCs/>
    </w:rPr>
  </w:style>
  <w:style w:type="paragraph" w:styleId="BalloonText">
    <w:name w:val="Balloon Text"/>
    <w:basedOn w:val="Normal"/>
    <w:link w:val="BalloonTextChar"/>
    <w:rsid w:val="00072032"/>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072032"/>
    <w:rPr>
      <w:rFonts w:ascii="Tahoma" w:hAnsi="Tahoma" w:cs="Tahoma"/>
      <w:sz w:val="16"/>
      <w:szCs w:val="16"/>
    </w:rPr>
  </w:style>
  <w:style w:type="character" w:customStyle="1" w:styleId="FootnoteTextChar">
    <w:name w:val="Footnote Text Char"/>
    <w:aliases w:val="F1 Char"/>
    <w:basedOn w:val="DefaultParagraphFont"/>
    <w:link w:val="FootnoteText"/>
    <w:uiPriority w:val="99"/>
    <w:semiHidden/>
    <w:rsid w:val="003830E6"/>
    <w:rPr>
      <w:sz w:val="16"/>
    </w:rPr>
  </w:style>
  <w:style w:type="character" w:customStyle="1" w:styleId="L1-FlLSp12Char">
    <w:name w:val="L1-FlL Sp&amp;1/2 Char"/>
    <w:basedOn w:val="DefaultParagraphFont"/>
    <w:link w:val="L1-FlLSp12"/>
    <w:uiPriority w:val="99"/>
    <w:rsid w:val="00A85651"/>
    <w:rPr>
      <w:sz w:val="22"/>
    </w:rPr>
  </w:style>
  <w:style w:type="character" w:styleId="FollowedHyperlink">
    <w:name w:val="FollowedHyperlink"/>
    <w:basedOn w:val="DefaultParagraphFont"/>
    <w:semiHidden/>
    <w:unhideWhenUsed/>
    <w:rsid w:val="00241C98"/>
    <w:rPr>
      <w:color w:val="800080" w:themeColor="followedHyperlink"/>
      <w:u w:val="single"/>
    </w:rPr>
  </w:style>
  <w:style w:type="paragraph" w:styleId="Revision">
    <w:name w:val="Revision"/>
    <w:hidden/>
    <w:uiPriority w:val="99"/>
    <w:semiHidden/>
    <w:rsid w:val="006C316A"/>
    <w:rPr>
      <w:sz w:val="22"/>
    </w:rPr>
  </w:style>
  <w:style w:type="character" w:customStyle="1" w:styleId="UnresolvedMention1">
    <w:name w:val="Unresolved Mention1"/>
    <w:basedOn w:val="DefaultParagraphFont"/>
    <w:uiPriority w:val="99"/>
    <w:semiHidden/>
    <w:unhideWhenUsed/>
    <w:rsid w:val="00D47064"/>
    <w:rPr>
      <w:color w:val="605E5C"/>
      <w:shd w:val="clear" w:color="auto" w:fill="E1DFDD"/>
    </w:rPr>
  </w:style>
  <w:style w:type="paragraph" w:styleId="TOCHeading">
    <w:name w:val="TOC Heading"/>
    <w:basedOn w:val="Heading1"/>
    <w:next w:val="Normal"/>
    <w:uiPriority w:val="39"/>
    <w:unhideWhenUsed/>
    <w:qFormat/>
    <w:rsid w:val="001834E0"/>
    <w:pPr>
      <w:keepLines/>
      <w:tabs>
        <w:tab w:val="clear" w:pos="1152"/>
      </w:tabs>
      <w:spacing w:before="240" w:after="0" w:line="259" w:lineRule="auto"/>
      <w:ind w:left="0" w:firstLine="0"/>
      <w:jc w:val="left"/>
      <w:outlineLvl w:val="9"/>
    </w:pPr>
    <w:rPr>
      <w:rFonts w:asciiTheme="majorHAnsi" w:eastAsiaTheme="majorEastAsia" w:hAnsiTheme="majorHAnsi" w:cstheme="majorBidi"/>
      <w:b w:val="0"/>
      <w:color w:val="365F91" w:themeColor="accent1" w:themeShade="BF"/>
      <w:sz w:val="32"/>
      <w:szCs w:val="32"/>
    </w:rPr>
  </w:style>
  <w:style w:type="character" w:customStyle="1" w:styleId="FooterChar">
    <w:name w:val="Footer Char"/>
    <w:basedOn w:val="DefaultParagraphFont"/>
    <w:link w:val="Footer"/>
    <w:uiPriority w:val="99"/>
    <w:rsid w:val="00EF62BA"/>
    <w:rPr>
      <w:sz w:val="22"/>
    </w:rPr>
  </w:style>
  <w:style w:type="character" w:customStyle="1" w:styleId="Heading1Char">
    <w:name w:val="Heading 1 Char"/>
    <w:aliases w:val="H1-Sec.Head Char"/>
    <w:basedOn w:val="DefaultParagraphFont"/>
    <w:link w:val="Heading1"/>
    <w:rsid w:val="00825522"/>
    <w:rPr>
      <w:b/>
      <w:sz w:val="22"/>
    </w:rPr>
  </w:style>
  <w:style w:type="character" w:customStyle="1" w:styleId="TitleChar">
    <w:name w:val="Title Char"/>
    <w:basedOn w:val="DefaultParagraphFont"/>
    <w:link w:val="Title"/>
    <w:rsid w:val="00825522"/>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6.xml" /><Relationship Id="rId11" Type="http://schemas.openxmlformats.org/officeDocument/2006/relationships/hyperlink" Target="http://nsf.gov/statistics/srvyfacilities/" TargetMode="External" /><Relationship Id="rId12" Type="http://schemas.openxmlformats.org/officeDocument/2006/relationships/hyperlink" Target="https://ncsesdata.nsf.gov/home" TargetMode="External" /><Relationship Id="rId13" Type="http://schemas.openxmlformats.org/officeDocument/2006/relationships/footer" Target="footer7.xml" /><Relationship Id="rId14" Type="http://schemas.openxmlformats.org/officeDocument/2006/relationships/footer" Target="footer8.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footer" Target="footer4.xml" /><Relationship Id="rId9" Type="http://schemas.openxmlformats.org/officeDocument/2006/relationships/footer" Target="footer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E7D243-FBBA-42BA-AB30-491231610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11</Pages>
  <Words>3112</Words>
  <Characters>19057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PART A:  JUSTIFICATION</vt:lpstr>
    </vt:vector>
  </TitlesOfParts>
  <Company>Westat, Inc.</Company>
  <LinksUpToDate>false</LinksUpToDate>
  <CharactersWithSpaces>22125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A:  JUSTIFICATION</dc:title>
  <dc:creator>Westat</dc:creator>
  <cp:lastModifiedBy>Gibbons, Michael</cp:lastModifiedBy>
  <cp:revision>14</cp:revision>
  <cp:lastPrinted>2019-05-22T13:29:00Z</cp:lastPrinted>
  <dcterms:created xsi:type="dcterms:W3CDTF">2023-04-28T19:01:00Z</dcterms:created>
  <dcterms:modified xsi:type="dcterms:W3CDTF">2023-06-29T15:54:00Z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ainsCUI">
    <vt:lpwstr>No</vt:lpwstr>
  </property>
  <property fmtid="{D5CDD505-2E9C-101B-9397-08002B2CF9AE}" pid="3" name="TitusGUID">
    <vt:lpwstr>008df15e-da0d-4327-841c-276883dda313</vt:lpwstr>
  </property>
</Properties>
</file>