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4DF7" w:rsidRPr="00D67EA5" w:rsidP="00840CD4" w14:paraId="66039B9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D67EA5">
        <w:t xml:space="preserve">SUPPORTING STATEMENT </w:t>
      </w:r>
    </w:p>
    <w:p w:rsidR="00EC4DF7" w:rsidRPr="00D67EA5" w:rsidP="00EC4DF7" w14:paraId="7E603A81" w14:textId="77777777">
      <w:pPr>
        <w:widowControl/>
        <w:autoSpaceDE/>
        <w:autoSpaceDN/>
        <w:adjustRightInd/>
        <w:jc w:val="center"/>
        <w:rPr>
          <w:sz w:val="22"/>
          <w:szCs w:val="22"/>
        </w:rPr>
      </w:pPr>
    </w:p>
    <w:p w:rsidR="00EC4DF7" w:rsidRPr="00D67EA5" w:rsidP="007246BA" w14:paraId="6F55428F" w14:textId="24D9DBC9">
      <w:pPr>
        <w:widowControl/>
        <w:autoSpaceDE/>
        <w:autoSpaceDN/>
        <w:adjustRightInd/>
        <w:jc w:val="center"/>
        <w:rPr>
          <w:b/>
          <w:bCs/>
          <w:sz w:val="22"/>
          <w:szCs w:val="22"/>
        </w:rPr>
      </w:pPr>
      <w:r w:rsidRPr="00D67EA5">
        <w:rPr>
          <w:b/>
          <w:bCs/>
          <w:sz w:val="22"/>
          <w:szCs w:val="22"/>
        </w:rPr>
        <w:t xml:space="preserve">International Agricultural Education Fellowship Program (IAEFP) </w:t>
      </w:r>
    </w:p>
    <w:p w:rsidR="00EC4DF7" w:rsidRPr="00D67EA5" w:rsidP="00EC4DF7" w14:paraId="53498B31" w14:textId="77777777">
      <w:pPr>
        <w:widowControl/>
        <w:autoSpaceDE/>
        <w:autoSpaceDN/>
        <w:adjustRightInd/>
        <w:jc w:val="center"/>
        <w:rPr>
          <w:sz w:val="22"/>
          <w:szCs w:val="22"/>
        </w:rPr>
      </w:pPr>
    </w:p>
    <w:p w:rsidR="000E4A65" w:rsidRPr="00D67EA5" w:rsidP="00CC7F1A" w14:paraId="699FCDEA" w14:textId="77777777">
      <w:pPr>
        <w:widowControl/>
        <w:rPr>
          <w:b/>
          <w:bCs/>
          <w:i/>
          <w:color w:val="000000"/>
        </w:rPr>
      </w:pPr>
      <w:r w:rsidRPr="00D67EA5">
        <w:rPr>
          <w:b/>
          <w:bCs/>
          <w:i/>
          <w:color w:val="000000"/>
        </w:rPr>
        <w:t>Part A.  Justification</w:t>
      </w:r>
    </w:p>
    <w:p w:rsidR="003C061D" w:rsidRPr="00D67EA5" w:rsidP="00CC7F1A" w14:paraId="699FCDEB" w14:textId="77777777">
      <w:pPr>
        <w:widowControl/>
        <w:rPr>
          <w:b/>
          <w:bCs/>
          <w:color w:val="000000"/>
        </w:rPr>
      </w:pPr>
    </w:p>
    <w:p w:rsidR="003C061D" w:rsidRPr="00D67EA5" w:rsidP="00CC7F1A" w14:paraId="699FCDEC" w14:textId="77777777">
      <w:pPr>
        <w:widowControl/>
        <w:numPr>
          <w:ilvl w:val="0"/>
          <w:numId w:val="11"/>
        </w:numPr>
        <w:rPr>
          <w:b/>
          <w:bCs/>
          <w:color w:val="000000"/>
        </w:rPr>
      </w:pPr>
      <w:r w:rsidRPr="00D67EA5">
        <w:rPr>
          <w:b/>
          <w:bCs/>
          <w:color w:val="000000"/>
        </w:rPr>
        <w:t>Explain the circumstances that make the collection of information necessary. Identify any legal or administrative requirements that necessitate the collection</w:t>
      </w:r>
      <w:r w:rsidRPr="00D67EA5" w:rsidR="00A67F9D">
        <w:rPr>
          <w:b/>
          <w:bCs/>
          <w:color w:val="000000"/>
        </w:rPr>
        <w:t xml:space="preserve">. </w:t>
      </w:r>
      <w:r w:rsidRPr="00D67EA5">
        <w:rPr>
          <w:b/>
          <w:bCs/>
          <w:color w:val="000000"/>
        </w:rPr>
        <w:t>Describe the practical utility of the collection, including proposed and actual use</w:t>
      </w:r>
      <w:r w:rsidRPr="00D67EA5" w:rsidR="00A67F9D">
        <w:rPr>
          <w:b/>
          <w:bCs/>
          <w:color w:val="000000"/>
        </w:rPr>
        <w:t xml:space="preserve">. </w:t>
      </w:r>
      <w:r w:rsidRPr="00D67EA5">
        <w:rPr>
          <w:b/>
          <w:bCs/>
          <w:color w:val="000000"/>
        </w:rPr>
        <w:t>Attach a copy of the appropriate section of each statute and regulation mandating or authorizing the collection of information.</w:t>
      </w:r>
    </w:p>
    <w:p w:rsidR="003C061D" w:rsidRPr="00D67EA5" w:rsidP="00CC7F1A" w14:paraId="699FCDED" w14:textId="77777777">
      <w:pPr>
        <w:widowControl/>
        <w:rPr>
          <w:color w:val="000000"/>
        </w:rPr>
      </w:pPr>
    </w:p>
    <w:p w:rsidR="007B195D" w:rsidRPr="00D67EA5" w:rsidP="007B195D" w14:paraId="3EE5C28A" w14:textId="45382292">
      <w:bookmarkStart w:id="0" w:name="_Hlk118792775"/>
      <w:r>
        <w:t>The U.S. Department of Agriculture</w:t>
      </w:r>
      <w:r w:rsidRPr="00D67EA5" w:rsidR="0069185D">
        <w:rPr>
          <w:color w:val="000000"/>
        </w:rPr>
        <w:t xml:space="preserve"> is required by 2 CFR 200.204 to announce discretionary grants and </w:t>
      </w:r>
      <w:r w:rsidRPr="00D67EA5" w:rsidR="006022BA">
        <w:rPr>
          <w:color w:val="000000"/>
        </w:rPr>
        <w:t xml:space="preserve">cooperative agreements and </w:t>
      </w:r>
      <w:r w:rsidRPr="00D67EA5" w:rsidR="0069185D">
        <w:rPr>
          <w:color w:val="000000"/>
        </w:rPr>
        <w:t>other financial assistance programs through public announcement.</w:t>
      </w:r>
      <w:r w:rsidR="00D55F3C">
        <w:rPr>
          <w:color w:val="000000"/>
        </w:rPr>
        <w:t xml:space="preserve"> </w:t>
      </w:r>
      <w:r w:rsidRPr="00D67EA5" w:rsidR="0069185D">
        <w:rPr>
          <w:color w:val="000000"/>
        </w:rPr>
        <w:t xml:space="preserve"> Notice</w:t>
      </w:r>
      <w:r w:rsidR="00D55F3C">
        <w:rPr>
          <w:color w:val="000000"/>
        </w:rPr>
        <w:t>s</w:t>
      </w:r>
      <w:r w:rsidRPr="00D67EA5" w:rsidR="0069185D">
        <w:rPr>
          <w:color w:val="000000"/>
        </w:rPr>
        <w:t xml:space="preserve"> of Funding Opportunities (NOFOs) </w:t>
      </w:r>
      <w:r w:rsidR="00D55F3C">
        <w:rPr>
          <w:color w:val="000000"/>
        </w:rPr>
        <w:t>are</w:t>
      </w:r>
      <w:r w:rsidRPr="00D67EA5" w:rsidR="00D55F3C">
        <w:rPr>
          <w:color w:val="000000"/>
        </w:rPr>
        <w:t xml:space="preserve"> </w:t>
      </w:r>
      <w:r w:rsidRPr="00D67EA5" w:rsidR="0069185D">
        <w:rPr>
          <w:color w:val="000000"/>
        </w:rPr>
        <w:t xml:space="preserve">used to meet this requirement.  To ensure grants are awarded to the applicant(s) best suited to perform the functions of the grant, applicants are generally required to </w:t>
      </w:r>
      <w:r w:rsidRPr="00D67EA5" w:rsidR="0069185D">
        <w:rPr>
          <w:color w:val="000000"/>
        </w:rPr>
        <w:t>submit an application</w:t>
      </w:r>
      <w:r w:rsidRPr="00D67EA5" w:rsidR="0069185D">
        <w:rPr>
          <w:color w:val="000000"/>
        </w:rPr>
        <w:t xml:space="preserve">. </w:t>
      </w:r>
      <w:r w:rsidRPr="00D67EA5">
        <w:rPr>
          <w:color w:val="000000"/>
        </w:rPr>
        <w:t xml:space="preserve">The International Agricultural Education Fellowship Program (IAEFP) </w:t>
      </w:r>
      <w:r w:rsidRPr="00D67EA5">
        <w:t>receives applications through Grants.gov and uses standard forms in the SF-424 form family.</w:t>
      </w:r>
    </w:p>
    <w:p w:rsidR="007B195D" w:rsidRPr="00D67EA5" w:rsidP="0069185D" w14:paraId="2F7FB0D9" w14:textId="77777777">
      <w:pPr>
        <w:rPr>
          <w:color w:val="000000"/>
        </w:rPr>
      </w:pPr>
    </w:p>
    <w:p w:rsidR="0069185D" w:rsidRPr="00D67EA5" w:rsidP="0069185D" w14:paraId="300D47F2" w14:textId="29D07FAD">
      <w:pPr>
        <w:rPr>
          <w:color w:val="000000"/>
        </w:rPr>
      </w:pPr>
      <w:r w:rsidRPr="00D67EA5">
        <w:rPr>
          <w:color w:val="000000"/>
        </w:rPr>
        <w:t>Established in 2018, IAEFP provides fellowships to eligible U.S. citizens to assist developing countries in establishing school-based agricultural education and youth extension programs.</w:t>
      </w:r>
      <w:r w:rsidRPr="00D67EA5" w:rsidR="00DD7FB8">
        <w:rPr>
          <w:color w:val="000000"/>
        </w:rPr>
        <w:t xml:space="preserve">  </w:t>
      </w:r>
      <w:r w:rsidRPr="00D67EA5">
        <w:rPr>
          <w:lang w:val="en"/>
        </w:rPr>
        <w:t>The primary purpose for this information collection is to implement the</w:t>
      </w:r>
      <w:r w:rsidRPr="00D67EA5">
        <w:t xml:space="preserve"> </w:t>
      </w:r>
      <w:r w:rsidRPr="00D67EA5">
        <w:rPr>
          <w:lang w:val="en"/>
        </w:rPr>
        <w:t xml:space="preserve">International Agricultural Education Fellowship Program (IAEFP). </w:t>
      </w:r>
      <w:r w:rsidRPr="00511A9E" w:rsidR="00511A9E">
        <w:rPr>
          <w:color w:val="000000"/>
          <w:lang w:val="en"/>
        </w:rPr>
        <w:t>The intention of the IAEFP is to develop globally minded United States agriculturalists with experience living abroad, focus on meeting the food and fiber needs of the domestic population of eligible countries, and strengthen and enhance trade linkages between eligible countries and the United States agricultural industry.</w:t>
      </w:r>
    </w:p>
    <w:bookmarkEnd w:id="0"/>
    <w:p w:rsidR="0069185D" w:rsidRPr="00D67EA5" w:rsidP="00360D0B" w14:paraId="088DCE15" w14:textId="77777777">
      <w:pPr>
        <w:tabs>
          <w:tab w:val="left" w:pos="720"/>
          <w:tab w:val="left" w:leader="dot" w:pos="7920"/>
        </w:tabs>
      </w:pPr>
    </w:p>
    <w:p w:rsidR="0069185D" w:rsidRPr="00D67EA5" w:rsidP="005F51E9" w14:paraId="4327B3D3" w14:textId="0A634291">
      <w:pPr>
        <w:rPr>
          <w:color w:val="000000"/>
        </w:rPr>
      </w:pPr>
      <w:r w:rsidRPr="00D67EA5">
        <w:t xml:space="preserve">The </w:t>
      </w:r>
      <w:r w:rsidRPr="00D67EA5">
        <w:t>Authorit</w:t>
      </w:r>
      <w:r w:rsidRPr="00D67EA5" w:rsidR="00360D0B">
        <w:t>ies</w:t>
      </w:r>
      <w:r w:rsidRPr="00D67EA5">
        <w:t xml:space="preserve"> for </w:t>
      </w:r>
      <w:r w:rsidRPr="00D67EA5">
        <w:t xml:space="preserve">the </w:t>
      </w:r>
      <w:r w:rsidRPr="00D67EA5">
        <w:rPr>
          <w:lang w:val="en"/>
        </w:rPr>
        <w:t xml:space="preserve">International Agricultural Education Fellowship Program (IAEFP) </w:t>
      </w:r>
      <w:r w:rsidRPr="00D67EA5" w:rsidR="00360D0B">
        <w:rPr>
          <w:lang w:val="en"/>
        </w:rPr>
        <w:t xml:space="preserve">to </w:t>
      </w:r>
      <w:r w:rsidRPr="00D67EA5">
        <w:rPr>
          <w:color w:val="000000"/>
        </w:rPr>
        <w:t xml:space="preserve">provide grants to institutions of higher education (IHE) </w:t>
      </w:r>
      <w:r w:rsidRPr="00D67EA5" w:rsidR="00360D0B">
        <w:rPr>
          <w:color w:val="000000"/>
        </w:rPr>
        <w:t>are</w:t>
      </w:r>
      <w:r w:rsidRPr="00D67EA5">
        <w:t>:</w:t>
      </w:r>
    </w:p>
    <w:p w:rsidR="0069185D" w:rsidRPr="00D67EA5" w:rsidP="0069185D" w14:paraId="652A8855" w14:textId="77777777">
      <w:pPr>
        <w:tabs>
          <w:tab w:val="left" w:pos="720"/>
          <w:tab w:val="left" w:leader="dot" w:pos="7920"/>
        </w:tabs>
        <w:ind w:left="360"/>
      </w:pPr>
    </w:p>
    <w:p w:rsidR="0069185D" w:rsidRPr="00D67EA5" w:rsidP="0069185D" w14:paraId="2BBD0730" w14:textId="77777777">
      <w:pPr>
        <w:pStyle w:val="ListParagraph"/>
        <w:widowControl/>
        <w:numPr>
          <w:ilvl w:val="0"/>
          <w:numId w:val="33"/>
        </w:numPr>
        <w:tabs>
          <w:tab w:val="left" w:pos="720"/>
          <w:tab w:val="left" w:leader="dot" w:pos="7920"/>
        </w:tabs>
        <w:autoSpaceDE/>
        <w:autoSpaceDN/>
        <w:adjustRightInd/>
      </w:pPr>
      <w:r w:rsidRPr="00D67EA5">
        <w:t xml:space="preserve">National Agricultural Research, Extension, and Teaching Policy Act of 1977, PL 95-113, as amended, 7 USC §§ 3291 and </w:t>
      </w:r>
      <w:r w:rsidRPr="00D67EA5">
        <w:t>3319a</w:t>
      </w:r>
    </w:p>
    <w:p w:rsidR="00360D0B" w:rsidRPr="00D67EA5" w:rsidP="00360D0B" w14:paraId="6DBA2A6A" w14:textId="2D28F721">
      <w:pPr>
        <w:widowControl/>
        <w:tabs>
          <w:tab w:val="left" w:pos="720"/>
          <w:tab w:val="left" w:leader="dot" w:pos="7920"/>
        </w:tabs>
        <w:autoSpaceDE/>
        <w:autoSpaceDN/>
        <w:adjustRightInd/>
      </w:pPr>
    </w:p>
    <w:p w:rsidR="00360D0B" w:rsidRPr="00D67EA5" w:rsidP="0069185D" w14:paraId="6CB3BFE3" w14:textId="3534EEC1">
      <w:pPr>
        <w:pStyle w:val="ListParagraph"/>
        <w:widowControl/>
        <w:numPr>
          <w:ilvl w:val="0"/>
          <w:numId w:val="33"/>
        </w:numPr>
        <w:tabs>
          <w:tab w:val="left" w:pos="720"/>
          <w:tab w:val="left" w:leader="dot" w:pos="7920"/>
        </w:tabs>
        <w:autoSpaceDE/>
        <w:autoSpaceDN/>
        <w:adjustRightInd/>
      </w:pPr>
      <w:r w:rsidRPr="00D67EA5">
        <w:t>Agriculture Improvement Act of 2018, PL 115-334, Sec. 3307, 7 USC § 3295.</w:t>
      </w:r>
    </w:p>
    <w:p w:rsidR="0069185D" w:rsidRPr="00D67EA5" w:rsidP="001B7A28" w14:paraId="7CC5BCF5" w14:textId="77777777">
      <w:pPr>
        <w:widowControl/>
        <w:rPr>
          <w:color w:val="000000"/>
        </w:rPr>
      </w:pPr>
    </w:p>
    <w:p w:rsidR="00511A9E" w:rsidP="00511A9E" w14:paraId="39284D6A" w14:textId="1EF73382">
      <w:pPr>
        <w:rPr>
          <w:color w:val="000000"/>
        </w:rPr>
      </w:pPr>
      <w:r w:rsidRPr="00511A9E">
        <w:rPr>
          <w:color w:val="000000"/>
        </w:rPr>
        <w:t>This opportunity is available to domestic private</w:t>
      </w:r>
      <w:r>
        <w:rPr>
          <w:color w:val="000000"/>
        </w:rPr>
        <w:t xml:space="preserve"> </w:t>
      </w:r>
      <w:r w:rsidRPr="00511A9E">
        <w:rPr>
          <w:color w:val="000000"/>
        </w:rPr>
        <w:t>voluntary organizations, domestic nonprofit agricultural organizations or cooperatives, domestic</w:t>
      </w:r>
      <w:r>
        <w:rPr>
          <w:color w:val="000000"/>
        </w:rPr>
        <w:t xml:space="preserve"> </w:t>
      </w:r>
      <w:r w:rsidRPr="00511A9E">
        <w:rPr>
          <w:color w:val="000000"/>
        </w:rPr>
        <w:t>nongovernmental organizations, or any other domestic private entities</w:t>
      </w:r>
      <w:r>
        <w:rPr>
          <w:color w:val="000000"/>
        </w:rPr>
        <w:t xml:space="preserve"> </w:t>
      </w:r>
      <w:r w:rsidRPr="00511A9E">
        <w:rPr>
          <w:color w:val="000000"/>
        </w:rPr>
        <w:t>under the Agriculture Improvement Act of 2018, PL 115-334, Sec.</w:t>
      </w:r>
      <w:r>
        <w:rPr>
          <w:color w:val="000000"/>
        </w:rPr>
        <w:t xml:space="preserve"> </w:t>
      </w:r>
      <w:r w:rsidRPr="00511A9E">
        <w:rPr>
          <w:color w:val="000000"/>
        </w:rPr>
        <w:t>3307, 7 USC §3295.</w:t>
      </w:r>
    </w:p>
    <w:p w:rsidR="00511A9E" w:rsidP="00511A9E" w14:paraId="0EF263F3" w14:textId="77777777">
      <w:pPr>
        <w:rPr>
          <w:color w:val="000000"/>
        </w:rPr>
      </w:pPr>
    </w:p>
    <w:p w:rsidR="0023796E" w:rsidRPr="00D67EA5" w:rsidP="0053291B" w14:paraId="703C7B3A" w14:textId="29AA73B2">
      <w:pPr>
        <w:rPr>
          <w:color w:val="000000"/>
        </w:rPr>
      </w:pPr>
      <w:r w:rsidRPr="00D67EA5">
        <w:rPr>
          <w:color w:val="000000"/>
        </w:rPr>
        <w:t>The collection of the information requested is necessary to allow institutions of higher education (IHE)</w:t>
      </w:r>
      <w:r w:rsidR="00511A9E">
        <w:rPr>
          <w:color w:val="000000"/>
        </w:rPr>
        <w:t xml:space="preserve"> or </w:t>
      </w:r>
      <w:r w:rsidRPr="00511A9E" w:rsidR="00511A9E">
        <w:rPr>
          <w:color w:val="000000"/>
        </w:rPr>
        <w:t>domestic private</w:t>
      </w:r>
      <w:r w:rsidR="00511A9E">
        <w:rPr>
          <w:color w:val="000000"/>
        </w:rPr>
        <w:t xml:space="preserve"> </w:t>
      </w:r>
      <w:r w:rsidRPr="00511A9E" w:rsidR="00511A9E">
        <w:rPr>
          <w:color w:val="000000"/>
        </w:rPr>
        <w:t>voluntary organizations, domestic nonprofit agricultural organizations or cooperatives, domestic</w:t>
      </w:r>
      <w:r w:rsidR="00511A9E">
        <w:rPr>
          <w:color w:val="000000"/>
        </w:rPr>
        <w:t xml:space="preserve"> </w:t>
      </w:r>
      <w:r w:rsidRPr="00511A9E" w:rsidR="00511A9E">
        <w:rPr>
          <w:color w:val="000000"/>
        </w:rPr>
        <w:t>nongovernmental organizations, or any other domestic private entities</w:t>
      </w:r>
      <w:r w:rsidRPr="00D67EA5">
        <w:rPr>
          <w:color w:val="000000"/>
        </w:rPr>
        <w:t xml:space="preserve"> to apply for grant funds.  </w:t>
      </w:r>
    </w:p>
    <w:p w:rsidR="009D1343" w:rsidRPr="00D67EA5" w:rsidP="00CC7F1A" w14:paraId="699FCE01" w14:textId="77777777">
      <w:pPr>
        <w:widowControl/>
        <w:numPr>
          <w:ilvl w:val="0"/>
          <w:numId w:val="11"/>
        </w:numPr>
        <w:tabs>
          <w:tab w:val="left" w:pos="360"/>
        </w:tabs>
        <w:rPr>
          <w:b/>
          <w:bCs/>
          <w:color w:val="000000"/>
        </w:rPr>
      </w:pPr>
      <w:r w:rsidRPr="00D67EA5">
        <w:rPr>
          <w:b/>
          <w:bCs/>
          <w:color w:val="000000"/>
        </w:rPr>
        <w:t>Indicate how, by whom, and for what purpose the information is to be used</w:t>
      </w:r>
      <w:r w:rsidRPr="00D67EA5" w:rsidR="00A67F9D">
        <w:rPr>
          <w:b/>
          <w:bCs/>
          <w:color w:val="000000"/>
        </w:rPr>
        <w:t xml:space="preserve">. </w:t>
      </w:r>
      <w:r w:rsidRPr="00D67EA5">
        <w:rPr>
          <w:b/>
          <w:bCs/>
          <w:color w:val="000000"/>
        </w:rPr>
        <w:t>Except for a new collection, indicate the actual use the agency has made of the information received from the current collection.</w:t>
      </w:r>
    </w:p>
    <w:p w:rsidR="009D1343" w:rsidRPr="00D67EA5" w:rsidP="00CC7F1A" w14:paraId="699FCE02" w14:textId="77777777">
      <w:pPr>
        <w:widowControl/>
        <w:rPr>
          <w:b/>
          <w:bCs/>
          <w:color w:val="000000"/>
        </w:rPr>
      </w:pPr>
    </w:p>
    <w:p w:rsidR="006A2545" w:rsidRPr="006A2545" w:rsidP="0077768E" w14:paraId="37AD4DF0" w14:textId="77777777">
      <w:pPr>
        <w:widowControl/>
      </w:pPr>
      <w:r w:rsidRPr="006A2545">
        <w:t xml:space="preserve">Eligible IHEs or </w:t>
      </w:r>
      <w:r w:rsidRPr="006A2545">
        <w:rPr>
          <w:color w:val="000000"/>
        </w:rPr>
        <w:t>domestic private voluntary organizations, domestic nonprofit agricultural organizations or cooperatives, domestic nongovernmental organizations, or any other domestic private entities</w:t>
      </w:r>
      <w:r w:rsidRPr="006A2545">
        <w:t xml:space="preserve"> use the approved information collection to prepare and submit grant applications in response to the notice inviting applications. </w:t>
      </w:r>
    </w:p>
    <w:p w:rsidR="006A2545" w:rsidRPr="006A2545" w:rsidP="0077768E" w14:paraId="57FF119A" w14:textId="77777777">
      <w:pPr>
        <w:widowControl/>
      </w:pPr>
    </w:p>
    <w:p w:rsidR="009A009C" w:rsidRPr="009A009C" w:rsidP="009A009C" w14:paraId="319DEB3D" w14:textId="77777777">
      <w:pPr>
        <w:rPr>
          <w:b/>
          <w:bCs/>
        </w:rPr>
      </w:pPr>
      <w:r w:rsidRPr="009A009C">
        <w:rPr>
          <w:b/>
          <w:bCs/>
        </w:rPr>
        <w:t>Discretionary Grant/Cooperative Agreement:</w:t>
      </w:r>
    </w:p>
    <w:p w:rsidR="009A009C" w:rsidP="0077768E" w14:paraId="16575962" w14:textId="77777777">
      <w:pPr>
        <w:widowControl/>
        <w:rPr>
          <w:color w:val="000000"/>
        </w:rPr>
      </w:pPr>
    </w:p>
    <w:p w:rsidR="0077768E" w:rsidRPr="0077768E" w:rsidP="0077768E" w14:paraId="3A92AC88" w14:textId="12565DC0">
      <w:pPr>
        <w:widowControl/>
        <w:rPr>
          <w:color w:val="000000"/>
        </w:rPr>
      </w:pPr>
      <w:r w:rsidRPr="006A2545">
        <w:rPr>
          <w:color w:val="000000"/>
        </w:rPr>
        <w:t xml:space="preserve">The information collected in response to solicitations for grant applications is used by FAS to evaluate applications and determine if applicants meet eligibility requirements.  </w:t>
      </w:r>
      <w:r w:rsidR="00A510DA">
        <w:rPr>
          <w:color w:val="000000"/>
        </w:rPr>
        <w:t xml:space="preserve">Application requirements include standard forms along with a detailed budget narrative paired with a budget table and a detailed project narrative explaining the plan of operation and implementation.  </w:t>
      </w:r>
      <w:r w:rsidRPr="006A2545">
        <w:rPr>
          <w:color w:val="000000"/>
        </w:rPr>
        <w:t>FAS will utilize this information to issue grant funds to applicants most suited for fulfilling the mission of the program.</w:t>
      </w:r>
      <w:r w:rsidRPr="0077768E">
        <w:rPr>
          <w:color w:val="000000"/>
        </w:rPr>
        <w:t xml:space="preserve"> </w:t>
      </w:r>
    </w:p>
    <w:p w:rsidR="0077768E" w:rsidP="00CC7F1A" w14:paraId="1C33B841" w14:textId="77777777">
      <w:pPr>
        <w:widowControl/>
      </w:pPr>
    </w:p>
    <w:p w:rsidR="00B17733" w:rsidP="00B17733" w14:paraId="79E1C7F5" w14:textId="3E9FDB30">
      <w:pPr>
        <w:rPr>
          <w:b/>
          <w:bCs/>
        </w:rPr>
      </w:pPr>
      <w:r w:rsidRPr="00AF2961">
        <w:rPr>
          <w:b/>
          <w:bCs/>
        </w:rPr>
        <w:t>Performance Reporting:</w:t>
      </w:r>
    </w:p>
    <w:p w:rsidR="00AF2961" w:rsidRPr="00AF2961" w:rsidP="00B17733" w14:paraId="61A872F6" w14:textId="77777777">
      <w:pPr>
        <w:rPr>
          <w:b/>
          <w:bCs/>
        </w:rPr>
      </w:pPr>
    </w:p>
    <w:p w:rsidR="007131B2" w:rsidP="00B17733" w14:paraId="0C56676C" w14:textId="5896C02C">
      <w:r w:rsidRPr="00C634C0">
        <w:t>FAS requires all grant recipients to submit semi-annual performance and financial reports detailing progress, challenges, and key milestones.  These reports are essential to FAS’s monitoring of grants and cooperative agreements</w:t>
      </w:r>
      <w:r w:rsidR="00A510DA">
        <w:t xml:space="preserve"> and should detail a comparison of actual accomplishments for the period with stated goals, the reasons why established goals were not met, if </w:t>
      </w:r>
      <w:r w:rsidR="00A510DA">
        <w:t>appropriate;</w:t>
      </w:r>
      <w:r w:rsidR="00A510DA">
        <w:t xml:space="preserve"> and additional pertinent information when appropriate</w:t>
      </w:r>
      <w:r w:rsidRPr="00C634C0">
        <w:t>.  FAS analysts review these documents to ensure that funds are dispersed and that activities are conducted in compliance with the signed agreement.  This information is needed to satisfy statutory requirements, to assure that public resources are used properly.</w:t>
      </w:r>
    </w:p>
    <w:p w:rsidR="00B17733" w:rsidP="006C13E2" w14:paraId="7CF9D3A0" w14:textId="77777777"/>
    <w:p w:rsidR="00B17733" w:rsidP="00B17733" w14:paraId="5CAFD05D" w14:textId="28AB4BFE">
      <w:pPr>
        <w:rPr>
          <w:b/>
        </w:rPr>
      </w:pPr>
      <w:r w:rsidRPr="007C091E">
        <w:rPr>
          <w:b/>
        </w:rPr>
        <w:t>Forms Approved under Other OMB Control Numbers:</w:t>
      </w:r>
    </w:p>
    <w:p w:rsidR="007C091E" w:rsidP="00B17733" w14:paraId="07B5C324" w14:textId="77777777">
      <w:pPr>
        <w:rPr>
          <w:b/>
        </w:rPr>
      </w:pPr>
    </w:p>
    <w:tbl>
      <w:tblPr>
        <w:tblStyle w:val="TableGrid"/>
        <w:tblW w:w="0" w:type="auto"/>
        <w:tblInd w:w="607" w:type="dxa"/>
        <w:tblLook w:val="04A0"/>
      </w:tblPr>
      <w:tblGrid>
        <w:gridCol w:w="6210"/>
        <w:gridCol w:w="1620"/>
      </w:tblGrid>
      <w:tr w14:paraId="044FAEF1" w14:textId="77777777" w:rsidTr="0077768E">
        <w:tblPrEx>
          <w:tblW w:w="0" w:type="auto"/>
          <w:tblInd w:w="607" w:type="dxa"/>
          <w:tblLook w:val="04A0"/>
        </w:tblPrEx>
        <w:tc>
          <w:tcPr>
            <w:tcW w:w="6210" w:type="dxa"/>
          </w:tcPr>
          <w:p w:rsidR="00B17733" w:rsidP="00AF2961" w14:paraId="34131579" w14:textId="77777777">
            <w:pPr>
              <w:jc w:val="center"/>
            </w:pPr>
            <w:r>
              <w:t>Description</w:t>
            </w:r>
          </w:p>
        </w:tc>
        <w:tc>
          <w:tcPr>
            <w:tcW w:w="1620" w:type="dxa"/>
          </w:tcPr>
          <w:p w:rsidR="00B17733" w:rsidP="00AF2961" w14:paraId="5B2B9CDF" w14:textId="77777777">
            <w:pPr>
              <w:jc w:val="center"/>
            </w:pPr>
            <w:r>
              <w:t>Approved</w:t>
            </w:r>
          </w:p>
          <w:p w:rsidR="00B17733" w:rsidP="00AF2961" w14:paraId="332DEFA7" w14:textId="77777777">
            <w:pPr>
              <w:jc w:val="center"/>
            </w:pPr>
            <w:r>
              <w:t>Under</w:t>
            </w:r>
          </w:p>
        </w:tc>
      </w:tr>
      <w:tr w14:paraId="72F030C5" w14:textId="77777777" w:rsidTr="0077768E">
        <w:tblPrEx>
          <w:tblW w:w="0" w:type="auto"/>
          <w:tblInd w:w="607" w:type="dxa"/>
          <w:tblLook w:val="04A0"/>
        </w:tblPrEx>
        <w:tc>
          <w:tcPr>
            <w:tcW w:w="6210" w:type="dxa"/>
          </w:tcPr>
          <w:p w:rsidR="00B17733" w:rsidP="007952B4" w14:paraId="7FF6FBC9" w14:textId="77777777">
            <w:r>
              <w:t>SF-424, Application for Federal Assistance</w:t>
            </w:r>
          </w:p>
        </w:tc>
        <w:tc>
          <w:tcPr>
            <w:tcW w:w="1620" w:type="dxa"/>
          </w:tcPr>
          <w:p w:rsidR="00B17733" w:rsidP="007952B4" w14:paraId="41263C9D" w14:textId="334E6BF9">
            <w:r>
              <w:t>4040-0004</w:t>
            </w:r>
          </w:p>
        </w:tc>
      </w:tr>
      <w:tr w14:paraId="60132642" w14:textId="77777777" w:rsidTr="0077768E">
        <w:tblPrEx>
          <w:tblW w:w="0" w:type="auto"/>
          <w:tblInd w:w="607" w:type="dxa"/>
          <w:tblLook w:val="04A0"/>
        </w:tblPrEx>
        <w:tc>
          <w:tcPr>
            <w:tcW w:w="6210" w:type="dxa"/>
          </w:tcPr>
          <w:p w:rsidR="00B17733" w:rsidP="007952B4" w14:paraId="038BD853" w14:textId="77777777">
            <w:r>
              <w:t>SF-424A, Budget Information Non-Construction</w:t>
            </w:r>
          </w:p>
        </w:tc>
        <w:tc>
          <w:tcPr>
            <w:tcW w:w="1620" w:type="dxa"/>
          </w:tcPr>
          <w:p w:rsidR="00B17733" w:rsidP="007952B4" w14:paraId="26F6AB37" w14:textId="77777777">
            <w:r>
              <w:t>4040-0006</w:t>
            </w:r>
          </w:p>
        </w:tc>
      </w:tr>
      <w:tr w14:paraId="679620E3" w14:textId="77777777" w:rsidTr="0077768E">
        <w:tblPrEx>
          <w:tblW w:w="0" w:type="auto"/>
          <w:tblInd w:w="607" w:type="dxa"/>
          <w:tblLook w:val="04A0"/>
        </w:tblPrEx>
        <w:tc>
          <w:tcPr>
            <w:tcW w:w="6210" w:type="dxa"/>
          </w:tcPr>
          <w:p w:rsidR="00B17733" w:rsidP="007952B4" w14:paraId="59AFA48A" w14:textId="77777777">
            <w:r>
              <w:t>SF-425, Financial Status Report</w:t>
            </w:r>
          </w:p>
        </w:tc>
        <w:tc>
          <w:tcPr>
            <w:tcW w:w="1620" w:type="dxa"/>
          </w:tcPr>
          <w:p w:rsidR="00B17733" w:rsidP="007952B4" w14:paraId="424837EC" w14:textId="77777777">
            <w:r>
              <w:t>4040-0014</w:t>
            </w:r>
          </w:p>
        </w:tc>
      </w:tr>
      <w:tr w14:paraId="3C6E209E" w14:textId="77777777" w:rsidTr="0077768E">
        <w:tblPrEx>
          <w:tblW w:w="0" w:type="auto"/>
          <w:tblInd w:w="607" w:type="dxa"/>
          <w:tblLook w:val="04A0"/>
        </w:tblPrEx>
        <w:tc>
          <w:tcPr>
            <w:tcW w:w="6210" w:type="dxa"/>
          </w:tcPr>
          <w:p w:rsidR="00B17733" w:rsidP="007952B4" w14:paraId="0578A199" w14:textId="77777777">
            <w:r>
              <w:t>SF-270, Request for Advance and Reimbursement</w:t>
            </w:r>
          </w:p>
        </w:tc>
        <w:tc>
          <w:tcPr>
            <w:tcW w:w="1620" w:type="dxa"/>
          </w:tcPr>
          <w:p w:rsidR="00B17733" w:rsidP="007952B4" w14:paraId="7FDC2B17" w14:textId="77777777">
            <w:r>
              <w:t>4040-0012</w:t>
            </w:r>
          </w:p>
        </w:tc>
      </w:tr>
    </w:tbl>
    <w:p w:rsidR="006C13E2" w:rsidP="00CC7F1A" w14:paraId="6834F02B" w14:textId="77777777">
      <w:pPr>
        <w:widowControl/>
        <w:rPr>
          <w:color w:val="000000"/>
        </w:rPr>
      </w:pPr>
    </w:p>
    <w:p w:rsidR="007131B2" w:rsidP="00CC7F1A" w14:paraId="2ED6279F" w14:textId="05410022">
      <w:pPr>
        <w:widowControl/>
        <w:rPr>
          <w:color w:val="000000"/>
        </w:rPr>
      </w:pPr>
      <w:r w:rsidRPr="00C634C0">
        <w:t>Standard forms are used to apply for assistance under this program.   Applicants use these forms to outline scope, costs and expenses for the project.  Standard forms are also used by the recipient of financial assistance to request the approved funds.</w:t>
      </w:r>
    </w:p>
    <w:p w:rsidR="007131B2" w:rsidRPr="00D67EA5" w:rsidP="00CC7F1A" w14:paraId="62DDC013" w14:textId="77777777">
      <w:pPr>
        <w:widowControl/>
        <w:rPr>
          <w:color w:val="000000"/>
        </w:rPr>
      </w:pPr>
    </w:p>
    <w:p w:rsidR="009D1343" w:rsidRPr="00D67EA5" w:rsidP="00CC7F1A" w14:paraId="699FCE04" w14:textId="77777777">
      <w:pPr>
        <w:widowControl/>
        <w:tabs>
          <w:tab w:val="left" w:pos="360"/>
        </w:tabs>
        <w:ind w:left="360" w:hanging="360"/>
        <w:rPr>
          <w:color w:val="000000"/>
        </w:rPr>
      </w:pPr>
      <w:r w:rsidRPr="00D67EA5">
        <w:rPr>
          <w:b/>
          <w:color w:val="000000"/>
        </w:rPr>
        <w:t>3.</w:t>
      </w:r>
      <w:r w:rsidRPr="00D67EA5" w:rsidR="00D9329E">
        <w:rPr>
          <w:b/>
          <w:color w:val="000000"/>
        </w:rPr>
        <w:tab/>
      </w:r>
      <w:r w:rsidRPr="00D67EA5">
        <w:rPr>
          <w:b/>
          <w:bCs/>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D67EA5">
        <w:rPr>
          <w:b/>
          <w:bCs/>
          <w:color w:val="000000"/>
        </w:rPr>
        <w:t>the basis for the decision for adopting this means of collection</w:t>
      </w:r>
      <w:r w:rsidRPr="00D67EA5" w:rsidR="00A67F9D">
        <w:rPr>
          <w:b/>
          <w:bCs/>
          <w:color w:val="000000"/>
        </w:rPr>
        <w:t xml:space="preserve">. </w:t>
      </w:r>
      <w:r w:rsidRPr="00D67EA5">
        <w:rPr>
          <w:b/>
          <w:bCs/>
          <w:color w:val="000000"/>
        </w:rPr>
        <w:t>Also, describe any consideration of using information technology to reduce burdens.</w:t>
      </w:r>
    </w:p>
    <w:p w:rsidR="009D1343" w:rsidRPr="00D67EA5" w:rsidP="00CC7F1A" w14:paraId="699FCE05" w14:textId="77777777">
      <w:pPr>
        <w:widowControl/>
        <w:rPr>
          <w:color w:val="000000"/>
        </w:rPr>
      </w:pPr>
    </w:p>
    <w:p w:rsidR="00087133" w:rsidRPr="00D67EA5" w:rsidP="00CC7F1A" w14:paraId="045E029B" w14:textId="2471A9B6">
      <w:pPr>
        <w:widowControl/>
        <w:rPr>
          <w:color w:val="000000"/>
        </w:rPr>
      </w:pPr>
      <w:r w:rsidRPr="00D67EA5">
        <w:rPr>
          <w:color w:val="000000"/>
        </w:rPr>
        <w:t xml:space="preserve">The Foreign Agricultural Service is committed to the reduction of paperwork and has been collecting this information electronically.  Electronic submission has reduced the burden for both the applicants and Department staff.  Collection of information involves the use of electronic submission of responses via Grants.gov.  </w:t>
      </w:r>
    </w:p>
    <w:p w:rsidR="00087133" w:rsidRPr="00D67EA5" w:rsidP="00CC7F1A" w14:paraId="2008B7AF" w14:textId="77777777">
      <w:pPr>
        <w:widowControl/>
        <w:rPr>
          <w:color w:val="000000"/>
        </w:rPr>
      </w:pPr>
    </w:p>
    <w:p w:rsidR="009D1343" w:rsidRPr="00D67EA5" w:rsidP="00CC7F1A" w14:paraId="699FCE07" w14:textId="5015D03B">
      <w:pPr>
        <w:widowControl/>
      </w:pPr>
      <w:r w:rsidRPr="00D67EA5">
        <w:rPr>
          <w:color w:val="000000"/>
        </w:rPr>
        <w:t xml:space="preserve">Grants.gov allows customers to submit electronic applications to the Federal agency.  </w:t>
      </w:r>
      <w:r w:rsidRPr="00D67EA5" w:rsidR="00ED3575">
        <w:t>The IAEFP Staff collects</w:t>
      </w:r>
      <w:r w:rsidR="00511A9E">
        <w:t xml:space="preserve"> Fellow</w:t>
      </w:r>
      <w:r w:rsidRPr="00D67EA5" w:rsidR="00ED3575">
        <w:t xml:space="preserve"> information </w:t>
      </w:r>
      <w:r w:rsidR="00511A9E">
        <w:t>from the implementer</w:t>
      </w:r>
      <w:r w:rsidRPr="00D67EA5" w:rsidR="00D87FF4">
        <w:t xml:space="preserve"> and this</w:t>
      </w:r>
      <w:r w:rsidRPr="00D67EA5" w:rsidR="00ED3575">
        <w:t xml:space="preserve"> information is then entered into the International Fellowship and Exchange Database System (IFEDS) by FAS staff.</w:t>
      </w:r>
    </w:p>
    <w:p w:rsidR="00ED3575" w:rsidRPr="00D67EA5" w:rsidP="00CC7F1A" w14:paraId="380BDAB1" w14:textId="77777777">
      <w:pPr>
        <w:widowControl/>
        <w:rPr>
          <w:color w:val="000000"/>
        </w:rPr>
      </w:pPr>
    </w:p>
    <w:p w:rsidR="003C061D" w:rsidRPr="00D67EA5" w:rsidP="00CC7F1A" w14:paraId="699FCE08" w14:textId="77777777">
      <w:pPr>
        <w:widowControl/>
        <w:tabs>
          <w:tab w:val="left" w:pos="360"/>
        </w:tabs>
        <w:ind w:left="360" w:hanging="360"/>
        <w:rPr>
          <w:b/>
          <w:bCs/>
          <w:color w:val="000000"/>
        </w:rPr>
      </w:pPr>
      <w:r w:rsidRPr="00D67EA5">
        <w:rPr>
          <w:b/>
          <w:color w:val="000000"/>
        </w:rPr>
        <w:t>4.</w:t>
      </w:r>
      <w:r w:rsidRPr="00D67EA5" w:rsidR="00261476">
        <w:rPr>
          <w:b/>
          <w:color w:val="000000"/>
        </w:rPr>
        <w:tab/>
      </w:r>
      <w:r w:rsidRPr="00D67EA5">
        <w:rPr>
          <w:b/>
          <w:bCs/>
          <w:color w:val="000000"/>
        </w:rPr>
        <w:t>Describe efforts to identify duplication</w:t>
      </w:r>
      <w:r w:rsidRPr="00D67EA5" w:rsidR="00A67F9D">
        <w:rPr>
          <w:b/>
          <w:bCs/>
          <w:color w:val="000000"/>
        </w:rPr>
        <w:t xml:space="preserve">. </w:t>
      </w:r>
      <w:r w:rsidRPr="00D67EA5">
        <w:rPr>
          <w:b/>
          <w:bCs/>
          <w:color w:val="000000"/>
        </w:rPr>
        <w:t>Show specifically why any similar information already available cannot be used or modified for use for the purposes described in Item 2 above.</w:t>
      </w:r>
    </w:p>
    <w:p w:rsidR="003C061D" w:rsidRPr="00D67EA5" w:rsidP="00CC7F1A" w14:paraId="699FCE09" w14:textId="77777777">
      <w:pPr>
        <w:widowControl/>
        <w:rPr>
          <w:b/>
          <w:bCs/>
          <w:color w:val="000000"/>
        </w:rPr>
      </w:pPr>
    </w:p>
    <w:p w:rsidR="003C061D" w:rsidRPr="00D67EA5" w:rsidP="00CC7F1A" w14:paraId="699FCE0A" w14:textId="3928D084">
      <w:pPr>
        <w:widowControl/>
        <w:rPr>
          <w:b/>
          <w:bCs/>
          <w:color w:val="000000"/>
        </w:rPr>
      </w:pPr>
      <w:r w:rsidRPr="00D67EA5">
        <w:rPr>
          <w:color w:val="000000"/>
        </w:rPr>
        <w:t xml:space="preserve">The information collected in </w:t>
      </w:r>
      <w:r w:rsidRPr="00D67EA5" w:rsidR="00BD164B">
        <w:rPr>
          <w:color w:val="000000"/>
        </w:rPr>
        <w:t>USDA</w:t>
      </w:r>
      <w:r w:rsidRPr="00D67EA5">
        <w:rPr>
          <w:color w:val="000000"/>
        </w:rPr>
        <w:t xml:space="preserve"> </w:t>
      </w:r>
      <w:r w:rsidRPr="00D67EA5" w:rsidR="00736429">
        <w:rPr>
          <w:color w:val="000000"/>
        </w:rPr>
        <w:t>funding announcements</w:t>
      </w:r>
      <w:r w:rsidRPr="00D67EA5" w:rsidR="006A72E3">
        <w:rPr>
          <w:color w:val="000000"/>
        </w:rPr>
        <w:t xml:space="preserve"> and associated forms</w:t>
      </w:r>
      <w:r w:rsidR="008F3EE9">
        <w:rPr>
          <w:color w:val="000000"/>
        </w:rPr>
        <w:t>,</w:t>
      </w:r>
      <w:r w:rsidRPr="00D67EA5" w:rsidR="00736429">
        <w:rPr>
          <w:color w:val="000000"/>
        </w:rPr>
        <w:t xml:space="preserve"> </w:t>
      </w:r>
      <w:r w:rsidRPr="00D67EA5">
        <w:rPr>
          <w:color w:val="000000"/>
        </w:rPr>
        <w:t>and in the associated reporting requirements is unique to each grant; therefore, it is not duplicated in any other source.</w:t>
      </w:r>
      <w:r w:rsidRPr="00D67EA5">
        <w:rPr>
          <w:b/>
          <w:bCs/>
          <w:color w:val="000000"/>
        </w:rPr>
        <w:t xml:space="preserve"> </w:t>
      </w:r>
      <w:r w:rsidRPr="00D67EA5">
        <w:rPr>
          <w:color w:val="000000"/>
        </w:rPr>
        <w:t xml:space="preserve">As applicable, the Department utilizes currently approved standard forms and will not duplicate information </w:t>
      </w:r>
      <w:r w:rsidRPr="00D67EA5">
        <w:rPr>
          <w:color w:val="000000"/>
        </w:rPr>
        <w:t>collected</w:t>
      </w:r>
      <w:r w:rsidRPr="00D67EA5">
        <w:rPr>
          <w:color w:val="000000"/>
        </w:rPr>
        <w:t xml:space="preserve"> on these forms.</w:t>
      </w:r>
    </w:p>
    <w:p w:rsidR="003C061D" w:rsidRPr="00D67EA5" w:rsidP="00CC7F1A" w14:paraId="699FCE0B" w14:textId="77777777">
      <w:pPr>
        <w:widowControl/>
        <w:rPr>
          <w:color w:val="000000"/>
        </w:rPr>
      </w:pPr>
    </w:p>
    <w:p w:rsidR="003C061D" w:rsidRPr="00D67EA5" w:rsidP="00CC7F1A" w14:paraId="699FCE0C" w14:textId="77777777">
      <w:pPr>
        <w:widowControl/>
        <w:tabs>
          <w:tab w:val="left" w:pos="360"/>
        </w:tabs>
        <w:ind w:left="360" w:hanging="360"/>
        <w:rPr>
          <w:b/>
          <w:bCs/>
          <w:color w:val="000000"/>
        </w:rPr>
      </w:pPr>
      <w:r w:rsidRPr="00D67EA5">
        <w:rPr>
          <w:b/>
          <w:bCs/>
          <w:color w:val="000000"/>
        </w:rPr>
        <w:t>5.</w:t>
      </w:r>
      <w:r w:rsidRPr="00D67EA5" w:rsidR="00261476">
        <w:rPr>
          <w:b/>
          <w:bCs/>
          <w:color w:val="000000"/>
        </w:rPr>
        <w:tab/>
      </w:r>
      <w:r w:rsidRPr="00D67EA5">
        <w:rPr>
          <w:b/>
          <w:bCs/>
          <w:color w:val="000000"/>
        </w:rPr>
        <w:t>If the collection of information impacts small businesses or other small entities, describe any methods used to minimize burden</w:t>
      </w:r>
      <w:r w:rsidRPr="00D67EA5" w:rsidR="00A67F9D">
        <w:rPr>
          <w:b/>
          <w:bCs/>
          <w:color w:val="000000"/>
        </w:rPr>
        <w:t xml:space="preserve">. </w:t>
      </w:r>
      <w:r w:rsidRPr="00D67EA5">
        <w:rPr>
          <w:b/>
          <w:bCs/>
          <w:color w:val="000000"/>
        </w:rPr>
        <w:t>Describe how the collection reduces, to the extent practicable and appropriate, the burden on all persons, including small entities, providing information.</w:t>
      </w:r>
    </w:p>
    <w:p w:rsidR="00653DDF" w:rsidRPr="00D67EA5" w:rsidP="00653DDF" w14:paraId="243B5AC8" w14:textId="77777777">
      <w:pPr>
        <w:pStyle w:val="Default"/>
      </w:pPr>
    </w:p>
    <w:p w:rsidR="00C00090" w:rsidRPr="00D67EA5" w:rsidP="00653DDF" w14:paraId="699FCE11" w14:textId="40989F98">
      <w:pPr>
        <w:widowControl/>
        <w:rPr>
          <w:color w:val="000000"/>
        </w:rPr>
      </w:pPr>
      <w:r w:rsidRPr="00D67EA5">
        <w:rPr>
          <w:color w:val="212121"/>
        </w:rPr>
        <w:t>Th</w:t>
      </w:r>
      <w:r w:rsidR="0082651E">
        <w:rPr>
          <w:color w:val="212121"/>
        </w:rPr>
        <w:t>is</w:t>
      </w:r>
      <w:r w:rsidRPr="00D67EA5">
        <w:rPr>
          <w:color w:val="212121"/>
        </w:rPr>
        <w:t xml:space="preserve"> collection do</w:t>
      </w:r>
      <w:r w:rsidR="0082651E">
        <w:rPr>
          <w:color w:val="212121"/>
        </w:rPr>
        <w:t>es</w:t>
      </w:r>
      <w:r w:rsidRPr="00D67EA5">
        <w:rPr>
          <w:color w:val="212121"/>
        </w:rPr>
        <w:t xml:space="preserve"> not impact small businesses and other small entities.</w:t>
      </w:r>
    </w:p>
    <w:p w:rsidR="00653DDF" w:rsidRPr="00D67EA5" w:rsidP="00CC7F1A" w14:paraId="6DE9F1E2" w14:textId="77777777">
      <w:pPr>
        <w:widowControl/>
        <w:tabs>
          <w:tab w:val="left" w:pos="360"/>
        </w:tabs>
        <w:ind w:left="360" w:hanging="360"/>
        <w:rPr>
          <w:b/>
          <w:bCs/>
          <w:color w:val="000000"/>
        </w:rPr>
      </w:pPr>
    </w:p>
    <w:p w:rsidR="003C061D" w:rsidRPr="00D67EA5" w:rsidP="00653DDF" w14:paraId="699FCE12" w14:textId="7DD4F5E3">
      <w:pPr>
        <w:widowControl/>
        <w:tabs>
          <w:tab w:val="left" w:pos="360"/>
        </w:tabs>
        <w:ind w:left="360" w:hanging="360"/>
        <w:rPr>
          <w:b/>
          <w:bCs/>
          <w:color w:val="000000"/>
        </w:rPr>
      </w:pPr>
      <w:r w:rsidRPr="00D67EA5">
        <w:rPr>
          <w:b/>
          <w:bCs/>
          <w:color w:val="000000"/>
        </w:rPr>
        <w:t>6.</w:t>
      </w:r>
      <w:r w:rsidRPr="00D67EA5" w:rsidR="00261476">
        <w:rPr>
          <w:b/>
          <w:bCs/>
          <w:color w:val="000000"/>
        </w:rPr>
        <w:tab/>
      </w:r>
      <w:r w:rsidRPr="00D67EA5">
        <w:rPr>
          <w:b/>
          <w:bCs/>
          <w:color w:val="000000"/>
        </w:rPr>
        <w:t>Describe the consequence to Federal program or policy activities if the collection is not conducted or is conducted less frequently, as well as any technical or legal obstacles to reducing the burden.</w:t>
      </w:r>
    </w:p>
    <w:p w:rsidR="003C061D" w:rsidRPr="00D67EA5" w:rsidP="00CC7F1A" w14:paraId="699FCE13" w14:textId="77777777">
      <w:pPr>
        <w:widowControl/>
        <w:rPr>
          <w:color w:val="000000"/>
        </w:rPr>
      </w:pPr>
    </w:p>
    <w:p w:rsidR="00ED3575" w:rsidRPr="00D67EA5" w:rsidP="00ED3575" w14:paraId="68D63356" w14:textId="693895ED">
      <w:pPr>
        <w:widowControl/>
        <w:rPr>
          <w:color w:val="000000"/>
        </w:rPr>
      </w:pPr>
      <w:r w:rsidRPr="00D67EA5">
        <w:rPr>
          <w:color w:val="000000"/>
        </w:rPr>
        <w:t xml:space="preserve">Collection of the data is necessary for the implementation of USDA’s Foreign Agricultural Service, IAEFP Program. </w:t>
      </w:r>
      <w:r w:rsidRPr="00D67EA5" w:rsidR="00A767CE">
        <w:t xml:space="preserve">Information is collected only when the grantee chooses to </w:t>
      </w:r>
      <w:r w:rsidRPr="00D67EA5" w:rsidR="00A767CE">
        <w:t>submit an application</w:t>
      </w:r>
      <w:r w:rsidRPr="00D67EA5" w:rsidR="00A767CE">
        <w:t xml:space="preserve"> for consideration of financial assistance award.  The submission of information must be timely in order to properly screen and evaluate applications and perform the administrative review of recommendations for award.  </w:t>
      </w:r>
      <w:r w:rsidRPr="00D67EA5" w:rsidR="004939AB">
        <w:t xml:space="preserve">Lack of adequate information to make the determination could result in the improper administration of Federal grant funds.  </w:t>
      </w:r>
      <w:r w:rsidRPr="00D67EA5" w:rsidR="00707E21">
        <w:t>If the collection is not approved, we will not be able to conduct the competition for these programs</w:t>
      </w:r>
      <w:r w:rsidRPr="00D67EA5" w:rsidR="004939AB">
        <w:t>.</w:t>
      </w:r>
      <w:r w:rsidRPr="00D67EA5">
        <w:rPr>
          <w:b/>
          <w:bCs/>
          <w:sz w:val="22"/>
          <w:szCs w:val="22"/>
        </w:rPr>
        <w:t xml:space="preserve"> </w:t>
      </w:r>
      <w:r w:rsidRPr="00D67EA5">
        <w:rPr>
          <w:color w:val="000000"/>
        </w:rPr>
        <w:t xml:space="preserve">Without approval to collect the necessary information, FAS’ ability to make awards will be compromised.  </w:t>
      </w:r>
    </w:p>
    <w:p w:rsidR="00C177D7" w:rsidRPr="00D67EA5" w:rsidP="007B5661" w14:paraId="33884735" w14:textId="77777777">
      <w:pPr>
        <w:widowControl/>
        <w:rPr>
          <w:color w:val="000000"/>
          <w:highlight w:val="yellow"/>
        </w:rPr>
      </w:pPr>
    </w:p>
    <w:p w:rsidR="003C061D" w:rsidRPr="00D67EA5" w:rsidP="00CC7F1A" w14:paraId="699FCE16" w14:textId="77777777">
      <w:pPr>
        <w:widowControl/>
        <w:tabs>
          <w:tab w:val="left" w:pos="360"/>
        </w:tabs>
        <w:ind w:left="360" w:hanging="360"/>
        <w:rPr>
          <w:b/>
          <w:bCs/>
          <w:color w:val="000000"/>
        </w:rPr>
      </w:pPr>
      <w:r w:rsidRPr="00D67EA5">
        <w:rPr>
          <w:b/>
          <w:bCs/>
          <w:color w:val="000000"/>
        </w:rPr>
        <w:t>7.</w:t>
      </w:r>
      <w:r w:rsidRPr="00D67EA5" w:rsidR="00B3072C">
        <w:rPr>
          <w:b/>
          <w:bCs/>
          <w:color w:val="000000"/>
        </w:rPr>
        <w:tab/>
      </w:r>
      <w:r w:rsidRPr="00D67EA5">
        <w:rPr>
          <w:b/>
          <w:bCs/>
          <w:color w:val="000000"/>
        </w:rPr>
        <w:t>Explain any special circumstances that would cause an information collection to be conducted in a manner:</w:t>
      </w:r>
    </w:p>
    <w:p w:rsidR="003C061D" w:rsidRPr="00D67EA5" w:rsidP="00CC7F1A" w14:paraId="699FCE17" w14:textId="77777777">
      <w:pPr>
        <w:widowControl/>
        <w:rPr>
          <w:b/>
          <w:bCs/>
          <w:color w:val="000000"/>
        </w:rPr>
      </w:pPr>
    </w:p>
    <w:p w:rsidR="003C061D" w:rsidRPr="00D67EA5" w:rsidP="00CC7F1A" w14:paraId="699FCE18" w14:textId="77777777">
      <w:pPr>
        <w:widowControl/>
        <w:numPr>
          <w:ilvl w:val="0"/>
          <w:numId w:val="18"/>
        </w:numPr>
        <w:tabs>
          <w:tab w:val="clear" w:pos="720"/>
        </w:tabs>
        <w:rPr>
          <w:b/>
          <w:bCs/>
          <w:color w:val="000000"/>
        </w:rPr>
      </w:pPr>
      <w:r w:rsidRPr="00D67EA5">
        <w:rPr>
          <w:b/>
          <w:bCs/>
          <w:color w:val="000000"/>
        </w:rPr>
        <w:t xml:space="preserve">requiring respondents to report information to the agency more often than </w:t>
      </w:r>
      <w:r w:rsidRPr="00D67EA5">
        <w:rPr>
          <w:b/>
          <w:bCs/>
          <w:color w:val="000000"/>
        </w:rPr>
        <w:t>quarterly;</w:t>
      </w:r>
    </w:p>
    <w:p w:rsidR="003C061D" w:rsidRPr="00D67EA5" w:rsidP="00CC7F1A" w14:paraId="699FCE19" w14:textId="77777777">
      <w:pPr>
        <w:widowControl/>
        <w:rPr>
          <w:b/>
          <w:bCs/>
          <w:color w:val="000000"/>
        </w:rPr>
      </w:pPr>
    </w:p>
    <w:p w:rsidR="003C061D" w:rsidRPr="00D67EA5" w:rsidP="00CC7F1A" w14:paraId="699FCE1A" w14:textId="77777777">
      <w:pPr>
        <w:widowControl/>
        <w:numPr>
          <w:ilvl w:val="0"/>
          <w:numId w:val="18"/>
        </w:numPr>
        <w:tabs>
          <w:tab w:val="clear" w:pos="720"/>
        </w:tabs>
        <w:rPr>
          <w:b/>
          <w:bCs/>
          <w:color w:val="000000"/>
        </w:rPr>
      </w:pPr>
      <w:r w:rsidRPr="00D67EA5">
        <w:rPr>
          <w:b/>
          <w:bCs/>
          <w:color w:val="000000"/>
        </w:rPr>
        <w:t xml:space="preserve">requiring respondents to prepare a written response to a collection of information in fewer than 30 days after receipt of </w:t>
      </w:r>
      <w:r w:rsidRPr="00D67EA5">
        <w:rPr>
          <w:b/>
          <w:bCs/>
          <w:color w:val="000000"/>
        </w:rPr>
        <w:t>it;</w:t>
      </w:r>
    </w:p>
    <w:p w:rsidR="003C061D" w:rsidRPr="00D67EA5" w:rsidP="00CC7F1A" w14:paraId="699FCE1B" w14:textId="77777777">
      <w:pPr>
        <w:widowControl/>
        <w:rPr>
          <w:b/>
          <w:bCs/>
          <w:color w:val="000000"/>
        </w:rPr>
      </w:pPr>
    </w:p>
    <w:p w:rsidR="003C061D" w:rsidRPr="00D67EA5" w:rsidP="00CC7F1A" w14:paraId="699FCE1C" w14:textId="77777777">
      <w:pPr>
        <w:widowControl/>
        <w:numPr>
          <w:ilvl w:val="0"/>
          <w:numId w:val="18"/>
        </w:numPr>
        <w:tabs>
          <w:tab w:val="clear" w:pos="720"/>
        </w:tabs>
        <w:rPr>
          <w:b/>
          <w:bCs/>
          <w:color w:val="000000"/>
        </w:rPr>
      </w:pPr>
      <w:r w:rsidRPr="00D67EA5">
        <w:rPr>
          <w:b/>
          <w:bCs/>
          <w:color w:val="000000"/>
        </w:rPr>
        <w:t xml:space="preserve">requiring respondents to submit more than an original and two copies of any </w:t>
      </w:r>
      <w:r w:rsidRPr="00D67EA5">
        <w:rPr>
          <w:b/>
          <w:bCs/>
          <w:color w:val="000000"/>
        </w:rPr>
        <w:t>document;</w:t>
      </w:r>
    </w:p>
    <w:p w:rsidR="003C061D" w:rsidRPr="00D67EA5" w:rsidP="00CC7F1A" w14:paraId="699FCE1D" w14:textId="77777777">
      <w:pPr>
        <w:widowControl/>
        <w:rPr>
          <w:b/>
          <w:bCs/>
          <w:color w:val="000000"/>
        </w:rPr>
      </w:pPr>
    </w:p>
    <w:p w:rsidR="003C061D" w:rsidRPr="00D67EA5" w:rsidP="00CC7F1A" w14:paraId="699FCE1E" w14:textId="77777777">
      <w:pPr>
        <w:widowControl/>
        <w:numPr>
          <w:ilvl w:val="0"/>
          <w:numId w:val="18"/>
        </w:numPr>
        <w:tabs>
          <w:tab w:val="clear" w:pos="720"/>
        </w:tabs>
        <w:rPr>
          <w:b/>
          <w:bCs/>
          <w:color w:val="000000"/>
        </w:rPr>
      </w:pPr>
      <w:r w:rsidRPr="00D67EA5">
        <w:rPr>
          <w:b/>
          <w:bCs/>
          <w:color w:val="000000"/>
        </w:rPr>
        <w:t xml:space="preserve">requiring respondents to retain records, other than health, medical, government contract, grant-in-aid, or tax records for more than three </w:t>
      </w:r>
      <w:r w:rsidRPr="00D67EA5">
        <w:rPr>
          <w:b/>
          <w:bCs/>
          <w:color w:val="000000"/>
        </w:rPr>
        <w:t>years;</w:t>
      </w:r>
    </w:p>
    <w:p w:rsidR="003C061D" w:rsidRPr="00D67EA5" w:rsidP="00CC7F1A" w14:paraId="699FCE1F" w14:textId="77777777">
      <w:pPr>
        <w:widowControl/>
        <w:rPr>
          <w:b/>
          <w:bCs/>
          <w:color w:val="000000"/>
        </w:rPr>
      </w:pPr>
    </w:p>
    <w:p w:rsidR="003C061D" w:rsidRPr="00D67EA5" w:rsidP="00CC7F1A" w14:paraId="699FCE20" w14:textId="77777777">
      <w:pPr>
        <w:widowControl/>
        <w:numPr>
          <w:ilvl w:val="0"/>
          <w:numId w:val="18"/>
        </w:numPr>
        <w:tabs>
          <w:tab w:val="clear" w:pos="720"/>
        </w:tabs>
        <w:rPr>
          <w:b/>
          <w:bCs/>
          <w:color w:val="000000"/>
        </w:rPr>
      </w:pPr>
      <w:r w:rsidRPr="00D67EA5">
        <w:rPr>
          <w:b/>
          <w:bCs/>
          <w:color w:val="000000"/>
        </w:rPr>
        <w:t xml:space="preserve">in connection with a statistical survey, that is not designed to produce valid and reliable results that can be generalized to the universe of </w:t>
      </w:r>
      <w:r w:rsidRPr="00D67EA5">
        <w:rPr>
          <w:b/>
          <w:bCs/>
          <w:color w:val="000000"/>
        </w:rPr>
        <w:t>study;</w:t>
      </w:r>
    </w:p>
    <w:p w:rsidR="003C061D" w:rsidRPr="00D67EA5" w:rsidP="00CC7F1A" w14:paraId="699FCE21" w14:textId="77777777">
      <w:pPr>
        <w:widowControl/>
        <w:rPr>
          <w:b/>
          <w:bCs/>
          <w:color w:val="000000"/>
        </w:rPr>
      </w:pPr>
    </w:p>
    <w:p w:rsidR="003C061D" w:rsidRPr="00D67EA5" w:rsidP="00CC7F1A" w14:paraId="699FCE22" w14:textId="77777777">
      <w:pPr>
        <w:widowControl/>
        <w:numPr>
          <w:ilvl w:val="0"/>
          <w:numId w:val="18"/>
        </w:numPr>
        <w:tabs>
          <w:tab w:val="clear" w:pos="720"/>
        </w:tabs>
        <w:rPr>
          <w:b/>
          <w:bCs/>
          <w:color w:val="000000"/>
        </w:rPr>
      </w:pPr>
      <w:r w:rsidRPr="00D67EA5">
        <w:rPr>
          <w:b/>
          <w:bCs/>
          <w:color w:val="000000"/>
        </w:rPr>
        <w:t xml:space="preserve">requiring the use of a statistical data classification that has not been reviewed and approved by </w:t>
      </w:r>
      <w:r w:rsidRPr="00D67EA5">
        <w:rPr>
          <w:b/>
          <w:bCs/>
          <w:color w:val="000000"/>
        </w:rPr>
        <w:t>OMB;</w:t>
      </w:r>
    </w:p>
    <w:p w:rsidR="003C061D" w:rsidRPr="00D67EA5" w:rsidP="00CC7F1A" w14:paraId="699FCE23" w14:textId="77777777">
      <w:pPr>
        <w:widowControl/>
        <w:rPr>
          <w:b/>
          <w:bCs/>
          <w:color w:val="000000"/>
        </w:rPr>
      </w:pPr>
    </w:p>
    <w:p w:rsidR="003C061D" w:rsidRPr="00D67EA5" w:rsidP="00CC7F1A" w14:paraId="699FCE24" w14:textId="77777777">
      <w:pPr>
        <w:widowControl/>
        <w:numPr>
          <w:ilvl w:val="0"/>
          <w:numId w:val="18"/>
        </w:numPr>
        <w:tabs>
          <w:tab w:val="clear" w:pos="720"/>
        </w:tabs>
        <w:rPr>
          <w:b/>
          <w:bCs/>
          <w:color w:val="000000"/>
        </w:rPr>
      </w:pPr>
      <w:r w:rsidRPr="00D67EA5">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061D" w:rsidRPr="00D67EA5" w:rsidP="00CC7F1A" w14:paraId="699FCE25" w14:textId="77777777">
      <w:pPr>
        <w:widowControl/>
        <w:rPr>
          <w:b/>
          <w:bCs/>
          <w:color w:val="000000"/>
        </w:rPr>
      </w:pPr>
    </w:p>
    <w:p w:rsidR="003C061D" w:rsidRPr="00D67EA5" w:rsidP="00CC7F1A" w14:paraId="699FCE26" w14:textId="77777777">
      <w:pPr>
        <w:widowControl/>
        <w:numPr>
          <w:ilvl w:val="0"/>
          <w:numId w:val="17"/>
        </w:numPr>
        <w:tabs>
          <w:tab w:val="clear" w:pos="720"/>
        </w:tabs>
        <w:rPr>
          <w:b/>
          <w:bCs/>
          <w:color w:val="000000"/>
        </w:rPr>
      </w:pPr>
      <w:r w:rsidRPr="00D67EA5">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3C061D" w:rsidRPr="00D67EA5" w:rsidP="00CC7F1A" w14:paraId="699FCE27" w14:textId="77777777">
      <w:pPr>
        <w:widowControl/>
        <w:rPr>
          <w:color w:val="000000"/>
        </w:rPr>
      </w:pPr>
    </w:p>
    <w:p w:rsidR="003C061D" w:rsidRPr="00D67EA5" w:rsidP="00CC7F1A" w14:paraId="699FCE28" w14:textId="5009B302">
      <w:pPr>
        <w:widowControl/>
        <w:rPr>
          <w:color w:val="000000"/>
        </w:rPr>
      </w:pPr>
      <w:r w:rsidRPr="00D67EA5">
        <w:rPr>
          <w:color w:val="000000"/>
        </w:rPr>
        <w:t>There are no special circumstances.</w:t>
      </w:r>
    </w:p>
    <w:p w:rsidR="003C061D" w:rsidRPr="00D67EA5" w:rsidP="00CC7F1A" w14:paraId="699FCE29" w14:textId="77777777">
      <w:pPr>
        <w:widowControl/>
        <w:rPr>
          <w:color w:val="000000"/>
        </w:rPr>
      </w:pPr>
    </w:p>
    <w:p w:rsidR="003C061D" w:rsidRPr="00D67EA5" w:rsidP="00CC7F1A" w14:paraId="699FCE2A" w14:textId="77777777">
      <w:pPr>
        <w:widowControl/>
        <w:tabs>
          <w:tab w:val="left" w:pos="360"/>
        </w:tabs>
        <w:ind w:left="360" w:hanging="360"/>
        <w:rPr>
          <w:b/>
          <w:bCs/>
          <w:color w:val="000000"/>
        </w:rPr>
      </w:pPr>
      <w:r w:rsidRPr="00D67EA5">
        <w:rPr>
          <w:b/>
          <w:bCs/>
          <w:color w:val="000000"/>
        </w:rPr>
        <w:t>8.</w:t>
      </w:r>
      <w:r w:rsidRPr="00D67EA5" w:rsidR="00B3072C">
        <w:rPr>
          <w:b/>
          <w:bCs/>
          <w:color w:val="000000"/>
        </w:rPr>
        <w:tab/>
      </w:r>
      <w:r w:rsidRPr="00D67EA5">
        <w:rPr>
          <w:b/>
          <w:bCs/>
          <w:color w:val="000000"/>
        </w:rPr>
        <w:t xml:space="preserve">If applicable, provide a copy and identify the date and page number of </w:t>
      </w:r>
      <w:r w:rsidRPr="00D67EA5">
        <w:rPr>
          <w:b/>
          <w:bCs/>
          <w:color w:val="000000"/>
        </w:rPr>
        <w:t>publication</w:t>
      </w:r>
      <w:r w:rsidRPr="00D67EA5">
        <w:rPr>
          <w:b/>
          <w:bCs/>
          <w:color w:val="000000"/>
        </w:rPr>
        <w:t xml:space="preserve"> in the Federal Register of the agency's notice, required by 5 C.F.R. § 1320.8(d), soliciting comments on the information collection prior to submission to OMB</w:t>
      </w:r>
      <w:r w:rsidRPr="00D67EA5" w:rsidR="00A67F9D">
        <w:rPr>
          <w:b/>
          <w:bCs/>
          <w:color w:val="000000"/>
        </w:rPr>
        <w:t xml:space="preserve">. </w:t>
      </w:r>
      <w:r w:rsidRPr="00D67EA5">
        <w:rPr>
          <w:b/>
          <w:bCs/>
          <w:color w:val="000000"/>
        </w:rPr>
        <w:t>Summarize public comments received in response to that notice and describe actions taken by the agency in response to these comments</w:t>
      </w:r>
      <w:r w:rsidRPr="00D67EA5" w:rsidR="00A67F9D">
        <w:rPr>
          <w:b/>
          <w:bCs/>
          <w:color w:val="000000"/>
        </w:rPr>
        <w:t xml:space="preserve">. </w:t>
      </w:r>
      <w:r w:rsidRPr="00D67EA5">
        <w:rPr>
          <w:b/>
          <w:bCs/>
          <w:color w:val="000000"/>
        </w:rPr>
        <w:t>Specifically address comments received on cost and hour burden.</w:t>
      </w:r>
    </w:p>
    <w:p w:rsidR="003C061D" w:rsidRPr="00D67EA5" w:rsidP="00CC7F1A" w14:paraId="699FCE2B" w14:textId="77777777">
      <w:pPr>
        <w:widowControl/>
        <w:rPr>
          <w:b/>
          <w:bCs/>
          <w:color w:val="000000"/>
        </w:rPr>
      </w:pPr>
    </w:p>
    <w:p w:rsidR="00DD7812" w:rsidRPr="00D67EA5" w:rsidP="00DD7812" w14:paraId="2EE13088" w14:textId="77777777">
      <w:pPr>
        <w:ind w:left="360"/>
      </w:pPr>
      <w:r w:rsidRPr="00D67EA5">
        <w:t xml:space="preserve">FAS published a 60-day Notice of Proposed Information Collections for public comments in the Federal Register, Volume 87; Page 65025 - 65026 on October 27, 2022.  The public was given until December 27, 2022, to submit comments on the proposed information collection.  FAS received no comments on this proposed collection.  </w:t>
      </w:r>
    </w:p>
    <w:p w:rsidR="00EE649C" w:rsidRPr="00D67EA5" w:rsidP="00DD7812" w14:paraId="699FCE31" w14:textId="77777777">
      <w:pPr>
        <w:pStyle w:val="BodyText"/>
        <w:widowControl/>
        <w:jc w:val="left"/>
        <w:rPr>
          <w:color w:val="000000"/>
        </w:rPr>
      </w:pPr>
    </w:p>
    <w:p w:rsidR="00DD7812" w:rsidRPr="00D67EA5" w:rsidP="00DD7812" w14:paraId="446F69E4" w14:textId="77777777">
      <w:pPr>
        <w:widowControl/>
        <w:numPr>
          <w:ilvl w:val="1"/>
          <w:numId w:val="13"/>
        </w:numPr>
        <w:tabs>
          <w:tab w:val="clear" w:pos="1440"/>
        </w:tabs>
        <w:ind w:left="360"/>
        <w:rPr>
          <w:b/>
          <w:bCs/>
          <w:color w:val="000000"/>
        </w:rPr>
      </w:pPr>
      <w:r w:rsidRPr="00D67EA5">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7812" w:rsidRPr="00D67EA5" w:rsidP="00DD7812" w14:paraId="013E1FB5" w14:textId="77777777">
      <w:pPr>
        <w:widowControl/>
        <w:ind w:left="360"/>
        <w:rPr>
          <w:b/>
          <w:bCs/>
          <w:color w:val="000000"/>
        </w:rPr>
      </w:pPr>
    </w:p>
    <w:p w:rsidR="00DD7812" w:rsidRPr="00D67EA5" w:rsidP="00DD7812" w14:paraId="475307FE" w14:textId="77777777">
      <w:pPr>
        <w:widowControl/>
        <w:numPr>
          <w:ilvl w:val="1"/>
          <w:numId w:val="13"/>
        </w:numPr>
        <w:tabs>
          <w:tab w:val="clear" w:pos="1440"/>
        </w:tabs>
        <w:ind w:left="360"/>
        <w:rPr>
          <w:b/>
          <w:bCs/>
          <w:color w:val="000000"/>
        </w:rPr>
      </w:pPr>
      <w:r w:rsidRPr="00D67EA5">
        <w:rPr>
          <w:b/>
          <w:bCs/>
          <w:color w:val="000000"/>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DD7812" w:rsidRPr="00D67EA5" w:rsidP="00CC7F1A" w14:paraId="63D132BD" w14:textId="77777777">
      <w:pPr>
        <w:pStyle w:val="BodyText"/>
        <w:widowControl/>
        <w:jc w:val="left"/>
        <w:rPr>
          <w:color w:val="000000"/>
        </w:rPr>
      </w:pPr>
    </w:p>
    <w:p w:rsidR="00DD7812" w:rsidRPr="00D67EA5" w:rsidP="00DD7812" w14:paraId="3CFFD262" w14:textId="604A25C1">
      <w:pPr>
        <w:pStyle w:val="BodyTextIndent"/>
        <w:ind w:left="360"/>
        <w:jc w:val="left"/>
        <w:rPr>
          <w:bCs/>
        </w:rPr>
      </w:pPr>
      <w:r w:rsidRPr="00D67EA5">
        <w:rPr>
          <w:bCs/>
        </w:rPr>
        <w:t xml:space="preserve">FAS consulted with past </w:t>
      </w:r>
      <w:r w:rsidR="00D67EA5">
        <w:rPr>
          <w:bCs/>
        </w:rPr>
        <w:t>recipients</w:t>
      </w:r>
      <w:r w:rsidRPr="00D67EA5">
        <w:rPr>
          <w:bCs/>
        </w:rPr>
        <w:t xml:space="preserve"> </w:t>
      </w:r>
      <w:r w:rsidRPr="00D67EA5" w:rsidR="00A767CE">
        <w:rPr>
          <w:bCs/>
        </w:rPr>
        <w:t xml:space="preserve">to determine burden estimates </w:t>
      </w:r>
      <w:r w:rsidRPr="00D67EA5">
        <w:rPr>
          <w:bCs/>
        </w:rPr>
        <w:t>of the International Agricultural Education Fellowship Program and obtained their views on the collection of information, to include:</w:t>
      </w:r>
    </w:p>
    <w:p w:rsidR="00DD7812" w:rsidRPr="00D67EA5" w:rsidP="00DD7812" w14:paraId="3D36D251" w14:textId="77777777">
      <w:pPr>
        <w:pStyle w:val="BodyTextIndent"/>
        <w:rPr>
          <w:bCs/>
        </w:rPr>
      </w:pPr>
    </w:p>
    <w:tbl>
      <w:tblPr>
        <w:tblStyle w:val="TableGrid"/>
        <w:tblW w:w="10260" w:type="dxa"/>
        <w:tblInd w:w="247" w:type="dxa"/>
        <w:tblLook w:val="04A0"/>
      </w:tblPr>
      <w:tblGrid>
        <w:gridCol w:w="3258"/>
        <w:gridCol w:w="3600"/>
        <w:gridCol w:w="3402"/>
      </w:tblGrid>
      <w:tr w14:paraId="4F523007" w14:textId="77777777" w:rsidTr="00EE2CFB">
        <w:tblPrEx>
          <w:tblW w:w="10260" w:type="dxa"/>
          <w:tblInd w:w="247" w:type="dxa"/>
          <w:tblLook w:val="04A0"/>
        </w:tblPrEx>
        <w:tc>
          <w:tcPr>
            <w:tcW w:w="3258" w:type="dxa"/>
          </w:tcPr>
          <w:p w:rsidR="00D67EA5" w:rsidRPr="00D67EA5" w:rsidP="002A0F42" w14:paraId="08115767" w14:textId="77777777">
            <w:r w:rsidRPr="00D67EA5">
              <w:t>Participant #1</w:t>
            </w:r>
          </w:p>
          <w:p w:rsidR="00D67EA5" w:rsidRPr="00D67EA5" w:rsidP="002A0F42" w14:paraId="4CDA8542" w14:textId="2F35F436">
            <w:r w:rsidRPr="00D67EA5">
              <w:t>Organization</w:t>
            </w:r>
            <w:r>
              <w:t>:</w:t>
            </w:r>
            <w:r w:rsidR="00633809">
              <w:t xml:space="preserve"> Texas A&amp;M University</w:t>
            </w:r>
          </w:p>
          <w:p w:rsidR="00D67EA5" w:rsidRPr="00D67EA5" w:rsidP="002A0F42" w14:paraId="1C73233C" w14:textId="4EDD233A">
            <w:r w:rsidRPr="00D67EA5">
              <w:t>P</w:t>
            </w:r>
            <w:r w:rsidR="00925947">
              <w:t>OC:</w:t>
            </w:r>
            <w:r w:rsidR="00633809">
              <w:t xml:space="preserve"> Dr. Jack Elliot</w:t>
            </w:r>
          </w:p>
          <w:p w:rsidR="00D67EA5" w:rsidRPr="00D67EA5" w:rsidP="002A0F42" w14:paraId="41CAB881" w14:textId="2B52A0D9">
            <w:r w:rsidRPr="00D67EA5">
              <w:t>Email</w:t>
            </w:r>
            <w:r>
              <w:t>:</w:t>
            </w:r>
            <w:r w:rsidR="00633809">
              <w:t xml:space="preserve"> </w:t>
            </w:r>
            <w:r w:rsidRPr="00633809" w:rsidR="00633809">
              <w:t>jelliot@tamu.edu</w:t>
            </w:r>
          </w:p>
          <w:p w:rsidR="00DD7812" w:rsidRPr="00D67EA5" w:rsidP="00D67EA5" w14:paraId="04628629" w14:textId="7456D939">
            <w:r w:rsidRPr="00D67EA5">
              <w:t>Phone</w:t>
            </w:r>
            <w:r>
              <w:t>:</w:t>
            </w:r>
            <w:r w:rsidR="00633809">
              <w:t xml:space="preserve"> </w:t>
            </w:r>
            <w:hyperlink r:id="rId5" w:history="1">
              <w:r w:rsidR="00633809">
                <w:rPr>
                  <w:rStyle w:val="s2"/>
                  <w:color w:val="0000FF"/>
                  <w:u w:val="single"/>
                </w:rPr>
                <w:t>979-676-2996</w:t>
              </w:r>
            </w:hyperlink>
          </w:p>
        </w:tc>
        <w:tc>
          <w:tcPr>
            <w:tcW w:w="3600" w:type="dxa"/>
          </w:tcPr>
          <w:p w:rsidR="00D67EA5" w:rsidRPr="00D67EA5" w:rsidP="00D67EA5" w14:paraId="556E45C2" w14:textId="7D2B24D2">
            <w:r w:rsidRPr="00D67EA5">
              <w:t>Participant #2</w:t>
            </w:r>
          </w:p>
          <w:p w:rsidR="00D67EA5" w:rsidRPr="00D67EA5" w:rsidP="00D67EA5" w14:paraId="39FF8F34" w14:textId="1773506E">
            <w:r w:rsidRPr="00D67EA5">
              <w:t>Organization</w:t>
            </w:r>
            <w:r>
              <w:t>:</w:t>
            </w:r>
            <w:r w:rsidR="00633809">
              <w:t xml:space="preserve"> University of Missouri</w:t>
            </w:r>
          </w:p>
          <w:p w:rsidR="00D67EA5" w:rsidRPr="00D67EA5" w:rsidP="00D67EA5" w14:paraId="1C25920A" w14:textId="0185A41C">
            <w:r>
              <w:t>POC:</w:t>
            </w:r>
            <w:r w:rsidR="00633809">
              <w:t xml:space="preserve"> Lindsey Saunders</w:t>
            </w:r>
          </w:p>
          <w:p w:rsidR="00D67EA5" w:rsidRPr="00D67EA5" w:rsidP="00D67EA5" w14:paraId="68603C6F" w14:textId="14FF7F53">
            <w:r w:rsidRPr="00D67EA5">
              <w:t>Email</w:t>
            </w:r>
            <w:r>
              <w:t>:</w:t>
            </w:r>
            <w:r w:rsidR="00633809">
              <w:t xml:space="preserve"> </w:t>
            </w:r>
            <w:r w:rsidRPr="00633809" w:rsidR="00633809">
              <w:t>SaundersL@missouri.edu</w:t>
            </w:r>
          </w:p>
          <w:p w:rsidR="00DD7812" w:rsidRPr="00D67EA5" w:rsidP="00D67EA5" w14:paraId="680FDC5E" w14:textId="23FC79C2">
            <w:r w:rsidRPr="00D67EA5">
              <w:t>Phone</w:t>
            </w:r>
            <w:r>
              <w:t>:</w:t>
            </w:r>
            <w:r w:rsidR="00633809">
              <w:t xml:space="preserve"> </w:t>
            </w:r>
            <w:r w:rsidRPr="00EE2CFB" w:rsidR="00633809">
              <w:rPr>
                <w:rStyle w:val="s2"/>
                <w:color w:val="0000FF"/>
                <w:u w:val="single"/>
              </w:rPr>
              <w:t>573-882-0092 </w:t>
            </w:r>
          </w:p>
        </w:tc>
        <w:tc>
          <w:tcPr>
            <w:tcW w:w="3402" w:type="dxa"/>
          </w:tcPr>
          <w:p w:rsidR="00D67EA5" w:rsidRPr="00D67EA5" w:rsidP="00D67EA5" w14:paraId="02770C28" w14:textId="11DDC043">
            <w:r w:rsidRPr="00D67EA5">
              <w:t>Participant #3</w:t>
            </w:r>
          </w:p>
          <w:p w:rsidR="00D67EA5" w:rsidRPr="00D67EA5" w:rsidP="00D67EA5" w14:paraId="20317B53" w14:textId="443555BC">
            <w:r w:rsidRPr="00D67EA5">
              <w:t>Organization</w:t>
            </w:r>
            <w:r>
              <w:t>:</w:t>
            </w:r>
            <w:r w:rsidR="00633809">
              <w:t xml:space="preserve"> Catholic Relief Services</w:t>
            </w:r>
          </w:p>
          <w:p w:rsidR="00D67EA5" w:rsidRPr="00D67EA5" w:rsidP="00D67EA5" w14:paraId="2554E43D" w14:textId="64272811">
            <w:r>
              <w:t>POC</w:t>
            </w:r>
            <w:r>
              <w:t>:</w:t>
            </w:r>
            <w:r w:rsidR="00633809">
              <w:t xml:space="preserve"> Juliana Lawniczak</w:t>
            </w:r>
          </w:p>
          <w:p w:rsidR="00D67EA5" w:rsidRPr="00D67EA5" w:rsidP="00D67EA5" w14:paraId="44C4BDC5" w14:textId="454D581E">
            <w:r w:rsidRPr="00D67EA5">
              <w:t>Email</w:t>
            </w:r>
            <w:r>
              <w:t>:</w:t>
            </w:r>
            <w:r w:rsidR="00633809">
              <w:t xml:space="preserve"> </w:t>
            </w:r>
            <w:r w:rsidRPr="00633809" w:rsidR="00633809">
              <w:t>Juliana.Lawniczak@crs.org</w:t>
            </w:r>
          </w:p>
          <w:p w:rsidR="00DD7812" w:rsidRPr="00D67EA5" w:rsidP="00D67EA5" w14:paraId="04912557" w14:textId="1873B229">
            <w:r w:rsidRPr="00D67EA5">
              <w:t>Phone</w:t>
            </w:r>
            <w:r w:rsidR="00633809">
              <w:t>: NA</w:t>
            </w:r>
          </w:p>
        </w:tc>
      </w:tr>
    </w:tbl>
    <w:p w:rsidR="00DD7812" w:rsidP="00DD7812" w14:paraId="1F0969F1" w14:textId="77777777">
      <w:pPr>
        <w:pStyle w:val="BodyTextIndent"/>
        <w:ind w:left="0"/>
        <w:rPr>
          <w:b/>
          <w:bCs/>
        </w:rPr>
      </w:pPr>
    </w:p>
    <w:p w:rsidR="00DD7812" w:rsidRPr="00D67EA5" w:rsidP="00DD7812" w14:paraId="4731FD85" w14:textId="497CA521">
      <w:pPr>
        <w:pStyle w:val="BodyTextIndent"/>
        <w:ind w:left="360"/>
        <w:rPr>
          <w:bCs/>
        </w:rPr>
      </w:pPr>
      <w:r w:rsidRPr="00D67EA5">
        <w:rPr>
          <w:bCs/>
        </w:rPr>
        <w:t xml:space="preserve">These </w:t>
      </w:r>
      <w:r w:rsidR="00D67EA5">
        <w:rPr>
          <w:bCs/>
        </w:rPr>
        <w:t>organizations</w:t>
      </w:r>
      <w:r w:rsidRPr="00D67EA5">
        <w:rPr>
          <w:bCs/>
        </w:rPr>
        <w:t xml:space="preserve"> reported that the burden estimates for this information collection were generally accurate.  </w:t>
      </w:r>
      <w:r w:rsidR="00FF7767">
        <w:rPr>
          <w:bCs/>
        </w:rPr>
        <w:t>Two</w:t>
      </w:r>
      <w:r w:rsidRPr="00D67EA5" w:rsidR="00FF7767">
        <w:rPr>
          <w:bCs/>
        </w:rPr>
        <w:t xml:space="preserve"> </w:t>
      </w:r>
      <w:r w:rsidRPr="00D67EA5">
        <w:rPr>
          <w:bCs/>
        </w:rPr>
        <w:t xml:space="preserve">participants are </w:t>
      </w:r>
      <w:r w:rsidRPr="00D67EA5" w:rsidR="00333471">
        <w:rPr>
          <w:bCs/>
        </w:rPr>
        <w:t>institutions</w:t>
      </w:r>
      <w:r w:rsidRPr="00D67EA5" w:rsidR="000A3983">
        <w:rPr>
          <w:bCs/>
        </w:rPr>
        <w:t xml:space="preserve"> of higher education</w:t>
      </w:r>
      <w:r w:rsidR="00FF7767">
        <w:rPr>
          <w:bCs/>
        </w:rPr>
        <w:t xml:space="preserve">, and the other is a </w:t>
      </w:r>
      <w:r w:rsidRPr="00511A9E" w:rsidR="00FF7767">
        <w:rPr>
          <w:color w:val="000000"/>
        </w:rPr>
        <w:t>nongovernmental organization</w:t>
      </w:r>
      <w:r w:rsidRPr="00D67EA5">
        <w:rPr>
          <w:bCs/>
        </w:rPr>
        <w:t>.  Participant #1, #2 and #3 reported that the burden estimates for this information collection were reasonable.</w:t>
      </w:r>
      <w:r w:rsidR="00FF7767">
        <w:rPr>
          <w:bCs/>
        </w:rPr>
        <w:t xml:space="preserve">  </w:t>
      </w:r>
      <w:bookmarkStart w:id="1" w:name="_Hlk144359864"/>
      <w:r w:rsidR="00FF7767">
        <w:rPr>
          <w:bCs/>
        </w:rPr>
        <w:t>Participant #1 estimated 275 hours; participant #2 estimated 225 hours; participant #3 estimated 90 hours.</w:t>
      </w:r>
      <w:r w:rsidR="00A510DA">
        <w:rPr>
          <w:bCs/>
        </w:rPr>
        <w:t xml:space="preserve">  Once estimates were received, FAS confirmed receipt and thanked past participants not only for their estimate but also for their interest and participation in our programs.</w:t>
      </w:r>
      <w:r w:rsidR="009A009C">
        <w:rPr>
          <w:bCs/>
        </w:rPr>
        <w:t xml:space="preserve">  FAS used an average of the estimated responses to calculate the burden.</w:t>
      </w:r>
    </w:p>
    <w:bookmarkEnd w:id="1"/>
    <w:p w:rsidR="00DD7812" w:rsidRPr="00D67EA5" w:rsidP="00CC7F1A" w14:paraId="2AA953C7" w14:textId="77777777">
      <w:pPr>
        <w:pStyle w:val="BodyText"/>
        <w:widowControl/>
        <w:jc w:val="left"/>
        <w:rPr>
          <w:color w:val="000000"/>
        </w:rPr>
      </w:pPr>
    </w:p>
    <w:p w:rsidR="003C061D" w:rsidRPr="00D67EA5" w:rsidP="00CC7F1A" w14:paraId="699FCE34" w14:textId="77777777">
      <w:pPr>
        <w:widowControl/>
        <w:tabs>
          <w:tab w:val="left" w:pos="360"/>
        </w:tabs>
        <w:ind w:left="360" w:hanging="360"/>
        <w:rPr>
          <w:b/>
          <w:bCs/>
          <w:color w:val="000000"/>
        </w:rPr>
      </w:pPr>
      <w:r w:rsidRPr="00D67EA5">
        <w:rPr>
          <w:b/>
          <w:bCs/>
          <w:color w:val="000000"/>
        </w:rPr>
        <w:t>9.</w:t>
      </w:r>
      <w:r w:rsidRPr="00D67EA5" w:rsidR="005607F8">
        <w:rPr>
          <w:b/>
          <w:bCs/>
          <w:color w:val="000000"/>
        </w:rPr>
        <w:tab/>
      </w:r>
      <w:r w:rsidRPr="00D67EA5">
        <w:rPr>
          <w:b/>
          <w:bCs/>
          <w:color w:val="000000"/>
        </w:rPr>
        <w:t>Explain any decision to provide any payment or gift to respondents, other than remuneration of contractors or grantees.</w:t>
      </w:r>
    </w:p>
    <w:p w:rsidR="003C061D" w:rsidRPr="00D67EA5" w:rsidP="00CC7F1A" w14:paraId="699FCE35" w14:textId="77777777">
      <w:pPr>
        <w:widowControl/>
        <w:rPr>
          <w:color w:val="000000"/>
        </w:rPr>
      </w:pPr>
    </w:p>
    <w:p w:rsidR="003C061D" w:rsidRPr="00D67EA5" w:rsidP="00CC7F1A" w14:paraId="699FCE36" w14:textId="77777777">
      <w:pPr>
        <w:widowControl/>
        <w:rPr>
          <w:color w:val="000000"/>
        </w:rPr>
      </w:pPr>
      <w:r w:rsidRPr="00D67EA5">
        <w:rPr>
          <w:color w:val="000000"/>
        </w:rPr>
        <w:t xml:space="preserve">The Department </w:t>
      </w:r>
      <w:r w:rsidRPr="00D67EA5" w:rsidR="00DB7401">
        <w:rPr>
          <w:color w:val="000000"/>
        </w:rPr>
        <w:t>does</w:t>
      </w:r>
      <w:r w:rsidRPr="00D67EA5">
        <w:rPr>
          <w:color w:val="000000"/>
        </w:rPr>
        <w:t xml:space="preserve"> not provide any payment or gift to respondents</w:t>
      </w:r>
      <w:r w:rsidRPr="00D67EA5" w:rsidR="00DB7401">
        <w:rPr>
          <w:color w:val="000000"/>
        </w:rPr>
        <w:t xml:space="preserve"> in connection with this ICR</w:t>
      </w:r>
      <w:r w:rsidRPr="00D67EA5">
        <w:rPr>
          <w:color w:val="000000"/>
        </w:rPr>
        <w:t>.</w:t>
      </w:r>
    </w:p>
    <w:p w:rsidR="003C061D" w:rsidRPr="00D67EA5" w:rsidP="00CC7F1A" w14:paraId="699FCE37" w14:textId="77777777">
      <w:pPr>
        <w:widowControl/>
        <w:rPr>
          <w:color w:val="000000"/>
        </w:rPr>
      </w:pPr>
    </w:p>
    <w:p w:rsidR="003C061D" w:rsidRPr="00D67EA5" w:rsidP="00CC7F1A" w14:paraId="699FCE38" w14:textId="77777777">
      <w:pPr>
        <w:widowControl/>
        <w:tabs>
          <w:tab w:val="left" w:pos="360"/>
        </w:tabs>
        <w:ind w:left="360" w:hanging="360"/>
        <w:rPr>
          <w:b/>
          <w:bCs/>
          <w:color w:val="000000"/>
        </w:rPr>
      </w:pPr>
      <w:r w:rsidRPr="00D67EA5">
        <w:rPr>
          <w:b/>
          <w:bCs/>
          <w:color w:val="000000"/>
        </w:rPr>
        <w:t>10.</w:t>
      </w:r>
      <w:r w:rsidRPr="00D67EA5" w:rsidR="005607F8">
        <w:rPr>
          <w:b/>
          <w:bCs/>
          <w:color w:val="000000"/>
        </w:rPr>
        <w:tab/>
      </w:r>
      <w:r w:rsidRPr="00D67EA5">
        <w:rPr>
          <w:b/>
          <w:bCs/>
          <w:color w:val="000000"/>
        </w:rPr>
        <w:t>Describe any assurance of confidentiality provided to respondents and the basis for the assurance in statute, regulation, or agency policy.</w:t>
      </w:r>
    </w:p>
    <w:p w:rsidR="003C061D" w:rsidRPr="00D67EA5" w:rsidP="00CC7F1A" w14:paraId="699FCE39" w14:textId="77777777">
      <w:pPr>
        <w:widowControl/>
        <w:rPr>
          <w:color w:val="000000"/>
        </w:rPr>
      </w:pPr>
    </w:p>
    <w:p w:rsidR="00525FA1" w:rsidRPr="00D67EA5" w:rsidP="00CC7F1A" w14:paraId="699FCE3A" w14:textId="0B5546AC">
      <w:pPr>
        <w:widowControl/>
        <w:rPr>
          <w:color w:val="000000"/>
        </w:rPr>
      </w:pPr>
      <w:r w:rsidRPr="00D67EA5">
        <w:rPr>
          <w:color w:val="000000"/>
        </w:rPr>
        <w:t xml:space="preserve">The Department makes no assurance of confidentiality to those responding to </w:t>
      </w:r>
      <w:r w:rsidRPr="00D67EA5" w:rsidR="00736429">
        <w:rPr>
          <w:color w:val="000000"/>
        </w:rPr>
        <w:t>funding announcements</w:t>
      </w:r>
      <w:r w:rsidRPr="00D67EA5" w:rsidR="006A72E3">
        <w:rPr>
          <w:color w:val="000000"/>
        </w:rPr>
        <w:t xml:space="preserve"> and associated forms</w:t>
      </w:r>
      <w:r w:rsidRPr="00D67EA5" w:rsidR="0012565D">
        <w:rPr>
          <w:color w:val="000000"/>
        </w:rPr>
        <w:t>; however, as a practical matter</w:t>
      </w:r>
      <w:r w:rsidRPr="00D67EA5" w:rsidR="006C1559">
        <w:rPr>
          <w:color w:val="000000"/>
        </w:rPr>
        <w:t>,</w:t>
      </w:r>
      <w:r w:rsidRPr="00D67EA5" w:rsidR="0012565D">
        <w:rPr>
          <w:color w:val="000000"/>
        </w:rPr>
        <w:t xml:space="preserve"> disclosures are only made in compliance with the Freedom of Information Act </w:t>
      </w:r>
      <w:r w:rsidRPr="00D67EA5" w:rsidR="0078513A">
        <w:rPr>
          <w:color w:val="000000"/>
        </w:rPr>
        <w:t xml:space="preserve">(FOIA) </w:t>
      </w:r>
      <w:r w:rsidRPr="00D67EA5" w:rsidR="0012565D">
        <w:rPr>
          <w:color w:val="000000"/>
        </w:rPr>
        <w:t xml:space="preserve">and </w:t>
      </w:r>
      <w:r w:rsidRPr="00D67EA5" w:rsidR="00B73F5A">
        <w:rPr>
          <w:color w:val="000000"/>
        </w:rPr>
        <w:t xml:space="preserve">USDA </w:t>
      </w:r>
      <w:r w:rsidRPr="00D67EA5" w:rsidR="0012565D">
        <w:rPr>
          <w:color w:val="000000"/>
        </w:rPr>
        <w:t>regulations implementing that statute</w:t>
      </w:r>
      <w:r w:rsidRPr="00D67EA5">
        <w:rPr>
          <w:color w:val="000000"/>
        </w:rPr>
        <w:t>.</w:t>
      </w:r>
    </w:p>
    <w:p w:rsidR="00806341" w:rsidRPr="00D67EA5" w:rsidP="00173D43" w14:paraId="699FCE3D" w14:textId="77777777">
      <w:pPr>
        <w:widowControl/>
        <w:rPr>
          <w:color w:val="000000"/>
        </w:rPr>
      </w:pPr>
    </w:p>
    <w:p w:rsidR="00ED3575" w:rsidRPr="00D67EA5" w:rsidP="00ED3575" w14:paraId="6D890B88" w14:textId="77777777">
      <w:pPr>
        <w:widowControl/>
        <w:rPr>
          <w:color w:val="000000"/>
        </w:rPr>
      </w:pPr>
      <w:r w:rsidRPr="00D67EA5">
        <w:rPr>
          <w:color w:val="000000"/>
        </w:rPr>
        <w:t xml:space="preserve">The collection is covered under the following System of Records Notice: </w:t>
      </w:r>
    </w:p>
    <w:p w:rsidR="00ED3575" w:rsidRPr="00D67EA5" w:rsidP="00ED3575" w14:paraId="3D8C5FEF" w14:textId="77777777">
      <w:pPr>
        <w:widowControl/>
        <w:rPr>
          <w:color w:val="000000"/>
        </w:rPr>
      </w:pPr>
    </w:p>
    <w:p w:rsidR="00ED3575" w:rsidRPr="00D67EA5" w:rsidP="00ED3575" w14:paraId="4D4933A8" w14:textId="77777777">
      <w:pPr>
        <w:widowControl/>
        <w:rPr>
          <w:color w:val="000000"/>
        </w:rPr>
      </w:pPr>
      <w:r w:rsidRPr="00D67EA5">
        <w:rPr>
          <w:color w:val="000000"/>
        </w:rPr>
        <w:t>•USDA/FAS–10, USDA/FAS, Foreign Agricultural Service International</w:t>
      </w:r>
    </w:p>
    <w:p w:rsidR="00ED3575" w:rsidRPr="00D67EA5" w:rsidP="00ED3575" w14:paraId="0C4F9A16" w14:textId="77777777">
      <w:pPr>
        <w:widowControl/>
        <w:rPr>
          <w:color w:val="000000"/>
        </w:rPr>
      </w:pPr>
      <w:r w:rsidRPr="00D67EA5">
        <w:rPr>
          <w:color w:val="000000"/>
        </w:rPr>
        <w:t>Fellowship and Exchanges Database System, (FAS–IFEDS). July 12, 2022, 87 FR 41275.</w:t>
      </w:r>
    </w:p>
    <w:p w:rsidR="00ED3575" w:rsidRPr="00D67EA5" w:rsidP="00173D43" w14:paraId="479656B4" w14:textId="77777777">
      <w:pPr>
        <w:widowControl/>
        <w:rPr>
          <w:color w:val="000000"/>
        </w:rPr>
      </w:pPr>
    </w:p>
    <w:p w:rsidR="003C061D" w:rsidRPr="00D67EA5" w:rsidP="00CC7F1A" w14:paraId="699FCE3E" w14:textId="29868F42">
      <w:pPr>
        <w:widowControl/>
        <w:numPr>
          <w:ilvl w:val="0"/>
          <w:numId w:val="13"/>
        </w:numPr>
        <w:tabs>
          <w:tab w:val="left" w:pos="360"/>
          <w:tab w:val="clear" w:pos="450"/>
        </w:tabs>
        <w:ind w:left="360"/>
        <w:rPr>
          <w:b/>
          <w:bCs/>
          <w:color w:val="000000"/>
        </w:rPr>
      </w:pPr>
      <w:r w:rsidRPr="00D67EA5">
        <w:rPr>
          <w:b/>
          <w:bCs/>
          <w:color w:val="000000"/>
        </w:rPr>
        <w:t>Provide additional justification for any questions of a sensitive nature, such as sexual behavior and attitudes, religious beliefs, and other matters that are commonly considered private</w:t>
      </w:r>
      <w:r w:rsidRPr="00D67EA5" w:rsidR="00A67F9D">
        <w:rPr>
          <w:b/>
          <w:bCs/>
          <w:color w:val="000000"/>
        </w:rPr>
        <w:t xml:space="preserve">. </w:t>
      </w:r>
      <w:r w:rsidRPr="00D67EA5">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D67EA5" w:rsidP="00CC7F1A" w14:paraId="699FCE3F" w14:textId="77777777">
      <w:pPr>
        <w:widowControl/>
        <w:rPr>
          <w:color w:val="000000"/>
        </w:rPr>
      </w:pPr>
    </w:p>
    <w:p w:rsidR="003C061D" w:rsidRPr="00D67EA5" w:rsidP="00CC7F1A" w14:paraId="699FCE40" w14:textId="1518E271">
      <w:pPr>
        <w:widowControl/>
        <w:rPr>
          <w:color w:val="000000"/>
        </w:rPr>
      </w:pPr>
      <w:r w:rsidRPr="00D67EA5">
        <w:rPr>
          <w:color w:val="000000"/>
        </w:rPr>
        <w:t xml:space="preserve">Application and reporting requirements in </w:t>
      </w:r>
      <w:r w:rsidRPr="00D67EA5" w:rsidR="00736429">
        <w:rPr>
          <w:color w:val="000000"/>
        </w:rPr>
        <w:t xml:space="preserve">funding announcements </w:t>
      </w:r>
      <w:r w:rsidRPr="00D67EA5" w:rsidR="006A72E3">
        <w:rPr>
          <w:color w:val="000000"/>
        </w:rPr>
        <w:t xml:space="preserve">and associated forms </w:t>
      </w:r>
      <w:r w:rsidRPr="00D67EA5">
        <w:rPr>
          <w:color w:val="000000"/>
        </w:rPr>
        <w:t>do not ask questions of a sensitive nature.</w:t>
      </w:r>
      <w:r w:rsidRPr="00D67EA5" w:rsidR="00ED3575">
        <w:rPr>
          <w:color w:val="000000"/>
        </w:rPr>
        <w:t xml:space="preserve"> </w:t>
      </w:r>
    </w:p>
    <w:p w:rsidR="00ED3575" w:rsidRPr="00D67EA5" w:rsidP="00CC7F1A" w14:paraId="6899559C" w14:textId="77777777">
      <w:pPr>
        <w:widowControl/>
        <w:rPr>
          <w:color w:val="000000"/>
        </w:rPr>
      </w:pPr>
    </w:p>
    <w:p w:rsidR="003C061D" w:rsidRPr="00D67EA5" w:rsidP="00CC7F1A" w14:paraId="699FCE42" w14:textId="77777777">
      <w:pPr>
        <w:widowControl/>
        <w:numPr>
          <w:ilvl w:val="0"/>
          <w:numId w:val="13"/>
        </w:numPr>
        <w:tabs>
          <w:tab w:val="left" w:pos="360"/>
          <w:tab w:val="clear" w:pos="450"/>
        </w:tabs>
        <w:ind w:left="360"/>
        <w:rPr>
          <w:b/>
          <w:bCs/>
          <w:color w:val="000000"/>
        </w:rPr>
      </w:pPr>
      <w:r w:rsidRPr="00D67EA5">
        <w:rPr>
          <w:b/>
          <w:bCs/>
          <w:color w:val="000000"/>
        </w:rPr>
        <w:t>Provide estimates of the hour burden of the collection of information</w:t>
      </w:r>
      <w:r w:rsidRPr="00D67EA5" w:rsidR="00A67F9D">
        <w:rPr>
          <w:b/>
          <w:bCs/>
          <w:color w:val="000000"/>
        </w:rPr>
        <w:t xml:space="preserve">. </w:t>
      </w:r>
      <w:r w:rsidRPr="00D67EA5">
        <w:rPr>
          <w:b/>
          <w:bCs/>
          <w:color w:val="000000"/>
        </w:rPr>
        <w:t>The statement should:</w:t>
      </w:r>
    </w:p>
    <w:p w:rsidR="003C061D" w:rsidRPr="00D67EA5" w:rsidP="00CC7F1A" w14:paraId="699FCE43" w14:textId="77777777">
      <w:pPr>
        <w:widowControl/>
        <w:rPr>
          <w:b/>
          <w:bCs/>
          <w:color w:val="000000"/>
        </w:rPr>
      </w:pPr>
    </w:p>
    <w:p w:rsidR="003C061D" w:rsidRPr="00D67EA5" w:rsidP="00CC7F1A" w14:paraId="699FCE44" w14:textId="77777777">
      <w:pPr>
        <w:widowControl/>
        <w:numPr>
          <w:ilvl w:val="0"/>
          <w:numId w:val="15"/>
        </w:numPr>
        <w:tabs>
          <w:tab w:val="clear" w:pos="720"/>
        </w:tabs>
        <w:rPr>
          <w:b/>
          <w:bCs/>
          <w:color w:val="000000"/>
        </w:rPr>
      </w:pPr>
      <w:r w:rsidRPr="00D67EA5">
        <w:rPr>
          <w:b/>
          <w:bCs/>
          <w:color w:val="000000"/>
        </w:rPr>
        <w:t>Indicate the number of respondents, frequency of response, annual hour burden, and an explanation of how the burden was estimated</w:t>
      </w:r>
      <w:r w:rsidRPr="00D67EA5" w:rsidR="00A67F9D">
        <w:rPr>
          <w:b/>
          <w:bCs/>
          <w:color w:val="000000"/>
        </w:rPr>
        <w:t xml:space="preserve">. </w:t>
      </w:r>
      <w:r w:rsidRPr="00D67EA5">
        <w:rPr>
          <w:b/>
          <w:bCs/>
          <w:color w:val="000000"/>
        </w:rPr>
        <w:t>Unless directed to do so, agencies should not conduct special surveys to obtain information on which to base hour burden estimates</w:t>
      </w:r>
      <w:r w:rsidRPr="00D67EA5" w:rsidR="00A67F9D">
        <w:rPr>
          <w:b/>
          <w:bCs/>
          <w:color w:val="000000"/>
        </w:rPr>
        <w:t xml:space="preserve">. </w:t>
      </w:r>
      <w:r w:rsidRPr="00D67EA5">
        <w:rPr>
          <w:b/>
          <w:bCs/>
          <w:color w:val="000000"/>
        </w:rPr>
        <w:t>Consultation with a sample (fewer than 10) of potential respondents is desirable</w:t>
      </w:r>
      <w:r w:rsidRPr="00D67EA5" w:rsidR="00A67F9D">
        <w:rPr>
          <w:b/>
          <w:bCs/>
          <w:color w:val="000000"/>
        </w:rPr>
        <w:t xml:space="preserve">. </w:t>
      </w:r>
      <w:r w:rsidRPr="00D67EA5">
        <w:rPr>
          <w:b/>
          <w:bCs/>
          <w:color w:val="000000"/>
        </w:rPr>
        <w:t>If the hour burden on respondents is expected to vary widely because of differences in activity, size, or complexity, show the range of estimated hour burden, and explain the reasons for the variance</w:t>
      </w:r>
      <w:r w:rsidRPr="00D67EA5" w:rsidR="00A67F9D">
        <w:rPr>
          <w:b/>
          <w:bCs/>
          <w:color w:val="000000"/>
        </w:rPr>
        <w:t xml:space="preserve">. </w:t>
      </w:r>
      <w:r w:rsidRPr="00D67EA5">
        <w:rPr>
          <w:b/>
          <w:bCs/>
          <w:color w:val="000000"/>
        </w:rPr>
        <w:t>Generally, estimates should not include burden hours for customary and usual business practices.</w:t>
      </w:r>
    </w:p>
    <w:p w:rsidR="003C061D" w:rsidRPr="00D67EA5" w:rsidP="00CC7F1A" w14:paraId="699FCE45" w14:textId="77777777">
      <w:pPr>
        <w:widowControl/>
        <w:rPr>
          <w:b/>
          <w:bCs/>
          <w:color w:val="000000"/>
        </w:rPr>
      </w:pPr>
    </w:p>
    <w:p w:rsidR="003C061D" w:rsidRPr="00D67EA5" w:rsidP="00CC7F1A" w14:paraId="699FCE46" w14:textId="77777777">
      <w:pPr>
        <w:widowControl/>
        <w:numPr>
          <w:ilvl w:val="0"/>
          <w:numId w:val="15"/>
        </w:numPr>
        <w:tabs>
          <w:tab w:val="clear" w:pos="720"/>
        </w:tabs>
        <w:rPr>
          <w:b/>
          <w:bCs/>
          <w:color w:val="000000"/>
        </w:rPr>
      </w:pPr>
      <w:r w:rsidRPr="00D67EA5">
        <w:rPr>
          <w:b/>
          <w:bCs/>
          <w:color w:val="000000"/>
        </w:rPr>
        <w:t>If this request for approval covers more than one form, provide separate hour burden estimates for each form and aggregate the hour burdens.</w:t>
      </w:r>
    </w:p>
    <w:p w:rsidR="003C061D" w:rsidRPr="00D67EA5" w:rsidP="00CC7F1A" w14:paraId="699FCE47" w14:textId="77777777">
      <w:pPr>
        <w:widowControl/>
        <w:rPr>
          <w:b/>
          <w:bCs/>
          <w:color w:val="000000"/>
        </w:rPr>
      </w:pPr>
    </w:p>
    <w:p w:rsidR="0079127D" w:rsidP="0079127D" w14:paraId="4DB419C9" w14:textId="48557773">
      <w:pPr>
        <w:widowControl/>
        <w:numPr>
          <w:ilvl w:val="0"/>
          <w:numId w:val="15"/>
        </w:numPr>
        <w:tabs>
          <w:tab w:val="clear" w:pos="720"/>
        </w:tabs>
        <w:rPr>
          <w:b/>
          <w:bCs/>
          <w:color w:val="000000"/>
        </w:rPr>
      </w:pPr>
      <w:r w:rsidRPr="00D67EA5">
        <w:rPr>
          <w:b/>
          <w:bCs/>
          <w:color w:val="000000"/>
        </w:rPr>
        <w:t>Provide estimates of annualized cost to respondents for the hour burdens for collections of information, identifying and using appropriate wage rate categories</w:t>
      </w:r>
      <w:r w:rsidRPr="00D67EA5" w:rsidR="00A67F9D">
        <w:rPr>
          <w:b/>
          <w:bCs/>
          <w:color w:val="000000"/>
        </w:rPr>
        <w:t xml:space="preserve">. </w:t>
      </w:r>
      <w:r w:rsidRPr="00D67EA5">
        <w:rPr>
          <w:b/>
          <w:bCs/>
          <w:color w:val="000000"/>
        </w:rPr>
        <w:t>The cost of contracting out or paying outside parties for information collection activities should not be included here</w:t>
      </w:r>
      <w:r w:rsidRPr="00D67EA5" w:rsidR="00A67F9D">
        <w:rPr>
          <w:b/>
          <w:bCs/>
          <w:color w:val="000000"/>
        </w:rPr>
        <w:t xml:space="preserve">. </w:t>
      </w:r>
      <w:r w:rsidRPr="00D67EA5">
        <w:rPr>
          <w:b/>
          <w:bCs/>
          <w:color w:val="000000"/>
        </w:rPr>
        <w:t>Instead, this cost should be included in Item 1</w:t>
      </w:r>
      <w:r w:rsidRPr="00D67EA5" w:rsidR="001E178D">
        <w:rPr>
          <w:b/>
          <w:bCs/>
          <w:color w:val="000000"/>
        </w:rPr>
        <w:t>3</w:t>
      </w:r>
      <w:r w:rsidRPr="00D67EA5">
        <w:rPr>
          <w:b/>
          <w:bCs/>
          <w:color w:val="000000"/>
        </w:rPr>
        <w:t>.</w:t>
      </w:r>
      <w:r w:rsidRPr="00D67EA5" w:rsidR="009B590A">
        <w:rPr>
          <w:b/>
          <w:bCs/>
          <w:color w:val="000000"/>
        </w:rPr>
        <w:t xml:space="preserve"> </w:t>
      </w:r>
    </w:p>
    <w:p w:rsidR="0079127D" w:rsidP="0079127D" w14:paraId="1C542596" w14:textId="77777777">
      <w:pPr>
        <w:widowControl/>
        <w:rPr>
          <w:b/>
          <w:bCs/>
          <w:color w:val="000000"/>
        </w:rPr>
      </w:pPr>
    </w:p>
    <w:p w:rsidR="0079127D" w:rsidRPr="00EE2CFB" w:rsidP="00EE2CFB" w14:paraId="4AE816E6" w14:textId="14191FA2">
      <w:pPr>
        <w:widowControl/>
        <w:rPr>
          <w:color w:val="000000"/>
        </w:rPr>
      </w:pPr>
      <w:r w:rsidRPr="00EE2CFB">
        <w:rPr>
          <w:color w:val="000000"/>
        </w:rPr>
        <w:t>For purposes of calculation, FAS reference</w:t>
      </w:r>
      <w:r>
        <w:rPr>
          <w:color w:val="000000"/>
        </w:rPr>
        <w:t>s FY</w:t>
      </w:r>
      <w:r w:rsidRPr="00EE2CFB">
        <w:rPr>
          <w:color w:val="000000"/>
        </w:rPr>
        <w:t xml:space="preserve"> 20</w:t>
      </w:r>
      <w:r>
        <w:rPr>
          <w:color w:val="000000"/>
        </w:rPr>
        <w:t>20</w:t>
      </w:r>
      <w:r w:rsidRPr="00EE2CFB">
        <w:rPr>
          <w:color w:val="000000"/>
        </w:rPr>
        <w:t xml:space="preserve"> (the most recent complete “normal” program year) and note</w:t>
      </w:r>
      <w:r>
        <w:rPr>
          <w:color w:val="000000"/>
        </w:rPr>
        <w:t>s</w:t>
      </w:r>
      <w:r w:rsidRPr="00EE2CFB">
        <w:rPr>
          <w:color w:val="000000"/>
        </w:rPr>
        <w:t xml:space="preserve"> that </w:t>
      </w:r>
      <w:r w:rsidR="00C45D57">
        <w:rPr>
          <w:color w:val="000000"/>
        </w:rPr>
        <w:t xml:space="preserve">16 NOFO applications were received, and </w:t>
      </w:r>
      <w:r w:rsidRPr="00EE2CFB">
        <w:rPr>
          <w:color w:val="000000"/>
        </w:rPr>
        <w:t>2 award actions</w:t>
      </w:r>
      <w:r>
        <w:rPr>
          <w:color w:val="000000"/>
        </w:rPr>
        <w:t xml:space="preserve"> were made.</w:t>
      </w:r>
    </w:p>
    <w:p w:rsidR="003C061D" w:rsidRPr="00D67EA5" w:rsidP="00CC7F1A" w14:paraId="699FCE49" w14:textId="77777777">
      <w:pPr>
        <w:widowControl/>
      </w:pPr>
    </w:p>
    <w:tbl>
      <w:tblPr>
        <w:tblW w:w="10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85"/>
        <w:gridCol w:w="1265"/>
        <w:gridCol w:w="1255"/>
        <w:gridCol w:w="1080"/>
        <w:gridCol w:w="1440"/>
        <w:gridCol w:w="1015"/>
        <w:gridCol w:w="900"/>
        <w:gridCol w:w="900"/>
      </w:tblGrid>
      <w:tr w14:paraId="562F862C" w14:textId="77777777" w:rsidTr="00951C40">
        <w:tblPrEx>
          <w:tblW w:w="10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2785" w:type="dxa"/>
            <w:tcBorders>
              <w:top w:val="single" w:sz="4" w:space="0" w:color="auto"/>
              <w:left w:val="single" w:sz="4" w:space="0" w:color="auto"/>
            </w:tcBorders>
            <w:shd w:val="clear" w:color="auto" w:fill="C6D9F1"/>
          </w:tcPr>
          <w:p w:rsidR="00C177D7" w:rsidRPr="00D67EA5" w:rsidP="008455B1" w14:paraId="4718CE1B" w14:textId="77777777">
            <w:pPr>
              <w:jc w:val="center"/>
              <w:rPr>
                <w:b/>
                <w:sz w:val="18"/>
                <w:szCs w:val="18"/>
              </w:rPr>
            </w:pPr>
            <w:r w:rsidRPr="00D67EA5">
              <w:rPr>
                <w:b/>
                <w:sz w:val="18"/>
                <w:szCs w:val="18"/>
              </w:rPr>
              <w:t>Information</w:t>
            </w:r>
          </w:p>
          <w:p w:rsidR="00C177D7" w:rsidRPr="00D67EA5" w:rsidP="008455B1" w14:paraId="1DA7C5C4" w14:textId="77777777">
            <w:pPr>
              <w:jc w:val="center"/>
              <w:rPr>
                <w:b/>
                <w:sz w:val="18"/>
                <w:szCs w:val="18"/>
              </w:rPr>
            </w:pPr>
            <w:r w:rsidRPr="00D67EA5">
              <w:rPr>
                <w:b/>
                <w:sz w:val="18"/>
                <w:szCs w:val="18"/>
              </w:rPr>
              <w:t>Collection</w:t>
            </w:r>
          </w:p>
        </w:tc>
        <w:tc>
          <w:tcPr>
            <w:tcW w:w="1265" w:type="dxa"/>
            <w:tcBorders>
              <w:top w:val="single" w:sz="4" w:space="0" w:color="auto"/>
            </w:tcBorders>
            <w:shd w:val="clear" w:color="auto" w:fill="C6D9F1"/>
          </w:tcPr>
          <w:p w:rsidR="00C177D7" w:rsidRPr="00D67EA5" w:rsidP="008455B1" w14:paraId="485AAF84" w14:textId="77777777">
            <w:pPr>
              <w:jc w:val="center"/>
              <w:rPr>
                <w:b/>
                <w:sz w:val="18"/>
                <w:szCs w:val="18"/>
              </w:rPr>
            </w:pPr>
            <w:r w:rsidRPr="00D67EA5">
              <w:rPr>
                <w:b/>
                <w:sz w:val="18"/>
                <w:szCs w:val="18"/>
              </w:rPr>
              <w:t>Number of</w:t>
            </w:r>
          </w:p>
          <w:p w:rsidR="00C177D7" w:rsidRPr="00D67EA5" w:rsidP="008455B1" w14:paraId="5A0C4773" w14:textId="77777777">
            <w:pPr>
              <w:jc w:val="center"/>
              <w:rPr>
                <w:b/>
                <w:sz w:val="18"/>
                <w:szCs w:val="18"/>
              </w:rPr>
            </w:pPr>
            <w:r w:rsidRPr="00D67EA5">
              <w:rPr>
                <w:b/>
                <w:sz w:val="18"/>
                <w:szCs w:val="18"/>
              </w:rPr>
              <w:t>Respondents</w:t>
            </w:r>
          </w:p>
        </w:tc>
        <w:tc>
          <w:tcPr>
            <w:tcW w:w="1255" w:type="dxa"/>
            <w:tcBorders>
              <w:top w:val="single" w:sz="4" w:space="0" w:color="auto"/>
            </w:tcBorders>
            <w:shd w:val="clear" w:color="auto" w:fill="C6D9F1"/>
          </w:tcPr>
          <w:p w:rsidR="00C177D7" w:rsidRPr="00D67EA5" w:rsidP="008455B1" w14:paraId="241DE138" w14:textId="77777777">
            <w:pPr>
              <w:jc w:val="center"/>
              <w:rPr>
                <w:b/>
                <w:sz w:val="18"/>
                <w:szCs w:val="18"/>
              </w:rPr>
            </w:pPr>
            <w:r w:rsidRPr="00D67EA5">
              <w:rPr>
                <w:b/>
                <w:sz w:val="18"/>
                <w:szCs w:val="18"/>
              </w:rPr>
              <w:t>Average Number of Reponses per Respondent</w:t>
            </w:r>
          </w:p>
        </w:tc>
        <w:tc>
          <w:tcPr>
            <w:tcW w:w="1080" w:type="dxa"/>
            <w:tcBorders>
              <w:top w:val="single" w:sz="4" w:space="0" w:color="auto"/>
            </w:tcBorders>
            <w:shd w:val="clear" w:color="auto" w:fill="C6D9F1"/>
          </w:tcPr>
          <w:p w:rsidR="00C177D7" w:rsidRPr="00D67EA5" w:rsidP="008455B1" w14:paraId="2955DE0A" w14:textId="77777777">
            <w:pPr>
              <w:jc w:val="center"/>
              <w:rPr>
                <w:b/>
                <w:sz w:val="18"/>
                <w:szCs w:val="18"/>
              </w:rPr>
            </w:pPr>
            <w:r w:rsidRPr="00D67EA5">
              <w:rPr>
                <w:b/>
                <w:sz w:val="18"/>
                <w:szCs w:val="18"/>
              </w:rPr>
              <w:t>Total Annual Responses</w:t>
            </w:r>
          </w:p>
        </w:tc>
        <w:tc>
          <w:tcPr>
            <w:tcW w:w="1440" w:type="dxa"/>
            <w:tcBorders>
              <w:top w:val="single" w:sz="4" w:space="0" w:color="auto"/>
            </w:tcBorders>
            <w:shd w:val="clear" w:color="auto" w:fill="C6D9F1"/>
          </w:tcPr>
          <w:p w:rsidR="00C177D7" w:rsidRPr="00D67EA5" w:rsidP="008455B1" w14:paraId="5E33DE0D" w14:textId="77777777">
            <w:pPr>
              <w:jc w:val="center"/>
              <w:rPr>
                <w:b/>
                <w:sz w:val="18"/>
                <w:szCs w:val="18"/>
              </w:rPr>
            </w:pPr>
            <w:r w:rsidRPr="00D67EA5">
              <w:rPr>
                <w:b/>
                <w:sz w:val="18"/>
                <w:szCs w:val="18"/>
              </w:rPr>
              <w:t>Burden Hours/Minutes per Response</w:t>
            </w:r>
          </w:p>
        </w:tc>
        <w:tc>
          <w:tcPr>
            <w:tcW w:w="1015" w:type="dxa"/>
            <w:tcBorders>
              <w:top w:val="single" w:sz="4" w:space="0" w:color="auto"/>
            </w:tcBorders>
            <w:shd w:val="clear" w:color="auto" w:fill="C6D9F1"/>
          </w:tcPr>
          <w:p w:rsidR="00C177D7" w:rsidRPr="00D67EA5" w:rsidP="008455B1" w14:paraId="06DA9050" w14:textId="77777777">
            <w:pPr>
              <w:jc w:val="center"/>
              <w:rPr>
                <w:b/>
                <w:sz w:val="18"/>
                <w:szCs w:val="18"/>
              </w:rPr>
            </w:pPr>
            <w:r w:rsidRPr="00D67EA5">
              <w:rPr>
                <w:b/>
                <w:sz w:val="18"/>
                <w:szCs w:val="18"/>
              </w:rPr>
              <w:t>Total Annual Burden</w:t>
            </w:r>
          </w:p>
          <w:p w:rsidR="00C177D7" w:rsidRPr="00D67EA5" w:rsidP="008455B1" w14:paraId="09DEFCA5" w14:textId="41DCB040">
            <w:pPr>
              <w:jc w:val="center"/>
              <w:rPr>
                <w:b/>
                <w:sz w:val="18"/>
                <w:szCs w:val="18"/>
              </w:rPr>
            </w:pPr>
            <w:r w:rsidRPr="00D67EA5">
              <w:rPr>
                <w:b/>
                <w:sz w:val="18"/>
                <w:szCs w:val="18"/>
              </w:rPr>
              <w:t>Hours</w:t>
            </w:r>
          </w:p>
        </w:tc>
        <w:tc>
          <w:tcPr>
            <w:tcW w:w="900" w:type="dxa"/>
            <w:tcBorders>
              <w:top w:val="single" w:sz="4" w:space="0" w:color="auto"/>
            </w:tcBorders>
            <w:shd w:val="clear" w:color="auto" w:fill="C6D9F1"/>
          </w:tcPr>
          <w:p w:rsidR="00C177D7" w:rsidRPr="00D67EA5" w:rsidP="008455B1" w14:paraId="4A8F0687" w14:textId="77777777">
            <w:pPr>
              <w:jc w:val="center"/>
              <w:rPr>
                <w:b/>
                <w:sz w:val="18"/>
                <w:szCs w:val="18"/>
              </w:rPr>
            </w:pPr>
            <w:r w:rsidRPr="00D67EA5">
              <w:rPr>
                <w:b/>
                <w:sz w:val="18"/>
                <w:szCs w:val="18"/>
              </w:rPr>
              <w:t>*Hourly Cost</w:t>
            </w:r>
          </w:p>
        </w:tc>
        <w:tc>
          <w:tcPr>
            <w:tcW w:w="900" w:type="dxa"/>
            <w:tcBorders>
              <w:top w:val="single" w:sz="4" w:space="0" w:color="auto"/>
            </w:tcBorders>
            <w:shd w:val="clear" w:color="auto" w:fill="C6D9F1"/>
          </w:tcPr>
          <w:p w:rsidR="00C177D7" w:rsidRPr="00D67EA5" w:rsidP="008455B1" w14:paraId="6BFA58E9" w14:textId="77777777">
            <w:pPr>
              <w:jc w:val="center"/>
              <w:rPr>
                <w:b/>
                <w:sz w:val="18"/>
                <w:szCs w:val="18"/>
              </w:rPr>
            </w:pPr>
            <w:r w:rsidRPr="00D67EA5">
              <w:rPr>
                <w:b/>
                <w:sz w:val="18"/>
                <w:szCs w:val="18"/>
              </w:rPr>
              <w:t>Total Annual Cost</w:t>
            </w:r>
          </w:p>
          <w:p w:rsidR="00C177D7" w:rsidRPr="00D67EA5" w:rsidP="008455B1" w14:paraId="7E31C3C0" w14:textId="77777777">
            <w:pPr>
              <w:jc w:val="center"/>
              <w:rPr>
                <w:b/>
                <w:sz w:val="18"/>
                <w:szCs w:val="18"/>
              </w:rPr>
            </w:pPr>
          </w:p>
        </w:tc>
      </w:tr>
      <w:tr w14:paraId="15F18DA6" w14:textId="77777777" w:rsidTr="00951C40">
        <w:tblPrEx>
          <w:tblW w:w="10640" w:type="dxa"/>
          <w:tblInd w:w="-113" w:type="dxa"/>
          <w:tblLayout w:type="fixed"/>
          <w:tblLook w:val="00A0"/>
        </w:tblPrEx>
        <w:tc>
          <w:tcPr>
            <w:tcW w:w="2785" w:type="dxa"/>
            <w:tcBorders>
              <w:left w:val="single" w:sz="4" w:space="0" w:color="auto"/>
            </w:tcBorders>
          </w:tcPr>
          <w:p w:rsidR="00C177D7" w:rsidRPr="00EE2CFB" w:rsidP="002E3BA5" w14:paraId="685C44DB" w14:textId="4A677DB0">
            <w:pPr>
              <w:rPr>
                <w:bCs/>
                <w:sz w:val="18"/>
                <w:szCs w:val="18"/>
              </w:rPr>
            </w:pPr>
            <w:bookmarkStart w:id="2" w:name="_Hlk145485890"/>
            <w:bookmarkStart w:id="3" w:name="_Hlk136504922"/>
            <w:r w:rsidRPr="000C0FDD">
              <w:rPr>
                <w:bCs/>
                <w:sz w:val="18"/>
                <w:szCs w:val="18"/>
              </w:rPr>
              <w:t>Discretionary Grant/Cooperative Agreement</w:t>
            </w:r>
          </w:p>
        </w:tc>
        <w:tc>
          <w:tcPr>
            <w:tcW w:w="1265" w:type="dxa"/>
          </w:tcPr>
          <w:p w:rsidR="00C177D7" w:rsidRPr="00EE2CFB" w:rsidP="001E652F" w14:paraId="36CA6E89" w14:textId="6819767E">
            <w:pPr>
              <w:rPr>
                <w:sz w:val="18"/>
                <w:szCs w:val="18"/>
              </w:rPr>
            </w:pPr>
            <w:r w:rsidRPr="00EE2CFB">
              <w:rPr>
                <w:sz w:val="18"/>
                <w:szCs w:val="18"/>
              </w:rPr>
              <w:t>16</w:t>
            </w:r>
          </w:p>
        </w:tc>
        <w:tc>
          <w:tcPr>
            <w:tcW w:w="1255" w:type="dxa"/>
          </w:tcPr>
          <w:p w:rsidR="00C177D7" w:rsidRPr="00EE2CFB" w:rsidP="001E01DB" w14:paraId="0EFF439B" w14:textId="79EF6B95">
            <w:pPr>
              <w:jc w:val="center"/>
              <w:rPr>
                <w:sz w:val="18"/>
                <w:szCs w:val="18"/>
              </w:rPr>
            </w:pPr>
            <w:r w:rsidRPr="00EE2CFB">
              <w:rPr>
                <w:sz w:val="18"/>
                <w:szCs w:val="18"/>
              </w:rPr>
              <w:t>1</w:t>
            </w:r>
          </w:p>
        </w:tc>
        <w:tc>
          <w:tcPr>
            <w:tcW w:w="1080" w:type="dxa"/>
          </w:tcPr>
          <w:p w:rsidR="00C177D7" w:rsidRPr="00EE2CFB" w:rsidP="001E01DB" w14:paraId="71D14FDF" w14:textId="26613A15">
            <w:pPr>
              <w:jc w:val="center"/>
              <w:rPr>
                <w:color w:val="000000"/>
                <w:sz w:val="18"/>
                <w:szCs w:val="18"/>
              </w:rPr>
            </w:pPr>
            <w:r w:rsidRPr="00EE2CFB">
              <w:rPr>
                <w:color w:val="000000"/>
                <w:sz w:val="18"/>
                <w:szCs w:val="18"/>
              </w:rPr>
              <w:t>16</w:t>
            </w:r>
          </w:p>
        </w:tc>
        <w:tc>
          <w:tcPr>
            <w:tcW w:w="1440" w:type="dxa"/>
          </w:tcPr>
          <w:p w:rsidR="00C177D7" w:rsidRPr="00EE2CFB" w:rsidP="001E01DB" w14:paraId="05F2118E" w14:textId="224EF032">
            <w:pPr>
              <w:jc w:val="center"/>
              <w:rPr>
                <w:sz w:val="18"/>
                <w:szCs w:val="18"/>
              </w:rPr>
            </w:pPr>
            <w:r w:rsidRPr="00EE2CFB">
              <w:rPr>
                <w:sz w:val="18"/>
                <w:szCs w:val="18"/>
              </w:rPr>
              <w:t>196</w:t>
            </w:r>
          </w:p>
        </w:tc>
        <w:tc>
          <w:tcPr>
            <w:tcW w:w="1015" w:type="dxa"/>
          </w:tcPr>
          <w:p w:rsidR="00C177D7" w:rsidRPr="00EE2CFB" w:rsidP="001E01DB" w14:paraId="32982BA9" w14:textId="6CBD0079">
            <w:pPr>
              <w:jc w:val="center"/>
              <w:rPr>
                <w:sz w:val="18"/>
                <w:szCs w:val="18"/>
              </w:rPr>
            </w:pPr>
            <w:r w:rsidRPr="00EE2CFB">
              <w:rPr>
                <w:sz w:val="18"/>
                <w:szCs w:val="18"/>
              </w:rPr>
              <w:t>3,136</w:t>
            </w:r>
          </w:p>
        </w:tc>
        <w:tc>
          <w:tcPr>
            <w:tcW w:w="900" w:type="dxa"/>
          </w:tcPr>
          <w:p w:rsidR="00C177D7" w:rsidRPr="00EE2CFB" w:rsidP="001E01DB" w14:paraId="12CFB948" w14:textId="04541606">
            <w:pPr>
              <w:jc w:val="center"/>
              <w:rPr>
                <w:sz w:val="18"/>
                <w:szCs w:val="18"/>
              </w:rPr>
            </w:pPr>
            <w:r w:rsidRPr="00EE2CFB">
              <w:rPr>
                <w:sz w:val="18"/>
                <w:szCs w:val="18"/>
              </w:rPr>
              <w:t>$</w:t>
            </w:r>
            <w:r w:rsidR="000E5C5E">
              <w:rPr>
                <w:sz w:val="18"/>
                <w:szCs w:val="18"/>
              </w:rPr>
              <w:t>54</w:t>
            </w:r>
          </w:p>
        </w:tc>
        <w:tc>
          <w:tcPr>
            <w:tcW w:w="900" w:type="dxa"/>
          </w:tcPr>
          <w:p w:rsidR="00C177D7" w:rsidRPr="00EE2CFB" w:rsidP="001E01DB" w14:paraId="4603AC30" w14:textId="58AFE7F3">
            <w:pPr>
              <w:jc w:val="center"/>
              <w:rPr>
                <w:b/>
                <w:sz w:val="18"/>
                <w:szCs w:val="18"/>
              </w:rPr>
            </w:pPr>
            <w:r w:rsidRPr="00EE2CFB">
              <w:rPr>
                <w:b/>
                <w:sz w:val="18"/>
                <w:szCs w:val="18"/>
              </w:rPr>
              <w:t>$1</w:t>
            </w:r>
            <w:r w:rsidR="000E5C5E">
              <w:rPr>
                <w:b/>
                <w:sz w:val="18"/>
                <w:szCs w:val="18"/>
              </w:rPr>
              <w:t>69</w:t>
            </w:r>
            <w:r w:rsidRPr="00EE2CFB">
              <w:rPr>
                <w:b/>
                <w:sz w:val="18"/>
                <w:szCs w:val="18"/>
              </w:rPr>
              <w:t>,</w:t>
            </w:r>
            <w:r w:rsidR="000E5C5E">
              <w:rPr>
                <w:b/>
                <w:sz w:val="18"/>
                <w:szCs w:val="18"/>
              </w:rPr>
              <w:t>344</w:t>
            </w:r>
          </w:p>
        </w:tc>
      </w:tr>
      <w:tr w14:paraId="682C21DA" w14:textId="77777777" w:rsidTr="00951C40">
        <w:tblPrEx>
          <w:tblW w:w="10640" w:type="dxa"/>
          <w:tblInd w:w="-113" w:type="dxa"/>
          <w:tblLayout w:type="fixed"/>
          <w:tblLook w:val="00A0"/>
        </w:tblPrEx>
        <w:tc>
          <w:tcPr>
            <w:tcW w:w="2785" w:type="dxa"/>
            <w:tcBorders>
              <w:left w:val="single" w:sz="4" w:space="0" w:color="auto"/>
            </w:tcBorders>
          </w:tcPr>
          <w:p w:rsidR="00211987" w:rsidP="002E3BA5" w14:paraId="33393D1B" w14:textId="77777777">
            <w:pPr>
              <w:rPr>
                <w:bCs/>
                <w:sz w:val="18"/>
                <w:szCs w:val="18"/>
              </w:rPr>
            </w:pPr>
            <w:r w:rsidRPr="00EE2CFB">
              <w:rPr>
                <w:bCs/>
                <w:sz w:val="18"/>
                <w:szCs w:val="18"/>
              </w:rPr>
              <w:t xml:space="preserve">Performance </w:t>
            </w:r>
            <w:r w:rsidRPr="00EE2CFB">
              <w:rPr>
                <w:bCs/>
                <w:sz w:val="18"/>
                <w:szCs w:val="18"/>
              </w:rPr>
              <w:t>Reporting</w:t>
            </w:r>
          </w:p>
          <w:p w:rsidR="00894029" w:rsidRPr="00EE2CFB" w:rsidP="002E3BA5" w14:paraId="116E6248" w14:textId="01C7F14A">
            <w:pPr>
              <w:rPr>
                <w:bCs/>
                <w:sz w:val="18"/>
                <w:szCs w:val="18"/>
              </w:rPr>
            </w:pPr>
          </w:p>
        </w:tc>
        <w:tc>
          <w:tcPr>
            <w:tcW w:w="1265" w:type="dxa"/>
          </w:tcPr>
          <w:p w:rsidR="00211987" w:rsidRPr="00EE2CFB" w:rsidP="001E652F" w14:paraId="52BD232C" w14:textId="762C0C38">
            <w:pPr>
              <w:rPr>
                <w:sz w:val="18"/>
                <w:szCs w:val="18"/>
              </w:rPr>
            </w:pPr>
            <w:r w:rsidRPr="00EE2CFB">
              <w:rPr>
                <w:sz w:val="18"/>
                <w:szCs w:val="18"/>
              </w:rPr>
              <w:t>2</w:t>
            </w:r>
          </w:p>
        </w:tc>
        <w:tc>
          <w:tcPr>
            <w:tcW w:w="1255" w:type="dxa"/>
          </w:tcPr>
          <w:p w:rsidR="00211987" w:rsidRPr="00EE2CFB" w:rsidP="001E01DB" w14:paraId="3CFB1F9C" w14:textId="626AEFC0">
            <w:pPr>
              <w:jc w:val="center"/>
              <w:rPr>
                <w:sz w:val="18"/>
                <w:szCs w:val="18"/>
              </w:rPr>
            </w:pPr>
            <w:r w:rsidRPr="00EE2CFB">
              <w:rPr>
                <w:sz w:val="18"/>
                <w:szCs w:val="18"/>
              </w:rPr>
              <w:t>2</w:t>
            </w:r>
          </w:p>
        </w:tc>
        <w:tc>
          <w:tcPr>
            <w:tcW w:w="1080" w:type="dxa"/>
          </w:tcPr>
          <w:p w:rsidR="00211987" w:rsidRPr="00EE2CFB" w:rsidP="001E01DB" w14:paraId="08F8683C" w14:textId="540395CB">
            <w:pPr>
              <w:jc w:val="center"/>
              <w:rPr>
                <w:color w:val="000000"/>
                <w:sz w:val="18"/>
                <w:szCs w:val="18"/>
              </w:rPr>
            </w:pPr>
            <w:r w:rsidRPr="00EE2CFB">
              <w:rPr>
                <w:color w:val="000000"/>
                <w:sz w:val="18"/>
                <w:szCs w:val="18"/>
              </w:rPr>
              <w:t>4</w:t>
            </w:r>
          </w:p>
        </w:tc>
        <w:tc>
          <w:tcPr>
            <w:tcW w:w="1440" w:type="dxa"/>
          </w:tcPr>
          <w:p w:rsidR="00211987" w:rsidRPr="00EE2CFB" w:rsidP="001E01DB" w14:paraId="3CC380FE" w14:textId="631F86EE">
            <w:pPr>
              <w:jc w:val="center"/>
              <w:rPr>
                <w:sz w:val="18"/>
                <w:szCs w:val="18"/>
              </w:rPr>
            </w:pPr>
            <w:r w:rsidRPr="00EE2CFB">
              <w:rPr>
                <w:sz w:val="18"/>
                <w:szCs w:val="18"/>
              </w:rPr>
              <w:t>2</w:t>
            </w:r>
          </w:p>
        </w:tc>
        <w:tc>
          <w:tcPr>
            <w:tcW w:w="1015" w:type="dxa"/>
          </w:tcPr>
          <w:p w:rsidR="00211987" w:rsidRPr="00EE2CFB" w:rsidP="001E01DB" w14:paraId="333856C8" w14:textId="00217D77">
            <w:pPr>
              <w:jc w:val="center"/>
              <w:rPr>
                <w:sz w:val="18"/>
                <w:szCs w:val="18"/>
              </w:rPr>
            </w:pPr>
            <w:r w:rsidRPr="00EE2CFB">
              <w:rPr>
                <w:sz w:val="18"/>
                <w:szCs w:val="18"/>
              </w:rPr>
              <w:t>8</w:t>
            </w:r>
          </w:p>
        </w:tc>
        <w:tc>
          <w:tcPr>
            <w:tcW w:w="900" w:type="dxa"/>
          </w:tcPr>
          <w:p w:rsidR="00211987" w:rsidRPr="00EE2CFB" w:rsidP="001E01DB" w14:paraId="13660D93" w14:textId="419ACC93">
            <w:pPr>
              <w:jc w:val="center"/>
              <w:rPr>
                <w:sz w:val="18"/>
                <w:szCs w:val="18"/>
              </w:rPr>
            </w:pPr>
            <w:r w:rsidRPr="00EE2CFB">
              <w:rPr>
                <w:sz w:val="18"/>
                <w:szCs w:val="18"/>
              </w:rPr>
              <w:t>$</w:t>
            </w:r>
            <w:r w:rsidR="000E5C5E">
              <w:rPr>
                <w:sz w:val="18"/>
                <w:szCs w:val="18"/>
              </w:rPr>
              <w:t>54</w:t>
            </w:r>
          </w:p>
        </w:tc>
        <w:tc>
          <w:tcPr>
            <w:tcW w:w="900" w:type="dxa"/>
          </w:tcPr>
          <w:p w:rsidR="00211987" w:rsidRPr="00EE2CFB" w:rsidP="001E01DB" w14:paraId="4D238EDA" w14:textId="230EE777">
            <w:pPr>
              <w:jc w:val="center"/>
              <w:rPr>
                <w:b/>
                <w:sz w:val="18"/>
                <w:szCs w:val="18"/>
              </w:rPr>
            </w:pPr>
            <w:r w:rsidRPr="00EE2CFB">
              <w:rPr>
                <w:b/>
                <w:sz w:val="18"/>
                <w:szCs w:val="18"/>
              </w:rPr>
              <w:t>$</w:t>
            </w:r>
            <w:r w:rsidR="000E5C5E">
              <w:rPr>
                <w:b/>
                <w:sz w:val="18"/>
                <w:szCs w:val="18"/>
              </w:rPr>
              <w:t>432</w:t>
            </w:r>
          </w:p>
        </w:tc>
      </w:tr>
      <w:bookmarkEnd w:id="2"/>
      <w:tr w14:paraId="1C41A148" w14:textId="77777777" w:rsidTr="00951C40">
        <w:tblPrEx>
          <w:tblW w:w="10640" w:type="dxa"/>
          <w:tblInd w:w="-113" w:type="dxa"/>
          <w:tblLayout w:type="fixed"/>
          <w:tblLook w:val="00A0"/>
        </w:tblPrEx>
        <w:tc>
          <w:tcPr>
            <w:tcW w:w="2785" w:type="dxa"/>
            <w:tcBorders>
              <w:left w:val="single" w:sz="4" w:space="0" w:color="auto"/>
              <w:bottom w:val="single" w:sz="4" w:space="0" w:color="auto"/>
            </w:tcBorders>
          </w:tcPr>
          <w:p w:rsidR="001E652F" w:rsidRPr="0062177C" w:rsidP="002E3BA5" w14:paraId="7D149877" w14:textId="06DFC1CC">
            <w:pPr>
              <w:rPr>
                <w:b/>
                <w:bCs/>
                <w:sz w:val="18"/>
                <w:szCs w:val="18"/>
              </w:rPr>
            </w:pPr>
            <w:r w:rsidRPr="0062177C">
              <w:rPr>
                <w:b/>
                <w:bCs/>
                <w:sz w:val="18"/>
                <w:szCs w:val="18"/>
              </w:rPr>
              <w:t>Totals</w:t>
            </w:r>
          </w:p>
        </w:tc>
        <w:tc>
          <w:tcPr>
            <w:tcW w:w="1265" w:type="dxa"/>
            <w:tcBorders>
              <w:bottom w:val="single" w:sz="4" w:space="0" w:color="auto"/>
            </w:tcBorders>
          </w:tcPr>
          <w:p w:rsidR="001E652F" w:rsidRPr="00EE2CFB" w:rsidP="002E3BA5" w14:paraId="1A2A050B" w14:textId="241C3A33">
            <w:pPr>
              <w:rPr>
                <w:b/>
                <w:bCs/>
                <w:sz w:val="18"/>
                <w:szCs w:val="18"/>
              </w:rPr>
            </w:pPr>
            <w:r>
              <w:rPr>
                <w:b/>
                <w:bCs/>
                <w:sz w:val="18"/>
                <w:szCs w:val="18"/>
              </w:rPr>
              <w:t>16</w:t>
            </w:r>
          </w:p>
        </w:tc>
        <w:tc>
          <w:tcPr>
            <w:tcW w:w="1255" w:type="dxa"/>
            <w:tcBorders>
              <w:bottom w:val="single" w:sz="4" w:space="0" w:color="auto"/>
            </w:tcBorders>
          </w:tcPr>
          <w:p w:rsidR="001E652F" w:rsidRPr="00EE2CFB" w:rsidP="002E3BA5" w14:paraId="59103B8E" w14:textId="063339DE">
            <w:pPr>
              <w:jc w:val="center"/>
              <w:rPr>
                <w:b/>
                <w:bCs/>
                <w:sz w:val="18"/>
                <w:szCs w:val="18"/>
              </w:rPr>
            </w:pPr>
          </w:p>
        </w:tc>
        <w:tc>
          <w:tcPr>
            <w:tcW w:w="1080" w:type="dxa"/>
            <w:tcBorders>
              <w:bottom w:val="single" w:sz="4" w:space="0" w:color="auto"/>
            </w:tcBorders>
          </w:tcPr>
          <w:p w:rsidR="0062177C" w:rsidRPr="00EE2CFB" w:rsidP="007C091E" w14:paraId="5EC99824" w14:textId="411656AD">
            <w:pPr>
              <w:jc w:val="center"/>
              <w:rPr>
                <w:b/>
                <w:bCs/>
                <w:sz w:val="18"/>
                <w:szCs w:val="18"/>
              </w:rPr>
            </w:pPr>
          </w:p>
        </w:tc>
        <w:tc>
          <w:tcPr>
            <w:tcW w:w="1440" w:type="dxa"/>
            <w:tcBorders>
              <w:bottom w:val="single" w:sz="4" w:space="0" w:color="auto"/>
            </w:tcBorders>
          </w:tcPr>
          <w:p w:rsidR="001E652F" w:rsidRPr="00EE2CFB" w:rsidP="002E3BA5" w14:paraId="76DE89F2" w14:textId="77777777">
            <w:pPr>
              <w:jc w:val="center"/>
              <w:rPr>
                <w:b/>
                <w:bCs/>
                <w:sz w:val="18"/>
                <w:szCs w:val="18"/>
              </w:rPr>
            </w:pPr>
          </w:p>
        </w:tc>
        <w:tc>
          <w:tcPr>
            <w:tcW w:w="1015" w:type="dxa"/>
            <w:tcBorders>
              <w:bottom w:val="single" w:sz="4" w:space="0" w:color="auto"/>
            </w:tcBorders>
          </w:tcPr>
          <w:p w:rsidR="001E652F" w:rsidRPr="00EE2CFB" w:rsidP="002E3BA5" w14:paraId="525F0632" w14:textId="25F33811">
            <w:pPr>
              <w:jc w:val="center"/>
              <w:rPr>
                <w:b/>
                <w:bCs/>
                <w:sz w:val="18"/>
                <w:szCs w:val="18"/>
              </w:rPr>
            </w:pPr>
            <w:r w:rsidRPr="00EE2CFB">
              <w:rPr>
                <w:b/>
                <w:bCs/>
                <w:sz w:val="18"/>
                <w:szCs w:val="18"/>
              </w:rPr>
              <w:t>3,</w:t>
            </w:r>
            <w:r w:rsidR="00EE2CFB">
              <w:rPr>
                <w:b/>
                <w:bCs/>
                <w:sz w:val="18"/>
                <w:szCs w:val="18"/>
              </w:rPr>
              <w:t>144</w:t>
            </w:r>
          </w:p>
        </w:tc>
        <w:tc>
          <w:tcPr>
            <w:tcW w:w="900" w:type="dxa"/>
            <w:tcBorders>
              <w:bottom w:val="single" w:sz="4" w:space="0" w:color="auto"/>
            </w:tcBorders>
          </w:tcPr>
          <w:p w:rsidR="001E652F" w:rsidRPr="00EE2CFB" w:rsidP="002E3BA5" w14:paraId="227D7A9E" w14:textId="77777777">
            <w:pPr>
              <w:jc w:val="center"/>
              <w:rPr>
                <w:b/>
                <w:bCs/>
                <w:sz w:val="18"/>
                <w:szCs w:val="18"/>
              </w:rPr>
            </w:pPr>
          </w:p>
        </w:tc>
        <w:tc>
          <w:tcPr>
            <w:tcW w:w="900" w:type="dxa"/>
            <w:tcBorders>
              <w:bottom w:val="single" w:sz="4" w:space="0" w:color="auto"/>
            </w:tcBorders>
          </w:tcPr>
          <w:p w:rsidR="001E652F" w:rsidRPr="00EE2CFB" w:rsidP="002E3BA5" w14:paraId="42D5B9B1" w14:textId="3852501D">
            <w:pPr>
              <w:jc w:val="center"/>
              <w:rPr>
                <w:b/>
                <w:bCs/>
                <w:sz w:val="18"/>
                <w:szCs w:val="18"/>
              </w:rPr>
            </w:pPr>
            <w:r w:rsidRPr="00EE2CFB">
              <w:rPr>
                <w:b/>
                <w:bCs/>
                <w:sz w:val="18"/>
                <w:szCs w:val="18"/>
              </w:rPr>
              <w:t>$1</w:t>
            </w:r>
            <w:r w:rsidR="000E5C5E">
              <w:rPr>
                <w:b/>
                <w:bCs/>
                <w:sz w:val="18"/>
                <w:szCs w:val="18"/>
              </w:rPr>
              <w:t>69</w:t>
            </w:r>
            <w:r w:rsidRPr="00EE2CFB">
              <w:rPr>
                <w:b/>
                <w:bCs/>
                <w:sz w:val="18"/>
                <w:szCs w:val="18"/>
              </w:rPr>
              <w:t>,</w:t>
            </w:r>
            <w:r w:rsidR="000E5C5E">
              <w:rPr>
                <w:b/>
                <w:bCs/>
                <w:sz w:val="18"/>
                <w:szCs w:val="18"/>
              </w:rPr>
              <w:t>776</w:t>
            </w:r>
          </w:p>
        </w:tc>
      </w:tr>
    </w:tbl>
    <w:bookmarkEnd w:id="3"/>
    <w:p w:rsidR="00C177D7" w:rsidRPr="00D67EA5" w:rsidP="00EE2CFB" w14:paraId="390D1CDB" w14:textId="56183F9B">
      <w:pPr>
        <w:widowControl/>
        <w:ind w:left="-540" w:firstLine="540"/>
        <w:rPr>
          <w:i/>
          <w:iCs/>
          <w:sz w:val="22"/>
          <w:szCs w:val="22"/>
        </w:rPr>
      </w:pPr>
      <w:r w:rsidRPr="00D67EA5">
        <w:rPr>
          <w:i/>
          <w:iCs/>
          <w:sz w:val="22"/>
          <w:szCs w:val="22"/>
        </w:rPr>
        <w:t>*Costs include fringe benefits.</w:t>
      </w:r>
    </w:p>
    <w:p w:rsidR="00282EB9" w:rsidRPr="00D67EA5" w:rsidP="00CC7F1A" w14:paraId="2DB0B428" w14:textId="77777777">
      <w:pPr>
        <w:widowControl/>
      </w:pPr>
    </w:p>
    <w:p w:rsidR="00DE1E20" w:rsidRPr="004F069D" w:rsidP="0053291B" w14:paraId="22273C90" w14:textId="08061286">
      <w:pPr>
        <w:widowControl/>
      </w:pPr>
      <w:r w:rsidRPr="00D67EA5">
        <w:t>FAS</w:t>
      </w:r>
      <w:r w:rsidRPr="00D67EA5" w:rsidR="007A2388">
        <w:t xml:space="preserve"> base</w:t>
      </w:r>
      <w:r w:rsidR="00E60946">
        <w:t>d</w:t>
      </w:r>
      <w:r w:rsidRPr="00D67EA5" w:rsidR="007A2388">
        <w:t xml:space="preserve"> estimates on historical experience</w:t>
      </w:r>
      <w:r w:rsidRPr="00D67EA5" w:rsidR="00A67F9D">
        <w:t xml:space="preserve">. </w:t>
      </w:r>
      <w:r w:rsidR="004B4C82">
        <w:t xml:space="preserve">The </w:t>
      </w:r>
      <w:r w:rsidRPr="00D67EA5" w:rsidR="00653DDF">
        <w:t xml:space="preserve">estimate for this collection is derived from </w:t>
      </w:r>
      <w:r w:rsidRPr="00D67EA5" w:rsidR="00282EB9">
        <w:t>FY</w:t>
      </w:r>
      <w:r w:rsidRPr="00D67EA5" w:rsidR="00653DDF">
        <w:t xml:space="preserve"> 202</w:t>
      </w:r>
      <w:r w:rsidR="00B12F46">
        <w:t>0</w:t>
      </w:r>
      <w:r w:rsidRPr="00D67EA5" w:rsidR="00653DDF">
        <w:t xml:space="preserve">.  </w:t>
      </w:r>
      <w:r w:rsidRPr="00D67EA5">
        <w:t>FAS estimates that 1</w:t>
      </w:r>
      <w:r w:rsidR="00B12F46">
        <w:t>6</w:t>
      </w:r>
      <w:r w:rsidRPr="00D67EA5">
        <w:t xml:space="preserve"> respondents will submit applications to the Program.</w:t>
      </w:r>
      <w:r w:rsidR="0053291B">
        <w:t xml:space="preserve"> </w:t>
      </w:r>
      <w:r w:rsidRPr="00D67EA5">
        <w:t xml:space="preserve">Based on the number of awards made and the </w:t>
      </w:r>
      <w:r w:rsidRPr="00B15129">
        <w:t xml:space="preserve">agency’s experience with the grant program, </w:t>
      </w:r>
      <w:r w:rsidR="0053291B">
        <w:t>the</w:t>
      </w:r>
      <w:r w:rsidR="00B15129">
        <w:t xml:space="preserve"> </w:t>
      </w:r>
      <w:r w:rsidRPr="00B15129">
        <w:t>annual cost to participants for th</w:t>
      </w:r>
      <w:r w:rsidR="004B4C82">
        <w:t>is</w:t>
      </w:r>
      <w:r w:rsidR="0053291B">
        <w:t xml:space="preserve"> </w:t>
      </w:r>
      <w:r w:rsidRPr="00B15129">
        <w:t>collection is $1</w:t>
      </w:r>
      <w:r w:rsidRPr="00B15129" w:rsidR="00B15129">
        <w:t>69,776</w:t>
      </w:r>
      <w:r w:rsidR="004B4C82">
        <w:t xml:space="preserve"> (</w:t>
      </w:r>
      <w:r w:rsidRPr="00B15129">
        <w:t xml:space="preserve">.  </w:t>
      </w:r>
      <w:r w:rsidRPr="00B15129" w:rsidR="007A2388">
        <w:t xml:space="preserve">For purposes of this information collection request, </w:t>
      </w:r>
      <w:r w:rsidRPr="00B15129">
        <w:t xml:space="preserve">FAS </w:t>
      </w:r>
      <w:r w:rsidRPr="00B15129" w:rsidR="005F6155">
        <w:t>use</w:t>
      </w:r>
      <w:r w:rsidR="0053291B">
        <w:t>d</w:t>
      </w:r>
      <w:r w:rsidRPr="00B15129" w:rsidR="005F6155">
        <w:t xml:space="preserve"> </w:t>
      </w:r>
      <w:r w:rsidRPr="00B15129">
        <w:t xml:space="preserve">an </w:t>
      </w:r>
      <w:r w:rsidRPr="00B15129" w:rsidR="005F6155">
        <w:t xml:space="preserve">hourly </w:t>
      </w:r>
      <w:r w:rsidRPr="00B15129">
        <w:rPr>
          <w:rFonts w:cs="Courier New"/>
          <w:szCs w:val="20"/>
        </w:rPr>
        <w:t>cost of $</w:t>
      </w:r>
      <w:r w:rsidRPr="00B15129" w:rsidR="00B15129">
        <w:rPr>
          <w:rFonts w:cs="Courier New"/>
          <w:szCs w:val="20"/>
        </w:rPr>
        <w:t>54</w:t>
      </w:r>
      <w:r w:rsidRPr="00B15129">
        <w:rPr>
          <w:rFonts w:cs="Courier New"/>
          <w:szCs w:val="20"/>
        </w:rPr>
        <w:t xml:space="preserve"> per hour </w:t>
      </w:r>
      <w:r w:rsidR="00B15129">
        <w:rPr>
          <w:rFonts w:cs="Courier New"/>
          <w:szCs w:val="20"/>
        </w:rPr>
        <w:t xml:space="preserve">which is </w:t>
      </w:r>
      <w:r w:rsidRPr="00B15129">
        <w:rPr>
          <w:rFonts w:cs="Courier New"/>
          <w:szCs w:val="20"/>
        </w:rPr>
        <w:t xml:space="preserve">on the 2023 General Pay Scale for a GS-13 Step </w:t>
      </w:r>
      <w:r w:rsidRPr="00B15129" w:rsidR="00B15129">
        <w:rPr>
          <w:rFonts w:cs="Courier New"/>
          <w:szCs w:val="20"/>
        </w:rPr>
        <w:t>1</w:t>
      </w:r>
      <w:r w:rsidR="00B15129">
        <w:rPr>
          <w:rFonts w:cs="Courier New"/>
          <w:szCs w:val="20"/>
        </w:rPr>
        <w:t xml:space="preserve"> </w:t>
      </w:r>
      <w:r w:rsidR="0053291B">
        <w:rPr>
          <w:rFonts w:cs="Courier New"/>
          <w:szCs w:val="20"/>
        </w:rPr>
        <w:t xml:space="preserve">business </w:t>
      </w:r>
      <w:r w:rsidR="00B15129">
        <w:rPr>
          <w:rFonts w:cs="Courier New"/>
          <w:szCs w:val="20"/>
        </w:rPr>
        <w:t>professional</w:t>
      </w:r>
      <w:r w:rsidRPr="00B15129">
        <w:rPr>
          <w:rFonts w:cs="Courier New"/>
          <w:szCs w:val="20"/>
        </w:rPr>
        <w:t>.  The cost used in the estimate includes fringe benefits.</w:t>
      </w:r>
    </w:p>
    <w:p w:rsidR="00DE1E20" w:rsidP="008E49D0" w14:paraId="7C068B9F" w14:textId="77777777">
      <w:pPr>
        <w:widowControl/>
        <w:tabs>
          <w:tab w:val="right" w:pos="7200"/>
        </w:tabs>
      </w:pPr>
    </w:p>
    <w:p w:rsidR="003C061D" w:rsidRPr="00D67EA5" w:rsidP="008E49D0" w14:paraId="699FCE51" w14:textId="605D0F68">
      <w:pPr>
        <w:widowControl/>
        <w:tabs>
          <w:tab w:val="left" w:pos="360"/>
        </w:tabs>
        <w:ind w:left="360" w:hanging="360"/>
        <w:rPr>
          <w:b/>
          <w:bCs/>
          <w:color w:val="000000"/>
        </w:rPr>
      </w:pPr>
      <w:r w:rsidRPr="00D67EA5">
        <w:rPr>
          <w:b/>
          <w:bCs/>
          <w:color w:val="000000"/>
        </w:rPr>
        <w:t>13</w:t>
      </w:r>
      <w:r w:rsidRPr="00D67EA5" w:rsidR="008E49D0">
        <w:rPr>
          <w:b/>
          <w:bCs/>
          <w:color w:val="000000"/>
        </w:rPr>
        <w:t>.</w:t>
      </w:r>
      <w:r w:rsidRPr="00D67EA5" w:rsidR="008E49D0">
        <w:rPr>
          <w:b/>
          <w:bCs/>
          <w:color w:val="000000"/>
        </w:rPr>
        <w:tab/>
      </w:r>
      <w:r w:rsidRPr="00D67EA5">
        <w:rPr>
          <w:b/>
          <w:bCs/>
          <w:color w:val="000000"/>
        </w:rPr>
        <w:t>Provide an estimate of the total annual cost burden to respondents or recordkeepers resulting from the collection of information</w:t>
      </w:r>
      <w:r w:rsidRPr="00D67EA5" w:rsidR="00A67F9D">
        <w:rPr>
          <w:b/>
          <w:bCs/>
          <w:color w:val="000000"/>
        </w:rPr>
        <w:t xml:space="preserve">. </w:t>
      </w:r>
      <w:r w:rsidRPr="00D67EA5">
        <w:rPr>
          <w:b/>
          <w:bCs/>
          <w:color w:val="000000"/>
        </w:rPr>
        <w:t>(Do not include the cost of any hour burden shown in Items 12 and 14).</w:t>
      </w:r>
    </w:p>
    <w:p w:rsidR="003C061D" w:rsidRPr="00D67EA5" w:rsidP="00CC7F1A" w14:paraId="699FCE52" w14:textId="77777777">
      <w:pPr>
        <w:widowControl/>
        <w:rPr>
          <w:color w:val="000000"/>
        </w:rPr>
      </w:pPr>
    </w:p>
    <w:p w:rsidR="003C061D" w:rsidRPr="00D67EA5" w:rsidP="00CC7F1A" w14:paraId="699FCE53" w14:textId="77777777">
      <w:pPr>
        <w:widowControl/>
        <w:numPr>
          <w:ilvl w:val="0"/>
          <w:numId w:val="16"/>
        </w:numPr>
        <w:tabs>
          <w:tab w:val="clear" w:pos="720"/>
        </w:tabs>
        <w:rPr>
          <w:b/>
          <w:bCs/>
          <w:color w:val="000000"/>
        </w:rPr>
      </w:pPr>
      <w:r w:rsidRPr="00D67EA5">
        <w:rPr>
          <w:b/>
          <w:bCs/>
          <w:color w:val="000000"/>
        </w:rPr>
        <w:t>The cost estimate should be split into two components</w:t>
      </w:r>
      <w:r w:rsidRPr="00D67EA5">
        <w:rPr>
          <w:b/>
          <w:bCs/>
          <w:color w:val="000000"/>
        </w:rPr>
        <w:t>:  (</w:t>
      </w:r>
      <w:r w:rsidRPr="00D67EA5">
        <w:rPr>
          <w:b/>
          <w:bCs/>
          <w:color w:val="000000"/>
        </w:rPr>
        <w:t>a) a total capital and start-up cost component (annualized over its expected useful life); and (b) a total operation and maintenance and purchase of services component</w:t>
      </w:r>
      <w:r w:rsidRPr="00D67EA5" w:rsidR="00A67F9D">
        <w:rPr>
          <w:b/>
          <w:bCs/>
          <w:color w:val="000000"/>
        </w:rPr>
        <w:t xml:space="preserve">. </w:t>
      </w:r>
      <w:r w:rsidRPr="00D67EA5">
        <w:rPr>
          <w:b/>
          <w:bCs/>
          <w:color w:val="000000"/>
        </w:rPr>
        <w:t xml:space="preserve">The estimates should </w:t>
      </w:r>
      <w:r w:rsidRPr="00D67EA5">
        <w:rPr>
          <w:b/>
          <w:bCs/>
          <w:color w:val="000000"/>
        </w:rPr>
        <w:t>take into account</w:t>
      </w:r>
      <w:r w:rsidRPr="00D67EA5">
        <w:rPr>
          <w:b/>
          <w:bCs/>
          <w:color w:val="000000"/>
        </w:rPr>
        <w:t xml:space="preserve"> costs associated with generating, maintaining, and disclosing or providing the information</w:t>
      </w:r>
      <w:r w:rsidRPr="00D67EA5" w:rsidR="00A67F9D">
        <w:rPr>
          <w:b/>
          <w:bCs/>
          <w:color w:val="000000"/>
        </w:rPr>
        <w:t xml:space="preserve">. </w:t>
      </w:r>
      <w:r w:rsidRPr="00D67EA5">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Pr="00D67EA5" w:rsidR="00A67F9D">
        <w:rPr>
          <w:b/>
          <w:bCs/>
          <w:color w:val="000000"/>
        </w:rPr>
        <w:t xml:space="preserve">. </w:t>
      </w:r>
      <w:r w:rsidRPr="00D67EA5">
        <w:rPr>
          <w:b/>
          <w:bCs/>
          <w:color w:val="000000"/>
        </w:rPr>
        <w:t>Capital and start-up costs include, among other items, preparations for collecting information such as purchasing computers and software; monitoring, sampling, drilling and testing equipment; and record storage facilities.</w:t>
      </w:r>
    </w:p>
    <w:p w:rsidR="003C061D" w:rsidRPr="00D67EA5" w:rsidP="00CC7F1A" w14:paraId="699FCE54" w14:textId="77777777">
      <w:pPr>
        <w:widowControl/>
        <w:rPr>
          <w:b/>
          <w:bCs/>
          <w:color w:val="000000"/>
        </w:rPr>
      </w:pPr>
    </w:p>
    <w:p w:rsidR="003C061D" w:rsidRPr="00D67EA5" w:rsidP="00CC7F1A" w14:paraId="699FCE55" w14:textId="77777777">
      <w:pPr>
        <w:widowControl/>
        <w:numPr>
          <w:ilvl w:val="0"/>
          <w:numId w:val="16"/>
        </w:numPr>
        <w:tabs>
          <w:tab w:val="clear" w:pos="720"/>
        </w:tabs>
        <w:rPr>
          <w:b/>
          <w:bCs/>
          <w:color w:val="000000"/>
        </w:rPr>
      </w:pPr>
      <w:r w:rsidRPr="00D67EA5">
        <w:rPr>
          <w:b/>
          <w:bCs/>
          <w:color w:val="000000"/>
        </w:rPr>
        <w:t>If cost estimates are expected to vary widely, agencies should present ranges of cost burdens and explain the reasons for the variance</w:t>
      </w:r>
      <w:r w:rsidRPr="00D67EA5" w:rsidR="00A67F9D">
        <w:rPr>
          <w:b/>
          <w:bCs/>
          <w:color w:val="000000"/>
        </w:rPr>
        <w:t xml:space="preserve">. </w:t>
      </w:r>
      <w:r w:rsidRPr="00D67EA5">
        <w:rPr>
          <w:b/>
          <w:bCs/>
          <w:color w:val="000000"/>
        </w:rPr>
        <w:t>The cost of purchasing or contracting out information collection services should be a part of this cost burden estimate</w:t>
      </w:r>
      <w:r w:rsidRPr="00D67EA5" w:rsidR="00A67F9D">
        <w:rPr>
          <w:b/>
          <w:bCs/>
          <w:color w:val="000000"/>
        </w:rPr>
        <w:t xml:space="preserve">. </w:t>
      </w:r>
      <w:r w:rsidRPr="00D67EA5">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722" w:rsidRPr="00D67EA5" w:rsidP="00C04722" w14:paraId="699FCE56" w14:textId="77777777">
      <w:pPr>
        <w:widowControl/>
        <w:rPr>
          <w:b/>
          <w:bCs/>
          <w:color w:val="000000"/>
        </w:rPr>
      </w:pPr>
    </w:p>
    <w:p w:rsidR="003C061D" w:rsidRPr="00D67EA5" w:rsidP="00CC7F1A" w14:paraId="699FCE57" w14:textId="77777777">
      <w:pPr>
        <w:widowControl/>
        <w:numPr>
          <w:ilvl w:val="0"/>
          <w:numId w:val="16"/>
        </w:numPr>
        <w:tabs>
          <w:tab w:val="clear" w:pos="720"/>
        </w:tabs>
        <w:rPr>
          <w:b/>
          <w:bCs/>
          <w:color w:val="000000"/>
        </w:rPr>
      </w:pPr>
      <w:r w:rsidRPr="00D67EA5">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061D" w:rsidRPr="00D67EA5" w:rsidP="00CC7F1A" w14:paraId="699FCE58" w14:textId="77777777">
      <w:pPr>
        <w:widowControl/>
        <w:rPr>
          <w:color w:val="000000"/>
        </w:rPr>
      </w:pPr>
    </w:p>
    <w:p w:rsidR="00087133" w:rsidRPr="00D67EA5" w:rsidP="00087133" w14:paraId="26C68109" w14:textId="77777777">
      <w:pPr>
        <w:pStyle w:val="BodyTextIndent"/>
        <w:ind w:left="360"/>
        <w:rPr>
          <w:bCs/>
        </w:rPr>
      </w:pPr>
      <w:r w:rsidRPr="00D67EA5">
        <w:rPr>
          <w:bCs/>
        </w:rPr>
        <w:t>There are no capital or start-up costs associated with this collection package.</w:t>
      </w:r>
    </w:p>
    <w:p w:rsidR="003C061D" w:rsidP="00CC7F1A" w14:paraId="699FCE5A" w14:textId="77777777">
      <w:pPr>
        <w:widowControl/>
        <w:rPr>
          <w:color w:val="000000"/>
        </w:rPr>
      </w:pPr>
    </w:p>
    <w:p w:rsidR="003C061D" w:rsidRPr="00D67EA5" w:rsidP="00584209" w14:paraId="699FCE5B" w14:textId="0E16B10E">
      <w:pPr>
        <w:widowControl/>
        <w:tabs>
          <w:tab w:val="left" w:pos="360"/>
        </w:tabs>
        <w:ind w:left="360" w:hanging="360"/>
        <w:rPr>
          <w:color w:val="000000"/>
        </w:rPr>
      </w:pPr>
      <w:r w:rsidRPr="00D67EA5">
        <w:rPr>
          <w:b/>
          <w:bCs/>
          <w:color w:val="000000"/>
        </w:rPr>
        <w:t>14</w:t>
      </w:r>
      <w:r w:rsidRPr="00D67EA5" w:rsidR="00244E05">
        <w:rPr>
          <w:b/>
          <w:bCs/>
          <w:color w:val="000000"/>
        </w:rPr>
        <w:t xml:space="preserve">. </w:t>
      </w:r>
      <w:r w:rsidRPr="00D67EA5">
        <w:rPr>
          <w:b/>
          <w:bCs/>
          <w:color w:val="000000"/>
        </w:rPr>
        <w:t>Provide estimates of annualized cost to the Federal government</w:t>
      </w:r>
      <w:r w:rsidRPr="00D67EA5" w:rsidR="00A67F9D">
        <w:rPr>
          <w:b/>
          <w:bCs/>
          <w:color w:val="000000"/>
        </w:rPr>
        <w:t xml:space="preserve">. </w:t>
      </w:r>
      <w:r w:rsidRPr="00D67EA5">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67EA5" w:rsidR="00A67F9D">
        <w:rPr>
          <w:b/>
          <w:bCs/>
          <w:color w:val="000000"/>
        </w:rPr>
        <w:t xml:space="preserve">. </w:t>
      </w:r>
      <w:r w:rsidRPr="00D67EA5">
        <w:rPr>
          <w:b/>
          <w:bCs/>
          <w:color w:val="000000"/>
        </w:rPr>
        <w:t>Agencies also may aggregate cost estimates from Items 17, 18, and 19 in a single table.</w:t>
      </w:r>
    </w:p>
    <w:p w:rsidR="003C061D" w:rsidRPr="00D67EA5" w:rsidP="00CC7F1A" w14:paraId="699FCE5C" w14:textId="77777777">
      <w:pPr>
        <w:widowControl/>
        <w:rPr>
          <w:color w:val="000000"/>
        </w:rPr>
      </w:pPr>
    </w:p>
    <w:tbl>
      <w:tblPr>
        <w:tblW w:w="10440" w:type="dxa"/>
        <w:tblInd w:w="-11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tblPr>
      <w:tblGrid>
        <w:gridCol w:w="2430"/>
        <w:gridCol w:w="1260"/>
        <w:gridCol w:w="1350"/>
        <w:gridCol w:w="1080"/>
        <w:gridCol w:w="1440"/>
        <w:gridCol w:w="1260"/>
        <w:gridCol w:w="810"/>
        <w:gridCol w:w="810"/>
      </w:tblGrid>
      <w:tr w14:paraId="3F3DA726" w14:textId="77777777" w:rsidTr="003F7A9D">
        <w:tblPrEx>
          <w:tblW w:w="10440" w:type="dxa"/>
          <w:tblInd w:w="-11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tblPrEx>
        <w:trPr>
          <w:trHeight w:val="1034"/>
        </w:trPr>
        <w:tc>
          <w:tcPr>
            <w:tcW w:w="2430" w:type="dxa"/>
            <w:shd w:val="clear" w:color="000000" w:fill="C6E0B4"/>
            <w:vAlign w:val="center"/>
            <w:hideMark/>
          </w:tcPr>
          <w:p w:rsidR="00C177D7" w:rsidRPr="00D67EA5" w:rsidP="001E01DB" w14:paraId="63C3AFE5" w14:textId="77777777">
            <w:pPr>
              <w:autoSpaceDE/>
              <w:autoSpaceDN/>
              <w:adjustRightInd/>
              <w:jc w:val="center"/>
              <w:rPr>
                <w:b/>
                <w:bCs/>
                <w:color w:val="000000"/>
                <w:sz w:val="18"/>
                <w:szCs w:val="18"/>
              </w:rPr>
            </w:pPr>
            <w:r w:rsidRPr="00D67EA5">
              <w:rPr>
                <w:b/>
                <w:bCs/>
                <w:color w:val="000000"/>
                <w:sz w:val="18"/>
                <w:szCs w:val="18"/>
              </w:rPr>
              <w:t xml:space="preserve">Information Collection </w:t>
            </w:r>
          </w:p>
        </w:tc>
        <w:tc>
          <w:tcPr>
            <w:tcW w:w="1260" w:type="dxa"/>
            <w:shd w:val="clear" w:color="000000" w:fill="C6E0B4"/>
            <w:vAlign w:val="center"/>
          </w:tcPr>
          <w:p w:rsidR="00C177D7" w:rsidRPr="00D67EA5" w:rsidP="001E01DB" w14:paraId="653FD841" w14:textId="77777777">
            <w:pPr>
              <w:autoSpaceDE/>
              <w:autoSpaceDN/>
              <w:adjustRightInd/>
              <w:jc w:val="center"/>
              <w:rPr>
                <w:b/>
                <w:bCs/>
                <w:color w:val="000000"/>
                <w:sz w:val="18"/>
                <w:szCs w:val="18"/>
              </w:rPr>
            </w:pPr>
            <w:r w:rsidRPr="00D67EA5">
              <w:rPr>
                <w:b/>
                <w:bCs/>
                <w:color w:val="000000"/>
                <w:sz w:val="18"/>
                <w:szCs w:val="18"/>
              </w:rPr>
              <w:t>Number of Respondents</w:t>
            </w:r>
          </w:p>
        </w:tc>
        <w:tc>
          <w:tcPr>
            <w:tcW w:w="1350" w:type="dxa"/>
            <w:shd w:val="clear" w:color="000000" w:fill="C6E0B4"/>
            <w:vAlign w:val="center"/>
          </w:tcPr>
          <w:p w:rsidR="00C177D7" w:rsidRPr="00D67EA5" w:rsidP="001E01DB" w14:paraId="5D581D50" w14:textId="77777777">
            <w:pPr>
              <w:autoSpaceDE/>
              <w:autoSpaceDN/>
              <w:adjustRightInd/>
              <w:jc w:val="center"/>
              <w:rPr>
                <w:b/>
                <w:bCs/>
                <w:color w:val="000000"/>
                <w:sz w:val="18"/>
                <w:szCs w:val="18"/>
              </w:rPr>
            </w:pPr>
            <w:r w:rsidRPr="00D67EA5">
              <w:rPr>
                <w:b/>
                <w:bCs/>
                <w:color w:val="000000"/>
                <w:sz w:val="18"/>
                <w:szCs w:val="18"/>
              </w:rPr>
              <w:t>Number of Responses per Respondents</w:t>
            </w:r>
          </w:p>
        </w:tc>
        <w:tc>
          <w:tcPr>
            <w:tcW w:w="1080" w:type="dxa"/>
            <w:shd w:val="clear" w:color="000000" w:fill="C6E0B4"/>
            <w:vAlign w:val="center"/>
          </w:tcPr>
          <w:p w:rsidR="00C177D7" w:rsidRPr="00D67EA5" w:rsidP="001E01DB" w14:paraId="18696EE4" w14:textId="77777777">
            <w:pPr>
              <w:autoSpaceDE/>
              <w:autoSpaceDN/>
              <w:adjustRightInd/>
              <w:jc w:val="center"/>
              <w:rPr>
                <w:b/>
                <w:bCs/>
                <w:color w:val="000000"/>
                <w:sz w:val="18"/>
                <w:szCs w:val="18"/>
              </w:rPr>
            </w:pPr>
            <w:r w:rsidRPr="00D67EA5">
              <w:rPr>
                <w:b/>
                <w:bCs/>
                <w:color w:val="000000"/>
                <w:sz w:val="18"/>
                <w:szCs w:val="18"/>
              </w:rPr>
              <w:t>Total Annual Responses</w:t>
            </w:r>
          </w:p>
        </w:tc>
        <w:tc>
          <w:tcPr>
            <w:tcW w:w="1440" w:type="dxa"/>
            <w:shd w:val="clear" w:color="000000" w:fill="C6E0B4"/>
            <w:vAlign w:val="center"/>
            <w:hideMark/>
          </w:tcPr>
          <w:p w:rsidR="00C177D7" w:rsidRPr="00D67EA5" w:rsidP="001E01DB" w14:paraId="1FCFD8BA" w14:textId="77777777">
            <w:pPr>
              <w:autoSpaceDE/>
              <w:autoSpaceDN/>
              <w:adjustRightInd/>
              <w:jc w:val="center"/>
              <w:rPr>
                <w:b/>
                <w:bCs/>
                <w:color w:val="000000"/>
                <w:sz w:val="18"/>
                <w:szCs w:val="18"/>
              </w:rPr>
            </w:pPr>
            <w:r w:rsidRPr="00D67EA5">
              <w:rPr>
                <w:b/>
                <w:bCs/>
                <w:color w:val="000000"/>
                <w:sz w:val="18"/>
                <w:szCs w:val="18"/>
              </w:rPr>
              <w:t>Burden Hours/Minutes per Response</w:t>
            </w:r>
          </w:p>
        </w:tc>
        <w:tc>
          <w:tcPr>
            <w:tcW w:w="1260" w:type="dxa"/>
            <w:shd w:val="clear" w:color="000000" w:fill="C6E0B4"/>
            <w:vAlign w:val="center"/>
            <w:hideMark/>
          </w:tcPr>
          <w:p w:rsidR="00C177D7" w:rsidRPr="00D67EA5" w:rsidP="001E01DB" w14:paraId="03BA1E62" w14:textId="77777777">
            <w:pPr>
              <w:autoSpaceDE/>
              <w:autoSpaceDN/>
              <w:adjustRightInd/>
              <w:jc w:val="center"/>
              <w:rPr>
                <w:b/>
                <w:bCs/>
                <w:color w:val="000000"/>
                <w:sz w:val="18"/>
                <w:szCs w:val="18"/>
              </w:rPr>
            </w:pPr>
            <w:r w:rsidRPr="00D67EA5">
              <w:rPr>
                <w:b/>
                <w:bCs/>
                <w:color w:val="000000"/>
                <w:sz w:val="18"/>
                <w:szCs w:val="18"/>
              </w:rPr>
              <w:t>Total Government Burden Hours</w:t>
            </w:r>
          </w:p>
        </w:tc>
        <w:tc>
          <w:tcPr>
            <w:tcW w:w="810" w:type="dxa"/>
            <w:shd w:val="clear" w:color="000000" w:fill="C6E0B4"/>
            <w:vAlign w:val="center"/>
            <w:hideMark/>
          </w:tcPr>
          <w:p w:rsidR="00C177D7" w:rsidRPr="00D67EA5" w:rsidP="001E01DB" w14:paraId="162C3BAB" w14:textId="5E57F517">
            <w:pPr>
              <w:autoSpaceDE/>
              <w:autoSpaceDN/>
              <w:adjustRightInd/>
              <w:jc w:val="center"/>
              <w:rPr>
                <w:b/>
                <w:bCs/>
                <w:color w:val="000000"/>
                <w:sz w:val="18"/>
                <w:szCs w:val="18"/>
              </w:rPr>
            </w:pPr>
            <w:r w:rsidRPr="00D67EA5">
              <w:rPr>
                <w:b/>
                <w:bCs/>
                <w:color w:val="000000"/>
                <w:sz w:val="18"/>
                <w:szCs w:val="18"/>
              </w:rPr>
              <w:t>*</w:t>
            </w:r>
            <w:r w:rsidRPr="00D67EA5" w:rsidR="00EF773E">
              <w:rPr>
                <w:b/>
                <w:bCs/>
                <w:color w:val="000000"/>
                <w:sz w:val="18"/>
                <w:szCs w:val="18"/>
              </w:rPr>
              <w:t>Gov</w:t>
            </w:r>
            <w:r w:rsidR="00EF773E">
              <w:rPr>
                <w:b/>
                <w:bCs/>
                <w:color w:val="000000"/>
                <w:sz w:val="18"/>
                <w:szCs w:val="18"/>
              </w:rPr>
              <w:t>.</w:t>
            </w:r>
            <w:r w:rsidRPr="00D67EA5" w:rsidR="00EF773E">
              <w:rPr>
                <w:b/>
                <w:bCs/>
                <w:color w:val="000000"/>
                <w:sz w:val="18"/>
                <w:szCs w:val="18"/>
              </w:rPr>
              <w:t xml:space="preserve"> </w:t>
            </w:r>
            <w:r w:rsidRPr="00D67EA5">
              <w:rPr>
                <w:b/>
                <w:bCs/>
                <w:color w:val="000000"/>
                <w:sz w:val="18"/>
                <w:szCs w:val="18"/>
              </w:rPr>
              <w:t xml:space="preserve">Hourly Cost </w:t>
            </w:r>
          </w:p>
        </w:tc>
        <w:tc>
          <w:tcPr>
            <w:tcW w:w="810" w:type="dxa"/>
            <w:shd w:val="clear" w:color="000000" w:fill="C6E0B4"/>
            <w:vAlign w:val="center"/>
            <w:hideMark/>
          </w:tcPr>
          <w:p w:rsidR="00C177D7" w:rsidRPr="00D67EA5" w:rsidP="001E01DB" w14:paraId="39F9CD16" w14:textId="307EC462">
            <w:pPr>
              <w:autoSpaceDE/>
              <w:autoSpaceDN/>
              <w:adjustRightInd/>
              <w:jc w:val="center"/>
              <w:rPr>
                <w:b/>
                <w:bCs/>
                <w:color w:val="000000"/>
                <w:sz w:val="18"/>
                <w:szCs w:val="18"/>
              </w:rPr>
            </w:pPr>
            <w:r w:rsidRPr="00D67EA5">
              <w:rPr>
                <w:b/>
                <w:bCs/>
                <w:color w:val="000000"/>
                <w:sz w:val="18"/>
                <w:szCs w:val="18"/>
              </w:rPr>
              <w:t xml:space="preserve">Total </w:t>
            </w:r>
            <w:r w:rsidRPr="00D67EA5" w:rsidR="00EF773E">
              <w:rPr>
                <w:b/>
                <w:bCs/>
                <w:color w:val="000000"/>
                <w:sz w:val="18"/>
                <w:szCs w:val="18"/>
              </w:rPr>
              <w:t>Gov</w:t>
            </w:r>
            <w:r w:rsidR="005C630E">
              <w:rPr>
                <w:b/>
                <w:bCs/>
                <w:color w:val="000000"/>
                <w:sz w:val="18"/>
                <w:szCs w:val="18"/>
              </w:rPr>
              <w:t xml:space="preserve"> </w:t>
            </w:r>
            <w:r w:rsidRPr="00D67EA5">
              <w:rPr>
                <w:b/>
                <w:bCs/>
                <w:color w:val="000000"/>
                <w:sz w:val="18"/>
                <w:szCs w:val="18"/>
              </w:rPr>
              <w:t>Annual Costs</w:t>
            </w:r>
          </w:p>
        </w:tc>
      </w:tr>
      <w:tr w14:paraId="5A1E465B" w14:textId="77777777" w:rsidTr="003F7A9D">
        <w:tblPrEx>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430" w:type="dxa"/>
            <w:tcBorders>
              <w:left w:val="single" w:sz="4" w:space="0" w:color="auto"/>
            </w:tcBorders>
          </w:tcPr>
          <w:p w:rsidR="00EF773E" w:rsidRPr="00D67EA5" w:rsidP="00EF773E" w14:paraId="3B4234B2" w14:textId="1CF0A367">
            <w:pPr>
              <w:rPr>
                <w:bCs/>
                <w:sz w:val="18"/>
                <w:szCs w:val="18"/>
                <w:highlight w:val="yellow"/>
              </w:rPr>
            </w:pPr>
            <w:r w:rsidRPr="000C0FDD">
              <w:rPr>
                <w:bCs/>
                <w:sz w:val="18"/>
                <w:szCs w:val="18"/>
              </w:rPr>
              <w:t>Discretionary Grant/Cooperative Agreement</w:t>
            </w:r>
          </w:p>
        </w:tc>
        <w:tc>
          <w:tcPr>
            <w:tcW w:w="1260" w:type="dxa"/>
            <w:tcBorders>
              <w:left w:val="single" w:sz="4" w:space="0" w:color="auto"/>
            </w:tcBorders>
          </w:tcPr>
          <w:p w:rsidR="00EF773E" w:rsidRPr="00D67EA5" w:rsidP="00EE2CFB" w14:paraId="75EC6CF9" w14:textId="588523A8">
            <w:pPr>
              <w:jc w:val="center"/>
              <w:rPr>
                <w:bCs/>
                <w:sz w:val="18"/>
                <w:szCs w:val="18"/>
                <w:highlight w:val="yellow"/>
              </w:rPr>
            </w:pPr>
            <w:r w:rsidRPr="00D47F9C">
              <w:rPr>
                <w:sz w:val="18"/>
                <w:szCs w:val="18"/>
              </w:rPr>
              <w:t>16</w:t>
            </w:r>
          </w:p>
        </w:tc>
        <w:tc>
          <w:tcPr>
            <w:tcW w:w="1350" w:type="dxa"/>
            <w:tcBorders>
              <w:left w:val="single" w:sz="4" w:space="0" w:color="auto"/>
            </w:tcBorders>
          </w:tcPr>
          <w:p w:rsidR="00EF773E" w:rsidRPr="00D67EA5" w:rsidP="00EE2CFB" w14:paraId="0A1D8445" w14:textId="12A919D2">
            <w:pPr>
              <w:jc w:val="center"/>
              <w:rPr>
                <w:bCs/>
                <w:sz w:val="18"/>
                <w:szCs w:val="18"/>
                <w:highlight w:val="yellow"/>
              </w:rPr>
            </w:pPr>
            <w:r w:rsidRPr="00D47F9C">
              <w:rPr>
                <w:sz w:val="18"/>
                <w:szCs w:val="18"/>
              </w:rPr>
              <w:t>1</w:t>
            </w:r>
          </w:p>
        </w:tc>
        <w:tc>
          <w:tcPr>
            <w:tcW w:w="1080" w:type="dxa"/>
            <w:tcBorders>
              <w:left w:val="single" w:sz="4" w:space="0" w:color="auto"/>
              <w:right w:val="single" w:sz="4" w:space="0" w:color="auto"/>
            </w:tcBorders>
          </w:tcPr>
          <w:p w:rsidR="00EF773E" w:rsidRPr="00D67EA5" w:rsidP="00EE2CFB" w14:paraId="29680FA1" w14:textId="4DAB2A7D">
            <w:pPr>
              <w:jc w:val="center"/>
              <w:rPr>
                <w:bCs/>
                <w:sz w:val="18"/>
                <w:szCs w:val="18"/>
                <w:highlight w:val="yellow"/>
              </w:rPr>
            </w:pPr>
            <w:r w:rsidRPr="00D47F9C">
              <w:rPr>
                <w:color w:val="000000"/>
                <w:sz w:val="18"/>
                <w:szCs w:val="18"/>
              </w:rPr>
              <w:t>16</w:t>
            </w:r>
          </w:p>
        </w:tc>
        <w:tc>
          <w:tcPr>
            <w:tcW w:w="1440" w:type="dxa"/>
            <w:tcBorders>
              <w:left w:val="single" w:sz="4" w:space="0" w:color="auto"/>
            </w:tcBorders>
          </w:tcPr>
          <w:p w:rsidR="00EF773E" w:rsidRPr="00D67EA5" w:rsidP="00EE2CFB" w14:paraId="182C4EAF" w14:textId="13E5A272">
            <w:pPr>
              <w:jc w:val="center"/>
              <w:rPr>
                <w:bCs/>
                <w:sz w:val="18"/>
                <w:szCs w:val="18"/>
              </w:rPr>
            </w:pPr>
            <w:r>
              <w:rPr>
                <w:bCs/>
                <w:sz w:val="18"/>
                <w:szCs w:val="18"/>
              </w:rPr>
              <w:t>30</w:t>
            </w:r>
          </w:p>
        </w:tc>
        <w:tc>
          <w:tcPr>
            <w:tcW w:w="1260" w:type="dxa"/>
            <w:tcBorders>
              <w:left w:val="single" w:sz="4" w:space="0" w:color="auto"/>
              <w:right w:val="single" w:sz="4" w:space="0" w:color="auto"/>
            </w:tcBorders>
          </w:tcPr>
          <w:p w:rsidR="00EF773E" w:rsidRPr="00D67EA5" w:rsidP="00EE2CFB" w14:paraId="76D35614" w14:textId="28942A24">
            <w:pPr>
              <w:jc w:val="center"/>
              <w:rPr>
                <w:bCs/>
                <w:sz w:val="18"/>
                <w:szCs w:val="18"/>
              </w:rPr>
            </w:pPr>
            <w:r>
              <w:rPr>
                <w:bCs/>
                <w:sz w:val="18"/>
                <w:szCs w:val="18"/>
              </w:rPr>
              <w:t>480</w:t>
            </w:r>
          </w:p>
        </w:tc>
        <w:tc>
          <w:tcPr>
            <w:tcW w:w="810" w:type="dxa"/>
            <w:tcBorders>
              <w:left w:val="single" w:sz="4" w:space="0" w:color="auto"/>
              <w:right w:val="single" w:sz="4" w:space="0" w:color="auto"/>
            </w:tcBorders>
          </w:tcPr>
          <w:p w:rsidR="00EF773E" w:rsidRPr="00D67EA5" w:rsidP="00EE2CFB" w14:paraId="249A3A8C" w14:textId="11926218">
            <w:pPr>
              <w:jc w:val="center"/>
              <w:rPr>
                <w:bCs/>
                <w:sz w:val="18"/>
                <w:szCs w:val="18"/>
              </w:rPr>
            </w:pPr>
            <w:r>
              <w:rPr>
                <w:bCs/>
                <w:sz w:val="18"/>
                <w:szCs w:val="18"/>
              </w:rPr>
              <w:t>$6</w:t>
            </w:r>
            <w:r w:rsidR="000E5C5E">
              <w:rPr>
                <w:bCs/>
                <w:sz w:val="18"/>
                <w:szCs w:val="18"/>
              </w:rPr>
              <w:t>1</w:t>
            </w:r>
          </w:p>
        </w:tc>
        <w:tc>
          <w:tcPr>
            <w:tcW w:w="810" w:type="dxa"/>
            <w:tcBorders>
              <w:left w:val="single" w:sz="4" w:space="0" w:color="auto"/>
            </w:tcBorders>
          </w:tcPr>
          <w:p w:rsidR="00EF773E" w:rsidRPr="00D67EA5" w:rsidP="00EE2CFB" w14:paraId="4BC4DB4F" w14:textId="730A12DE">
            <w:pPr>
              <w:jc w:val="center"/>
              <w:rPr>
                <w:bCs/>
                <w:sz w:val="18"/>
                <w:szCs w:val="18"/>
              </w:rPr>
            </w:pPr>
            <w:r>
              <w:rPr>
                <w:bCs/>
                <w:sz w:val="18"/>
                <w:szCs w:val="18"/>
              </w:rPr>
              <w:t>$</w:t>
            </w:r>
            <w:r w:rsidR="000E5C5E">
              <w:rPr>
                <w:bCs/>
                <w:sz w:val="18"/>
                <w:szCs w:val="18"/>
              </w:rPr>
              <w:t>29.280</w:t>
            </w:r>
          </w:p>
        </w:tc>
      </w:tr>
      <w:tr w14:paraId="508DFD4D" w14:textId="77777777" w:rsidTr="003F7A9D">
        <w:tblPrEx>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430" w:type="dxa"/>
            <w:tcBorders>
              <w:left w:val="single" w:sz="4" w:space="0" w:color="auto"/>
              <w:bottom w:val="single" w:sz="4" w:space="0" w:color="auto"/>
            </w:tcBorders>
          </w:tcPr>
          <w:p w:rsidR="003F7A9D" w:rsidRPr="003F7A9D" w:rsidP="00EF773E" w14:paraId="0C24F2EF" w14:textId="77F73A95">
            <w:pPr>
              <w:rPr>
                <w:bCs/>
                <w:sz w:val="18"/>
                <w:szCs w:val="18"/>
              </w:rPr>
            </w:pPr>
            <w:r w:rsidRPr="00EE2CFB">
              <w:rPr>
                <w:bCs/>
                <w:sz w:val="18"/>
                <w:szCs w:val="18"/>
              </w:rPr>
              <w:t>Performance Reporting</w:t>
            </w:r>
          </w:p>
        </w:tc>
        <w:tc>
          <w:tcPr>
            <w:tcW w:w="1260" w:type="dxa"/>
            <w:tcBorders>
              <w:left w:val="single" w:sz="4" w:space="0" w:color="auto"/>
              <w:bottom w:val="single" w:sz="4" w:space="0" w:color="auto"/>
            </w:tcBorders>
          </w:tcPr>
          <w:p w:rsidR="00EF773E" w:rsidRPr="00EE2CFB" w:rsidP="00EE2CFB" w14:paraId="00887E1E" w14:textId="3108A42E">
            <w:pPr>
              <w:jc w:val="center"/>
              <w:rPr>
                <w:sz w:val="18"/>
                <w:szCs w:val="18"/>
              </w:rPr>
            </w:pPr>
            <w:r w:rsidRPr="00EF773E">
              <w:rPr>
                <w:sz w:val="18"/>
                <w:szCs w:val="18"/>
              </w:rPr>
              <w:t>2</w:t>
            </w:r>
          </w:p>
        </w:tc>
        <w:tc>
          <w:tcPr>
            <w:tcW w:w="1350" w:type="dxa"/>
            <w:tcBorders>
              <w:left w:val="single" w:sz="4" w:space="0" w:color="auto"/>
              <w:bottom w:val="single" w:sz="4" w:space="0" w:color="auto"/>
            </w:tcBorders>
          </w:tcPr>
          <w:p w:rsidR="00EF773E" w:rsidRPr="00EE2CFB" w:rsidP="00EE2CFB" w14:paraId="0F5AE4BD" w14:textId="79028891">
            <w:pPr>
              <w:jc w:val="center"/>
              <w:rPr>
                <w:sz w:val="18"/>
                <w:szCs w:val="18"/>
              </w:rPr>
            </w:pPr>
            <w:r w:rsidRPr="00EF773E">
              <w:rPr>
                <w:sz w:val="18"/>
                <w:szCs w:val="18"/>
              </w:rPr>
              <w:t>2</w:t>
            </w:r>
          </w:p>
        </w:tc>
        <w:tc>
          <w:tcPr>
            <w:tcW w:w="1080" w:type="dxa"/>
            <w:tcBorders>
              <w:left w:val="single" w:sz="4" w:space="0" w:color="auto"/>
              <w:bottom w:val="single" w:sz="4" w:space="0" w:color="auto"/>
              <w:right w:val="single" w:sz="4" w:space="0" w:color="auto"/>
            </w:tcBorders>
          </w:tcPr>
          <w:p w:rsidR="00EF773E" w:rsidRPr="00EE2CFB" w:rsidP="00EE2CFB" w14:paraId="2D05D273" w14:textId="62380D15">
            <w:pPr>
              <w:jc w:val="center"/>
              <w:rPr>
                <w:sz w:val="18"/>
                <w:szCs w:val="18"/>
              </w:rPr>
            </w:pPr>
            <w:r w:rsidRPr="00EF773E">
              <w:rPr>
                <w:color w:val="000000"/>
                <w:sz w:val="18"/>
                <w:szCs w:val="18"/>
              </w:rPr>
              <w:t>4</w:t>
            </w:r>
          </w:p>
        </w:tc>
        <w:tc>
          <w:tcPr>
            <w:tcW w:w="1440" w:type="dxa"/>
            <w:tcBorders>
              <w:left w:val="single" w:sz="4" w:space="0" w:color="auto"/>
              <w:bottom w:val="single" w:sz="4" w:space="0" w:color="auto"/>
            </w:tcBorders>
          </w:tcPr>
          <w:p w:rsidR="00EF773E" w:rsidRPr="00D67EA5" w:rsidP="00EE2CFB" w14:paraId="53674F26" w14:textId="6E848F42">
            <w:pPr>
              <w:jc w:val="center"/>
              <w:rPr>
                <w:sz w:val="18"/>
                <w:szCs w:val="18"/>
              </w:rPr>
            </w:pPr>
            <w:r>
              <w:rPr>
                <w:sz w:val="18"/>
                <w:szCs w:val="18"/>
              </w:rPr>
              <w:t>.5</w:t>
            </w:r>
          </w:p>
        </w:tc>
        <w:tc>
          <w:tcPr>
            <w:tcW w:w="1260" w:type="dxa"/>
            <w:tcBorders>
              <w:left w:val="single" w:sz="4" w:space="0" w:color="auto"/>
              <w:bottom w:val="single" w:sz="4" w:space="0" w:color="auto"/>
              <w:right w:val="single" w:sz="4" w:space="0" w:color="auto"/>
            </w:tcBorders>
          </w:tcPr>
          <w:p w:rsidR="00EF773E" w:rsidRPr="00D67EA5" w:rsidP="00EE2CFB" w14:paraId="3D545679" w14:textId="70C8275F">
            <w:pPr>
              <w:jc w:val="center"/>
              <w:rPr>
                <w:sz w:val="18"/>
                <w:szCs w:val="18"/>
              </w:rPr>
            </w:pPr>
            <w:r>
              <w:rPr>
                <w:sz w:val="18"/>
                <w:szCs w:val="18"/>
              </w:rPr>
              <w:t>2</w:t>
            </w:r>
          </w:p>
        </w:tc>
        <w:tc>
          <w:tcPr>
            <w:tcW w:w="810" w:type="dxa"/>
            <w:tcBorders>
              <w:left w:val="single" w:sz="4" w:space="0" w:color="auto"/>
              <w:bottom w:val="single" w:sz="4" w:space="0" w:color="auto"/>
              <w:right w:val="single" w:sz="4" w:space="0" w:color="auto"/>
            </w:tcBorders>
          </w:tcPr>
          <w:p w:rsidR="00EF773E" w:rsidRPr="00D67EA5" w:rsidP="00EE2CFB" w14:paraId="6786287C" w14:textId="5B7EF092">
            <w:pPr>
              <w:jc w:val="center"/>
              <w:rPr>
                <w:sz w:val="18"/>
                <w:szCs w:val="18"/>
              </w:rPr>
            </w:pPr>
            <w:r>
              <w:rPr>
                <w:bCs/>
                <w:sz w:val="18"/>
                <w:szCs w:val="18"/>
              </w:rPr>
              <w:t>$6</w:t>
            </w:r>
            <w:r w:rsidR="000E5C5E">
              <w:rPr>
                <w:bCs/>
                <w:sz w:val="18"/>
                <w:szCs w:val="18"/>
              </w:rPr>
              <w:t>1</w:t>
            </w:r>
          </w:p>
        </w:tc>
        <w:tc>
          <w:tcPr>
            <w:tcW w:w="810" w:type="dxa"/>
            <w:tcBorders>
              <w:left w:val="single" w:sz="4" w:space="0" w:color="auto"/>
              <w:bottom w:val="single" w:sz="4" w:space="0" w:color="auto"/>
            </w:tcBorders>
          </w:tcPr>
          <w:p w:rsidR="00EF773E" w:rsidRPr="00D67EA5" w:rsidP="00EE2CFB" w14:paraId="20CC16A8" w14:textId="0535C1C3">
            <w:pPr>
              <w:jc w:val="center"/>
              <w:rPr>
                <w:sz w:val="18"/>
                <w:szCs w:val="18"/>
              </w:rPr>
            </w:pPr>
            <w:r>
              <w:rPr>
                <w:sz w:val="18"/>
                <w:szCs w:val="18"/>
              </w:rPr>
              <w:t>$1</w:t>
            </w:r>
            <w:r w:rsidR="000E5C5E">
              <w:rPr>
                <w:sz w:val="18"/>
                <w:szCs w:val="18"/>
              </w:rPr>
              <w:t>2</w:t>
            </w:r>
            <w:r>
              <w:rPr>
                <w:sz w:val="18"/>
                <w:szCs w:val="18"/>
              </w:rPr>
              <w:t>2</w:t>
            </w:r>
          </w:p>
        </w:tc>
      </w:tr>
      <w:tr w14:paraId="6E2418A8" w14:textId="77777777" w:rsidTr="003F7A9D">
        <w:tblPrEx>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430" w:type="dxa"/>
            <w:tcBorders>
              <w:left w:val="single" w:sz="4" w:space="0" w:color="auto"/>
              <w:bottom w:val="single" w:sz="4" w:space="0" w:color="auto"/>
            </w:tcBorders>
          </w:tcPr>
          <w:p w:rsidR="003F7A9D" w:rsidRPr="00EE2CFB" w:rsidP="003F7A9D" w14:paraId="28455994" w14:textId="13CE9A04">
            <w:pPr>
              <w:rPr>
                <w:b/>
                <w:bCs/>
                <w:sz w:val="18"/>
                <w:szCs w:val="18"/>
              </w:rPr>
            </w:pPr>
            <w:r w:rsidRPr="00EE2CFB">
              <w:rPr>
                <w:b/>
                <w:bCs/>
                <w:sz w:val="18"/>
                <w:szCs w:val="18"/>
              </w:rPr>
              <w:t>Totals</w:t>
            </w:r>
          </w:p>
        </w:tc>
        <w:tc>
          <w:tcPr>
            <w:tcW w:w="1260" w:type="dxa"/>
            <w:tcBorders>
              <w:left w:val="single" w:sz="4" w:space="0" w:color="auto"/>
              <w:bottom w:val="single" w:sz="4" w:space="0" w:color="auto"/>
            </w:tcBorders>
          </w:tcPr>
          <w:p w:rsidR="00EF773E" w:rsidRPr="00EE2CFB" w:rsidP="00EE2CFB" w14:paraId="078A5B1C" w14:textId="32FB92D0">
            <w:pPr>
              <w:jc w:val="center"/>
              <w:rPr>
                <w:b/>
                <w:bCs/>
                <w:sz w:val="18"/>
                <w:szCs w:val="18"/>
              </w:rPr>
            </w:pPr>
            <w:r>
              <w:rPr>
                <w:b/>
                <w:bCs/>
                <w:sz w:val="18"/>
                <w:szCs w:val="18"/>
              </w:rPr>
              <w:t>16</w:t>
            </w:r>
          </w:p>
        </w:tc>
        <w:tc>
          <w:tcPr>
            <w:tcW w:w="1350" w:type="dxa"/>
            <w:tcBorders>
              <w:left w:val="single" w:sz="4" w:space="0" w:color="auto"/>
              <w:bottom w:val="single" w:sz="4" w:space="0" w:color="auto"/>
            </w:tcBorders>
          </w:tcPr>
          <w:p w:rsidR="00EF773E" w:rsidRPr="00EE2CFB" w:rsidP="00EE2CFB" w14:paraId="61D5FA91" w14:textId="20492F38">
            <w:pPr>
              <w:jc w:val="center"/>
              <w:rPr>
                <w:b/>
                <w:bCs/>
                <w:sz w:val="18"/>
                <w:szCs w:val="18"/>
              </w:rPr>
            </w:pPr>
          </w:p>
        </w:tc>
        <w:tc>
          <w:tcPr>
            <w:tcW w:w="1080" w:type="dxa"/>
            <w:tcBorders>
              <w:left w:val="single" w:sz="4" w:space="0" w:color="auto"/>
              <w:bottom w:val="single" w:sz="4" w:space="0" w:color="auto"/>
              <w:right w:val="single" w:sz="4" w:space="0" w:color="auto"/>
            </w:tcBorders>
          </w:tcPr>
          <w:p w:rsidR="00EF773E" w:rsidRPr="00EE2CFB" w:rsidP="00EE2CFB" w14:paraId="68FA6BC2" w14:textId="26B69E67">
            <w:pPr>
              <w:jc w:val="center"/>
              <w:rPr>
                <w:b/>
                <w:bCs/>
                <w:sz w:val="18"/>
                <w:szCs w:val="18"/>
              </w:rPr>
            </w:pPr>
          </w:p>
        </w:tc>
        <w:tc>
          <w:tcPr>
            <w:tcW w:w="1440" w:type="dxa"/>
            <w:tcBorders>
              <w:left w:val="single" w:sz="4" w:space="0" w:color="auto"/>
              <w:bottom w:val="single" w:sz="4" w:space="0" w:color="auto"/>
            </w:tcBorders>
          </w:tcPr>
          <w:p w:rsidR="00EF773E" w:rsidRPr="00F70026" w:rsidP="00EE2CFB" w14:paraId="6A04DE92" w14:textId="77777777">
            <w:pPr>
              <w:jc w:val="center"/>
              <w:rPr>
                <w:b/>
                <w:bCs/>
                <w:sz w:val="18"/>
                <w:szCs w:val="18"/>
              </w:rPr>
            </w:pPr>
          </w:p>
        </w:tc>
        <w:tc>
          <w:tcPr>
            <w:tcW w:w="1260" w:type="dxa"/>
            <w:tcBorders>
              <w:left w:val="single" w:sz="4" w:space="0" w:color="auto"/>
              <w:bottom w:val="single" w:sz="4" w:space="0" w:color="auto"/>
              <w:right w:val="single" w:sz="4" w:space="0" w:color="auto"/>
            </w:tcBorders>
          </w:tcPr>
          <w:p w:rsidR="00EF773E" w:rsidRPr="00F70026" w:rsidP="00EE2CFB" w14:paraId="57DB72DC" w14:textId="399F3EC9">
            <w:pPr>
              <w:jc w:val="center"/>
              <w:rPr>
                <w:b/>
                <w:bCs/>
                <w:sz w:val="18"/>
                <w:szCs w:val="18"/>
              </w:rPr>
            </w:pPr>
            <w:r>
              <w:rPr>
                <w:b/>
                <w:bCs/>
                <w:sz w:val="18"/>
                <w:szCs w:val="18"/>
              </w:rPr>
              <w:t>4</w:t>
            </w:r>
            <w:r w:rsidR="00C36F97">
              <w:rPr>
                <w:b/>
                <w:bCs/>
                <w:sz w:val="18"/>
                <w:szCs w:val="18"/>
              </w:rPr>
              <w:t>82</w:t>
            </w:r>
          </w:p>
        </w:tc>
        <w:tc>
          <w:tcPr>
            <w:tcW w:w="810" w:type="dxa"/>
            <w:tcBorders>
              <w:left w:val="single" w:sz="4" w:space="0" w:color="auto"/>
              <w:bottom w:val="single" w:sz="4" w:space="0" w:color="auto"/>
              <w:right w:val="single" w:sz="4" w:space="0" w:color="auto"/>
            </w:tcBorders>
          </w:tcPr>
          <w:p w:rsidR="00EF773E" w:rsidRPr="00F70026" w:rsidP="00EE2CFB" w14:paraId="18D24A60" w14:textId="77777777">
            <w:pPr>
              <w:jc w:val="center"/>
              <w:rPr>
                <w:b/>
                <w:bCs/>
                <w:sz w:val="18"/>
                <w:szCs w:val="18"/>
              </w:rPr>
            </w:pPr>
          </w:p>
        </w:tc>
        <w:tc>
          <w:tcPr>
            <w:tcW w:w="810" w:type="dxa"/>
            <w:tcBorders>
              <w:left w:val="single" w:sz="4" w:space="0" w:color="auto"/>
              <w:bottom w:val="single" w:sz="4" w:space="0" w:color="auto"/>
            </w:tcBorders>
          </w:tcPr>
          <w:p w:rsidR="00EF773E" w:rsidRPr="00F70026" w:rsidP="00EE2CFB" w14:paraId="567C004B" w14:textId="3041A119">
            <w:pPr>
              <w:jc w:val="center"/>
              <w:rPr>
                <w:b/>
                <w:bCs/>
                <w:sz w:val="18"/>
                <w:szCs w:val="18"/>
              </w:rPr>
            </w:pPr>
            <w:r>
              <w:rPr>
                <w:b/>
                <w:bCs/>
                <w:sz w:val="18"/>
                <w:szCs w:val="18"/>
              </w:rPr>
              <w:t>$</w:t>
            </w:r>
            <w:r w:rsidR="000E5C5E">
              <w:rPr>
                <w:b/>
                <w:bCs/>
                <w:sz w:val="18"/>
                <w:szCs w:val="18"/>
              </w:rPr>
              <w:t>29</w:t>
            </w:r>
            <w:r>
              <w:rPr>
                <w:b/>
                <w:bCs/>
                <w:sz w:val="18"/>
                <w:szCs w:val="18"/>
              </w:rPr>
              <w:t>,</w:t>
            </w:r>
            <w:r w:rsidR="000E5C5E">
              <w:rPr>
                <w:b/>
                <w:bCs/>
                <w:sz w:val="18"/>
                <w:szCs w:val="18"/>
              </w:rPr>
              <w:t>40</w:t>
            </w:r>
            <w:r w:rsidR="00C36F97">
              <w:rPr>
                <w:b/>
                <w:bCs/>
                <w:sz w:val="18"/>
                <w:szCs w:val="18"/>
              </w:rPr>
              <w:t>2</w:t>
            </w:r>
          </w:p>
        </w:tc>
      </w:tr>
    </w:tbl>
    <w:p w:rsidR="00211987" w:rsidRPr="005F3621" w:rsidP="00211987" w14:paraId="27B8ECCA" w14:textId="63166006">
      <w:pPr>
        <w:rPr>
          <w:i/>
          <w:iCs/>
          <w:sz w:val="22"/>
          <w:szCs w:val="22"/>
        </w:rPr>
      </w:pPr>
      <w:r w:rsidRPr="005F3621">
        <w:rPr>
          <w:i/>
          <w:iCs/>
          <w:sz w:val="22"/>
          <w:szCs w:val="22"/>
        </w:rPr>
        <w:t>*Costs includes fringe benefits.</w:t>
      </w:r>
    </w:p>
    <w:p w:rsidR="00F70026" w:rsidRPr="00D67EA5" w:rsidP="00211987" w14:paraId="15DF1CAA" w14:textId="77777777"/>
    <w:p w:rsidR="005F3621" w:rsidRPr="004F069D" w:rsidP="005F3621" w14:paraId="50C592F6" w14:textId="5F09DE48">
      <w:pPr>
        <w:pStyle w:val="Default"/>
      </w:pPr>
      <w:r w:rsidRPr="004F069D">
        <w:rPr>
          <w:rFonts w:cs="Courier New"/>
          <w:szCs w:val="20"/>
        </w:rPr>
        <w:t>The annual estimated cost to the Federal Government for this collection is $</w:t>
      </w:r>
      <w:r w:rsidR="000E5C5E">
        <w:rPr>
          <w:rFonts w:cs="Courier New"/>
          <w:szCs w:val="20"/>
        </w:rPr>
        <w:t>29</w:t>
      </w:r>
      <w:r w:rsidRPr="004F069D">
        <w:rPr>
          <w:rFonts w:cs="Courier New"/>
          <w:szCs w:val="20"/>
        </w:rPr>
        <w:t>,</w:t>
      </w:r>
      <w:r w:rsidR="000E5C5E">
        <w:rPr>
          <w:rFonts w:cs="Courier New"/>
          <w:szCs w:val="20"/>
        </w:rPr>
        <w:t>402</w:t>
      </w:r>
      <w:r w:rsidRPr="004F069D">
        <w:rPr>
          <w:rFonts w:cs="Courier New"/>
          <w:szCs w:val="20"/>
        </w:rPr>
        <w:t xml:space="preserve">.  </w:t>
      </w:r>
      <w:r>
        <w:rPr>
          <w:rFonts w:cs="Courier New"/>
          <w:szCs w:val="20"/>
        </w:rPr>
        <w:t>H</w:t>
      </w:r>
      <w:r w:rsidRPr="00325424">
        <w:rPr>
          <w:rFonts w:cs="Courier New"/>
          <w:szCs w:val="20"/>
        </w:rPr>
        <w:t>ourly</w:t>
      </w:r>
      <w:r w:rsidRPr="004F069D">
        <w:rPr>
          <w:rFonts w:cs="Courier New"/>
          <w:szCs w:val="20"/>
        </w:rPr>
        <w:t xml:space="preserve"> </w:t>
      </w:r>
      <w:r w:rsidRPr="004F069D">
        <w:rPr>
          <w:rFonts w:cs="Courier New"/>
          <w:szCs w:val="20"/>
        </w:rPr>
        <w:t>cost</w:t>
      </w:r>
      <w:r w:rsidRPr="00325424">
        <w:rPr>
          <w:rFonts w:cs="Courier New"/>
          <w:szCs w:val="20"/>
        </w:rPr>
        <w:t xml:space="preserve"> </w:t>
      </w:r>
      <w:r w:rsidR="006A1993">
        <w:rPr>
          <w:rFonts w:cs="Courier New"/>
          <w:szCs w:val="20"/>
        </w:rPr>
        <w:t xml:space="preserve">are estimated to be </w:t>
      </w:r>
      <w:r>
        <w:rPr>
          <w:rFonts w:cs="Courier New"/>
          <w:szCs w:val="20"/>
        </w:rPr>
        <w:t>$6</w:t>
      </w:r>
      <w:r w:rsidR="000E5C5E">
        <w:rPr>
          <w:rFonts w:cs="Courier New"/>
          <w:szCs w:val="20"/>
        </w:rPr>
        <w:t>1</w:t>
      </w:r>
      <w:r w:rsidRPr="00325424">
        <w:rPr>
          <w:rFonts w:cs="Courier New"/>
          <w:szCs w:val="20"/>
        </w:rPr>
        <w:t xml:space="preserve"> per hour</w:t>
      </w:r>
      <w:r w:rsidRPr="004F069D">
        <w:rPr>
          <w:rFonts w:cs="Courier New"/>
          <w:szCs w:val="20"/>
        </w:rPr>
        <w:t xml:space="preserve"> based on the 2023 General Pay Scale for a GS-1</w:t>
      </w:r>
      <w:r>
        <w:rPr>
          <w:rFonts w:cs="Courier New"/>
          <w:szCs w:val="20"/>
        </w:rPr>
        <w:t xml:space="preserve">3 Step </w:t>
      </w:r>
      <w:r w:rsidR="000E5C5E">
        <w:rPr>
          <w:rFonts w:cs="Courier New"/>
          <w:szCs w:val="20"/>
        </w:rPr>
        <w:t>5</w:t>
      </w:r>
      <w:r>
        <w:rPr>
          <w:rFonts w:cs="Courier New"/>
          <w:szCs w:val="20"/>
        </w:rPr>
        <w:t>,</w:t>
      </w:r>
      <w:r w:rsidRPr="004F069D">
        <w:rPr>
          <w:rFonts w:cs="Courier New"/>
          <w:szCs w:val="20"/>
        </w:rPr>
        <w:t xml:space="preserve"> which represents </w:t>
      </w:r>
      <w:r>
        <w:rPr>
          <w:rFonts w:cs="Courier New"/>
          <w:szCs w:val="20"/>
        </w:rPr>
        <w:t>a</w:t>
      </w:r>
      <w:r w:rsidRPr="004F069D">
        <w:rPr>
          <w:rFonts w:cs="Courier New"/>
          <w:szCs w:val="20"/>
        </w:rPr>
        <w:t xml:space="preserve"> FAS Program </w:t>
      </w:r>
      <w:r>
        <w:rPr>
          <w:rFonts w:cs="Courier New"/>
          <w:szCs w:val="20"/>
        </w:rPr>
        <w:t>Manager</w:t>
      </w:r>
      <w:r w:rsidRPr="004F069D">
        <w:rPr>
          <w:rFonts w:cs="Courier New"/>
          <w:szCs w:val="20"/>
        </w:rPr>
        <w:t xml:space="preserve"> reviewing information submissions.  The cost used in the estimate includes fringe benefits.</w:t>
      </w:r>
    </w:p>
    <w:p w:rsidR="002F4687" w:rsidRPr="00D67EA5" w:rsidP="00CC7F1A" w14:paraId="172CD080" w14:textId="77777777">
      <w:pPr>
        <w:widowControl/>
        <w:rPr>
          <w:color w:val="000000"/>
        </w:rPr>
      </w:pPr>
    </w:p>
    <w:p w:rsidR="003C061D" w:rsidRPr="00D67EA5" w:rsidP="00584209" w14:paraId="699FCE5F" w14:textId="77777777">
      <w:pPr>
        <w:widowControl/>
        <w:tabs>
          <w:tab w:val="left" w:pos="360"/>
        </w:tabs>
        <w:ind w:left="360" w:hanging="360"/>
        <w:rPr>
          <w:b/>
          <w:bCs/>
          <w:color w:val="000000"/>
        </w:rPr>
      </w:pPr>
      <w:r w:rsidRPr="00D67EA5">
        <w:rPr>
          <w:b/>
          <w:bCs/>
          <w:color w:val="000000"/>
        </w:rPr>
        <w:t>15.  Explain the reasons for any program changes or adjustments reporting in Items 1</w:t>
      </w:r>
      <w:r w:rsidRPr="00D67EA5" w:rsidR="001A4A08">
        <w:rPr>
          <w:b/>
          <w:bCs/>
          <w:color w:val="000000"/>
        </w:rPr>
        <w:t>2</w:t>
      </w:r>
      <w:r w:rsidRPr="00D67EA5">
        <w:rPr>
          <w:b/>
          <w:bCs/>
          <w:color w:val="000000"/>
        </w:rPr>
        <w:t xml:space="preserve"> or 1</w:t>
      </w:r>
      <w:r w:rsidRPr="00D67EA5" w:rsidR="001A4A08">
        <w:rPr>
          <w:b/>
          <w:bCs/>
          <w:color w:val="000000"/>
        </w:rPr>
        <w:t>3</w:t>
      </w:r>
      <w:r w:rsidRPr="00D67EA5">
        <w:rPr>
          <w:b/>
          <w:bCs/>
          <w:color w:val="000000"/>
        </w:rPr>
        <w:t>.</w:t>
      </w:r>
    </w:p>
    <w:p w:rsidR="003C061D" w:rsidRPr="00D67EA5" w:rsidP="00584209" w14:paraId="699FCE60" w14:textId="77777777">
      <w:pPr>
        <w:widowControl/>
        <w:tabs>
          <w:tab w:val="left" w:pos="360"/>
        </w:tabs>
        <w:ind w:left="360" w:hanging="360"/>
        <w:rPr>
          <w:color w:val="000000"/>
        </w:rPr>
      </w:pPr>
    </w:p>
    <w:p w:rsidR="00DD7812" w:rsidRPr="00D67EA5" w:rsidP="00087133" w14:paraId="02E367A1" w14:textId="77777777">
      <w:pPr>
        <w:pStyle w:val="BodyTextIndent"/>
        <w:ind w:left="0"/>
        <w:rPr>
          <w:bCs/>
        </w:rPr>
      </w:pPr>
      <w:r w:rsidRPr="00D67EA5">
        <w:rPr>
          <w:bCs/>
        </w:rPr>
        <w:t>This is an existing collection in use without a valid OMB control number.</w:t>
      </w:r>
    </w:p>
    <w:p w:rsidR="00DD7812" w:rsidRPr="00D67EA5" w:rsidP="00087133" w14:paraId="690B3898" w14:textId="77777777">
      <w:pPr>
        <w:pStyle w:val="BodyTextIndent"/>
        <w:ind w:left="0"/>
        <w:rPr>
          <w:bCs/>
        </w:rPr>
      </w:pPr>
    </w:p>
    <w:p w:rsidR="00DD7812" w:rsidRPr="00D67EA5" w:rsidP="00087133" w14:paraId="6E870665" w14:textId="68346964">
      <w:pPr>
        <w:pStyle w:val="BodyTextIndent"/>
        <w:ind w:left="0"/>
        <w:jc w:val="left"/>
        <w:rPr>
          <w:bCs/>
        </w:rPr>
      </w:pPr>
      <w:r w:rsidRPr="00D67EA5">
        <w:rPr>
          <w:bCs/>
        </w:rPr>
        <w:t xml:space="preserve">FAS developed an IT system (IFEDS) for the execution of this program which stores applicant information for the IAEFP Program.  In the process of developing the system, it was discovered that this Program did not have an approved OMB Control Number for applications and evaluations.  As soon as this became apparent, FAS immediately begin the ICR process to bring this IC into compliance with the PRA.  </w:t>
      </w:r>
    </w:p>
    <w:p w:rsidR="003C061D" w:rsidRPr="00D67EA5" w:rsidP="00CC7F1A" w14:paraId="699FCE62" w14:textId="77777777">
      <w:pPr>
        <w:widowControl/>
        <w:rPr>
          <w:color w:val="000000"/>
        </w:rPr>
      </w:pPr>
    </w:p>
    <w:p w:rsidR="003C061D" w:rsidRPr="00D67EA5" w:rsidP="00CC7F1A" w14:paraId="699FCE63" w14:textId="77777777">
      <w:pPr>
        <w:widowControl/>
        <w:rPr>
          <w:b/>
          <w:bCs/>
          <w:color w:val="000000"/>
        </w:rPr>
      </w:pPr>
      <w:r w:rsidRPr="00D67EA5">
        <w:rPr>
          <w:b/>
          <w:bCs/>
          <w:color w:val="000000"/>
        </w:rPr>
        <w:t>16.  For collections of information in which results will be published, outline plans for tabulation, and publication</w:t>
      </w:r>
      <w:r w:rsidRPr="00D67EA5" w:rsidR="00A67F9D">
        <w:rPr>
          <w:b/>
          <w:bCs/>
          <w:color w:val="000000"/>
        </w:rPr>
        <w:t xml:space="preserve">. </w:t>
      </w:r>
      <w:r w:rsidRPr="00D67EA5">
        <w:rPr>
          <w:b/>
          <w:bCs/>
          <w:color w:val="000000"/>
        </w:rPr>
        <w:t>Address any complex analytical techniques that will be used</w:t>
      </w:r>
      <w:r w:rsidRPr="00D67EA5" w:rsidR="00A67F9D">
        <w:rPr>
          <w:b/>
          <w:bCs/>
          <w:color w:val="000000"/>
        </w:rPr>
        <w:t xml:space="preserve">. </w:t>
      </w:r>
      <w:r w:rsidRPr="00D67EA5">
        <w:rPr>
          <w:b/>
          <w:bCs/>
          <w:color w:val="000000"/>
        </w:rPr>
        <w:t>Provide the time schedule for the entire project, including beginning and ending dates of the collection of information, completion of report, publication dates, and other actions.</w:t>
      </w:r>
    </w:p>
    <w:p w:rsidR="003C061D" w:rsidRPr="00D67EA5" w:rsidP="00CC7F1A" w14:paraId="699FCE64" w14:textId="77777777">
      <w:pPr>
        <w:widowControl/>
        <w:rPr>
          <w:color w:val="000000"/>
        </w:rPr>
      </w:pPr>
    </w:p>
    <w:p w:rsidR="003C061D" w:rsidRPr="00D67EA5" w:rsidP="00CC7F1A" w14:paraId="699FCE66" w14:textId="6CE8B192">
      <w:pPr>
        <w:widowControl/>
        <w:rPr>
          <w:color w:val="000000"/>
        </w:rPr>
      </w:pPr>
      <w:r w:rsidRPr="00D67EA5">
        <w:rPr>
          <w:color w:val="000000"/>
        </w:rPr>
        <w:t>FAS has no plans to tabulate or publish the information that is being collected.</w:t>
      </w:r>
    </w:p>
    <w:p w:rsidR="00DD7812" w:rsidRPr="00D67EA5" w:rsidP="00CC7F1A" w14:paraId="7DEA1079" w14:textId="77777777">
      <w:pPr>
        <w:widowControl/>
        <w:rPr>
          <w:color w:val="000000"/>
        </w:rPr>
      </w:pPr>
    </w:p>
    <w:p w:rsidR="003C061D" w:rsidRPr="00D67EA5" w:rsidP="00CC7F1A" w14:paraId="699FCE67" w14:textId="77777777">
      <w:pPr>
        <w:widowControl/>
        <w:rPr>
          <w:color w:val="000000"/>
        </w:rPr>
      </w:pPr>
      <w:r w:rsidRPr="00D67EA5">
        <w:rPr>
          <w:b/>
          <w:bCs/>
          <w:color w:val="000000"/>
        </w:rPr>
        <w:t>17.  If seeking approval to not display the expiration date for OMB approval of the information collection, explain the reasons that display would be inappropriate.</w:t>
      </w:r>
    </w:p>
    <w:p w:rsidR="003C061D" w:rsidRPr="00D67EA5" w:rsidP="00CC7F1A" w14:paraId="699FCE68" w14:textId="77777777">
      <w:pPr>
        <w:widowControl/>
        <w:rPr>
          <w:color w:val="000000"/>
        </w:rPr>
      </w:pPr>
    </w:p>
    <w:p w:rsidR="003C061D" w:rsidRPr="00D67EA5" w:rsidP="00CC7F1A" w14:paraId="699FCE6A" w14:textId="28FCDC84">
      <w:pPr>
        <w:widowControl/>
        <w:rPr>
          <w:color w:val="000000"/>
        </w:rPr>
      </w:pPr>
      <w:r w:rsidRPr="00D67EA5">
        <w:rPr>
          <w:color w:val="000000"/>
        </w:rPr>
        <w:t>FAS will display the information collection information and expiration date.</w:t>
      </w:r>
    </w:p>
    <w:p w:rsidR="00DD7812" w:rsidRPr="00D67EA5" w:rsidP="00CC7F1A" w14:paraId="4AB32687" w14:textId="77777777">
      <w:pPr>
        <w:widowControl/>
        <w:rPr>
          <w:b/>
          <w:bCs/>
          <w:color w:val="000000"/>
        </w:rPr>
      </w:pPr>
    </w:p>
    <w:p w:rsidR="003C061D" w:rsidRPr="00D67EA5" w:rsidP="00CC7F1A" w14:paraId="699FCE6B" w14:textId="07A471EC">
      <w:pPr>
        <w:widowControl/>
        <w:rPr>
          <w:b/>
          <w:bCs/>
          <w:color w:val="000000"/>
        </w:rPr>
      </w:pPr>
      <w:r w:rsidRPr="00D67EA5">
        <w:rPr>
          <w:b/>
          <w:bCs/>
          <w:color w:val="000000"/>
        </w:rPr>
        <w:t>18</w:t>
      </w:r>
      <w:r w:rsidRPr="00D67EA5" w:rsidR="00806341">
        <w:rPr>
          <w:b/>
          <w:bCs/>
          <w:color w:val="000000"/>
        </w:rPr>
        <w:t xml:space="preserve">. </w:t>
      </w:r>
      <w:r w:rsidRPr="00D67EA5">
        <w:rPr>
          <w:b/>
          <w:bCs/>
          <w:color w:val="000000"/>
        </w:rPr>
        <w:t xml:space="preserve"> Explain each exception to the certification statement identified in the "Certification for Paperwork Reduction Act Submission.</w:t>
      </w:r>
      <w:r w:rsidRPr="00D67EA5" w:rsidR="001A4A08">
        <w:rPr>
          <w:b/>
          <w:bCs/>
          <w:color w:val="000000"/>
        </w:rPr>
        <w:t>”</w:t>
      </w:r>
    </w:p>
    <w:p w:rsidR="003C061D" w:rsidRPr="00D67EA5" w:rsidP="00CC7F1A" w14:paraId="699FCE6C" w14:textId="77777777">
      <w:pPr>
        <w:widowControl/>
        <w:rPr>
          <w:color w:val="000000"/>
        </w:rPr>
      </w:pPr>
    </w:p>
    <w:p w:rsidR="001A4A08" w:rsidRPr="00D67EA5" w:rsidP="000B69BE" w14:paraId="699FCE6F" w14:textId="37B960A8">
      <w:pPr>
        <w:widowControl/>
        <w:rPr>
          <w:color w:val="000000"/>
        </w:rPr>
      </w:pPr>
      <w:r w:rsidRPr="00D67EA5">
        <w:rPr>
          <w:color w:val="000000"/>
        </w:rPr>
        <w:t>There are no exceptions.</w:t>
      </w:r>
    </w:p>
    <w:p w:rsidR="00DD7812" w:rsidRPr="00D67EA5" w:rsidP="000B69BE" w14:paraId="59F8630D" w14:textId="77777777">
      <w:pPr>
        <w:widowControl/>
        <w:rPr>
          <w:color w:val="000000"/>
        </w:rPr>
      </w:pPr>
    </w:p>
    <w:p w:rsidR="000D2D3A" w:rsidRPr="00D67EA5" w:rsidP="000B69BE" w14:paraId="699FCE70" w14:textId="77777777">
      <w:pPr>
        <w:widowControl/>
        <w:rPr>
          <w:b/>
          <w:bCs/>
          <w:i/>
          <w:color w:val="000000"/>
        </w:rPr>
      </w:pPr>
      <w:r w:rsidRPr="00D67EA5">
        <w:rPr>
          <w:b/>
          <w:bCs/>
          <w:i/>
          <w:color w:val="000000"/>
        </w:rPr>
        <w:t xml:space="preserve">Part </w:t>
      </w:r>
      <w:r w:rsidRPr="00D67EA5" w:rsidR="00495F62">
        <w:rPr>
          <w:b/>
          <w:bCs/>
          <w:i/>
          <w:color w:val="000000"/>
        </w:rPr>
        <w:t>B.  Statistical Methods</w:t>
      </w:r>
    </w:p>
    <w:p w:rsidR="000D2D3A" w:rsidRPr="00D67EA5" w:rsidP="000B69BE" w14:paraId="699FCE71" w14:textId="77777777">
      <w:pPr>
        <w:widowControl/>
        <w:rPr>
          <w:color w:val="000000"/>
        </w:rPr>
      </w:pPr>
    </w:p>
    <w:p w:rsidR="000D2D3A" w:rsidRPr="00D67EA5" w:rsidP="000B69BE" w14:paraId="699FCE72" w14:textId="77777777">
      <w:pPr>
        <w:widowControl/>
        <w:rPr>
          <w:color w:val="000000"/>
        </w:rPr>
      </w:pPr>
      <w:r w:rsidRPr="00D67EA5">
        <w:rPr>
          <w:color w:val="000000"/>
        </w:rPr>
        <w:t>This information collection does not employ statistical methods.</w:t>
      </w:r>
    </w:p>
    <w:sectPr w:rsidSect="003F7A9D">
      <w:footerReference w:type="even" r:id="rId6"/>
      <w:footerReference w:type="default" r:id="rId7"/>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B" w14:textId="34EA6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DF7">
      <w:rPr>
        <w:rStyle w:val="PageNumber"/>
        <w:noProof/>
      </w:rPr>
      <w:t>1</w:t>
    </w:r>
    <w:r>
      <w:rPr>
        <w:rStyle w:val="PageNumber"/>
      </w:rPr>
      <w:fldChar w:fldCharType="end"/>
    </w:r>
  </w:p>
  <w:p w:rsidR="003C061D" w14:paraId="699FCE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E" w14:textId="7C693D3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DEC954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3016DA1"/>
    <w:multiLevelType w:val="hybridMultilevel"/>
    <w:tmpl w:val="FAB463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C10E85"/>
    <w:multiLevelType w:val="hybridMultilevel"/>
    <w:tmpl w:val="CF185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9">
    <w:nsid w:val="16B55F61"/>
    <w:multiLevelType w:val="hybridMultilevel"/>
    <w:tmpl w:val="A6BE4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CBA3451"/>
    <w:multiLevelType w:val="hybridMultilevel"/>
    <w:tmpl w:val="8B0827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2EA1576"/>
    <w:multiLevelType w:val="hybridMultilevel"/>
    <w:tmpl w:val="0EFACA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A23534"/>
    <w:multiLevelType w:val="hybridMultilevel"/>
    <w:tmpl w:val="CFA68D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7F5008"/>
    <w:multiLevelType w:val="hybridMultilevel"/>
    <w:tmpl w:val="0FFA521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4BF3A65"/>
    <w:multiLevelType w:val="hybridMultilevel"/>
    <w:tmpl w:val="CE8C48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8DD470F"/>
    <w:multiLevelType w:val="hybridMultilevel"/>
    <w:tmpl w:val="B3C6234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2642832"/>
    <w:multiLevelType w:val="hybridMultilevel"/>
    <w:tmpl w:val="7F5425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C46DF"/>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0D12867"/>
    <w:multiLevelType w:val="hybridMultilevel"/>
    <w:tmpl w:val="5F9435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6220E2E"/>
    <w:multiLevelType w:val="hybridMultilevel"/>
    <w:tmpl w:val="6A4EA54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6E97CEF"/>
    <w:multiLevelType w:val="hybridMultilevel"/>
    <w:tmpl w:val="6E7C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0B6DDC"/>
    <w:multiLevelType w:val="hybridMultilevel"/>
    <w:tmpl w:val="A5F67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0EF8"/>
    <w:multiLevelType w:val="hybridMultilevel"/>
    <w:tmpl w:val="EF7E382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7BD7F25"/>
    <w:multiLevelType w:val="hybridMultilevel"/>
    <w:tmpl w:val="0B2AC0E8"/>
    <w:lvl w:ilvl="0">
      <w:start w:val="1"/>
      <w:numFmt w:val="bullet"/>
      <w:lvlText w:val=""/>
      <w:lvlJc w:val="left"/>
      <w:pPr>
        <w:tabs>
          <w:tab w:val="num" w:pos="1080"/>
        </w:tabs>
        <w:ind w:left="1080" w:hanging="360"/>
      </w:pPr>
      <w:rPr>
        <w:rFonts w:ascii="Symbol" w:hAnsi="Symbol" w:hint="default"/>
        <w:color w:val="00000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6DE37A98"/>
    <w:multiLevelType w:val="hybridMultilevel"/>
    <w:tmpl w:val="DEE2119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FD51AE8"/>
    <w:multiLevelType w:val="hybridMultilevel"/>
    <w:tmpl w:val="EE1AF3F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73D32701"/>
    <w:multiLevelType w:val="hybridMultilevel"/>
    <w:tmpl w:val="3BDEFD02"/>
    <w:lvl w:ilvl="0">
      <w:start w:val="1"/>
      <w:numFmt w:val="upp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79877D87"/>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B5D73BD"/>
    <w:multiLevelType w:val="hybridMultilevel"/>
    <w:tmpl w:val="B5C27A2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B75121C"/>
    <w:multiLevelType w:val="hybridMultilevel"/>
    <w:tmpl w:val="D20CB092"/>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start w:val="0"/>
      <w:numFmt w:val="bullet"/>
      <w:lvlText w:val="•"/>
      <w:lvlJc w:val="left"/>
      <w:pPr>
        <w:ind w:left="5810" w:hanging="383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BE430A7"/>
    <w:multiLevelType w:val="hybridMultilevel"/>
    <w:tmpl w:val="46104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C1339CB"/>
    <w:multiLevelType w:val="hybridMultilevel"/>
    <w:tmpl w:val="B074E034"/>
    <w:lvl w:ilvl="0">
      <w:start w:val="1"/>
      <w:numFmt w:val="decimal"/>
      <w:lvlText w:val="%1."/>
      <w:lvlJc w:val="left"/>
      <w:pPr>
        <w:tabs>
          <w:tab w:val="num" w:pos="1080"/>
        </w:tabs>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FDB4072"/>
    <w:multiLevelType w:val="hybridMultilevel"/>
    <w:tmpl w:val="440E1F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7839270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87570163">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75220981">
    <w:abstractNumId w:val="0"/>
    <w:lvlOverride w:ilvl="0">
      <w:lvl w:ilvl="0">
        <w:start w:val="0"/>
        <w:numFmt w:val="bullet"/>
        <w:lvlText w:val=""/>
        <w:legacy w:legacy="1" w:legacySpace="0" w:legacyIndent="720"/>
        <w:lvlJc w:val="left"/>
        <w:pPr>
          <w:ind w:left="2880" w:hanging="720"/>
        </w:pPr>
        <w:rPr>
          <w:rFonts w:ascii="Wingdings" w:hAnsi="Wingdings" w:hint="default"/>
        </w:rPr>
      </w:lvl>
    </w:lvlOverride>
  </w:num>
  <w:num w:numId="4" w16cid:durableId="1840536711">
    <w:abstractNumId w:val="19"/>
  </w:num>
  <w:num w:numId="5" w16cid:durableId="1207331872">
    <w:abstractNumId w:val="11"/>
  </w:num>
  <w:num w:numId="6" w16cid:durableId="630327389">
    <w:abstractNumId w:val="21"/>
  </w:num>
  <w:num w:numId="7" w16cid:durableId="1206940511">
    <w:abstractNumId w:val="27"/>
  </w:num>
  <w:num w:numId="8" w16cid:durableId="2145078479">
    <w:abstractNumId w:val="25"/>
  </w:num>
  <w:num w:numId="9" w16cid:durableId="997881492">
    <w:abstractNumId w:val="32"/>
  </w:num>
  <w:num w:numId="10" w16cid:durableId="925723827">
    <w:abstractNumId w:val="26"/>
  </w:num>
  <w:num w:numId="11" w16cid:durableId="1052384016">
    <w:abstractNumId w:val="5"/>
  </w:num>
  <w:num w:numId="12" w16cid:durableId="2111850627">
    <w:abstractNumId w:val="30"/>
  </w:num>
  <w:num w:numId="13" w16cid:durableId="484862375">
    <w:abstractNumId w:val="31"/>
  </w:num>
  <w:num w:numId="14" w16cid:durableId="1358048009">
    <w:abstractNumId w:val="14"/>
  </w:num>
  <w:num w:numId="15" w16cid:durableId="61829986">
    <w:abstractNumId w:val="6"/>
  </w:num>
  <w:num w:numId="16" w16cid:durableId="863440800">
    <w:abstractNumId w:val="17"/>
  </w:num>
  <w:num w:numId="17" w16cid:durableId="317462598">
    <w:abstractNumId w:val="10"/>
  </w:num>
  <w:num w:numId="18" w16cid:durableId="613052981">
    <w:abstractNumId w:val="34"/>
  </w:num>
  <w:num w:numId="19" w16cid:durableId="159350655">
    <w:abstractNumId w:val="35"/>
  </w:num>
  <w:num w:numId="20" w16cid:durableId="143737370">
    <w:abstractNumId w:val="16"/>
  </w:num>
  <w:num w:numId="21" w16cid:durableId="173736413">
    <w:abstractNumId w:val="20"/>
  </w:num>
  <w:num w:numId="22" w16cid:durableId="990518822">
    <w:abstractNumId w:val="15"/>
  </w:num>
  <w:num w:numId="23" w16cid:durableId="1925801152">
    <w:abstractNumId w:val="24"/>
  </w:num>
  <w:num w:numId="24" w16cid:durableId="978610758">
    <w:abstractNumId w:val="29"/>
  </w:num>
  <w:num w:numId="25" w16cid:durableId="650064501">
    <w:abstractNumId w:val="33"/>
  </w:num>
  <w:num w:numId="26" w16cid:durableId="362825800">
    <w:abstractNumId w:val="12"/>
  </w:num>
  <w:num w:numId="27" w16cid:durableId="1176307430">
    <w:abstractNumId w:val="18"/>
  </w:num>
  <w:num w:numId="28" w16cid:durableId="606545301">
    <w:abstractNumId w:val="22"/>
  </w:num>
  <w:num w:numId="29" w16cid:durableId="1289779978">
    <w:abstractNumId w:val="7"/>
  </w:num>
  <w:num w:numId="30" w16cid:durableId="674695337">
    <w:abstractNumId w:val="9"/>
  </w:num>
  <w:num w:numId="31" w16cid:durableId="619411535">
    <w:abstractNumId w:val="4"/>
  </w:num>
  <w:num w:numId="32" w16cid:durableId="2133354192">
    <w:abstractNumId w:val="28"/>
  </w:num>
  <w:num w:numId="33" w16cid:durableId="690421901">
    <w:abstractNumId w:val="13"/>
  </w:num>
  <w:num w:numId="34" w16cid:durableId="263463790">
    <w:abstractNumId w:val="23"/>
  </w:num>
  <w:num w:numId="35" w16cid:durableId="1273787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D"/>
    <w:rsid w:val="00010E75"/>
    <w:rsid w:val="00014828"/>
    <w:rsid w:val="00045444"/>
    <w:rsid w:val="00061D6E"/>
    <w:rsid w:val="00064903"/>
    <w:rsid w:val="00071BF6"/>
    <w:rsid w:val="00087133"/>
    <w:rsid w:val="00091611"/>
    <w:rsid w:val="000A2C9F"/>
    <w:rsid w:val="000A3983"/>
    <w:rsid w:val="000A5B94"/>
    <w:rsid w:val="000A7180"/>
    <w:rsid w:val="000B69BE"/>
    <w:rsid w:val="000C0FDD"/>
    <w:rsid w:val="000D0E38"/>
    <w:rsid w:val="000D2D3A"/>
    <w:rsid w:val="000D3CD2"/>
    <w:rsid w:val="000D7613"/>
    <w:rsid w:val="000E4A65"/>
    <w:rsid w:val="000E5C5E"/>
    <w:rsid w:val="000F4417"/>
    <w:rsid w:val="000F74DF"/>
    <w:rsid w:val="001007D5"/>
    <w:rsid w:val="001121E7"/>
    <w:rsid w:val="0012565D"/>
    <w:rsid w:val="00131F67"/>
    <w:rsid w:val="00137DF4"/>
    <w:rsid w:val="001477D3"/>
    <w:rsid w:val="001610DD"/>
    <w:rsid w:val="001612DA"/>
    <w:rsid w:val="00173D43"/>
    <w:rsid w:val="00195E4C"/>
    <w:rsid w:val="001A1C2F"/>
    <w:rsid w:val="001A4A08"/>
    <w:rsid w:val="001A500E"/>
    <w:rsid w:val="001B5D55"/>
    <w:rsid w:val="001B6C97"/>
    <w:rsid w:val="001B7A28"/>
    <w:rsid w:val="001C0906"/>
    <w:rsid w:val="001C270E"/>
    <w:rsid w:val="001C601D"/>
    <w:rsid w:val="001D18E9"/>
    <w:rsid w:val="001E01DB"/>
    <w:rsid w:val="001E178D"/>
    <w:rsid w:val="001E61C0"/>
    <w:rsid w:val="001E652F"/>
    <w:rsid w:val="001F09DF"/>
    <w:rsid w:val="002022D6"/>
    <w:rsid w:val="002071CF"/>
    <w:rsid w:val="00211987"/>
    <w:rsid w:val="002157E0"/>
    <w:rsid w:val="00227FC5"/>
    <w:rsid w:val="002362DC"/>
    <w:rsid w:val="0023796E"/>
    <w:rsid w:val="00242B8C"/>
    <w:rsid w:val="00244E05"/>
    <w:rsid w:val="00251A58"/>
    <w:rsid w:val="00251FA3"/>
    <w:rsid w:val="00252220"/>
    <w:rsid w:val="0025451A"/>
    <w:rsid w:val="00261476"/>
    <w:rsid w:val="00282EB9"/>
    <w:rsid w:val="002966BE"/>
    <w:rsid w:val="002A0F42"/>
    <w:rsid w:val="002A221F"/>
    <w:rsid w:val="002A59E0"/>
    <w:rsid w:val="002A6786"/>
    <w:rsid w:val="002B248F"/>
    <w:rsid w:val="002C1EA7"/>
    <w:rsid w:val="002D40FE"/>
    <w:rsid w:val="002D4342"/>
    <w:rsid w:val="002D6400"/>
    <w:rsid w:val="002E3BA5"/>
    <w:rsid w:val="002E6400"/>
    <w:rsid w:val="002F3CD7"/>
    <w:rsid w:val="002F3F72"/>
    <w:rsid w:val="002F4687"/>
    <w:rsid w:val="002F6EFF"/>
    <w:rsid w:val="002F7309"/>
    <w:rsid w:val="002F7CAE"/>
    <w:rsid w:val="003046A7"/>
    <w:rsid w:val="00324000"/>
    <w:rsid w:val="0032492F"/>
    <w:rsid w:val="00325424"/>
    <w:rsid w:val="00332FBF"/>
    <w:rsid w:val="00333471"/>
    <w:rsid w:val="0034191E"/>
    <w:rsid w:val="00342315"/>
    <w:rsid w:val="003426A3"/>
    <w:rsid w:val="00343088"/>
    <w:rsid w:val="0035045C"/>
    <w:rsid w:val="003546A8"/>
    <w:rsid w:val="00360D0B"/>
    <w:rsid w:val="003656D4"/>
    <w:rsid w:val="00366AEE"/>
    <w:rsid w:val="00393E28"/>
    <w:rsid w:val="00395990"/>
    <w:rsid w:val="00397813"/>
    <w:rsid w:val="003A0629"/>
    <w:rsid w:val="003C061D"/>
    <w:rsid w:val="003D6B6D"/>
    <w:rsid w:val="003E5DE5"/>
    <w:rsid w:val="003F22CE"/>
    <w:rsid w:val="003F7489"/>
    <w:rsid w:val="003F7A9D"/>
    <w:rsid w:val="00413935"/>
    <w:rsid w:val="0041465B"/>
    <w:rsid w:val="00433AE8"/>
    <w:rsid w:val="004570E9"/>
    <w:rsid w:val="004613C0"/>
    <w:rsid w:val="0048457D"/>
    <w:rsid w:val="00492521"/>
    <w:rsid w:val="004939AB"/>
    <w:rsid w:val="00495F62"/>
    <w:rsid w:val="004A4137"/>
    <w:rsid w:val="004A558B"/>
    <w:rsid w:val="004B3C9C"/>
    <w:rsid w:val="004B4C82"/>
    <w:rsid w:val="004D34CC"/>
    <w:rsid w:val="004D7BA1"/>
    <w:rsid w:val="004F069D"/>
    <w:rsid w:val="00505482"/>
    <w:rsid w:val="00507BF6"/>
    <w:rsid w:val="00511167"/>
    <w:rsid w:val="00511A9E"/>
    <w:rsid w:val="00525FA1"/>
    <w:rsid w:val="00527224"/>
    <w:rsid w:val="0053291B"/>
    <w:rsid w:val="005605C4"/>
    <w:rsid w:val="005607F8"/>
    <w:rsid w:val="00560B85"/>
    <w:rsid w:val="0058266B"/>
    <w:rsid w:val="00584209"/>
    <w:rsid w:val="00590D0A"/>
    <w:rsid w:val="005C630E"/>
    <w:rsid w:val="005D5F82"/>
    <w:rsid w:val="005E0BC8"/>
    <w:rsid w:val="005E232F"/>
    <w:rsid w:val="005F3621"/>
    <w:rsid w:val="005F51E9"/>
    <w:rsid w:val="005F6155"/>
    <w:rsid w:val="005F6F8E"/>
    <w:rsid w:val="006022BA"/>
    <w:rsid w:val="00607786"/>
    <w:rsid w:val="006078ED"/>
    <w:rsid w:val="00607D0F"/>
    <w:rsid w:val="00613C44"/>
    <w:rsid w:val="00614F6C"/>
    <w:rsid w:val="0062177C"/>
    <w:rsid w:val="006302D5"/>
    <w:rsid w:val="00633809"/>
    <w:rsid w:val="00653DDF"/>
    <w:rsid w:val="00654728"/>
    <w:rsid w:val="00660962"/>
    <w:rsid w:val="006659E8"/>
    <w:rsid w:val="006703D7"/>
    <w:rsid w:val="006718BE"/>
    <w:rsid w:val="0068214B"/>
    <w:rsid w:val="0069185D"/>
    <w:rsid w:val="00691915"/>
    <w:rsid w:val="006A1993"/>
    <w:rsid w:val="006A2545"/>
    <w:rsid w:val="006A4CB2"/>
    <w:rsid w:val="006A611E"/>
    <w:rsid w:val="006A72E3"/>
    <w:rsid w:val="006B45D8"/>
    <w:rsid w:val="006C13E2"/>
    <w:rsid w:val="006C1559"/>
    <w:rsid w:val="006C169A"/>
    <w:rsid w:val="006D0730"/>
    <w:rsid w:val="006E1C00"/>
    <w:rsid w:val="006E53D9"/>
    <w:rsid w:val="006E63B8"/>
    <w:rsid w:val="00700A4A"/>
    <w:rsid w:val="007027C1"/>
    <w:rsid w:val="0070718C"/>
    <w:rsid w:val="00707E21"/>
    <w:rsid w:val="007131B2"/>
    <w:rsid w:val="007152A3"/>
    <w:rsid w:val="0072387D"/>
    <w:rsid w:val="007240CC"/>
    <w:rsid w:val="007246BA"/>
    <w:rsid w:val="00732ACB"/>
    <w:rsid w:val="0073596F"/>
    <w:rsid w:val="00736429"/>
    <w:rsid w:val="0073667D"/>
    <w:rsid w:val="007505B1"/>
    <w:rsid w:val="007551A7"/>
    <w:rsid w:val="00760663"/>
    <w:rsid w:val="00763DC9"/>
    <w:rsid w:val="007665D5"/>
    <w:rsid w:val="00771C1A"/>
    <w:rsid w:val="0077768E"/>
    <w:rsid w:val="0078513A"/>
    <w:rsid w:val="0079127D"/>
    <w:rsid w:val="007952B4"/>
    <w:rsid w:val="007A2388"/>
    <w:rsid w:val="007B195D"/>
    <w:rsid w:val="007B4ED3"/>
    <w:rsid w:val="007B5661"/>
    <w:rsid w:val="007C091E"/>
    <w:rsid w:val="007D0B33"/>
    <w:rsid w:val="007D7BC7"/>
    <w:rsid w:val="007E4E9B"/>
    <w:rsid w:val="007E7147"/>
    <w:rsid w:val="007E774F"/>
    <w:rsid w:val="007F4AED"/>
    <w:rsid w:val="00806341"/>
    <w:rsid w:val="00807EB5"/>
    <w:rsid w:val="0081307B"/>
    <w:rsid w:val="008164D7"/>
    <w:rsid w:val="0082651E"/>
    <w:rsid w:val="00826D1D"/>
    <w:rsid w:val="0083307C"/>
    <w:rsid w:val="00836AEB"/>
    <w:rsid w:val="00837CF5"/>
    <w:rsid w:val="00840CD4"/>
    <w:rsid w:val="008455B1"/>
    <w:rsid w:val="008536D3"/>
    <w:rsid w:val="00861D2B"/>
    <w:rsid w:val="00866710"/>
    <w:rsid w:val="0086798D"/>
    <w:rsid w:val="008756A3"/>
    <w:rsid w:val="00882E68"/>
    <w:rsid w:val="00883063"/>
    <w:rsid w:val="00887364"/>
    <w:rsid w:val="00887E5D"/>
    <w:rsid w:val="00894029"/>
    <w:rsid w:val="008C5494"/>
    <w:rsid w:val="008C573B"/>
    <w:rsid w:val="008D0B79"/>
    <w:rsid w:val="008E49D0"/>
    <w:rsid w:val="008F04DD"/>
    <w:rsid w:val="008F3EE9"/>
    <w:rsid w:val="00900A2C"/>
    <w:rsid w:val="00913BA3"/>
    <w:rsid w:val="00915FBC"/>
    <w:rsid w:val="00925604"/>
    <w:rsid w:val="00925947"/>
    <w:rsid w:val="009323A5"/>
    <w:rsid w:val="00935045"/>
    <w:rsid w:val="00936E2D"/>
    <w:rsid w:val="009407AD"/>
    <w:rsid w:val="00946837"/>
    <w:rsid w:val="00951C40"/>
    <w:rsid w:val="00951E5B"/>
    <w:rsid w:val="00977A3A"/>
    <w:rsid w:val="0098751A"/>
    <w:rsid w:val="00996DDB"/>
    <w:rsid w:val="009A009C"/>
    <w:rsid w:val="009B3653"/>
    <w:rsid w:val="009B47AD"/>
    <w:rsid w:val="009B590A"/>
    <w:rsid w:val="009C36C8"/>
    <w:rsid w:val="009C5ED1"/>
    <w:rsid w:val="009C7143"/>
    <w:rsid w:val="009C77DD"/>
    <w:rsid w:val="009D1343"/>
    <w:rsid w:val="009D158C"/>
    <w:rsid w:val="009D4149"/>
    <w:rsid w:val="009E6283"/>
    <w:rsid w:val="009F7E56"/>
    <w:rsid w:val="00A00443"/>
    <w:rsid w:val="00A12CEC"/>
    <w:rsid w:val="00A21D33"/>
    <w:rsid w:val="00A25EA9"/>
    <w:rsid w:val="00A30D94"/>
    <w:rsid w:val="00A510DA"/>
    <w:rsid w:val="00A67F9D"/>
    <w:rsid w:val="00A7079D"/>
    <w:rsid w:val="00A740E3"/>
    <w:rsid w:val="00A75151"/>
    <w:rsid w:val="00A767CE"/>
    <w:rsid w:val="00A8224E"/>
    <w:rsid w:val="00A83804"/>
    <w:rsid w:val="00AA086D"/>
    <w:rsid w:val="00AB24AB"/>
    <w:rsid w:val="00AB3ED3"/>
    <w:rsid w:val="00AC2E90"/>
    <w:rsid w:val="00AC3A77"/>
    <w:rsid w:val="00AC40BA"/>
    <w:rsid w:val="00AC7685"/>
    <w:rsid w:val="00AD4121"/>
    <w:rsid w:val="00AD55D2"/>
    <w:rsid w:val="00AF2961"/>
    <w:rsid w:val="00AF42FB"/>
    <w:rsid w:val="00AF7EA6"/>
    <w:rsid w:val="00B12F46"/>
    <w:rsid w:val="00B15129"/>
    <w:rsid w:val="00B17733"/>
    <w:rsid w:val="00B1788F"/>
    <w:rsid w:val="00B25FEA"/>
    <w:rsid w:val="00B3006B"/>
    <w:rsid w:val="00B3072C"/>
    <w:rsid w:val="00B50738"/>
    <w:rsid w:val="00B54B59"/>
    <w:rsid w:val="00B61276"/>
    <w:rsid w:val="00B643B5"/>
    <w:rsid w:val="00B728CF"/>
    <w:rsid w:val="00B73F5A"/>
    <w:rsid w:val="00B90987"/>
    <w:rsid w:val="00B92A67"/>
    <w:rsid w:val="00BA4381"/>
    <w:rsid w:val="00BA4636"/>
    <w:rsid w:val="00BA4AA4"/>
    <w:rsid w:val="00BA7212"/>
    <w:rsid w:val="00BB210F"/>
    <w:rsid w:val="00BB6DA0"/>
    <w:rsid w:val="00BD164B"/>
    <w:rsid w:val="00C00090"/>
    <w:rsid w:val="00C04722"/>
    <w:rsid w:val="00C107DD"/>
    <w:rsid w:val="00C12A97"/>
    <w:rsid w:val="00C177D7"/>
    <w:rsid w:val="00C25154"/>
    <w:rsid w:val="00C36F97"/>
    <w:rsid w:val="00C4268F"/>
    <w:rsid w:val="00C45D57"/>
    <w:rsid w:val="00C6296D"/>
    <w:rsid w:val="00C634C0"/>
    <w:rsid w:val="00C66DBC"/>
    <w:rsid w:val="00C71152"/>
    <w:rsid w:val="00C73347"/>
    <w:rsid w:val="00C7509A"/>
    <w:rsid w:val="00C80DF1"/>
    <w:rsid w:val="00C81D18"/>
    <w:rsid w:val="00C83222"/>
    <w:rsid w:val="00C9154D"/>
    <w:rsid w:val="00C93674"/>
    <w:rsid w:val="00C97661"/>
    <w:rsid w:val="00CA3FBD"/>
    <w:rsid w:val="00CA5EEB"/>
    <w:rsid w:val="00CA7290"/>
    <w:rsid w:val="00CB6718"/>
    <w:rsid w:val="00CC3C69"/>
    <w:rsid w:val="00CC530B"/>
    <w:rsid w:val="00CC7F1A"/>
    <w:rsid w:val="00CD5FB1"/>
    <w:rsid w:val="00CE0D93"/>
    <w:rsid w:val="00D06218"/>
    <w:rsid w:val="00D14B3E"/>
    <w:rsid w:val="00D16765"/>
    <w:rsid w:val="00D21231"/>
    <w:rsid w:val="00D2492C"/>
    <w:rsid w:val="00D24E84"/>
    <w:rsid w:val="00D27AD2"/>
    <w:rsid w:val="00D3469D"/>
    <w:rsid w:val="00D3571D"/>
    <w:rsid w:val="00D41CE0"/>
    <w:rsid w:val="00D47F9C"/>
    <w:rsid w:val="00D55F3C"/>
    <w:rsid w:val="00D5603F"/>
    <w:rsid w:val="00D645EC"/>
    <w:rsid w:val="00D67EA5"/>
    <w:rsid w:val="00D71E22"/>
    <w:rsid w:val="00D87FF4"/>
    <w:rsid w:val="00D9329E"/>
    <w:rsid w:val="00DB7401"/>
    <w:rsid w:val="00DB748C"/>
    <w:rsid w:val="00DC121E"/>
    <w:rsid w:val="00DC4E47"/>
    <w:rsid w:val="00DD4F8A"/>
    <w:rsid w:val="00DD6FDC"/>
    <w:rsid w:val="00DD7812"/>
    <w:rsid w:val="00DD7FB8"/>
    <w:rsid w:val="00DE1E20"/>
    <w:rsid w:val="00DE4057"/>
    <w:rsid w:val="00DF6ABE"/>
    <w:rsid w:val="00DF7F34"/>
    <w:rsid w:val="00E01C68"/>
    <w:rsid w:val="00E04138"/>
    <w:rsid w:val="00E15823"/>
    <w:rsid w:val="00E207FC"/>
    <w:rsid w:val="00E22DE4"/>
    <w:rsid w:val="00E30ACA"/>
    <w:rsid w:val="00E34508"/>
    <w:rsid w:val="00E60946"/>
    <w:rsid w:val="00E64985"/>
    <w:rsid w:val="00E84C06"/>
    <w:rsid w:val="00E85463"/>
    <w:rsid w:val="00E85F29"/>
    <w:rsid w:val="00E93720"/>
    <w:rsid w:val="00EA0B16"/>
    <w:rsid w:val="00EB634F"/>
    <w:rsid w:val="00EC4DF7"/>
    <w:rsid w:val="00EC5E5C"/>
    <w:rsid w:val="00ED3575"/>
    <w:rsid w:val="00EE2CFB"/>
    <w:rsid w:val="00EE649C"/>
    <w:rsid w:val="00EE657E"/>
    <w:rsid w:val="00EF2140"/>
    <w:rsid w:val="00EF773E"/>
    <w:rsid w:val="00F02A8C"/>
    <w:rsid w:val="00F060C5"/>
    <w:rsid w:val="00F10433"/>
    <w:rsid w:val="00F11E69"/>
    <w:rsid w:val="00F33DDD"/>
    <w:rsid w:val="00F364B1"/>
    <w:rsid w:val="00F56F26"/>
    <w:rsid w:val="00F70026"/>
    <w:rsid w:val="00F74872"/>
    <w:rsid w:val="00F96456"/>
    <w:rsid w:val="00FA050A"/>
    <w:rsid w:val="00FA7B09"/>
    <w:rsid w:val="00FB2767"/>
    <w:rsid w:val="00FB4734"/>
    <w:rsid w:val="00FE2268"/>
    <w:rsid w:val="00FF7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FCDE5"/>
  <w15:docId w15:val="{D0DDEA1A-104B-4695-9012-8E4EEFAD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UnresolvedMention">
    <w:name w:val="Unresolved Mention"/>
    <w:basedOn w:val="DefaultParagraphFont"/>
    <w:uiPriority w:val="99"/>
    <w:semiHidden/>
    <w:unhideWhenUsed/>
    <w:rsid w:val="001B7A28"/>
    <w:rPr>
      <w:color w:val="605E5C"/>
      <w:shd w:val="clear" w:color="auto" w:fill="E1DFDD"/>
    </w:rPr>
  </w:style>
  <w:style w:type="character" w:styleId="CommentReference">
    <w:name w:val="annotation reference"/>
    <w:basedOn w:val="DefaultParagraphFont"/>
    <w:semiHidden/>
    <w:unhideWhenUsed/>
    <w:rsid w:val="004613C0"/>
    <w:rPr>
      <w:sz w:val="16"/>
      <w:szCs w:val="16"/>
    </w:rPr>
  </w:style>
  <w:style w:type="paragraph" w:styleId="CommentText">
    <w:name w:val="annotation text"/>
    <w:basedOn w:val="Normal"/>
    <w:link w:val="CommentTextChar"/>
    <w:unhideWhenUsed/>
    <w:rsid w:val="004613C0"/>
    <w:rPr>
      <w:sz w:val="20"/>
      <w:szCs w:val="20"/>
    </w:rPr>
  </w:style>
  <w:style w:type="character" w:customStyle="1" w:styleId="CommentTextChar">
    <w:name w:val="Comment Text Char"/>
    <w:basedOn w:val="DefaultParagraphFont"/>
    <w:link w:val="CommentText"/>
    <w:rsid w:val="004613C0"/>
  </w:style>
  <w:style w:type="paragraph" w:styleId="CommentSubject">
    <w:name w:val="annotation subject"/>
    <w:basedOn w:val="CommentText"/>
    <w:next w:val="CommentText"/>
    <w:link w:val="CommentSubjectChar"/>
    <w:semiHidden/>
    <w:unhideWhenUsed/>
    <w:rsid w:val="004613C0"/>
    <w:rPr>
      <w:b/>
      <w:bCs/>
    </w:rPr>
  </w:style>
  <w:style w:type="character" w:customStyle="1" w:styleId="CommentSubjectChar">
    <w:name w:val="Comment Subject Char"/>
    <w:basedOn w:val="CommentTextChar"/>
    <w:link w:val="CommentSubject"/>
    <w:semiHidden/>
    <w:rsid w:val="004613C0"/>
    <w:rPr>
      <w:b/>
      <w:bCs/>
    </w:rPr>
  </w:style>
  <w:style w:type="character" w:styleId="FollowedHyperlink">
    <w:name w:val="FollowedHyperlink"/>
    <w:basedOn w:val="DefaultParagraphFont"/>
    <w:semiHidden/>
    <w:unhideWhenUsed/>
    <w:rsid w:val="005E232F"/>
    <w:rPr>
      <w:color w:val="800080" w:themeColor="followedHyperlink"/>
      <w:u w:val="single"/>
    </w:rPr>
  </w:style>
  <w:style w:type="table" w:styleId="TableGrid">
    <w:name w:val="Table Grid"/>
    <w:basedOn w:val="TableNormal"/>
    <w:uiPriority w:val="39"/>
    <w:rsid w:val="00DD7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74DF"/>
    <w:rPr>
      <w:sz w:val="24"/>
      <w:szCs w:val="24"/>
    </w:rPr>
  </w:style>
  <w:style w:type="paragraph" w:customStyle="1" w:styleId="Default">
    <w:name w:val="Default"/>
    <w:rsid w:val="00653DDF"/>
    <w:pPr>
      <w:autoSpaceDE w:val="0"/>
      <w:autoSpaceDN w:val="0"/>
      <w:adjustRightInd w:val="0"/>
    </w:pPr>
    <w:rPr>
      <w:color w:val="000000"/>
      <w:sz w:val="24"/>
      <w:szCs w:val="24"/>
    </w:rPr>
  </w:style>
  <w:style w:type="paragraph" w:styleId="FootnoteText">
    <w:name w:val="footnote text"/>
    <w:basedOn w:val="Normal"/>
    <w:link w:val="FootnoteTextChar"/>
    <w:rsid w:val="002F4687"/>
    <w:pPr>
      <w:widowControl/>
      <w:autoSpaceDE/>
      <w:autoSpaceDN/>
      <w:adjustRightInd/>
    </w:pPr>
    <w:rPr>
      <w:sz w:val="20"/>
      <w:szCs w:val="20"/>
    </w:rPr>
  </w:style>
  <w:style w:type="character" w:customStyle="1" w:styleId="FootnoteTextChar">
    <w:name w:val="Footnote Text Char"/>
    <w:basedOn w:val="DefaultParagraphFont"/>
    <w:link w:val="FootnoteText"/>
    <w:rsid w:val="002F4687"/>
  </w:style>
  <w:style w:type="character" w:customStyle="1" w:styleId="s1">
    <w:name w:val="s1"/>
    <w:basedOn w:val="DefaultParagraphFont"/>
    <w:rsid w:val="00633809"/>
  </w:style>
  <w:style w:type="character" w:customStyle="1" w:styleId="s2">
    <w:name w:val="s2"/>
    <w:basedOn w:val="DefaultParagraphFont"/>
    <w:rsid w:val="0063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tel:979.676.299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44D8-DE02-4FA0-B80C-40ECFFCE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2982</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Havas, Laurel S. EOP/OMB</dc:creator>
  <cp:lastModifiedBy>Rogers, Dacia - TFAA-FAS, DC</cp:lastModifiedBy>
  <cp:revision>6</cp:revision>
  <dcterms:created xsi:type="dcterms:W3CDTF">2023-09-20T16:08:00Z</dcterms:created>
  <dcterms:modified xsi:type="dcterms:W3CDTF">2023-09-21T18:22:00Z</dcterms:modified>
</cp:coreProperties>
</file>