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14:paraId="469F0A08" w14:textId="77777777">
      <w:pPr>
        <w:pStyle w:val="Heading1"/>
        <w:ind w:left="0"/>
        <w:jc w:val="center"/>
      </w:pPr>
      <w:r>
        <w:t>SUPPORTING STATEMENT</w:t>
      </w:r>
    </w:p>
    <w:p w:rsidR="00D54824" w14:paraId="5E50C1A0" w14:textId="77777777">
      <w:pPr>
        <w:spacing w:before="22" w:line="259" w:lineRule="auto"/>
        <w:ind w:firstLine="14"/>
        <w:jc w:val="center"/>
        <w:rPr>
          <w:b/>
        </w:rPr>
      </w:pPr>
      <w:r>
        <w:rPr>
          <w:b/>
        </w:rPr>
        <w:t>U.S. Department of Commerce</w:t>
      </w:r>
    </w:p>
    <w:p w:rsidR="00D54824" w14:paraId="5B210678" w14:textId="77777777">
      <w:pPr>
        <w:spacing w:before="22" w:line="259" w:lineRule="auto"/>
        <w:ind w:firstLine="14"/>
        <w:jc w:val="center"/>
        <w:rPr>
          <w:b/>
        </w:rPr>
      </w:pPr>
      <w:r>
        <w:rPr>
          <w:b/>
        </w:rPr>
        <w:t>National Oceanic &amp; Atmospheric Administration</w:t>
      </w:r>
    </w:p>
    <w:p w:rsidR="00A362A3" w:rsidP="00A362A3" w14:paraId="1D02004A" w14:textId="777E1961">
      <w:pPr>
        <w:spacing w:line="259" w:lineRule="auto"/>
        <w:ind w:hanging="6"/>
        <w:jc w:val="center"/>
        <w:rPr>
          <w:b/>
        </w:rPr>
      </w:pPr>
      <w:r w:rsidRPr="00C30BCA">
        <w:rPr>
          <w:b/>
        </w:rPr>
        <w:t>Pacific Cod Trawl Cooperative Program</w:t>
      </w:r>
    </w:p>
    <w:p w:rsidR="00D54824" w:rsidP="00A362A3" w14:paraId="70D1D06D" w14:textId="749D88B2">
      <w:pPr>
        <w:spacing w:line="259" w:lineRule="auto"/>
        <w:ind w:hanging="6"/>
        <w:jc w:val="center"/>
        <w:rPr>
          <w:b/>
        </w:rPr>
      </w:pPr>
      <w:r>
        <w:rPr>
          <w:b/>
        </w:rPr>
        <w:t>OMB Control No. 0648-</w:t>
      </w:r>
      <w:r w:rsidR="008C7704">
        <w:rPr>
          <w:b/>
        </w:rPr>
        <w:t>0811</w:t>
      </w:r>
    </w:p>
    <w:p w:rsidR="00D4754B" w:rsidP="00E25936" w14:paraId="3805238D" w14:textId="525B790E">
      <w:pPr>
        <w:pStyle w:val="Heading1"/>
        <w:widowControl/>
        <w:spacing w:before="0"/>
        <w:ind w:left="0"/>
      </w:pPr>
    </w:p>
    <w:p w:rsidR="00D54824" w:rsidP="00E25936" w14:paraId="518CC509" w14:textId="4881D640">
      <w:pPr>
        <w:pStyle w:val="Heading1"/>
        <w:widowControl/>
        <w:spacing w:before="0"/>
        <w:ind w:left="0"/>
      </w:pPr>
      <w:r>
        <w:t>Abstract</w:t>
      </w:r>
    </w:p>
    <w:p w:rsidR="00A362A3" w:rsidRPr="00A362A3" w:rsidP="00E25936" w14:paraId="7C10A8D7" w14:textId="77777777">
      <w:pPr>
        <w:widowControl/>
        <w:rPr>
          <w:b/>
          <w:u w:val="single"/>
        </w:rPr>
      </w:pPr>
    </w:p>
    <w:p w:rsidR="005E54C3" w:rsidP="00E25936" w14:paraId="6912377C" w14:textId="36FF1A2D">
      <w:pPr>
        <w:widowControl/>
      </w:pPr>
      <w:r w:rsidRPr="00997CC3">
        <w:t xml:space="preserve">This is a resubmission, with the final rule, of a request by </w:t>
      </w:r>
      <w:r>
        <w:t>t</w:t>
      </w:r>
      <w:r w:rsidRPr="00F15FC3">
        <w:t xml:space="preserve">he </w:t>
      </w:r>
      <w:r w:rsidRPr="00F15FC3" w:rsidR="00F15FC3">
        <w:t xml:space="preserve">National Marine Fisheries Service (NMFS), Alaska Regional Office, </w:t>
      </w:r>
      <w:r>
        <w:t>for</w:t>
      </w:r>
      <w:r w:rsidRPr="00F15FC3">
        <w:t xml:space="preserve"> </w:t>
      </w:r>
      <w:r w:rsidRPr="00F15FC3" w:rsidR="00F15FC3">
        <w:t xml:space="preserve">a new </w:t>
      </w:r>
      <w:r w:rsidR="00F15FC3">
        <w:t xml:space="preserve">collection for </w:t>
      </w:r>
      <w:r w:rsidR="00701369">
        <w:t>a new program—</w:t>
      </w:r>
      <w:r>
        <w:t>the</w:t>
      </w:r>
      <w:r w:rsidR="00F15FC3">
        <w:t xml:space="preserve"> Pacific Cod Trawl Cooperative Program (PCTC Program). </w:t>
      </w:r>
      <w:r w:rsidRPr="00F15FC3" w:rsidR="00F15FC3">
        <w:t xml:space="preserve">This request is due to a </w:t>
      </w:r>
      <w:r>
        <w:t>final</w:t>
      </w:r>
      <w:r w:rsidRPr="00F15FC3">
        <w:t xml:space="preserve"> </w:t>
      </w:r>
      <w:r w:rsidRPr="00F15FC3" w:rsidR="00F15FC3">
        <w:t>rule to implement Amendment 122 to the Fishery Management Plan for Groundfish of the Bering Sea and Aleutian Islands Management Area, which establish</w:t>
      </w:r>
      <w:r>
        <w:t>es</w:t>
      </w:r>
      <w:r w:rsidRPr="00F15FC3" w:rsidR="00F15FC3">
        <w:t xml:space="preserve"> </w:t>
      </w:r>
      <w:r w:rsidR="00F15FC3">
        <w:t>the PCTC Program</w:t>
      </w:r>
      <w:r w:rsidRPr="00F15FC3" w:rsidR="00F15FC3">
        <w:t xml:space="preserve"> </w:t>
      </w:r>
      <w:r>
        <w:t xml:space="preserve">to allocate Pacific cod harvest quota to qualifying groundfish License Limitation Program license holders and qualifying processors </w:t>
      </w:r>
      <w:r w:rsidRPr="005E54C3">
        <w:t>(RIN 0648-BL08</w:t>
      </w:r>
      <w:r>
        <w:t xml:space="preserve">). </w:t>
      </w:r>
    </w:p>
    <w:p w:rsidR="005E54C3" w:rsidP="00E25936" w14:paraId="05C420AA" w14:textId="77777777">
      <w:pPr>
        <w:widowControl/>
      </w:pPr>
    </w:p>
    <w:p w:rsidR="00A362A3" w:rsidP="00E25936" w14:paraId="3B3A47BE" w14:textId="23F75166">
      <w:pPr>
        <w:widowControl/>
      </w:pPr>
      <w:r>
        <w:t xml:space="preserve">The PCTC Program </w:t>
      </w:r>
      <w:r w:rsidR="00997CC3">
        <w:t>is</w:t>
      </w:r>
      <w:r>
        <w:t xml:space="preserve"> a limited access privilege program for the harvest of Pacific cod in the Bering Sea and Aleutian Islands trawl catcher vessel sector. This </w:t>
      </w:r>
      <w:r w:rsidR="002C31DE">
        <w:t xml:space="preserve">program </w:t>
      </w:r>
      <w:r>
        <w:t>is necessary to increase the value of the fishery, minimize bycatch to the extent pract</w:t>
      </w:r>
      <w:r>
        <w:t xml:space="preserve">icable, provide for the sustained participation of fishery-dependent communities, ensure the sustainability and viability of the resource, and promote safety and stability in the harvesting and processing sectors. </w:t>
      </w:r>
    </w:p>
    <w:p w:rsidR="005E54C3" w:rsidP="00E25936" w14:paraId="418E43EC" w14:textId="64F69D8E">
      <w:pPr>
        <w:widowControl/>
      </w:pPr>
    </w:p>
    <w:p w:rsidR="005E54C3" w:rsidP="00E25936" w14:paraId="64073E6E" w14:textId="08E754A6">
      <w:pPr>
        <w:widowControl/>
      </w:pPr>
      <w:r w:rsidRPr="005D38F5">
        <w:t>This information collection contain</w:t>
      </w:r>
      <w:r w:rsidR="000D5A8D">
        <w:t>s</w:t>
      </w:r>
      <w:r w:rsidRPr="005D38F5">
        <w:t xml:space="preserve"> </w:t>
      </w:r>
      <w:r w:rsidRPr="005D38F5" w:rsidR="001F537C">
        <w:t xml:space="preserve">the </w:t>
      </w:r>
      <w:r w:rsidRPr="005D38F5" w:rsidR="005D38F5">
        <w:t xml:space="preserve">collection instruments necessary </w:t>
      </w:r>
      <w:r w:rsidR="002000A9">
        <w:t xml:space="preserve">for NMFS </w:t>
      </w:r>
      <w:r w:rsidRPr="005D38F5" w:rsidR="005D38F5">
        <w:t>to implement the PCTC Program and manage cooperative quota and quota share in this fishery</w:t>
      </w:r>
      <w:r w:rsidRPr="005D38F5" w:rsidR="001F537C">
        <w:t xml:space="preserve">. </w:t>
      </w:r>
    </w:p>
    <w:p w:rsidR="005E54C3" w:rsidP="00E25936" w14:paraId="475737D1" w14:textId="77777777">
      <w:pPr>
        <w:widowControl/>
      </w:pPr>
    </w:p>
    <w:p w:rsidR="005E54C3" w:rsidP="00E25936" w14:paraId="4ECB1C9D" w14:textId="55C77DFB">
      <w:pPr>
        <w:widowControl/>
      </w:pPr>
      <w:r w:rsidRPr="005E54C3">
        <w:t xml:space="preserve">This rule also affects information collection requirements approved under OMB Control Numbers 0648-0213, -0318, -0334, </w:t>
      </w:r>
      <w:r>
        <w:t xml:space="preserve">0515, </w:t>
      </w:r>
      <w:r w:rsidRPr="005E54C3">
        <w:t>-0678, and -0711. NMFS is submitting separate requests for these collections.</w:t>
      </w:r>
    </w:p>
    <w:p w:rsidR="005E54C3" w:rsidP="00E25936" w14:paraId="15F12AC1" w14:textId="7F2E6D47">
      <w:pPr>
        <w:widowControl/>
      </w:pPr>
    </w:p>
    <w:p w:rsidR="00EC22BF" w:rsidP="00EC22BF" w14:paraId="742BBB13" w14:textId="77777777">
      <w:pPr>
        <w:widowControl/>
      </w:pPr>
      <w:r>
        <w:t>Changes were made to this collection from the proposed rule to the final rule. A change was made to the information collected on two of the forms. Minor editorial changes were made to all of the forms to improve clarity and the description of information that is submitted. In response to comments received during the proposed rule, the submission deadline for the inter-cooperative agreement was changed for 2023.</w:t>
      </w:r>
    </w:p>
    <w:p w:rsidR="00464365" w:rsidRPr="00F15FC3" w:rsidP="00E25936" w14:paraId="7B6009D8" w14:textId="77777777">
      <w:pPr>
        <w:widowControl/>
      </w:pPr>
    </w:p>
    <w:p w:rsidR="00D54824" w:rsidP="00E25936" w14:paraId="45DF243B" w14:textId="77777777">
      <w:pPr>
        <w:pStyle w:val="Heading1"/>
        <w:widowControl/>
        <w:spacing w:before="0"/>
        <w:ind w:left="0"/>
      </w:pPr>
      <w:r>
        <w:t>Justification</w:t>
      </w:r>
    </w:p>
    <w:p w:rsidR="00D54824" w:rsidP="00E25936" w14:paraId="1C7DCDF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the circumstances </w:t>
      </w:r>
      <w:r>
        <w:rPr>
          <w:b/>
          <w:color w:val="000000"/>
        </w:rPr>
        <w:t>that make the collection of information necessary. Identify any legal or administrative requirements that necessitate the collection. Attach a copy of the appropriate section of each statute and regulation mandating or authorizing the collection of informa</w:t>
      </w:r>
      <w:r>
        <w:rPr>
          <w:b/>
          <w:color w:val="000000"/>
        </w:rPr>
        <w:t>tion.</w:t>
      </w:r>
    </w:p>
    <w:p w:rsidR="00A362A3" w:rsidRPr="00A362A3" w:rsidP="00E25936" w14:paraId="145B1A28" w14:textId="77777777">
      <w:pPr>
        <w:widowControl/>
        <w:pBdr>
          <w:top w:val="nil"/>
          <w:left w:val="nil"/>
          <w:bottom w:val="nil"/>
          <w:right w:val="nil"/>
          <w:between w:val="nil"/>
        </w:pBdr>
        <w:rPr>
          <w:b/>
          <w:u w:val="single"/>
        </w:rPr>
      </w:pPr>
    </w:p>
    <w:p w:rsidR="004D36C8" w:rsidRPr="004D36C8" w:rsidP="00E25936" w14:paraId="5FE2E94B" w14:textId="77777777">
      <w:pPr>
        <w:widowControl/>
        <w:autoSpaceDE w:val="0"/>
        <w:autoSpaceDN w:val="0"/>
        <w:rPr>
          <w:rFonts w:eastAsiaTheme="minorHAnsi" w:cstheme="minorBidi"/>
        </w:rPr>
      </w:pPr>
      <w:r w:rsidRPr="004D36C8">
        <w:rPr>
          <w:rFonts w:eastAsiaTheme="minorHAnsi" w:cstheme="minorBidi"/>
        </w:rPr>
        <w:t>NMFS manages the groundfish fisheries in the Exclusive Economic Zone off the coast of Alaska under the Fishery Management Plan for Groundfish of the Bering Sea and Aleutian Islands Management Area, the Fishery Management Plan for Groundfish of the G</w:t>
      </w:r>
      <w:r w:rsidRPr="004D36C8">
        <w:rPr>
          <w:rFonts w:eastAsiaTheme="minorHAnsi" w:cstheme="minorBidi"/>
        </w:rPr>
        <w:t xml:space="preserve">ulf of Alaska (GOA FMP), and the </w:t>
      </w:r>
      <w:hyperlink r:id="rId6" w:history="1">
        <w:r w:rsidRPr="004D36C8">
          <w:rPr>
            <w:rFonts w:eastAsia="Calibri"/>
            <w:color w:val="0000FF"/>
            <w:u w:val="single"/>
          </w:rPr>
          <w:t>Northern Pacific Halibut Act of 1982, 16 U.S.C. 773c</w:t>
        </w:r>
      </w:hyperlink>
      <w:r w:rsidRPr="004D36C8">
        <w:rPr>
          <w:rFonts w:eastAsiaTheme="minorHAnsi" w:cstheme="minorBidi"/>
        </w:rPr>
        <w:t xml:space="preserve">. The fishery management plans were prepared by the North Pacific Fishery Management Council (Council). The </w:t>
      </w:r>
      <w:hyperlink r:id="rId7" w:history="1">
        <w:r w:rsidRPr="004D36C8">
          <w:rPr>
            <w:rFonts w:eastAsiaTheme="minorHAnsi" w:cstheme="minorBidi"/>
            <w:color w:val="0000FF"/>
            <w:u w:val="single"/>
          </w:rPr>
          <w:t>Magnuson-Stevens Fishery Conservation and Management Act</w:t>
        </w:r>
      </w:hyperlink>
      <w:r w:rsidRPr="004D36C8">
        <w:rPr>
          <w:rFonts w:eastAsiaTheme="minorHAnsi" w:cstheme="minorBidi"/>
        </w:rPr>
        <w:t xml:space="preserve">, 16 U.S.C. 1801 </w:t>
      </w:r>
      <w:r w:rsidRPr="004D36C8">
        <w:rPr>
          <w:rFonts w:eastAsiaTheme="minorHAnsi" w:cstheme="minorBidi"/>
          <w:i/>
        </w:rPr>
        <w:t>et seq</w:t>
      </w:r>
      <w:r w:rsidRPr="004D36C8">
        <w:rPr>
          <w:rFonts w:eastAsiaTheme="minorHAnsi" w:cstheme="minorBidi"/>
        </w:rPr>
        <w:t>. (Magnuson-Stevens Act) authorizes the Council to prepare and amend fishery management plans for</w:t>
      </w:r>
      <w:r w:rsidRPr="004D36C8">
        <w:rPr>
          <w:rFonts w:eastAsiaTheme="minorHAnsi" w:cstheme="minorBidi"/>
        </w:rPr>
        <w:t xml:space="preserve"> any fishery in waters under its jurisdiction.</w:t>
      </w:r>
    </w:p>
    <w:p w:rsidR="00A362A3" w:rsidP="00E25936" w14:paraId="5A031DA6" w14:textId="32646468">
      <w:pPr>
        <w:widowControl/>
        <w:pBdr>
          <w:top w:val="nil"/>
          <w:left w:val="nil"/>
          <w:bottom w:val="nil"/>
          <w:right w:val="nil"/>
          <w:between w:val="nil"/>
        </w:pBdr>
        <w:rPr>
          <w:u w:val="single"/>
        </w:rPr>
      </w:pPr>
    </w:p>
    <w:p w:rsidR="002C31DE" w:rsidP="00E25936" w14:paraId="075F5AD3" w14:textId="65E1797A">
      <w:pPr>
        <w:widowControl/>
      </w:pPr>
      <w:r>
        <w:t xml:space="preserve">This is a new </w:t>
      </w:r>
      <w:r w:rsidR="002000A9">
        <w:t xml:space="preserve">information </w:t>
      </w:r>
      <w:r>
        <w:t xml:space="preserve">collection </w:t>
      </w:r>
      <w:r w:rsidR="002000A9">
        <w:t>that is</w:t>
      </w:r>
      <w:r>
        <w:t xml:space="preserve"> necessary due to </w:t>
      </w:r>
      <w:r w:rsidR="002000A9">
        <w:t>a</w:t>
      </w:r>
      <w:r>
        <w:t xml:space="preserve"> </w:t>
      </w:r>
      <w:r w:rsidR="00997CC3">
        <w:t xml:space="preserve">final </w:t>
      </w:r>
      <w:r>
        <w:t xml:space="preserve">rule that </w:t>
      </w:r>
      <w:r w:rsidRPr="004D36C8" w:rsidR="004D36C8">
        <w:t>implement</w:t>
      </w:r>
      <w:r w:rsidR="00997CC3">
        <w:t>s</w:t>
      </w:r>
      <w:r w:rsidRPr="004D36C8" w:rsidR="004D36C8">
        <w:t xml:space="preserve"> Amendment 122 to the Fishery Management Plan for Groundfish of the Bering Sea and Aleutian Islands Management Area</w:t>
      </w:r>
      <w:r>
        <w:t xml:space="preserve"> </w:t>
      </w:r>
      <w:r w:rsidRPr="004D36C8" w:rsidR="002000A9">
        <w:t>(RIN 0648-BL08)</w:t>
      </w:r>
      <w:r w:rsidR="00D43E8D">
        <w:t>. Amendment 122</w:t>
      </w:r>
      <w:r w:rsidRPr="004D36C8" w:rsidR="004D36C8">
        <w:t xml:space="preserve"> establish</w:t>
      </w:r>
      <w:r w:rsidR="00997CC3">
        <w:t>es</w:t>
      </w:r>
      <w:r w:rsidRPr="004D36C8" w:rsidR="004D36C8">
        <w:t xml:space="preserve"> a new limited access privilege program, the Pacific Cod Trawl Cooperative Program (PCTC Program)</w:t>
      </w:r>
      <w:r w:rsidR="00D43E8D">
        <w:t xml:space="preserve">, </w:t>
      </w:r>
      <w:r w:rsidRPr="004D36C8" w:rsidR="00D43E8D">
        <w:t>for the harvest of Pacific cod in the BSAI trawl catcher vessel sector.</w:t>
      </w:r>
      <w:r w:rsidR="00D43E8D">
        <w:t xml:space="preserve"> </w:t>
      </w:r>
      <w:r w:rsidR="00CF736E">
        <w:t>The rule add</w:t>
      </w:r>
      <w:r w:rsidR="00997CC3">
        <w:t>s</w:t>
      </w:r>
      <w:r w:rsidR="00CF736E">
        <w:t xml:space="preserve"> subpart L to 50 CFR 679,</w:t>
      </w:r>
      <w:r w:rsidRPr="00CF736E" w:rsidR="00CF736E">
        <w:t xml:space="preserve"> consisting of §§ 679.130 through 679.135</w:t>
      </w:r>
      <w:r w:rsidR="00CF736E">
        <w:t>, for the PCTC Program regulatory requirements.</w:t>
      </w:r>
    </w:p>
    <w:p w:rsidR="002C31DE" w:rsidP="00E25936" w14:paraId="3BD3CC09" w14:textId="77777777">
      <w:pPr>
        <w:widowControl/>
      </w:pPr>
    </w:p>
    <w:p w:rsidR="004D36C8" w:rsidRPr="004D36C8" w:rsidP="00E25936" w14:paraId="2225E66E" w14:textId="4CC0C8F0">
      <w:pPr>
        <w:widowControl/>
      </w:pPr>
      <w:r w:rsidRPr="004D36C8">
        <w:t>The PCTC Program allocate</w:t>
      </w:r>
      <w:r w:rsidR="00997CC3">
        <w:t>s</w:t>
      </w:r>
      <w:r w:rsidRPr="004D36C8">
        <w:t xml:space="preserve"> Pacific cod harvest quota to qualifying </w:t>
      </w:r>
      <w:r w:rsidRPr="00DB3E99">
        <w:t xml:space="preserve">groundfish License Limitation Program </w:t>
      </w:r>
      <w:r w:rsidRPr="00DB3E99" w:rsidR="00DB3E99">
        <w:t xml:space="preserve">(LLP) </w:t>
      </w:r>
      <w:r w:rsidRPr="00DB3E99">
        <w:t xml:space="preserve">license holders and qualifying processors. </w:t>
      </w:r>
      <w:r w:rsidRPr="00DB3E99" w:rsidR="00D43E8D">
        <w:t>T</w:t>
      </w:r>
      <w:r w:rsidRPr="00DB3E99">
        <w:t xml:space="preserve">his </w:t>
      </w:r>
      <w:r w:rsidR="002C31DE">
        <w:t>program</w:t>
      </w:r>
      <w:r w:rsidRPr="00DB3E99" w:rsidR="002C31DE">
        <w:t xml:space="preserve"> </w:t>
      </w:r>
      <w:r w:rsidRPr="00DB3E99">
        <w:t>is n</w:t>
      </w:r>
      <w:r w:rsidRPr="00DB3E99">
        <w:t>ecessary to increase the value of the fishery, minimize bycatch to the extent practicable, provide for the sustained participation of fishery-dependent communities, ensure the sustainability and viability of the resource, and promote safety in the harvesti</w:t>
      </w:r>
      <w:r w:rsidRPr="00DB3E99">
        <w:t>ng and processing sectors.</w:t>
      </w:r>
      <w:r w:rsidRPr="002C31DE" w:rsidR="002C31DE">
        <w:t xml:space="preserve"> The PCTC Program </w:t>
      </w:r>
      <w:r w:rsidR="00997CC3">
        <w:t>includes</w:t>
      </w:r>
      <w:r w:rsidRPr="002C31DE" w:rsidR="00997CC3">
        <w:t xml:space="preserve"> </w:t>
      </w:r>
      <w:r w:rsidRPr="002C31DE" w:rsidR="002C31DE">
        <w:t xml:space="preserve">a complex suite of measures to ensure the goals of the Program are met and improve fishery conditions for all participants. The </w:t>
      </w:r>
      <w:r w:rsidR="00E025DF">
        <w:t xml:space="preserve">PCTC </w:t>
      </w:r>
      <w:r w:rsidRPr="002C31DE" w:rsidR="002C31DE">
        <w:t>Program require</w:t>
      </w:r>
      <w:r w:rsidR="00997CC3">
        <w:t>s</w:t>
      </w:r>
      <w:r w:rsidRPr="002C31DE" w:rsidR="002C31DE">
        <w:t xml:space="preserve"> participants holding </w:t>
      </w:r>
      <w:r w:rsidR="00184609">
        <w:t>quota share (</w:t>
      </w:r>
      <w:r w:rsidRPr="002C31DE" w:rsidR="002C31DE">
        <w:t>QS</w:t>
      </w:r>
      <w:r w:rsidR="00184609">
        <w:t>)</w:t>
      </w:r>
      <w:r w:rsidRPr="002C31DE" w:rsidR="002C31DE">
        <w:t xml:space="preserve"> to form harvesting cooperatives in association with an eligible processor to harvest the annual harvest privilege of Pacific cod.</w:t>
      </w:r>
      <w:r w:rsidRPr="00E025DF" w:rsidR="00E025DF">
        <w:rPr>
          <w:rFonts w:eastAsiaTheme="minorEastAsia" w:cstheme="minorBidi"/>
          <w:szCs w:val="22"/>
        </w:rPr>
        <w:t xml:space="preserve"> </w:t>
      </w:r>
      <w:r w:rsidR="00A1689C">
        <w:rPr>
          <w:rFonts w:eastAsiaTheme="minorEastAsia" w:cstheme="minorBidi"/>
          <w:szCs w:val="22"/>
        </w:rPr>
        <w:t xml:space="preserve">NMFS </w:t>
      </w:r>
      <w:r w:rsidR="00997CC3">
        <w:rPr>
          <w:rFonts w:eastAsiaTheme="minorEastAsia" w:cstheme="minorBidi"/>
          <w:szCs w:val="22"/>
        </w:rPr>
        <w:t xml:space="preserve">will </w:t>
      </w:r>
      <w:r w:rsidR="00A1689C">
        <w:rPr>
          <w:rFonts w:eastAsiaTheme="minorEastAsia" w:cstheme="minorBidi"/>
          <w:szCs w:val="22"/>
        </w:rPr>
        <w:t>issue c</w:t>
      </w:r>
      <w:r w:rsidR="00E025DF">
        <w:rPr>
          <w:rFonts w:eastAsiaTheme="minorEastAsia" w:cstheme="minorBidi"/>
          <w:szCs w:val="22"/>
        </w:rPr>
        <w:t>ooperative quota (</w:t>
      </w:r>
      <w:r w:rsidRPr="00E025DF" w:rsidR="00E025DF">
        <w:rPr>
          <w:rFonts w:eastAsiaTheme="minorEastAsia" w:cstheme="minorBidi"/>
          <w:szCs w:val="22"/>
        </w:rPr>
        <w:t>CQ</w:t>
      </w:r>
      <w:r w:rsidR="00E025DF">
        <w:rPr>
          <w:rFonts w:eastAsiaTheme="minorEastAsia" w:cstheme="minorBidi"/>
          <w:szCs w:val="22"/>
        </w:rPr>
        <w:t>)</w:t>
      </w:r>
      <w:r w:rsidRPr="00E025DF" w:rsidR="00E025DF">
        <w:rPr>
          <w:rFonts w:eastAsiaTheme="minorEastAsia" w:cstheme="minorBidi"/>
          <w:szCs w:val="22"/>
        </w:rPr>
        <w:t xml:space="preserve"> </w:t>
      </w:r>
      <w:r w:rsidR="00A1689C">
        <w:rPr>
          <w:rFonts w:eastAsiaTheme="minorEastAsia" w:cstheme="minorBidi"/>
          <w:szCs w:val="22"/>
        </w:rPr>
        <w:t>to each cooperative</w:t>
      </w:r>
      <w:r w:rsidRPr="00E025DF" w:rsidR="00E025DF">
        <w:rPr>
          <w:rFonts w:eastAsiaTheme="minorEastAsia" w:cstheme="minorBidi"/>
          <w:szCs w:val="22"/>
        </w:rPr>
        <w:t xml:space="preserve"> based on the aggregate QS of the cooperative members and associated processors. </w:t>
      </w:r>
      <w:r w:rsidRPr="00E025DF" w:rsidR="00E025DF">
        <w:t>Th</w:t>
      </w:r>
      <w:r w:rsidR="00E025DF">
        <w:t>e PCTC</w:t>
      </w:r>
      <w:r w:rsidRPr="00E025DF" w:rsidR="00E025DF">
        <w:t xml:space="preserve"> Program also require</w:t>
      </w:r>
      <w:r w:rsidR="00997CC3">
        <w:t>s</w:t>
      </w:r>
      <w:r w:rsidRPr="00E025DF" w:rsidR="00E025DF">
        <w:t xml:space="preserve"> cooperatives to set-aside a portion of their </w:t>
      </w:r>
      <w:r w:rsidR="00E025DF">
        <w:t xml:space="preserve">CQ </w:t>
      </w:r>
      <w:r w:rsidRPr="00E025DF" w:rsidR="00E025DF">
        <w:t>allocation for delivery to an Aleutian Island shoreplant.</w:t>
      </w:r>
    </w:p>
    <w:p w:rsidR="004D36C8" w:rsidRPr="004D36C8" w:rsidP="00E25936" w14:paraId="506CAABE" w14:textId="09D4D5C9">
      <w:pPr>
        <w:widowControl/>
        <w:pBdr>
          <w:top w:val="nil"/>
          <w:left w:val="nil"/>
          <w:bottom w:val="nil"/>
          <w:right w:val="nil"/>
          <w:between w:val="nil"/>
        </w:pBdr>
      </w:pPr>
    </w:p>
    <w:p w:rsidR="00DB3E99" w:rsidP="00E25936" w14:paraId="49B53C53" w14:textId="1DF4EA60">
      <w:pPr>
        <w:widowControl/>
        <w:pBdr>
          <w:top w:val="nil"/>
          <w:left w:val="nil"/>
          <w:bottom w:val="nil"/>
          <w:right w:val="nil"/>
          <w:between w:val="nil"/>
        </w:pBdr>
      </w:pPr>
      <w:r w:rsidRPr="002000A9">
        <w:t xml:space="preserve">This </w:t>
      </w:r>
      <w:r>
        <w:t xml:space="preserve">new </w:t>
      </w:r>
      <w:r w:rsidRPr="002000A9">
        <w:t>information collection contain</w:t>
      </w:r>
      <w:r>
        <w:t>s</w:t>
      </w:r>
      <w:r w:rsidRPr="002000A9">
        <w:t xml:space="preserve"> the collection instruments necessary </w:t>
      </w:r>
      <w:r>
        <w:t xml:space="preserve">for NMFS </w:t>
      </w:r>
      <w:r w:rsidRPr="002000A9">
        <w:t>to implement the PCTC Program and</w:t>
      </w:r>
      <w:r w:rsidRPr="002000A9">
        <w:t xml:space="preserve"> manage </w:t>
      </w:r>
      <w:r w:rsidR="00184609">
        <w:t xml:space="preserve">QS and </w:t>
      </w:r>
      <w:r>
        <w:t>CQ</w:t>
      </w:r>
      <w:r w:rsidRPr="002000A9">
        <w:t xml:space="preserve"> in this fishery.</w:t>
      </w:r>
    </w:p>
    <w:p w:rsidR="004D36C8" w:rsidRPr="004D36C8" w:rsidP="00E25936" w14:paraId="19C12C28" w14:textId="23F11371">
      <w:pPr>
        <w:widowControl/>
        <w:pBdr>
          <w:top w:val="nil"/>
          <w:left w:val="nil"/>
          <w:bottom w:val="nil"/>
          <w:right w:val="nil"/>
          <w:between w:val="nil"/>
        </w:pBdr>
      </w:pPr>
    </w:p>
    <w:p w:rsidR="004D36C8" w:rsidRPr="004D36C8" w:rsidP="00E25936" w14:paraId="7283A6BF" w14:textId="31B0AC18">
      <w:pPr>
        <w:widowControl/>
        <w:pBdr>
          <w:top w:val="nil"/>
          <w:left w:val="nil"/>
          <w:bottom w:val="nil"/>
          <w:right w:val="nil"/>
          <w:between w:val="nil"/>
        </w:pBdr>
      </w:pPr>
      <w:r w:rsidRPr="004D36C8">
        <w:t xml:space="preserve">This rule also affects information collection requirements approved under OMB Control Numbers </w:t>
      </w:r>
      <w:r>
        <w:t>-0213 (</w:t>
      </w:r>
      <w:r w:rsidRPr="004D36C8">
        <w:t>Alaska Region Logbook and Activity Family of Forms</w:t>
      </w:r>
      <w:r>
        <w:t xml:space="preserve">); </w:t>
      </w:r>
      <w:r w:rsidRPr="004D36C8">
        <w:t>-0318 (North Pacific Observer Program); -0334 (Alaska License Limi</w:t>
      </w:r>
      <w:r w:rsidRPr="004D36C8">
        <w:t xml:space="preserve">tation Program for Groundfish, Crab, and Scallops); -0515 (Alaska Interagency Electronic Reporting System); -0678 (North Pacific Fishery Management Council Cooperative Annual Reports); </w:t>
      </w:r>
      <w:r>
        <w:t xml:space="preserve">and </w:t>
      </w:r>
      <w:r w:rsidRPr="004D36C8">
        <w:t>-0711 (Alaska C</w:t>
      </w:r>
      <w:r>
        <w:t>ost Recovery and Fee Programs)</w:t>
      </w:r>
      <w:r w:rsidRPr="004D36C8">
        <w:t>. Concurrent with this</w:t>
      </w:r>
      <w:r w:rsidRPr="004D36C8">
        <w:t xml:space="preserve"> request </w:t>
      </w:r>
      <w:r>
        <w:t>for a new OMB control number</w:t>
      </w:r>
      <w:r w:rsidRPr="004D36C8">
        <w:t>, NMFS is submitting separate requests for these collections.</w:t>
      </w:r>
    </w:p>
    <w:p w:rsidR="004D36C8" w:rsidP="00E25936" w14:paraId="4C95E1BB" w14:textId="098ECD5B">
      <w:pPr>
        <w:widowControl/>
        <w:pBdr>
          <w:top w:val="nil"/>
          <w:left w:val="nil"/>
          <w:bottom w:val="nil"/>
          <w:right w:val="nil"/>
          <w:between w:val="nil"/>
        </w:pBdr>
      </w:pPr>
    </w:p>
    <w:p w:rsidR="00272B44" w:rsidRPr="005657C6" w:rsidP="00E25936" w14:paraId="4668E437" w14:textId="504CC51A">
      <w:pPr>
        <w:widowControl/>
        <w:pBdr>
          <w:top w:val="nil"/>
          <w:left w:val="nil"/>
          <w:bottom w:val="nil"/>
          <w:right w:val="nil"/>
          <w:between w:val="nil"/>
        </w:pBdr>
        <w:rPr>
          <w:b/>
          <w:color w:val="C00000"/>
        </w:rPr>
      </w:pPr>
      <w:r w:rsidRPr="005657C6">
        <w:rPr>
          <w:b/>
          <w:color w:val="C00000"/>
        </w:rPr>
        <w:t>Change</w:t>
      </w:r>
      <w:r w:rsidRPr="005657C6" w:rsidR="000F7965">
        <w:rPr>
          <w:b/>
          <w:color w:val="C00000"/>
        </w:rPr>
        <w:t>s</w:t>
      </w:r>
      <w:r w:rsidRPr="005657C6">
        <w:rPr>
          <w:b/>
          <w:color w:val="C00000"/>
        </w:rPr>
        <w:t xml:space="preserve"> from the </w:t>
      </w:r>
      <w:r w:rsidRPr="005657C6" w:rsidR="000F7965">
        <w:rPr>
          <w:b/>
          <w:color w:val="C00000"/>
        </w:rPr>
        <w:t>P</w:t>
      </w:r>
      <w:r w:rsidRPr="005657C6">
        <w:rPr>
          <w:b/>
          <w:color w:val="C00000"/>
        </w:rPr>
        <w:t xml:space="preserve">roposed </w:t>
      </w:r>
      <w:r w:rsidRPr="005657C6" w:rsidR="000F7965">
        <w:rPr>
          <w:b/>
          <w:color w:val="C00000"/>
        </w:rPr>
        <w:t>Rule to F</w:t>
      </w:r>
      <w:r w:rsidRPr="005657C6">
        <w:rPr>
          <w:b/>
          <w:color w:val="C00000"/>
        </w:rPr>
        <w:t xml:space="preserve">inal </w:t>
      </w:r>
      <w:r w:rsidRPr="005657C6" w:rsidR="000F7965">
        <w:rPr>
          <w:b/>
          <w:color w:val="C00000"/>
        </w:rPr>
        <w:t>R</w:t>
      </w:r>
      <w:r w:rsidRPr="005657C6">
        <w:rPr>
          <w:b/>
          <w:color w:val="C00000"/>
        </w:rPr>
        <w:t>ule</w:t>
      </w:r>
    </w:p>
    <w:p w:rsidR="00EC22BF" w:rsidP="00EC22BF" w14:paraId="20DB510E" w14:textId="77777777">
      <w:pPr>
        <w:widowControl/>
      </w:pPr>
      <w:r>
        <w:t>The following changes were made from the proposed rule to the final rule. These changes did not affect the number of respondents, responses, or burden for this collection.</w:t>
      </w:r>
    </w:p>
    <w:p w:rsidR="00EC22BF" w:rsidP="00EC22BF" w14:paraId="18C14C4C" w14:textId="77777777">
      <w:pPr>
        <w:pStyle w:val="ListParagraph"/>
        <w:widowControl/>
        <w:numPr>
          <w:ilvl w:val="0"/>
          <w:numId w:val="23"/>
        </w:numPr>
      </w:pPr>
      <w:r>
        <w:t xml:space="preserve">In response to comments received during the proposed rule, NMFS changed the deadline to submit the inter-cooperative agreement in 2023. Information on this change is provided in Question #2 under the heading “Application for Pacific Cod Trawl Cooperative Program Cooperative Quota” and in Question #8, which provides the comments received and NMFS’s responses to those comments. </w:t>
      </w:r>
    </w:p>
    <w:p w:rsidR="00EC22BF" w:rsidP="00EC22BF" w14:paraId="4A98BAA7" w14:textId="77777777">
      <w:pPr>
        <w:widowControl/>
      </w:pPr>
    </w:p>
    <w:p w:rsidR="00EC22BF" w:rsidP="00EC22BF" w14:paraId="603D779A" w14:textId="77777777">
      <w:pPr>
        <w:pStyle w:val="ListParagraph"/>
        <w:widowControl/>
        <w:numPr>
          <w:ilvl w:val="0"/>
          <w:numId w:val="23"/>
        </w:numPr>
      </w:pPr>
      <w:r>
        <w:t>A change was made to the information collected on the Application for Pacific Cod Trawl Cooperative Program Cooperative Quota and the Application for Transfer of Pacific Cod Trawl Cooperative Program Quota Share for Processors. Information on the changes is provided in Question #2 under description of these forms.</w:t>
      </w:r>
    </w:p>
    <w:p w:rsidR="00EC22BF" w:rsidP="00EC22BF" w14:paraId="31222E1B" w14:textId="77777777">
      <w:pPr>
        <w:pStyle w:val="ListParagraph"/>
        <w:widowControl/>
        <w:numPr>
          <w:ilvl w:val="0"/>
          <w:numId w:val="23"/>
        </w:numPr>
      </w:pPr>
      <w:r>
        <w:t xml:space="preserve">Minor editorial changes were made to all the forms to improve clarity and the description of information that is submitted. </w:t>
      </w:r>
    </w:p>
    <w:p w:rsidR="004D36C8" w:rsidRPr="004D36C8" w:rsidP="00E25936" w14:paraId="1C9BB13C" w14:textId="77777777">
      <w:pPr>
        <w:widowControl/>
        <w:pBdr>
          <w:top w:val="nil"/>
          <w:left w:val="nil"/>
          <w:bottom w:val="nil"/>
          <w:right w:val="nil"/>
          <w:between w:val="nil"/>
        </w:pBdr>
      </w:pPr>
    </w:p>
    <w:p w:rsidR="00D54824" w:rsidP="00E25936" w14:paraId="44954FF5" w14:textId="77777777">
      <w:pPr>
        <w:pStyle w:val="Heading1"/>
        <w:widowControl/>
        <w:numPr>
          <w:ilvl w:val="0"/>
          <w:numId w:val="3"/>
        </w:numPr>
        <w:tabs>
          <w:tab w:val="left" w:pos="360"/>
        </w:tabs>
        <w:spacing w:before="0"/>
        <w:ind w:left="0" w:firstLine="0"/>
      </w:pPr>
      <w:r>
        <w:t xml:space="preserve">Indicate how, by whom, and for what purpose the information is to be used. Except for a new </w:t>
      </w:r>
      <w:r>
        <w:t>collection, indicate the actual use the agency has made of the information received from the current collection.</w:t>
      </w:r>
    </w:p>
    <w:p w:rsidR="004E23C4" w:rsidP="00E25936" w14:paraId="4514761C" w14:textId="4A50D1FA">
      <w:pPr>
        <w:pStyle w:val="Heading1"/>
        <w:widowControl/>
        <w:spacing w:before="0"/>
        <w:ind w:left="0"/>
        <w:rPr>
          <w:b w:val="0"/>
        </w:rPr>
      </w:pPr>
    </w:p>
    <w:p w:rsidR="00957FB3" w:rsidP="00E25936" w14:paraId="19942E14" w14:textId="250FCCD7">
      <w:pPr>
        <w:pStyle w:val="Heading1"/>
        <w:widowControl/>
        <w:spacing w:before="0"/>
        <w:ind w:left="0"/>
        <w:rPr>
          <w:b w:val="0"/>
        </w:rPr>
        <w:sectPr w:rsidSect="00207642">
          <w:footerReference w:type="default" r:id="rId8"/>
          <w:pgSz w:w="12240" w:h="15840"/>
          <w:pgMar w:top="1440" w:right="1440" w:bottom="1440" w:left="1440" w:header="0" w:footer="1014" w:gutter="0"/>
          <w:cols w:space="720"/>
          <w:docGrid w:linePitch="326"/>
        </w:sectPr>
      </w:pPr>
      <w:r w:rsidRPr="00957FB3">
        <w:rPr>
          <w:b w:val="0"/>
        </w:rPr>
        <w:t xml:space="preserve">The following table lists each </w:t>
      </w:r>
      <w:r w:rsidR="00FA0E88">
        <w:rPr>
          <w:b w:val="0"/>
        </w:rPr>
        <w:t>collection instrument</w:t>
      </w:r>
      <w:r w:rsidRPr="00957FB3">
        <w:rPr>
          <w:b w:val="0"/>
        </w:rPr>
        <w:t xml:space="preserve">, the </w:t>
      </w:r>
      <w:r w:rsidR="00FA0E88">
        <w:rPr>
          <w:b w:val="0"/>
        </w:rPr>
        <w:t>associated regulation</w:t>
      </w:r>
      <w:r w:rsidRPr="00957FB3">
        <w:rPr>
          <w:b w:val="0"/>
        </w:rPr>
        <w:t xml:space="preserve">, </w:t>
      </w:r>
      <w:r w:rsidR="00FA0E88">
        <w:rPr>
          <w:b w:val="0"/>
        </w:rPr>
        <w:t>and summarizes who submits the information</w:t>
      </w:r>
      <w:r w:rsidRPr="00957FB3">
        <w:rPr>
          <w:b w:val="0"/>
        </w:rPr>
        <w:t>, how the information is submitted and how often, the obligation to respond</w:t>
      </w:r>
      <w:r w:rsidR="00FA0E88">
        <w:rPr>
          <w:b w:val="0"/>
        </w:rPr>
        <w:t>,</w:t>
      </w:r>
      <w:r w:rsidRPr="00957FB3">
        <w:rPr>
          <w:b w:val="0"/>
        </w:rPr>
        <w:t xml:space="preserve"> and the purpose. Additional information </w:t>
      </w:r>
      <w:r w:rsidR="00FA0E88">
        <w:rPr>
          <w:b w:val="0"/>
        </w:rPr>
        <w:t xml:space="preserve">on each collection instrument </w:t>
      </w:r>
      <w:r w:rsidRPr="00957FB3">
        <w:rPr>
          <w:b w:val="0"/>
        </w:rPr>
        <w:t>is provided in the subsections below.</w:t>
      </w:r>
    </w:p>
    <w:p w:rsidR="00A362A3" w:rsidRPr="00A362A3" w:rsidP="00D4754B" w14:paraId="4C38D276" w14:textId="2331B5B4">
      <w:pPr>
        <w:pStyle w:val="Heading1"/>
        <w:spacing w:before="0"/>
        <w:ind w:left="0"/>
        <w:rPr>
          <w:b w:val="0"/>
        </w:rPr>
      </w:pPr>
    </w:p>
    <w:p w:rsidR="006A67F2" w:rsidRPr="006A67F2" w:rsidP="003B620D" w14:paraId="46BCA6A0" w14:textId="77777777">
      <w:pPr>
        <w:widowControl/>
        <w:autoSpaceDE w:val="0"/>
        <w:autoSpaceDN w:val="0"/>
        <w:spacing w:after="60"/>
        <w:outlineLvl w:val="0"/>
        <w:rPr>
          <w:rFonts w:eastAsiaTheme="minorHAnsi"/>
          <w:b/>
          <w:bCs/>
        </w:rPr>
      </w:pPr>
      <w:r w:rsidRPr="006A67F2">
        <w:rPr>
          <w:rFonts w:eastAsiaTheme="minorHAnsi"/>
          <w:b/>
          <w:bCs/>
        </w:rPr>
        <w:t>Information Requirements and Needs and Uses of Information Collected</w:t>
      </w:r>
    </w:p>
    <w:tbl>
      <w:tblPr>
        <w:tblStyle w:val="TableGrid"/>
        <w:tblW w:w="12870" w:type="dxa"/>
        <w:tblLayout w:type="fixed"/>
        <w:tblLook w:val="04A0"/>
      </w:tblPr>
      <w:tblGrid>
        <w:gridCol w:w="1972"/>
        <w:gridCol w:w="1353"/>
        <w:gridCol w:w="1530"/>
        <w:gridCol w:w="810"/>
        <w:gridCol w:w="1530"/>
        <w:gridCol w:w="1170"/>
        <w:gridCol w:w="1260"/>
        <w:gridCol w:w="3245"/>
      </w:tblGrid>
      <w:tr w14:paraId="0DB3021B" w14:textId="77777777" w:rsidTr="00560F96">
        <w:tblPrEx>
          <w:tblW w:w="12870" w:type="dxa"/>
          <w:tblLayout w:type="fixed"/>
          <w:tblLook w:val="04A0"/>
        </w:tblPrEx>
        <w:trPr>
          <w:trHeight w:val="781"/>
        </w:trPr>
        <w:tc>
          <w:tcPr>
            <w:tcW w:w="1972" w:type="dxa"/>
            <w:shd w:val="clear" w:color="auto" w:fill="C6D9F0" w:themeFill="text2" w:themeFillTint="33"/>
            <w:vAlign w:val="center"/>
          </w:tcPr>
          <w:p w:rsidR="00591370" w:rsidRPr="004E23C4" w:rsidP="004E23C4" w14:paraId="77909779" w14:textId="77777777">
            <w:pPr>
              <w:jc w:val="center"/>
              <w:rPr>
                <w:rFonts w:asciiTheme="minorHAnsi" w:hAnsiTheme="minorHAnsi" w:cstheme="minorHAnsi"/>
                <w:b/>
                <w:sz w:val="18"/>
                <w:szCs w:val="18"/>
              </w:rPr>
            </w:pPr>
            <w:r w:rsidRPr="004E23C4">
              <w:rPr>
                <w:rFonts w:asciiTheme="minorHAnsi" w:hAnsiTheme="minorHAnsi" w:cstheme="minorHAnsi"/>
                <w:b/>
                <w:sz w:val="18"/>
                <w:szCs w:val="18"/>
              </w:rPr>
              <w:t>Requirement</w:t>
            </w:r>
          </w:p>
        </w:tc>
        <w:tc>
          <w:tcPr>
            <w:tcW w:w="1353" w:type="dxa"/>
            <w:shd w:val="clear" w:color="auto" w:fill="C6D9F0" w:themeFill="text2" w:themeFillTint="33"/>
            <w:vAlign w:val="center"/>
          </w:tcPr>
          <w:p w:rsidR="00591370" w:rsidRPr="004E23C4" w:rsidP="00455B8D" w14:paraId="010FE629" w14:textId="4B26B0CD">
            <w:pPr>
              <w:jc w:val="center"/>
              <w:rPr>
                <w:rFonts w:asciiTheme="minorHAnsi" w:hAnsiTheme="minorHAnsi" w:cstheme="minorHAnsi"/>
                <w:b/>
                <w:sz w:val="18"/>
                <w:szCs w:val="18"/>
              </w:rPr>
            </w:pPr>
            <w:r>
              <w:rPr>
                <w:rFonts w:asciiTheme="minorHAnsi" w:hAnsiTheme="minorHAnsi" w:cstheme="minorHAnsi"/>
                <w:b/>
                <w:sz w:val="18"/>
                <w:szCs w:val="18"/>
              </w:rPr>
              <w:t>Regulations</w:t>
            </w:r>
          </w:p>
        </w:tc>
        <w:tc>
          <w:tcPr>
            <w:tcW w:w="1530" w:type="dxa"/>
            <w:shd w:val="clear" w:color="auto" w:fill="C6D9F0" w:themeFill="text2" w:themeFillTint="33"/>
            <w:vAlign w:val="center"/>
          </w:tcPr>
          <w:p w:rsidR="00591370" w:rsidRPr="004E23C4" w:rsidP="008C09A3" w14:paraId="1D3B334D" w14:textId="018B008D">
            <w:pPr>
              <w:jc w:val="center"/>
              <w:rPr>
                <w:rFonts w:asciiTheme="minorHAnsi" w:hAnsiTheme="minorHAnsi" w:cstheme="minorHAnsi"/>
                <w:b/>
                <w:sz w:val="18"/>
                <w:szCs w:val="18"/>
              </w:rPr>
            </w:pPr>
            <w:r>
              <w:rPr>
                <w:rFonts w:asciiTheme="minorHAnsi" w:hAnsiTheme="minorHAnsi" w:cstheme="minorHAnsi"/>
                <w:b/>
                <w:sz w:val="18"/>
                <w:szCs w:val="18"/>
              </w:rPr>
              <w:t>Who submits the information</w:t>
            </w:r>
            <w:r w:rsidRPr="004E23C4">
              <w:rPr>
                <w:rFonts w:asciiTheme="minorHAnsi" w:hAnsiTheme="minorHAnsi" w:cstheme="minorHAnsi"/>
                <w:b/>
                <w:sz w:val="18"/>
                <w:szCs w:val="18"/>
              </w:rPr>
              <w:t>?</w:t>
            </w:r>
          </w:p>
        </w:tc>
        <w:tc>
          <w:tcPr>
            <w:tcW w:w="810" w:type="dxa"/>
            <w:shd w:val="clear" w:color="auto" w:fill="C6D9F0" w:themeFill="text2" w:themeFillTint="33"/>
            <w:vAlign w:val="center"/>
          </w:tcPr>
          <w:p w:rsidR="00591370" w:rsidRPr="004E23C4" w:rsidP="00591370" w14:paraId="59FD6745" w14:textId="305DE587">
            <w:pPr>
              <w:jc w:val="center"/>
              <w:rPr>
                <w:rFonts w:asciiTheme="minorHAnsi" w:hAnsiTheme="minorHAnsi" w:cstheme="minorHAnsi"/>
                <w:b/>
                <w:sz w:val="18"/>
                <w:szCs w:val="18"/>
              </w:rPr>
            </w:pPr>
            <w:r w:rsidRPr="004E23C4">
              <w:rPr>
                <w:rFonts w:asciiTheme="minorHAnsi" w:hAnsiTheme="minorHAnsi" w:cstheme="minorHAnsi"/>
                <w:b/>
                <w:sz w:val="18"/>
                <w:szCs w:val="18"/>
              </w:rPr>
              <w:t>Form?</w:t>
            </w:r>
          </w:p>
        </w:tc>
        <w:tc>
          <w:tcPr>
            <w:tcW w:w="1530" w:type="dxa"/>
            <w:shd w:val="clear" w:color="auto" w:fill="C6D9F0" w:themeFill="text2" w:themeFillTint="33"/>
            <w:vAlign w:val="center"/>
          </w:tcPr>
          <w:p w:rsidR="00591370" w:rsidRPr="004E23C4" w:rsidP="004E23C4" w14:paraId="696F9AA1" w14:textId="77777777">
            <w:pPr>
              <w:jc w:val="center"/>
              <w:rPr>
                <w:rFonts w:asciiTheme="minorHAnsi" w:hAnsiTheme="minorHAnsi" w:cstheme="minorHAnsi"/>
                <w:b/>
                <w:sz w:val="18"/>
                <w:szCs w:val="18"/>
              </w:rPr>
            </w:pPr>
            <w:r w:rsidRPr="004E23C4">
              <w:rPr>
                <w:rFonts w:asciiTheme="minorHAnsi" w:hAnsiTheme="minorHAnsi" w:cstheme="minorHAnsi"/>
                <w:b/>
                <w:sz w:val="18"/>
                <w:szCs w:val="18"/>
              </w:rPr>
              <w:t>How submitted</w:t>
            </w:r>
          </w:p>
        </w:tc>
        <w:tc>
          <w:tcPr>
            <w:tcW w:w="1170" w:type="dxa"/>
            <w:shd w:val="clear" w:color="auto" w:fill="C6D9F0" w:themeFill="text2" w:themeFillTint="33"/>
            <w:vAlign w:val="center"/>
          </w:tcPr>
          <w:p w:rsidR="00591370" w:rsidRPr="004E23C4" w:rsidP="004E23C4" w14:paraId="51939FED" w14:textId="0C0584D1">
            <w:pPr>
              <w:jc w:val="center"/>
              <w:rPr>
                <w:rFonts w:asciiTheme="minorHAnsi" w:hAnsiTheme="minorHAnsi" w:cstheme="minorHAnsi"/>
                <w:b/>
                <w:sz w:val="18"/>
                <w:szCs w:val="18"/>
              </w:rPr>
            </w:pPr>
            <w:r w:rsidRPr="004E23C4">
              <w:rPr>
                <w:rFonts w:asciiTheme="minorHAnsi" w:hAnsiTheme="minorHAnsi" w:cstheme="minorHAnsi"/>
                <w:b/>
                <w:sz w:val="18"/>
                <w:szCs w:val="18"/>
              </w:rPr>
              <w:t>Frequency</w:t>
            </w:r>
          </w:p>
        </w:tc>
        <w:tc>
          <w:tcPr>
            <w:tcW w:w="1260" w:type="dxa"/>
            <w:shd w:val="clear" w:color="auto" w:fill="C6D9F0" w:themeFill="text2" w:themeFillTint="33"/>
            <w:vAlign w:val="center"/>
          </w:tcPr>
          <w:p w:rsidR="00591370" w:rsidRPr="004E23C4" w:rsidP="004E23C4" w14:paraId="7C11F086" w14:textId="11DCD8C7">
            <w:pPr>
              <w:jc w:val="center"/>
              <w:rPr>
                <w:rFonts w:asciiTheme="minorHAnsi" w:hAnsiTheme="minorHAnsi" w:cstheme="minorHAnsi"/>
                <w:b/>
                <w:sz w:val="18"/>
                <w:szCs w:val="18"/>
              </w:rPr>
            </w:pPr>
            <w:r w:rsidRPr="004E23C4">
              <w:rPr>
                <w:rFonts w:asciiTheme="minorHAnsi" w:hAnsiTheme="minorHAnsi" w:cstheme="minorHAnsi"/>
                <w:b/>
                <w:sz w:val="18"/>
                <w:szCs w:val="18"/>
              </w:rPr>
              <w:t>Obligation to Respond</w:t>
            </w:r>
          </w:p>
        </w:tc>
        <w:tc>
          <w:tcPr>
            <w:tcW w:w="3245" w:type="dxa"/>
            <w:shd w:val="clear" w:color="auto" w:fill="C6D9F0" w:themeFill="text2" w:themeFillTint="33"/>
            <w:vAlign w:val="center"/>
          </w:tcPr>
          <w:p w:rsidR="00591370" w:rsidRPr="004E23C4" w:rsidP="004E23C4" w14:paraId="798C129D" w14:textId="000C89DF">
            <w:pPr>
              <w:jc w:val="center"/>
              <w:rPr>
                <w:rFonts w:asciiTheme="minorHAnsi" w:hAnsiTheme="minorHAnsi" w:cstheme="minorHAnsi"/>
                <w:b/>
                <w:sz w:val="18"/>
                <w:szCs w:val="18"/>
              </w:rPr>
            </w:pPr>
            <w:r w:rsidRPr="004E23C4">
              <w:rPr>
                <w:rFonts w:asciiTheme="minorHAnsi" w:hAnsiTheme="minorHAnsi" w:cstheme="minorHAnsi"/>
                <w:b/>
                <w:sz w:val="18"/>
                <w:szCs w:val="18"/>
              </w:rPr>
              <w:t>Needs and Use</w:t>
            </w:r>
            <w:r w:rsidRPr="004E23C4">
              <w:rPr>
                <w:rFonts w:asciiTheme="minorHAnsi" w:hAnsiTheme="minorHAnsi" w:cstheme="minorHAnsi"/>
                <w:b/>
                <w:sz w:val="18"/>
                <w:szCs w:val="18"/>
              </w:rPr>
              <w:t>s</w:t>
            </w:r>
          </w:p>
        </w:tc>
      </w:tr>
      <w:tr w14:paraId="3B08EAE9" w14:textId="77777777" w:rsidTr="00560F96">
        <w:tblPrEx>
          <w:tblW w:w="12870" w:type="dxa"/>
          <w:tblLayout w:type="fixed"/>
          <w:tblLook w:val="04A0"/>
        </w:tblPrEx>
        <w:trPr>
          <w:trHeight w:val="2204"/>
        </w:trPr>
        <w:tc>
          <w:tcPr>
            <w:tcW w:w="1972" w:type="dxa"/>
            <w:vAlign w:val="center"/>
          </w:tcPr>
          <w:p w:rsidR="00591370" w:rsidRPr="003D57F5" w:rsidP="004E23C4" w14:paraId="27647D08" w14:textId="77777777">
            <w:pPr>
              <w:rPr>
                <w:rFonts w:asciiTheme="minorHAnsi" w:hAnsiTheme="minorHAnsi" w:cstheme="minorHAnsi"/>
                <w:sz w:val="18"/>
                <w:szCs w:val="18"/>
              </w:rPr>
            </w:pPr>
            <w:r w:rsidRPr="003D57F5">
              <w:rPr>
                <w:rFonts w:asciiTheme="minorHAnsi" w:hAnsiTheme="minorHAnsi" w:cstheme="minorHAnsi"/>
                <w:sz w:val="18"/>
                <w:szCs w:val="18"/>
              </w:rPr>
              <w:t>Application for Pacific Cod Trawl Cooperative Program Quota Share</w:t>
            </w:r>
          </w:p>
        </w:tc>
        <w:tc>
          <w:tcPr>
            <w:tcW w:w="1353" w:type="dxa"/>
            <w:vAlign w:val="center"/>
          </w:tcPr>
          <w:p w:rsidR="00591370" w:rsidRPr="003D57F5" w:rsidP="00E54AF8" w14:paraId="551D70B9" w14:textId="1EFD2FCB">
            <w:pPr>
              <w:jc w:val="center"/>
              <w:rPr>
                <w:rFonts w:asciiTheme="minorHAnsi" w:hAnsiTheme="minorHAnsi" w:cstheme="minorHAnsi"/>
                <w:sz w:val="18"/>
                <w:szCs w:val="18"/>
              </w:rPr>
            </w:pPr>
            <w:r>
              <w:rPr>
                <w:rFonts w:asciiTheme="minorHAnsi" w:hAnsiTheme="minorHAnsi" w:cstheme="minorHAnsi"/>
                <w:sz w:val="18"/>
                <w:szCs w:val="18"/>
              </w:rPr>
              <w:t>50 CFR 679.</w:t>
            </w:r>
            <w:r w:rsidR="00E54AF8">
              <w:rPr>
                <w:rFonts w:asciiTheme="minorHAnsi" w:hAnsiTheme="minorHAnsi" w:cstheme="minorHAnsi"/>
                <w:sz w:val="18"/>
                <w:szCs w:val="18"/>
              </w:rPr>
              <w:t>130</w:t>
            </w:r>
            <w:r>
              <w:rPr>
                <w:rFonts w:asciiTheme="minorHAnsi" w:hAnsiTheme="minorHAnsi" w:cstheme="minorHAnsi"/>
                <w:sz w:val="18"/>
                <w:szCs w:val="18"/>
              </w:rPr>
              <w:t>(h)</w:t>
            </w:r>
          </w:p>
        </w:tc>
        <w:tc>
          <w:tcPr>
            <w:tcW w:w="1530" w:type="dxa"/>
            <w:vAlign w:val="center"/>
          </w:tcPr>
          <w:p w:rsidR="00591370" w:rsidRPr="003D57F5" w:rsidP="004E23C4" w14:paraId="455DB06F" w14:textId="69E74B60">
            <w:pPr>
              <w:rPr>
                <w:rFonts w:asciiTheme="minorHAnsi" w:hAnsiTheme="minorHAnsi" w:cstheme="minorHAnsi"/>
                <w:sz w:val="18"/>
                <w:szCs w:val="18"/>
              </w:rPr>
            </w:pPr>
            <w:r w:rsidRPr="003D57F5">
              <w:rPr>
                <w:rFonts w:asciiTheme="minorHAnsi" w:hAnsiTheme="minorHAnsi" w:cstheme="minorHAnsi"/>
                <w:sz w:val="18"/>
                <w:szCs w:val="18"/>
              </w:rPr>
              <w:t xml:space="preserve">LLP </w:t>
            </w:r>
            <w:r>
              <w:rPr>
                <w:rFonts w:asciiTheme="minorHAnsi" w:hAnsiTheme="minorHAnsi" w:cstheme="minorHAnsi"/>
                <w:sz w:val="18"/>
                <w:szCs w:val="18"/>
              </w:rPr>
              <w:t>license holder;</w:t>
            </w:r>
            <w:r w:rsidRPr="003D57F5">
              <w:rPr>
                <w:rFonts w:asciiTheme="minorHAnsi" w:hAnsiTheme="minorHAnsi" w:cstheme="minorHAnsi"/>
                <w:sz w:val="18"/>
                <w:szCs w:val="18"/>
              </w:rPr>
              <w:t xml:space="preserve"> processor</w:t>
            </w:r>
            <w:r>
              <w:rPr>
                <w:rFonts w:asciiTheme="minorHAnsi" w:hAnsiTheme="minorHAnsi" w:cstheme="minorHAnsi"/>
                <w:sz w:val="18"/>
                <w:szCs w:val="18"/>
              </w:rPr>
              <w:t xml:space="preserve"> representative</w:t>
            </w:r>
          </w:p>
        </w:tc>
        <w:tc>
          <w:tcPr>
            <w:tcW w:w="810" w:type="dxa"/>
            <w:vAlign w:val="center"/>
          </w:tcPr>
          <w:p w:rsidR="00591370" w:rsidRPr="003D57F5" w:rsidP="00591370" w14:paraId="657A5AB9" w14:textId="032BE0DA">
            <w:pPr>
              <w:jc w:val="center"/>
              <w:rPr>
                <w:rFonts w:asciiTheme="minorHAnsi" w:hAnsiTheme="minorHAnsi" w:cstheme="minorHAnsi"/>
                <w:sz w:val="18"/>
                <w:szCs w:val="18"/>
              </w:rPr>
            </w:pPr>
            <w:r w:rsidRPr="003D57F5">
              <w:rPr>
                <w:rFonts w:asciiTheme="minorHAnsi" w:hAnsiTheme="minorHAnsi" w:cstheme="minorHAnsi"/>
                <w:sz w:val="18"/>
                <w:szCs w:val="18"/>
              </w:rPr>
              <w:t>Yes</w:t>
            </w:r>
          </w:p>
        </w:tc>
        <w:tc>
          <w:tcPr>
            <w:tcW w:w="1530" w:type="dxa"/>
            <w:vAlign w:val="center"/>
          </w:tcPr>
          <w:p w:rsidR="00591370" w:rsidRPr="003D57F5" w:rsidP="008207AA" w14:paraId="21F74C2B" w14:textId="55F9A219">
            <w:pPr>
              <w:rPr>
                <w:rFonts w:asciiTheme="minorHAnsi" w:hAnsiTheme="minorHAnsi" w:cstheme="minorHAnsi"/>
                <w:sz w:val="18"/>
                <w:szCs w:val="18"/>
              </w:rPr>
            </w:pPr>
            <w:r>
              <w:rPr>
                <w:rFonts w:asciiTheme="minorHAnsi" w:hAnsiTheme="minorHAnsi" w:cstheme="minorHAnsi"/>
                <w:sz w:val="18"/>
                <w:szCs w:val="18"/>
              </w:rPr>
              <w:t xml:space="preserve">Mail, delivery, fax, </w:t>
            </w:r>
            <w:r w:rsidR="008F5137">
              <w:rPr>
                <w:rFonts w:asciiTheme="minorHAnsi" w:hAnsiTheme="minorHAnsi" w:cstheme="minorHAnsi"/>
                <w:sz w:val="18"/>
                <w:szCs w:val="18"/>
              </w:rPr>
              <w:t>email</w:t>
            </w:r>
          </w:p>
        </w:tc>
        <w:tc>
          <w:tcPr>
            <w:tcW w:w="1170" w:type="dxa"/>
            <w:vAlign w:val="center"/>
          </w:tcPr>
          <w:p w:rsidR="00591370" w:rsidRPr="003D57F5" w:rsidP="004E23C4" w14:paraId="544E63AF" w14:textId="2369D927">
            <w:pPr>
              <w:rPr>
                <w:rFonts w:asciiTheme="minorHAnsi" w:hAnsiTheme="minorHAnsi" w:cstheme="minorHAnsi"/>
                <w:sz w:val="18"/>
                <w:szCs w:val="18"/>
              </w:rPr>
            </w:pPr>
            <w:r w:rsidRPr="003D57F5">
              <w:rPr>
                <w:rFonts w:asciiTheme="minorHAnsi" w:hAnsiTheme="minorHAnsi" w:cstheme="minorHAnsi"/>
                <w:sz w:val="18"/>
                <w:szCs w:val="18"/>
              </w:rPr>
              <w:t>Once, at the onset of the program</w:t>
            </w:r>
          </w:p>
        </w:tc>
        <w:tc>
          <w:tcPr>
            <w:tcW w:w="1260" w:type="dxa"/>
            <w:vAlign w:val="center"/>
          </w:tcPr>
          <w:p w:rsidR="00591370" w:rsidRPr="003D57F5" w:rsidP="004E23C4" w14:paraId="13F279C9" w14:textId="201BE522">
            <w:pPr>
              <w:rPr>
                <w:rFonts w:asciiTheme="minorHAnsi" w:hAnsiTheme="minorHAnsi" w:cstheme="minorHAnsi"/>
                <w:sz w:val="18"/>
                <w:szCs w:val="18"/>
              </w:rPr>
            </w:pPr>
            <w:r>
              <w:rPr>
                <w:rFonts w:asciiTheme="minorHAnsi" w:hAnsiTheme="minorHAnsi" w:cstheme="minorHAnsi"/>
                <w:sz w:val="18"/>
                <w:szCs w:val="18"/>
              </w:rPr>
              <w:t>Required to Obtain Benefits</w:t>
            </w:r>
          </w:p>
        </w:tc>
        <w:tc>
          <w:tcPr>
            <w:tcW w:w="3245" w:type="dxa"/>
            <w:vAlign w:val="center"/>
          </w:tcPr>
          <w:p w:rsidR="00591370" w:rsidP="00FB0D5E" w14:paraId="36919CFE" w14:textId="0C81414C">
            <w:pPr>
              <w:spacing w:before="80" w:after="8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Used by a person </w:t>
            </w:r>
            <w:r w:rsidRPr="00D3094F">
              <w:rPr>
                <w:rFonts w:asciiTheme="minorHAnsi" w:eastAsiaTheme="minorHAnsi" w:hAnsiTheme="minorHAnsi" w:cstheme="minorHAnsi"/>
                <w:sz w:val="18"/>
                <w:szCs w:val="18"/>
              </w:rPr>
              <w:t xml:space="preserve">to receive </w:t>
            </w:r>
            <w:r>
              <w:rPr>
                <w:rFonts w:asciiTheme="minorHAnsi" w:eastAsiaTheme="minorHAnsi" w:hAnsiTheme="minorHAnsi" w:cstheme="minorHAnsi"/>
                <w:sz w:val="18"/>
                <w:szCs w:val="18"/>
              </w:rPr>
              <w:t xml:space="preserve">an initial allocation of </w:t>
            </w:r>
            <w:r w:rsidRPr="00D3094F">
              <w:rPr>
                <w:rFonts w:asciiTheme="minorHAnsi" w:eastAsiaTheme="minorHAnsi" w:hAnsiTheme="minorHAnsi" w:cstheme="minorHAnsi"/>
                <w:sz w:val="18"/>
                <w:szCs w:val="18"/>
              </w:rPr>
              <w:t>QS in the PCTC Program as an eligible harvester or eligible processor.</w:t>
            </w:r>
          </w:p>
          <w:p w:rsidR="00591370" w:rsidRPr="003D57F5" w:rsidP="00FB0D5E" w14:paraId="2731C2BF" w14:textId="20183B62">
            <w:pPr>
              <w:spacing w:before="80" w:after="80"/>
              <w:rPr>
                <w:rFonts w:asciiTheme="minorHAnsi" w:hAnsiTheme="minorHAnsi" w:cstheme="minorHAnsi"/>
                <w:sz w:val="18"/>
                <w:szCs w:val="18"/>
              </w:rPr>
            </w:pPr>
            <w:r>
              <w:rPr>
                <w:rFonts w:asciiTheme="minorHAnsi" w:eastAsiaTheme="minorHAnsi" w:hAnsiTheme="minorHAnsi" w:cstheme="minorHAnsi"/>
                <w:sz w:val="18"/>
                <w:szCs w:val="18"/>
              </w:rPr>
              <w:t xml:space="preserve">Used by NMFS to ensure that QS is </w:t>
            </w:r>
            <w:r w:rsidRPr="000C4AC9">
              <w:rPr>
                <w:rFonts w:asciiTheme="minorHAnsi" w:eastAsiaTheme="minorHAnsi" w:hAnsiTheme="minorHAnsi" w:cstheme="minorHAnsi"/>
                <w:sz w:val="18"/>
                <w:szCs w:val="18"/>
              </w:rPr>
              <w:t>assigned to the appropriate person(s) and to provide a process for resolving claims of legal landings that are contrary to the</w:t>
            </w:r>
            <w:r w:rsidRPr="000C4AC9">
              <w:rPr>
                <w:rFonts w:asciiTheme="minorHAnsi" w:eastAsiaTheme="minorHAnsi" w:hAnsiTheme="minorHAnsi" w:cstheme="minorHAnsi"/>
                <w:sz w:val="18"/>
                <w:szCs w:val="18"/>
              </w:rPr>
              <w:t xml:space="preserve"> official record</w:t>
            </w:r>
            <w:r>
              <w:rPr>
                <w:rFonts w:asciiTheme="minorHAnsi" w:eastAsiaTheme="minorHAnsi" w:hAnsiTheme="minorHAnsi" w:cstheme="minorHAnsi"/>
                <w:sz w:val="18"/>
                <w:szCs w:val="18"/>
              </w:rPr>
              <w:t>.</w:t>
            </w:r>
            <w:r w:rsidRPr="000C4AC9">
              <w:rPr>
                <w:rFonts w:asciiTheme="minorHAnsi" w:eastAsiaTheme="minorHAnsi" w:hAnsiTheme="minorHAnsi" w:cstheme="minorHAnsi"/>
                <w:sz w:val="18"/>
                <w:szCs w:val="18"/>
              </w:rPr>
              <w:t xml:space="preserve"> </w:t>
            </w:r>
          </w:p>
        </w:tc>
      </w:tr>
      <w:tr w14:paraId="297BEDEB" w14:textId="77777777" w:rsidTr="00560F96">
        <w:tblPrEx>
          <w:tblW w:w="12870" w:type="dxa"/>
          <w:tblLayout w:type="fixed"/>
          <w:tblLook w:val="04A0"/>
        </w:tblPrEx>
        <w:trPr>
          <w:trHeight w:val="1093"/>
        </w:trPr>
        <w:tc>
          <w:tcPr>
            <w:tcW w:w="1972" w:type="dxa"/>
            <w:vAlign w:val="center"/>
          </w:tcPr>
          <w:p w:rsidR="00591370" w:rsidRPr="003D57F5" w:rsidP="004E23C4" w14:paraId="44E8ED25" w14:textId="79C41526">
            <w:pPr>
              <w:rPr>
                <w:rFonts w:asciiTheme="minorHAnsi" w:eastAsiaTheme="minorHAnsi" w:hAnsiTheme="minorHAnsi" w:cstheme="minorHAnsi"/>
                <w:sz w:val="18"/>
                <w:szCs w:val="18"/>
              </w:rPr>
            </w:pPr>
            <w:r w:rsidRPr="003D57F5">
              <w:rPr>
                <w:rFonts w:asciiTheme="minorHAnsi" w:hAnsiTheme="minorHAnsi" w:cstheme="minorHAnsi"/>
                <w:sz w:val="18"/>
                <w:szCs w:val="18"/>
              </w:rPr>
              <w:t>Application for Pacific Cod Trawl Cooperative Program Cooperative Quota</w:t>
            </w:r>
          </w:p>
        </w:tc>
        <w:tc>
          <w:tcPr>
            <w:tcW w:w="1353" w:type="dxa"/>
            <w:vAlign w:val="center"/>
          </w:tcPr>
          <w:p w:rsidR="00591370" w:rsidRPr="003D57F5" w:rsidP="00591370" w14:paraId="36DE84E0" w14:textId="433B9CDF">
            <w:pPr>
              <w:jc w:val="center"/>
              <w:rPr>
                <w:rFonts w:asciiTheme="minorHAnsi" w:hAnsiTheme="minorHAnsi" w:cstheme="minorHAnsi"/>
                <w:sz w:val="18"/>
                <w:szCs w:val="18"/>
              </w:rPr>
            </w:pPr>
            <w:r>
              <w:rPr>
                <w:rFonts w:asciiTheme="minorHAnsi" w:hAnsiTheme="minorHAnsi" w:cstheme="minorHAnsi"/>
                <w:sz w:val="18"/>
                <w:szCs w:val="18"/>
              </w:rPr>
              <w:t>50 CFR 679.131(a)(4)</w:t>
            </w:r>
          </w:p>
        </w:tc>
        <w:tc>
          <w:tcPr>
            <w:tcW w:w="1530" w:type="dxa"/>
            <w:vAlign w:val="center"/>
          </w:tcPr>
          <w:p w:rsidR="00591370" w:rsidRPr="003D57F5" w:rsidP="004E23C4" w14:paraId="119C5673" w14:textId="726C5554">
            <w:pPr>
              <w:rPr>
                <w:rFonts w:asciiTheme="minorHAnsi" w:hAnsiTheme="minorHAnsi" w:cstheme="minorHAnsi"/>
                <w:sz w:val="18"/>
                <w:szCs w:val="18"/>
              </w:rPr>
            </w:pPr>
            <w:r w:rsidRPr="003D57F5">
              <w:rPr>
                <w:rFonts w:asciiTheme="minorHAnsi" w:hAnsiTheme="minorHAnsi" w:cstheme="minorHAnsi"/>
                <w:sz w:val="18"/>
                <w:szCs w:val="18"/>
              </w:rPr>
              <w:t>PCTC Program cooperative representative</w:t>
            </w:r>
          </w:p>
        </w:tc>
        <w:tc>
          <w:tcPr>
            <w:tcW w:w="810" w:type="dxa"/>
            <w:vAlign w:val="center"/>
          </w:tcPr>
          <w:p w:rsidR="00591370" w:rsidRPr="003D57F5" w:rsidP="00591370" w14:paraId="35AD41C9" w14:textId="4112618A">
            <w:pPr>
              <w:jc w:val="center"/>
              <w:rPr>
                <w:rFonts w:asciiTheme="minorHAnsi" w:hAnsiTheme="minorHAnsi" w:cstheme="minorHAnsi"/>
                <w:sz w:val="18"/>
                <w:szCs w:val="18"/>
              </w:rPr>
            </w:pPr>
            <w:r w:rsidRPr="003D57F5">
              <w:rPr>
                <w:rFonts w:asciiTheme="minorHAnsi" w:hAnsiTheme="minorHAnsi" w:cstheme="minorHAnsi"/>
                <w:sz w:val="18"/>
                <w:szCs w:val="18"/>
              </w:rPr>
              <w:t>Yes</w:t>
            </w:r>
          </w:p>
        </w:tc>
        <w:tc>
          <w:tcPr>
            <w:tcW w:w="1530" w:type="dxa"/>
            <w:vAlign w:val="center"/>
          </w:tcPr>
          <w:p w:rsidR="00591370" w:rsidRPr="003D57F5" w:rsidP="008E7263" w14:paraId="52C184D9" w14:textId="3F3F91BE">
            <w:pPr>
              <w:rPr>
                <w:rFonts w:asciiTheme="minorHAnsi" w:hAnsiTheme="minorHAnsi" w:cstheme="minorHAnsi"/>
                <w:sz w:val="18"/>
                <w:szCs w:val="18"/>
              </w:rPr>
            </w:pPr>
            <w:r w:rsidRPr="00264B92">
              <w:rPr>
                <w:rFonts w:asciiTheme="minorHAnsi" w:hAnsiTheme="minorHAnsi" w:cstheme="minorHAnsi"/>
                <w:sz w:val="18"/>
                <w:szCs w:val="18"/>
              </w:rPr>
              <w:t>Mail, deliver</w:t>
            </w:r>
            <w:r>
              <w:rPr>
                <w:rFonts w:asciiTheme="minorHAnsi" w:hAnsiTheme="minorHAnsi" w:cstheme="minorHAnsi"/>
                <w:sz w:val="18"/>
                <w:szCs w:val="18"/>
              </w:rPr>
              <w:t>y</w:t>
            </w:r>
            <w:r w:rsidRPr="00264B92">
              <w:rPr>
                <w:rFonts w:asciiTheme="minorHAnsi" w:hAnsiTheme="minorHAnsi" w:cstheme="minorHAnsi"/>
                <w:sz w:val="18"/>
                <w:szCs w:val="18"/>
              </w:rPr>
              <w:t>, fax</w:t>
            </w:r>
          </w:p>
        </w:tc>
        <w:tc>
          <w:tcPr>
            <w:tcW w:w="1170" w:type="dxa"/>
            <w:vAlign w:val="center"/>
          </w:tcPr>
          <w:p w:rsidR="00591370" w:rsidRPr="003D57F5" w:rsidP="004E23C4" w14:paraId="651267F3" w14:textId="7934C5DE">
            <w:pPr>
              <w:rPr>
                <w:rFonts w:asciiTheme="minorHAnsi" w:hAnsiTheme="minorHAnsi" w:cstheme="minorHAnsi"/>
                <w:sz w:val="18"/>
                <w:szCs w:val="18"/>
              </w:rPr>
            </w:pPr>
            <w:r w:rsidRPr="003D57F5">
              <w:rPr>
                <w:rFonts w:asciiTheme="minorHAnsi" w:hAnsiTheme="minorHAnsi" w:cstheme="minorHAnsi"/>
                <w:sz w:val="18"/>
                <w:szCs w:val="18"/>
              </w:rPr>
              <w:t>Annually</w:t>
            </w:r>
          </w:p>
        </w:tc>
        <w:tc>
          <w:tcPr>
            <w:tcW w:w="1260" w:type="dxa"/>
            <w:vAlign w:val="center"/>
          </w:tcPr>
          <w:p w:rsidR="00591370" w:rsidRPr="003D57F5" w:rsidP="004E23C4" w14:paraId="18B1EADF" w14:textId="55E15344">
            <w:pPr>
              <w:rPr>
                <w:rFonts w:asciiTheme="minorHAnsi" w:hAnsiTheme="minorHAnsi" w:cstheme="minorHAnsi"/>
                <w:sz w:val="18"/>
                <w:szCs w:val="18"/>
              </w:rPr>
            </w:pPr>
            <w:r w:rsidRPr="003B620D">
              <w:rPr>
                <w:rFonts w:asciiTheme="minorHAnsi" w:hAnsiTheme="minorHAnsi" w:cstheme="minorHAnsi"/>
                <w:sz w:val="18"/>
                <w:szCs w:val="18"/>
              </w:rPr>
              <w:t>Required to Obtain or Retain Benefits</w:t>
            </w:r>
          </w:p>
        </w:tc>
        <w:tc>
          <w:tcPr>
            <w:tcW w:w="3245" w:type="dxa"/>
            <w:vAlign w:val="center"/>
          </w:tcPr>
          <w:p w:rsidR="00591370" w:rsidP="00FB0D5E" w14:paraId="65FC1380" w14:textId="77777777">
            <w:pPr>
              <w:spacing w:before="80" w:after="80"/>
              <w:rPr>
                <w:rFonts w:asciiTheme="minorHAnsi" w:hAnsiTheme="minorHAnsi" w:cstheme="minorHAnsi"/>
                <w:sz w:val="18"/>
                <w:szCs w:val="18"/>
              </w:rPr>
            </w:pPr>
            <w:r w:rsidRPr="003D57F5">
              <w:rPr>
                <w:rFonts w:asciiTheme="minorHAnsi" w:hAnsiTheme="minorHAnsi" w:cstheme="minorHAnsi"/>
                <w:sz w:val="18"/>
                <w:szCs w:val="18"/>
              </w:rPr>
              <w:t xml:space="preserve">Used by a cooperative to apply </w:t>
            </w:r>
            <w:r w:rsidRPr="003D57F5">
              <w:rPr>
                <w:rFonts w:asciiTheme="minorHAnsi" w:hAnsiTheme="minorHAnsi" w:cstheme="minorHAnsi"/>
                <w:sz w:val="18"/>
                <w:szCs w:val="18"/>
              </w:rPr>
              <w:t>for a CQ permit.</w:t>
            </w:r>
          </w:p>
          <w:p w:rsidR="00591370" w:rsidRPr="003D57F5" w:rsidP="00FB0D5E" w14:paraId="7C8C328B" w14:textId="61156313">
            <w:pPr>
              <w:spacing w:before="80" w:after="80"/>
              <w:rPr>
                <w:rFonts w:asciiTheme="minorHAnsi" w:hAnsiTheme="minorHAnsi" w:cstheme="minorHAnsi"/>
                <w:sz w:val="18"/>
                <w:szCs w:val="18"/>
              </w:rPr>
            </w:pPr>
            <w:r w:rsidRPr="00CC468D">
              <w:rPr>
                <w:rFonts w:asciiTheme="minorHAnsi" w:hAnsiTheme="minorHAnsi" w:cstheme="minorHAnsi"/>
                <w:sz w:val="18"/>
                <w:szCs w:val="18"/>
              </w:rPr>
              <w:t xml:space="preserve">Used by NMFS to annually issue cooperative </w:t>
            </w:r>
            <w:r>
              <w:rPr>
                <w:rFonts w:asciiTheme="minorHAnsi" w:hAnsiTheme="minorHAnsi" w:cstheme="minorHAnsi"/>
                <w:sz w:val="18"/>
                <w:szCs w:val="18"/>
              </w:rPr>
              <w:t>quota</w:t>
            </w:r>
            <w:r w:rsidRPr="00CC468D">
              <w:rPr>
                <w:rFonts w:asciiTheme="minorHAnsi" w:hAnsiTheme="minorHAnsi" w:cstheme="minorHAnsi"/>
                <w:sz w:val="18"/>
                <w:szCs w:val="18"/>
              </w:rPr>
              <w:t xml:space="preserve"> permits</w:t>
            </w:r>
            <w:r>
              <w:rPr>
                <w:rFonts w:asciiTheme="minorHAnsi" w:hAnsiTheme="minorHAnsi" w:cstheme="minorHAnsi"/>
                <w:sz w:val="18"/>
                <w:szCs w:val="18"/>
              </w:rPr>
              <w:t>,</w:t>
            </w:r>
            <w:r>
              <w:t xml:space="preserve"> </w:t>
            </w:r>
            <w:r w:rsidRPr="00B67F95">
              <w:rPr>
                <w:rFonts w:asciiTheme="minorHAnsi" w:hAnsiTheme="minorHAnsi" w:cstheme="minorHAnsi"/>
                <w:sz w:val="18"/>
                <w:szCs w:val="18"/>
              </w:rPr>
              <w:t>establish annual cooperative accounts for catch accounting purposes, and identify specific vessels that would be associated with each cooperative</w:t>
            </w:r>
            <w:r w:rsidRPr="00CC468D">
              <w:rPr>
                <w:rFonts w:asciiTheme="minorHAnsi" w:hAnsiTheme="minorHAnsi" w:cstheme="minorHAnsi"/>
                <w:sz w:val="18"/>
                <w:szCs w:val="18"/>
              </w:rPr>
              <w:t>.</w:t>
            </w:r>
          </w:p>
        </w:tc>
      </w:tr>
      <w:tr w14:paraId="1114E138" w14:textId="77777777" w:rsidTr="00560F96">
        <w:tblPrEx>
          <w:tblW w:w="12870" w:type="dxa"/>
          <w:tblLayout w:type="fixed"/>
          <w:tblLook w:val="04A0"/>
        </w:tblPrEx>
        <w:trPr>
          <w:trHeight w:val="1984"/>
        </w:trPr>
        <w:tc>
          <w:tcPr>
            <w:tcW w:w="1972" w:type="dxa"/>
            <w:vAlign w:val="center"/>
          </w:tcPr>
          <w:p w:rsidR="00591370" w:rsidRPr="003D57F5" w:rsidP="004E23C4" w14:paraId="3CC5C0A0" w14:textId="1BD07BC3">
            <w:pPr>
              <w:rPr>
                <w:rFonts w:asciiTheme="minorHAnsi" w:hAnsiTheme="minorHAnsi" w:cstheme="minorHAnsi"/>
                <w:sz w:val="18"/>
                <w:szCs w:val="18"/>
              </w:rPr>
            </w:pPr>
            <w:r>
              <w:rPr>
                <w:rFonts w:asciiTheme="minorHAnsi" w:eastAsiaTheme="minorHAnsi" w:hAnsiTheme="minorHAnsi" w:cstheme="minorHAnsi"/>
                <w:sz w:val="18"/>
                <w:szCs w:val="18"/>
              </w:rPr>
              <w:t xml:space="preserve">Application for </w:t>
            </w:r>
            <w:r w:rsidRPr="003D57F5">
              <w:rPr>
                <w:rFonts w:asciiTheme="minorHAnsi" w:eastAsiaTheme="minorHAnsi" w:hAnsiTheme="minorHAnsi" w:cstheme="minorHAnsi"/>
                <w:sz w:val="18"/>
                <w:szCs w:val="18"/>
              </w:rPr>
              <w:t xml:space="preserve">Inter-Cooperative Transfer of </w:t>
            </w:r>
            <w:r>
              <w:rPr>
                <w:rFonts w:asciiTheme="minorHAnsi" w:eastAsiaTheme="minorHAnsi" w:hAnsiTheme="minorHAnsi" w:cstheme="minorHAnsi"/>
                <w:sz w:val="18"/>
                <w:szCs w:val="18"/>
              </w:rPr>
              <w:t xml:space="preserve">PCTC Program </w:t>
            </w:r>
            <w:r w:rsidRPr="003D57F5">
              <w:rPr>
                <w:rFonts w:asciiTheme="minorHAnsi" w:eastAsiaTheme="minorHAnsi" w:hAnsiTheme="minorHAnsi" w:cstheme="minorHAnsi"/>
                <w:sz w:val="18"/>
                <w:szCs w:val="18"/>
              </w:rPr>
              <w:t>Cooperative Quota (CQ)</w:t>
            </w:r>
          </w:p>
        </w:tc>
        <w:tc>
          <w:tcPr>
            <w:tcW w:w="1353" w:type="dxa"/>
            <w:vAlign w:val="center"/>
          </w:tcPr>
          <w:p w:rsidR="00591370" w:rsidP="00591370" w14:paraId="097B9EB8" w14:textId="0D0A637E">
            <w:pPr>
              <w:jc w:val="center"/>
              <w:rPr>
                <w:rFonts w:asciiTheme="minorHAnsi" w:hAnsiTheme="minorHAnsi" w:cstheme="minorHAnsi"/>
                <w:sz w:val="18"/>
                <w:szCs w:val="18"/>
              </w:rPr>
            </w:pPr>
          </w:p>
          <w:p w:rsidR="00591370" w:rsidRPr="00BB2A6E" w:rsidP="00591370" w14:paraId="6297832E" w14:textId="2D2AC88B">
            <w:pPr>
              <w:jc w:val="center"/>
              <w:rPr>
                <w:rFonts w:asciiTheme="minorHAnsi" w:hAnsiTheme="minorHAnsi" w:cstheme="minorHAnsi"/>
                <w:sz w:val="18"/>
                <w:szCs w:val="18"/>
              </w:rPr>
            </w:pPr>
            <w:r>
              <w:rPr>
                <w:rFonts w:asciiTheme="minorHAnsi" w:hAnsiTheme="minorHAnsi" w:cstheme="minorHAnsi"/>
                <w:sz w:val="18"/>
                <w:szCs w:val="18"/>
              </w:rPr>
              <w:t>50 CFR 679.131(i)</w:t>
            </w:r>
          </w:p>
        </w:tc>
        <w:tc>
          <w:tcPr>
            <w:tcW w:w="1530" w:type="dxa"/>
            <w:vAlign w:val="center"/>
          </w:tcPr>
          <w:p w:rsidR="00591370" w:rsidRPr="003D57F5" w:rsidP="004E23C4" w14:paraId="6684B9E1" w14:textId="1AD3D065">
            <w:pPr>
              <w:rPr>
                <w:rFonts w:asciiTheme="minorHAnsi" w:hAnsiTheme="minorHAnsi" w:cstheme="minorHAnsi"/>
                <w:sz w:val="18"/>
                <w:szCs w:val="18"/>
              </w:rPr>
            </w:pPr>
            <w:r w:rsidRPr="003D57F5">
              <w:rPr>
                <w:rFonts w:asciiTheme="minorHAnsi" w:hAnsiTheme="minorHAnsi" w:cstheme="minorHAnsi"/>
                <w:sz w:val="18"/>
                <w:szCs w:val="18"/>
              </w:rPr>
              <w:t>PCTC Program cooperative representative</w:t>
            </w:r>
          </w:p>
        </w:tc>
        <w:tc>
          <w:tcPr>
            <w:tcW w:w="810" w:type="dxa"/>
            <w:vAlign w:val="center"/>
          </w:tcPr>
          <w:p w:rsidR="00591370" w:rsidRPr="003D57F5" w:rsidP="00591370" w14:paraId="0CDBE00E" w14:textId="388B3268">
            <w:pPr>
              <w:jc w:val="center"/>
              <w:rPr>
                <w:rFonts w:asciiTheme="minorHAnsi" w:hAnsiTheme="minorHAnsi" w:cstheme="minorHAnsi"/>
                <w:sz w:val="18"/>
                <w:szCs w:val="18"/>
              </w:rPr>
            </w:pPr>
            <w:r>
              <w:rPr>
                <w:rFonts w:asciiTheme="minorHAnsi" w:hAnsiTheme="minorHAnsi" w:cstheme="minorHAnsi"/>
                <w:sz w:val="18"/>
                <w:szCs w:val="18"/>
              </w:rPr>
              <w:t>No</w:t>
            </w:r>
          </w:p>
        </w:tc>
        <w:tc>
          <w:tcPr>
            <w:tcW w:w="1530" w:type="dxa"/>
            <w:vAlign w:val="center"/>
          </w:tcPr>
          <w:p w:rsidR="00591370" w:rsidRPr="003D57F5" w:rsidP="004E23C4" w14:paraId="6A2F4177" w14:textId="3ADD0348">
            <w:pPr>
              <w:rPr>
                <w:rFonts w:asciiTheme="minorHAnsi" w:hAnsiTheme="minorHAnsi" w:cstheme="minorHAnsi"/>
                <w:sz w:val="18"/>
                <w:szCs w:val="18"/>
              </w:rPr>
            </w:pPr>
            <w:r w:rsidRPr="003D57F5">
              <w:rPr>
                <w:rFonts w:asciiTheme="minorHAnsi" w:hAnsiTheme="minorHAnsi" w:cstheme="minorHAnsi"/>
                <w:sz w:val="18"/>
                <w:szCs w:val="18"/>
              </w:rPr>
              <w:t>Online using eFISH</w:t>
            </w:r>
            <w:r w:rsidRPr="003D57F5">
              <w:rPr>
                <w:rFonts w:asciiTheme="minorHAnsi" w:hAnsiTheme="minorHAnsi" w:cstheme="minorHAnsi"/>
                <w:sz w:val="18"/>
                <w:szCs w:val="18"/>
                <w:vertAlign w:val="superscript"/>
              </w:rPr>
              <w:t>2</w:t>
            </w:r>
          </w:p>
        </w:tc>
        <w:tc>
          <w:tcPr>
            <w:tcW w:w="1170" w:type="dxa"/>
            <w:vAlign w:val="center"/>
          </w:tcPr>
          <w:p w:rsidR="00591370" w:rsidRPr="003D57F5" w:rsidP="004E23C4" w14:paraId="31EF5DE7" w14:textId="342ABF09">
            <w:pPr>
              <w:rPr>
                <w:rFonts w:asciiTheme="minorHAnsi" w:hAnsiTheme="minorHAnsi" w:cstheme="minorHAnsi"/>
                <w:sz w:val="18"/>
                <w:szCs w:val="18"/>
              </w:rPr>
            </w:pPr>
            <w:r w:rsidRPr="003D57F5">
              <w:rPr>
                <w:rFonts w:asciiTheme="minorHAnsi" w:hAnsiTheme="minorHAnsi" w:cstheme="minorHAnsi"/>
                <w:sz w:val="18"/>
                <w:szCs w:val="18"/>
              </w:rPr>
              <w:t>As needed</w:t>
            </w:r>
          </w:p>
        </w:tc>
        <w:tc>
          <w:tcPr>
            <w:tcW w:w="1260" w:type="dxa"/>
            <w:vAlign w:val="center"/>
          </w:tcPr>
          <w:p w:rsidR="00591370" w:rsidRPr="003D57F5" w:rsidP="004E23C4" w14:paraId="56C502FC" w14:textId="1628FDF4">
            <w:pPr>
              <w:rPr>
                <w:rFonts w:asciiTheme="minorHAnsi" w:hAnsiTheme="minorHAnsi" w:cstheme="minorHAnsi"/>
                <w:sz w:val="18"/>
                <w:szCs w:val="18"/>
              </w:rPr>
            </w:pPr>
            <w:r w:rsidRPr="00392AA9">
              <w:rPr>
                <w:rFonts w:asciiTheme="minorHAnsi" w:hAnsiTheme="minorHAnsi" w:cstheme="minorHAnsi"/>
                <w:sz w:val="18"/>
                <w:szCs w:val="18"/>
              </w:rPr>
              <w:t>Required to Obtain or Retain Benefits</w:t>
            </w:r>
          </w:p>
        </w:tc>
        <w:tc>
          <w:tcPr>
            <w:tcW w:w="3245" w:type="dxa"/>
            <w:vAlign w:val="center"/>
          </w:tcPr>
          <w:p w:rsidR="00591370" w:rsidRPr="003D57F5" w:rsidP="00FB0D5E" w14:paraId="48EB410E" w14:textId="6B49518E">
            <w:pPr>
              <w:spacing w:before="80" w:after="80"/>
              <w:rPr>
                <w:rFonts w:asciiTheme="minorHAnsi" w:hAnsiTheme="minorHAnsi" w:cstheme="minorHAnsi"/>
                <w:sz w:val="18"/>
                <w:szCs w:val="18"/>
              </w:rPr>
            </w:pPr>
            <w:r w:rsidRPr="003D57F5">
              <w:rPr>
                <w:rFonts w:asciiTheme="minorHAnsi" w:hAnsiTheme="minorHAnsi" w:cstheme="minorHAnsi"/>
                <w:sz w:val="18"/>
                <w:szCs w:val="18"/>
              </w:rPr>
              <w:t xml:space="preserve">Used by a </w:t>
            </w:r>
            <w:r>
              <w:rPr>
                <w:rFonts w:asciiTheme="minorHAnsi" w:hAnsiTheme="minorHAnsi" w:cstheme="minorHAnsi"/>
                <w:sz w:val="18"/>
                <w:szCs w:val="18"/>
              </w:rPr>
              <w:t xml:space="preserve">PCTC Program </w:t>
            </w:r>
            <w:r w:rsidRPr="003D57F5">
              <w:rPr>
                <w:rFonts w:asciiTheme="minorHAnsi" w:hAnsiTheme="minorHAnsi" w:cstheme="minorHAnsi"/>
                <w:sz w:val="18"/>
                <w:szCs w:val="18"/>
              </w:rPr>
              <w:t>coope</w:t>
            </w:r>
            <w:r>
              <w:rPr>
                <w:rFonts w:asciiTheme="minorHAnsi" w:hAnsiTheme="minorHAnsi" w:cstheme="minorHAnsi"/>
                <w:sz w:val="18"/>
                <w:szCs w:val="18"/>
              </w:rPr>
              <w:t>rative to transfer CQ to another</w:t>
            </w:r>
            <w:r>
              <w:rPr>
                <w:rFonts w:asciiTheme="minorHAnsi" w:hAnsiTheme="minorHAnsi" w:cstheme="minorHAnsi"/>
                <w:sz w:val="18"/>
                <w:szCs w:val="18"/>
              </w:rPr>
              <w:t xml:space="preserve"> PCTC Program</w:t>
            </w:r>
            <w:r w:rsidRPr="003D57F5">
              <w:rPr>
                <w:rFonts w:asciiTheme="minorHAnsi" w:hAnsiTheme="minorHAnsi" w:cstheme="minorHAnsi"/>
                <w:sz w:val="18"/>
                <w:szCs w:val="18"/>
              </w:rPr>
              <w:t xml:space="preserve"> cooperative.</w:t>
            </w:r>
          </w:p>
          <w:p w:rsidR="00591370" w:rsidRPr="003D57F5" w:rsidP="00FB0D5E" w14:paraId="5F105835" w14:textId="661C9C4C">
            <w:pPr>
              <w:spacing w:before="80" w:after="80"/>
              <w:rPr>
                <w:rFonts w:asciiTheme="minorHAnsi" w:hAnsiTheme="minorHAnsi" w:cstheme="minorHAnsi"/>
                <w:sz w:val="18"/>
                <w:szCs w:val="18"/>
              </w:rPr>
            </w:pPr>
            <w:r w:rsidRPr="003D57F5">
              <w:rPr>
                <w:rFonts w:asciiTheme="minorHAnsi" w:hAnsiTheme="minorHAnsi" w:cstheme="minorHAnsi"/>
                <w:sz w:val="18"/>
                <w:szCs w:val="18"/>
              </w:rPr>
              <w:t>Used by NMFS to monitor inter-cooperative transfers of cooperative quota</w:t>
            </w:r>
            <w:r>
              <w:rPr>
                <w:rFonts w:asciiTheme="minorHAnsi" w:hAnsiTheme="minorHAnsi" w:cstheme="minorHAnsi"/>
                <w:sz w:val="18"/>
                <w:szCs w:val="18"/>
              </w:rPr>
              <w:t xml:space="preserve"> and</w:t>
            </w:r>
            <w:r w:rsidRPr="00952D90">
              <w:rPr>
                <w:rFonts w:asciiTheme="minorHAnsi" w:hAnsiTheme="minorHAnsi" w:cstheme="minorHAnsi"/>
                <w:sz w:val="18"/>
                <w:szCs w:val="18"/>
              </w:rPr>
              <w:t xml:space="preserve"> ensure they do not exceed owner</w:t>
            </w:r>
            <w:r>
              <w:rPr>
                <w:rFonts w:asciiTheme="minorHAnsi" w:hAnsiTheme="minorHAnsi" w:cstheme="minorHAnsi"/>
                <w:sz w:val="18"/>
                <w:szCs w:val="18"/>
              </w:rPr>
              <w:t>ship or use caps.</w:t>
            </w:r>
          </w:p>
        </w:tc>
      </w:tr>
      <w:tr w14:paraId="6C7497C3" w14:textId="77777777" w:rsidTr="00560F96">
        <w:tblPrEx>
          <w:tblW w:w="12870" w:type="dxa"/>
          <w:tblLayout w:type="fixed"/>
          <w:tblLook w:val="04A0"/>
        </w:tblPrEx>
        <w:trPr>
          <w:trHeight w:val="741"/>
        </w:trPr>
        <w:tc>
          <w:tcPr>
            <w:tcW w:w="1972" w:type="dxa"/>
            <w:vAlign w:val="center"/>
          </w:tcPr>
          <w:p w:rsidR="00591370" w:rsidRPr="003D57F5" w:rsidP="004E23C4" w14:paraId="6028B818" w14:textId="07180851">
            <w:pPr>
              <w:rPr>
                <w:rFonts w:asciiTheme="minorHAnsi" w:hAnsiTheme="minorHAnsi" w:cstheme="minorHAnsi"/>
                <w:sz w:val="18"/>
                <w:szCs w:val="18"/>
              </w:rPr>
            </w:pPr>
            <w:r w:rsidRPr="003D57F5">
              <w:rPr>
                <w:rFonts w:asciiTheme="minorHAnsi" w:hAnsiTheme="minorHAnsi" w:cstheme="minorHAnsi"/>
                <w:sz w:val="18"/>
                <w:szCs w:val="18"/>
              </w:rPr>
              <w:t xml:space="preserve">Application for Transfer of </w:t>
            </w:r>
            <w:r>
              <w:t xml:space="preserve"> </w:t>
            </w:r>
            <w:r w:rsidRPr="00147F03">
              <w:rPr>
                <w:rFonts w:asciiTheme="minorHAnsi" w:hAnsiTheme="minorHAnsi" w:cstheme="minorHAnsi"/>
                <w:sz w:val="18"/>
                <w:szCs w:val="18"/>
              </w:rPr>
              <w:t xml:space="preserve">Pacific Cod Trawl Cooperative </w:t>
            </w:r>
            <w:r>
              <w:rPr>
                <w:rFonts w:asciiTheme="minorHAnsi" w:hAnsiTheme="minorHAnsi" w:cstheme="minorHAnsi"/>
                <w:sz w:val="18"/>
                <w:szCs w:val="18"/>
              </w:rPr>
              <w:t>Program Quota Share</w:t>
            </w:r>
            <w:r w:rsidRPr="003D57F5">
              <w:rPr>
                <w:rFonts w:asciiTheme="minorHAnsi" w:hAnsiTheme="minorHAnsi" w:cstheme="minorHAnsi"/>
                <w:sz w:val="18"/>
                <w:szCs w:val="18"/>
              </w:rPr>
              <w:t xml:space="preserve"> for Processors</w:t>
            </w:r>
          </w:p>
        </w:tc>
        <w:tc>
          <w:tcPr>
            <w:tcW w:w="1353" w:type="dxa"/>
            <w:vAlign w:val="center"/>
          </w:tcPr>
          <w:p w:rsidR="00591370" w:rsidRPr="003D57F5" w:rsidP="00591370" w14:paraId="152B6D8D" w14:textId="0B506761">
            <w:pPr>
              <w:jc w:val="center"/>
              <w:rPr>
                <w:rFonts w:asciiTheme="minorHAnsi" w:hAnsiTheme="minorHAnsi" w:cstheme="minorHAnsi"/>
                <w:sz w:val="18"/>
                <w:szCs w:val="18"/>
              </w:rPr>
            </w:pPr>
            <w:r>
              <w:rPr>
                <w:rFonts w:asciiTheme="minorHAnsi" w:hAnsiTheme="minorHAnsi" w:cstheme="minorHAnsi"/>
                <w:sz w:val="18"/>
                <w:szCs w:val="18"/>
              </w:rPr>
              <w:t>50 CFR</w:t>
            </w:r>
            <w:r>
              <w:rPr>
                <w:rFonts w:asciiTheme="minorHAnsi" w:hAnsiTheme="minorHAnsi" w:cstheme="minorHAnsi"/>
                <w:sz w:val="18"/>
                <w:szCs w:val="18"/>
              </w:rPr>
              <w:t xml:space="preserve"> 679.130(j)(3)</w:t>
            </w:r>
          </w:p>
        </w:tc>
        <w:tc>
          <w:tcPr>
            <w:tcW w:w="1530" w:type="dxa"/>
            <w:vAlign w:val="center"/>
          </w:tcPr>
          <w:p w:rsidR="00591370" w:rsidRPr="003D57F5" w:rsidP="004E23C4" w14:paraId="4845BDB3" w14:textId="7609D614">
            <w:pPr>
              <w:rPr>
                <w:rFonts w:asciiTheme="minorHAnsi" w:hAnsiTheme="minorHAnsi" w:cstheme="minorHAnsi"/>
                <w:sz w:val="18"/>
                <w:szCs w:val="18"/>
              </w:rPr>
            </w:pPr>
            <w:r>
              <w:rPr>
                <w:rFonts w:asciiTheme="minorHAnsi" w:hAnsiTheme="minorHAnsi" w:cstheme="minorHAnsi"/>
                <w:sz w:val="18"/>
                <w:szCs w:val="18"/>
              </w:rPr>
              <w:t>PCTC Program processor</w:t>
            </w:r>
          </w:p>
        </w:tc>
        <w:tc>
          <w:tcPr>
            <w:tcW w:w="810" w:type="dxa"/>
            <w:vAlign w:val="center"/>
          </w:tcPr>
          <w:p w:rsidR="00591370" w:rsidRPr="003D57F5" w:rsidP="00591370" w14:paraId="3E16853A" w14:textId="5B278F9B">
            <w:pPr>
              <w:jc w:val="center"/>
              <w:rPr>
                <w:rFonts w:asciiTheme="minorHAnsi" w:hAnsiTheme="minorHAnsi" w:cstheme="minorHAnsi"/>
                <w:sz w:val="18"/>
                <w:szCs w:val="18"/>
              </w:rPr>
            </w:pPr>
            <w:r w:rsidRPr="003D57F5">
              <w:rPr>
                <w:rFonts w:asciiTheme="minorHAnsi" w:hAnsiTheme="minorHAnsi" w:cstheme="minorHAnsi"/>
                <w:sz w:val="18"/>
                <w:szCs w:val="18"/>
              </w:rPr>
              <w:t>Yes</w:t>
            </w:r>
          </w:p>
        </w:tc>
        <w:tc>
          <w:tcPr>
            <w:tcW w:w="1530" w:type="dxa"/>
            <w:vAlign w:val="center"/>
          </w:tcPr>
          <w:p w:rsidR="00591370" w:rsidRPr="003D57F5" w:rsidP="000C4F01" w14:paraId="0101D518" w14:textId="0937AD60">
            <w:pPr>
              <w:rPr>
                <w:rFonts w:asciiTheme="minorHAnsi" w:hAnsiTheme="minorHAnsi" w:cstheme="minorHAnsi"/>
                <w:sz w:val="18"/>
                <w:szCs w:val="18"/>
              </w:rPr>
            </w:pPr>
            <w:r w:rsidRPr="00264B92">
              <w:rPr>
                <w:rFonts w:asciiTheme="minorHAnsi" w:hAnsiTheme="minorHAnsi" w:cstheme="minorHAnsi"/>
                <w:sz w:val="18"/>
                <w:szCs w:val="18"/>
              </w:rPr>
              <w:t>Mail, deliver</w:t>
            </w:r>
            <w:r>
              <w:rPr>
                <w:rFonts w:asciiTheme="minorHAnsi" w:hAnsiTheme="minorHAnsi" w:cstheme="minorHAnsi"/>
                <w:sz w:val="18"/>
                <w:szCs w:val="18"/>
              </w:rPr>
              <w:t>y</w:t>
            </w:r>
            <w:r w:rsidRPr="00264B92">
              <w:rPr>
                <w:rFonts w:asciiTheme="minorHAnsi" w:hAnsiTheme="minorHAnsi" w:cstheme="minorHAnsi"/>
                <w:sz w:val="18"/>
                <w:szCs w:val="18"/>
              </w:rPr>
              <w:t>, fax</w:t>
            </w:r>
          </w:p>
        </w:tc>
        <w:tc>
          <w:tcPr>
            <w:tcW w:w="1170" w:type="dxa"/>
            <w:vAlign w:val="center"/>
          </w:tcPr>
          <w:p w:rsidR="00591370" w:rsidRPr="003D57F5" w:rsidP="004E23C4" w14:paraId="36BCE866" w14:textId="4AEF6477">
            <w:pPr>
              <w:rPr>
                <w:rFonts w:asciiTheme="minorHAnsi" w:hAnsiTheme="minorHAnsi" w:cstheme="minorHAnsi"/>
                <w:sz w:val="18"/>
                <w:szCs w:val="18"/>
              </w:rPr>
            </w:pPr>
            <w:r>
              <w:rPr>
                <w:rFonts w:asciiTheme="minorHAnsi" w:hAnsiTheme="minorHAnsi" w:cstheme="minorHAnsi"/>
                <w:sz w:val="18"/>
                <w:szCs w:val="18"/>
              </w:rPr>
              <w:t>As needed</w:t>
            </w:r>
          </w:p>
        </w:tc>
        <w:tc>
          <w:tcPr>
            <w:tcW w:w="1260" w:type="dxa"/>
            <w:vAlign w:val="center"/>
          </w:tcPr>
          <w:p w:rsidR="00591370" w:rsidRPr="003D57F5" w:rsidP="004E23C4" w14:paraId="4784D0D6" w14:textId="0CEAA218">
            <w:pPr>
              <w:rPr>
                <w:rFonts w:asciiTheme="minorHAnsi" w:hAnsiTheme="minorHAnsi" w:cstheme="minorHAnsi"/>
                <w:sz w:val="18"/>
                <w:szCs w:val="18"/>
              </w:rPr>
            </w:pPr>
            <w:r w:rsidRPr="00392AA9">
              <w:rPr>
                <w:rFonts w:asciiTheme="minorHAnsi" w:hAnsiTheme="minorHAnsi" w:cstheme="minorHAnsi"/>
                <w:sz w:val="18"/>
                <w:szCs w:val="18"/>
              </w:rPr>
              <w:t>Required to Obtain or Retain Benefits</w:t>
            </w:r>
          </w:p>
        </w:tc>
        <w:tc>
          <w:tcPr>
            <w:tcW w:w="3245" w:type="dxa"/>
            <w:vAlign w:val="center"/>
          </w:tcPr>
          <w:p w:rsidR="00591370" w:rsidP="00591370" w14:paraId="3AA5061A" w14:textId="77777777">
            <w:pPr>
              <w:spacing w:before="80" w:after="80"/>
              <w:rPr>
                <w:rFonts w:asciiTheme="minorHAnsi" w:hAnsiTheme="minorHAnsi" w:cstheme="minorHAnsi"/>
                <w:sz w:val="18"/>
                <w:szCs w:val="18"/>
              </w:rPr>
            </w:pPr>
            <w:r>
              <w:rPr>
                <w:rFonts w:asciiTheme="minorHAnsi" w:hAnsiTheme="minorHAnsi" w:cstheme="minorHAnsi"/>
                <w:sz w:val="18"/>
                <w:szCs w:val="18"/>
              </w:rPr>
              <w:t>Used by a PCTC Program processor to transfer QS to an eligible PCTC Program processor.</w:t>
            </w:r>
          </w:p>
          <w:p w:rsidR="00591370" w:rsidRPr="003D57F5" w:rsidP="00591370" w14:paraId="3E58B716" w14:textId="67EE439F">
            <w:pPr>
              <w:spacing w:before="80" w:after="80"/>
              <w:rPr>
                <w:rFonts w:asciiTheme="minorHAnsi" w:hAnsiTheme="minorHAnsi" w:cstheme="minorHAnsi"/>
                <w:sz w:val="18"/>
                <w:szCs w:val="18"/>
              </w:rPr>
            </w:pPr>
            <w:r>
              <w:rPr>
                <w:rFonts w:asciiTheme="minorHAnsi" w:hAnsiTheme="minorHAnsi" w:cstheme="minorHAnsi"/>
                <w:sz w:val="18"/>
                <w:szCs w:val="18"/>
              </w:rPr>
              <w:t>Used by NMFS to monitor transfers of processor QS an</w:t>
            </w:r>
            <w:r w:rsidRPr="00921561">
              <w:rPr>
                <w:rFonts w:asciiTheme="minorHAnsi" w:hAnsiTheme="minorHAnsi" w:cstheme="minorHAnsi"/>
                <w:sz w:val="18"/>
                <w:szCs w:val="18"/>
              </w:rPr>
              <w:t>d ensur</w:t>
            </w:r>
            <w:r w:rsidRPr="00921561">
              <w:rPr>
                <w:rFonts w:asciiTheme="minorHAnsi" w:hAnsiTheme="minorHAnsi" w:cstheme="minorHAnsi"/>
                <w:sz w:val="18"/>
                <w:szCs w:val="18"/>
              </w:rPr>
              <w:t>e they do not exceed ownership or use caps.</w:t>
            </w:r>
          </w:p>
        </w:tc>
      </w:tr>
      <w:tr w14:paraId="762085A6" w14:textId="77777777" w:rsidTr="00560F96">
        <w:tblPrEx>
          <w:tblW w:w="12870" w:type="dxa"/>
          <w:tblLayout w:type="fixed"/>
          <w:tblLook w:val="04A0"/>
        </w:tblPrEx>
        <w:trPr>
          <w:trHeight w:val="1835"/>
        </w:trPr>
        <w:tc>
          <w:tcPr>
            <w:tcW w:w="1972" w:type="dxa"/>
            <w:vAlign w:val="center"/>
          </w:tcPr>
          <w:p w:rsidR="00591370" w:rsidRPr="003D57F5" w:rsidP="00E87CD1" w14:paraId="4FEF182A" w14:textId="59ED79A7">
            <w:pPr>
              <w:rPr>
                <w:rFonts w:asciiTheme="minorHAnsi" w:hAnsiTheme="minorHAnsi" w:cstheme="minorHAnsi"/>
                <w:sz w:val="18"/>
                <w:szCs w:val="18"/>
              </w:rPr>
            </w:pPr>
            <w:r>
              <w:rPr>
                <w:rFonts w:asciiTheme="minorHAnsi" w:hAnsiTheme="minorHAnsi" w:cstheme="minorHAnsi"/>
                <w:sz w:val="18"/>
                <w:szCs w:val="18"/>
              </w:rPr>
              <w:t>Notification of Intent to P</w:t>
            </w:r>
            <w:r w:rsidRPr="003D57F5">
              <w:rPr>
                <w:rFonts w:asciiTheme="minorHAnsi" w:hAnsiTheme="minorHAnsi" w:cstheme="minorHAnsi"/>
                <w:sz w:val="18"/>
                <w:szCs w:val="18"/>
              </w:rPr>
              <w:t>rocess Pacific cod</w:t>
            </w:r>
          </w:p>
        </w:tc>
        <w:tc>
          <w:tcPr>
            <w:tcW w:w="1353" w:type="dxa"/>
            <w:vAlign w:val="center"/>
          </w:tcPr>
          <w:p w:rsidR="00591370" w:rsidRPr="003D57F5" w:rsidP="00591370" w14:paraId="227ED4B5" w14:textId="78A60B5F">
            <w:pPr>
              <w:jc w:val="center"/>
              <w:rPr>
                <w:rFonts w:asciiTheme="minorHAnsi" w:hAnsiTheme="minorHAnsi" w:cstheme="minorHAnsi"/>
                <w:sz w:val="18"/>
                <w:szCs w:val="18"/>
              </w:rPr>
            </w:pPr>
            <w:r>
              <w:rPr>
                <w:rFonts w:asciiTheme="minorHAnsi" w:hAnsiTheme="minorHAnsi" w:cstheme="minorHAnsi"/>
                <w:sz w:val="18"/>
                <w:szCs w:val="18"/>
              </w:rPr>
              <w:t>50 CFR</w:t>
            </w:r>
            <w:r w:rsidRPr="003D57F5">
              <w:rPr>
                <w:rFonts w:asciiTheme="minorHAnsi" w:hAnsiTheme="minorHAnsi" w:cstheme="minorHAnsi"/>
                <w:sz w:val="18"/>
                <w:szCs w:val="18"/>
              </w:rPr>
              <w:t xml:space="preserve"> 679.132(b)</w:t>
            </w:r>
          </w:p>
        </w:tc>
        <w:tc>
          <w:tcPr>
            <w:tcW w:w="1530" w:type="dxa"/>
            <w:vAlign w:val="center"/>
          </w:tcPr>
          <w:p w:rsidR="00591370" w:rsidRPr="003D57F5" w:rsidP="004E23C4" w14:paraId="18255172" w14:textId="61F3DD63">
            <w:pPr>
              <w:rPr>
                <w:rFonts w:asciiTheme="minorHAnsi" w:hAnsiTheme="minorHAnsi" w:cstheme="minorHAnsi"/>
                <w:sz w:val="18"/>
                <w:szCs w:val="18"/>
              </w:rPr>
            </w:pPr>
            <w:r w:rsidRPr="003D57F5">
              <w:rPr>
                <w:rFonts w:asciiTheme="minorHAnsi" w:hAnsiTheme="minorHAnsi" w:cstheme="minorHAnsi"/>
                <w:sz w:val="18"/>
                <w:szCs w:val="18"/>
              </w:rPr>
              <w:t>representative of the City of Adak; representative of the City of Atka</w:t>
            </w:r>
          </w:p>
        </w:tc>
        <w:tc>
          <w:tcPr>
            <w:tcW w:w="810" w:type="dxa"/>
            <w:vAlign w:val="center"/>
          </w:tcPr>
          <w:p w:rsidR="00591370" w:rsidRPr="003D57F5" w:rsidP="00591370" w14:paraId="76B2E83C" w14:textId="6688007D">
            <w:pPr>
              <w:jc w:val="center"/>
              <w:rPr>
                <w:rFonts w:asciiTheme="minorHAnsi" w:hAnsiTheme="minorHAnsi" w:cstheme="minorHAnsi"/>
                <w:sz w:val="18"/>
                <w:szCs w:val="18"/>
              </w:rPr>
            </w:pPr>
            <w:r w:rsidRPr="003D57F5">
              <w:rPr>
                <w:rFonts w:asciiTheme="minorHAnsi" w:hAnsiTheme="minorHAnsi" w:cstheme="minorHAnsi"/>
                <w:sz w:val="18"/>
                <w:szCs w:val="18"/>
              </w:rPr>
              <w:t>No</w:t>
            </w:r>
          </w:p>
        </w:tc>
        <w:tc>
          <w:tcPr>
            <w:tcW w:w="1530" w:type="dxa"/>
            <w:vAlign w:val="center"/>
          </w:tcPr>
          <w:p w:rsidR="00591370" w:rsidRPr="003D57F5" w:rsidP="004E23C4" w14:paraId="488446C0" w14:textId="0A87A1D7">
            <w:pPr>
              <w:rPr>
                <w:rFonts w:asciiTheme="minorHAnsi" w:hAnsiTheme="minorHAnsi" w:cstheme="minorHAnsi"/>
                <w:sz w:val="18"/>
                <w:szCs w:val="18"/>
              </w:rPr>
            </w:pPr>
            <w:r w:rsidRPr="003D57F5">
              <w:rPr>
                <w:rFonts w:asciiTheme="minorHAnsi" w:hAnsiTheme="minorHAnsi" w:cstheme="minorHAnsi"/>
                <w:sz w:val="18"/>
                <w:szCs w:val="18"/>
              </w:rPr>
              <w:t>email</w:t>
            </w:r>
          </w:p>
        </w:tc>
        <w:tc>
          <w:tcPr>
            <w:tcW w:w="1170" w:type="dxa"/>
            <w:vAlign w:val="center"/>
          </w:tcPr>
          <w:p w:rsidR="00591370" w:rsidRPr="003D57F5" w:rsidP="004E23C4" w14:paraId="2AD42774" w14:textId="10587433">
            <w:pPr>
              <w:rPr>
                <w:rFonts w:asciiTheme="minorHAnsi" w:hAnsiTheme="minorHAnsi" w:cstheme="minorHAnsi"/>
                <w:sz w:val="18"/>
                <w:szCs w:val="18"/>
              </w:rPr>
            </w:pPr>
            <w:r w:rsidRPr="003D57F5">
              <w:rPr>
                <w:rFonts w:asciiTheme="minorHAnsi" w:hAnsiTheme="minorHAnsi" w:cstheme="minorHAnsi"/>
                <w:sz w:val="18"/>
                <w:szCs w:val="18"/>
              </w:rPr>
              <w:t>Annually</w:t>
            </w:r>
          </w:p>
        </w:tc>
        <w:tc>
          <w:tcPr>
            <w:tcW w:w="1260" w:type="dxa"/>
            <w:vAlign w:val="center"/>
          </w:tcPr>
          <w:p w:rsidR="00591370" w:rsidRPr="003D57F5" w:rsidP="004E23C4" w14:paraId="0A0E363A" w14:textId="4EF185E4">
            <w:pPr>
              <w:rPr>
                <w:rFonts w:asciiTheme="minorHAnsi" w:hAnsiTheme="minorHAnsi" w:cstheme="minorHAnsi"/>
                <w:sz w:val="18"/>
                <w:szCs w:val="18"/>
              </w:rPr>
            </w:pPr>
            <w:r w:rsidRPr="00090E50">
              <w:rPr>
                <w:rFonts w:asciiTheme="minorHAnsi" w:hAnsiTheme="minorHAnsi" w:cstheme="minorHAnsi"/>
                <w:sz w:val="18"/>
                <w:szCs w:val="18"/>
              </w:rPr>
              <w:t>Required to Obtain or Retain Benefits</w:t>
            </w:r>
          </w:p>
        </w:tc>
        <w:tc>
          <w:tcPr>
            <w:tcW w:w="3245" w:type="dxa"/>
            <w:vAlign w:val="center"/>
          </w:tcPr>
          <w:p w:rsidR="00591370" w:rsidP="00591370" w14:paraId="46E2E7C6" w14:textId="464844E7">
            <w:pPr>
              <w:spacing w:before="80" w:after="80"/>
              <w:rPr>
                <w:rFonts w:asciiTheme="minorHAnsi" w:hAnsiTheme="minorHAnsi" w:cstheme="minorHAnsi"/>
                <w:sz w:val="18"/>
                <w:szCs w:val="18"/>
              </w:rPr>
            </w:pPr>
            <w:r>
              <w:rPr>
                <w:rFonts w:asciiTheme="minorHAnsi" w:hAnsiTheme="minorHAnsi" w:cstheme="minorHAnsi"/>
                <w:sz w:val="18"/>
                <w:szCs w:val="18"/>
              </w:rPr>
              <w:t xml:space="preserve">Used the by the city to notify NMFS that it intends </w:t>
            </w:r>
            <w:r w:rsidRPr="00580711">
              <w:rPr>
                <w:rFonts w:asciiTheme="minorHAnsi" w:hAnsiTheme="minorHAnsi" w:cstheme="minorHAnsi"/>
                <w:sz w:val="18"/>
                <w:szCs w:val="18"/>
              </w:rPr>
              <w:t>to process PCTC Program Pacific cod during the upcoming fishing year.</w:t>
            </w:r>
          </w:p>
          <w:p w:rsidR="00591370" w:rsidRPr="003D57F5" w:rsidP="00591370" w14:paraId="159AFE75" w14:textId="0140EC94">
            <w:pPr>
              <w:spacing w:before="80" w:after="80"/>
              <w:rPr>
                <w:rFonts w:asciiTheme="minorHAnsi" w:hAnsiTheme="minorHAnsi" w:cstheme="minorHAnsi"/>
                <w:sz w:val="18"/>
                <w:szCs w:val="18"/>
              </w:rPr>
            </w:pPr>
            <w:r>
              <w:rPr>
                <w:rFonts w:asciiTheme="minorHAnsi" w:hAnsiTheme="minorHAnsi" w:cstheme="minorHAnsi"/>
                <w:sz w:val="18"/>
                <w:szCs w:val="18"/>
              </w:rPr>
              <w:t>Used by NMFS to implement the Aleutian Islands CQ set-aside that would be in effect the upcoming fishing year.</w:t>
            </w:r>
          </w:p>
        </w:tc>
      </w:tr>
      <w:tr w14:paraId="3F9C48B2" w14:textId="77777777" w:rsidTr="00560F96">
        <w:tblPrEx>
          <w:tblW w:w="12870" w:type="dxa"/>
          <w:tblLayout w:type="fixed"/>
          <w:tblLook w:val="04A0"/>
        </w:tblPrEx>
        <w:trPr>
          <w:trHeight w:val="1323"/>
        </w:trPr>
        <w:tc>
          <w:tcPr>
            <w:tcW w:w="1972" w:type="dxa"/>
            <w:vAlign w:val="center"/>
          </w:tcPr>
          <w:p w:rsidR="00591370" w:rsidRPr="003D57F5" w:rsidP="004E23C4" w14:paraId="58B42584" w14:textId="3067A6BD">
            <w:pPr>
              <w:rPr>
                <w:rFonts w:asciiTheme="minorHAnsi" w:hAnsiTheme="minorHAnsi" w:cstheme="minorHAnsi"/>
                <w:sz w:val="18"/>
                <w:szCs w:val="18"/>
              </w:rPr>
            </w:pPr>
            <w:r w:rsidRPr="003D57F5">
              <w:rPr>
                <w:rFonts w:asciiTheme="minorHAnsi" w:hAnsiTheme="minorHAnsi" w:cstheme="minorHAnsi"/>
                <w:sz w:val="18"/>
                <w:szCs w:val="18"/>
              </w:rPr>
              <w:t xml:space="preserve">Ninety Day Transfer </w:t>
            </w:r>
            <w:r w:rsidRPr="003D57F5">
              <w:rPr>
                <w:rFonts w:asciiTheme="minorHAnsi" w:hAnsiTheme="minorHAnsi" w:cstheme="minorHAnsi"/>
                <w:sz w:val="18"/>
                <w:szCs w:val="18"/>
              </w:rPr>
              <w:t>Window for Non-Exempt AFA LLP holders</w:t>
            </w:r>
          </w:p>
        </w:tc>
        <w:tc>
          <w:tcPr>
            <w:tcW w:w="1353" w:type="dxa"/>
            <w:vAlign w:val="center"/>
          </w:tcPr>
          <w:p w:rsidR="00591370" w:rsidRPr="003D57F5" w:rsidP="00591370" w14:paraId="12102EAB" w14:textId="76EA9FE3">
            <w:pPr>
              <w:jc w:val="center"/>
              <w:rPr>
                <w:rFonts w:asciiTheme="minorHAnsi" w:hAnsiTheme="minorHAnsi" w:cstheme="minorHAnsi"/>
                <w:sz w:val="18"/>
                <w:szCs w:val="18"/>
              </w:rPr>
            </w:pPr>
            <w:r>
              <w:rPr>
                <w:rFonts w:asciiTheme="minorHAnsi" w:hAnsiTheme="minorHAnsi" w:cstheme="minorHAnsi"/>
                <w:sz w:val="18"/>
                <w:szCs w:val="18"/>
              </w:rPr>
              <w:t>50 CFR</w:t>
            </w:r>
            <w:r w:rsidRPr="003D57F5">
              <w:rPr>
                <w:rFonts w:asciiTheme="minorHAnsi" w:hAnsiTheme="minorHAnsi" w:cstheme="minorHAnsi"/>
                <w:sz w:val="18"/>
                <w:szCs w:val="18"/>
              </w:rPr>
              <w:t xml:space="preserve"> 679.130</w:t>
            </w:r>
            <w:r>
              <w:rPr>
                <w:rFonts w:asciiTheme="minorHAnsi" w:hAnsiTheme="minorHAnsi" w:cstheme="minorHAnsi"/>
                <w:sz w:val="18"/>
                <w:szCs w:val="18"/>
              </w:rPr>
              <w:t>(g)(4)</w:t>
            </w:r>
          </w:p>
        </w:tc>
        <w:tc>
          <w:tcPr>
            <w:tcW w:w="1530" w:type="dxa"/>
            <w:vAlign w:val="center"/>
          </w:tcPr>
          <w:p w:rsidR="00591370" w:rsidRPr="003D57F5" w:rsidP="004E23C4" w14:paraId="55BE0FFA" w14:textId="7FCA81CD">
            <w:pPr>
              <w:rPr>
                <w:rFonts w:asciiTheme="minorHAnsi" w:hAnsiTheme="minorHAnsi" w:cstheme="minorHAnsi"/>
                <w:sz w:val="18"/>
                <w:szCs w:val="18"/>
              </w:rPr>
            </w:pPr>
            <w:r w:rsidRPr="00230B26">
              <w:rPr>
                <w:rFonts w:asciiTheme="minorHAnsi" w:hAnsiTheme="minorHAnsi" w:cstheme="minorHAnsi"/>
                <w:sz w:val="18"/>
                <w:szCs w:val="18"/>
              </w:rPr>
              <w:t>owners of LLP licenses that are associated with AFA non-exempt catcher vessels</w:t>
            </w:r>
          </w:p>
        </w:tc>
        <w:tc>
          <w:tcPr>
            <w:tcW w:w="810" w:type="dxa"/>
            <w:vAlign w:val="center"/>
          </w:tcPr>
          <w:p w:rsidR="00591370" w:rsidRPr="003D57F5" w:rsidP="003C23F5" w14:paraId="11DB1750" w14:textId="57C22E38">
            <w:pPr>
              <w:jc w:val="center"/>
              <w:rPr>
                <w:rFonts w:asciiTheme="minorHAnsi" w:hAnsiTheme="minorHAnsi" w:cstheme="minorHAnsi"/>
                <w:sz w:val="18"/>
                <w:szCs w:val="18"/>
              </w:rPr>
            </w:pPr>
            <w:r>
              <w:rPr>
                <w:rFonts w:asciiTheme="minorHAnsi" w:hAnsiTheme="minorHAnsi" w:cstheme="minorHAnsi"/>
                <w:sz w:val="18"/>
                <w:szCs w:val="18"/>
              </w:rPr>
              <w:t>No</w:t>
            </w:r>
          </w:p>
        </w:tc>
        <w:tc>
          <w:tcPr>
            <w:tcW w:w="1530" w:type="dxa"/>
            <w:vAlign w:val="center"/>
          </w:tcPr>
          <w:p w:rsidR="00591370" w:rsidRPr="003D57F5" w:rsidP="004E23C4" w14:paraId="1D1A0C97" w14:textId="536B9D86">
            <w:pPr>
              <w:rPr>
                <w:rFonts w:asciiTheme="minorHAnsi" w:hAnsiTheme="minorHAnsi" w:cstheme="minorHAnsi"/>
                <w:sz w:val="18"/>
                <w:szCs w:val="18"/>
              </w:rPr>
            </w:pPr>
            <w:r>
              <w:rPr>
                <w:rFonts w:asciiTheme="minorHAnsi" w:hAnsiTheme="minorHAnsi" w:cstheme="minorHAnsi"/>
                <w:sz w:val="18"/>
                <w:szCs w:val="18"/>
              </w:rPr>
              <w:t>mail</w:t>
            </w:r>
          </w:p>
        </w:tc>
        <w:tc>
          <w:tcPr>
            <w:tcW w:w="1170" w:type="dxa"/>
            <w:vAlign w:val="center"/>
          </w:tcPr>
          <w:p w:rsidR="00591370" w:rsidRPr="003D57F5" w:rsidP="004E23C4" w14:paraId="4756F604" w14:textId="489447A4">
            <w:pPr>
              <w:rPr>
                <w:rFonts w:asciiTheme="minorHAnsi" w:hAnsiTheme="minorHAnsi" w:cstheme="minorHAnsi"/>
                <w:sz w:val="18"/>
                <w:szCs w:val="18"/>
              </w:rPr>
            </w:pPr>
            <w:r w:rsidRPr="002C0E65">
              <w:rPr>
                <w:rFonts w:asciiTheme="minorHAnsi" w:hAnsiTheme="minorHAnsi" w:cstheme="minorHAnsi"/>
                <w:sz w:val="18"/>
                <w:szCs w:val="18"/>
              </w:rPr>
              <w:t>Once, at the onset of the program</w:t>
            </w:r>
          </w:p>
        </w:tc>
        <w:tc>
          <w:tcPr>
            <w:tcW w:w="1260" w:type="dxa"/>
            <w:vAlign w:val="center"/>
          </w:tcPr>
          <w:p w:rsidR="00591370" w:rsidRPr="003D57F5" w:rsidP="004E23C4" w14:paraId="4CBF9B48" w14:textId="46A6E84B">
            <w:pPr>
              <w:rPr>
                <w:rFonts w:asciiTheme="minorHAnsi" w:hAnsiTheme="minorHAnsi" w:cstheme="minorHAnsi"/>
                <w:sz w:val="18"/>
                <w:szCs w:val="18"/>
              </w:rPr>
            </w:pPr>
            <w:r w:rsidRPr="00827C35">
              <w:rPr>
                <w:rFonts w:asciiTheme="minorHAnsi" w:hAnsiTheme="minorHAnsi" w:cstheme="minorHAnsi"/>
                <w:sz w:val="18"/>
                <w:szCs w:val="18"/>
              </w:rPr>
              <w:t>Required to Obtain or Retain Benefits</w:t>
            </w:r>
          </w:p>
        </w:tc>
        <w:tc>
          <w:tcPr>
            <w:tcW w:w="3245" w:type="dxa"/>
            <w:vAlign w:val="center"/>
          </w:tcPr>
          <w:p w:rsidR="00591370" w:rsidP="00591370" w14:paraId="2571EAE2" w14:textId="77777777">
            <w:pPr>
              <w:spacing w:before="80" w:after="80"/>
              <w:rPr>
                <w:rFonts w:asciiTheme="minorHAnsi" w:hAnsiTheme="minorHAnsi" w:cstheme="minorHAnsi"/>
                <w:sz w:val="18"/>
                <w:szCs w:val="18"/>
              </w:rPr>
            </w:pPr>
            <w:r>
              <w:rPr>
                <w:rFonts w:asciiTheme="minorHAnsi" w:hAnsiTheme="minorHAnsi" w:cstheme="minorHAnsi"/>
                <w:sz w:val="18"/>
                <w:szCs w:val="18"/>
              </w:rPr>
              <w:t>Used by LLP license holder to transfer</w:t>
            </w:r>
            <w:r>
              <w:rPr>
                <w:rFonts w:asciiTheme="minorHAnsi" w:hAnsiTheme="minorHAnsi" w:cstheme="minorHAnsi"/>
                <w:sz w:val="18"/>
                <w:szCs w:val="18"/>
              </w:rPr>
              <w:t xml:space="preserve"> QS</w:t>
            </w:r>
          </w:p>
          <w:p w:rsidR="00591370" w:rsidRPr="003D57F5" w:rsidP="00591370" w14:paraId="0B61BCFF" w14:textId="34ECAE6B">
            <w:pPr>
              <w:spacing w:before="80" w:after="80"/>
              <w:rPr>
                <w:rFonts w:asciiTheme="minorHAnsi" w:hAnsiTheme="minorHAnsi" w:cstheme="minorHAnsi"/>
                <w:sz w:val="18"/>
                <w:szCs w:val="18"/>
              </w:rPr>
            </w:pPr>
            <w:r>
              <w:rPr>
                <w:rFonts w:asciiTheme="minorHAnsi" w:hAnsiTheme="minorHAnsi" w:cstheme="minorHAnsi"/>
                <w:sz w:val="18"/>
                <w:szCs w:val="18"/>
              </w:rPr>
              <w:t>Used by NMFS to execute permanent transfer of QS between eligible LLP licenses.</w:t>
            </w:r>
          </w:p>
        </w:tc>
      </w:tr>
      <w:tr w14:paraId="5EC260BD" w14:textId="77777777" w:rsidTr="00560F96">
        <w:tblPrEx>
          <w:tblW w:w="12870" w:type="dxa"/>
          <w:tblLayout w:type="fixed"/>
          <w:tblLook w:val="04A0"/>
        </w:tblPrEx>
        <w:trPr>
          <w:trHeight w:val="878"/>
        </w:trPr>
        <w:tc>
          <w:tcPr>
            <w:tcW w:w="1972" w:type="dxa"/>
            <w:vAlign w:val="center"/>
          </w:tcPr>
          <w:p w:rsidR="00591370" w:rsidRPr="003D57F5" w:rsidP="004E23C4" w14:paraId="63A98C9D" w14:textId="1301226B">
            <w:pPr>
              <w:rPr>
                <w:rFonts w:asciiTheme="minorHAnsi" w:hAnsiTheme="minorHAnsi" w:cstheme="minorHAnsi"/>
                <w:sz w:val="18"/>
                <w:szCs w:val="18"/>
                <w:highlight w:val="cyan"/>
              </w:rPr>
            </w:pPr>
            <w:r w:rsidRPr="003D57F5">
              <w:rPr>
                <w:rFonts w:asciiTheme="minorHAnsi" w:hAnsiTheme="minorHAnsi" w:cstheme="minorHAnsi"/>
                <w:sz w:val="18"/>
                <w:szCs w:val="18"/>
              </w:rPr>
              <w:t>Appeals</w:t>
            </w:r>
          </w:p>
        </w:tc>
        <w:tc>
          <w:tcPr>
            <w:tcW w:w="1353" w:type="dxa"/>
            <w:vAlign w:val="center"/>
          </w:tcPr>
          <w:p w:rsidR="00591370" w:rsidRPr="003D57F5" w:rsidP="00591370" w14:paraId="7A8440D8" w14:textId="78DE1986">
            <w:pPr>
              <w:jc w:val="center"/>
              <w:rPr>
                <w:rFonts w:asciiTheme="minorHAnsi" w:hAnsiTheme="minorHAnsi" w:cstheme="minorHAnsi"/>
                <w:sz w:val="18"/>
                <w:szCs w:val="18"/>
              </w:rPr>
            </w:pPr>
            <w:r>
              <w:rPr>
                <w:rFonts w:asciiTheme="minorHAnsi" w:hAnsiTheme="minorHAnsi" w:cstheme="minorHAnsi"/>
                <w:sz w:val="18"/>
                <w:szCs w:val="18"/>
              </w:rPr>
              <w:t xml:space="preserve">50 CFR 679.130(h)(5) and </w:t>
            </w:r>
            <w:hyperlink r:id="rId9" w:anchor="se15.3.906_14" w:history="1">
              <w:r w:rsidRPr="00677E8D">
                <w:rPr>
                  <w:rStyle w:val="Hyperlink"/>
                  <w:rFonts w:asciiTheme="minorHAnsi" w:hAnsiTheme="minorHAnsi" w:cstheme="minorHAnsi"/>
                  <w:sz w:val="18"/>
                  <w:szCs w:val="18"/>
                </w:rPr>
                <w:t>15 CFR 906</w:t>
              </w:r>
            </w:hyperlink>
          </w:p>
        </w:tc>
        <w:tc>
          <w:tcPr>
            <w:tcW w:w="1530" w:type="dxa"/>
            <w:vAlign w:val="center"/>
          </w:tcPr>
          <w:p w:rsidR="00591370" w:rsidRPr="003D57F5" w:rsidP="004E23C4" w14:paraId="3EB88831" w14:textId="0D45BA71">
            <w:pPr>
              <w:rPr>
                <w:rFonts w:asciiTheme="minorHAnsi" w:hAnsiTheme="minorHAnsi" w:cstheme="minorHAnsi"/>
                <w:sz w:val="18"/>
                <w:szCs w:val="18"/>
              </w:rPr>
            </w:pPr>
            <w:r>
              <w:rPr>
                <w:rFonts w:asciiTheme="minorHAnsi" w:hAnsiTheme="minorHAnsi" w:cstheme="minorHAnsi"/>
                <w:sz w:val="18"/>
                <w:szCs w:val="18"/>
              </w:rPr>
              <w:t>QS holder</w:t>
            </w:r>
          </w:p>
        </w:tc>
        <w:tc>
          <w:tcPr>
            <w:tcW w:w="810" w:type="dxa"/>
            <w:vAlign w:val="center"/>
          </w:tcPr>
          <w:p w:rsidR="00591370" w:rsidRPr="003D57F5" w:rsidP="00591370" w14:paraId="484DA507" w14:textId="4B20DBF8">
            <w:pPr>
              <w:jc w:val="center"/>
              <w:rPr>
                <w:rFonts w:asciiTheme="minorHAnsi" w:hAnsiTheme="minorHAnsi" w:cstheme="minorHAnsi"/>
                <w:sz w:val="18"/>
                <w:szCs w:val="18"/>
              </w:rPr>
            </w:pPr>
            <w:r>
              <w:rPr>
                <w:rFonts w:asciiTheme="minorHAnsi" w:hAnsiTheme="minorHAnsi" w:cstheme="minorHAnsi"/>
                <w:sz w:val="18"/>
                <w:szCs w:val="18"/>
              </w:rPr>
              <w:t>No</w:t>
            </w:r>
          </w:p>
        </w:tc>
        <w:tc>
          <w:tcPr>
            <w:tcW w:w="1530" w:type="dxa"/>
            <w:vAlign w:val="center"/>
          </w:tcPr>
          <w:p w:rsidR="00591370" w:rsidRPr="003D57F5" w:rsidP="004E23C4" w14:paraId="65C0E697" w14:textId="5F317C07">
            <w:pPr>
              <w:rPr>
                <w:rFonts w:asciiTheme="minorHAnsi" w:hAnsiTheme="minorHAnsi" w:cstheme="minorHAnsi"/>
                <w:sz w:val="18"/>
                <w:szCs w:val="18"/>
              </w:rPr>
            </w:pPr>
            <w:r>
              <w:rPr>
                <w:rFonts w:asciiTheme="minorHAnsi" w:hAnsiTheme="minorHAnsi" w:cstheme="minorHAnsi"/>
                <w:sz w:val="18"/>
                <w:szCs w:val="18"/>
              </w:rPr>
              <w:t>Fax, mail, or delivery</w:t>
            </w:r>
            <w:r w:rsidRPr="00070F62">
              <w:rPr>
                <w:rFonts w:asciiTheme="minorHAnsi" w:hAnsiTheme="minorHAnsi" w:cstheme="minorHAnsi"/>
                <w:sz w:val="18"/>
                <w:szCs w:val="18"/>
                <w:vertAlign w:val="superscript"/>
              </w:rPr>
              <w:t>3</w:t>
            </w:r>
          </w:p>
        </w:tc>
        <w:tc>
          <w:tcPr>
            <w:tcW w:w="1170" w:type="dxa"/>
            <w:vAlign w:val="center"/>
          </w:tcPr>
          <w:p w:rsidR="00591370" w:rsidRPr="003D57F5" w:rsidP="004E23C4" w14:paraId="345B2205" w14:textId="1FD77208">
            <w:pPr>
              <w:rPr>
                <w:rFonts w:asciiTheme="minorHAnsi" w:hAnsiTheme="minorHAnsi" w:cstheme="minorHAnsi"/>
                <w:sz w:val="18"/>
                <w:szCs w:val="18"/>
              </w:rPr>
            </w:pPr>
            <w:r>
              <w:rPr>
                <w:rFonts w:asciiTheme="minorHAnsi" w:hAnsiTheme="minorHAnsi" w:cstheme="minorHAnsi"/>
                <w:sz w:val="18"/>
                <w:szCs w:val="18"/>
              </w:rPr>
              <w:t>As needed</w:t>
            </w:r>
          </w:p>
        </w:tc>
        <w:tc>
          <w:tcPr>
            <w:tcW w:w="1260" w:type="dxa"/>
            <w:vAlign w:val="center"/>
          </w:tcPr>
          <w:p w:rsidR="00591370" w:rsidRPr="003D57F5" w:rsidP="004E23C4" w14:paraId="367F99AD" w14:textId="1AD7E4C7">
            <w:pPr>
              <w:rPr>
                <w:rFonts w:asciiTheme="minorHAnsi" w:hAnsiTheme="minorHAnsi" w:cstheme="minorHAnsi"/>
                <w:sz w:val="18"/>
                <w:szCs w:val="18"/>
              </w:rPr>
            </w:pPr>
            <w:r w:rsidRPr="00A54AD7">
              <w:rPr>
                <w:rFonts w:asciiTheme="minorHAnsi" w:hAnsiTheme="minorHAnsi" w:cstheme="minorHAnsi"/>
                <w:sz w:val="18"/>
                <w:szCs w:val="18"/>
              </w:rPr>
              <w:t>Required to Obtain or Retain Benefits</w:t>
            </w:r>
          </w:p>
        </w:tc>
        <w:tc>
          <w:tcPr>
            <w:tcW w:w="3245" w:type="dxa"/>
            <w:vAlign w:val="center"/>
          </w:tcPr>
          <w:p w:rsidR="00591370" w:rsidRPr="00E71944" w:rsidP="00591370" w14:paraId="45DDC7EF" w14:textId="25F47FAE">
            <w:pPr>
              <w:spacing w:before="80" w:after="80"/>
              <w:rPr>
                <w:rFonts w:asciiTheme="minorHAnsi" w:hAnsiTheme="minorHAnsi" w:cstheme="minorHAnsi"/>
                <w:sz w:val="18"/>
                <w:szCs w:val="18"/>
              </w:rPr>
            </w:pPr>
            <w:r w:rsidRPr="00E71944">
              <w:rPr>
                <w:rFonts w:asciiTheme="minorHAnsi" w:hAnsiTheme="minorHAnsi" w:cstheme="minorHAnsi"/>
                <w:sz w:val="18"/>
                <w:szCs w:val="18"/>
              </w:rPr>
              <w:t xml:space="preserve">Used by a QS holder who receives an Initial Administrative Determination to appeal an </w:t>
            </w:r>
            <w:r>
              <w:rPr>
                <w:rFonts w:asciiTheme="minorHAnsi" w:hAnsiTheme="minorHAnsi" w:cstheme="minorHAnsi"/>
                <w:sz w:val="18"/>
                <w:szCs w:val="18"/>
              </w:rPr>
              <w:t>agency decision.</w:t>
            </w:r>
            <w:r w:rsidRPr="00E71944">
              <w:rPr>
                <w:rFonts w:asciiTheme="minorHAnsi" w:hAnsiTheme="minorHAnsi" w:cstheme="minorHAnsi"/>
                <w:sz w:val="18"/>
                <w:szCs w:val="18"/>
              </w:rPr>
              <w:t xml:space="preserve"> </w:t>
            </w:r>
          </w:p>
          <w:p w:rsidR="00591370" w:rsidRPr="003D57F5" w:rsidP="00591370" w14:paraId="58375B9C" w14:textId="14A13E1E">
            <w:pPr>
              <w:spacing w:before="80" w:after="80"/>
              <w:rPr>
                <w:rFonts w:asciiTheme="minorHAnsi" w:hAnsiTheme="minorHAnsi" w:cstheme="minorHAnsi"/>
                <w:sz w:val="18"/>
                <w:szCs w:val="18"/>
              </w:rPr>
            </w:pPr>
            <w:r w:rsidRPr="00E71944">
              <w:rPr>
                <w:rFonts w:asciiTheme="minorHAnsi" w:hAnsiTheme="minorHAnsi" w:cstheme="minorHAnsi"/>
                <w:sz w:val="18"/>
                <w:szCs w:val="18"/>
              </w:rPr>
              <w:t xml:space="preserve">Used by NMFS to assess information provided by the appellee in relation to a </w:t>
            </w:r>
            <w:r>
              <w:rPr>
                <w:rFonts w:asciiTheme="minorHAnsi" w:hAnsiTheme="minorHAnsi" w:cstheme="minorHAnsi"/>
                <w:sz w:val="18"/>
                <w:szCs w:val="18"/>
              </w:rPr>
              <w:t>program</w:t>
            </w:r>
            <w:r w:rsidRPr="00E71944">
              <w:rPr>
                <w:rFonts w:asciiTheme="minorHAnsi" w:hAnsiTheme="minorHAnsi" w:cstheme="minorHAnsi"/>
                <w:sz w:val="18"/>
                <w:szCs w:val="18"/>
              </w:rPr>
              <w:t xml:space="preserve"> denial.</w:t>
            </w:r>
          </w:p>
        </w:tc>
      </w:tr>
    </w:tbl>
    <w:p w:rsidR="006B5F3D" w:rsidP="00D4754B" w14:paraId="27323EF8" w14:textId="77777777">
      <w:pPr>
        <w:pBdr>
          <w:top w:val="nil"/>
          <w:left w:val="nil"/>
          <w:bottom w:val="nil"/>
          <w:right w:val="nil"/>
          <w:between w:val="nil"/>
        </w:pBdr>
      </w:pPr>
    </w:p>
    <w:p w:rsidR="0029646D" w:rsidP="00D4754B" w14:paraId="3FD24C55" w14:textId="77777777">
      <w:pPr>
        <w:pBdr>
          <w:top w:val="nil"/>
          <w:left w:val="nil"/>
          <w:bottom w:val="nil"/>
          <w:right w:val="nil"/>
          <w:between w:val="nil"/>
        </w:pBdr>
        <w:sectPr w:rsidSect="004E23C4">
          <w:pgSz w:w="15840" w:h="12240" w:orient="landscape"/>
          <w:pgMar w:top="1440" w:right="1440" w:bottom="1440" w:left="1440" w:header="0" w:footer="1014" w:gutter="0"/>
          <w:cols w:space="720"/>
          <w:docGrid w:linePitch="326"/>
        </w:sectPr>
      </w:pPr>
    </w:p>
    <w:p w:rsidR="008C09A3" w:rsidRPr="003861A2" w:rsidP="00E25936" w14:paraId="27E77F1B" w14:textId="77777777">
      <w:pPr>
        <w:widowControl/>
        <w:autoSpaceDE w:val="0"/>
        <w:autoSpaceDN w:val="0"/>
        <w:outlineLvl w:val="0"/>
        <w:rPr>
          <w:rFonts w:eastAsiaTheme="minorHAnsi"/>
          <w:b/>
          <w:bCs/>
        </w:rPr>
      </w:pPr>
      <w:r w:rsidRPr="003861A2">
        <w:rPr>
          <w:rFonts w:eastAsiaTheme="minorHAnsi"/>
          <w:b/>
          <w:bCs/>
        </w:rPr>
        <w:t>Dissemination of Information</w:t>
      </w:r>
    </w:p>
    <w:p w:rsidR="00560F96" w:rsidP="00E25936" w14:paraId="455CFE70" w14:textId="77777777">
      <w:pPr>
        <w:widowControl/>
        <w:autoSpaceDE w:val="0"/>
        <w:autoSpaceDN w:val="0"/>
        <w:rPr>
          <w:rFonts w:eastAsiaTheme="minorHAnsi" w:cstheme="minorBidi"/>
        </w:rPr>
      </w:pPr>
    </w:p>
    <w:p w:rsidR="008C09A3" w:rsidRPr="003861A2" w:rsidP="00E25936" w14:paraId="7703F829" w14:textId="3465EDB5">
      <w:pPr>
        <w:widowControl/>
        <w:autoSpaceDE w:val="0"/>
        <w:autoSpaceDN w:val="0"/>
        <w:rPr>
          <w:rFonts w:eastAsiaTheme="minorHAnsi" w:cstheme="minorBidi"/>
        </w:rPr>
      </w:pPr>
      <w:r w:rsidRPr="003861A2">
        <w:rPr>
          <w:rFonts w:eastAsiaTheme="minorHAnsi" w:cstheme="minorBidi"/>
        </w:rPr>
        <w:t xml:space="preserve">This </w:t>
      </w:r>
      <w:r w:rsidRPr="003861A2">
        <w:rPr>
          <w:rFonts w:eastAsiaTheme="minorHAnsi" w:cstheme="minorBidi"/>
        </w:rPr>
        <w:t>information collection is designed to yield data that meet all applicable information quality guidelines. Prior to dissemination, the information will be subjected to quality control measures and a pre-dissemination review pursuant to</w:t>
      </w:r>
      <w:r w:rsidRPr="00776B34">
        <w:rPr>
          <w:rFonts w:eastAsiaTheme="minorHAnsi" w:cstheme="minorBidi"/>
        </w:rPr>
        <w:t xml:space="preserve"> </w:t>
      </w:r>
      <w:hyperlink r:id="rId10" w:history="1">
        <w:r w:rsidRPr="00776B34">
          <w:t>Section 515 of Public Law 106-554</w:t>
        </w:r>
      </w:hyperlink>
      <w:r w:rsidRPr="003861A2">
        <w:rPr>
          <w:rFonts w:eastAsiaTheme="minorHAnsi" w:cstheme="minorBidi"/>
        </w:rPr>
        <w:t xml:space="preserve"> </w:t>
      </w:r>
      <w:r w:rsidRPr="003861A2">
        <w:rPr>
          <w:rFonts w:eastAsia="Calibri"/>
          <w:color w:val="000000"/>
        </w:rPr>
        <w:t>(the Information Quality Act)</w:t>
      </w:r>
      <w:r w:rsidRPr="003861A2">
        <w:rPr>
          <w:rFonts w:eastAsiaTheme="minorHAnsi" w:cstheme="minorBidi"/>
        </w:rPr>
        <w:t xml:space="preserve">, which requires </w:t>
      </w:r>
      <w:r w:rsidRPr="003861A2">
        <w:rPr>
          <w:rFonts w:eastAsia="Calibri"/>
          <w:color w:val="000000"/>
        </w:rPr>
        <w:t xml:space="preserve">NMFS to ensure the quality, objectivity, utility, and integrity of information it publicly disseminates. Public dissemination of data collected by this information collection is governed by </w:t>
      </w:r>
      <w:hyperlink r:id="rId11" w:history="1">
        <w:r w:rsidRPr="003861A2">
          <w:rPr>
            <w:rFonts w:eastAsia="Calibri"/>
            <w:color w:val="0000FF" w:themeColor="hyperlink"/>
            <w:u w:val="single"/>
          </w:rPr>
          <w:t>NOAA's information quality guidelines</w:t>
        </w:r>
      </w:hyperlink>
      <w:r w:rsidRPr="003861A2">
        <w:rPr>
          <w:rFonts w:eastAsia="Calibri"/>
          <w:color w:val="000000"/>
        </w:rPr>
        <w:t>, which were issued on October 30, 2014.</w:t>
      </w:r>
      <w:r w:rsidRPr="003861A2">
        <w:rPr>
          <w:rFonts w:eastAsiaTheme="minorHAnsi" w:cstheme="minorBidi"/>
        </w:rPr>
        <w:t xml:space="preserve"> </w:t>
      </w:r>
    </w:p>
    <w:p w:rsidR="008C09A3" w:rsidRPr="003861A2" w:rsidP="00E25936" w14:paraId="6E54366D" w14:textId="77777777">
      <w:pPr>
        <w:widowControl/>
        <w:autoSpaceDE w:val="0"/>
        <w:autoSpaceDN w:val="0"/>
        <w:rPr>
          <w:rFonts w:eastAsiaTheme="minorHAnsi"/>
        </w:rPr>
      </w:pPr>
    </w:p>
    <w:p w:rsidR="008C09A3" w:rsidRPr="003861A2" w:rsidP="00E25936" w14:paraId="2FB8E56A" w14:textId="77777777">
      <w:pPr>
        <w:widowControl/>
        <w:autoSpaceDE w:val="0"/>
        <w:autoSpaceDN w:val="0"/>
        <w:rPr>
          <w:rFonts w:eastAsiaTheme="minorHAnsi" w:cstheme="minorBidi"/>
        </w:rPr>
      </w:pPr>
      <w:r w:rsidRPr="003861A2">
        <w:rPr>
          <w:rFonts w:eastAsiaTheme="minorHAnsi" w:cstheme="minorBidi"/>
        </w:rPr>
        <w:t xml:space="preserve">It is anticipated that </w:t>
      </w:r>
      <w:r>
        <w:rPr>
          <w:rFonts w:eastAsiaTheme="minorHAnsi" w:cstheme="minorBidi"/>
        </w:rPr>
        <w:t xml:space="preserve">some of </w:t>
      </w:r>
      <w:r w:rsidRPr="003861A2">
        <w:rPr>
          <w:rFonts w:eastAsiaTheme="minorHAnsi" w:cstheme="minorBidi"/>
        </w:rPr>
        <w:t>the information collected will be disseminated to the public or used t</w:t>
      </w:r>
      <w:r w:rsidRPr="003861A2">
        <w:rPr>
          <w:rFonts w:eastAsiaTheme="minorHAnsi" w:cstheme="minorBidi"/>
        </w:rPr>
        <w:t>o support publicly disseminated information. NMFS and the National Appeals Office will retain control over the information and safeguard it from improper access, modification, and destruction, consistent with NOAA standards for confidentiality, privacy, an</w:t>
      </w:r>
      <w:r w:rsidRPr="003861A2">
        <w:rPr>
          <w:rFonts w:eastAsiaTheme="minorHAnsi" w:cstheme="minorBidi"/>
        </w:rPr>
        <w:t xml:space="preserve">d electronic information. </w:t>
      </w:r>
      <w:r w:rsidRPr="00D9003C">
        <w:rPr>
          <w:rFonts w:eastAsiaTheme="minorHAnsi" w:cstheme="minorBidi"/>
        </w:rPr>
        <w:t xml:space="preserve">See Question 10 of this Supporting Statement for more information on confidentiality and privacy. See Question 16 of this Supporting Statement for information from this collection that is posted on the </w:t>
      </w:r>
      <w:r w:rsidRPr="00D9003C">
        <w:t xml:space="preserve">NMFS </w:t>
      </w:r>
      <w:r w:rsidRPr="00D9003C">
        <w:rPr>
          <w:rFonts w:eastAsia="Calibri"/>
        </w:rPr>
        <w:t>National Appeals Office</w:t>
      </w:r>
      <w:r w:rsidRPr="00D9003C">
        <w:t xml:space="preserve"> website</w:t>
      </w:r>
      <w:r w:rsidRPr="00D9003C">
        <w:rPr>
          <w:rFonts w:eastAsiaTheme="minorHAnsi" w:cstheme="minorBidi"/>
        </w:rPr>
        <w:t>.</w:t>
      </w:r>
      <w:r w:rsidRPr="003861A2">
        <w:rPr>
          <w:rFonts w:eastAsiaTheme="minorHAnsi" w:cstheme="minorBidi"/>
        </w:rPr>
        <w:t xml:space="preserve">  </w:t>
      </w:r>
    </w:p>
    <w:p w:rsidR="00B30BDD" w:rsidP="00E25936" w14:paraId="3445D559" w14:textId="6558BBC1">
      <w:pPr>
        <w:widowControl/>
        <w:pBdr>
          <w:top w:val="nil"/>
          <w:left w:val="nil"/>
          <w:bottom w:val="nil"/>
          <w:right w:val="nil"/>
          <w:between w:val="nil"/>
        </w:pBdr>
      </w:pPr>
    </w:p>
    <w:p w:rsidR="008C09A3" w:rsidP="00E25936" w14:paraId="1827C058" w14:textId="3557FDBC">
      <w:pPr>
        <w:widowControl/>
        <w:pBdr>
          <w:top w:val="nil"/>
          <w:left w:val="nil"/>
          <w:bottom w:val="nil"/>
          <w:right w:val="nil"/>
          <w:between w:val="nil"/>
        </w:pBdr>
      </w:pPr>
    </w:p>
    <w:p w:rsidR="008C09A3" w:rsidRPr="008C09A3" w:rsidP="00E25936" w14:paraId="0BADE327" w14:textId="6D768719">
      <w:pPr>
        <w:widowControl/>
        <w:pBdr>
          <w:top w:val="nil"/>
          <w:left w:val="nil"/>
          <w:bottom w:val="nil"/>
          <w:right w:val="nil"/>
          <w:between w:val="nil"/>
        </w:pBdr>
        <w:rPr>
          <w:b/>
        </w:rPr>
      </w:pPr>
      <w:r w:rsidRPr="008C09A3">
        <w:rPr>
          <w:b/>
        </w:rPr>
        <w:t>The sections below provide additional information on the requirements for the PCTC Program.</w:t>
      </w:r>
    </w:p>
    <w:p w:rsidR="00B30BDD" w:rsidP="00E25936" w14:paraId="5CF4397B" w14:textId="0C23802D">
      <w:pPr>
        <w:widowControl/>
        <w:pBdr>
          <w:top w:val="nil"/>
          <w:left w:val="nil"/>
          <w:bottom w:val="nil"/>
          <w:right w:val="nil"/>
          <w:between w:val="nil"/>
        </w:pBdr>
      </w:pPr>
    </w:p>
    <w:p w:rsidR="008C09A3" w:rsidP="00E25936" w14:paraId="48F900A9" w14:textId="77777777">
      <w:pPr>
        <w:widowControl/>
        <w:pBdr>
          <w:top w:val="nil"/>
          <w:left w:val="nil"/>
          <w:bottom w:val="nil"/>
          <w:right w:val="nil"/>
          <w:between w:val="nil"/>
        </w:pBdr>
      </w:pPr>
    </w:p>
    <w:p w:rsidR="00695194" w:rsidP="00E25936" w14:paraId="575FA36F" w14:textId="77777777">
      <w:pPr>
        <w:widowControl/>
        <w:pBdr>
          <w:top w:val="nil"/>
          <w:left w:val="nil"/>
          <w:bottom w:val="nil"/>
          <w:right w:val="nil"/>
          <w:between w:val="nil"/>
        </w:pBdr>
      </w:pPr>
      <w:r w:rsidRPr="00695194">
        <w:rPr>
          <w:b/>
        </w:rPr>
        <w:t>Application for Pacific Cod Trawl Cooperative Program Quota Sh</w:t>
      </w:r>
      <w:r w:rsidRPr="008207AA">
        <w:rPr>
          <w:b/>
        </w:rPr>
        <w:t>are</w:t>
      </w:r>
    </w:p>
    <w:p w:rsidR="00695194" w:rsidP="00E25936" w14:paraId="61E1E7F9" w14:textId="77777777">
      <w:pPr>
        <w:widowControl/>
        <w:pBdr>
          <w:top w:val="nil"/>
          <w:left w:val="nil"/>
          <w:bottom w:val="nil"/>
          <w:right w:val="nil"/>
          <w:between w:val="nil"/>
        </w:pBdr>
      </w:pPr>
    </w:p>
    <w:p w:rsidR="00D3094F" w:rsidP="00560F96" w14:paraId="498366B1" w14:textId="34F19200">
      <w:pPr>
        <w:widowControl/>
        <w:pBdr>
          <w:top w:val="nil"/>
          <w:left w:val="nil"/>
          <w:bottom w:val="nil"/>
          <w:right w:val="nil"/>
          <w:between w:val="nil"/>
        </w:pBdr>
      </w:pPr>
      <w:r>
        <w:t xml:space="preserve">An eligible harvester or eligible processor </w:t>
      </w:r>
      <w:r w:rsidR="00997CC3">
        <w:t xml:space="preserve">will </w:t>
      </w:r>
      <w:r>
        <w:t xml:space="preserve">be required to submit </w:t>
      </w:r>
      <w:r w:rsidR="00BD463B">
        <w:t xml:space="preserve">a timely </w:t>
      </w:r>
      <w:r w:rsidR="00820C48">
        <w:t xml:space="preserve">Application for </w:t>
      </w:r>
      <w:r w:rsidR="00EA1704">
        <w:t>PCTC Program QS</w:t>
      </w:r>
      <w:r w:rsidR="00820C48">
        <w:t xml:space="preserve"> </w:t>
      </w:r>
      <w:r w:rsidR="006F6301">
        <w:t xml:space="preserve">to </w:t>
      </w:r>
      <w:r w:rsidR="00820C48">
        <w:t xml:space="preserve">receive </w:t>
      </w:r>
      <w:r>
        <w:t xml:space="preserve">an initial allocation of </w:t>
      </w:r>
      <w:r w:rsidR="004B19AF">
        <w:t xml:space="preserve">PCTC </w:t>
      </w:r>
      <w:r w:rsidR="00820C48">
        <w:t xml:space="preserve">QS in the PCTC Program. </w:t>
      </w:r>
      <w:r w:rsidRPr="00D3094F">
        <w:t>NMFS require</w:t>
      </w:r>
      <w:r w:rsidR="00997CC3">
        <w:t>s</w:t>
      </w:r>
      <w:r w:rsidRPr="00D3094F">
        <w:t xml:space="preserve"> </w:t>
      </w:r>
      <w:r w:rsidR="000C4AC9">
        <w:t>this</w:t>
      </w:r>
      <w:r w:rsidRPr="00D3094F" w:rsidR="000C4AC9">
        <w:t xml:space="preserve"> </w:t>
      </w:r>
      <w:r w:rsidRPr="00D3094F">
        <w:t xml:space="preserve">application to ensure that QS is assigned to the appropriate person(s) and to provide a process for resolving claims of legal landings that are contrary to the </w:t>
      </w:r>
      <w:r w:rsidR="004B19AF">
        <w:t xml:space="preserve">PCTC Program </w:t>
      </w:r>
      <w:r w:rsidRPr="00D3094F">
        <w:t>official record. Once a person submits an Application for PCTC Program QS that is a</w:t>
      </w:r>
      <w:r w:rsidRPr="00D3094F">
        <w:t xml:space="preserve">pproved by NMFS, that person </w:t>
      </w:r>
      <w:r w:rsidR="00997CC3">
        <w:t>will</w:t>
      </w:r>
      <w:r w:rsidRPr="00D3094F" w:rsidR="00997CC3">
        <w:t xml:space="preserve"> </w:t>
      </w:r>
      <w:r w:rsidRPr="00D3094F">
        <w:t>not need to resubmit an application for QS in future years.</w:t>
      </w:r>
    </w:p>
    <w:p w:rsidR="00D3094F" w:rsidP="00E25936" w14:paraId="28B7A304" w14:textId="77777777">
      <w:pPr>
        <w:widowControl/>
        <w:pBdr>
          <w:top w:val="nil"/>
          <w:left w:val="nil"/>
          <w:bottom w:val="nil"/>
          <w:right w:val="nil"/>
          <w:between w:val="nil"/>
        </w:pBdr>
        <w:ind w:firstLine="720"/>
      </w:pPr>
    </w:p>
    <w:p w:rsidR="003864F2" w:rsidP="00560F96" w14:paraId="019ABBBC" w14:textId="77077A50">
      <w:pPr>
        <w:widowControl/>
        <w:pBdr>
          <w:top w:val="nil"/>
          <w:left w:val="nil"/>
          <w:bottom w:val="nil"/>
          <w:right w:val="nil"/>
          <w:between w:val="nil"/>
        </w:pBdr>
      </w:pPr>
      <w:r w:rsidRPr="008F5137">
        <w:t xml:space="preserve">NMFS will begin accepting Applications for PCTC Program QS immediately upon the effective date of the final rule. </w:t>
      </w:r>
      <w:r>
        <w:t>A completed Application for PCTC Program QS mus</w:t>
      </w:r>
      <w:r>
        <w:t xml:space="preserve">t be received by NMFS no later than 30 days after the effective date of the final rule. Objective written evidence of timely application will be considered proof of a timely application. </w:t>
      </w:r>
    </w:p>
    <w:p w:rsidR="003864F2" w:rsidP="00E25936" w14:paraId="1CD848AB" w14:textId="77777777">
      <w:pPr>
        <w:widowControl/>
        <w:pBdr>
          <w:top w:val="nil"/>
          <w:left w:val="nil"/>
          <w:bottom w:val="nil"/>
          <w:right w:val="nil"/>
          <w:between w:val="nil"/>
        </w:pBdr>
        <w:ind w:firstLine="720"/>
      </w:pPr>
    </w:p>
    <w:p w:rsidR="00D3094F" w:rsidP="00560F96" w14:paraId="76699AED" w14:textId="1A391E0D">
      <w:pPr>
        <w:widowControl/>
        <w:pBdr>
          <w:top w:val="nil"/>
          <w:left w:val="nil"/>
          <w:bottom w:val="nil"/>
          <w:right w:val="nil"/>
          <w:between w:val="nil"/>
        </w:pBdr>
      </w:pPr>
      <w:r>
        <w:t>NMFS will mail an application package to all potentially eligible L</w:t>
      </w:r>
      <w:r>
        <w:t xml:space="preserve">LP license holders, </w:t>
      </w:r>
      <w:r w:rsidRPr="004B19AF" w:rsidR="004B19AF">
        <w:t xml:space="preserve">including LLP license holders with an </w:t>
      </w:r>
      <w:r w:rsidR="00AC3A37">
        <w:t>Aleutian Islands</w:t>
      </w:r>
      <w:r w:rsidRPr="004B19AF" w:rsidR="004B19AF">
        <w:t xml:space="preserve"> transferable endorsement</w:t>
      </w:r>
      <w:r>
        <w:t xml:space="preserve">, and processors based on the address on record. This package </w:t>
      </w:r>
      <w:r w:rsidR="00997CC3">
        <w:t xml:space="preserve">will </w:t>
      </w:r>
      <w:r>
        <w:t>include a letter informing potentially eligible LLP license holders and processors whether</w:t>
      </w:r>
      <w:r>
        <w:t xml:space="preserve"> NMFS has determined they are eligible to receive QS, and if so, the amount of qualifying catch history calculated by NMFS based on the </w:t>
      </w:r>
      <w:r w:rsidR="004B19AF">
        <w:t xml:space="preserve">PCTC Program </w:t>
      </w:r>
      <w:r>
        <w:t xml:space="preserve">official record. </w:t>
      </w:r>
      <w:r w:rsidR="004B19AF">
        <w:t>Applications</w:t>
      </w:r>
      <w:r w:rsidR="002601DC">
        <w:t xml:space="preserve"> </w:t>
      </w:r>
      <w:r>
        <w:t xml:space="preserve">will be available on the </w:t>
      </w:r>
      <w:r w:rsidR="002601DC">
        <w:t xml:space="preserve">NMFS </w:t>
      </w:r>
      <w:r>
        <w:t xml:space="preserve">Alaska Region website and interested persons </w:t>
      </w:r>
      <w:r w:rsidR="00997CC3">
        <w:t xml:space="preserve">may </w:t>
      </w:r>
      <w:r>
        <w:t xml:space="preserve">contact NMFS </w:t>
      </w:r>
      <w:r w:rsidR="004B19AF">
        <w:t xml:space="preserve">Restricted Access Management </w:t>
      </w:r>
      <w:r>
        <w:t xml:space="preserve">to request an application package. </w:t>
      </w:r>
    </w:p>
    <w:p w:rsidR="00B30BDD" w:rsidP="00E25936" w14:paraId="23A87CF2" w14:textId="3651558B">
      <w:pPr>
        <w:widowControl/>
        <w:pBdr>
          <w:top w:val="nil"/>
          <w:left w:val="nil"/>
          <w:bottom w:val="nil"/>
          <w:right w:val="nil"/>
          <w:between w:val="nil"/>
        </w:pBdr>
      </w:pPr>
    </w:p>
    <w:p w:rsidR="000377FE" w:rsidP="00704802" w14:paraId="39DD0E8F" w14:textId="18AE27B5">
      <w:pPr>
        <w:widowControl/>
        <w:pBdr>
          <w:top w:val="nil"/>
          <w:left w:val="nil"/>
          <w:bottom w:val="nil"/>
          <w:right w:val="nil"/>
          <w:between w:val="nil"/>
        </w:pBdr>
      </w:pPr>
      <w:r>
        <w:t xml:space="preserve">On the application, the applicant </w:t>
      </w:r>
      <w:r w:rsidR="00997CC3">
        <w:t xml:space="preserve">will </w:t>
      </w:r>
      <w:r>
        <w:t xml:space="preserve">indicate whether they are applying to be an eligible PCTC harvester or PCTC processor. </w:t>
      </w:r>
      <w:r w:rsidR="00B30BDD">
        <w:t>T</w:t>
      </w:r>
      <w:r>
        <w:t xml:space="preserve">he information collected on this </w:t>
      </w:r>
      <w:r w:rsidR="00820C48">
        <w:t xml:space="preserve">application </w:t>
      </w:r>
      <w:r w:rsidR="00A61CB1">
        <w:t>include</w:t>
      </w:r>
      <w:r>
        <w:t>s</w:t>
      </w:r>
      <w:r w:rsidR="00A61CB1">
        <w:t xml:space="preserve"> </w:t>
      </w:r>
      <w:r>
        <w:t>the following:</w:t>
      </w:r>
    </w:p>
    <w:p w:rsidR="000377FE" w:rsidP="00E25936" w14:paraId="59BDDD30" w14:textId="324349AE">
      <w:pPr>
        <w:pStyle w:val="ListParagraph"/>
        <w:widowControl/>
        <w:numPr>
          <w:ilvl w:val="0"/>
          <w:numId w:val="15"/>
        </w:numPr>
        <w:pBdr>
          <w:top w:val="nil"/>
          <w:left w:val="nil"/>
          <w:bottom w:val="nil"/>
          <w:right w:val="nil"/>
          <w:between w:val="nil"/>
        </w:pBdr>
      </w:pPr>
      <w:r>
        <w:t xml:space="preserve">applicant </w:t>
      </w:r>
      <w:r w:rsidR="00B857BC">
        <w:t>identification information</w:t>
      </w:r>
      <w:r w:rsidR="00A61CB1">
        <w:t xml:space="preserve">; </w:t>
      </w:r>
    </w:p>
    <w:p w:rsidR="0052697A" w:rsidP="00E25936" w14:paraId="69566EAC" w14:textId="6DE36ECB">
      <w:pPr>
        <w:pStyle w:val="ListParagraph"/>
        <w:widowControl/>
        <w:numPr>
          <w:ilvl w:val="0"/>
          <w:numId w:val="15"/>
        </w:numPr>
        <w:pBdr>
          <w:top w:val="nil"/>
          <w:left w:val="nil"/>
          <w:bottom w:val="nil"/>
          <w:right w:val="nil"/>
          <w:between w:val="nil"/>
        </w:pBdr>
      </w:pPr>
      <w:r>
        <w:t>whether the applicant agrees</w:t>
      </w:r>
      <w:r w:rsidR="00B857BC">
        <w:t xml:space="preserve"> with, disagrees with, or did not receive</w:t>
      </w:r>
      <w:r>
        <w:t xml:space="preserve"> the </w:t>
      </w:r>
      <w:r w:rsidRPr="000377FE">
        <w:t xml:space="preserve">PCTC Program Official Record Summary </w:t>
      </w:r>
    </w:p>
    <w:p w:rsidR="0052697A" w:rsidP="00E25936" w14:paraId="3EE5133E" w14:textId="73CE56F0">
      <w:pPr>
        <w:pStyle w:val="ListParagraph"/>
        <w:widowControl/>
        <w:numPr>
          <w:ilvl w:val="0"/>
          <w:numId w:val="15"/>
        </w:numPr>
        <w:pBdr>
          <w:top w:val="nil"/>
          <w:left w:val="nil"/>
          <w:bottom w:val="nil"/>
          <w:right w:val="nil"/>
          <w:between w:val="nil"/>
        </w:pBdr>
      </w:pPr>
      <w:r>
        <w:t xml:space="preserve">if the applicant does not agree </w:t>
      </w:r>
      <w:r w:rsidR="00C50F99">
        <w:t xml:space="preserve">with the </w:t>
      </w:r>
      <w:r w:rsidRPr="0052697A">
        <w:t xml:space="preserve">PCTC Program Official Record Summary </w:t>
      </w:r>
      <w:r>
        <w:t xml:space="preserve">or </w:t>
      </w:r>
      <w:r>
        <w:t xml:space="preserve">did not receive it, has provided the required information on the </w:t>
      </w:r>
      <w:r w:rsidR="00C50F99">
        <w:t>application</w:t>
      </w:r>
      <w:r>
        <w:t xml:space="preserve"> or attached</w:t>
      </w:r>
      <w:r w:rsidRPr="0052697A">
        <w:t xml:space="preserve"> a separate page explaining </w:t>
      </w:r>
      <w:r>
        <w:t xml:space="preserve">the </w:t>
      </w:r>
      <w:r w:rsidRPr="0052697A">
        <w:t>disagreement and providing evidence</w:t>
      </w:r>
      <w:r>
        <w:t xml:space="preserve"> or explaining the basis for eligibility</w:t>
      </w:r>
      <w:r w:rsidRPr="0052697A">
        <w:t xml:space="preserve">, such as fish tickets or landing reports, to support </w:t>
      </w:r>
      <w:r>
        <w:t xml:space="preserve">their </w:t>
      </w:r>
      <w:r>
        <w:t>claims</w:t>
      </w:r>
    </w:p>
    <w:p w:rsidR="00C970E5" w:rsidP="00E25936" w14:paraId="386B7D8C" w14:textId="6C603416">
      <w:pPr>
        <w:pStyle w:val="ListParagraph"/>
        <w:widowControl/>
        <w:numPr>
          <w:ilvl w:val="0"/>
          <w:numId w:val="15"/>
        </w:numPr>
        <w:pBdr>
          <w:top w:val="nil"/>
          <w:left w:val="nil"/>
          <w:bottom w:val="nil"/>
          <w:right w:val="nil"/>
          <w:between w:val="nil"/>
        </w:pBdr>
      </w:pPr>
      <w:r>
        <w:t>signature of applicant or authorized representative who completed the application</w:t>
      </w:r>
      <w:r w:rsidR="008920E1">
        <w:t xml:space="preserve"> (attach </w:t>
      </w:r>
      <w:r w:rsidRPr="008920E1" w:rsidR="008920E1">
        <w:t xml:space="preserve">proof of authorization </w:t>
      </w:r>
      <w:r w:rsidR="008920E1">
        <w:t xml:space="preserve">if the </w:t>
      </w:r>
      <w:r w:rsidRPr="008920E1" w:rsidR="008920E1">
        <w:t>application is completed by the applicant’s authorized representative</w:t>
      </w:r>
      <w:r w:rsidR="008920E1">
        <w:t>).</w:t>
      </w:r>
    </w:p>
    <w:p w:rsidR="00A61CB1" w:rsidP="00E25936" w14:paraId="25EF89B0" w14:textId="47B7476D">
      <w:pPr>
        <w:widowControl/>
        <w:pBdr>
          <w:top w:val="nil"/>
          <w:left w:val="nil"/>
          <w:bottom w:val="nil"/>
          <w:right w:val="nil"/>
          <w:between w:val="nil"/>
        </w:pBdr>
      </w:pPr>
    </w:p>
    <w:p w:rsidR="007A09E5" w:rsidP="00E25936" w14:paraId="216B0910" w14:textId="3B71FCC3">
      <w:pPr>
        <w:widowControl/>
        <w:pBdr>
          <w:top w:val="nil"/>
          <w:left w:val="nil"/>
          <w:bottom w:val="nil"/>
          <w:right w:val="nil"/>
          <w:between w:val="nil"/>
        </w:pBdr>
      </w:pPr>
    </w:p>
    <w:p w:rsidR="007A09E5" w:rsidRPr="00DD4998" w:rsidP="00E25936" w14:paraId="1EFA9D68" w14:textId="5953281E">
      <w:pPr>
        <w:widowControl/>
        <w:pBdr>
          <w:top w:val="nil"/>
          <w:left w:val="nil"/>
          <w:bottom w:val="nil"/>
          <w:right w:val="nil"/>
          <w:between w:val="nil"/>
        </w:pBdr>
        <w:rPr>
          <w:b/>
          <w:color w:val="C00000"/>
        </w:rPr>
      </w:pPr>
      <w:r w:rsidRPr="007A09E5">
        <w:rPr>
          <w:b/>
        </w:rPr>
        <w:t>Application for Pacific Cod Trawl Cooperative Program C</w:t>
      </w:r>
      <w:r w:rsidRPr="007A09E5">
        <w:rPr>
          <w:b/>
        </w:rPr>
        <w:t>ooperative Quota</w:t>
      </w:r>
      <w:r w:rsidR="00464365">
        <w:rPr>
          <w:b/>
        </w:rPr>
        <w:t xml:space="preserve"> </w:t>
      </w:r>
      <w:r w:rsidR="00EC22BF">
        <w:rPr>
          <w:b/>
          <w:color w:val="C00000"/>
        </w:rPr>
        <w:t>[Changes from Proposed Rule to Final Rule: changed deadline to submit Inter-cooperative Agreement in 2023 and changed application form to collect FFP number for PCTC Program cooperative member vessels]</w:t>
      </w:r>
    </w:p>
    <w:p w:rsidR="007A09E5" w:rsidP="00E25936" w14:paraId="0D430E52" w14:textId="5AB99215">
      <w:pPr>
        <w:widowControl/>
        <w:pBdr>
          <w:top w:val="nil"/>
          <w:left w:val="nil"/>
          <w:bottom w:val="nil"/>
          <w:right w:val="nil"/>
          <w:between w:val="nil"/>
        </w:pBdr>
      </w:pPr>
    </w:p>
    <w:p w:rsidR="007A09E5" w:rsidP="00704802" w14:paraId="1C2626EB" w14:textId="34662FAE">
      <w:pPr>
        <w:widowControl/>
        <w:pBdr>
          <w:top w:val="nil"/>
          <w:left w:val="nil"/>
          <w:bottom w:val="nil"/>
          <w:right w:val="nil"/>
          <w:between w:val="nil"/>
        </w:pBdr>
      </w:pPr>
      <w:r>
        <w:t>Annually</w:t>
      </w:r>
      <w:r w:rsidR="003E4C25">
        <w:t>,</w:t>
      </w:r>
      <w:r>
        <w:t xml:space="preserve"> each PCTC Program cooperative</w:t>
      </w:r>
      <w:r w:rsidRPr="00A37687" w:rsidR="00A37687">
        <w:t xml:space="preserve"> </w:t>
      </w:r>
      <w:r w:rsidR="00997CC3">
        <w:t>will</w:t>
      </w:r>
      <w:r w:rsidRPr="00A37687" w:rsidR="00997CC3">
        <w:t xml:space="preserve"> </w:t>
      </w:r>
      <w:r w:rsidRPr="00A37687" w:rsidR="00A37687">
        <w:t>be required to submit an Application for PCTC Program CQ</w:t>
      </w:r>
      <w:r w:rsidR="008207AA">
        <w:t xml:space="preserve"> identifying catcher vessels that are eligible to harvest a portion of that cooperative’s CQ</w:t>
      </w:r>
      <w:r w:rsidR="003E4C25">
        <w:t xml:space="preserve">. </w:t>
      </w:r>
      <w:r w:rsidRPr="002601DC" w:rsidR="002601DC">
        <w:t xml:space="preserve">NMFS </w:t>
      </w:r>
      <w:r w:rsidR="00997CC3">
        <w:t>will</w:t>
      </w:r>
      <w:r w:rsidRPr="002601DC" w:rsidR="00997CC3">
        <w:t xml:space="preserve"> </w:t>
      </w:r>
      <w:r w:rsidRPr="002601DC" w:rsidR="002601DC">
        <w:t xml:space="preserve">use these applications to issue CQ permits, establish annual cooperative accounts for catch accounting purposes, and identify specific </w:t>
      </w:r>
      <w:r w:rsidR="007F03B7">
        <w:t xml:space="preserve">harvester </w:t>
      </w:r>
      <w:r w:rsidRPr="002601DC" w:rsidR="002601DC">
        <w:t xml:space="preserve">vessels </w:t>
      </w:r>
      <w:r w:rsidR="007F03B7">
        <w:t>for</w:t>
      </w:r>
      <w:r w:rsidRPr="002601DC" w:rsidR="002601DC">
        <w:t xml:space="preserve"> each</w:t>
      </w:r>
      <w:r w:rsidR="002C31DE">
        <w:t xml:space="preserve"> cooperative. As with other limited access privilege program</w:t>
      </w:r>
      <w:r w:rsidRPr="002601DC" w:rsidR="002601DC">
        <w:t xml:space="preserve">s, the information received in this application </w:t>
      </w:r>
      <w:r w:rsidR="00997CC3">
        <w:t>will</w:t>
      </w:r>
      <w:r w:rsidRPr="002601DC" w:rsidR="00997CC3">
        <w:t xml:space="preserve"> </w:t>
      </w:r>
      <w:r w:rsidRPr="002601DC" w:rsidR="002601DC">
        <w:t xml:space="preserve">be </w:t>
      </w:r>
      <w:r w:rsidR="007F03B7">
        <w:t xml:space="preserve">annually </w:t>
      </w:r>
      <w:r w:rsidRPr="002601DC" w:rsidR="002601DC">
        <w:t>used to review ownership and control information for various QS holders to ensure that QS and CQ use caps are not exceeded</w:t>
      </w:r>
      <w:r w:rsidR="002601DC">
        <w:t>.</w:t>
      </w:r>
    </w:p>
    <w:p w:rsidR="003E4C25" w:rsidP="00E25936" w14:paraId="5AFA4F3B" w14:textId="221C2D5D">
      <w:pPr>
        <w:widowControl/>
        <w:pBdr>
          <w:top w:val="nil"/>
          <w:left w:val="nil"/>
          <w:bottom w:val="nil"/>
          <w:right w:val="nil"/>
          <w:between w:val="nil"/>
        </w:pBdr>
        <w:ind w:firstLine="720"/>
      </w:pPr>
    </w:p>
    <w:p w:rsidR="003E4C25" w:rsidP="00704802" w14:paraId="7FA06C16" w14:textId="03E0CB74">
      <w:pPr>
        <w:widowControl/>
        <w:pBdr>
          <w:top w:val="nil"/>
          <w:left w:val="nil"/>
          <w:bottom w:val="nil"/>
          <w:right w:val="nil"/>
          <w:between w:val="nil"/>
        </w:pBdr>
      </w:pPr>
      <w:r w:rsidRPr="00636121">
        <w:t xml:space="preserve">If approved, NMFS </w:t>
      </w:r>
      <w:r w:rsidR="00997CC3">
        <w:t>will</w:t>
      </w:r>
      <w:r w:rsidRPr="00636121" w:rsidR="00997CC3">
        <w:t xml:space="preserve"> </w:t>
      </w:r>
      <w:r w:rsidRPr="00636121">
        <w:t>issue CQ permit</w:t>
      </w:r>
      <w:r w:rsidR="007F03B7">
        <w:t>s and apportion amounts of annual crab and halibut PSC limits</w:t>
      </w:r>
      <w:r w:rsidRPr="00636121">
        <w:t xml:space="preserve"> to</w:t>
      </w:r>
      <w:r>
        <w:t xml:space="preserve"> the cooperative</w:t>
      </w:r>
      <w:r w:rsidRPr="00636121">
        <w:t xml:space="preserve">. Permits </w:t>
      </w:r>
      <w:r w:rsidR="00997CC3">
        <w:t>will</w:t>
      </w:r>
      <w:r w:rsidRPr="00636121" w:rsidR="00997CC3">
        <w:t xml:space="preserve"> </w:t>
      </w:r>
      <w:r w:rsidRPr="00636121">
        <w:t xml:space="preserve">not be issued until the annual harvest specifications are recommended by the Council for the upcoming year. Permits </w:t>
      </w:r>
      <w:r w:rsidR="00997CC3">
        <w:t>will</w:t>
      </w:r>
      <w:r w:rsidRPr="00636121" w:rsidR="00997CC3">
        <w:t xml:space="preserve"> </w:t>
      </w:r>
      <w:r w:rsidRPr="00636121">
        <w:t>ge</w:t>
      </w:r>
      <w:r w:rsidRPr="00636121">
        <w:t xml:space="preserve">nerally be issued in early January for the upcoming year. </w:t>
      </w:r>
      <w:r w:rsidRPr="003E4C25">
        <w:t>A CQ permit authorizes a PCTC Program cooperative to participate in the PCTC Program. The CQ permit will indicate the amount of Pacific cod that may be harvested by the PCTC Program cooperative, and</w:t>
      </w:r>
      <w:r w:rsidRPr="003E4C25">
        <w:t xml:space="preserve"> the amount of halibut PSC and crab PSC that may be used by the PCTC Program cooperative. The CQ permit will list the members of the PCTC Program cooperative, the trawl catcher vessels that are authorized to fish under the CQ permit for that cooperative, a</w:t>
      </w:r>
      <w:r w:rsidRPr="003E4C25">
        <w:t xml:space="preserve">nd the PCTC Program processor(s) with whom that cooperative is associated. </w:t>
      </w:r>
      <w:r>
        <w:t xml:space="preserve">A CQ permit is valid only until the end of the BSAI Pacific cod B season for the year in which the CQ permit is issued. A legible copy of a valid CQ permit must be carried on board </w:t>
      </w:r>
      <w:r>
        <w:t>the vessel(s) used by the PCTC Program cooperative.</w:t>
      </w:r>
    </w:p>
    <w:p w:rsidR="007A09E5" w:rsidP="00E25936" w14:paraId="4121B16C" w14:textId="224D21C5">
      <w:pPr>
        <w:widowControl/>
        <w:pBdr>
          <w:top w:val="nil"/>
          <w:left w:val="nil"/>
          <w:bottom w:val="nil"/>
          <w:right w:val="nil"/>
          <w:between w:val="nil"/>
        </w:pBdr>
      </w:pPr>
    </w:p>
    <w:p w:rsidR="002601DC" w:rsidP="00704802" w14:paraId="3456DC2C" w14:textId="71C5F3DE">
      <w:pPr>
        <w:widowControl/>
        <w:pBdr>
          <w:top w:val="nil"/>
          <w:left w:val="nil"/>
          <w:bottom w:val="nil"/>
          <w:right w:val="nil"/>
          <w:between w:val="nil"/>
        </w:pBdr>
      </w:pPr>
      <w:r>
        <w:t xml:space="preserve">The </w:t>
      </w:r>
      <w:r w:rsidRPr="003E4C25" w:rsidR="003E4C25">
        <w:t>Application for PCTC Program CQ</w:t>
      </w:r>
      <w:r>
        <w:t xml:space="preserve"> must be submitted to NMFS no later than November 1</w:t>
      </w:r>
      <w:r w:rsidR="007F03B7">
        <w:t xml:space="preserve">, which is </w:t>
      </w:r>
      <w:r>
        <w:t xml:space="preserve"> prior to </w:t>
      </w:r>
      <w:r w:rsidR="007F03B7">
        <w:t>the start of each fishing year</w:t>
      </w:r>
      <w:r>
        <w:t xml:space="preserve">. The cooperative's designated representative </w:t>
      </w:r>
      <w:r w:rsidR="007F03B7">
        <w:t xml:space="preserve">will </w:t>
      </w:r>
      <w:r>
        <w:t xml:space="preserve">be responsible </w:t>
      </w:r>
      <w:r>
        <w:t xml:space="preserve">for submitting the application on behalf of the cooperative members. If the </w:t>
      </w:r>
      <w:r>
        <w:t>designated representative for the cooperative fail</w:t>
      </w:r>
      <w:r w:rsidR="003E4C25">
        <w:t>s</w:t>
      </w:r>
      <w:r>
        <w:t xml:space="preserve"> to submit a timely application for CQ, NMFS </w:t>
      </w:r>
      <w:r w:rsidR="007F03B7">
        <w:t xml:space="preserve">will </w:t>
      </w:r>
      <w:r>
        <w:t xml:space="preserve">not issue CQ to the cooperative </w:t>
      </w:r>
      <w:r w:rsidR="007F03B7">
        <w:t xml:space="preserve">representative </w:t>
      </w:r>
      <w:r>
        <w:t xml:space="preserve">for that fishing year. </w:t>
      </w:r>
      <w:r w:rsidR="00286541">
        <w:t>The application will be available on the NMFS Alaska Region website.</w:t>
      </w:r>
    </w:p>
    <w:p w:rsidR="003E4C25" w:rsidP="00E25936" w14:paraId="0988ED03" w14:textId="77777777">
      <w:pPr>
        <w:widowControl/>
        <w:pBdr>
          <w:top w:val="nil"/>
          <w:left w:val="nil"/>
          <w:bottom w:val="nil"/>
          <w:right w:val="nil"/>
          <w:between w:val="nil"/>
        </w:pBdr>
      </w:pPr>
    </w:p>
    <w:p w:rsidR="00EC22BF" w:rsidP="00EC22BF" w14:paraId="67ED0403" w14:textId="77777777">
      <w:pPr>
        <w:widowControl/>
      </w:pPr>
      <w:r>
        <w:t>This application identifies the LLP licenses and processor QS permits named to the cooperative and the catcher vessels allowed to harvest a portion of that cooperative’s CQ. The information collected on this application includes the following:</w:t>
      </w:r>
    </w:p>
    <w:p w:rsidR="00EC22BF" w:rsidP="00EC22BF" w14:paraId="0ABFCC65" w14:textId="77777777">
      <w:pPr>
        <w:pStyle w:val="ListParagraph"/>
        <w:widowControl/>
        <w:numPr>
          <w:ilvl w:val="0"/>
          <w:numId w:val="24"/>
        </w:numPr>
        <w:spacing w:before="120"/>
      </w:pPr>
      <w:r>
        <w:t>PCTC Program cooperative identification information</w:t>
      </w:r>
    </w:p>
    <w:p w:rsidR="00EC22BF" w:rsidP="00EC22BF" w14:paraId="7B110858" w14:textId="77777777">
      <w:pPr>
        <w:pStyle w:val="ListParagraph"/>
        <w:widowControl/>
        <w:numPr>
          <w:ilvl w:val="0"/>
          <w:numId w:val="24"/>
        </w:numPr>
        <w:spacing w:before="120"/>
      </w:pPr>
      <w:r>
        <w:t xml:space="preserve">PCTC Program LLP license identification numbers </w:t>
      </w:r>
    </w:p>
    <w:p w:rsidR="00EC22BF" w:rsidP="00EC22BF" w14:paraId="577A0703" w14:textId="77777777">
      <w:pPr>
        <w:pStyle w:val="ListParagraph"/>
        <w:widowControl/>
        <w:numPr>
          <w:ilvl w:val="0"/>
          <w:numId w:val="24"/>
        </w:numPr>
        <w:spacing w:before="120"/>
      </w:pPr>
      <w:r>
        <w:t>Processor-held PCTC Program processor QS permit number(s) and name of the processor that holds that each QS permit</w:t>
      </w:r>
    </w:p>
    <w:p w:rsidR="00EC22BF" w:rsidP="00EC22BF" w14:paraId="7F6BDF6B" w14:textId="77777777">
      <w:pPr>
        <w:pStyle w:val="ListParagraph"/>
        <w:widowControl/>
        <w:numPr>
          <w:ilvl w:val="0"/>
          <w:numId w:val="24"/>
        </w:numPr>
        <w:spacing w:before="120"/>
      </w:pPr>
      <w:r>
        <w:t xml:space="preserve">PCTC Program QS ownership documentation </w:t>
      </w:r>
    </w:p>
    <w:p w:rsidR="00EC22BF" w:rsidP="00EC22BF" w14:paraId="68670A33" w14:textId="77777777">
      <w:pPr>
        <w:pStyle w:val="ListParagraph"/>
        <w:widowControl/>
        <w:numPr>
          <w:ilvl w:val="0"/>
          <w:numId w:val="24"/>
        </w:numPr>
        <w:spacing w:before="120"/>
      </w:pPr>
      <w:r>
        <w:t>Members of the PCTC Program cooperative and the associated processor that holds a QS permit</w:t>
      </w:r>
    </w:p>
    <w:p w:rsidR="00EC22BF" w:rsidP="00EC22BF" w14:paraId="53FF29F5" w14:textId="77777777">
      <w:pPr>
        <w:pStyle w:val="ListParagraph"/>
        <w:widowControl/>
        <w:numPr>
          <w:ilvl w:val="0"/>
          <w:numId w:val="24"/>
        </w:numPr>
        <w:spacing w:before="120"/>
      </w:pPr>
      <w:r>
        <w:t>Trawl vessel identification: names, ADF&amp;G numbers, USCG numbers, and Federal Fisheries Permit numbers of vessels eligible to harvest the CQ issued to the PCTC Program cooperative</w:t>
      </w:r>
    </w:p>
    <w:p w:rsidR="00EC22BF" w:rsidP="00EC22BF" w14:paraId="7EF97743" w14:textId="77777777">
      <w:pPr>
        <w:pStyle w:val="ListParagraph"/>
        <w:widowControl/>
        <w:numPr>
          <w:ilvl w:val="0"/>
          <w:numId w:val="24"/>
        </w:numPr>
        <w:spacing w:before="120"/>
      </w:pPr>
      <w:r>
        <w:t>Signature of cooperative representative who completed the application (attach proof of authorization to act on behalf of the cooperative to complete the application.)</w:t>
      </w:r>
    </w:p>
    <w:p w:rsidR="00EC22BF" w:rsidP="00EC22BF" w14:paraId="43614EAF" w14:textId="77777777">
      <w:pPr>
        <w:widowControl/>
      </w:pPr>
    </w:p>
    <w:p w:rsidR="00EC22BF" w:rsidP="00EC22BF" w14:paraId="07146778" w14:textId="77777777">
      <w:pPr>
        <w:widowControl/>
        <w:tabs>
          <w:tab w:val="left" w:pos="144"/>
          <w:tab w:val="left" w:pos="547"/>
        </w:tabs>
        <w:rPr>
          <w:strike/>
        </w:rPr>
      </w:pPr>
      <w:r>
        <w:t>For the cooperative application to be considered complete, the following documents must be attached:</w:t>
      </w:r>
    </w:p>
    <w:p w:rsidR="00EC22BF" w:rsidP="00EC22BF" w14:paraId="34D21C8B" w14:textId="77777777">
      <w:pPr>
        <w:widowControl/>
        <w:numPr>
          <w:ilvl w:val="0"/>
          <w:numId w:val="25"/>
        </w:numPr>
        <w:tabs>
          <w:tab w:val="left" w:pos="144"/>
          <w:tab w:val="left" w:pos="432"/>
        </w:tabs>
        <w:spacing w:before="120" w:after="120"/>
      </w:pPr>
      <w:r>
        <w:t>A copy of the PCTC Program cooperative agreement or contract signed by the members of the PCTC Program cooperative. The membership agreement or contract must specify:</w:t>
      </w:r>
    </w:p>
    <w:p w:rsidR="00EC22BF" w:rsidP="00EC22BF" w14:paraId="7B9DD1F1" w14:textId="77777777">
      <w:pPr>
        <w:pStyle w:val="ListParagraph"/>
        <w:widowControl/>
        <w:numPr>
          <w:ilvl w:val="1"/>
          <w:numId w:val="26"/>
        </w:numPr>
        <w:tabs>
          <w:tab w:val="left" w:pos="432"/>
          <w:tab w:val="left" w:pos="720"/>
        </w:tabs>
        <w:spacing w:before="120" w:after="120"/>
        <w:ind w:left="1080"/>
      </w:pPr>
      <w:r>
        <w:t>A copy of the business license issued by the state where the cooperative is registered as a business entity.</w:t>
      </w:r>
    </w:p>
    <w:p w:rsidR="00EC22BF" w:rsidP="00EC22BF" w14:paraId="708BF565" w14:textId="77777777">
      <w:pPr>
        <w:pStyle w:val="ListParagraph"/>
        <w:widowControl/>
        <w:numPr>
          <w:ilvl w:val="1"/>
          <w:numId w:val="26"/>
        </w:numPr>
        <w:tabs>
          <w:tab w:val="left" w:pos="432"/>
          <w:tab w:val="left" w:pos="720"/>
        </w:tabs>
        <w:spacing w:before="120" w:after="120"/>
        <w:ind w:left="1080"/>
      </w:pPr>
      <w:r>
        <w:t>A copy of the articles of incorporation or partnership agreement of the cooperative.</w:t>
      </w:r>
    </w:p>
    <w:p w:rsidR="00EC22BF" w:rsidP="00EC22BF" w14:paraId="445224CB" w14:textId="77777777">
      <w:pPr>
        <w:pStyle w:val="ListParagraph"/>
        <w:widowControl/>
        <w:numPr>
          <w:ilvl w:val="1"/>
          <w:numId w:val="27"/>
        </w:numPr>
        <w:tabs>
          <w:tab w:val="left" w:pos="432"/>
          <w:tab w:val="left" w:pos="720"/>
        </w:tabs>
        <w:spacing w:before="120" w:after="120"/>
        <w:ind w:left="1080"/>
      </w:pPr>
      <w:r>
        <w:t>A copy of the cooperative agreement signed by the members of the cooperative and associated processor(s). The cooperative agreement must specify that the QS holders, including processors, cannot participate in price setting negotiations, except as permitted by general antitrust law.</w:t>
      </w:r>
    </w:p>
    <w:p w:rsidR="00EC22BF" w:rsidP="00EC22BF" w14:paraId="1E5A5863" w14:textId="77777777">
      <w:pPr>
        <w:pStyle w:val="ListParagraph"/>
        <w:widowControl/>
        <w:numPr>
          <w:ilvl w:val="1"/>
          <w:numId w:val="27"/>
        </w:numPr>
        <w:tabs>
          <w:tab w:val="left" w:pos="432"/>
          <w:tab w:val="left" w:pos="720"/>
        </w:tabs>
        <w:spacing w:before="120" w:after="120"/>
        <w:ind w:left="1080"/>
      </w:pPr>
      <w:r>
        <w:t>The cooperative has a monitoring program sufficient to ensure compliance with the PCTC Program.</w:t>
      </w:r>
    </w:p>
    <w:p w:rsidR="00EC22BF" w:rsidP="00EC22BF" w14:paraId="0AFDA33D" w14:textId="77777777">
      <w:pPr>
        <w:pStyle w:val="ListParagraph"/>
        <w:widowControl/>
        <w:numPr>
          <w:ilvl w:val="1"/>
          <w:numId w:val="27"/>
        </w:numPr>
        <w:tabs>
          <w:tab w:val="left" w:pos="432"/>
          <w:tab w:val="left" w:pos="720"/>
        </w:tabs>
        <w:spacing w:before="120" w:after="120"/>
        <w:ind w:left="1080"/>
      </w:pPr>
      <w:r>
        <w:t xml:space="preserve">QS holders who are members of this cooperative or associated with this cooperative must ensure full payment of the cost recovery fees. </w:t>
      </w:r>
    </w:p>
    <w:p w:rsidR="00EC22BF" w:rsidP="00EC22BF" w14:paraId="3F6C0366" w14:textId="77777777">
      <w:pPr>
        <w:pStyle w:val="ListParagraph"/>
        <w:widowControl/>
        <w:numPr>
          <w:ilvl w:val="1"/>
          <w:numId w:val="27"/>
        </w:numPr>
        <w:tabs>
          <w:tab w:val="left" w:pos="432"/>
          <w:tab w:val="left" w:pos="720"/>
        </w:tabs>
        <w:spacing w:before="120" w:after="120"/>
        <w:ind w:left="1080"/>
      </w:pPr>
      <w:r>
        <w:t>The cooperative’s plan to allocate CQ to member vessels in accordance with the vessel use caps specified at § 679.133.</w:t>
      </w:r>
    </w:p>
    <w:p w:rsidR="00EC22BF" w:rsidP="00EC22BF" w14:paraId="2DCB2849" w14:textId="77777777">
      <w:pPr>
        <w:pStyle w:val="ListParagraph"/>
        <w:widowControl/>
        <w:numPr>
          <w:ilvl w:val="1"/>
          <w:numId w:val="27"/>
        </w:numPr>
        <w:tabs>
          <w:tab w:val="left" w:pos="432"/>
          <w:tab w:val="left" w:pos="720"/>
        </w:tabs>
        <w:spacing w:before="120" w:after="120"/>
        <w:ind w:left="1080"/>
      </w:pPr>
      <w:r>
        <w:t>The cooperative’s plan to monitor CQ leasing activity, including into GOA fisheries, and use of CQ derived from processor held QS within this cooperative.</w:t>
      </w:r>
    </w:p>
    <w:p w:rsidR="00EC22BF" w:rsidP="00EC22BF" w14:paraId="65D55641" w14:textId="77777777">
      <w:pPr>
        <w:pStyle w:val="ListParagraph"/>
        <w:widowControl/>
        <w:numPr>
          <w:ilvl w:val="1"/>
          <w:numId w:val="27"/>
        </w:numPr>
        <w:tabs>
          <w:tab w:val="left" w:pos="432"/>
          <w:tab w:val="left" w:pos="720"/>
        </w:tabs>
        <w:spacing w:before="120" w:after="120"/>
        <w:ind w:left="1080"/>
      </w:pPr>
      <w:r>
        <w:t>A cooperative intending to harvest any amount of the CQ set-aside must provide the cooperative’s plan for coordinating harvest and delivery of the CQ set-aside with an Aleutian Islands shoreplant as defined § 679.2.</w:t>
      </w:r>
    </w:p>
    <w:p w:rsidR="00EC22BF" w:rsidP="00EC22BF" w14:paraId="445ADE5E" w14:textId="77777777">
      <w:pPr>
        <w:pStyle w:val="ListParagraph"/>
        <w:numPr>
          <w:ilvl w:val="0"/>
          <w:numId w:val="25"/>
        </w:numPr>
      </w:pPr>
      <w:r>
        <w:t>Inter-cooperative Agreement. Each year, the</w:t>
      </w:r>
      <w:sdt>
        <w:sdtPr>
          <w:tag w:val="goog_rdk_7"/>
          <w:id w:val="-1462880174"/>
          <w:richText/>
        </w:sdtPr>
        <w:sdtContent/>
      </w:sdt>
      <w:r>
        <w:t xml:space="preserve"> cooperative</w:t>
      </w:r>
      <w:sdt>
        <w:sdtPr>
          <w:tag w:val="goog_rdk_8"/>
          <w:id w:val="-381946766"/>
          <w:richText/>
        </w:sdtPr>
        <w:sdtContent/>
      </w:sdt>
      <w:sdt>
        <w:sdtPr>
          <w:tag w:val="goog_rdk_9"/>
          <w:id w:val="571087032"/>
          <w:richText/>
        </w:sdtPr>
        <w:sdtContent>
          <w:sdt>
            <w:sdtPr>
              <w:tag w:val="goog_rdk_10"/>
              <w:id w:val="-1617670282"/>
              <w:richText/>
            </w:sdtPr>
            <w:sdtContent/>
          </w:sdt>
        </w:sdtContent>
      </w:sdt>
      <w:sdt>
        <w:sdtPr>
          <w:tag w:val="goog_rdk_11"/>
          <w:id w:val="-1491779492"/>
          <w:richText/>
        </w:sdtPr>
        <w:sdtContent/>
      </w:sdt>
      <w:r>
        <w:t xml:space="preserve"> must provide the plan for coordinating harvest and delivery of the set-aside with an Aleutian Islands shoreplant in the cooperative application. The cooperatives must also provide how they would ensure that CVs under 60 feet MLOA assigned to an LLP with a transferable Aleutian Islands trawl endorsement have the opportunity to harvest 10 percent of the Aleutian Islands CQ set-aside.</w:t>
      </w:r>
    </w:p>
    <w:p w:rsidR="00EC22BF" w:rsidP="00EC22BF" w14:paraId="2142EA2A" w14:textId="77777777">
      <w:pPr>
        <w:widowControl/>
        <w:tabs>
          <w:tab w:val="left" w:pos="144"/>
          <w:tab w:val="left" w:pos="432"/>
        </w:tabs>
        <w:ind w:left="360"/>
        <w:rPr>
          <w:color w:val="C00000"/>
        </w:rPr>
      </w:pPr>
    </w:p>
    <w:p w:rsidR="00EC22BF" w:rsidP="00EC22BF" w14:paraId="60294508" w14:textId="7098640B">
      <w:pPr>
        <w:widowControl/>
        <w:tabs>
          <w:tab w:val="left" w:pos="144"/>
          <w:tab w:val="left" w:pos="432"/>
        </w:tabs>
      </w:pPr>
      <w:r w:rsidRPr="00EC22BF">
        <w:rPr>
          <w:color w:val="C00000"/>
        </w:rPr>
        <w:t>Changes from the Proposed Rule to the Final Rule</w:t>
      </w:r>
      <w:r w:rsidRPr="00EC22BF">
        <w:rPr>
          <w:b/>
          <w:color w:val="C00000"/>
        </w:rPr>
        <w:t>:</w:t>
      </w:r>
      <w:r w:rsidRPr="00EC22BF">
        <w:rPr>
          <w:color w:val="C00000"/>
        </w:rPr>
        <w:t xml:space="preserve"> </w:t>
      </w:r>
      <w:r>
        <w:t>Several comment letters expressed concern about the inter-cooperative agreement due to the anticipated timing of the final rule publication date. NMFS proposed that each cooperative must submit the inter-cooperative agreement with the submission the annual Application for Pacific Cod Trawl Cooperative Program Cooperative Quota no later than November 1 of each calendar year. In response, NMFS modified § 679.131(a)(4)(viii) to accommodate cooperative formation prior to the first year of the PCTC Program. For calendar year 2023 only, NMFS will allow each cooperative to submit the inter-cooperative agreement after the deadline for the annual cooperative application; however it must be submitted on or before December 31, 2023. This single year variation will give cooperatives additional time to come to an agreement. In all years after 2023, the inter-cooperative agreement must be submitted with the cooperative application no later than November 1 of each calendar year. The inter-cooperative agreement is required before NMFS issues CQ to each cooperative and fishing begins in the A season (January 20). The inter-cooperative agreement must be submitted regardless of if an Aleutian Islands community files an intent to process with NMFS per § 679.132(b).</w:t>
      </w:r>
    </w:p>
    <w:p w:rsidR="00EC22BF" w:rsidP="00EC22BF" w14:paraId="2A4A4083" w14:textId="77777777">
      <w:pPr>
        <w:widowControl/>
        <w:tabs>
          <w:tab w:val="left" w:pos="144"/>
          <w:tab w:val="left" w:pos="432"/>
        </w:tabs>
      </w:pPr>
    </w:p>
    <w:p w:rsidR="00EC22BF" w:rsidP="00EC22BF" w14:paraId="7D99BE0C" w14:textId="77777777">
      <w:pPr>
        <w:widowControl/>
        <w:tabs>
          <w:tab w:val="left" w:pos="144"/>
          <w:tab w:val="left" w:pos="432"/>
        </w:tabs>
      </w:pPr>
      <w:r>
        <w:t>Block C on the form was revised to collect the FFP number instead of the LLP license number of the PCTC Program Cooperative member vessels. This change was necessary because Block C is intended to collect vessel identification information and FFP numbers. LLP license holder information is collected in Block B. The form’s instructions were updated to show this change. Additionally, minor editorial changes were made to the form to improve clarity and the description of information that is submitted.</w:t>
      </w:r>
    </w:p>
    <w:p w:rsidR="005F2B5F" w:rsidRPr="005F2B5F" w:rsidP="005F2B5F" w14:paraId="68A5DCB2" w14:textId="77777777">
      <w:pPr>
        <w:widowControl/>
        <w:tabs>
          <w:tab w:val="left" w:pos="144"/>
          <w:tab w:val="left" w:pos="432"/>
        </w:tabs>
        <w:spacing w:before="120"/>
      </w:pPr>
    </w:p>
    <w:p w:rsidR="007A09E5" w:rsidRPr="002330A8" w:rsidP="00E25936" w14:paraId="18AA746A" w14:textId="6434BB21">
      <w:pPr>
        <w:widowControl/>
        <w:pBdr>
          <w:top w:val="nil"/>
          <w:left w:val="nil"/>
          <w:bottom w:val="nil"/>
          <w:right w:val="nil"/>
          <w:between w:val="nil"/>
        </w:pBdr>
        <w:rPr>
          <w:b/>
        </w:rPr>
      </w:pPr>
      <w:r>
        <w:rPr>
          <w:b/>
        </w:rPr>
        <w:t xml:space="preserve">Application for </w:t>
      </w:r>
      <w:r w:rsidRPr="002330A8" w:rsidR="002330A8">
        <w:rPr>
          <w:b/>
        </w:rPr>
        <w:t xml:space="preserve">Inter-Cooperative Transfer of </w:t>
      </w:r>
      <w:r w:rsidR="00925C71">
        <w:rPr>
          <w:b/>
        </w:rPr>
        <w:t xml:space="preserve">PCTC Program </w:t>
      </w:r>
      <w:r w:rsidRPr="002330A8" w:rsidR="002330A8">
        <w:rPr>
          <w:b/>
        </w:rPr>
        <w:t>Cooperative Quota (CQ)</w:t>
      </w:r>
    </w:p>
    <w:p w:rsidR="00801EC4" w:rsidP="00E25936" w14:paraId="618AFCEA" w14:textId="77777777">
      <w:pPr>
        <w:widowControl/>
        <w:pBdr>
          <w:top w:val="nil"/>
          <w:left w:val="nil"/>
          <w:bottom w:val="nil"/>
          <w:right w:val="nil"/>
          <w:between w:val="nil"/>
        </w:pBdr>
      </w:pPr>
    </w:p>
    <w:p w:rsidR="000103F0" w:rsidP="00E25936" w14:paraId="58813A70" w14:textId="35E67089">
      <w:pPr>
        <w:widowControl/>
        <w:pBdr>
          <w:top w:val="nil"/>
          <w:left w:val="nil"/>
          <w:bottom w:val="nil"/>
          <w:right w:val="nil"/>
          <w:between w:val="nil"/>
        </w:pBdr>
      </w:pPr>
      <w:r>
        <w:t xml:space="preserve">Under the PCTC Program, a cooperative </w:t>
      </w:r>
      <w:r w:rsidR="00997CC3">
        <w:t xml:space="preserve">may </w:t>
      </w:r>
      <w:r>
        <w:t xml:space="preserve">transfer all or part of its CQ to another </w:t>
      </w:r>
      <w:r w:rsidRPr="00F2005D">
        <w:t>cooperative for harvest subject to the limitations imposed by ownership and use caps. A</w:t>
      </w:r>
      <w:r w:rsidRPr="00F2005D" w:rsidR="00667C61">
        <w:t xml:space="preserve">nnual CQ and associated PSC </w:t>
      </w:r>
      <w:r w:rsidR="00997CC3">
        <w:t>will</w:t>
      </w:r>
      <w:r w:rsidRPr="00F2005D" w:rsidR="00997CC3">
        <w:t xml:space="preserve"> </w:t>
      </w:r>
      <w:r w:rsidRPr="00F2005D" w:rsidR="00667C61">
        <w:t>be transferable between cooperatives</w:t>
      </w:r>
      <w:r w:rsidRPr="00F2005D">
        <w:t xml:space="preserve"> using the Appli</w:t>
      </w:r>
      <w:r w:rsidRPr="00F2005D">
        <w:t>cation for Inter-Cooperative Transfer of PCTC Program Cooperative Quota (CQ)</w:t>
      </w:r>
      <w:r>
        <w:t>.</w:t>
      </w:r>
      <w:r w:rsidRPr="000103F0">
        <w:t xml:space="preserve"> This application is necessary for NMFS to appropriately account for inter-cooperative transfers of CQ after annual CQ has been issued to PCTC Program cooperatives. NMFS uses this</w:t>
      </w:r>
      <w:r w:rsidRPr="000103F0">
        <w:t xml:space="preserve"> information to monitor transfers to ensure they do not exceed ownership or use caps for the fishery.</w:t>
      </w:r>
    </w:p>
    <w:p w:rsidR="00A43E20" w:rsidRPr="00F2005D" w:rsidP="00E25936" w14:paraId="2D0B4346" w14:textId="77777777">
      <w:pPr>
        <w:widowControl/>
        <w:pBdr>
          <w:top w:val="nil"/>
          <w:left w:val="nil"/>
          <w:bottom w:val="nil"/>
          <w:right w:val="nil"/>
          <w:between w:val="nil"/>
        </w:pBdr>
      </w:pPr>
    </w:p>
    <w:p w:rsidR="000103F0" w:rsidP="00E25936" w14:paraId="0E6647E1" w14:textId="40D96D8A">
      <w:pPr>
        <w:widowControl/>
        <w:autoSpaceDE w:val="0"/>
        <w:autoSpaceDN w:val="0"/>
      </w:pPr>
      <w:r w:rsidRPr="00F2005D">
        <w:t xml:space="preserve">To </w:t>
      </w:r>
      <w:r w:rsidR="00611905">
        <w:t>initiate</w:t>
      </w:r>
      <w:r w:rsidRPr="00F2005D" w:rsidR="00611905">
        <w:t xml:space="preserve"> </w:t>
      </w:r>
      <w:r w:rsidRPr="00F2005D">
        <w:t xml:space="preserve">an inter-cooperative transfer, </w:t>
      </w:r>
      <w:r w:rsidR="00611905">
        <w:t>the</w:t>
      </w:r>
      <w:r w:rsidRPr="00F2005D" w:rsidR="00611905">
        <w:t xml:space="preserve"> </w:t>
      </w:r>
      <w:r w:rsidRPr="00F2005D">
        <w:t xml:space="preserve">designated representative of each cooperative </w:t>
      </w:r>
      <w:r w:rsidR="00611905">
        <w:t>must</w:t>
      </w:r>
      <w:r w:rsidRPr="00F2005D">
        <w:t xml:space="preserve"> complete </w:t>
      </w:r>
      <w:r w:rsidR="00611905">
        <w:t>a</w:t>
      </w:r>
      <w:r>
        <w:t>n</w:t>
      </w:r>
      <w:r w:rsidRPr="00F2005D" w:rsidR="00611905">
        <w:t xml:space="preserve"> </w:t>
      </w:r>
      <w:r w:rsidRPr="000103F0">
        <w:t xml:space="preserve">Application for Inter-Cooperative Transfer </w:t>
      </w:r>
      <w:r w:rsidRPr="000103F0">
        <w:t>of PCTC Program Cooperati</w:t>
      </w:r>
      <w:r>
        <w:t xml:space="preserve">ve Quota </w:t>
      </w:r>
      <w:r>
        <w:t>(CQ)</w:t>
      </w:r>
      <w:r w:rsidRPr="000103F0">
        <w:t>, which will be accessed online through eFISH. eFISH is the NMFS-approved electronic reporting system</w:t>
      </w:r>
      <w:r>
        <w:t>. eFISH</w:t>
      </w:r>
      <w:r w:rsidRPr="000103F0">
        <w:t xml:space="preserve"> allows for automated review and approval of transfer requests within use cap constraints. </w:t>
      </w:r>
    </w:p>
    <w:p w:rsidR="000103F0" w:rsidP="00E25936" w14:paraId="6FBA5065" w14:textId="77777777">
      <w:pPr>
        <w:widowControl/>
        <w:autoSpaceDE w:val="0"/>
        <w:autoSpaceDN w:val="0"/>
      </w:pPr>
    </w:p>
    <w:p w:rsidR="00801EC4" w:rsidRPr="00F2005D" w:rsidP="00E25936" w14:paraId="6A91A487" w14:textId="0A17A861">
      <w:pPr>
        <w:widowControl/>
        <w:autoSpaceDE w:val="0"/>
        <w:autoSpaceDN w:val="0"/>
        <w:rPr>
          <w:rFonts w:eastAsiaTheme="minorHAnsi" w:cstheme="minorBidi"/>
          <w:lang w:val="en-CA"/>
        </w:rPr>
      </w:pPr>
      <w:r w:rsidRPr="00F2005D">
        <w:rPr>
          <w:rFonts w:eastAsiaTheme="minorHAnsi" w:cstheme="minorBidi"/>
          <w:lang w:val="en-CA"/>
        </w:rPr>
        <w:t>To access eFISH</w:t>
      </w:r>
      <w:r w:rsidR="000103F0">
        <w:rPr>
          <w:rFonts w:eastAsiaTheme="minorHAnsi" w:cstheme="minorBidi"/>
          <w:lang w:val="en-CA"/>
        </w:rPr>
        <w:t>,</w:t>
      </w:r>
      <w:r w:rsidRPr="00F2005D">
        <w:rPr>
          <w:rFonts w:eastAsiaTheme="minorHAnsi" w:cstheme="minorBidi"/>
          <w:lang w:val="en-CA"/>
        </w:rPr>
        <w:t xml:space="preserve"> </w:t>
      </w:r>
      <w:r w:rsidRPr="00F2005D">
        <w:rPr>
          <w:rFonts w:eastAsiaTheme="minorHAnsi" w:cstheme="minorBidi"/>
          <w:lang w:val="en-CA"/>
        </w:rPr>
        <w:t xml:space="preserve">a PCTC Program cooperative representative uses their NMFS ID and password to login to the application and submit the transfer request. Information submitted </w:t>
      </w:r>
      <w:r w:rsidR="000103F0">
        <w:rPr>
          <w:rFonts w:eastAsiaTheme="minorHAnsi" w:cstheme="minorBidi"/>
          <w:lang w:val="en-CA"/>
        </w:rPr>
        <w:t xml:space="preserve">for this transfer application </w:t>
      </w:r>
      <w:r w:rsidRPr="00F2005D">
        <w:rPr>
          <w:rFonts w:eastAsiaTheme="minorHAnsi" w:cstheme="minorBidi"/>
          <w:lang w:val="en-CA"/>
        </w:rPr>
        <w:t xml:space="preserve">includes </w:t>
      </w:r>
      <w:r w:rsidRPr="00F2005D">
        <w:rPr>
          <w:rFonts w:eastAsiaTheme="minorHAnsi" w:cstheme="minorBidi"/>
        </w:rPr>
        <w:t>PCTC Program cooperative identification</w:t>
      </w:r>
      <w:r w:rsidRPr="00F2005D">
        <w:rPr>
          <w:rFonts w:eastAsiaTheme="minorHAnsi" w:cstheme="minorBidi"/>
          <w:lang w:val="en-CA"/>
        </w:rPr>
        <w:t xml:space="preserve"> information for the </w:t>
      </w:r>
      <w:r w:rsidRPr="00F2005D">
        <w:rPr>
          <w:rFonts w:eastAsiaTheme="minorHAnsi" w:cstheme="minorBidi"/>
          <w:lang w:val="en-CA"/>
        </w:rPr>
        <w:t xml:space="preserve">cooperative transferring QS and the cooperative receiving QS, and the amount of QS to be transferred. </w:t>
      </w:r>
    </w:p>
    <w:p w:rsidR="007A09E5" w:rsidRPr="00F2005D" w:rsidP="00E25936" w14:paraId="64829A47" w14:textId="7C39E1ED">
      <w:pPr>
        <w:widowControl/>
        <w:pBdr>
          <w:top w:val="nil"/>
          <w:left w:val="nil"/>
          <w:bottom w:val="nil"/>
          <w:right w:val="nil"/>
          <w:between w:val="nil"/>
        </w:pBdr>
      </w:pPr>
    </w:p>
    <w:p w:rsidR="007A09E5" w:rsidP="00E25936" w14:paraId="539D2DDB" w14:textId="54DFB7D5">
      <w:pPr>
        <w:widowControl/>
        <w:pBdr>
          <w:top w:val="nil"/>
          <w:left w:val="nil"/>
          <w:bottom w:val="nil"/>
          <w:right w:val="nil"/>
          <w:between w:val="nil"/>
        </w:pBdr>
      </w:pPr>
      <w:r>
        <w:t xml:space="preserve">A transfer of CQ </w:t>
      </w:r>
      <w:r w:rsidR="00997CC3">
        <w:t xml:space="preserve">will </w:t>
      </w:r>
      <w:r>
        <w:t xml:space="preserve">not be effective until approved by NMFS. If the cooperative attempting to acquire CQ has reached any relevant use caps, NMFS </w:t>
      </w:r>
      <w:r w:rsidR="00997CC3">
        <w:t xml:space="preserve">will </w:t>
      </w:r>
      <w:r w:rsidR="000103F0">
        <w:t>not approve a transfer application</w:t>
      </w:r>
      <w:r>
        <w:t>.</w:t>
      </w:r>
    </w:p>
    <w:p w:rsidR="00B30BDD" w:rsidP="00E25936" w14:paraId="18317BB0" w14:textId="77777777">
      <w:pPr>
        <w:widowControl/>
        <w:pBdr>
          <w:top w:val="nil"/>
          <w:left w:val="nil"/>
          <w:bottom w:val="nil"/>
          <w:right w:val="nil"/>
          <w:between w:val="nil"/>
        </w:pBdr>
      </w:pPr>
    </w:p>
    <w:p w:rsidR="00695194" w:rsidRPr="00EC22BF" w:rsidP="00EC22BF" w14:paraId="3C5482D6" w14:textId="48F57EFE">
      <w:pPr>
        <w:widowControl/>
        <w:rPr>
          <w:b/>
          <w:color w:val="C00000"/>
        </w:rPr>
      </w:pPr>
      <w:r w:rsidRPr="004241EC">
        <w:rPr>
          <w:b/>
        </w:rPr>
        <w:t>Application for Transfer of  Pacific Cod Trawl Cooperative Program Quota Share for Processors</w:t>
      </w:r>
      <w:r w:rsidR="00EC22BF">
        <w:rPr>
          <w:b/>
        </w:rPr>
        <w:t xml:space="preserve"> </w:t>
      </w:r>
      <w:r w:rsidR="00EC22BF">
        <w:rPr>
          <w:b/>
          <w:color w:val="C00000"/>
        </w:rPr>
        <w:t>[Change from Proposed Rule to Final Rule: form changed to be able to collect Federal Fisheries Permit number of transferee]</w:t>
      </w:r>
    </w:p>
    <w:p w:rsidR="00695194" w:rsidP="00E25936" w14:paraId="1E39A5BB" w14:textId="7FC3FEDA">
      <w:pPr>
        <w:widowControl/>
        <w:pBdr>
          <w:top w:val="nil"/>
          <w:left w:val="nil"/>
          <w:bottom w:val="nil"/>
          <w:right w:val="nil"/>
          <w:between w:val="nil"/>
        </w:pBdr>
      </w:pPr>
    </w:p>
    <w:p w:rsidR="00B77380" w:rsidP="00E25936" w14:paraId="3421DE0E" w14:textId="0C5F1859">
      <w:pPr>
        <w:widowControl/>
        <w:pBdr>
          <w:top w:val="nil"/>
          <w:left w:val="nil"/>
          <w:bottom w:val="nil"/>
          <w:right w:val="nil"/>
          <w:between w:val="nil"/>
        </w:pBdr>
      </w:pPr>
      <w:r>
        <w:t>The Application for Transfer of Pacific Cod Trawl Coop</w:t>
      </w:r>
      <w:r w:rsidR="00921561">
        <w:t>erative Program Quota Share</w:t>
      </w:r>
      <w:r>
        <w:t xml:space="preserve"> for Processors is used by a PCTC Program p</w:t>
      </w:r>
      <w:r>
        <w:t xml:space="preserve">rocessor to request transfer </w:t>
      </w:r>
      <w:r w:rsidR="0041422B">
        <w:t xml:space="preserve">to </w:t>
      </w:r>
      <w:r w:rsidRPr="00B77380" w:rsidR="0041422B">
        <w:t xml:space="preserve">another </w:t>
      </w:r>
      <w:r w:rsidR="0041422B">
        <w:t xml:space="preserve">eligible processor </w:t>
      </w:r>
      <w:r>
        <w:t>of a PCTC Program QS permit and any QS assigned to that permit or to request transfer of excess PCTC Program QS separate from that permit.</w:t>
      </w:r>
      <w:r w:rsidRPr="0041422B" w:rsidR="0041422B">
        <w:t xml:space="preserve"> </w:t>
      </w:r>
      <w:r w:rsidR="0041422B">
        <w:t>This application is necessary for NMFS to account for processor QS in the PCTC Program. NMFS uses this i</w:t>
      </w:r>
      <w:r w:rsidRPr="00027CD4" w:rsidR="0041422B">
        <w:t>nformation to monitor transfers to ensure they do not exceed ownership or use caps for the fishery.</w:t>
      </w:r>
      <w:r w:rsidRPr="008B49AA" w:rsidR="008B49AA">
        <w:t xml:space="preserve"> </w:t>
      </w:r>
      <w:r w:rsidR="008B49AA">
        <w:t xml:space="preserve">NMFS will use </w:t>
      </w:r>
      <w:r w:rsidRPr="00AF48F1" w:rsidR="008B49AA">
        <w:t>the QS price in aggregate during program reviews.</w:t>
      </w:r>
    </w:p>
    <w:p w:rsidR="00B77380" w:rsidP="00E25936" w14:paraId="5DB049FE" w14:textId="262ACEE8">
      <w:pPr>
        <w:widowControl/>
        <w:pBdr>
          <w:top w:val="nil"/>
          <w:left w:val="nil"/>
          <w:bottom w:val="nil"/>
          <w:right w:val="nil"/>
          <w:between w:val="nil"/>
        </w:pBdr>
      </w:pPr>
    </w:p>
    <w:p w:rsidR="00921561" w:rsidP="00E25936" w14:paraId="7CF411B8" w14:textId="2F0CB4FC">
      <w:pPr>
        <w:widowControl/>
        <w:pBdr>
          <w:top w:val="nil"/>
          <w:left w:val="nil"/>
          <w:bottom w:val="nil"/>
          <w:right w:val="nil"/>
          <w:between w:val="nil"/>
        </w:pBdr>
      </w:pPr>
      <w:r w:rsidRPr="00B77380">
        <w:t>To transfer PCTC Program QS, a t</w:t>
      </w:r>
      <w:r>
        <w:t xml:space="preserve">imely and complete application </w:t>
      </w:r>
      <w:r w:rsidR="00286541">
        <w:t>must be submitted to NMFS.</w:t>
      </w:r>
      <w:r>
        <w:t xml:space="preserve"> </w:t>
      </w:r>
      <w:r w:rsidRPr="00921561">
        <w:t>The application will be available on the NMFS Alaska Region website</w:t>
      </w:r>
      <w:r>
        <w:t>.</w:t>
      </w:r>
      <w:r w:rsidRPr="00921561">
        <w:t xml:space="preserve"> NMFS will approve a request for transfer of a PCTC Program QS Permit to another processor and any QS assigned to that permit if t</w:t>
      </w:r>
      <w:r w:rsidRPr="00921561">
        <w:t>hat QS permit is not in excess of the use cap specified in § 679.133 at the time of transfer provided the persons are qualified to receive QS by transfer. Howe</w:t>
      </w:r>
      <w:r>
        <w:t xml:space="preserve">ver, NMFS </w:t>
      </w:r>
      <w:r w:rsidRPr="00921561">
        <w:t>will not approve a transfer of any type of QS that would cause a person to exceed the m</w:t>
      </w:r>
      <w:r w:rsidRPr="00921561">
        <w:t>aximum amount of QS allowable under the use limits.</w:t>
      </w:r>
    </w:p>
    <w:p w:rsidR="00921561" w:rsidP="00E25936" w14:paraId="2925AC2C" w14:textId="77777777">
      <w:pPr>
        <w:widowControl/>
        <w:pBdr>
          <w:top w:val="nil"/>
          <w:left w:val="nil"/>
          <w:bottom w:val="nil"/>
          <w:right w:val="nil"/>
          <w:between w:val="nil"/>
        </w:pBdr>
      </w:pPr>
    </w:p>
    <w:p w:rsidR="00EC22BF" w:rsidP="00EC22BF" w14:paraId="6B27C9CF" w14:textId="77777777">
      <w:pPr>
        <w:widowControl/>
      </w:pPr>
      <w:r>
        <w:t>The application is completed by the transferor and the transferee. The information collected on the application includes the following:</w:t>
      </w:r>
    </w:p>
    <w:p w:rsidR="00EC22BF" w:rsidP="00EC22BF" w14:paraId="7075FE43" w14:textId="77777777">
      <w:pPr>
        <w:pStyle w:val="ListParagraph"/>
        <w:widowControl/>
        <w:numPr>
          <w:ilvl w:val="0"/>
          <w:numId w:val="28"/>
        </w:numPr>
      </w:pPr>
      <w:r>
        <w:t xml:space="preserve">Transferor and transferee identification,  contact information, and Federal Processor Permit number or Federal Fisheries Permit number </w:t>
      </w:r>
    </w:p>
    <w:p w:rsidR="00EC22BF" w:rsidP="00EC22BF" w14:paraId="79A8381D" w14:textId="77777777">
      <w:pPr>
        <w:pStyle w:val="ListParagraph"/>
        <w:widowControl/>
        <w:numPr>
          <w:ilvl w:val="0"/>
          <w:numId w:val="28"/>
        </w:numPr>
      </w:pPr>
      <w:r>
        <w:t>Names of persons holding an ownership interest in the QS being transferred, their NMFS identification number, and the percentage ownership each will hold in the QS permit</w:t>
      </w:r>
    </w:p>
    <w:p w:rsidR="00EC22BF" w:rsidP="00EC22BF" w14:paraId="457DA067" w14:textId="77777777">
      <w:pPr>
        <w:pStyle w:val="ListParagraph"/>
        <w:widowControl/>
        <w:numPr>
          <w:ilvl w:val="0"/>
          <w:numId w:val="28"/>
        </w:numPr>
      </w:pPr>
      <w:r>
        <w:t xml:space="preserve">Information on the QS permit numbers and QS units being transferred </w:t>
      </w:r>
    </w:p>
    <w:p w:rsidR="00EC22BF" w:rsidP="00EC22BF" w14:paraId="7F7F7099" w14:textId="77777777">
      <w:pPr>
        <w:pStyle w:val="ListParagraph"/>
        <w:widowControl/>
        <w:numPr>
          <w:ilvl w:val="0"/>
          <w:numId w:val="28"/>
        </w:numPr>
      </w:pPr>
      <w:r>
        <w:t>Information on the sale transaction such as the price paid and reason for transfer</w:t>
      </w:r>
    </w:p>
    <w:p w:rsidR="00EC22BF" w:rsidP="00EC22BF" w14:paraId="570F8DF9" w14:textId="77777777">
      <w:pPr>
        <w:pStyle w:val="ListParagraph"/>
        <w:widowControl/>
        <w:numPr>
          <w:ilvl w:val="0"/>
          <w:numId w:val="28"/>
        </w:numPr>
      </w:pPr>
      <w:r>
        <w:t>Signature of the transferor and the transferee or their authorized representatives (attach proof of authorization if the application is completed by an authorized representative)</w:t>
      </w:r>
    </w:p>
    <w:p w:rsidR="00EC22BF" w:rsidP="00EC22BF" w14:paraId="0AC674FC" w14:textId="77777777">
      <w:pPr>
        <w:widowControl/>
      </w:pPr>
    </w:p>
    <w:p w:rsidR="00EC22BF" w:rsidP="00EC22BF" w14:paraId="7A828DC2" w14:textId="77777777">
      <w:pPr>
        <w:widowControl/>
      </w:pPr>
      <w:r>
        <w:t>In addition to providing the information required in the application, a copy of the terms and conditions of the transfer agreement must be attached. Such documentation may consist of a bill of sale, promissory note, or other document that reveals the contraction terms between the parties.</w:t>
      </w:r>
    </w:p>
    <w:p w:rsidR="00EC22BF" w:rsidP="00EC22BF" w14:paraId="7D853DBD" w14:textId="77777777">
      <w:pPr>
        <w:widowControl/>
        <w:rPr>
          <w:b/>
          <w:color w:val="C00000"/>
        </w:rPr>
      </w:pPr>
    </w:p>
    <w:p w:rsidR="00EC22BF" w:rsidP="00EC22BF" w14:paraId="7B9E7C02" w14:textId="77777777">
      <w:pPr>
        <w:widowControl/>
      </w:pPr>
      <w:r>
        <w:rPr>
          <w:color w:val="C00000"/>
        </w:rPr>
        <w:t>Changes from the Proposed Rule to the Final Rule:</w:t>
      </w:r>
      <w:r>
        <w:rPr>
          <w:b/>
          <w:color w:val="C00000"/>
        </w:rPr>
        <w:t xml:space="preserve"> </w:t>
      </w:r>
      <w:r>
        <w:t>Field #3 of</w:t>
      </w:r>
      <w:r>
        <w:rPr>
          <w:b/>
        </w:rPr>
        <w:t xml:space="preserve"> </w:t>
      </w:r>
      <w:r>
        <w:t>Block C of the form was revised to collect the Federal Processor Permit (FPP) number or the Federal Fisheries Permit (FFP) number of the transferee. At the proposed rule stage, it only collected the FPP number of the transferee. This change was necessary because the owner of a catcher/processor authorized to act as a mothership in the BSAI Pacific cod fishery may transfer their QS permit to an FPP holder or an FFP holder authorized to act as a mothership in the BSAI Pacific cod fishery, subject to eligibility requirements under BSAI Amendment 120 to limit catcher/processors acting as motherships. Therefore, Block C needs to be able to collect the FPP number of a transferee. The form’s instructions were updated for this change. Additionally, minor editorial changes were made to the form to improve clarity and the description of information that is submitted.</w:t>
      </w:r>
    </w:p>
    <w:p w:rsidR="004241EC" w:rsidP="00E25936" w14:paraId="1BD16ED6" w14:textId="6A2F02F6">
      <w:pPr>
        <w:widowControl/>
        <w:pBdr>
          <w:top w:val="nil"/>
          <w:left w:val="nil"/>
          <w:bottom w:val="nil"/>
          <w:right w:val="nil"/>
          <w:between w:val="nil"/>
        </w:pBdr>
      </w:pPr>
      <w:bookmarkStart w:id="0" w:name="_GoBack"/>
      <w:bookmarkEnd w:id="0"/>
    </w:p>
    <w:p w:rsidR="006B5F3D" w:rsidRPr="00695194" w:rsidP="0050567F" w14:paraId="0D0B2C03" w14:textId="01DD579F">
      <w:pPr>
        <w:keepNext/>
        <w:keepLines/>
        <w:widowControl/>
        <w:pBdr>
          <w:top w:val="nil"/>
          <w:left w:val="nil"/>
          <w:bottom w:val="nil"/>
          <w:right w:val="nil"/>
          <w:between w:val="nil"/>
        </w:pBdr>
        <w:rPr>
          <w:b/>
        </w:rPr>
      </w:pPr>
      <w:r w:rsidRPr="00695194">
        <w:rPr>
          <w:b/>
        </w:rPr>
        <w:t>N</w:t>
      </w:r>
      <w:r w:rsidR="004768DD">
        <w:rPr>
          <w:b/>
        </w:rPr>
        <w:t>otification</w:t>
      </w:r>
      <w:r w:rsidRPr="00695194">
        <w:rPr>
          <w:b/>
        </w:rPr>
        <w:t xml:space="preserve"> of </w:t>
      </w:r>
      <w:r w:rsidR="00E87CD1">
        <w:rPr>
          <w:b/>
        </w:rPr>
        <w:t>I</w:t>
      </w:r>
      <w:r w:rsidRPr="00695194">
        <w:rPr>
          <w:b/>
        </w:rPr>
        <w:t xml:space="preserve">ntent </w:t>
      </w:r>
      <w:r w:rsidR="00E87CD1">
        <w:rPr>
          <w:b/>
        </w:rPr>
        <w:t>to P</w:t>
      </w:r>
      <w:r w:rsidRPr="00695194">
        <w:rPr>
          <w:b/>
        </w:rPr>
        <w:t>rocess</w:t>
      </w:r>
      <w:r w:rsidR="00E87CD1">
        <w:rPr>
          <w:b/>
        </w:rPr>
        <w:t xml:space="preserve"> PCTC Program</w:t>
      </w:r>
      <w:r w:rsidRPr="00695194">
        <w:rPr>
          <w:b/>
        </w:rPr>
        <w:t xml:space="preserve"> Pacific cod</w:t>
      </w:r>
    </w:p>
    <w:p w:rsidR="00695194" w:rsidP="0050567F" w14:paraId="2EC17D0F" w14:textId="257F5FD8">
      <w:pPr>
        <w:keepNext/>
        <w:keepLines/>
        <w:widowControl/>
        <w:pBdr>
          <w:top w:val="nil"/>
          <w:left w:val="nil"/>
          <w:bottom w:val="nil"/>
          <w:right w:val="nil"/>
          <w:between w:val="nil"/>
        </w:pBdr>
      </w:pPr>
    </w:p>
    <w:p w:rsidR="00580711" w:rsidP="0050567F" w14:paraId="198E4BFF" w14:textId="09ADDA3C">
      <w:pPr>
        <w:keepNext/>
        <w:keepLines/>
        <w:widowControl/>
        <w:pBdr>
          <w:top w:val="nil"/>
          <w:left w:val="nil"/>
          <w:bottom w:val="nil"/>
          <w:right w:val="nil"/>
          <w:between w:val="nil"/>
        </w:pBdr>
      </w:pPr>
      <w:r w:rsidRPr="00A32AA5">
        <w:t>The PCTC Program requires cooperatives to set-aside an amount of annual CQ for delivery to an Aleutian Island shoreplant if the city of Adak or Atka files a notification of intent to process</w:t>
      </w:r>
      <w:r w:rsidRPr="00A32AA5">
        <w:t xml:space="preserve"> PCTC Program Pacific cod that year. If no notices of intent to process  are submitted by October 15, cooperatives are not required to set aside CQ for delivery to an Aleutian Island shoreplant in the subsequent fishing seasons.</w:t>
      </w:r>
      <w:r>
        <w:t xml:space="preserve"> </w:t>
      </w:r>
      <w:r w:rsidRPr="00A32AA5" w:rsidR="009F6BB6">
        <w:t xml:space="preserve">The notification of intent to process is necessary for NMFS and the </w:t>
      </w:r>
      <w:r w:rsidRPr="0050567F" w:rsidR="009F6BB6">
        <w:t>PCTC Program cooperatives to know whether the regulations established for the set-aside will be in effect during the upcoming fishing.</w:t>
      </w:r>
      <w:r w:rsidRPr="00A32AA5">
        <w:t xml:space="preserve"> </w:t>
      </w:r>
    </w:p>
    <w:p w:rsidR="00580711" w:rsidP="00E25936" w14:paraId="62E63A8B" w14:textId="6D039CB0">
      <w:pPr>
        <w:widowControl/>
        <w:pBdr>
          <w:top w:val="nil"/>
          <w:left w:val="nil"/>
          <w:bottom w:val="nil"/>
          <w:right w:val="nil"/>
          <w:between w:val="nil"/>
        </w:pBdr>
      </w:pPr>
    </w:p>
    <w:p w:rsidR="0050567F" w:rsidP="0050567F" w14:paraId="0F49905B" w14:textId="77777777">
      <w:pPr>
        <w:widowControl/>
        <w:pBdr>
          <w:top w:val="nil"/>
          <w:left w:val="nil"/>
          <w:bottom w:val="nil"/>
          <w:right w:val="nil"/>
          <w:between w:val="nil"/>
        </w:pBdr>
      </w:pPr>
      <w:r w:rsidRPr="00580711">
        <w:t>The notification of intent to process</w:t>
      </w:r>
      <w:r>
        <w:t xml:space="preserve"> PCTC Program</w:t>
      </w:r>
      <w:r w:rsidRPr="00580711">
        <w:t xml:space="preserve"> Pacific cod is a </w:t>
      </w:r>
      <w:r>
        <w:t xml:space="preserve">signed </w:t>
      </w:r>
      <w:r w:rsidRPr="00580711">
        <w:t xml:space="preserve">letter or memorandum submitted to NMFS by the </w:t>
      </w:r>
      <w:r>
        <w:t xml:space="preserve">representative of the </w:t>
      </w:r>
      <w:r w:rsidRPr="00580711">
        <w:t xml:space="preserve">City of Adak or the City of Atka indicating that the community </w:t>
      </w:r>
      <w:r>
        <w:t>they</w:t>
      </w:r>
      <w:r w:rsidRPr="00580711">
        <w:t xml:space="preserve"> represent intends to process PCTC Program Pacific cod during the upcoming fishing year</w:t>
      </w:r>
      <w:r>
        <w:t>.</w:t>
      </w:r>
      <w:r w:rsidRPr="00A32AA5">
        <w:t xml:space="preserve"> </w:t>
      </w:r>
    </w:p>
    <w:p w:rsidR="0050567F" w:rsidP="00E25936" w14:paraId="3E9EF0F1" w14:textId="77777777">
      <w:pPr>
        <w:widowControl/>
        <w:pBdr>
          <w:top w:val="nil"/>
          <w:left w:val="nil"/>
          <w:bottom w:val="nil"/>
          <w:right w:val="nil"/>
          <w:between w:val="nil"/>
        </w:pBdr>
      </w:pPr>
    </w:p>
    <w:p w:rsidR="000C20DA" w:rsidP="00E25936" w14:paraId="07F08C63" w14:textId="23AB8B48">
      <w:pPr>
        <w:widowControl/>
        <w:pBdr>
          <w:top w:val="nil"/>
          <w:left w:val="nil"/>
          <w:bottom w:val="nil"/>
          <w:right w:val="nil"/>
          <w:between w:val="nil"/>
        </w:pBdr>
      </w:pPr>
      <w:r>
        <w:t>The notification of intent mus</w:t>
      </w:r>
      <w:r>
        <w:t>t be submitted to the NMFS Regional Administrator no later than October 15 of the year prior to the year the city intends to process</w:t>
      </w:r>
      <w:r w:rsidR="00E87CD1">
        <w:t xml:space="preserve"> PCTC Program</w:t>
      </w:r>
      <w:r>
        <w:t xml:space="preserve"> Pacific cod. The notification is submitted by email. </w:t>
      </w:r>
      <w:r w:rsidR="00AC3A37">
        <w:t>S</w:t>
      </w:r>
      <w:r>
        <w:t>ubmission of the official notification of intent by Octo</w:t>
      </w:r>
      <w:r>
        <w:t xml:space="preserve">ber 15 </w:t>
      </w:r>
      <w:r w:rsidR="00997CC3">
        <w:t xml:space="preserve">will </w:t>
      </w:r>
      <w:r>
        <w:t xml:space="preserve">provide NMFS inseason management with the timely information it needs to manage the upcoming fisheries and notify the cooperatives that the </w:t>
      </w:r>
      <w:r w:rsidR="00AC3A37">
        <w:t xml:space="preserve">Aleutian Islands </w:t>
      </w:r>
      <w:r>
        <w:t>set-aside is in effect for the upcoming year.</w:t>
      </w:r>
    </w:p>
    <w:p w:rsidR="000C20DA" w:rsidP="00E25936" w14:paraId="33CCA8D0" w14:textId="12C4189A">
      <w:pPr>
        <w:widowControl/>
        <w:pBdr>
          <w:top w:val="nil"/>
          <w:left w:val="nil"/>
          <w:bottom w:val="nil"/>
          <w:right w:val="nil"/>
          <w:between w:val="nil"/>
        </w:pBdr>
      </w:pPr>
      <w:r>
        <w:t xml:space="preserve"> </w:t>
      </w:r>
    </w:p>
    <w:p w:rsidR="000C20DA" w:rsidP="00E25936" w14:paraId="4D750B01" w14:textId="118B9A27">
      <w:pPr>
        <w:widowControl/>
        <w:pBdr>
          <w:top w:val="nil"/>
          <w:left w:val="nil"/>
          <w:bottom w:val="nil"/>
          <w:right w:val="nil"/>
          <w:between w:val="nil"/>
        </w:pBdr>
      </w:pPr>
      <w:r>
        <w:t>The notification of intent to process P</w:t>
      </w:r>
      <w:r>
        <w:t xml:space="preserve">CTC Program Pacific cod </w:t>
      </w:r>
      <w:r w:rsidR="000C7316">
        <w:t>must</w:t>
      </w:r>
      <w:r>
        <w:t xml:space="preserve"> contain the following information: date</w:t>
      </w:r>
      <w:r w:rsidR="000C7316">
        <w:t xml:space="preserve"> of submission</w:t>
      </w:r>
      <w:r>
        <w:t xml:space="preserve">, name of the city, a statement of intent to process </w:t>
      </w:r>
      <w:r w:rsidR="00AC3A37">
        <w:t>Aleutian Islands</w:t>
      </w:r>
      <w:r w:rsidR="000C7316">
        <w:t xml:space="preserve"> </w:t>
      </w:r>
      <w:r>
        <w:t xml:space="preserve">Pacific cod, the </w:t>
      </w:r>
      <w:r w:rsidR="00AC3A37">
        <w:t xml:space="preserve">calendar </w:t>
      </w:r>
      <w:r>
        <w:t xml:space="preserve">year during which the city intends to process </w:t>
      </w:r>
      <w:r w:rsidR="00AC3A37">
        <w:t>Aleutian Islands</w:t>
      </w:r>
      <w:r w:rsidR="000C7316">
        <w:t xml:space="preserve"> </w:t>
      </w:r>
      <w:r>
        <w:t>Pacific cod, co</w:t>
      </w:r>
      <w:r>
        <w:t xml:space="preserve">ntact information for the city representative where the shoreplant is intending to process </w:t>
      </w:r>
      <w:r w:rsidR="00AC3A37">
        <w:t xml:space="preserve">Aleutian Islands </w:t>
      </w:r>
      <w:r>
        <w:t>Pacific cod</w:t>
      </w:r>
      <w:r w:rsidR="000C7316">
        <w:t xml:space="preserve">, </w:t>
      </w:r>
      <w:r w:rsidRPr="0050567F" w:rsidR="000C7316">
        <w:t>and documentation of the authority of the person to represent the City of Adak or the City of Atka</w:t>
      </w:r>
      <w:r>
        <w:t xml:space="preserve">. </w:t>
      </w:r>
    </w:p>
    <w:p w:rsidR="000C20DA" w:rsidP="00E25936" w14:paraId="222FD0D9" w14:textId="77777777">
      <w:pPr>
        <w:widowControl/>
        <w:pBdr>
          <w:top w:val="nil"/>
          <w:left w:val="nil"/>
          <w:bottom w:val="nil"/>
          <w:right w:val="nil"/>
          <w:between w:val="nil"/>
        </w:pBdr>
      </w:pPr>
    </w:p>
    <w:p w:rsidR="000C20DA" w:rsidP="00E25936" w14:paraId="1E33FE3B" w14:textId="208D98C3">
      <w:pPr>
        <w:widowControl/>
        <w:pBdr>
          <w:top w:val="nil"/>
          <w:left w:val="nil"/>
          <w:bottom w:val="nil"/>
          <w:right w:val="nil"/>
          <w:between w:val="nil"/>
        </w:pBdr>
      </w:pPr>
      <w:r>
        <w:t>On or before November 30, the Reg</w:t>
      </w:r>
      <w:r>
        <w:t xml:space="preserve">ional Administrator </w:t>
      </w:r>
      <w:r w:rsidR="00997CC3">
        <w:t xml:space="preserve">will </w:t>
      </w:r>
      <w:r>
        <w:t>notify the representative of the City of Adak or the City of Atka confirming receipt of their official notification of intent to process PCTC Program Pacific cod. Shortly after receipt of an official notification of intent to proce</w:t>
      </w:r>
      <w:r>
        <w:t xml:space="preserve">ss PCTC Program Pacific cod, NMFS </w:t>
      </w:r>
      <w:r w:rsidR="00997CC3">
        <w:t xml:space="preserve">will </w:t>
      </w:r>
      <w:r>
        <w:t xml:space="preserve">announce through notice in the </w:t>
      </w:r>
      <w:r w:rsidRPr="00333D8F">
        <w:rPr>
          <w:i/>
        </w:rPr>
        <w:t>Federal Register</w:t>
      </w:r>
      <w:r>
        <w:t xml:space="preserve"> whether the </w:t>
      </w:r>
      <w:r w:rsidR="00AC3A37">
        <w:t xml:space="preserve">Aleutian Islands </w:t>
      </w:r>
      <w:r>
        <w:t xml:space="preserve">set-aside </w:t>
      </w:r>
      <w:r w:rsidR="00AC3A37">
        <w:t>is</w:t>
      </w:r>
      <w:r>
        <w:t xml:space="preserve"> in effect for the upcoming fishing year. </w:t>
      </w:r>
    </w:p>
    <w:p w:rsidR="00333D8F" w:rsidP="00E25936" w14:paraId="7E5293F3" w14:textId="1EE5BEA4">
      <w:pPr>
        <w:widowControl/>
        <w:pBdr>
          <w:top w:val="nil"/>
          <w:left w:val="nil"/>
          <w:bottom w:val="nil"/>
          <w:right w:val="nil"/>
          <w:between w:val="nil"/>
        </w:pBdr>
      </w:pPr>
    </w:p>
    <w:p w:rsidR="000C20DA" w:rsidP="00E25936" w14:paraId="4BACE13E" w14:textId="73A5E670">
      <w:pPr>
        <w:widowControl/>
        <w:pBdr>
          <w:top w:val="nil"/>
          <w:left w:val="nil"/>
          <w:bottom w:val="nil"/>
          <w:right w:val="nil"/>
          <w:between w:val="nil"/>
        </w:pBdr>
      </w:pPr>
      <w:r>
        <w:t>Even if a community is uncertain at the time the notice of intent is due as to wheth</w:t>
      </w:r>
      <w:r>
        <w:t xml:space="preserve">er an Aleutian Island shoreplant will be operational, there </w:t>
      </w:r>
      <w:r w:rsidR="00FB1860">
        <w:t>is</w:t>
      </w:r>
      <w:r>
        <w:t xml:space="preserve"> no penalty to the community or shoreplant for stating their intention to process but then later withdrawing that notice of intent. </w:t>
      </w:r>
      <w:r w:rsidRPr="00AC3A37" w:rsidR="00AC3A37">
        <w:t xml:space="preserve">The City of Adak or the City of Atka </w:t>
      </w:r>
      <w:r w:rsidR="00FB1860">
        <w:t>may</w:t>
      </w:r>
      <w:r>
        <w:t xml:space="preserve"> withdraw their notice</w:t>
      </w:r>
      <w:r>
        <w:t xml:space="preserve"> of intent at any time after submitting it to NMFS.</w:t>
      </w:r>
    </w:p>
    <w:p w:rsidR="008922C6" w:rsidP="00E25936" w14:paraId="7E1BD59B" w14:textId="121D0844">
      <w:pPr>
        <w:widowControl/>
        <w:pBdr>
          <w:top w:val="nil"/>
          <w:left w:val="nil"/>
          <w:bottom w:val="nil"/>
          <w:right w:val="nil"/>
          <w:between w:val="nil"/>
        </w:pBdr>
      </w:pPr>
    </w:p>
    <w:p w:rsidR="00CE330C" w:rsidRPr="00CE330C" w:rsidP="00E25936" w14:paraId="0FA9E642" w14:textId="42781FC3">
      <w:pPr>
        <w:widowControl/>
        <w:pBdr>
          <w:top w:val="nil"/>
          <w:left w:val="nil"/>
          <w:bottom w:val="nil"/>
          <w:right w:val="nil"/>
          <w:between w:val="nil"/>
        </w:pBdr>
        <w:rPr>
          <w:b/>
        </w:rPr>
      </w:pPr>
      <w:r w:rsidRPr="00CE330C">
        <w:rPr>
          <w:b/>
        </w:rPr>
        <w:t>Ninety</w:t>
      </w:r>
      <w:r w:rsidR="00D07886">
        <w:rPr>
          <w:b/>
        </w:rPr>
        <w:t>-</w:t>
      </w:r>
      <w:r w:rsidRPr="00CE330C">
        <w:rPr>
          <w:b/>
        </w:rPr>
        <w:t>Day Transfer Window for Non-Exempt AFA LLP holders</w:t>
      </w:r>
    </w:p>
    <w:p w:rsidR="00CE330C" w:rsidRPr="00CE330C" w:rsidP="00E25936" w14:paraId="4058BB6C" w14:textId="77777777">
      <w:pPr>
        <w:widowControl/>
        <w:pBdr>
          <w:top w:val="nil"/>
          <w:left w:val="nil"/>
          <w:bottom w:val="nil"/>
          <w:right w:val="nil"/>
          <w:between w:val="nil"/>
        </w:pBdr>
        <w:rPr>
          <w:b/>
        </w:rPr>
      </w:pPr>
    </w:p>
    <w:p w:rsidR="00CE330C" w:rsidP="00E25936" w14:paraId="03F3339E" w14:textId="617818EA">
      <w:pPr>
        <w:widowControl/>
        <w:pBdr>
          <w:top w:val="nil"/>
          <w:left w:val="nil"/>
          <w:bottom w:val="nil"/>
          <w:right w:val="nil"/>
          <w:between w:val="nil"/>
        </w:pBdr>
      </w:pPr>
      <w:r>
        <w:t xml:space="preserve">The initial allocation process for QS under the PCTC Program has a one-time </w:t>
      </w:r>
      <w:r w:rsidRPr="00645F3E">
        <w:t xml:space="preserve">90-day transfer window to allow persons to transfer QS between </w:t>
      </w:r>
      <w:r w:rsidRPr="00645F3E" w:rsidR="0050567F">
        <w:t xml:space="preserve">AFA </w:t>
      </w:r>
      <w:r w:rsidRPr="00645F3E">
        <w:t>non-exempt LLP licenses</w:t>
      </w:r>
      <w:r>
        <w:t xml:space="preserve">. Within 90 days of initial issuance of QS, the </w:t>
      </w:r>
      <w:r w:rsidRPr="00645F3E">
        <w:t>owners of LLP licenses that are associated with AFA non-exempt catcher vessels that had engaged in fish transfer agreements during the qualifying periods may transfer QS to other LLP li</w:t>
      </w:r>
      <w:r w:rsidRPr="00645F3E">
        <w:t xml:space="preserve">censes associated with AFA non-exempt vessels, subject to the ownership cap in </w:t>
      </w:r>
      <w:r w:rsidR="009F6BB6">
        <w:t xml:space="preserve">new </w:t>
      </w:r>
      <w:r w:rsidRPr="00645F3E">
        <w:t>§ 679.133</w:t>
      </w:r>
      <w:r>
        <w:t xml:space="preserve">. </w:t>
      </w:r>
    </w:p>
    <w:p w:rsidR="002A0483" w:rsidRPr="001054D2" w:rsidP="00E25936" w14:paraId="3178F17C" w14:textId="19599C06">
      <w:pPr>
        <w:widowControl/>
        <w:pBdr>
          <w:top w:val="nil"/>
          <w:left w:val="nil"/>
          <w:bottom w:val="nil"/>
          <w:right w:val="nil"/>
          <w:between w:val="nil"/>
        </w:pBdr>
      </w:pPr>
    </w:p>
    <w:p w:rsidR="00B17162" w:rsidP="00E25936" w14:paraId="330EF999" w14:textId="4E1C3735">
      <w:pPr>
        <w:widowControl/>
        <w:pBdr>
          <w:top w:val="nil"/>
          <w:left w:val="nil"/>
          <w:bottom w:val="nil"/>
          <w:right w:val="nil"/>
          <w:between w:val="nil"/>
        </w:pBdr>
      </w:pPr>
      <w:r>
        <w:t xml:space="preserve">This one-time 90-day transfer window </w:t>
      </w:r>
      <w:r w:rsidRPr="002A0483">
        <w:t>allow</w:t>
      </w:r>
      <w:r w:rsidR="00FB1860">
        <w:t>s</w:t>
      </w:r>
      <w:r w:rsidRPr="002A0483">
        <w:t xml:space="preserve"> for contracts and agreements implemented under the AFA Pacific cod sideboard limits to be honored. </w:t>
      </w:r>
      <w:r w:rsidRPr="00B17162">
        <w:t>After the expirat</w:t>
      </w:r>
      <w:r w:rsidRPr="00B17162">
        <w:t xml:space="preserve">ion of the 90-day transfer window, PCTC QS will no longer be severable from the LLP license to which it is assigned unless authorized by the transfer rules specified in </w:t>
      </w:r>
      <w:r>
        <w:t>new § 697.130</w:t>
      </w:r>
      <w:r w:rsidRPr="00B17162">
        <w:t>(f) or modification is supported by an operation of law.</w:t>
      </w:r>
    </w:p>
    <w:p w:rsidR="002A0483" w:rsidRPr="001054D2" w:rsidP="00E25936" w14:paraId="6C311943" w14:textId="77777777">
      <w:pPr>
        <w:widowControl/>
        <w:pBdr>
          <w:top w:val="nil"/>
          <w:left w:val="nil"/>
          <w:bottom w:val="nil"/>
          <w:right w:val="nil"/>
          <w:between w:val="nil"/>
        </w:pBdr>
      </w:pPr>
    </w:p>
    <w:p w:rsidR="002A0483" w:rsidP="00E25936" w14:paraId="69F17FD5" w14:textId="3F9ED30B">
      <w:pPr>
        <w:widowControl/>
        <w:pBdr>
          <w:top w:val="nil"/>
          <w:left w:val="nil"/>
          <w:bottom w:val="nil"/>
          <w:right w:val="nil"/>
          <w:between w:val="nil"/>
        </w:pBdr>
      </w:pPr>
      <w:r w:rsidRPr="00645F3E">
        <w:t>NMFS will execut</w:t>
      </w:r>
      <w:r w:rsidRPr="00645F3E">
        <w:t>e permanent transfers of QS between eligible LLP</w:t>
      </w:r>
      <w:r>
        <w:t xml:space="preserve"> license</w:t>
      </w:r>
      <w:r w:rsidRPr="00645F3E">
        <w:t xml:space="preserve">s during the 90-day window upon </w:t>
      </w:r>
      <w:r w:rsidR="00B17162">
        <w:t xml:space="preserve">the transferor and transferee </w:t>
      </w:r>
      <w:r w:rsidRPr="00645F3E">
        <w:t xml:space="preserve">showing that </w:t>
      </w:r>
      <w:r w:rsidR="00B17162">
        <w:t>they both</w:t>
      </w:r>
      <w:r w:rsidRPr="00645F3E">
        <w:t xml:space="preserve"> agree to the one-time transfer of QS and understand the transfer will be permanent, or upon showing a transfer is a</w:t>
      </w:r>
      <w:r w:rsidRPr="00645F3E">
        <w:t>uthorized by an operation of law (e.g.</w:t>
      </w:r>
      <w:r w:rsidR="009F6BB6">
        <w:t>,</w:t>
      </w:r>
      <w:r w:rsidRPr="00645F3E">
        <w:t xml:space="preserve"> a court order). </w:t>
      </w:r>
      <w:r w:rsidRPr="002A0483">
        <w:t>The transferor and the transferee must submit to NMFS a letter as evidence of their agreement to transfer their QS</w:t>
      </w:r>
      <w:r w:rsidR="007D63BD">
        <w:t xml:space="preserve"> in this one time opportunity</w:t>
      </w:r>
      <w:r w:rsidRPr="002A0483">
        <w:t xml:space="preserve">. Requests to transfer QS must specify which LLP license </w:t>
      </w:r>
      <w:r w:rsidRPr="002A0483">
        <w:t>is transferring the</w:t>
      </w:r>
      <w:r>
        <w:t xml:space="preserve"> </w:t>
      </w:r>
      <w:r w:rsidRPr="002A0483">
        <w:t xml:space="preserve">QS, which LLP </w:t>
      </w:r>
      <w:r>
        <w:t xml:space="preserve">license </w:t>
      </w:r>
      <w:r w:rsidRPr="002A0483">
        <w:t xml:space="preserve">is receiving </w:t>
      </w:r>
      <w:r>
        <w:t xml:space="preserve">the </w:t>
      </w:r>
      <w:r w:rsidRPr="002A0483">
        <w:t>QS, and the amount of QS to be transferred.</w:t>
      </w:r>
      <w:r>
        <w:t xml:space="preserve"> If neither party submits evidence of agreement to a transfer or if only one party submits evidence of an agreement, the QS will remain with the LLP </w:t>
      </w:r>
      <w:r w:rsidR="00B17162">
        <w:t xml:space="preserve">license </w:t>
      </w:r>
      <w:r>
        <w:t>it was initially issued.</w:t>
      </w:r>
    </w:p>
    <w:p w:rsidR="00645F3E" w:rsidP="00E25936" w14:paraId="4C954261" w14:textId="77777777">
      <w:pPr>
        <w:widowControl/>
        <w:pBdr>
          <w:top w:val="nil"/>
          <w:left w:val="nil"/>
          <w:bottom w:val="nil"/>
          <w:right w:val="nil"/>
          <w:between w:val="nil"/>
        </w:pBdr>
      </w:pPr>
    </w:p>
    <w:p w:rsidR="00E77147" w:rsidRPr="00E77147" w:rsidP="00E25936" w14:paraId="33FE89AF" w14:textId="7FB47724">
      <w:pPr>
        <w:widowControl/>
        <w:pBdr>
          <w:top w:val="nil"/>
          <w:left w:val="nil"/>
          <w:bottom w:val="nil"/>
          <w:right w:val="nil"/>
          <w:between w:val="nil"/>
        </w:pBdr>
        <w:rPr>
          <w:b/>
        </w:rPr>
      </w:pPr>
      <w:r w:rsidRPr="00E77147">
        <w:rPr>
          <w:b/>
        </w:rPr>
        <w:t>Appeals</w:t>
      </w:r>
    </w:p>
    <w:p w:rsidR="00E77147" w:rsidP="00E25936" w14:paraId="494B9C9C" w14:textId="3EC72CE8">
      <w:pPr>
        <w:widowControl/>
        <w:pBdr>
          <w:top w:val="nil"/>
          <w:left w:val="nil"/>
          <w:bottom w:val="nil"/>
          <w:right w:val="nil"/>
          <w:between w:val="nil"/>
        </w:pBdr>
      </w:pPr>
    </w:p>
    <w:p w:rsidR="00826F75" w:rsidP="00E25936" w14:paraId="33A8EDDF" w14:textId="77777777">
      <w:pPr>
        <w:widowControl/>
        <w:pBdr>
          <w:top w:val="nil"/>
          <w:left w:val="nil"/>
          <w:bottom w:val="nil"/>
          <w:right w:val="nil"/>
          <w:between w:val="nil"/>
        </w:pBdr>
      </w:pPr>
      <w:r>
        <w:t>An appeals process is provided for a QS holder who receives an adverse initial administrative determination (IAD) related to their application. A QS holder may appeal this denial under the appeals procedures set out at</w:t>
      </w:r>
      <w:r>
        <w:t xml:space="preserve"> 15 CFR part 906.</w:t>
      </w:r>
    </w:p>
    <w:p w:rsidR="00826F75" w:rsidP="00E25936" w14:paraId="72BA5D19" w14:textId="77777777">
      <w:pPr>
        <w:widowControl/>
        <w:pBdr>
          <w:top w:val="nil"/>
          <w:left w:val="nil"/>
          <w:bottom w:val="nil"/>
          <w:right w:val="nil"/>
          <w:between w:val="nil"/>
        </w:pBdr>
      </w:pPr>
      <w:r>
        <w:t xml:space="preserve"> </w:t>
      </w:r>
    </w:p>
    <w:p w:rsidR="00826F75" w:rsidP="00E25936" w14:paraId="72928728" w14:textId="22F3952B">
      <w:pPr>
        <w:widowControl/>
        <w:pBdr>
          <w:top w:val="nil"/>
          <w:left w:val="nil"/>
          <w:bottom w:val="nil"/>
          <w:right w:val="nil"/>
          <w:between w:val="nil"/>
        </w:pBdr>
      </w:pPr>
      <w:r>
        <w:t xml:space="preserve">Administrative appeals of adverse decisions made by NMFS Alaska Region must be submitted to the NMFS National Appeals Office (NAO) in Silver Spring, Maryland. Instructions for submitting an appeal are provided on the NAO website at </w:t>
      </w:r>
      <w:hyperlink r:id="rId12" w:history="1">
        <w:r w:rsidRPr="00855434">
          <w:rPr>
            <w:bCs/>
            <w:color w:val="0000FF" w:themeColor="hyperlink"/>
            <w:u w:color="000000"/>
          </w:rPr>
          <w:t>https://www.fisheries.noaa.gov/national/rules-and-regulations/appeals</w:t>
        </w:r>
      </w:hyperlink>
      <w:r w:rsidRPr="00855434">
        <w:rPr>
          <w:bCs/>
          <w:u w:color="000000"/>
        </w:rPr>
        <w:t xml:space="preserve">. </w:t>
      </w:r>
      <w:r>
        <w:t xml:space="preserve">The appeal may be submitted by fax (307-713-2384) or by mail or commercial carrier to National Appeals Office, 1315 East-West Highway, Silver Spring, MD 20910. </w:t>
      </w:r>
    </w:p>
    <w:p w:rsidR="00826F75" w:rsidP="00E25936" w14:paraId="7A580C21" w14:textId="77777777">
      <w:pPr>
        <w:widowControl/>
        <w:pBdr>
          <w:top w:val="nil"/>
          <w:left w:val="nil"/>
          <w:bottom w:val="nil"/>
          <w:right w:val="nil"/>
          <w:between w:val="nil"/>
        </w:pBdr>
      </w:pPr>
    </w:p>
    <w:p w:rsidR="00D54824" w:rsidP="00E25936" w14:paraId="76A900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w:t>
      </w:r>
      <w:r>
        <w:rPr>
          <w:b/>
          <w:color w:val="000000"/>
        </w:rPr>
        <w:t>ted, electronic, mechanical, or other technological collection techniques or other forms of information technology, e.g. permitting electronic submission of responses, and the basis for the decision for adopting this means of collection. Also, describe any</w:t>
      </w:r>
      <w:r>
        <w:rPr>
          <w:b/>
          <w:color w:val="000000"/>
        </w:rPr>
        <w:t xml:space="preserve"> consideration of using information technology to reduce burden.</w:t>
      </w:r>
    </w:p>
    <w:p w:rsidR="00A7113A" w:rsidRPr="00A7113A" w:rsidP="00E25936" w14:paraId="05D12810" w14:textId="43FAA077">
      <w:pPr>
        <w:widowControl/>
      </w:pPr>
    </w:p>
    <w:p w:rsidR="00FF10AE" w:rsidP="00E25936" w14:paraId="16F41AE1" w14:textId="2280F9D1">
      <w:pPr>
        <w:widowControl/>
        <w:autoSpaceDE w:val="0"/>
        <w:autoSpaceDN w:val="0"/>
        <w:rPr>
          <w:rFonts w:eastAsiaTheme="minorHAnsi" w:cstheme="minorBidi"/>
        </w:rPr>
      </w:pPr>
      <w:r w:rsidRPr="00F759E7">
        <w:rPr>
          <w:rFonts w:eastAsiaTheme="minorHAnsi" w:cstheme="minorBidi"/>
        </w:rPr>
        <w:t xml:space="preserve">Most of the collection instruments </w:t>
      </w:r>
      <w:r w:rsidRPr="00F759E7" w:rsidR="00FB1860">
        <w:rPr>
          <w:rFonts w:eastAsiaTheme="minorHAnsi" w:cstheme="minorBidi"/>
        </w:rPr>
        <w:t>may</w:t>
      </w:r>
      <w:r w:rsidRPr="00F759E7">
        <w:rPr>
          <w:rFonts w:eastAsiaTheme="minorHAnsi" w:cstheme="minorBidi"/>
        </w:rPr>
        <w:t xml:space="preserve"> be </w:t>
      </w:r>
      <w:r w:rsidR="00F759E7">
        <w:rPr>
          <w:rFonts w:eastAsiaTheme="minorHAnsi" w:cstheme="minorBidi"/>
        </w:rPr>
        <w:t>submitted</w:t>
      </w:r>
      <w:r w:rsidRPr="00F759E7" w:rsidR="00F759E7">
        <w:rPr>
          <w:rFonts w:eastAsiaTheme="minorHAnsi" w:cstheme="minorBidi"/>
        </w:rPr>
        <w:t xml:space="preserve"> </w:t>
      </w:r>
      <w:r w:rsidRPr="00F759E7">
        <w:rPr>
          <w:rFonts w:eastAsiaTheme="minorHAnsi" w:cstheme="minorBidi"/>
        </w:rPr>
        <w:t>electronically. All of the applications will be available on the NMFS Alaska Region website as fillable pdfs.</w:t>
      </w:r>
      <w:r>
        <w:rPr>
          <w:rFonts w:eastAsiaTheme="minorHAnsi" w:cstheme="minorBidi"/>
        </w:rPr>
        <w:t xml:space="preserve"> </w:t>
      </w:r>
    </w:p>
    <w:p w:rsidR="00286541" w:rsidRPr="00FF10AE" w:rsidP="00E25936" w14:paraId="31C6C2DF" w14:textId="77777777">
      <w:pPr>
        <w:widowControl/>
        <w:autoSpaceDE w:val="0"/>
        <w:autoSpaceDN w:val="0"/>
        <w:rPr>
          <w:rFonts w:eastAsiaTheme="minorHAnsi" w:cstheme="minorBidi"/>
        </w:rPr>
      </w:pPr>
    </w:p>
    <w:p w:rsidR="00FF10AE" w:rsidP="00E25936" w14:paraId="2DB7ECF3" w14:textId="1FC85D8E">
      <w:pPr>
        <w:widowControl/>
        <w:autoSpaceDE w:val="0"/>
        <w:autoSpaceDN w:val="0"/>
        <w:rPr>
          <w:color w:val="000000"/>
        </w:rPr>
      </w:pPr>
      <w:hyperlink r:id="rId13" w:history="1">
        <w:r w:rsidRPr="00FF10AE">
          <w:rPr>
            <w:color w:val="0000FF" w:themeColor="hyperlink"/>
            <w:u w:val="single"/>
          </w:rPr>
          <w:t>eFISH</w:t>
        </w:r>
      </w:hyperlink>
      <w:r w:rsidRPr="00FF10AE">
        <w:t xml:space="preserve"> is the NMFS Alaska Region online Fisheries Information System. </w:t>
      </w:r>
      <w:r w:rsidRPr="00FF10AE">
        <w:rPr>
          <w:color w:val="000000"/>
        </w:rPr>
        <w:t>eFISH provides an online method to submit applications and access to participants’ NMFS permit accounts. eFISH allows participants to renew cert</w:t>
      </w:r>
      <w:r w:rsidRPr="00FF10AE">
        <w:rPr>
          <w:color w:val="000000"/>
        </w:rPr>
        <w:t xml:space="preserve">ain fishery permits; report landings; print certificates or permits; conduct quota transfers; pay fees and submit landing value reports; and check account balances, vessel balances, and landing ledger reports. Permit holders access eFISH through a User ID </w:t>
      </w:r>
      <w:r w:rsidRPr="00FF10AE">
        <w:rPr>
          <w:color w:val="000000"/>
        </w:rPr>
        <w:t xml:space="preserve">and password issued by NMFS. Instructions for using eFISH are posted on the NMFS Alaska Region website at </w:t>
      </w:r>
      <w:hyperlink r:id="rId14" w:history="1">
        <w:r w:rsidRPr="00FF10AE">
          <w:rPr>
            <w:color w:val="0000FF"/>
            <w:u w:val="single"/>
          </w:rPr>
          <w:t>https://alaskafisheries.noaa.gov/node/30749</w:t>
        </w:r>
      </w:hyperlink>
      <w:r w:rsidRPr="00FF10AE">
        <w:rPr>
          <w:color w:val="000000"/>
        </w:rPr>
        <w:t>.</w:t>
      </w:r>
    </w:p>
    <w:p w:rsidR="00667C61" w:rsidP="00E25936" w14:paraId="64B9C243" w14:textId="59F0018D">
      <w:pPr>
        <w:widowControl/>
        <w:autoSpaceDE w:val="0"/>
        <w:autoSpaceDN w:val="0"/>
        <w:rPr>
          <w:color w:val="000000"/>
        </w:rPr>
      </w:pPr>
    </w:p>
    <w:p w:rsidR="00E73DB8" w:rsidP="00E25936" w14:paraId="73E17A68" w14:textId="4E6D61AF">
      <w:pPr>
        <w:widowControl/>
        <w:autoSpaceDE w:val="0"/>
        <w:autoSpaceDN w:val="0"/>
        <w:rPr>
          <w:color w:val="000000"/>
        </w:rPr>
      </w:pPr>
      <w:r>
        <w:rPr>
          <w:color w:val="000000"/>
        </w:rPr>
        <w:t>The notification of intent to process PCTC P</w:t>
      </w:r>
      <w:r>
        <w:rPr>
          <w:color w:val="000000"/>
        </w:rPr>
        <w:t xml:space="preserve">rogram Pacific cod </w:t>
      </w:r>
      <w:r w:rsidR="00FB1860">
        <w:rPr>
          <w:color w:val="000000"/>
        </w:rPr>
        <w:t xml:space="preserve">will </w:t>
      </w:r>
      <w:r w:rsidR="003D5F3A">
        <w:rPr>
          <w:color w:val="000000"/>
        </w:rPr>
        <w:t>be</w:t>
      </w:r>
      <w:r>
        <w:rPr>
          <w:color w:val="000000"/>
        </w:rPr>
        <w:t xml:space="preserve"> submitted by email. </w:t>
      </w:r>
    </w:p>
    <w:p w:rsidR="00E73DB8" w:rsidP="00E25936" w14:paraId="7115FB0D" w14:textId="77777777">
      <w:pPr>
        <w:widowControl/>
        <w:autoSpaceDE w:val="0"/>
        <w:autoSpaceDN w:val="0"/>
        <w:rPr>
          <w:color w:val="000000"/>
        </w:rPr>
      </w:pPr>
    </w:p>
    <w:p w:rsidR="00667C61" w:rsidRPr="00BF3A19" w:rsidP="00E25936" w14:paraId="4039E37E" w14:textId="1F2127EF">
      <w:pPr>
        <w:widowControl/>
        <w:autoSpaceDE w:val="0"/>
        <w:autoSpaceDN w:val="0"/>
        <w:contextualSpacing/>
      </w:pPr>
      <w:r w:rsidRPr="00BF3A19">
        <w:t xml:space="preserve">NMFS Alaska Region is working toward offering more online services. The current data entry and retrieval system is nearing the end of its life, and a new database is in development. </w:t>
      </w:r>
      <w:r w:rsidRPr="00266A4D" w:rsidR="00266A4D">
        <w:t xml:space="preserve">NMFS is working </w:t>
      </w:r>
      <w:r w:rsidR="00266A4D">
        <w:t>on a new system</w:t>
      </w:r>
      <w:r w:rsidRPr="00266A4D" w:rsidR="00266A4D">
        <w:t xml:space="preserve"> whereby all of the information will be entered online and submitted directly and automatically into a database.</w:t>
      </w:r>
    </w:p>
    <w:p w:rsidR="00667C61" w:rsidRPr="00BF3A19" w:rsidP="00E25936" w14:paraId="07D93FBB" w14:textId="77777777">
      <w:pPr>
        <w:widowControl/>
        <w:autoSpaceDE w:val="0"/>
        <w:autoSpaceDN w:val="0"/>
        <w:contextualSpacing/>
      </w:pPr>
    </w:p>
    <w:p w:rsidR="00667C61" w:rsidRPr="00BF3A19" w:rsidP="00E25936" w14:paraId="346E8C13" w14:textId="77777777">
      <w:pPr>
        <w:widowControl/>
        <w:rPr>
          <w:b/>
        </w:rPr>
      </w:pPr>
      <w:r w:rsidRPr="00BF3A19">
        <w:t>Administrative appeals cannot be submitted electronically because the National Appeals Office requires submission of documents by fax, m</w:t>
      </w:r>
      <w:r w:rsidRPr="00BF3A19">
        <w:t>ail, or delivery to provide the appropriate record for legal proceedings.</w:t>
      </w:r>
    </w:p>
    <w:p w:rsidR="00667C61" w:rsidRPr="00FF10AE" w:rsidP="00E25936" w14:paraId="7EAB87EC" w14:textId="77777777">
      <w:pPr>
        <w:widowControl/>
        <w:autoSpaceDE w:val="0"/>
        <w:autoSpaceDN w:val="0"/>
        <w:rPr>
          <w:color w:val="000000"/>
        </w:rPr>
      </w:pPr>
    </w:p>
    <w:p w:rsidR="00D54824" w:rsidP="00E25936" w14:paraId="2A506E05" w14:textId="7E22E4F3">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r w:rsidR="00844B28">
        <w:rPr>
          <w:b/>
          <w:color w:val="000000"/>
        </w:rPr>
        <w:t>.</w:t>
      </w:r>
    </w:p>
    <w:p w:rsidR="003C23F5" w:rsidP="00E25936" w14:paraId="42AD6902" w14:textId="77777777">
      <w:pPr>
        <w:widowControl/>
        <w:autoSpaceDE w:val="0"/>
        <w:autoSpaceDN w:val="0"/>
      </w:pPr>
    </w:p>
    <w:p w:rsidR="00FF10AE" w:rsidP="00E25936" w14:paraId="68E50AC5" w14:textId="2DD3348F">
      <w:pPr>
        <w:widowControl/>
        <w:autoSpaceDE w:val="0"/>
        <w:autoSpaceDN w:val="0"/>
        <w:rPr>
          <w:rFonts w:eastAsiaTheme="minorHAnsi" w:cstheme="minorBidi"/>
        </w:rPr>
      </w:pPr>
      <w:r w:rsidRPr="003C23F5">
        <w:t xml:space="preserve">None of the information collected duplicates other collections. </w:t>
      </w:r>
      <w:r w:rsidRPr="00FF10AE">
        <w:rPr>
          <w:rFonts w:eastAsiaTheme="minorHAnsi" w:cstheme="minorBidi"/>
        </w:rPr>
        <w:t xml:space="preserve">Duplication of application contact information is minimized through the use of eFISH because, by logging in with a NMFS Identification Number, eFISH autofills some data entry fields. </w:t>
      </w:r>
    </w:p>
    <w:p w:rsidR="00C935EC" w:rsidP="00E25936" w14:paraId="1A940A86" w14:textId="71DAF77E">
      <w:pPr>
        <w:widowControl/>
        <w:autoSpaceDE w:val="0"/>
        <w:autoSpaceDN w:val="0"/>
        <w:rPr>
          <w:rFonts w:eastAsiaTheme="minorHAnsi" w:cstheme="minorBidi"/>
        </w:rPr>
      </w:pPr>
    </w:p>
    <w:p w:rsidR="00C935EC" w:rsidRPr="00F53B6D" w:rsidP="00C935EC" w14:paraId="755B1585" w14:textId="77777777">
      <w:pPr>
        <w:autoSpaceDE w:val="0"/>
        <w:autoSpaceDN w:val="0"/>
        <w:adjustRightInd w:val="0"/>
        <w:rPr>
          <w:color w:val="000000"/>
        </w:rPr>
      </w:pPr>
      <w:r w:rsidRPr="004917D9">
        <w:rPr>
          <w:color w:val="000000"/>
        </w:rPr>
        <w:t>In g</w:t>
      </w:r>
      <w:r w:rsidRPr="004917D9">
        <w:rPr>
          <w:color w:val="000000"/>
        </w:rPr>
        <w:t xml:space="preserve">eneral, Alaska Region information collections are prepared and reviewed by staff familiar with all of the information collection requirements for the region. Staff work together to develop information collection requirements for new programs. In addition, </w:t>
      </w:r>
      <w:r w:rsidRPr="004917D9">
        <w:rPr>
          <w:color w:val="000000"/>
        </w:rPr>
        <w:t>NMFS staff work closely with the staff of the Alaska Department of Fish and Game and the International Pacific Halibut Commission to reduce duplication in information collection requirements to the extent possible given overlapping jurisdictions and comple</w:t>
      </w:r>
      <w:r w:rsidRPr="004917D9">
        <w:rPr>
          <w:color w:val="000000"/>
        </w:rPr>
        <w:t xml:space="preserve">x fisheries. Senior staff at the Alaska Region, NMFS </w:t>
      </w:r>
      <w:r w:rsidRPr="004917D9">
        <w:rPr>
          <w:color w:val="000000"/>
        </w:rPr>
        <w:t xml:space="preserve">headquarters, and the Department of Commerce General Counsel review all new and revised information collection requirements that are associated with rulemakings. This process minimizes the potential for </w:t>
      </w:r>
      <w:r w:rsidRPr="004917D9">
        <w:rPr>
          <w:color w:val="000000"/>
        </w:rPr>
        <w:t>duplication of information collection requirements for participants in the Federal fisheries off Alaska.</w:t>
      </w:r>
    </w:p>
    <w:p w:rsidR="00A7113A" w:rsidRPr="00A7113A" w:rsidP="00E25936" w14:paraId="71D34FA0" w14:textId="77777777">
      <w:pPr>
        <w:widowControl/>
        <w:pBdr>
          <w:top w:val="nil"/>
          <w:left w:val="nil"/>
          <w:bottom w:val="nil"/>
          <w:right w:val="nil"/>
          <w:between w:val="nil"/>
        </w:pBdr>
      </w:pPr>
    </w:p>
    <w:p w:rsidR="00D54824" w:rsidP="00E25936" w14:paraId="1C5A890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A7113A" w:rsidP="00E25936" w14:paraId="3BBBC26E" w14:textId="73D69940">
      <w:pPr>
        <w:widowControl/>
        <w:pBdr>
          <w:top w:val="nil"/>
          <w:left w:val="nil"/>
          <w:bottom w:val="nil"/>
          <w:right w:val="nil"/>
          <w:between w:val="nil"/>
        </w:pBdr>
      </w:pPr>
    </w:p>
    <w:p w:rsidR="00391FF9" w:rsidP="00E25936" w14:paraId="154F9924" w14:textId="27479F8B">
      <w:pPr>
        <w:widowControl/>
        <w:pBdr>
          <w:top w:val="nil"/>
          <w:left w:val="nil"/>
          <w:bottom w:val="nil"/>
          <w:right w:val="nil"/>
          <w:between w:val="nil"/>
        </w:pBdr>
      </w:pPr>
      <w:r>
        <w:t xml:space="preserve">NMFS attempts to minimize the burden of this information collection on all respondents by collecting only information necessary to manage the </w:t>
      </w:r>
      <w:r w:rsidR="00155435">
        <w:t xml:space="preserve">PCTC </w:t>
      </w:r>
      <w:r>
        <w:t>Program, by providing and supporting the online data collection program eFISH</w:t>
      </w:r>
      <w:r w:rsidR="00155435">
        <w:t>,</w:t>
      </w:r>
      <w:r>
        <w:t xml:space="preserve"> and by providing help to parti</w:t>
      </w:r>
      <w:r>
        <w:t xml:space="preserve">cipants in writing and by phone. eFish includes online help options and user guides. See </w:t>
      </w:r>
      <w:hyperlink r:id="rId15" w:history="1">
        <w:r w:rsidRPr="00155435" w:rsidR="00155435">
          <w:rPr>
            <w:rStyle w:val="Hyperlink"/>
          </w:rPr>
          <w:t>https://www.fisheries.noaa.gov/resource/document/user-guides-efish-online-services</w:t>
        </w:r>
      </w:hyperlink>
      <w:r>
        <w:t xml:space="preserve">. </w:t>
      </w:r>
      <w:r w:rsidRPr="00391FF9">
        <w:t>In addition, NMFS maintains a help/support call center with contractors available by phone Monday through Friday.</w:t>
      </w:r>
    </w:p>
    <w:p w:rsidR="00391FF9" w:rsidP="00E25936" w14:paraId="58B9E685" w14:textId="77777777">
      <w:pPr>
        <w:widowControl/>
        <w:pBdr>
          <w:top w:val="nil"/>
          <w:left w:val="nil"/>
          <w:bottom w:val="nil"/>
          <w:right w:val="nil"/>
          <w:between w:val="nil"/>
        </w:pBdr>
      </w:pPr>
    </w:p>
    <w:p w:rsidR="00A7113A" w:rsidP="00E25936" w14:paraId="12F13352" w14:textId="3992039C">
      <w:pPr>
        <w:widowControl/>
        <w:pBdr>
          <w:top w:val="nil"/>
          <w:left w:val="nil"/>
          <w:bottom w:val="nil"/>
          <w:right w:val="nil"/>
          <w:between w:val="nil"/>
        </w:pBdr>
      </w:pPr>
      <w:r>
        <w:t xml:space="preserve">Additionally, the forms </w:t>
      </w:r>
      <w:r w:rsidR="00FB1860">
        <w:t xml:space="preserve">will </w:t>
      </w:r>
      <w:r>
        <w:t>be available online as filla</w:t>
      </w:r>
      <w:r>
        <w:t xml:space="preserve">ble pdfs. </w:t>
      </w:r>
      <w:r w:rsidR="00155435">
        <w:t xml:space="preserve">Help </w:t>
      </w:r>
      <w:r w:rsidR="00FB1860">
        <w:t xml:space="preserve">will </w:t>
      </w:r>
      <w:r>
        <w:t xml:space="preserve">be </w:t>
      </w:r>
      <w:r w:rsidR="00155435">
        <w:t xml:space="preserve">available by contacting the Restricted Access Management Division by email at </w:t>
      </w:r>
      <w:hyperlink r:id="rId16" w:history="1">
        <w:r w:rsidRPr="00C21AD7" w:rsidR="00155435">
          <w:rPr>
            <w:rStyle w:val="Hyperlink"/>
          </w:rPr>
          <w:t>ram.alaska@noaa.gov</w:t>
        </w:r>
      </w:hyperlink>
      <w:r w:rsidR="00155435">
        <w:t xml:space="preserve"> and </w:t>
      </w:r>
      <w:r w:rsidR="00B156FC">
        <w:t>by phone Monday through Friday from 8:00 am to 4:</w:t>
      </w:r>
      <w:r w:rsidR="00155435">
        <w:t xml:space="preserve">00 </w:t>
      </w:r>
      <w:r w:rsidR="00B156FC">
        <w:t>pm</w:t>
      </w:r>
      <w:r>
        <w:t>,</w:t>
      </w:r>
      <w:r w:rsidR="00B156FC">
        <w:t xml:space="preserve"> Alaska </w:t>
      </w:r>
      <w:r>
        <w:t xml:space="preserve">local </w:t>
      </w:r>
      <w:r w:rsidR="00B156FC">
        <w:t>time</w:t>
      </w:r>
      <w:r>
        <w:t>,</w:t>
      </w:r>
      <w:r w:rsidR="00155435">
        <w:t xml:space="preserve"> at </w:t>
      </w:r>
      <w:r w:rsidRPr="00155435" w:rsidR="00155435">
        <w:t>(800) 304-4846, option 2</w:t>
      </w:r>
      <w:r w:rsidR="00155435">
        <w:t>.</w:t>
      </w:r>
    </w:p>
    <w:p w:rsidR="00391FF9" w:rsidP="00E25936" w14:paraId="3A1A8A7E" w14:textId="087782A2">
      <w:pPr>
        <w:widowControl/>
        <w:pBdr>
          <w:top w:val="nil"/>
          <w:left w:val="nil"/>
          <w:bottom w:val="nil"/>
          <w:right w:val="nil"/>
          <w:between w:val="nil"/>
        </w:pBdr>
      </w:pPr>
    </w:p>
    <w:p w:rsidR="00D54824" w:rsidP="00E25936" w14:paraId="6C0C034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3F1C69" w:rsidP="00E25936" w14:paraId="0D88A06B" w14:textId="77777777">
      <w:pPr>
        <w:widowControl/>
        <w:pBdr>
          <w:top w:val="nil"/>
          <w:left w:val="nil"/>
          <w:bottom w:val="nil"/>
          <w:right w:val="nil"/>
          <w:between w:val="nil"/>
        </w:pBdr>
      </w:pPr>
    </w:p>
    <w:p w:rsidR="00DB246D" w:rsidP="00E25936" w14:paraId="0067027E" w14:textId="46783B52">
      <w:pPr>
        <w:widowControl/>
        <w:pBdr>
          <w:top w:val="nil"/>
          <w:left w:val="nil"/>
          <w:bottom w:val="nil"/>
          <w:right w:val="nil"/>
          <w:between w:val="nil"/>
        </w:pBdr>
      </w:pPr>
      <w:r>
        <w:t>This information collection is required t</w:t>
      </w:r>
      <w:r>
        <w:t xml:space="preserve">o </w:t>
      </w:r>
      <w:r w:rsidR="00316E0D">
        <w:t xml:space="preserve">implement and </w:t>
      </w:r>
      <w:r>
        <w:t xml:space="preserve">manage the PCTC Program and manage the Pacific cod fishery under the Magnuson-Stevens Act (16 U.S.C. 1801, </w:t>
      </w:r>
      <w:r w:rsidRPr="00316E0D">
        <w:rPr>
          <w:i/>
        </w:rPr>
        <w:t>et seq</w:t>
      </w:r>
      <w:r>
        <w:t>.). It would not be possible to effectively manage the PCTC Program or carry out the mandates of the Magnuson-Stevens Act if th</w:t>
      </w:r>
      <w:r>
        <w:t>is collection were not conducted or conducted less frequently.</w:t>
      </w:r>
    </w:p>
    <w:p w:rsidR="00316E0D" w:rsidP="00E25936" w14:paraId="12845623" w14:textId="77777777">
      <w:pPr>
        <w:widowControl/>
        <w:pBdr>
          <w:top w:val="nil"/>
          <w:left w:val="nil"/>
          <w:bottom w:val="nil"/>
          <w:right w:val="nil"/>
          <w:between w:val="nil"/>
        </w:pBdr>
      </w:pPr>
    </w:p>
    <w:p w:rsidR="00316E0D" w:rsidP="00E25936" w14:paraId="64F48D87" w14:textId="36A966DC">
      <w:pPr>
        <w:widowControl/>
        <w:pBdr>
          <w:top w:val="nil"/>
          <w:left w:val="nil"/>
          <w:bottom w:val="nil"/>
          <w:right w:val="nil"/>
          <w:between w:val="nil"/>
        </w:pBdr>
      </w:pPr>
      <w:r w:rsidRPr="00316E0D">
        <w:t xml:space="preserve">If </w:t>
      </w:r>
      <w:r>
        <w:t>this</w:t>
      </w:r>
      <w:r w:rsidRPr="00316E0D">
        <w:t xml:space="preserve"> collection </w:t>
      </w:r>
      <w:r>
        <w:t>was</w:t>
      </w:r>
      <w:r w:rsidRPr="00316E0D">
        <w:t xml:space="preserve"> conducted less frequently, or not at all, </w:t>
      </w:r>
      <w:r>
        <w:t>PCTC Program</w:t>
      </w:r>
      <w:r w:rsidRPr="00316E0D">
        <w:t xml:space="preserve"> harvesters and processors would be delayed or prevented from receiving or transferring their fishery allocations. </w:t>
      </w:r>
      <w:r w:rsidRPr="00316E0D">
        <w:t xml:space="preserve">This </w:t>
      </w:r>
      <w:r>
        <w:t>could</w:t>
      </w:r>
      <w:r w:rsidRPr="00316E0D">
        <w:t xml:space="preserve"> cause severe economic harm to </w:t>
      </w:r>
      <w:r>
        <w:t>PCTC</w:t>
      </w:r>
      <w:r w:rsidRPr="00316E0D">
        <w:t xml:space="preserve"> Program participants and dependent communities. Additionally, NMFS would be substantially less able to ensure compliance with </w:t>
      </w:r>
      <w:r>
        <w:t>PCTC</w:t>
      </w:r>
      <w:r w:rsidRPr="00316E0D">
        <w:t xml:space="preserve"> Program regulations that ensure sustainability and fairness in the fishery.    </w:t>
      </w:r>
    </w:p>
    <w:p w:rsidR="00DB246D" w:rsidP="00E25936" w14:paraId="0AD7498F" w14:textId="77777777">
      <w:pPr>
        <w:widowControl/>
        <w:pBdr>
          <w:top w:val="nil"/>
          <w:left w:val="nil"/>
          <w:bottom w:val="nil"/>
          <w:right w:val="nil"/>
          <w:between w:val="nil"/>
        </w:pBdr>
      </w:pPr>
    </w:p>
    <w:p w:rsidR="00DB246D" w:rsidP="00E25936" w14:paraId="166B4F76" w14:textId="51573597">
      <w:pPr>
        <w:widowControl/>
        <w:pBdr>
          <w:top w:val="nil"/>
          <w:left w:val="nil"/>
          <w:bottom w:val="nil"/>
          <w:right w:val="nil"/>
          <w:between w:val="nil"/>
        </w:pBdr>
      </w:pPr>
      <w:r>
        <w:t>The lack of adequate information to manage the PCTC Program would result in the fishery management decision-making process being less objective, more political, and potentially less equitable. This would decrease the credibility of the fishery management</w:t>
      </w:r>
      <w:r>
        <w:t xml:space="preserve"> process and result in an unnecessarily costly and ineffective management system. The cost of making decisions based on inadequate information would adversely affect the viability of the </w:t>
      </w:r>
      <w:r w:rsidR="00316E0D">
        <w:t>Pacific cod</w:t>
      </w:r>
      <w:r>
        <w:t xml:space="preserve"> fishing industry</w:t>
      </w:r>
      <w:r w:rsidRPr="00DB246D">
        <w:t xml:space="preserve"> and impact the economic health of the pa</w:t>
      </w:r>
      <w:r w:rsidRPr="00DB246D">
        <w:t>rticipating communities.</w:t>
      </w:r>
    </w:p>
    <w:p w:rsidR="00DB246D" w:rsidP="00E25936" w14:paraId="5BA3F140" w14:textId="60CFABF4">
      <w:pPr>
        <w:widowControl/>
        <w:pBdr>
          <w:top w:val="nil"/>
          <w:left w:val="nil"/>
          <w:bottom w:val="nil"/>
          <w:right w:val="nil"/>
          <w:between w:val="nil"/>
        </w:pBdr>
      </w:pPr>
    </w:p>
    <w:p w:rsidR="00D54824" w:rsidP="00E25936" w14:paraId="7AE2057E"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B156FC" w:rsidP="00783B63" w14:paraId="412B4730" w14:textId="04E20909">
      <w:pPr>
        <w:widowControl/>
        <w:pBdr>
          <w:top w:val="nil"/>
          <w:left w:val="nil"/>
          <w:bottom w:val="nil"/>
          <w:right w:val="nil"/>
          <w:between w:val="nil"/>
        </w:pBdr>
        <w:spacing w:before="120"/>
      </w:pPr>
      <w:r>
        <w:t>This collection will be conducted in a manner consistent with OMB guidelines.</w:t>
      </w:r>
    </w:p>
    <w:p w:rsidR="00EA7D45" w:rsidRPr="00EA7D45" w:rsidP="00E25936" w14:paraId="02B51154" w14:textId="77777777">
      <w:pPr>
        <w:widowControl/>
        <w:pBdr>
          <w:top w:val="nil"/>
          <w:left w:val="nil"/>
          <w:bottom w:val="nil"/>
          <w:right w:val="nil"/>
          <w:between w:val="nil"/>
        </w:pBdr>
      </w:pPr>
    </w:p>
    <w:p w:rsidR="00D54824" w:rsidP="00704802" w14:paraId="7F95E898"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w:t>
      </w:r>
      <w:r>
        <w:rPr>
          <w:b/>
          <w:color w:val="000000"/>
        </w:rPr>
        <w:t>applicable, provide a copy and identify the date and page number of publications in the Federal Register of the agency's notice, required by 5 CFR 1320.8 (d), soliciting comments on the information collection prior to submission to OMB. Summarize public co</w:t>
      </w:r>
      <w:r>
        <w:rPr>
          <w:b/>
          <w:color w:val="000000"/>
        </w:rPr>
        <w:t>mments received in response to that notice and describe actions taken by the agency in response to these comments. Specifically address comments received on cost and hour burden.</w:t>
      </w:r>
    </w:p>
    <w:p w:rsidR="001442A6" w:rsidP="00704802" w14:paraId="1B4CA526" w14:textId="77777777">
      <w:pPr>
        <w:keepNext/>
        <w:widowControl/>
        <w:pBdr>
          <w:top w:val="nil"/>
          <w:left w:val="nil"/>
          <w:bottom w:val="nil"/>
          <w:right w:val="nil"/>
          <w:between w:val="nil"/>
        </w:pBdr>
      </w:pPr>
    </w:p>
    <w:p w:rsidR="00EA7D45" w:rsidP="00783B63" w14:paraId="55FEB8CD" w14:textId="56BE9DFB">
      <w:pPr>
        <w:widowControl/>
        <w:pBdr>
          <w:top w:val="nil"/>
          <w:left w:val="nil"/>
          <w:bottom w:val="nil"/>
          <w:right w:val="nil"/>
          <w:between w:val="nil"/>
        </w:pBdr>
      </w:pPr>
      <w:r w:rsidRPr="001442A6">
        <w:t>A proposed rule (</w:t>
      </w:r>
      <w:hyperlink r:id="rId17" w:history="1">
        <w:r w:rsidRPr="00F82299" w:rsidR="00FB1860">
          <w:rPr>
            <w:rStyle w:val="Hyperlink"/>
          </w:rPr>
          <w:t>88 FR 8592</w:t>
        </w:r>
      </w:hyperlink>
      <w:r w:rsidRPr="001442A6">
        <w:t xml:space="preserve">) soliciting public comments published </w:t>
      </w:r>
      <w:r w:rsidR="00FB1860">
        <w:t>on February 9, 2023</w:t>
      </w:r>
      <w:r w:rsidRPr="001442A6">
        <w:t>.</w:t>
      </w:r>
      <w:r w:rsidRPr="00FB1860" w:rsidR="00FB1860">
        <w:t xml:space="preserve"> </w:t>
      </w:r>
      <w:r w:rsidR="00FB1860">
        <w:t>The comment period ended on March 13, 2023.</w:t>
      </w:r>
      <w:r w:rsidRPr="007D63BD" w:rsidR="007D63BD">
        <w:t xml:space="preserve"> </w:t>
      </w:r>
      <w:r w:rsidR="00C41E72">
        <w:t xml:space="preserve">Comments </w:t>
      </w:r>
      <w:r w:rsidR="00783B63">
        <w:t xml:space="preserve">on this information collection </w:t>
      </w:r>
      <w:r w:rsidRPr="007D63BD" w:rsidR="007D63BD">
        <w:t xml:space="preserve">were </w:t>
      </w:r>
      <w:r w:rsidR="007D63BD">
        <w:t xml:space="preserve">received </w:t>
      </w:r>
      <w:r w:rsidRPr="007D63BD" w:rsidR="007D63BD">
        <w:t>from Aleutian Island community representatives and industry participants.</w:t>
      </w:r>
      <w:r w:rsidR="003A686B">
        <w:t xml:space="preserve"> </w:t>
      </w:r>
      <w:r w:rsidR="00EF42D9">
        <w:t xml:space="preserve">In response to comments received, NMFS changed the deadline for submission of the inter-cooperative agreement for 2023. </w:t>
      </w:r>
      <w:r w:rsidR="00671E8B">
        <w:t>The c</w:t>
      </w:r>
      <w:r w:rsidRPr="00E2202C" w:rsidR="00E2202C">
        <w:t>omments</w:t>
      </w:r>
      <w:r w:rsidR="00E2202C">
        <w:t xml:space="preserve"> </w:t>
      </w:r>
      <w:r w:rsidRPr="00E2202C" w:rsidR="00E2202C">
        <w:t>and NMFS’ responses are presented below.</w:t>
      </w:r>
    </w:p>
    <w:p w:rsidR="00C41E72" w:rsidP="00783B63" w14:paraId="313333E8" w14:textId="77777777">
      <w:pPr>
        <w:widowControl/>
        <w:pBdr>
          <w:top w:val="nil"/>
          <w:left w:val="nil"/>
          <w:bottom w:val="nil"/>
          <w:right w:val="nil"/>
          <w:between w:val="nil"/>
        </w:pBdr>
      </w:pPr>
    </w:p>
    <w:p w:rsidR="00E52F2C" w:rsidP="00783B63" w14:paraId="3319AE51" w14:textId="012CCF26">
      <w:pPr>
        <w:widowControl/>
        <w:pBdr>
          <w:top w:val="nil"/>
          <w:left w:val="nil"/>
          <w:bottom w:val="nil"/>
          <w:right w:val="nil"/>
          <w:between w:val="nil"/>
        </w:pBdr>
      </w:pPr>
      <w:r w:rsidRPr="00824C82">
        <w:rPr>
          <w:i/>
        </w:rPr>
        <w:t>Comment</w:t>
      </w:r>
      <w:r w:rsidRPr="00824C82">
        <w:t>:</w:t>
      </w:r>
      <w:r>
        <w:t xml:space="preserve"> </w:t>
      </w:r>
      <w:r w:rsidRPr="00824C82" w:rsidR="00824C82">
        <w:t>It is problematic to provide information down to the individual ownership level for certain types of ownerships structures, such as publicly-held companies. In order to effectively enforce ownership and use caps, the proposed rule would require “a list of all persons, to the individual level, holding an ownership interest in the LLP licenses that join the coop.” The classic case is a publicly traded owner. Because individual ownership is constantly changing and there is little public disclosure of individual owners, it would be impossible for a publicly traded company to submit an ownership list to the individual level. Similarly, a company such as American Seafoods, with a complex ownership structure and private equity investment, does not have access to ownership information to the individual level. Our suggestion is that the proposed standard be revised to require the same information down to the individual level for any person having an ownership interest in excess of five percent. If based on that information the Agency has any concerns about compliance with ownership and use caps, the Agency can be authorized to request additional ownership information</w:t>
      </w:r>
      <w:r>
        <w:t>.</w:t>
      </w:r>
    </w:p>
    <w:p w:rsidR="00E52F2C" w:rsidP="00783B63" w14:paraId="770841F4" w14:textId="77777777">
      <w:pPr>
        <w:widowControl/>
        <w:pBdr>
          <w:top w:val="nil"/>
          <w:left w:val="nil"/>
          <w:bottom w:val="nil"/>
          <w:right w:val="nil"/>
          <w:between w:val="nil"/>
        </w:pBdr>
        <w:rPr>
          <w:i/>
        </w:rPr>
      </w:pPr>
    </w:p>
    <w:p w:rsidR="00E52F2C" w:rsidP="00783B63" w14:paraId="7B413A01" w14:textId="7E254220">
      <w:pPr>
        <w:widowControl/>
        <w:pBdr>
          <w:top w:val="nil"/>
          <w:left w:val="nil"/>
          <w:bottom w:val="nil"/>
          <w:right w:val="nil"/>
          <w:between w:val="nil"/>
        </w:pBdr>
      </w:pPr>
      <w:r w:rsidRPr="003954B8">
        <w:rPr>
          <w:i/>
        </w:rPr>
        <w:t>Response</w:t>
      </w:r>
      <w:r>
        <w:t xml:space="preserve">: </w:t>
      </w:r>
      <w:r w:rsidRPr="00824C82" w:rsidR="00824C82">
        <w:t>NMFS appreciates the comment; however, information collections will remain unmodified. NMFS does not currently monitor ownership of publicly traded companies down to the individual. NMFS monitors ownership of companies to the best of their abilities and sometimes the publicly traded company i</w:t>
      </w:r>
      <w:r w:rsidR="00824C82">
        <w:t xml:space="preserve">s the closest NMFS can obtain. </w:t>
      </w:r>
      <w:r w:rsidRPr="00824C82" w:rsidR="00824C82">
        <w:t xml:space="preserve">Tracking to this level of </w:t>
      </w:r>
      <w:r w:rsidR="00783B63">
        <w:t>o</w:t>
      </w:r>
      <w:r w:rsidRPr="00824C82" w:rsidR="00824C82">
        <w:t>wnership for publicly traded companies in the PCTC Program is consistent with other catch share programs</w:t>
      </w:r>
      <w:r w:rsidR="00824C82">
        <w:t>.</w:t>
      </w:r>
    </w:p>
    <w:p w:rsidR="00783B63" w:rsidP="00783B63" w14:paraId="6A2305C1" w14:textId="77777777">
      <w:pPr>
        <w:widowControl/>
        <w:pBdr>
          <w:top w:val="nil"/>
          <w:left w:val="nil"/>
          <w:bottom w:val="nil"/>
          <w:right w:val="nil"/>
          <w:between w:val="nil"/>
        </w:pBdr>
      </w:pPr>
    </w:p>
    <w:p w:rsidR="00C41E72" w:rsidP="00783B63" w14:paraId="5C522E12" w14:textId="77777777">
      <w:pPr>
        <w:widowControl/>
        <w:pBdr>
          <w:top w:val="nil"/>
          <w:left w:val="nil"/>
          <w:bottom w:val="nil"/>
          <w:right w:val="nil"/>
          <w:between w:val="nil"/>
        </w:pBdr>
      </w:pPr>
      <w:r w:rsidRPr="00817A8C">
        <w:rPr>
          <w:i/>
        </w:rPr>
        <w:t>Comment</w:t>
      </w:r>
      <w:r>
        <w:t xml:space="preserve">: </w:t>
      </w:r>
      <w:r w:rsidRPr="00686966">
        <w:t xml:space="preserve">NMFS should make the PCTC Program official </w:t>
      </w:r>
      <w:r w:rsidRPr="00686966">
        <w:t>record or a list of LLP license holder information available to the inter-cooperative manager when application packages are sent out.</w:t>
      </w:r>
    </w:p>
    <w:p w:rsidR="00C41E72" w:rsidP="00783B63" w14:paraId="57BE4766" w14:textId="77777777">
      <w:pPr>
        <w:widowControl/>
        <w:pBdr>
          <w:top w:val="nil"/>
          <w:left w:val="nil"/>
          <w:bottom w:val="nil"/>
          <w:right w:val="nil"/>
          <w:between w:val="nil"/>
        </w:pBdr>
        <w:rPr>
          <w:i/>
        </w:rPr>
      </w:pPr>
    </w:p>
    <w:p w:rsidR="00C41E72" w:rsidP="00783B63" w14:paraId="39C5EC3F" w14:textId="77777777">
      <w:pPr>
        <w:widowControl/>
        <w:pBdr>
          <w:top w:val="nil"/>
          <w:left w:val="nil"/>
          <w:bottom w:val="nil"/>
          <w:right w:val="nil"/>
          <w:between w:val="nil"/>
        </w:pBdr>
      </w:pPr>
      <w:r w:rsidRPr="00817A8C">
        <w:rPr>
          <w:i/>
        </w:rPr>
        <w:t>Response</w:t>
      </w:r>
      <w:r>
        <w:t xml:space="preserve">: </w:t>
      </w:r>
      <w:r w:rsidRPr="00686966">
        <w:t>NMFS will publish a list of LLP license holders and processors who are expected to qualify for QS under the PCT</w:t>
      </w:r>
      <w:r w:rsidRPr="00686966">
        <w:t xml:space="preserve">C Program on the Alaska Region website with the publication of this final rule in the </w:t>
      </w:r>
      <w:r w:rsidRPr="00686966">
        <w:rPr>
          <w:i/>
        </w:rPr>
        <w:t>Federal Register</w:t>
      </w:r>
      <w:r w:rsidRPr="00686966">
        <w:t>.</w:t>
      </w:r>
    </w:p>
    <w:p w:rsidR="00C41E72" w:rsidRPr="00AD0C80" w:rsidP="00783B63" w14:paraId="4CC7CE88" w14:textId="77777777">
      <w:pPr>
        <w:widowControl/>
        <w:pBdr>
          <w:top w:val="nil"/>
          <w:left w:val="nil"/>
          <w:bottom w:val="nil"/>
          <w:right w:val="nil"/>
          <w:between w:val="nil"/>
        </w:pBdr>
        <w:rPr>
          <w:b/>
        </w:rPr>
      </w:pPr>
    </w:p>
    <w:p w:rsidR="00817A8C" w:rsidP="00783B63" w14:paraId="2FF7CF63" w14:textId="26D4E1F5">
      <w:pPr>
        <w:widowControl/>
        <w:pBdr>
          <w:top w:val="nil"/>
          <w:left w:val="nil"/>
          <w:bottom w:val="nil"/>
          <w:right w:val="nil"/>
          <w:between w:val="nil"/>
        </w:pBdr>
      </w:pPr>
      <w:r w:rsidRPr="00817A8C">
        <w:rPr>
          <w:i/>
        </w:rPr>
        <w:t>Comment</w:t>
      </w:r>
      <w:r>
        <w:t xml:space="preserve">: </w:t>
      </w:r>
      <w:r w:rsidRPr="00BD2269" w:rsidR="00BD2269">
        <w:t xml:space="preserve">There is no requirement that the cooperatives will set aside a proportionate amount of PSCs for the CVs that agree to take on the obligation of harvesting the set-aside for delivery to an </w:t>
      </w:r>
      <w:r w:rsidR="00064813">
        <w:t>Aleutian Islands</w:t>
      </w:r>
      <w:r w:rsidRPr="00BD2269" w:rsidR="00BD2269">
        <w:t xml:space="preserve"> shorebased processor. NMFS should make it explicit that initial distribution of PSC limits include pro-rata amounts to the </w:t>
      </w:r>
      <w:r w:rsidR="00064813">
        <w:t>Aleutian Islands</w:t>
      </w:r>
      <w:r w:rsidRPr="00BD2269" w:rsidR="00BD2269">
        <w:t xml:space="preserve"> CQ set-aside and require that the </w:t>
      </w:r>
      <w:r w:rsidRPr="00BD2269" w:rsidR="00BD2269">
        <w:t>inter-cooperative agreement and each cooperative agreement contain provisions mandating initial distribution of PSC pro-rata to the individual’s QS percentage.</w:t>
      </w:r>
    </w:p>
    <w:p w:rsidR="00E52F2C" w:rsidP="00783B63" w14:paraId="54BB7922" w14:textId="77777777">
      <w:pPr>
        <w:widowControl/>
        <w:pBdr>
          <w:top w:val="nil"/>
          <w:left w:val="nil"/>
          <w:bottom w:val="nil"/>
          <w:right w:val="nil"/>
          <w:between w:val="nil"/>
        </w:pBdr>
        <w:rPr>
          <w:i/>
        </w:rPr>
      </w:pPr>
    </w:p>
    <w:p w:rsidR="00817A8C" w:rsidP="00783B63" w14:paraId="2D09CFE6" w14:textId="2344611D">
      <w:pPr>
        <w:widowControl/>
        <w:pBdr>
          <w:top w:val="nil"/>
          <w:left w:val="nil"/>
          <w:bottom w:val="nil"/>
          <w:right w:val="nil"/>
          <w:between w:val="nil"/>
        </w:pBdr>
      </w:pPr>
      <w:r w:rsidRPr="00817A8C">
        <w:rPr>
          <w:i/>
        </w:rPr>
        <w:t>Response</w:t>
      </w:r>
      <w:r>
        <w:t xml:space="preserve">: </w:t>
      </w:r>
      <w:r w:rsidRPr="00BD2269" w:rsidR="00BD2269">
        <w:t xml:space="preserve">NMFS requires an inter-cooperative agreement signed by all cooperatives prior to issuing CQ each year. The cooperatives must agree in the inter-cooperative agreement which cooperatives will deliver the </w:t>
      </w:r>
      <w:r w:rsidR="00064813">
        <w:t>Aleutian Islands</w:t>
      </w:r>
      <w:r w:rsidRPr="00BD2269" w:rsidR="00BD2269">
        <w:t xml:space="preserve"> CQ set-aside to the Aleutian Islands shoreplants. In that agreement, cooperatives should confirm that there would be sufficient CQ and PSC limit set-aside to accomplish deliveries. The Council recommended a cooperative system to manage the CQ and PSC limits allocated within the PCTC Program. NMFS anticipates, similar to other cooperative-based programs that each cooperative will maximize its usage of CQ and PSC limits to the extent practicable, including adhering to delivery requirements to Aleutian Islands shoreplants in years the </w:t>
      </w:r>
      <w:r w:rsidR="00064813">
        <w:t>Aleutian Islands</w:t>
      </w:r>
      <w:r w:rsidRPr="00BD2269" w:rsidR="00BD2269">
        <w:t xml:space="preserve"> CQ set-aside is in effect.</w:t>
      </w:r>
    </w:p>
    <w:p w:rsidR="00817A8C" w:rsidP="00783B63" w14:paraId="0DF04501" w14:textId="77777777">
      <w:pPr>
        <w:widowControl/>
        <w:pBdr>
          <w:top w:val="nil"/>
          <w:left w:val="nil"/>
          <w:bottom w:val="nil"/>
          <w:right w:val="nil"/>
          <w:between w:val="nil"/>
        </w:pBdr>
      </w:pPr>
    </w:p>
    <w:p w:rsidR="00817A8C" w:rsidP="00783B63" w14:paraId="1CC25CF9" w14:textId="0803631D">
      <w:pPr>
        <w:widowControl/>
        <w:pBdr>
          <w:top w:val="nil"/>
          <w:left w:val="nil"/>
          <w:bottom w:val="nil"/>
          <w:right w:val="nil"/>
          <w:between w:val="nil"/>
        </w:pBdr>
      </w:pPr>
      <w:r w:rsidRPr="00817A8C">
        <w:rPr>
          <w:i/>
        </w:rPr>
        <w:t>Comment</w:t>
      </w:r>
      <w:r>
        <w:t xml:space="preserve">: </w:t>
      </w:r>
      <w:r w:rsidRPr="008A719A" w:rsidR="008A719A">
        <w:t>The proposed rule states that all participants in the Program would be required to organize a cooperative prior to the November 1 deadline each year. Does the "all" imply an inter-cooperative a</w:t>
      </w:r>
      <w:r w:rsidR="00824C82">
        <w:t>greement in place by November 1</w:t>
      </w:r>
      <w:r w:rsidRPr="008A719A" w:rsidR="008A719A">
        <w:t xml:space="preserve">? Where are the application requirements for the inter-cooperative agreement? In the proposed rule, it appears that the individual cooperative applications would simply include a copy of the inter-cooperative agreement that defines how the </w:t>
      </w:r>
      <w:r w:rsidR="00064813">
        <w:t>Aleutian Islands</w:t>
      </w:r>
      <w:r w:rsidRPr="008A719A" w:rsidR="008A719A">
        <w:t xml:space="preserve"> CQ set-aside will be harvested.</w:t>
      </w:r>
    </w:p>
    <w:p w:rsidR="00E52F2C" w:rsidP="00783B63" w14:paraId="29836511" w14:textId="77777777">
      <w:pPr>
        <w:widowControl/>
        <w:pBdr>
          <w:top w:val="nil"/>
          <w:left w:val="nil"/>
          <w:bottom w:val="nil"/>
          <w:right w:val="nil"/>
          <w:between w:val="nil"/>
        </w:pBdr>
        <w:rPr>
          <w:i/>
        </w:rPr>
      </w:pPr>
    </w:p>
    <w:p w:rsidR="00817A8C" w:rsidP="00783B63" w14:paraId="67758B48" w14:textId="45B765BB">
      <w:pPr>
        <w:widowControl/>
        <w:pBdr>
          <w:top w:val="nil"/>
          <w:left w:val="nil"/>
          <w:bottom w:val="nil"/>
          <w:right w:val="nil"/>
          <w:between w:val="nil"/>
        </w:pBdr>
      </w:pPr>
      <w:r>
        <w:rPr>
          <w:i/>
        </w:rPr>
        <w:t>Response</w:t>
      </w:r>
      <w:r>
        <w:t xml:space="preserve">: </w:t>
      </w:r>
      <w:r w:rsidRPr="00824C82" w:rsidR="00824C82">
        <w:t>Inter-cooperative formation would need to occur prior to November 1. However, NMFS is making a change to the date for the first year to accommodate timing concerns. For the calendar year 2023, each cooperative must submit the inter-cooperative agreement to NMFS prior to December 31, 2023</w:t>
      </w:r>
      <w:r w:rsidR="00824C82">
        <w:t>,</w:t>
      </w:r>
      <w:r w:rsidRPr="00824C82" w:rsidR="00824C82">
        <w:t xml:space="preserve"> described at § 679.131 (a)(4)(viii). Inter-cooperative formation would be allowed and an inter-cooperative agreement would be required to implement the </w:t>
      </w:r>
      <w:r w:rsidR="00064813">
        <w:t>Aleutian Islands</w:t>
      </w:r>
      <w:r w:rsidRPr="00824C82" w:rsidR="00824C82">
        <w:t xml:space="preserve"> set-aside and to allow for efficient transfers of CQ or PSC limits between cooperatives.</w:t>
      </w:r>
    </w:p>
    <w:p w:rsidR="00817A8C" w:rsidP="00783B63" w14:paraId="6030BB0C" w14:textId="77777777">
      <w:pPr>
        <w:widowControl/>
        <w:pBdr>
          <w:top w:val="nil"/>
          <w:left w:val="nil"/>
          <w:bottom w:val="nil"/>
          <w:right w:val="nil"/>
          <w:between w:val="nil"/>
        </w:pBdr>
      </w:pPr>
    </w:p>
    <w:p w:rsidR="00817A8C" w:rsidP="00783B63" w14:paraId="236D264B" w14:textId="0B902090">
      <w:pPr>
        <w:widowControl/>
        <w:pBdr>
          <w:top w:val="nil"/>
          <w:left w:val="nil"/>
          <w:bottom w:val="nil"/>
          <w:right w:val="nil"/>
          <w:between w:val="nil"/>
        </w:pBdr>
      </w:pPr>
      <w:r w:rsidRPr="00817A8C">
        <w:rPr>
          <w:i/>
        </w:rPr>
        <w:t>Comment</w:t>
      </w:r>
      <w:r>
        <w:t>: The</w:t>
      </w:r>
      <w:r>
        <w:t xml:space="preserve"> proposed rule does not provide any guidance on how an inter-cooperative </w:t>
      </w:r>
      <w:r w:rsidR="003954B8">
        <w:t>a</w:t>
      </w:r>
      <w:r>
        <w:t>greement would be agreed upon by the PCTC cooperative members.</w:t>
      </w:r>
    </w:p>
    <w:p w:rsidR="00E52F2C" w:rsidP="00783B63" w14:paraId="378F2BF2" w14:textId="77777777">
      <w:pPr>
        <w:widowControl/>
        <w:pBdr>
          <w:top w:val="nil"/>
          <w:left w:val="nil"/>
          <w:bottom w:val="nil"/>
          <w:right w:val="nil"/>
          <w:between w:val="nil"/>
        </w:pBdr>
        <w:rPr>
          <w:i/>
        </w:rPr>
      </w:pPr>
    </w:p>
    <w:p w:rsidR="003954B8" w:rsidP="00783B63" w14:paraId="39642CE4" w14:textId="7CD26D99">
      <w:pPr>
        <w:widowControl/>
        <w:pBdr>
          <w:top w:val="nil"/>
          <w:left w:val="nil"/>
          <w:bottom w:val="nil"/>
          <w:right w:val="nil"/>
          <w:between w:val="nil"/>
        </w:pBdr>
      </w:pPr>
      <w:r w:rsidRPr="00817A8C">
        <w:rPr>
          <w:i/>
        </w:rPr>
        <w:t>Response</w:t>
      </w:r>
      <w:r>
        <w:t xml:space="preserve">: </w:t>
      </w:r>
      <w:r w:rsidRPr="00824C82" w:rsidR="00824C82">
        <w:t xml:space="preserve">A cooperative-based structure was recommended by the Council for implementation of the PCTC Program based on public testimony. NMFS interprets this to mean that the cooperatives will structure their inter-cooperative agreement in a way that satisfies the </w:t>
      </w:r>
      <w:r w:rsidR="00064813">
        <w:t>Aleutian Islands</w:t>
      </w:r>
      <w:r w:rsidRPr="00824C82" w:rsidR="00824C82">
        <w:t xml:space="preserve"> CQ set-aside requirements without further guidance from NMFS on cooperative management. There is precedent set for cooperative systems using agreements like this, including in other North Pacific catch share programs</w:t>
      </w:r>
      <w:r w:rsidR="00824C82">
        <w:t>.</w:t>
      </w:r>
    </w:p>
    <w:p w:rsidR="00EA7D45" w:rsidRPr="00EA7D45" w:rsidP="00E25936" w14:paraId="4DF07F67" w14:textId="77777777">
      <w:pPr>
        <w:widowControl/>
        <w:pBdr>
          <w:top w:val="nil"/>
          <w:left w:val="nil"/>
          <w:bottom w:val="nil"/>
          <w:right w:val="nil"/>
          <w:between w:val="nil"/>
        </w:pBdr>
      </w:pPr>
    </w:p>
    <w:p w:rsidR="00D54824" w:rsidP="00E25936" w14:paraId="5266A916"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A7D45" w:rsidP="00E25936" w14:paraId="2B33CA56" w14:textId="7CE60574">
      <w:pPr>
        <w:keepNext/>
        <w:widowControl/>
        <w:pBdr>
          <w:top w:val="nil"/>
          <w:left w:val="nil"/>
          <w:bottom w:val="nil"/>
          <w:right w:val="nil"/>
          <w:between w:val="nil"/>
        </w:pBdr>
        <w:rPr>
          <w:color w:val="2F5496"/>
        </w:rPr>
      </w:pPr>
    </w:p>
    <w:p w:rsidR="00EA7D45" w:rsidRPr="003361D1" w:rsidP="00E25936" w14:paraId="1F6C2688" w14:textId="7D9CE6EC">
      <w:pPr>
        <w:keepNext/>
        <w:widowControl/>
        <w:pBdr>
          <w:top w:val="nil"/>
          <w:left w:val="nil"/>
          <w:bottom w:val="nil"/>
          <w:right w:val="nil"/>
          <w:between w:val="nil"/>
        </w:pBdr>
      </w:pPr>
      <w:r w:rsidRPr="003361D1">
        <w:t xml:space="preserve">No payment or gifts are provided to </w:t>
      </w:r>
      <w:r>
        <w:t xml:space="preserve">the </w:t>
      </w:r>
      <w:r w:rsidRPr="003361D1">
        <w:t>respondents in this collection.</w:t>
      </w:r>
    </w:p>
    <w:p w:rsidR="00EA7D45" w:rsidP="00E25936" w14:paraId="39E2C572" w14:textId="77777777">
      <w:pPr>
        <w:widowControl/>
        <w:pBdr>
          <w:top w:val="nil"/>
          <w:left w:val="nil"/>
          <w:bottom w:val="nil"/>
          <w:right w:val="nil"/>
          <w:between w:val="nil"/>
        </w:pBdr>
        <w:rPr>
          <w:color w:val="000000"/>
        </w:rPr>
      </w:pPr>
    </w:p>
    <w:p w:rsidR="003361D1" w:rsidRPr="003361D1" w:rsidP="00E25936" w14:paraId="762C9A6C" w14:textId="4C108BC0">
      <w:pPr>
        <w:widowControl/>
        <w:numPr>
          <w:ilvl w:val="0"/>
          <w:numId w:val="3"/>
        </w:numPr>
        <w:pBdr>
          <w:top w:val="nil"/>
          <w:left w:val="nil"/>
          <w:bottom w:val="nil"/>
          <w:right w:val="nil"/>
          <w:between w:val="nil"/>
        </w:pBdr>
        <w:ind w:left="0" w:firstLine="0"/>
        <w:rPr>
          <w:b/>
          <w:color w:val="000000"/>
        </w:rPr>
      </w:pPr>
      <w:r w:rsidRPr="003361D1">
        <w:rPr>
          <w:b/>
          <w:color w:val="000000"/>
        </w:rPr>
        <w:t xml:space="preserve">Describe any assurance of confidentiality provided to respondents and the basis for the assurance in statute, regulation, or agency policy. If the collection requires a systems of </w:t>
      </w:r>
      <w:r w:rsidRPr="003361D1">
        <w:rPr>
          <w:b/>
          <w:color w:val="000000"/>
        </w:rPr>
        <w:t>records notice (SORN) or privacy impact assessment (PIA), those should be cited and described here.</w:t>
      </w:r>
    </w:p>
    <w:p w:rsidR="00D54824" w:rsidP="00E25936" w14:paraId="0D15F872" w14:textId="77777777">
      <w:pPr>
        <w:widowControl/>
        <w:pBdr>
          <w:top w:val="nil"/>
          <w:left w:val="nil"/>
          <w:bottom w:val="nil"/>
          <w:right w:val="nil"/>
          <w:between w:val="nil"/>
        </w:pBdr>
        <w:tabs>
          <w:tab w:val="left" w:pos="360"/>
        </w:tabs>
        <w:rPr>
          <w:b/>
          <w:color w:val="000000"/>
        </w:rPr>
      </w:pPr>
    </w:p>
    <w:p w:rsidR="00B94864" w:rsidRPr="00B94864" w:rsidP="00E25936" w14:paraId="2003557A" w14:textId="77777777">
      <w:pPr>
        <w:keepNext/>
        <w:widowControl/>
        <w:rPr>
          <w:rFonts w:eastAsia="SimSun"/>
        </w:rPr>
      </w:pPr>
      <w:r w:rsidRPr="00B94864">
        <w:rPr>
          <w:rFonts w:eastAsia="SimSun"/>
        </w:rPr>
        <w:t>All information collections by NMFS, Alaska Region, are protected under confidentiality provisions of section 402(b) of the Magnuson-Stevens Act as amended</w:t>
      </w:r>
      <w:r w:rsidRPr="00B94864">
        <w:rPr>
          <w:rFonts w:eastAsia="SimSun"/>
        </w:rPr>
        <w:t xml:space="preserve"> in 2006 (16 U.S.C. 1801, </w:t>
      </w:r>
      <w:r w:rsidRPr="00B94864">
        <w:rPr>
          <w:rFonts w:eastAsia="SimSun"/>
          <w:i/>
        </w:rPr>
        <w:t>et seq</w:t>
      </w:r>
      <w:r w:rsidRPr="00B94864">
        <w:rPr>
          <w:rFonts w:eastAsia="SimSun"/>
        </w:rPr>
        <w:t>.) and under</w:t>
      </w:r>
      <w:hyperlink r:id="rId18" w:history="1">
        <w:r w:rsidRPr="00B94864">
          <w:rPr>
            <w:rFonts w:eastAsia="SimSun"/>
            <w:color w:val="0000FF"/>
            <w:u w:val="single"/>
          </w:rPr>
          <w:t xml:space="preserve"> NOAA Administrative Order 216-100</w:t>
        </w:r>
      </w:hyperlink>
      <w:r w:rsidRPr="00B94864">
        <w:rPr>
          <w:rFonts w:eastAsia="SimSun"/>
        </w:rPr>
        <w:t>, which sets forth procedures to protect confidential</w:t>
      </w:r>
      <w:r w:rsidRPr="00B94864">
        <w:rPr>
          <w:rFonts w:eastAsia="SimSun"/>
        </w:rPr>
        <w:t>ity of fishery statistics.</w:t>
      </w:r>
    </w:p>
    <w:p w:rsidR="00B94864" w:rsidRPr="00B94864" w:rsidP="00E25936" w14:paraId="3AF2E184" w14:textId="77777777">
      <w:pPr>
        <w:widowControl/>
        <w:autoSpaceDE w:val="0"/>
        <w:autoSpaceDN w:val="0"/>
        <w:adjustRightInd w:val="0"/>
        <w:rPr>
          <w:rFonts w:eastAsia="SimSun"/>
        </w:rPr>
      </w:pPr>
    </w:p>
    <w:p w:rsidR="00B94864" w:rsidRPr="00B94864" w:rsidP="00E25936" w14:paraId="12C267A3" w14:textId="77777777">
      <w:pPr>
        <w:widowControl/>
        <w:autoSpaceDE w:val="0"/>
        <w:autoSpaceDN w:val="0"/>
        <w:adjustRightInd w:val="0"/>
        <w:rPr>
          <w:rFonts w:eastAsia="SimSun"/>
        </w:rPr>
      </w:pPr>
      <w:r w:rsidRPr="00B94864">
        <w:rPr>
          <w:rFonts w:eastAsia="SimSun"/>
        </w:rPr>
        <w:t xml:space="preserve">The System of Records Notice that covers this information collection is </w:t>
      </w:r>
      <w:hyperlink r:id="rId19" w:history="1">
        <w:r w:rsidRPr="00B94864">
          <w:rPr>
            <w:rFonts w:eastAsia="SimSun"/>
            <w:color w:val="0000FF"/>
            <w:u w:val="single"/>
          </w:rPr>
          <w:t>COMMERCE/NOAA-19, Permits and Registrations for United States Federally Regulated</w:t>
        </w:r>
        <w:r w:rsidRPr="00B94864">
          <w:rPr>
            <w:rFonts w:eastAsia="SimSun"/>
            <w:color w:val="0000FF"/>
            <w:u w:val="single"/>
          </w:rPr>
          <w:t xml:space="preserve"> Fisheries</w:t>
        </w:r>
      </w:hyperlink>
      <w:r w:rsidRPr="00B94864">
        <w:rPr>
          <w:rFonts w:eastAsia="SimSun"/>
        </w:rPr>
        <w:t xml:space="preserve">. An amended Privacy Act system of records notice was published in the </w:t>
      </w:r>
      <w:r w:rsidRPr="00B94864">
        <w:rPr>
          <w:rFonts w:eastAsia="SimSun"/>
          <w:i/>
        </w:rPr>
        <w:t>Federal Register</w:t>
      </w:r>
      <w:r w:rsidRPr="00B94864">
        <w:rPr>
          <w:rFonts w:eastAsia="SimSun"/>
        </w:rPr>
        <w:t xml:space="preserve"> on August 7, 2015 (80 FR 47457), and became effective September 15, 2015 (80 FR 55327). </w:t>
      </w:r>
    </w:p>
    <w:p w:rsidR="00B94864" w:rsidRPr="00B94864" w:rsidP="00E25936" w14:paraId="470E9428" w14:textId="77777777">
      <w:pPr>
        <w:widowControl/>
        <w:autoSpaceDE w:val="0"/>
        <w:autoSpaceDN w:val="0"/>
        <w:rPr>
          <w:rFonts w:eastAsiaTheme="minorHAnsi"/>
          <w:color w:val="2F5496"/>
        </w:rPr>
      </w:pPr>
    </w:p>
    <w:p w:rsidR="00B94864" w:rsidRPr="00B94864" w:rsidP="00E25936" w14:paraId="1556A85D" w14:textId="77777777">
      <w:pPr>
        <w:widowControl/>
        <w:autoSpaceDE w:val="0"/>
        <w:autoSpaceDN w:val="0"/>
        <w:rPr>
          <w:rFonts w:eastAsia="Arial"/>
          <w:lang w:bidi="en-US"/>
        </w:rPr>
      </w:pPr>
      <w:r w:rsidRPr="00B94864">
        <w:rPr>
          <w:rFonts w:eastAsia="Arial"/>
          <w:lang w:bidi="en-US"/>
        </w:rPr>
        <w:t>The Privacy Impact Assessment that covers this information collectio</w:t>
      </w:r>
      <w:r w:rsidRPr="00B94864">
        <w:rPr>
          <w:rFonts w:eastAsia="Arial"/>
          <w:lang w:bidi="en-US"/>
        </w:rPr>
        <w:t xml:space="preserve">n is </w:t>
      </w:r>
      <w:hyperlink r:id="rId20" w:history="1">
        <w:r w:rsidRPr="00B94864">
          <w:rPr>
            <w:rFonts w:eastAsia="Arial"/>
            <w:color w:val="0000FF"/>
            <w:u w:val="single"/>
            <w:lang w:bidi="en-US"/>
          </w:rPr>
          <w:t>NOAA NMFS Alaska Region Local Area Network (NOAA4700)</w:t>
        </w:r>
      </w:hyperlink>
      <w:r w:rsidRPr="00B94864">
        <w:rPr>
          <w:rFonts w:eastAsia="Arial"/>
          <w:lang w:bidi="en-US"/>
        </w:rPr>
        <w:t>.</w:t>
      </w:r>
    </w:p>
    <w:p w:rsidR="00EA7D45" w:rsidRPr="00EA7D45" w:rsidP="00E25936" w14:paraId="5FACAEE7" w14:textId="0C03C59D">
      <w:pPr>
        <w:widowControl/>
        <w:pBdr>
          <w:top w:val="nil"/>
          <w:left w:val="nil"/>
          <w:bottom w:val="nil"/>
          <w:right w:val="nil"/>
          <w:between w:val="nil"/>
        </w:pBdr>
      </w:pPr>
    </w:p>
    <w:p w:rsidR="00D54824" w:rsidP="00E25936" w14:paraId="694FE23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additional justification for any questions of a sensitive nature, such as sexual behavior </w:t>
      </w:r>
      <w:r>
        <w:rPr>
          <w:b/>
          <w:color w:val="000000"/>
        </w:rPr>
        <w:t xml:space="preserve">or attitudes, religious beliefs, and other matters that are commonly considered private. This justification should include the reasons why the agency considers the questions necessary, the specific uses to be made of the information, the explanation to be </w:t>
      </w:r>
      <w:r>
        <w:rPr>
          <w:b/>
          <w:color w:val="000000"/>
        </w:rPr>
        <w:t>given to persons from whom the information is requested, and any steps to be taken to obtain their consent.</w:t>
      </w:r>
    </w:p>
    <w:p w:rsidR="00EA7D45" w:rsidRPr="00EA7D45" w:rsidP="00E25936" w14:paraId="25C3CF33" w14:textId="63F0AF6B">
      <w:pPr>
        <w:widowControl/>
      </w:pPr>
    </w:p>
    <w:p w:rsidR="00EA7D45" w:rsidRPr="00EA7D45" w:rsidP="00E25936" w14:paraId="2386782F" w14:textId="26579145">
      <w:pPr>
        <w:widowControl/>
      </w:pPr>
      <w:r w:rsidRPr="002508E4">
        <w:t>This information collection does not involve information of a sensitive nature.</w:t>
      </w:r>
    </w:p>
    <w:p w:rsidR="001676DE" w:rsidP="00E25936" w14:paraId="5E98F3A2" w14:textId="749BEA7B">
      <w:pPr>
        <w:widowControl/>
      </w:pPr>
    </w:p>
    <w:p w:rsidR="00D54824" w:rsidP="00E25936" w14:paraId="07329DD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w:t>
      </w:r>
      <w:r>
        <w:rPr>
          <w:b/>
          <w:color w:val="000000"/>
        </w:rPr>
        <w:t>ion.</w:t>
      </w:r>
    </w:p>
    <w:p w:rsidR="0014200F" w:rsidP="00E25936" w14:paraId="1629A3CD" w14:textId="77777777">
      <w:pPr>
        <w:widowControl/>
      </w:pPr>
    </w:p>
    <w:p w:rsidR="0089749F" w:rsidP="00E25936" w14:paraId="79F29A9B" w14:textId="567392C6">
      <w:pPr>
        <w:widowControl/>
      </w:pPr>
      <w:r>
        <w:t xml:space="preserve">This new information collection for the PCTC Program uses </w:t>
      </w:r>
      <w:r w:rsidR="00954340">
        <w:t xml:space="preserve">hourly wage </w:t>
      </w:r>
      <w:r w:rsidR="00A070F3">
        <w:t>rates used in other NMFS Alaska Region</w:t>
      </w:r>
      <w:r>
        <w:t xml:space="preserve"> information collections for similar respondent types. </w:t>
      </w:r>
      <w:r w:rsidRPr="0089749F">
        <w:t xml:space="preserve">The rates are based on </w:t>
      </w:r>
      <w:r w:rsidRPr="0089749F" w:rsidR="00D350DC">
        <w:t xml:space="preserve">rates reported by industry </w:t>
      </w:r>
      <w:r w:rsidR="00D350DC">
        <w:t xml:space="preserve">and </w:t>
      </w:r>
      <w:r w:rsidRPr="0089749F">
        <w:t>U. S. Bureau of Labor</w:t>
      </w:r>
      <w:r w:rsidR="00D350DC">
        <w:t xml:space="preserve"> Statistics (BLS) wage rates</w:t>
      </w:r>
      <w:r w:rsidRPr="0089749F">
        <w:t xml:space="preserve">. </w:t>
      </w:r>
      <w:r w:rsidR="00D350DC">
        <w:t xml:space="preserve">The BLS </w:t>
      </w:r>
      <w:r w:rsidRPr="00D03736" w:rsidR="00D350DC">
        <w:t>rate</w:t>
      </w:r>
      <w:r w:rsidR="00D350DC">
        <w:t xml:space="preserve">s used are </w:t>
      </w:r>
      <w:r w:rsidRPr="00D03736" w:rsidR="00D350DC">
        <w:t>the most current rate</w:t>
      </w:r>
      <w:r w:rsidR="00D350DC">
        <w:t>s</w:t>
      </w:r>
      <w:r w:rsidRPr="00D03736" w:rsidR="00D350DC">
        <w:t xml:space="preserve"> available (May </w:t>
      </w:r>
      <w:r w:rsidRPr="00D03736" w:rsidR="009379B7">
        <w:t>202</w:t>
      </w:r>
      <w:r w:rsidR="009379B7">
        <w:t>2</w:t>
      </w:r>
      <w:r w:rsidRPr="00D03736" w:rsidR="00D350DC">
        <w:t>).</w:t>
      </w:r>
      <w:r w:rsidR="00D350DC">
        <w:t xml:space="preserve"> </w:t>
      </w:r>
    </w:p>
    <w:p w:rsidR="0089749F" w:rsidP="00E25936" w14:paraId="5D6ABB6C" w14:textId="77777777">
      <w:pPr>
        <w:widowControl/>
      </w:pPr>
    </w:p>
    <w:p w:rsidR="00A070F3" w:rsidP="00E25936" w14:paraId="58FB0968" w14:textId="0D98681C">
      <w:pPr>
        <w:widowControl/>
      </w:pPr>
      <w:r w:rsidRPr="00D03736">
        <w:t xml:space="preserve">The </w:t>
      </w:r>
      <w:r w:rsidR="00D350DC">
        <w:t>rate</w:t>
      </w:r>
      <w:r w:rsidRPr="00D03736">
        <w:t xml:space="preserve"> $</w:t>
      </w:r>
      <w:r w:rsidR="009379B7">
        <w:t>22.52</w:t>
      </w:r>
      <w:r w:rsidR="00D350DC">
        <w:t>, used for LLP license owners and processor representatives,</w:t>
      </w:r>
      <w:r w:rsidRPr="00D03736">
        <w:t xml:space="preserve"> is the BLS mean hourly wage </w:t>
      </w:r>
      <w:r w:rsidR="00954340">
        <w:t xml:space="preserve">rate </w:t>
      </w:r>
      <w:r w:rsidRPr="00D03736">
        <w:t>for Alaska for Occupation Code 45-0000 (Farming, Fishing, a</w:t>
      </w:r>
      <w:r w:rsidRPr="00D03736">
        <w:t xml:space="preserve">nd Forestry Occupations; </w:t>
      </w:r>
      <w:hyperlink r:id="rId21" w:history="1">
        <w:r w:rsidRPr="008C7704" w:rsidR="008C7704">
          <w:rPr>
            <w:rStyle w:val="Hyperlink"/>
          </w:rPr>
          <w:t>https://www.bls.gov/oes/current/oes_ak.htm</w:t>
        </w:r>
      </w:hyperlink>
      <w:r w:rsidRPr="00D03736">
        <w:t xml:space="preserve">). </w:t>
      </w:r>
    </w:p>
    <w:p w:rsidR="00A070F3" w:rsidP="00E25936" w14:paraId="563A5752" w14:textId="77777777">
      <w:pPr>
        <w:widowControl/>
      </w:pPr>
    </w:p>
    <w:p w:rsidR="00A070F3" w:rsidP="00E25936" w14:paraId="26ED4F9D" w14:textId="330CF222">
      <w:pPr>
        <w:widowControl/>
      </w:pPr>
      <w:r>
        <w:t>The rate $</w:t>
      </w:r>
      <w:r w:rsidRPr="000A6F44">
        <w:t>54.</w:t>
      </w:r>
      <w:r w:rsidR="009379B7">
        <w:t>28</w:t>
      </w:r>
      <w:r w:rsidR="00D350DC">
        <w:t>,</w:t>
      </w:r>
      <w:r>
        <w:t xml:space="preserve"> used for the Atka and Adak community representatives</w:t>
      </w:r>
      <w:r w:rsidR="00D350DC">
        <w:t>,</w:t>
      </w:r>
      <w:r>
        <w:t xml:space="preserve"> is the BLS mean hou</w:t>
      </w:r>
      <w:r w:rsidR="00954340">
        <w:t>rly wage rate f</w:t>
      </w:r>
      <w:r>
        <w:t>or</w:t>
      </w:r>
      <w:r w:rsidR="00D350DC">
        <w:t xml:space="preserve"> Alaska for Occupation Code 1</w:t>
      </w:r>
      <w:r w:rsidRPr="000A6F44">
        <w:t xml:space="preserve">1-9121 </w:t>
      </w:r>
      <w:r w:rsidR="00D350DC">
        <w:t xml:space="preserve">(Natural Science Managers; </w:t>
      </w:r>
      <w:hyperlink r:id="rId21" w:history="1">
        <w:r w:rsidR="008C7704">
          <w:rPr>
            <w:rStyle w:val="Hyperlink"/>
          </w:rPr>
          <w:t>https://www.bls.gov/oes/current/oes_ak.htm</w:t>
        </w:r>
      </w:hyperlink>
      <w:r w:rsidR="00D350DC">
        <w:t xml:space="preserve">). </w:t>
      </w:r>
    </w:p>
    <w:p w:rsidR="00A070F3" w:rsidP="00E25936" w14:paraId="42E5794C" w14:textId="77777777">
      <w:pPr>
        <w:widowControl/>
      </w:pPr>
    </w:p>
    <w:p w:rsidR="000A6F44" w:rsidP="00E25936" w14:paraId="5E1FAFD8" w14:textId="6D8AD5BF">
      <w:pPr>
        <w:widowControl/>
      </w:pPr>
      <w:r>
        <w:t xml:space="preserve">The </w:t>
      </w:r>
      <w:r w:rsidR="00A070F3">
        <w:t>rate</w:t>
      </w:r>
      <w:r>
        <w:t xml:space="preserve"> $75, used for PCTC Program cooperative managers, is the rate used in OMB Control Number </w:t>
      </w:r>
      <w:r>
        <w:t>0648-0401 for AFA cooperative managers.</w:t>
      </w:r>
      <w:r w:rsidRPr="00E80CEE">
        <w:t xml:space="preserve"> NMFS has used </w:t>
      </w:r>
      <w:r>
        <w:t>this wage rate estimate</w:t>
      </w:r>
      <w:r w:rsidRPr="00E80CEE">
        <w:t xml:space="preserve"> for </w:t>
      </w:r>
      <w:r>
        <w:t>-0401</w:t>
      </w:r>
      <w:r w:rsidR="00A070F3">
        <w:t xml:space="preserve"> and has </w:t>
      </w:r>
      <w:r>
        <w:t>update</w:t>
      </w:r>
      <w:r w:rsidR="00A070F3">
        <w:t>d</w:t>
      </w:r>
      <w:r w:rsidRPr="00E80CEE">
        <w:t xml:space="preserve"> </w:t>
      </w:r>
      <w:r w:rsidR="00A070F3">
        <w:t xml:space="preserve">it </w:t>
      </w:r>
      <w:r>
        <w:t>when public comment supported</w:t>
      </w:r>
      <w:r w:rsidRPr="00E80CEE">
        <w:t xml:space="preserve"> doing so.</w:t>
      </w:r>
    </w:p>
    <w:p w:rsidR="000A6F44" w:rsidRPr="002C0E65" w:rsidP="00E25936" w14:paraId="4C13C27F" w14:textId="29602892">
      <w:pPr>
        <w:widowControl/>
      </w:pPr>
    </w:p>
    <w:p w:rsidR="002C0E65" w:rsidP="00E25936" w14:paraId="69013145" w14:textId="4074D60A">
      <w:pPr>
        <w:widowControl/>
      </w:pPr>
      <w:r>
        <w:t xml:space="preserve">The </w:t>
      </w:r>
      <w:r w:rsidRPr="002C0E65">
        <w:t>Application for Pacific Cod Trawl Cooperative Program Quota Share</w:t>
      </w:r>
      <w:r>
        <w:t xml:space="preserve"> and the </w:t>
      </w:r>
      <w:r w:rsidRPr="002C0E65">
        <w:t>Ninety-Day Transfer Window for</w:t>
      </w:r>
      <w:r w:rsidRPr="002C0E65">
        <w:t xml:space="preserve"> Non-Exempt AFA LLP holders</w:t>
      </w:r>
      <w:r>
        <w:t xml:space="preserve"> will </w:t>
      </w:r>
      <w:r w:rsidR="00981900">
        <w:t xml:space="preserve">both </w:t>
      </w:r>
      <w:r>
        <w:t xml:space="preserve">be submitted </w:t>
      </w:r>
      <w:r w:rsidR="00A070F3">
        <w:t>only once</w:t>
      </w:r>
      <w:r>
        <w:t xml:space="preserve">, </w:t>
      </w:r>
      <w:r>
        <w:t>following the implementation of the PCTC Program</w:t>
      </w:r>
      <w:r w:rsidR="00A070F3">
        <w:t>. F</w:t>
      </w:r>
      <w:r w:rsidR="00981900">
        <w:t xml:space="preserve">or these </w:t>
      </w:r>
      <w:r w:rsidR="00A070F3">
        <w:t xml:space="preserve">two </w:t>
      </w:r>
      <w:r w:rsidR="00981900">
        <w:t>collection instruments</w:t>
      </w:r>
      <w:r w:rsidR="00D20F49">
        <w:t>, the res</w:t>
      </w:r>
      <w:r>
        <w:t xml:space="preserve">pondents and responses </w:t>
      </w:r>
      <w:r w:rsidR="00A070F3">
        <w:t xml:space="preserve">shown </w:t>
      </w:r>
      <w:r w:rsidR="00D20F49">
        <w:t xml:space="preserve">in the table below </w:t>
      </w:r>
      <w:r w:rsidR="00A070F3">
        <w:t>are</w:t>
      </w:r>
      <w:r>
        <w:t xml:space="preserve"> </w:t>
      </w:r>
      <w:r w:rsidR="00A070F3">
        <w:t xml:space="preserve">the </w:t>
      </w:r>
      <w:r>
        <w:t>average</w:t>
      </w:r>
      <w:r w:rsidR="00CD3B81">
        <w:t xml:space="preserve"> for the three-year</w:t>
      </w:r>
      <w:r>
        <w:t xml:space="preserve"> period that this</w:t>
      </w:r>
      <w:r>
        <w:t xml:space="preserve"> new information collection</w:t>
      </w:r>
      <w:r w:rsidR="00D20F49">
        <w:t xml:space="preserve"> </w:t>
      </w:r>
      <w:r w:rsidR="00CD3B81">
        <w:t>will</w:t>
      </w:r>
      <w:r>
        <w:t xml:space="preserve"> </w:t>
      </w:r>
      <w:r w:rsidR="00CD3B81">
        <w:t xml:space="preserve">initially </w:t>
      </w:r>
      <w:r>
        <w:t>be approved for</w:t>
      </w:r>
      <w:r w:rsidR="00D20F49">
        <w:t xml:space="preserve">. </w:t>
      </w:r>
      <w:r>
        <w:t xml:space="preserve">For example, </w:t>
      </w:r>
      <w:r w:rsidR="00A070F3">
        <w:t xml:space="preserve">NMFS expects </w:t>
      </w:r>
      <w:r>
        <w:t xml:space="preserve">approximately 109 respondents to submit the QS application in the first year of the program. Therefore, 36 respondents and responses are used. </w:t>
      </w:r>
      <w:r w:rsidR="00CD3B81">
        <w:t xml:space="preserve">The calculations are provided in the notes below the table. </w:t>
      </w:r>
    </w:p>
    <w:p w:rsidR="00E8638C" w14:paraId="0E7CDA45" w14:textId="0928E806"/>
    <w:p w:rsidR="00E8638C" w14:paraId="0159D200" w14:textId="77777777">
      <w:pPr>
        <w:sectPr w:rsidSect="00E8638C">
          <w:pgSz w:w="12240" w:h="15840"/>
          <w:pgMar w:top="1440" w:right="1440" w:bottom="1440" w:left="1440" w:header="0" w:footer="1014" w:gutter="0"/>
          <w:cols w:space="720"/>
          <w:docGrid w:linePitch="326"/>
        </w:sectPr>
      </w:pPr>
    </w:p>
    <w:tbl>
      <w:tblPr>
        <w:tblStyle w:val="6"/>
        <w:tblW w:w="12881" w:type="dxa"/>
        <w:jc w:val="center"/>
        <w:tblLayout w:type="fixed"/>
        <w:tblLook w:val="0400"/>
      </w:tblPr>
      <w:tblGrid>
        <w:gridCol w:w="2510"/>
        <w:gridCol w:w="1800"/>
        <w:gridCol w:w="1174"/>
        <w:gridCol w:w="1295"/>
        <w:gridCol w:w="1188"/>
        <w:gridCol w:w="1080"/>
        <w:gridCol w:w="1342"/>
        <w:gridCol w:w="1263"/>
        <w:gridCol w:w="1229"/>
      </w:tblGrid>
      <w:tr w14:paraId="4C6B9037" w14:textId="77777777" w:rsidTr="00E16DB4">
        <w:tblPrEx>
          <w:tblW w:w="12881" w:type="dxa"/>
          <w:jc w:val="center"/>
          <w:tblLayout w:type="fixed"/>
          <w:tblLook w:val="0400"/>
        </w:tblPrEx>
        <w:trPr>
          <w:trHeight w:val="1294"/>
          <w:jc w:val="center"/>
        </w:trPr>
        <w:tc>
          <w:tcPr>
            <w:tcW w:w="25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D54824" w:rsidP="00A070F3" w14:paraId="23F78D7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00" w:type="dxa"/>
            <w:tcBorders>
              <w:top w:val="single" w:sz="8" w:space="0" w:color="000000"/>
              <w:left w:val="nil"/>
              <w:bottom w:val="single" w:sz="8" w:space="0" w:color="000000"/>
              <w:right w:val="single" w:sz="8" w:space="0" w:color="000000"/>
            </w:tcBorders>
            <w:shd w:val="clear" w:color="auto" w:fill="BDD7EE"/>
            <w:vAlign w:val="center"/>
          </w:tcPr>
          <w:p w:rsidR="00D54824" w:rsidP="00A070F3" w14:paraId="6AFB699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4" w:type="dxa"/>
            <w:tcBorders>
              <w:top w:val="single" w:sz="8" w:space="0" w:color="000000"/>
              <w:left w:val="nil"/>
              <w:bottom w:val="single" w:sz="8" w:space="0" w:color="000000"/>
              <w:right w:val="single" w:sz="8" w:space="0" w:color="000000"/>
            </w:tcBorders>
            <w:shd w:val="clear" w:color="auto" w:fill="BDD7EE"/>
            <w:vAlign w:val="center"/>
          </w:tcPr>
          <w:p w:rsidR="00D54824" w:rsidP="00A070F3" w14:paraId="4A0FCC9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295" w:type="dxa"/>
            <w:tcBorders>
              <w:top w:val="single" w:sz="8" w:space="0" w:color="000000"/>
              <w:left w:val="nil"/>
              <w:bottom w:val="single" w:sz="8" w:space="0" w:color="000000"/>
              <w:right w:val="single" w:sz="8" w:space="0" w:color="000000"/>
            </w:tcBorders>
            <w:shd w:val="clear" w:color="auto" w:fill="BDD7EE"/>
            <w:vAlign w:val="center"/>
          </w:tcPr>
          <w:p w:rsidR="00D54824" w:rsidP="00A070F3" w14:paraId="5B293A0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88" w:type="dxa"/>
            <w:tcBorders>
              <w:top w:val="single" w:sz="8" w:space="0" w:color="000000"/>
              <w:left w:val="nil"/>
              <w:bottom w:val="single" w:sz="8" w:space="0" w:color="000000"/>
              <w:right w:val="single" w:sz="8" w:space="0" w:color="000000"/>
            </w:tcBorders>
            <w:shd w:val="clear" w:color="auto" w:fill="BDD7EE"/>
            <w:vAlign w:val="center"/>
          </w:tcPr>
          <w:p w:rsidR="00D54824" w:rsidP="00A070F3" w14:paraId="57A46268" w14:textId="57CAE685">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D54824" w:rsidP="00A070F3" w14:paraId="5860024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342" w:type="dxa"/>
            <w:tcBorders>
              <w:top w:val="single" w:sz="8" w:space="0" w:color="000000"/>
              <w:left w:val="nil"/>
              <w:bottom w:val="single" w:sz="8" w:space="0" w:color="000000"/>
              <w:right w:val="single" w:sz="8" w:space="0" w:color="000000"/>
            </w:tcBorders>
            <w:shd w:val="clear" w:color="auto" w:fill="BDD7EE"/>
            <w:vAlign w:val="center"/>
          </w:tcPr>
          <w:p w:rsidR="00D54824" w:rsidP="00A070F3" w14:paraId="7644371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263" w:type="dxa"/>
            <w:tcBorders>
              <w:top w:val="single" w:sz="8" w:space="0" w:color="000000"/>
              <w:left w:val="nil"/>
              <w:bottom w:val="single" w:sz="8" w:space="0" w:color="000000"/>
              <w:right w:val="single" w:sz="8" w:space="0" w:color="000000"/>
            </w:tcBorders>
            <w:shd w:val="clear" w:color="auto" w:fill="BDD7EE"/>
            <w:vAlign w:val="center"/>
          </w:tcPr>
          <w:p w:rsidR="00D54824" w:rsidP="00A070F3" w14:paraId="3202F46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229" w:type="dxa"/>
            <w:tcBorders>
              <w:top w:val="single" w:sz="8" w:space="0" w:color="000000"/>
              <w:left w:val="nil"/>
              <w:bottom w:val="single" w:sz="8" w:space="0" w:color="000000"/>
              <w:right w:val="single" w:sz="8" w:space="0" w:color="000000"/>
            </w:tcBorders>
            <w:shd w:val="clear" w:color="auto" w:fill="BDD7EE"/>
            <w:vAlign w:val="center"/>
          </w:tcPr>
          <w:p w:rsidR="00D54824" w:rsidP="00A070F3" w14:paraId="3667EFE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0BD20721" w14:textId="77777777" w:rsidTr="00E16DB4">
        <w:tblPrEx>
          <w:tblW w:w="12881" w:type="dxa"/>
          <w:jc w:val="center"/>
          <w:tblLayout w:type="fixed"/>
          <w:tblLook w:val="0400"/>
        </w:tblPrEx>
        <w:trPr>
          <w:trHeight w:val="283"/>
          <w:jc w:val="center"/>
        </w:trPr>
        <w:tc>
          <w:tcPr>
            <w:tcW w:w="2510" w:type="dxa"/>
            <w:tcBorders>
              <w:top w:val="nil"/>
              <w:left w:val="single" w:sz="8" w:space="0" w:color="000000"/>
              <w:bottom w:val="single" w:sz="4" w:space="0" w:color="000000"/>
              <w:right w:val="single" w:sz="4" w:space="0" w:color="000000"/>
            </w:tcBorders>
            <w:shd w:val="clear" w:color="auto" w:fill="auto"/>
            <w:vAlign w:val="center"/>
          </w:tcPr>
          <w:p w:rsidR="00D54824" w:rsidRPr="00207642" w:rsidP="00D4754B" w14:paraId="55886E43" w14:textId="0CFA636A">
            <w:pPr>
              <w:widowControl/>
              <w:rPr>
                <w:rFonts w:eastAsia="Calibri" w:asciiTheme="minorHAnsi" w:hAnsiTheme="minorHAnsi" w:cstheme="minorHAnsi"/>
                <w:color w:val="000000"/>
                <w:sz w:val="18"/>
                <w:szCs w:val="18"/>
              </w:rPr>
            </w:pPr>
            <w:r w:rsidRPr="00D97F0C">
              <w:rPr>
                <w:rFonts w:eastAsia="Calibri" w:asciiTheme="minorHAnsi" w:hAnsiTheme="minorHAnsi" w:cstheme="minorHAnsi"/>
                <w:color w:val="000000"/>
                <w:sz w:val="18"/>
                <w:szCs w:val="18"/>
              </w:rPr>
              <w:t>Application for Pacific Cod Trawl Cooperative Program Quota Share</w:t>
            </w:r>
          </w:p>
        </w:tc>
        <w:tc>
          <w:tcPr>
            <w:tcW w:w="1800" w:type="dxa"/>
            <w:tcBorders>
              <w:top w:val="nil"/>
              <w:left w:val="nil"/>
              <w:bottom w:val="single" w:sz="4" w:space="0" w:color="000000"/>
              <w:right w:val="single" w:sz="4" w:space="0" w:color="000000"/>
            </w:tcBorders>
            <w:shd w:val="clear" w:color="auto" w:fill="auto"/>
            <w:vAlign w:val="center"/>
          </w:tcPr>
          <w:p w:rsidR="00D54824" w:rsidRPr="00207642" w:rsidP="00D4754B" w14:paraId="6DFAE9D6" w14:textId="4818996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LLP license owner; processor representative</w:t>
            </w:r>
          </w:p>
        </w:tc>
        <w:tc>
          <w:tcPr>
            <w:tcW w:w="1174" w:type="dxa"/>
            <w:tcBorders>
              <w:top w:val="nil"/>
              <w:left w:val="nil"/>
              <w:bottom w:val="single" w:sz="4" w:space="0" w:color="000000"/>
              <w:right w:val="single" w:sz="4" w:space="0" w:color="000000"/>
            </w:tcBorders>
            <w:shd w:val="clear" w:color="auto" w:fill="auto"/>
            <w:vAlign w:val="center"/>
          </w:tcPr>
          <w:p w:rsidR="00D54824" w:rsidRPr="00207642" w:rsidP="00C67B21" w14:paraId="4DE9AD5A" w14:textId="6F8ABB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36</w:t>
            </w:r>
            <w:r w:rsidRPr="007512EB">
              <w:rPr>
                <w:rFonts w:eastAsia="Calibri" w:asciiTheme="minorHAnsi" w:hAnsiTheme="minorHAnsi" w:cstheme="minorHAnsi"/>
                <w:color w:val="000000"/>
                <w:sz w:val="18"/>
                <w:szCs w:val="18"/>
                <w:vertAlign w:val="superscript"/>
              </w:rPr>
              <w:t>1</w:t>
            </w:r>
          </w:p>
        </w:tc>
        <w:tc>
          <w:tcPr>
            <w:tcW w:w="1295" w:type="dxa"/>
            <w:tcBorders>
              <w:top w:val="nil"/>
              <w:left w:val="nil"/>
              <w:bottom w:val="single" w:sz="4" w:space="0" w:color="000000"/>
              <w:right w:val="single" w:sz="4" w:space="0" w:color="000000"/>
            </w:tcBorders>
            <w:shd w:val="clear" w:color="auto" w:fill="auto"/>
            <w:vAlign w:val="center"/>
          </w:tcPr>
          <w:p w:rsidR="00D54824" w:rsidRPr="00207642" w:rsidP="00C67B21" w14:paraId="18AC4438" w14:textId="7ED7178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88" w:type="dxa"/>
            <w:tcBorders>
              <w:top w:val="nil"/>
              <w:left w:val="nil"/>
              <w:bottom w:val="single" w:sz="4" w:space="0" w:color="000000"/>
              <w:right w:val="single" w:sz="4" w:space="0" w:color="000000"/>
            </w:tcBorders>
            <w:shd w:val="clear" w:color="auto" w:fill="auto"/>
            <w:vAlign w:val="center"/>
          </w:tcPr>
          <w:p w:rsidR="00D54824" w:rsidRPr="00207642" w:rsidP="00C67B21" w14:paraId="23C1C8C0" w14:textId="579565E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36</w:t>
            </w:r>
          </w:p>
        </w:tc>
        <w:tc>
          <w:tcPr>
            <w:tcW w:w="1080" w:type="dxa"/>
            <w:tcBorders>
              <w:top w:val="nil"/>
              <w:left w:val="nil"/>
              <w:bottom w:val="single" w:sz="4" w:space="0" w:color="000000"/>
              <w:right w:val="single" w:sz="4" w:space="0" w:color="000000"/>
            </w:tcBorders>
            <w:shd w:val="clear" w:color="auto" w:fill="auto"/>
            <w:vAlign w:val="center"/>
          </w:tcPr>
          <w:p w:rsidR="00D54824" w:rsidRPr="00207642" w:rsidP="00C67B21" w14:paraId="5C3F2E43" w14:textId="7EAA12A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r>
              <w:rPr>
                <w:rFonts w:eastAsia="Calibri" w:asciiTheme="minorHAnsi" w:hAnsiTheme="minorHAnsi" w:cstheme="minorHAnsi"/>
                <w:color w:val="000000"/>
                <w:sz w:val="18"/>
                <w:szCs w:val="18"/>
              </w:rPr>
              <w:t xml:space="preserve"> hours</w:t>
            </w:r>
          </w:p>
        </w:tc>
        <w:tc>
          <w:tcPr>
            <w:tcW w:w="1342" w:type="dxa"/>
            <w:tcBorders>
              <w:top w:val="nil"/>
              <w:left w:val="nil"/>
              <w:bottom w:val="single" w:sz="4" w:space="0" w:color="000000"/>
              <w:right w:val="single" w:sz="4" w:space="0" w:color="000000"/>
            </w:tcBorders>
            <w:shd w:val="clear" w:color="auto" w:fill="auto"/>
            <w:vAlign w:val="center"/>
          </w:tcPr>
          <w:p w:rsidR="00D54824" w:rsidRPr="00207642" w:rsidP="00C67B21" w14:paraId="7EDEA93C" w14:textId="111C829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72</w:t>
            </w:r>
          </w:p>
        </w:tc>
        <w:tc>
          <w:tcPr>
            <w:tcW w:w="1263" w:type="dxa"/>
            <w:tcBorders>
              <w:top w:val="nil"/>
              <w:left w:val="nil"/>
              <w:bottom w:val="single" w:sz="4" w:space="0" w:color="000000"/>
              <w:right w:val="single" w:sz="4" w:space="0" w:color="000000"/>
            </w:tcBorders>
            <w:shd w:val="clear" w:color="auto" w:fill="auto"/>
            <w:vAlign w:val="center"/>
          </w:tcPr>
          <w:p w:rsidR="00D54824" w:rsidRPr="00207642" w:rsidP="00C67B21" w14:paraId="3F0F6E63" w14:textId="1AE8C61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22.52</w:t>
            </w:r>
          </w:p>
        </w:tc>
        <w:tc>
          <w:tcPr>
            <w:tcW w:w="1229" w:type="dxa"/>
            <w:tcBorders>
              <w:top w:val="nil"/>
              <w:left w:val="nil"/>
              <w:bottom w:val="single" w:sz="4" w:space="0" w:color="000000"/>
              <w:right w:val="single" w:sz="8" w:space="0" w:color="000000"/>
            </w:tcBorders>
            <w:shd w:val="clear" w:color="auto" w:fill="auto"/>
            <w:vAlign w:val="center"/>
          </w:tcPr>
          <w:p w:rsidR="00D54824" w:rsidRPr="00207642" w:rsidP="00C67B21" w14:paraId="4E0AB517" w14:textId="49FA713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1,621</w:t>
            </w:r>
          </w:p>
        </w:tc>
      </w:tr>
      <w:tr w14:paraId="44C7C097" w14:textId="77777777" w:rsidTr="00E16DB4">
        <w:tblPrEx>
          <w:tblW w:w="12881" w:type="dxa"/>
          <w:jc w:val="center"/>
          <w:tblLayout w:type="fixed"/>
          <w:tblLook w:val="0400"/>
        </w:tblPrEx>
        <w:trPr>
          <w:trHeight w:val="283"/>
          <w:jc w:val="center"/>
        </w:trPr>
        <w:tc>
          <w:tcPr>
            <w:tcW w:w="2510" w:type="dxa"/>
            <w:tcBorders>
              <w:top w:val="nil"/>
              <w:left w:val="single" w:sz="8" w:space="0" w:color="000000"/>
              <w:bottom w:val="single" w:sz="4" w:space="0" w:color="000000"/>
              <w:right w:val="single" w:sz="4" w:space="0" w:color="000000"/>
            </w:tcBorders>
            <w:shd w:val="clear" w:color="auto" w:fill="auto"/>
            <w:vAlign w:val="center"/>
          </w:tcPr>
          <w:p w:rsidR="00D54824" w:rsidRPr="00207642" w:rsidP="00D97F0C" w14:paraId="13683350" w14:textId="6F39234E">
            <w:pPr>
              <w:widowControl/>
              <w:rPr>
                <w:rFonts w:eastAsia="Calibri" w:asciiTheme="minorHAnsi" w:hAnsiTheme="minorHAnsi" w:cstheme="minorHAnsi"/>
                <w:color w:val="000000"/>
                <w:sz w:val="18"/>
                <w:szCs w:val="18"/>
              </w:rPr>
            </w:pPr>
            <w:r w:rsidRPr="00D97F0C">
              <w:rPr>
                <w:rFonts w:eastAsia="Calibri" w:asciiTheme="minorHAnsi" w:hAnsiTheme="minorHAnsi" w:cstheme="minorHAnsi"/>
                <w:color w:val="000000"/>
                <w:sz w:val="18"/>
                <w:szCs w:val="18"/>
              </w:rPr>
              <w:t>Application for Pacific</w:t>
            </w:r>
            <w:r>
              <w:rPr>
                <w:rFonts w:eastAsia="Calibri" w:asciiTheme="minorHAnsi" w:hAnsiTheme="minorHAnsi" w:cstheme="minorHAnsi"/>
                <w:color w:val="000000"/>
                <w:sz w:val="18"/>
                <w:szCs w:val="18"/>
              </w:rPr>
              <w:t xml:space="preserve"> Cod Trawl Cooperative </w:t>
            </w:r>
            <w:r w:rsidRPr="00D97F0C">
              <w:rPr>
                <w:rFonts w:eastAsia="Calibri" w:asciiTheme="minorHAnsi" w:hAnsiTheme="minorHAnsi" w:cstheme="minorHAnsi"/>
                <w:color w:val="000000"/>
                <w:sz w:val="18"/>
                <w:szCs w:val="18"/>
              </w:rPr>
              <w:t>Program Cooperative Quota</w:t>
            </w:r>
          </w:p>
        </w:tc>
        <w:tc>
          <w:tcPr>
            <w:tcW w:w="1800" w:type="dxa"/>
            <w:tcBorders>
              <w:top w:val="nil"/>
              <w:left w:val="nil"/>
              <w:bottom w:val="single" w:sz="4" w:space="0" w:color="000000"/>
              <w:right w:val="single" w:sz="4" w:space="0" w:color="000000"/>
            </w:tcBorders>
            <w:shd w:val="clear" w:color="auto" w:fill="auto"/>
            <w:vAlign w:val="center"/>
          </w:tcPr>
          <w:p w:rsidR="00D54824" w:rsidRPr="00207642" w:rsidP="00D4754B" w14:paraId="1F8551FD" w14:textId="3B33A0E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Cooperative manager</w:t>
            </w:r>
          </w:p>
        </w:tc>
        <w:tc>
          <w:tcPr>
            <w:tcW w:w="1174" w:type="dxa"/>
            <w:tcBorders>
              <w:top w:val="nil"/>
              <w:left w:val="nil"/>
              <w:bottom w:val="single" w:sz="4" w:space="0" w:color="000000"/>
              <w:right w:val="single" w:sz="4" w:space="0" w:color="000000"/>
            </w:tcBorders>
            <w:shd w:val="clear" w:color="auto" w:fill="auto"/>
            <w:vAlign w:val="center"/>
          </w:tcPr>
          <w:p w:rsidR="00D54824" w:rsidRPr="00207642" w:rsidP="00C67B21" w14:paraId="58A72D27" w14:textId="6E37FF4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295" w:type="dxa"/>
            <w:tcBorders>
              <w:top w:val="nil"/>
              <w:left w:val="nil"/>
              <w:bottom w:val="single" w:sz="4" w:space="0" w:color="000000"/>
              <w:right w:val="single" w:sz="4" w:space="0" w:color="000000"/>
            </w:tcBorders>
            <w:shd w:val="clear" w:color="auto" w:fill="auto"/>
            <w:vAlign w:val="center"/>
          </w:tcPr>
          <w:p w:rsidR="00D54824" w:rsidRPr="00207642" w:rsidP="00C67B21" w14:paraId="207C0DA2" w14:textId="1374D9B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88" w:type="dxa"/>
            <w:tcBorders>
              <w:top w:val="nil"/>
              <w:left w:val="nil"/>
              <w:bottom w:val="single" w:sz="4" w:space="0" w:color="000000"/>
              <w:right w:val="single" w:sz="4" w:space="0" w:color="000000"/>
            </w:tcBorders>
            <w:shd w:val="clear" w:color="auto" w:fill="auto"/>
            <w:vAlign w:val="center"/>
          </w:tcPr>
          <w:p w:rsidR="00D54824" w:rsidRPr="00207642" w:rsidP="00C67B21" w14:paraId="5223B8DF" w14:textId="76344C6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080" w:type="dxa"/>
            <w:tcBorders>
              <w:top w:val="nil"/>
              <w:left w:val="nil"/>
              <w:bottom w:val="single" w:sz="4" w:space="0" w:color="000000"/>
              <w:right w:val="single" w:sz="4" w:space="0" w:color="000000"/>
            </w:tcBorders>
            <w:shd w:val="clear" w:color="auto" w:fill="auto"/>
            <w:vAlign w:val="center"/>
          </w:tcPr>
          <w:p w:rsidR="00D54824" w:rsidRPr="00207642" w:rsidP="00C67B21" w14:paraId="3F78259E" w14:textId="1EA2560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 hours</w:t>
            </w:r>
          </w:p>
        </w:tc>
        <w:tc>
          <w:tcPr>
            <w:tcW w:w="1342" w:type="dxa"/>
            <w:tcBorders>
              <w:top w:val="nil"/>
              <w:left w:val="nil"/>
              <w:bottom w:val="single" w:sz="4" w:space="0" w:color="000000"/>
              <w:right w:val="single" w:sz="4" w:space="0" w:color="000000"/>
            </w:tcBorders>
            <w:shd w:val="clear" w:color="auto" w:fill="auto"/>
            <w:vAlign w:val="center"/>
          </w:tcPr>
          <w:p w:rsidR="00D54824" w:rsidRPr="00207642" w:rsidP="00C67B21" w14:paraId="7F47F9BC" w14:textId="7B1AD0E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20</w:t>
            </w:r>
          </w:p>
        </w:tc>
        <w:tc>
          <w:tcPr>
            <w:tcW w:w="1263" w:type="dxa"/>
            <w:tcBorders>
              <w:top w:val="nil"/>
              <w:left w:val="nil"/>
              <w:bottom w:val="single" w:sz="4" w:space="0" w:color="000000"/>
              <w:right w:val="single" w:sz="4" w:space="0" w:color="000000"/>
            </w:tcBorders>
            <w:shd w:val="clear" w:color="auto" w:fill="auto"/>
            <w:vAlign w:val="center"/>
          </w:tcPr>
          <w:p w:rsidR="00D54824" w:rsidRPr="00207642" w:rsidP="00C67B21" w14:paraId="07448B40" w14:textId="7070FB6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75</w:t>
            </w:r>
          </w:p>
        </w:tc>
        <w:tc>
          <w:tcPr>
            <w:tcW w:w="1229" w:type="dxa"/>
            <w:tcBorders>
              <w:top w:val="nil"/>
              <w:left w:val="nil"/>
              <w:bottom w:val="single" w:sz="4" w:space="0" w:color="000000"/>
              <w:right w:val="single" w:sz="8" w:space="0" w:color="000000"/>
            </w:tcBorders>
            <w:shd w:val="clear" w:color="auto" w:fill="auto"/>
            <w:vAlign w:val="center"/>
          </w:tcPr>
          <w:p w:rsidR="00D54824" w:rsidRPr="00207642" w:rsidP="00C67B21" w14:paraId="6B9EC3BB" w14:textId="1B8FFC5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1,500</w:t>
            </w:r>
          </w:p>
        </w:tc>
      </w:tr>
      <w:tr w14:paraId="06AE18F6" w14:textId="77777777" w:rsidTr="00E16DB4">
        <w:tblPrEx>
          <w:tblW w:w="12881" w:type="dxa"/>
          <w:jc w:val="center"/>
          <w:tblLayout w:type="fixed"/>
          <w:tblLook w:val="0400"/>
        </w:tblPrEx>
        <w:trPr>
          <w:trHeight w:val="283"/>
          <w:jc w:val="center"/>
        </w:trPr>
        <w:tc>
          <w:tcPr>
            <w:tcW w:w="2510" w:type="dxa"/>
            <w:tcBorders>
              <w:top w:val="nil"/>
              <w:left w:val="single" w:sz="8" w:space="0" w:color="000000"/>
              <w:bottom w:val="single" w:sz="4" w:space="0" w:color="000000"/>
              <w:right w:val="single" w:sz="4" w:space="0" w:color="000000"/>
            </w:tcBorders>
            <w:shd w:val="clear" w:color="auto" w:fill="auto"/>
            <w:vAlign w:val="center"/>
          </w:tcPr>
          <w:p w:rsidR="003D57F5" w:rsidRPr="003D57F5" w:rsidP="003D57F5" w14:paraId="3E342ACF" w14:textId="782E9F09">
            <w:pPr>
              <w:widowControl/>
              <w:rPr>
                <w:rFonts w:eastAsia="Calibri" w:asciiTheme="minorHAnsi" w:hAnsiTheme="minorHAnsi" w:cstheme="minorHAnsi"/>
                <w:color w:val="000000"/>
                <w:sz w:val="18"/>
                <w:szCs w:val="18"/>
              </w:rPr>
            </w:pPr>
            <w:r w:rsidRPr="003D57F5">
              <w:rPr>
                <w:rFonts w:asciiTheme="minorHAnsi" w:hAnsiTheme="minorHAnsi" w:cstheme="minorHAnsi"/>
                <w:sz w:val="18"/>
                <w:szCs w:val="18"/>
              </w:rPr>
              <w:t>Application for Inter-Cooperative Transfer of Cooperative Quota (CQ)</w:t>
            </w:r>
          </w:p>
        </w:tc>
        <w:tc>
          <w:tcPr>
            <w:tcW w:w="1800" w:type="dxa"/>
            <w:tcBorders>
              <w:top w:val="nil"/>
              <w:left w:val="nil"/>
              <w:bottom w:val="single" w:sz="4" w:space="0" w:color="000000"/>
              <w:right w:val="single" w:sz="4" w:space="0" w:color="000000"/>
            </w:tcBorders>
            <w:shd w:val="clear" w:color="auto" w:fill="auto"/>
            <w:vAlign w:val="center"/>
          </w:tcPr>
          <w:p w:rsidR="003D57F5" w:rsidRPr="003D57F5" w:rsidP="003D57F5" w14:paraId="725B2BC0" w14:textId="5764C62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Cooperative manager</w:t>
            </w:r>
          </w:p>
        </w:tc>
        <w:tc>
          <w:tcPr>
            <w:tcW w:w="1174" w:type="dxa"/>
            <w:tcBorders>
              <w:top w:val="nil"/>
              <w:left w:val="nil"/>
              <w:bottom w:val="single" w:sz="4" w:space="0" w:color="000000"/>
              <w:right w:val="single" w:sz="4" w:space="0" w:color="000000"/>
            </w:tcBorders>
            <w:shd w:val="clear" w:color="auto" w:fill="auto"/>
            <w:vAlign w:val="center"/>
          </w:tcPr>
          <w:p w:rsidR="003D57F5" w:rsidRPr="003D57F5" w:rsidP="00C67B21" w14:paraId="2EAA5BD0" w14:textId="323ECDF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295" w:type="dxa"/>
            <w:tcBorders>
              <w:top w:val="nil"/>
              <w:left w:val="nil"/>
              <w:bottom w:val="single" w:sz="4" w:space="0" w:color="000000"/>
              <w:right w:val="single" w:sz="4" w:space="0" w:color="000000"/>
            </w:tcBorders>
            <w:shd w:val="clear" w:color="auto" w:fill="auto"/>
            <w:vAlign w:val="center"/>
          </w:tcPr>
          <w:p w:rsidR="003D57F5" w:rsidRPr="003D57F5" w:rsidP="00C67B21" w14:paraId="5891062A" w14:textId="1DA792A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p>
        </w:tc>
        <w:tc>
          <w:tcPr>
            <w:tcW w:w="1188" w:type="dxa"/>
            <w:tcBorders>
              <w:top w:val="nil"/>
              <w:left w:val="nil"/>
              <w:bottom w:val="single" w:sz="4" w:space="0" w:color="000000"/>
              <w:right w:val="single" w:sz="4" w:space="0" w:color="000000"/>
            </w:tcBorders>
            <w:shd w:val="clear" w:color="auto" w:fill="auto"/>
            <w:vAlign w:val="center"/>
          </w:tcPr>
          <w:p w:rsidR="003D57F5" w:rsidRPr="003D57F5" w:rsidP="00C67B21" w14:paraId="4EA65DA9" w14:textId="78634B0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30</w:t>
            </w:r>
          </w:p>
        </w:tc>
        <w:tc>
          <w:tcPr>
            <w:tcW w:w="1080" w:type="dxa"/>
            <w:tcBorders>
              <w:top w:val="nil"/>
              <w:left w:val="nil"/>
              <w:bottom w:val="single" w:sz="4" w:space="0" w:color="000000"/>
              <w:right w:val="single" w:sz="4" w:space="0" w:color="000000"/>
            </w:tcBorders>
            <w:shd w:val="clear" w:color="auto" w:fill="auto"/>
            <w:vAlign w:val="center"/>
          </w:tcPr>
          <w:p w:rsidR="003D57F5" w:rsidRPr="003D57F5" w:rsidP="00C67B21" w14:paraId="5F640584" w14:textId="1753904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 minutes</w:t>
            </w:r>
          </w:p>
        </w:tc>
        <w:tc>
          <w:tcPr>
            <w:tcW w:w="1342" w:type="dxa"/>
            <w:tcBorders>
              <w:top w:val="nil"/>
              <w:left w:val="nil"/>
              <w:bottom w:val="single" w:sz="4" w:space="0" w:color="000000"/>
              <w:right w:val="single" w:sz="4" w:space="0" w:color="000000"/>
            </w:tcBorders>
            <w:shd w:val="clear" w:color="auto" w:fill="auto"/>
            <w:vAlign w:val="center"/>
          </w:tcPr>
          <w:p w:rsidR="003D57F5" w:rsidRPr="003D57F5" w:rsidP="00C67B21" w14:paraId="1B349317" w14:textId="716F3D7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263" w:type="dxa"/>
            <w:tcBorders>
              <w:top w:val="nil"/>
              <w:left w:val="nil"/>
              <w:bottom w:val="single" w:sz="4" w:space="0" w:color="000000"/>
              <w:right w:val="single" w:sz="4" w:space="0" w:color="000000"/>
            </w:tcBorders>
            <w:shd w:val="clear" w:color="auto" w:fill="auto"/>
            <w:vAlign w:val="center"/>
          </w:tcPr>
          <w:p w:rsidR="003D57F5" w:rsidRPr="003D57F5" w:rsidP="00C67B21" w14:paraId="4AFB8FAE" w14:textId="4474A9D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75</w:t>
            </w:r>
          </w:p>
        </w:tc>
        <w:tc>
          <w:tcPr>
            <w:tcW w:w="1229" w:type="dxa"/>
            <w:tcBorders>
              <w:top w:val="nil"/>
              <w:left w:val="nil"/>
              <w:bottom w:val="single" w:sz="4" w:space="0" w:color="000000"/>
              <w:right w:val="single" w:sz="8" w:space="0" w:color="000000"/>
            </w:tcBorders>
            <w:shd w:val="clear" w:color="auto" w:fill="auto"/>
            <w:vAlign w:val="center"/>
          </w:tcPr>
          <w:p w:rsidR="003D57F5" w:rsidRPr="003D57F5" w:rsidP="00C67B21" w14:paraId="2FC3D423" w14:textId="50B0EE3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375</w:t>
            </w:r>
          </w:p>
        </w:tc>
      </w:tr>
      <w:tr w14:paraId="7BD71AC8" w14:textId="77777777" w:rsidTr="00E16DB4">
        <w:tblPrEx>
          <w:tblW w:w="12881" w:type="dxa"/>
          <w:jc w:val="center"/>
          <w:tblLayout w:type="fixed"/>
          <w:tblLook w:val="0400"/>
        </w:tblPrEx>
        <w:trPr>
          <w:trHeight w:val="283"/>
          <w:jc w:val="center"/>
        </w:trPr>
        <w:tc>
          <w:tcPr>
            <w:tcW w:w="2510" w:type="dxa"/>
            <w:tcBorders>
              <w:top w:val="nil"/>
              <w:left w:val="single" w:sz="8" w:space="0" w:color="000000"/>
              <w:bottom w:val="single" w:sz="4" w:space="0" w:color="000000"/>
              <w:right w:val="single" w:sz="4" w:space="0" w:color="000000"/>
            </w:tcBorders>
            <w:shd w:val="clear" w:color="auto" w:fill="auto"/>
            <w:vAlign w:val="center"/>
          </w:tcPr>
          <w:p w:rsidR="003D57F5" w:rsidRPr="003D57F5" w:rsidP="003D57F5" w14:paraId="60004B77" w14:textId="717FE003">
            <w:pPr>
              <w:widowControl/>
              <w:rPr>
                <w:rFonts w:eastAsia="Calibri" w:asciiTheme="minorHAnsi" w:hAnsiTheme="minorHAnsi" w:cstheme="minorHAnsi"/>
                <w:color w:val="000000"/>
                <w:sz w:val="18"/>
                <w:szCs w:val="18"/>
              </w:rPr>
            </w:pPr>
            <w:r w:rsidRPr="003D57F5">
              <w:rPr>
                <w:rFonts w:asciiTheme="minorHAnsi" w:hAnsiTheme="minorHAnsi" w:cstheme="minorHAnsi"/>
                <w:sz w:val="18"/>
                <w:szCs w:val="18"/>
              </w:rPr>
              <w:t xml:space="preserve">Application for Transfer of </w:t>
            </w:r>
            <w:r w:rsidRPr="00147F03" w:rsidR="00147F03">
              <w:rPr>
                <w:rFonts w:asciiTheme="minorHAnsi" w:hAnsiTheme="minorHAnsi" w:cstheme="minorHAnsi"/>
                <w:sz w:val="18"/>
                <w:szCs w:val="18"/>
              </w:rPr>
              <w:t>Pacific Cod Trawl Cooperative</w:t>
            </w:r>
            <w:r w:rsidR="00147F03">
              <w:rPr>
                <w:rFonts w:asciiTheme="minorHAnsi" w:hAnsiTheme="minorHAnsi" w:cstheme="minorHAnsi"/>
                <w:sz w:val="18"/>
                <w:szCs w:val="18"/>
              </w:rPr>
              <w:t xml:space="preserve"> Program Quota Share</w:t>
            </w:r>
            <w:r w:rsidRPr="003D57F5">
              <w:rPr>
                <w:rFonts w:asciiTheme="minorHAnsi" w:hAnsiTheme="minorHAnsi" w:cstheme="minorHAnsi"/>
                <w:sz w:val="18"/>
                <w:szCs w:val="18"/>
              </w:rPr>
              <w:t xml:space="preserve"> for Processors</w:t>
            </w:r>
          </w:p>
        </w:tc>
        <w:tc>
          <w:tcPr>
            <w:tcW w:w="1800" w:type="dxa"/>
            <w:tcBorders>
              <w:top w:val="nil"/>
              <w:left w:val="nil"/>
              <w:bottom w:val="single" w:sz="4" w:space="0" w:color="000000"/>
              <w:right w:val="single" w:sz="4" w:space="0" w:color="000000"/>
            </w:tcBorders>
            <w:shd w:val="clear" w:color="auto" w:fill="auto"/>
            <w:vAlign w:val="center"/>
          </w:tcPr>
          <w:p w:rsidR="003D57F5" w:rsidRPr="003D57F5" w:rsidP="002227E7" w14:paraId="065BF39E" w14:textId="5B9A96EE">
            <w:pPr>
              <w:widowControl/>
              <w:rPr>
                <w:rFonts w:eastAsia="Calibri" w:asciiTheme="minorHAnsi" w:hAnsiTheme="minorHAnsi" w:cstheme="minorHAnsi"/>
                <w:color w:val="000000"/>
                <w:sz w:val="18"/>
                <w:szCs w:val="18"/>
              </w:rPr>
            </w:pPr>
            <w:r w:rsidRPr="002227E7">
              <w:rPr>
                <w:rFonts w:eastAsia="Calibri" w:asciiTheme="minorHAnsi" w:hAnsiTheme="minorHAnsi" w:cstheme="minorHAnsi"/>
                <w:color w:val="000000"/>
                <w:sz w:val="18"/>
                <w:szCs w:val="18"/>
              </w:rPr>
              <w:t>Processing QS holder</w:t>
            </w:r>
          </w:p>
        </w:tc>
        <w:tc>
          <w:tcPr>
            <w:tcW w:w="1174" w:type="dxa"/>
            <w:tcBorders>
              <w:top w:val="nil"/>
              <w:left w:val="nil"/>
              <w:bottom w:val="single" w:sz="4" w:space="0" w:color="000000"/>
              <w:right w:val="single" w:sz="4" w:space="0" w:color="000000"/>
            </w:tcBorders>
            <w:shd w:val="clear" w:color="auto" w:fill="auto"/>
            <w:vAlign w:val="center"/>
          </w:tcPr>
          <w:p w:rsidR="003D57F5" w:rsidRPr="003D57F5" w:rsidP="00C67B21" w14:paraId="109DB0A5" w14:textId="2B4A0BB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95" w:type="dxa"/>
            <w:tcBorders>
              <w:top w:val="nil"/>
              <w:left w:val="nil"/>
              <w:bottom w:val="single" w:sz="4" w:space="0" w:color="000000"/>
              <w:right w:val="single" w:sz="4" w:space="0" w:color="000000"/>
            </w:tcBorders>
            <w:shd w:val="clear" w:color="auto" w:fill="auto"/>
            <w:vAlign w:val="center"/>
          </w:tcPr>
          <w:p w:rsidR="003D57F5" w:rsidRPr="003D57F5" w:rsidP="00C67B21" w14:paraId="0C8E5EEB" w14:textId="14CD56D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88" w:type="dxa"/>
            <w:tcBorders>
              <w:top w:val="nil"/>
              <w:left w:val="nil"/>
              <w:bottom w:val="single" w:sz="4" w:space="0" w:color="000000"/>
              <w:right w:val="single" w:sz="4" w:space="0" w:color="000000"/>
            </w:tcBorders>
            <w:shd w:val="clear" w:color="auto" w:fill="auto"/>
            <w:vAlign w:val="center"/>
          </w:tcPr>
          <w:p w:rsidR="003D57F5" w:rsidRPr="003D57F5" w:rsidP="00C67B21" w14:paraId="4CDC20F5" w14:textId="54FE3A4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3D57F5" w:rsidRPr="003D57F5" w:rsidP="00C67B21" w14:paraId="33E92AB3" w14:textId="06043D5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 hours</w:t>
            </w:r>
          </w:p>
        </w:tc>
        <w:tc>
          <w:tcPr>
            <w:tcW w:w="1342" w:type="dxa"/>
            <w:tcBorders>
              <w:top w:val="nil"/>
              <w:left w:val="nil"/>
              <w:bottom w:val="single" w:sz="4" w:space="0" w:color="000000"/>
              <w:right w:val="single" w:sz="4" w:space="0" w:color="000000"/>
            </w:tcBorders>
            <w:shd w:val="clear" w:color="auto" w:fill="auto"/>
            <w:vAlign w:val="center"/>
          </w:tcPr>
          <w:p w:rsidR="003D57F5" w:rsidRPr="003D57F5" w:rsidP="00C67B21" w14:paraId="1317EAC0" w14:textId="5969C37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263" w:type="dxa"/>
            <w:tcBorders>
              <w:top w:val="nil"/>
              <w:left w:val="nil"/>
              <w:bottom w:val="single" w:sz="4" w:space="0" w:color="000000"/>
              <w:right w:val="single" w:sz="4" w:space="0" w:color="000000"/>
            </w:tcBorders>
            <w:shd w:val="clear" w:color="auto" w:fill="auto"/>
            <w:vAlign w:val="center"/>
          </w:tcPr>
          <w:p w:rsidR="003D57F5" w:rsidRPr="003D57F5" w:rsidP="00C67B21" w14:paraId="17957370" w14:textId="2A7DFDB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22.52</w:t>
            </w:r>
          </w:p>
        </w:tc>
        <w:tc>
          <w:tcPr>
            <w:tcW w:w="1229" w:type="dxa"/>
            <w:tcBorders>
              <w:top w:val="nil"/>
              <w:left w:val="nil"/>
              <w:bottom w:val="single" w:sz="4" w:space="0" w:color="000000"/>
              <w:right w:val="single" w:sz="8" w:space="0" w:color="000000"/>
            </w:tcBorders>
            <w:shd w:val="clear" w:color="auto" w:fill="auto"/>
            <w:vAlign w:val="center"/>
          </w:tcPr>
          <w:p w:rsidR="003D57F5" w:rsidRPr="003D57F5" w:rsidP="00C67B21" w14:paraId="5B7A3F31" w14:textId="31620D4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w:t>
            </w:r>
            <w:r w:rsidR="009379B7">
              <w:rPr>
                <w:rFonts w:eastAsia="Calibri" w:asciiTheme="minorHAnsi" w:hAnsiTheme="minorHAnsi" w:cstheme="minorHAnsi"/>
                <w:color w:val="000000"/>
                <w:sz w:val="18"/>
                <w:szCs w:val="18"/>
              </w:rPr>
              <w:t>5</w:t>
            </w:r>
          </w:p>
        </w:tc>
      </w:tr>
      <w:tr w14:paraId="5C45079B" w14:textId="77777777" w:rsidTr="00E16DB4">
        <w:tblPrEx>
          <w:tblW w:w="12881" w:type="dxa"/>
          <w:jc w:val="center"/>
          <w:tblLayout w:type="fixed"/>
          <w:tblLook w:val="0400"/>
        </w:tblPrEx>
        <w:trPr>
          <w:trHeight w:val="283"/>
          <w:jc w:val="center"/>
        </w:trPr>
        <w:tc>
          <w:tcPr>
            <w:tcW w:w="2510" w:type="dxa"/>
            <w:tcBorders>
              <w:top w:val="nil"/>
              <w:left w:val="single" w:sz="8" w:space="0" w:color="000000"/>
              <w:bottom w:val="single" w:sz="4" w:space="0" w:color="000000"/>
              <w:right w:val="single" w:sz="4" w:space="0" w:color="000000"/>
            </w:tcBorders>
            <w:shd w:val="clear" w:color="auto" w:fill="auto"/>
            <w:vAlign w:val="center"/>
          </w:tcPr>
          <w:p w:rsidR="003D57F5" w:rsidRPr="003D57F5" w:rsidP="00477D6F" w14:paraId="062B5EA6" w14:textId="02799C5A">
            <w:pPr>
              <w:widowControl/>
              <w:rPr>
                <w:rFonts w:eastAsia="Calibri" w:asciiTheme="minorHAnsi" w:hAnsiTheme="minorHAnsi" w:cstheme="minorHAnsi"/>
                <w:color w:val="000000"/>
                <w:sz w:val="18"/>
                <w:szCs w:val="18"/>
              </w:rPr>
            </w:pPr>
            <w:r w:rsidRPr="003D57F5">
              <w:rPr>
                <w:rFonts w:asciiTheme="minorHAnsi" w:hAnsiTheme="minorHAnsi" w:cstheme="minorHAnsi"/>
                <w:sz w:val="18"/>
                <w:szCs w:val="18"/>
              </w:rPr>
              <w:t xml:space="preserve">Notification of intent to process </w:t>
            </w:r>
            <w:r w:rsidR="00477D6F">
              <w:rPr>
                <w:rFonts w:asciiTheme="minorHAnsi" w:hAnsiTheme="minorHAnsi" w:cstheme="minorHAnsi"/>
                <w:sz w:val="18"/>
                <w:szCs w:val="18"/>
              </w:rPr>
              <w:t>PCTC Program</w:t>
            </w:r>
            <w:r w:rsidRPr="003D57F5">
              <w:rPr>
                <w:rFonts w:asciiTheme="minorHAnsi" w:hAnsiTheme="minorHAnsi" w:cstheme="minorHAnsi"/>
                <w:sz w:val="18"/>
                <w:szCs w:val="18"/>
              </w:rPr>
              <w:t xml:space="preserve"> Pacific cod</w:t>
            </w:r>
          </w:p>
        </w:tc>
        <w:tc>
          <w:tcPr>
            <w:tcW w:w="1800" w:type="dxa"/>
            <w:tcBorders>
              <w:top w:val="nil"/>
              <w:left w:val="nil"/>
              <w:bottom w:val="single" w:sz="4" w:space="0" w:color="000000"/>
              <w:right w:val="single" w:sz="4" w:space="0" w:color="000000"/>
            </w:tcBorders>
            <w:shd w:val="clear" w:color="auto" w:fill="auto"/>
            <w:vAlign w:val="center"/>
          </w:tcPr>
          <w:p w:rsidR="003D57F5" w:rsidRPr="003D57F5" w:rsidP="003D57F5" w14:paraId="48DAC0AC" w14:textId="15454CBA">
            <w:pPr>
              <w:widowControl/>
              <w:jc w:val="center"/>
              <w:rPr>
                <w:rFonts w:eastAsia="Calibri" w:asciiTheme="minorHAnsi" w:hAnsiTheme="minorHAnsi" w:cstheme="minorHAnsi"/>
                <w:color w:val="000000"/>
                <w:sz w:val="18"/>
                <w:szCs w:val="18"/>
              </w:rPr>
            </w:pPr>
            <w:r w:rsidRPr="002227E7">
              <w:rPr>
                <w:rFonts w:eastAsia="Calibri" w:asciiTheme="minorHAnsi" w:hAnsiTheme="minorHAnsi" w:cstheme="minorHAnsi"/>
                <w:color w:val="000000"/>
                <w:sz w:val="18"/>
                <w:szCs w:val="18"/>
              </w:rPr>
              <w:t>Community representative</w:t>
            </w:r>
          </w:p>
        </w:tc>
        <w:tc>
          <w:tcPr>
            <w:tcW w:w="1174" w:type="dxa"/>
            <w:tcBorders>
              <w:top w:val="nil"/>
              <w:left w:val="nil"/>
              <w:bottom w:val="single" w:sz="4" w:space="0" w:color="000000"/>
              <w:right w:val="single" w:sz="4" w:space="0" w:color="000000"/>
            </w:tcBorders>
            <w:shd w:val="clear" w:color="auto" w:fill="auto"/>
            <w:vAlign w:val="center"/>
          </w:tcPr>
          <w:p w:rsidR="003D57F5" w:rsidRPr="003D57F5" w:rsidP="00C67B21" w14:paraId="0B1E736F" w14:textId="2365CA8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295" w:type="dxa"/>
            <w:tcBorders>
              <w:top w:val="nil"/>
              <w:left w:val="nil"/>
              <w:bottom w:val="single" w:sz="4" w:space="0" w:color="000000"/>
              <w:right w:val="single" w:sz="4" w:space="0" w:color="000000"/>
            </w:tcBorders>
            <w:shd w:val="clear" w:color="auto" w:fill="auto"/>
            <w:vAlign w:val="center"/>
          </w:tcPr>
          <w:p w:rsidR="003D57F5" w:rsidRPr="003D57F5" w:rsidP="00C67B21" w14:paraId="2A3F20D9" w14:textId="6D8237F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88" w:type="dxa"/>
            <w:tcBorders>
              <w:top w:val="nil"/>
              <w:left w:val="nil"/>
              <w:bottom w:val="single" w:sz="4" w:space="0" w:color="000000"/>
              <w:right w:val="single" w:sz="4" w:space="0" w:color="000000"/>
            </w:tcBorders>
            <w:shd w:val="clear" w:color="auto" w:fill="auto"/>
            <w:vAlign w:val="center"/>
          </w:tcPr>
          <w:p w:rsidR="003D57F5" w:rsidRPr="003D57F5" w:rsidP="00C67B21" w14:paraId="52DBEF29" w14:textId="0E2CAD6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080" w:type="dxa"/>
            <w:tcBorders>
              <w:top w:val="nil"/>
              <w:left w:val="nil"/>
              <w:bottom w:val="single" w:sz="4" w:space="0" w:color="000000"/>
              <w:right w:val="single" w:sz="4" w:space="0" w:color="000000"/>
            </w:tcBorders>
            <w:shd w:val="clear" w:color="auto" w:fill="auto"/>
            <w:vAlign w:val="center"/>
          </w:tcPr>
          <w:p w:rsidR="003D57F5" w:rsidRPr="003D57F5" w:rsidP="00C67B21" w14:paraId="5A72D8ED" w14:textId="6C79C1C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30 minutes</w:t>
            </w:r>
          </w:p>
        </w:tc>
        <w:tc>
          <w:tcPr>
            <w:tcW w:w="1342" w:type="dxa"/>
            <w:tcBorders>
              <w:top w:val="nil"/>
              <w:left w:val="nil"/>
              <w:bottom w:val="single" w:sz="4" w:space="0" w:color="000000"/>
              <w:right w:val="single" w:sz="4" w:space="0" w:color="000000"/>
            </w:tcBorders>
            <w:shd w:val="clear" w:color="auto" w:fill="auto"/>
            <w:vAlign w:val="center"/>
          </w:tcPr>
          <w:p w:rsidR="003D57F5" w:rsidRPr="003D57F5" w:rsidP="00C67B21" w14:paraId="02F8DE8F" w14:textId="67A7AFF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63" w:type="dxa"/>
            <w:tcBorders>
              <w:top w:val="nil"/>
              <w:left w:val="nil"/>
              <w:bottom w:val="single" w:sz="4" w:space="0" w:color="000000"/>
              <w:right w:val="single" w:sz="4" w:space="0" w:color="000000"/>
            </w:tcBorders>
            <w:shd w:val="clear" w:color="auto" w:fill="auto"/>
            <w:vAlign w:val="center"/>
          </w:tcPr>
          <w:p w:rsidR="003D57F5" w:rsidRPr="003D57F5" w:rsidP="009379B7" w14:paraId="207EBAFD" w14:textId="57F1D0F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D350DC">
              <w:rPr>
                <w:rFonts w:eastAsia="Calibri" w:asciiTheme="minorHAnsi" w:hAnsiTheme="minorHAnsi" w:cstheme="minorHAnsi"/>
                <w:color w:val="000000"/>
                <w:sz w:val="18"/>
                <w:szCs w:val="18"/>
              </w:rPr>
              <w:t>54.</w:t>
            </w:r>
            <w:r w:rsidR="009379B7">
              <w:rPr>
                <w:rFonts w:eastAsia="Calibri" w:asciiTheme="minorHAnsi" w:hAnsiTheme="minorHAnsi" w:cstheme="minorHAnsi"/>
                <w:color w:val="000000"/>
                <w:sz w:val="18"/>
                <w:szCs w:val="18"/>
              </w:rPr>
              <w:t>28</w:t>
            </w:r>
          </w:p>
        </w:tc>
        <w:tc>
          <w:tcPr>
            <w:tcW w:w="1229" w:type="dxa"/>
            <w:tcBorders>
              <w:top w:val="nil"/>
              <w:left w:val="nil"/>
              <w:bottom w:val="single" w:sz="4" w:space="0" w:color="000000"/>
              <w:right w:val="single" w:sz="8" w:space="0" w:color="000000"/>
            </w:tcBorders>
            <w:shd w:val="clear" w:color="auto" w:fill="auto"/>
            <w:vAlign w:val="center"/>
          </w:tcPr>
          <w:p w:rsidR="003D57F5" w:rsidRPr="003D57F5" w:rsidP="00C67B21" w14:paraId="38D847BE" w14:textId="51685C4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54</w:t>
            </w:r>
          </w:p>
        </w:tc>
      </w:tr>
      <w:tr w14:paraId="179DD942" w14:textId="77777777" w:rsidTr="00E16DB4">
        <w:tblPrEx>
          <w:tblW w:w="12881" w:type="dxa"/>
          <w:jc w:val="center"/>
          <w:tblLayout w:type="fixed"/>
          <w:tblLook w:val="0400"/>
        </w:tblPrEx>
        <w:trPr>
          <w:trHeight w:val="298"/>
          <w:jc w:val="center"/>
        </w:trPr>
        <w:tc>
          <w:tcPr>
            <w:tcW w:w="2510" w:type="dxa"/>
            <w:tcBorders>
              <w:top w:val="nil"/>
              <w:left w:val="single" w:sz="8" w:space="0" w:color="000000"/>
              <w:bottom w:val="single" w:sz="8" w:space="0" w:color="000000"/>
              <w:right w:val="single" w:sz="4" w:space="0" w:color="000000"/>
            </w:tcBorders>
            <w:shd w:val="clear" w:color="auto" w:fill="auto"/>
            <w:vAlign w:val="center"/>
          </w:tcPr>
          <w:p w:rsidR="003D57F5" w:rsidRPr="003D57F5" w:rsidP="003D57F5" w14:paraId="5F41BF5D" w14:textId="685982E9">
            <w:pPr>
              <w:widowControl/>
              <w:rPr>
                <w:rFonts w:eastAsia="Calibri" w:asciiTheme="minorHAnsi" w:hAnsiTheme="minorHAnsi" w:cstheme="minorHAnsi"/>
                <w:color w:val="000000"/>
                <w:sz w:val="18"/>
                <w:szCs w:val="18"/>
              </w:rPr>
            </w:pPr>
            <w:r w:rsidRPr="003D57F5">
              <w:rPr>
                <w:rFonts w:asciiTheme="minorHAnsi" w:hAnsiTheme="minorHAnsi" w:cstheme="minorHAnsi"/>
                <w:sz w:val="18"/>
                <w:szCs w:val="18"/>
              </w:rPr>
              <w:t>Ninety</w:t>
            </w:r>
            <w:r w:rsidR="00416FA7">
              <w:rPr>
                <w:rFonts w:asciiTheme="minorHAnsi" w:hAnsiTheme="minorHAnsi" w:cstheme="minorHAnsi"/>
                <w:sz w:val="18"/>
                <w:szCs w:val="18"/>
              </w:rPr>
              <w:t>-</w:t>
            </w:r>
            <w:r w:rsidRPr="003D57F5">
              <w:rPr>
                <w:rFonts w:asciiTheme="minorHAnsi" w:hAnsiTheme="minorHAnsi" w:cstheme="minorHAnsi"/>
                <w:sz w:val="18"/>
                <w:szCs w:val="18"/>
              </w:rPr>
              <w:t>Day Transfer Window for Non-Exempt AFA LLP holders</w:t>
            </w:r>
          </w:p>
        </w:tc>
        <w:tc>
          <w:tcPr>
            <w:tcW w:w="1800" w:type="dxa"/>
            <w:tcBorders>
              <w:top w:val="nil"/>
              <w:left w:val="nil"/>
              <w:bottom w:val="single" w:sz="8" w:space="0" w:color="000000"/>
              <w:right w:val="single" w:sz="4" w:space="0" w:color="000000"/>
            </w:tcBorders>
            <w:shd w:val="clear" w:color="auto" w:fill="auto"/>
            <w:vAlign w:val="center"/>
          </w:tcPr>
          <w:p w:rsidR="003D57F5" w:rsidRPr="003D57F5" w:rsidP="003D57F5" w14:paraId="78574EDD" w14:textId="15315E8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QS holder</w:t>
            </w:r>
          </w:p>
        </w:tc>
        <w:tc>
          <w:tcPr>
            <w:tcW w:w="1174" w:type="dxa"/>
            <w:tcBorders>
              <w:top w:val="nil"/>
              <w:left w:val="nil"/>
              <w:bottom w:val="single" w:sz="8" w:space="0" w:color="000000"/>
              <w:right w:val="single" w:sz="4" w:space="0" w:color="000000"/>
            </w:tcBorders>
            <w:shd w:val="clear" w:color="auto" w:fill="auto"/>
            <w:vAlign w:val="center"/>
          </w:tcPr>
          <w:p w:rsidR="003D57F5" w:rsidRPr="003D57F5" w:rsidP="00C67B21" w14:paraId="48796CB2" w14:textId="0EAA3D8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31</w:t>
            </w:r>
            <w:r w:rsidRPr="007512EB" w:rsidR="007512EB">
              <w:rPr>
                <w:rFonts w:eastAsia="Calibri" w:asciiTheme="minorHAnsi" w:hAnsiTheme="minorHAnsi" w:cstheme="minorHAnsi"/>
                <w:color w:val="000000"/>
                <w:sz w:val="18"/>
                <w:szCs w:val="18"/>
                <w:vertAlign w:val="superscript"/>
              </w:rPr>
              <w:t>2</w:t>
            </w:r>
          </w:p>
        </w:tc>
        <w:tc>
          <w:tcPr>
            <w:tcW w:w="1295" w:type="dxa"/>
            <w:tcBorders>
              <w:top w:val="nil"/>
              <w:left w:val="nil"/>
              <w:bottom w:val="single" w:sz="8" w:space="0" w:color="000000"/>
              <w:right w:val="single" w:sz="4" w:space="0" w:color="000000"/>
            </w:tcBorders>
            <w:shd w:val="clear" w:color="auto" w:fill="auto"/>
            <w:vAlign w:val="center"/>
          </w:tcPr>
          <w:p w:rsidR="003D57F5" w:rsidRPr="003D57F5" w:rsidP="00C67B21" w14:paraId="754BBE9B" w14:textId="25A3EF2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88" w:type="dxa"/>
            <w:tcBorders>
              <w:top w:val="nil"/>
              <w:left w:val="nil"/>
              <w:bottom w:val="single" w:sz="8" w:space="0" w:color="000000"/>
              <w:right w:val="single" w:sz="4" w:space="0" w:color="000000"/>
            </w:tcBorders>
            <w:shd w:val="clear" w:color="auto" w:fill="auto"/>
            <w:vAlign w:val="center"/>
          </w:tcPr>
          <w:p w:rsidR="003D57F5" w:rsidRPr="003D57F5" w:rsidP="00C67B21" w14:paraId="75DC2742" w14:textId="553535C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31</w:t>
            </w:r>
          </w:p>
        </w:tc>
        <w:tc>
          <w:tcPr>
            <w:tcW w:w="1080" w:type="dxa"/>
            <w:tcBorders>
              <w:top w:val="nil"/>
              <w:left w:val="nil"/>
              <w:bottom w:val="single" w:sz="8" w:space="0" w:color="000000"/>
              <w:right w:val="single" w:sz="4" w:space="0" w:color="000000"/>
            </w:tcBorders>
            <w:shd w:val="clear" w:color="auto" w:fill="auto"/>
            <w:vAlign w:val="center"/>
          </w:tcPr>
          <w:p w:rsidR="003D57F5" w:rsidRPr="003D57F5" w:rsidP="00C67B21" w14:paraId="19DAFEFF" w14:textId="7EE5330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 hours</w:t>
            </w:r>
          </w:p>
        </w:tc>
        <w:tc>
          <w:tcPr>
            <w:tcW w:w="1342" w:type="dxa"/>
            <w:tcBorders>
              <w:top w:val="nil"/>
              <w:left w:val="nil"/>
              <w:bottom w:val="single" w:sz="8" w:space="0" w:color="000000"/>
              <w:right w:val="single" w:sz="4" w:space="0" w:color="000000"/>
            </w:tcBorders>
            <w:shd w:val="clear" w:color="auto" w:fill="auto"/>
            <w:vAlign w:val="center"/>
          </w:tcPr>
          <w:p w:rsidR="003D57F5" w:rsidRPr="003D57F5" w:rsidP="00C67B21" w14:paraId="01754565" w14:textId="083DDC9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62</w:t>
            </w:r>
          </w:p>
        </w:tc>
        <w:tc>
          <w:tcPr>
            <w:tcW w:w="1263" w:type="dxa"/>
            <w:tcBorders>
              <w:top w:val="nil"/>
              <w:left w:val="nil"/>
              <w:bottom w:val="single" w:sz="8" w:space="0" w:color="000000"/>
              <w:right w:val="single" w:sz="4" w:space="0" w:color="000000"/>
            </w:tcBorders>
            <w:shd w:val="clear" w:color="auto" w:fill="auto"/>
            <w:vAlign w:val="center"/>
          </w:tcPr>
          <w:p w:rsidR="003D57F5" w:rsidRPr="003D57F5" w:rsidP="00C67B21" w14:paraId="0AF3F57B" w14:textId="5950C8D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22.52</w:t>
            </w:r>
          </w:p>
        </w:tc>
        <w:tc>
          <w:tcPr>
            <w:tcW w:w="1229" w:type="dxa"/>
            <w:tcBorders>
              <w:top w:val="nil"/>
              <w:left w:val="nil"/>
              <w:bottom w:val="single" w:sz="8" w:space="0" w:color="000000"/>
              <w:right w:val="single" w:sz="8" w:space="0" w:color="000000"/>
            </w:tcBorders>
            <w:shd w:val="clear" w:color="auto" w:fill="auto"/>
            <w:vAlign w:val="center"/>
          </w:tcPr>
          <w:p w:rsidR="003D57F5" w:rsidRPr="003D57F5" w:rsidP="00C67B21" w14:paraId="4C1D3598" w14:textId="7EA1C17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1,396</w:t>
            </w:r>
          </w:p>
        </w:tc>
      </w:tr>
      <w:tr w14:paraId="5173E25B" w14:textId="77777777" w:rsidTr="00E16DB4">
        <w:tblPrEx>
          <w:tblW w:w="12881" w:type="dxa"/>
          <w:jc w:val="center"/>
          <w:tblLayout w:type="fixed"/>
          <w:tblLook w:val="0400"/>
        </w:tblPrEx>
        <w:trPr>
          <w:trHeight w:val="298"/>
          <w:jc w:val="center"/>
        </w:trPr>
        <w:tc>
          <w:tcPr>
            <w:tcW w:w="2510" w:type="dxa"/>
            <w:tcBorders>
              <w:top w:val="nil"/>
              <w:left w:val="single" w:sz="8" w:space="0" w:color="000000"/>
              <w:bottom w:val="single" w:sz="8" w:space="0" w:color="000000"/>
              <w:right w:val="single" w:sz="4" w:space="0" w:color="000000"/>
            </w:tcBorders>
            <w:shd w:val="clear" w:color="auto" w:fill="auto"/>
            <w:vAlign w:val="center"/>
          </w:tcPr>
          <w:p w:rsidR="003D57F5" w:rsidRPr="003D57F5" w:rsidP="003D57F5" w14:paraId="41A19749" w14:textId="3EA5F37C">
            <w:pPr>
              <w:widowControl/>
              <w:rPr>
                <w:rFonts w:eastAsia="Calibri" w:asciiTheme="minorHAnsi" w:hAnsiTheme="minorHAnsi" w:cstheme="minorHAnsi"/>
                <w:color w:val="000000"/>
                <w:sz w:val="18"/>
                <w:szCs w:val="18"/>
              </w:rPr>
            </w:pPr>
            <w:r w:rsidRPr="003D57F5">
              <w:rPr>
                <w:rFonts w:asciiTheme="minorHAnsi" w:hAnsiTheme="minorHAnsi" w:cstheme="minorHAnsi"/>
                <w:sz w:val="18"/>
                <w:szCs w:val="18"/>
              </w:rPr>
              <w:t>Appeals</w:t>
            </w:r>
          </w:p>
        </w:tc>
        <w:tc>
          <w:tcPr>
            <w:tcW w:w="1800" w:type="dxa"/>
            <w:tcBorders>
              <w:top w:val="nil"/>
              <w:left w:val="nil"/>
              <w:bottom w:val="single" w:sz="8" w:space="0" w:color="000000"/>
              <w:right w:val="single" w:sz="4" w:space="0" w:color="000000"/>
            </w:tcBorders>
            <w:shd w:val="clear" w:color="auto" w:fill="auto"/>
            <w:vAlign w:val="center"/>
          </w:tcPr>
          <w:p w:rsidR="003D57F5" w:rsidRPr="003D57F5" w:rsidP="002C0E65" w14:paraId="6F359E3D" w14:textId="3F7F7FA8">
            <w:pPr>
              <w:widowControl/>
              <w:jc w:val="center"/>
              <w:rPr>
                <w:rFonts w:eastAsia="Calibri" w:asciiTheme="minorHAnsi" w:hAnsiTheme="minorHAnsi" w:cstheme="minorHAnsi"/>
                <w:color w:val="000000"/>
                <w:sz w:val="18"/>
                <w:szCs w:val="18"/>
              </w:rPr>
            </w:pPr>
            <w:r w:rsidRPr="002227E7">
              <w:rPr>
                <w:rFonts w:eastAsia="Calibri" w:asciiTheme="minorHAnsi" w:hAnsiTheme="minorHAnsi" w:cstheme="minorHAnsi"/>
                <w:color w:val="000000"/>
                <w:sz w:val="18"/>
                <w:szCs w:val="18"/>
              </w:rPr>
              <w:t xml:space="preserve">LLP </w:t>
            </w:r>
            <w:r w:rsidR="00D03736">
              <w:rPr>
                <w:rFonts w:eastAsia="Calibri" w:asciiTheme="minorHAnsi" w:hAnsiTheme="minorHAnsi" w:cstheme="minorHAnsi"/>
                <w:color w:val="000000"/>
                <w:sz w:val="18"/>
                <w:szCs w:val="18"/>
              </w:rPr>
              <w:t xml:space="preserve">license </w:t>
            </w:r>
            <w:r w:rsidRPr="002227E7">
              <w:rPr>
                <w:rFonts w:eastAsia="Calibri" w:asciiTheme="minorHAnsi" w:hAnsiTheme="minorHAnsi" w:cstheme="minorHAnsi"/>
                <w:color w:val="000000"/>
                <w:sz w:val="18"/>
                <w:szCs w:val="18"/>
              </w:rPr>
              <w:t>owner</w:t>
            </w:r>
            <w:r w:rsidR="002C0E65">
              <w:rPr>
                <w:rFonts w:eastAsia="Calibri" w:asciiTheme="minorHAnsi" w:hAnsiTheme="minorHAnsi" w:cstheme="minorHAnsi"/>
                <w:color w:val="000000"/>
                <w:sz w:val="18"/>
                <w:szCs w:val="18"/>
              </w:rPr>
              <w:t>;</w:t>
            </w:r>
            <w:r w:rsidRPr="002227E7">
              <w:rPr>
                <w:rFonts w:eastAsia="Calibri" w:asciiTheme="minorHAnsi" w:hAnsiTheme="minorHAnsi" w:cstheme="minorHAnsi"/>
                <w:color w:val="000000"/>
                <w:sz w:val="18"/>
                <w:szCs w:val="18"/>
              </w:rPr>
              <w:t xml:space="preserve"> processor representative</w:t>
            </w:r>
          </w:p>
        </w:tc>
        <w:tc>
          <w:tcPr>
            <w:tcW w:w="1174" w:type="dxa"/>
            <w:tcBorders>
              <w:top w:val="nil"/>
              <w:left w:val="nil"/>
              <w:bottom w:val="single" w:sz="8" w:space="0" w:color="000000"/>
              <w:right w:val="single" w:sz="4" w:space="0" w:color="000000"/>
            </w:tcBorders>
            <w:shd w:val="clear" w:color="auto" w:fill="auto"/>
            <w:vAlign w:val="center"/>
          </w:tcPr>
          <w:p w:rsidR="003D57F5" w:rsidRPr="003D57F5" w:rsidP="00C67B21" w14:paraId="77047860" w14:textId="4507F0B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295" w:type="dxa"/>
            <w:tcBorders>
              <w:top w:val="nil"/>
              <w:left w:val="nil"/>
              <w:bottom w:val="single" w:sz="8" w:space="0" w:color="000000"/>
              <w:right w:val="single" w:sz="4" w:space="0" w:color="000000"/>
            </w:tcBorders>
            <w:shd w:val="clear" w:color="auto" w:fill="auto"/>
            <w:vAlign w:val="center"/>
          </w:tcPr>
          <w:p w:rsidR="003D57F5" w:rsidRPr="003D57F5" w:rsidP="00C67B21" w14:paraId="018B0293" w14:textId="3EADD12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88" w:type="dxa"/>
            <w:tcBorders>
              <w:top w:val="nil"/>
              <w:left w:val="nil"/>
              <w:bottom w:val="single" w:sz="8" w:space="0" w:color="000000"/>
              <w:right w:val="single" w:sz="4" w:space="0" w:color="000000"/>
            </w:tcBorders>
            <w:shd w:val="clear" w:color="auto" w:fill="auto"/>
            <w:vAlign w:val="center"/>
          </w:tcPr>
          <w:p w:rsidR="003D57F5" w:rsidRPr="003D57F5" w:rsidP="00C67B21" w14:paraId="4CEE7314" w14:textId="7CC839F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080" w:type="dxa"/>
            <w:tcBorders>
              <w:top w:val="nil"/>
              <w:left w:val="nil"/>
              <w:bottom w:val="single" w:sz="8" w:space="0" w:color="000000"/>
              <w:right w:val="single" w:sz="4" w:space="0" w:color="000000"/>
            </w:tcBorders>
            <w:shd w:val="clear" w:color="auto" w:fill="auto"/>
            <w:vAlign w:val="center"/>
          </w:tcPr>
          <w:p w:rsidR="003D57F5" w:rsidRPr="003D57F5" w:rsidP="00C67B21" w14:paraId="72C1B083" w14:textId="41290C2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 hours</w:t>
            </w:r>
          </w:p>
        </w:tc>
        <w:tc>
          <w:tcPr>
            <w:tcW w:w="1342" w:type="dxa"/>
            <w:tcBorders>
              <w:top w:val="nil"/>
              <w:left w:val="nil"/>
              <w:bottom w:val="single" w:sz="8" w:space="0" w:color="000000"/>
              <w:right w:val="single" w:sz="4" w:space="0" w:color="000000"/>
            </w:tcBorders>
            <w:shd w:val="clear" w:color="auto" w:fill="auto"/>
            <w:vAlign w:val="center"/>
          </w:tcPr>
          <w:p w:rsidR="003D57F5" w:rsidRPr="003D57F5" w:rsidP="00C67B21" w14:paraId="0B9D8CA0" w14:textId="4CC2083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20</w:t>
            </w:r>
          </w:p>
        </w:tc>
        <w:tc>
          <w:tcPr>
            <w:tcW w:w="1263" w:type="dxa"/>
            <w:tcBorders>
              <w:top w:val="nil"/>
              <w:left w:val="nil"/>
              <w:bottom w:val="single" w:sz="8" w:space="0" w:color="000000"/>
              <w:right w:val="single" w:sz="4" w:space="0" w:color="000000"/>
            </w:tcBorders>
            <w:shd w:val="clear" w:color="auto" w:fill="auto"/>
            <w:vAlign w:val="center"/>
          </w:tcPr>
          <w:p w:rsidR="003D57F5" w:rsidRPr="003D57F5" w:rsidP="00C67B21" w14:paraId="3628937E" w14:textId="68981CF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22.52</w:t>
            </w:r>
          </w:p>
        </w:tc>
        <w:tc>
          <w:tcPr>
            <w:tcW w:w="1229" w:type="dxa"/>
            <w:tcBorders>
              <w:top w:val="nil"/>
              <w:left w:val="nil"/>
              <w:bottom w:val="single" w:sz="8" w:space="0" w:color="000000"/>
              <w:right w:val="single" w:sz="8" w:space="0" w:color="000000"/>
            </w:tcBorders>
            <w:shd w:val="clear" w:color="auto" w:fill="auto"/>
            <w:vAlign w:val="center"/>
          </w:tcPr>
          <w:p w:rsidR="003D57F5" w:rsidRPr="003D57F5" w:rsidP="00C67B21" w14:paraId="4DAF198C" w14:textId="387DD1C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450</w:t>
            </w:r>
          </w:p>
        </w:tc>
      </w:tr>
      <w:tr w14:paraId="0BE4DF67" w14:textId="77777777" w:rsidTr="00E16DB4">
        <w:tblPrEx>
          <w:tblW w:w="12881" w:type="dxa"/>
          <w:jc w:val="center"/>
          <w:tblLayout w:type="fixed"/>
          <w:tblLook w:val="0400"/>
        </w:tblPrEx>
        <w:trPr>
          <w:trHeight w:val="582"/>
          <w:jc w:val="center"/>
        </w:trPr>
        <w:tc>
          <w:tcPr>
            <w:tcW w:w="2510" w:type="dxa"/>
            <w:tcBorders>
              <w:top w:val="nil"/>
              <w:left w:val="single" w:sz="8" w:space="0" w:color="000000"/>
              <w:bottom w:val="single" w:sz="8" w:space="0" w:color="000000"/>
              <w:right w:val="single" w:sz="8" w:space="0" w:color="000000"/>
            </w:tcBorders>
            <w:shd w:val="clear" w:color="auto" w:fill="DDEBF7"/>
            <w:vAlign w:val="center"/>
          </w:tcPr>
          <w:p w:rsidR="002227E7" w:rsidP="002227E7" w14:paraId="1DA46A48" w14:textId="202E6AAA">
            <w:pPr>
              <w:widowControl/>
              <w:rPr>
                <w:rFonts w:ascii="Calibri" w:eastAsia="Calibri" w:hAnsi="Calibri" w:cs="Calibri"/>
                <w:b/>
                <w:color w:val="000000"/>
              </w:rPr>
            </w:pPr>
            <w:r>
              <w:rPr>
                <w:rFonts w:ascii="Calibri" w:eastAsia="Calibri" w:hAnsi="Calibri" w:cs="Calibri"/>
                <w:b/>
                <w:color w:val="000000"/>
              </w:rPr>
              <w:t>Totals</w:t>
            </w:r>
          </w:p>
        </w:tc>
        <w:tc>
          <w:tcPr>
            <w:tcW w:w="1800" w:type="dxa"/>
            <w:tcBorders>
              <w:top w:val="nil"/>
              <w:left w:val="nil"/>
              <w:bottom w:val="single" w:sz="8" w:space="0" w:color="000000"/>
              <w:right w:val="single" w:sz="8" w:space="0" w:color="000000"/>
            </w:tcBorders>
            <w:shd w:val="clear" w:color="auto" w:fill="000000"/>
            <w:vAlign w:val="center"/>
          </w:tcPr>
          <w:p w:rsidR="002227E7" w:rsidP="002227E7" w14:paraId="478E1390" w14:textId="2FBEC9C2">
            <w:pPr>
              <w:widowControl/>
              <w:rPr>
                <w:rFonts w:ascii="Calibri" w:eastAsia="Calibri" w:hAnsi="Calibri" w:cs="Calibri"/>
                <w:b/>
                <w:color w:val="000000"/>
              </w:rPr>
            </w:pPr>
            <w:r>
              <w:rPr>
                <w:rFonts w:ascii="Calibri" w:eastAsia="Calibri" w:hAnsi="Calibri" w:cs="Calibri"/>
                <w:b/>
                <w:color w:val="000000"/>
              </w:rPr>
              <w:t> </w:t>
            </w:r>
          </w:p>
        </w:tc>
        <w:tc>
          <w:tcPr>
            <w:tcW w:w="1174" w:type="dxa"/>
            <w:tcBorders>
              <w:top w:val="nil"/>
              <w:left w:val="nil"/>
              <w:bottom w:val="single" w:sz="8" w:space="0" w:color="000000"/>
              <w:right w:val="single" w:sz="8" w:space="0" w:color="000000"/>
            </w:tcBorders>
            <w:shd w:val="clear" w:color="auto" w:fill="000000"/>
            <w:vAlign w:val="center"/>
          </w:tcPr>
          <w:p w:rsidR="002227E7" w:rsidP="00C67B21" w14:paraId="30915920" w14:textId="5EFBEE16">
            <w:pPr>
              <w:widowControl/>
              <w:jc w:val="center"/>
              <w:rPr>
                <w:rFonts w:ascii="Calibri" w:eastAsia="Calibri" w:hAnsi="Calibri" w:cs="Calibri"/>
                <w:b/>
                <w:color w:val="000000"/>
              </w:rPr>
            </w:pPr>
          </w:p>
        </w:tc>
        <w:tc>
          <w:tcPr>
            <w:tcW w:w="1295" w:type="dxa"/>
            <w:tcBorders>
              <w:top w:val="nil"/>
              <w:left w:val="nil"/>
              <w:bottom w:val="single" w:sz="8" w:space="0" w:color="000000"/>
              <w:right w:val="single" w:sz="8" w:space="0" w:color="000000"/>
            </w:tcBorders>
            <w:shd w:val="clear" w:color="auto" w:fill="000000"/>
            <w:vAlign w:val="center"/>
          </w:tcPr>
          <w:p w:rsidR="002227E7" w:rsidP="00C67B21" w14:paraId="5314E3FC" w14:textId="01E9A3ED">
            <w:pPr>
              <w:widowControl/>
              <w:jc w:val="center"/>
              <w:rPr>
                <w:rFonts w:ascii="Calibri" w:eastAsia="Calibri" w:hAnsi="Calibri" w:cs="Calibri"/>
                <w:b/>
                <w:color w:val="000000"/>
              </w:rPr>
            </w:pPr>
          </w:p>
        </w:tc>
        <w:tc>
          <w:tcPr>
            <w:tcW w:w="1188" w:type="dxa"/>
            <w:tcBorders>
              <w:top w:val="nil"/>
              <w:left w:val="nil"/>
              <w:bottom w:val="single" w:sz="8" w:space="0" w:color="000000"/>
              <w:right w:val="single" w:sz="8" w:space="0" w:color="000000"/>
            </w:tcBorders>
            <w:shd w:val="clear" w:color="auto" w:fill="DDEBF7"/>
            <w:vAlign w:val="center"/>
          </w:tcPr>
          <w:p w:rsidR="002227E7" w:rsidP="00C67B21" w14:paraId="637B1FB3" w14:textId="56C2B7D8">
            <w:pPr>
              <w:widowControl/>
              <w:jc w:val="center"/>
              <w:rPr>
                <w:rFonts w:ascii="Calibri" w:eastAsia="Calibri" w:hAnsi="Calibri" w:cs="Calibri"/>
                <w:b/>
                <w:color w:val="000000"/>
              </w:rPr>
            </w:pPr>
            <w:r>
              <w:rPr>
                <w:rFonts w:ascii="Calibri" w:eastAsia="Calibri" w:hAnsi="Calibri" w:cs="Calibri"/>
                <w:b/>
                <w:color w:val="000000"/>
              </w:rPr>
              <w:t>115</w:t>
            </w:r>
          </w:p>
        </w:tc>
        <w:tc>
          <w:tcPr>
            <w:tcW w:w="1080" w:type="dxa"/>
            <w:tcBorders>
              <w:top w:val="nil"/>
              <w:left w:val="nil"/>
              <w:bottom w:val="single" w:sz="8" w:space="0" w:color="000000"/>
              <w:right w:val="single" w:sz="8" w:space="0" w:color="000000"/>
            </w:tcBorders>
            <w:shd w:val="clear" w:color="auto" w:fill="000000"/>
            <w:vAlign w:val="center"/>
          </w:tcPr>
          <w:p w:rsidR="002227E7" w:rsidP="00C67B21" w14:paraId="057BF81D" w14:textId="49F1ACD0">
            <w:pPr>
              <w:widowControl/>
              <w:jc w:val="center"/>
              <w:rPr>
                <w:rFonts w:ascii="Calibri" w:eastAsia="Calibri" w:hAnsi="Calibri" w:cs="Calibri"/>
                <w:b/>
                <w:color w:val="000000"/>
              </w:rPr>
            </w:pPr>
          </w:p>
        </w:tc>
        <w:tc>
          <w:tcPr>
            <w:tcW w:w="1342" w:type="dxa"/>
            <w:tcBorders>
              <w:top w:val="nil"/>
              <w:left w:val="nil"/>
              <w:bottom w:val="single" w:sz="8" w:space="0" w:color="000000"/>
              <w:right w:val="single" w:sz="8" w:space="0" w:color="000000"/>
            </w:tcBorders>
            <w:shd w:val="clear" w:color="auto" w:fill="DDEBF7"/>
            <w:vAlign w:val="center"/>
          </w:tcPr>
          <w:p w:rsidR="002227E7" w:rsidP="00C67B21" w14:paraId="7FEA1B17" w14:textId="086E756B">
            <w:pPr>
              <w:widowControl/>
              <w:jc w:val="center"/>
              <w:rPr>
                <w:rFonts w:ascii="Calibri" w:eastAsia="Calibri" w:hAnsi="Calibri" w:cs="Calibri"/>
                <w:b/>
                <w:color w:val="000000"/>
              </w:rPr>
            </w:pPr>
            <w:r>
              <w:rPr>
                <w:rFonts w:ascii="Calibri" w:eastAsia="Calibri" w:hAnsi="Calibri" w:cs="Calibri"/>
                <w:b/>
                <w:color w:val="000000"/>
              </w:rPr>
              <w:t>182</w:t>
            </w:r>
          </w:p>
        </w:tc>
        <w:tc>
          <w:tcPr>
            <w:tcW w:w="1263" w:type="dxa"/>
            <w:tcBorders>
              <w:top w:val="nil"/>
              <w:left w:val="nil"/>
              <w:bottom w:val="single" w:sz="8" w:space="0" w:color="000000"/>
              <w:right w:val="single" w:sz="8" w:space="0" w:color="000000"/>
            </w:tcBorders>
            <w:shd w:val="clear" w:color="auto" w:fill="000000"/>
            <w:vAlign w:val="center"/>
          </w:tcPr>
          <w:p w:rsidR="002227E7" w:rsidP="00C67B21" w14:paraId="531E4827" w14:textId="1731421D">
            <w:pPr>
              <w:widowControl/>
              <w:jc w:val="center"/>
              <w:rPr>
                <w:rFonts w:ascii="Calibri" w:eastAsia="Calibri" w:hAnsi="Calibri" w:cs="Calibri"/>
                <w:b/>
                <w:color w:val="000000"/>
              </w:rPr>
            </w:pPr>
          </w:p>
        </w:tc>
        <w:tc>
          <w:tcPr>
            <w:tcW w:w="1229" w:type="dxa"/>
            <w:tcBorders>
              <w:top w:val="nil"/>
              <w:left w:val="nil"/>
              <w:bottom w:val="single" w:sz="8" w:space="0" w:color="000000"/>
              <w:right w:val="single" w:sz="8" w:space="0" w:color="000000"/>
            </w:tcBorders>
            <w:shd w:val="clear" w:color="auto" w:fill="DDEBF7"/>
            <w:vAlign w:val="center"/>
          </w:tcPr>
          <w:p w:rsidR="002227E7" w:rsidP="009379B7" w14:paraId="4BC2D151" w14:textId="6E5D3D3C">
            <w:pPr>
              <w:widowControl/>
              <w:jc w:val="center"/>
              <w:rPr>
                <w:rFonts w:ascii="Calibri" w:eastAsia="Calibri" w:hAnsi="Calibri" w:cs="Calibri"/>
                <w:b/>
                <w:color w:val="000000"/>
              </w:rPr>
            </w:pPr>
            <w:r>
              <w:rPr>
                <w:rFonts w:ascii="Calibri" w:eastAsia="Calibri" w:hAnsi="Calibri" w:cs="Calibri"/>
                <w:b/>
                <w:color w:val="000000"/>
              </w:rPr>
              <w:t>$</w:t>
            </w:r>
            <w:r w:rsidR="002E1BF5">
              <w:rPr>
                <w:rFonts w:ascii="Calibri" w:eastAsia="Calibri" w:hAnsi="Calibri" w:cs="Calibri"/>
                <w:b/>
                <w:color w:val="000000"/>
              </w:rPr>
              <w:t>5,</w:t>
            </w:r>
            <w:r w:rsidR="009379B7">
              <w:rPr>
                <w:rFonts w:ascii="Calibri" w:eastAsia="Calibri" w:hAnsi="Calibri" w:cs="Calibri"/>
                <w:b/>
                <w:color w:val="000000"/>
              </w:rPr>
              <w:t>441</w:t>
            </w:r>
          </w:p>
        </w:tc>
      </w:tr>
    </w:tbl>
    <w:p w:rsidR="00C0246F" w:rsidRPr="0014200F" w:rsidP="00536319" w14:paraId="4162DBD1" w14:textId="69FC6FB4">
      <w:pPr>
        <w:spacing w:before="60" w:after="60"/>
        <w:rPr>
          <w:rFonts w:asciiTheme="minorHAnsi" w:hAnsiTheme="minorHAnsi" w:cstheme="minorHAnsi"/>
          <w:sz w:val="20"/>
          <w:szCs w:val="20"/>
        </w:rPr>
      </w:pPr>
      <w:r w:rsidRPr="0014200F">
        <w:rPr>
          <w:rFonts w:asciiTheme="minorHAnsi" w:hAnsiTheme="minorHAnsi" w:cstheme="minorHAnsi"/>
          <w:sz w:val="20"/>
          <w:szCs w:val="20"/>
          <w:vertAlign w:val="superscript"/>
        </w:rPr>
        <w:t>1</w:t>
      </w:r>
      <w:r w:rsidRPr="0014200F">
        <w:rPr>
          <w:rFonts w:asciiTheme="minorHAnsi" w:hAnsiTheme="minorHAnsi" w:cstheme="minorHAnsi"/>
          <w:sz w:val="20"/>
          <w:szCs w:val="20"/>
        </w:rPr>
        <w:t xml:space="preserve"> NMFS estimates 109 applications </w:t>
      </w:r>
      <w:r w:rsidR="00A070F3">
        <w:rPr>
          <w:rFonts w:asciiTheme="minorHAnsi" w:hAnsiTheme="minorHAnsi" w:cstheme="minorHAnsi"/>
          <w:sz w:val="20"/>
          <w:szCs w:val="20"/>
        </w:rPr>
        <w:t>will</w:t>
      </w:r>
      <w:r w:rsidRPr="0014200F">
        <w:rPr>
          <w:rFonts w:asciiTheme="minorHAnsi" w:hAnsiTheme="minorHAnsi" w:cstheme="minorHAnsi"/>
          <w:sz w:val="20"/>
          <w:szCs w:val="20"/>
        </w:rPr>
        <w:t xml:space="preserve"> be submitted in the first year of the PCTC Program. 109 ÷ 3 = 36.33 respondents and responses annually. </w:t>
      </w:r>
    </w:p>
    <w:p w:rsidR="00C0246F" w:rsidRPr="0014200F" w:rsidP="00536319" w14:paraId="6A2487CC" w14:textId="3B8336BD">
      <w:pPr>
        <w:spacing w:before="60" w:after="60"/>
        <w:rPr>
          <w:rFonts w:asciiTheme="minorHAnsi" w:hAnsiTheme="minorHAnsi" w:cstheme="minorHAnsi"/>
          <w:sz w:val="20"/>
          <w:szCs w:val="20"/>
        </w:rPr>
      </w:pPr>
      <w:r w:rsidRPr="0014200F">
        <w:rPr>
          <w:rFonts w:asciiTheme="minorHAnsi" w:hAnsiTheme="minorHAnsi" w:cstheme="minorHAnsi"/>
          <w:sz w:val="20"/>
          <w:szCs w:val="20"/>
          <w:vertAlign w:val="superscript"/>
        </w:rPr>
        <w:t>2</w:t>
      </w:r>
      <w:r w:rsidRPr="0014200F">
        <w:rPr>
          <w:rFonts w:asciiTheme="minorHAnsi" w:hAnsiTheme="minorHAnsi" w:cstheme="minorHAnsi"/>
          <w:sz w:val="20"/>
          <w:szCs w:val="20"/>
        </w:rPr>
        <w:t xml:space="preserve"> NMFS estimates 93 ninety-day transfer letters will be submitted </w:t>
      </w:r>
      <w:r w:rsidR="00A070F3">
        <w:rPr>
          <w:rFonts w:asciiTheme="minorHAnsi" w:hAnsiTheme="minorHAnsi" w:cstheme="minorHAnsi"/>
          <w:sz w:val="20"/>
          <w:szCs w:val="20"/>
        </w:rPr>
        <w:t>in the first year</w:t>
      </w:r>
      <w:r w:rsidRPr="0014200F">
        <w:rPr>
          <w:rFonts w:asciiTheme="minorHAnsi" w:hAnsiTheme="minorHAnsi" w:cstheme="minorHAnsi"/>
          <w:sz w:val="20"/>
          <w:szCs w:val="20"/>
        </w:rPr>
        <w:t xml:space="preserve"> of the PCTC Program. 93 ÷ 3 = </w:t>
      </w:r>
      <w:r w:rsidRPr="0014200F" w:rsidR="00D70BB4">
        <w:rPr>
          <w:rFonts w:asciiTheme="minorHAnsi" w:hAnsiTheme="minorHAnsi" w:cstheme="minorHAnsi"/>
          <w:sz w:val="20"/>
          <w:szCs w:val="20"/>
        </w:rPr>
        <w:t>31 respondents and respondents annually.</w:t>
      </w:r>
    </w:p>
    <w:p w:rsidR="00536319" w:rsidP="00536319" w14:paraId="30AF662C" w14:textId="77777777">
      <w:pPr>
        <w:ind w:hanging="43"/>
        <w:rPr>
          <w:color w:val="0563C1"/>
        </w:rPr>
        <w:sectPr w:rsidSect="00207642">
          <w:pgSz w:w="15840" w:h="12240" w:orient="landscape"/>
          <w:pgMar w:top="1440" w:right="1440" w:bottom="1440" w:left="1440" w:header="0" w:footer="1014" w:gutter="0"/>
          <w:cols w:space="720"/>
          <w:docGrid w:linePitch="326"/>
        </w:sectPr>
      </w:pPr>
    </w:p>
    <w:p w:rsidR="00D54824" w:rsidP="00D4754B" w14:paraId="79DEEFB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8F6D21" w:rsidP="00D4754B" w14:paraId="77327837" w14:textId="77777777">
      <w:pPr>
        <w:pBdr>
          <w:top w:val="nil"/>
          <w:left w:val="nil"/>
          <w:bottom w:val="nil"/>
          <w:right w:val="nil"/>
          <w:between w:val="nil"/>
        </w:pBdr>
        <w:rPr>
          <w:color w:val="000000"/>
        </w:rPr>
      </w:pPr>
    </w:p>
    <w:p w:rsidR="00D54824" w:rsidP="00D4754B" w14:paraId="4574E353" w14:textId="219A0906">
      <w:pPr>
        <w:pBdr>
          <w:top w:val="nil"/>
          <w:left w:val="nil"/>
          <w:bottom w:val="nil"/>
          <w:right w:val="nil"/>
          <w:between w:val="nil"/>
        </w:pBdr>
        <w:rPr>
          <w:color w:val="000000"/>
        </w:rPr>
      </w:pPr>
      <w:r w:rsidRPr="008A480A">
        <w:rPr>
          <w:color w:val="000000"/>
        </w:rPr>
        <w:t xml:space="preserve">Operating </w:t>
      </w:r>
      <w:r w:rsidRPr="008A480A">
        <w:rPr>
          <w:color w:val="000000"/>
        </w:rPr>
        <w:t>costs account for the typical inclusive general office services packages that include expenses for email, fax, copying, mailing, printing, and internet.</w:t>
      </w:r>
    </w:p>
    <w:p w:rsidR="008F6D21" w:rsidRPr="008A480A" w:rsidP="00D4754B" w14:paraId="2D58E434" w14:textId="77777777">
      <w:pPr>
        <w:pBdr>
          <w:top w:val="nil"/>
          <w:left w:val="nil"/>
          <w:bottom w:val="nil"/>
          <w:right w:val="nil"/>
          <w:between w:val="nil"/>
        </w:pBdr>
        <w:rPr>
          <w:color w:val="000000"/>
        </w:rPr>
      </w:pPr>
    </w:p>
    <w:tbl>
      <w:tblPr>
        <w:tblStyle w:val="5"/>
        <w:tblW w:w="13087" w:type="dxa"/>
        <w:jc w:val="center"/>
        <w:tblLayout w:type="fixed"/>
        <w:tblLook w:val="0400"/>
      </w:tblPr>
      <w:tblGrid>
        <w:gridCol w:w="3556"/>
        <w:gridCol w:w="1934"/>
        <w:gridCol w:w="1752"/>
        <w:gridCol w:w="1787"/>
        <w:gridCol w:w="2110"/>
        <w:gridCol w:w="1948"/>
      </w:tblGrid>
      <w:tr w14:paraId="5CDAA9E1" w14:textId="77777777" w:rsidTr="00E87791">
        <w:tblPrEx>
          <w:tblW w:w="13087" w:type="dxa"/>
          <w:jc w:val="center"/>
          <w:tblLayout w:type="fixed"/>
          <w:tblLook w:val="0400"/>
        </w:tblPrEx>
        <w:trPr>
          <w:trHeight w:val="909"/>
          <w:jc w:val="center"/>
        </w:trPr>
        <w:tc>
          <w:tcPr>
            <w:tcW w:w="355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D54824" w:rsidRPr="00D83EBA" w:rsidP="00D4754B" w14:paraId="3041B5C1" w14:textId="77777777">
            <w:pPr>
              <w:widowControl/>
              <w:jc w:val="center"/>
              <w:rPr>
                <w:rFonts w:ascii="Calibri" w:eastAsia="Calibri" w:hAnsi="Calibri" w:cs="Calibri"/>
                <w:b/>
                <w:color w:val="000000"/>
                <w:sz w:val="18"/>
                <w:szCs w:val="18"/>
              </w:rPr>
            </w:pPr>
            <w:r w:rsidRPr="00D83EBA">
              <w:rPr>
                <w:rFonts w:ascii="Calibri" w:eastAsia="Calibri" w:hAnsi="Calibri" w:cs="Calibri"/>
                <w:b/>
                <w:color w:val="000000"/>
                <w:sz w:val="18"/>
                <w:szCs w:val="18"/>
              </w:rPr>
              <w:t>Information Collection</w:t>
            </w:r>
          </w:p>
        </w:tc>
        <w:tc>
          <w:tcPr>
            <w:tcW w:w="1934" w:type="dxa"/>
            <w:tcBorders>
              <w:top w:val="single" w:sz="8" w:space="0" w:color="000000"/>
              <w:left w:val="nil"/>
              <w:bottom w:val="single" w:sz="8" w:space="0" w:color="000000"/>
              <w:right w:val="single" w:sz="8" w:space="0" w:color="000000"/>
            </w:tcBorders>
            <w:shd w:val="clear" w:color="auto" w:fill="BDD7EE"/>
            <w:vAlign w:val="center"/>
          </w:tcPr>
          <w:p w:rsidR="00D54824" w:rsidRPr="00D83EBA" w:rsidP="00D4754B" w14:paraId="63E67558" w14:textId="77777777">
            <w:pPr>
              <w:widowControl/>
              <w:jc w:val="center"/>
              <w:rPr>
                <w:rFonts w:ascii="Calibri" w:eastAsia="Calibri" w:hAnsi="Calibri" w:cs="Calibri"/>
                <w:b/>
                <w:color w:val="000000"/>
                <w:sz w:val="18"/>
                <w:szCs w:val="18"/>
              </w:rPr>
            </w:pPr>
            <w:r w:rsidRPr="00D83EBA">
              <w:rPr>
                <w:rFonts w:ascii="Calibri" w:eastAsia="Calibri" w:hAnsi="Calibri" w:cs="Calibri"/>
                <w:b/>
                <w:color w:val="000000"/>
                <w:sz w:val="18"/>
                <w:szCs w:val="18"/>
              </w:rPr>
              <w:t># of Respondents/year</w:t>
            </w:r>
            <w:r w:rsidRPr="00D83EBA">
              <w:rPr>
                <w:rFonts w:ascii="Calibri" w:eastAsia="Calibri" w:hAnsi="Calibri" w:cs="Calibri"/>
                <w:b/>
                <w:color w:val="000000"/>
                <w:sz w:val="18"/>
                <w:szCs w:val="18"/>
              </w:rPr>
              <w:br/>
              <w:t>(a)</w:t>
            </w:r>
          </w:p>
        </w:tc>
        <w:tc>
          <w:tcPr>
            <w:tcW w:w="1752" w:type="dxa"/>
            <w:tcBorders>
              <w:top w:val="single" w:sz="8" w:space="0" w:color="000000"/>
              <w:left w:val="nil"/>
              <w:bottom w:val="single" w:sz="8" w:space="0" w:color="000000"/>
              <w:right w:val="single" w:sz="8" w:space="0" w:color="000000"/>
            </w:tcBorders>
            <w:shd w:val="clear" w:color="auto" w:fill="BDD7EE"/>
            <w:vAlign w:val="center"/>
          </w:tcPr>
          <w:p w:rsidR="00D54824" w:rsidRPr="00D83EBA" w:rsidP="00D4754B" w14:paraId="1B308EB5" w14:textId="77777777">
            <w:pPr>
              <w:widowControl/>
              <w:jc w:val="center"/>
              <w:rPr>
                <w:rFonts w:ascii="Calibri" w:eastAsia="Calibri" w:hAnsi="Calibri" w:cs="Calibri"/>
                <w:b/>
                <w:color w:val="000000"/>
                <w:sz w:val="18"/>
                <w:szCs w:val="18"/>
              </w:rPr>
            </w:pPr>
            <w:r w:rsidRPr="00D83EBA">
              <w:rPr>
                <w:rFonts w:ascii="Calibri" w:eastAsia="Calibri" w:hAnsi="Calibri" w:cs="Calibri"/>
                <w:b/>
                <w:color w:val="000000"/>
                <w:sz w:val="18"/>
                <w:szCs w:val="18"/>
              </w:rPr>
              <w:t>Annual # of Responses / Respondent</w:t>
            </w:r>
            <w:r w:rsidRPr="00D83EBA">
              <w:rPr>
                <w:rFonts w:ascii="Calibri" w:eastAsia="Calibri" w:hAnsi="Calibri" w:cs="Calibri"/>
                <w:b/>
                <w:color w:val="000000"/>
                <w:sz w:val="18"/>
                <w:szCs w:val="18"/>
              </w:rPr>
              <w:br/>
              <w:t>(b)</w:t>
            </w:r>
          </w:p>
        </w:tc>
        <w:tc>
          <w:tcPr>
            <w:tcW w:w="1787" w:type="dxa"/>
            <w:tcBorders>
              <w:top w:val="single" w:sz="8" w:space="0" w:color="000000"/>
              <w:left w:val="nil"/>
              <w:bottom w:val="single" w:sz="8" w:space="0" w:color="000000"/>
              <w:right w:val="single" w:sz="8" w:space="0" w:color="000000"/>
            </w:tcBorders>
            <w:shd w:val="clear" w:color="auto" w:fill="BDD7EE"/>
            <w:vAlign w:val="center"/>
          </w:tcPr>
          <w:p w:rsidR="00D54824" w:rsidRPr="00D83EBA" w:rsidP="00D4754B" w14:paraId="30DF7226" w14:textId="77777777">
            <w:pPr>
              <w:widowControl/>
              <w:jc w:val="center"/>
              <w:rPr>
                <w:rFonts w:ascii="Calibri" w:eastAsia="Calibri" w:hAnsi="Calibri" w:cs="Calibri"/>
                <w:b/>
                <w:color w:val="000000"/>
                <w:sz w:val="18"/>
                <w:szCs w:val="18"/>
              </w:rPr>
            </w:pPr>
            <w:r w:rsidRPr="00D83EBA">
              <w:rPr>
                <w:rFonts w:ascii="Calibri" w:eastAsia="Calibri" w:hAnsi="Calibri" w:cs="Calibri"/>
                <w:b/>
                <w:color w:val="000000"/>
                <w:sz w:val="18"/>
                <w:szCs w:val="18"/>
              </w:rPr>
              <w:t xml:space="preserve"> Total # of Annual Responses</w:t>
            </w:r>
            <w:r w:rsidRPr="00D83EBA">
              <w:rPr>
                <w:rFonts w:ascii="Calibri" w:eastAsia="Calibri" w:hAnsi="Calibri" w:cs="Calibri"/>
                <w:b/>
                <w:color w:val="000000"/>
                <w:sz w:val="18"/>
                <w:szCs w:val="18"/>
              </w:rPr>
              <w:br/>
              <w:t>(c) = (a) x (b)</w:t>
            </w:r>
          </w:p>
        </w:tc>
        <w:tc>
          <w:tcPr>
            <w:tcW w:w="2110" w:type="dxa"/>
            <w:tcBorders>
              <w:top w:val="single" w:sz="8" w:space="0" w:color="000000"/>
              <w:left w:val="nil"/>
              <w:bottom w:val="single" w:sz="8" w:space="0" w:color="000000"/>
              <w:right w:val="single" w:sz="8" w:space="0" w:color="000000"/>
            </w:tcBorders>
            <w:shd w:val="clear" w:color="auto" w:fill="BDD7EE"/>
            <w:vAlign w:val="center"/>
          </w:tcPr>
          <w:p w:rsidR="00D54824" w:rsidRPr="00D83EBA" w:rsidP="00D4754B" w14:paraId="072ADEB8" w14:textId="77777777">
            <w:pPr>
              <w:widowControl/>
              <w:jc w:val="center"/>
              <w:rPr>
                <w:rFonts w:ascii="Calibri" w:eastAsia="Calibri" w:hAnsi="Calibri" w:cs="Calibri"/>
                <w:b/>
                <w:color w:val="000000"/>
                <w:sz w:val="18"/>
                <w:szCs w:val="18"/>
              </w:rPr>
            </w:pPr>
            <w:r w:rsidRPr="00D83EBA">
              <w:rPr>
                <w:rFonts w:ascii="Calibri" w:eastAsia="Calibri" w:hAnsi="Calibri" w:cs="Calibri"/>
                <w:b/>
                <w:color w:val="000000"/>
                <w:sz w:val="18"/>
                <w:szCs w:val="18"/>
              </w:rPr>
              <w:t>Cost Burden / Respondent</w:t>
            </w:r>
            <w:r w:rsidRPr="00D83EBA">
              <w:rPr>
                <w:rFonts w:ascii="Calibri" w:eastAsia="Calibri" w:hAnsi="Calibri" w:cs="Calibri"/>
                <w:b/>
                <w:color w:val="000000"/>
                <w:sz w:val="18"/>
                <w:szCs w:val="18"/>
              </w:rPr>
              <w:br/>
              <w:t>(h)</w:t>
            </w:r>
          </w:p>
        </w:tc>
        <w:tc>
          <w:tcPr>
            <w:tcW w:w="1948" w:type="dxa"/>
            <w:tcBorders>
              <w:top w:val="single" w:sz="8" w:space="0" w:color="000000"/>
              <w:left w:val="nil"/>
              <w:bottom w:val="single" w:sz="8" w:space="0" w:color="000000"/>
              <w:right w:val="single" w:sz="8" w:space="0" w:color="000000"/>
            </w:tcBorders>
            <w:shd w:val="clear" w:color="auto" w:fill="BDD7EE"/>
            <w:vAlign w:val="center"/>
          </w:tcPr>
          <w:p w:rsidR="00D54824" w:rsidRPr="00D83EBA" w:rsidP="00D4754B" w14:paraId="12AEF431" w14:textId="77777777">
            <w:pPr>
              <w:widowControl/>
              <w:jc w:val="center"/>
              <w:rPr>
                <w:rFonts w:ascii="Calibri" w:eastAsia="Calibri" w:hAnsi="Calibri" w:cs="Calibri"/>
                <w:b/>
                <w:color w:val="000000"/>
                <w:sz w:val="18"/>
                <w:szCs w:val="18"/>
              </w:rPr>
            </w:pPr>
            <w:r w:rsidRPr="00D83EBA">
              <w:rPr>
                <w:rFonts w:ascii="Calibri" w:eastAsia="Calibri" w:hAnsi="Calibri" w:cs="Calibri"/>
                <w:b/>
                <w:color w:val="000000"/>
                <w:sz w:val="18"/>
                <w:szCs w:val="18"/>
              </w:rPr>
              <w:t>Total Annual Cost Burden</w:t>
            </w:r>
            <w:r w:rsidRPr="00D83EBA">
              <w:rPr>
                <w:rFonts w:ascii="Calibri" w:eastAsia="Calibri" w:hAnsi="Calibri" w:cs="Calibri"/>
                <w:b/>
                <w:color w:val="000000"/>
                <w:sz w:val="18"/>
                <w:szCs w:val="18"/>
              </w:rPr>
              <w:br/>
              <w:t>(i) = (c) x (h)</w:t>
            </w:r>
          </w:p>
        </w:tc>
      </w:tr>
      <w:tr w14:paraId="5A0ED4C4" w14:textId="77777777" w:rsidTr="00E87791">
        <w:tblPrEx>
          <w:tblW w:w="13087" w:type="dxa"/>
          <w:jc w:val="center"/>
          <w:tblLayout w:type="fixed"/>
          <w:tblLook w:val="0400"/>
        </w:tblPrEx>
        <w:trPr>
          <w:trHeight w:val="298"/>
          <w:jc w:val="center"/>
        </w:trPr>
        <w:tc>
          <w:tcPr>
            <w:tcW w:w="3556" w:type="dxa"/>
            <w:tcBorders>
              <w:top w:val="nil"/>
              <w:left w:val="single" w:sz="4" w:space="0" w:color="000000"/>
              <w:bottom w:val="single" w:sz="4" w:space="0" w:color="000000"/>
              <w:right w:val="single" w:sz="4" w:space="0" w:color="000000"/>
            </w:tcBorders>
            <w:shd w:val="clear" w:color="auto" w:fill="auto"/>
            <w:vAlign w:val="center"/>
          </w:tcPr>
          <w:p w:rsidR="00D83EBA" w:rsidRPr="00D83EBA" w:rsidP="00E87791" w14:paraId="4BB411C7" w14:textId="09BA1FBD">
            <w:pPr>
              <w:widowControl/>
              <w:spacing w:before="20" w:after="20"/>
              <w:rPr>
                <w:rFonts w:eastAsia="Calibri" w:asciiTheme="minorHAnsi" w:hAnsiTheme="minorHAnsi" w:cstheme="minorHAnsi"/>
                <w:color w:val="000000"/>
                <w:sz w:val="18"/>
                <w:szCs w:val="18"/>
              </w:rPr>
            </w:pPr>
            <w:r w:rsidRPr="00D83EBA">
              <w:rPr>
                <w:rFonts w:asciiTheme="minorHAnsi" w:hAnsiTheme="minorHAnsi" w:cstheme="minorHAnsi"/>
                <w:sz w:val="18"/>
                <w:szCs w:val="18"/>
              </w:rPr>
              <w:t>Application for Pacific Cod Trawl Cooperative Program Quota Share</w:t>
            </w:r>
          </w:p>
        </w:tc>
        <w:tc>
          <w:tcPr>
            <w:tcW w:w="1934" w:type="dxa"/>
            <w:tcBorders>
              <w:top w:val="nil"/>
              <w:left w:val="nil"/>
              <w:bottom w:val="single" w:sz="4" w:space="0" w:color="000000"/>
              <w:right w:val="single" w:sz="4" w:space="0" w:color="000000"/>
            </w:tcBorders>
            <w:shd w:val="clear" w:color="auto" w:fill="FFFFFF"/>
            <w:vAlign w:val="center"/>
          </w:tcPr>
          <w:p w:rsidR="00D83EBA" w:rsidRPr="00D83EBA" w:rsidP="00C67B21" w14:paraId="561ACE7E" w14:textId="43FA2BB9">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36</w:t>
            </w:r>
          </w:p>
        </w:tc>
        <w:tc>
          <w:tcPr>
            <w:tcW w:w="1752" w:type="dxa"/>
            <w:tcBorders>
              <w:top w:val="nil"/>
              <w:left w:val="nil"/>
              <w:bottom w:val="single" w:sz="4" w:space="0" w:color="000000"/>
              <w:right w:val="single" w:sz="4" w:space="0" w:color="000000"/>
            </w:tcBorders>
            <w:shd w:val="clear" w:color="auto" w:fill="FFFFFF"/>
            <w:vAlign w:val="center"/>
          </w:tcPr>
          <w:p w:rsidR="00D83EBA" w:rsidRPr="00D83EBA" w:rsidP="00C67B21" w14:paraId="5D709163" w14:textId="3BDB4628">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787" w:type="dxa"/>
            <w:tcBorders>
              <w:top w:val="nil"/>
              <w:left w:val="nil"/>
              <w:bottom w:val="single" w:sz="4" w:space="0" w:color="000000"/>
              <w:right w:val="single" w:sz="4" w:space="0" w:color="000000"/>
            </w:tcBorders>
            <w:shd w:val="clear" w:color="auto" w:fill="FFFFFF"/>
            <w:vAlign w:val="center"/>
          </w:tcPr>
          <w:p w:rsidR="00D83EBA" w:rsidRPr="00D83EBA" w:rsidP="00C67B21" w14:paraId="42866618" w14:textId="42A58AFF">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36</w:t>
            </w:r>
          </w:p>
        </w:tc>
        <w:tc>
          <w:tcPr>
            <w:tcW w:w="2110" w:type="dxa"/>
            <w:tcBorders>
              <w:top w:val="nil"/>
              <w:left w:val="nil"/>
              <w:bottom w:val="single" w:sz="4" w:space="0" w:color="000000"/>
              <w:right w:val="single" w:sz="4" w:space="0" w:color="000000"/>
            </w:tcBorders>
            <w:shd w:val="clear" w:color="auto" w:fill="FFFFFF"/>
            <w:vAlign w:val="center"/>
          </w:tcPr>
          <w:p w:rsidR="00D83EBA" w:rsidRPr="00D83EBA" w:rsidP="00C67B21" w14:paraId="39078C79" w14:textId="4D68CCA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Operating costs: $5</w:t>
            </w:r>
          </w:p>
        </w:tc>
        <w:tc>
          <w:tcPr>
            <w:tcW w:w="1948" w:type="dxa"/>
            <w:tcBorders>
              <w:top w:val="nil"/>
              <w:left w:val="nil"/>
              <w:bottom w:val="single" w:sz="4" w:space="0" w:color="000000"/>
              <w:right w:val="single" w:sz="8" w:space="0" w:color="000000"/>
            </w:tcBorders>
            <w:shd w:val="clear" w:color="auto" w:fill="FFFFFF"/>
            <w:vAlign w:val="center"/>
          </w:tcPr>
          <w:p w:rsidR="00D83EBA" w:rsidRPr="00D83EBA" w:rsidP="00C67B21" w14:paraId="71A4CB0E" w14:textId="1F4487E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180</w:t>
            </w:r>
          </w:p>
        </w:tc>
      </w:tr>
      <w:tr w14:paraId="09060218" w14:textId="77777777" w:rsidTr="00E87791">
        <w:tblPrEx>
          <w:tblW w:w="13087" w:type="dxa"/>
          <w:jc w:val="center"/>
          <w:tblLayout w:type="fixed"/>
          <w:tblLook w:val="0400"/>
        </w:tblPrEx>
        <w:trPr>
          <w:trHeight w:val="298"/>
          <w:jc w:val="center"/>
        </w:trPr>
        <w:tc>
          <w:tcPr>
            <w:tcW w:w="3556" w:type="dxa"/>
            <w:tcBorders>
              <w:top w:val="nil"/>
              <w:left w:val="single" w:sz="4" w:space="0" w:color="000000"/>
              <w:bottom w:val="single" w:sz="4" w:space="0" w:color="000000"/>
              <w:right w:val="single" w:sz="4" w:space="0" w:color="000000"/>
            </w:tcBorders>
            <w:shd w:val="clear" w:color="auto" w:fill="auto"/>
            <w:vAlign w:val="center"/>
          </w:tcPr>
          <w:p w:rsidR="00536319" w:rsidRPr="00D83EBA" w:rsidP="00E87791" w14:paraId="060546A3" w14:textId="446051FA">
            <w:pPr>
              <w:widowControl/>
              <w:spacing w:before="20" w:after="20"/>
              <w:rPr>
                <w:rFonts w:eastAsia="Calibri" w:asciiTheme="minorHAnsi" w:hAnsiTheme="minorHAnsi" w:cstheme="minorHAnsi"/>
                <w:color w:val="000000"/>
                <w:sz w:val="18"/>
                <w:szCs w:val="18"/>
              </w:rPr>
            </w:pPr>
            <w:r w:rsidRPr="00D83EBA">
              <w:rPr>
                <w:rFonts w:asciiTheme="minorHAnsi" w:hAnsiTheme="minorHAnsi" w:cstheme="minorHAnsi"/>
                <w:sz w:val="18"/>
                <w:szCs w:val="18"/>
              </w:rPr>
              <w:t xml:space="preserve">Application for Pacific Cod Trawl </w:t>
            </w:r>
            <w:r w:rsidRPr="00D83EBA">
              <w:rPr>
                <w:rFonts w:asciiTheme="minorHAnsi" w:hAnsiTheme="minorHAnsi" w:cstheme="minorHAnsi"/>
                <w:sz w:val="18"/>
                <w:szCs w:val="18"/>
              </w:rPr>
              <w:t>Cooperative Program Cooperative Quota</w:t>
            </w:r>
          </w:p>
        </w:tc>
        <w:tc>
          <w:tcPr>
            <w:tcW w:w="1934" w:type="dxa"/>
            <w:tcBorders>
              <w:top w:val="nil"/>
              <w:left w:val="nil"/>
              <w:bottom w:val="single" w:sz="4" w:space="0" w:color="000000"/>
              <w:right w:val="single" w:sz="4" w:space="0" w:color="000000"/>
            </w:tcBorders>
            <w:shd w:val="clear" w:color="auto" w:fill="FFFFFF"/>
            <w:vAlign w:val="center"/>
          </w:tcPr>
          <w:p w:rsidR="00536319" w:rsidRPr="00D83EBA" w:rsidP="00C67B21" w14:paraId="1373901E" w14:textId="590C59FC">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10</w:t>
            </w:r>
          </w:p>
        </w:tc>
        <w:tc>
          <w:tcPr>
            <w:tcW w:w="1752" w:type="dxa"/>
            <w:tcBorders>
              <w:top w:val="nil"/>
              <w:left w:val="nil"/>
              <w:bottom w:val="single" w:sz="4" w:space="0" w:color="000000"/>
              <w:right w:val="single" w:sz="4" w:space="0" w:color="000000"/>
            </w:tcBorders>
            <w:shd w:val="clear" w:color="auto" w:fill="FFFFFF"/>
            <w:vAlign w:val="center"/>
          </w:tcPr>
          <w:p w:rsidR="00536319" w:rsidRPr="00D83EBA" w:rsidP="00C67B21" w14:paraId="536C8B84" w14:textId="49E4F89B">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787" w:type="dxa"/>
            <w:tcBorders>
              <w:top w:val="nil"/>
              <w:left w:val="nil"/>
              <w:bottom w:val="single" w:sz="4" w:space="0" w:color="000000"/>
              <w:right w:val="single" w:sz="4" w:space="0" w:color="000000"/>
            </w:tcBorders>
            <w:shd w:val="clear" w:color="auto" w:fill="FFFFFF"/>
            <w:vAlign w:val="center"/>
          </w:tcPr>
          <w:p w:rsidR="00536319" w:rsidRPr="00D83EBA" w:rsidP="00C67B21" w14:paraId="06311EC6" w14:textId="702226E6">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10</w:t>
            </w:r>
          </w:p>
        </w:tc>
        <w:tc>
          <w:tcPr>
            <w:tcW w:w="2110" w:type="dxa"/>
            <w:tcBorders>
              <w:top w:val="nil"/>
              <w:left w:val="nil"/>
              <w:bottom w:val="single" w:sz="4" w:space="0" w:color="000000"/>
              <w:right w:val="single" w:sz="4" w:space="0" w:color="000000"/>
            </w:tcBorders>
            <w:shd w:val="clear" w:color="auto" w:fill="FFFFFF"/>
            <w:vAlign w:val="center"/>
          </w:tcPr>
          <w:p w:rsidR="00536319" w:rsidRPr="00536319" w:rsidP="00C67B21" w14:paraId="257640E9" w14:textId="15BC7DD4">
            <w:pPr>
              <w:widowControl/>
              <w:jc w:val="center"/>
              <w:rPr>
                <w:rFonts w:eastAsia="Calibri" w:asciiTheme="minorHAnsi" w:hAnsiTheme="minorHAnsi" w:cstheme="minorHAnsi"/>
                <w:color w:val="000000"/>
                <w:sz w:val="18"/>
                <w:szCs w:val="18"/>
              </w:rPr>
            </w:pPr>
            <w:r w:rsidRPr="00536319">
              <w:rPr>
                <w:rFonts w:asciiTheme="minorHAnsi" w:hAnsiTheme="minorHAnsi" w:cstheme="minorHAnsi"/>
                <w:sz w:val="18"/>
                <w:szCs w:val="18"/>
              </w:rPr>
              <w:t>Operating costs: $5</w:t>
            </w:r>
          </w:p>
        </w:tc>
        <w:tc>
          <w:tcPr>
            <w:tcW w:w="1948" w:type="dxa"/>
            <w:tcBorders>
              <w:top w:val="nil"/>
              <w:left w:val="nil"/>
              <w:bottom w:val="single" w:sz="4" w:space="0" w:color="000000"/>
              <w:right w:val="single" w:sz="8" w:space="0" w:color="000000"/>
            </w:tcBorders>
            <w:shd w:val="clear" w:color="auto" w:fill="FFFFFF"/>
            <w:vAlign w:val="center"/>
          </w:tcPr>
          <w:p w:rsidR="00536319" w:rsidRPr="00D83EBA" w:rsidP="00C67B21" w14:paraId="44A50036" w14:textId="469CA521">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w:t>
            </w:r>
          </w:p>
        </w:tc>
      </w:tr>
      <w:tr w14:paraId="7C0822EF" w14:textId="77777777" w:rsidTr="00E87791">
        <w:tblPrEx>
          <w:tblW w:w="13087" w:type="dxa"/>
          <w:jc w:val="center"/>
          <w:tblLayout w:type="fixed"/>
          <w:tblLook w:val="0400"/>
        </w:tblPrEx>
        <w:trPr>
          <w:trHeight w:val="298"/>
          <w:jc w:val="center"/>
        </w:trPr>
        <w:tc>
          <w:tcPr>
            <w:tcW w:w="3556" w:type="dxa"/>
            <w:tcBorders>
              <w:top w:val="nil"/>
              <w:left w:val="single" w:sz="4" w:space="0" w:color="000000"/>
              <w:bottom w:val="single" w:sz="4" w:space="0" w:color="000000"/>
              <w:right w:val="single" w:sz="4" w:space="0" w:color="000000"/>
            </w:tcBorders>
            <w:shd w:val="clear" w:color="auto" w:fill="auto"/>
            <w:vAlign w:val="center"/>
          </w:tcPr>
          <w:p w:rsidR="00536319" w:rsidRPr="00D83EBA" w:rsidP="00E87791" w14:paraId="468B0A77" w14:textId="3E35C620">
            <w:pPr>
              <w:widowControl/>
              <w:spacing w:before="20" w:after="20"/>
              <w:rPr>
                <w:rFonts w:eastAsia="Calibri" w:asciiTheme="minorHAnsi" w:hAnsiTheme="minorHAnsi" w:cstheme="minorHAnsi"/>
                <w:color w:val="000000"/>
                <w:sz w:val="18"/>
                <w:szCs w:val="18"/>
              </w:rPr>
            </w:pPr>
            <w:r w:rsidRPr="00D83EBA">
              <w:rPr>
                <w:rFonts w:asciiTheme="minorHAnsi" w:hAnsiTheme="minorHAnsi" w:cstheme="minorHAnsi"/>
                <w:sz w:val="18"/>
                <w:szCs w:val="18"/>
              </w:rPr>
              <w:t>Application for Inter-Cooperative Transfer of Cooperative Quota (CQ)</w:t>
            </w:r>
          </w:p>
        </w:tc>
        <w:tc>
          <w:tcPr>
            <w:tcW w:w="1934" w:type="dxa"/>
            <w:tcBorders>
              <w:top w:val="nil"/>
              <w:left w:val="nil"/>
              <w:bottom w:val="single" w:sz="4" w:space="0" w:color="000000"/>
              <w:right w:val="single" w:sz="4" w:space="0" w:color="000000"/>
            </w:tcBorders>
            <w:shd w:val="clear" w:color="auto" w:fill="FFFFFF"/>
            <w:vAlign w:val="center"/>
          </w:tcPr>
          <w:p w:rsidR="00536319" w:rsidRPr="00D83EBA" w:rsidP="00C67B21" w14:paraId="5F1D5676" w14:textId="693B4887">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10</w:t>
            </w:r>
          </w:p>
        </w:tc>
        <w:tc>
          <w:tcPr>
            <w:tcW w:w="1752" w:type="dxa"/>
            <w:tcBorders>
              <w:top w:val="nil"/>
              <w:left w:val="nil"/>
              <w:bottom w:val="single" w:sz="4" w:space="0" w:color="000000"/>
              <w:right w:val="single" w:sz="4" w:space="0" w:color="000000"/>
            </w:tcBorders>
            <w:shd w:val="clear" w:color="auto" w:fill="FFFFFF"/>
            <w:vAlign w:val="center"/>
          </w:tcPr>
          <w:p w:rsidR="00536319" w:rsidRPr="00D83EBA" w:rsidP="00C67B21" w14:paraId="038AE7E7" w14:textId="225A505E">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3</w:t>
            </w:r>
          </w:p>
        </w:tc>
        <w:tc>
          <w:tcPr>
            <w:tcW w:w="1787" w:type="dxa"/>
            <w:tcBorders>
              <w:top w:val="nil"/>
              <w:left w:val="nil"/>
              <w:bottom w:val="single" w:sz="4" w:space="0" w:color="000000"/>
              <w:right w:val="single" w:sz="4" w:space="0" w:color="000000"/>
            </w:tcBorders>
            <w:shd w:val="clear" w:color="auto" w:fill="FFFFFF"/>
            <w:vAlign w:val="center"/>
          </w:tcPr>
          <w:p w:rsidR="00536319" w:rsidRPr="00D83EBA" w:rsidP="00C67B21" w14:paraId="02EF4623" w14:textId="7DC9DA25">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30</w:t>
            </w:r>
          </w:p>
        </w:tc>
        <w:tc>
          <w:tcPr>
            <w:tcW w:w="2110" w:type="dxa"/>
            <w:tcBorders>
              <w:top w:val="nil"/>
              <w:left w:val="nil"/>
              <w:bottom w:val="single" w:sz="4" w:space="0" w:color="000000"/>
              <w:right w:val="single" w:sz="4" w:space="0" w:color="000000"/>
            </w:tcBorders>
            <w:shd w:val="clear" w:color="auto" w:fill="FFFFFF"/>
            <w:vAlign w:val="center"/>
          </w:tcPr>
          <w:p w:rsidR="00536319" w:rsidRPr="00536319" w:rsidP="00C67B21" w14:paraId="30626F8D" w14:textId="7B33F21F">
            <w:pPr>
              <w:widowControl/>
              <w:jc w:val="center"/>
              <w:rPr>
                <w:rFonts w:eastAsia="Calibri" w:asciiTheme="minorHAnsi" w:hAnsiTheme="minorHAnsi" w:cstheme="minorHAnsi"/>
                <w:color w:val="000000"/>
                <w:sz w:val="18"/>
                <w:szCs w:val="18"/>
              </w:rPr>
            </w:pPr>
            <w:r w:rsidRPr="00536319">
              <w:rPr>
                <w:rFonts w:asciiTheme="minorHAnsi" w:hAnsiTheme="minorHAnsi" w:cstheme="minorHAnsi"/>
                <w:sz w:val="18"/>
                <w:szCs w:val="18"/>
              </w:rPr>
              <w:t>Operating costs: $5</w:t>
            </w:r>
          </w:p>
        </w:tc>
        <w:tc>
          <w:tcPr>
            <w:tcW w:w="1948" w:type="dxa"/>
            <w:tcBorders>
              <w:top w:val="nil"/>
              <w:left w:val="nil"/>
              <w:bottom w:val="single" w:sz="4" w:space="0" w:color="000000"/>
              <w:right w:val="single" w:sz="8" w:space="0" w:color="000000"/>
            </w:tcBorders>
            <w:shd w:val="clear" w:color="auto" w:fill="FFFFFF"/>
            <w:vAlign w:val="center"/>
          </w:tcPr>
          <w:p w:rsidR="00536319" w:rsidRPr="00D83EBA" w:rsidP="00C67B21" w14:paraId="4B5E4EF6" w14:textId="483BB09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w:t>
            </w:r>
          </w:p>
        </w:tc>
      </w:tr>
      <w:tr w14:paraId="288721DC" w14:textId="77777777" w:rsidTr="00E87791">
        <w:tblPrEx>
          <w:tblW w:w="13087" w:type="dxa"/>
          <w:jc w:val="center"/>
          <w:tblLayout w:type="fixed"/>
          <w:tblLook w:val="0400"/>
        </w:tblPrEx>
        <w:trPr>
          <w:trHeight w:val="298"/>
          <w:jc w:val="center"/>
        </w:trPr>
        <w:tc>
          <w:tcPr>
            <w:tcW w:w="3556" w:type="dxa"/>
            <w:tcBorders>
              <w:top w:val="nil"/>
              <w:left w:val="single" w:sz="4" w:space="0" w:color="000000"/>
              <w:bottom w:val="nil"/>
              <w:right w:val="single" w:sz="4" w:space="0" w:color="000000"/>
            </w:tcBorders>
            <w:shd w:val="clear" w:color="auto" w:fill="auto"/>
            <w:vAlign w:val="center"/>
          </w:tcPr>
          <w:p w:rsidR="00536319" w:rsidRPr="00D83EBA" w:rsidP="00E87791" w14:paraId="5F31166B" w14:textId="2FFE9F74">
            <w:pPr>
              <w:widowControl/>
              <w:spacing w:before="20" w:after="20"/>
              <w:rPr>
                <w:rFonts w:eastAsia="Calibri" w:asciiTheme="minorHAnsi" w:hAnsiTheme="minorHAnsi" w:cstheme="minorHAnsi"/>
                <w:color w:val="000000"/>
                <w:sz w:val="18"/>
                <w:szCs w:val="18"/>
              </w:rPr>
            </w:pPr>
            <w:r w:rsidRPr="00D83EBA">
              <w:rPr>
                <w:rFonts w:asciiTheme="minorHAnsi" w:hAnsiTheme="minorHAnsi" w:cstheme="minorHAnsi"/>
                <w:sz w:val="18"/>
                <w:szCs w:val="18"/>
              </w:rPr>
              <w:t xml:space="preserve">Application for Transfer of Pacific Cod Trawl Cooperative Program Quota Share for </w:t>
            </w:r>
            <w:r w:rsidRPr="00D83EBA">
              <w:rPr>
                <w:rFonts w:asciiTheme="minorHAnsi" w:hAnsiTheme="minorHAnsi" w:cstheme="minorHAnsi"/>
                <w:sz w:val="18"/>
                <w:szCs w:val="18"/>
              </w:rPr>
              <w:t>Processors</w:t>
            </w:r>
          </w:p>
        </w:tc>
        <w:tc>
          <w:tcPr>
            <w:tcW w:w="1934" w:type="dxa"/>
            <w:tcBorders>
              <w:top w:val="nil"/>
              <w:left w:val="nil"/>
              <w:bottom w:val="nil"/>
              <w:right w:val="single" w:sz="4" w:space="0" w:color="000000"/>
            </w:tcBorders>
            <w:shd w:val="clear" w:color="auto" w:fill="FFFFFF"/>
            <w:vAlign w:val="center"/>
          </w:tcPr>
          <w:p w:rsidR="00536319" w:rsidRPr="00D83EBA" w:rsidP="00C67B21" w14:paraId="793600C7" w14:textId="43C2BFE4">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752" w:type="dxa"/>
            <w:tcBorders>
              <w:top w:val="nil"/>
              <w:left w:val="nil"/>
              <w:bottom w:val="nil"/>
              <w:right w:val="single" w:sz="4" w:space="0" w:color="000000"/>
            </w:tcBorders>
            <w:shd w:val="clear" w:color="auto" w:fill="FFFFFF"/>
            <w:vAlign w:val="center"/>
          </w:tcPr>
          <w:p w:rsidR="00536319" w:rsidRPr="00D83EBA" w:rsidP="00C67B21" w14:paraId="27C8C070" w14:textId="214870D0">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787" w:type="dxa"/>
            <w:tcBorders>
              <w:top w:val="nil"/>
              <w:left w:val="nil"/>
              <w:bottom w:val="nil"/>
              <w:right w:val="single" w:sz="4" w:space="0" w:color="000000"/>
            </w:tcBorders>
            <w:shd w:val="clear" w:color="auto" w:fill="FFFFFF"/>
            <w:vAlign w:val="center"/>
          </w:tcPr>
          <w:p w:rsidR="00536319" w:rsidRPr="00D83EBA" w:rsidP="00C67B21" w14:paraId="5B8B6320" w14:textId="731C8D03">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2110" w:type="dxa"/>
            <w:tcBorders>
              <w:top w:val="nil"/>
              <w:left w:val="nil"/>
              <w:bottom w:val="nil"/>
              <w:right w:val="single" w:sz="4" w:space="0" w:color="000000"/>
            </w:tcBorders>
            <w:shd w:val="clear" w:color="auto" w:fill="FFFFFF"/>
            <w:vAlign w:val="center"/>
          </w:tcPr>
          <w:p w:rsidR="00536319" w:rsidRPr="00536319" w:rsidP="00C67B21" w14:paraId="0D66A5AF" w14:textId="12DC93BD">
            <w:pPr>
              <w:widowControl/>
              <w:jc w:val="center"/>
              <w:rPr>
                <w:rFonts w:eastAsia="Calibri" w:asciiTheme="minorHAnsi" w:hAnsiTheme="minorHAnsi" w:cstheme="minorHAnsi"/>
                <w:color w:val="000000"/>
                <w:sz w:val="18"/>
                <w:szCs w:val="18"/>
              </w:rPr>
            </w:pPr>
            <w:r w:rsidRPr="00536319">
              <w:rPr>
                <w:rFonts w:asciiTheme="minorHAnsi" w:hAnsiTheme="minorHAnsi" w:cstheme="minorHAnsi"/>
                <w:sz w:val="18"/>
                <w:szCs w:val="18"/>
              </w:rPr>
              <w:t>Operating costs: $5</w:t>
            </w:r>
          </w:p>
        </w:tc>
        <w:tc>
          <w:tcPr>
            <w:tcW w:w="1948" w:type="dxa"/>
            <w:tcBorders>
              <w:top w:val="nil"/>
              <w:left w:val="nil"/>
              <w:bottom w:val="nil"/>
              <w:right w:val="single" w:sz="8" w:space="0" w:color="000000"/>
            </w:tcBorders>
            <w:shd w:val="clear" w:color="auto" w:fill="FFFFFF"/>
            <w:vAlign w:val="center"/>
          </w:tcPr>
          <w:p w:rsidR="00536319" w:rsidRPr="00D83EBA" w:rsidP="00C67B21" w14:paraId="35EEE2FF" w14:textId="1076D27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r>
      <w:tr w14:paraId="63AA5B59" w14:textId="77777777" w:rsidTr="00E87791">
        <w:tblPrEx>
          <w:tblW w:w="13087" w:type="dxa"/>
          <w:jc w:val="center"/>
          <w:tblLayout w:type="fixed"/>
          <w:tblLook w:val="0400"/>
        </w:tblPrEx>
        <w:trPr>
          <w:trHeight w:val="312"/>
          <w:jc w:val="center"/>
        </w:trPr>
        <w:tc>
          <w:tcPr>
            <w:tcW w:w="3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319" w:rsidRPr="00D83EBA" w:rsidP="00E87791" w14:paraId="632ACADD" w14:textId="3DF647B8">
            <w:pPr>
              <w:widowControl/>
              <w:spacing w:before="20" w:after="20"/>
              <w:rPr>
                <w:rFonts w:eastAsia="Calibri" w:asciiTheme="minorHAnsi" w:hAnsiTheme="minorHAnsi" w:cstheme="minorHAnsi"/>
                <w:color w:val="000000"/>
                <w:sz w:val="18"/>
                <w:szCs w:val="18"/>
              </w:rPr>
            </w:pPr>
            <w:r w:rsidRPr="00D83EBA">
              <w:rPr>
                <w:rFonts w:asciiTheme="minorHAnsi" w:hAnsiTheme="minorHAnsi" w:cstheme="minorHAnsi"/>
                <w:sz w:val="18"/>
                <w:szCs w:val="18"/>
              </w:rPr>
              <w:t>Notificatio</w:t>
            </w:r>
            <w:r>
              <w:rPr>
                <w:rFonts w:asciiTheme="minorHAnsi" w:hAnsiTheme="minorHAnsi" w:cstheme="minorHAnsi"/>
                <w:sz w:val="18"/>
                <w:szCs w:val="18"/>
              </w:rPr>
              <w:t xml:space="preserve">n of intent to process PCTC Program </w:t>
            </w:r>
            <w:r w:rsidRPr="00D83EBA">
              <w:rPr>
                <w:rFonts w:asciiTheme="minorHAnsi" w:hAnsiTheme="minorHAnsi" w:cstheme="minorHAnsi"/>
                <w:sz w:val="18"/>
                <w:szCs w:val="18"/>
              </w:rPr>
              <w:t>Pacific cod</w:t>
            </w:r>
          </w:p>
        </w:tc>
        <w:tc>
          <w:tcPr>
            <w:tcW w:w="1934" w:type="dxa"/>
            <w:tcBorders>
              <w:top w:val="single" w:sz="4" w:space="0" w:color="000000"/>
              <w:left w:val="nil"/>
              <w:bottom w:val="single" w:sz="4" w:space="0" w:color="000000"/>
              <w:right w:val="single" w:sz="4" w:space="0" w:color="000000"/>
            </w:tcBorders>
            <w:shd w:val="clear" w:color="auto" w:fill="FFFFFF"/>
            <w:vAlign w:val="center"/>
          </w:tcPr>
          <w:p w:rsidR="00536319" w:rsidRPr="00D83EBA" w:rsidP="00C67B21" w14:paraId="7BB5673C" w14:textId="295AA7CC">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2</w:t>
            </w:r>
          </w:p>
        </w:tc>
        <w:tc>
          <w:tcPr>
            <w:tcW w:w="1752" w:type="dxa"/>
            <w:tcBorders>
              <w:top w:val="single" w:sz="4" w:space="0" w:color="000000"/>
              <w:left w:val="nil"/>
              <w:bottom w:val="single" w:sz="4" w:space="0" w:color="000000"/>
              <w:right w:val="single" w:sz="4" w:space="0" w:color="000000"/>
            </w:tcBorders>
            <w:shd w:val="clear" w:color="auto" w:fill="FFFFFF"/>
            <w:vAlign w:val="center"/>
          </w:tcPr>
          <w:p w:rsidR="00536319" w:rsidRPr="00D83EBA" w:rsidP="00C67B21" w14:paraId="794658A9" w14:textId="15E412C1">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787" w:type="dxa"/>
            <w:tcBorders>
              <w:top w:val="single" w:sz="4" w:space="0" w:color="000000"/>
              <w:left w:val="nil"/>
              <w:bottom w:val="single" w:sz="4" w:space="0" w:color="000000"/>
              <w:right w:val="single" w:sz="4" w:space="0" w:color="000000"/>
            </w:tcBorders>
            <w:shd w:val="clear" w:color="auto" w:fill="FFFFFF"/>
            <w:vAlign w:val="center"/>
          </w:tcPr>
          <w:p w:rsidR="00536319" w:rsidRPr="00D83EBA" w:rsidP="00C67B21" w14:paraId="1AC452F1" w14:textId="69B04130">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2</w:t>
            </w:r>
          </w:p>
        </w:tc>
        <w:tc>
          <w:tcPr>
            <w:tcW w:w="2110" w:type="dxa"/>
            <w:tcBorders>
              <w:top w:val="single" w:sz="4" w:space="0" w:color="000000"/>
              <w:left w:val="nil"/>
              <w:bottom w:val="single" w:sz="4" w:space="0" w:color="000000"/>
              <w:right w:val="single" w:sz="4" w:space="0" w:color="000000"/>
            </w:tcBorders>
            <w:shd w:val="clear" w:color="auto" w:fill="FFFFFF"/>
            <w:vAlign w:val="center"/>
          </w:tcPr>
          <w:p w:rsidR="00536319" w:rsidRPr="00536319" w:rsidP="00C67B21" w14:paraId="78AEB1A7" w14:textId="331C7288">
            <w:pPr>
              <w:widowControl/>
              <w:jc w:val="center"/>
              <w:rPr>
                <w:rFonts w:eastAsia="Calibri" w:asciiTheme="minorHAnsi" w:hAnsiTheme="minorHAnsi" w:cstheme="minorHAnsi"/>
                <w:color w:val="000000"/>
                <w:sz w:val="18"/>
                <w:szCs w:val="18"/>
              </w:rPr>
            </w:pPr>
            <w:r w:rsidRPr="00536319">
              <w:rPr>
                <w:rFonts w:asciiTheme="minorHAnsi" w:hAnsiTheme="minorHAnsi" w:cstheme="minorHAnsi"/>
                <w:sz w:val="18"/>
                <w:szCs w:val="18"/>
              </w:rPr>
              <w:t>Operating costs: $5</w:t>
            </w:r>
          </w:p>
        </w:tc>
        <w:tc>
          <w:tcPr>
            <w:tcW w:w="1948" w:type="dxa"/>
            <w:tcBorders>
              <w:top w:val="single" w:sz="4" w:space="0" w:color="000000"/>
              <w:left w:val="nil"/>
              <w:bottom w:val="single" w:sz="4" w:space="0" w:color="000000"/>
              <w:right w:val="single" w:sz="8" w:space="0" w:color="000000"/>
            </w:tcBorders>
            <w:shd w:val="clear" w:color="auto" w:fill="FFFFFF"/>
            <w:vAlign w:val="center"/>
          </w:tcPr>
          <w:p w:rsidR="00536319" w:rsidRPr="00D83EBA" w:rsidP="00C67B21" w14:paraId="60E24628" w14:textId="2DD35EB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r>
      <w:tr w14:paraId="52882BF4" w14:textId="77777777" w:rsidTr="00E87791">
        <w:tblPrEx>
          <w:tblW w:w="13087" w:type="dxa"/>
          <w:jc w:val="center"/>
          <w:tblLayout w:type="fixed"/>
          <w:tblLook w:val="0400"/>
        </w:tblPrEx>
        <w:trPr>
          <w:trHeight w:val="312"/>
          <w:jc w:val="center"/>
        </w:trPr>
        <w:tc>
          <w:tcPr>
            <w:tcW w:w="3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319" w:rsidRPr="00D83EBA" w:rsidP="00E87791" w14:paraId="258B690D" w14:textId="20F06B03">
            <w:pPr>
              <w:widowControl/>
              <w:spacing w:before="20" w:after="20"/>
              <w:rPr>
                <w:rFonts w:eastAsia="Calibri" w:asciiTheme="minorHAnsi" w:hAnsiTheme="minorHAnsi" w:cstheme="minorHAnsi"/>
                <w:color w:val="000000"/>
                <w:sz w:val="18"/>
                <w:szCs w:val="18"/>
              </w:rPr>
            </w:pPr>
            <w:r>
              <w:rPr>
                <w:rFonts w:asciiTheme="minorHAnsi" w:hAnsiTheme="minorHAnsi" w:cstheme="minorHAnsi"/>
                <w:sz w:val="18"/>
                <w:szCs w:val="18"/>
              </w:rPr>
              <w:t>Ninety-</w:t>
            </w:r>
            <w:r w:rsidRPr="00D83EBA">
              <w:rPr>
                <w:rFonts w:asciiTheme="minorHAnsi" w:hAnsiTheme="minorHAnsi" w:cstheme="minorHAnsi"/>
                <w:sz w:val="18"/>
                <w:szCs w:val="18"/>
              </w:rPr>
              <w:t>Day Transfer Window for Non-Exempt AFA LLP holders</w:t>
            </w:r>
          </w:p>
        </w:tc>
        <w:tc>
          <w:tcPr>
            <w:tcW w:w="1934" w:type="dxa"/>
            <w:tcBorders>
              <w:top w:val="single" w:sz="4" w:space="0" w:color="000000"/>
              <w:left w:val="nil"/>
              <w:bottom w:val="single" w:sz="4" w:space="0" w:color="000000"/>
              <w:right w:val="single" w:sz="4" w:space="0" w:color="000000"/>
            </w:tcBorders>
            <w:shd w:val="clear" w:color="auto" w:fill="FFFFFF"/>
            <w:vAlign w:val="center"/>
          </w:tcPr>
          <w:p w:rsidR="00536319" w:rsidRPr="00D83EBA" w:rsidP="00C67B21" w14:paraId="7049EDF6" w14:textId="2CC18560">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31</w:t>
            </w:r>
          </w:p>
        </w:tc>
        <w:tc>
          <w:tcPr>
            <w:tcW w:w="1752" w:type="dxa"/>
            <w:tcBorders>
              <w:top w:val="single" w:sz="4" w:space="0" w:color="000000"/>
              <w:left w:val="nil"/>
              <w:bottom w:val="single" w:sz="4" w:space="0" w:color="000000"/>
              <w:right w:val="single" w:sz="4" w:space="0" w:color="000000"/>
            </w:tcBorders>
            <w:shd w:val="clear" w:color="auto" w:fill="FFFFFF"/>
            <w:vAlign w:val="center"/>
          </w:tcPr>
          <w:p w:rsidR="00536319" w:rsidRPr="00D83EBA" w:rsidP="00C67B21" w14:paraId="5F3AF931" w14:textId="0B26FAFF">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787" w:type="dxa"/>
            <w:tcBorders>
              <w:top w:val="single" w:sz="4" w:space="0" w:color="000000"/>
              <w:left w:val="nil"/>
              <w:bottom w:val="single" w:sz="4" w:space="0" w:color="000000"/>
              <w:right w:val="single" w:sz="4" w:space="0" w:color="000000"/>
            </w:tcBorders>
            <w:shd w:val="clear" w:color="auto" w:fill="FFFFFF"/>
            <w:vAlign w:val="center"/>
          </w:tcPr>
          <w:p w:rsidR="00536319" w:rsidRPr="00D83EBA" w:rsidP="00C67B21" w14:paraId="7476AC55" w14:textId="66C34F2B">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31</w:t>
            </w:r>
          </w:p>
        </w:tc>
        <w:tc>
          <w:tcPr>
            <w:tcW w:w="2110" w:type="dxa"/>
            <w:tcBorders>
              <w:top w:val="single" w:sz="4" w:space="0" w:color="000000"/>
              <w:left w:val="nil"/>
              <w:bottom w:val="single" w:sz="4" w:space="0" w:color="000000"/>
              <w:right w:val="single" w:sz="4" w:space="0" w:color="000000"/>
            </w:tcBorders>
            <w:shd w:val="clear" w:color="auto" w:fill="FFFFFF"/>
            <w:vAlign w:val="center"/>
          </w:tcPr>
          <w:p w:rsidR="00536319" w:rsidRPr="00536319" w:rsidP="00C67B21" w14:paraId="07BE296D" w14:textId="6562A013">
            <w:pPr>
              <w:widowControl/>
              <w:jc w:val="center"/>
              <w:rPr>
                <w:rFonts w:eastAsia="Calibri" w:asciiTheme="minorHAnsi" w:hAnsiTheme="minorHAnsi" w:cstheme="minorHAnsi"/>
                <w:color w:val="000000"/>
                <w:sz w:val="18"/>
                <w:szCs w:val="18"/>
              </w:rPr>
            </w:pPr>
            <w:r w:rsidRPr="00536319">
              <w:rPr>
                <w:rFonts w:asciiTheme="minorHAnsi" w:hAnsiTheme="minorHAnsi" w:cstheme="minorHAnsi"/>
                <w:sz w:val="18"/>
                <w:szCs w:val="18"/>
              </w:rPr>
              <w:t>Operating costs: $5</w:t>
            </w:r>
          </w:p>
        </w:tc>
        <w:tc>
          <w:tcPr>
            <w:tcW w:w="1948" w:type="dxa"/>
            <w:tcBorders>
              <w:top w:val="single" w:sz="4" w:space="0" w:color="000000"/>
              <w:left w:val="nil"/>
              <w:bottom w:val="single" w:sz="4" w:space="0" w:color="000000"/>
              <w:right w:val="single" w:sz="8" w:space="0" w:color="000000"/>
            </w:tcBorders>
            <w:shd w:val="clear" w:color="auto" w:fill="FFFFFF"/>
            <w:vAlign w:val="center"/>
          </w:tcPr>
          <w:p w:rsidR="00536319" w:rsidRPr="00D83EBA" w:rsidP="00C67B21" w14:paraId="2547E77B" w14:textId="3F64621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155</w:t>
            </w:r>
          </w:p>
        </w:tc>
      </w:tr>
      <w:tr w14:paraId="42D66809" w14:textId="77777777" w:rsidTr="00223F0B">
        <w:tblPrEx>
          <w:tblW w:w="13087" w:type="dxa"/>
          <w:jc w:val="center"/>
          <w:tblLayout w:type="fixed"/>
          <w:tblLook w:val="0400"/>
        </w:tblPrEx>
        <w:trPr>
          <w:trHeight w:val="737"/>
          <w:jc w:val="center"/>
        </w:trPr>
        <w:tc>
          <w:tcPr>
            <w:tcW w:w="3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EBA" w:rsidRPr="00D83EBA" w:rsidP="00E87791" w14:paraId="4D0B1A6A" w14:textId="4F1ACEFC">
            <w:pPr>
              <w:widowControl/>
              <w:spacing w:before="20" w:after="20"/>
              <w:rPr>
                <w:rFonts w:eastAsia="Calibri" w:asciiTheme="minorHAnsi" w:hAnsiTheme="minorHAnsi" w:cstheme="minorHAnsi"/>
                <w:color w:val="000000"/>
                <w:sz w:val="18"/>
                <w:szCs w:val="18"/>
              </w:rPr>
            </w:pPr>
            <w:r w:rsidRPr="00D83EBA">
              <w:rPr>
                <w:rFonts w:asciiTheme="minorHAnsi" w:hAnsiTheme="minorHAnsi" w:cstheme="minorHAnsi"/>
                <w:sz w:val="18"/>
                <w:szCs w:val="18"/>
              </w:rPr>
              <w:t>Appeals</w:t>
            </w:r>
          </w:p>
        </w:tc>
        <w:tc>
          <w:tcPr>
            <w:tcW w:w="1934" w:type="dxa"/>
            <w:tcBorders>
              <w:top w:val="single" w:sz="4" w:space="0" w:color="000000"/>
              <w:left w:val="nil"/>
              <w:bottom w:val="single" w:sz="4" w:space="0" w:color="000000"/>
              <w:right w:val="single" w:sz="4" w:space="0" w:color="000000"/>
            </w:tcBorders>
            <w:shd w:val="clear" w:color="auto" w:fill="FFFFFF"/>
            <w:vAlign w:val="center"/>
          </w:tcPr>
          <w:p w:rsidR="00D83EBA" w:rsidRPr="00D83EBA" w:rsidP="00C67B21" w14:paraId="3E012821" w14:textId="182B0536">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5</w:t>
            </w:r>
          </w:p>
        </w:tc>
        <w:tc>
          <w:tcPr>
            <w:tcW w:w="1752" w:type="dxa"/>
            <w:tcBorders>
              <w:top w:val="single" w:sz="4" w:space="0" w:color="000000"/>
              <w:left w:val="nil"/>
              <w:bottom w:val="single" w:sz="4" w:space="0" w:color="000000"/>
              <w:right w:val="single" w:sz="4" w:space="0" w:color="000000"/>
            </w:tcBorders>
            <w:shd w:val="clear" w:color="auto" w:fill="FFFFFF"/>
            <w:vAlign w:val="center"/>
          </w:tcPr>
          <w:p w:rsidR="00D83EBA" w:rsidRPr="00D83EBA" w:rsidP="00C67B21" w14:paraId="4D6D48BD" w14:textId="4573AD7A">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787" w:type="dxa"/>
            <w:tcBorders>
              <w:top w:val="single" w:sz="4" w:space="0" w:color="000000"/>
              <w:left w:val="nil"/>
              <w:bottom w:val="single" w:sz="4" w:space="0" w:color="000000"/>
              <w:right w:val="single" w:sz="4" w:space="0" w:color="000000"/>
            </w:tcBorders>
            <w:shd w:val="clear" w:color="auto" w:fill="FFFFFF"/>
            <w:vAlign w:val="center"/>
          </w:tcPr>
          <w:p w:rsidR="00D83EBA" w:rsidRPr="00D83EBA" w:rsidP="00C67B21" w14:paraId="748C50D3" w14:textId="01D2F864">
            <w:pPr>
              <w:widowControl/>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5</w:t>
            </w:r>
          </w:p>
        </w:tc>
        <w:tc>
          <w:tcPr>
            <w:tcW w:w="2110" w:type="dxa"/>
            <w:tcBorders>
              <w:top w:val="single" w:sz="4" w:space="0" w:color="000000"/>
              <w:left w:val="nil"/>
              <w:bottom w:val="single" w:sz="4" w:space="0" w:color="000000"/>
              <w:right w:val="single" w:sz="4" w:space="0" w:color="000000"/>
            </w:tcBorders>
            <w:shd w:val="clear" w:color="auto" w:fill="FFFFFF"/>
            <w:vAlign w:val="center"/>
          </w:tcPr>
          <w:p w:rsidR="00C67B21" w:rsidRPr="00C67B21" w:rsidP="00C67B21" w14:paraId="5BADC54C" w14:textId="476A9A29">
            <w:pPr>
              <w:widowControl/>
              <w:jc w:val="center"/>
              <w:rPr>
                <w:rFonts w:eastAsia="Calibri" w:asciiTheme="minorHAnsi" w:hAnsiTheme="minorHAnsi" w:cstheme="minorHAnsi"/>
                <w:color w:val="000000"/>
                <w:sz w:val="18"/>
                <w:szCs w:val="18"/>
              </w:rPr>
            </w:pPr>
            <w:r w:rsidRPr="00C67B21">
              <w:rPr>
                <w:rFonts w:eastAsia="Calibri" w:asciiTheme="minorHAnsi" w:hAnsiTheme="minorHAnsi" w:cstheme="minorHAnsi"/>
                <w:color w:val="000000"/>
                <w:sz w:val="18"/>
                <w:szCs w:val="18"/>
              </w:rPr>
              <w:t>$505</w:t>
            </w:r>
          </w:p>
          <w:p w:rsidR="00C67B21" w:rsidRPr="00C67B21" w:rsidP="00C67B21" w14:paraId="3476D6D8" w14:textId="77777777">
            <w:pPr>
              <w:widowControl/>
              <w:jc w:val="center"/>
              <w:rPr>
                <w:rFonts w:eastAsia="Calibri" w:asciiTheme="minorHAnsi" w:hAnsiTheme="minorHAnsi" w:cstheme="minorHAnsi"/>
                <w:color w:val="000000"/>
                <w:sz w:val="18"/>
                <w:szCs w:val="18"/>
              </w:rPr>
            </w:pPr>
            <w:r w:rsidRPr="00C67B21">
              <w:rPr>
                <w:rFonts w:eastAsia="Calibri" w:asciiTheme="minorHAnsi" w:hAnsiTheme="minorHAnsi" w:cstheme="minorHAnsi"/>
                <w:color w:val="000000"/>
                <w:sz w:val="18"/>
                <w:szCs w:val="18"/>
              </w:rPr>
              <w:t xml:space="preserve">(Operating costs </w:t>
            </w:r>
            <w:r w:rsidRPr="00C67B21">
              <w:rPr>
                <w:rFonts w:eastAsia="Calibri" w:asciiTheme="minorHAnsi" w:hAnsiTheme="minorHAnsi" w:cstheme="minorHAnsi"/>
                <w:color w:val="000000"/>
                <w:sz w:val="18"/>
                <w:szCs w:val="18"/>
              </w:rPr>
              <w:t>- $5</w:t>
            </w:r>
          </w:p>
          <w:p w:rsidR="00D83EBA" w:rsidRPr="00D83EBA" w:rsidP="00E87791" w14:paraId="4605AA82" w14:textId="5B7EACF6">
            <w:pPr>
              <w:widowControl/>
              <w:jc w:val="center"/>
              <w:rPr>
                <w:rFonts w:eastAsia="Calibri" w:asciiTheme="minorHAnsi" w:hAnsiTheme="minorHAnsi" w:cstheme="minorHAnsi"/>
                <w:color w:val="000000"/>
                <w:sz w:val="18"/>
                <w:szCs w:val="18"/>
              </w:rPr>
            </w:pPr>
            <w:r w:rsidRPr="00C67B21">
              <w:rPr>
                <w:rFonts w:eastAsia="Calibri" w:asciiTheme="minorHAnsi" w:hAnsiTheme="minorHAnsi" w:cstheme="minorHAnsi"/>
                <w:color w:val="000000"/>
                <w:sz w:val="18"/>
                <w:szCs w:val="18"/>
              </w:rPr>
              <w:t>Attorney - $500</w:t>
            </w:r>
            <w:r w:rsidRPr="00E87791" w:rsidR="00E87791">
              <w:rPr>
                <w:rFonts w:eastAsia="Calibri" w:asciiTheme="minorHAnsi" w:hAnsiTheme="minorHAnsi" w:cstheme="minorHAnsi"/>
                <w:color w:val="000000"/>
                <w:sz w:val="18"/>
                <w:szCs w:val="18"/>
                <w:vertAlign w:val="superscript"/>
              </w:rPr>
              <w:t>1</w:t>
            </w:r>
            <w:r w:rsidRPr="00C67B21">
              <w:rPr>
                <w:rFonts w:eastAsia="Calibri" w:asciiTheme="minorHAnsi" w:hAnsiTheme="minorHAnsi" w:cstheme="minorHAnsi"/>
                <w:color w:val="000000"/>
                <w:sz w:val="18"/>
                <w:szCs w:val="18"/>
              </w:rPr>
              <w:t>)</w:t>
            </w:r>
          </w:p>
        </w:tc>
        <w:tc>
          <w:tcPr>
            <w:tcW w:w="1948" w:type="dxa"/>
            <w:tcBorders>
              <w:top w:val="single" w:sz="4" w:space="0" w:color="000000"/>
              <w:left w:val="nil"/>
              <w:bottom w:val="single" w:sz="4" w:space="0" w:color="000000"/>
              <w:right w:val="single" w:sz="8" w:space="0" w:color="000000"/>
            </w:tcBorders>
            <w:shd w:val="clear" w:color="auto" w:fill="FFFFFF"/>
            <w:vAlign w:val="center"/>
          </w:tcPr>
          <w:p w:rsidR="00D83EBA" w:rsidRPr="00D83EBA" w:rsidP="00C67B21" w14:paraId="626B20CE" w14:textId="2F7F93B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2,525</w:t>
            </w:r>
          </w:p>
        </w:tc>
      </w:tr>
      <w:tr w14:paraId="124466AC" w14:textId="77777777" w:rsidTr="00E87791">
        <w:tblPrEx>
          <w:tblW w:w="13087" w:type="dxa"/>
          <w:jc w:val="center"/>
          <w:tblLayout w:type="fixed"/>
          <w:tblLook w:val="0400"/>
        </w:tblPrEx>
        <w:trPr>
          <w:trHeight w:val="312"/>
          <w:jc w:val="center"/>
        </w:trPr>
        <w:tc>
          <w:tcPr>
            <w:tcW w:w="3556"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D54824" w:rsidRPr="008A480A" w:rsidP="00D4754B" w14:paraId="197F57FA" w14:textId="77777777">
            <w:pPr>
              <w:widowControl/>
              <w:jc w:val="right"/>
              <w:rPr>
                <w:rFonts w:ascii="Calibri" w:eastAsia="Calibri" w:hAnsi="Calibri" w:cs="Calibri"/>
                <w:b/>
                <w:color w:val="000000"/>
                <w:sz w:val="20"/>
                <w:szCs w:val="20"/>
              </w:rPr>
            </w:pPr>
            <w:r w:rsidRPr="008A480A">
              <w:rPr>
                <w:rFonts w:ascii="Calibri" w:eastAsia="Calibri" w:hAnsi="Calibri" w:cs="Calibri"/>
                <w:b/>
                <w:color w:val="000000"/>
                <w:sz w:val="20"/>
                <w:szCs w:val="20"/>
              </w:rPr>
              <w:t>TOTALS</w:t>
            </w:r>
          </w:p>
        </w:tc>
        <w:tc>
          <w:tcPr>
            <w:tcW w:w="1934" w:type="dxa"/>
            <w:tcBorders>
              <w:top w:val="single" w:sz="8" w:space="0" w:color="000000"/>
              <w:left w:val="nil"/>
              <w:bottom w:val="single" w:sz="8" w:space="0" w:color="000000"/>
              <w:right w:val="single" w:sz="4" w:space="0" w:color="000000"/>
            </w:tcBorders>
            <w:shd w:val="clear" w:color="auto" w:fill="DDEBF7"/>
            <w:vAlign w:val="center"/>
          </w:tcPr>
          <w:p w:rsidR="00D54824" w:rsidRPr="008A480A" w:rsidP="00C67B21" w14:paraId="455EC1D9" w14:textId="04D328D0">
            <w:pPr>
              <w:widowControl/>
              <w:jc w:val="center"/>
              <w:rPr>
                <w:rFonts w:eastAsia="Calibri" w:asciiTheme="minorHAnsi" w:hAnsiTheme="minorHAnsi" w:cstheme="minorHAnsi"/>
                <w:b/>
                <w:color w:val="000000"/>
                <w:sz w:val="20"/>
                <w:szCs w:val="20"/>
              </w:rPr>
            </w:pPr>
            <w:r>
              <w:rPr>
                <w:rFonts w:eastAsia="Calibri" w:asciiTheme="minorHAnsi" w:hAnsiTheme="minorHAnsi" w:cstheme="minorHAnsi"/>
                <w:b/>
                <w:color w:val="000000"/>
                <w:sz w:val="20"/>
                <w:szCs w:val="20"/>
              </w:rPr>
              <w:t>48</w:t>
            </w:r>
            <w:r w:rsidRPr="00223F0B">
              <w:rPr>
                <w:rFonts w:eastAsia="Calibri" w:asciiTheme="minorHAnsi" w:hAnsiTheme="minorHAnsi" w:cstheme="minorHAnsi"/>
                <w:b/>
                <w:color w:val="000000"/>
                <w:sz w:val="20"/>
                <w:szCs w:val="20"/>
                <w:vertAlign w:val="superscript"/>
              </w:rPr>
              <w:t>2</w:t>
            </w:r>
          </w:p>
        </w:tc>
        <w:tc>
          <w:tcPr>
            <w:tcW w:w="1752" w:type="dxa"/>
            <w:tcBorders>
              <w:top w:val="single" w:sz="8" w:space="0" w:color="000000"/>
              <w:left w:val="nil"/>
              <w:bottom w:val="single" w:sz="8" w:space="0" w:color="000000"/>
              <w:right w:val="single" w:sz="4" w:space="0" w:color="000000"/>
            </w:tcBorders>
            <w:shd w:val="clear" w:color="auto" w:fill="000000" w:themeFill="text1"/>
            <w:vAlign w:val="center"/>
          </w:tcPr>
          <w:p w:rsidR="00D54824" w:rsidRPr="008A480A" w:rsidP="00C67B21" w14:paraId="5F3F8C3B" w14:textId="2067299C">
            <w:pPr>
              <w:widowControl/>
              <w:jc w:val="center"/>
              <w:rPr>
                <w:rFonts w:eastAsia="Calibri" w:asciiTheme="minorHAnsi" w:hAnsiTheme="minorHAnsi" w:cstheme="minorHAnsi"/>
                <w:b/>
                <w:color w:val="000000"/>
                <w:sz w:val="20"/>
                <w:szCs w:val="20"/>
                <w:highlight w:val="black"/>
              </w:rPr>
            </w:pPr>
          </w:p>
        </w:tc>
        <w:tc>
          <w:tcPr>
            <w:tcW w:w="1787" w:type="dxa"/>
            <w:tcBorders>
              <w:top w:val="single" w:sz="8" w:space="0" w:color="000000"/>
              <w:left w:val="nil"/>
              <w:bottom w:val="single" w:sz="8" w:space="0" w:color="000000"/>
              <w:right w:val="single" w:sz="4" w:space="0" w:color="000000"/>
            </w:tcBorders>
            <w:shd w:val="clear" w:color="auto" w:fill="DDEBF7"/>
            <w:vAlign w:val="center"/>
          </w:tcPr>
          <w:p w:rsidR="00D54824" w:rsidRPr="008A480A" w:rsidP="00C67B21" w14:paraId="23F38A94" w14:textId="3F8C7E86">
            <w:pPr>
              <w:widowControl/>
              <w:jc w:val="center"/>
              <w:rPr>
                <w:rFonts w:eastAsia="Calibri" w:asciiTheme="minorHAnsi" w:hAnsiTheme="minorHAnsi" w:cstheme="minorHAnsi"/>
                <w:b/>
                <w:color w:val="000000"/>
                <w:sz w:val="20"/>
                <w:szCs w:val="20"/>
              </w:rPr>
            </w:pPr>
            <w:r w:rsidRPr="008A480A">
              <w:rPr>
                <w:rFonts w:eastAsia="Calibri" w:asciiTheme="minorHAnsi" w:hAnsiTheme="minorHAnsi" w:cstheme="minorHAnsi"/>
                <w:b/>
                <w:color w:val="000000"/>
                <w:sz w:val="20"/>
                <w:szCs w:val="20"/>
              </w:rPr>
              <w:t>115</w:t>
            </w:r>
          </w:p>
        </w:tc>
        <w:tc>
          <w:tcPr>
            <w:tcW w:w="2110" w:type="dxa"/>
            <w:tcBorders>
              <w:top w:val="single" w:sz="8" w:space="0" w:color="000000"/>
              <w:left w:val="nil"/>
              <w:bottom w:val="single" w:sz="8" w:space="0" w:color="000000"/>
              <w:right w:val="single" w:sz="4" w:space="0" w:color="000000"/>
            </w:tcBorders>
            <w:shd w:val="clear" w:color="auto" w:fill="000000" w:themeFill="text1"/>
            <w:vAlign w:val="center"/>
          </w:tcPr>
          <w:p w:rsidR="00D54824" w:rsidRPr="008A480A" w:rsidP="00C67B21" w14:paraId="51180CC2" w14:textId="01A908A7">
            <w:pPr>
              <w:widowControl/>
              <w:jc w:val="center"/>
              <w:rPr>
                <w:rFonts w:ascii="Calibri" w:eastAsia="Calibri" w:hAnsi="Calibri" w:cs="Calibri"/>
                <w:b/>
                <w:color w:val="000000"/>
                <w:sz w:val="20"/>
                <w:szCs w:val="20"/>
              </w:rPr>
            </w:pPr>
          </w:p>
        </w:tc>
        <w:tc>
          <w:tcPr>
            <w:tcW w:w="1948" w:type="dxa"/>
            <w:tcBorders>
              <w:top w:val="single" w:sz="8" w:space="0" w:color="000000"/>
              <w:left w:val="nil"/>
              <w:bottom w:val="single" w:sz="8" w:space="0" w:color="000000"/>
              <w:right w:val="single" w:sz="8" w:space="0" w:color="000000"/>
            </w:tcBorders>
            <w:shd w:val="clear" w:color="auto" w:fill="DDEBF7"/>
            <w:vAlign w:val="center"/>
          </w:tcPr>
          <w:p w:rsidR="00D54824" w:rsidRPr="008A480A" w:rsidP="00A12F39" w14:paraId="22AE42C6" w14:textId="4C52F540">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w:t>
            </w:r>
            <w:r w:rsidR="00A12F39">
              <w:rPr>
                <w:rFonts w:ascii="Calibri" w:eastAsia="Calibri" w:hAnsi="Calibri" w:cs="Calibri"/>
                <w:b/>
                <w:color w:val="000000"/>
                <w:sz w:val="20"/>
                <w:szCs w:val="20"/>
              </w:rPr>
              <w:t>3,075</w:t>
            </w:r>
          </w:p>
        </w:tc>
      </w:tr>
    </w:tbl>
    <w:p w:rsidR="00E87791" w:rsidRPr="00074B5E" w:rsidP="00223F0B" w14:paraId="31E793E7" w14:textId="4AB3DA52">
      <w:pPr>
        <w:widowControl/>
        <w:autoSpaceDE w:val="0"/>
        <w:autoSpaceDN w:val="0"/>
        <w:spacing w:before="60" w:after="60"/>
        <w:ind w:left="130" w:hanging="130"/>
        <w:rPr>
          <w:rFonts w:asciiTheme="minorHAnsi" w:hAnsiTheme="minorHAnsi" w:cstheme="minorHAnsi"/>
          <w:sz w:val="20"/>
          <w:szCs w:val="20"/>
        </w:rPr>
      </w:pPr>
      <w:r w:rsidRPr="00074B5E">
        <w:rPr>
          <w:rFonts w:asciiTheme="minorHAnsi" w:hAnsiTheme="minorHAnsi" w:cstheme="minorHAnsi"/>
          <w:sz w:val="20"/>
          <w:szCs w:val="20"/>
          <w:vertAlign w:val="superscript"/>
        </w:rPr>
        <w:t xml:space="preserve">1 </w:t>
      </w:r>
      <w:r w:rsidRPr="00074B5E">
        <w:rPr>
          <w:rFonts w:asciiTheme="minorHAnsi" w:hAnsiTheme="minorHAnsi" w:cstheme="minorHAnsi"/>
          <w:sz w:val="20"/>
          <w:szCs w:val="20"/>
        </w:rPr>
        <w:t>NMFS expects the LLP license owner or processor to hire a lawyer for an appeal. $500 = 4 hours of attorney time at $125 per hour.</w:t>
      </w:r>
    </w:p>
    <w:p w:rsidR="003361D1" w:rsidRPr="00074B5E" w:rsidP="00223F0B" w14:paraId="4C58A187" w14:textId="00497837">
      <w:pPr>
        <w:widowControl/>
        <w:autoSpaceDE w:val="0"/>
        <w:autoSpaceDN w:val="0"/>
        <w:spacing w:before="60" w:after="60"/>
        <w:ind w:left="86" w:hanging="86"/>
        <w:contextualSpacing/>
        <w:rPr>
          <w:color w:val="000000"/>
          <w:sz w:val="20"/>
          <w:szCs w:val="20"/>
        </w:rPr>
      </w:pPr>
      <w:r w:rsidRPr="00074B5E">
        <w:rPr>
          <w:rFonts w:asciiTheme="minorHAnsi" w:hAnsiTheme="minorHAnsi" w:cstheme="minorHAnsi"/>
          <w:color w:val="000000"/>
          <w:sz w:val="20"/>
          <w:szCs w:val="20"/>
          <w:vertAlign w:val="superscript"/>
        </w:rPr>
        <w:t xml:space="preserve">2 </w:t>
      </w:r>
      <w:r w:rsidRPr="00074B5E">
        <w:rPr>
          <w:rFonts w:asciiTheme="minorHAnsi" w:hAnsiTheme="minorHAnsi" w:cstheme="minorHAnsi"/>
          <w:color w:val="000000"/>
          <w:sz w:val="20"/>
          <w:szCs w:val="20"/>
        </w:rPr>
        <w:t xml:space="preserve">Total respondents </w:t>
      </w:r>
      <w:r w:rsidR="00074B5E">
        <w:rPr>
          <w:rFonts w:asciiTheme="minorHAnsi" w:hAnsiTheme="minorHAnsi" w:cstheme="minorHAnsi"/>
          <w:color w:val="000000"/>
          <w:sz w:val="20"/>
          <w:szCs w:val="20"/>
        </w:rPr>
        <w:t>are</w:t>
      </w:r>
      <w:r w:rsidRPr="00074B5E">
        <w:rPr>
          <w:rFonts w:asciiTheme="minorHAnsi" w:hAnsiTheme="minorHAnsi" w:cstheme="minorHAnsi"/>
          <w:color w:val="000000"/>
          <w:sz w:val="20"/>
          <w:szCs w:val="20"/>
        </w:rPr>
        <w:t xml:space="preserve"> the unique respondents only. Some respondents are expected to submit more than one instrument in this collection; therefore, the number of unique respondents is used to show the estimated annual number of separate participants who are expected to submit i</w:t>
      </w:r>
      <w:r w:rsidRPr="00074B5E">
        <w:rPr>
          <w:rFonts w:asciiTheme="minorHAnsi" w:hAnsiTheme="minorHAnsi" w:cstheme="minorHAnsi"/>
          <w:color w:val="000000"/>
          <w:sz w:val="20"/>
          <w:szCs w:val="20"/>
        </w:rPr>
        <w:t>nformation during the 3-year initial approval period for this new information collection</w:t>
      </w:r>
      <w:r w:rsidRPr="00074B5E">
        <w:rPr>
          <w:rFonts w:asciiTheme="minorHAnsi" w:hAnsiTheme="minorHAnsi" w:cstheme="minorHAnsi"/>
          <w:sz w:val="20"/>
          <w:szCs w:val="20"/>
        </w:rPr>
        <w:t>. The unique respondent</w:t>
      </w:r>
      <w:r w:rsidR="00074B5E">
        <w:rPr>
          <w:rFonts w:asciiTheme="minorHAnsi" w:hAnsiTheme="minorHAnsi" w:cstheme="minorHAnsi"/>
          <w:sz w:val="20"/>
          <w:szCs w:val="20"/>
        </w:rPr>
        <w:t>s</w:t>
      </w:r>
      <w:r w:rsidRPr="00074B5E">
        <w:rPr>
          <w:rFonts w:asciiTheme="minorHAnsi" w:hAnsiTheme="minorHAnsi" w:cstheme="minorHAnsi"/>
          <w:sz w:val="20"/>
          <w:szCs w:val="20"/>
        </w:rPr>
        <w:t xml:space="preserve"> are 36 LLP license owners and processor representatives (109 ÷ 3); 10 PCTC Program cooperatives; and 2 city representatives (Atka and Adak). </w:t>
      </w:r>
    </w:p>
    <w:p w:rsidR="00D54824" w:rsidRPr="008B143E" w:rsidP="00223F0B" w14:paraId="1EC7BE2E" w14:textId="421CFB5A">
      <w:pPr>
        <w:spacing w:before="60" w:after="60"/>
      </w:pPr>
    </w:p>
    <w:p w:rsidR="008B143E" w:rsidRPr="008B143E" w:rsidP="00D4754B" w14:paraId="6CE38B3A" w14:textId="77777777"/>
    <w:p w:rsidR="00631502" w:rsidRPr="008B143E" w:rsidP="00D4754B" w14:paraId="2126FF14" w14:textId="77777777">
      <w:pPr>
        <w:pBdr>
          <w:top w:val="nil"/>
          <w:left w:val="nil"/>
          <w:bottom w:val="nil"/>
          <w:right w:val="nil"/>
          <w:between w:val="nil"/>
        </w:pBdr>
        <w:rPr>
          <w:color w:val="000000"/>
        </w:rPr>
        <w:sectPr w:rsidSect="00207642">
          <w:pgSz w:w="15840" w:h="12240" w:orient="landscape"/>
          <w:pgMar w:top="1440" w:right="1440" w:bottom="1440" w:left="1440" w:header="0" w:footer="1014" w:gutter="0"/>
          <w:cols w:space="720"/>
          <w:docGrid w:linePitch="326"/>
        </w:sectPr>
      </w:pPr>
    </w:p>
    <w:p w:rsidR="00D54824" w:rsidP="00D4754B" w14:paraId="6FD7AE85" w14:textId="655C4DF1">
      <w:pPr>
        <w:pBdr>
          <w:top w:val="nil"/>
          <w:left w:val="nil"/>
          <w:bottom w:val="nil"/>
          <w:right w:val="nil"/>
          <w:between w:val="nil"/>
        </w:pBdr>
        <w:rPr>
          <w:b/>
          <w:color w:val="000000"/>
        </w:rPr>
      </w:pPr>
    </w:p>
    <w:p w:rsidR="00D54824" w:rsidP="00E25936" w14:paraId="404F0CE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w:t>
      </w:r>
      <w:r>
        <w:rPr>
          <w:b/>
          <w:color w:val="000000"/>
        </w:rPr>
        <w:t>nd support staff), and any other expense that would not have been incurred without this collection of information.</w:t>
      </w:r>
    </w:p>
    <w:p w:rsidR="00911EB6" w:rsidP="00E25936" w14:paraId="6910B112" w14:textId="77777777">
      <w:pPr>
        <w:widowControl/>
        <w:pBdr>
          <w:top w:val="nil"/>
          <w:left w:val="nil"/>
          <w:bottom w:val="nil"/>
          <w:right w:val="nil"/>
          <w:between w:val="nil"/>
        </w:pBdr>
        <w:rPr>
          <w:color w:val="000000"/>
        </w:rPr>
      </w:pPr>
    </w:p>
    <w:p w:rsidR="00911EB6" w:rsidRPr="00911EB6" w:rsidP="00E25936" w14:paraId="2E748E5D" w14:textId="1A7DD994">
      <w:pPr>
        <w:widowControl/>
        <w:pBdr>
          <w:top w:val="nil"/>
          <w:left w:val="nil"/>
          <w:bottom w:val="nil"/>
          <w:right w:val="nil"/>
          <w:between w:val="nil"/>
        </w:pBdr>
        <w:rPr>
          <w:color w:val="000000"/>
        </w:rPr>
      </w:pPr>
      <w:r w:rsidRPr="00911EB6">
        <w:rPr>
          <w:color w:val="000000"/>
        </w:rPr>
        <w:t xml:space="preserve">A cost recovery program </w:t>
      </w:r>
      <w:r>
        <w:rPr>
          <w:color w:val="000000"/>
        </w:rPr>
        <w:t>will be</w:t>
      </w:r>
      <w:r w:rsidRPr="00911EB6">
        <w:rPr>
          <w:color w:val="000000"/>
        </w:rPr>
        <w:t xml:space="preserve"> in effect for the </w:t>
      </w:r>
      <w:r>
        <w:rPr>
          <w:color w:val="000000"/>
        </w:rPr>
        <w:t>PCTC</w:t>
      </w:r>
      <w:r w:rsidRPr="00911EB6">
        <w:rPr>
          <w:color w:val="000000"/>
        </w:rPr>
        <w:t xml:space="preserve"> Program. Under this cost recovery program, NMFS is authorized to collect direct progr</w:t>
      </w:r>
      <w:r w:rsidRPr="00911EB6">
        <w:rPr>
          <w:color w:val="000000"/>
        </w:rPr>
        <w:t>am costs from the CQ holders in</w:t>
      </w:r>
      <w:r>
        <w:rPr>
          <w:color w:val="000000"/>
        </w:rPr>
        <w:t xml:space="preserve"> the PCTC Program fishery.</w:t>
      </w:r>
      <w:r w:rsidRPr="00911EB6">
        <w:rPr>
          <w:color w:val="000000"/>
        </w:rPr>
        <w:t xml:space="preserve"> Therefore, the information collection requirements of the </w:t>
      </w:r>
      <w:r>
        <w:rPr>
          <w:color w:val="000000"/>
        </w:rPr>
        <w:t>PCTC</w:t>
      </w:r>
      <w:r w:rsidRPr="00911EB6">
        <w:rPr>
          <w:color w:val="000000"/>
        </w:rPr>
        <w:t xml:space="preserve"> Program </w:t>
      </w:r>
      <w:r>
        <w:rPr>
          <w:color w:val="000000"/>
        </w:rPr>
        <w:t>will</w:t>
      </w:r>
      <w:r w:rsidRPr="00911EB6">
        <w:rPr>
          <w:color w:val="000000"/>
        </w:rPr>
        <w:t xml:space="preserve"> not impose a cost on the Federal Government. Direct program costs are the costs NMFS </w:t>
      </w:r>
      <w:r>
        <w:rPr>
          <w:color w:val="000000"/>
        </w:rPr>
        <w:t>will incur</w:t>
      </w:r>
      <w:r w:rsidRPr="00911EB6">
        <w:rPr>
          <w:color w:val="000000"/>
        </w:rPr>
        <w:t xml:space="preserve"> to manage, collect data fr</w:t>
      </w:r>
      <w:r w:rsidRPr="00911EB6">
        <w:rPr>
          <w:color w:val="000000"/>
        </w:rPr>
        <w:t xml:space="preserve">om, and enforce the </w:t>
      </w:r>
      <w:r>
        <w:rPr>
          <w:color w:val="000000"/>
        </w:rPr>
        <w:t>PCTC</w:t>
      </w:r>
      <w:r w:rsidRPr="00911EB6">
        <w:rPr>
          <w:color w:val="000000"/>
        </w:rPr>
        <w:t xml:space="preserve"> Program. </w:t>
      </w:r>
    </w:p>
    <w:p w:rsidR="00911EB6" w:rsidRPr="00911EB6" w:rsidP="00E25936" w14:paraId="488640C1" w14:textId="77777777">
      <w:pPr>
        <w:widowControl/>
        <w:pBdr>
          <w:top w:val="nil"/>
          <w:left w:val="nil"/>
          <w:bottom w:val="nil"/>
          <w:right w:val="nil"/>
          <w:between w:val="nil"/>
        </w:pBdr>
        <w:rPr>
          <w:color w:val="000000"/>
        </w:rPr>
      </w:pPr>
    </w:p>
    <w:p w:rsidR="00D54824" w:rsidP="00E25936" w14:paraId="467ABDB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7328CD" w:rsidP="00E25936" w14:paraId="7E4BEBC5" w14:textId="14CF29E4">
      <w:pPr>
        <w:widowControl/>
        <w:ind w:hanging="43"/>
      </w:pPr>
    </w:p>
    <w:p w:rsidR="00D31355" w:rsidP="00E25936" w14:paraId="3ABDCF25" w14:textId="7D2FC334">
      <w:pPr>
        <w:widowControl/>
        <w:ind w:hanging="43"/>
      </w:pPr>
      <w:r>
        <w:t xml:space="preserve">This is a request for a new information collection for the new </w:t>
      </w:r>
      <w:r w:rsidRPr="00D31355">
        <w:t>Pacifi</w:t>
      </w:r>
      <w:r>
        <w:t>c Cod Trawl Cooperative Program. This re</w:t>
      </w:r>
      <w:r w:rsidRPr="00D31355">
        <w:t xml:space="preserve">quest is due to a </w:t>
      </w:r>
      <w:r w:rsidR="00121379">
        <w:t>final</w:t>
      </w:r>
      <w:r w:rsidRPr="00D31355" w:rsidR="00121379">
        <w:t xml:space="preserve"> </w:t>
      </w:r>
      <w:r w:rsidRPr="00D31355">
        <w:t>rule to implement Amendment 122 to the Fishery Management Plan for Groundfish of the Bering Sea and Aleutian Islands Management Area, which establish</w:t>
      </w:r>
      <w:r w:rsidR="00121379">
        <w:t>es</w:t>
      </w:r>
      <w:r w:rsidRPr="00D31355">
        <w:t xml:space="preserve"> the Pacific Cod Trawl Cooperative Program to allocate Pacific cod harvest quota to qualifying groundfish</w:t>
      </w:r>
      <w:r w:rsidRPr="00D31355">
        <w:t xml:space="preserve"> License Limitation Program license holders and qualifying processors (RIN 0648-BL08).</w:t>
      </w:r>
    </w:p>
    <w:p w:rsidR="00D54824" w:rsidP="00E25936" w14:paraId="276A7E33" w14:textId="77777777">
      <w:pPr>
        <w:widowControl/>
        <w:pBdr>
          <w:top w:val="nil"/>
          <w:left w:val="nil"/>
          <w:bottom w:val="nil"/>
          <w:right w:val="nil"/>
          <w:between w:val="nil"/>
        </w:pBdr>
        <w:rPr>
          <w:b/>
          <w:color w:val="000000"/>
        </w:rPr>
      </w:pPr>
    </w:p>
    <w:p w:rsidR="00D54824" w:rsidP="00E25936" w14:paraId="7FB89E12"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w:t>
      </w:r>
      <w:r>
        <w:rPr>
          <w:b/>
          <w:color w:val="000000"/>
        </w:rPr>
        <w:t>d. Provide the time schedule for the entire project, including beginning and ending dates of the collection of information, completion of report, publication dates, and other actions.</w:t>
      </w:r>
    </w:p>
    <w:p w:rsidR="00A759EF" w:rsidP="00E25936" w14:paraId="15E31B93" w14:textId="4A4E2BA9">
      <w:pPr>
        <w:widowControl/>
        <w:pBdr>
          <w:top w:val="nil"/>
          <w:left w:val="nil"/>
          <w:bottom w:val="nil"/>
          <w:right w:val="nil"/>
          <w:between w:val="nil"/>
        </w:pBdr>
      </w:pPr>
    </w:p>
    <w:p w:rsidR="004B19AF" w:rsidP="00E25936" w14:paraId="037752AE" w14:textId="526BB8CA">
      <w:pPr>
        <w:widowControl/>
        <w:pBdr>
          <w:top w:val="nil"/>
          <w:left w:val="nil"/>
          <w:bottom w:val="nil"/>
          <w:right w:val="nil"/>
          <w:between w:val="nil"/>
        </w:pBdr>
      </w:pPr>
      <w:r w:rsidRPr="004B19AF">
        <w:t xml:space="preserve">NMFS will post a list of the eligible PCTC Program LLP license holders </w:t>
      </w:r>
      <w:r w:rsidRPr="004B19AF">
        <w:t xml:space="preserve">and the eligible PCTC Program processors on </w:t>
      </w:r>
      <w:r>
        <w:t xml:space="preserve">the </w:t>
      </w:r>
      <w:r w:rsidRPr="008C6728">
        <w:t>NMFS Alaska Region webpage</w:t>
      </w:r>
      <w:r>
        <w:t xml:space="preserve"> </w:t>
      </w:r>
      <w:r w:rsidRPr="004B19AF">
        <w:t>on the day the final rule is published.</w:t>
      </w:r>
    </w:p>
    <w:p w:rsidR="004B19AF" w:rsidP="00E25936" w14:paraId="02370B04" w14:textId="77777777">
      <w:pPr>
        <w:widowControl/>
        <w:pBdr>
          <w:top w:val="nil"/>
          <w:left w:val="nil"/>
          <w:bottom w:val="nil"/>
          <w:right w:val="nil"/>
          <w:between w:val="nil"/>
        </w:pBdr>
      </w:pPr>
    </w:p>
    <w:p w:rsidR="00A759EF" w:rsidP="00E25936" w14:paraId="2AB0DBDB" w14:textId="6C913055">
      <w:pPr>
        <w:widowControl/>
        <w:pBdr>
          <w:top w:val="nil"/>
          <w:left w:val="nil"/>
          <w:bottom w:val="nil"/>
          <w:right w:val="nil"/>
          <w:between w:val="nil"/>
        </w:pBdr>
      </w:pPr>
      <w:r>
        <w:t xml:space="preserve">NMFS </w:t>
      </w:r>
      <w:r w:rsidR="00121379">
        <w:t xml:space="preserve">will </w:t>
      </w:r>
      <w:r>
        <w:t xml:space="preserve">publish some information from this collection, on the NMFS </w:t>
      </w:r>
      <w:r w:rsidRPr="00A759EF">
        <w:t>Alaska Region website</w:t>
      </w:r>
      <w:r>
        <w:t xml:space="preserve"> for permits and licenses issued in Alaska (</w:t>
      </w:r>
      <w:hyperlink r:id="rId22" w:history="1">
        <w:r w:rsidRPr="00A759EF">
          <w:rPr>
            <w:rStyle w:val="Hyperlink"/>
          </w:rPr>
          <w:t>https://www.fisheries.noaa.gov/alaska/commercial-fishing/permits-and-licenses-issued-alaska#more-information</w:t>
        </w:r>
      </w:hyperlink>
      <w:r>
        <w:t xml:space="preserve">). This </w:t>
      </w:r>
      <w:r w:rsidR="000830ED">
        <w:t xml:space="preserve">information </w:t>
      </w:r>
      <w:r w:rsidR="00121379">
        <w:t xml:space="preserve">will </w:t>
      </w:r>
      <w:r>
        <w:t>in</w:t>
      </w:r>
      <w:r>
        <w:t xml:space="preserve">clude ownership information and the amount of QS owned. </w:t>
      </w:r>
    </w:p>
    <w:p w:rsidR="00A759EF" w:rsidP="00E25936" w14:paraId="3CE8D1B5" w14:textId="77777777">
      <w:pPr>
        <w:widowControl/>
        <w:pBdr>
          <w:top w:val="nil"/>
          <w:left w:val="nil"/>
          <w:bottom w:val="nil"/>
          <w:right w:val="nil"/>
          <w:between w:val="nil"/>
        </w:pBdr>
      </w:pPr>
    </w:p>
    <w:p w:rsidR="000830ED" w:rsidP="00E25936" w14:paraId="5F8641C3" w14:textId="4AEB7D68">
      <w:pPr>
        <w:widowControl/>
        <w:pBdr>
          <w:top w:val="nil"/>
          <w:left w:val="nil"/>
          <w:bottom w:val="nil"/>
          <w:right w:val="nil"/>
          <w:between w:val="nil"/>
        </w:pBdr>
      </w:pPr>
      <w:r>
        <w:t xml:space="preserve">If a </w:t>
      </w:r>
      <w:r w:rsidRPr="00485E57">
        <w:t xml:space="preserve">notification of intent </w:t>
      </w:r>
      <w:r>
        <w:t xml:space="preserve">to process PCTC Program Pacific cod </w:t>
      </w:r>
      <w:r w:rsidR="00121379">
        <w:t>is</w:t>
      </w:r>
      <w:r w:rsidRPr="00485E57" w:rsidR="00121379">
        <w:t xml:space="preserve"> </w:t>
      </w:r>
      <w:r w:rsidRPr="00485E57">
        <w:t>received from the City of Adak or the City of Atka</w:t>
      </w:r>
      <w:r>
        <w:t xml:space="preserve">, NMFS </w:t>
      </w:r>
      <w:r w:rsidR="00121379">
        <w:t xml:space="preserve">will </w:t>
      </w:r>
      <w:r>
        <w:t xml:space="preserve">publish a notice in the </w:t>
      </w:r>
      <w:r w:rsidRPr="000830ED">
        <w:rPr>
          <w:i/>
        </w:rPr>
        <w:t>Federal Register</w:t>
      </w:r>
      <w:r>
        <w:t xml:space="preserve"> that the Aleutian Islands CQ</w:t>
      </w:r>
      <w:r>
        <w:t xml:space="preserve"> set-aside </w:t>
      </w:r>
      <w:r w:rsidR="00121379">
        <w:t xml:space="preserve">will </w:t>
      </w:r>
      <w:r>
        <w:t xml:space="preserve">be in effect for the upcoming fishing year. </w:t>
      </w:r>
    </w:p>
    <w:p w:rsidR="000830ED" w:rsidP="00E25936" w14:paraId="0D742B17" w14:textId="77777777">
      <w:pPr>
        <w:widowControl/>
        <w:pBdr>
          <w:top w:val="nil"/>
          <w:left w:val="nil"/>
          <w:bottom w:val="nil"/>
          <w:right w:val="nil"/>
          <w:between w:val="nil"/>
        </w:pBdr>
      </w:pPr>
    </w:p>
    <w:p w:rsidR="000830ED" w:rsidRPr="00B45134" w:rsidP="00E25936" w14:paraId="668E936E" w14:textId="594E91E0">
      <w:pPr>
        <w:widowControl/>
        <w:autoSpaceDE w:val="0"/>
        <w:autoSpaceDN w:val="0"/>
        <w:adjustRightInd w:val="0"/>
      </w:pPr>
      <w:r w:rsidRPr="00593D14">
        <w:t xml:space="preserve">Final administrative appeal decisions with redactions </w:t>
      </w:r>
      <w:r w:rsidR="00121379">
        <w:t xml:space="preserve">will </w:t>
      </w:r>
      <w:r>
        <w:t>be</w:t>
      </w:r>
      <w:r w:rsidRPr="00593D14">
        <w:t xml:space="preserve"> posted on the NMFS National Appeals Office</w:t>
      </w:r>
      <w:r w:rsidRPr="003E55DF">
        <w:t xml:space="preserve"> website at </w:t>
      </w:r>
      <w:hyperlink r:id="rId12" w:history="1">
        <w:r w:rsidRPr="003E55DF">
          <w:rPr>
            <w:color w:val="0000FF"/>
            <w:u w:val="single"/>
          </w:rPr>
          <w:t>https://www.fisheries.noaa.gov/national/rules-and-regulations/appeals</w:t>
        </w:r>
      </w:hyperlink>
      <w:r w:rsidRPr="003E55DF">
        <w:t>. Personally identifiable information and confidential business information submitted in an administrat</w:t>
      </w:r>
      <w:r w:rsidRPr="003E55DF">
        <w:t>ive appeal are not released to the public.</w:t>
      </w:r>
    </w:p>
    <w:p w:rsidR="00485E57" w:rsidP="00E25936" w14:paraId="6AFCB5A9" w14:textId="7E35C8D7">
      <w:pPr>
        <w:widowControl/>
        <w:pBdr>
          <w:top w:val="nil"/>
          <w:left w:val="nil"/>
          <w:bottom w:val="nil"/>
          <w:right w:val="nil"/>
          <w:between w:val="nil"/>
        </w:pBdr>
      </w:pPr>
    </w:p>
    <w:p w:rsidR="00D54824" w:rsidP="00E25936" w14:paraId="3BEE56AB"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D54824" w:rsidRPr="007270D1" w:rsidP="00E25936" w14:paraId="027FA8D8" w14:textId="08016EBF">
      <w:pPr>
        <w:keepNext/>
        <w:widowControl/>
      </w:pPr>
    </w:p>
    <w:p w:rsidR="007270D1" w:rsidRPr="001054D2" w:rsidP="00E25936" w14:paraId="3A023EAC" w14:textId="248CF7C5">
      <w:pPr>
        <w:keepNext/>
        <w:widowControl/>
      </w:pPr>
      <w:r w:rsidRPr="00D44A4E">
        <w:t>The N</w:t>
      </w:r>
      <w:r w:rsidRPr="00D44A4E" w:rsidR="00813CF6">
        <w:t xml:space="preserve">otification of </w:t>
      </w:r>
      <w:r w:rsidRPr="00D44A4E">
        <w:t>Intent to P</w:t>
      </w:r>
      <w:r w:rsidRPr="00D44A4E" w:rsidR="00813CF6">
        <w:t>r</w:t>
      </w:r>
      <w:r w:rsidRPr="00D44A4E">
        <w:t xml:space="preserve">ocess </w:t>
      </w:r>
      <w:r w:rsidR="00F039D8">
        <w:t>PCTC Program</w:t>
      </w:r>
      <w:r w:rsidRPr="00D44A4E">
        <w:t xml:space="preserve"> Pacific C</w:t>
      </w:r>
      <w:r w:rsidRPr="00D44A4E" w:rsidR="00813CF6">
        <w:t xml:space="preserve">od </w:t>
      </w:r>
      <w:r w:rsidRPr="00D44A4E">
        <w:t>and the Ninety Day Transfer</w:t>
      </w:r>
      <w:r>
        <w:t xml:space="preserve"> Window for Non-Exempt AFA LLP H</w:t>
      </w:r>
      <w:r w:rsidRPr="00D44A4E">
        <w:t>olders</w:t>
      </w:r>
      <w:r>
        <w:t xml:space="preserve"> are not forms. These are letters or </w:t>
      </w:r>
      <w:r w:rsidR="007F7D33">
        <w:t>memoranda</w:t>
      </w:r>
      <w:r w:rsidRPr="007F7D33" w:rsidR="007F7D33">
        <w:t xml:space="preserve"> </w:t>
      </w:r>
      <w:r>
        <w:t xml:space="preserve">submitted by the respondents to NMFS. </w:t>
      </w:r>
      <w:r w:rsidRPr="00FE5522" w:rsidR="00FE5522">
        <w:t xml:space="preserve">The agency plans to display the expiration date for OMB approval of the information collection on all </w:t>
      </w:r>
      <w:r>
        <w:t xml:space="preserve">other </w:t>
      </w:r>
      <w:r w:rsidRPr="00FE5522" w:rsidR="00FE5522">
        <w:t>instruments.</w:t>
      </w:r>
    </w:p>
    <w:p w:rsidR="007270D1" w:rsidRPr="007270D1" w:rsidP="00E25936" w14:paraId="243062F2" w14:textId="77777777">
      <w:pPr>
        <w:widowControl/>
      </w:pPr>
    </w:p>
    <w:p w:rsidR="00D54824" w:rsidP="00E25936" w14:paraId="767D1F3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925EEA" w:rsidP="00E25936" w14:paraId="341F2095" w14:textId="77777777">
      <w:pPr>
        <w:widowControl/>
        <w:jc w:val="both"/>
      </w:pPr>
    </w:p>
    <w:p w:rsidR="00D54824" w:rsidP="00E25936" w14:paraId="4F840C2D" w14:textId="1AA7D83B">
      <w:pPr>
        <w:widowControl/>
        <w:jc w:val="both"/>
      </w:pPr>
      <w:r>
        <w:t xml:space="preserve">The agency certifies compliance with </w:t>
      </w:r>
      <w:hyperlink r:id="rId23">
        <w:r>
          <w:rPr>
            <w:color w:val="0563C1"/>
            <w:u w:val="single"/>
          </w:rPr>
          <w:t>5 CFR 1320.9</w:t>
        </w:r>
      </w:hyperlink>
      <w:hyperlink r:id="rId23">
        <w:r>
          <w:rPr>
            <w:color w:val="0563C1"/>
          </w:rPr>
          <w:t xml:space="preserve"> </w:t>
        </w:r>
      </w:hyperlink>
      <w:r>
        <w:t xml:space="preserve">and the related provisions of </w:t>
      </w:r>
      <w:hyperlink r:id="rId24">
        <w:r>
          <w:rPr>
            <w:color w:val="0563C1"/>
            <w:u w:val="single"/>
          </w:rPr>
          <w:t>5 CFR</w:t>
        </w:r>
      </w:hyperlink>
      <w:r>
        <w:rPr>
          <w:color w:val="0563C1"/>
        </w:rPr>
        <w:t xml:space="preserve"> </w:t>
      </w:r>
      <w:hyperlink r:id="rId24">
        <w:r>
          <w:rPr>
            <w:color w:val="0563C1"/>
            <w:u w:val="single"/>
          </w:rPr>
          <w:t>1320.8(b)(3)</w:t>
        </w:r>
      </w:hyperlink>
      <w:r>
        <w:t>.</w:t>
      </w:r>
    </w:p>
    <w:p w:rsidR="00D54824" w:rsidP="00E25936" w14:paraId="17D404F9" w14:textId="77777777">
      <w:pPr>
        <w:widowControl/>
        <w:jc w:val="both"/>
      </w:pPr>
    </w:p>
    <w:p w:rsidR="00D54824" w:rsidP="00E25936" w14:paraId="3BCF8A24" w14:textId="77777777">
      <w:pPr>
        <w:widowControl/>
        <w:jc w:val="both"/>
      </w:pPr>
    </w:p>
    <w:sectPr w:rsidSect="00207642">
      <w:pgSz w:w="12240" w:h="15840"/>
      <w:pgMar w:top="1440" w:right="1440" w:bottom="1440" w:left="1440" w:header="0" w:footer="10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1139905"/>
      <w:docPartObj>
        <w:docPartGallery w:val="Page Numbers (Bottom of Page)"/>
        <w:docPartUnique/>
      </w:docPartObj>
    </w:sdtPr>
    <w:sdtEndPr>
      <w:rPr>
        <w:noProof/>
        <w:sz w:val="20"/>
        <w:szCs w:val="20"/>
      </w:rPr>
    </w:sdtEndPr>
    <w:sdtContent>
      <w:p w:rsidR="00844B28" w:rsidRPr="00B363C0" w14:paraId="63E20BDF" w14:textId="5792A00E">
        <w:pPr>
          <w:pStyle w:val="Footer"/>
          <w:jc w:val="center"/>
          <w:rPr>
            <w:sz w:val="20"/>
            <w:szCs w:val="20"/>
          </w:rPr>
        </w:pPr>
        <w:r w:rsidRPr="00207642">
          <w:rPr>
            <w:rFonts w:asciiTheme="minorHAnsi" w:hAnsiTheme="minorHAnsi" w:cstheme="minorHAnsi"/>
            <w:sz w:val="20"/>
            <w:szCs w:val="20"/>
          </w:rPr>
          <w:fldChar w:fldCharType="begin"/>
        </w:r>
        <w:r w:rsidRPr="00207642">
          <w:rPr>
            <w:rFonts w:asciiTheme="minorHAnsi" w:hAnsiTheme="minorHAnsi" w:cstheme="minorHAnsi"/>
            <w:sz w:val="20"/>
            <w:szCs w:val="20"/>
          </w:rPr>
          <w:instrText xml:space="preserve"> PAGE   \* MERGEFORMAT </w:instrText>
        </w:r>
        <w:r w:rsidRPr="00207642">
          <w:rPr>
            <w:rFonts w:asciiTheme="minorHAnsi" w:hAnsiTheme="minorHAnsi" w:cstheme="minorHAnsi"/>
            <w:sz w:val="20"/>
            <w:szCs w:val="20"/>
          </w:rPr>
          <w:fldChar w:fldCharType="separate"/>
        </w:r>
        <w:r w:rsidR="00EC22BF">
          <w:rPr>
            <w:rFonts w:asciiTheme="minorHAnsi" w:hAnsiTheme="minorHAnsi" w:cstheme="minorHAnsi"/>
            <w:noProof/>
            <w:sz w:val="20"/>
            <w:szCs w:val="20"/>
          </w:rPr>
          <w:t>7</w:t>
        </w:r>
        <w:r w:rsidRPr="00207642">
          <w:rPr>
            <w:rFonts w:asciiTheme="minorHAnsi" w:hAnsiTheme="minorHAnsi" w:cstheme="minorHAnsi"/>
            <w:noProof/>
            <w:sz w:val="20"/>
            <w:szCs w:val="20"/>
          </w:rPr>
          <w:fldChar w:fldCharType="end"/>
        </w:r>
      </w:p>
    </w:sdtContent>
  </w:sdt>
  <w:p w:rsidR="00844B28" w14:paraId="6A16BE16"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AA2046"/>
    <w:multiLevelType w:val="hybridMultilevel"/>
    <w:tmpl w:val="C8F60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905A27"/>
    <w:multiLevelType w:val="hybridMultilevel"/>
    <w:tmpl w:val="A8C2C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5B4D58"/>
    <w:multiLevelType w:val="hybridMultilevel"/>
    <w:tmpl w:val="EF46D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4">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7">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2DCF1AEB"/>
    <w:multiLevelType w:val="hybridMultilevel"/>
    <w:tmpl w:val="D68A1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F7063"/>
    <w:multiLevelType w:val="multilevel"/>
    <w:tmpl w:val="19041FF2"/>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2">
    <w:nsid w:val="385565F1"/>
    <w:multiLevelType w:val="hybridMultilevel"/>
    <w:tmpl w:val="55B0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A2B76"/>
    <w:multiLevelType w:val="hybridMultilevel"/>
    <w:tmpl w:val="5574A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5">
    <w:nsid w:val="4F6057DA"/>
    <w:multiLevelType w:val="hybridMultilevel"/>
    <w:tmpl w:val="19BCC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7">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8">
    <w:nsid w:val="5C42253D"/>
    <w:multiLevelType w:val="hybridMultilevel"/>
    <w:tmpl w:val="ACFA74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C5572A"/>
    <w:multiLevelType w:val="hybridMultilevel"/>
    <w:tmpl w:val="62A48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F84BF4"/>
    <w:multiLevelType w:val="hybridMultilevel"/>
    <w:tmpl w:val="14044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B74796"/>
    <w:multiLevelType w:val="hybridMultilevel"/>
    <w:tmpl w:val="7E8C3D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8"/>
  </w:num>
  <w:num w:numId="2">
    <w:abstractNumId w:val="17"/>
  </w:num>
  <w:num w:numId="3">
    <w:abstractNumId w:val="11"/>
  </w:num>
  <w:num w:numId="4">
    <w:abstractNumId w:val="9"/>
  </w:num>
  <w:num w:numId="5">
    <w:abstractNumId w:val="7"/>
  </w:num>
  <w:num w:numId="6">
    <w:abstractNumId w:val="4"/>
  </w:num>
  <w:num w:numId="7">
    <w:abstractNumId w:val="5"/>
  </w:num>
  <w:num w:numId="8">
    <w:abstractNumId w:val="22"/>
  </w:num>
  <w:num w:numId="9">
    <w:abstractNumId w:val="16"/>
  </w:num>
  <w:num w:numId="10">
    <w:abstractNumId w:val="14"/>
  </w:num>
  <w:num w:numId="11">
    <w:abstractNumId w:val="3"/>
  </w:num>
  <w:num w:numId="12">
    <w:abstractNumId w:val="12"/>
  </w:num>
  <w:num w:numId="13">
    <w:abstractNumId w:val="21"/>
  </w:num>
  <w:num w:numId="14">
    <w:abstractNumId w:val="6"/>
  </w:num>
  <w:num w:numId="15">
    <w:abstractNumId w:val="19"/>
  </w:num>
  <w:num w:numId="16">
    <w:abstractNumId w:val="2"/>
  </w:num>
  <w:num w:numId="17">
    <w:abstractNumId w:val="0"/>
  </w:num>
  <w:num w:numId="18">
    <w:abstractNumId w:val="13"/>
  </w:num>
  <w:num w:numId="19">
    <w:abstractNumId w:val="1"/>
  </w:num>
  <w:num w:numId="20">
    <w:abstractNumId w:val="20"/>
  </w:num>
  <w:num w:numId="21">
    <w:abstractNumId w:val="18"/>
  </w:num>
  <w:num w:numId="22">
    <w:abstractNumId w:val="10"/>
  </w:num>
  <w:num w:numId="23">
    <w:abstractNumId w:val="15"/>
    <w:lvlOverride w:ilvl="0"/>
    <w:lvlOverride w:ilvl="1"/>
    <w:lvlOverride w:ilvl="2"/>
    <w:lvlOverride w:ilvl="3"/>
    <w:lvlOverride w:ilvl="4"/>
    <w:lvlOverride w:ilvl="5"/>
    <w:lvlOverride w:ilvl="6"/>
    <w:lvlOverride w:ilvl="7"/>
    <w:lvlOverride w:ilvl="8"/>
  </w:num>
  <w:num w:numId="24">
    <w:abstractNumId w:val="2"/>
    <w:lvlOverride w:ilvl="0"/>
    <w:lvlOverride w:ilvl="1"/>
    <w:lvlOverride w:ilvl="2"/>
    <w:lvlOverride w:ilvl="3"/>
    <w:lvlOverride w:ilvl="4"/>
    <w:lvlOverride w:ilvl="5"/>
    <w:lvlOverride w:ilvl="6"/>
    <w:lvlOverride w:ilvl="7"/>
    <w:lvlOverride w:ilvl="8"/>
  </w:num>
  <w:num w:numId="25">
    <w:abstractNumId w:val="20"/>
    <w:lvlOverride w:ilvl="0"/>
    <w:lvlOverride w:ilvl="1"/>
    <w:lvlOverride w:ilvl="2"/>
    <w:lvlOverride w:ilvl="3"/>
    <w:lvlOverride w:ilvl="4"/>
    <w:lvlOverride w:ilvl="5"/>
    <w:lvlOverride w:ilvl="6"/>
    <w:lvlOverride w:ilvl="7"/>
    <w:lvlOverride w:ilvl="8"/>
  </w:num>
  <w:num w:numId="26">
    <w:abstractNumId w:val="13"/>
    <w:lvlOverride w:ilvl="0"/>
    <w:lvlOverride w:ilvl="1"/>
    <w:lvlOverride w:ilvl="2"/>
    <w:lvlOverride w:ilvl="3"/>
    <w:lvlOverride w:ilvl="4"/>
    <w:lvlOverride w:ilvl="5"/>
    <w:lvlOverride w:ilvl="6"/>
    <w:lvlOverride w:ilvl="7"/>
    <w:lvlOverride w:ilvl="8"/>
  </w:num>
  <w:num w:numId="27">
    <w:abstractNumId w:val="10"/>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103F0"/>
    <w:rsid w:val="00010AD9"/>
    <w:rsid w:val="00027CD4"/>
    <w:rsid w:val="000314D2"/>
    <w:rsid w:val="000377FE"/>
    <w:rsid w:val="0005101B"/>
    <w:rsid w:val="00060B20"/>
    <w:rsid w:val="0006170F"/>
    <w:rsid w:val="00062E77"/>
    <w:rsid w:val="00064813"/>
    <w:rsid w:val="00070F62"/>
    <w:rsid w:val="00074B5E"/>
    <w:rsid w:val="00082EA1"/>
    <w:rsid w:val="000830ED"/>
    <w:rsid w:val="0008744B"/>
    <w:rsid w:val="00090281"/>
    <w:rsid w:val="00090E50"/>
    <w:rsid w:val="00091692"/>
    <w:rsid w:val="000A6F44"/>
    <w:rsid w:val="000C20DA"/>
    <w:rsid w:val="000C3409"/>
    <w:rsid w:val="000C4AC9"/>
    <w:rsid w:val="000C4F01"/>
    <w:rsid w:val="000C7316"/>
    <w:rsid w:val="000D5A8D"/>
    <w:rsid w:val="000E4A3B"/>
    <w:rsid w:val="000E694C"/>
    <w:rsid w:val="000F7702"/>
    <w:rsid w:val="000F7965"/>
    <w:rsid w:val="001054D2"/>
    <w:rsid w:val="00116214"/>
    <w:rsid w:val="001166BF"/>
    <w:rsid w:val="00121379"/>
    <w:rsid w:val="0012380A"/>
    <w:rsid w:val="001257FA"/>
    <w:rsid w:val="001332FB"/>
    <w:rsid w:val="00136E8E"/>
    <w:rsid w:val="0014200F"/>
    <w:rsid w:val="001442A6"/>
    <w:rsid w:val="00145850"/>
    <w:rsid w:val="00147F03"/>
    <w:rsid w:val="00155435"/>
    <w:rsid w:val="001676DE"/>
    <w:rsid w:val="00173665"/>
    <w:rsid w:val="00173B0D"/>
    <w:rsid w:val="00184609"/>
    <w:rsid w:val="001846F2"/>
    <w:rsid w:val="00185257"/>
    <w:rsid w:val="001A0A6B"/>
    <w:rsid w:val="001A72D1"/>
    <w:rsid w:val="001B22C0"/>
    <w:rsid w:val="001F537C"/>
    <w:rsid w:val="002000A9"/>
    <w:rsid w:val="0020444D"/>
    <w:rsid w:val="0020672B"/>
    <w:rsid w:val="00207642"/>
    <w:rsid w:val="00212B18"/>
    <w:rsid w:val="00217DE6"/>
    <w:rsid w:val="002227E7"/>
    <w:rsid w:val="00223F0B"/>
    <w:rsid w:val="00224945"/>
    <w:rsid w:val="00230B26"/>
    <w:rsid w:val="002330A8"/>
    <w:rsid w:val="002508E4"/>
    <w:rsid w:val="0025502F"/>
    <w:rsid w:val="00257744"/>
    <w:rsid w:val="002601DC"/>
    <w:rsid w:val="00262695"/>
    <w:rsid w:val="00264B92"/>
    <w:rsid w:val="00266625"/>
    <w:rsid w:val="00266A4D"/>
    <w:rsid w:val="0027276A"/>
    <w:rsid w:val="00272B44"/>
    <w:rsid w:val="00286541"/>
    <w:rsid w:val="0029646D"/>
    <w:rsid w:val="002A0483"/>
    <w:rsid w:val="002A4FB2"/>
    <w:rsid w:val="002C0E65"/>
    <w:rsid w:val="002C31DE"/>
    <w:rsid w:val="002E1BF5"/>
    <w:rsid w:val="002E3CDA"/>
    <w:rsid w:val="002F7C9E"/>
    <w:rsid w:val="00302A8B"/>
    <w:rsid w:val="00316E0D"/>
    <w:rsid w:val="00321145"/>
    <w:rsid w:val="00333D8F"/>
    <w:rsid w:val="003361D1"/>
    <w:rsid w:val="0034748A"/>
    <w:rsid w:val="00353E29"/>
    <w:rsid w:val="003861A2"/>
    <w:rsid w:val="003864F2"/>
    <w:rsid w:val="0039110F"/>
    <w:rsid w:val="00391FF9"/>
    <w:rsid w:val="00392AA9"/>
    <w:rsid w:val="003954B8"/>
    <w:rsid w:val="003A07E2"/>
    <w:rsid w:val="003A4F5E"/>
    <w:rsid w:val="003A686B"/>
    <w:rsid w:val="003B620D"/>
    <w:rsid w:val="003C23F5"/>
    <w:rsid w:val="003C76F2"/>
    <w:rsid w:val="003D57F5"/>
    <w:rsid w:val="003D5F3A"/>
    <w:rsid w:val="003D662F"/>
    <w:rsid w:val="003E257F"/>
    <w:rsid w:val="003E3713"/>
    <w:rsid w:val="003E4C25"/>
    <w:rsid w:val="003E55DF"/>
    <w:rsid w:val="003F1C69"/>
    <w:rsid w:val="0041422B"/>
    <w:rsid w:val="00416FA7"/>
    <w:rsid w:val="00421F56"/>
    <w:rsid w:val="004241EC"/>
    <w:rsid w:val="004371A1"/>
    <w:rsid w:val="00451B88"/>
    <w:rsid w:val="00455B8D"/>
    <w:rsid w:val="00464365"/>
    <w:rsid w:val="00471789"/>
    <w:rsid w:val="004764BE"/>
    <w:rsid w:val="004768DD"/>
    <w:rsid w:val="00477D6F"/>
    <w:rsid w:val="00485E57"/>
    <w:rsid w:val="004917D9"/>
    <w:rsid w:val="00495109"/>
    <w:rsid w:val="00496D08"/>
    <w:rsid w:val="004B19AF"/>
    <w:rsid w:val="004C1E33"/>
    <w:rsid w:val="004D0BF9"/>
    <w:rsid w:val="004D36C8"/>
    <w:rsid w:val="004E23C4"/>
    <w:rsid w:val="004E26EF"/>
    <w:rsid w:val="004F3211"/>
    <w:rsid w:val="0050567F"/>
    <w:rsid w:val="0052697A"/>
    <w:rsid w:val="005269BD"/>
    <w:rsid w:val="00536319"/>
    <w:rsid w:val="00541B52"/>
    <w:rsid w:val="005502C1"/>
    <w:rsid w:val="0055593B"/>
    <w:rsid w:val="00557A34"/>
    <w:rsid w:val="00560F96"/>
    <w:rsid w:val="005639B3"/>
    <w:rsid w:val="005657C6"/>
    <w:rsid w:val="00567370"/>
    <w:rsid w:val="0057150C"/>
    <w:rsid w:val="00580711"/>
    <w:rsid w:val="005813BE"/>
    <w:rsid w:val="00591370"/>
    <w:rsid w:val="00593D14"/>
    <w:rsid w:val="005B7FF4"/>
    <w:rsid w:val="005D0064"/>
    <w:rsid w:val="005D38F5"/>
    <w:rsid w:val="005E54C3"/>
    <w:rsid w:val="005F2B5F"/>
    <w:rsid w:val="00610027"/>
    <w:rsid w:val="00611905"/>
    <w:rsid w:val="00631502"/>
    <w:rsid w:val="00636121"/>
    <w:rsid w:val="006368A8"/>
    <w:rsid w:val="00644269"/>
    <w:rsid w:val="00645F3E"/>
    <w:rsid w:val="00667C61"/>
    <w:rsid w:val="00671E8B"/>
    <w:rsid w:val="0067447F"/>
    <w:rsid w:val="00677E8D"/>
    <w:rsid w:val="00686456"/>
    <w:rsid w:val="00686966"/>
    <w:rsid w:val="00695194"/>
    <w:rsid w:val="006A67F2"/>
    <w:rsid w:val="006B5F3D"/>
    <w:rsid w:val="006B73DE"/>
    <w:rsid w:val="006F6301"/>
    <w:rsid w:val="00701369"/>
    <w:rsid w:val="00704802"/>
    <w:rsid w:val="00704C3E"/>
    <w:rsid w:val="00705098"/>
    <w:rsid w:val="00721F5A"/>
    <w:rsid w:val="007270D1"/>
    <w:rsid w:val="007328CD"/>
    <w:rsid w:val="007512EB"/>
    <w:rsid w:val="007673F4"/>
    <w:rsid w:val="007710FB"/>
    <w:rsid w:val="00774D55"/>
    <w:rsid w:val="00776B34"/>
    <w:rsid w:val="00780461"/>
    <w:rsid w:val="00782947"/>
    <w:rsid w:val="00783B63"/>
    <w:rsid w:val="007A09E5"/>
    <w:rsid w:val="007B40ED"/>
    <w:rsid w:val="007B6D14"/>
    <w:rsid w:val="007C5A5D"/>
    <w:rsid w:val="007D63BD"/>
    <w:rsid w:val="007E58D5"/>
    <w:rsid w:val="007E67AB"/>
    <w:rsid w:val="007F03B7"/>
    <w:rsid w:val="007F354C"/>
    <w:rsid w:val="007F7D33"/>
    <w:rsid w:val="00801EC4"/>
    <w:rsid w:val="008106CA"/>
    <w:rsid w:val="00813CF6"/>
    <w:rsid w:val="00817A8C"/>
    <w:rsid w:val="008207AA"/>
    <w:rsid w:val="00820C48"/>
    <w:rsid w:val="00824C82"/>
    <w:rsid w:val="00826F75"/>
    <w:rsid w:val="00827C35"/>
    <w:rsid w:val="00841B31"/>
    <w:rsid w:val="00844B28"/>
    <w:rsid w:val="00847C93"/>
    <w:rsid w:val="00850431"/>
    <w:rsid w:val="00855434"/>
    <w:rsid w:val="00855BFE"/>
    <w:rsid w:val="008800BA"/>
    <w:rsid w:val="008920E1"/>
    <w:rsid w:val="008922C6"/>
    <w:rsid w:val="0089749F"/>
    <w:rsid w:val="008A480A"/>
    <w:rsid w:val="008A719A"/>
    <w:rsid w:val="008B143E"/>
    <w:rsid w:val="008B49AA"/>
    <w:rsid w:val="008C09A3"/>
    <w:rsid w:val="008C5DB3"/>
    <w:rsid w:val="008C6728"/>
    <w:rsid w:val="008C7704"/>
    <w:rsid w:val="008E7263"/>
    <w:rsid w:val="008F50CF"/>
    <w:rsid w:val="008F5137"/>
    <w:rsid w:val="008F6D21"/>
    <w:rsid w:val="0090271F"/>
    <w:rsid w:val="00911EB6"/>
    <w:rsid w:val="00921561"/>
    <w:rsid w:val="00925C71"/>
    <w:rsid w:val="00925EEA"/>
    <w:rsid w:val="00937299"/>
    <w:rsid w:val="009379B7"/>
    <w:rsid w:val="009431ED"/>
    <w:rsid w:val="009461B6"/>
    <w:rsid w:val="00951FDB"/>
    <w:rsid w:val="00952D90"/>
    <w:rsid w:val="00954340"/>
    <w:rsid w:val="00957FB3"/>
    <w:rsid w:val="00964D3C"/>
    <w:rsid w:val="0097014D"/>
    <w:rsid w:val="00972625"/>
    <w:rsid w:val="0097685C"/>
    <w:rsid w:val="00980B86"/>
    <w:rsid w:val="00981900"/>
    <w:rsid w:val="00997CC3"/>
    <w:rsid w:val="009E48A2"/>
    <w:rsid w:val="009F6BB6"/>
    <w:rsid w:val="009F754E"/>
    <w:rsid w:val="00A01C2F"/>
    <w:rsid w:val="00A01E19"/>
    <w:rsid w:val="00A070F3"/>
    <w:rsid w:val="00A12F39"/>
    <w:rsid w:val="00A14B13"/>
    <w:rsid w:val="00A1689C"/>
    <w:rsid w:val="00A23C9F"/>
    <w:rsid w:val="00A24182"/>
    <w:rsid w:val="00A32AA5"/>
    <w:rsid w:val="00A362A3"/>
    <w:rsid w:val="00A37687"/>
    <w:rsid w:val="00A37B3F"/>
    <w:rsid w:val="00A43E20"/>
    <w:rsid w:val="00A53B46"/>
    <w:rsid w:val="00A53D1F"/>
    <w:rsid w:val="00A54AD7"/>
    <w:rsid w:val="00A61C74"/>
    <w:rsid w:val="00A61CB1"/>
    <w:rsid w:val="00A7113A"/>
    <w:rsid w:val="00A759EF"/>
    <w:rsid w:val="00A91BF2"/>
    <w:rsid w:val="00AA18A3"/>
    <w:rsid w:val="00AB43FF"/>
    <w:rsid w:val="00AC3A37"/>
    <w:rsid w:val="00AC3E76"/>
    <w:rsid w:val="00AD0C80"/>
    <w:rsid w:val="00AE7B56"/>
    <w:rsid w:val="00AF48F1"/>
    <w:rsid w:val="00B106C0"/>
    <w:rsid w:val="00B151D9"/>
    <w:rsid w:val="00B156FC"/>
    <w:rsid w:val="00B17162"/>
    <w:rsid w:val="00B30BDD"/>
    <w:rsid w:val="00B3234F"/>
    <w:rsid w:val="00B363C0"/>
    <w:rsid w:val="00B36B73"/>
    <w:rsid w:val="00B45134"/>
    <w:rsid w:val="00B519A2"/>
    <w:rsid w:val="00B67F95"/>
    <w:rsid w:val="00B757D5"/>
    <w:rsid w:val="00B77380"/>
    <w:rsid w:val="00B80FE9"/>
    <w:rsid w:val="00B84DCB"/>
    <w:rsid w:val="00B857BC"/>
    <w:rsid w:val="00B93B06"/>
    <w:rsid w:val="00B94864"/>
    <w:rsid w:val="00B95C94"/>
    <w:rsid w:val="00BA6F06"/>
    <w:rsid w:val="00BB2A6E"/>
    <w:rsid w:val="00BB2C93"/>
    <w:rsid w:val="00BC18CF"/>
    <w:rsid w:val="00BC40A1"/>
    <w:rsid w:val="00BD2269"/>
    <w:rsid w:val="00BD463B"/>
    <w:rsid w:val="00BE5B6A"/>
    <w:rsid w:val="00BE6F71"/>
    <w:rsid w:val="00BF3A19"/>
    <w:rsid w:val="00C0246F"/>
    <w:rsid w:val="00C038CC"/>
    <w:rsid w:val="00C16434"/>
    <w:rsid w:val="00C171A1"/>
    <w:rsid w:val="00C20039"/>
    <w:rsid w:val="00C21AD7"/>
    <w:rsid w:val="00C226A3"/>
    <w:rsid w:val="00C30BCA"/>
    <w:rsid w:val="00C41E72"/>
    <w:rsid w:val="00C50F99"/>
    <w:rsid w:val="00C67B21"/>
    <w:rsid w:val="00C751E7"/>
    <w:rsid w:val="00C82C58"/>
    <w:rsid w:val="00C935EC"/>
    <w:rsid w:val="00C970E5"/>
    <w:rsid w:val="00C97B73"/>
    <w:rsid w:val="00CA1449"/>
    <w:rsid w:val="00CB42CF"/>
    <w:rsid w:val="00CC468D"/>
    <w:rsid w:val="00CD3B81"/>
    <w:rsid w:val="00CE330C"/>
    <w:rsid w:val="00CF31C5"/>
    <w:rsid w:val="00CF736E"/>
    <w:rsid w:val="00D03736"/>
    <w:rsid w:val="00D07886"/>
    <w:rsid w:val="00D20F49"/>
    <w:rsid w:val="00D22F6E"/>
    <w:rsid w:val="00D3094F"/>
    <w:rsid w:val="00D309D6"/>
    <w:rsid w:val="00D31355"/>
    <w:rsid w:val="00D350DC"/>
    <w:rsid w:val="00D43E8D"/>
    <w:rsid w:val="00D44A4E"/>
    <w:rsid w:val="00D4754B"/>
    <w:rsid w:val="00D54824"/>
    <w:rsid w:val="00D65554"/>
    <w:rsid w:val="00D70BB4"/>
    <w:rsid w:val="00D7655B"/>
    <w:rsid w:val="00D83EBA"/>
    <w:rsid w:val="00D9003C"/>
    <w:rsid w:val="00D92416"/>
    <w:rsid w:val="00D97F0C"/>
    <w:rsid w:val="00DA22EB"/>
    <w:rsid w:val="00DB246D"/>
    <w:rsid w:val="00DB3E99"/>
    <w:rsid w:val="00DB4E69"/>
    <w:rsid w:val="00DC7684"/>
    <w:rsid w:val="00DD4998"/>
    <w:rsid w:val="00DD5892"/>
    <w:rsid w:val="00DE1053"/>
    <w:rsid w:val="00E025DF"/>
    <w:rsid w:val="00E02EBA"/>
    <w:rsid w:val="00E11B19"/>
    <w:rsid w:val="00E15F82"/>
    <w:rsid w:val="00E165BC"/>
    <w:rsid w:val="00E16DB4"/>
    <w:rsid w:val="00E21E78"/>
    <w:rsid w:val="00E2202C"/>
    <w:rsid w:val="00E225CE"/>
    <w:rsid w:val="00E25936"/>
    <w:rsid w:val="00E2655F"/>
    <w:rsid w:val="00E36A1F"/>
    <w:rsid w:val="00E40006"/>
    <w:rsid w:val="00E44865"/>
    <w:rsid w:val="00E470B5"/>
    <w:rsid w:val="00E47352"/>
    <w:rsid w:val="00E52F2C"/>
    <w:rsid w:val="00E54AF8"/>
    <w:rsid w:val="00E571A2"/>
    <w:rsid w:val="00E634A8"/>
    <w:rsid w:val="00E6374C"/>
    <w:rsid w:val="00E71944"/>
    <w:rsid w:val="00E73DB8"/>
    <w:rsid w:val="00E77147"/>
    <w:rsid w:val="00E80CEE"/>
    <w:rsid w:val="00E8638C"/>
    <w:rsid w:val="00E871F1"/>
    <w:rsid w:val="00E87791"/>
    <w:rsid w:val="00E87CD1"/>
    <w:rsid w:val="00E92E4B"/>
    <w:rsid w:val="00EA1704"/>
    <w:rsid w:val="00EA4449"/>
    <w:rsid w:val="00EA7988"/>
    <w:rsid w:val="00EA7D45"/>
    <w:rsid w:val="00EC22BF"/>
    <w:rsid w:val="00EC3622"/>
    <w:rsid w:val="00EF0144"/>
    <w:rsid w:val="00EF42D9"/>
    <w:rsid w:val="00F039D8"/>
    <w:rsid w:val="00F101B3"/>
    <w:rsid w:val="00F15FC3"/>
    <w:rsid w:val="00F2005D"/>
    <w:rsid w:val="00F20BB5"/>
    <w:rsid w:val="00F25BF4"/>
    <w:rsid w:val="00F315DB"/>
    <w:rsid w:val="00F37441"/>
    <w:rsid w:val="00F41D31"/>
    <w:rsid w:val="00F53B6D"/>
    <w:rsid w:val="00F617AA"/>
    <w:rsid w:val="00F759E7"/>
    <w:rsid w:val="00F82299"/>
    <w:rsid w:val="00F9295A"/>
    <w:rsid w:val="00FA0E88"/>
    <w:rsid w:val="00FB0D5E"/>
    <w:rsid w:val="00FB1860"/>
    <w:rsid w:val="00FB466B"/>
    <w:rsid w:val="00FD2A25"/>
    <w:rsid w:val="00FE34EC"/>
    <w:rsid w:val="00FE5522"/>
    <w:rsid w:val="00FE5D24"/>
    <w:rsid w:val="00FF10AE"/>
    <w:rsid w:val="00FF1B98"/>
    <w:rsid w:val="00FF3B08"/>
    <w:rsid w:val="00FF5046"/>
    <w:rsid w:val="00FF67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4E82964D-2EA6-4D1B-93E8-0672E29E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table" w:styleId="TableGrid">
    <w:name w:val="Table Grid"/>
    <w:basedOn w:val="TableNormal"/>
    <w:uiPriority w:val="39"/>
    <w:rsid w:val="006B5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7C6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ws.gov/informationquality/section515.html" TargetMode="External" /><Relationship Id="rId11" Type="http://schemas.openxmlformats.org/officeDocument/2006/relationships/hyperlink" Target="https://www.noaa.gov/organization/information-technology/policy-oversight/information-quality/information-quality-guidelines" TargetMode="External" /><Relationship Id="rId12" Type="http://schemas.openxmlformats.org/officeDocument/2006/relationships/hyperlink" Target="https://www.fisheries.noaa.gov/national/rules-and-regulations/appeals" TargetMode="External" /><Relationship Id="rId13" Type="http://schemas.openxmlformats.org/officeDocument/2006/relationships/hyperlink" Target="https://alaskafisheries.noaa.gov/webapps/efish/login" TargetMode="External" /><Relationship Id="rId14" Type="http://schemas.openxmlformats.org/officeDocument/2006/relationships/hyperlink" Target="https://alaskafisheries.noaa.gov/node/30749" TargetMode="External" /><Relationship Id="rId15" Type="http://schemas.openxmlformats.org/officeDocument/2006/relationships/hyperlink" Target="https://www.fisheries.noaa.gov/resource/document/user-guides-efish-online-services" TargetMode="External" /><Relationship Id="rId16" Type="http://schemas.openxmlformats.org/officeDocument/2006/relationships/hyperlink" Target="mailto:ram.alaska@noaa.gov" TargetMode="External" /><Relationship Id="rId17" Type="http://schemas.openxmlformats.org/officeDocument/2006/relationships/hyperlink" Target="https://www.federalregister.gov/documents/2023/02/09/2023-01333/fisheries-of-the-exclusive-economic-zone-off-alaska-amendment-122-to-the-fishery-management-plan-for" TargetMode="External" /><Relationship Id="rId18" Type="http://schemas.openxmlformats.org/officeDocument/2006/relationships/hyperlink" Target="https://www.noaa.gov/organization/administration/nao-216-100-protection-of-confidential-fisheries-statistics" TargetMode="External" /><Relationship Id="rId19" Type="http://schemas.openxmlformats.org/officeDocument/2006/relationships/hyperlink" Target="http://www.osec.doc.gov/opog/PrivacyAct/SORNs/noaa-19.html" TargetMode="External" /><Relationship Id="rId2" Type="http://schemas.openxmlformats.org/officeDocument/2006/relationships/webSettings" Target="webSettings.xml" /><Relationship Id="rId20" Type="http://schemas.openxmlformats.org/officeDocument/2006/relationships/hyperlink" Target="https://www.osec.doc.gov/opog/privacy/noaa%20pias/noaa4700_pia_saop_approved.pdf" TargetMode="External" /><Relationship Id="rId21" Type="http://schemas.openxmlformats.org/officeDocument/2006/relationships/hyperlink" Target="https://www.bls.gov/oes/current/oes_ak.htm" TargetMode="External" /><Relationship Id="rId22" Type="http://schemas.openxmlformats.org/officeDocument/2006/relationships/hyperlink" Target="https://www.fisheries.noaa.gov/alaska/commercial-fishing/permits-and-licenses-issued-alaska%23more-information" TargetMode="External" /><Relationship Id="rId23" Type="http://schemas.openxmlformats.org/officeDocument/2006/relationships/hyperlink" Target="http://www.gpo.gov/fdsys/pkg/CFR-2014-title5-vol3/pdf/CFR-2014-title5-vol3-sec1320-9.pdf" TargetMode="External" /><Relationship Id="rId24" Type="http://schemas.openxmlformats.org/officeDocument/2006/relationships/hyperlink" Target="http://www.gpo.gov/fdsys/pkg/CFR-2014-title5-vol3/pdf/CFR-2014-title5-vol3-sec1320-8.pdf"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7" Type="http://schemas.openxmlformats.org/officeDocument/2006/relationships/hyperlink" Target="http://www.nmfs.noaa.gov/msa2005/docs/MSA_amended_msa%20_20070112_FINAL.pdf" TargetMode="External" /><Relationship Id="rId8" Type="http://schemas.openxmlformats.org/officeDocument/2006/relationships/footer" Target="footer1.xml" /><Relationship Id="rId9" Type="http://schemas.openxmlformats.org/officeDocument/2006/relationships/hyperlink" Target="https://www.ecfr.gov/cgi-bin/text-idx?SID=e0046f50180d53460c9352be2680b581&amp;mc=true&amp;node=pt15.3.906&amp;rgn=div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E96DE1-CE3F-4CC1-83AE-5B3E2D75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1</Pages>
  <Words>8391</Words>
  <Characters>47830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56109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48</cp:revision>
  <dcterms:created xsi:type="dcterms:W3CDTF">2021-09-30T22:46:00Z</dcterms:created>
  <dcterms:modified xsi:type="dcterms:W3CDTF">2023-06-21T13:38:00Z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