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0DC2" w:rsidR="000F0744" w:rsidP="00CE3249" w:rsidRDefault="00CE5CBF" w14:paraId="13EBB7B1" w14:textId="2197F1A3">
      <w:pPr>
        <w:pStyle w:val="Header"/>
        <w:contextualSpacing/>
        <w:jc w:val="center"/>
        <w:rPr>
          <w:rFonts w:ascii="Times New Roman" w:hAnsi="Times New Roman"/>
          <w:b/>
          <w:szCs w:val="24"/>
        </w:rPr>
      </w:pPr>
      <w:bookmarkStart w:name="_Hlk4767951" w:id="0"/>
      <w:bookmarkStart w:name="_GoBack" w:id="1"/>
      <w:bookmarkEnd w:id="1"/>
      <w:r w:rsidRPr="008D0DC2">
        <w:rPr>
          <w:rFonts w:ascii="Times New Roman" w:hAnsi="Times New Roman"/>
          <w:b/>
          <w:szCs w:val="24"/>
        </w:rPr>
        <w:t>U.S. Food and Drug Administration</w:t>
      </w:r>
    </w:p>
    <w:p w:rsidRPr="008D0DC2" w:rsidR="00CE5CBF" w:rsidP="00CE3249" w:rsidRDefault="00CE5CBF" w14:paraId="6594D309" w14:textId="28A8D6B5">
      <w:pPr>
        <w:pStyle w:val="Header"/>
        <w:contextualSpacing/>
        <w:jc w:val="center"/>
        <w:rPr>
          <w:rFonts w:ascii="Times New Roman" w:hAnsi="Times New Roman"/>
          <w:b/>
          <w:szCs w:val="24"/>
        </w:rPr>
      </w:pPr>
      <w:r w:rsidRPr="008D0DC2">
        <w:rPr>
          <w:rFonts w:ascii="Times New Roman" w:hAnsi="Times New Roman"/>
          <w:b/>
          <w:szCs w:val="24"/>
        </w:rPr>
        <w:t>Center for Tobacco Products</w:t>
      </w:r>
    </w:p>
    <w:p w:rsidRPr="00233EDE" w:rsidR="00CE3249" w:rsidP="00CE3249" w:rsidRDefault="006529E0" w14:paraId="17B37905" w14:textId="4CD1A1D4">
      <w:pPr>
        <w:pStyle w:val="Header"/>
        <w:contextualSpacing/>
        <w:jc w:val="center"/>
      </w:pPr>
      <w:r w:rsidRPr="00233EDE">
        <w:rPr>
          <w:rFonts w:ascii="Times New Roman" w:hAnsi="Times New Roman"/>
          <w:b/>
          <w:bCs/>
        </w:rPr>
        <w:t xml:space="preserve">The Real Cost Campaign: </w:t>
      </w:r>
      <w:r w:rsidRPr="00233EDE" w:rsidR="00127749">
        <w:rPr>
          <w:rFonts w:ascii="Times New Roman" w:hAnsi="Times New Roman"/>
          <w:b/>
          <w:sz w:val="22"/>
        </w:rPr>
        <w:t xml:space="preserve">Media </w:t>
      </w:r>
      <w:r w:rsidRPr="00233EDE" w:rsidR="003779E4">
        <w:rPr>
          <w:rFonts w:ascii="Times New Roman" w:hAnsi="Times New Roman"/>
          <w:b/>
          <w:sz w:val="22"/>
        </w:rPr>
        <w:t>Tracking</w:t>
      </w:r>
      <w:r w:rsidRPr="00233EDE" w:rsidR="00CE3249">
        <w:rPr>
          <w:rFonts w:ascii="Times New Roman" w:hAnsi="Times New Roman"/>
          <w:b/>
          <w:sz w:val="22"/>
        </w:rPr>
        <w:t xml:space="preserve"> Study</w:t>
      </w:r>
    </w:p>
    <w:bookmarkEnd w:id="0"/>
    <w:p w:rsidR="00CE5CBF" w:rsidP="00CE3249" w:rsidRDefault="00CE5CBF" w14:paraId="3AE39592" w14:textId="77777777">
      <w:pPr>
        <w:autoSpaceDE w:val="0"/>
        <w:autoSpaceDN w:val="0"/>
        <w:adjustRightInd w:val="0"/>
        <w:contextualSpacing/>
        <w:jc w:val="center"/>
        <w:rPr>
          <w:rFonts w:ascii="Times New Roman" w:hAnsi="Times New Roman" w:eastAsia="Times New Roman" w:cs="Times New Roman"/>
          <w:b/>
          <w:color w:val="000000"/>
          <w:szCs w:val="28"/>
        </w:rPr>
      </w:pPr>
      <w:r>
        <w:rPr>
          <w:rFonts w:ascii="Times New Roman" w:hAnsi="Times New Roman" w:eastAsia="Times New Roman" w:cs="Times New Roman"/>
          <w:b/>
          <w:color w:val="000000"/>
          <w:szCs w:val="28"/>
        </w:rPr>
        <w:t>OMB No. 0910-0810</w:t>
      </w:r>
    </w:p>
    <w:p w:rsidRPr="00233EDE" w:rsidR="00BE1FCB" w:rsidP="00CE3249" w:rsidRDefault="00BE1FCB" w14:paraId="0341C426" w14:textId="516C180D">
      <w:pPr>
        <w:autoSpaceDE w:val="0"/>
        <w:autoSpaceDN w:val="0"/>
        <w:adjustRightInd w:val="0"/>
        <w:contextualSpacing/>
        <w:jc w:val="center"/>
        <w:rPr>
          <w:rFonts w:ascii="Times New Roman" w:hAnsi="Times New Roman" w:eastAsia="Times New Roman" w:cs="Times New Roman"/>
          <w:b/>
          <w:color w:val="000000"/>
          <w:sz w:val="22"/>
          <w:szCs w:val="28"/>
        </w:rPr>
      </w:pPr>
      <w:r w:rsidRPr="00233EDE">
        <w:rPr>
          <w:rFonts w:ascii="Times New Roman" w:hAnsi="Times New Roman" w:eastAsia="Times New Roman" w:cs="Times New Roman"/>
          <w:b/>
          <w:color w:val="000000"/>
          <w:szCs w:val="28"/>
        </w:rPr>
        <w:t xml:space="preserve">Supporting </w:t>
      </w:r>
      <w:proofErr w:type="gramStart"/>
      <w:r w:rsidRPr="00233EDE">
        <w:rPr>
          <w:rFonts w:ascii="Times New Roman" w:hAnsi="Times New Roman" w:eastAsia="Times New Roman" w:cs="Times New Roman"/>
          <w:b/>
          <w:color w:val="000000"/>
          <w:szCs w:val="28"/>
        </w:rPr>
        <w:t>Statement</w:t>
      </w:r>
      <w:proofErr w:type="gramEnd"/>
      <w:r w:rsidR="00CE5CBF">
        <w:rPr>
          <w:rFonts w:ascii="Times New Roman" w:hAnsi="Times New Roman" w:eastAsia="Times New Roman" w:cs="Times New Roman"/>
          <w:b/>
          <w:color w:val="000000"/>
          <w:szCs w:val="28"/>
        </w:rPr>
        <w:t xml:space="preserve"> A</w:t>
      </w:r>
      <w:r w:rsidRPr="00233EDE">
        <w:rPr>
          <w:rFonts w:ascii="Times New Roman" w:hAnsi="Times New Roman" w:eastAsia="Times New Roman" w:cs="Times New Roman"/>
          <w:b/>
          <w:color w:val="000000"/>
          <w:szCs w:val="28"/>
        </w:rPr>
        <w:t>: Summary</w:t>
      </w:r>
    </w:p>
    <w:p w:rsidRPr="00233EDE" w:rsidR="00BE1FCB" w:rsidP="00BE1FCB" w:rsidRDefault="00BE1FCB" w14:paraId="0D0E929E" w14:textId="77777777">
      <w:pPr>
        <w:autoSpaceDE w:val="0"/>
        <w:autoSpaceDN w:val="0"/>
        <w:adjustRightInd w:val="0"/>
        <w:rPr>
          <w:rFonts w:ascii="Times New Roman" w:hAnsi="Times New Roman" w:eastAsia="Times New Roman" w:cs="Times New Roman"/>
          <w:b/>
          <w:color w:val="000000"/>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3EDE" w:rsidR="00BE1FCB" w:rsidTr="000F0744" w14:paraId="5C094503" w14:textId="77777777">
        <w:tc>
          <w:tcPr>
            <w:tcW w:w="9350" w:type="dxa"/>
            <w:shd w:val="clear" w:color="auto" w:fill="auto"/>
          </w:tcPr>
          <w:p w:rsidRPr="00233EDE" w:rsidR="00DC0511" w:rsidP="00DC0511" w:rsidRDefault="00DC0511" w14:paraId="5CC4C6DF" w14:textId="77777777">
            <w:pPr>
              <w:autoSpaceDE w:val="0"/>
              <w:autoSpaceDN w:val="0"/>
              <w:adjustRightInd w:val="0"/>
              <w:spacing w:before="360"/>
              <w:ind w:left="360"/>
              <w:contextualSpacing/>
              <w:rPr>
                <w:rFonts w:ascii="Times New Roman" w:hAnsi="Times New Roman" w:eastAsia="Times New Roman" w:cs="Times New Roman"/>
                <w:sz w:val="14"/>
              </w:rPr>
            </w:pPr>
          </w:p>
          <w:p w:rsidRPr="00233EDE" w:rsidR="00BE1FCB" w:rsidP="00674B86" w:rsidRDefault="00E9252F" w14:paraId="031B5C58" w14:textId="3BA85BAE">
            <w:pPr>
              <w:numPr>
                <w:ilvl w:val="0"/>
                <w:numId w:val="2"/>
              </w:numPr>
              <w:autoSpaceDE w:val="0"/>
              <w:autoSpaceDN w:val="0"/>
              <w:adjustRightInd w:val="0"/>
              <w:spacing w:before="360"/>
              <w:contextualSpacing/>
              <w:rPr>
                <w:rFonts w:ascii="Times New Roman" w:hAnsi="Times New Roman" w:eastAsia="Times New Roman" w:cs="Times New Roman"/>
              </w:rPr>
            </w:pPr>
            <w:r w:rsidRPr="00233EDE">
              <w:rPr>
                <w:rFonts w:ascii="Times New Roman" w:hAnsi="Times New Roman" w:eastAsia="Times New Roman" w:cs="Times New Roman"/>
              </w:rPr>
              <w:t>The goal of this study</w:t>
            </w:r>
            <w:r w:rsidRPr="00233EDE" w:rsidR="0034447E">
              <w:rPr>
                <w:rFonts w:ascii="Times New Roman" w:hAnsi="Times New Roman" w:eastAsia="Times New Roman" w:cs="Times New Roman"/>
              </w:rPr>
              <w:t xml:space="preserve"> is</w:t>
            </w:r>
            <w:r w:rsidRPr="00233EDE">
              <w:rPr>
                <w:rFonts w:ascii="Times New Roman" w:hAnsi="Times New Roman" w:eastAsia="Times New Roman" w:cs="Times New Roman"/>
              </w:rPr>
              <w:t xml:space="preserve"> </w:t>
            </w:r>
            <w:r w:rsidRPr="00233EDE" w:rsidR="001D0BA4">
              <w:rPr>
                <w:rFonts w:ascii="Times New Roman" w:hAnsi="Times New Roman" w:eastAsia="Times New Roman" w:cs="Times New Roman"/>
              </w:rPr>
              <w:t xml:space="preserve">to </w:t>
            </w:r>
            <w:r w:rsidRPr="00233EDE" w:rsidR="00BD5DA5">
              <w:rPr>
                <w:rFonts w:ascii="Times New Roman" w:hAnsi="Times New Roman"/>
              </w:rPr>
              <w:t xml:space="preserve">monitor </w:t>
            </w:r>
            <w:r w:rsidRPr="00233EDE" w:rsidR="001A30C1">
              <w:rPr>
                <w:rFonts w:ascii="Times New Roman" w:hAnsi="Times New Roman"/>
              </w:rPr>
              <w:t xml:space="preserve">awareness and receptivity of </w:t>
            </w:r>
            <w:r w:rsidRPr="00233EDE" w:rsidR="001A30C1">
              <w:rPr>
                <w:rFonts w:ascii="Times New Roman" w:hAnsi="Times New Roman" w:eastAsia="Times New Roman" w:cs="Times New Roman"/>
              </w:rPr>
              <w:t xml:space="preserve">CTP’s public education efforts, as well </w:t>
            </w:r>
            <w:r w:rsidRPr="00233EDE" w:rsidR="007D5382">
              <w:rPr>
                <w:rFonts w:ascii="Times New Roman" w:hAnsi="Times New Roman" w:eastAsia="Times New Roman" w:cs="Times New Roman"/>
              </w:rPr>
              <w:t>monitor and validate changing knowledge, attitudes, beliefs, and behaviors related to tobacco use in youth</w:t>
            </w:r>
            <w:r w:rsidRPr="00233EDE" w:rsidR="00BD7937">
              <w:rPr>
                <w:rFonts w:ascii="Times New Roman" w:hAnsi="Times New Roman" w:eastAsia="Times New Roman" w:cs="Times New Roman"/>
              </w:rPr>
              <w:t>.</w:t>
            </w:r>
            <w:r w:rsidRPr="00233EDE" w:rsidR="00BD7937">
              <w:rPr>
                <w:rFonts w:ascii="Times New Roman" w:hAnsi="Times New Roman"/>
              </w:rPr>
              <w:t xml:space="preserve"> </w:t>
            </w:r>
            <w:r w:rsidRPr="00233EDE" w:rsidR="00BD5DA5">
              <w:rPr>
                <w:rFonts w:ascii="Times New Roman" w:hAnsi="Times New Roman"/>
              </w:rPr>
              <w:t xml:space="preserve">The research will also obtain input to optimize advertising concepts designed to prevent tobacco use. The research will be conducted with youth aged 13 to 17 who either: 1) are at risk of initiating use of </w:t>
            </w:r>
            <w:r w:rsidRPr="00233EDE" w:rsidR="00FB6B80">
              <w:rPr>
                <w:rFonts w:ascii="Times New Roman" w:hAnsi="Times New Roman"/>
              </w:rPr>
              <w:t>tobacco</w:t>
            </w:r>
            <w:r w:rsidRPr="00233EDE" w:rsidR="0031719D">
              <w:rPr>
                <w:rFonts w:ascii="Times New Roman" w:hAnsi="Times New Roman"/>
              </w:rPr>
              <w:t xml:space="preserve"> products,</w:t>
            </w:r>
            <w:r w:rsidRPr="00233EDE" w:rsidR="00BD5DA5">
              <w:rPr>
                <w:rFonts w:ascii="Times New Roman" w:hAnsi="Times New Roman"/>
              </w:rPr>
              <w:t xml:space="preserve"> or 2) have experimented with </w:t>
            </w:r>
            <w:r w:rsidRPr="00233EDE" w:rsidR="00FB6B80">
              <w:rPr>
                <w:rFonts w:ascii="Times New Roman" w:hAnsi="Times New Roman"/>
              </w:rPr>
              <w:t>tobacco</w:t>
            </w:r>
            <w:r w:rsidRPr="00233EDE" w:rsidR="007F358E">
              <w:rPr>
                <w:rFonts w:ascii="Times New Roman" w:hAnsi="Times New Roman"/>
              </w:rPr>
              <w:t xml:space="preserve"> </w:t>
            </w:r>
            <w:r w:rsidRPr="00233EDE" w:rsidR="0031719D">
              <w:rPr>
                <w:rFonts w:ascii="Times New Roman" w:hAnsi="Times New Roman"/>
              </w:rPr>
              <w:t>products</w:t>
            </w:r>
            <w:r w:rsidRPr="00233EDE" w:rsidR="00BD5DA5">
              <w:rPr>
                <w:rFonts w:ascii="Times New Roman" w:hAnsi="Times New Roman"/>
              </w:rPr>
              <w:t>.</w:t>
            </w:r>
            <w:r w:rsidRPr="00233EDE" w:rsidR="00F20D3C">
              <w:rPr>
                <w:rFonts w:ascii="Times New Roman" w:hAnsi="Times New Roman" w:eastAsia="Times New Roman" w:cs="Times New Roman"/>
              </w:rPr>
              <w:t xml:space="preserve"> </w:t>
            </w:r>
            <w:r w:rsidRPr="00233EDE" w:rsidR="00BE1FCB">
              <w:rPr>
                <w:rFonts w:ascii="Times New Roman" w:hAnsi="Times New Roman" w:eastAsia="Times New Roman" w:cs="Times New Roman"/>
              </w:rPr>
              <w:t xml:space="preserve"> </w:t>
            </w:r>
          </w:p>
          <w:p w:rsidRPr="00233EDE" w:rsidR="00BE1FCB" w:rsidP="00F3750D" w:rsidRDefault="00BE1FCB" w14:paraId="4BB25521" w14:textId="77777777">
            <w:pPr>
              <w:autoSpaceDE w:val="0"/>
              <w:autoSpaceDN w:val="0"/>
              <w:adjustRightInd w:val="0"/>
              <w:ind w:left="360"/>
              <w:contextualSpacing/>
              <w:rPr>
                <w:rFonts w:ascii="Times New Roman" w:hAnsi="Times New Roman"/>
                <w:sz w:val="20"/>
              </w:rPr>
            </w:pPr>
          </w:p>
          <w:p w:rsidRPr="00233EDE" w:rsidR="00272CC1" w:rsidP="00BD7937" w:rsidRDefault="00F20D3C" w14:paraId="65FA26AE" w14:textId="3E767115">
            <w:pPr>
              <w:pStyle w:val="ListParagraph"/>
              <w:numPr>
                <w:ilvl w:val="0"/>
                <w:numId w:val="2"/>
              </w:numPr>
              <w:rPr>
                <w:rFonts w:ascii="Times New Roman" w:hAnsi="Times New Roman"/>
              </w:rPr>
            </w:pPr>
            <w:r w:rsidRPr="00233EDE">
              <w:rPr>
                <w:rFonts w:ascii="Times New Roman" w:hAnsi="Times New Roman" w:eastAsia="Times New Roman" w:cs="Times New Roman"/>
              </w:rPr>
              <w:t>O</w:t>
            </w:r>
            <w:r w:rsidRPr="00233EDE" w:rsidR="006A48BB">
              <w:rPr>
                <w:rFonts w:ascii="Times New Roman" w:hAnsi="Times New Roman" w:eastAsia="Times New Roman" w:cs="Times New Roman"/>
              </w:rPr>
              <w:t xml:space="preserve">nline surveys </w:t>
            </w:r>
            <w:r w:rsidRPr="00233EDE">
              <w:rPr>
                <w:rFonts w:ascii="Times New Roman" w:hAnsi="Times New Roman" w:eastAsia="Times New Roman" w:cs="Times New Roman"/>
              </w:rPr>
              <w:t xml:space="preserve">will be conducted </w:t>
            </w:r>
            <w:r w:rsidRPr="00233EDE" w:rsidR="006A48BB">
              <w:rPr>
                <w:rFonts w:ascii="Times New Roman" w:hAnsi="Times New Roman" w:eastAsia="Times New Roman" w:cs="Times New Roman"/>
              </w:rPr>
              <w:t xml:space="preserve">with youth in the United States recruited </w:t>
            </w:r>
            <w:r w:rsidRPr="00233EDE">
              <w:rPr>
                <w:rFonts w:ascii="Times New Roman" w:hAnsi="Times New Roman" w:eastAsia="Times New Roman" w:cs="Times New Roman"/>
              </w:rPr>
              <w:t xml:space="preserve">via </w:t>
            </w:r>
            <w:r w:rsidRPr="00233EDE" w:rsidR="00BD2850">
              <w:rPr>
                <w:rFonts w:ascii="Times New Roman" w:hAnsi="Times New Roman" w:eastAsia="Times New Roman" w:cs="Times New Roman"/>
                <w:szCs w:val="24"/>
              </w:rPr>
              <w:t>KDH Research &amp; Communication</w:t>
            </w:r>
            <w:r w:rsidRPr="00233EDE" w:rsidR="00870950">
              <w:rPr>
                <w:rFonts w:ascii="Times New Roman" w:hAnsi="Times New Roman" w:eastAsia="Times New Roman" w:cs="Times New Roman"/>
                <w:szCs w:val="24"/>
              </w:rPr>
              <w:t xml:space="preserve"> and FCB’s</w:t>
            </w:r>
            <w:r w:rsidRPr="00233EDE" w:rsidR="00BD2850">
              <w:rPr>
                <w:rFonts w:ascii="Times New Roman" w:hAnsi="Times New Roman" w:eastAsia="Times New Roman" w:cs="Times New Roman"/>
                <w:szCs w:val="24"/>
              </w:rPr>
              <w:t xml:space="preserve"> contractor, Marketing Workshop</w:t>
            </w:r>
            <w:r w:rsidRPr="00233EDE" w:rsidR="00F54BCC">
              <w:rPr>
                <w:rFonts w:ascii="Times New Roman" w:hAnsi="Times New Roman" w:eastAsia="Times New Roman" w:cs="Times New Roman"/>
                <w:szCs w:val="24"/>
              </w:rPr>
              <w:t>,</w:t>
            </w:r>
            <w:r w:rsidRPr="00233EDE" w:rsidR="00BD2850">
              <w:rPr>
                <w:rFonts w:ascii="Times New Roman" w:hAnsi="Times New Roman" w:eastAsia="Times New Roman" w:cs="Times New Roman"/>
              </w:rPr>
              <w:t xml:space="preserve"> </w:t>
            </w:r>
            <w:r w:rsidRPr="00233EDE" w:rsidR="006A48BB">
              <w:rPr>
                <w:rFonts w:ascii="Times New Roman" w:hAnsi="Times New Roman" w:eastAsia="Times New Roman" w:cs="Times New Roman"/>
              </w:rPr>
              <w:t xml:space="preserve">through </w:t>
            </w:r>
            <w:r w:rsidRPr="00233EDE">
              <w:rPr>
                <w:rFonts w:ascii="Times New Roman" w:hAnsi="Times New Roman" w:eastAsia="Times New Roman" w:cs="Times New Roman"/>
              </w:rPr>
              <w:t>online sources</w:t>
            </w:r>
            <w:r w:rsidRPr="00233EDE" w:rsidR="006A48BB">
              <w:rPr>
                <w:rFonts w:ascii="Times New Roman" w:hAnsi="Times New Roman" w:eastAsia="Times New Roman" w:cs="Times New Roman"/>
              </w:rPr>
              <w:t xml:space="preserve"> to monitor perceptions about </w:t>
            </w:r>
            <w:r w:rsidRPr="00233EDE" w:rsidR="005A1F26">
              <w:rPr>
                <w:rFonts w:ascii="Times New Roman" w:hAnsi="Times New Roman" w:eastAsia="Times New Roman" w:cs="Times New Roman"/>
              </w:rPr>
              <w:t>tobacco</w:t>
            </w:r>
            <w:r w:rsidRPr="00233EDE" w:rsidR="006A48BB">
              <w:rPr>
                <w:rFonts w:ascii="Times New Roman" w:hAnsi="Times New Roman" w:eastAsia="Times New Roman" w:cs="Times New Roman"/>
              </w:rPr>
              <w:t xml:space="preserve"> product</w:t>
            </w:r>
            <w:r w:rsidRPr="00233EDE">
              <w:rPr>
                <w:rFonts w:ascii="Times New Roman" w:hAnsi="Times New Roman" w:eastAsia="Times New Roman" w:cs="Times New Roman"/>
              </w:rPr>
              <w:t>s</w:t>
            </w:r>
            <w:r w:rsidRPr="00233EDE" w:rsidR="006A48BB">
              <w:rPr>
                <w:rFonts w:ascii="Times New Roman" w:hAnsi="Times New Roman" w:eastAsia="Times New Roman" w:cs="Times New Roman"/>
              </w:rPr>
              <w:t xml:space="preserve">. </w:t>
            </w:r>
            <w:r w:rsidRPr="00233EDE" w:rsidR="00C91DA0">
              <w:rPr>
                <w:rFonts w:ascii="Times New Roman" w:hAnsi="Times New Roman" w:eastAsia="Times New Roman" w:cs="Times New Roman"/>
              </w:rPr>
              <w:t xml:space="preserve">Once </w:t>
            </w:r>
            <w:r w:rsidRPr="00233EDE" w:rsidR="006A48BB">
              <w:rPr>
                <w:rFonts w:ascii="Times New Roman" w:hAnsi="Times New Roman" w:eastAsia="Times New Roman" w:cs="Times New Roman"/>
              </w:rPr>
              <w:t xml:space="preserve">approvals are received, we will begin data collection for a national, online self-administered survey of </w:t>
            </w:r>
            <w:r w:rsidRPr="00233EDE" w:rsidR="000C2A9B">
              <w:rPr>
                <w:rFonts w:ascii="Times New Roman" w:hAnsi="Times New Roman" w:eastAsia="Times New Roman" w:cs="Times New Roman"/>
              </w:rPr>
              <w:t xml:space="preserve">up to </w:t>
            </w:r>
            <w:r w:rsidRPr="00233EDE" w:rsidR="00D85B9C">
              <w:rPr>
                <w:rFonts w:ascii="Times New Roman" w:hAnsi="Times New Roman" w:eastAsia="Times New Roman" w:cs="Times New Roman"/>
              </w:rPr>
              <w:t>750</w:t>
            </w:r>
            <w:r w:rsidRPr="00233EDE" w:rsidR="0083232D">
              <w:rPr>
                <w:rFonts w:ascii="Times New Roman" w:hAnsi="Times New Roman" w:eastAsia="Times New Roman" w:cs="Times New Roman"/>
              </w:rPr>
              <w:t xml:space="preserve"> </w:t>
            </w:r>
            <w:r w:rsidRPr="00233EDE" w:rsidR="00272CC1">
              <w:rPr>
                <w:rFonts w:ascii="Times New Roman" w:hAnsi="Times New Roman" w:eastAsia="Times New Roman" w:cs="Times New Roman"/>
              </w:rPr>
              <w:t>youth</w:t>
            </w:r>
            <w:r w:rsidRPr="00233EDE">
              <w:rPr>
                <w:rFonts w:ascii="Times New Roman" w:hAnsi="Times New Roman" w:eastAsia="Times New Roman" w:cs="Times New Roman"/>
              </w:rPr>
              <w:t xml:space="preserve"> (</w:t>
            </w:r>
            <w:r w:rsidRPr="00233EDE" w:rsidR="006A48BB">
              <w:rPr>
                <w:rFonts w:ascii="Times New Roman" w:hAnsi="Times New Roman" w:eastAsia="Times New Roman" w:cs="Times New Roman"/>
              </w:rPr>
              <w:t>ages 1</w:t>
            </w:r>
            <w:r w:rsidRPr="00233EDE">
              <w:rPr>
                <w:rFonts w:ascii="Times New Roman" w:hAnsi="Times New Roman" w:eastAsia="Times New Roman" w:cs="Times New Roman"/>
              </w:rPr>
              <w:t>3</w:t>
            </w:r>
            <w:r w:rsidRPr="00233EDE" w:rsidR="006A48BB">
              <w:rPr>
                <w:rFonts w:ascii="Times New Roman" w:hAnsi="Times New Roman" w:eastAsia="Times New Roman" w:cs="Times New Roman"/>
              </w:rPr>
              <w:t>-</w:t>
            </w:r>
            <w:r w:rsidRPr="00233EDE" w:rsidR="00D85B9C">
              <w:rPr>
                <w:rFonts w:ascii="Times New Roman" w:hAnsi="Times New Roman" w:eastAsia="Times New Roman" w:cs="Times New Roman"/>
              </w:rPr>
              <w:t>17</w:t>
            </w:r>
            <w:r w:rsidRPr="00233EDE" w:rsidR="00272CC1">
              <w:rPr>
                <w:rFonts w:ascii="Times New Roman" w:hAnsi="Times New Roman" w:eastAsia="Times New Roman" w:cs="Times New Roman"/>
              </w:rPr>
              <w:t>)</w:t>
            </w:r>
            <w:r w:rsidRPr="00233EDE" w:rsidR="00D85B9C">
              <w:rPr>
                <w:rFonts w:ascii="Times New Roman" w:hAnsi="Times New Roman" w:eastAsia="Times New Roman" w:cs="Times New Roman"/>
              </w:rPr>
              <w:t xml:space="preserve"> </w:t>
            </w:r>
            <w:r w:rsidRPr="00233EDE" w:rsidR="004621F7">
              <w:rPr>
                <w:rFonts w:ascii="Times New Roman" w:hAnsi="Times New Roman" w:eastAsia="Times New Roman" w:cs="Times New Roman"/>
              </w:rPr>
              <w:t xml:space="preserve">approximately </w:t>
            </w:r>
            <w:r w:rsidRPr="00233EDE" w:rsidR="00272CC1">
              <w:rPr>
                <w:rFonts w:ascii="Times New Roman" w:hAnsi="Times New Roman" w:eastAsia="Times New Roman" w:cs="Times New Roman"/>
              </w:rPr>
              <w:t>quarter</w:t>
            </w:r>
            <w:r w:rsidRPr="00233EDE" w:rsidR="004621F7">
              <w:rPr>
                <w:rFonts w:ascii="Times New Roman" w:hAnsi="Times New Roman" w:eastAsia="Times New Roman" w:cs="Times New Roman"/>
              </w:rPr>
              <w:t>ly</w:t>
            </w:r>
            <w:r w:rsidRPr="00233EDE" w:rsidR="00BD7937">
              <w:rPr>
                <w:rFonts w:ascii="Times New Roman" w:hAnsi="Times New Roman" w:eastAsia="Times New Roman" w:cs="Times New Roman"/>
              </w:rPr>
              <w:t xml:space="preserve"> </w:t>
            </w:r>
            <w:r w:rsidRPr="00233EDE" w:rsidR="007C5333">
              <w:rPr>
                <w:rFonts w:ascii="Times New Roman" w:hAnsi="Times New Roman" w:eastAsia="Times New Roman" w:cs="Times New Roman"/>
              </w:rPr>
              <w:t xml:space="preserve">for </w:t>
            </w:r>
            <w:r w:rsidR="008B6C18">
              <w:rPr>
                <w:rFonts w:ascii="Times New Roman" w:hAnsi="Times New Roman" w:eastAsia="Times New Roman" w:cs="Times New Roman"/>
              </w:rPr>
              <w:t>six months</w:t>
            </w:r>
            <w:r w:rsidRPr="00233EDE" w:rsidR="006A48BB">
              <w:rPr>
                <w:rFonts w:ascii="Times New Roman" w:hAnsi="Times New Roman" w:eastAsia="Times New Roman" w:cs="Times New Roman"/>
              </w:rPr>
              <w:t>. The survey will be repeated with a new cross-sectional sample</w:t>
            </w:r>
            <w:r w:rsidRPr="00233EDE" w:rsidR="003C0880">
              <w:rPr>
                <w:rFonts w:ascii="Times New Roman" w:hAnsi="Times New Roman" w:eastAsia="Times New Roman" w:cs="Times New Roman"/>
              </w:rPr>
              <w:t xml:space="preserve">, with up to </w:t>
            </w:r>
            <w:r w:rsidR="008B6C18">
              <w:rPr>
                <w:rFonts w:ascii="Times New Roman" w:hAnsi="Times New Roman" w:eastAsia="Times New Roman" w:cs="Times New Roman"/>
              </w:rPr>
              <w:t>2</w:t>
            </w:r>
            <w:r w:rsidRPr="00233EDE" w:rsidR="003C0880">
              <w:rPr>
                <w:rFonts w:ascii="Times New Roman" w:hAnsi="Times New Roman" w:eastAsia="Times New Roman" w:cs="Times New Roman"/>
              </w:rPr>
              <w:t xml:space="preserve"> rounds of data collection</w:t>
            </w:r>
            <w:r w:rsidRPr="00233EDE" w:rsidR="00272CC1">
              <w:rPr>
                <w:rFonts w:ascii="Times New Roman" w:hAnsi="Times New Roman"/>
              </w:rPr>
              <w:t xml:space="preserve">. Each sample will be freshly recruited. </w:t>
            </w:r>
          </w:p>
          <w:p w:rsidRPr="00233EDE" w:rsidR="009A2EE5" w:rsidP="00BD7937" w:rsidRDefault="009A2EE5" w14:paraId="305F7E70" w14:textId="77777777">
            <w:pPr>
              <w:pStyle w:val="ListParagraph"/>
              <w:autoSpaceDE w:val="0"/>
              <w:autoSpaceDN w:val="0"/>
              <w:adjustRightInd w:val="0"/>
              <w:ind w:left="360"/>
              <w:rPr>
                <w:rFonts w:ascii="Times New Roman" w:hAnsi="Times New Roman"/>
                <w:sz w:val="20"/>
              </w:rPr>
            </w:pPr>
          </w:p>
          <w:p w:rsidRPr="00233EDE" w:rsidR="009A2EE5" w:rsidP="006A48BB" w:rsidRDefault="009A2EE5" w14:paraId="4AB8D8BC" w14:textId="4EC5A5E0">
            <w:pPr>
              <w:pStyle w:val="ListParagraph"/>
              <w:numPr>
                <w:ilvl w:val="0"/>
                <w:numId w:val="2"/>
              </w:numPr>
              <w:autoSpaceDE w:val="0"/>
              <w:autoSpaceDN w:val="0"/>
              <w:adjustRightInd w:val="0"/>
              <w:rPr>
                <w:rFonts w:ascii="Times New Roman" w:hAnsi="Times New Roman" w:eastAsia="Times New Roman" w:cs="Times New Roman"/>
              </w:rPr>
            </w:pPr>
            <w:r w:rsidRPr="00233EDE">
              <w:rPr>
                <w:rFonts w:ascii="Times New Roman" w:hAnsi="Times New Roman" w:eastAsia="Times New Roman" w:cs="Times New Roman"/>
              </w:rPr>
              <w:t xml:space="preserve">The results of the surveys will be used to inform specified recommendations around </w:t>
            </w:r>
            <w:r w:rsidRPr="00233EDE" w:rsidR="00757FBF">
              <w:rPr>
                <w:rFonts w:ascii="Times New Roman" w:hAnsi="Times New Roman" w:eastAsia="Times New Roman" w:cs="Times New Roman"/>
              </w:rPr>
              <w:t>the U.S. Food and Drug Administration Center for Tobacco Products</w:t>
            </w:r>
            <w:r w:rsidRPr="00233EDE" w:rsidR="00091895">
              <w:rPr>
                <w:rFonts w:ascii="Times New Roman" w:hAnsi="Times New Roman" w:eastAsia="Times New Roman" w:cs="Times New Roman"/>
              </w:rPr>
              <w:t>’</w:t>
            </w:r>
            <w:r w:rsidRPr="00233EDE" w:rsidR="00757FBF">
              <w:rPr>
                <w:rFonts w:ascii="Times New Roman" w:hAnsi="Times New Roman" w:eastAsia="Times New Roman" w:cs="Times New Roman"/>
              </w:rPr>
              <w:t xml:space="preserve"> (CTP</w:t>
            </w:r>
            <w:r w:rsidRPr="00233EDE" w:rsidR="00091895">
              <w:rPr>
                <w:rFonts w:ascii="Times New Roman" w:hAnsi="Times New Roman" w:eastAsia="Times New Roman" w:cs="Times New Roman"/>
              </w:rPr>
              <w:t>)</w:t>
            </w:r>
            <w:r w:rsidRPr="00233EDE">
              <w:rPr>
                <w:rFonts w:ascii="Times New Roman" w:hAnsi="Times New Roman" w:eastAsia="Times New Roman" w:cs="Times New Roman"/>
              </w:rPr>
              <w:t xml:space="preserve"> public education programs’ impact and effectiveness in reducing tobacco-related death and disease.</w:t>
            </w:r>
          </w:p>
          <w:p w:rsidRPr="00233EDE" w:rsidR="009A2EE5" w:rsidP="009A2EE5" w:rsidRDefault="009A2EE5" w14:paraId="01E7E740" w14:textId="77777777">
            <w:pPr>
              <w:autoSpaceDE w:val="0"/>
              <w:autoSpaceDN w:val="0"/>
              <w:adjustRightInd w:val="0"/>
              <w:rPr>
                <w:rFonts w:ascii="Times New Roman" w:hAnsi="Times New Roman"/>
                <w:sz w:val="20"/>
              </w:rPr>
            </w:pPr>
          </w:p>
          <w:p w:rsidRPr="00233EDE" w:rsidR="00323D4B" w:rsidP="00F3750D" w:rsidRDefault="00BE1FCB" w14:paraId="20E43B5B" w14:textId="65CB356D">
            <w:pPr>
              <w:numPr>
                <w:ilvl w:val="0"/>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eastAsia="Times New Roman" w:cs="Times New Roman"/>
              </w:rPr>
              <w:t>Results of the survey will help CTP better understand</w:t>
            </w:r>
            <w:r w:rsidRPr="00233EDE" w:rsidR="00625AC6">
              <w:rPr>
                <w:rFonts w:ascii="Times New Roman" w:hAnsi="Times New Roman" w:eastAsia="Times New Roman" w:cs="Times New Roman"/>
              </w:rPr>
              <w:t>:</w:t>
            </w:r>
          </w:p>
          <w:p w:rsidRPr="00233EDE" w:rsidR="00323D4B" w:rsidP="00323D4B" w:rsidRDefault="00323D4B" w14:paraId="6EC5DEEF" w14:textId="77777777">
            <w:pPr>
              <w:pStyle w:val="ListParagraph"/>
              <w:rPr>
                <w:rFonts w:ascii="Times New Roman" w:hAnsi="Times New Roman"/>
                <w:sz w:val="14"/>
              </w:rPr>
            </w:pPr>
          </w:p>
          <w:p w:rsidRPr="00233EDE" w:rsidR="00625AC6" w:rsidP="00625AC6" w:rsidRDefault="00BD5DA5" w14:paraId="26C21361" w14:textId="40A21B52">
            <w:pPr>
              <w:numPr>
                <w:ilvl w:val="1"/>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eastAsia="Times New Roman" w:cs="Times New Roman"/>
              </w:rPr>
              <w:t>Awareness and receptivity of CTP’s public education video a</w:t>
            </w:r>
            <w:r w:rsidRPr="00233EDE" w:rsidR="00625AC6">
              <w:rPr>
                <w:rFonts w:ascii="Times New Roman" w:hAnsi="Times New Roman" w:eastAsia="Times New Roman" w:cs="Times New Roman"/>
              </w:rPr>
              <w:t>d</w:t>
            </w:r>
            <w:r w:rsidRPr="00233EDE">
              <w:rPr>
                <w:rFonts w:ascii="Times New Roman" w:hAnsi="Times New Roman" w:eastAsia="Times New Roman" w:cs="Times New Roman"/>
              </w:rPr>
              <w:t>vertisements while in market</w:t>
            </w:r>
          </w:p>
          <w:p w:rsidRPr="00233EDE" w:rsidR="00625AC6" w:rsidP="00625AC6" w:rsidRDefault="003B71DC" w14:paraId="757FF022" w14:textId="0FB0482C">
            <w:pPr>
              <w:numPr>
                <w:ilvl w:val="1"/>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eastAsia="Times New Roman" w:cs="Times New Roman"/>
              </w:rPr>
              <w:t>R</w:t>
            </w:r>
            <w:r w:rsidRPr="00233EDE" w:rsidR="00625AC6">
              <w:rPr>
                <w:rFonts w:ascii="Times New Roman" w:hAnsi="Times New Roman" w:eastAsia="Times New Roman" w:cs="Times New Roman"/>
              </w:rPr>
              <w:t xml:space="preserve">eactions to proposed messages for </w:t>
            </w:r>
            <w:r w:rsidRPr="00233EDE" w:rsidR="00BD5DA5">
              <w:rPr>
                <w:rFonts w:ascii="Times New Roman" w:hAnsi="Times New Roman" w:eastAsia="Times New Roman" w:cs="Times New Roman"/>
              </w:rPr>
              <w:t xml:space="preserve">public education </w:t>
            </w:r>
            <w:r w:rsidRPr="00233EDE" w:rsidR="00625AC6">
              <w:rPr>
                <w:rFonts w:ascii="Times New Roman" w:hAnsi="Times New Roman" w:eastAsia="Times New Roman" w:cs="Times New Roman"/>
              </w:rPr>
              <w:t xml:space="preserve">campaigns related to </w:t>
            </w:r>
            <w:r w:rsidRPr="00233EDE" w:rsidR="00DA4C7E">
              <w:rPr>
                <w:rFonts w:ascii="Times New Roman" w:hAnsi="Times New Roman" w:eastAsia="Times New Roman" w:cs="Times New Roman"/>
              </w:rPr>
              <w:t>tobacco products</w:t>
            </w:r>
            <w:r w:rsidRPr="00233EDE" w:rsidR="00625AC6">
              <w:rPr>
                <w:rFonts w:ascii="Times New Roman" w:hAnsi="Times New Roman" w:eastAsia="Times New Roman" w:cs="Times New Roman"/>
              </w:rPr>
              <w:t xml:space="preserve"> among youth</w:t>
            </w:r>
            <w:r w:rsidRPr="00233EDE" w:rsidR="0083232D">
              <w:rPr>
                <w:rFonts w:ascii="Times New Roman" w:hAnsi="Times New Roman" w:eastAsia="Times New Roman" w:cs="Times New Roman"/>
              </w:rPr>
              <w:t xml:space="preserve"> ages </w:t>
            </w:r>
            <w:r w:rsidRPr="00233EDE" w:rsidR="00625AC6">
              <w:rPr>
                <w:rFonts w:ascii="Times New Roman" w:hAnsi="Times New Roman" w:eastAsia="Times New Roman" w:cs="Times New Roman"/>
              </w:rPr>
              <w:t xml:space="preserve">13 to </w:t>
            </w:r>
            <w:r w:rsidRPr="00233EDE" w:rsidR="00F5795E">
              <w:rPr>
                <w:rFonts w:ascii="Times New Roman" w:hAnsi="Times New Roman" w:eastAsia="Times New Roman" w:cs="Times New Roman"/>
              </w:rPr>
              <w:t>17</w:t>
            </w:r>
            <w:r w:rsidRPr="00233EDE" w:rsidR="00625AC6">
              <w:rPr>
                <w:rFonts w:ascii="Times New Roman" w:hAnsi="Times New Roman" w:eastAsia="Times New Roman" w:cs="Times New Roman"/>
              </w:rPr>
              <w:t xml:space="preserve"> years in the United States.</w:t>
            </w:r>
          </w:p>
          <w:p w:rsidRPr="00233EDE" w:rsidR="00272CC1" w:rsidP="00323D4B" w:rsidRDefault="00BD5DA5" w14:paraId="387C1906" w14:textId="23A864FF">
            <w:pPr>
              <w:numPr>
                <w:ilvl w:val="1"/>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rPr>
              <w:t>Knowledge, attitudes, beliefs, and behaviors in relation to tobacco use in youth</w:t>
            </w:r>
            <w:r w:rsidRPr="00233EDE" w:rsidR="00736009">
              <w:rPr>
                <w:rFonts w:ascii="Times New Roman" w:hAnsi="Times New Roman"/>
              </w:rPr>
              <w:t>.</w:t>
            </w:r>
            <w:r w:rsidRPr="00233EDE" w:rsidDel="00BD5DA5">
              <w:rPr>
                <w:rFonts w:ascii="Times New Roman" w:hAnsi="Times New Roman" w:eastAsia="Times New Roman" w:cs="Times New Roman"/>
              </w:rPr>
              <w:t xml:space="preserve"> </w:t>
            </w:r>
          </w:p>
          <w:p w:rsidRPr="00233EDE" w:rsidR="00736009" w:rsidP="00323D4B" w:rsidRDefault="00736009" w14:paraId="68493F03" w14:textId="179B363A">
            <w:pPr>
              <w:numPr>
                <w:ilvl w:val="1"/>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rPr>
              <w:t>Personality characteristics, interests, and lifestyle characteristics of CTP’s public education target audience.</w:t>
            </w:r>
          </w:p>
          <w:p w:rsidRPr="00233EDE" w:rsidR="00BE1FCB" w:rsidP="008E3903" w:rsidRDefault="00BE1FCB" w14:paraId="6543A78F" w14:textId="77777777">
            <w:pPr>
              <w:autoSpaceDE w:val="0"/>
              <w:autoSpaceDN w:val="0"/>
              <w:adjustRightInd w:val="0"/>
              <w:contextualSpacing/>
              <w:rPr>
                <w:rFonts w:ascii="Times New Roman" w:hAnsi="Times New Roman"/>
                <w:sz w:val="20"/>
              </w:rPr>
            </w:pPr>
          </w:p>
          <w:p w:rsidRPr="00233EDE" w:rsidR="00BE1FCB" w:rsidP="00F475DC" w:rsidRDefault="00BE1FCB" w14:paraId="040E2FEF" w14:textId="10A31835">
            <w:pPr>
              <w:numPr>
                <w:ilvl w:val="0"/>
                <w:numId w:val="2"/>
              </w:numPr>
              <w:autoSpaceDE w:val="0"/>
              <w:autoSpaceDN w:val="0"/>
              <w:adjustRightInd w:val="0"/>
              <w:contextualSpacing/>
              <w:rPr>
                <w:rFonts w:ascii="Times New Roman" w:hAnsi="Times New Roman" w:eastAsia="Times New Roman" w:cs="Times New Roman"/>
              </w:rPr>
            </w:pPr>
            <w:r w:rsidRPr="00233EDE">
              <w:rPr>
                <w:rFonts w:ascii="Times New Roman" w:hAnsi="Times New Roman" w:eastAsia="Times New Roman" w:cs="Times New Roman"/>
                <w:b/>
              </w:rPr>
              <w:t xml:space="preserve">REQUESTED APPROVAL DATE: </w:t>
            </w:r>
            <w:r w:rsidRPr="00233EDE" w:rsidR="005D16DF">
              <w:rPr>
                <w:rFonts w:ascii="Times New Roman" w:hAnsi="Times New Roman" w:eastAsia="Times New Roman" w:cs="Times New Roman"/>
                <w:b/>
              </w:rPr>
              <w:t>0</w:t>
            </w:r>
            <w:r w:rsidR="00D574AC">
              <w:rPr>
                <w:rFonts w:ascii="Times New Roman" w:hAnsi="Times New Roman" w:eastAsia="Times New Roman" w:cs="Times New Roman"/>
                <w:b/>
              </w:rPr>
              <w:t>7</w:t>
            </w:r>
            <w:r w:rsidRPr="00233EDE" w:rsidR="005D16DF">
              <w:rPr>
                <w:rFonts w:ascii="Times New Roman" w:hAnsi="Times New Roman" w:eastAsia="Times New Roman" w:cs="Times New Roman"/>
                <w:b/>
              </w:rPr>
              <w:t>/</w:t>
            </w:r>
            <w:r w:rsidR="00D574AC">
              <w:rPr>
                <w:rFonts w:ascii="Times New Roman" w:hAnsi="Times New Roman" w:eastAsia="Times New Roman" w:cs="Times New Roman"/>
                <w:b/>
              </w:rPr>
              <w:t>2</w:t>
            </w:r>
            <w:r w:rsidR="00DA4C7E">
              <w:rPr>
                <w:rFonts w:ascii="Times New Roman" w:hAnsi="Times New Roman" w:eastAsia="Times New Roman" w:cs="Times New Roman"/>
                <w:b/>
              </w:rPr>
              <w:t>1</w:t>
            </w:r>
            <w:r w:rsidRPr="00233EDE" w:rsidR="00E93353">
              <w:rPr>
                <w:rFonts w:ascii="Times New Roman" w:hAnsi="Times New Roman" w:eastAsia="Times New Roman" w:cs="Times New Roman"/>
                <w:b/>
              </w:rPr>
              <w:t>/202</w:t>
            </w:r>
            <w:r w:rsidRPr="00233EDE" w:rsidR="00FB6B80">
              <w:rPr>
                <w:rFonts w:ascii="Times New Roman" w:hAnsi="Times New Roman" w:eastAsia="Times New Roman" w:cs="Times New Roman"/>
                <w:b/>
              </w:rPr>
              <w:t>2</w:t>
            </w:r>
          </w:p>
          <w:p w:rsidRPr="00233EDE" w:rsidR="00BE1FCB" w:rsidP="00674B86" w:rsidRDefault="00BE1FCB" w14:paraId="1D803F4E" w14:textId="0CE5111E">
            <w:pPr>
              <w:autoSpaceDE w:val="0"/>
              <w:autoSpaceDN w:val="0"/>
              <w:adjustRightInd w:val="0"/>
              <w:ind w:left="360"/>
              <w:contextualSpacing/>
              <w:rPr>
                <w:rFonts w:ascii="Times New Roman" w:hAnsi="Times New Roman"/>
                <w:sz w:val="16"/>
              </w:rPr>
            </w:pPr>
          </w:p>
        </w:tc>
      </w:tr>
    </w:tbl>
    <w:p w:rsidRPr="00233EDE" w:rsidR="00900C46" w:rsidP="00BE1FCB" w:rsidRDefault="00900C46" w14:paraId="058AA9C3" w14:textId="77777777">
      <w:pPr>
        <w:autoSpaceDE w:val="0"/>
        <w:autoSpaceDN w:val="0"/>
        <w:adjustRightInd w:val="0"/>
        <w:rPr>
          <w:rFonts w:ascii="Times New Roman" w:hAnsi="Times New Roman" w:eastAsia="Times New Roman" w:cs="Times New Roman"/>
          <w:b/>
          <w:color w:val="000000"/>
          <w:szCs w:val="20"/>
        </w:rPr>
      </w:pPr>
    </w:p>
    <w:p w:rsidRPr="00233EDE" w:rsidR="00BE1FCB" w:rsidP="00BE1FCB" w:rsidRDefault="00BE1FCB" w14:paraId="00FAC8D1" w14:textId="6D202725">
      <w:pPr>
        <w:autoSpaceDE w:val="0"/>
        <w:autoSpaceDN w:val="0"/>
        <w:adjustRightInd w:val="0"/>
        <w:rPr>
          <w:rFonts w:ascii="Times New Roman" w:hAnsi="Times New Roman" w:eastAsia="Times New Roman" w:cs="Times New Roman"/>
          <w:b/>
          <w:color w:val="000000"/>
          <w:szCs w:val="20"/>
        </w:rPr>
      </w:pPr>
      <w:r w:rsidRPr="00233EDE">
        <w:rPr>
          <w:rFonts w:ascii="Times New Roman" w:hAnsi="Times New Roman" w:eastAsia="Times New Roman" w:cs="Times New Roman"/>
          <w:b/>
          <w:color w:val="000000"/>
          <w:szCs w:val="20"/>
        </w:rPr>
        <w:t xml:space="preserve">Study Materials (attached): </w:t>
      </w:r>
    </w:p>
    <w:p w:rsidRPr="00233EDE" w:rsidR="00FB6B80" w:rsidP="009A734D" w:rsidRDefault="009A734D" w14:paraId="543C7DCF" w14:textId="77777777">
      <w:pPr>
        <w:widowControl w:val="0"/>
        <w:rPr>
          <w:rFonts w:ascii="Times New Roman" w:hAnsi="Times New Roman" w:eastAsia="Times New Roman" w:cs="Times New Roman"/>
          <w:bCs/>
          <w:iCs/>
          <w:sz w:val="23"/>
          <w:szCs w:val="23"/>
        </w:rPr>
      </w:pPr>
      <w:r w:rsidRPr="00233EDE">
        <w:rPr>
          <w:rFonts w:ascii="Times New Roman" w:hAnsi="Times New Roman"/>
          <w:sz w:val="23"/>
        </w:rPr>
        <w:t>A</w:t>
      </w:r>
      <w:r w:rsidRPr="00233EDE" w:rsidR="00893509">
        <w:rPr>
          <w:rFonts w:ascii="Times New Roman" w:hAnsi="Times New Roman"/>
          <w:sz w:val="23"/>
        </w:rPr>
        <w:t>ppendix A</w:t>
      </w:r>
      <w:r w:rsidRPr="00233EDE" w:rsidR="0068610A">
        <w:rPr>
          <w:rFonts w:ascii="Times New Roman" w:hAnsi="Times New Roman"/>
          <w:sz w:val="23"/>
        </w:rPr>
        <w:t>.</w:t>
      </w:r>
      <w:r w:rsidRPr="00233EDE">
        <w:rPr>
          <w:rFonts w:ascii="Times New Roman" w:hAnsi="Times New Roman"/>
          <w:sz w:val="23"/>
        </w:rPr>
        <w:t xml:space="preserve"> </w:t>
      </w:r>
      <w:r w:rsidRPr="00233EDE" w:rsidR="00E93353">
        <w:rPr>
          <w:rFonts w:ascii="Times New Roman" w:hAnsi="Times New Roman"/>
          <w:sz w:val="23"/>
        </w:rPr>
        <w:t>Email Invitation for Parents of Youth</w:t>
      </w:r>
    </w:p>
    <w:p w:rsidRPr="00233EDE" w:rsidR="009A734D" w:rsidP="009A734D" w:rsidRDefault="00FB6B80" w14:paraId="0989064B" w14:textId="41B1C77B">
      <w:pPr>
        <w:widowControl w:val="0"/>
        <w:rPr>
          <w:rFonts w:ascii="Times New Roman" w:hAnsi="Times New Roman"/>
          <w:sz w:val="23"/>
        </w:rPr>
      </w:pPr>
      <w:r w:rsidRPr="00233EDE">
        <w:rPr>
          <w:rFonts w:ascii="Times New Roman" w:hAnsi="Times New Roman" w:eastAsia="Times New Roman" w:cs="Times New Roman"/>
          <w:bCs/>
          <w:iCs/>
          <w:sz w:val="23"/>
          <w:szCs w:val="23"/>
        </w:rPr>
        <w:t>Appendix B.</w:t>
      </w:r>
      <w:r w:rsidR="00DA4C7E">
        <w:rPr>
          <w:rFonts w:ascii="Times New Roman" w:hAnsi="Times New Roman" w:eastAsia="Times New Roman" w:cs="Times New Roman"/>
          <w:bCs/>
          <w:iCs/>
          <w:sz w:val="23"/>
          <w:szCs w:val="23"/>
        </w:rPr>
        <w:t xml:space="preserve"> </w:t>
      </w:r>
      <w:r w:rsidRPr="00233EDE" w:rsidR="00437010">
        <w:rPr>
          <w:rFonts w:ascii="Times New Roman" w:hAnsi="Times New Roman" w:eastAsia="Times New Roman" w:cs="Times New Roman"/>
          <w:bCs/>
          <w:iCs/>
          <w:sz w:val="23"/>
          <w:szCs w:val="23"/>
        </w:rPr>
        <w:t xml:space="preserve">Parental Notification and Opt-Out </w:t>
      </w:r>
      <w:r w:rsidRPr="00233EDE" w:rsidR="003A19D4">
        <w:rPr>
          <w:rFonts w:ascii="Times New Roman" w:hAnsi="Times New Roman" w:eastAsia="Times New Roman" w:cs="Times New Roman"/>
          <w:bCs/>
          <w:iCs/>
          <w:sz w:val="23"/>
          <w:szCs w:val="23"/>
        </w:rPr>
        <w:t>Information</w:t>
      </w:r>
    </w:p>
    <w:p w:rsidRPr="00233EDE" w:rsidR="00A3458B" w:rsidP="009A734D" w:rsidRDefault="00893509" w14:paraId="600A7DD3" w14:textId="7CC871FC">
      <w:pPr>
        <w:widowControl w:val="0"/>
        <w:rPr>
          <w:rFonts w:ascii="Times New Roman" w:hAnsi="Times New Roman"/>
          <w:sz w:val="23"/>
        </w:rPr>
      </w:pPr>
      <w:r w:rsidRPr="00233EDE">
        <w:rPr>
          <w:rFonts w:ascii="Times New Roman" w:hAnsi="Times New Roman"/>
          <w:sz w:val="23"/>
        </w:rPr>
        <w:t xml:space="preserve">Appendix </w:t>
      </w:r>
      <w:r w:rsidRPr="00233EDE" w:rsidR="00FB6B80">
        <w:rPr>
          <w:rFonts w:ascii="Times New Roman" w:hAnsi="Times New Roman"/>
          <w:sz w:val="23"/>
        </w:rPr>
        <w:t>C</w:t>
      </w:r>
      <w:r w:rsidRPr="00233EDE" w:rsidR="00DE27F1">
        <w:rPr>
          <w:rFonts w:ascii="Times New Roman" w:hAnsi="Times New Roman"/>
          <w:sz w:val="23"/>
        </w:rPr>
        <w:t>.</w:t>
      </w:r>
      <w:r w:rsidRPr="00233EDE" w:rsidR="00A3458B">
        <w:rPr>
          <w:rFonts w:ascii="Times New Roman" w:hAnsi="Times New Roman"/>
          <w:sz w:val="23"/>
        </w:rPr>
        <w:t xml:space="preserve"> </w:t>
      </w:r>
      <w:r w:rsidRPr="00233EDE" w:rsidR="00E93353">
        <w:rPr>
          <w:rFonts w:ascii="Times New Roman" w:hAnsi="Times New Roman"/>
          <w:sz w:val="23"/>
        </w:rPr>
        <w:t>Youth Assent</w:t>
      </w:r>
    </w:p>
    <w:p w:rsidRPr="00233EDE" w:rsidR="00A3458B" w:rsidP="00941C1B" w:rsidRDefault="00893509" w14:paraId="4E01FACD" w14:textId="5CE7C874">
      <w:pPr>
        <w:widowControl w:val="0"/>
        <w:rPr>
          <w:rFonts w:ascii="Times New Roman" w:hAnsi="Times New Roman"/>
          <w:sz w:val="23"/>
        </w:rPr>
      </w:pPr>
      <w:r w:rsidRPr="00233EDE">
        <w:rPr>
          <w:rFonts w:ascii="Times New Roman" w:hAnsi="Times New Roman"/>
          <w:sz w:val="23"/>
        </w:rPr>
        <w:t xml:space="preserve">Appendix </w:t>
      </w:r>
      <w:r w:rsidRPr="00233EDE" w:rsidR="00DE27F1">
        <w:rPr>
          <w:rFonts w:ascii="Times New Roman" w:hAnsi="Times New Roman"/>
          <w:sz w:val="23"/>
        </w:rPr>
        <w:t>D.</w:t>
      </w:r>
      <w:r w:rsidRPr="00233EDE" w:rsidR="00941C1B">
        <w:rPr>
          <w:rFonts w:ascii="Times New Roman" w:hAnsi="Times New Roman"/>
          <w:sz w:val="23"/>
        </w:rPr>
        <w:t xml:space="preserve"> </w:t>
      </w:r>
      <w:r w:rsidRPr="00233EDE" w:rsidR="00E93353">
        <w:rPr>
          <w:rFonts w:ascii="Times New Roman" w:hAnsi="Times New Roman"/>
          <w:sz w:val="23"/>
        </w:rPr>
        <w:t>Screener</w:t>
      </w:r>
    </w:p>
    <w:p w:rsidRPr="00233EDE" w:rsidR="00941C1B" w:rsidP="00941C1B" w:rsidRDefault="00893509" w14:paraId="1B4B2E8C" w14:textId="7265289F">
      <w:pPr>
        <w:widowControl w:val="0"/>
        <w:rPr>
          <w:rFonts w:ascii="Times New Roman" w:hAnsi="Times New Roman"/>
          <w:sz w:val="23"/>
        </w:rPr>
      </w:pPr>
      <w:r w:rsidRPr="00233EDE">
        <w:rPr>
          <w:rFonts w:ascii="Times New Roman" w:hAnsi="Times New Roman"/>
          <w:sz w:val="23"/>
        </w:rPr>
        <w:t xml:space="preserve">Appendix </w:t>
      </w:r>
      <w:r w:rsidRPr="00233EDE" w:rsidR="00DE27F1">
        <w:rPr>
          <w:rFonts w:ascii="Times New Roman" w:hAnsi="Times New Roman"/>
          <w:sz w:val="23"/>
        </w:rPr>
        <w:t>E.</w:t>
      </w:r>
      <w:r w:rsidRPr="00233EDE" w:rsidR="00A3458B">
        <w:rPr>
          <w:rFonts w:ascii="Times New Roman" w:hAnsi="Times New Roman"/>
          <w:sz w:val="23"/>
        </w:rPr>
        <w:t xml:space="preserve"> </w:t>
      </w:r>
      <w:r w:rsidRPr="00233EDE" w:rsidR="00FB6B80">
        <w:rPr>
          <w:rFonts w:ascii="Times New Roman" w:hAnsi="Times New Roman"/>
          <w:sz w:val="23"/>
        </w:rPr>
        <w:t>Survey</w:t>
      </w:r>
    </w:p>
    <w:p w:rsidR="008D0DC2" w:rsidP="00CE5CBF" w:rsidRDefault="008D0DC2" w14:paraId="0DF877D0" w14:textId="2B3AB4DF">
      <w:pPr>
        <w:jc w:val="center"/>
        <w:outlineLvl w:val="0"/>
        <w:rPr>
          <w:rFonts w:ascii="Times New Roman" w:hAnsi="Times New Roman"/>
          <w:b/>
          <w:bCs/>
        </w:rPr>
      </w:pPr>
    </w:p>
    <w:p w:rsidR="00CE657C" w:rsidP="00CE5CBF" w:rsidRDefault="00CE657C" w14:paraId="0639A290" w14:textId="77777777">
      <w:pPr>
        <w:jc w:val="center"/>
        <w:outlineLvl w:val="0"/>
        <w:rPr>
          <w:rFonts w:ascii="Times New Roman" w:hAnsi="Times New Roman"/>
          <w:b/>
          <w:bCs/>
        </w:rPr>
      </w:pPr>
    </w:p>
    <w:p w:rsidR="008D0DC2" w:rsidP="00CE5CBF" w:rsidRDefault="008D0DC2" w14:paraId="2FFCF84E" w14:textId="77777777">
      <w:pPr>
        <w:jc w:val="center"/>
        <w:outlineLvl w:val="0"/>
        <w:rPr>
          <w:rFonts w:ascii="Times New Roman" w:hAnsi="Times New Roman"/>
          <w:b/>
          <w:bCs/>
        </w:rPr>
      </w:pPr>
    </w:p>
    <w:p w:rsidRPr="00CE5CBF" w:rsidR="00CE5CBF" w:rsidP="00CE5CBF" w:rsidRDefault="00CE5CBF" w14:paraId="6B7370A6" w14:textId="10192715">
      <w:pPr>
        <w:jc w:val="center"/>
        <w:outlineLvl w:val="0"/>
        <w:rPr>
          <w:rFonts w:ascii="Times New Roman" w:hAnsi="Times New Roman"/>
          <w:b/>
          <w:bCs/>
        </w:rPr>
      </w:pPr>
      <w:r w:rsidRPr="00CE5CBF">
        <w:rPr>
          <w:rFonts w:ascii="Times New Roman" w:hAnsi="Times New Roman"/>
          <w:b/>
          <w:bCs/>
        </w:rPr>
        <w:lastRenderedPageBreak/>
        <w:t>U.S. Food and Drug Administration</w:t>
      </w:r>
    </w:p>
    <w:p w:rsidRPr="00CE5CBF" w:rsidR="00CE5CBF" w:rsidP="00CE5CBF" w:rsidRDefault="00CE5CBF" w14:paraId="46B58D6F" w14:textId="77777777">
      <w:pPr>
        <w:jc w:val="center"/>
        <w:outlineLvl w:val="0"/>
        <w:rPr>
          <w:rFonts w:ascii="Times New Roman" w:hAnsi="Times New Roman"/>
          <w:b/>
          <w:bCs/>
        </w:rPr>
      </w:pPr>
      <w:r w:rsidRPr="00CE5CBF">
        <w:rPr>
          <w:rFonts w:ascii="Times New Roman" w:hAnsi="Times New Roman"/>
          <w:b/>
          <w:bCs/>
        </w:rPr>
        <w:t>Center for Tobacco Products</w:t>
      </w:r>
    </w:p>
    <w:p w:rsidRPr="00CE5CBF" w:rsidR="00CE5CBF" w:rsidP="00CE5CBF" w:rsidRDefault="00CE5CBF" w14:paraId="3DFFC25A" w14:textId="77777777">
      <w:pPr>
        <w:jc w:val="center"/>
        <w:outlineLvl w:val="0"/>
        <w:rPr>
          <w:rFonts w:ascii="Times New Roman" w:hAnsi="Times New Roman"/>
          <w:b/>
          <w:bCs/>
        </w:rPr>
      </w:pPr>
      <w:r w:rsidRPr="00CE5CBF">
        <w:rPr>
          <w:rFonts w:ascii="Times New Roman" w:hAnsi="Times New Roman"/>
          <w:b/>
          <w:bCs/>
        </w:rPr>
        <w:t>The Real Cost Campaign: Media Tracking Study</w:t>
      </w:r>
    </w:p>
    <w:p w:rsidR="00BE1FCB" w:rsidP="00BE1FCB" w:rsidRDefault="00CE5CBF" w14:paraId="315E5C7F" w14:textId="4FDB86E6">
      <w:pPr>
        <w:jc w:val="center"/>
        <w:rPr>
          <w:rFonts w:ascii="Times New Roman" w:hAnsi="Times New Roman" w:eastAsia="Times New Roman" w:cs="Times New Roman"/>
          <w:b/>
          <w:szCs w:val="24"/>
        </w:rPr>
      </w:pPr>
      <w:r w:rsidRPr="00CE5CBF">
        <w:rPr>
          <w:rFonts w:ascii="Times New Roman" w:hAnsi="Times New Roman"/>
          <w:b/>
          <w:bCs/>
        </w:rPr>
        <w:t>OMB No. 0910-0810</w:t>
      </w:r>
      <w:r>
        <w:rPr>
          <w:rFonts w:ascii="Times New Roman" w:hAnsi="Times New Roman" w:eastAsia="Times New Roman" w:cs="Times New Roman"/>
          <w:b/>
          <w:szCs w:val="24"/>
        </w:rPr>
        <w:t>Supporting Statement Part A</w:t>
      </w:r>
    </w:p>
    <w:p w:rsidR="00CE657C" w:rsidP="00BE1FCB" w:rsidRDefault="00CE657C" w14:paraId="33D3138D" w14:textId="43A1D493">
      <w:pPr>
        <w:jc w:val="center"/>
        <w:rPr>
          <w:rFonts w:ascii="Times New Roman" w:hAnsi="Times New Roman" w:eastAsia="Times New Roman" w:cs="Times New Roman"/>
          <w:b/>
          <w:szCs w:val="24"/>
        </w:rPr>
      </w:pPr>
    </w:p>
    <w:p w:rsidRPr="00233EDE" w:rsidR="00CE657C" w:rsidP="00BE1FCB" w:rsidRDefault="00CE657C" w14:paraId="3264E8C4" w14:textId="77777777">
      <w:pPr>
        <w:jc w:val="center"/>
        <w:rPr>
          <w:rFonts w:ascii="Times New Roman" w:hAnsi="Times New Roman" w:eastAsia="Times New Roman" w:cs="Times New Roman"/>
          <w:b/>
          <w:szCs w:val="24"/>
        </w:rPr>
      </w:pPr>
    </w:p>
    <w:p w:rsidRPr="00233EDE" w:rsidR="00BE1FCB" w:rsidP="00BE1FCB" w:rsidRDefault="00BE1FCB" w14:paraId="0C0F4789" w14:textId="77777777">
      <w:pPr>
        <w:numPr>
          <w:ilvl w:val="12"/>
          <w:numId w:val="0"/>
        </w:numPr>
        <w:autoSpaceDE w:val="0"/>
        <w:autoSpaceDN w:val="0"/>
        <w:adjustRightInd w:val="0"/>
        <w:ind w:left="180"/>
        <w:outlineLvl w:val="1"/>
        <w:rPr>
          <w:rFonts w:ascii="Times New Roman" w:hAnsi="Times New Roman" w:eastAsia="Times New Roman" w:cs="Times New Roman"/>
          <w:b/>
          <w:bCs/>
          <w:szCs w:val="24"/>
        </w:rPr>
      </w:pPr>
      <w:bookmarkStart w:name="_Toc239649220" w:id="2"/>
      <w:r w:rsidRPr="00233EDE">
        <w:rPr>
          <w:rFonts w:ascii="Times New Roman" w:hAnsi="Times New Roman" w:eastAsia="Times New Roman" w:cs="Times New Roman"/>
          <w:b/>
          <w:bCs/>
          <w:szCs w:val="24"/>
        </w:rPr>
        <w:t>A. JUSTIFICATION</w:t>
      </w:r>
      <w:bookmarkEnd w:id="2"/>
    </w:p>
    <w:p w:rsidRPr="00233EDE" w:rsidR="00BE1FCB" w:rsidP="00BE1FCB" w:rsidRDefault="00BE1FCB" w14:paraId="41380C9D" w14:textId="77777777">
      <w:pPr>
        <w:numPr>
          <w:ilvl w:val="12"/>
          <w:numId w:val="0"/>
        </w:numPr>
        <w:autoSpaceDE w:val="0"/>
        <w:autoSpaceDN w:val="0"/>
        <w:adjustRightInd w:val="0"/>
        <w:ind w:left="180"/>
        <w:rPr>
          <w:rFonts w:ascii="Times New Roman" w:hAnsi="Times New Roman" w:eastAsia="Times New Roman" w:cs="Times New Roman"/>
          <w:b/>
          <w:bCs/>
          <w:szCs w:val="24"/>
        </w:rPr>
      </w:pPr>
    </w:p>
    <w:p w:rsidRPr="00233EDE" w:rsidR="00BE1FCB" w:rsidP="00BE1FCB" w:rsidRDefault="00BE1FCB" w14:paraId="1E48C591" w14:textId="77777777">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bookmarkStart w:name="_Toc239649221" w:id="3"/>
      <w:r w:rsidRPr="00233EDE">
        <w:rPr>
          <w:rFonts w:ascii="Times New Roman" w:hAnsi="Times New Roman" w:eastAsia="Times New Roman" w:cs="Times New Roman"/>
          <w:b/>
          <w:bCs/>
          <w:szCs w:val="24"/>
        </w:rPr>
        <w:t xml:space="preserve">1. </w:t>
      </w:r>
      <w:r w:rsidRPr="00233EDE">
        <w:rPr>
          <w:rFonts w:ascii="Times New Roman" w:hAnsi="Times New Roman" w:eastAsia="Times New Roman" w:cs="Times New Roman"/>
          <w:b/>
          <w:bCs/>
          <w:szCs w:val="24"/>
          <w:u w:val="single"/>
        </w:rPr>
        <w:t>Circumstances Making the Collection of Information Necessary</w:t>
      </w:r>
      <w:bookmarkEnd w:id="3"/>
    </w:p>
    <w:p w:rsidRPr="00233EDE" w:rsidR="00BE1FCB" w:rsidP="00BE1FCB" w:rsidRDefault="00BE1FCB" w14:paraId="68D0200B" w14:textId="5A31C8ED">
      <w:pPr>
        <w:numPr>
          <w:ilvl w:val="12"/>
          <w:numId w:val="0"/>
        </w:numPr>
        <w:autoSpaceDE w:val="0"/>
        <w:autoSpaceDN w:val="0"/>
        <w:adjustRightInd w:val="0"/>
        <w:ind w:left="180"/>
        <w:rPr>
          <w:rFonts w:ascii="Times New Roman" w:hAnsi="Times New Roman" w:eastAsia="Times New Roman" w:cs="Times New Roman"/>
          <w:szCs w:val="24"/>
        </w:rPr>
      </w:pPr>
    </w:p>
    <w:p w:rsidRPr="007A3F94" w:rsidR="00D068AE" w:rsidP="007A3F94" w:rsidRDefault="00F90702" w14:paraId="42F60437" w14:textId="6F062E62">
      <w:pPr>
        <w:rPr>
          <w:rFonts w:ascii="Times New Roman" w:hAnsi="Times New Roman" w:cs="Times New Roman"/>
        </w:rPr>
      </w:pPr>
      <w:r w:rsidRPr="007A3F94">
        <w:rPr>
          <w:rFonts w:ascii="Times New Roman" w:hAnsi="Times New Roman" w:cs="Times New Roman"/>
        </w:rPr>
        <w:t xml:space="preserve">In support of </w:t>
      </w:r>
      <w:r w:rsidRPr="007A3F94" w:rsidR="00091895">
        <w:rPr>
          <w:rFonts w:ascii="Times New Roman" w:hAnsi="Times New Roman" w:cs="Times New Roman"/>
        </w:rPr>
        <w:t>the U.S. Food and Drug Administration’s (</w:t>
      </w:r>
      <w:r w:rsidRPr="007A3F94">
        <w:rPr>
          <w:rFonts w:ascii="Times New Roman" w:hAnsi="Times New Roman" w:cs="Times New Roman"/>
        </w:rPr>
        <w:t>FDA</w:t>
      </w:r>
      <w:r w:rsidRPr="007A3F94" w:rsidR="00091895">
        <w:rPr>
          <w:rFonts w:ascii="Times New Roman" w:hAnsi="Times New Roman" w:cs="Times New Roman"/>
        </w:rPr>
        <w:t>)</w:t>
      </w:r>
      <w:r w:rsidRPr="007A3F94">
        <w:rPr>
          <w:rFonts w:ascii="Times New Roman" w:hAnsi="Times New Roman" w:cs="Times New Roman"/>
        </w:rPr>
        <w:t xml:space="preserve"> efforts to refresh campaign</w:t>
      </w:r>
      <w:r w:rsidRPr="007A3F94" w:rsidR="007A3F94">
        <w:rPr>
          <w:rFonts w:ascii="Times New Roman" w:hAnsi="Times New Roman" w:cs="Times New Roman"/>
        </w:rPr>
        <w:t xml:space="preserve"> </w:t>
      </w:r>
      <w:r w:rsidRPr="007A3F94">
        <w:rPr>
          <w:rFonts w:ascii="Times New Roman" w:hAnsi="Times New Roman" w:cs="Times New Roman"/>
        </w:rPr>
        <w:t xml:space="preserve">messaging, the Center for Tobacco Products (CTP) will conduct a quantitative study to inform the development of appropriate messaging for FDA’s </w:t>
      </w:r>
      <w:r w:rsidRPr="007A3F94" w:rsidR="001721E9">
        <w:rPr>
          <w:rFonts w:ascii="Times New Roman" w:hAnsi="Times New Roman" w:cs="Times New Roman"/>
        </w:rPr>
        <w:t>The Real Cost campaign.</w:t>
      </w:r>
      <w:r w:rsidRPr="007A3F94" w:rsidR="003779E4">
        <w:rPr>
          <w:rFonts w:ascii="Times New Roman" w:hAnsi="Times New Roman" w:cs="Times New Roman"/>
        </w:rPr>
        <w:t xml:space="preserve"> In 2019, about 6.2 million U.S. middle and high school students were current users of some type of tobacco product</w:t>
      </w:r>
      <w:r w:rsidRPr="007A3F94" w:rsidR="00501404">
        <w:rPr>
          <w:rFonts w:ascii="Times New Roman" w:hAnsi="Times New Roman" w:cs="Times New Roman"/>
        </w:rPr>
        <w:t xml:space="preserve"> </w:t>
      </w:r>
      <w:r w:rsidRPr="007A3F94" w:rsidR="003779E4">
        <w:rPr>
          <w:rFonts w:ascii="Times New Roman" w:hAnsi="Times New Roman" w:cs="Times New Roman"/>
        </w:rPr>
        <w:t xml:space="preserve">(Wang, </w:t>
      </w:r>
      <w:proofErr w:type="spellStart"/>
      <w:r w:rsidRPr="007A3F94" w:rsidR="003779E4">
        <w:rPr>
          <w:rFonts w:ascii="Times New Roman" w:hAnsi="Times New Roman" w:cs="Times New Roman"/>
        </w:rPr>
        <w:t>Gentzke</w:t>
      </w:r>
      <w:proofErr w:type="spellEnd"/>
      <w:r w:rsidRPr="007A3F94" w:rsidR="003779E4">
        <w:rPr>
          <w:rFonts w:ascii="Times New Roman" w:hAnsi="Times New Roman" w:cs="Times New Roman"/>
        </w:rPr>
        <w:t xml:space="preserve"> &amp; Creamer, 2019). Specifically, 5.8% high school students used cigarettes and 27.5% used e-cigarettes and 13.3% of middle and high school students used both cigarettes and e-cigarettes (Wang, </w:t>
      </w:r>
      <w:proofErr w:type="spellStart"/>
      <w:r w:rsidRPr="007A3F94" w:rsidR="003779E4">
        <w:rPr>
          <w:rFonts w:ascii="Times New Roman" w:hAnsi="Times New Roman" w:cs="Times New Roman"/>
        </w:rPr>
        <w:t>Gentzke</w:t>
      </w:r>
      <w:proofErr w:type="spellEnd"/>
      <w:r w:rsidRPr="007A3F94" w:rsidR="003779E4">
        <w:rPr>
          <w:rFonts w:ascii="Times New Roman" w:hAnsi="Times New Roman" w:cs="Times New Roman"/>
        </w:rPr>
        <w:t xml:space="preserve"> &amp; Creamer, 2019). </w:t>
      </w:r>
      <w:r w:rsidRPr="007A3F94" w:rsidR="00736009">
        <w:rPr>
          <w:rFonts w:ascii="Times New Roman" w:hAnsi="Times New Roman" w:cs="Times New Roman"/>
        </w:rPr>
        <w:t xml:space="preserve">Young people </w:t>
      </w:r>
      <w:r w:rsidRPr="007A3F94" w:rsidR="003779E4">
        <w:rPr>
          <w:rFonts w:ascii="Times New Roman" w:hAnsi="Times New Roman" w:cs="Times New Roman"/>
        </w:rPr>
        <w:t xml:space="preserve">continue to represent a priority population when it comes to prevention messaging. </w:t>
      </w:r>
      <w:r w:rsidRPr="007A3F94" w:rsidR="00D068AE">
        <w:rPr>
          <w:rFonts w:ascii="Times New Roman" w:hAnsi="Times New Roman" w:cs="Times New Roman"/>
        </w:rPr>
        <w:t xml:space="preserve">As a way to reduce the enormous public health burden of tobacco, the Family Smoking Prevention and Tobacco Control Act has given the FDA the authority to </w:t>
      </w:r>
      <w:proofErr w:type="gramStart"/>
      <w:r w:rsidRPr="007A3F94" w:rsidR="00D068AE">
        <w:rPr>
          <w:rFonts w:ascii="Times New Roman" w:hAnsi="Times New Roman" w:cs="Times New Roman"/>
        </w:rPr>
        <w:t>take action</w:t>
      </w:r>
      <w:proofErr w:type="gramEnd"/>
      <w:r w:rsidRPr="007A3F94" w:rsidR="00D068AE">
        <w:rPr>
          <w:rFonts w:ascii="Times New Roman" w:hAnsi="Times New Roman" w:cs="Times New Roman"/>
        </w:rPr>
        <w:t xml:space="preserve"> to protect children, encourage smokers to quit, and reduce tobacco-related disease and death. The law also enables FDA to educate the public, especially young people, about the dangers of tobacco products. Research shows that public education mass media campaigns can be used to change attitudes and beliefs about tobacco use and reduce smoking prevalence. In fact, the Centers for Disease Control and Prevention (CDC) considers mass media campaigns to be a “best practice” for tobacco contro</w:t>
      </w:r>
      <w:r w:rsidRPr="007A3F94" w:rsidR="005773E1">
        <w:rPr>
          <w:rFonts w:ascii="Times New Roman" w:hAnsi="Times New Roman" w:cs="Times New Roman"/>
        </w:rPr>
        <w:t>l (</w:t>
      </w:r>
      <w:r w:rsidRPr="007A3F94" w:rsidR="00FF4201">
        <w:rPr>
          <w:rFonts w:ascii="Times New Roman" w:hAnsi="Times New Roman" w:cs="Times New Roman"/>
        </w:rPr>
        <w:t>CDC, 20</w:t>
      </w:r>
      <w:r w:rsidRPr="007A3F94" w:rsidR="008404A0">
        <w:rPr>
          <w:rFonts w:ascii="Times New Roman" w:hAnsi="Times New Roman" w:cs="Times New Roman"/>
        </w:rPr>
        <w:t>14</w:t>
      </w:r>
      <w:r w:rsidRPr="007A3F94" w:rsidR="007A3F94">
        <w:rPr>
          <w:rFonts w:ascii="Times New Roman" w:hAnsi="Times New Roman" w:cs="Times New Roman"/>
        </w:rPr>
        <w:t xml:space="preserve"> https://www.cdc.gov/tobacco/stateandcommunity/best_practices/index.htm)</w:t>
      </w:r>
    </w:p>
    <w:p w:rsidRPr="00233EDE" w:rsidR="00D068AE" w:rsidP="00C4552B" w:rsidRDefault="00D068AE" w14:paraId="652BBE56" w14:textId="77777777">
      <w:pPr>
        <w:numPr>
          <w:ilvl w:val="12"/>
          <w:numId w:val="0"/>
        </w:numPr>
        <w:autoSpaceDE w:val="0"/>
        <w:autoSpaceDN w:val="0"/>
        <w:adjustRightInd w:val="0"/>
        <w:ind w:left="180"/>
        <w:rPr>
          <w:rFonts w:ascii="Times New Roman" w:hAnsi="Times New Roman" w:eastAsia="Times New Roman" w:cs="Times New Roman"/>
          <w:szCs w:val="24"/>
        </w:rPr>
      </w:pPr>
    </w:p>
    <w:p w:rsidRPr="00233EDE" w:rsidR="00BE1FCB" w:rsidP="007A3F94" w:rsidRDefault="00736009" w14:paraId="306AFE0D" w14:textId="2BBF248E">
      <w:pPr>
        <w:numPr>
          <w:ilvl w:val="12"/>
          <w:numId w:val="0"/>
        </w:numPr>
        <w:autoSpaceDE w:val="0"/>
        <w:autoSpaceDN w:val="0"/>
        <w:adjustRightInd w:val="0"/>
        <w:rPr>
          <w:rFonts w:ascii="Times New Roman" w:hAnsi="Times New Roman" w:eastAsia="Times New Roman" w:cs="Times New Roman"/>
          <w:szCs w:val="24"/>
        </w:rPr>
      </w:pPr>
      <w:r w:rsidRPr="00233EDE">
        <w:rPr>
          <w:rFonts w:ascii="Times New Roman" w:hAnsi="Times New Roman" w:eastAsia="Times New Roman" w:cs="Times New Roman"/>
          <w:szCs w:val="24"/>
        </w:rPr>
        <w:t>In an effort to</w:t>
      </w:r>
      <w:r w:rsidRPr="00233EDE" w:rsidR="00625AC6">
        <w:rPr>
          <w:rFonts w:ascii="Times New Roman" w:hAnsi="Times New Roman" w:eastAsia="Times New Roman" w:cs="Times New Roman"/>
          <w:szCs w:val="24"/>
        </w:rPr>
        <w:t xml:space="preserve"> continuously improve </w:t>
      </w:r>
      <w:r w:rsidRPr="00233EDE" w:rsidR="0037144B">
        <w:rPr>
          <w:rFonts w:ascii="Times New Roman" w:hAnsi="Times New Roman" w:eastAsia="Times New Roman" w:cs="Times New Roman"/>
          <w:szCs w:val="24"/>
        </w:rPr>
        <w:t>FDA’s public education programs’ impact and effectiveness in reducing tobacco-related death and disease</w:t>
      </w:r>
      <w:r w:rsidRPr="00233EDE" w:rsidR="0031719D">
        <w:rPr>
          <w:rFonts w:ascii="Times New Roman" w:hAnsi="Times New Roman" w:eastAsia="Times New Roman" w:cs="Times New Roman"/>
          <w:szCs w:val="24"/>
        </w:rPr>
        <w:t xml:space="preserve"> in an ever-evolving media and tobacco product landscape</w:t>
      </w:r>
      <w:r w:rsidRPr="00233EDE">
        <w:rPr>
          <w:rFonts w:ascii="Times New Roman" w:hAnsi="Times New Roman" w:eastAsia="Times New Roman" w:cs="Times New Roman"/>
          <w:szCs w:val="24"/>
        </w:rPr>
        <w:t xml:space="preserve">, </w:t>
      </w:r>
      <w:r w:rsidRPr="00233EDE" w:rsidR="00BA09CD">
        <w:rPr>
          <w:rFonts w:ascii="Times New Roman" w:hAnsi="Times New Roman" w:eastAsia="Times New Roman" w:cs="Times New Roman"/>
          <w:szCs w:val="24"/>
        </w:rPr>
        <w:t xml:space="preserve">this </w:t>
      </w:r>
      <w:r w:rsidRPr="00233EDE">
        <w:rPr>
          <w:rFonts w:ascii="Times New Roman" w:hAnsi="Times New Roman" w:eastAsia="Times New Roman" w:cs="Times New Roman"/>
          <w:szCs w:val="24"/>
        </w:rPr>
        <w:t xml:space="preserve">Media </w:t>
      </w:r>
      <w:r w:rsidRPr="00233EDE" w:rsidR="003779E4">
        <w:rPr>
          <w:rFonts w:ascii="Times New Roman" w:hAnsi="Times New Roman" w:eastAsia="Times New Roman" w:cs="Times New Roman"/>
          <w:szCs w:val="24"/>
        </w:rPr>
        <w:t xml:space="preserve">Tracking study </w:t>
      </w:r>
      <w:r w:rsidRPr="00233EDE">
        <w:rPr>
          <w:rFonts w:ascii="Times New Roman" w:hAnsi="Times New Roman" w:eastAsia="Times New Roman" w:cs="Times New Roman"/>
          <w:szCs w:val="24"/>
        </w:rPr>
        <w:t>will</w:t>
      </w:r>
      <w:r w:rsidRPr="00233EDE" w:rsidR="00BA09CD">
        <w:rPr>
          <w:rFonts w:ascii="Times New Roman" w:hAnsi="Times New Roman" w:eastAsia="Times New Roman" w:cs="Times New Roman"/>
          <w:szCs w:val="24"/>
        </w:rPr>
        <w:t xml:space="preserve"> </w:t>
      </w:r>
      <w:r w:rsidRPr="00233EDE" w:rsidR="007478CB">
        <w:rPr>
          <w:rFonts w:ascii="Times New Roman" w:hAnsi="Times New Roman" w:eastAsia="Times New Roman" w:cs="Times New Roman"/>
          <w:szCs w:val="24"/>
        </w:rPr>
        <w:t>collect primary data to</w:t>
      </w:r>
      <w:r w:rsidRPr="00233EDE" w:rsidR="00625AC6">
        <w:rPr>
          <w:rFonts w:ascii="Times New Roman" w:hAnsi="Times New Roman" w:eastAsia="Times New Roman" w:cs="Times New Roman"/>
          <w:szCs w:val="24"/>
        </w:rPr>
        <w:t xml:space="preserve"> track </w:t>
      </w:r>
      <w:r w:rsidRPr="00233EDE">
        <w:rPr>
          <w:rFonts w:ascii="Times New Roman" w:hAnsi="Times New Roman" w:eastAsia="Times New Roman" w:cs="Times New Roman"/>
          <w:szCs w:val="24"/>
        </w:rPr>
        <w:t>advertisement</w:t>
      </w:r>
      <w:r w:rsidRPr="00233EDE" w:rsidR="00625AC6">
        <w:rPr>
          <w:rFonts w:ascii="Times New Roman" w:hAnsi="Times New Roman" w:eastAsia="Times New Roman" w:cs="Times New Roman"/>
          <w:szCs w:val="24"/>
        </w:rPr>
        <w:t xml:space="preserve"> </w:t>
      </w:r>
      <w:r w:rsidRPr="00233EDE" w:rsidR="0031719D">
        <w:rPr>
          <w:rFonts w:ascii="Times New Roman" w:hAnsi="Times New Roman" w:eastAsia="Times New Roman" w:cs="Times New Roman"/>
          <w:szCs w:val="24"/>
        </w:rPr>
        <w:t xml:space="preserve">and educational message </w:t>
      </w:r>
      <w:r w:rsidRPr="00233EDE" w:rsidR="00625AC6">
        <w:rPr>
          <w:rFonts w:ascii="Times New Roman" w:hAnsi="Times New Roman" w:eastAsia="Times New Roman" w:cs="Times New Roman"/>
          <w:szCs w:val="24"/>
        </w:rPr>
        <w:t>performance and</w:t>
      </w:r>
      <w:r w:rsidRPr="00233EDE" w:rsidR="007478CB">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 xml:space="preserve">better understand CTP’s public education </w:t>
      </w:r>
      <w:r w:rsidRPr="00233EDE" w:rsidR="0031719D">
        <w:rPr>
          <w:rFonts w:ascii="Times New Roman" w:hAnsi="Times New Roman" w:eastAsia="Times New Roman" w:cs="Times New Roman"/>
          <w:szCs w:val="24"/>
        </w:rPr>
        <w:t>program’s target audience</w:t>
      </w:r>
      <w:r w:rsidRPr="00233EDE" w:rsidR="00120EDD">
        <w:rPr>
          <w:rFonts w:ascii="Times New Roman" w:hAnsi="Times New Roman" w:eastAsia="Times New Roman" w:cs="Times New Roman"/>
          <w:szCs w:val="24"/>
        </w:rPr>
        <w:t xml:space="preserve">. </w:t>
      </w:r>
    </w:p>
    <w:p w:rsidRPr="00233EDE" w:rsidR="00F5795E" w:rsidP="00C4552B" w:rsidRDefault="00F5795E" w14:paraId="5EEA2B3C" w14:textId="6D821566">
      <w:pPr>
        <w:numPr>
          <w:ilvl w:val="12"/>
          <w:numId w:val="0"/>
        </w:numPr>
        <w:autoSpaceDE w:val="0"/>
        <w:autoSpaceDN w:val="0"/>
        <w:adjustRightInd w:val="0"/>
        <w:ind w:left="180"/>
        <w:rPr>
          <w:rFonts w:ascii="Times New Roman" w:hAnsi="Times New Roman" w:eastAsia="Times New Roman" w:cs="Times New Roman"/>
          <w:szCs w:val="24"/>
        </w:rPr>
      </w:pPr>
    </w:p>
    <w:p w:rsidRPr="00233EDE" w:rsidR="00F5795E" w:rsidP="007A3F94" w:rsidRDefault="00EA484A" w14:paraId="327BE264" w14:textId="6E8CDB81">
      <w:pPr>
        <w:numPr>
          <w:ilvl w:val="12"/>
          <w:numId w:val="0"/>
        </w:numPr>
        <w:autoSpaceDE w:val="0"/>
        <w:autoSpaceDN w:val="0"/>
        <w:adjustRightInd w:val="0"/>
        <w:rPr>
          <w:rFonts w:ascii="Times New Roman" w:hAnsi="Times New Roman" w:eastAsia="Times New Roman" w:cs="Times New Roman"/>
          <w:b/>
          <w:bCs/>
          <w:szCs w:val="24"/>
        </w:rPr>
      </w:pPr>
      <w:r w:rsidRPr="00233EDE">
        <w:rPr>
          <w:rFonts w:ascii="Times New Roman" w:hAnsi="Times New Roman" w:eastAsia="Times New Roman" w:cs="Times New Roman"/>
          <w:szCs w:val="24"/>
        </w:rPr>
        <w:t>Starting in Q1 of 2021, t</w:t>
      </w:r>
      <w:r w:rsidRPr="00233EDE" w:rsidR="00F5795E">
        <w:rPr>
          <w:rFonts w:ascii="Times New Roman" w:hAnsi="Times New Roman" w:eastAsia="Times New Roman" w:cs="Times New Roman"/>
          <w:szCs w:val="24"/>
        </w:rPr>
        <w:t xml:space="preserve">his study was fielded once per quarter with a cross-sectional sampling approach </w:t>
      </w:r>
      <w:r w:rsidRPr="00233EDE">
        <w:rPr>
          <w:rFonts w:ascii="Times New Roman" w:hAnsi="Times New Roman" w:eastAsia="Times New Roman" w:cs="Times New Roman"/>
          <w:szCs w:val="24"/>
        </w:rPr>
        <w:t>using an</w:t>
      </w:r>
      <w:r w:rsidRPr="00233EDE" w:rsidR="00F5795E">
        <w:rPr>
          <w:rFonts w:ascii="Times New Roman" w:hAnsi="Times New Roman" w:eastAsia="Times New Roman" w:cs="Times New Roman"/>
          <w:szCs w:val="24"/>
        </w:rPr>
        <w:t xml:space="preserve"> online survey. </w:t>
      </w:r>
      <w:r w:rsidRPr="006C28D4" w:rsidR="00F5795E">
        <w:rPr>
          <w:rFonts w:ascii="Times New Roman" w:hAnsi="Times New Roman" w:eastAsia="Times New Roman" w:cs="Times New Roman"/>
          <w:szCs w:val="24"/>
        </w:rPr>
        <w:t xml:space="preserve">This </w:t>
      </w:r>
      <w:r w:rsidRPr="006C28D4" w:rsidR="00CE5CBF">
        <w:rPr>
          <w:rFonts w:ascii="Times New Roman" w:hAnsi="Times New Roman" w:eastAsia="Times New Roman" w:cs="Times New Roman"/>
          <w:szCs w:val="24"/>
        </w:rPr>
        <w:t xml:space="preserve">ICR </w:t>
      </w:r>
      <w:r w:rsidRPr="006C28D4" w:rsidR="00F5795E">
        <w:rPr>
          <w:rFonts w:ascii="Times New Roman" w:hAnsi="Times New Roman" w:eastAsia="Times New Roman" w:cs="Times New Roman"/>
          <w:szCs w:val="24"/>
        </w:rPr>
        <w:t xml:space="preserve">is a continuation of the previously approved </w:t>
      </w:r>
      <w:r w:rsidRPr="006C28D4" w:rsidR="00233EDE">
        <w:rPr>
          <w:rFonts w:ascii="Times New Roman" w:hAnsi="Times New Roman" w:eastAsia="Times New Roman" w:cs="Times New Roman"/>
          <w:szCs w:val="24"/>
        </w:rPr>
        <w:t>study</w:t>
      </w:r>
      <w:r w:rsidRPr="006C28D4" w:rsidR="008E26C4">
        <w:rPr>
          <w:rFonts w:ascii="Times New Roman" w:hAnsi="Times New Roman" w:eastAsia="Times New Roman" w:cs="Times New Roman"/>
          <w:szCs w:val="24"/>
        </w:rPr>
        <w:t xml:space="preserve">. We are seeking approval </w:t>
      </w:r>
      <w:r w:rsidRPr="006C28D4" w:rsidR="00CE5CBF">
        <w:rPr>
          <w:rFonts w:ascii="Times New Roman" w:hAnsi="Times New Roman" w:eastAsia="Times New Roman" w:cs="Times New Roman"/>
          <w:szCs w:val="24"/>
        </w:rPr>
        <w:t xml:space="preserve">for another </w:t>
      </w:r>
      <w:r w:rsidR="00A97B30">
        <w:rPr>
          <w:rFonts w:ascii="Times New Roman" w:hAnsi="Times New Roman" w:eastAsia="Times New Roman" w:cs="Times New Roman"/>
          <w:szCs w:val="24"/>
        </w:rPr>
        <w:t>6 months</w:t>
      </w:r>
      <w:r w:rsidRPr="006C28D4" w:rsidR="00A97B30">
        <w:rPr>
          <w:rFonts w:ascii="Times New Roman" w:hAnsi="Times New Roman" w:eastAsia="Times New Roman" w:cs="Times New Roman"/>
          <w:szCs w:val="24"/>
        </w:rPr>
        <w:t xml:space="preserve"> </w:t>
      </w:r>
      <w:r w:rsidRPr="006C28D4" w:rsidR="008E26C4">
        <w:rPr>
          <w:rFonts w:ascii="Times New Roman" w:hAnsi="Times New Roman" w:eastAsia="Times New Roman" w:cs="Times New Roman"/>
          <w:szCs w:val="24"/>
        </w:rPr>
        <w:t>of data collection.</w:t>
      </w:r>
    </w:p>
    <w:p w:rsidRPr="00233EDE" w:rsidR="00BE1FCB" w:rsidP="00BE1FCB" w:rsidRDefault="00BE1FCB" w14:paraId="13A10C92" w14:textId="77777777">
      <w:pPr>
        <w:numPr>
          <w:ilvl w:val="12"/>
          <w:numId w:val="0"/>
        </w:numPr>
        <w:autoSpaceDE w:val="0"/>
        <w:autoSpaceDN w:val="0"/>
        <w:adjustRightInd w:val="0"/>
        <w:ind w:left="180"/>
        <w:rPr>
          <w:rFonts w:ascii="Times New Roman" w:hAnsi="Times New Roman" w:eastAsia="Times New Roman" w:cs="Times New Roman"/>
          <w:szCs w:val="24"/>
        </w:rPr>
      </w:pPr>
    </w:p>
    <w:p w:rsidRPr="00233EDE" w:rsidR="00BE1FCB" w:rsidP="007A3F94" w:rsidRDefault="00BE1FCB" w14:paraId="246BFA55" w14:textId="6376924B">
      <w:pPr>
        <w:numPr>
          <w:ilvl w:val="12"/>
          <w:numId w:val="0"/>
        </w:numPr>
        <w:autoSpaceDE w:val="0"/>
        <w:autoSpaceDN w:val="0"/>
        <w:adjustRightInd w:val="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The study will be conducted using self-administered </w:t>
      </w:r>
      <w:r w:rsidRPr="00233EDE" w:rsidR="00BD19F6">
        <w:rPr>
          <w:rFonts w:ascii="Times New Roman" w:hAnsi="Times New Roman" w:eastAsia="Times New Roman" w:cs="Times New Roman"/>
          <w:szCs w:val="24"/>
        </w:rPr>
        <w:t xml:space="preserve">online surveys </w:t>
      </w:r>
      <w:r w:rsidRPr="00233EDE">
        <w:rPr>
          <w:rFonts w:ascii="Times New Roman" w:hAnsi="Times New Roman" w:eastAsia="Times New Roman" w:cs="Times New Roman"/>
          <w:szCs w:val="24"/>
        </w:rPr>
        <w:t>on personal computers</w:t>
      </w:r>
      <w:r w:rsidRPr="00233EDE" w:rsidR="00F857BB">
        <w:rPr>
          <w:rFonts w:ascii="Times New Roman" w:hAnsi="Times New Roman" w:eastAsia="Times New Roman" w:cs="Times New Roman"/>
          <w:szCs w:val="24"/>
        </w:rPr>
        <w:t xml:space="preserve"> or web</w:t>
      </w:r>
      <w:r w:rsidRPr="00233EDE" w:rsidR="00625AC6">
        <w:rPr>
          <w:rFonts w:ascii="Times New Roman" w:hAnsi="Times New Roman" w:eastAsia="Times New Roman" w:cs="Times New Roman"/>
          <w:szCs w:val="24"/>
        </w:rPr>
        <w:t>-</w:t>
      </w:r>
      <w:r w:rsidRPr="00233EDE" w:rsidR="00F857BB">
        <w:rPr>
          <w:rFonts w:ascii="Times New Roman" w:hAnsi="Times New Roman" w:eastAsia="Times New Roman" w:cs="Times New Roman"/>
          <w:szCs w:val="24"/>
        </w:rPr>
        <w:t>enabled mobile devices</w:t>
      </w:r>
      <w:r w:rsidRPr="00233EDE">
        <w:rPr>
          <w:rFonts w:ascii="Times New Roman" w:hAnsi="Times New Roman" w:eastAsia="Times New Roman" w:cs="Times New Roman"/>
          <w:szCs w:val="24"/>
        </w:rPr>
        <w:t xml:space="preserve">. The study will use an online survey </w:t>
      </w:r>
      <w:r w:rsidRPr="00233EDE" w:rsidR="00625AC6">
        <w:rPr>
          <w:rFonts w:ascii="Times New Roman" w:hAnsi="Times New Roman" w:eastAsia="Times New Roman" w:cs="Times New Roman"/>
          <w:szCs w:val="24"/>
        </w:rPr>
        <w:t xml:space="preserve">of </w:t>
      </w:r>
      <w:r w:rsidRPr="00233EDE">
        <w:rPr>
          <w:rFonts w:ascii="Times New Roman" w:hAnsi="Times New Roman" w:eastAsia="Times New Roman" w:cs="Times New Roman"/>
          <w:szCs w:val="24"/>
        </w:rPr>
        <w:t xml:space="preserve">up to </w:t>
      </w:r>
      <w:r w:rsidR="00752D93">
        <w:rPr>
          <w:rFonts w:ascii="Times New Roman" w:hAnsi="Times New Roman" w:eastAsia="Times New Roman" w:cs="Times New Roman"/>
          <w:szCs w:val="24"/>
        </w:rPr>
        <w:t>2,000</w:t>
      </w:r>
      <w:r w:rsidRPr="00233EDE" w:rsidR="00584305">
        <w:rPr>
          <w:rFonts w:ascii="Times New Roman" w:hAnsi="Times New Roman" w:eastAsia="Times New Roman" w:cs="Times New Roman"/>
          <w:szCs w:val="24"/>
        </w:rPr>
        <w:t xml:space="preserve"> </w:t>
      </w:r>
      <w:r w:rsidRPr="00233EDE" w:rsidR="00B56A90">
        <w:rPr>
          <w:rFonts w:ascii="Times New Roman" w:hAnsi="Times New Roman" w:eastAsia="Times New Roman" w:cs="Times New Roman"/>
          <w:szCs w:val="24"/>
        </w:rPr>
        <w:t>youth ages 1</w:t>
      </w:r>
      <w:r w:rsidRPr="00233EDE" w:rsidR="00120EDD">
        <w:rPr>
          <w:rFonts w:ascii="Times New Roman" w:hAnsi="Times New Roman" w:eastAsia="Times New Roman" w:cs="Times New Roman"/>
          <w:szCs w:val="24"/>
        </w:rPr>
        <w:t>3</w:t>
      </w:r>
      <w:r w:rsidRPr="00233EDE" w:rsidR="00B56A90">
        <w:rPr>
          <w:rFonts w:ascii="Times New Roman" w:hAnsi="Times New Roman" w:eastAsia="Times New Roman" w:cs="Times New Roman"/>
          <w:szCs w:val="24"/>
        </w:rPr>
        <w:t xml:space="preserve"> to </w:t>
      </w:r>
      <w:r w:rsidRPr="00233EDE" w:rsidR="00FB6B80">
        <w:rPr>
          <w:rFonts w:ascii="Times New Roman" w:hAnsi="Times New Roman" w:eastAsia="Times New Roman" w:cs="Times New Roman"/>
          <w:szCs w:val="24"/>
        </w:rPr>
        <w:t>17</w:t>
      </w:r>
      <w:r w:rsidRPr="00233EDE" w:rsidR="007F33FB">
        <w:rPr>
          <w:rFonts w:ascii="Times New Roman" w:hAnsi="Times New Roman" w:eastAsia="Times New Roman" w:cs="Times New Roman"/>
          <w:szCs w:val="24"/>
        </w:rPr>
        <w:t xml:space="preserve"> </w:t>
      </w:r>
      <w:r w:rsidRPr="00233EDE" w:rsidR="00B56A90">
        <w:rPr>
          <w:rFonts w:ascii="Times New Roman" w:hAnsi="Times New Roman" w:eastAsia="Times New Roman" w:cs="Times New Roman"/>
          <w:szCs w:val="24"/>
        </w:rPr>
        <w:t>years</w:t>
      </w:r>
      <w:r w:rsidRPr="00233EDE" w:rsidR="00DC519F">
        <w:rPr>
          <w:rFonts w:ascii="Times New Roman" w:hAnsi="Times New Roman" w:eastAsia="Times New Roman" w:cs="Times New Roman"/>
          <w:szCs w:val="24"/>
        </w:rPr>
        <w:t xml:space="preserve"> </w:t>
      </w:r>
      <w:r w:rsidRPr="00233EDE" w:rsidR="005D16DF">
        <w:rPr>
          <w:rFonts w:ascii="Times New Roman" w:hAnsi="Times New Roman" w:eastAsia="Times New Roman" w:cs="Times New Roman"/>
          <w:szCs w:val="24"/>
        </w:rPr>
        <w:t xml:space="preserve">for </w:t>
      </w:r>
      <w:r w:rsidR="00752D93">
        <w:rPr>
          <w:rFonts w:ascii="Times New Roman" w:hAnsi="Times New Roman" w:eastAsia="Times New Roman" w:cs="Times New Roman"/>
          <w:szCs w:val="24"/>
        </w:rPr>
        <w:t>six months</w:t>
      </w:r>
      <w:r w:rsidRPr="00233EDE" w:rsidR="001A30C1">
        <w:rPr>
          <w:rFonts w:ascii="Times New Roman" w:hAnsi="Times New Roman" w:eastAsia="Times New Roman" w:cs="Times New Roman"/>
          <w:szCs w:val="24"/>
        </w:rPr>
        <w:t>.</w:t>
      </w:r>
      <w:r w:rsidRPr="00233EDE" w:rsidR="00BF13BA">
        <w:rPr>
          <w:rFonts w:ascii="Times New Roman" w:hAnsi="Times New Roman" w:eastAsia="Times New Roman" w:cs="Times New Roman"/>
          <w:szCs w:val="24"/>
        </w:rPr>
        <w:t xml:space="preserve"> </w:t>
      </w:r>
      <w:r w:rsidRPr="00233EDE" w:rsidR="00272CC1">
        <w:rPr>
          <w:rFonts w:ascii="Times New Roman" w:hAnsi="Times New Roman"/>
        </w:rPr>
        <w:t xml:space="preserve">Each participant will spend approximately </w:t>
      </w:r>
      <w:r w:rsidRPr="00233EDE" w:rsidR="00FB6B80">
        <w:rPr>
          <w:rFonts w:ascii="Times New Roman" w:hAnsi="Times New Roman"/>
        </w:rPr>
        <w:t>21</w:t>
      </w:r>
      <w:r w:rsidRPr="00233EDE" w:rsidR="00272CC1">
        <w:rPr>
          <w:rFonts w:ascii="Times New Roman" w:hAnsi="Times New Roman"/>
        </w:rPr>
        <w:t xml:space="preserve"> minutes to complete the study (2-minute screener, 2-minute assent, 1</w:t>
      </w:r>
      <w:r w:rsidRPr="00233EDE" w:rsidR="00FB6B80">
        <w:rPr>
          <w:rFonts w:ascii="Times New Roman" w:hAnsi="Times New Roman"/>
        </w:rPr>
        <w:t>7</w:t>
      </w:r>
      <w:r w:rsidRPr="00233EDE" w:rsidR="00272CC1">
        <w:rPr>
          <w:rFonts w:ascii="Times New Roman" w:hAnsi="Times New Roman"/>
        </w:rPr>
        <w:t xml:space="preserve">-minute survey). </w:t>
      </w:r>
      <w:r w:rsidRPr="00233EDE">
        <w:rPr>
          <w:rFonts w:ascii="Times New Roman" w:hAnsi="Times New Roman" w:eastAsia="Times New Roman" w:cs="Times New Roman"/>
          <w:szCs w:val="24"/>
        </w:rPr>
        <w:t xml:space="preserve">This survey will ask participants to provide </w:t>
      </w:r>
      <w:r w:rsidRPr="00233EDE" w:rsidR="00625AC6">
        <w:rPr>
          <w:rFonts w:ascii="Times New Roman" w:hAnsi="Times New Roman" w:eastAsia="Times New Roman" w:cs="Times New Roman"/>
          <w:szCs w:val="24"/>
        </w:rPr>
        <w:t xml:space="preserve">awareness of </w:t>
      </w:r>
      <w:r w:rsidRPr="00233EDE" w:rsidR="0031719D">
        <w:rPr>
          <w:rFonts w:ascii="Times New Roman" w:hAnsi="Times New Roman" w:eastAsia="Times New Roman" w:cs="Times New Roman"/>
          <w:szCs w:val="24"/>
        </w:rPr>
        <w:t xml:space="preserve">video advertisements </w:t>
      </w:r>
      <w:r w:rsidRPr="00233EDE" w:rsidR="00625AC6">
        <w:rPr>
          <w:rFonts w:ascii="Times New Roman" w:hAnsi="Times New Roman" w:eastAsia="Times New Roman" w:cs="Times New Roman"/>
          <w:szCs w:val="24"/>
        </w:rPr>
        <w:t xml:space="preserve">in market, </w:t>
      </w:r>
      <w:r w:rsidRPr="00233EDE">
        <w:rPr>
          <w:rFonts w:ascii="Times New Roman" w:hAnsi="Times New Roman" w:eastAsia="Times New Roman" w:cs="Times New Roman"/>
          <w:szCs w:val="24"/>
        </w:rPr>
        <w:t>feedback on</w:t>
      </w:r>
      <w:r w:rsidRPr="00233EDE" w:rsidR="00584D19">
        <w:rPr>
          <w:rFonts w:ascii="Times New Roman" w:hAnsi="Times New Roman" w:eastAsia="Times New Roman" w:cs="Times New Roman"/>
          <w:szCs w:val="24"/>
        </w:rPr>
        <w:t xml:space="preserve"> </w:t>
      </w:r>
      <w:r w:rsidRPr="00233EDE" w:rsidR="005A1F26">
        <w:rPr>
          <w:rFonts w:ascii="Times New Roman" w:hAnsi="Times New Roman" w:eastAsia="Times New Roman" w:cs="Times New Roman"/>
          <w:szCs w:val="24"/>
        </w:rPr>
        <w:t>tobacco</w:t>
      </w:r>
      <w:r w:rsidRPr="00233EDE" w:rsidR="00120EDD">
        <w:rPr>
          <w:rFonts w:ascii="Times New Roman" w:hAnsi="Times New Roman" w:eastAsia="Times New Roman" w:cs="Times New Roman"/>
          <w:szCs w:val="24"/>
        </w:rPr>
        <w:t xml:space="preserve"> product use</w:t>
      </w:r>
      <w:r w:rsidRPr="00233EDE" w:rsidR="0031719D">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knowledge, attitudes, and beliefs</w:t>
      </w:r>
      <w:r w:rsidRPr="00233EDE" w:rsidR="00625AC6">
        <w:rPr>
          <w:rFonts w:ascii="Times New Roman" w:hAnsi="Times New Roman" w:eastAsia="Times New Roman" w:cs="Times New Roman"/>
          <w:szCs w:val="24"/>
        </w:rPr>
        <w:t xml:space="preserve">, </w:t>
      </w:r>
      <w:r w:rsidRPr="00233EDE" w:rsidR="00F206C7">
        <w:rPr>
          <w:rFonts w:ascii="Times New Roman" w:hAnsi="Times New Roman" w:eastAsia="Times New Roman" w:cs="Times New Roman"/>
          <w:szCs w:val="24"/>
        </w:rPr>
        <w:t xml:space="preserve">media use habits, and </w:t>
      </w:r>
      <w:r w:rsidRPr="00233EDE" w:rsidR="00625AC6">
        <w:rPr>
          <w:rFonts w:ascii="Times New Roman" w:hAnsi="Times New Roman" w:eastAsia="Times New Roman" w:cs="Times New Roman"/>
          <w:szCs w:val="24"/>
        </w:rPr>
        <w:t xml:space="preserve">reactions to </w:t>
      </w:r>
      <w:r w:rsidRPr="00233EDE" w:rsidR="0031719D">
        <w:rPr>
          <w:rFonts w:ascii="Times New Roman" w:hAnsi="Times New Roman" w:eastAsia="Times New Roman" w:cs="Times New Roman"/>
          <w:szCs w:val="24"/>
        </w:rPr>
        <w:t>advertisement</w:t>
      </w:r>
      <w:r w:rsidRPr="00233EDE" w:rsidR="00625AC6">
        <w:rPr>
          <w:rFonts w:ascii="Times New Roman" w:hAnsi="Times New Roman" w:eastAsia="Times New Roman" w:cs="Times New Roman"/>
          <w:szCs w:val="24"/>
        </w:rPr>
        <w:t xml:space="preserve"> concepts or ideas</w:t>
      </w:r>
      <w:r w:rsidRPr="00233EDE">
        <w:rPr>
          <w:rFonts w:ascii="Times New Roman" w:hAnsi="Times New Roman" w:eastAsia="Times New Roman" w:cs="Times New Roman"/>
          <w:szCs w:val="24"/>
        </w:rPr>
        <w:t xml:space="preserve">. </w:t>
      </w:r>
    </w:p>
    <w:p w:rsidR="00301FDC" w:rsidP="00F54BCC" w:rsidRDefault="00301FDC" w14:paraId="29EB4619" w14:textId="7F4D7459">
      <w:pPr>
        <w:rPr>
          <w:rFonts w:ascii="Times New Roman" w:hAnsi="Times New Roman" w:eastAsia="Times New Roman" w:cs="Times New Roman"/>
          <w:szCs w:val="24"/>
        </w:rPr>
      </w:pPr>
      <w:bookmarkStart w:name="_Toc239649222" w:id="4"/>
    </w:p>
    <w:p w:rsidR="006C28D4" w:rsidP="00F54BCC" w:rsidRDefault="006C28D4" w14:paraId="59757BBB" w14:textId="6B2A1569">
      <w:pPr>
        <w:rPr>
          <w:rFonts w:ascii="Times New Roman" w:hAnsi="Times New Roman" w:eastAsia="Times New Roman" w:cs="Times New Roman"/>
          <w:szCs w:val="24"/>
        </w:rPr>
      </w:pPr>
    </w:p>
    <w:p w:rsidRPr="00233EDE" w:rsidR="00BE1FCB" w:rsidP="00BE1FCB" w:rsidRDefault="00BE1FCB" w14:paraId="1655EED6" w14:textId="77777777">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r w:rsidRPr="00233EDE">
        <w:rPr>
          <w:rFonts w:ascii="Times New Roman" w:hAnsi="Times New Roman" w:eastAsia="Times New Roman" w:cs="Times New Roman"/>
          <w:b/>
          <w:bCs/>
          <w:szCs w:val="24"/>
        </w:rPr>
        <w:lastRenderedPageBreak/>
        <w:t xml:space="preserve">2. </w:t>
      </w:r>
      <w:r w:rsidRPr="00233EDE">
        <w:rPr>
          <w:rFonts w:ascii="Times New Roman" w:hAnsi="Times New Roman" w:eastAsia="Times New Roman" w:cs="Times New Roman"/>
          <w:b/>
          <w:bCs/>
          <w:szCs w:val="24"/>
          <w:u w:val="single"/>
        </w:rPr>
        <w:t>Purpose and Use of the Information</w:t>
      </w:r>
      <w:bookmarkEnd w:id="4"/>
    </w:p>
    <w:p w:rsidRPr="00233EDE" w:rsidR="00BE1FCB" w:rsidP="00BE1FCB" w:rsidRDefault="00BE1FCB" w14:paraId="79B83EA9" w14:textId="77777777">
      <w:pPr>
        <w:numPr>
          <w:ilvl w:val="12"/>
          <w:numId w:val="0"/>
        </w:numPr>
        <w:autoSpaceDE w:val="0"/>
        <w:autoSpaceDN w:val="0"/>
        <w:adjustRightInd w:val="0"/>
        <w:ind w:left="180"/>
        <w:rPr>
          <w:rFonts w:ascii="Times New Roman" w:hAnsi="Times New Roman" w:eastAsia="Times New Roman" w:cs="Times New Roman"/>
          <w:szCs w:val="24"/>
        </w:rPr>
      </w:pPr>
    </w:p>
    <w:p w:rsidRPr="00233EDE" w:rsidR="007A5292" w:rsidP="002E4765" w:rsidRDefault="00120EDD" w14:paraId="5BC952BC" w14:textId="1839825B">
      <w:pPr>
        <w:ind w:left="180"/>
        <w:rPr>
          <w:rFonts w:ascii="Times New Roman" w:hAnsi="Times New Roman" w:cs="Times New Roman"/>
          <w:szCs w:val="24"/>
        </w:rPr>
      </w:pPr>
      <w:r w:rsidRPr="00233EDE">
        <w:rPr>
          <w:rFonts w:ascii="Times New Roman" w:hAnsi="Times New Roman" w:eastAsia="Times New Roman" w:cs="Arial"/>
        </w:rPr>
        <w:t>O</w:t>
      </w:r>
      <w:r w:rsidRPr="00233EDE" w:rsidR="007A5292">
        <w:rPr>
          <w:rFonts w:ascii="Times New Roman" w:hAnsi="Times New Roman" w:eastAsia="Times New Roman" w:cs="Arial"/>
        </w:rPr>
        <w:t xml:space="preserve">nline surveys </w:t>
      </w:r>
      <w:r w:rsidRPr="00233EDE">
        <w:rPr>
          <w:rFonts w:ascii="Times New Roman" w:hAnsi="Times New Roman" w:eastAsia="Times New Roman" w:cs="Arial"/>
        </w:rPr>
        <w:t xml:space="preserve">will be conducted </w:t>
      </w:r>
      <w:r w:rsidRPr="00233EDE" w:rsidR="007A5292">
        <w:rPr>
          <w:rFonts w:ascii="Times New Roman" w:hAnsi="Times New Roman" w:eastAsia="Times New Roman" w:cs="Arial"/>
        </w:rPr>
        <w:t xml:space="preserve">with youth </w:t>
      </w:r>
      <w:r w:rsidRPr="00233EDE">
        <w:rPr>
          <w:rFonts w:ascii="Times New Roman" w:hAnsi="Times New Roman" w:eastAsia="Times New Roman" w:cs="Times New Roman"/>
        </w:rPr>
        <w:t xml:space="preserve">recruited via </w:t>
      </w:r>
      <w:r w:rsidRPr="00233EDE" w:rsidR="0083232D">
        <w:rPr>
          <w:rFonts w:ascii="Times New Roman" w:hAnsi="Times New Roman" w:eastAsia="Times New Roman" w:cs="Times New Roman"/>
          <w:szCs w:val="24"/>
        </w:rPr>
        <w:t>KDH Research &amp; Communication</w:t>
      </w:r>
      <w:r w:rsidRPr="00233EDE" w:rsidR="00870950">
        <w:rPr>
          <w:rFonts w:ascii="Times New Roman" w:hAnsi="Times New Roman" w:eastAsia="Times New Roman" w:cs="Times New Roman"/>
          <w:szCs w:val="24"/>
        </w:rPr>
        <w:t xml:space="preserve"> and FCB</w:t>
      </w:r>
      <w:r w:rsidRPr="00233EDE" w:rsidR="008A41BB">
        <w:rPr>
          <w:rFonts w:ascii="Times New Roman" w:hAnsi="Times New Roman" w:eastAsia="Times New Roman" w:cs="Times New Roman"/>
          <w:szCs w:val="24"/>
        </w:rPr>
        <w:t>’s</w:t>
      </w:r>
      <w:r w:rsidRPr="00233EDE" w:rsidR="0083232D">
        <w:rPr>
          <w:rFonts w:ascii="Times New Roman" w:hAnsi="Times New Roman" w:eastAsia="Times New Roman" w:cs="Times New Roman"/>
          <w:szCs w:val="24"/>
        </w:rPr>
        <w:t xml:space="preserve"> contractor, Marketing Workshop</w:t>
      </w:r>
      <w:r w:rsidRPr="00233EDE" w:rsidR="00F54BCC">
        <w:rPr>
          <w:rFonts w:ascii="Times New Roman" w:hAnsi="Times New Roman" w:eastAsia="Times New Roman" w:cs="Times New Roman"/>
          <w:szCs w:val="24"/>
        </w:rPr>
        <w:t>,</w:t>
      </w:r>
      <w:r w:rsidRPr="00233EDE" w:rsidR="00BD2850">
        <w:rPr>
          <w:rFonts w:ascii="Times New Roman" w:hAnsi="Times New Roman" w:eastAsia="Times New Roman" w:cs="Times New Roman"/>
        </w:rPr>
        <w:t xml:space="preserve"> </w:t>
      </w:r>
      <w:r w:rsidRPr="00233EDE">
        <w:rPr>
          <w:rFonts w:ascii="Times New Roman" w:hAnsi="Times New Roman" w:eastAsia="Times New Roman" w:cs="Times New Roman"/>
        </w:rPr>
        <w:t xml:space="preserve">through online sources to monitor perceptions about </w:t>
      </w:r>
      <w:r w:rsidRPr="00233EDE" w:rsidR="005A1F26">
        <w:rPr>
          <w:rFonts w:ascii="Times New Roman" w:hAnsi="Times New Roman" w:eastAsia="Times New Roman" w:cs="Times New Roman"/>
        </w:rPr>
        <w:t>tobacco</w:t>
      </w:r>
      <w:r w:rsidRPr="00233EDE">
        <w:rPr>
          <w:rFonts w:ascii="Times New Roman" w:hAnsi="Times New Roman" w:eastAsia="Times New Roman" w:cs="Times New Roman"/>
        </w:rPr>
        <w:t xml:space="preserve"> products.</w:t>
      </w:r>
      <w:bookmarkStart w:name="_Hlk34039953" w:id="5"/>
      <w:r w:rsidRPr="00233EDE" w:rsidR="00802F40">
        <w:rPr>
          <w:rFonts w:ascii="Times New Roman" w:hAnsi="Times New Roman" w:eastAsia="Times New Roman" w:cs="Arial"/>
        </w:rPr>
        <w:t xml:space="preserve"> </w:t>
      </w:r>
      <w:r w:rsidRPr="00233EDE" w:rsidR="00384655">
        <w:rPr>
          <w:rFonts w:ascii="Times New Roman" w:hAnsi="Times New Roman" w:eastAsia="Times New Roman" w:cs="Arial"/>
        </w:rPr>
        <w:t>A</w:t>
      </w:r>
      <w:r w:rsidRPr="00233EDE" w:rsidR="007A5292">
        <w:rPr>
          <w:rFonts w:ascii="Times New Roman" w:hAnsi="Times New Roman" w:eastAsia="Times New Roman" w:cs="Arial"/>
        </w:rPr>
        <w:t xml:space="preserve">s soon as approvals are received, we will begin data collection for a national, online self-administered survey of </w:t>
      </w:r>
      <w:bookmarkEnd w:id="5"/>
      <w:r w:rsidRPr="00233EDE" w:rsidR="008A41BB">
        <w:rPr>
          <w:rFonts w:ascii="Times New Roman" w:hAnsi="Times New Roman" w:eastAsia="Times New Roman" w:cs="Arial"/>
        </w:rPr>
        <w:t xml:space="preserve">up to 750 </w:t>
      </w:r>
      <w:r w:rsidRPr="00233EDE" w:rsidR="007A5292">
        <w:rPr>
          <w:rFonts w:ascii="Times New Roman" w:hAnsi="Times New Roman" w:eastAsia="Times New Roman" w:cs="Arial"/>
        </w:rPr>
        <w:t>youth</w:t>
      </w:r>
      <w:r w:rsidRPr="00233EDE" w:rsidR="009F1BF9">
        <w:rPr>
          <w:rFonts w:ascii="Times New Roman" w:hAnsi="Times New Roman" w:eastAsia="Times New Roman" w:cs="Arial"/>
        </w:rPr>
        <w:t xml:space="preserve"> </w:t>
      </w:r>
      <w:r w:rsidRPr="00233EDE" w:rsidR="008A41BB">
        <w:rPr>
          <w:rFonts w:ascii="Times New Roman" w:hAnsi="Times New Roman" w:eastAsia="Times New Roman" w:cs="Arial"/>
        </w:rPr>
        <w:t>(ages 13-17)</w:t>
      </w:r>
      <w:r w:rsidRPr="00233EDE" w:rsidR="00272CC1">
        <w:rPr>
          <w:rFonts w:ascii="Times New Roman" w:hAnsi="Times New Roman" w:eastAsia="Times New Roman" w:cs="Arial"/>
        </w:rPr>
        <w:t xml:space="preserve"> </w:t>
      </w:r>
      <w:r w:rsidRPr="00233EDE" w:rsidR="004621F7">
        <w:rPr>
          <w:rFonts w:ascii="Times New Roman" w:hAnsi="Times New Roman" w:eastAsia="Times New Roman" w:cs="Arial"/>
        </w:rPr>
        <w:t>approximately quarterly</w:t>
      </w:r>
      <w:r w:rsidRPr="00233EDE" w:rsidR="0058084A">
        <w:rPr>
          <w:rFonts w:ascii="Times New Roman" w:hAnsi="Times New Roman" w:eastAsia="Times New Roman" w:cs="Arial"/>
        </w:rPr>
        <w:t xml:space="preserve"> </w:t>
      </w:r>
      <w:r w:rsidRPr="00233EDE" w:rsidR="003C0880">
        <w:rPr>
          <w:rFonts w:ascii="Times New Roman" w:hAnsi="Times New Roman" w:eastAsia="Times New Roman" w:cs="Arial"/>
        </w:rPr>
        <w:t xml:space="preserve">(and up to </w:t>
      </w:r>
      <w:r w:rsidR="008B6C18">
        <w:rPr>
          <w:rFonts w:ascii="Times New Roman" w:hAnsi="Times New Roman" w:eastAsia="Times New Roman" w:cs="Arial"/>
        </w:rPr>
        <w:t>2</w:t>
      </w:r>
      <w:r w:rsidRPr="00233EDE" w:rsidR="003C0880">
        <w:rPr>
          <w:rFonts w:ascii="Times New Roman" w:hAnsi="Times New Roman" w:eastAsia="Times New Roman" w:cs="Arial"/>
        </w:rPr>
        <w:t xml:space="preserve"> times) </w:t>
      </w:r>
      <w:r w:rsidRPr="00233EDE" w:rsidR="005D16DF">
        <w:rPr>
          <w:rFonts w:ascii="Times New Roman" w:hAnsi="Times New Roman" w:eastAsia="Times New Roman" w:cs="Arial"/>
        </w:rPr>
        <w:t xml:space="preserve">for </w:t>
      </w:r>
      <w:r w:rsidR="008B6C18">
        <w:rPr>
          <w:rFonts w:ascii="Times New Roman" w:hAnsi="Times New Roman" w:eastAsia="Times New Roman" w:cs="Arial"/>
        </w:rPr>
        <w:t>six months</w:t>
      </w:r>
      <w:r w:rsidRPr="00233EDE" w:rsidR="007A5292">
        <w:rPr>
          <w:rFonts w:ascii="Times New Roman" w:hAnsi="Times New Roman" w:eastAsia="Times New Roman" w:cs="Arial"/>
        </w:rPr>
        <w:t>.</w:t>
      </w:r>
      <w:r w:rsidRPr="00233EDE" w:rsidR="00272CC1">
        <w:t xml:space="preserve"> </w:t>
      </w:r>
      <w:r w:rsidRPr="00233EDE" w:rsidR="00272CC1">
        <w:rPr>
          <w:rFonts w:ascii="Times New Roman" w:hAnsi="Times New Roman" w:eastAsia="Times New Roman" w:cs="Arial"/>
        </w:rPr>
        <w:t xml:space="preserve">The survey will be repeated with a new cross-sectional sample. Each sample will be freshly recruited, but respondents will be eligible to participate again six months after initial participation. </w:t>
      </w:r>
    </w:p>
    <w:p w:rsidRPr="00233EDE" w:rsidR="002E4765" w:rsidP="002E4765" w:rsidRDefault="002E4765" w14:paraId="04D4058C" w14:textId="77777777">
      <w:pPr>
        <w:ind w:left="180"/>
        <w:rPr>
          <w:szCs w:val="24"/>
        </w:rPr>
      </w:pPr>
    </w:p>
    <w:p w:rsidRPr="00233EDE" w:rsidR="008A41BB" w:rsidP="00301FDC" w:rsidRDefault="007A5292" w14:paraId="18E5BB36" w14:textId="68574EAA">
      <w:pPr>
        <w:spacing w:after="80"/>
        <w:ind w:left="180"/>
        <w:rPr>
          <w:rFonts w:ascii="Times New Roman" w:hAnsi="Times New Roman" w:eastAsia="Times New Roman" w:cs="Arial"/>
        </w:rPr>
      </w:pPr>
      <w:r w:rsidRPr="00233EDE">
        <w:rPr>
          <w:rFonts w:ascii="Times New Roman" w:hAnsi="Times New Roman" w:eastAsia="Times New Roman" w:cs="Arial"/>
        </w:rPr>
        <w:t xml:space="preserve">The results of </w:t>
      </w:r>
      <w:r w:rsidRPr="00233EDE" w:rsidR="005E207A">
        <w:rPr>
          <w:rFonts w:ascii="Times New Roman" w:hAnsi="Times New Roman" w:eastAsia="Times New Roman" w:cs="Arial"/>
        </w:rPr>
        <w:t>this</w:t>
      </w:r>
      <w:r w:rsidRPr="00233EDE">
        <w:rPr>
          <w:rFonts w:ascii="Times New Roman" w:hAnsi="Times New Roman" w:eastAsia="Times New Roman" w:cs="Arial"/>
        </w:rPr>
        <w:t xml:space="preserve"> survey will be used to inform </w:t>
      </w:r>
      <w:r w:rsidRPr="00233EDE" w:rsidR="005E207A">
        <w:rPr>
          <w:rFonts w:ascii="Times New Roman" w:hAnsi="Times New Roman" w:eastAsia="Times New Roman" w:cs="Arial"/>
        </w:rPr>
        <w:t xml:space="preserve">specific </w:t>
      </w:r>
      <w:r w:rsidRPr="00233EDE">
        <w:rPr>
          <w:rFonts w:ascii="Times New Roman" w:hAnsi="Times New Roman" w:eastAsia="Times New Roman" w:cs="Arial"/>
        </w:rPr>
        <w:t>recommendations around FDA’s public education programs’ impact and effectiveness in reducing tobacco-related death and disease.</w:t>
      </w:r>
    </w:p>
    <w:p w:rsidRPr="00233EDE" w:rsidR="007A5292" w:rsidP="00301FDC" w:rsidRDefault="007A5292" w14:paraId="1D5D4F4C" w14:textId="033810B6">
      <w:pPr>
        <w:spacing w:after="80"/>
        <w:ind w:left="180"/>
        <w:rPr>
          <w:rFonts w:ascii="Times New Roman" w:hAnsi="Times New Roman" w:eastAsia="Times New Roman" w:cs="Arial"/>
        </w:rPr>
      </w:pPr>
      <w:r w:rsidRPr="00233EDE">
        <w:rPr>
          <w:rFonts w:ascii="Times New Roman" w:hAnsi="Times New Roman" w:eastAsia="Times New Roman" w:cs="Arial"/>
        </w:rPr>
        <w:tab/>
      </w:r>
    </w:p>
    <w:p w:rsidRPr="00233EDE" w:rsidR="00160C58" w:rsidP="00160C58" w:rsidRDefault="000D4DC0" w14:paraId="5FF55DC4" w14:textId="7871ABFE">
      <w:pPr>
        <w:spacing w:after="80"/>
        <w:ind w:left="180"/>
        <w:rPr>
          <w:rFonts w:ascii="Times New Roman" w:hAnsi="Times New Roman" w:eastAsia="Times New Roman" w:cs="Arial"/>
        </w:rPr>
      </w:pPr>
      <w:r w:rsidRPr="00233EDE">
        <w:rPr>
          <w:rFonts w:ascii="Times New Roman" w:hAnsi="Times New Roman" w:eastAsia="Times New Roman" w:cs="Arial"/>
        </w:rPr>
        <w:t xml:space="preserve">The study aims to </w:t>
      </w:r>
      <w:r w:rsidRPr="00233EDE" w:rsidR="008A41BB">
        <w:rPr>
          <w:rFonts w:ascii="Times New Roman" w:hAnsi="Times New Roman" w:eastAsia="Times New Roman" w:cs="Arial"/>
        </w:rPr>
        <w:t xml:space="preserve">explore </w:t>
      </w:r>
      <w:r w:rsidRPr="00233EDE">
        <w:rPr>
          <w:rFonts w:ascii="Times New Roman" w:hAnsi="Times New Roman" w:eastAsia="Times New Roman" w:cs="Arial"/>
        </w:rPr>
        <w:t>the following questions:</w:t>
      </w:r>
    </w:p>
    <w:p w:rsidRPr="00233EDE" w:rsidR="00567357" w:rsidP="00567357" w:rsidRDefault="00567357" w14:paraId="1CD780C1" w14:textId="70372F0A">
      <w:pPr>
        <w:numPr>
          <w:ilvl w:val="0"/>
          <w:numId w:val="16"/>
        </w:numPr>
        <w:spacing w:after="80"/>
        <w:ind w:left="1260"/>
        <w:contextualSpacing/>
        <w:rPr>
          <w:rFonts w:ascii="Times New Roman" w:hAnsi="Times New Roman" w:eastAsia="Times New Roman" w:cs="Arial"/>
        </w:rPr>
      </w:pPr>
      <w:r w:rsidRPr="00233EDE">
        <w:rPr>
          <w:rFonts w:ascii="Times New Roman" w:hAnsi="Times New Roman" w:eastAsia="Times New Roman" w:cs="Arial"/>
        </w:rPr>
        <w:t xml:space="preserve">What are the reactions to currently available tobacco prevention advertisements related to </w:t>
      </w:r>
      <w:r w:rsidRPr="00233EDE" w:rsidR="00F5795E">
        <w:rPr>
          <w:rFonts w:ascii="Times New Roman" w:hAnsi="Times New Roman" w:eastAsia="Times New Roman" w:cs="Arial"/>
        </w:rPr>
        <w:t>tobacco</w:t>
      </w:r>
      <w:r w:rsidRPr="00233EDE">
        <w:rPr>
          <w:rFonts w:ascii="Times New Roman" w:hAnsi="Times New Roman" w:eastAsia="Times New Roman" w:cs="Arial"/>
        </w:rPr>
        <w:t xml:space="preserve"> products among youth ages 13 to </w:t>
      </w:r>
      <w:r w:rsidRPr="00233EDE" w:rsidR="00F5795E">
        <w:rPr>
          <w:rFonts w:ascii="Times New Roman" w:hAnsi="Times New Roman" w:eastAsia="Times New Roman" w:cs="Arial"/>
        </w:rPr>
        <w:t>17</w:t>
      </w:r>
      <w:r w:rsidRPr="00233EDE">
        <w:rPr>
          <w:rFonts w:ascii="Times New Roman" w:hAnsi="Times New Roman" w:eastAsia="Times New Roman" w:cs="Arial"/>
        </w:rPr>
        <w:t xml:space="preserve"> years in the United States? How are the ads performing in market?</w:t>
      </w:r>
    </w:p>
    <w:p w:rsidRPr="00233EDE" w:rsidR="00567357" w:rsidP="00567357" w:rsidRDefault="00567357" w14:paraId="374E6193" w14:textId="068B4BBE">
      <w:pPr>
        <w:numPr>
          <w:ilvl w:val="0"/>
          <w:numId w:val="16"/>
        </w:numPr>
        <w:spacing w:after="80"/>
        <w:ind w:left="1260"/>
        <w:contextualSpacing/>
        <w:rPr>
          <w:rFonts w:ascii="Times New Roman" w:hAnsi="Times New Roman" w:eastAsia="Times New Roman" w:cs="Arial"/>
        </w:rPr>
      </w:pPr>
      <w:r w:rsidRPr="00233EDE">
        <w:rPr>
          <w:rFonts w:ascii="Times New Roman" w:hAnsi="Times New Roman" w:eastAsia="Times New Roman" w:cs="Arial"/>
        </w:rPr>
        <w:t xml:space="preserve">What are the reactions to proposed messages for media campaigns related to </w:t>
      </w:r>
      <w:r w:rsidRPr="00233EDE" w:rsidR="00F5795E">
        <w:rPr>
          <w:rFonts w:ascii="Times New Roman" w:hAnsi="Times New Roman" w:eastAsia="Times New Roman" w:cs="Arial"/>
        </w:rPr>
        <w:t>tobacco</w:t>
      </w:r>
      <w:r w:rsidRPr="00233EDE">
        <w:rPr>
          <w:rFonts w:ascii="Times New Roman" w:hAnsi="Times New Roman" w:eastAsia="Times New Roman" w:cs="Arial"/>
        </w:rPr>
        <w:t xml:space="preserve"> products among youth ages 13 to </w:t>
      </w:r>
      <w:r w:rsidRPr="00233EDE" w:rsidR="00F5795E">
        <w:rPr>
          <w:rFonts w:ascii="Times New Roman" w:hAnsi="Times New Roman" w:eastAsia="Times New Roman" w:cs="Arial"/>
        </w:rPr>
        <w:t>17</w:t>
      </w:r>
      <w:r w:rsidRPr="00233EDE">
        <w:rPr>
          <w:rFonts w:ascii="Times New Roman" w:hAnsi="Times New Roman" w:eastAsia="Times New Roman" w:cs="Arial"/>
        </w:rPr>
        <w:t xml:space="preserve"> years in the United States?</w:t>
      </w:r>
    </w:p>
    <w:p w:rsidRPr="00233EDE" w:rsidR="001D58E4" w:rsidP="00BF13BA" w:rsidRDefault="001D58E4" w14:paraId="64727FDB" w14:textId="617E9E74">
      <w:pPr>
        <w:numPr>
          <w:ilvl w:val="0"/>
          <w:numId w:val="16"/>
        </w:numPr>
        <w:spacing w:after="80"/>
        <w:ind w:left="1260"/>
        <w:contextualSpacing/>
        <w:rPr>
          <w:rFonts w:ascii="Times New Roman" w:hAnsi="Times New Roman" w:eastAsia="Times New Roman" w:cs="Arial"/>
        </w:rPr>
      </w:pPr>
      <w:r w:rsidRPr="00233EDE">
        <w:rPr>
          <w:rFonts w:ascii="Times New Roman" w:hAnsi="Times New Roman" w:eastAsia="Times New Roman" w:cs="Arial"/>
        </w:rPr>
        <w:t xml:space="preserve">What are the trends in demographics and psychographics among youth ages 13 to </w:t>
      </w:r>
      <w:r w:rsidRPr="00233EDE" w:rsidR="00F5795E">
        <w:rPr>
          <w:rFonts w:ascii="Times New Roman" w:hAnsi="Times New Roman" w:eastAsia="Times New Roman" w:cs="Arial"/>
        </w:rPr>
        <w:t>17</w:t>
      </w:r>
      <w:r w:rsidRPr="00233EDE">
        <w:rPr>
          <w:rFonts w:ascii="Times New Roman" w:hAnsi="Times New Roman" w:eastAsia="Times New Roman" w:cs="Arial"/>
        </w:rPr>
        <w:t xml:space="preserve"> years in the United States who use </w:t>
      </w:r>
      <w:r w:rsidRPr="00233EDE" w:rsidR="00F5795E">
        <w:rPr>
          <w:rFonts w:ascii="Times New Roman" w:hAnsi="Times New Roman" w:eastAsia="Times New Roman" w:cs="Arial"/>
        </w:rPr>
        <w:t>tobacco</w:t>
      </w:r>
      <w:r w:rsidRPr="00233EDE">
        <w:rPr>
          <w:rFonts w:ascii="Times New Roman" w:hAnsi="Times New Roman" w:eastAsia="Times New Roman" w:cs="Arial"/>
        </w:rPr>
        <w:t xml:space="preserve"> </w:t>
      </w:r>
      <w:r w:rsidRPr="00233EDE" w:rsidR="002E4765">
        <w:rPr>
          <w:rFonts w:ascii="Times New Roman" w:hAnsi="Times New Roman" w:eastAsia="Times New Roman" w:cs="Arial"/>
        </w:rPr>
        <w:t>products?</w:t>
      </w:r>
      <w:r w:rsidRPr="00233EDE">
        <w:rPr>
          <w:rFonts w:ascii="Times New Roman" w:hAnsi="Times New Roman" w:eastAsia="Times New Roman" w:cs="Arial"/>
        </w:rPr>
        <w:t xml:space="preserve"> </w:t>
      </w:r>
    </w:p>
    <w:p w:rsidRPr="00233EDE" w:rsidR="001D58E4" w:rsidP="00301FDC" w:rsidRDefault="001D58E4" w14:paraId="34881B1C" w14:textId="79B51216">
      <w:pPr>
        <w:numPr>
          <w:ilvl w:val="0"/>
          <w:numId w:val="16"/>
        </w:numPr>
        <w:spacing w:after="80"/>
        <w:ind w:left="1260"/>
        <w:contextualSpacing/>
        <w:rPr>
          <w:rFonts w:ascii="Times New Roman" w:hAnsi="Times New Roman" w:eastAsia="Times New Roman" w:cs="Arial"/>
        </w:rPr>
      </w:pPr>
      <w:r w:rsidRPr="00233EDE">
        <w:rPr>
          <w:rFonts w:ascii="Times New Roman" w:hAnsi="Times New Roman" w:eastAsia="Times New Roman" w:cs="Arial"/>
        </w:rPr>
        <w:t xml:space="preserve">What are the trends in media habits among youth ages 13 to </w:t>
      </w:r>
      <w:r w:rsidRPr="00233EDE" w:rsidR="00F5795E">
        <w:rPr>
          <w:rFonts w:ascii="Times New Roman" w:hAnsi="Times New Roman" w:eastAsia="Times New Roman" w:cs="Arial"/>
        </w:rPr>
        <w:t>17</w:t>
      </w:r>
      <w:r w:rsidRPr="00233EDE">
        <w:rPr>
          <w:rFonts w:ascii="Times New Roman" w:hAnsi="Times New Roman" w:eastAsia="Times New Roman" w:cs="Arial"/>
        </w:rPr>
        <w:t xml:space="preserve"> years in the United States?</w:t>
      </w:r>
    </w:p>
    <w:p w:rsidRPr="00233EDE" w:rsidR="001D58E4" w:rsidP="00301FDC" w:rsidRDefault="001D58E4" w14:paraId="2A771C99" w14:textId="768A8FA7">
      <w:pPr>
        <w:numPr>
          <w:ilvl w:val="0"/>
          <w:numId w:val="16"/>
        </w:numPr>
        <w:spacing w:after="80"/>
        <w:ind w:left="1260"/>
        <w:contextualSpacing/>
        <w:rPr>
          <w:rFonts w:ascii="Times New Roman" w:hAnsi="Times New Roman" w:eastAsia="Times New Roman" w:cs="Arial"/>
        </w:rPr>
      </w:pPr>
      <w:r w:rsidRPr="00233EDE">
        <w:rPr>
          <w:rFonts w:ascii="Times New Roman" w:hAnsi="Times New Roman" w:eastAsia="Times New Roman" w:cs="Arial"/>
        </w:rPr>
        <w:t xml:space="preserve">What are the </w:t>
      </w:r>
      <w:r w:rsidRPr="00233EDE" w:rsidR="00866ADF">
        <w:rPr>
          <w:rFonts w:ascii="Times New Roman" w:hAnsi="Times New Roman" w:eastAsia="Times New Roman" w:cs="Arial"/>
        </w:rPr>
        <w:t xml:space="preserve">trajectories </w:t>
      </w:r>
      <w:r w:rsidRPr="00233EDE">
        <w:rPr>
          <w:rFonts w:ascii="Times New Roman" w:hAnsi="Times New Roman" w:eastAsia="Times New Roman" w:cs="Arial"/>
        </w:rPr>
        <w:t xml:space="preserve">in tobacco related knowledge, attitudes, beliefs, and behaviors among youth ages 13 to </w:t>
      </w:r>
      <w:r w:rsidRPr="00233EDE" w:rsidR="00F5795E">
        <w:rPr>
          <w:rFonts w:ascii="Times New Roman" w:hAnsi="Times New Roman" w:eastAsia="Times New Roman" w:cs="Arial"/>
        </w:rPr>
        <w:t>17</w:t>
      </w:r>
      <w:r w:rsidRPr="00233EDE">
        <w:rPr>
          <w:rFonts w:ascii="Times New Roman" w:hAnsi="Times New Roman" w:eastAsia="Times New Roman" w:cs="Arial"/>
        </w:rPr>
        <w:t xml:space="preserve"> years in the United States</w:t>
      </w:r>
      <w:r w:rsidRPr="00233EDE" w:rsidR="00866ADF">
        <w:rPr>
          <w:rFonts w:ascii="Times New Roman" w:hAnsi="Times New Roman" w:eastAsia="Times New Roman" w:cs="Arial"/>
        </w:rPr>
        <w:t xml:space="preserve"> across multiple time points</w:t>
      </w:r>
      <w:r w:rsidRPr="00233EDE">
        <w:rPr>
          <w:rFonts w:ascii="Times New Roman" w:hAnsi="Times New Roman" w:eastAsia="Times New Roman" w:cs="Arial"/>
        </w:rPr>
        <w:t>?</w:t>
      </w:r>
    </w:p>
    <w:p w:rsidRPr="00233EDE" w:rsidR="000D4DC0" w:rsidP="00301FDC" w:rsidRDefault="000D4DC0" w14:paraId="63095475" w14:textId="77777777">
      <w:pPr>
        <w:numPr>
          <w:ilvl w:val="12"/>
          <w:numId w:val="0"/>
        </w:numPr>
        <w:autoSpaceDE w:val="0"/>
        <w:autoSpaceDN w:val="0"/>
        <w:adjustRightInd w:val="0"/>
        <w:ind w:left="360"/>
        <w:rPr>
          <w:rFonts w:ascii="Times New Roman" w:hAnsi="Times New Roman" w:eastAsia="Times New Roman" w:cs="Times New Roman"/>
          <w:szCs w:val="24"/>
        </w:rPr>
      </w:pPr>
    </w:p>
    <w:p w:rsidRPr="00233EDE" w:rsidR="00BE1FCB" w:rsidP="00BE1FCB" w:rsidRDefault="00BE1FCB" w14:paraId="3885F7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3" w:id="6"/>
      <w:r w:rsidRPr="00233EDE">
        <w:rPr>
          <w:rFonts w:ascii="Times New Roman" w:hAnsi="Times New Roman" w:eastAsia="Times New Roman" w:cs="Times New Roman"/>
          <w:b/>
          <w:bCs/>
          <w:szCs w:val="24"/>
        </w:rPr>
        <w:t xml:space="preserve">3. </w:t>
      </w:r>
      <w:r w:rsidRPr="00233EDE">
        <w:rPr>
          <w:rFonts w:ascii="Times New Roman" w:hAnsi="Times New Roman" w:eastAsia="Times New Roman" w:cs="Times New Roman"/>
          <w:b/>
          <w:bCs/>
          <w:szCs w:val="24"/>
          <w:u w:val="single"/>
        </w:rPr>
        <w:t>Use of Information Technology and Burden Reduction</w:t>
      </w:r>
      <w:bookmarkEnd w:id="6"/>
    </w:p>
    <w:p w:rsidRPr="00233EDE" w:rsidR="00BE1FCB" w:rsidP="00BE1FCB" w:rsidRDefault="00BE1FCB" w14:paraId="066F96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01EBE105" w14:textId="5CA6C6F6">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color w:val="000000"/>
          <w:szCs w:val="24"/>
        </w:rPr>
      </w:pPr>
      <w:r w:rsidRPr="00233EDE">
        <w:rPr>
          <w:rFonts w:ascii="Times New Roman" w:hAnsi="Times New Roman" w:eastAsia="Times New Roman" w:cs="Times New Roman"/>
          <w:color w:val="000000"/>
          <w:szCs w:val="24"/>
        </w:rPr>
        <w:t xml:space="preserve">This study will rely on </w:t>
      </w:r>
      <w:r w:rsidRPr="00233EDE" w:rsidR="0083232D">
        <w:rPr>
          <w:rFonts w:ascii="Times New Roman" w:hAnsi="Times New Roman" w:eastAsia="Times New Roman" w:cs="Times New Roman"/>
          <w:color w:val="000000"/>
          <w:szCs w:val="24"/>
        </w:rPr>
        <w:t>online survey</w:t>
      </w:r>
      <w:r w:rsidRPr="00233EDE">
        <w:rPr>
          <w:rFonts w:ascii="Times New Roman" w:hAnsi="Times New Roman" w:eastAsia="Times New Roman" w:cs="Times New Roman"/>
          <w:color w:val="000000"/>
          <w:szCs w:val="24"/>
        </w:rPr>
        <w:t xml:space="preserve"> data collection </w:t>
      </w:r>
      <w:r w:rsidRPr="00233EDE" w:rsidR="00CE514D">
        <w:rPr>
          <w:rFonts w:ascii="Times New Roman" w:hAnsi="Times New Roman" w:eastAsia="Times New Roman" w:cs="Times New Roman"/>
          <w:color w:val="000000"/>
          <w:szCs w:val="24"/>
        </w:rPr>
        <w:t>to collect primary data.</w:t>
      </w:r>
      <w:r w:rsidRPr="00233EDE">
        <w:rPr>
          <w:rFonts w:ascii="Times New Roman" w:hAnsi="Times New Roman" w:eastAsia="Times New Roman" w:cs="Times New Roman"/>
          <w:color w:val="000000"/>
          <w:szCs w:val="24"/>
        </w:rPr>
        <w:t xml:space="preserve"> Using an online survey allows the respondent to be candid with their responses. This </w:t>
      </w:r>
      <w:r w:rsidRPr="00233EDE" w:rsidR="00201680">
        <w:rPr>
          <w:rFonts w:ascii="Times New Roman" w:hAnsi="Times New Roman" w:eastAsia="Times New Roman" w:cs="Times New Roman"/>
          <w:color w:val="000000"/>
          <w:szCs w:val="24"/>
        </w:rPr>
        <w:t>increases</w:t>
      </w:r>
      <w:r w:rsidRPr="00233EDE">
        <w:rPr>
          <w:rFonts w:ascii="Times New Roman" w:hAnsi="Times New Roman" w:eastAsia="Times New Roman" w:cs="Times New Roman"/>
          <w:color w:val="000000"/>
          <w:szCs w:val="24"/>
        </w:rPr>
        <w:t xml:space="preserve"> accura</w:t>
      </w:r>
      <w:r w:rsidRPr="00233EDE" w:rsidR="00201680">
        <w:rPr>
          <w:rFonts w:ascii="Times New Roman" w:hAnsi="Times New Roman" w:eastAsia="Times New Roman" w:cs="Times New Roman"/>
          <w:color w:val="000000"/>
          <w:szCs w:val="24"/>
        </w:rPr>
        <w:t>cy</w:t>
      </w:r>
      <w:r w:rsidRPr="00233EDE">
        <w:rPr>
          <w:rFonts w:ascii="Times New Roman" w:hAnsi="Times New Roman" w:eastAsia="Times New Roman" w:cs="Times New Roman"/>
          <w:color w:val="000000"/>
          <w:szCs w:val="24"/>
        </w:rPr>
        <w:t xml:space="preserve"> </w:t>
      </w:r>
      <w:r w:rsidRPr="00233EDE" w:rsidR="00201680">
        <w:rPr>
          <w:rFonts w:ascii="Times New Roman" w:hAnsi="Times New Roman" w:eastAsia="Times New Roman" w:cs="Times New Roman"/>
          <w:color w:val="000000"/>
          <w:szCs w:val="24"/>
        </w:rPr>
        <w:t xml:space="preserve">of the </w:t>
      </w:r>
      <w:r w:rsidRPr="00233EDE">
        <w:rPr>
          <w:rFonts w:ascii="Times New Roman" w:hAnsi="Times New Roman" w:eastAsia="Times New Roman" w:cs="Times New Roman"/>
          <w:color w:val="000000"/>
          <w:szCs w:val="24"/>
        </w:rPr>
        <w:t>data because respondents provide more honest responses than when other types of data collection methods are employed, especially when it is clear that the answers will remain private. In addition, using a</w:t>
      </w:r>
      <w:r w:rsidRPr="00233EDE" w:rsidR="001A30C1">
        <w:rPr>
          <w:rFonts w:ascii="Times New Roman" w:hAnsi="Times New Roman" w:eastAsia="Times New Roman" w:cs="Times New Roman"/>
          <w:color w:val="000000"/>
          <w:szCs w:val="24"/>
        </w:rPr>
        <w:t>n online</w:t>
      </w:r>
      <w:r w:rsidRPr="00233EDE">
        <w:rPr>
          <w:rFonts w:ascii="Times New Roman" w:hAnsi="Times New Roman" w:eastAsia="Times New Roman" w:cs="Times New Roman"/>
          <w:color w:val="000000"/>
          <w:szCs w:val="24"/>
        </w:rPr>
        <w:t xml:space="preserve"> survey will allow for more participants to respond in a cost-effective and timely manner. The self-administered, </w:t>
      </w:r>
      <w:r w:rsidRPr="00233EDE" w:rsidR="0084734C">
        <w:rPr>
          <w:rFonts w:ascii="Times New Roman" w:hAnsi="Times New Roman" w:eastAsia="Times New Roman" w:cs="Times New Roman"/>
          <w:color w:val="000000"/>
          <w:szCs w:val="24"/>
        </w:rPr>
        <w:t>online</w:t>
      </w:r>
      <w:r w:rsidRPr="00233EDE">
        <w:rPr>
          <w:rFonts w:ascii="Times New Roman" w:hAnsi="Times New Roman" w:eastAsia="Times New Roman" w:cs="Times New Roman"/>
          <w:color w:val="000000"/>
          <w:szCs w:val="24"/>
        </w:rPr>
        <w:t xml:space="preserve"> survey </w:t>
      </w:r>
      <w:r w:rsidRPr="00233EDE" w:rsidR="00567357">
        <w:rPr>
          <w:rFonts w:ascii="Times New Roman" w:hAnsi="Times New Roman" w:eastAsia="Times New Roman" w:cs="Times New Roman"/>
          <w:color w:val="000000"/>
          <w:szCs w:val="24"/>
        </w:rPr>
        <w:t>makes</w:t>
      </w:r>
      <w:r w:rsidRPr="00233EDE">
        <w:rPr>
          <w:rFonts w:ascii="Times New Roman" w:hAnsi="Times New Roman" w:eastAsia="Times New Roman" w:cs="Times New Roman"/>
          <w:color w:val="000000"/>
          <w:szCs w:val="24"/>
        </w:rPr>
        <w:t xml:space="preserve"> data processing and analysis </w:t>
      </w:r>
      <w:r w:rsidRPr="00233EDE" w:rsidR="00567357">
        <w:rPr>
          <w:rFonts w:ascii="Times New Roman" w:hAnsi="Times New Roman" w:eastAsia="Times New Roman" w:cs="Times New Roman"/>
          <w:color w:val="000000"/>
          <w:szCs w:val="24"/>
        </w:rPr>
        <w:t xml:space="preserve">quicker, including </w:t>
      </w:r>
      <w:r w:rsidRPr="00233EDE">
        <w:rPr>
          <w:rFonts w:ascii="Times New Roman" w:hAnsi="Times New Roman" w:eastAsia="Times New Roman" w:cs="Times New Roman"/>
          <w:color w:val="000000"/>
          <w:szCs w:val="24"/>
        </w:rPr>
        <w:t>coding and data entry. Data are transmitted electronically, rather than by mail. These efficiencies save time due to the speed of data transmission, as well as receipt in a format suitable for analysis. An added benefit is increased data protection by limiting the amount of personally identifiable information (PII) collected from participants, reducing the risk of data security issues. Finally, as noted above, this technology permits respondents to complete the survey in privacy. The use of a more private data collection method makes reporting potentially embarrassing or stigmatizing behaviors (e.g., tobacco use) less threatening and enhances response validity and response rates.</w:t>
      </w:r>
      <w:r w:rsidRPr="00233EDE" w:rsidR="00265644">
        <w:rPr>
          <w:rFonts w:ascii="Times New Roman" w:hAnsi="Times New Roman"/>
        </w:rPr>
        <w:t xml:space="preserve"> Only KDH Research &amp; </w:t>
      </w:r>
      <w:r w:rsidRPr="00233EDE" w:rsidR="00265644">
        <w:rPr>
          <w:rFonts w:ascii="Times New Roman" w:hAnsi="Times New Roman"/>
        </w:rPr>
        <w:lastRenderedPageBreak/>
        <w:t xml:space="preserve">Communication and Marketing Workshop will ever have data with PII. </w:t>
      </w:r>
      <w:r w:rsidRPr="00233EDE" w:rsidR="00870950">
        <w:rPr>
          <w:rFonts w:ascii="Times New Roman" w:hAnsi="Times New Roman"/>
        </w:rPr>
        <w:t xml:space="preserve">FCB and </w:t>
      </w:r>
      <w:r w:rsidRPr="00233EDE" w:rsidR="00265644">
        <w:rPr>
          <w:rFonts w:ascii="Times New Roman" w:hAnsi="Times New Roman"/>
        </w:rPr>
        <w:t>FDA will not have access to PII.</w:t>
      </w:r>
    </w:p>
    <w:p w:rsidRPr="00233EDE" w:rsidR="00BE1FCB" w:rsidP="00BE1FCB" w:rsidRDefault="00BE1FCB" w14:paraId="512440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color w:val="000000"/>
          <w:szCs w:val="24"/>
        </w:rPr>
      </w:pPr>
    </w:p>
    <w:p w:rsidRPr="00233EDE" w:rsidR="00BE1FCB" w:rsidP="00BE1FCB" w:rsidRDefault="00BE1FCB" w14:paraId="76CA62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4" w:id="7"/>
      <w:r w:rsidRPr="00233EDE">
        <w:rPr>
          <w:rFonts w:ascii="Times New Roman" w:hAnsi="Times New Roman" w:eastAsia="Times New Roman" w:cs="Times New Roman"/>
          <w:b/>
          <w:bCs/>
          <w:szCs w:val="24"/>
        </w:rPr>
        <w:t xml:space="preserve">4. </w:t>
      </w:r>
      <w:r w:rsidRPr="00233EDE">
        <w:rPr>
          <w:rFonts w:ascii="Times New Roman" w:hAnsi="Times New Roman" w:eastAsia="Times New Roman" w:cs="Times New Roman"/>
          <w:b/>
          <w:bCs/>
          <w:szCs w:val="24"/>
          <w:u w:val="single"/>
        </w:rPr>
        <w:t>Efforts to Identify Duplication and Use of Similar Information</w:t>
      </w:r>
      <w:bookmarkEnd w:id="7"/>
    </w:p>
    <w:p w:rsidRPr="00233EDE" w:rsidR="00BE1FCB" w:rsidP="00BE1FCB" w:rsidRDefault="00BE1FCB" w14:paraId="4D44462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p>
    <w:p w:rsidRPr="00233EDE" w:rsidR="00361FC2" w:rsidP="00821CDF" w:rsidRDefault="00567357" w14:paraId="186B0149" w14:textId="67B5B5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sidRPr="00233EDE">
        <w:rPr>
          <w:rFonts w:ascii="Times New Roman" w:hAnsi="Times New Roman" w:eastAsia="Times New Roman" w:cs="Times New Roman"/>
          <w:bCs/>
          <w:szCs w:val="24"/>
        </w:rPr>
        <w:t>The world of youth changes quickly, and ongoing data collect</w:t>
      </w:r>
      <w:r w:rsidRPr="00233EDE" w:rsidR="00BA442A">
        <w:rPr>
          <w:rFonts w:ascii="Times New Roman" w:hAnsi="Times New Roman" w:eastAsia="Times New Roman" w:cs="Times New Roman"/>
          <w:bCs/>
          <w:szCs w:val="24"/>
        </w:rPr>
        <w:t>ion</w:t>
      </w:r>
      <w:r w:rsidRPr="00233EDE">
        <w:rPr>
          <w:rFonts w:ascii="Times New Roman" w:hAnsi="Times New Roman" w:eastAsia="Times New Roman" w:cs="Times New Roman"/>
          <w:bCs/>
          <w:szCs w:val="24"/>
        </w:rPr>
        <w:t xml:space="preserve"> will help us understand ad performance in market “in real time”. </w:t>
      </w:r>
      <w:r w:rsidRPr="00233EDE" w:rsidR="00802228">
        <w:rPr>
          <w:rFonts w:ascii="Times New Roman" w:hAnsi="Times New Roman" w:eastAsia="Times New Roman" w:cs="Times New Roman"/>
          <w:bCs/>
          <w:szCs w:val="24"/>
        </w:rPr>
        <w:t>T</w:t>
      </w:r>
      <w:r w:rsidRPr="00233EDE">
        <w:rPr>
          <w:rFonts w:ascii="Times New Roman" w:hAnsi="Times New Roman" w:eastAsia="Times New Roman" w:cs="Times New Roman"/>
          <w:bCs/>
          <w:szCs w:val="24"/>
        </w:rPr>
        <w:t>he types of</w:t>
      </w:r>
      <w:r w:rsidRPr="00233EDE" w:rsidR="00F64C9F">
        <w:rPr>
          <w:rFonts w:ascii="Times New Roman" w:hAnsi="Times New Roman" w:eastAsia="Times New Roman" w:cs="Times New Roman"/>
          <w:bCs/>
          <w:szCs w:val="24"/>
        </w:rPr>
        <w:t xml:space="preserve"> </w:t>
      </w:r>
      <w:r w:rsidRPr="00233EDE" w:rsidR="006A69C3">
        <w:rPr>
          <w:rFonts w:ascii="Times New Roman" w:hAnsi="Times New Roman" w:eastAsia="Times New Roman" w:cs="Times New Roman"/>
          <w:bCs/>
          <w:szCs w:val="24"/>
        </w:rPr>
        <w:t>tobacco products on the market</w:t>
      </w:r>
      <w:r w:rsidRPr="00233EDE">
        <w:rPr>
          <w:rFonts w:ascii="Times New Roman" w:hAnsi="Times New Roman" w:eastAsia="Times New Roman" w:cs="Times New Roman"/>
          <w:bCs/>
          <w:szCs w:val="24"/>
        </w:rPr>
        <w:t xml:space="preserve"> change quickly</w:t>
      </w:r>
      <w:r w:rsidRPr="00233EDE" w:rsidR="001A30C1">
        <w:rPr>
          <w:rFonts w:ascii="Times New Roman" w:hAnsi="Times New Roman" w:eastAsia="Times New Roman" w:cs="Times New Roman"/>
          <w:bCs/>
          <w:szCs w:val="24"/>
        </w:rPr>
        <w:t>,</w:t>
      </w:r>
      <w:r w:rsidRPr="00233EDE">
        <w:rPr>
          <w:rFonts w:ascii="Times New Roman" w:hAnsi="Times New Roman" w:eastAsia="Times New Roman" w:cs="Times New Roman"/>
          <w:bCs/>
          <w:szCs w:val="24"/>
        </w:rPr>
        <w:t xml:space="preserve"> and </w:t>
      </w:r>
      <w:r w:rsidRPr="00233EDE" w:rsidR="00BE1FCB">
        <w:rPr>
          <w:rFonts w:ascii="Times New Roman" w:hAnsi="Times New Roman" w:eastAsia="Times New Roman" w:cs="Times New Roman"/>
          <w:bCs/>
          <w:szCs w:val="24"/>
        </w:rPr>
        <w:t>it is important</w:t>
      </w:r>
      <w:r w:rsidRPr="00233EDE">
        <w:rPr>
          <w:rFonts w:ascii="Times New Roman" w:hAnsi="Times New Roman" w:eastAsia="Times New Roman" w:cs="Times New Roman"/>
          <w:bCs/>
          <w:szCs w:val="24"/>
        </w:rPr>
        <w:t xml:space="preserve"> for advertising to reflect the current state of </w:t>
      </w:r>
      <w:r w:rsidRPr="00233EDE" w:rsidR="005A1F26">
        <w:rPr>
          <w:rFonts w:ascii="Times New Roman" w:hAnsi="Times New Roman" w:eastAsia="Times New Roman" w:cs="Times New Roman"/>
          <w:bCs/>
          <w:szCs w:val="24"/>
        </w:rPr>
        <w:t>tobacco</w:t>
      </w:r>
      <w:r w:rsidRPr="00233EDE">
        <w:rPr>
          <w:rFonts w:ascii="Times New Roman" w:hAnsi="Times New Roman" w:eastAsia="Times New Roman" w:cs="Times New Roman"/>
          <w:bCs/>
          <w:szCs w:val="24"/>
        </w:rPr>
        <w:t xml:space="preserve"> use to </w:t>
      </w:r>
      <w:r w:rsidRPr="00233EDE" w:rsidR="00EB45BE">
        <w:rPr>
          <w:rFonts w:ascii="Times New Roman" w:hAnsi="Times New Roman" w:eastAsia="Times New Roman" w:cs="Times New Roman"/>
          <w:bCs/>
          <w:szCs w:val="24"/>
        </w:rPr>
        <w:t xml:space="preserve">be salient and have the best chance of affecting change in tobacco </w:t>
      </w:r>
      <w:r w:rsidRPr="00233EDE" w:rsidR="00BE1FCB">
        <w:rPr>
          <w:rFonts w:ascii="Times New Roman" w:hAnsi="Times New Roman" w:eastAsia="Times New Roman" w:cs="Times New Roman"/>
          <w:bCs/>
          <w:szCs w:val="24"/>
        </w:rPr>
        <w:t xml:space="preserve">use. </w:t>
      </w:r>
      <w:r w:rsidRPr="00233EDE" w:rsidR="00820C3A">
        <w:rPr>
          <w:rFonts w:ascii="Times New Roman" w:hAnsi="Times New Roman" w:eastAsia="Times New Roman" w:cs="Times New Roman"/>
          <w:szCs w:val="24"/>
        </w:rPr>
        <w:t xml:space="preserve">In designing the proposed data collection activities, we </w:t>
      </w:r>
      <w:r w:rsidRPr="00233EDE" w:rsidR="00800620">
        <w:rPr>
          <w:rFonts w:ascii="Times New Roman" w:hAnsi="Times New Roman" w:eastAsia="Times New Roman" w:cs="Times New Roman"/>
          <w:szCs w:val="24"/>
        </w:rPr>
        <w:t>took</w:t>
      </w:r>
      <w:r w:rsidRPr="00233EDE" w:rsidR="00820C3A">
        <w:rPr>
          <w:rFonts w:ascii="Times New Roman" w:hAnsi="Times New Roman" w:eastAsia="Times New Roman" w:cs="Times New Roman"/>
          <w:szCs w:val="24"/>
        </w:rPr>
        <w:t xml:space="preserve"> several steps to ensure that this effort does not duplicate ongoing efforts and that no existing data sets </w:t>
      </w:r>
      <w:r w:rsidRPr="00233EDE" w:rsidR="008A41BB">
        <w:rPr>
          <w:rFonts w:ascii="Times New Roman" w:hAnsi="Times New Roman" w:eastAsia="Times New Roman" w:cs="Times New Roman"/>
          <w:szCs w:val="24"/>
        </w:rPr>
        <w:t xml:space="preserve">already </w:t>
      </w:r>
      <w:r w:rsidRPr="00233EDE" w:rsidR="00820C3A">
        <w:rPr>
          <w:rFonts w:ascii="Times New Roman" w:hAnsi="Times New Roman" w:eastAsia="Times New Roman" w:cs="Times New Roman"/>
          <w:szCs w:val="24"/>
        </w:rPr>
        <w:t>address the proposed study questions.</w:t>
      </w:r>
      <w:r w:rsidRPr="00233EDE" w:rsidR="00987F60">
        <w:t xml:space="preserve"> </w:t>
      </w:r>
      <w:r w:rsidRPr="00233EDE" w:rsidR="00987F60">
        <w:rPr>
          <w:rFonts w:ascii="Times New Roman" w:hAnsi="Times New Roman" w:eastAsia="Times New Roman" w:cs="Times New Roman"/>
          <w:szCs w:val="24"/>
        </w:rPr>
        <w:t xml:space="preserve">We carefully reviewed existing data sets to determine whether any of them are sufficiently similar or could be modified to address FDA’s need for </w:t>
      </w:r>
      <w:r w:rsidRPr="00233EDE" w:rsidR="00F206C7">
        <w:rPr>
          <w:rFonts w:ascii="Times New Roman" w:hAnsi="Times New Roman" w:eastAsia="Times New Roman" w:cs="Times New Roman"/>
          <w:szCs w:val="24"/>
        </w:rPr>
        <w:t xml:space="preserve">this </w:t>
      </w:r>
      <w:r w:rsidRPr="00233EDE" w:rsidR="00987F60">
        <w:rPr>
          <w:rFonts w:ascii="Times New Roman" w:hAnsi="Times New Roman" w:eastAsia="Times New Roman" w:cs="Times New Roman"/>
          <w:szCs w:val="24"/>
        </w:rPr>
        <w:t xml:space="preserve">information. </w:t>
      </w:r>
      <w:r w:rsidRPr="00233EDE" w:rsidR="00CE5FFE">
        <w:rPr>
          <w:rFonts w:ascii="Times New Roman" w:hAnsi="Times New Roman" w:eastAsia="Times New Roman" w:cs="Times New Roman"/>
          <w:szCs w:val="24"/>
        </w:rPr>
        <w:t xml:space="preserve">Data sources we examined for this purpose include ongoing national surveillance systems such as the National </w:t>
      </w:r>
      <w:r w:rsidRPr="00233EDE" w:rsidR="00074DCB">
        <w:rPr>
          <w:rFonts w:ascii="Times New Roman" w:hAnsi="Times New Roman" w:eastAsia="Times New Roman" w:cs="Times New Roman"/>
          <w:szCs w:val="24"/>
        </w:rPr>
        <w:t>Youth</w:t>
      </w:r>
      <w:r w:rsidRPr="00233EDE" w:rsidR="00025BEE">
        <w:rPr>
          <w:rFonts w:ascii="Times New Roman" w:hAnsi="Times New Roman" w:eastAsia="Times New Roman" w:cs="Times New Roman"/>
          <w:szCs w:val="24"/>
        </w:rPr>
        <w:t xml:space="preserve"> </w:t>
      </w:r>
      <w:r w:rsidRPr="00233EDE" w:rsidR="00CE5FFE">
        <w:rPr>
          <w:rFonts w:ascii="Times New Roman" w:hAnsi="Times New Roman" w:eastAsia="Times New Roman" w:cs="Times New Roman"/>
          <w:szCs w:val="24"/>
        </w:rPr>
        <w:t>Tobacco Survey (NYTS), the Youth Risk Behavior Surveillance System (YRBSS)</w:t>
      </w:r>
      <w:r w:rsidRPr="00233EDE" w:rsidR="008F272E">
        <w:rPr>
          <w:rFonts w:ascii="Times New Roman" w:hAnsi="Times New Roman" w:eastAsia="Times New Roman" w:cs="Times New Roman"/>
          <w:szCs w:val="24"/>
        </w:rPr>
        <w:t>,</w:t>
      </w:r>
      <w:r w:rsidRPr="00233EDE" w:rsidR="00EB45BE">
        <w:rPr>
          <w:rFonts w:ascii="Times New Roman" w:hAnsi="Times New Roman" w:eastAsia="Times New Roman" w:cs="Times New Roman"/>
          <w:szCs w:val="24"/>
        </w:rPr>
        <w:t xml:space="preserve"> </w:t>
      </w:r>
      <w:r w:rsidRPr="00233EDE" w:rsidR="00CE5FFE">
        <w:rPr>
          <w:rFonts w:ascii="Times New Roman" w:hAnsi="Times New Roman" w:eastAsia="Times New Roman" w:cs="Times New Roman"/>
          <w:szCs w:val="24"/>
        </w:rPr>
        <w:t xml:space="preserve">the </w:t>
      </w:r>
      <w:r w:rsidRPr="00233EDE" w:rsidR="008D752E">
        <w:rPr>
          <w:rFonts w:ascii="Times New Roman" w:hAnsi="Times New Roman" w:eastAsia="Times New Roman" w:cs="Times New Roman"/>
          <w:szCs w:val="24"/>
        </w:rPr>
        <w:t>National Health Interview Survey (NHIS)</w:t>
      </w:r>
      <w:r w:rsidRPr="00233EDE" w:rsidR="008F272E">
        <w:rPr>
          <w:rFonts w:ascii="Times New Roman" w:hAnsi="Times New Roman" w:eastAsia="Times New Roman" w:cs="Times New Roman"/>
          <w:szCs w:val="24"/>
        </w:rPr>
        <w:t xml:space="preserve">, and the </w:t>
      </w:r>
      <w:r w:rsidRPr="00233EDE" w:rsidR="00CE5FFE">
        <w:rPr>
          <w:rFonts w:ascii="Times New Roman" w:hAnsi="Times New Roman" w:eastAsia="Times New Roman" w:cs="Times New Roman"/>
          <w:szCs w:val="24"/>
        </w:rPr>
        <w:t>Population Assessment of Tobacco and Health (PATH)</w:t>
      </w:r>
      <w:r w:rsidRPr="00233EDE" w:rsidR="008F272E">
        <w:rPr>
          <w:rFonts w:ascii="Times New Roman" w:hAnsi="Times New Roman" w:eastAsia="Times New Roman" w:cs="Times New Roman"/>
          <w:szCs w:val="24"/>
        </w:rPr>
        <w:t>.</w:t>
      </w:r>
      <w:r w:rsidRPr="00233EDE" w:rsidR="00CE5FFE">
        <w:rPr>
          <w:rFonts w:ascii="Times New Roman" w:hAnsi="Times New Roman" w:eastAsia="Times New Roman" w:cs="Times New Roman"/>
          <w:szCs w:val="24"/>
        </w:rPr>
        <w:t xml:space="preserve"> </w:t>
      </w:r>
      <w:r w:rsidRPr="00233EDE" w:rsidR="00EB45BE">
        <w:rPr>
          <w:rFonts w:ascii="Times New Roman" w:hAnsi="Times New Roman" w:eastAsia="Times New Roman" w:cs="Times New Roman"/>
          <w:szCs w:val="24"/>
        </w:rPr>
        <w:t xml:space="preserve">We also reviewed </w:t>
      </w:r>
      <w:r w:rsidRPr="00233EDE" w:rsidR="00CE5FFE">
        <w:rPr>
          <w:rFonts w:ascii="Times New Roman" w:hAnsi="Times New Roman" w:eastAsia="Times New Roman" w:cs="Times New Roman"/>
          <w:szCs w:val="24"/>
        </w:rPr>
        <w:t xml:space="preserve">data collected to evaluate other national tobacco-focused media campaigns such as CDC’s Tips </w:t>
      </w:r>
      <w:r w:rsidRPr="00233EDE" w:rsidR="00B30823">
        <w:rPr>
          <w:rFonts w:ascii="Times New Roman" w:hAnsi="Times New Roman" w:eastAsia="Times New Roman" w:cs="Times New Roman"/>
          <w:szCs w:val="24"/>
        </w:rPr>
        <w:t>f</w:t>
      </w:r>
      <w:r w:rsidRPr="00233EDE" w:rsidR="00CE5FFE">
        <w:rPr>
          <w:rFonts w:ascii="Times New Roman" w:hAnsi="Times New Roman" w:eastAsia="Times New Roman" w:cs="Times New Roman"/>
          <w:szCs w:val="24"/>
        </w:rPr>
        <w:t xml:space="preserve">rom Former Smokers </w:t>
      </w:r>
      <w:r w:rsidRPr="00233EDE" w:rsidR="00EB45BE">
        <w:rPr>
          <w:rFonts w:ascii="Times New Roman" w:hAnsi="Times New Roman" w:eastAsia="Times New Roman" w:cs="Times New Roman"/>
          <w:szCs w:val="24"/>
        </w:rPr>
        <w:t>and FDA’s The Real Cost</w:t>
      </w:r>
      <w:r w:rsidRPr="00233EDE" w:rsidR="001A30C1">
        <w:rPr>
          <w:rFonts w:ascii="Times New Roman" w:hAnsi="Times New Roman" w:eastAsia="Times New Roman" w:cs="Times New Roman"/>
          <w:szCs w:val="24"/>
        </w:rPr>
        <w:t>, as well as other CTP surveillance mechanisms</w:t>
      </w:r>
      <w:r w:rsidRPr="00233EDE" w:rsidR="00CE5FFE">
        <w:rPr>
          <w:rFonts w:ascii="Times New Roman" w:hAnsi="Times New Roman" w:eastAsia="Times New Roman" w:cs="Times New Roman"/>
          <w:szCs w:val="24"/>
        </w:rPr>
        <w:t>. We concluded that these data sources do not include the measures</w:t>
      </w:r>
      <w:r w:rsidRPr="00233EDE">
        <w:rPr>
          <w:rFonts w:ascii="Times New Roman" w:hAnsi="Times New Roman" w:eastAsia="Times New Roman" w:cs="Times New Roman"/>
          <w:szCs w:val="24"/>
        </w:rPr>
        <w:t xml:space="preserve">, nor do they collect data frequently enough to </w:t>
      </w:r>
      <w:r w:rsidRPr="00233EDE" w:rsidR="00F206C7">
        <w:rPr>
          <w:rFonts w:ascii="Times New Roman" w:hAnsi="Times New Roman" w:eastAsia="Times New Roman" w:cs="Times New Roman"/>
          <w:szCs w:val="24"/>
        </w:rPr>
        <w:t xml:space="preserve">assess in-market metrics of video advertisement performance, as well as rapidly changing knowledge, attitudes, and beliefs around </w:t>
      </w:r>
      <w:r w:rsidRPr="00233EDE" w:rsidR="005A1F26">
        <w:rPr>
          <w:rFonts w:ascii="Times New Roman" w:hAnsi="Times New Roman" w:eastAsia="Times New Roman" w:cs="Times New Roman"/>
          <w:szCs w:val="24"/>
        </w:rPr>
        <w:t>tobacco</w:t>
      </w:r>
      <w:r w:rsidRPr="00233EDE" w:rsidR="00F206C7">
        <w:rPr>
          <w:rFonts w:ascii="Times New Roman" w:hAnsi="Times New Roman" w:eastAsia="Times New Roman" w:cs="Times New Roman"/>
          <w:szCs w:val="24"/>
        </w:rPr>
        <w:t xml:space="preserve"> products and media use habits.</w:t>
      </w:r>
    </w:p>
    <w:p w:rsidRPr="00233EDE" w:rsidR="00CF5A7E" w:rsidP="00BE1FCB" w:rsidRDefault="00CF5A7E" w14:paraId="5A3083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26F4174A" w14:textId="77777777">
      <w:pPr>
        <w:ind w:left="180"/>
        <w:rPr>
          <w:rFonts w:ascii="Times New Roman" w:hAnsi="Times New Roman" w:eastAsia="Times New Roman" w:cs="Times New Roman"/>
          <w:b/>
          <w:bCs/>
          <w:szCs w:val="24"/>
        </w:rPr>
      </w:pPr>
      <w:bookmarkStart w:name="_Toc239649225" w:id="8"/>
      <w:r w:rsidRPr="00233EDE">
        <w:rPr>
          <w:rFonts w:ascii="Times New Roman" w:hAnsi="Times New Roman" w:eastAsia="Times New Roman" w:cs="Times New Roman"/>
          <w:b/>
          <w:bCs/>
          <w:szCs w:val="24"/>
        </w:rPr>
        <w:t>5.</w:t>
      </w:r>
      <w:r w:rsidRPr="00233EDE">
        <w:rPr>
          <w:rFonts w:ascii="Times New Roman" w:hAnsi="Times New Roman" w:eastAsia="Times New Roman" w:cs="Times New Roman"/>
          <w:szCs w:val="24"/>
        </w:rPr>
        <w:t xml:space="preserve"> </w:t>
      </w:r>
      <w:r w:rsidRPr="00233EDE">
        <w:rPr>
          <w:rFonts w:ascii="Times New Roman" w:hAnsi="Times New Roman" w:eastAsia="Times New Roman" w:cs="Times New Roman"/>
          <w:b/>
          <w:bCs/>
          <w:szCs w:val="24"/>
          <w:u w:val="single"/>
        </w:rPr>
        <w:t>Impact on Small Businesses or Other Small Entities</w:t>
      </w:r>
      <w:bookmarkEnd w:id="8"/>
    </w:p>
    <w:p w:rsidRPr="00233EDE" w:rsidR="00BE1FCB" w:rsidP="00BE1FCB" w:rsidRDefault="00BE1FCB" w14:paraId="7D2E4C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6" w:id="9"/>
    </w:p>
    <w:p w:rsidRPr="00233EDE" w:rsidR="00BE1FCB" w:rsidP="00BE1FCB" w:rsidRDefault="00BE1FCB" w14:paraId="742D091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sidRPr="00233EDE">
        <w:rPr>
          <w:rFonts w:ascii="Times New Roman" w:hAnsi="Times New Roman" w:eastAsia="Times New Roman" w:cs="Times New Roman"/>
          <w:szCs w:val="24"/>
        </w:rPr>
        <w:t>Respondents in this study will be members of the general public, specific subpopulations or specific professions, not business entities. No impact on small businesses or other small entities is anticipated.</w:t>
      </w:r>
    </w:p>
    <w:p w:rsidRPr="00233EDE" w:rsidR="00BE1FCB" w:rsidP="00BE1FCB" w:rsidRDefault="00BE1FCB" w14:paraId="7EC31178" w14:textId="1C26B3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p>
    <w:p w:rsidRPr="00233EDE" w:rsidR="00BE1FCB" w:rsidP="00BE1FCB" w:rsidRDefault="00BE1FCB" w14:paraId="1C821F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233EDE">
        <w:rPr>
          <w:rFonts w:ascii="Times New Roman" w:hAnsi="Times New Roman" w:eastAsia="Times New Roman" w:cs="Times New Roman"/>
          <w:b/>
          <w:bCs/>
          <w:szCs w:val="24"/>
        </w:rPr>
        <w:t>6.</w:t>
      </w:r>
      <w:r w:rsidRPr="00233EDE">
        <w:rPr>
          <w:rFonts w:ascii="Times New Roman" w:hAnsi="Times New Roman" w:eastAsia="Times New Roman" w:cs="Times New Roman"/>
          <w:szCs w:val="24"/>
        </w:rPr>
        <w:t xml:space="preserve"> </w:t>
      </w:r>
      <w:r w:rsidRPr="00233EDE">
        <w:rPr>
          <w:rFonts w:ascii="Times New Roman" w:hAnsi="Times New Roman" w:eastAsia="Times New Roman" w:cs="Times New Roman"/>
          <w:b/>
          <w:bCs/>
          <w:szCs w:val="24"/>
          <w:u w:val="single"/>
        </w:rPr>
        <w:t>Consequence of Collecting the Information Less Frequently</w:t>
      </w:r>
      <w:bookmarkEnd w:id="9"/>
    </w:p>
    <w:p w:rsidRPr="00233EDE" w:rsidR="00BE1FCB" w:rsidP="00BE1FCB" w:rsidRDefault="00BE1FCB" w14:paraId="46FF7BE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Pr="00233EDE" w:rsidR="00BE1FCB" w:rsidP="00BE1FCB" w:rsidRDefault="00BE1FCB" w14:paraId="5240C679" w14:textId="1C414469">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7" w:id="10"/>
      <w:r w:rsidRPr="00233EDE">
        <w:rPr>
          <w:rFonts w:ascii="Times New Roman" w:hAnsi="Times New Roman" w:eastAsia="Times New Roman" w:cs="Times New Roman"/>
          <w:szCs w:val="24"/>
        </w:rPr>
        <w:t>Respondents to this data collection will answer only once</w:t>
      </w:r>
      <w:r w:rsidRPr="00233EDE" w:rsidR="00557C71">
        <w:rPr>
          <w:rFonts w:ascii="Times New Roman" w:hAnsi="Times New Roman" w:eastAsia="Times New Roman" w:cs="Times New Roman"/>
          <w:szCs w:val="24"/>
        </w:rPr>
        <w:t xml:space="preserve"> in a </w:t>
      </w:r>
      <w:r w:rsidRPr="00233EDE" w:rsidR="0083232D">
        <w:rPr>
          <w:rFonts w:ascii="Times New Roman" w:hAnsi="Times New Roman" w:eastAsia="Times New Roman" w:cs="Times New Roman"/>
          <w:szCs w:val="24"/>
        </w:rPr>
        <w:t>six</w:t>
      </w:r>
      <w:r w:rsidRPr="00233EDE" w:rsidR="00557C71">
        <w:rPr>
          <w:rFonts w:ascii="Times New Roman" w:hAnsi="Times New Roman" w:eastAsia="Times New Roman" w:cs="Times New Roman"/>
          <w:szCs w:val="24"/>
        </w:rPr>
        <w:t>-month period</w:t>
      </w:r>
      <w:r w:rsidRPr="00233EDE">
        <w:rPr>
          <w:rFonts w:ascii="Times New Roman" w:hAnsi="Times New Roman" w:eastAsia="Times New Roman" w:cs="Times New Roman"/>
          <w:szCs w:val="24"/>
        </w:rPr>
        <w:t xml:space="preserve"> to ensure the participant burden is as low as possible. </w:t>
      </w:r>
      <w:r w:rsidRPr="00233EDE" w:rsidR="00EB4780">
        <w:rPr>
          <w:rFonts w:ascii="Times New Roman" w:hAnsi="Times New Roman" w:eastAsia="Times New Roman" w:cs="Times New Roman"/>
          <w:szCs w:val="24"/>
        </w:rPr>
        <w:t>Without the data collection requested for this study, it would be difficult</w:t>
      </w:r>
      <w:r w:rsidRPr="00233EDE" w:rsidR="00303157">
        <w:rPr>
          <w:rFonts w:ascii="Times New Roman" w:hAnsi="Times New Roman" w:eastAsia="Times New Roman" w:cs="Times New Roman"/>
          <w:szCs w:val="24"/>
        </w:rPr>
        <w:t xml:space="preserve"> </w:t>
      </w:r>
      <w:r w:rsidRPr="00233EDE" w:rsidR="00BA442A">
        <w:rPr>
          <w:rFonts w:ascii="Times New Roman" w:hAnsi="Times New Roman" w:eastAsia="Times New Roman" w:cs="Times New Roman"/>
          <w:szCs w:val="24"/>
        </w:rPr>
        <w:t xml:space="preserve">to </w:t>
      </w:r>
      <w:r w:rsidRPr="00233EDE" w:rsidR="00303157">
        <w:rPr>
          <w:rFonts w:ascii="Times New Roman" w:hAnsi="Times New Roman" w:eastAsia="Times New Roman" w:cs="Times New Roman"/>
          <w:szCs w:val="24"/>
        </w:rPr>
        <w:t xml:space="preserve">optimize </w:t>
      </w:r>
      <w:r w:rsidRPr="00233EDE" w:rsidR="008A41BB">
        <w:rPr>
          <w:rFonts w:ascii="Times New Roman" w:hAnsi="Times New Roman" w:eastAsia="Times New Roman" w:cs="Times New Roman"/>
          <w:szCs w:val="24"/>
        </w:rPr>
        <w:t>FDA</w:t>
      </w:r>
      <w:r w:rsidRPr="00233EDE" w:rsidR="00F206C7">
        <w:rPr>
          <w:rFonts w:ascii="Times New Roman" w:hAnsi="Times New Roman" w:eastAsia="Times New Roman" w:cs="Times New Roman"/>
          <w:szCs w:val="24"/>
        </w:rPr>
        <w:t xml:space="preserve">’s public education </w:t>
      </w:r>
      <w:r w:rsidRPr="00233EDE" w:rsidR="00303157">
        <w:rPr>
          <w:rFonts w:ascii="Times New Roman" w:hAnsi="Times New Roman" w:eastAsia="Times New Roman" w:cs="Times New Roman"/>
          <w:szCs w:val="24"/>
        </w:rPr>
        <w:t>advertising and</w:t>
      </w:r>
      <w:r w:rsidRPr="00233EDE" w:rsidR="00EB4780">
        <w:rPr>
          <w:rFonts w:ascii="Times New Roman" w:hAnsi="Times New Roman" w:eastAsia="Times New Roman" w:cs="Times New Roman"/>
          <w:szCs w:val="24"/>
        </w:rPr>
        <w:t xml:space="preserve"> to identify trends </w:t>
      </w:r>
      <w:r w:rsidRPr="00233EDE" w:rsidR="00F206C7">
        <w:rPr>
          <w:rFonts w:ascii="Times New Roman" w:hAnsi="Times New Roman" w:eastAsia="Times New Roman" w:cs="Times New Roman"/>
          <w:szCs w:val="24"/>
        </w:rPr>
        <w:t xml:space="preserve">knowledge, attitude, and beliefs around </w:t>
      </w:r>
      <w:r w:rsidRPr="00233EDE" w:rsidR="005A1F26">
        <w:rPr>
          <w:rFonts w:ascii="Times New Roman" w:hAnsi="Times New Roman" w:eastAsia="Times New Roman" w:cs="Times New Roman"/>
          <w:szCs w:val="24"/>
        </w:rPr>
        <w:t>tobacco</w:t>
      </w:r>
      <w:r w:rsidRPr="00233EDE" w:rsidR="00EB4780">
        <w:rPr>
          <w:rFonts w:ascii="Times New Roman" w:hAnsi="Times New Roman" w:eastAsia="Times New Roman" w:cs="Times New Roman"/>
          <w:szCs w:val="24"/>
        </w:rPr>
        <w:t xml:space="preserve"> products</w:t>
      </w:r>
      <w:r w:rsidRPr="00233EDE" w:rsidR="00F206C7">
        <w:rPr>
          <w:rFonts w:ascii="Times New Roman" w:hAnsi="Times New Roman" w:eastAsia="Times New Roman" w:cs="Times New Roman"/>
          <w:szCs w:val="24"/>
        </w:rPr>
        <w:t>, as well as trends in media use</w:t>
      </w:r>
      <w:r w:rsidRPr="00233EDE" w:rsidR="00EB4780">
        <w:rPr>
          <w:rFonts w:ascii="Times New Roman" w:hAnsi="Times New Roman" w:eastAsia="Times New Roman" w:cs="Times New Roman"/>
          <w:szCs w:val="24"/>
        </w:rPr>
        <w:t xml:space="preserve">. </w:t>
      </w:r>
      <w:r w:rsidRPr="00233EDE" w:rsidR="00A9438F">
        <w:rPr>
          <w:rFonts w:ascii="Times New Roman" w:hAnsi="Times New Roman" w:eastAsia="Times New Roman" w:cs="Times New Roman"/>
          <w:szCs w:val="24"/>
        </w:rPr>
        <w:t xml:space="preserve">While each </w:t>
      </w:r>
      <w:r w:rsidRPr="00233EDE" w:rsidR="006B6EC3">
        <w:rPr>
          <w:rFonts w:ascii="Times New Roman" w:hAnsi="Times New Roman" w:eastAsia="Times New Roman" w:cs="Times New Roman"/>
          <w:szCs w:val="24"/>
        </w:rPr>
        <w:t xml:space="preserve">iteration of the data collection may be similar from time point to time point, the goal is to identify these trends over time and their changes. </w:t>
      </w:r>
      <w:r w:rsidRPr="00233EDE">
        <w:rPr>
          <w:rFonts w:ascii="Times New Roman" w:hAnsi="Times New Roman" w:eastAsia="Times New Roman" w:cs="Times New Roman"/>
          <w:szCs w:val="24"/>
        </w:rPr>
        <w:t xml:space="preserve">Failure to collect these data could reduce effectiveness of the FDA’s messaging, and therefore reduce the benefit of the messages for youth in the United States. </w:t>
      </w:r>
    </w:p>
    <w:p w:rsidRPr="00233EDE" w:rsidR="00B30823" w:rsidP="008D0DC2" w:rsidRDefault="00B30823" w14:paraId="4682F660" w14:textId="1DEC9A90">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Times New Roman" w:cs="Times New Roman"/>
          <w:szCs w:val="24"/>
        </w:rPr>
      </w:pPr>
    </w:p>
    <w:p w:rsidRPr="00233EDE" w:rsidR="00B30823" w:rsidP="00BE1FCB" w:rsidRDefault="00B30823" w14:paraId="4740927F" w14:textId="77777777">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p>
    <w:p w:rsidRPr="00233EDE" w:rsidR="00BE1FCB" w:rsidP="00BE1FCB" w:rsidRDefault="00BE1FCB" w14:paraId="5391F8D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szCs w:val="24"/>
        </w:rPr>
      </w:pPr>
      <w:r w:rsidRPr="00233EDE">
        <w:rPr>
          <w:rFonts w:ascii="Times New Roman" w:hAnsi="Times New Roman" w:eastAsia="Times New Roman" w:cs="Times New Roman"/>
          <w:b/>
          <w:bCs/>
          <w:szCs w:val="24"/>
        </w:rPr>
        <w:t>7.</w:t>
      </w:r>
      <w:r w:rsidRPr="00233EDE">
        <w:rPr>
          <w:rFonts w:ascii="Times New Roman" w:hAnsi="Times New Roman" w:eastAsia="Times New Roman" w:cs="Times New Roman"/>
          <w:b/>
          <w:szCs w:val="24"/>
        </w:rPr>
        <w:t xml:space="preserve"> </w:t>
      </w:r>
      <w:r w:rsidRPr="00233EDE">
        <w:rPr>
          <w:rFonts w:ascii="Times New Roman" w:hAnsi="Times New Roman" w:eastAsia="Times New Roman" w:cs="Times New Roman"/>
          <w:b/>
          <w:bCs/>
          <w:szCs w:val="24"/>
          <w:u w:val="single"/>
        </w:rPr>
        <w:t>Special Circumstances Relating to the Guidelines of 5 CFR 1320.5</w:t>
      </w:r>
      <w:bookmarkEnd w:id="10"/>
    </w:p>
    <w:p w:rsidRPr="00233EDE" w:rsidR="00BE1FCB" w:rsidP="00BE1FCB" w:rsidRDefault="00BE1FCB" w14:paraId="2203F3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0CB177D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There are no special circumstances for this collection of information that require the data collection to be conducted in a manner inconsistent with 5 CRF 1320.5(d)(2). The message testing activities fully comply with the guidelines in 5 CFR 1320.5.</w:t>
      </w:r>
    </w:p>
    <w:p w:rsidRPr="00233EDE" w:rsidR="00BE1FCB" w:rsidP="00BE1FCB" w:rsidRDefault="00BE1FCB" w14:paraId="0F4EEAB8"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Courier 10cpi" w:hAnsi="Courier 10cpi" w:eastAsia="Times New Roman" w:cs="Times New Roman"/>
          <w:sz w:val="20"/>
          <w:szCs w:val="20"/>
        </w:rPr>
      </w:pPr>
    </w:p>
    <w:p w:rsidRPr="00233EDE" w:rsidR="00BE1FCB" w:rsidP="00BE1FCB" w:rsidRDefault="00BE1FCB" w14:paraId="618F3B2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8" w:id="11"/>
      <w:r w:rsidRPr="00233EDE">
        <w:rPr>
          <w:rFonts w:ascii="Times New Roman" w:hAnsi="Times New Roman" w:eastAsia="Times New Roman" w:cs="Times New Roman"/>
          <w:b/>
          <w:bCs/>
          <w:szCs w:val="24"/>
        </w:rPr>
        <w:lastRenderedPageBreak/>
        <w:t xml:space="preserve">8. </w:t>
      </w:r>
      <w:r w:rsidRPr="00233EDE">
        <w:rPr>
          <w:rFonts w:ascii="Times New Roman" w:hAnsi="Times New Roman" w:eastAsia="Times New Roman" w:cs="Times New Roman"/>
          <w:b/>
          <w:bCs/>
          <w:szCs w:val="24"/>
          <w:u w:val="single"/>
        </w:rPr>
        <w:t>Comments in Response to the Federal Register Notice and Efforts to Consult Outside</w:t>
      </w:r>
      <w:bookmarkEnd w:id="11"/>
      <w:r w:rsidRPr="00233EDE">
        <w:rPr>
          <w:rFonts w:ascii="Times New Roman" w:hAnsi="Times New Roman" w:eastAsia="Times New Roman" w:cs="Times New Roman"/>
          <w:b/>
          <w:bCs/>
          <w:szCs w:val="24"/>
          <w:u w:val="single"/>
        </w:rPr>
        <w:t xml:space="preserve"> </w:t>
      </w:r>
    </w:p>
    <w:p w:rsidRPr="00233EDE" w:rsidR="00BE1FCB" w:rsidP="00BE1FCB" w:rsidRDefault="00BE1FCB" w14:paraId="4EDC5A3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180"/>
        <w:outlineLvl w:val="2"/>
        <w:rPr>
          <w:rFonts w:ascii="Times New Roman" w:hAnsi="Times New Roman" w:eastAsia="Times New Roman" w:cs="Times New Roman"/>
          <w:b/>
          <w:bCs/>
          <w:szCs w:val="24"/>
          <w:u w:val="single"/>
        </w:rPr>
      </w:pPr>
      <w:bookmarkStart w:name="_Toc239649229" w:id="12"/>
      <w:r w:rsidRPr="00233EDE">
        <w:rPr>
          <w:rFonts w:ascii="Times New Roman" w:hAnsi="Times New Roman" w:eastAsia="Times New Roman" w:cs="Times New Roman"/>
          <w:b/>
          <w:bCs/>
          <w:szCs w:val="24"/>
        </w:rPr>
        <w:tab/>
      </w:r>
      <w:r w:rsidRPr="00233EDE">
        <w:rPr>
          <w:rFonts w:ascii="Times New Roman" w:hAnsi="Times New Roman" w:eastAsia="Times New Roman" w:cs="Times New Roman"/>
          <w:b/>
          <w:bCs/>
          <w:szCs w:val="24"/>
          <w:u w:val="single"/>
        </w:rPr>
        <w:t>Agency</w:t>
      </w:r>
      <w:bookmarkEnd w:id="12"/>
    </w:p>
    <w:p w:rsidRPr="00233EDE" w:rsidR="00BE1FCB" w:rsidP="00BE1FCB" w:rsidRDefault="00BE1FCB" w14:paraId="767E127F"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Pr="00233EDE" w:rsidR="00BE1FCB" w:rsidP="00233EDE" w:rsidRDefault="00F734AC" w14:paraId="60AB3B98" w14:textId="5F8315E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 xml:space="preserve">The following individuals inside the agency have been consulted on the design of the </w:t>
      </w:r>
      <w:r w:rsidRPr="00233EDE" w:rsidR="002462E5">
        <w:rPr>
          <w:rFonts w:ascii="Times New Roman" w:hAnsi="Times New Roman" w:eastAsia="Times New Roman" w:cs="Times New Roman"/>
          <w:bCs/>
          <w:szCs w:val="24"/>
        </w:rPr>
        <w:t>study</w:t>
      </w:r>
      <w:r w:rsidRPr="00233EDE">
        <w:rPr>
          <w:rFonts w:ascii="Times New Roman" w:hAnsi="Times New Roman" w:eastAsia="Times New Roman" w:cs="Times New Roman"/>
          <w:bCs/>
          <w:szCs w:val="24"/>
        </w:rPr>
        <w:t xml:space="preserve">, </w:t>
      </w:r>
      <w:r w:rsidRPr="00233EDE" w:rsidR="00333524">
        <w:rPr>
          <w:rFonts w:ascii="Times New Roman" w:hAnsi="Times New Roman" w:eastAsia="Times New Roman" w:cs="Times New Roman"/>
          <w:bCs/>
          <w:szCs w:val="24"/>
        </w:rPr>
        <w:t>instrument</w:t>
      </w:r>
      <w:r w:rsidRPr="00233EDE">
        <w:rPr>
          <w:rFonts w:ascii="Times New Roman" w:hAnsi="Times New Roman" w:eastAsia="Times New Roman" w:cs="Times New Roman"/>
          <w:bCs/>
          <w:szCs w:val="24"/>
        </w:rPr>
        <w:t xml:space="preserve"> development, or intra-agency coordination of information collection efforts:</w:t>
      </w:r>
    </w:p>
    <w:p w:rsidRPr="00233EDE" w:rsidR="00456F1C" w:rsidP="00456F1C" w:rsidRDefault="00456F1C" w14:paraId="0D007A9B" w14:textId="666C3943">
      <w:pPr>
        <w:ind w:left="180"/>
        <w:rPr>
          <w:rFonts w:ascii="Times New Roman" w:hAnsi="Times New Roman" w:cs="Times New Roman"/>
          <w:szCs w:val="24"/>
        </w:rPr>
      </w:pPr>
      <w:bookmarkStart w:name="_Hlk54626003" w:id="13"/>
    </w:p>
    <w:p w:rsidRPr="00233EDE" w:rsidR="007F4407" w:rsidP="007F4407" w:rsidRDefault="007F4407" w14:paraId="0715A557" w14:textId="5C4E408A">
      <w:pPr>
        <w:ind w:left="180"/>
        <w:rPr>
          <w:rFonts w:ascii="Times New Roman" w:hAnsi="Times New Roman" w:cs="Times New Roman"/>
          <w:szCs w:val="24"/>
        </w:rPr>
      </w:pPr>
      <w:proofErr w:type="spellStart"/>
      <w:r w:rsidRPr="00233EDE">
        <w:rPr>
          <w:rFonts w:ascii="Times New Roman" w:hAnsi="Times New Roman" w:cs="Times New Roman"/>
          <w:szCs w:val="24"/>
        </w:rPr>
        <w:t>M</w:t>
      </w:r>
      <w:r w:rsidRPr="00233EDE" w:rsidR="00E16A42">
        <w:rPr>
          <w:rFonts w:ascii="Times New Roman" w:hAnsi="Times New Roman" w:cs="Times New Roman"/>
          <w:szCs w:val="24"/>
        </w:rPr>
        <w:t>organe</w:t>
      </w:r>
      <w:proofErr w:type="spellEnd"/>
      <w:r w:rsidRPr="00233EDE" w:rsidR="00E16A42">
        <w:rPr>
          <w:rFonts w:ascii="Times New Roman" w:hAnsi="Times New Roman" w:cs="Times New Roman"/>
          <w:szCs w:val="24"/>
        </w:rPr>
        <w:t xml:space="preserve"> Bennett</w:t>
      </w:r>
      <w:r w:rsidRPr="00233EDE" w:rsidR="00AF3A72">
        <w:rPr>
          <w:rFonts w:ascii="Times New Roman" w:hAnsi="Times New Roman" w:cs="Times New Roman"/>
          <w:szCs w:val="24"/>
        </w:rPr>
        <w:t>, DrPH, MPH</w:t>
      </w:r>
    </w:p>
    <w:p w:rsidRPr="00233EDE" w:rsidR="007F4407" w:rsidP="007F4407" w:rsidRDefault="007F4407" w14:paraId="64749EB8" w14:textId="77777777">
      <w:pPr>
        <w:ind w:left="180"/>
        <w:rPr>
          <w:rFonts w:ascii="Times New Roman" w:hAnsi="Times New Roman" w:cs="Times New Roman"/>
          <w:szCs w:val="24"/>
        </w:rPr>
      </w:pPr>
      <w:r w:rsidRPr="00233EDE">
        <w:rPr>
          <w:rFonts w:ascii="Times New Roman" w:hAnsi="Times New Roman" w:cs="Times New Roman"/>
          <w:szCs w:val="24"/>
        </w:rPr>
        <w:t>Office of Health Communication &amp; Education</w:t>
      </w:r>
    </w:p>
    <w:p w:rsidRPr="00233EDE" w:rsidR="007F4407" w:rsidP="007F4407" w:rsidRDefault="007F4407" w14:paraId="68F9E7CF" w14:textId="77777777">
      <w:pPr>
        <w:ind w:left="180"/>
        <w:rPr>
          <w:rFonts w:ascii="Times New Roman" w:hAnsi="Times New Roman" w:cs="Times New Roman"/>
          <w:szCs w:val="24"/>
        </w:rPr>
      </w:pPr>
      <w:r w:rsidRPr="00233EDE">
        <w:rPr>
          <w:rFonts w:ascii="Times New Roman" w:hAnsi="Times New Roman" w:cs="Times New Roman"/>
          <w:szCs w:val="24"/>
        </w:rPr>
        <w:t>Center for Tobacco Products</w:t>
      </w:r>
    </w:p>
    <w:p w:rsidRPr="00233EDE" w:rsidR="007F4407" w:rsidP="007F4407" w:rsidRDefault="007F4407" w14:paraId="563EF0C6" w14:textId="77777777">
      <w:pPr>
        <w:ind w:left="180"/>
        <w:rPr>
          <w:rFonts w:ascii="Times New Roman" w:hAnsi="Times New Roman" w:cs="Times New Roman"/>
          <w:szCs w:val="24"/>
        </w:rPr>
      </w:pPr>
      <w:r w:rsidRPr="00233EDE">
        <w:rPr>
          <w:rFonts w:ascii="Times New Roman" w:hAnsi="Times New Roman" w:cs="Times New Roman"/>
          <w:szCs w:val="24"/>
        </w:rPr>
        <w:t>Food and Drug Administration</w:t>
      </w:r>
    </w:p>
    <w:p w:rsidRPr="00233EDE" w:rsidR="007F4407" w:rsidP="007F4407" w:rsidRDefault="007F4407" w14:paraId="47A7D071" w14:textId="77777777">
      <w:pPr>
        <w:ind w:left="180"/>
        <w:rPr>
          <w:rFonts w:ascii="Times New Roman" w:hAnsi="Times New Roman" w:cs="Times New Roman"/>
          <w:szCs w:val="24"/>
        </w:rPr>
      </w:pPr>
      <w:r w:rsidRPr="00233EDE">
        <w:rPr>
          <w:rFonts w:ascii="Times New Roman" w:hAnsi="Times New Roman" w:cs="Times New Roman"/>
          <w:szCs w:val="24"/>
        </w:rPr>
        <w:t>10903 New Hampshire Avenue</w:t>
      </w:r>
    </w:p>
    <w:p w:rsidRPr="00233EDE" w:rsidR="007F4407" w:rsidP="007F4407" w:rsidRDefault="007F4407" w14:paraId="0BF46A34" w14:textId="77777777">
      <w:pPr>
        <w:ind w:left="180"/>
        <w:rPr>
          <w:rFonts w:ascii="Times New Roman" w:hAnsi="Times New Roman" w:cs="Times New Roman"/>
          <w:szCs w:val="24"/>
        </w:rPr>
      </w:pPr>
      <w:r w:rsidRPr="00233EDE">
        <w:rPr>
          <w:rFonts w:ascii="Times New Roman" w:hAnsi="Times New Roman" w:cs="Times New Roman"/>
          <w:szCs w:val="24"/>
        </w:rPr>
        <w:t>Silver Spring, MD 20993</w:t>
      </w:r>
    </w:p>
    <w:p w:rsidRPr="00233EDE" w:rsidR="007F4407" w:rsidP="007F4407" w:rsidRDefault="007F4407" w14:paraId="3A9AF6A0" w14:textId="09E10B0D">
      <w:pPr>
        <w:ind w:left="180"/>
        <w:rPr>
          <w:rFonts w:ascii="Times New Roman" w:hAnsi="Times New Roman" w:cs="Times New Roman"/>
          <w:szCs w:val="24"/>
        </w:rPr>
      </w:pPr>
      <w:r w:rsidRPr="00233EDE">
        <w:rPr>
          <w:rFonts w:ascii="Times New Roman" w:hAnsi="Times New Roman" w:cs="Times New Roman"/>
          <w:szCs w:val="24"/>
        </w:rPr>
        <w:t>Phone:</w:t>
      </w:r>
      <w:r w:rsidRPr="00233EDE" w:rsidR="004412EF">
        <w:rPr>
          <w:rFonts w:ascii="Times New Roman" w:hAnsi="Times New Roman" w:cs="Times New Roman"/>
          <w:szCs w:val="24"/>
        </w:rPr>
        <w:t xml:space="preserve"> </w:t>
      </w:r>
      <w:r w:rsidRPr="00233EDE" w:rsidR="00AF69D5">
        <w:rPr>
          <w:rFonts w:ascii="Times New Roman" w:hAnsi="Times New Roman" w:cs="Times New Roman"/>
          <w:szCs w:val="24"/>
        </w:rPr>
        <w:t>240-402-9281</w:t>
      </w:r>
    </w:p>
    <w:p w:rsidRPr="00233EDE" w:rsidR="007F4407" w:rsidP="007F4407" w:rsidRDefault="007F4407" w14:paraId="65F438A1" w14:textId="45A4F6DC">
      <w:pPr>
        <w:ind w:left="180"/>
        <w:rPr>
          <w:rFonts w:ascii="Times New Roman" w:hAnsi="Times New Roman" w:cs="Times New Roman"/>
          <w:szCs w:val="24"/>
        </w:rPr>
      </w:pPr>
      <w:r w:rsidRPr="00233EDE">
        <w:rPr>
          <w:rFonts w:ascii="Times New Roman" w:hAnsi="Times New Roman" w:cs="Times New Roman"/>
          <w:szCs w:val="24"/>
        </w:rPr>
        <w:t>E-mail:</w:t>
      </w:r>
      <w:r w:rsidRPr="00233EDE" w:rsidR="004412EF">
        <w:rPr>
          <w:rFonts w:ascii="Times New Roman" w:hAnsi="Times New Roman" w:cs="Times New Roman"/>
          <w:szCs w:val="24"/>
        </w:rPr>
        <w:t xml:space="preserve"> </w:t>
      </w:r>
      <w:hyperlink w:history="1" r:id="rId9">
        <w:r w:rsidRPr="00233EDE" w:rsidR="00E16A42">
          <w:rPr>
            <w:rStyle w:val="Hyperlink"/>
            <w:rFonts w:ascii="Times New Roman" w:hAnsi="Times New Roman" w:cs="Times New Roman"/>
            <w:szCs w:val="24"/>
          </w:rPr>
          <w:t>Morgane.Bennett@fda.hhs.gov</w:t>
        </w:r>
      </w:hyperlink>
    </w:p>
    <w:p w:rsidRPr="00233EDE" w:rsidR="00E16A42" w:rsidP="007F4407" w:rsidRDefault="00E16A42" w14:paraId="4561DEC4" w14:textId="23DF84F2">
      <w:pPr>
        <w:ind w:left="180"/>
        <w:rPr>
          <w:rFonts w:ascii="Times New Roman" w:hAnsi="Times New Roman" w:cs="Times New Roman"/>
          <w:szCs w:val="24"/>
        </w:rPr>
      </w:pPr>
    </w:p>
    <w:p w:rsidRPr="00233EDE" w:rsidR="008A41BB" w:rsidP="007F4407" w:rsidRDefault="00F5795E" w14:paraId="2B6FFC7F" w14:textId="7F4770E1">
      <w:pPr>
        <w:ind w:left="180"/>
        <w:rPr>
          <w:rFonts w:ascii="Times New Roman" w:hAnsi="Times New Roman" w:cs="Times New Roman"/>
          <w:szCs w:val="24"/>
        </w:rPr>
      </w:pPr>
      <w:bookmarkStart w:name="_Hlk54626034" w:id="14"/>
      <w:proofErr w:type="spellStart"/>
      <w:r w:rsidRPr="00233EDE">
        <w:rPr>
          <w:rFonts w:ascii="Times New Roman" w:hAnsi="Times New Roman" w:cs="Times New Roman"/>
          <w:szCs w:val="24"/>
        </w:rPr>
        <w:t>Atanaska</w:t>
      </w:r>
      <w:proofErr w:type="spellEnd"/>
      <w:r w:rsidRPr="00233EDE">
        <w:rPr>
          <w:rFonts w:ascii="Times New Roman" w:hAnsi="Times New Roman" w:cs="Times New Roman"/>
          <w:szCs w:val="24"/>
        </w:rPr>
        <w:t xml:space="preserve"> </w:t>
      </w:r>
      <w:proofErr w:type="spellStart"/>
      <w:r w:rsidRPr="00233EDE">
        <w:rPr>
          <w:rFonts w:ascii="Times New Roman" w:hAnsi="Times New Roman" w:cs="Times New Roman"/>
          <w:szCs w:val="24"/>
        </w:rPr>
        <w:t>Dineva</w:t>
      </w:r>
      <w:proofErr w:type="spellEnd"/>
      <w:r w:rsidRPr="00233EDE">
        <w:rPr>
          <w:rFonts w:ascii="Times New Roman" w:hAnsi="Times New Roman" w:cs="Times New Roman"/>
          <w:szCs w:val="24"/>
        </w:rPr>
        <w:t>, MS</w:t>
      </w:r>
    </w:p>
    <w:p w:rsidRPr="00233EDE" w:rsidR="001007E4" w:rsidP="001007E4" w:rsidRDefault="001007E4" w14:paraId="26E6CAD7" w14:textId="77777777">
      <w:pPr>
        <w:ind w:left="180"/>
        <w:rPr>
          <w:rFonts w:ascii="Times New Roman" w:hAnsi="Times New Roman" w:cs="Times New Roman"/>
          <w:szCs w:val="24"/>
        </w:rPr>
      </w:pPr>
      <w:r w:rsidRPr="00233EDE">
        <w:rPr>
          <w:rFonts w:ascii="Times New Roman" w:hAnsi="Times New Roman" w:cs="Times New Roman"/>
          <w:szCs w:val="24"/>
        </w:rPr>
        <w:t>Office of Health Communication &amp; Education</w:t>
      </w:r>
    </w:p>
    <w:p w:rsidRPr="00233EDE" w:rsidR="001007E4" w:rsidP="001007E4" w:rsidRDefault="001007E4" w14:paraId="7F006614" w14:textId="77777777">
      <w:pPr>
        <w:ind w:left="180"/>
        <w:rPr>
          <w:rFonts w:ascii="Times New Roman" w:hAnsi="Times New Roman" w:cs="Times New Roman"/>
          <w:szCs w:val="24"/>
        </w:rPr>
      </w:pPr>
      <w:r w:rsidRPr="00233EDE">
        <w:rPr>
          <w:rFonts w:ascii="Times New Roman" w:hAnsi="Times New Roman" w:cs="Times New Roman"/>
          <w:szCs w:val="24"/>
        </w:rPr>
        <w:t>Center for Tobacco Products</w:t>
      </w:r>
    </w:p>
    <w:p w:rsidRPr="00233EDE" w:rsidR="001007E4" w:rsidP="001007E4" w:rsidRDefault="001007E4" w14:paraId="4D591483" w14:textId="77777777">
      <w:pPr>
        <w:ind w:left="180"/>
        <w:rPr>
          <w:rFonts w:ascii="Times New Roman" w:hAnsi="Times New Roman" w:cs="Times New Roman"/>
          <w:szCs w:val="24"/>
        </w:rPr>
      </w:pPr>
      <w:r w:rsidRPr="00233EDE">
        <w:rPr>
          <w:rFonts w:ascii="Times New Roman" w:hAnsi="Times New Roman" w:cs="Times New Roman"/>
          <w:szCs w:val="24"/>
        </w:rPr>
        <w:t>Food and Drug Administration</w:t>
      </w:r>
    </w:p>
    <w:p w:rsidRPr="00233EDE" w:rsidR="001007E4" w:rsidP="001007E4" w:rsidRDefault="001007E4" w14:paraId="6D74BA2E" w14:textId="77777777">
      <w:pPr>
        <w:ind w:left="180"/>
        <w:rPr>
          <w:rFonts w:ascii="Times New Roman" w:hAnsi="Times New Roman" w:cs="Times New Roman"/>
          <w:szCs w:val="24"/>
        </w:rPr>
      </w:pPr>
      <w:r w:rsidRPr="00233EDE">
        <w:rPr>
          <w:rFonts w:ascii="Times New Roman" w:hAnsi="Times New Roman" w:cs="Times New Roman"/>
          <w:szCs w:val="24"/>
        </w:rPr>
        <w:t>10903 New Hampshire Avenue</w:t>
      </w:r>
    </w:p>
    <w:p w:rsidRPr="00233EDE" w:rsidR="001007E4" w:rsidP="001007E4" w:rsidRDefault="001007E4" w14:paraId="321779B0" w14:textId="77777777">
      <w:pPr>
        <w:ind w:left="180"/>
        <w:rPr>
          <w:rFonts w:ascii="Times New Roman" w:hAnsi="Times New Roman" w:cs="Times New Roman"/>
          <w:szCs w:val="24"/>
        </w:rPr>
      </w:pPr>
      <w:r w:rsidRPr="00233EDE">
        <w:rPr>
          <w:rFonts w:ascii="Times New Roman" w:hAnsi="Times New Roman" w:cs="Times New Roman"/>
          <w:szCs w:val="24"/>
        </w:rPr>
        <w:t>Silver Spring, MD 20993</w:t>
      </w:r>
    </w:p>
    <w:p w:rsidRPr="00233EDE" w:rsidR="001007E4" w:rsidP="001007E4" w:rsidRDefault="001007E4" w14:paraId="2471E261" w14:textId="72C2513C">
      <w:pPr>
        <w:ind w:left="180"/>
        <w:rPr>
          <w:rFonts w:ascii="Times New Roman" w:hAnsi="Times New Roman" w:cs="Times New Roman"/>
          <w:szCs w:val="24"/>
        </w:rPr>
      </w:pPr>
      <w:r w:rsidRPr="00233EDE">
        <w:rPr>
          <w:rFonts w:ascii="Times New Roman" w:hAnsi="Times New Roman" w:cs="Times New Roman"/>
          <w:szCs w:val="24"/>
        </w:rPr>
        <w:t xml:space="preserve">Phone: </w:t>
      </w:r>
      <w:bookmarkStart w:name="_Hlk96525796" w:id="15"/>
      <w:r w:rsidRPr="00233EDE" w:rsidR="007F358E">
        <w:rPr>
          <w:rFonts w:ascii="Times New Roman" w:hAnsi="Times New Roman" w:cs="Times New Roman"/>
          <w:color w:val="555555"/>
          <w:szCs w:val="24"/>
        </w:rPr>
        <w:t>301-796-4498</w:t>
      </w:r>
      <w:bookmarkEnd w:id="15"/>
    </w:p>
    <w:p w:rsidRPr="00233EDE" w:rsidR="001007E4" w:rsidP="007F4407" w:rsidRDefault="001007E4" w14:paraId="31E56587" w14:textId="6CDDEDC6">
      <w:pPr>
        <w:ind w:left="180"/>
        <w:rPr>
          <w:rFonts w:ascii="Times New Roman" w:hAnsi="Times New Roman" w:cs="Times New Roman"/>
          <w:szCs w:val="24"/>
        </w:rPr>
      </w:pPr>
      <w:r w:rsidRPr="00233EDE">
        <w:rPr>
          <w:rFonts w:ascii="Times New Roman" w:hAnsi="Times New Roman" w:cs="Times New Roman"/>
          <w:szCs w:val="24"/>
        </w:rPr>
        <w:t xml:space="preserve">E-mail: </w:t>
      </w:r>
      <w:hyperlink w:history="1" r:id="rId10">
        <w:r w:rsidRPr="00A864AC" w:rsidR="00CE657C">
          <w:rPr>
            <w:rStyle w:val="Hyperlink"/>
            <w:rFonts w:ascii="Times New Roman" w:hAnsi="Times New Roman" w:cs="Times New Roman"/>
            <w:szCs w:val="24"/>
          </w:rPr>
          <w:t>Atanaska.Dineva@fda.hhs.gov</w:t>
        </w:r>
      </w:hyperlink>
      <w:r w:rsidR="00CE657C">
        <w:rPr>
          <w:rFonts w:ascii="Times New Roman" w:hAnsi="Times New Roman" w:cs="Times New Roman"/>
          <w:szCs w:val="24"/>
        </w:rPr>
        <w:t xml:space="preserve"> </w:t>
      </w:r>
    </w:p>
    <w:bookmarkEnd w:id="13"/>
    <w:bookmarkEnd w:id="14"/>
    <w:p w:rsidRPr="00233EDE" w:rsidR="008A41BB" w:rsidP="00D61EFE" w:rsidRDefault="001007E4" w14:paraId="107B4DD0" w14:textId="1A9E75EC">
      <w:pPr>
        <w:tabs>
          <w:tab w:val="left" w:pos="1590"/>
        </w:tabs>
        <w:ind w:left="180"/>
        <w:rPr>
          <w:rFonts w:ascii="Times New Roman" w:hAnsi="Times New Roman" w:cs="Times New Roman"/>
          <w:szCs w:val="24"/>
          <w:u w:val="single"/>
        </w:rPr>
      </w:pPr>
      <w:r w:rsidRPr="00233EDE">
        <w:rPr>
          <w:rFonts w:ascii="Times New Roman" w:hAnsi="Times New Roman" w:cs="Times New Roman"/>
          <w:szCs w:val="24"/>
        </w:rPr>
        <w:tab/>
      </w:r>
    </w:p>
    <w:p w:rsidRPr="00233EDE" w:rsidR="004F27E6" w:rsidP="00040679" w:rsidRDefault="004F27E6" w14:paraId="6A1E4F80" w14:textId="413032C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FDA collaborates with other federal government agencies that sponsor or endorse health communication projects, such as the Centers for Disease Control and Prevention, Office on Smoking and Health (CDC/OSH), the Substance Abuse and Mental Health Services Administration (SAMHSA) and the National Institutes of Health National Cancer Institute (NIH/NCI). These affiliations serve as information channels, help prevent redundancy, and promote use of consistent measures of effectiveness. Coordination activities include:</w:t>
      </w:r>
    </w:p>
    <w:p w:rsidRPr="00233EDE" w:rsidR="004F27E6" w:rsidP="004F27E6" w:rsidRDefault="004F27E6" w14:paraId="27DCC7DB"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Review of proposed messages for advertisements;</w:t>
      </w:r>
    </w:p>
    <w:p w:rsidRPr="00233EDE" w:rsidR="004F27E6" w:rsidP="004F27E6" w:rsidRDefault="004F27E6" w14:paraId="5BEBD4AE" w14:textId="0755F50B">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 xml:space="preserve">Review of </w:t>
      </w:r>
      <w:r w:rsidRPr="00233EDE" w:rsidR="009C131E">
        <w:rPr>
          <w:rFonts w:ascii="Times New Roman" w:hAnsi="Times New Roman" w:eastAsia="Times New Roman" w:cs="Times New Roman"/>
          <w:bCs/>
          <w:szCs w:val="24"/>
        </w:rPr>
        <w:t>surveys</w:t>
      </w:r>
      <w:r w:rsidRPr="00233EDE">
        <w:rPr>
          <w:rFonts w:ascii="Times New Roman" w:hAnsi="Times New Roman" w:eastAsia="Times New Roman" w:cs="Times New Roman"/>
          <w:bCs/>
          <w:szCs w:val="24"/>
        </w:rPr>
        <w:t xml:space="preserve"> for testing purposes;</w:t>
      </w:r>
    </w:p>
    <w:p w:rsidRPr="00233EDE" w:rsidR="004F27E6" w:rsidP="004F27E6" w:rsidRDefault="004F27E6" w14:paraId="014AF2ED"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Sharing data; and</w:t>
      </w:r>
    </w:p>
    <w:p w:rsidRPr="00233EDE" w:rsidR="004F27E6" w:rsidP="004F27E6" w:rsidRDefault="004F27E6" w14:paraId="33562E2A"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233EDE">
        <w:rPr>
          <w:rFonts w:ascii="Times New Roman" w:hAnsi="Times New Roman" w:eastAsia="Times New Roman" w:cs="Times New Roman"/>
          <w:bCs/>
          <w:szCs w:val="24"/>
        </w:rPr>
        <w:t xml:space="preserve">Standardizing survey tools where at all possible. </w:t>
      </w:r>
    </w:p>
    <w:p w:rsidRPr="00233EDE" w:rsidR="004F27E6" w:rsidP="004412EF" w:rsidRDefault="004F27E6" w14:paraId="5C094163" w14:textId="77777777">
      <w:pPr>
        <w:ind w:left="180"/>
        <w:rPr>
          <w:rFonts w:ascii="Times New Roman" w:hAnsi="Times New Roman" w:cs="Times New Roman"/>
          <w:szCs w:val="24"/>
        </w:rPr>
      </w:pPr>
    </w:p>
    <w:p w:rsidRPr="00233EDE" w:rsidR="004412EF" w:rsidP="004412EF" w:rsidRDefault="004412EF" w14:paraId="6F2D089F" w14:textId="77482252">
      <w:pPr>
        <w:ind w:left="180"/>
        <w:rPr>
          <w:rFonts w:ascii="Times New Roman" w:hAnsi="Times New Roman" w:cs="Times New Roman"/>
          <w:szCs w:val="24"/>
        </w:rPr>
      </w:pPr>
      <w:r w:rsidRPr="00233EDE">
        <w:rPr>
          <w:rFonts w:ascii="Times New Roman" w:hAnsi="Times New Roman" w:cs="Times New Roman"/>
          <w:szCs w:val="24"/>
        </w:rPr>
        <w:t xml:space="preserve">The following individuals outside of the agency have been consulted on </w:t>
      </w:r>
      <w:r w:rsidRPr="00233EDE" w:rsidR="009C131E">
        <w:rPr>
          <w:rFonts w:ascii="Times New Roman" w:hAnsi="Times New Roman" w:cs="Times New Roman"/>
          <w:szCs w:val="24"/>
        </w:rPr>
        <w:t>survey</w:t>
      </w:r>
      <w:r w:rsidRPr="00233EDE">
        <w:rPr>
          <w:rFonts w:ascii="Times New Roman" w:hAnsi="Times New Roman" w:cs="Times New Roman"/>
          <w:szCs w:val="24"/>
        </w:rPr>
        <w:t xml:space="preserve"> development. </w:t>
      </w:r>
    </w:p>
    <w:p w:rsidRPr="00233EDE" w:rsidR="00EA0D40" w:rsidP="00EA0D40" w:rsidRDefault="00EA0D40" w14:paraId="6A756158" w14:textId="62CF6EE1">
      <w:pPr>
        <w:ind w:left="180"/>
      </w:pPr>
    </w:p>
    <w:p w:rsidRPr="00233EDE" w:rsidR="00D244C6" w:rsidP="007E1BA4" w:rsidRDefault="00D244C6" w14:paraId="3BE8736E" w14:textId="600504FC">
      <w:pPr>
        <w:ind w:left="180"/>
        <w:rPr>
          <w:rFonts w:ascii="Times New Roman" w:hAnsi="Times New Roman" w:cs="Times New Roman"/>
        </w:rPr>
      </w:pPr>
      <w:r w:rsidRPr="00233EDE">
        <w:rPr>
          <w:rFonts w:ascii="Times New Roman" w:hAnsi="Times New Roman" w:cs="Times New Roman"/>
        </w:rPr>
        <w:t>Kristen Holtz</w:t>
      </w:r>
      <w:r w:rsidRPr="00233EDE" w:rsidR="00303157">
        <w:rPr>
          <w:rFonts w:ascii="Times New Roman" w:hAnsi="Times New Roman" w:cs="Times New Roman"/>
        </w:rPr>
        <w:t>, Ph.D.</w:t>
      </w:r>
    </w:p>
    <w:p w:rsidRPr="00233EDE" w:rsidR="00D244C6" w:rsidP="007E1BA4" w:rsidRDefault="00D244C6" w14:paraId="4295FE72" w14:textId="77777777">
      <w:pPr>
        <w:ind w:left="180"/>
        <w:rPr>
          <w:rFonts w:ascii="Times New Roman" w:hAnsi="Times New Roman" w:cs="Times New Roman"/>
        </w:rPr>
      </w:pPr>
      <w:r w:rsidRPr="00233EDE">
        <w:rPr>
          <w:rFonts w:ascii="Times New Roman" w:hAnsi="Times New Roman" w:cs="Times New Roman"/>
        </w:rPr>
        <w:t xml:space="preserve">KDH Research &amp; Communication </w:t>
      </w:r>
    </w:p>
    <w:p w:rsidRPr="00233EDE" w:rsidR="00F5795E" w:rsidP="007E1BA4" w:rsidRDefault="00F5795E" w14:paraId="75183C9A" w14:textId="2B62C071">
      <w:pPr>
        <w:ind w:left="180"/>
        <w:rPr>
          <w:rFonts w:ascii="Times New Roman" w:hAnsi="Times New Roman" w:cs="Times New Roman"/>
        </w:rPr>
      </w:pPr>
      <w:r w:rsidRPr="00233EDE">
        <w:rPr>
          <w:rFonts w:ascii="Times New Roman" w:hAnsi="Times New Roman" w:cs="Times New Roman"/>
        </w:rPr>
        <w:t>145 15</w:t>
      </w:r>
      <w:r w:rsidRPr="00233EDE">
        <w:rPr>
          <w:rFonts w:ascii="Times New Roman" w:hAnsi="Times New Roman" w:cs="Times New Roman"/>
          <w:vertAlign w:val="superscript"/>
        </w:rPr>
        <w:t>th</w:t>
      </w:r>
      <w:r w:rsidRPr="00233EDE">
        <w:rPr>
          <w:rFonts w:ascii="Times New Roman" w:hAnsi="Times New Roman" w:cs="Times New Roman"/>
        </w:rPr>
        <w:t xml:space="preserve"> Street NE</w:t>
      </w:r>
    </w:p>
    <w:p w:rsidRPr="00233EDE" w:rsidR="00F5795E" w:rsidP="007E1BA4" w:rsidRDefault="00F5795E" w14:paraId="067D89CB" w14:textId="34E9869F">
      <w:pPr>
        <w:ind w:left="180"/>
        <w:rPr>
          <w:rFonts w:ascii="Times New Roman" w:hAnsi="Times New Roman" w:cs="Times New Roman"/>
        </w:rPr>
      </w:pPr>
      <w:r w:rsidRPr="00233EDE">
        <w:rPr>
          <w:rFonts w:ascii="Times New Roman" w:hAnsi="Times New Roman" w:cs="Times New Roman"/>
        </w:rPr>
        <w:t>Suite 831</w:t>
      </w:r>
    </w:p>
    <w:p w:rsidRPr="00233EDE" w:rsidR="00F5795E" w:rsidP="007E1BA4" w:rsidRDefault="00F5795E" w14:paraId="7DDE4EDC" w14:textId="27F423E3">
      <w:pPr>
        <w:ind w:left="180"/>
        <w:rPr>
          <w:rFonts w:ascii="Times New Roman" w:hAnsi="Times New Roman" w:cs="Times New Roman"/>
        </w:rPr>
      </w:pPr>
      <w:r w:rsidRPr="00233EDE">
        <w:rPr>
          <w:rFonts w:ascii="Times New Roman" w:hAnsi="Times New Roman" w:cs="Times New Roman"/>
        </w:rPr>
        <w:t>Atlanta, GA 30309</w:t>
      </w:r>
    </w:p>
    <w:p w:rsidRPr="00233EDE" w:rsidR="00552C84" w:rsidP="00552C84" w:rsidRDefault="00552C84" w14:paraId="04DF35ED" w14:textId="60AA7C4C">
      <w:pPr>
        <w:ind w:left="180"/>
        <w:rPr>
          <w:rFonts w:ascii="Times New Roman" w:hAnsi="Times New Roman" w:cs="Times New Roman"/>
        </w:rPr>
      </w:pPr>
      <w:r w:rsidRPr="00233EDE">
        <w:rPr>
          <w:rFonts w:ascii="Times New Roman" w:hAnsi="Times New Roman" w:cs="Times New Roman"/>
        </w:rPr>
        <w:t>(404) 395 8711</w:t>
      </w:r>
    </w:p>
    <w:p w:rsidRPr="00233EDE" w:rsidR="00552C84" w:rsidRDefault="00552C84" w14:paraId="076F52AB" w14:textId="77777777">
      <w:pPr>
        <w:ind w:left="180"/>
        <w:rPr>
          <w:rFonts w:ascii="Times New Roman" w:hAnsi="Times New Roman" w:cs="Times New Roman"/>
        </w:rPr>
      </w:pPr>
    </w:p>
    <w:p w:rsidR="00CE657C" w:rsidP="007E1BA4" w:rsidRDefault="00CE657C" w14:paraId="2B36F2A9" w14:textId="77777777">
      <w:pPr>
        <w:ind w:left="180"/>
        <w:rPr>
          <w:rFonts w:ascii="Times New Roman" w:hAnsi="Times New Roman" w:cs="Times New Roman"/>
        </w:rPr>
      </w:pPr>
      <w:bookmarkStart w:name="_Hlk54626051" w:id="16"/>
    </w:p>
    <w:p w:rsidR="00CE657C" w:rsidP="007E1BA4" w:rsidRDefault="00CE657C" w14:paraId="6FE02E4F" w14:textId="77777777">
      <w:pPr>
        <w:ind w:left="180"/>
        <w:rPr>
          <w:rFonts w:ascii="Times New Roman" w:hAnsi="Times New Roman" w:cs="Times New Roman"/>
        </w:rPr>
      </w:pPr>
    </w:p>
    <w:p w:rsidRPr="00233EDE" w:rsidR="001007E4" w:rsidP="007E1BA4" w:rsidRDefault="001007E4" w14:paraId="1FD6FA48" w14:textId="18F7A777">
      <w:pPr>
        <w:ind w:left="180"/>
        <w:rPr>
          <w:rFonts w:ascii="Times New Roman" w:hAnsi="Times New Roman" w:cs="Times New Roman"/>
        </w:rPr>
      </w:pPr>
      <w:r w:rsidRPr="00233EDE">
        <w:rPr>
          <w:rFonts w:ascii="Times New Roman" w:hAnsi="Times New Roman" w:cs="Times New Roman"/>
        </w:rPr>
        <w:lastRenderedPageBreak/>
        <w:t xml:space="preserve">Dimas </w:t>
      </w:r>
      <w:proofErr w:type="spellStart"/>
      <w:r w:rsidRPr="00233EDE">
        <w:rPr>
          <w:rFonts w:ascii="Times New Roman" w:hAnsi="Times New Roman" w:cs="Times New Roman"/>
        </w:rPr>
        <w:t>Adiw</w:t>
      </w:r>
      <w:r w:rsidRPr="00233EDE" w:rsidR="00552C84">
        <w:rPr>
          <w:rFonts w:ascii="Times New Roman" w:hAnsi="Times New Roman" w:cs="Times New Roman"/>
        </w:rPr>
        <w:t>i</w:t>
      </w:r>
      <w:r w:rsidRPr="00233EDE">
        <w:rPr>
          <w:rFonts w:ascii="Times New Roman" w:hAnsi="Times New Roman" w:cs="Times New Roman"/>
        </w:rPr>
        <w:t>yoto</w:t>
      </w:r>
      <w:proofErr w:type="spellEnd"/>
      <w:r w:rsidRPr="00233EDE">
        <w:rPr>
          <w:rFonts w:ascii="Times New Roman" w:hAnsi="Times New Roman" w:cs="Times New Roman"/>
        </w:rPr>
        <w:t xml:space="preserve"> </w:t>
      </w:r>
    </w:p>
    <w:p w:rsidRPr="00233EDE" w:rsidR="001007E4" w:rsidP="007E1BA4" w:rsidRDefault="001007E4" w14:paraId="24E1E44B" w14:textId="67226D46">
      <w:pPr>
        <w:ind w:left="180"/>
        <w:rPr>
          <w:rFonts w:ascii="Times New Roman" w:hAnsi="Times New Roman" w:cs="Times New Roman"/>
        </w:rPr>
      </w:pPr>
      <w:r w:rsidRPr="00233EDE">
        <w:rPr>
          <w:rFonts w:ascii="Times New Roman" w:hAnsi="Times New Roman" w:cs="Times New Roman"/>
        </w:rPr>
        <w:t>Senior Vice President</w:t>
      </w:r>
    </w:p>
    <w:p w:rsidRPr="00233EDE" w:rsidR="001007E4" w:rsidP="007E1BA4" w:rsidRDefault="001007E4" w14:paraId="2EC7107D" w14:textId="20B3FAB3">
      <w:pPr>
        <w:ind w:left="180"/>
        <w:rPr>
          <w:rFonts w:ascii="Times New Roman" w:hAnsi="Times New Roman" w:cs="Times New Roman"/>
        </w:rPr>
      </w:pPr>
      <w:r w:rsidRPr="00233EDE">
        <w:rPr>
          <w:rFonts w:ascii="Times New Roman" w:hAnsi="Times New Roman" w:cs="Times New Roman"/>
        </w:rPr>
        <w:t>FCB</w:t>
      </w:r>
    </w:p>
    <w:p w:rsidRPr="00233EDE" w:rsidR="00552C84" w:rsidP="007E1BA4" w:rsidRDefault="00552C84" w14:paraId="1363DB3F" w14:textId="48A69D9C">
      <w:pPr>
        <w:ind w:left="180"/>
        <w:rPr>
          <w:rFonts w:ascii="Times New Roman" w:hAnsi="Times New Roman" w:cs="Times New Roman"/>
        </w:rPr>
      </w:pPr>
      <w:r w:rsidRPr="00233EDE">
        <w:rPr>
          <w:rFonts w:ascii="Times New Roman" w:hAnsi="Times New Roman" w:cs="Times New Roman"/>
        </w:rPr>
        <w:t xml:space="preserve">111 W 33rd Street </w:t>
      </w:r>
    </w:p>
    <w:p w:rsidRPr="00233EDE" w:rsidR="001007E4" w:rsidP="007E1BA4" w:rsidRDefault="00552C84" w14:paraId="33A572BB" w14:textId="59A11307">
      <w:pPr>
        <w:ind w:left="180"/>
        <w:rPr>
          <w:rFonts w:ascii="Times New Roman" w:hAnsi="Times New Roman" w:cs="Times New Roman"/>
        </w:rPr>
      </w:pPr>
      <w:r w:rsidRPr="00233EDE">
        <w:rPr>
          <w:rFonts w:ascii="Times New Roman" w:hAnsi="Times New Roman" w:cs="Times New Roman"/>
        </w:rPr>
        <w:t>New York, NY 10120</w:t>
      </w:r>
    </w:p>
    <w:p w:rsidRPr="00233EDE" w:rsidR="001007E4" w:rsidP="001007E4" w:rsidRDefault="00552C84" w14:paraId="477C526A" w14:textId="3AF93FEA">
      <w:pPr>
        <w:ind w:left="180"/>
        <w:rPr>
          <w:rFonts w:ascii="Times New Roman" w:hAnsi="Times New Roman" w:cs="Times New Roman"/>
        </w:rPr>
      </w:pPr>
      <w:r w:rsidRPr="00233EDE">
        <w:rPr>
          <w:rFonts w:ascii="Times New Roman" w:hAnsi="Times New Roman" w:cs="Times New Roman"/>
        </w:rPr>
        <w:t>(</w:t>
      </w:r>
      <w:r w:rsidRPr="00233EDE" w:rsidR="001007E4">
        <w:rPr>
          <w:rFonts w:ascii="Times New Roman" w:hAnsi="Times New Roman" w:cs="Times New Roman"/>
        </w:rPr>
        <w:t>646) 504 8586</w:t>
      </w:r>
    </w:p>
    <w:bookmarkEnd w:id="16"/>
    <w:p w:rsidRPr="00233EDE" w:rsidR="00040679" w:rsidP="007E1BA4" w:rsidRDefault="00040679" w14:paraId="05DDF717" w14:textId="77777777">
      <w:pPr>
        <w:ind w:left="180"/>
        <w:rPr>
          <w:rFonts w:ascii="Times New Roman" w:hAnsi="Times New Roman" w:cs="Times New Roman"/>
        </w:rPr>
      </w:pPr>
    </w:p>
    <w:p w:rsidRPr="00233EDE" w:rsidR="00456F1C" w:rsidP="00456F1C" w:rsidRDefault="00456F1C" w14:paraId="60DDBEF1" w14:textId="77777777">
      <w:pPr>
        <w:ind w:left="180"/>
      </w:pPr>
    </w:p>
    <w:p w:rsidRPr="00233EDE" w:rsidR="00BE1FCB" w:rsidP="00BE1FCB" w:rsidRDefault="00BE1FCB" w14:paraId="567E24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0" w:id="17"/>
      <w:r w:rsidRPr="00233EDE">
        <w:rPr>
          <w:rFonts w:ascii="Times New Roman" w:hAnsi="Times New Roman" w:eastAsia="Times New Roman" w:cs="Times New Roman"/>
          <w:b/>
          <w:bCs/>
          <w:szCs w:val="24"/>
        </w:rPr>
        <w:t xml:space="preserve">9. </w:t>
      </w:r>
      <w:r w:rsidRPr="00233EDE">
        <w:rPr>
          <w:rFonts w:ascii="Times New Roman" w:hAnsi="Times New Roman" w:eastAsia="Times New Roman" w:cs="Times New Roman"/>
          <w:b/>
          <w:bCs/>
          <w:szCs w:val="24"/>
          <w:u w:val="single"/>
        </w:rPr>
        <w:t>Explanation of Any Payment or Gift to Respondents</w:t>
      </w:r>
      <w:bookmarkStart w:name="_Toc239649231" w:id="18"/>
      <w:bookmarkEnd w:id="17"/>
    </w:p>
    <w:p w:rsidRPr="00233EDE" w:rsidR="00BE1FCB" w:rsidP="00CE3249" w:rsidRDefault="00BE1FCB" w14:paraId="405DF652" w14:textId="77777777"/>
    <w:p w:rsidRPr="00233EDE" w:rsidR="002A443C" w:rsidP="002A443C" w:rsidRDefault="00257DA1" w14:paraId="31BBA4BD" w14:textId="67D4EAD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bookmarkStart w:name="_Hlk3981578" w:id="19"/>
      <w:r w:rsidRPr="00233EDE">
        <w:rPr>
          <w:rFonts w:ascii="Times New Roman" w:hAnsi="Times New Roman" w:eastAsia="Times New Roman" w:cs="Times New Roman"/>
          <w:bCs/>
          <w:szCs w:val="24"/>
        </w:rPr>
        <w:t xml:space="preserve">As a token of appreciation, participants recruited who complete and submit the survey will receive </w:t>
      </w:r>
      <w:bookmarkStart w:name="_Hlk55998010" w:id="20"/>
      <w:r w:rsidRPr="00233EDE">
        <w:rPr>
          <w:rFonts w:ascii="Times New Roman" w:hAnsi="Times New Roman" w:eastAsia="Times New Roman" w:cs="Times New Roman"/>
          <w:bCs/>
          <w:szCs w:val="24"/>
        </w:rPr>
        <w:t xml:space="preserve">a Visa gift </w:t>
      </w:r>
      <w:bookmarkEnd w:id="20"/>
      <w:r w:rsidRPr="00233EDE">
        <w:rPr>
          <w:rFonts w:ascii="Times New Roman" w:hAnsi="Times New Roman" w:eastAsia="Times New Roman" w:cs="Times New Roman"/>
          <w:bCs/>
          <w:szCs w:val="24"/>
        </w:rPr>
        <w:t xml:space="preserve">card worth </w:t>
      </w:r>
      <w:bookmarkStart w:name="_Hlk55997980" w:id="21"/>
      <w:r w:rsidRPr="00233EDE">
        <w:rPr>
          <w:rFonts w:ascii="Times New Roman" w:hAnsi="Times New Roman" w:eastAsia="Times New Roman" w:cs="Times New Roman"/>
          <w:bCs/>
          <w:iCs/>
          <w:szCs w:val="24"/>
        </w:rPr>
        <w:t>$</w:t>
      </w:r>
      <w:bookmarkEnd w:id="21"/>
      <w:r w:rsidRPr="00233EDE">
        <w:rPr>
          <w:rFonts w:ascii="Times New Roman" w:hAnsi="Times New Roman" w:eastAsia="Times New Roman" w:cs="Times New Roman"/>
          <w:bCs/>
          <w:iCs/>
          <w:szCs w:val="24"/>
        </w:rPr>
        <w:t>5</w:t>
      </w:r>
      <w:r w:rsidRPr="00233EDE">
        <w:rPr>
          <w:rFonts w:ascii="Times New Roman" w:hAnsi="Times New Roman" w:eastAsia="Times New Roman" w:cs="Times New Roman"/>
          <w:bCs/>
          <w:szCs w:val="24"/>
        </w:rPr>
        <w:t xml:space="preserve">. </w:t>
      </w:r>
      <w:bookmarkStart w:name="_Hlk45028191" w:id="22"/>
      <w:r w:rsidRPr="00233EDE">
        <w:rPr>
          <w:rFonts w:ascii="Times New Roman" w:hAnsi="Times New Roman" w:eastAsia="Times New Roman" w:cs="Times New Roman"/>
          <w:bCs/>
          <w:szCs w:val="24"/>
        </w:rPr>
        <w:t xml:space="preserve">Such tokens </w:t>
      </w:r>
      <w:r w:rsidRPr="00233EDE">
        <w:rPr>
          <w:rFonts w:ascii="Times New Roman" w:hAnsi="Times New Roman"/>
        </w:rPr>
        <w:t xml:space="preserve">are commonly used by research agencies to </w:t>
      </w:r>
      <w:r w:rsidRPr="00233EDE" w:rsidR="004F4AAC">
        <w:rPr>
          <w:rFonts w:ascii="Times New Roman" w:hAnsi="Times New Roman"/>
        </w:rPr>
        <w:t xml:space="preserve">recruit participants </w:t>
      </w:r>
      <w:r w:rsidRPr="00233EDE">
        <w:rPr>
          <w:rFonts w:ascii="Times New Roman" w:hAnsi="Times New Roman"/>
        </w:rPr>
        <w:t xml:space="preserve">efficiently and effectively; parents/guardians or individual members who choose to be a part of these online panels </w:t>
      </w:r>
      <w:r w:rsidRPr="00233EDE" w:rsidR="004D3374">
        <w:rPr>
          <w:rFonts w:ascii="Times New Roman" w:hAnsi="Times New Roman"/>
        </w:rPr>
        <w:t xml:space="preserve">as a thank you </w:t>
      </w:r>
      <w:r w:rsidRPr="00233EDE">
        <w:rPr>
          <w:rFonts w:ascii="Times New Roman" w:hAnsi="Times New Roman"/>
        </w:rPr>
        <w:t xml:space="preserve">for their time. </w:t>
      </w:r>
      <w:r w:rsidRPr="00233EDE">
        <w:rPr>
          <w:rFonts w:ascii="Times New Roman" w:hAnsi="Times New Roman" w:cs="Times New Roman"/>
          <w:szCs w:val="24"/>
        </w:rPr>
        <w:t>We estimate that the survey will take about 1</w:t>
      </w:r>
      <w:r w:rsidRPr="00233EDE" w:rsidR="00FB6B80">
        <w:rPr>
          <w:rFonts w:ascii="Times New Roman" w:hAnsi="Times New Roman" w:cs="Times New Roman"/>
          <w:szCs w:val="24"/>
        </w:rPr>
        <w:t>7</w:t>
      </w:r>
      <w:r w:rsidRPr="00233EDE">
        <w:rPr>
          <w:rFonts w:ascii="Times New Roman" w:hAnsi="Times New Roman" w:cs="Times New Roman"/>
          <w:szCs w:val="24"/>
        </w:rPr>
        <w:t xml:space="preserve"> minutes to complete</w:t>
      </w:r>
      <w:bookmarkEnd w:id="22"/>
      <w:r w:rsidRPr="00233EDE" w:rsidR="00FB6B80">
        <w:rPr>
          <w:rFonts w:ascii="Times New Roman" w:hAnsi="Times New Roman" w:cs="Times New Roman"/>
          <w:szCs w:val="24"/>
        </w:rPr>
        <w:t>, with the entire study taking 21 minutes</w:t>
      </w:r>
      <w:r w:rsidRPr="00233EDE" w:rsidR="007F358E">
        <w:rPr>
          <w:rFonts w:ascii="Times New Roman" w:hAnsi="Times New Roman" w:cs="Times New Roman"/>
          <w:szCs w:val="24"/>
        </w:rPr>
        <w:t xml:space="preserve"> (including the 2-minute screener and 2-minute assent process)</w:t>
      </w:r>
      <w:r w:rsidRPr="00233EDE">
        <w:rPr>
          <w:rFonts w:ascii="Times New Roman" w:hAnsi="Times New Roman" w:cs="Times New Roman"/>
          <w:szCs w:val="24"/>
        </w:rPr>
        <w:t>. Th</w:t>
      </w:r>
      <w:r w:rsidRPr="00233EDE" w:rsidR="00BA3B7D">
        <w:rPr>
          <w:rFonts w:ascii="Times New Roman" w:hAnsi="Times New Roman" w:cs="Times New Roman"/>
          <w:szCs w:val="24"/>
        </w:rPr>
        <w:t>e token of appreciation</w:t>
      </w:r>
      <w:r w:rsidRPr="00233EDE">
        <w:rPr>
          <w:rFonts w:ascii="Times New Roman" w:hAnsi="Times New Roman" w:cs="Times New Roman"/>
          <w:szCs w:val="24"/>
        </w:rPr>
        <w:t xml:space="preserve"> amount not only reflects the burden of time to participate, it will also ensure that the respondent pool is recruited within a tight timeframe</w:t>
      </w:r>
      <w:r w:rsidRPr="00233EDE" w:rsidR="002A443C">
        <w:rPr>
          <w:rFonts w:ascii="Times New Roman" w:hAnsi="Times New Roman" w:cs="Times New Roman"/>
          <w:szCs w:val="24"/>
        </w:rPr>
        <w:t xml:space="preserve">, </w:t>
      </w:r>
      <w:r w:rsidRPr="00233EDE" w:rsidR="002A443C">
        <w:rPr>
          <w:rFonts w:ascii="Times New Roman" w:hAnsi="Times New Roman"/>
          <w:bCs/>
          <w:szCs w:val="24"/>
        </w:rPr>
        <w:t>encourage participant cooperation, and convey appreciation for contributing to this study</w:t>
      </w:r>
      <w:r w:rsidRPr="00233EDE">
        <w:rPr>
          <w:rFonts w:ascii="Times New Roman" w:hAnsi="Times New Roman" w:cs="Times New Roman"/>
          <w:szCs w:val="24"/>
        </w:rPr>
        <w:t xml:space="preserve">. </w:t>
      </w:r>
      <w:bookmarkStart w:name="_Hlk55998224" w:id="23"/>
    </w:p>
    <w:p w:rsidRPr="00233EDE" w:rsidR="002A443C" w:rsidP="002A443C" w:rsidRDefault="002A443C" w14:paraId="06ABA81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p>
    <w:p w:rsidR="006C28D4" w:rsidP="006C28D4" w:rsidRDefault="006C28D4" w14:paraId="52F31091" w14:textId="5FB24A6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r w:rsidRPr="00233EDE">
        <w:rPr>
          <w:rFonts w:ascii="Times New Roman" w:hAnsi="Times New Roman"/>
          <w:bCs/>
          <w:szCs w:val="24"/>
        </w:rPr>
        <w:t xml:space="preserve">The use of a modest token is expected to enhance survey response rates without biasing responses. A smaller compensation amount would not appear sufficiently attractive to participants and result in slower recruitment. </w:t>
      </w:r>
      <w:r w:rsidRPr="006C28D4">
        <w:rPr>
          <w:rFonts w:ascii="Times New Roman" w:hAnsi="Times New Roman"/>
          <w:bCs/>
          <w:szCs w:val="24"/>
        </w:rPr>
        <w:t>Our pool of respondents in the target audience is limited to a subset of youth who are using or are susceptible to using tobacco products. Some products, such as cigarettes or cigar products, have low rates of use among youth, making users a potentially hard to reach population. The use of an incentive will help us recruit this population in a timely manner. At-risk youth, such as those who use tobacco products or who are susceptible to using tobacco, can be hard to reach for survey research, but the use of a token of appreciation can be an effective means of recruiting and retaining participants from these populations</w:t>
      </w:r>
    </w:p>
    <w:p w:rsidRPr="00233EDE" w:rsidR="004B4457" w:rsidP="006C28D4" w:rsidRDefault="004B4457" w14:paraId="7D06AE8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Cs w:val="24"/>
        </w:rPr>
      </w:pPr>
    </w:p>
    <w:p w:rsidRPr="00233EDE" w:rsidR="003D39B2" w:rsidP="003D39B2" w:rsidRDefault="004B4457" w14:paraId="45BAB50C"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r w:rsidRPr="00233EDE">
        <w:rPr>
          <w:rFonts w:ascii="Times New Roman" w:hAnsi="Times New Roman"/>
          <w:bCs/>
          <w:szCs w:val="24"/>
        </w:rPr>
        <w:t xml:space="preserve">Because some participants in this study may use tobacco, </w:t>
      </w:r>
      <w:r w:rsidRPr="00233EDE" w:rsidR="004D3374">
        <w:rPr>
          <w:rFonts w:ascii="Times New Roman" w:hAnsi="Times New Roman"/>
          <w:bCs/>
          <w:szCs w:val="24"/>
        </w:rPr>
        <w:t>it is expected</w:t>
      </w:r>
      <w:r w:rsidRPr="00233EDE">
        <w:rPr>
          <w:rFonts w:ascii="Times New Roman" w:hAnsi="Times New Roman"/>
          <w:bCs/>
          <w:szCs w:val="24"/>
        </w:rPr>
        <w:t xml:space="preserve"> that the token of appreciation will help us recruit and retain this at-risk population into our research, increasing the likelihood we will have a diverse sample </w:t>
      </w:r>
      <w:r w:rsidRPr="00233EDE">
        <w:rPr>
          <w:rFonts w:ascii="Times New Roman" w:hAnsi="Times New Roman" w:cs="Times New Roman"/>
          <w:szCs w:val="24"/>
        </w:rPr>
        <w:fldChar w:fldCharType="begin"/>
      </w:r>
      <w:r w:rsidRPr="00233EDE">
        <w:rPr>
          <w:rFonts w:ascii="Times New Roman" w:hAnsi="Times New Roman" w:cs="Times New Roman"/>
          <w:szCs w:val="24"/>
        </w:rPr>
        <w:instrText xml:space="preserve"> ADDIN ZOTERO_ITEM CSL_CITATION {"citationID":"7pgKJKN1","properties":{"formattedCitation":"(Booker et al., 2011; Caldwell et al., 2010; Martinson et al., 2000; Walter et al., 2013)","plainCitation":"(Booker et al., 2011; Caldwell et al., 2010; Martinson et al., 2000; Walter et al., 2013)","noteIndex":0},"citationItems":[{"id":883,"uris":["http://zotero.org/users/local/CWd9clrq/items/N2IC5SQJ"],"uri":["http://zotero.org/users/local/CWd9clrq/items/N2IC5SQJ"],"itemData":{"id":883,"type":"webpage","title":"A systematic review of the effect of retention methods in population-based cohort studies | BMC Public Health | Full Text","URL":"https://bmcpublichealth.biomedcentral.com/articles/10.1186/1471-2458-11-249","author":[{"family":"Booker","given":"CL"},{"family":"Harding","given":"S"},{"family":"Benzeval","given":"M"}],"accessed":{"date-parts":[["2021",3,16]]},"issued":{"date-parts":[["2011"]]}}},{"id":885,"uris":["http://zotero.org/users/local/CWd9clrq/items/D8HW9JXS"],"uri":["http://zotero.org/users/local/CWd9clrq/items/D8HW9JXS"],"itemData":{"id":885,"type":"webpage","title":"Strategies for Increasing Recruitment to Randomised Controlled Trials: Systematic Review","URL":"https://journals.plos.org/plosmedicine/article?id=10.1371/journal.pmed.1000368","author":[{"family":"Caldwell","given":"PH"},{"family":"Hamilton","given":"S"},{"family":"Tan","given":"A"},{"family":"Craig","given":"JC"}],"accessed":{"date-parts":[["2021",3,16]]},"issued":{"date-parts":[["2010"]]}}},{"id":896,"uris":["http://zotero.org/users/local/CWd9clrq/items/3XDSDP5T"],"uri":["http://zotero.org/users/local/CWd9clrq/items/3XDSDP5T"],"itemData":{"id":896,"type":"article-journal","abstract":"BACKGROUND: The study objective is to evaluate the effect of monetary incentives on response rates of adolescents to a smoking-related survey as the first step toward participation in an intervention trial.\nMETHODS: A sample of 4,200 adolescent members of a managed care organization were randomized to one of four incentive groups: a $2 cash group, a $15 cash group, a $200 prize drawing group, or a no-incentive group. We compared group-specific response rates and willingness to be contacted about future study activities, as well as costs.\nRESULTS: Incentives increased survey response rates (55% response without incentive vs. a 69% response with incentive), with response of 74% in the $15 cash group, 69% in the token group, and 63% with a prize incentive. Incentives did not adversely affect willingness of adolescents to be contacted about a smoking intervention, (65% willing with incentives vs. 60% without, P = 0.03). In terms of cost per additional survey completed, token and prize groups were marginally more expensive than the no-incentive group ($0.40 and $1.42, respectively) while the large cash incentive was substantially more costly ($11.37).\nCONCLUSIONS: Monetary incentives improve response rates to a mailed survey, without adverse impact on willingness to further participate in intervention activities. However, a variety of issues must be considered when using incentives for recruitment to intervention studies.","container-title":"Preventive Medicine","DOI":"10.1006/pmed.2000.0762","ISSN":"0091-7435","issue":"6","journalAbbreviation":"Prev Med","language":"eng","note":"PMID: 11133338","page":"706-713","source":"PubMed","title":"Effectiveness of monetary incentives for recruiting adolescents to an intervention trial to reduce smoking","volume":"31","author":[{"family":"Martinson","given":"B. C."},{"family":"Lazovich","given":"D."},{"family":"Lando","given":"H. A."},{"family":"Perry","given":"C. L."},{"family":"McGovern","given":"P. G."},{"family":"Boyle","given":"R. G."}],"issued":{"date-parts":[["2000",12]]}}},{"id":913,"uris":["http://zotero.org/users/local/CWd9clrq/items/8IRBT3GG"],"uri":["http://zotero.org/users/local/CWd9clrq/items/8IRBT3GG"],"itemData":{"id":913,"type":"article-journal","abstract":"Minorities are underenrolled in clinical research trials, and one‐third of trials are underenrolled overall. The role of payment has not been studied at the national level as an explanation for enrollment patterns. Our objective was to examine the distribution of self‐reported previous research participation across different sociodemographic groups; to assess the public's perception of fair payment for a low‐risk medicine trial and the association between requested payment and sociodemographic characteristics; to estimate the amount of payment for a medication trial to achieve proportional representation of minorities and different socioeconomic groups. This was a cross‐sectional study with nationally representative data collected in 2011 by the C.S. Mott Children's Hospital National Poll on Children's Health. To determine the relationship between perceived fair payment and individual‐level characteristics, we used multivariable linear regression., With 60% participation rate, in a sample of 2,150 respondents 11% (n = 221) of the sample had previously participated in medical research. Requested payment differed significantly by racial/ethnic group with Hispanics requesting more payment than non‐Hispanic whites (0.37 [95%CI 0.02, 0.72]) In contrast to payment at $49, $149, and $249, payment at $349 yielded proportional representation of racial/ethnic minority groups., Hispanics requested higher payment for research participation, suggesting a possible explanation for their underenrollment.","container-title":"Clinical and Translational Science","DOI":"10.1111/cts.12084","ISSN":"1752-8054","issue":"5","journalAbbreviation":"Clin Transl Sci","note":"PMID: 24127923\nPMCID: PMC5350891","page":"363-371","source":"PubMed Central","title":"Research Participation by Low‐Income and Racial/Ethnic Minority Groups: How Payment May Change the Balance","title-short":"Research Participation by Low‐Income and Racial/Ethnic Minority Groups","volume":"6","author":[{"family":"Walter","given":"Jennifer K."},{"family":"Burke","given":"James F."},{"family":"Davis","given":"Matthew M."}],"issued":{"date-parts":[["2013",10]]}}}],"schema":"https://github.com/citation-style-language/schema/raw/master/csl-citation.json"} </w:instrText>
      </w:r>
      <w:r w:rsidRPr="00233EDE">
        <w:rPr>
          <w:rFonts w:ascii="Times New Roman" w:hAnsi="Times New Roman" w:cs="Times New Roman"/>
          <w:szCs w:val="24"/>
        </w:rPr>
        <w:fldChar w:fldCharType="separate"/>
      </w:r>
      <w:r w:rsidRPr="00233EDE">
        <w:rPr>
          <w:rFonts w:ascii="Times New Roman" w:hAnsi="Times New Roman" w:cs="Times New Roman"/>
        </w:rPr>
        <w:t>(Booker et al., 2011; Caldwell et al., 2010)</w:t>
      </w:r>
      <w:r w:rsidRPr="00233EDE">
        <w:rPr>
          <w:rFonts w:ascii="Times New Roman" w:hAnsi="Times New Roman" w:cs="Times New Roman"/>
          <w:szCs w:val="24"/>
        </w:rPr>
        <w:fldChar w:fldCharType="end"/>
      </w:r>
      <w:r w:rsidRPr="00233EDE">
        <w:rPr>
          <w:rFonts w:ascii="Times New Roman" w:hAnsi="Times New Roman" w:cs="Times New Roman"/>
          <w:szCs w:val="24"/>
        </w:rPr>
        <w:t>.</w:t>
      </w:r>
    </w:p>
    <w:p w:rsidRPr="00233EDE" w:rsidR="003D39B2" w:rsidP="003D39B2" w:rsidRDefault="003D39B2" w14:paraId="4026CB7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p>
    <w:p w:rsidRPr="00233EDE" w:rsidR="003D39B2" w:rsidP="003D39B2" w:rsidRDefault="004D3374" w14:paraId="6E5ADCA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r w:rsidRPr="00233EDE">
        <w:rPr>
          <w:rFonts w:ascii="Times New Roman" w:hAnsi="Times New Roman" w:cs="Times New Roman"/>
          <w:szCs w:val="24"/>
        </w:rPr>
        <w:t>Having</w:t>
      </w:r>
      <w:r w:rsidRPr="00233EDE" w:rsidR="00257DA1">
        <w:rPr>
          <w:rFonts w:ascii="Times New Roman" w:hAnsi="Times New Roman" w:cs="Times New Roman"/>
          <w:szCs w:val="24"/>
        </w:rPr>
        <w:t xml:space="preserve"> </w:t>
      </w:r>
      <w:r w:rsidRPr="00233EDE">
        <w:rPr>
          <w:rFonts w:ascii="Times New Roman" w:hAnsi="Times New Roman" w:cs="Times New Roman"/>
          <w:szCs w:val="24"/>
        </w:rPr>
        <w:t>a</w:t>
      </w:r>
      <w:r w:rsidRPr="00233EDE" w:rsidR="00257DA1">
        <w:rPr>
          <w:rFonts w:ascii="Times New Roman" w:hAnsi="Times New Roman" w:cs="Times New Roman"/>
          <w:szCs w:val="24"/>
        </w:rPr>
        <w:t xml:space="preserve"> token of appreciation as a $5 </w:t>
      </w:r>
      <w:r w:rsidRPr="00233EDE" w:rsidR="00747144">
        <w:rPr>
          <w:rFonts w:ascii="Times New Roman" w:hAnsi="Times New Roman" w:cs="Times New Roman"/>
          <w:szCs w:val="24"/>
        </w:rPr>
        <w:t xml:space="preserve">Visa </w:t>
      </w:r>
      <w:r w:rsidRPr="00233EDE" w:rsidR="00257DA1">
        <w:rPr>
          <w:rFonts w:ascii="Times New Roman" w:hAnsi="Times New Roman" w:cs="Times New Roman"/>
          <w:szCs w:val="24"/>
        </w:rPr>
        <w:t xml:space="preserve">gift card ensures that all participants are </w:t>
      </w:r>
      <w:r w:rsidRPr="00233EDE" w:rsidR="00747144">
        <w:rPr>
          <w:rFonts w:ascii="Times New Roman" w:hAnsi="Times New Roman" w:cs="Times New Roman"/>
          <w:szCs w:val="24"/>
        </w:rPr>
        <w:t>treated</w:t>
      </w:r>
      <w:r w:rsidRPr="00233EDE" w:rsidR="00257DA1">
        <w:rPr>
          <w:rFonts w:ascii="Times New Roman" w:hAnsi="Times New Roman" w:cs="Times New Roman"/>
          <w:szCs w:val="24"/>
        </w:rPr>
        <w:t xml:space="preserve"> equally, which reflects our human subjects’ commitment to equity in research participation</w:t>
      </w:r>
      <w:r w:rsidRPr="00233EDE" w:rsidR="004B4457">
        <w:rPr>
          <w:rFonts w:ascii="Times New Roman" w:hAnsi="Times New Roman" w:cs="Times New Roman"/>
          <w:szCs w:val="24"/>
        </w:rPr>
        <w:t xml:space="preserve"> and a fair distribution of burden and benefit across participants</w:t>
      </w:r>
      <w:r w:rsidRPr="00233EDE" w:rsidR="00257DA1">
        <w:rPr>
          <w:rFonts w:ascii="Times New Roman" w:hAnsi="Times New Roman" w:cs="Times New Roman"/>
          <w:szCs w:val="24"/>
        </w:rPr>
        <w:t xml:space="preserve">. </w:t>
      </w:r>
      <w:bookmarkEnd w:id="19"/>
      <w:bookmarkEnd w:id="23"/>
    </w:p>
    <w:p w:rsidRPr="00233EDE" w:rsidR="003D39B2" w:rsidP="003D39B2" w:rsidRDefault="003D39B2" w14:paraId="1006308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p>
    <w:p w:rsidRPr="00233EDE" w:rsidR="00BA3B7D" w:rsidP="003D39B2" w:rsidRDefault="004D3374" w14:paraId="626EEA8E" w14:textId="2ED0818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Cs w:val="24"/>
        </w:rPr>
      </w:pPr>
      <w:r w:rsidRPr="00233EDE">
        <w:rPr>
          <w:rFonts w:ascii="Times New Roman" w:hAnsi="Times New Roman" w:cs="Times New Roman"/>
          <w:szCs w:val="24"/>
        </w:rPr>
        <w:t xml:space="preserve">Inclusion of a </w:t>
      </w:r>
      <w:r w:rsidRPr="00233EDE" w:rsidR="00747144">
        <w:rPr>
          <w:rFonts w:ascii="Times New Roman" w:hAnsi="Times New Roman" w:cs="Times New Roman"/>
          <w:szCs w:val="24"/>
        </w:rPr>
        <w:t xml:space="preserve">modest </w:t>
      </w:r>
      <w:r w:rsidRPr="00233EDE" w:rsidR="001320D2">
        <w:rPr>
          <w:rFonts w:ascii="Times New Roman" w:hAnsi="Times New Roman" w:cs="Times New Roman"/>
          <w:szCs w:val="24"/>
        </w:rPr>
        <w:t xml:space="preserve">token of appreciation </w:t>
      </w:r>
      <w:r w:rsidRPr="00233EDE">
        <w:rPr>
          <w:rFonts w:ascii="Times New Roman" w:hAnsi="Times New Roman" w:cs="Times New Roman"/>
          <w:szCs w:val="24"/>
        </w:rPr>
        <w:t xml:space="preserve">have </w:t>
      </w:r>
      <w:r w:rsidRPr="00233EDE" w:rsidR="001320D2">
        <w:rPr>
          <w:rFonts w:ascii="Times New Roman" w:hAnsi="Times New Roman" w:cs="Times New Roman"/>
          <w:szCs w:val="24"/>
        </w:rPr>
        <w:t xml:space="preserve">resulted in studies that had full recruitment, </w:t>
      </w:r>
      <w:r w:rsidRPr="00233EDE" w:rsidR="00257DA1">
        <w:rPr>
          <w:rFonts w:ascii="Times New Roman" w:hAnsi="Times New Roman" w:cs="Times New Roman"/>
          <w:szCs w:val="24"/>
        </w:rPr>
        <w:t>diverse sample</w:t>
      </w:r>
      <w:r w:rsidRPr="00233EDE" w:rsidR="001320D2">
        <w:rPr>
          <w:rFonts w:ascii="Times New Roman" w:hAnsi="Times New Roman" w:cs="Times New Roman"/>
          <w:szCs w:val="24"/>
        </w:rPr>
        <w:t>s,</w:t>
      </w:r>
      <w:r w:rsidRPr="00233EDE" w:rsidR="00257DA1">
        <w:rPr>
          <w:rFonts w:ascii="Times New Roman" w:hAnsi="Times New Roman" w:cs="Times New Roman"/>
          <w:szCs w:val="24"/>
        </w:rPr>
        <w:t xml:space="preserve"> and timely data collection. </w:t>
      </w:r>
      <w:r w:rsidRPr="00233EDE" w:rsidR="00BA3B7D">
        <w:rPr>
          <w:rFonts w:ascii="Times New Roman" w:hAnsi="Times New Roman" w:cs="Times New Roman"/>
          <w:szCs w:val="24"/>
        </w:rPr>
        <w:t>For example:</w:t>
      </w:r>
    </w:p>
    <w:p w:rsidRPr="00233EDE" w:rsidR="00F5795E" w:rsidP="00BA3B7D" w:rsidRDefault="00F5795E" w14:paraId="7DFA9046" w14:textId="7B7C97FA">
      <w:pPr>
        <w:pStyle w:val="ListParagraph"/>
        <w:numPr>
          <w:ilvl w:val="0"/>
          <w:numId w:val="26"/>
        </w:numPr>
        <w:autoSpaceDE w:val="0"/>
        <w:autoSpaceDN w:val="0"/>
        <w:spacing w:after="240"/>
        <w:rPr>
          <w:rFonts w:ascii="Times New Roman" w:hAnsi="Times New Roman" w:cs="Times New Roman"/>
          <w:szCs w:val="24"/>
        </w:rPr>
      </w:pPr>
      <w:r w:rsidRPr="00233EDE">
        <w:rPr>
          <w:rFonts w:ascii="Times New Roman" w:hAnsi="Times New Roman" w:cs="Times New Roman"/>
          <w:szCs w:val="24"/>
        </w:rPr>
        <w:t>The Media Tracking study (OMB Control Number 0910-0810) was approved in 2021 with a $5 token of appreciation.</w:t>
      </w:r>
    </w:p>
    <w:p w:rsidRPr="00233EDE" w:rsidR="00257DA1" w:rsidP="00BA3B7D" w:rsidRDefault="00074B81" w14:paraId="62D72286" w14:textId="7479C153">
      <w:pPr>
        <w:pStyle w:val="ListParagraph"/>
        <w:numPr>
          <w:ilvl w:val="0"/>
          <w:numId w:val="26"/>
        </w:numPr>
        <w:autoSpaceDE w:val="0"/>
        <w:autoSpaceDN w:val="0"/>
        <w:spacing w:after="240"/>
        <w:rPr>
          <w:rFonts w:ascii="Times New Roman" w:hAnsi="Times New Roman" w:cs="Times New Roman"/>
          <w:szCs w:val="24"/>
        </w:rPr>
      </w:pPr>
      <w:r w:rsidRPr="00233EDE">
        <w:rPr>
          <w:rFonts w:ascii="Times New Roman" w:hAnsi="Times New Roman" w:cs="Times New Roman"/>
          <w:szCs w:val="24"/>
        </w:rPr>
        <w:t xml:space="preserve">The CTP Monthly </w:t>
      </w:r>
      <w:r w:rsidRPr="00233EDE" w:rsidR="00E2714E">
        <w:rPr>
          <w:rFonts w:ascii="Times New Roman" w:hAnsi="Times New Roman" w:cs="Times New Roman"/>
          <w:szCs w:val="24"/>
        </w:rPr>
        <w:t>Monitoring</w:t>
      </w:r>
      <w:r w:rsidRPr="00233EDE">
        <w:rPr>
          <w:rFonts w:ascii="Times New Roman" w:hAnsi="Times New Roman" w:cs="Times New Roman"/>
          <w:szCs w:val="24"/>
        </w:rPr>
        <w:t xml:space="preserve"> Study (OMB </w:t>
      </w:r>
      <w:r w:rsidRPr="00233EDE" w:rsidR="00747144">
        <w:rPr>
          <w:rFonts w:ascii="Times New Roman" w:hAnsi="Times New Roman" w:cs="Times New Roman"/>
          <w:szCs w:val="24"/>
        </w:rPr>
        <w:t>C</w:t>
      </w:r>
      <w:r w:rsidRPr="00233EDE">
        <w:rPr>
          <w:rFonts w:ascii="Times New Roman" w:hAnsi="Times New Roman" w:cs="Times New Roman"/>
          <w:szCs w:val="24"/>
        </w:rPr>
        <w:t xml:space="preserve">ontrol </w:t>
      </w:r>
      <w:r w:rsidRPr="00233EDE" w:rsidR="00747144">
        <w:rPr>
          <w:rFonts w:ascii="Times New Roman" w:hAnsi="Times New Roman" w:cs="Times New Roman"/>
          <w:szCs w:val="24"/>
        </w:rPr>
        <w:t>N</w:t>
      </w:r>
      <w:r w:rsidRPr="00233EDE">
        <w:rPr>
          <w:rFonts w:ascii="Times New Roman" w:hAnsi="Times New Roman" w:cs="Times New Roman"/>
          <w:szCs w:val="24"/>
        </w:rPr>
        <w:t xml:space="preserve">umber 0910-0810) was approved with a $5 </w:t>
      </w:r>
      <w:r w:rsidRPr="00233EDE" w:rsidR="00E2714E">
        <w:rPr>
          <w:rFonts w:ascii="Times New Roman" w:hAnsi="Times New Roman" w:cs="Times New Roman"/>
          <w:szCs w:val="24"/>
        </w:rPr>
        <w:t>token of appreciation</w:t>
      </w:r>
      <w:r w:rsidRPr="00233EDE">
        <w:rPr>
          <w:rFonts w:ascii="Times New Roman" w:hAnsi="Times New Roman" w:cs="Times New Roman"/>
          <w:szCs w:val="24"/>
        </w:rPr>
        <w:t xml:space="preserve"> </w:t>
      </w:r>
      <w:r w:rsidRPr="00233EDE" w:rsidR="00E2714E">
        <w:rPr>
          <w:rFonts w:ascii="Times New Roman" w:hAnsi="Times New Roman" w:cs="Times New Roman"/>
          <w:szCs w:val="24"/>
        </w:rPr>
        <w:t>for a survey of similar length and</w:t>
      </w:r>
      <w:r w:rsidRPr="00233EDE" w:rsidR="00257DA1">
        <w:rPr>
          <w:rFonts w:ascii="Times New Roman" w:hAnsi="Times New Roman" w:cs="Times New Roman"/>
          <w:szCs w:val="24"/>
        </w:rPr>
        <w:t xml:space="preserve"> with </w:t>
      </w:r>
      <w:r w:rsidRPr="00233EDE" w:rsidR="001320D2">
        <w:rPr>
          <w:rFonts w:ascii="Times New Roman" w:hAnsi="Times New Roman" w:cs="Times New Roman"/>
          <w:szCs w:val="24"/>
        </w:rPr>
        <w:t xml:space="preserve">a </w:t>
      </w:r>
      <w:r w:rsidRPr="00233EDE" w:rsidR="00257DA1">
        <w:rPr>
          <w:rFonts w:ascii="Times New Roman" w:hAnsi="Times New Roman" w:cs="Times New Roman"/>
          <w:szCs w:val="24"/>
        </w:rPr>
        <w:t>similar target population</w:t>
      </w:r>
      <w:r w:rsidRPr="00233EDE" w:rsidR="00E2714E">
        <w:rPr>
          <w:rFonts w:ascii="Times New Roman" w:hAnsi="Times New Roman" w:cs="Times New Roman"/>
          <w:szCs w:val="24"/>
        </w:rPr>
        <w:t>.</w:t>
      </w:r>
    </w:p>
    <w:p w:rsidRPr="00233EDE" w:rsidR="00E2714E" w:rsidP="00E2714E" w:rsidRDefault="00E2714E" w14:paraId="41C94F32" w14:textId="130A6459">
      <w:pPr>
        <w:pStyle w:val="ListParagraph"/>
        <w:numPr>
          <w:ilvl w:val="0"/>
          <w:numId w:val="26"/>
        </w:numPr>
        <w:autoSpaceDE w:val="0"/>
        <w:autoSpaceDN w:val="0"/>
        <w:spacing w:after="240"/>
        <w:rPr>
          <w:rFonts w:ascii="Times New Roman" w:hAnsi="Times New Roman" w:cs="Times New Roman"/>
          <w:szCs w:val="24"/>
        </w:rPr>
      </w:pPr>
      <w:r w:rsidRPr="00233EDE">
        <w:rPr>
          <w:rFonts w:ascii="Times New Roman" w:hAnsi="Times New Roman" w:cs="Times New Roman"/>
          <w:szCs w:val="24"/>
        </w:rPr>
        <w:lastRenderedPageBreak/>
        <w:t xml:space="preserve">The CTP </w:t>
      </w:r>
      <w:r w:rsidRPr="00233EDE">
        <w:rPr>
          <w:rFonts w:ascii="Times New Roman" w:hAnsi="Times New Roman" w:eastAsia="Times New Roman" w:cs="Times New Roman"/>
          <w:szCs w:val="24"/>
        </w:rPr>
        <w:t>Quantitative Study of Tobacco Facts Designed to Inform Youth Tobacco Prevention Messaging</w:t>
      </w:r>
      <w:r w:rsidRPr="00233EDE">
        <w:rPr>
          <w:rFonts w:ascii="Times New Roman" w:hAnsi="Times New Roman" w:eastAsia="Times New Roman" w:cs="Times New Roman"/>
          <w:b/>
          <w:szCs w:val="24"/>
        </w:rPr>
        <w:t xml:space="preserve"> </w:t>
      </w:r>
      <w:r w:rsidRPr="00233EDE">
        <w:rPr>
          <w:rFonts w:ascii="Times New Roman" w:hAnsi="Times New Roman" w:cs="Times New Roman"/>
          <w:szCs w:val="24"/>
        </w:rPr>
        <w:t xml:space="preserve">(OMB </w:t>
      </w:r>
      <w:r w:rsidRPr="00233EDE" w:rsidR="0052736F">
        <w:rPr>
          <w:rFonts w:ascii="Times New Roman" w:hAnsi="Times New Roman" w:cs="Times New Roman"/>
          <w:szCs w:val="24"/>
        </w:rPr>
        <w:t>C</w:t>
      </w:r>
      <w:r w:rsidRPr="00233EDE">
        <w:rPr>
          <w:rFonts w:ascii="Times New Roman" w:hAnsi="Times New Roman" w:cs="Times New Roman"/>
          <w:szCs w:val="24"/>
        </w:rPr>
        <w:t xml:space="preserve">ontrol </w:t>
      </w:r>
      <w:r w:rsidRPr="00233EDE" w:rsidR="0052736F">
        <w:rPr>
          <w:rFonts w:ascii="Times New Roman" w:hAnsi="Times New Roman" w:cs="Times New Roman"/>
          <w:szCs w:val="24"/>
        </w:rPr>
        <w:t>N</w:t>
      </w:r>
      <w:r w:rsidRPr="00233EDE">
        <w:rPr>
          <w:rFonts w:ascii="Times New Roman" w:hAnsi="Times New Roman" w:cs="Times New Roman"/>
          <w:szCs w:val="24"/>
        </w:rPr>
        <w:t>umber 0910-0810) was approved with a $10 token of appreciation for a 20-minute survey with a similar target population.</w:t>
      </w:r>
    </w:p>
    <w:p w:rsidRPr="00233EDE" w:rsidR="001320D2" w:rsidP="00E2714E" w:rsidRDefault="00E2714E" w14:paraId="050D3CCF" w14:textId="0F159BCB">
      <w:pPr>
        <w:pStyle w:val="ListParagraph"/>
        <w:numPr>
          <w:ilvl w:val="0"/>
          <w:numId w:val="26"/>
        </w:numPr>
        <w:autoSpaceDE w:val="0"/>
        <w:autoSpaceDN w:val="0"/>
        <w:spacing w:after="240"/>
        <w:rPr>
          <w:rFonts w:ascii="Times New Roman" w:hAnsi="Times New Roman" w:cs="Times New Roman"/>
          <w:szCs w:val="24"/>
        </w:rPr>
      </w:pPr>
      <w:r w:rsidRPr="00233EDE">
        <w:rPr>
          <w:rFonts w:ascii="Times New Roman" w:hAnsi="Times New Roman" w:cs="Times New Roman"/>
          <w:szCs w:val="24"/>
        </w:rPr>
        <w:t xml:space="preserve">The CTP </w:t>
      </w:r>
      <w:r w:rsidRPr="00233EDE">
        <w:rPr>
          <w:rFonts w:ascii="Times New Roman" w:hAnsi="Times New Roman"/>
          <w:szCs w:val="24"/>
        </w:rPr>
        <w:t>Quantitative Study of Tobacco Facts Designed to Inform Youth Tobacco Prevention Messaging</w:t>
      </w:r>
      <w:r w:rsidRPr="00233EDE">
        <w:rPr>
          <w:rFonts w:ascii="Times New Roman" w:hAnsi="Times New Roman" w:cs="Times New Roman"/>
          <w:szCs w:val="24"/>
        </w:rPr>
        <w:t xml:space="preserve"> </w:t>
      </w:r>
      <w:r w:rsidRPr="00233EDE" w:rsidR="001320D2">
        <w:rPr>
          <w:rFonts w:ascii="Times New Roman" w:hAnsi="Times New Roman" w:cs="Times New Roman"/>
          <w:szCs w:val="24"/>
        </w:rPr>
        <w:t>conduct</w:t>
      </w:r>
      <w:r w:rsidRPr="00233EDE" w:rsidR="00BF372C">
        <w:rPr>
          <w:rFonts w:ascii="Times New Roman" w:hAnsi="Times New Roman" w:cs="Times New Roman"/>
          <w:szCs w:val="24"/>
        </w:rPr>
        <w:t>ed</w:t>
      </w:r>
      <w:r w:rsidRPr="00233EDE" w:rsidR="001320D2">
        <w:rPr>
          <w:rFonts w:ascii="Times New Roman" w:hAnsi="Times New Roman" w:cs="Times New Roman"/>
          <w:szCs w:val="24"/>
        </w:rPr>
        <w:t xml:space="preserve"> in Spri</w:t>
      </w:r>
      <w:r w:rsidRPr="00233EDE" w:rsidR="00BA3B7D">
        <w:rPr>
          <w:rFonts w:ascii="Times New Roman" w:hAnsi="Times New Roman" w:cs="Times New Roman"/>
          <w:szCs w:val="24"/>
        </w:rPr>
        <w:t xml:space="preserve">ng 2020 </w:t>
      </w:r>
      <w:r w:rsidRPr="00233EDE" w:rsidR="001320D2">
        <w:rPr>
          <w:rFonts w:ascii="Times New Roman" w:hAnsi="Times New Roman" w:cs="Times New Roman"/>
          <w:szCs w:val="24"/>
        </w:rPr>
        <w:t xml:space="preserve">for new FDA ads (OMB </w:t>
      </w:r>
      <w:r w:rsidRPr="00233EDE" w:rsidR="0052736F">
        <w:rPr>
          <w:rFonts w:ascii="Times New Roman" w:hAnsi="Times New Roman" w:cs="Times New Roman"/>
          <w:szCs w:val="24"/>
        </w:rPr>
        <w:t>C</w:t>
      </w:r>
      <w:r w:rsidRPr="00233EDE" w:rsidR="001320D2">
        <w:rPr>
          <w:rFonts w:ascii="Times New Roman" w:hAnsi="Times New Roman" w:cs="Times New Roman"/>
          <w:szCs w:val="24"/>
        </w:rPr>
        <w:t xml:space="preserve">ontrol </w:t>
      </w:r>
      <w:r w:rsidRPr="00233EDE" w:rsidR="0052736F">
        <w:rPr>
          <w:rFonts w:ascii="Times New Roman" w:hAnsi="Times New Roman" w:cs="Times New Roman"/>
          <w:szCs w:val="24"/>
        </w:rPr>
        <w:t>N</w:t>
      </w:r>
      <w:r w:rsidRPr="00233EDE" w:rsidR="001320D2">
        <w:rPr>
          <w:rFonts w:ascii="Times New Roman" w:hAnsi="Times New Roman" w:cs="Times New Roman"/>
          <w:szCs w:val="24"/>
        </w:rPr>
        <w:t xml:space="preserve">umber </w:t>
      </w:r>
      <w:r w:rsidRPr="00233EDE">
        <w:rPr>
          <w:rFonts w:ascii="Times New Roman" w:hAnsi="Times New Roman" w:cs="Times New Roman"/>
          <w:szCs w:val="24"/>
        </w:rPr>
        <w:t>0910-0810)</w:t>
      </w:r>
      <w:r w:rsidRPr="00233EDE" w:rsidR="00246417">
        <w:rPr>
          <w:rFonts w:ascii="Times New Roman" w:hAnsi="Times New Roman" w:cs="Times New Roman"/>
          <w:szCs w:val="24"/>
        </w:rPr>
        <w:t xml:space="preserve"> </w:t>
      </w:r>
      <w:r w:rsidRPr="00233EDE">
        <w:rPr>
          <w:rFonts w:ascii="Times New Roman" w:hAnsi="Times New Roman" w:cs="Times New Roman"/>
          <w:szCs w:val="24"/>
        </w:rPr>
        <w:t>was approved with a $10 token of appreciation for a 20-minute survey with a similar target population.</w:t>
      </w:r>
      <w:r w:rsidRPr="00233EDE" w:rsidR="001320D2">
        <w:rPr>
          <w:rFonts w:ascii="Times New Roman" w:hAnsi="Times New Roman" w:cs="Times New Roman"/>
          <w:szCs w:val="24"/>
        </w:rPr>
        <w:t xml:space="preserve"> The study was fully recruited and complete</w:t>
      </w:r>
      <w:r w:rsidRPr="00233EDE" w:rsidR="00B36228">
        <w:rPr>
          <w:rFonts w:ascii="Times New Roman" w:hAnsi="Times New Roman" w:cs="Times New Roman"/>
          <w:szCs w:val="24"/>
        </w:rPr>
        <w:t>d</w:t>
      </w:r>
      <w:r w:rsidRPr="00233EDE" w:rsidR="001320D2">
        <w:rPr>
          <w:rFonts w:ascii="Times New Roman" w:hAnsi="Times New Roman" w:cs="Times New Roman"/>
          <w:szCs w:val="24"/>
        </w:rPr>
        <w:t xml:space="preserve"> on time. </w:t>
      </w:r>
    </w:p>
    <w:p w:rsidRPr="00233EDE" w:rsidR="00BA3B7D" w:rsidP="004D5C89" w:rsidRDefault="001320D2" w14:paraId="15529547" w14:textId="0ED8C64C">
      <w:pPr>
        <w:autoSpaceDE w:val="0"/>
        <w:autoSpaceDN w:val="0"/>
        <w:spacing w:after="240"/>
        <w:ind w:left="180"/>
        <w:rPr>
          <w:rFonts w:ascii="Times New Roman" w:hAnsi="Times New Roman" w:cs="Times New Roman"/>
          <w:szCs w:val="24"/>
        </w:rPr>
      </w:pPr>
      <w:r w:rsidRPr="00233EDE">
        <w:rPr>
          <w:rFonts w:ascii="Times New Roman" w:hAnsi="Times New Roman" w:cs="Times New Roman"/>
          <w:szCs w:val="24"/>
        </w:rPr>
        <w:t xml:space="preserve">Overall, tokens of appreciation are important for both data quality and project management. An empirical test of the power of tokens of appreciations found that </w:t>
      </w:r>
      <w:r w:rsidRPr="00233EDE" w:rsidR="00BA3B7D">
        <w:rPr>
          <w:rFonts w:ascii="Times New Roman" w:hAnsi="Times New Roman" w:cs="Times New Roman"/>
          <w:szCs w:val="24"/>
        </w:rPr>
        <w:t>cash incentive</w:t>
      </w:r>
      <w:r w:rsidRPr="00233EDE" w:rsidR="00747144">
        <w:rPr>
          <w:rFonts w:ascii="Times New Roman" w:hAnsi="Times New Roman" w:cs="Times New Roman"/>
          <w:szCs w:val="24"/>
        </w:rPr>
        <w:t>s</w:t>
      </w:r>
      <w:r w:rsidRPr="00233EDE" w:rsidR="00BA3B7D">
        <w:rPr>
          <w:rFonts w:ascii="Times New Roman" w:hAnsi="Times New Roman" w:cs="Times New Roman"/>
          <w:szCs w:val="24"/>
        </w:rPr>
        <w:t xml:space="preserve"> increased response rates by 30% and </w:t>
      </w:r>
      <w:r w:rsidRPr="00233EDE" w:rsidR="00AD351E">
        <w:rPr>
          <w:rFonts w:ascii="Times New Roman" w:hAnsi="Times New Roman" w:cs="Times New Roman"/>
          <w:szCs w:val="24"/>
        </w:rPr>
        <w:t>providing</w:t>
      </w:r>
      <w:r w:rsidRPr="00233EDE" w:rsidR="00BA3B7D">
        <w:rPr>
          <w:rFonts w:ascii="Times New Roman" w:hAnsi="Times New Roman" w:cs="Times New Roman"/>
          <w:szCs w:val="24"/>
        </w:rPr>
        <w:t xml:space="preserve"> the </w:t>
      </w:r>
      <w:r w:rsidRPr="00233EDE" w:rsidR="00747144">
        <w:rPr>
          <w:rFonts w:ascii="Times New Roman" w:hAnsi="Times New Roman" w:cs="Times New Roman"/>
          <w:szCs w:val="24"/>
        </w:rPr>
        <w:t>incentive</w:t>
      </w:r>
      <w:r w:rsidRPr="00233EDE" w:rsidR="00BA3B7D">
        <w:rPr>
          <w:rFonts w:ascii="Times New Roman" w:hAnsi="Times New Roman" w:cs="Times New Roman"/>
          <w:szCs w:val="24"/>
        </w:rPr>
        <w:t xml:space="preserve"> up front increased response rates by 50%</w:t>
      </w:r>
      <w:r w:rsidRPr="00233EDE" w:rsidR="008404A0">
        <w:rPr>
          <w:rFonts w:ascii="Times New Roman" w:hAnsi="Times New Roman" w:cs="Times New Roman"/>
          <w:szCs w:val="24"/>
        </w:rPr>
        <w:t xml:space="preserve"> (Young et al., 2015)</w:t>
      </w:r>
      <w:r w:rsidRPr="00233EDE" w:rsidR="00BA3B7D">
        <w:rPr>
          <w:rFonts w:ascii="Times New Roman" w:hAnsi="Times New Roman" w:cs="Times New Roman"/>
          <w:szCs w:val="24"/>
        </w:rPr>
        <w:t>.</w:t>
      </w:r>
    </w:p>
    <w:p w:rsidRPr="00233EDE" w:rsidR="00BE1FCB" w:rsidP="00BE1FCB" w:rsidRDefault="00BE1FCB" w14:paraId="5719D0D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233EDE">
        <w:rPr>
          <w:rFonts w:ascii="Times New Roman" w:hAnsi="Times New Roman" w:eastAsia="Times New Roman" w:cs="Times New Roman"/>
          <w:b/>
          <w:bCs/>
          <w:szCs w:val="24"/>
        </w:rPr>
        <w:t xml:space="preserve">10. </w:t>
      </w:r>
      <w:r w:rsidRPr="00233EDE">
        <w:rPr>
          <w:rFonts w:ascii="Times New Roman" w:hAnsi="Times New Roman" w:eastAsia="Times New Roman" w:cs="Times New Roman"/>
          <w:b/>
          <w:bCs/>
          <w:szCs w:val="24"/>
          <w:u w:val="single"/>
        </w:rPr>
        <w:t>Assurance of Confidentiality Provided to Respondents</w:t>
      </w:r>
      <w:bookmarkEnd w:id="18"/>
    </w:p>
    <w:p w:rsidRPr="00233EDE" w:rsidR="00BE1FCB" w:rsidP="00BE1FCB" w:rsidRDefault="00BE1FCB" w14:paraId="146EBD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30823" w:rsidP="00B30823" w:rsidRDefault="00B30823" w14:paraId="5C75807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bookmarkStart w:name="_Hlk64609096" w:id="24"/>
      <w:r w:rsidRPr="00233EDE">
        <w:rPr>
          <w:rFonts w:ascii="Times New Roman" w:hAnsi="Times New Roman" w:eastAsia="Times New Roman" w:cs="Times New Roman"/>
          <w:szCs w:val="24"/>
        </w:rPr>
        <w:t>OMB Control Number 0910-0810 is covered underneath a Privacy Impact Assessment that has been approved by the Department of Health and Human Services (</w:t>
      </w:r>
      <w:bookmarkStart w:name="_Hlk94697783" w:id="25"/>
      <w:r w:rsidRPr="00233EDE">
        <w:rPr>
          <w:rFonts w:ascii="Times New Roman" w:hAnsi="Times New Roman" w:eastAsia="Times New Roman" w:cs="Times New Roman"/>
          <w:szCs w:val="24"/>
        </w:rPr>
        <w:t>PIA Unique Identifier: P-9008729-198376).</w:t>
      </w:r>
      <w:bookmarkEnd w:id="25"/>
    </w:p>
    <w:bookmarkEnd w:id="24"/>
    <w:p w:rsidRPr="00233EDE" w:rsidR="00FE5973" w:rsidP="00060E16" w:rsidRDefault="00FE5973" w14:paraId="3A88259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233EDE" w:rsidR="00060E16" w:rsidP="00060E16" w:rsidRDefault="00060E16" w14:paraId="09E2F76E" w14:textId="7FECCD2D">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PII Collection</w:t>
      </w:r>
    </w:p>
    <w:p w:rsidRPr="00233EDE" w:rsidR="00060E16" w:rsidP="00060E16" w:rsidRDefault="00060E16" w14:paraId="501FBE8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4E510C" w:rsidP="00060E16" w:rsidRDefault="00060E16" w14:paraId="780F4B05" w14:textId="7BD43D89">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r w:rsidRPr="00233EDE">
        <w:rPr>
          <w:rFonts w:ascii="Times New Roman" w:hAnsi="Times New Roman" w:eastAsia="Times New Roman" w:cs="Times New Roman"/>
          <w:szCs w:val="24"/>
        </w:rPr>
        <w:t xml:space="preserve">As part of this study, </w:t>
      </w:r>
      <w:r w:rsidRPr="00233EDE" w:rsidR="0083232D">
        <w:rPr>
          <w:rFonts w:ascii="Times New Roman" w:hAnsi="Times New Roman" w:eastAsia="Times New Roman" w:cs="Times New Roman"/>
          <w:szCs w:val="24"/>
        </w:rPr>
        <w:t>KDH Research &amp; Communication</w:t>
      </w:r>
      <w:r w:rsidRPr="00233EDE" w:rsidR="00552C84">
        <w:rPr>
          <w:rFonts w:ascii="Times New Roman" w:hAnsi="Times New Roman" w:eastAsia="Times New Roman" w:cs="Times New Roman"/>
          <w:szCs w:val="24"/>
        </w:rPr>
        <w:t xml:space="preserve"> and FCB’s</w:t>
      </w:r>
      <w:r w:rsidRPr="00233EDE" w:rsidR="0083232D">
        <w:rPr>
          <w:rFonts w:ascii="Times New Roman" w:hAnsi="Times New Roman" w:eastAsia="Times New Roman" w:cs="Times New Roman"/>
          <w:szCs w:val="24"/>
        </w:rPr>
        <w:t xml:space="preserve"> contractor, </w:t>
      </w:r>
      <w:r w:rsidRPr="00233EDE" w:rsidR="006A7086">
        <w:rPr>
          <w:rFonts w:ascii="Times New Roman" w:hAnsi="Times New Roman" w:eastAsia="Times New Roman" w:cs="Times New Roman"/>
          <w:szCs w:val="24"/>
        </w:rPr>
        <w:t>Marketing Workshop</w:t>
      </w:r>
      <w:r w:rsidRPr="00233EDE">
        <w:rPr>
          <w:rFonts w:ascii="Times New Roman" w:hAnsi="Times New Roman" w:eastAsia="Times New Roman" w:cs="Times New Roman"/>
          <w:szCs w:val="24"/>
        </w:rPr>
        <w:t>, is collecting and maintaining personally identifiable information (PII) about participants who complete the online screener</w:t>
      </w:r>
      <w:r w:rsidRPr="00233EDE" w:rsidR="00E25223">
        <w:rPr>
          <w:rFonts w:ascii="Times New Roman" w:hAnsi="Times New Roman" w:eastAsia="Times New Roman" w:cs="Times New Roman"/>
          <w:szCs w:val="24"/>
        </w:rPr>
        <w:t xml:space="preserve"> and</w:t>
      </w:r>
      <w:r w:rsidRPr="00233EDE">
        <w:rPr>
          <w:rFonts w:ascii="Times New Roman" w:hAnsi="Times New Roman" w:eastAsia="Times New Roman" w:cs="Times New Roman"/>
          <w:szCs w:val="24"/>
        </w:rPr>
        <w:t xml:space="preserve"> </w:t>
      </w:r>
      <w:r w:rsidRPr="00233EDE" w:rsidR="00023F60">
        <w:rPr>
          <w:rFonts w:ascii="Times New Roman" w:hAnsi="Times New Roman" w:eastAsia="Times New Roman" w:cs="Times New Roman"/>
          <w:szCs w:val="24"/>
        </w:rPr>
        <w:t>the</w:t>
      </w:r>
      <w:r w:rsidRPr="00233EDE">
        <w:rPr>
          <w:rFonts w:ascii="Times New Roman" w:hAnsi="Times New Roman" w:eastAsia="Times New Roman" w:cs="Times New Roman"/>
          <w:szCs w:val="24"/>
        </w:rPr>
        <w:t xml:space="preserve"> online surveys</w:t>
      </w:r>
      <w:r w:rsidRPr="00233EDE" w:rsidR="00023F60">
        <w:rPr>
          <w:rFonts w:ascii="Times New Roman" w:hAnsi="Times New Roman" w:eastAsia="Times New Roman" w:cs="Times New Roman"/>
          <w:szCs w:val="24"/>
        </w:rPr>
        <w:t>.</w:t>
      </w:r>
      <w:r w:rsidRPr="00233EDE" w:rsidR="0020465D">
        <w:t xml:space="preserve"> </w:t>
      </w:r>
      <w:r w:rsidRPr="00233EDE" w:rsidR="0020465D">
        <w:rPr>
          <w:rFonts w:ascii="Times New Roman" w:hAnsi="Times New Roman" w:eastAsia="Times New Roman" w:cs="Times New Roman"/>
          <w:szCs w:val="24"/>
        </w:rPr>
        <w:t xml:space="preserve">The only PII </w:t>
      </w:r>
      <w:r w:rsidRPr="00233EDE" w:rsidR="00A7002E">
        <w:rPr>
          <w:rFonts w:ascii="Times New Roman" w:hAnsi="Times New Roman" w:eastAsia="Times New Roman" w:cs="Times New Roman"/>
          <w:szCs w:val="24"/>
        </w:rPr>
        <w:t>that</w:t>
      </w:r>
      <w:r w:rsidRPr="00233EDE" w:rsidR="0020465D">
        <w:rPr>
          <w:rFonts w:ascii="Times New Roman" w:hAnsi="Times New Roman" w:eastAsia="Times New Roman" w:cs="Times New Roman"/>
          <w:szCs w:val="24"/>
        </w:rPr>
        <w:t xml:space="preserve"> will be </w:t>
      </w:r>
      <w:r w:rsidRPr="00233EDE" w:rsidR="007F358E">
        <w:rPr>
          <w:rFonts w:ascii="Times New Roman" w:hAnsi="Times New Roman" w:eastAsia="Times New Roman" w:cs="Times New Roman"/>
          <w:szCs w:val="24"/>
        </w:rPr>
        <w:t>collected</w:t>
      </w:r>
      <w:r w:rsidRPr="00233EDE" w:rsidR="0020465D">
        <w:rPr>
          <w:rFonts w:ascii="Times New Roman" w:hAnsi="Times New Roman" w:eastAsia="Times New Roman" w:cs="Times New Roman"/>
          <w:szCs w:val="24"/>
        </w:rPr>
        <w:t xml:space="preserve"> is email address</w:t>
      </w:r>
      <w:r w:rsidRPr="00233EDE" w:rsidR="00757FBF">
        <w:rPr>
          <w:rFonts w:ascii="Times New Roman" w:hAnsi="Times New Roman" w:eastAsia="Times New Roman" w:cs="Times New Roman"/>
          <w:szCs w:val="24"/>
        </w:rPr>
        <w:t xml:space="preserve">, </w:t>
      </w:r>
      <w:r w:rsidRPr="00233EDE" w:rsidR="0020465D">
        <w:rPr>
          <w:rFonts w:ascii="Times New Roman" w:hAnsi="Times New Roman" w:eastAsia="Times New Roman" w:cs="Times New Roman"/>
          <w:szCs w:val="24"/>
        </w:rPr>
        <w:t>IP address,</w:t>
      </w:r>
      <w:r w:rsidRPr="00233EDE" w:rsidR="00757FBF">
        <w:rPr>
          <w:rFonts w:ascii="Times New Roman" w:hAnsi="Times New Roman" w:eastAsia="Times New Roman" w:cs="Times New Roman"/>
          <w:szCs w:val="24"/>
        </w:rPr>
        <w:t xml:space="preserve"> and </w:t>
      </w:r>
      <w:r w:rsidRPr="00233EDE" w:rsidR="00162146">
        <w:rPr>
          <w:rFonts w:ascii="Times New Roman" w:hAnsi="Times New Roman" w:eastAsia="Times New Roman" w:cs="Times New Roman"/>
          <w:szCs w:val="24"/>
        </w:rPr>
        <w:t>zip code</w:t>
      </w:r>
      <w:r w:rsidRPr="00233EDE" w:rsidR="00757FBF">
        <w:rPr>
          <w:rFonts w:ascii="Times New Roman" w:hAnsi="Times New Roman" w:eastAsia="Times New Roman" w:cs="Times New Roman"/>
          <w:szCs w:val="24"/>
        </w:rPr>
        <w:t>,</w:t>
      </w:r>
      <w:r w:rsidRPr="00233EDE" w:rsidR="0020465D">
        <w:rPr>
          <w:rFonts w:ascii="Times New Roman" w:hAnsi="Times New Roman" w:eastAsia="Times New Roman" w:cs="Times New Roman"/>
          <w:szCs w:val="24"/>
        </w:rPr>
        <w:t xml:space="preserve"> but this information will be stored separately from each other and from survey responses</w:t>
      </w:r>
      <w:r w:rsidRPr="00233EDE" w:rsidR="006A7086">
        <w:rPr>
          <w:rFonts w:ascii="Times New Roman" w:hAnsi="Times New Roman" w:eastAsia="Times New Roman" w:cs="Times New Roman"/>
          <w:szCs w:val="24"/>
        </w:rPr>
        <w:t xml:space="preserve">. </w:t>
      </w:r>
      <w:r w:rsidRPr="00233EDE" w:rsidR="0020465D">
        <w:rPr>
          <w:rFonts w:ascii="Times New Roman" w:hAnsi="Times New Roman" w:eastAsia="Times New Roman" w:cs="Times New Roman"/>
          <w:szCs w:val="24"/>
        </w:rPr>
        <w:t>We are not collecting any</w:t>
      </w:r>
      <w:r w:rsidRPr="00233EDE" w:rsidR="00D54A74">
        <w:rPr>
          <w:rFonts w:ascii="Times New Roman" w:hAnsi="Times New Roman" w:eastAsia="Times New Roman" w:cs="Times New Roman"/>
          <w:szCs w:val="24"/>
        </w:rPr>
        <w:t xml:space="preserve"> Protected Health Information,</w:t>
      </w:r>
      <w:r w:rsidRPr="00233EDE" w:rsidR="0020465D">
        <w:rPr>
          <w:rFonts w:ascii="Times New Roman" w:hAnsi="Times New Roman" w:eastAsia="Times New Roman" w:cs="Times New Roman"/>
          <w:szCs w:val="24"/>
        </w:rPr>
        <w:t xml:space="preserve"> defined as “Personally identifiable information that relates to a person's health, medical treatment or payment, and which was obtained from a "covered entity" (health care provider, health plan, or healthcare clearinghouse), as defined by HIPAA (Health Insurance Portability and Accountability Act) regulations.” </w:t>
      </w:r>
      <w:r w:rsidRPr="00233EDE" w:rsidR="0034447E">
        <w:rPr>
          <w:rFonts w:ascii="Times New Roman" w:hAnsi="Times New Roman" w:eastAsia="Times New Roman" w:cs="Times New Roman"/>
          <w:szCs w:val="24"/>
        </w:rPr>
        <w:t>S</w:t>
      </w:r>
      <w:r w:rsidRPr="00233EDE" w:rsidR="0020465D">
        <w:rPr>
          <w:rFonts w:ascii="Times New Roman" w:hAnsi="Times New Roman" w:eastAsia="Times New Roman" w:cs="Times New Roman"/>
          <w:szCs w:val="24"/>
        </w:rPr>
        <w:t xml:space="preserve">urvey data </w:t>
      </w:r>
      <w:r w:rsidRPr="00233EDE" w:rsidR="00FE784E">
        <w:rPr>
          <w:rFonts w:ascii="Times New Roman" w:hAnsi="Times New Roman" w:eastAsia="Times New Roman" w:cs="Times New Roman"/>
          <w:szCs w:val="24"/>
        </w:rPr>
        <w:t>will always be kept separate from PII</w:t>
      </w:r>
      <w:r w:rsidRPr="00233EDE" w:rsidR="006A7086">
        <w:rPr>
          <w:rFonts w:ascii="Times New Roman" w:hAnsi="Times New Roman" w:eastAsia="Times New Roman" w:cs="Times New Roman"/>
          <w:szCs w:val="24"/>
        </w:rPr>
        <w:t>.</w:t>
      </w:r>
      <w:r w:rsidRPr="00233EDE" w:rsidR="0058084A">
        <w:rPr>
          <w:rFonts w:ascii="Times New Roman" w:hAnsi="Times New Roman" w:eastAsia="Times New Roman" w:cs="Times New Roman"/>
          <w:szCs w:val="24"/>
        </w:rPr>
        <w:t xml:space="preserve"> </w:t>
      </w:r>
      <w:r w:rsidRPr="00233EDE" w:rsidR="00265644">
        <w:rPr>
          <w:rFonts w:ascii="Times New Roman" w:hAnsi="Times New Roman"/>
        </w:rPr>
        <w:t>Only KDH Research &amp; Communication and Marketing Workshop will ever have data with PII. FDA will not have access to PII.</w:t>
      </w:r>
    </w:p>
    <w:p w:rsidRPr="00233EDE" w:rsidR="00265644" w:rsidP="00060E16" w:rsidRDefault="00265644" w14:paraId="0E9EC8F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0E4CF3" w:rsidP="000E4CF3" w:rsidRDefault="000E4CF3" w14:paraId="2D2B8946" w14:textId="1849B206">
      <w:pPr>
        <w:numPr>
          <w:ilvl w:val="12"/>
          <w:numId w:val="0"/>
        </w:numPr>
        <w:autoSpaceDE w:val="0"/>
        <w:autoSpaceDN w:val="0"/>
        <w:ind w:left="180"/>
        <w:rPr>
          <w:rFonts w:ascii="Times New Roman" w:hAnsi="Times New Roman" w:cs="Times New Roman"/>
          <w:sz w:val="22"/>
        </w:rPr>
      </w:pPr>
      <w:r w:rsidRPr="00233EDE">
        <w:rPr>
          <w:rFonts w:ascii="Times New Roman" w:hAnsi="Times New Roman" w:cs="Times New Roman"/>
        </w:rPr>
        <w:t>This study is funded by the FDA, a Department of Health and Human Services supported agency, and is covered by a Certificate of Confidentiality (</w:t>
      </w:r>
      <w:proofErr w:type="spellStart"/>
      <w:r w:rsidRPr="00233EDE">
        <w:rPr>
          <w:rFonts w:ascii="Times New Roman" w:hAnsi="Times New Roman" w:cs="Times New Roman"/>
        </w:rPr>
        <w:t>CoC</w:t>
      </w:r>
      <w:proofErr w:type="spellEnd"/>
      <w:r w:rsidRPr="00233EDE">
        <w:rPr>
          <w:rFonts w:ascii="Times New Roman" w:hAnsi="Times New Roman" w:cs="Times New Roman"/>
        </w:rPr>
        <w:t xml:space="preserve">). Section 2012 of the 21st Century Cures Act includes significant amendments, to the previous statutory authority for such protections, to enhance privacy protections for individuals who are the subjects of federally funded research, under subsection 301(d) of the Public Health Service Act (42 U.S.C. 241). Specifically, the amended authority requires the FDA to issue a </w:t>
      </w:r>
      <w:proofErr w:type="spellStart"/>
      <w:r w:rsidRPr="00233EDE">
        <w:rPr>
          <w:rFonts w:ascii="Times New Roman" w:hAnsi="Times New Roman" w:cs="Times New Roman"/>
        </w:rPr>
        <w:t>CoC</w:t>
      </w:r>
      <w:proofErr w:type="spellEnd"/>
      <w:r w:rsidRPr="00233EDE">
        <w:rPr>
          <w:rFonts w:ascii="Times New Roman" w:hAnsi="Times New Roman" w:cs="Times New Roman"/>
        </w:rPr>
        <w:t xml:space="preserve"> to investigators or institutions engaged in research funded by the Federal government to protect the privacy of individuals who are subjects of this research. We will notify participants in the </w:t>
      </w:r>
      <w:r w:rsidRPr="00233EDE" w:rsidR="005A1F26">
        <w:rPr>
          <w:rFonts w:ascii="Times New Roman" w:hAnsi="Times New Roman" w:cs="Times New Roman"/>
        </w:rPr>
        <w:t>assent</w:t>
      </w:r>
      <w:r w:rsidRPr="00233EDE">
        <w:rPr>
          <w:rFonts w:ascii="Times New Roman" w:hAnsi="Times New Roman" w:cs="Times New Roman"/>
        </w:rPr>
        <w:t xml:space="preserve"> form of the protections that the Certificate provides.</w:t>
      </w:r>
    </w:p>
    <w:p w:rsidRPr="00233EDE" w:rsidR="00BE1FCB" w:rsidP="00BE1FCB" w:rsidRDefault="00BE1FCB" w14:paraId="4AB02F6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6417F9E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Overview of Data Collection System</w:t>
      </w:r>
    </w:p>
    <w:p w:rsidRPr="00233EDE" w:rsidR="003360C6" w:rsidP="00BE1FCB" w:rsidRDefault="00BE1FCB" w14:paraId="277BFBF1" w14:textId="7CDEE0C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All information will be collected electronically through a self-administered survey instrument hosted in a secure, online data collection system. Approximately </w:t>
      </w:r>
      <w:r w:rsidR="008B6C18">
        <w:rPr>
          <w:rFonts w:ascii="Times New Roman" w:hAnsi="Times New Roman" w:eastAsia="Times New Roman" w:cs="Times New Roman"/>
          <w:szCs w:val="24"/>
        </w:rPr>
        <w:t>2,000</w:t>
      </w:r>
      <w:r w:rsidRPr="00233EDE" w:rsidR="00025BEE">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 xml:space="preserve">participants will be </w:t>
      </w:r>
      <w:r w:rsidRPr="00233EDE">
        <w:rPr>
          <w:rFonts w:ascii="Times New Roman" w:hAnsi="Times New Roman" w:eastAsia="Times New Roman" w:cs="Times New Roman"/>
          <w:szCs w:val="24"/>
        </w:rPr>
        <w:lastRenderedPageBreak/>
        <w:t xml:space="preserve">recruited via </w:t>
      </w:r>
      <w:r w:rsidRPr="00233EDE" w:rsidR="00BD2850">
        <w:rPr>
          <w:rFonts w:ascii="Times New Roman" w:hAnsi="Times New Roman" w:eastAsia="Times New Roman" w:cs="Times New Roman"/>
          <w:szCs w:val="24"/>
        </w:rPr>
        <w:t>online panel</w:t>
      </w:r>
      <w:r w:rsidRPr="00233EDE" w:rsidR="00A7002E">
        <w:rPr>
          <w:rFonts w:ascii="Times New Roman" w:hAnsi="Times New Roman" w:eastAsia="Times New Roman" w:cs="Times New Roman"/>
          <w:szCs w:val="24"/>
        </w:rPr>
        <w:t xml:space="preserve"> </w:t>
      </w:r>
      <w:r w:rsidRPr="00233EDE" w:rsidR="005D16DF">
        <w:rPr>
          <w:rFonts w:ascii="Times New Roman" w:hAnsi="Times New Roman" w:eastAsia="Times New Roman" w:cs="Times New Roman"/>
          <w:szCs w:val="24"/>
        </w:rPr>
        <w:t xml:space="preserve">over </w:t>
      </w:r>
      <w:r w:rsidR="008B6C18">
        <w:rPr>
          <w:rFonts w:ascii="Times New Roman" w:hAnsi="Times New Roman" w:eastAsia="Times New Roman" w:cs="Times New Roman"/>
          <w:szCs w:val="24"/>
        </w:rPr>
        <w:t>the course of six months</w:t>
      </w:r>
      <w:r w:rsidRPr="00233EDE" w:rsidR="00552C84">
        <w:rPr>
          <w:rFonts w:ascii="Times New Roman" w:hAnsi="Times New Roman" w:eastAsia="Times New Roman" w:cs="Times New Roman"/>
          <w:szCs w:val="24"/>
        </w:rPr>
        <w:t>.</w:t>
      </w:r>
      <w:r w:rsidRPr="00233EDE" w:rsidR="00092432">
        <w:t xml:space="preserve"> </w:t>
      </w:r>
      <w:r w:rsidRPr="00233EDE" w:rsidR="00092432">
        <w:rPr>
          <w:rFonts w:ascii="Times New Roman" w:hAnsi="Times New Roman" w:eastAsia="Times New Roman" w:cs="Times New Roman"/>
          <w:szCs w:val="24"/>
        </w:rPr>
        <w:t>The online panel provider may use social media platforms to recruit additional participants as needed to augment their existing panels.</w:t>
      </w:r>
    </w:p>
    <w:p w:rsidRPr="00233EDE" w:rsidR="003360C6" w:rsidP="00BE1FCB" w:rsidRDefault="003360C6" w14:paraId="0B315EC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3360C6" w:rsidP="00BE1FCB" w:rsidRDefault="003360C6" w14:paraId="4E3F8B3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Step One: Screener</w:t>
      </w:r>
    </w:p>
    <w:p w:rsidRPr="00233EDE" w:rsidR="00E070C7" w:rsidP="00BE1FCB" w:rsidRDefault="003360C6" w14:paraId="6970C13D" w14:textId="3DFBFFB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To recruit for the survey, </w:t>
      </w:r>
      <w:bookmarkStart w:name="_Hlk55986896" w:id="26"/>
      <w:r w:rsidRPr="00233EDE" w:rsidR="00BD2850">
        <w:rPr>
          <w:rFonts w:ascii="Times New Roman" w:hAnsi="Times New Roman" w:eastAsia="Times New Roman" w:cs="Times New Roman"/>
          <w:szCs w:val="24"/>
        </w:rPr>
        <w:t>KDH Research &amp; Communication</w:t>
      </w:r>
      <w:r w:rsidRPr="00233EDE" w:rsidR="00552C84">
        <w:rPr>
          <w:rFonts w:ascii="Times New Roman" w:hAnsi="Times New Roman" w:eastAsia="Times New Roman" w:cs="Times New Roman"/>
          <w:szCs w:val="24"/>
        </w:rPr>
        <w:t xml:space="preserve"> </w:t>
      </w:r>
      <w:bookmarkEnd w:id="26"/>
      <w:r w:rsidRPr="00233EDE" w:rsidR="00552C84">
        <w:rPr>
          <w:rFonts w:ascii="Times New Roman" w:hAnsi="Times New Roman" w:eastAsia="Times New Roman" w:cs="Times New Roman"/>
          <w:szCs w:val="24"/>
        </w:rPr>
        <w:t>and FCB’s</w:t>
      </w:r>
      <w:r w:rsidRPr="00233EDE" w:rsidR="00BD2850">
        <w:rPr>
          <w:rFonts w:ascii="Times New Roman" w:hAnsi="Times New Roman" w:eastAsia="Times New Roman" w:cs="Times New Roman"/>
          <w:szCs w:val="24"/>
        </w:rPr>
        <w:t xml:space="preserve"> contractor, Marketing Workshop</w:t>
      </w:r>
      <w:r w:rsidRPr="00233EDE">
        <w:rPr>
          <w:rFonts w:ascii="Times New Roman" w:hAnsi="Times New Roman" w:eastAsia="Times New Roman" w:cs="Times New Roman"/>
          <w:szCs w:val="24"/>
        </w:rPr>
        <w:t xml:space="preserve"> will contact existing panelists to gauge interest in and eligibility for study participation. We will screen respondents for eligibility through their age and tobacco use behavior (i.e., susceptible to, or experimenters of, </w:t>
      </w:r>
      <w:r w:rsidRPr="00233EDE" w:rsidR="005A1F26">
        <w:rPr>
          <w:rFonts w:ascii="Times New Roman" w:hAnsi="Times New Roman" w:eastAsia="Times New Roman" w:cs="Times New Roman"/>
          <w:szCs w:val="24"/>
        </w:rPr>
        <w:t>tobacco</w:t>
      </w:r>
      <w:r w:rsidRPr="00233EDE">
        <w:rPr>
          <w:rFonts w:ascii="Times New Roman" w:hAnsi="Times New Roman" w:eastAsia="Times New Roman" w:cs="Times New Roman"/>
          <w:szCs w:val="24"/>
        </w:rPr>
        <w:t xml:space="preserve"> products). </w:t>
      </w:r>
      <w:r w:rsidRPr="00233EDE" w:rsidR="00BE1FCB">
        <w:rPr>
          <w:rFonts w:ascii="Times New Roman" w:hAnsi="Times New Roman" w:eastAsia="Times New Roman" w:cs="Times New Roman"/>
          <w:szCs w:val="24"/>
        </w:rPr>
        <w:t xml:space="preserve">All participants will be screened for eligibility prior to administration of the survey instrument. </w:t>
      </w:r>
      <w:r w:rsidRPr="00233EDE" w:rsidR="009C48E7">
        <w:rPr>
          <w:rFonts w:ascii="Times New Roman" w:hAnsi="Times New Roman" w:eastAsia="Times New Roman" w:cs="Times New Roman"/>
          <w:szCs w:val="24"/>
        </w:rPr>
        <w:t>The screener</w:t>
      </w:r>
      <w:r w:rsidRPr="00233EDE">
        <w:rPr>
          <w:rFonts w:ascii="Times New Roman" w:hAnsi="Times New Roman" w:eastAsia="Times New Roman" w:cs="Times New Roman"/>
          <w:szCs w:val="24"/>
        </w:rPr>
        <w:t xml:space="preserve"> does not </w:t>
      </w:r>
      <w:r w:rsidRPr="00233EDE" w:rsidR="009C48E7">
        <w:rPr>
          <w:rFonts w:ascii="Times New Roman" w:hAnsi="Times New Roman" w:eastAsia="Times New Roman" w:cs="Times New Roman"/>
          <w:szCs w:val="24"/>
        </w:rPr>
        <w:t xml:space="preserve">reveal specifically why a respondent is </w:t>
      </w:r>
      <w:r w:rsidRPr="00233EDE">
        <w:rPr>
          <w:rFonts w:ascii="Times New Roman" w:hAnsi="Times New Roman" w:eastAsia="Times New Roman" w:cs="Times New Roman"/>
          <w:szCs w:val="24"/>
        </w:rPr>
        <w:t>eligible or in</w:t>
      </w:r>
      <w:r w:rsidRPr="00233EDE" w:rsidR="009C48E7">
        <w:rPr>
          <w:rFonts w:ascii="Times New Roman" w:hAnsi="Times New Roman" w:eastAsia="Times New Roman" w:cs="Times New Roman"/>
          <w:szCs w:val="24"/>
        </w:rPr>
        <w:t>eligible</w:t>
      </w:r>
      <w:r w:rsidRPr="00233EDE">
        <w:rPr>
          <w:rFonts w:ascii="Times New Roman" w:hAnsi="Times New Roman" w:eastAsia="Times New Roman" w:cs="Times New Roman"/>
          <w:szCs w:val="24"/>
        </w:rPr>
        <w:t xml:space="preserve"> for further participation</w:t>
      </w:r>
      <w:r w:rsidRPr="00233EDE" w:rsidR="009C48E7">
        <w:rPr>
          <w:rFonts w:ascii="Times New Roman" w:hAnsi="Times New Roman" w:eastAsia="Times New Roman" w:cs="Times New Roman"/>
          <w:szCs w:val="24"/>
        </w:rPr>
        <w:t xml:space="preserve">. All respondents, regardless of age, gender, race/ethnicity, tobacco use behavior, and residence will complete the full screener. Respondents must complete all screener questions to find out whether they can move on </w:t>
      </w:r>
      <w:r w:rsidRPr="00233EDE" w:rsidR="00FE784E">
        <w:rPr>
          <w:rFonts w:ascii="Times New Roman" w:hAnsi="Times New Roman" w:eastAsia="Times New Roman" w:cs="Times New Roman"/>
          <w:szCs w:val="24"/>
        </w:rPr>
        <w:t>to the media tracking</w:t>
      </w:r>
      <w:r w:rsidRPr="00233EDE" w:rsidR="009C48E7">
        <w:rPr>
          <w:rFonts w:ascii="Times New Roman" w:hAnsi="Times New Roman" w:eastAsia="Times New Roman" w:cs="Times New Roman"/>
          <w:szCs w:val="24"/>
        </w:rPr>
        <w:t xml:space="preserve"> survey. </w:t>
      </w:r>
    </w:p>
    <w:p w:rsidRPr="00233EDE" w:rsidR="00E070C7" w:rsidP="00BE1FCB" w:rsidRDefault="00E070C7" w14:paraId="3F35447B" w14:textId="7F32D4EC">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3360C6" w:rsidP="00BE1FCB" w:rsidRDefault="003360C6" w14:paraId="5C1F5C8A" w14:textId="701C676A">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Step Two: Survey</w:t>
      </w:r>
    </w:p>
    <w:p w:rsidRPr="00233EDE" w:rsidR="00BE1FCB" w:rsidP="00BE1FCB" w:rsidRDefault="00BE1FCB" w14:paraId="06DB118D" w14:textId="1340EC94">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Each participant </w:t>
      </w:r>
      <w:r w:rsidRPr="00233EDE" w:rsidR="003360C6">
        <w:rPr>
          <w:rFonts w:ascii="Times New Roman" w:hAnsi="Times New Roman" w:eastAsia="Times New Roman" w:cs="Times New Roman"/>
          <w:szCs w:val="24"/>
        </w:rPr>
        <w:t xml:space="preserve">that meets eligibility criteria will move directly into the survey. In the survey, participants </w:t>
      </w:r>
      <w:r w:rsidRPr="00233EDE">
        <w:rPr>
          <w:rFonts w:ascii="Times New Roman" w:hAnsi="Times New Roman" w:eastAsia="Times New Roman" w:cs="Times New Roman"/>
          <w:szCs w:val="24"/>
        </w:rPr>
        <w:t>will</w:t>
      </w:r>
      <w:r w:rsidRPr="00233EDE" w:rsidR="003360C6">
        <w:rPr>
          <w:rFonts w:ascii="Times New Roman" w:hAnsi="Times New Roman" w:eastAsia="Times New Roman" w:cs="Times New Roman"/>
          <w:szCs w:val="24"/>
        </w:rPr>
        <w:t xml:space="preserve"> report awareness of current advertising,</w:t>
      </w:r>
      <w:r w:rsidRPr="00233EDE">
        <w:rPr>
          <w:rFonts w:ascii="Times New Roman" w:hAnsi="Times New Roman" w:eastAsia="Times New Roman" w:cs="Times New Roman"/>
          <w:szCs w:val="24"/>
        </w:rPr>
        <w:t xml:space="preserve"> </w:t>
      </w:r>
      <w:r w:rsidRPr="00233EDE" w:rsidR="00552C84">
        <w:rPr>
          <w:rFonts w:ascii="Times New Roman" w:hAnsi="Times New Roman" w:eastAsia="Times New Roman" w:cs="Times New Roman"/>
          <w:szCs w:val="24"/>
        </w:rPr>
        <w:t xml:space="preserve">watch a campaign ad currently </w:t>
      </w:r>
      <w:r w:rsidRPr="00233EDE" w:rsidR="00A7002E">
        <w:rPr>
          <w:rFonts w:ascii="Times New Roman" w:hAnsi="Times New Roman" w:eastAsia="Times New Roman" w:cs="Times New Roman"/>
          <w:szCs w:val="24"/>
        </w:rPr>
        <w:t>on air</w:t>
      </w:r>
      <w:r w:rsidRPr="00233EDE" w:rsidR="00552C84">
        <w:rPr>
          <w:rFonts w:ascii="Times New Roman" w:hAnsi="Times New Roman" w:eastAsia="Times New Roman" w:cs="Times New Roman"/>
          <w:szCs w:val="24"/>
        </w:rPr>
        <w:t xml:space="preserve"> and </w:t>
      </w:r>
      <w:r w:rsidRPr="00233EDE">
        <w:rPr>
          <w:rFonts w:ascii="Times New Roman" w:hAnsi="Times New Roman" w:eastAsia="Times New Roman" w:cs="Times New Roman"/>
          <w:szCs w:val="24"/>
        </w:rPr>
        <w:t xml:space="preserve">give </w:t>
      </w:r>
      <w:r w:rsidRPr="00233EDE" w:rsidR="00552C84">
        <w:rPr>
          <w:rFonts w:ascii="Times New Roman" w:hAnsi="Times New Roman" w:eastAsia="Times New Roman" w:cs="Times New Roman"/>
          <w:szCs w:val="24"/>
        </w:rPr>
        <w:t>answers to</w:t>
      </w:r>
      <w:r w:rsidRPr="00233EDE">
        <w:rPr>
          <w:rFonts w:ascii="Times New Roman" w:hAnsi="Times New Roman" w:eastAsia="Times New Roman" w:cs="Times New Roman"/>
          <w:szCs w:val="24"/>
        </w:rPr>
        <w:t xml:space="preserve"> a series of questions about their knowledge, attitudes, and behaviors </w:t>
      </w:r>
      <w:r w:rsidRPr="00233EDE" w:rsidR="00D61EFE">
        <w:rPr>
          <w:rFonts w:ascii="Times New Roman" w:hAnsi="Times New Roman" w:eastAsia="Times New Roman" w:cs="Times New Roman"/>
          <w:szCs w:val="24"/>
        </w:rPr>
        <w:t>regarding</w:t>
      </w:r>
      <w:r w:rsidRPr="00233EDE" w:rsidR="00314892">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specific tobacco products</w:t>
      </w:r>
      <w:r w:rsidRPr="00233EDE" w:rsidR="00552C84">
        <w:rPr>
          <w:rFonts w:ascii="Times New Roman" w:hAnsi="Times New Roman" w:eastAsia="Times New Roman" w:cs="Times New Roman"/>
          <w:szCs w:val="24"/>
        </w:rPr>
        <w:t xml:space="preserve">. They will also </w:t>
      </w:r>
      <w:r w:rsidRPr="00233EDE">
        <w:rPr>
          <w:rFonts w:ascii="Times New Roman" w:hAnsi="Times New Roman" w:eastAsia="Times New Roman" w:cs="Times New Roman"/>
          <w:szCs w:val="24"/>
        </w:rPr>
        <w:t>answer basic demographic information</w:t>
      </w:r>
      <w:r w:rsidRPr="00233EDE" w:rsidR="00162146">
        <w:rPr>
          <w:rFonts w:ascii="Times New Roman" w:hAnsi="Times New Roman" w:eastAsia="Times New Roman" w:cs="Times New Roman"/>
          <w:szCs w:val="24"/>
        </w:rPr>
        <w:t xml:space="preserve"> and </w:t>
      </w:r>
      <w:r w:rsidRPr="00233EDE" w:rsidR="00552C84">
        <w:rPr>
          <w:rFonts w:ascii="Times New Roman" w:hAnsi="Times New Roman" w:eastAsia="Times New Roman" w:cs="Times New Roman"/>
          <w:szCs w:val="24"/>
        </w:rPr>
        <w:t xml:space="preserve">provide </w:t>
      </w:r>
      <w:r w:rsidRPr="00233EDE" w:rsidR="00162146">
        <w:rPr>
          <w:rFonts w:ascii="Times New Roman" w:hAnsi="Times New Roman" w:eastAsia="Times New Roman" w:cs="Times New Roman"/>
          <w:szCs w:val="24"/>
        </w:rPr>
        <w:t>media use behavior</w:t>
      </w:r>
      <w:r w:rsidRPr="00233EDE">
        <w:rPr>
          <w:rFonts w:ascii="Times New Roman" w:hAnsi="Times New Roman" w:eastAsia="Times New Roman" w:cs="Times New Roman"/>
          <w:szCs w:val="24"/>
        </w:rPr>
        <w:t xml:space="preserve">. The participant will complete the survey at the time of his or her choosing. There is no website content directed at children younger than 13 years of age. </w:t>
      </w:r>
    </w:p>
    <w:p w:rsidRPr="00233EDE" w:rsidR="00ED2149" w:rsidP="00BE1FCB" w:rsidRDefault="00ED2149" w14:paraId="612A61D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233EDE" w:rsidR="00BE1FCB" w:rsidP="00BE1FCB" w:rsidRDefault="00BE1FCB" w14:paraId="484EC382" w14:textId="6171ADE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Overview of How Information will be Shared and for What Purposes</w:t>
      </w:r>
    </w:p>
    <w:p w:rsidRPr="00233EDE" w:rsidR="00BE1FCB" w:rsidP="00FE784E" w:rsidRDefault="00801C98" w14:paraId="2E0EB942" w14:textId="37EF276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All data will be downloaded from </w:t>
      </w:r>
      <w:r w:rsidRPr="00233EDE" w:rsidR="00FE784E">
        <w:rPr>
          <w:rFonts w:ascii="Times New Roman" w:hAnsi="Times New Roman" w:eastAsia="Times New Roman" w:cs="Times New Roman"/>
          <w:szCs w:val="24"/>
        </w:rPr>
        <w:t>Confirmit</w:t>
      </w:r>
      <w:r w:rsidRPr="00233EDE" w:rsidR="00BD2850">
        <w:rPr>
          <w:rFonts w:ascii="Times New Roman" w:hAnsi="Times New Roman" w:eastAsia="Times New Roman" w:cs="Times New Roman"/>
          <w:szCs w:val="24"/>
        </w:rPr>
        <w:t>, the online data collection platform</w:t>
      </w:r>
      <w:r w:rsidRPr="00233EDE">
        <w:rPr>
          <w:rFonts w:ascii="Times New Roman" w:hAnsi="Times New Roman" w:eastAsia="Times New Roman" w:cs="Times New Roman"/>
          <w:szCs w:val="24"/>
        </w:rPr>
        <w:t xml:space="preserve"> (which requires a password) and stored in databases only on </w:t>
      </w:r>
      <w:r w:rsidRPr="00233EDE" w:rsidR="00FE784E">
        <w:rPr>
          <w:rFonts w:ascii="Times New Roman" w:hAnsi="Times New Roman" w:eastAsia="Times New Roman" w:cs="Times New Roman"/>
          <w:szCs w:val="24"/>
        </w:rPr>
        <w:t xml:space="preserve">Marketing Workshop’s </w:t>
      </w:r>
      <w:r w:rsidRPr="00233EDE">
        <w:rPr>
          <w:rFonts w:ascii="Times New Roman" w:hAnsi="Times New Roman" w:eastAsia="Times New Roman" w:cs="Times New Roman"/>
          <w:szCs w:val="24"/>
        </w:rPr>
        <w:t>secure shared drive and which are only accessible by study staff trained in human subjects. At the completion of data collection, the databases will be deleted from</w:t>
      </w:r>
      <w:r w:rsidRPr="00233EDE" w:rsidR="00FE784E">
        <w:rPr>
          <w:rFonts w:ascii="Times New Roman" w:hAnsi="Times New Roman" w:eastAsia="Times New Roman" w:cs="Times New Roman"/>
          <w:szCs w:val="24"/>
        </w:rPr>
        <w:t xml:space="preserve"> the Confirmit </w:t>
      </w:r>
      <w:r w:rsidRPr="00233EDE">
        <w:rPr>
          <w:rFonts w:ascii="Times New Roman" w:hAnsi="Times New Roman" w:eastAsia="Times New Roman" w:cs="Times New Roman"/>
          <w:szCs w:val="24"/>
        </w:rPr>
        <w:t xml:space="preserve">account and remain only on </w:t>
      </w:r>
      <w:r w:rsidRPr="00233EDE" w:rsidR="00FE784E">
        <w:rPr>
          <w:rFonts w:ascii="Times New Roman" w:hAnsi="Times New Roman" w:eastAsia="Times New Roman" w:cs="Times New Roman"/>
          <w:szCs w:val="24"/>
        </w:rPr>
        <w:t>Marketing Workshop’s</w:t>
      </w:r>
      <w:r w:rsidRPr="00233EDE">
        <w:rPr>
          <w:rFonts w:ascii="Times New Roman" w:hAnsi="Times New Roman" w:eastAsia="Times New Roman" w:cs="Times New Roman"/>
          <w:szCs w:val="24"/>
        </w:rPr>
        <w:t xml:space="preserve"> secure s</w:t>
      </w:r>
      <w:r w:rsidRPr="00233EDE" w:rsidR="00FE784E">
        <w:rPr>
          <w:rFonts w:ascii="Times New Roman" w:hAnsi="Times New Roman" w:eastAsia="Times New Roman" w:cs="Times New Roman"/>
          <w:szCs w:val="24"/>
        </w:rPr>
        <w:t xml:space="preserve">ervers for a period of three years. </w:t>
      </w:r>
    </w:p>
    <w:p w:rsidRPr="00233EDE" w:rsidR="00801C98" w:rsidP="00BE1FCB" w:rsidRDefault="00801C98" w14:paraId="5480CD2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05E5EFA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Overview of the Impact the Proposed Collection will have on the Respondent’s Privacy</w:t>
      </w:r>
    </w:p>
    <w:p w:rsidRPr="00233EDE" w:rsidR="00BE1FCB" w:rsidP="00BE1FCB" w:rsidRDefault="00BE1FCB" w14:paraId="61285307" w14:textId="3409A80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The following procedures will be used to ensure participant privacy before, during, and after fielding: (1) PII in the form of participants’ email addresses</w:t>
      </w:r>
      <w:r w:rsidRPr="00233EDE" w:rsidR="00486726">
        <w:rPr>
          <w:rFonts w:ascii="Times New Roman" w:hAnsi="Times New Roman" w:eastAsia="Times New Roman" w:cs="Times New Roman"/>
          <w:szCs w:val="24"/>
        </w:rPr>
        <w:t xml:space="preserve">, </w:t>
      </w:r>
      <w:r w:rsidRPr="00233EDE" w:rsidR="00FE784E">
        <w:rPr>
          <w:rFonts w:ascii="Times New Roman" w:hAnsi="Times New Roman" w:eastAsia="Times New Roman" w:cs="Times New Roman"/>
          <w:szCs w:val="24"/>
        </w:rPr>
        <w:t>zip codes</w:t>
      </w:r>
      <w:r w:rsidRPr="00233EDE" w:rsidR="00486726">
        <w:rPr>
          <w:rFonts w:ascii="Times New Roman" w:hAnsi="Times New Roman" w:eastAsia="Times New Roman" w:cs="Times New Roman"/>
          <w:szCs w:val="24"/>
        </w:rPr>
        <w:t>, and IP addresses</w:t>
      </w:r>
      <w:r w:rsidRPr="00233EDE">
        <w:rPr>
          <w:rFonts w:ascii="Times New Roman" w:hAnsi="Times New Roman" w:eastAsia="Times New Roman" w:cs="Times New Roman"/>
          <w:szCs w:val="24"/>
        </w:rPr>
        <w:t xml:space="preserve"> will be stored separately from screening-related data and survey data</w:t>
      </w:r>
      <w:r w:rsidRPr="00233EDE" w:rsidR="006E4D52">
        <w:rPr>
          <w:rFonts w:ascii="Times New Roman" w:hAnsi="Times New Roman" w:eastAsia="Times New Roman" w:cs="Times New Roman"/>
          <w:szCs w:val="24"/>
        </w:rPr>
        <w:t>; (2)</w:t>
      </w:r>
      <w:r w:rsidRPr="00233EDE" w:rsidR="00C157EB">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email addresses</w:t>
      </w:r>
      <w:r w:rsidRPr="00233EDE" w:rsidR="00486726">
        <w:rPr>
          <w:rFonts w:ascii="Times New Roman" w:hAnsi="Times New Roman" w:eastAsia="Times New Roman" w:cs="Times New Roman"/>
          <w:szCs w:val="24"/>
        </w:rPr>
        <w:t xml:space="preserve">, </w:t>
      </w:r>
      <w:r w:rsidRPr="00233EDE" w:rsidR="00FE784E">
        <w:rPr>
          <w:rFonts w:ascii="Times New Roman" w:hAnsi="Times New Roman" w:eastAsia="Times New Roman" w:cs="Times New Roman"/>
          <w:szCs w:val="24"/>
        </w:rPr>
        <w:t>zip codes</w:t>
      </w:r>
      <w:r w:rsidRPr="00233EDE" w:rsidR="00486726">
        <w:rPr>
          <w:rFonts w:ascii="Times New Roman" w:hAnsi="Times New Roman" w:eastAsia="Times New Roman" w:cs="Times New Roman"/>
          <w:szCs w:val="24"/>
        </w:rPr>
        <w:t xml:space="preserve">, and IP addresses </w:t>
      </w:r>
      <w:r w:rsidRPr="00233EDE">
        <w:rPr>
          <w:rFonts w:ascii="Times New Roman" w:hAnsi="Times New Roman" w:eastAsia="Times New Roman" w:cs="Times New Roman"/>
          <w:szCs w:val="24"/>
        </w:rPr>
        <w:t>will be deleted after survey completion; (</w:t>
      </w:r>
      <w:r w:rsidRPr="00233EDE" w:rsidR="006E4D52">
        <w:rPr>
          <w:rFonts w:ascii="Times New Roman" w:hAnsi="Times New Roman" w:eastAsia="Times New Roman" w:cs="Times New Roman"/>
          <w:szCs w:val="24"/>
        </w:rPr>
        <w:t>3</w:t>
      </w:r>
      <w:r w:rsidRPr="00233EDE">
        <w:rPr>
          <w:rFonts w:ascii="Times New Roman" w:hAnsi="Times New Roman" w:eastAsia="Times New Roman" w:cs="Times New Roman"/>
          <w:szCs w:val="24"/>
        </w:rPr>
        <w:t>) datasets and reports will not contain any PII; and (</w:t>
      </w:r>
      <w:r w:rsidRPr="00233EDE" w:rsidR="006E4D52">
        <w:rPr>
          <w:rFonts w:ascii="Times New Roman" w:hAnsi="Times New Roman" w:eastAsia="Times New Roman" w:cs="Times New Roman"/>
          <w:szCs w:val="24"/>
        </w:rPr>
        <w:t>4</w:t>
      </w:r>
      <w:r w:rsidRPr="00233EDE">
        <w:rPr>
          <w:rFonts w:ascii="Times New Roman" w:hAnsi="Times New Roman" w:eastAsia="Times New Roman" w:cs="Times New Roman"/>
          <w:szCs w:val="24"/>
        </w:rPr>
        <w:t>) respondents’ information will not be tied to their individual responses and all analyses will be conducted in the aggregate (i.e., any data used in reporting will not be attributed to individual participants). All datasets and reports delivered to FDA</w:t>
      </w:r>
      <w:r w:rsidRPr="00233EDE" w:rsidR="008D7806">
        <w:rPr>
          <w:rFonts w:ascii="Times New Roman" w:hAnsi="Times New Roman" w:eastAsia="Times New Roman" w:cs="Times New Roman"/>
          <w:szCs w:val="24"/>
        </w:rPr>
        <w:t xml:space="preserve">, FCB (FDA Contractor) and KDH Research &amp; Communication (FDA </w:t>
      </w:r>
      <w:r w:rsidRPr="00233EDE" w:rsidR="004E46EC">
        <w:rPr>
          <w:rFonts w:ascii="Times New Roman" w:hAnsi="Times New Roman" w:eastAsia="Times New Roman" w:cs="Times New Roman"/>
          <w:szCs w:val="24"/>
        </w:rPr>
        <w:t>s</w:t>
      </w:r>
      <w:r w:rsidRPr="00233EDE" w:rsidR="008D7806">
        <w:rPr>
          <w:rFonts w:ascii="Times New Roman" w:hAnsi="Times New Roman" w:eastAsia="Times New Roman" w:cs="Times New Roman"/>
          <w:szCs w:val="24"/>
        </w:rPr>
        <w:t xml:space="preserve">ub-contractor) </w:t>
      </w:r>
      <w:r w:rsidRPr="00233EDE">
        <w:rPr>
          <w:rFonts w:ascii="Times New Roman" w:hAnsi="Times New Roman" w:eastAsia="Times New Roman" w:cs="Times New Roman"/>
          <w:szCs w:val="24"/>
        </w:rPr>
        <w:t xml:space="preserve">will not include PII. </w:t>
      </w:r>
    </w:p>
    <w:p w:rsidRPr="00233EDE" w:rsidR="00BE1FCB" w:rsidP="00BE1FCB" w:rsidRDefault="00BE1FCB" w14:paraId="6306209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583432" w:rsidRDefault="00BE1FCB" w14:paraId="2C592734" w14:textId="50E4EA0D">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PII will be collected in the form of email addresses for the purposes of </w:t>
      </w:r>
      <w:r w:rsidRPr="00233EDE" w:rsidR="008D7806">
        <w:rPr>
          <w:rFonts w:ascii="Times New Roman" w:hAnsi="Times New Roman" w:eastAsia="Times New Roman" w:cs="Times New Roman"/>
          <w:szCs w:val="24"/>
        </w:rPr>
        <w:t>data quality assurance</w:t>
      </w:r>
      <w:r w:rsidRPr="00233EDE">
        <w:rPr>
          <w:rFonts w:ascii="Times New Roman" w:hAnsi="Times New Roman" w:eastAsia="Times New Roman" w:cs="Times New Roman"/>
          <w:szCs w:val="24"/>
        </w:rPr>
        <w:t xml:space="preserve">. </w:t>
      </w:r>
      <w:r w:rsidRPr="00233EDE" w:rsidR="00E64E8B">
        <w:rPr>
          <w:rFonts w:ascii="Times New Roman" w:hAnsi="Times New Roman" w:eastAsia="Times New Roman" w:cs="Times New Roman"/>
          <w:szCs w:val="24"/>
        </w:rPr>
        <w:t xml:space="preserve">Zip codes will be collected to </w:t>
      </w:r>
      <w:r w:rsidRPr="00233EDE" w:rsidR="006E4D52">
        <w:rPr>
          <w:rFonts w:ascii="Times New Roman" w:hAnsi="Times New Roman" w:eastAsia="Times New Roman" w:cs="Times New Roman"/>
          <w:szCs w:val="24"/>
        </w:rPr>
        <w:t>verify</w:t>
      </w:r>
      <w:r w:rsidRPr="00233EDE" w:rsidR="00E64E8B">
        <w:rPr>
          <w:rFonts w:ascii="Times New Roman" w:hAnsi="Times New Roman" w:eastAsia="Times New Roman" w:cs="Times New Roman"/>
          <w:szCs w:val="24"/>
        </w:rPr>
        <w:t xml:space="preserve"> that participants are within</w:t>
      </w:r>
      <w:r w:rsidRPr="00233EDE" w:rsidR="00E64E8B">
        <w:t xml:space="preserve"> </w:t>
      </w:r>
      <w:r w:rsidRPr="00233EDE" w:rsidR="00E64E8B">
        <w:rPr>
          <w:rFonts w:ascii="Times New Roman" w:hAnsi="Times New Roman" w:eastAsia="Times New Roman" w:cs="Times New Roman"/>
          <w:szCs w:val="24"/>
        </w:rPr>
        <w:t>determined geographic targets for the study</w:t>
      </w:r>
      <w:r w:rsidRPr="00233EDE" w:rsidR="00F5795E">
        <w:rPr>
          <w:rFonts w:ascii="Times New Roman" w:hAnsi="Times New Roman" w:eastAsia="Times New Roman" w:cs="Times New Roman"/>
          <w:szCs w:val="24"/>
        </w:rPr>
        <w:t xml:space="preserve"> and for geographic diversity</w:t>
      </w:r>
      <w:r w:rsidRPr="00233EDE" w:rsidR="00E64E8B">
        <w:rPr>
          <w:rFonts w:ascii="Times New Roman" w:hAnsi="Times New Roman" w:eastAsia="Times New Roman" w:cs="Times New Roman"/>
          <w:szCs w:val="24"/>
        </w:rPr>
        <w:t>. IP Address will be collected automatically to reduce fraudulent activity and verify participant country of origin</w:t>
      </w:r>
      <w:r w:rsidRPr="00233EDE" w:rsidR="00D42BF1">
        <w:rPr>
          <w:rFonts w:ascii="Times New Roman" w:hAnsi="Times New Roman" w:eastAsia="Times New Roman" w:cs="Times New Roman"/>
          <w:szCs w:val="24"/>
        </w:rPr>
        <w:t>.</w:t>
      </w:r>
      <w:r w:rsidRPr="00233EDE" w:rsidR="00E64E8B">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 xml:space="preserve">No additional personal identifiers (e.g., full name, phone number, social security number) will be collected aside from basic </w:t>
      </w:r>
      <w:r w:rsidRPr="00233EDE">
        <w:rPr>
          <w:rFonts w:ascii="Times New Roman" w:hAnsi="Times New Roman" w:eastAsia="Times New Roman" w:cs="Times New Roman"/>
          <w:szCs w:val="24"/>
        </w:rPr>
        <w:lastRenderedPageBreak/>
        <w:t>demographic information (e.g., gender, age, and race). PII will be stored separately from any survey responses</w:t>
      </w:r>
      <w:r w:rsidRPr="00233EDE" w:rsidR="001B0020">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 xml:space="preserve"> </w:t>
      </w:r>
    </w:p>
    <w:p w:rsidRPr="00233EDE" w:rsidR="00583432" w:rsidP="00A35C6D" w:rsidRDefault="00583432" w14:paraId="0A840B4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Pr="00233EDE" w:rsidR="00BE1FCB" w:rsidP="00BE1FCB" w:rsidRDefault="00BE1FCB" w14:paraId="6BD6427F"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 xml:space="preserve">Overview of Voluntary Participation </w:t>
      </w:r>
    </w:p>
    <w:p w:rsidRPr="00233EDE" w:rsidR="00BE1FCB" w:rsidP="00BE1FCB" w:rsidRDefault="00BE1FCB" w14:paraId="15C1E80B" w14:textId="7A18F34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Potential participants will be advised of the nature of the survey, the length of time it will require, and that participation is voluntary. Participants will be assured that they will incur no penalties if they wish not to respond to the data collection as a whole or to any specific questions. Participants will have the option to decline to respond to any item in the survey for any reason and may drop out of the survey at any time. These procedures conform to ethical practices for collecting data from human participants. </w:t>
      </w:r>
    </w:p>
    <w:p w:rsidRPr="00233EDE" w:rsidR="00BE1FCB" w:rsidP="00BE1FCB" w:rsidRDefault="00BE1FCB" w14:paraId="4AEFA2A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233EDE" w:rsidR="008D7806" w:rsidP="008D7806" w:rsidRDefault="00BE1FCB" w14:paraId="3B27786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Overview of Data Security</w:t>
      </w:r>
    </w:p>
    <w:p w:rsidRPr="00233EDE" w:rsidR="008D7806" w:rsidP="008D7806" w:rsidRDefault="008D7806" w14:paraId="7B785037" w14:textId="7602279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rPr>
        <w:t>All participants will be asked to provide their email address, and IP address will be collected automatically. (1) Email addresses will be checked against all current respondent data to avoid duplicates and reduce fraudulent activity. If multiple emails have the same IP address, researchers will review the data, retain the first recorded response, and remove duplicates from the final analytical dataset. (2) Participants’ email addresses will also be collected when providing assent to participate in the study to send participants a record of the completed assent forms. (3) Researchers may also contact participants in the unlikely case that there is a breach of confidentiality, for example, as a result of hacking or an issue with delivery</w:t>
      </w:r>
      <w:r w:rsidRPr="00233EDE" w:rsidR="00265644">
        <w:rPr>
          <w:rFonts w:ascii="Times New Roman" w:hAnsi="Times New Roman"/>
        </w:rPr>
        <w:t xml:space="preserve"> of the token of appreciation</w:t>
      </w:r>
      <w:r w:rsidRPr="00233EDE">
        <w:rPr>
          <w:rFonts w:ascii="Times New Roman" w:hAnsi="Times New Roman"/>
        </w:rPr>
        <w:t>.</w:t>
      </w:r>
    </w:p>
    <w:p w:rsidRPr="00233EDE" w:rsidR="008D7806" w:rsidP="008D7806" w:rsidRDefault="008D7806" w14:paraId="0A055B2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233EDE" w:rsidR="008D7806" w:rsidP="008D7806" w:rsidRDefault="008D7806" w14:paraId="3D2BE028" w14:textId="4DD16603">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rPr>
        <w:t xml:space="preserve">Confirmit is a trusted survey tool used by both researchers and marketing companies alike. Confirmit is provided as </w:t>
      </w:r>
      <w:r w:rsidRPr="00233EDE" w:rsidR="00B741BE">
        <w:rPr>
          <w:rFonts w:ascii="Times New Roman" w:hAnsi="Times New Roman"/>
        </w:rPr>
        <w:t xml:space="preserve">an online </w:t>
      </w:r>
      <w:r w:rsidRPr="00233EDE">
        <w:rPr>
          <w:rFonts w:ascii="Times New Roman" w:hAnsi="Times New Roman"/>
        </w:rPr>
        <w:t>application, accessed using a modern Internet browser where data are stored in a single secure data center. The database servers that store respondent and response data are placed behind two tiers of firewalls, and data can only be accessed through the Confirmit applications. No application users have direct database access, the servers are only accessible for database administrators. Remote server access is only available to system administrators through network controls and secure VPN tunnels. If outside the corporate network, dual factor authentication is required to establish a secure VPN tunnel into the corporate network (in order to access the production VPN through a hop-server), and only computers that are under Confirmit’s control are allowed to connect to the VPN. Confirmit surveys do not require any user-identifiable information to be transmitted between page submissions. Surveys use a combination of hidden form fields and system generated identifiers to identify the respondent</w:t>
      </w:r>
      <w:r w:rsidRPr="00233EDE" w:rsidR="00BD2850">
        <w:rPr>
          <w:rFonts w:ascii="Times New Roman" w:hAnsi="Times New Roman"/>
        </w:rPr>
        <w:t>. Survey</w:t>
      </w:r>
      <w:r w:rsidRPr="00233EDE">
        <w:rPr>
          <w:rFonts w:ascii="Times New Roman" w:hAnsi="Times New Roman"/>
        </w:rPr>
        <w:t xml:space="preserve"> pages include meta code to prevent them from being cached on the client. No information is stored on a respondent’s computer when the browser is closed. To further prevent caching, all surveys are available over HTTPS. Data will be stored on dedicated servers with a redundant multi-tier network security infrastructure.</w:t>
      </w:r>
    </w:p>
    <w:p w:rsidRPr="00233EDE" w:rsidR="008D7806" w:rsidP="008D7806" w:rsidRDefault="008D7806" w14:paraId="483B2D2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233EDE" w:rsidR="008D7806" w:rsidP="008D7806" w:rsidRDefault="008D7806" w14:paraId="27561F55" w14:textId="03801C7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bookmarkStart w:name="_Hlk55986945" w:id="27"/>
      <w:r w:rsidRPr="00233EDE">
        <w:rPr>
          <w:rFonts w:ascii="Times New Roman" w:hAnsi="Times New Roman"/>
        </w:rPr>
        <w:t xml:space="preserve">Only </w:t>
      </w:r>
      <w:r w:rsidRPr="00233EDE" w:rsidR="00BD2850">
        <w:rPr>
          <w:rFonts w:ascii="Times New Roman" w:hAnsi="Times New Roman"/>
        </w:rPr>
        <w:t xml:space="preserve">KDH Research &amp; Communication and </w:t>
      </w:r>
      <w:r w:rsidRPr="00233EDE">
        <w:rPr>
          <w:rFonts w:ascii="Times New Roman" w:hAnsi="Times New Roman"/>
        </w:rPr>
        <w:t xml:space="preserve">Marketing Workshop will ever have data with PII. </w:t>
      </w:r>
      <w:r w:rsidRPr="00233EDE" w:rsidR="00412248">
        <w:rPr>
          <w:rFonts w:ascii="Times New Roman" w:hAnsi="Times New Roman"/>
        </w:rPr>
        <w:t xml:space="preserve">FCB and </w:t>
      </w:r>
      <w:r w:rsidRPr="00233EDE" w:rsidR="00265644">
        <w:rPr>
          <w:rFonts w:ascii="Times New Roman" w:hAnsi="Times New Roman"/>
        </w:rPr>
        <w:t xml:space="preserve">FDA will not have access to PII. </w:t>
      </w:r>
      <w:bookmarkEnd w:id="27"/>
      <w:r w:rsidRPr="00233EDE">
        <w:rPr>
          <w:rFonts w:ascii="Times New Roman" w:hAnsi="Times New Roman"/>
        </w:rPr>
        <w:t xml:space="preserve">All PII except for informed assents will be destroyed no later than three months after the last </w:t>
      </w:r>
      <w:r w:rsidRPr="00233EDE" w:rsidR="00F5795E">
        <w:rPr>
          <w:rFonts w:ascii="Times New Roman" w:hAnsi="Times New Roman"/>
        </w:rPr>
        <w:t>survey is completed</w:t>
      </w:r>
      <w:r w:rsidRPr="00233EDE">
        <w:rPr>
          <w:rFonts w:ascii="Times New Roman" w:hAnsi="Times New Roman"/>
        </w:rPr>
        <w:t xml:space="preserve">. Assents will be destroyed in three years. The data are backed up on a daily basis. No one can access the data unless it is required by law to protect participant rights or to comply with judicial proceedings, a court order, or other legal process. Data will be maintained on secure servers for a period of three years and then destroyed securely using best practices. </w:t>
      </w:r>
    </w:p>
    <w:p w:rsidRPr="00233EDE" w:rsidR="002E4765" w:rsidP="008D7806" w:rsidRDefault="002E4765" w14:paraId="4D068DB0" w14:textId="0F7683DD">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p>
    <w:p w:rsidRPr="00233EDE" w:rsidR="002E4765" w:rsidP="002E4765" w:rsidRDefault="002E4765" w14:paraId="005B967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Any online panel used in this study will follow the Standard of Good Practice (</w:t>
      </w:r>
      <w:proofErr w:type="spellStart"/>
      <w:r w:rsidRPr="00233EDE">
        <w:rPr>
          <w:rFonts w:ascii="Times New Roman" w:hAnsi="Times New Roman" w:eastAsia="Times New Roman" w:cs="Times New Roman"/>
          <w:szCs w:val="24"/>
        </w:rPr>
        <w:t>SoGP</w:t>
      </w:r>
      <w:proofErr w:type="spellEnd"/>
      <w:r w:rsidRPr="00233EDE">
        <w:rPr>
          <w:rFonts w:ascii="Times New Roman" w:hAnsi="Times New Roman" w:eastAsia="Times New Roman" w:cs="Times New Roman"/>
          <w:szCs w:val="24"/>
        </w:rPr>
        <w:t>,</w:t>
      </w:r>
    </w:p>
    <w:p w:rsidRPr="00233EDE" w:rsidR="002E4765" w:rsidP="002E4765" w:rsidRDefault="002E4765" w14:paraId="54A8F547" w14:textId="3C59DD4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https://www.securityforum.org/research/thestandardofgoodpractice2016/) security practices</w:t>
      </w:r>
    </w:p>
    <w:p w:rsidRPr="00233EDE" w:rsidR="002E4765" w:rsidP="002E4765" w:rsidRDefault="002E4765" w14:paraId="70D683A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which emphasize security management, safe business application protocol, safe computer</w:t>
      </w:r>
    </w:p>
    <w:p w:rsidRPr="00233EDE" w:rsidR="002E4765" w:rsidP="002E4765" w:rsidRDefault="002E4765" w14:paraId="4D2F31FD" w14:textId="73A7F10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installations, network fidelity, awareness of systems development requirements, and safety of the end-user environment. Following these guidelines, the monitoring of data and sensitive</w:t>
      </w:r>
    </w:p>
    <w:p w:rsidRPr="00233EDE" w:rsidR="002E4765" w:rsidP="002E4765" w:rsidRDefault="002E4765" w14:paraId="269D8D4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information will take place following the </w:t>
      </w:r>
      <w:proofErr w:type="spellStart"/>
      <w:r w:rsidRPr="00233EDE">
        <w:rPr>
          <w:rFonts w:ascii="Times New Roman" w:hAnsi="Times New Roman" w:eastAsia="Times New Roman" w:cs="Times New Roman"/>
          <w:szCs w:val="24"/>
        </w:rPr>
        <w:t>SoGP</w:t>
      </w:r>
      <w:proofErr w:type="spellEnd"/>
      <w:r w:rsidRPr="00233EDE">
        <w:rPr>
          <w:rFonts w:ascii="Times New Roman" w:hAnsi="Times New Roman" w:eastAsia="Times New Roman" w:cs="Times New Roman"/>
          <w:szCs w:val="24"/>
        </w:rPr>
        <w:t xml:space="preserve"> security practices such as limiting access to</w:t>
      </w:r>
    </w:p>
    <w:p w:rsidRPr="00233EDE" w:rsidR="002E4765" w:rsidP="00DC519F" w:rsidRDefault="002E4765" w14:paraId="66E0A605" w14:textId="2A3929F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information and data encryption. </w:t>
      </w:r>
      <w:r w:rsidRPr="00233EDE" w:rsidR="0088113C">
        <w:rPr>
          <w:rFonts w:ascii="Times New Roman" w:hAnsi="Times New Roman" w:eastAsia="Times New Roman" w:cs="Times New Roman"/>
          <w:szCs w:val="24"/>
        </w:rPr>
        <w:t>FCB and FDA</w:t>
      </w:r>
      <w:r w:rsidRPr="00233EDE">
        <w:rPr>
          <w:rFonts w:ascii="Times New Roman" w:hAnsi="Times New Roman" w:eastAsia="Times New Roman" w:cs="Times New Roman"/>
          <w:szCs w:val="24"/>
        </w:rPr>
        <w:t xml:space="preserve"> will receive de-identified data</w:t>
      </w:r>
      <w:r w:rsidRPr="00233EDE" w:rsidR="00F0652B">
        <w:rPr>
          <w:rFonts w:ascii="Times New Roman" w:hAnsi="Times New Roman" w:eastAsia="Times New Roman" w:cs="Times New Roman"/>
          <w:szCs w:val="24"/>
        </w:rPr>
        <w:t xml:space="preserve"> transmitted through an </w:t>
      </w:r>
      <w:r w:rsidRPr="00233EDE">
        <w:rPr>
          <w:rFonts w:ascii="Times New Roman" w:hAnsi="Times New Roman" w:eastAsia="Times New Roman" w:cs="Times New Roman"/>
          <w:szCs w:val="24"/>
        </w:rPr>
        <w:t>encrypted format via a</w:t>
      </w:r>
      <w:r w:rsidRPr="00233EDE" w:rsidR="00F0652B">
        <w:rPr>
          <w:rFonts w:ascii="Times New Roman" w:hAnsi="Times New Roman" w:eastAsia="Times New Roman" w:cs="Times New Roman"/>
          <w:szCs w:val="24"/>
        </w:rPr>
        <w:t>n</w:t>
      </w:r>
      <w:r w:rsidRPr="00233EDE" w:rsidR="00BD2850">
        <w:rPr>
          <w:rFonts w:ascii="Times New Roman" w:hAnsi="Times New Roman" w:eastAsia="Times New Roman" w:cs="Times New Roman"/>
          <w:szCs w:val="24"/>
        </w:rPr>
        <w:t xml:space="preserve"> </w:t>
      </w:r>
      <w:r w:rsidRPr="00233EDE">
        <w:rPr>
          <w:rFonts w:ascii="Times New Roman" w:hAnsi="Times New Roman" w:eastAsia="Times New Roman" w:cs="Times New Roman"/>
          <w:szCs w:val="24"/>
        </w:rPr>
        <w:t>encrypted and secure broadband connection.</w:t>
      </w:r>
    </w:p>
    <w:p w:rsidRPr="00233EDE" w:rsidR="008D7806" w:rsidP="002E4765" w:rsidRDefault="008D7806" w14:paraId="562B312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u w:val="single"/>
        </w:rPr>
      </w:pPr>
    </w:p>
    <w:p w:rsidRPr="00233EDE" w:rsidR="008D7806" w:rsidP="008D7806" w:rsidRDefault="008D7806" w14:paraId="66C2DA48" w14:textId="3A4B85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233EDE">
        <w:rPr>
          <w:rFonts w:ascii="Times New Roman" w:hAnsi="Times New Roman"/>
        </w:rPr>
        <w:t xml:space="preserve">When the raw data are downloaded from </w:t>
      </w:r>
      <w:r w:rsidRPr="00233EDE" w:rsidR="00BD2850">
        <w:rPr>
          <w:rFonts w:ascii="Times New Roman" w:hAnsi="Times New Roman"/>
        </w:rPr>
        <w:t>Confirmit</w:t>
      </w:r>
      <w:r w:rsidRPr="00233EDE">
        <w:rPr>
          <w:rFonts w:ascii="Times New Roman" w:hAnsi="Times New Roman"/>
        </w:rPr>
        <w:t>, the data will be in two</w:t>
      </w:r>
      <w:r w:rsidRPr="00233EDE" w:rsidR="00BD2850">
        <w:rPr>
          <w:rFonts w:ascii="Times New Roman" w:hAnsi="Times New Roman"/>
        </w:rPr>
        <w:t xml:space="preserve"> </w:t>
      </w:r>
      <w:r w:rsidRPr="00233EDE">
        <w:rPr>
          <w:rFonts w:ascii="Times New Roman" w:hAnsi="Times New Roman"/>
        </w:rPr>
        <w:t xml:space="preserve">datasets </w:t>
      </w:r>
      <w:r w:rsidRPr="00233EDE" w:rsidR="00F0652B">
        <w:rPr>
          <w:rFonts w:ascii="Times New Roman" w:hAnsi="Times New Roman"/>
        </w:rPr>
        <w:t xml:space="preserve">paired by </w:t>
      </w:r>
      <w:r w:rsidRPr="00233EDE">
        <w:rPr>
          <w:rFonts w:ascii="Times New Roman" w:hAnsi="Times New Roman"/>
        </w:rPr>
        <w:t xml:space="preserve">participant (1) </w:t>
      </w:r>
      <w:r w:rsidRPr="00233EDE" w:rsidR="003D266E">
        <w:rPr>
          <w:rFonts w:ascii="Times New Roman" w:hAnsi="Times New Roman"/>
        </w:rPr>
        <w:t>s</w:t>
      </w:r>
      <w:r w:rsidRPr="00233EDE">
        <w:rPr>
          <w:rFonts w:ascii="Times New Roman" w:hAnsi="Times New Roman"/>
        </w:rPr>
        <w:t xml:space="preserve">creener responses, and (2) </w:t>
      </w:r>
      <w:r w:rsidRPr="00233EDE" w:rsidR="003D266E">
        <w:rPr>
          <w:rFonts w:ascii="Times New Roman" w:hAnsi="Times New Roman"/>
        </w:rPr>
        <w:t>s</w:t>
      </w:r>
      <w:r w:rsidRPr="00233EDE" w:rsidR="009C131E">
        <w:rPr>
          <w:rFonts w:ascii="Times New Roman" w:hAnsi="Times New Roman"/>
        </w:rPr>
        <w:t>urvey</w:t>
      </w:r>
      <w:r w:rsidRPr="00233EDE">
        <w:rPr>
          <w:rFonts w:ascii="Times New Roman" w:hAnsi="Times New Roman"/>
        </w:rPr>
        <w:t xml:space="preserve"> responses. The respective screener and </w:t>
      </w:r>
      <w:r w:rsidRPr="00233EDE" w:rsidR="009C131E">
        <w:rPr>
          <w:rFonts w:ascii="Times New Roman" w:hAnsi="Times New Roman"/>
        </w:rPr>
        <w:t>survey</w:t>
      </w:r>
      <w:r w:rsidRPr="00233EDE">
        <w:rPr>
          <w:rFonts w:ascii="Times New Roman" w:hAnsi="Times New Roman"/>
        </w:rPr>
        <w:t xml:space="preserve"> datasets will be merged into </w:t>
      </w:r>
      <w:r w:rsidRPr="00233EDE" w:rsidR="00F5795E">
        <w:rPr>
          <w:rFonts w:ascii="Times New Roman" w:hAnsi="Times New Roman"/>
        </w:rPr>
        <w:t xml:space="preserve">a </w:t>
      </w:r>
      <w:r w:rsidRPr="00233EDE">
        <w:rPr>
          <w:rFonts w:ascii="Times New Roman" w:hAnsi="Times New Roman"/>
        </w:rPr>
        <w:t xml:space="preserve">participant data set using unique identifiers </w:t>
      </w:r>
      <w:r w:rsidRPr="00233EDE" w:rsidR="00F0652B">
        <w:rPr>
          <w:rFonts w:ascii="Times New Roman" w:hAnsi="Times New Roman"/>
        </w:rPr>
        <w:t>that</w:t>
      </w:r>
      <w:r w:rsidRPr="00233EDE">
        <w:rPr>
          <w:rFonts w:ascii="Times New Roman" w:hAnsi="Times New Roman"/>
        </w:rPr>
        <w:t xml:space="preserve"> do not </w:t>
      </w:r>
      <w:r w:rsidRPr="00233EDE">
        <w:rPr>
          <w:rFonts w:ascii="Times New Roman" w:hAnsi="Times New Roman" w:cs="Times New Roman"/>
        </w:rPr>
        <w:t>contain PII</w:t>
      </w:r>
      <w:r w:rsidRPr="00233EDE" w:rsidR="00F0652B">
        <w:rPr>
          <w:rFonts w:ascii="Times New Roman" w:hAnsi="Times New Roman" w:cs="Times New Roman"/>
        </w:rPr>
        <w:t xml:space="preserve">. </w:t>
      </w:r>
      <w:r w:rsidRPr="00233EDE" w:rsidR="009C214D">
        <w:rPr>
          <w:rFonts w:ascii="Times New Roman" w:hAnsi="Times New Roman" w:cs="Times New Roman"/>
        </w:rPr>
        <w:t>KDH Research and Communication and Marketing Workshop</w:t>
      </w:r>
      <w:r w:rsidRPr="00233EDE" w:rsidR="00891787">
        <w:rPr>
          <w:rFonts w:ascii="Times New Roman" w:hAnsi="Times New Roman" w:cs="Times New Roman"/>
        </w:rPr>
        <w:t xml:space="preserve"> </w:t>
      </w:r>
      <w:r w:rsidRPr="00233EDE" w:rsidR="00F0652B">
        <w:rPr>
          <w:rFonts w:ascii="Times New Roman" w:hAnsi="Times New Roman" w:cs="Times New Roman"/>
        </w:rPr>
        <w:t xml:space="preserve">will clean the data using </w:t>
      </w:r>
      <w:r w:rsidRPr="00233EDE">
        <w:rPr>
          <w:rFonts w:ascii="Times New Roman" w:hAnsi="Times New Roman" w:cs="Times New Roman"/>
        </w:rPr>
        <w:t xml:space="preserve">SPSS. The datasets will go through a thorough review and data cleaning process to remove unfinished, duplicate, and/or fraudulent surveys, and a de-identified dataset will be created for analysis. Only members of the research </w:t>
      </w:r>
      <w:r w:rsidRPr="00233EDE" w:rsidR="0058084A">
        <w:rPr>
          <w:rFonts w:ascii="Times New Roman" w:hAnsi="Times New Roman" w:cs="Times New Roman"/>
        </w:rPr>
        <w:t xml:space="preserve">team </w:t>
      </w:r>
      <w:r w:rsidRPr="00233EDE" w:rsidR="00276E06">
        <w:rPr>
          <w:rFonts w:ascii="Times New Roman" w:hAnsi="Times New Roman" w:cs="Times New Roman"/>
          <w:szCs w:val="24"/>
        </w:rPr>
        <w:t>(i.e.</w:t>
      </w:r>
      <w:r w:rsidR="00EE10F4">
        <w:rPr>
          <w:rFonts w:ascii="Times New Roman" w:hAnsi="Times New Roman" w:cs="Times New Roman"/>
          <w:szCs w:val="24"/>
        </w:rPr>
        <w:t>,</w:t>
      </w:r>
      <w:r w:rsidRPr="00233EDE" w:rsidR="00276E06">
        <w:rPr>
          <w:rFonts w:ascii="Times New Roman" w:hAnsi="Times New Roman" w:cs="Times New Roman"/>
          <w:szCs w:val="24"/>
        </w:rPr>
        <w:t xml:space="preserve"> FDA CTP, KDH Research and Communication, and FCB) </w:t>
      </w:r>
      <w:r w:rsidRPr="00233EDE">
        <w:rPr>
          <w:rFonts w:ascii="Times New Roman" w:hAnsi="Times New Roman" w:cs="Times New Roman"/>
        </w:rPr>
        <w:t xml:space="preserve">will have access to the de-identified raw data files. </w:t>
      </w:r>
      <w:r w:rsidRPr="00233EDE" w:rsidR="00265644">
        <w:rPr>
          <w:rFonts w:ascii="Times New Roman" w:hAnsi="Times New Roman" w:cs="Times New Roman"/>
        </w:rPr>
        <w:t>FDA</w:t>
      </w:r>
      <w:r w:rsidRPr="00233EDE" w:rsidR="00F5795E">
        <w:rPr>
          <w:rFonts w:ascii="Times New Roman" w:hAnsi="Times New Roman" w:cs="Times New Roman"/>
        </w:rPr>
        <w:t>/CTP and FCB</w:t>
      </w:r>
      <w:r w:rsidRPr="00233EDE">
        <w:rPr>
          <w:rFonts w:ascii="Times New Roman" w:hAnsi="Times New Roman" w:cs="Times New Roman"/>
        </w:rPr>
        <w:t xml:space="preserve"> will never receive any </w:t>
      </w:r>
      <w:r w:rsidRPr="00233EDE" w:rsidR="00F0652B">
        <w:rPr>
          <w:rFonts w:ascii="Times New Roman" w:hAnsi="Times New Roman" w:cs="Times New Roman"/>
        </w:rPr>
        <w:t>PII</w:t>
      </w:r>
      <w:r w:rsidRPr="00233EDE">
        <w:rPr>
          <w:rFonts w:ascii="Times New Roman" w:hAnsi="Times New Roman" w:cs="Times New Roman"/>
        </w:rPr>
        <w:t xml:space="preserve">. </w:t>
      </w:r>
    </w:p>
    <w:p w:rsidRPr="00233EDE" w:rsidR="00D54A74" w:rsidP="00A35C6D" w:rsidRDefault="00D54A74" w14:paraId="4C0EBD5F" w14:textId="10EA83B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30823" w:rsidP="00F54BCC" w:rsidRDefault="00B30823" w14:paraId="6AF7E02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Pr="00233EDE" w:rsidR="00BE1FCB" w:rsidP="00BE1FCB" w:rsidRDefault="00BE1FCB" w14:paraId="659C476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2" w:id="28"/>
      <w:r w:rsidRPr="00233EDE">
        <w:rPr>
          <w:rFonts w:ascii="Times New Roman" w:hAnsi="Times New Roman" w:eastAsia="Times New Roman" w:cs="Times New Roman"/>
          <w:b/>
          <w:bCs/>
          <w:szCs w:val="24"/>
        </w:rPr>
        <w:t xml:space="preserve">11. </w:t>
      </w:r>
      <w:r w:rsidRPr="00233EDE">
        <w:rPr>
          <w:rFonts w:ascii="Times New Roman" w:hAnsi="Times New Roman" w:eastAsia="Times New Roman" w:cs="Times New Roman"/>
          <w:b/>
          <w:bCs/>
          <w:szCs w:val="24"/>
          <w:u w:val="single"/>
        </w:rPr>
        <w:t>Justification for Sensitive Questions</w:t>
      </w:r>
      <w:bookmarkEnd w:id="28"/>
    </w:p>
    <w:p w:rsidRPr="00233EDE" w:rsidR="00BE1FCB" w:rsidP="00BE1FCB" w:rsidRDefault="00BE1FCB" w14:paraId="376B7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3197FF68" w14:textId="2B490E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The majority of questions asked will not be sensitive</w:t>
      </w:r>
      <w:r w:rsidRPr="00233EDE" w:rsidR="00F0652B">
        <w:rPr>
          <w:rFonts w:ascii="Times New Roman" w:hAnsi="Times New Roman" w:eastAsia="Times New Roman" w:cs="Times New Roman"/>
          <w:szCs w:val="24"/>
        </w:rPr>
        <w:t xml:space="preserve">, but some will ask about </w:t>
      </w:r>
      <w:r w:rsidRPr="00233EDE">
        <w:rPr>
          <w:rFonts w:ascii="Times New Roman" w:hAnsi="Times New Roman" w:eastAsia="Times New Roman" w:cs="Times New Roman"/>
          <w:szCs w:val="24"/>
        </w:rPr>
        <w:t xml:space="preserve">specific health behaviors such as tobacco product use. These </w:t>
      </w:r>
      <w:r w:rsidRPr="00233EDE" w:rsidR="00F0652B">
        <w:rPr>
          <w:rFonts w:ascii="Times New Roman" w:hAnsi="Times New Roman" w:eastAsia="Times New Roman" w:cs="Times New Roman"/>
          <w:szCs w:val="24"/>
        </w:rPr>
        <w:t xml:space="preserve">sensitive </w:t>
      </w:r>
      <w:r w:rsidRPr="00233EDE">
        <w:rPr>
          <w:rFonts w:ascii="Times New Roman" w:hAnsi="Times New Roman" w:eastAsia="Times New Roman" w:cs="Times New Roman"/>
          <w:szCs w:val="24"/>
        </w:rPr>
        <w:t xml:space="preserve">questions are essential to the objectives of this data collection. Although we do not anticipate any risks from these health questions, some participants may perceive them to be sensitive. Questions about messages concerning lifestyle (e.g., tobacco product use) and some demographic information, such as race and ethnicity could also be considered sensitive, but not highly sensitive. To address any concerns about inadvertent disclosure of sensitive information, participants will be fully informed of the applicable privacy safeguards. The informed </w:t>
      </w:r>
      <w:r w:rsidRPr="00233EDE" w:rsidR="005A1F26">
        <w:rPr>
          <w:rFonts w:ascii="Times New Roman" w:hAnsi="Times New Roman" w:eastAsia="Times New Roman" w:cs="Times New Roman"/>
          <w:szCs w:val="24"/>
        </w:rPr>
        <w:t>assent</w:t>
      </w:r>
      <w:r w:rsidRPr="00233EDE">
        <w:rPr>
          <w:rFonts w:ascii="Times New Roman" w:hAnsi="Times New Roman" w:eastAsia="Times New Roman" w:cs="Times New Roman"/>
          <w:szCs w:val="24"/>
        </w:rPr>
        <w:t xml:space="preserve"> protocol will notify participants that these topics will be covered in the survey. This study includes a number of procedures and methodological characteristics that will minimize potential negative reactions to these types of question</w:t>
      </w:r>
      <w:r w:rsidRPr="00233EDE" w:rsidR="00BA442A">
        <w:rPr>
          <w:rFonts w:ascii="Times New Roman" w:hAnsi="Times New Roman" w:eastAsia="Times New Roman" w:cs="Times New Roman"/>
          <w:szCs w:val="24"/>
        </w:rPr>
        <w:t>s</w:t>
      </w:r>
      <w:r w:rsidRPr="00233EDE">
        <w:rPr>
          <w:rFonts w:ascii="Times New Roman" w:hAnsi="Times New Roman" w:eastAsia="Times New Roman" w:cs="Times New Roman"/>
          <w:szCs w:val="24"/>
        </w:rPr>
        <w:t>, including the following:</w:t>
      </w:r>
    </w:p>
    <w:p w:rsidRPr="00233EDE" w:rsidR="00B30823" w:rsidP="00BE1FCB" w:rsidRDefault="00B30823" w14:paraId="589DF64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2F2DFBFE" w14:textId="64D1B542">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233EDE">
        <w:rPr>
          <w:rFonts w:ascii="Times New Roman" w:hAnsi="Times New Roman" w:eastAsia="Times New Roman" w:cs="Times New Roman"/>
          <w:szCs w:val="24"/>
        </w:rPr>
        <w:t>Participants will be informed that they need not answer any question that makes them feel uncomfortable or that they simply do not wish to answer</w:t>
      </w:r>
      <w:r w:rsidR="008E26C4">
        <w:rPr>
          <w:rFonts w:ascii="Times New Roman" w:hAnsi="Times New Roman" w:eastAsia="Times New Roman" w:cs="Times New Roman"/>
          <w:szCs w:val="24"/>
        </w:rPr>
        <w:t>.</w:t>
      </w:r>
    </w:p>
    <w:p w:rsidRPr="00233EDE" w:rsidR="00BE1FCB" w:rsidP="00BE1FCB" w:rsidRDefault="00394DE0" w14:paraId="1229167E" w14:textId="182F136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233EDE">
        <w:rPr>
          <w:rFonts w:ascii="Times New Roman" w:hAnsi="Times New Roman" w:eastAsia="Times New Roman" w:cs="Times New Roman"/>
          <w:szCs w:val="24"/>
        </w:rPr>
        <w:t>Online</w:t>
      </w:r>
      <w:r w:rsidRPr="00233EDE" w:rsidR="00BE1FCB">
        <w:rPr>
          <w:rFonts w:ascii="Times New Roman" w:hAnsi="Times New Roman" w:eastAsia="Times New Roman" w:cs="Times New Roman"/>
          <w:szCs w:val="24"/>
        </w:rPr>
        <w:t xml:space="preserve"> surveys are entirely self-administered and maximize respondent privacy without the need to verbalize responses; and</w:t>
      </w:r>
    </w:p>
    <w:p w:rsidRPr="00233EDE" w:rsidR="00BE1FCB" w:rsidP="00BE1FCB" w:rsidRDefault="00BE1FCB" w14:paraId="4D50A3BC" w14:textId="7341BBA5">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Participants will be provided with a phone number and email address for the Principal Investigator should they have any questions or concerns about the study. </w:t>
      </w:r>
    </w:p>
    <w:p w:rsidRPr="00233EDE" w:rsidR="00BE1FCB" w:rsidP="00BE1FCB" w:rsidRDefault="00BE1FCB" w14:paraId="29A6337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E1FCB" w:rsidP="00BE1FCB" w:rsidRDefault="00BE1FCB" w14:paraId="68116A11" w14:textId="760800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bookmarkStart w:name="_Toc239649233" w:id="29"/>
    </w:p>
    <w:p w:rsidR="00CE657C" w:rsidP="00BE1FCB" w:rsidRDefault="00CE657C" w14:paraId="2BF51290" w14:textId="73D5DC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00CE657C" w:rsidP="00BE1FCB" w:rsidRDefault="00CE657C" w14:paraId="6E8770E9" w14:textId="5D039E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Pr="00233EDE" w:rsidR="00CE657C" w:rsidP="00BE1FCB" w:rsidRDefault="00CE657C" w14:paraId="6EE242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Pr="00233EDE" w:rsidR="00BE1FCB" w:rsidP="004D5C89" w:rsidRDefault="00BE1FCB" w14:paraId="7F1F087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Times New Roman" w:cs="Times New Roman"/>
          <w:b/>
          <w:bCs/>
          <w:szCs w:val="24"/>
          <w:u w:val="single"/>
        </w:rPr>
      </w:pPr>
      <w:r w:rsidRPr="00233EDE">
        <w:rPr>
          <w:rFonts w:ascii="Times New Roman" w:hAnsi="Times New Roman" w:eastAsia="Times New Roman" w:cs="Times New Roman"/>
          <w:b/>
          <w:bCs/>
          <w:szCs w:val="24"/>
        </w:rPr>
        <w:lastRenderedPageBreak/>
        <w:t xml:space="preserve">12.  </w:t>
      </w:r>
      <w:r w:rsidRPr="00233EDE">
        <w:rPr>
          <w:rFonts w:ascii="Times New Roman" w:hAnsi="Times New Roman" w:eastAsia="Times New Roman" w:cs="Times New Roman"/>
          <w:b/>
          <w:bCs/>
          <w:szCs w:val="24"/>
          <w:u w:val="single"/>
        </w:rPr>
        <w:t>Estimates of Annualized Burden Hours and Costs</w:t>
      </w:r>
      <w:bookmarkEnd w:id="29"/>
    </w:p>
    <w:p w:rsidRPr="00233EDE" w:rsidR="00BE1FCB" w:rsidP="00BE1FCB" w:rsidRDefault="00BE1FCB" w14:paraId="64945B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2A78C6C0" w14:textId="1D0068E3">
      <w:pPr>
        <w:autoSpaceDE w:val="0"/>
        <w:autoSpaceDN w:val="0"/>
        <w:adjustRightInd w:val="0"/>
        <w:ind w:left="180"/>
        <w:rPr>
          <w:rFonts w:ascii="Times New Roman" w:hAnsi="Times New Roman" w:eastAsia="Times New Roman" w:cs="Times New Roman"/>
          <w:szCs w:val="24"/>
        </w:rPr>
      </w:pPr>
      <w:r w:rsidRPr="00233EDE">
        <w:rPr>
          <w:rFonts w:ascii="Times New Roman" w:hAnsi="Times New Roman"/>
          <w:u w:val="single"/>
        </w:rPr>
        <w:t>12 a. Annualized Hour Burden Estimate</w:t>
      </w:r>
    </w:p>
    <w:p w:rsidRPr="00233EDE" w:rsidR="00E93353" w:rsidP="00E93353" w:rsidRDefault="00BE1FCB" w14:paraId="7AF43948" w14:textId="1E22C520">
      <w:pPr>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An estimated one-time reporting burden for this collection will be approximately </w:t>
      </w:r>
      <w:r w:rsidR="008E26C4">
        <w:rPr>
          <w:rFonts w:ascii="Times New Roman" w:hAnsi="Times New Roman"/>
        </w:rPr>
        <w:t>2,100</w:t>
      </w:r>
      <w:r w:rsidRPr="00233EDE" w:rsidR="007F358E">
        <w:rPr>
          <w:rFonts w:ascii="Times New Roman" w:hAnsi="Times New Roman"/>
        </w:rPr>
        <w:t xml:space="preserve"> </w:t>
      </w:r>
      <w:r w:rsidRPr="00233EDE">
        <w:rPr>
          <w:rFonts w:ascii="Times New Roman" w:hAnsi="Times New Roman" w:eastAsia="Times New Roman" w:cs="Times New Roman"/>
          <w:szCs w:val="24"/>
        </w:rPr>
        <w:t>hours (Table 1</w:t>
      </w:r>
      <w:bookmarkStart w:name="_Toc361824170" w:id="30"/>
      <w:r w:rsidRPr="00233EDE">
        <w:rPr>
          <w:rFonts w:ascii="Times New Roman" w:hAnsi="Times New Roman" w:eastAsia="Times New Roman" w:cs="Times New Roman"/>
          <w:szCs w:val="24"/>
        </w:rPr>
        <w:t xml:space="preserve">). </w:t>
      </w:r>
      <w:bookmarkStart w:name="_Hlk45028396" w:id="31"/>
      <w:r w:rsidRPr="00233EDE" w:rsidR="003F6F63">
        <w:rPr>
          <w:rFonts w:ascii="Times New Roman" w:hAnsi="Times New Roman" w:eastAsia="Times New Roman" w:cs="Times New Roman"/>
          <w:szCs w:val="24"/>
        </w:rPr>
        <w:t xml:space="preserve">We will obtain a final sample size of </w:t>
      </w:r>
      <w:r w:rsidR="00A17A59">
        <w:rPr>
          <w:rFonts w:ascii="Times New Roman" w:hAnsi="Times New Roman" w:eastAsia="Times New Roman" w:cs="Times New Roman"/>
          <w:szCs w:val="24"/>
        </w:rPr>
        <w:t>2</w:t>
      </w:r>
      <w:r w:rsidRPr="00233EDE" w:rsidR="006D3602">
        <w:rPr>
          <w:rFonts w:ascii="Times New Roman" w:hAnsi="Times New Roman" w:eastAsia="Times New Roman" w:cs="Times New Roman"/>
          <w:szCs w:val="24"/>
        </w:rPr>
        <w:t>,0</w:t>
      </w:r>
      <w:r w:rsidRPr="00233EDE" w:rsidR="00B84874">
        <w:rPr>
          <w:rFonts w:ascii="Times New Roman" w:hAnsi="Times New Roman" w:eastAsia="Times New Roman" w:cs="Times New Roman"/>
          <w:szCs w:val="24"/>
        </w:rPr>
        <w:t xml:space="preserve">00 </w:t>
      </w:r>
      <w:r w:rsidRPr="00233EDE" w:rsidR="003F6F63">
        <w:rPr>
          <w:rFonts w:ascii="Times New Roman" w:hAnsi="Times New Roman" w:eastAsia="Times New Roman" w:cs="Times New Roman"/>
          <w:szCs w:val="24"/>
        </w:rPr>
        <w:t xml:space="preserve">youth </w:t>
      </w:r>
      <w:r w:rsidRPr="00233EDE" w:rsidR="00D44F75">
        <w:rPr>
          <w:rFonts w:ascii="Times New Roman" w:hAnsi="Times New Roman" w:eastAsia="Times New Roman" w:cs="Times New Roman"/>
          <w:szCs w:val="24"/>
        </w:rPr>
        <w:t>(13- 17)</w:t>
      </w:r>
      <w:r w:rsidRPr="00233EDE" w:rsidR="003F6F63">
        <w:rPr>
          <w:rFonts w:ascii="Times New Roman" w:hAnsi="Times New Roman" w:eastAsia="Times New Roman" w:cs="Times New Roman"/>
          <w:szCs w:val="24"/>
        </w:rPr>
        <w:t>.</w:t>
      </w:r>
      <w:bookmarkEnd w:id="31"/>
      <w:r w:rsidRPr="00233EDE" w:rsidR="003F6F63">
        <w:rPr>
          <w:rFonts w:ascii="Times New Roman" w:hAnsi="Times New Roman" w:eastAsia="Times New Roman" w:cs="Times New Roman"/>
          <w:szCs w:val="24"/>
        </w:rPr>
        <w:t xml:space="preserve"> </w:t>
      </w:r>
      <w:r w:rsidRPr="00233EDE" w:rsidR="00D44F75">
        <w:rPr>
          <w:rFonts w:ascii="Times New Roman" w:hAnsi="Times New Roman" w:eastAsia="Times New Roman" w:cs="Times New Roman"/>
          <w:szCs w:val="24"/>
        </w:rPr>
        <w:t>We will survey up to 750 youth</w:t>
      </w:r>
      <w:r w:rsidRPr="00233EDE" w:rsidR="006C46E9">
        <w:rPr>
          <w:rFonts w:ascii="Times New Roman" w:hAnsi="Times New Roman" w:eastAsia="Times New Roman" w:cs="Times New Roman"/>
          <w:szCs w:val="24"/>
        </w:rPr>
        <w:t xml:space="preserve"> </w:t>
      </w:r>
      <w:r w:rsidRPr="00233EDE" w:rsidR="004621F7">
        <w:rPr>
          <w:rFonts w:ascii="Times New Roman" w:hAnsi="Times New Roman" w:eastAsia="Times New Roman" w:cs="Times New Roman"/>
          <w:szCs w:val="24"/>
        </w:rPr>
        <w:t xml:space="preserve">approximately </w:t>
      </w:r>
      <w:r w:rsidRPr="00233EDE" w:rsidR="00B941E0">
        <w:rPr>
          <w:rFonts w:ascii="Times New Roman" w:hAnsi="Times New Roman" w:eastAsia="Times New Roman" w:cs="Times New Roman"/>
          <w:szCs w:val="24"/>
        </w:rPr>
        <w:t>quarterly</w:t>
      </w:r>
      <w:r w:rsidRPr="00233EDE" w:rsidR="004C17B2">
        <w:rPr>
          <w:rFonts w:ascii="Times New Roman" w:hAnsi="Times New Roman" w:eastAsia="Times New Roman" w:cs="Times New Roman"/>
          <w:szCs w:val="24"/>
        </w:rPr>
        <w:t xml:space="preserve"> </w:t>
      </w:r>
      <w:r w:rsidRPr="00233EDE" w:rsidR="006D3602">
        <w:rPr>
          <w:rFonts w:ascii="Times New Roman" w:hAnsi="Times New Roman" w:eastAsia="Times New Roman" w:cs="Times New Roman"/>
          <w:szCs w:val="24"/>
        </w:rPr>
        <w:t xml:space="preserve">for </w:t>
      </w:r>
      <w:r w:rsidRPr="00233EDE" w:rsidR="004621F7">
        <w:rPr>
          <w:rFonts w:ascii="Times New Roman" w:hAnsi="Times New Roman" w:eastAsia="Times New Roman" w:cs="Times New Roman"/>
          <w:szCs w:val="24"/>
        </w:rPr>
        <w:t xml:space="preserve">up to </w:t>
      </w:r>
      <w:r w:rsidR="00412B1B">
        <w:rPr>
          <w:rFonts w:ascii="Times New Roman" w:hAnsi="Times New Roman" w:eastAsia="Times New Roman" w:cs="Times New Roman"/>
          <w:szCs w:val="24"/>
        </w:rPr>
        <w:t>two rounds</w:t>
      </w:r>
      <w:r w:rsidRPr="00233EDE" w:rsidR="004621F7">
        <w:rPr>
          <w:rFonts w:ascii="Times New Roman" w:hAnsi="Times New Roman" w:eastAsia="Times New Roman" w:cs="Times New Roman"/>
          <w:szCs w:val="24"/>
        </w:rPr>
        <w:t xml:space="preserve"> of data collection</w:t>
      </w:r>
      <w:r w:rsidRPr="00233EDE" w:rsidR="00B941E0">
        <w:rPr>
          <w:rFonts w:ascii="Times New Roman" w:hAnsi="Times New Roman" w:eastAsia="Times New Roman" w:cs="Times New Roman"/>
          <w:szCs w:val="24"/>
        </w:rPr>
        <w:t xml:space="preserve">. </w:t>
      </w:r>
    </w:p>
    <w:p w:rsidRPr="00233EDE" w:rsidR="00E93353" w:rsidP="00E93353" w:rsidRDefault="00E93353" w14:paraId="59E41A58" w14:textId="77777777">
      <w:pPr>
        <w:autoSpaceDE w:val="0"/>
        <w:autoSpaceDN w:val="0"/>
        <w:adjustRightInd w:val="0"/>
        <w:ind w:left="180"/>
        <w:rPr>
          <w:rFonts w:ascii="Times New Roman" w:hAnsi="Times New Roman" w:eastAsia="Times New Roman" w:cs="Times New Roman"/>
          <w:szCs w:val="24"/>
        </w:rPr>
      </w:pPr>
    </w:p>
    <w:p w:rsidRPr="00233EDE" w:rsidR="00BE1FCB" w:rsidP="00E93353" w:rsidRDefault="00D44F75" w14:paraId="6E572B79" w14:textId="06468189">
      <w:pPr>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b/>
          <w:szCs w:val="24"/>
        </w:rPr>
        <w:t>T</w:t>
      </w:r>
      <w:r w:rsidRPr="00233EDE" w:rsidR="00BE1FCB">
        <w:rPr>
          <w:rFonts w:ascii="Times New Roman" w:hAnsi="Times New Roman" w:eastAsia="Times New Roman" w:cs="Times New Roman"/>
          <w:b/>
          <w:szCs w:val="24"/>
        </w:rPr>
        <w:t>able 1. Estimated Annual Reporting Burden</w:t>
      </w:r>
      <w:bookmarkEnd w:id="30"/>
    </w:p>
    <w:tbl>
      <w:tblPr>
        <w:tblW w:w="9630" w:type="dxa"/>
        <w:tblInd w:w="180" w:type="dxa"/>
        <w:tblBorders>
          <w:top w:val="single" w:color="auto" w:sz="12" w:space="0"/>
          <w:bottom w:val="single" w:color="auto" w:sz="12" w:space="0"/>
          <w:insideH w:val="single" w:color="auto" w:sz="6" w:space="0"/>
          <w:insideV w:val="single" w:color="auto" w:sz="6" w:space="0"/>
        </w:tblBorders>
        <w:tblLayout w:type="fixed"/>
        <w:tblCellMar>
          <w:left w:w="29" w:type="dxa"/>
          <w:right w:w="29" w:type="dxa"/>
        </w:tblCellMar>
        <w:tblLook w:val="00A0" w:firstRow="1" w:lastRow="0" w:firstColumn="1" w:lastColumn="0" w:noHBand="0" w:noVBand="0"/>
      </w:tblPr>
      <w:tblGrid>
        <w:gridCol w:w="2251"/>
        <w:gridCol w:w="28"/>
        <w:gridCol w:w="1888"/>
        <w:gridCol w:w="13"/>
        <w:gridCol w:w="951"/>
        <w:gridCol w:w="28"/>
        <w:gridCol w:w="1051"/>
        <w:gridCol w:w="1080"/>
        <w:gridCol w:w="1080"/>
        <w:gridCol w:w="1260"/>
      </w:tblGrid>
      <w:tr w:rsidRPr="00233EDE" w:rsidR="00BE1FCB" w:rsidTr="00674B86" w14:paraId="0D53B4C4" w14:textId="77777777">
        <w:trPr>
          <w:cantSplit/>
        </w:trPr>
        <w:tc>
          <w:tcPr>
            <w:tcW w:w="2251" w:type="dxa"/>
            <w:vAlign w:val="center"/>
          </w:tcPr>
          <w:p w:rsidRPr="00233EDE" w:rsidR="00BE1FCB" w:rsidP="00B30823" w:rsidRDefault="00BE1FCB" w14:paraId="212BAAC2" w14:textId="77777777">
            <w:pPr>
              <w:keepNext/>
              <w:autoSpaceDE w:val="0"/>
              <w:autoSpaceDN w:val="0"/>
              <w:adjustRightInd w:val="0"/>
              <w:ind w:left="180"/>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Type of Respondent</w:t>
            </w:r>
          </w:p>
        </w:tc>
        <w:tc>
          <w:tcPr>
            <w:tcW w:w="1929" w:type="dxa"/>
            <w:gridSpan w:val="3"/>
            <w:vAlign w:val="center"/>
          </w:tcPr>
          <w:p w:rsidRPr="00233EDE" w:rsidR="00BE1FCB" w:rsidP="00B30823" w:rsidRDefault="00BE1FCB" w14:paraId="23429A3D" w14:textId="77777777">
            <w:pPr>
              <w:keepNext/>
              <w:autoSpaceDE w:val="0"/>
              <w:autoSpaceDN w:val="0"/>
              <w:adjustRightInd w:val="0"/>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Activity</w:t>
            </w:r>
          </w:p>
        </w:tc>
        <w:tc>
          <w:tcPr>
            <w:tcW w:w="951" w:type="dxa"/>
            <w:vAlign w:val="center"/>
          </w:tcPr>
          <w:p w:rsidRPr="00233EDE" w:rsidR="00BE1FCB" w:rsidP="00B30823" w:rsidRDefault="00BE1FCB" w14:paraId="4D23CDC2" w14:textId="77777777">
            <w:pPr>
              <w:keepNext/>
              <w:autoSpaceDE w:val="0"/>
              <w:autoSpaceDN w:val="0"/>
              <w:adjustRightInd w:val="0"/>
              <w:ind w:left="-66"/>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Number of Respondents</w:t>
            </w:r>
          </w:p>
        </w:tc>
        <w:tc>
          <w:tcPr>
            <w:tcW w:w="1079" w:type="dxa"/>
            <w:gridSpan w:val="2"/>
            <w:vAlign w:val="center"/>
          </w:tcPr>
          <w:p w:rsidRPr="00233EDE" w:rsidR="00BE1FCB" w:rsidP="00674B86" w:rsidRDefault="00BE1FCB" w14:paraId="71995CC5" w14:textId="77777777">
            <w:pPr>
              <w:keepNext/>
              <w:autoSpaceDE w:val="0"/>
              <w:autoSpaceDN w:val="0"/>
              <w:adjustRightInd w:val="0"/>
              <w:ind w:left="-29"/>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Number of Responses per Respondent</w:t>
            </w:r>
          </w:p>
        </w:tc>
        <w:tc>
          <w:tcPr>
            <w:tcW w:w="1080" w:type="dxa"/>
            <w:vAlign w:val="center"/>
          </w:tcPr>
          <w:p w:rsidRPr="00233EDE" w:rsidR="00BE1FCB" w:rsidP="00B30823" w:rsidRDefault="00BE1FCB" w14:paraId="2388F4D8" w14:textId="77777777">
            <w:pPr>
              <w:keepNext/>
              <w:autoSpaceDE w:val="0"/>
              <w:autoSpaceDN w:val="0"/>
              <w:adjustRightInd w:val="0"/>
              <w:ind w:left="180"/>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Total Responses</w:t>
            </w:r>
          </w:p>
        </w:tc>
        <w:tc>
          <w:tcPr>
            <w:tcW w:w="1080" w:type="dxa"/>
            <w:vAlign w:val="center"/>
          </w:tcPr>
          <w:p w:rsidRPr="00233EDE" w:rsidR="00BE1FCB" w:rsidP="00674B86" w:rsidRDefault="00BE1FCB" w14:paraId="5825BEEF" w14:textId="07633919">
            <w:pPr>
              <w:keepNext/>
              <w:autoSpaceDE w:val="0"/>
              <w:autoSpaceDN w:val="0"/>
              <w:adjustRightInd w:val="0"/>
              <w:ind w:left="-29"/>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Average Burden per Response</w:t>
            </w:r>
          </w:p>
        </w:tc>
        <w:tc>
          <w:tcPr>
            <w:tcW w:w="1260" w:type="dxa"/>
            <w:vAlign w:val="center"/>
          </w:tcPr>
          <w:p w:rsidRPr="00233EDE" w:rsidR="00BE1FCB" w:rsidP="00674B86" w:rsidRDefault="00BE1FCB" w14:paraId="3B1AC711" w14:textId="77777777">
            <w:pPr>
              <w:keepNext/>
              <w:autoSpaceDE w:val="0"/>
              <w:autoSpaceDN w:val="0"/>
              <w:adjustRightInd w:val="0"/>
              <w:jc w:val="center"/>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Total Hours¹</w:t>
            </w:r>
          </w:p>
        </w:tc>
      </w:tr>
      <w:tr w:rsidRPr="00233EDE" w:rsidR="006D3602" w:rsidTr="00674B86" w14:paraId="169FAF0C" w14:textId="77777777">
        <w:trPr>
          <w:cantSplit/>
          <w:trHeight w:val="318"/>
        </w:trPr>
        <w:tc>
          <w:tcPr>
            <w:tcW w:w="2251" w:type="dxa"/>
            <w:vAlign w:val="center"/>
          </w:tcPr>
          <w:p w:rsidRPr="00233EDE" w:rsidR="006D3602" w:rsidP="006D3602" w:rsidRDefault="006D3602" w14:paraId="218EAA01" w14:textId="7756F005">
            <w:pPr>
              <w:keepNext/>
              <w:autoSpaceDE w:val="0"/>
              <w:autoSpaceDN w:val="0"/>
              <w:adjustRightInd w:val="0"/>
              <w:ind w:left="180"/>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Parent Email Invitation</w:t>
            </w:r>
            <w:r w:rsidR="00B3249B">
              <w:rPr>
                <w:rFonts w:ascii="Times New Roman" w:hAnsi="Times New Roman" w:eastAsia="Times New Roman" w:cs="Times New Roman"/>
                <w:b/>
                <w:sz w:val="16"/>
                <w:szCs w:val="24"/>
              </w:rPr>
              <w:t>/Opt-Out</w:t>
            </w:r>
          </w:p>
        </w:tc>
        <w:tc>
          <w:tcPr>
            <w:tcW w:w="1929" w:type="dxa"/>
            <w:gridSpan w:val="3"/>
            <w:vAlign w:val="center"/>
          </w:tcPr>
          <w:p w:rsidRPr="00233EDE" w:rsidR="006D3602" w:rsidP="00B30823" w:rsidRDefault="006D3602" w14:paraId="791CA3A1" w14:textId="77777777">
            <w:pPr>
              <w:keepNext/>
              <w:autoSpaceDE w:val="0"/>
              <w:autoSpaceDN w:val="0"/>
              <w:adjustRightInd w:val="0"/>
              <w:jc w:val="center"/>
              <w:rPr>
                <w:rFonts w:ascii="Times New Roman" w:hAnsi="Times New Roman" w:eastAsia="Times New Roman" w:cs="Times New Roman"/>
                <w:b/>
                <w:sz w:val="16"/>
                <w:szCs w:val="24"/>
              </w:rPr>
            </w:pPr>
          </w:p>
        </w:tc>
        <w:tc>
          <w:tcPr>
            <w:tcW w:w="951" w:type="dxa"/>
            <w:vAlign w:val="center"/>
          </w:tcPr>
          <w:p w:rsidRPr="00233EDE" w:rsidR="006D3602" w:rsidP="00B30823" w:rsidRDefault="006D3602" w14:paraId="5ABE4B53" w14:textId="77777777">
            <w:pPr>
              <w:keepNext/>
              <w:autoSpaceDE w:val="0"/>
              <w:autoSpaceDN w:val="0"/>
              <w:adjustRightInd w:val="0"/>
              <w:ind w:left="-66"/>
              <w:jc w:val="center"/>
              <w:rPr>
                <w:rFonts w:ascii="Times New Roman" w:hAnsi="Times New Roman" w:eastAsia="Times New Roman" w:cs="Times New Roman"/>
                <w:b/>
                <w:sz w:val="16"/>
                <w:szCs w:val="24"/>
              </w:rPr>
            </w:pPr>
          </w:p>
        </w:tc>
        <w:tc>
          <w:tcPr>
            <w:tcW w:w="1079" w:type="dxa"/>
            <w:gridSpan w:val="2"/>
            <w:vAlign w:val="center"/>
          </w:tcPr>
          <w:p w:rsidRPr="00233EDE" w:rsidR="006D3602" w:rsidP="00B30823" w:rsidRDefault="006D3602" w14:paraId="515CA876"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080" w:type="dxa"/>
            <w:vAlign w:val="center"/>
          </w:tcPr>
          <w:p w:rsidRPr="00233EDE" w:rsidR="006D3602" w:rsidP="00B30823" w:rsidRDefault="006D3602" w14:paraId="6AB793A0"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080" w:type="dxa"/>
            <w:vAlign w:val="center"/>
          </w:tcPr>
          <w:p w:rsidRPr="00233EDE" w:rsidR="006D3602" w:rsidP="00B30823" w:rsidRDefault="006D3602" w14:paraId="1FA75C62"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260" w:type="dxa"/>
            <w:vAlign w:val="center"/>
          </w:tcPr>
          <w:p w:rsidRPr="00233EDE" w:rsidR="006D3602" w:rsidP="00B30823" w:rsidRDefault="006D3602" w14:paraId="728FEDB8" w14:textId="77777777">
            <w:pPr>
              <w:keepNext/>
              <w:autoSpaceDE w:val="0"/>
              <w:autoSpaceDN w:val="0"/>
              <w:adjustRightInd w:val="0"/>
              <w:ind w:left="180"/>
              <w:jc w:val="center"/>
              <w:rPr>
                <w:rFonts w:ascii="Times New Roman" w:hAnsi="Times New Roman" w:eastAsia="Times New Roman" w:cs="Times New Roman"/>
                <w:b/>
                <w:sz w:val="16"/>
                <w:szCs w:val="24"/>
              </w:rPr>
            </w:pPr>
          </w:p>
        </w:tc>
      </w:tr>
      <w:tr w:rsidRPr="00233EDE" w:rsidR="00674B86" w:rsidTr="00674B86" w14:paraId="3B8D8B63" w14:textId="77777777">
        <w:trPr>
          <w:cantSplit/>
          <w:trHeight w:val="426"/>
        </w:trPr>
        <w:tc>
          <w:tcPr>
            <w:tcW w:w="2251" w:type="dxa"/>
            <w:tcBorders>
              <w:bottom w:val="single" w:color="auto" w:sz="6" w:space="0"/>
            </w:tcBorders>
            <w:vAlign w:val="center"/>
          </w:tcPr>
          <w:p w:rsidRPr="00233EDE" w:rsidR="006D3602" w:rsidP="006D3602" w:rsidRDefault="007C5333" w14:paraId="5DD9C878" w14:textId="1643CC87">
            <w:pPr>
              <w:keepNext/>
              <w:autoSpaceDE w:val="0"/>
              <w:autoSpaceDN w:val="0"/>
              <w:adjustRightInd w:val="0"/>
              <w:ind w:left="180"/>
              <w:rPr>
                <w:rFonts w:ascii="Times New Roman" w:hAnsi="Times New Roman" w:eastAsia="Times New Roman" w:cs="Times New Roman"/>
                <w:b/>
                <w:sz w:val="16"/>
                <w:szCs w:val="24"/>
              </w:rPr>
            </w:pPr>
            <w:r w:rsidRPr="00233EDE">
              <w:rPr>
                <w:rFonts w:ascii="Times New Roman" w:hAnsi="Times New Roman" w:eastAsia="Times New Roman" w:cs="Times New Roman"/>
                <w:sz w:val="16"/>
                <w:szCs w:val="24"/>
              </w:rPr>
              <w:t>Parents of y</w:t>
            </w:r>
            <w:r w:rsidRPr="00233EDE" w:rsidR="006D3602">
              <w:rPr>
                <w:rFonts w:ascii="Times New Roman" w:hAnsi="Times New Roman" w:eastAsia="Times New Roman" w:cs="Times New Roman"/>
                <w:sz w:val="16"/>
                <w:szCs w:val="24"/>
              </w:rPr>
              <w:t>outh aged 13–17</w:t>
            </w:r>
          </w:p>
        </w:tc>
        <w:tc>
          <w:tcPr>
            <w:tcW w:w="1929" w:type="dxa"/>
            <w:gridSpan w:val="3"/>
            <w:tcBorders>
              <w:bottom w:val="single" w:color="auto" w:sz="6" w:space="0"/>
            </w:tcBorders>
            <w:vAlign w:val="center"/>
          </w:tcPr>
          <w:p w:rsidRPr="00233EDE" w:rsidR="006D3602" w:rsidP="00B30823" w:rsidRDefault="006D3602" w14:paraId="06EC86BA" w14:textId="742EC180">
            <w:pPr>
              <w:keepNext/>
              <w:autoSpaceDE w:val="0"/>
              <w:autoSpaceDN w:val="0"/>
              <w:adjustRightInd w:val="0"/>
              <w:jc w:val="center"/>
              <w:rPr>
                <w:rFonts w:ascii="Times New Roman" w:hAnsi="Times New Roman" w:eastAsia="Times New Roman" w:cs="Times New Roman"/>
                <w:b/>
                <w:sz w:val="16"/>
                <w:szCs w:val="24"/>
              </w:rPr>
            </w:pPr>
            <w:r w:rsidRPr="00233EDE">
              <w:rPr>
                <w:rFonts w:ascii="Times New Roman" w:hAnsi="Times New Roman" w:eastAsia="Times New Roman" w:cs="Times New Roman"/>
                <w:sz w:val="16"/>
                <w:szCs w:val="24"/>
              </w:rPr>
              <w:t>Youth Recruiting</w:t>
            </w:r>
          </w:p>
        </w:tc>
        <w:tc>
          <w:tcPr>
            <w:tcW w:w="951" w:type="dxa"/>
            <w:tcBorders>
              <w:bottom w:val="single" w:color="auto" w:sz="6" w:space="0"/>
            </w:tcBorders>
            <w:vAlign w:val="center"/>
          </w:tcPr>
          <w:p w:rsidRPr="00233EDE" w:rsidR="006D3602" w:rsidP="006D3602" w:rsidRDefault="00936BA7" w14:paraId="3AF94CF6" w14:textId="211D519E">
            <w:pPr>
              <w:keepNext/>
              <w:autoSpaceDE w:val="0"/>
              <w:autoSpaceDN w:val="0"/>
              <w:adjustRightInd w:val="0"/>
              <w:ind w:left="-66"/>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5,000</w:t>
            </w:r>
          </w:p>
        </w:tc>
        <w:tc>
          <w:tcPr>
            <w:tcW w:w="1079" w:type="dxa"/>
            <w:gridSpan w:val="2"/>
            <w:tcBorders>
              <w:bottom w:val="single" w:color="auto" w:sz="6" w:space="0"/>
            </w:tcBorders>
            <w:vAlign w:val="center"/>
          </w:tcPr>
          <w:p w:rsidRPr="00233EDE" w:rsidR="006D3602" w:rsidP="00674B86" w:rsidRDefault="004D5C89" w14:paraId="090A4679" w14:textId="16320D2D">
            <w:pPr>
              <w:keepNext/>
              <w:autoSpaceDE w:val="0"/>
              <w:autoSpaceDN w:val="0"/>
              <w:adjustRightInd w:val="0"/>
              <w:ind w:left="-29"/>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1</w:t>
            </w:r>
          </w:p>
        </w:tc>
        <w:tc>
          <w:tcPr>
            <w:tcW w:w="1080" w:type="dxa"/>
            <w:tcBorders>
              <w:bottom w:val="single" w:color="auto" w:sz="6" w:space="0"/>
            </w:tcBorders>
            <w:vAlign w:val="center"/>
          </w:tcPr>
          <w:p w:rsidRPr="00233EDE" w:rsidR="006D3602" w:rsidP="006D3602" w:rsidRDefault="00936BA7" w14:paraId="6A3E3FE9" w14:textId="7CD0DAE9">
            <w:pPr>
              <w:keepNext/>
              <w:autoSpaceDE w:val="0"/>
              <w:autoSpaceDN w:val="0"/>
              <w:adjustRightInd w:val="0"/>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5,000</w:t>
            </w:r>
          </w:p>
        </w:tc>
        <w:tc>
          <w:tcPr>
            <w:tcW w:w="1080" w:type="dxa"/>
            <w:tcBorders>
              <w:bottom w:val="single" w:color="auto" w:sz="6" w:space="0"/>
            </w:tcBorders>
            <w:vAlign w:val="center"/>
          </w:tcPr>
          <w:p w:rsidRPr="00233EDE" w:rsidR="006D3602" w:rsidP="00674B86" w:rsidRDefault="00AD5307" w14:paraId="7126B112" w14:textId="6BE134A6">
            <w:pPr>
              <w:keepNext/>
              <w:autoSpaceDE w:val="0"/>
              <w:autoSpaceDN w:val="0"/>
              <w:adjustRightInd w:val="0"/>
              <w:ind w:left="151"/>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3</w:t>
            </w:r>
            <w:r w:rsidRPr="00233EDE" w:rsidR="00437010">
              <w:rPr>
                <w:rFonts w:ascii="Times New Roman" w:hAnsi="Times New Roman" w:eastAsia="Times New Roman" w:cs="Times New Roman"/>
                <w:sz w:val="16"/>
                <w:szCs w:val="24"/>
              </w:rPr>
              <w:t xml:space="preserve"> </w:t>
            </w:r>
            <w:r w:rsidRPr="00233EDE" w:rsidR="006D3602">
              <w:rPr>
                <w:rFonts w:ascii="Times New Roman" w:hAnsi="Times New Roman" w:eastAsia="Times New Roman" w:cs="Times New Roman"/>
                <w:sz w:val="16"/>
                <w:szCs w:val="24"/>
              </w:rPr>
              <w:t>minute</w:t>
            </w:r>
            <w:r w:rsidRPr="00233EDE" w:rsidR="00437010">
              <w:rPr>
                <w:rFonts w:ascii="Times New Roman" w:hAnsi="Times New Roman" w:eastAsia="Times New Roman" w:cs="Times New Roman"/>
                <w:sz w:val="16"/>
                <w:szCs w:val="24"/>
              </w:rPr>
              <w:t>s</w:t>
            </w:r>
          </w:p>
        </w:tc>
        <w:tc>
          <w:tcPr>
            <w:tcW w:w="1260" w:type="dxa"/>
            <w:tcBorders>
              <w:bottom w:val="single" w:color="auto" w:sz="6" w:space="0"/>
            </w:tcBorders>
            <w:vAlign w:val="center"/>
          </w:tcPr>
          <w:p w:rsidRPr="00233EDE" w:rsidR="006D3602" w:rsidP="00674B86" w:rsidRDefault="00936BA7" w14:paraId="7464012A" w14:textId="736B058B">
            <w:pPr>
              <w:keepNext/>
              <w:autoSpaceDE w:val="0"/>
              <w:autoSpaceDN w:val="0"/>
              <w:adjustRightInd w:val="0"/>
              <w:jc w:val="center"/>
              <w:rPr>
                <w:rFonts w:ascii="Times New Roman" w:hAnsi="Times New Roman" w:eastAsia="Times New Roman" w:cs="Times New Roman"/>
                <w:b/>
                <w:sz w:val="16"/>
                <w:szCs w:val="24"/>
              </w:rPr>
            </w:pPr>
            <w:r>
              <w:rPr>
                <w:rFonts w:ascii="Times New Roman" w:hAnsi="Times New Roman" w:eastAsia="Times New Roman" w:cs="Times New Roman"/>
                <w:b/>
                <w:sz w:val="16"/>
                <w:szCs w:val="24"/>
              </w:rPr>
              <w:t>250</w:t>
            </w:r>
          </w:p>
        </w:tc>
      </w:tr>
      <w:tr w:rsidRPr="00233EDE" w:rsidR="00BE1FCB" w:rsidTr="006D3602" w14:paraId="45F72B8C" w14:textId="77777777">
        <w:trPr>
          <w:cantSplit/>
          <w:trHeight w:val="300"/>
        </w:trPr>
        <w:tc>
          <w:tcPr>
            <w:tcW w:w="9630" w:type="dxa"/>
            <w:gridSpan w:val="10"/>
            <w:tcBorders>
              <w:top w:val="single" w:color="auto" w:sz="6" w:space="0"/>
              <w:bottom w:val="single" w:color="auto" w:sz="6" w:space="0"/>
            </w:tcBorders>
            <w:vAlign w:val="center"/>
          </w:tcPr>
          <w:p w:rsidRPr="00233EDE" w:rsidR="00BE1FCB" w:rsidP="00F3750D" w:rsidRDefault="00B30823" w14:paraId="5F4A71A8" w14:textId="687DE9E9">
            <w:pPr>
              <w:autoSpaceDE w:val="0"/>
              <w:autoSpaceDN w:val="0"/>
              <w:adjustRightInd w:val="0"/>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 xml:space="preserve">    </w:t>
            </w:r>
            <w:r w:rsidRPr="00233EDE" w:rsidR="00BE1FCB">
              <w:rPr>
                <w:rFonts w:ascii="Times New Roman" w:hAnsi="Times New Roman" w:eastAsia="Times New Roman" w:cs="Times New Roman"/>
                <w:b/>
                <w:sz w:val="16"/>
                <w:szCs w:val="24"/>
              </w:rPr>
              <w:t>Screening</w:t>
            </w:r>
          </w:p>
        </w:tc>
      </w:tr>
      <w:tr w:rsidRPr="00233EDE" w:rsidR="00674B86" w:rsidTr="00674B86" w14:paraId="68729FAE" w14:textId="77777777">
        <w:trPr>
          <w:cantSplit/>
          <w:trHeight w:val="534"/>
        </w:trPr>
        <w:tc>
          <w:tcPr>
            <w:tcW w:w="2279" w:type="dxa"/>
            <w:gridSpan w:val="2"/>
            <w:tcBorders>
              <w:top w:val="single" w:color="auto" w:sz="6" w:space="0"/>
            </w:tcBorders>
            <w:vAlign w:val="center"/>
          </w:tcPr>
          <w:p w:rsidRPr="00233EDE" w:rsidR="0045460B" w:rsidP="0045460B" w:rsidRDefault="0045460B" w14:paraId="4A178F80" w14:textId="04641E12">
            <w:pPr>
              <w:keepNext/>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Youth aged 1</w:t>
            </w:r>
            <w:r w:rsidRPr="00233EDE" w:rsidR="00B941E0">
              <w:rPr>
                <w:rFonts w:ascii="Times New Roman" w:hAnsi="Times New Roman" w:eastAsia="Times New Roman" w:cs="Times New Roman"/>
                <w:sz w:val="16"/>
                <w:szCs w:val="24"/>
              </w:rPr>
              <w:t>3</w:t>
            </w:r>
            <w:r w:rsidRPr="00233EDE">
              <w:rPr>
                <w:rFonts w:ascii="Times New Roman" w:hAnsi="Times New Roman" w:eastAsia="Times New Roman" w:cs="Times New Roman"/>
                <w:sz w:val="16"/>
                <w:szCs w:val="24"/>
              </w:rPr>
              <w:t>–</w:t>
            </w:r>
            <w:r w:rsidRPr="00233EDE" w:rsidR="002E4765">
              <w:rPr>
                <w:rFonts w:ascii="Times New Roman" w:hAnsi="Times New Roman" w:eastAsia="Times New Roman" w:cs="Times New Roman"/>
                <w:sz w:val="16"/>
                <w:szCs w:val="24"/>
              </w:rPr>
              <w:t>17</w:t>
            </w:r>
            <w:r w:rsidRPr="00233EDE">
              <w:rPr>
                <w:rFonts w:ascii="Times New Roman" w:hAnsi="Times New Roman" w:eastAsia="Times New Roman" w:cs="Times New Roman"/>
                <w:sz w:val="16"/>
                <w:szCs w:val="24"/>
              </w:rPr>
              <w:t xml:space="preserve"> </w:t>
            </w:r>
          </w:p>
        </w:tc>
        <w:tc>
          <w:tcPr>
            <w:tcW w:w="1888" w:type="dxa"/>
            <w:tcBorders>
              <w:top w:val="single" w:color="auto" w:sz="6" w:space="0"/>
            </w:tcBorders>
            <w:vAlign w:val="center"/>
          </w:tcPr>
          <w:p w:rsidRPr="00233EDE" w:rsidR="0045460B" w:rsidP="0045460B" w:rsidRDefault="0045460B" w14:paraId="04E9010A" w14:textId="5941CF7D">
            <w:pPr>
              <w:keepNext/>
              <w:autoSpaceDE w:val="0"/>
              <w:autoSpaceDN w:val="0"/>
              <w:adjustRightInd w:val="0"/>
              <w:ind w:left="180"/>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Youth Recruiting and Screening</w:t>
            </w:r>
          </w:p>
        </w:tc>
        <w:tc>
          <w:tcPr>
            <w:tcW w:w="992" w:type="dxa"/>
            <w:gridSpan w:val="3"/>
            <w:tcBorders>
              <w:top w:val="single" w:color="auto" w:sz="6" w:space="0"/>
            </w:tcBorders>
            <w:vAlign w:val="center"/>
          </w:tcPr>
          <w:p w:rsidRPr="00233EDE" w:rsidR="0045460B" w:rsidP="00674B86" w:rsidRDefault="00936BA7" w14:paraId="79D98072" w14:textId="6BC08AB9">
            <w:pPr>
              <w:keepNext/>
              <w:autoSpaceDE w:val="0"/>
              <w:autoSpaceDN w:val="0"/>
              <w:adjustRightInd w:val="0"/>
              <w:ind w:left="-59"/>
              <w:jc w:val="center"/>
              <w:rPr>
                <w:rFonts w:ascii="Times New Roman" w:hAnsi="Times New Roman"/>
                <w:sz w:val="16"/>
              </w:rPr>
            </w:pPr>
            <w:r>
              <w:rPr>
                <w:rFonts w:ascii="Times New Roman" w:hAnsi="Times New Roman" w:eastAsia="Times New Roman" w:cs="Times New Roman"/>
                <w:sz w:val="16"/>
                <w:szCs w:val="24"/>
              </w:rPr>
              <w:t>5,000</w:t>
            </w:r>
          </w:p>
        </w:tc>
        <w:tc>
          <w:tcPr>
            <w:tcW w:w="1051" w:type="dxa"/>
            <w:tcBorders>
              <w:top w:val="single" w:color="auto" w:sz="6" w:space="0"/>
            </w:tcBorders>
            <w:vAlign w:val="center"/>
          </w:tcPr>
          <w:p w:rsidRPr="00233EDE" w:rsidR="0045460B" w:rsidP="00674B86" w:rsidRDefault="0045460B" w14:paraId="28218EE0" w14:textId="77777777">
            <w:pPr>
              <w:keepNext/>
              <w:autoSpaceDE w:val="0"/>
              <w:autoSpaceDN w:val="0"/>
              <w:adjustRightInd w:val="0"/>
              <w:ind w:left="-59"/>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1</w:t>
            </w:r>
          </w:p>
        </w:tc>
        <w:tc>
          <w:tcPr>
            <w:tcW w:w="1080" w:type="dxa"/>
            <w:tcBorders>
              <w:top w:val="single" w:color="auto" w:sz="6" w:space="0"/>
            </w:tcBorders>
            <w:vAlign w:val="center"/>
          </w:tcPr>
          <w:p w:rsidRPr="00233EDE" w:rsidR="0045460B" w:rsidP="00674B86" w:rsidRDefault="00936BA7" w14:paraId="2A72EBC9" w14:textId="5496C455">
            <w:pPr>
              <w:keepNext/>
              <w:tabs>
                <w:tab w:val="decimal" w:pos="241"/>
              </w:tabs>
              <w:autoSpaceDE w:val="0"/>
              <w:autoSpaceDN w:val="0"/>
              <w:adjustRightInd w:val="0"/>
              <w:jc w:val="center"/>
              <w:rPr>
                <w:rFonts w:ascii="Times New Roman" w:hAnsi="Times New Roman"/>
                <w:sz w:val="16"/>
              </w:rPr>
            </w:pPr>
            <w:r>
              <w:rPr>
                <w:rFonts w:ascii="Times New Roman" w:hAnsi="Times New Roman" w:eastAsia="Times New Roman" w:cs="Times New Roman"/>
                <w:sz w:val="16"/>
                <w:szCs w:val="24"/>
              </w:rPr>
              <w:t>5,000</w:t>
            </w:r>
          </w:p>
        </w:tc>
        <w:tc>
          <w:tcPr>
            <w:tcW w:w="1080" w:type="dxa"/>
            <w:tcBorders>
              <w:top w:val="single" w:color="auto" w:sz="6" w:space="0"/>
            </w:tcBorders>
            <w:vAlign w:val="center"/>
          </w:tcPr>
          <w:p w:rsidRPr="00233EDE" w:rsidR="0045460B" w:rsidP="00674B86" w:rsidRDefault="006F5F1D" w14:paraId="15CC51A4" w14:textId="442A6C09">
            <w:pPr>
              <w:keepNext/>
              <w:tabs>
                <w:tab w:val="decimal" w:pos="241"/>
              </w:tabs>
              <w:autoSpaceDE w:val="0"/>
              <w:autoSpaceDN w:val="0"/>
              <w:adjustRightInd w:val="0"/>
              <w:ind w:left="-119"/>
              <w:jc w:val="center"/>
              <w:rPr>
                <w:rFonts w:ascii="Times New Roman" w:hAnsi="Times New Roman"/>
                <w:sz w:val="16"/>
              </w:rPr>
            </w:pPr>
            <w:r w:rsidRPr="00233EDE">
              <w:rPr>
                <w:rFonts w:ascii="Times New Roman" w:hAnsi="Times New Roman"/>
                <w:sz w:val="16"/>
              </w:rPr>
              <w:t>2</w:t>
            </w:r>
            <w:r w:rsidRPr="00233EDE" w:rsidR="00D56539">
              <w:rPr>
                <w:rFonts w:ascii="Times New Roman" w:hAnsi="Times New Roman"/>
                <w:sz w:val="16"/>
              </w:rPr>
              <w:t xml:space="preserve"> minutes</w:t>
            </w:r>
          </w:p>
        </w:tc>
        <w:tc>
          <w:tcPr>
            <w:tcW w:w="1260" w:type="dxa"/>
            <w:tcBorders>
              <w:top w:val="single" w:color="auto" w:sz="6" w:space="0"/>
            </w:tcBorders>
            <w:vAlign w:val="center"/>
          </w:tcPr>
          <w:p w:rsidRPr="00233EDE" w:rsidR="0045460B" w:rsidP="00DC519F" w:rsidRDefault="00936BA7" w14:paraId="5A64CF54" w14:textId="36F6C4B9">
            <w:pPr>
              <w:autoSpaceDE w:val="0"/>
              <w:autoSpaceDN w:val="0"/>
              <w:adjustRightInd w:val="0"/>
              <w:ind w:left="30"/>
              <w:jc w:val="center"/>
              <w:rPr>
                <w:rFonts w:ascii="Times New Roman" w:hAnsi="Times New Roman"/>
                <w:b/>
                <w:sz w:val="16"/>
              </w:rPr>
            </w:pPr>
            <w:r>
              <w:rPr>
                <w:rFonts w:ascii="Times New Roman" w:hAnsi="Times New Roman" w:eastAsia="Times New Roman" w:cs="Times New Roman"/>
                <w:b/>
                <w:bCs/>
                <w:sz w:val="16"/>
                <w:szCs w:val="14"/>
              </w:rPr>
              <w:t>167</w:t>
            </w:r>
          </w:p>
        </w:tc>
      </w:tr>
      <w:tr w:rsidRPr="00233EDE" w:rsidR="008D435F" w:rsidTr="00B30823" w14:paraId="3CE292A2" w14:textId="77777777">
        <w:trPr>
          <w:cantSplit/>
          <w:trHeight w:val="285"/>
        </w:trPr>
        <w:tc>
          <w:tcPr>
            <w:tcW w:w="9630" w:type="dxa"/>
            <w:gridSpan w:val="10"/>
            <w:tcBorders>
              <w:top w:val="single" w:color="auto" w:sz="12" w:space="0"/>
              <w:bottom w:val="single" w:color="auto" w:sz="4" w:space="0"/>
            </w:tcBorders>
            <w:vAlign w:val="center"/>
          </w:tcPr>
          <w:p w:rsidRPr="00233EDE" w:rsidR="008D435F" w:rsidP="00DC519F" w:rsidRDefault="008D435F" w14:paraId="1EA862CA" w14:textId="418383C9">
            <w:pPr>
              <w:autoSpaceDE w:val="0"/>
              <w:autoSpaceDN w:val="0"/>
              <w:adjustRightInd w:val="0"/>
              <w:ind w:left="180"/>
              <w:rPr>
                <w:rFonts w:ascii="Times New Roman" w:hAnsi="Times New Roman" w:cs="Times New Roman"/>
                <w:b/>
                <w:bCs/>
                <w:sz w:val="16"/>
                <w:szCs w:val="14"/>
              </w:rPr>
            </w:pPr>
            <w:r w:rsidRPr="00233EDE">
              <w:rPr>
                <w:rFonts w:ascii="Times New Roman" w:hAnsi="Times New Roman" w:eastAsia="Times New Roman" w:cs="Times New Roman"/>
                <w:b/>
                <w:sz w:val="16"/>
                <w:szCs w:val="24"/>
              </w:rPr>
              <w:t xml:space="preserve">Informed </w:t>
            </w:r>
            <w:r w:rsidRPr="00233EDE" w:rsidR="005A1F26">
              <w:rPr>
                <w:rFonts w:ascii="Times New Roman" w:hAnsi="Times New Roman" w:eastAsia="Times New Roman" w:cs="Times New Roman"/>
                <w:b/>
                <w:sz w:val="16"/>
                <w:szCs w:val="24"/>
              </w:rPr>
              <w:t>Assent</w:t>
            </w:r>
          </w:p>
        </w:tc>
      </w:tr>
      <w:tr w:rsidRPr="00233EDE" w:rsidR="00674B86" w:rsidTr="00674B86" w14:paraId="705A9859" w14:textId="77777777">
        <w:trPr>
          <w:cantSplit/>
          <w:trHeight w:val="458"/>
        </w:trPr>
        <w:tc>
          <w:tcPr>
            <w:tcW w:w="2279" w:type="dxa"/>
            <w:gridSpan w:val="2"/>
            <w:tcBorders>
              <w:top w:val="single" w:color="auto" w:sz="4" w:space="0"/>
            </w:tcBorders>
            <w:vAlign w:val="center"/>
          </w:tcPr>
          <w:p w:rsidRPr="00233EDE" w:rsidR="00472B5D" w:rsidP="00472B5D" w:rsidRDefault="00472B5D" w14:paraId="3E745A82" w14:textId="3C48BAE9">
            <w:pPr>
              <w:keepNext/>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 xml:space="preserve">Youth aged </w:t>
            </w:r>
            <w:r w:rsidRPr="00233EDE" w:rsidR="002E4765">
              <w:rPr>
                <w:rFonts w:ascii="Times New Roman" w:hAnsi="Times New Roman" w:eastAsia="Times New Roman" w:cs="Times New Roman"/>
                <w:sz w:val="16"/>
                <w:szCs w:val="24"/>
              </w:rPr>
              <w:t>13</w:t>
            </w:r>
            <w:r w:rsidRPr="00233EDE">
              <w:rPr>
                <w:rFonts w:ascii="Times New Roman" w:hAnsi="Times New Roman" w:eastAsia="Times New Roman" w:cs="Times New Roman"/>
                <w:sz w:val="16"/>
                <w:szCs w:val="24"/>
              </w:rPr>
              <w:t>–</w:t>
            </w:r>
            <w:r w:rsidRPr="00233EDE" w:rsidR="002E4765">
              <w:rPr>
                <w:rFonts w:ascii="Times New Roman" w:hAnsi="Times New Roman" w:eastAsia="Times New Roman" w:cs="Times New Roman"/>
                <w:sz w:val="16"/>
                <w:szCs w:val="24"/>
              </w:rPr>
              <w:t>17</w:t>
            </w:r>
            <w:r w:rsidRPr="00233EDE">
              <w:rPr>
                <w:rFonts w:ascii="Times New Roman" w:hAnsi="Times New Roman" w:eastAsia="Times New Roman" w:cs="Times New Roman"/>
                <w:sz w:val="16"/>
                <w:szCs w:val="24"/>
              </w:rPr>
              <w:t xml:space="preserve"> </w:t>
            </w:r>
          </w:p>
        </w:tc>
        <w:tc>
          <w:tcPr>
            <w:tcW w:w="1888" w:type="dxa"/>
            <w:tcBorders>
              <w:top w:val="single" w:color="auto" w:sz="4" w:space="0"/>
            </w:tcBorders>
            <w:vAlign w:val="center"/>
          </w:tcPr>
          <w:p w:rsidRPr="00233EDE" w:rsidR="00472B5D" w:rsidP="00DC519F" w:rsidRDefault="00472B5D" w14:paraId="10C10E90" w14:textId="4C256AFC">
            <w:pPr>
              <w:keepNext/>
              <w:autoSpaceDE w:val="0"/>
              <w:autoSpaceDN w:val="0"/>
              <w:adjustRightInd w:val="0"/>
              <w:ind w:left="-60"/>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Youth Assent</w:t>
            </w:r>
          </w:p>
        </w:tc>
        <w:tc>
          <w:tcPr>
            <w:tcW w:w="992" w:type="dxa"/>
            <w:gridSpan w:val="3"/>
            <w:tcBorders>
              <w:top w:val="single" w:color="auto" w:sz="4" w:space="0"/>
            </w:tcBorders>
            <w:vAlign w:val="center"/>
          </w:tcPr>
          <w:p w:rsidRPr="00233EDE" w:rsidR="00472B5D" w:rsidP="00674B86" w:rsidRDefault="00936BA7" w14:paraId="59585BEA" w14:textId="128A7818">
            <w:pPr>
              <w:keepNext/>
              <w:tabs>
                <w:tab w:val="decimal" w:pos="390"/>
              </w:tabs>
              <w:autoSpaceDE w:val="0"/>
              <w:autoSpaceDN w:val="0"/>
              <w:adjustRightInd w:val="0"/>
              <w:ind w:left="-59"/>
              <w:jc w:val="center"/>
              <w:rPr>
                <w:rFonts w:ascii="Times New Roman" w:hAnsi="Times New Roman"/>
                <w:sz w:val="16"/>
              </w:rPr>
            </w:pPr>
            <w:r>
              <w:rPr>
                <w:rFonts w:ascii="Times New Roman" w:hAnsi="Times New Roman" w:eastAsia="Times New Roman" w:cs="Times New Roman"/>
                <w:sz w:val="16"/>
                <w:szCs w:val="24"/>
              </w:rPr>
              <w:t>2,000</w:t>
            </w:r>
          </w:p>
        </w:tc>
        <w:tc>
          <w:tcPr>
            <w:tcW w:w="1051" w:type="dxa"/>
            <w:tcBorders>
              <w:top w:val="single" w:color="auto" w:sz="4" w:space="0"/>
            </w:tcBorders>
            <w:vAlign w:val="center"/>
          </w:tcPr>
          <w:p w:rsidRPr="00233EDE" w:rsidR="00472B5D" w:rsidP="00674B86" w:rsidRDefault="00472B5D" w14:paraId="2DCB034A" w14:textId="43CF91F9">
            <w:pPr>
              <w:keepNext/>
              <w:autoSpaceDE w:val="0"/>
              <w:autoSpaceDN w:val="0"/>
              <w:adjustRightInd w:val="0"/>
              <w:ind w:left="-59"/>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1</w:t>
            </w:r>
          </w:p>
        </w:tc>
        <w:tc>
          <w:tcPr>
            <w:tcW w:w="1080" w:type="dxa"/>
            <w:tcBorders>
              <w:top w:val="single" w:color="auto" w:sz="4" w:space="0"/>
            </w:tcBorders>
            <w:vAlign w:val="center"/>
          </w:tcPr>
          <w:p w:rsidRPr="00BD3EDE" w:rsidR="00472B5D" w:rsidP="00674B86" w:rsidRDefault="00936BA7" w14:paraId="6049FB35" w14:textId="652DE0F8">
            <w:pPr>
              <w:keepNext/>
              <w:tabs>
                <w:tab w:val="decimal" w:pos="331"/>
              </w:tabs>
              <w:autoSpaceDE w:val="0"/>
              <w:autoSpaceDN w:val="0"/>
              <w:adjustRightInd w:val="0"/>
              <w:jc w:val="center"/>
              <w:rPr>
                <w:rFonts w:ascii="Times New Roman" w:hAnsi="Times New Roman"/>
                <w:sz w:val="16"/>
              </w:rPr>
            </w:pPr>
            <w:r>
              <w:rPr>
                <w:rFonts w:ascii="Times New Roman" w:hAnsi="Times New Roman" w:eastAsia="Times New Roman" w:cs="Times New Roman"/>
                <w:sz w:val="16"/>
                <w:szCs w:val="24"/>
              </w:rPr>
              <w:t>2,000</w:t>
            </w:r>
          </w:p>
        </w:tc>
        <w:tc>
          <w:tcPr>
            <w:tcW w:w="1080" w:type="dxa"/>
            <w:tcBorders>
              <w:top w:val="single" w:color="auto" w:sz="4" w:space="0"/>
            </w:tcBorders>
            <w:vAlign w:val="center"/>
          </w:tcPr>
          <w:p w:rsidRPr="00233EDE" w:rsidR="00472B5D" w:rsidP="00674B86" w:rsidRDefault="00D44F75" w14:paraId="11370B7B" w14:textId="669DD17F">
            <w:pPr>
              <w:keepNext/>
              <w:tabs>
                <w:tab w:val="decimal" w:pos="241"/>
              </w:tabs>
              <w:autoSpaceDE w:val="0"/>
              <w:autoSpaceDN w:val="0"/>
              <w:adjustRightInd w:val="0"/>
              <w:ind w:left="180"/>
              <w:jc w:val="center"/>
              <w:rPr>
                <w:rFonts w:ascii="Times New Roman" w:hAnsi="Times New Roman"/>
                <w:sz w:val="16"/>
              </w:rPr>
            </w:pPr>
            <w:r w:rsidRPr="00233EDE">
              <w:rPr>
                <w:rFonts w:ascii="Times New Roman" w:hAnsi="Times New Roman"/>
                <w:sz w:val="16"/>
              </w:rPr>
              <w:t>2</w:t>
            </w:r>
            <w:r w:rsidRPr="00233EDE" w:rsidR="00472B5D">
              <w:rPr>
                <w:rFonts w:ascii="Times New Roman" w:hAnsi="Times New Roman"/>
                <w:sz w:val="16"/>
              </w:rPr>
              <w:t xml:space="preserve"> minutes</w:t>
            </w:r>
          </w:p>
        </w:tc>
        <w:tc>
          <w:tcPr>
            <w:tcW w:w="1260" w:type="dxa"/>
            <w:tcBorders>
              <w:top w:val="single" w:color="auto" w:sz="4" w:space="0"/>
            </w:tcBorders>
            <w:vAlign w:val="center"/>
          </w:tcPr>
          <w:p w:rsidRPr="00233EDE" w:rsidR="00472B5D" w:rsidP="00674B86" w:rsidRDefault="00936BA7" w14:paraId="07C01E64" w14:textId="2C1C8966">
            <w:pPr>
              <w:autoSpaceDE w:val="0"/>
              <w:autoSpaceDN w:val="0"/>
              <w:adjustRightInd w:val="0"/>
              <w:jc w:val="center"/>
              <w:rPr>
                <w:rFonts w:ascii="Times New Roman" w:hAnsi="Times New Roman"/>
                <w:b/>
                <w:sz w:val="16"/>
              </w:rPr>
            </w:pPr>
            <w:r>
              <w:rPr>
                <w:rFonts w:ascii="Times New Roman" w:hAnsi="Times New Roman" w:cs="Times New Roman"/>
                <w:b/>
                <w:bCs/>
                <w:sz w:val="16"/>
                <w:szCs w:val="14"/>
              </w:rPr>
              <w:t>67</w:t>
            </w:r>
          </w:p>
        </w:tc>
      </w:tr>
      <w:tr w:rsidRPr="00233EDE" w:rsidR="00BE1FCB" w:rsidTr="00B30823" w14:paraId="42588C29" w14:textId="77777777">
        <w:trPr>
          <w:cantSplit/>
          <w:trHeight w:val="282"/>
        </w:trPr>
        <w:tc>
          <w:tcPr>
            <w:tcW w:w="9630" w:type="dxa"/>
            <w:gridSpan w:val="10"/>
            <w:vAlign w:val="center"/>
          </w:tcPr>
          <w:p w:rsidRPr="00BD3EDE" w:rsidR="00BE1FCB" w:rsidP="00DC519F" w:rsidRDefault="00BE1FCB" w14:paraId="00D68FD5" w14:textId="6D637E53">
            <w:pPr>
              <w:autoSpaceDE w:val="0"/>
              <w:autoSpaceDN w:val="0"/>
              <w:adjustRightInd w:val="0"/>
              <w:ind w:left="180"/>
              <w:rPr>
                <w:rFonts w:ascii="Times New Roman" w:hAnsi="Times New Roman" w:eastAsia="Times New Roman" w:cs="Times New Roman"/>
                <w:b/>
                <w:sz w:val="16"/>
                <w:szCs w:val="24"/>
              </w:rPr>
            </w:pPr>
            <w:r w:rsidRPr="00BD3EDE">
              <w:rPr>
                <w:rFonts w:ascii="Times New Roman" w:hAnsi="Times New Roman" w:eastAsia="Times New Roman" w:cs="Times New Roman"/>
                <w:b/>
                <w:sz w:val="16"/>
                <w:szCs w:val="24"/>
              </w:rPr>
              <w:t>Survey</w:t>
            </w:r>
          </w:p>
        </w:tc>
      </w:tr>
      <w:tr w:rsidRPr="00233EDE" w:rsidR="00472B5D" w:rsidTr="00674B86" w14:paraId="28DC6980" w14:textId="77777777">
        <w:trPr>
          <w:cantSplit/>
          <w:trHeight w:val="372"/>
        </w:trPr>
        <w:tc>
          <w:tcPr>
            <w:tcW w:w="2251" w:type="dxa"/>
            <w:vAlign w:val="center"/>
          </w:tcPr>
          <w:p w:rsidRPr="00233EDE" w:rsidR="00472B5D" w:rsidP="00472B5D" w:rsidRDefault="00472B5D" w14:paraId="5A05DA0F" w14:textId="53BA4CF3">
            <w:pPr>
              <w:keepNext/>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 xml:space="preserve">Youth aged </w:t>
            </w:r>
            <w:r w:rsidRPr="00233EDE" w:rsidR="002E4765">
              <w:rPr>
                <w:rFonts w:ascii="Times New Roman" w:hAnsi="Times New Roman" w:eastAsia="Times New Roman" w:cs="Times New Roman"/>
                <w:sz w:val="16"/>
                <w:szCs w:val="24"/>
              </w:rPr>
              <w:t>13</w:t>
            </w:r>
            <w:r w:rsidRPr="00233EDE">
              <w:rPr>
                <w:rFonts w:ascii="Times New Roman" w:hAnsi="Times New Roman" w:eastAsia="Times New Roman" w:cs="Times New Roman"/>
                <w:sz w:val="16"/>
                <w:szCs w:val="24"/>
              </w:rPr>
              <w:t>–</w:t>
            </w:r>
            <w:r w:rsidRPr="00233EDE" w:rsidR="002E4765">
              <w:rPr>
                <w:rFonts w:ascii="Times New Roman" w:hAnsi="Times New Roman" w:eastAsia="Times New Roman" w:cs="Times New Roman"/>
                <w:sz w:val="16"/>
                <w:szCs w:val="24"/>
              </w:rPr>
              <w:t>17</w:t>
            </w:r>
            <w:r w:rsidRPr="00233EDE">
              <w:rPr>
                <w:rFonts w:ascii="Times New Roman" w:hAnsi="Times New Roman" w:eastAsia="Times New Roman" w:cs="Times New Roman"/>
                <w:sz w:val="16"/>
                <w:szCs w:val="24"/>
              </w:rPr>
              <w:t xml:space="preserve"> </w:t>
            </w:r>
          </w:p>
        </w:tc>
        <w:tc>
          <w:tcPr>
            <w:tcW w:w="1929" w:type="dxa"/>
            <w:gridSpan w:val="3"/>
            <w:vAlign w:val="center"/>
          </w:tcPr>
          <w:p w:rsidRPr="00233EDE" w:rsidR="00472B5D" w:rsidDel="00841491" w:rsidP="00DC519F" w:rsidRDefault="00472B5D" w14:paraId="2D8B5C99" w14:textId="1FE4E00E">
            <w:pPr>
              <w:keepNext/>
              <w:autoSpaceDE w:val="0"/>
              <w:autoSpaceDN w:val="0"/>
              <w:adjustRightInd w:val="0"/>
              <w:ind w:left="180"/>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Online Survey</w:t>
            </w:r>
          </w:p>
        </w:tc>
        <w:tc>
          <w:tcPr>
            <w:tcW w:w="951" w:type="dxa"/>
            <w:vAlign w:val="center"/>
          </w:tcPr>
          <w:p w:rsidRPr="00233EDE" w:rsidR="00472B5D" w:rsidP="00674B86" w:rsidRDefault="00936BA7" w14:paraId="566C29AE" w14:textId="09BE47DD">
            <w:pPr>
              <w:keepNext/>
              <w:tabs>
                <w:tab w:val="decimal" w:pos="470"/>
              </w:tabs>
              <w:autoSpaceDE w:val="0"/>
              <w:autoSpaceDN w:val="0"/>
              <w:adjustRightInd w:val="0"/>
              <w:ind w:left="-74"/>
              <w:jc w:val="center"/>
              <w:rPr>
                <w:rFonts w:ascii="Times New Roman" w:hAnsi="Times New Roman"/>
                <w:sz w:val="16"/>
              </w:rPr>
            </w:pPr>
            <w:r>
              <w:rPr>
                <w:rFonts w:ascii="Times New Roman" w:hAnsi="Times New Roman" w:eastAsia="Times New Roman" w:cs="Times New Roman"/>
                <w:sz w:val="16"/>
                <w:szCs w:val="24"/>
              </w:rPr>
              <w:t>2,000</w:t>
            </w:r>
          </w:p>
        </w:tc>
        <w:tc>
          <w:tcPr>
            <w:tcW w:w="1079" w:type="dxa"/>
            <w:gridSpan w:val="2"/>
            <w:vAlign w:val="center"/>
          </w:tcPr>
          <w:p w:rsidRPr="00233EDE" w:rsidR="00472B5D" w:rsidP="00674B86" w:rsidRDefault="00472B5D" w14:paraId="0E87D8B9" w14:textId="287CB106">
            <w:pPr>
              <w:keepNext/>
              <w:autoSpaceDE w:val="0"/>
              <w:autoSpaceDN w:val="0"/>
              <w:adjustRightInd w:val="0"/>
              <w:ind w:left="-29"/>
              <w:jc w:val="center"/>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1</w:t>
            </w:r>
          </w:p>
        </w:tc>
        <w:tc>
          <w:tcPr>
            <w:tcW w:w="1080" w:type="dxa"/>
            <w:vAlign w:val="center"/>
          </w:tcPr>
          <w:p w:rsidRPr="00BD3EDE" w:rsidR="00472B5D" w:rsidP="00674B86" w:rsidRDefault="00936BA7" w14:paraId="53B9E259" w14:textId="63D78CA6">
            <w:pPr>
              <w:keepNext/>
              <w:tabs>
                <w:tab w:val="decimal" w:pos="421"/>
              </w:tabs>
              <w:autoSpaceDE w:val="0"/>
              <w:autoSpaceDN w:val="0"/>
              <w:adjustRightInd w:val="0"/>
              <w:jc w:val="center"/>
              <w:rPr>
                <w:rFonts w:ascii="Times New Roman" w:hAnsi="Times New Roman"/>
                <w:sz w:val="16"/>
              </w:rPr>
            </w:pPr>
            <w:r>
              <w:rPr>
                <w:rFonts w:ascii="Times New Roman" w:hAnsi="Times New Roman" w:eastAsia="Times New Roman" w:cs="Times New Roman"/>
                <w:sz w:val="16"/>
                <w:szCs w:val="24"/>
              </w:rPr>
              <w:t>2,000</w:t>
            </w:r>
          </w:p>
        </w:tc>
        <w:tc>
          <w:tcPr>
            <w:tcW w:w="1080" w:type="dxa"/>
            <w:vAlign w:val="center"/>
          </w:tcPr>
          <w:p w:rsidRPr="00233EDE" w:rsidR="00472B5D" w:rsidP="00674B86" w:rsidRDefault="00BD2850" w14:paraId="4CBE39B6" w14:textId="56A24352">
            <w:pPr>
              <w:keepNext/>
              <w:tabs>
                <w:tab w:val="decimal" w:pos="241"/>
              </w:tabs>
              <w:autoSpaceDE w:val="0"/>
              <w:autoSpaceDN w:val="0"/>
              <w:adjustRightInd w:val="0"/>
              <w:ind w:left="180"/>
              <w:jc w:val="center"/>
              <w:rPr>
                <w:rFonts w:ascii="Times New Roman" w:hAnsi="Times New Roman"/>
                <w:sz w:val="16"/>
              </w:rPr>
            </w:pPr>
            <w:r w:rsidRPr="00233EDE">
              <w:rPr>
                <w:rFonts w:ascii="Times New Roman" w:hAnsi="Times New Roman"/>
                <w:sz w:val="16"/>
              </w:rPr>
              <w:t>1</w:t>
            </w:r>
            <w:r w:rsidRPr="00233EDE" w:rsidR="00FB6B80">
              <w:rPr>
                <w:rFonts w:ascii="Times New Roman" w:hAnsi="Times New Roman"/>
                <w:sz w:val="16"/>
              </w:rPr>
              <w:t>7</w:t>
            </w:r>
            <w:r w:rsidRPr="00233EDE">
              <w:rPr>
                <w:rFonts w:ascii="Times New Roman" w:hAnsi="Times New Roman"/>
                <w:sz w:val="16"/>
              </w:rPr>
              <w:t xml:space="preserve"> minutes</w:t>
            </w:r>
          </w:p>
        </w:tc>
        <w:tc>
          <w:tcPr>
            <w:tcW w:w="1260" w:type="dxa"/>
            <w:vAlign w:val="center"/>
          </w:tcPr>
          <w:p w:rsidRPr="00233EDE" w:rsidR="00472B5D" w:rsidP="00674B86" w:rsidRDefault="00936BA7" w14:paraId="38B8E956" w14:textId="5F3BB251">
            <w:pPr>
              <w:autoSpaceDE w:val="0"/>
              <w:autoSpaceDN w:val="0"/>
              <w:adjustRightInd w:val="0"/>
              <w:jc w:val="center"/>
              <w:rPr>
                <w:rFonts w:ascii="Times New Roman" w:hAnsi="Times New Roman"/>
                <w:b/>
                <w:sz w:val="16"/>
              </w:rPr>
            </w:pPr>
            <w:r>
              <w:rPr>
                <w:rFonts w:ascii="Times New Roman" w:hAnsi="Times New Roman" w:eastAsia="Times New Roman" w:cs="Times New Roman"/>
                <w:b/>
                <w:sz w:val="16"/>
                <w:szCs w:val="24"/>
              </w:rPr>
              <w:t>567</w:t>
            </w:r>
          </w:p>
        </w:tc>
      </w:tr>
      <w:tr w:rsidRPr="00233EDE" w:rsidR="00BE1FCB" w:rsidTr="00674B86" w14:paraId="34F320D2" w14:textId="77777777">
        <w:trPr>
          <w:cantSplit/>
          <w:trHeight w:val="435"/>
        </w:trPr>
        <w:tc>
          <w:tcPr>
            <w:tcW w:w="2251" w:type="dxa"/>
            <w:vAlign w:val="center"/>
          </w:tcPr>
          <w:p w:rsidRPr="00233EDE" w:rsidR="00BE1FCB" w:rsidP="00F3750D" w:rsidRDefault="00BE1FCB" w14:paraId="1670D87D" w14:textId="77777777">
            <w:pPr>
              <w:keepNext/>
              <w:autoSpaceDE w:val="0"/>
              <w:autoSpaceDN w:val="0"/>
              <w:adjustRightInd w:val="0"/>
              <w:ind w:left="180"/>
              <w:rPr>
                <w:rFonts w:ascii="Times New Roman" w:hAnsi="Times New Roman" w:eastAsia="Times New Roman" w:cs="Times New Roman"/>
                <w:b/>
                <w:sz w:val="16"/>
                <w:szCs w:val="24"/>
              </w:rPr>
            </w:pPr>
            <w:r w:rsidRPr="00233EDE">
              <w:rPr>
                <w:rFonts w:ascii="Times New Roman" w:hAnsi="Times New Roman" w:eastAsia="Times New Roman" w:cs="Times New Roman"/>
                <w:b/>
                <w:sz w:val="16"/>
                <w:szCs w:val="24"/>
              </w:rPr>
              <w:t>Total Annualized Hours</w:t>
            </w:r>
          </w:p>
        </w:tc>
        <w:tc>
          <w:tcPr>
            <w:tcW w:w="1929" w:type="dxa"/>
            <w:gridSpan w:val="3"/>
            <w:vAlign w:val="center"/>
          </w:tcPr>
          <w:p w:rsidRPr="00233EDE" w:rsidR="00BE1FCB" w:rsidP="00F3750D" w:rsidRDefault="00BE1FCB" w14:paraId="022DDE33" w14:textId="77777777">
            <w:pPr>
              <w:keepNext/>
              <w:autoSpaceDE w:val="0"/>
              <w:autoSpaceDN w:val="0"/>
              <w:adjustRightInd w:val="0"/>
              <w:ind w:left="180"/>
              <w:rPr>
                <w:rFonts w:ascii="Times New Roman" w:hAnsi="Times New Roman" w:eastAsia="Times New Roman" w:cs="Times New Roman"/>
                <w:sz w:val="16"/>
                <w:szCs w:val="24"/>
              </w:rPr>
            </w:pPr>
          </w:p>
        </w:tc>
        <w:tc>
          <w:tcPr>
            <w:tcW w:w="951" w:type="dxa"/>
            <w:vAlign w:val="center"/>
          </w:tcPr>
          <w:p w:rsidRPr="00233EDE" w:rsidR="00BE1FCB" w:rsidP="00F3750D" w:rsidRDefault="00BE1FCB" w14:paraId="34B1F324" w14:textId="77777777">
            <w:pPr>
              <w:keepNext/>
              <w:tabs>
                <w:tab w:val="decimal" w:pos="932"/>
              </w:tabs>
              <w:autoSpaceDE w:val="0"/>
              <w:autoSpaceDN w:val="0"/>
              <w:adjustRightInd w:val="0"/>
              <w:ind w:left="180"/>
              <w:jc w:val="right"/>
              <w:rPr>
                <w:rFonts w:ascii="Times New Roman" w:hAnsi="Times New Roman" w:eastAsia="Times New Roman" w:cs="Times New Roman"/>
                <w:sz w:val="16"/>
                <w:szCs w:val="24"/>
              </w:rPr>
            </w:pPr>
          </w:p>
        </w:tc>
        <w:tc>
          <w:tcPr>
            <w:tcW w:w="1079" w:type="dxa"/>
            <w:gridSpan w:val="2"/>
            <w:vAlign w:val="center"/>
          </w:tcPr>
          <w:p w:rsidRPr="00233EDE" w:rsidR="00BE1FCB" w:rsidP="00F3750D" w:rsidRDefault="00BE1FCB" w14:paraId="29C970CB" w14:textId="77777777">
            <w:pPr>
              <w:keepNext/>
              <w:autoSpaceDE w:val="0"/>
              <w:autoSpaceDN w:val="0"/>
              <w:adjustRightInd w:val="0"/>
              <w:ind w:left="180"/>
              <w:jc w:val="right"/>
              <w:rPr>
                <w:rFonts w:ascii="Times New Roman" w:hAnsi="Times New Roman" w:eastAsia="Times New Roman" w:cs="Times New Roman"/>
                <w:sz w:val="16"/>
                <w:szCs w:val="24"/>
              </w:rPr>
            </w:pPr>
          </w:p>
        </w:tc>
        <w:tc>
          <w:tcPr>
            <w:tcW w:w="1080" w:type="dxa"/>
            <w:vAlign w:val="center"/>
          </w:tcPr>
          <w:p w:rsidRPr="00233EDE" w:rsidR="00BE1FCB" w:rsidP="00F3750D" w:rsidRDefault="00BE1FCB" w14:paraId="2FF8D584" w14:textId="77777777">
            <w:pPr>
              <w:keepNext/>
              <w:tabs>
                <w:tab w:val="decimal" w:pos="710"/>
              </w:tabs>
              <w:autoSpaceDE w:val="0"/>
              <w:autoSpaceDN w:val="0"/>
              <w:adjustRightInd w:val="0"/>
              <w:ind w:left="180"/>
              <w:jc w:val="right"/>
              <w:rPr>
                <w:rFonts w:ascii="Times New Roman" w:hAnsi="Times New Roman"/>
                <w:sz w:val="16"/>
              </w:rPr>
            </w:pPr>
          </w:p>
        </w:tc>
        <w:tc>
          <w:tcPr>
            <w:tcW w:w="1080" w:type="dxa"/>
            <w:vAlign w:val="center"/>
          </w:tcPr>
          <w:p w:rsidRPr="00233EDE" w:rsidR="00BE1FCB" w:rsidP="00F3750D" w:rsidRDefault="00BE1FCB" w14:paraId="78240483" w14:textId="77777777">
            <w:pPr>
              <w:keepNext/>
              <w:tabs>
                <w:tab w:val="decimal" w:pos="454"/>
              </w:tabs>
              <w:autoSpaceDE w:val="0"/>
              <w:autoSpaceDN w:val="0"/>
              <w:adjustRightInd w:val="0"/>
              <w:ind w:left="180"/>
              <w:jc w:val="right"/>
              <w:rPr>
                <w:rFonts w:ascii="Times New Roman" w:hAnsi="Times New Roman"/>
                <w:sz w:val="16"/>
              </w:rPr>
            </w:pPr>
          </w:p>
        </w:tc>
        <w:tc>
          <w:tcPr>
            <w:tcW w:w="1260" w:type="dxa"/>
            <w:vAlign w:val="center"/>
          </w:tcPr>
          <w:p w:rsidRPr="00233EDE" w:rsidR="00BE1FCB" w:rsidP="00674B86" w:rsidRDefault="00936BA7" w14:paraId="18CE1472" w14:textId="1034AA7D">
            <w:pPr>
              <w:autoSpaceDE w:val="0"/>
              <w:autoSpaceDN w:val="0"/>
              <w:adjustRightInd w:val="0"/>
              <w:ind w:left="16"/>
              <w:jc w:val="center"/>
              <w:rPr>
                <w:rFonts w:ascii="Times New Roman" w:hAnsi="Times New Roman"/>
                <w:b/>
                <w:sz w:val="16"/>
              </w:rPr>
            </w:pPr>
            <w:r>
              <w:rPr>
                <w:rFonts w:ascii="Times New Roman" w:hAnsi="Times New Roman" w:eastAsia="Times New Roman" w:cs="Times New Roman"/>
                <w:b/>
                <w:sz w:val="16"/>
                <w:szCs w:val="24"/>
              </w:rPr>
              <w:t>1,051</w:t>
            </w:r>
          </w:p>
        </w:tc>
      </w:tr>
    </w:tbl>
    <w:p w:rsidRPr="00233EDE" w:rsidR="007E58CF" w:rsidP="00BE1FCB" w:rsidRDefault="007E58CF" w14:paraId="2F336D8E" w14:textId="77777777">
      <w:pPr>
        <w:autoSpaceDE w:val="0"/>
        <w:autoSpaceDN w:val="0"/>
        <w:adjustRightInd w:val="0"/>
        <w:ind w:left="180"/>
        <w:jc w:val="both"/>
        <w:rPr>
          <w:rFonts w:ascii="Times New Roman" w:hAnsi="Times New Roman" w:eastAsia="Times New Roman" w:cs="Times New Roman"/>
          <w:szCs w:val="24"/>
          <w:u w:val="single"/>
        </w:rPr>
      </w:pPr>
    </w:p>
    <w:p w:rsidRPr="00233EDE" w:rsidR="00BE1FCB" w:rsidP="00BE1FCB" w:rsidRDefault="00BE1FCB" w14:paraId="7E35F210" w14:textId="62FE9ACE">
      <w:pPr>
        <w:autoSpaceDE w:val="0"/>
        <w:autoSpaceDN w:val="0"/>
        <w:adjustRightInd w:val="0"/>
        <w:ind w:left="180"/>
        <w:jc w:val="both"/>
        <w:rPr>
          <w:rFonts w:ascii="Times New Roman" w:hAnsi="Times New Roman" w:eastAsia="Times New Roman" w:cs="Times New Roman"/>
          <w:szCs w:val="24"/>
          <w:u w:val="single"/>
        </w:rPr>
      </w:pPr>
      <w:r w:rsidRPr="00233EDE">
        <w:rPr>
          <w:rFonts w:ascii="Times New Roman" w:hAnsi="Times New Roman" w:eastAsia="Times New Roman" w:cs="Times New Roman"/>
          <w:szCs w:val="24"/>
          <w:u w:val="single"/>
        </w:rPr>
        <w:t>12b. Annualized Cost Burden Estimate</w:t>
      </w:r>
    </w:p>
    <w:p w:rsidRPr="00233EDE" w:rsidR="00BE1FCB" w:rsidP="00BE1FCB" w:rsidRDefault="00BE1FCB" w14:paraId="2F564EA1" w14:textId="5E677070">
      <w:pPr>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Respondents participate on a purely voluntary basis and, therefore, are subject to no direct costs other than time to participate. There are also no start-up or maintenance costs. </w:t>
      </w:r>
      <w:r w:rsidRPr="00233EDE" w:rsidR="00B941E0">
        <w:rPr>
          <w:rFonts w:ascii="Times New Roman" w:hAnsi="Times New Roman" w:eastAsia="Times New Roman" w:cs="Times New Roman"/>
          <w:szCs w:val="24"/>
        </w:rPr>
        <w:t xml:space="preserve">Marketing Workshop </w:t>
      </w:r>
      <w:r w:rsidRPr="00233EDE">
        <w:rPr>
          <w:rFonts w:ascii="Times New Roman" w:hAnsi="Times New Roman" w:eastAsia="Times New Roman" w:cs="Times New Roman"/>
          <w:szCs w:val="24"/>
        </w:rPr>
        <w:t>has conducted many smoking-related surveys of similar length among youth</w:t>
      </w:r>
      <w:r w:rsidRPr="00233EDE" w:rsidR="00ED74D1">
        <w:rPr>
          <w:rFonts w:ascii="Times New Roman" w:hAnsi="Times New Roman" w:eastAsia="Times New Roman" w:cs="Times New Roman"/>
          <w:szCs w:val="24"/>
        </w:rPr>
        <w:t xml:space="preserve"> and adults</w:t>
      </w:r>
      <w:r w:rsidRPr="00233EDE">
        <w:rPr>
          <w:rFonts w:ascii="Times New Roman" w:hAnsi="Times New Roman" w:eastAsia="Times New Roman" w:cs="Times New Roman"/>
          <w:szCs w:val="24"/>
        </w:rPr>
        <w:t xml:space="preserve">. </w:t>
      </w:r>
      <w:r w:rsidRPr="00233EDE">
        <w:rPr>
          <w:rFonts w:ascii="Times New Roman" w:hAnsi="Times New Roman"/>
        </w:rPr>
        <w:t xml:space="preserve">We have examined diagnostic data from prior surveys and estimate that data collection for this study will take approximately </w:t>
      </w:r>
      <w:r w:rsidR="008E26C4">
        <w:rPr>
          <w:rFonts w:ascii="Times New Roman" w:hAnsi="Times New Roman"/>
        </w:rPr>
        <w:t xml:space="preserve">3 minutes for recruiting, </w:t>
      </w:r>
      <w:r w:rsidRPr="00233EDE" w:rsidR="00D56539">
        <w:rPr>
          <w:rFonts w:ascii="Times New Roman" w:hAnsi="Times New Roman" w:eastAsia="Times New Roman" w:cs="Times New Roman"/>
          <w:szCs w:val="24"/>
        </w:rPr>
        <w:t>2</w:t>
      </w:r>
      <w:r w:rsidRPr="00233EDE" w:rsidR="006F5F1D">
        <w:rPr>
          <w:rFonts w:ascii="Times New Roman" w:hAnsi="Times New Roman"/>
        </w:rPr>
        <w:t xml:space="preserve"> </w:t>
      </w:r>
      <w:r w:rsidRPr="00233EDE" w:rsidR="003807AB">
        <w:rPr>
          <w:rFonts w:ascii="Times New Roman" w:hAnsi="Times New Roman"/>
        </w:rPr>
        <w:t>minutes per respondent for screening</w:t>
      </w:r>
      <w:r w:rsidRPr="00233EDE" w:rsidR="00804FE9">
        <w:rPr>
          <w:rFonts w:ascii="Times New Roman" w:hAnsi="Times New Roman"/>
        </w:rPr>
        <w:t xml:space="preserve">, </w:t>
      </w:r>
      <w:r w:rsidRPr="00233EDE" w:rsidR="00D56539">
        <w:rPr>
          <w:rFonts w:ascii="Times New Roman" w:hAnsi="Times New Roman" w:eastAsia="Times New Roman" w:cs="Times New Roman"/>
          <w:szCs w:val="24"/>
        </w:rPr>
        <w:t>2</w:t>
      </w:r>
      <w:r w:rsidRPr="00233EDE" w:rsidR="007B4646">
        <w:rPr>
          <w:rFonts w:ascii="Times New Roman" w:hAnsi="Times New Roman"/>
        </w:rPr>
        <w:t xml:space="preserve"> </w:t>
      </w:r>
      <w:r w:rsidRPr="00233EDE" w:rsidR="00804FE9">
        <w:rPr>
          <w:rFonts w:ascii="Times New Roman" w:hAnsi="Times New Roman"/>
        </w:rPr>
        <w:t>minutes per respondent for assenting,</w:t>
      </w:r>
      <w:r w:rsidRPr="00233EDE" w:rsidR="003807AB">
        <w:rPr>
          <w:rFonts w:ascii="Times New Roman" w:hAnsi="Times New Roman"/>
        </w:rPr>
        <w:t xml:space="preserve"> and approximately </w:t>
      </w:r>
      <w:r w:rsidRPr="00233EDE" w:rsidR="007B4646">
        <w:rPr>
          <w:rFonts w:ascii="Times New Roman" w:hAnsi="Times New Roman" w:eastAsia="Times New Roman" w:cs="Times New Roman"/>
          <w:szCs w:val="24"/>
        </w:rPr>
        <w:t>1</w:t>
      </w:r>
      <w:r w:rsidRPr="00233EDE" w:rsidR="00FB6B80">
        <w:rPr>
          <w:rFonts w:ascii="Times New Roman" w:hAnsi="Times New Roman" w:eastAsia="Times New Roman" w:cs="Times New Roman"/>
          <w:szCs w:val="24"/>
        </w:rPr>
        <w:t>7</w:t>
      </w:r>
      <w:r w:rsidRPr="00233EDE">
        <w:rPr>
          <w:rFonts w:ascii="Times New Roman" w:hAnsi="Times New Roman"/>
        </w:rPr>
        <w:t xml:space="preserve"> minutes per </w:t>
      </w:r>
      <w:r w:rsidRPr="00233EDE" w:rsidR="003807AB">
        <w:rPr>
          <w:rFonts w:ascii="Times New Roman" w:hAnsi="Times New Roman"/>
        </w:rPr>
        <w:t>respondent for the online survey</w:t>
      </w:r>
      <w:r w:rsidRPr="00233EDE" w:rsidR="00517103">
        <w:rPr>
          <w:rFonts w:ascii="Times New Roman" w:hAnsi="Times New Roman"/>
        </w:rPr>
        <w:t>s</w:t>
      </w:r>
      <w:r w:rsidRPr="00233EDE">
        <w:rPr>
          <w:rFonts w:ascii="Times New Roman" w:hAnsi="Times New Roman" w:eastAsia="Times New Roman" w:cs="Times New Roman"/>
          <w:szCs w:val="24"/>
        </w:rPr>
        <w:t xml:space="preserve">. </w:t>
      </w:r>
    </w:p>
    <w:p w:rsidRPr="00233EDE" w:rsidR="007E58CF" w:rsidP="00BE1FCB" w:rsidRDefault="007E58CF" w14:paraId="1AD6D22A" w14:textId="77777777">
      <w:pPr>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1D132FF6" w14:textId="4F7D47D0">
      <w:pPr>
        <w:autoSpaceDE w:val="0"/>
        <w:autoSpaceDN w:val="0"/>
        <w:adjustRightInd w:val="0"/>
        <w:ind w:left="180"/>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To calculate </w:t>
      </w:r>
      <w:bookmarkStart w:name="_Hlk46317441" w:id="32"/>
      <w:r w:rsidRPr="00233EDE" w:rsidR="008A72B9">
        <w:rPr>
          <w:rFonts w:ascii="Times New Roman" w:hAnsi="Times New Roman" w:eastAsia="Times New Roman" w:cs="Times New Roman"/>
          <w:szCs w:val="24"/>
        </w:rPr>
        <w:t xml:space="preserve">the estimate annual </w:t>
      </w:r>
      <w:r w:rsidRPr="00233EDE">
        <w:rPr>
          <w:rFonts w:ascii="Times New Roman" w:hAnsi="Times New Roman" w:eastAsia="Times New Roman" w:cs="Times New Roman"/>
          <w:szCs w:val="24"/>
        </w:rPr>
        <w:t xml:space="preserve">cost, the mean hourly wage of $7.25 was used for youth. </w:t>
      </w:r>
      <w:bookmarkEnd w:id="32"/>
      <w:r w:rsidRPr="00233EDE" w:rsidR="00C44863">
        <w:rPr>
          <w:rFonts w:ascii="Times New Roman" w:hAnsi="Times New Roman" w:eastAsia="Times New Roman" w:cs="Times New Roman"/>
          <w:szCs w:val="24"/>
        </w:rPr>
        <w:t xml:space="preserve">The youth price represents the minimum wage represent the mean hourly wage for </w:t>
      </w:r>
      <w:r w:rsidRPr="00233EDE" w:rsidR="00B00EFE">
        <w:rPr>
          <w:rFonts w:ascii="Times New Roman" w:hAnsi="Times New Roman" w:eastAsia="Times New Roman" w:cs="Times New Roman"/>
          <w:szCs w:val="24"/>
        </w:rPr>
        <w:t>other</w:t>
      </w:r>
      <w:r w:rsidRPr="00233EDE" w:rsidR="00C44863">
        <w:rPr>
          <w:rFonts w:ascii="Times New Roman" w:hAnsi="Times New Roman" w:eastAsia="Times New Roman" w:cs="Times New Roman"/>
          <w:szCs w:val="24"/>
        </w:rPr>
        <w:t xml:space="preserve"> occupation</w:t>
      </w:r>
      <w:r w:rsidRPr="00233EDE" w:rsidR="00E53B28">
        <w:rPr>
          <w:rFonts w:ascii="Times New Roman" w:hAnsi="Times New Roman" w:eastAsia="Times New Roman" w:cs="Times New Roman"/>
          <w:szCs w:val="24"/>
        </w:rPr>
        <w:t xml:space="preserve"> earning</w:t>
      </w:r>
      <w:r w:rsidRPr="00233EDE" w:rsidR="00C44863">
        <w:rPr>
          <w:rFonts w:ascii="Times New Roman" w:hAnsi="Times New Roman" w:eastAsia="Times New Roman" w:cs="Times New Roman"/>
          <w:szCs w:val="24"/>
        </w:rPr>
        <w:t xml:space="preserve">s from the </w:t>
      </w:r>
      <w:r w:rsidRPr="00233EDE" w:rsidR="005E3BBC">
        <w:rPr>
          <w:rFonts w:ascii="Times New Roman" w:hAnsi="Times New Roman" w:eastAsia="Times New Roman" w:cs="Times New Roman"/>
          <w:szCs w:val="24"/>
        </w:rPr>
        <w:t>U.S. Department of Labor Bureau of Labor Statistics</w:t>
      </w:r>
      <w:r w:rsidRPr="00233EDE" w:rsidR="00C44863">
        <w:rPr>
          <w:rFonts w:ascii="Times New Roman" w:hAnsi="Times New Roman" w:eastAsia="Times New Roman" w:cs="Times New Roman"/>
          <w:szCs w:val="24"/>
        </w:rPr>
        <w:t xml:space="preserve"> (May 20</w:t>
      </w:r>
      <w:r w:rsidRPr="00233EDE" w:rsidR="00E75926">
        <w:rPr>
          <w:rFonts w:ascii="Times New Roman" w:hAnsi="Times New Roman" w:eastAsia="Times New Roman" w:cs="Times New Roman"/>
          <w:szCs w:val="24"/>
        </w:rPr>
        <w:t xml:space="preserve">20 </w:t>
      </w:r>
      <w:r w:rsidRPr="00233EDE" w:rsidR="00C44863">
        <w:rPr>
          <w:rFonts w:ascii="Times New Roman" w:hAnsi="Times New Roman" w:eastAsia="Times New Roman" w:cs="Times New Roman"/>
          <w:szCs w:val="24"/>
        </w:rPr>
        <w:t xml:space="preserve">data). </w:t>
      </w:r>
      <w:r w:rsidRPr="00233EDE">
        <w:rPr>
          <w:rFonts w:ascii="Times New Roman" w:hAnsi="Times New Roman" w:eastAsia="Times New Roman" w:cs="Times New Roman"/>
          <w:szCs w:val="24"/>
        </w:rPr>
        <w:t xml:space="preserve">There are no direct costs to respondents associated with participation in this information collection. </w:t>
      </w:r>
      <w:r w:rsidRPr="00233EDE" w:rsidR="00472B5D">
        <w:rPr>
          <w:rFonts w:ascii="Times New Roman" w:hAnsi="Times New Roman" w:eastAsia="Times New Roman" w:cs="Times New Roman"/>
          <w:szCs w:val="24"/>
        </w:rPr>
        <w:t>Marketing Workshop</w:t>
      </w:r>
      <w:r w:rsidRPr="00233EDE" w:rsidR="0091733F">
        <w:rPr>
          <w:rFonts w:ascii="Times New Roman" w:hAnsi="Times New Roman" w:eastAsia="Times New Roman" w:cs="Times New Roman"/>
          <w:szCs w:val="24"/>
        </w:rPr>
        <w:t xml:space="preserve"> has conducted many smoking-related surveys of similar length among youth and adults. </w:t>
      </w:r>
      <w:r w:rsidRPr="00233EDE">
        <w:rPr>
          <w:rFonts w:ascii="Times New Roman" w:hAnsi="Times New Roman" w:eastAsia="Times New Roman" w:cs="Times New Roman"/>
          <w:szCs w:val="24"/>
        </w:rPr>
        <w:t xml:space="preserve">Thus, assuming an average hourly wage of $7.25 </w:t>
      </w:r>
      <w:r w:rsidRPr="00233EDE" w:rsidR="009D1F0C">
        <w:rPr>
          <w:rFonts w:ascii="Times New Roman" w:hAnsi="Times New Roman" w:eastAsia="Times New Roman" w:cs="Times New Roman"/>
          <w:szCs w:val="24"/>
        </w:rPr>
        <w:t xml:space="preserve">for youth and $28.43 for parents of youth, </w:t>
      </w:r>
      <w:r w:rsidRPr="00233EDE">
        <w:rPr>
          <w:rFonts w:ascii="Times New Roman" w:hAnsi="Times New Roman" w:eastAsia="Times New Roman" w:cs="Times New Roman"/>
          <w:szCs w:val="24"/>
        </w:rPr>
        <w:t xml:space="preserve">the estimated one-year annualized cost to participants will be </w:t>
      </w:r>
      <w:r w:rsidRPr="00233EDE" w:rsidR="00A66BDD">
        <w:rPr>
          <w:rFonts w:ascii="Times New Roman" w:hAnsi="Times New Roman" w:eastAsia="Times New Roman" w:cs="Times New Roman"/>
          <w:szCs w:val="24"/>
        </w:rPr>
        <w:t>$</w:t>
      </w:r>
      <w:r w:rsidR="00936BA7">
        <w:rPr>
          <w:rFonts w:ascii="Times New Roman" w:hAnsi="Times New Roman" w:eastAsia="Times New Roman" w:cs="Times New Roman"/>
          <w:szCs w:val="24"/>
        </w:rPr>
        <w:t>12,915</w:t>
      </w:r>
      <w:r w:rsidRPr="00233EDE" w:rsidR="00A66BDD">
        <w:rPr>
          <w:rFonts w:ascii="Times New Roman" w:hAnsi="Times New Roman" w:eastAsia="Times New Roman" w:cs="Times New Roman"/>
          <w:szCs w:val="24"/>
        </w:rPr>
        <w:t>.</w:t>
      </w:r>
      <w:r w:rsidRPr="00233EDE">
        <w:rPr>
          <w:rFonts w:ascii="Times New Roman" w:hAnsi="Times New Roman" w:eastAsia="Times New Roman" w:cs="Times New Roman"/>
          <w:szCs w:val="24"/>
        </w:rPr>
        <w:t xml:space="preserve"> The estimated value of respondents’ time for participating in the information collection is summarized in Table 2.</w:t>
      </w:r>
    </w:p>
    <w:p w:rsidRPr="00233EDE" w:rsidR="00BE1FCB" w:rsidP="00BE1FCB" w:rsidRDefault="00BE1FCB" w14:paraId="0423B00F" w14:textId="77777777">
      <w:pPr>
        <w:keepNext/>
        <w:keepLines/>
        <w:autoSpaceDE w:val="0"/>
        <w:autoSpaceDN w:val="0"/>
        <w:adjustRightInd w:val="0"/>
        <w:ind w:left="180"/>
        <w:rPr>
          <w:rFonts w:ascii="Times New Roman" w:hAnsi="Times New Roman" w:eastAsia="Times New Roman" w:cs="Times New Roman"/>
          <w:b/>
          <w:szCs w:val="24"/>
        </w:rPr>
      </w:pPr>
    </w:p>
    <w:p w:rsidRPr="00233EDE" w:rsidR="00BE1FCB" w:rsidP="00BE1FCB" w:rsidRDefault="00BE1FCB" w14:paraId="6825F20F" w14:textId="5DCA2737">
      <w:pPr>
        <w:keepNext/>
        <w:keepLines/>
        <w:autoSpaceDE w:val="0"/>
        <w:autoSpaceDN w:val="0"/>
        <w:adjustRightInd w:val="0"/>
        <w:ind w:left="180"/>
        <w:rPr>
          <w:rFonts w:ascii="Times New Roman" w:hAnsi="Times New Roman" w:eastAsia="Times New Roman" w:cs="Times New Roman"/>
          <w:b/>
          <w:szCs w:val="24"/>
        </w:rPr>
      </w:pPr>
      <w:r w:rsidRPr="00233EDE">
        <w:rPr>
          <w:rFonts w:ascii="Times New Roman" w:hAnsi="Times New Roman" w:eastAsia="Times New Roman" w:cs="Times New Roman"/>
          <w:b/>
          <w:szCs w:val="24"/>
        </w:rPr>
        <w:t>Table 2. Estimated Annual Cost</w:t>
      </w:r>
    </w:p>
    <w:tbl>
      <w:tblPr>
        <w:tblW w:w="8280" w:type="dxa"/>
        <w:tblInd w:w="270" w:type="dxa"/>
        <w:tblBorders>
          <w:top w:val="single" w:color="auto" w:sz="12" w:space="0"/>
          <w:bottom w:val="single" w:color="auto" w:sz="12" w:space="0"/>
          <w:insideH w:val="single" w:color="auto" w:sz="6" w:space="0"/>
          <w:insideV w:val="single" w:color="auto" w:sz="6" w:space="0"/>
        </w:tblBorders>
        <w:tblLayout w:type="fixed"/>
        <w:tblCellMar>
          <w:left w:w="58" w:type="dxa"/>
          <w:right w:w="58" w:type="dxa"/>
        </w:tblCellMar>
        <w:tblLook w:val="00A0" w:firstRow="1" w:lastRow="0" w:firstColumn="1" w:lastColumn="0" w:noHBand="0" w:noVBand="0"/>
      </w:tblPr>
      <w:tblGrid>
        <w:gridCol w:w="2070"/>
        <w:gridCol w:w="2402"/>
        <w:gridCol w:w="1350"/>
        <w:gridCol w:w="1080"/>
        <w:gridCol w:w="1378"/>
      </w:tblGrid>
      <w:tr w:rsidRPr="00233EDE" w:rsidR="00BE1FCB" w:rsidTr="00674B86" w14:paraId="7F676096" w14:textId="77777777">
        <w:trPr>
          <w:cantSplit/>
          <w:trHeight w:val="735"/>
          <w:tblHeader/>
        </w:trPr>
        <w:tc>
          <w:tcPr>
            <w:tcW w:w="2070" w:type="dxa"/>
            <w:vAlign w:val="center"/>
          </w:tcPr>
          <w:p w:rsidRPr="00233EDE" w:rsidR="00BE1FCB" w:rsidP="00674B86" w:rsidRDefault="00BE1FCB" w14:paraId="12C415A6" w14:textId="77777777">
            <w:pPr>
              <w:keepNext/>
              <w:autoSpaceDE w:val="0"/>
              <w:autoSpaceDN w:val="0"/>
              <w:adjustRightInd w:val="0"/>
              <w:jc w:val="center"/>
              <w:rPr>
                <w:rFonts w:ascii="Times New Roman" w:hAnsi="Times New Roman" w:eastAsia="Times New Roman" w:cs="Times New Roman"/>
                <w:b/>
                <w:sz w:val="18"/>
                <w:szCs w:val="24"/>
              </w:rPr>
            </w:pPr>
            <w:r w:rsidRPr="00233EDE">
              <w:rPr>
                <w:rFonts w:ascii="Times New Roman" w:hAnsi="Times New Roman" w:eastAsia="Times New Roman" w:cs="Times New Roman"/>
                <w:b/>
                <w:sz w:val="18"/>
                <w:szCs w:val="24"/>
              </w:rPr>
              <w:t>Type of Respondent</w:t>
            </w:r>
          </w:p>
        </w:tc>
        <w:tc>
          <w:tcPr>
            <w:tcW w:w="2402" w:type="dxa"/>
            <w:vAlign w:val="center"/>
          </w:tcPr>
          <w:p w:rsidRPr="00233EDE" w:rsidR="00BE1FCB" w:rsidP="00674B86" w:rsidRDefault="00BE1FCB" w14:paraId="077F3FE0" w14:textId="77777777">
            <w:pPr>
              <w:keepNext/>
              <w:autoSpaceDE w:val="0"/>
              <w:autoSpaceDN w:val="0"/>
              <w:adjustRightInd w:val="0"/>
              <w:ind w:left="180"/>
              <w:rPr>
                <w:rFonts w:ascii="Times New Roman" w:hAnsi="Times New Roman" w:eastAsia="Times New Roman" w:cs="Times New Roman"/>
                <w:b/>
                <w:sz w:val="18"/>
                <w:szCs w:val="24"/>
              </w:rPr>
            </w:pPr>
            <w:r w:rsidRPr="00233EDE">
              <w:rPr>
                <w:rFonts w:ascii="Times New Roman" w:hAnsi="Times New Roman" w:eastAsia="Times New Roman" w:cs="Times New Roman"/>
                <w:b/>
                <w:sz w:val="18"/>
                <w:szCs w:val="24"/>
              </w:rPr>
              <w:t>Activity</w:t>
            </w:r>
          </w:p>
        </w:tc>
        <w:tc>
          <w:tcPr>
            <w:tcW w:w="1350" w:type="dxa"/>
            <w:vAlign w:val="center"/>
          </w:tcPr>
          <w:p w:rsidRPr="00233EDE" w:rsidR="00BE1FCB" w:rsidP="00B30823" w:rsidRDefault="00BE1FCB" w14:paraId="37C21B30" w14:textId="77777777">
            <w:pPr>
              <w:keepNext/>
              <w:autoSpaceDE w:val="0"/>
              <w:autoSpaceDN w:val="0"/>
              <w:adjustRightInd w:val="0"/>
              <w:ind w:left="180"/>
              <w:jc w:val="center"/>
              <w:rPr>
                <w:rFonts w:ascii="Times New Roman" w:hAnsi="Times New Roman" w:eastAsia="Times New Roman" w:cs="Times New Roman"/>
                <w:b/>
                <w:sz w:val="18"/>
                <w:szCs w:val="24"/>
              </w:rPr>
            </w:pPr>
            <w:r w:rsidRPr="00233EDE">
              <w:rPr>
                <w:rFonts w:ascii="Times New Roman" w:hAnsi="Times New Roman" w:eastAsia="Times New Roman" w:cs="Times New Roman"/>
                <w:b/>
                <w:sz w:val="18"/>
                <w:szCs w:val="24"/>
              </w:rPr>
              <w:t>Annual Burden Hours</w:t>
            </w:r>
          </w:p>
        </w:tc>
        <w:tc>
          <w:tcPr>
            <w:tcW w:w="1080" w:type="dxa"/>
            <w:vAlign w:val="center"/>
          </w:tcPr>
          <w:p w:rsidRPr="00233EDE" w:rsidR="00BE1FCB" w:rsidP="00674B86" w:rsidRDefault="00BE1FCB" w14:paraId="2C99DDBA" w14:textId="77777777">
            <w:pPr>
              <w:keepNext/>
              <w:autoSpaceDE w:val="0"/>
              <w:autoSpaceDN w:val="0"/>
              <w:adjustRightInd w:val="0"/>
              <w:ind w:left="-29"/>
              <w:jc w:val="center"/>
              <w:rPr>
                <w:rFonts w:ascii="Times New Roman" w:hAnsi="Times New Roman" w:eastAsia="Times New Roman" w:cs="Times New Roman"/>
                <w:b/>
                <w:sz w:val="18"/>
                <w:szCs w:val="24"/>
              </w:rPr>
            </w:pPr>
            <w:r w:rsidRPr="00233EDE">
              <w:rPr>
                <w:rFonts w:ascii="Times New Roman" w:hAnsi="Times New Roman" w:eastAsia="Times New Roman" w:cs="Times New Roman"/>
                <w:b/>
                <w:sz w:val="18"/>
                <w:szCs w:val="24"/>
              </w:rPr>
              <w:t>Hourly Wage Rate</w:t>
            </w:r>
          </w:p>
        </w:tc>
        <w:tc>
          <w:tcPr>
            <w:tcW w:w="1378" w:type="dxa"/>
            <w:vAlign w:val="center"/>
          </w:tcPr>
          <w:p w:rsidRPr="00233EDE" w:rsidR="00BE1FCB" w:rsidP="00674B86" w:rsidRDefault="00BE1FCB" w14:paraId="25DBE185" w14:textId="77777777">
            <w:pPr>
              <w:keepNext/>
              <w:autoSpaceDE w:val="0"/>
              <w:autoSpaceDN w:val="0"/>
              <w:adjustRightInd w:val="0"/>
              <w:ind w:left="-29"/>
              <w:jc w:val="center"/>
              <w:rPr>
                <w:rFonts w:ascii="Times New Roman" w:hAnsi="Times New Roman" w:eastAsia="Times New Roman" w:cs="Times New Roman"/>
                <w:b/>
                <w:sz w:val="18"/>
                <w:szCs w:val="24"/>
              </w:rPr>
            </w:pPr>
            <w:r w:rsidRPr="00233EDE">
              <w:rPr>
                <w:rFonts w:ascii="Times New Roman" w:hAnsi="Times New Roman" w:eastAsia="Times New Roman" w:cs="Times New Roman"/>
                <w:b/>
                <w:sz w:val="18"/>
                <w:szCs w:val="24"/>
              </w:rPr>
              <w:t>Total Cost</w:t>
            </w:r>
            <w:r w:rsidRPr="00233EDE">
              <w:rPr>
                <w:rFonts w:ascii="Times New Roman" w:hAnsi="Times New Roman" w:eastAsia="Times New Roman" w:cs="Times New Roman"/>
                <w:b/>
                <w:sz w:val="18"/>
                <w:szCs w:val="24"/>
                <w:vertAlign w:val="superscript"/>
              </w:rPr>
              <w:t>1</w:t>
            </w:r>
          </w:p>
        </w:tc>
      </w:tr>
      <w:tr w:rsidRPr="00233EDE" w:rsidR="009D1F0C" w:rsidTr="00674B86" w14:paraId="68725C05" w14:textId="77777777">
        <w:trPr>
          <w:cantSplit/>
          <w:trHeight w:val="642"/>
          <w:tblHeader/>
        </w:trPr>
        <w:tc>
          <w:tcPr>
            <w:tcW w:w="2070" w:type="dxa"/>
            <w:vAlign w:val="center"/>
          </w:tcPr>
          <w:p w:rsidRPr="00233EDE" w:rsidR="009D1F0C" w:rsidP="009D1F0C" w:rsidRDefault="009D1F0C" w14:paraId="7ABC69C4" w14:textId="16DC0508">
            <w:pPr>
              <w:keepNext/>
              <w:autoSpaceDE w:val="0"/>
              <w:autoSpaceDN w:val="0"/>
              <w:adjustRightInd w:val="0"/>
              <w:ind w:left="180"/>
              <w:rPr>
                <w:rFonts w:ascii="Times New Roman" w:hAnsi="Times New Roman" w:eastAsia="Times New Roman" w:cs="Times New Roman"/>
                <w:sz w:val="18"/>
                <w:szCs w:val="24"/>
              </w:rPr>
            </w:pPr>
            <w:r w:rsidRPr="00233EDE">
              <w:rPr>
                <w:rFonts w:ascii="Times New Roman" w:hAnsi="Times New Roman" w:eastAsia="Times New Roman" w:cs="Times New Roman"/>
                <w:sz w:val="18"/>
                <w:szCs w:val="24"/>
              </w:rPr>
              <w:t>Parent</w:t>
            </w:r>
            <w:r w:rsidRPr="00233EDE" w:rsidR="00DC0511">
              <w:rPr>
                <w:rFonts w:ascii="Times New Roman" w:hAnsi="Times New Roman" w:eastAsia="Times New Roman" w:cs="Times New Roman"/>
                <w:sz w:val="18"/>
                <w:szCs w:val="24"/>
              </w:rPr>
              <w:t>s</w:t>
            </w:r>
            <w:r w:rsidRPr="00233EDE">
              <w:rPr>
                <w:rFonts w:ascii="Times New Roman" w:hAnsi="Times New Roman" w:eastAsia="Times New Roman" w:cs="Times New Roman"/>
                <w:sz w:val="18"/>
                <w:szCs w:val="24"/>
              </w:rPr>
              <w:t xml:space="preserve"> of youth aged 13-17</w:t>
            </w:r>
          </w:p>
        </w:tc>
        <w:tc>
          <w:tcPr>
            <w:tcW w:w="2402" w:type="dxa"/>
            <w:vAlign w:val="center"/>
          </w:tcPr>
          <w:p w:rsidRPr="00233EDE" w:rsidR="009D1F0C" w:rsidP="009D1F0C" w:rsidRDefault="009D1F0C" w14:paraId="293283E2" w14:textId="33D3FAFB">
            <w:pPr>
              <w:keepNext/>
              <w:autoSpaceDE w:val="0"/>
              <w:autoSpaceDN w:val="0"/>
              <w:adjustRightInd w:val="0"/>
              <w:ind w:left="180"/>
              <w:rPr>
                <w:rFonts w:ascii="Times New Roman" w:hAnsi="Times New Roman" w:eastAsia="Times New Roman" w:cs="Times New Roman"/>
                <w:b/>
                <w:sz w:val="18"/>
                <w:szCs w:val="24"/>
              </w:rPr>
            </w:pPr>
            <w:r w:rsidRPr="00233EDE">
              <w:rPr>
                <w:rFonts w:ascii="Times New Roman" w:hAnsi="Times New Roman" w:eastAsia="Times New Roman" w:cs="Times New Roman"/>
                <w:sz w:val="16"/>
                <w:szCs w:val="24"/>
              </w:rPr>
              <w:t>Youth Recruiting</w:t>
            </w:r>
          </w:p>
        </w:tc>
        <w:tc>
          <w:tcPr>
            <w:tcW w:w="1350" w:type="dxa"/>
            <w:vAlign w:val="center"/>
          </w:tcPr>
          <w:p w:rsidRPr="00233EDE" w:rsidR="009D1F0C" w:rsidP="00B30823" w:rsidRDefault="00936BA7" w14:paraId="11FA3C5D" w14:textId="1438DE91">
            <w:pPr>
              <w:keepNext/>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250</w:t>
            </w:r>
          </w:p>
        </w:tc>
        <w:tc>
          <w:tcPr>
            <w:tcW w:w="1080" w:type="dxa"/>
            <w:vAlign w:val="center"/>
          </w:tcPr>
          <w:p w:rsidRPr="00233EDE" w:rsidR="009D1F0C" w:rsidP="00B30823" w:rsidRDefault="009D1F0C" w14:paraId="47EA654C" w14:textId="51F3CA1E">
            <w:pPr>
              <w:keepNext/>
              <w:autoSpaceDE w:val="0"/>
              <w:autoSpaceDN w:val="0"/>
              <w:adjustRightInd w:val="0"/>
              <w:ind w:left="180"/>
              <w:jc w:val="center"/>
              <w:rPr>
                <w:rFonts w:ascii="Times New Roman" w:hAnsi="Times New Roman" w:eastAsia="Times New Roman" w:cs="Times New Roman"/>
                <w:b/>
                <w:sz w:val="18"/>
                <w:szCs w:val="24"/>
              </w:rPr>
            </w:pPr>
            <w:r w:rsidRPr="00233EDE">
              <w:rPr>
                <w:rFonts w:ascii="Times New Roman" w:hAnsi="Times New Roman" w:eastAsia="Times New Roman" w:cs="Times New Roman"/>
                <w:sz w:val="18"/>
                <w:szCs w:val="18"/>
              </w:rPr>
              <w:t>$28.43</w:t>
            </w:r>
          </w:p>
        </w:tc>
        <w:tc>
          <w:tcPr>
            <w:tcW w:w="1378" w:type="dxa"/>
            <w:vAlign w:val="center"/>
          </w:tcPr>
          <w:p w:rsidRPr="00233EDE" w:rsidR="009D1F0C" w:rsidP="00B30823" w:rsidRDefault="00936BA7" w14:paraId="063CE037" w14:textId="12216615">
            <w:pPr>
              <w:keepNext/>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$7,108</w:t>
            </w:r>
          </w:p>
        </w:tc>
      </w:tr>
      <w:tr w:rsidRPr="00233EDE" w:rsidR="002F601D" w:rsidTr="00674B86" w14:paraId="0E7ACC8E" w14:textId="77777777">
        <w:trPr>
          <w:cantSplit/>
        </w:trPr>
        <w:tc>
          <w:tcPr>
            <w:tcW w:w="2070" w:type="dxa"/>
            <w:vMerge w:val="restart"/>
            <w:vAlign w:val="center"/>
          </w:tcPr>
          <w:p w:rsidRPr="00233EDE" w:rsidR="002F601D" w:rsidP="002F601D" w:rsidRDefault="002F601D" w14:paraId="6766E7B1" w14:textId="77777777">
            <w:pPr>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 xml:space="preserve">Youth aged </w:t>
            </w:r>
          </w:p>
          <w:p w:rsidRPr="00233EDE" w:rsidR="002F601D" w:rsidP="002F601D" w:rsidRDefault="002F601D" w14:paraId="3BF16051" w14:textId="3305BA7B">
            <w:pPr>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13–17</w:t>
            </w:r>
          </w:p>
        </w:tc>
        <w:tc>
          <w:tcPr>
            <w:tcW w:w="2402" w:type="dxa"/>
          </w:tcPr>
          <w:p w:rsidRPr="00233EDE" w:rsidR="002F601D" w:rsidP="002F601D" w:rsidRDefault="002F601D" w14:paraId="3608C6CA" w14:textId="77777777">
            <w:pPr>
              <w:autoSpaceDE w:val="0"/>
              <w:autoSpaceDN w:val="0"/>
              <w:adjustRightInd w:val="0"/>
              <w:ind w:left="180"/>
              <w:rPr>
                <w:rFonts w:ascii="Times New Roman" w:hAnsi="Times New Roman" w:eastAsia="Times New Roman" w:cs="Times New Roman"/>
                <w:sz w:val="16"/>
                <w:szCs w:val="24"/>
              </w:rPr>
            </w:pPr>
          </w:p>
          <w:p w:rsidRPr="00233EDE" w:rsidR="002F601D" w:rsidP="002F601D" w:rsidRDefault="002F601D" w14:paraId="188740E2" w14:textId="77777777">
            <w:pPr>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Youth Recruiting and Screening</w:t>
            </w:r>
          </w:p>
          <w:p w:rsidRPr="00233EDE" w:rsidR="002F601D" w:rsidP="002F601D" w:rsidRDefault="002F601D" w14:paraId="7D5D6410"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233EDE" w:rsidR="002F601D" w:rsidDel="00FC63CA" w:rsidP="002F601D" w:rsidRDefault="00936BA7" w14:paraId="02D4B11A" w14:textId="2655FBF0">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167</w:t>
            </w:r>
          </w:p>
        </w:tc>
        <w:tc>
          <w:tcPr>
            <w:tcW w:w="1080" w:type="dxa"/>
            <w:vAlign w:val="center"/>
          </w:tcPr>
          <w:p w:rsidRPr="00233EDE" w:rsidR="002F601D" w:rsidP="002F601D" w:rsidRDefault="002F601D" w14:paraId="349AEC84" w14:textId="6C8E4CBB">
            <w:pPr>
              <w:autoSpaceDE w:val="0"/>
              <w:autoSpaceDN w:val="0"/>
              <w:adjustRightInd w:val="0"/>
              <w:ind w:left="180"/>
              <w:jc w:val="center"/>
              <w:rPr>
                <w:rFonts w:ascii="Times New Roman" w:hAnsi="Times New Roman" w:eastAsia="Times New Roman" w:cs="Times New Roman"/>
                <w:sz w:val="18"/>
                <w:szCs w:val="24"/>
              </w:rPr>
            </w:pPr>
            <w:r w:rsidRPr="00233EDE">
              <w:rPr>
                <w:rFonts w:ascii="Times New Roman" w:hAnsi="Times New Roman" w:eastAsia="Times New Roman" w:cs="Times New Roman"/>
                <w:sz w:val="18"/>
                <w:szCs w:val="24"/>
              </w:rPr>
              <w:t>$7.25</w:t>
            </w:r>
          </w:p>
        </w:tc>
        <w:tc>
          <w:tcPr>
            <w:tcW w:w="1378" w:type="dxa"/>
            <w:vAlign w:val="center"/>
          </w:tcPr>
          <w:p w:rsidRPr="00233EDE" w:rsidR="002F601D" w:rsidP="002F601D" w:rsidRDefault="00936BA7" w14:paraId="36705507" w14:textId="0F81EDAE">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$1,211</w:t>
            </w:r>
          </w:p>
        </w:tc>
      </w:tr>
      <w:tr w:rsidRPr="00233EDE" w:rsidR="002F601D" w:rsidTr="00674B86" w14:paraId="4FDF32FF" w14:textId="77777777">
        <w:trPr>
          <w:cantSplit/>
        </w:trPr>
        <w:tc>
          <w:tcPr>
            <w:tcW w:w="2070" w:type="dxa"/>
            <w:vMerge/>
            <w:vAlign w:val="center"/>
          </w:tcPr>
          <w:p w:rsidRPr="00233EDE" w:rsidR="002F601D" w:rsidP="002F601D" w:rsidRDefault="002F601D" w14:paraId="1806235A" w14:textId="77777777">
            <w:pPr>
              <w:autoSpaceDE w:val="0"/>
              <w:autoSpaceDN w:val="0"/>
              <w:adjustRightInd w:val="0"/>
              <w:ind w:left="180"/>
              <w:rPr>
                <w:rFonts w:ascii="Times New Roman" w:hAnsi="Times New Roman" w:eastAsia="Times New Roman" w:cs="Times New Roman"/>
                <w:sz w:val="16"/>
                <w:szCs w:val="24"/>
              </w:rPr>
            </w:pPr>
          </w:p>
        </w:tc>
        <w:tc>
          <w:tcPr>
            <w:tcW w:w="2402" w:type="dxa"/>
          </w:tcPr>
          <w:p w:rsidRPr="00233EDE" w:rsidR="002F601D" w:rsidP="002F601D" w:rsidRDefault="002F601D" w14:paraId="3E86FD46" w14:textId="77777777">
            <w:pPr>
              <w:autoSpaceDE w:val="0"/>
              <w:autoSpaceDN w:val="0"/>
              <w:adjustRightInd w:val="0"/>
              <w:ind w:left="180"/>
              <w:rPr>
                <w:rFonts w:ascii="Times New Roman" w:hAnsi="Times New Roman" w:eastAsia="Times New Roman" w:cs="Times New Roman"/>
                <w:sz w:val="16"/>
                <w:szCs w:val="24"/>
              </w:rPr>
            </w:pPr>
          </w:p>
          <w:p w:rsidRPr="00233EDE" w:rsidR="002F601D" w:rsidP="002F601D" w:rsidRDefault="002F601D" w14:paraId="5BAF4E81" w14:textId="40F2EBCE">
            <w:pPr>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Youth Assent</w:t>
            </w:r>
          </w:p>
          <w:p w:rsidRPr="00233EDE" w:rsidR="002F601D" w:rsidP="002F601D" w:rsidRDefault="002F601D" w14:paraId="6F63902A"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233EDE" w:rsidR="002F601D" w:rsidDel="00FC63CA" w:rsidP="002F601D" w:rsidRDefault="00936BA7" w14:paraId="599E8B46" w14:textId="0687EF80">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67</w:t>
            </w:r>
          </w:p>
        </w:tc>
        <w:tc>
          <w:tcPr>
            <w:tcW w:w="1080" w:type="dxa"/>
            <w:vAlign w:val="center"/>
          </w:tcPr>
          <w:p w:rsidRPr="00233EDE" w:rsidR="002F601D" w:rsidP="002F601D" w:rsidRDefault="002F601D" w14:paraId="3251EB8D" w14:textId="0013AD18">
            <w:pPr>
              <w:autoSpaceDE w:val="0"/>
              <w:autoSpaceDN w:val="0"/>
              <w:adjustRightInd w:val="0"/>
              <w:ind w:left="180"/>
              <w:jc w:val="center"/>
              <w:rPr>
                <w:rFonts w:ascii="Times New Roman" w:hAnsi="Times New Roman" w:eastAsia="Times New Roman" w:cs="Times New Roman"/>
                <w:sz w:val="18"/>
                <w:szCs w:val="24"/>
              </w:rPr>
            </w:pPr>
            <w:r w:rsidRPr="00233EDE">
              <w:rPr>
                <w:rFonts w:ascii="Times New Roman" w:hAnsi="Times New Roman" w:eastAsia="Times New Roman" w:cs="Times New Roman"/>
                <w:sz w:val="18"/>
                <w:szCs w:val="24"/>
              </w:rPr>
              <w:t>$7.25</w:t>
            </w:r>
          </w:p>
        </w:tc>
        <w:tc>
          <w:tcPr>
            <w:tcW w:w="1378" w:type="dxa"/>
            <w:vAlign w:val="center"/>
          </w:tcPr>
          <w:p w:rsidRPr="00233EDE" w:rsidR="002F601D" w:rsidP="002F601D" w:rsidRDefault="00936BA7" w14:paraId="0BC64203" w14:textId="7F0164FD">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$486</w:t>
            </w:r>
          </w:p>
        </w:tc>
      </w:tr>
      <w:tr w:rsidRPr="00233EDE" w:rsidR="002F601D" w:rsidTr="00674B86" w14:paraId="3BEC3BBA" w14:textId="77777777">
        <w:trPr>
          <w:cantSplit/>
          <w:trHeight w:val="417"/>
        </w:trPr>
        <w:tc>
          <w:tcPr>
            <w:tcW w:w="2070" w:type="dxa"/>
            <w:vMerge/>
            <w:vAlign w:val="center"/>
          </w:tcPr>
          <w:p w:rsidRPr="00233EDE" w:rsidR="002F601D" w:rsidP="002F601D" w:rsidRDefault="002F601D" w14:paraId="6F206C47"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233EDE" w:rsidR="002F601D" w:rsidP="002F601D" w:rsidRDefault="002F601D" w14:paraId="49E6E158" w14:textId="18CA5037">
            <w:pPr>
              <w:autoSpaceDE w:val="0"/>
              <w:autoSpaceDN w:val="0"/>
              <w:adjustRightInd w:val="0"/>
              <w:ind w:left="180"/>
              <w:rPr>
                <w:rFonts w:ascii="Times New Roman" w:hAnsi="Times New Roman" w:eastAsia="Times New Roman" w:cs="Times New Roman"/>
                <w:sz w:val="16"/>
                <w:szCs w:val="24"/>
              </w:rPr>
            </w:pPr>
            <w:r w:rsidRPr="00233EDE">
              <w:rPr>
                <w:rFonts w:ascii="Times New Roman" w:hAnsi="Times New Roman" w:eastAsia="Times New Roman" w:cs="Times New Roman"/>
                <w:sz w:val="16"/>
                <w:szCs w:val="24"/>
              </w:rPr>
              <w:t>Online Survey</w:t>
            </w:r>
          </w:p>
        </w:tc>
        <w:tc>
          <w:tcPr>
            <w:tcW w:w="1350" w:type="dxa"/>
            <w:vAlign w:val="center"/>
          </w:tcPr>
          <w:p w:rsidRPr="00233EDE" w:rsidR="002F601D" w:rsidP="002F601D" w:rsidRDefault="00936BA7" w14:paraId="395FC90E" w14:textId="738C34D2">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567</w:t>
            </w:r>
          </w:p>
        </w:tc>
        <w:tc>
          <w:tcPr>
            <w:tcW w:w="1080" w:type="dxa"/>
            <w:vAlign w:val="center"/>
          </w:tcPr>
          <w:p w:rsidRPr="00233EDE" w:rsidR="002F601D" w:rsidP="002F601D" w:rsidRDefault="002F601D" w14:paraId="2AB100FE" w14:textId="6EC32C9C">
            <w:pPr>
              <w:autoSpaceDE w:val="0"/>
              <w:autoSpaceDN w:val="0"/>
              <w:adjustRightInd w:val="0"/>
              <w:ind w:left="180"/>
              <w:jc w:val="center"/>
              <w:rPr>
                <w:rFonts w:ascii="Times New Roman" w:hAnsi="Times New Roman" w:eastAsia="Times New Roman" w:cs="Times New Roman"/>
                <w:sz w:val="18"/>
                <w:szCs w:val="24"/>
              </w:rPr>
            </w:pPr>
            <w:r w:rsidRPr="00233EDE">
              <w:rPr>
                <w:rFonts w:ascii="Times New Roman" w:hAnsi="Times New Roman" w:eastAsia="Times New Roman" w:cs="Times New Roman"/>
                <w:sz w:val="18"/>
                <w:szCs w:val="24"/>
              </w:rPr>
              <w:t>$7.25</w:t>
            </w:r>
          </w:p>
        </w:tc>
        <w:tc>
          <w:tcPr>
            <w:tcW w:w="1378" w:type="dxa"/>
            <w:vAlign w:val="center"/>
          </w:tcPr>
          <w:p w:rsidRPr="00233EDE" w:rsidR="002F601D" w:rsidP="002F601D" w:rsidRDefault="00936BA7" w14:paraId="637FE11F" w14:textId="17575026">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$4,111</w:t>
            </w:r>
          </w:p>
        </w:tc>
      </w:tr>
      <w:tr w:rsidRPr="00233EDE" w:rsidR="002F601D" w:rsidTr="00674B86" w14:paraId="3BE2644A" w14:textId="77777777">
        <w:trPr>
          <w:cantSplit/>
          <w:trHeight w:val="426"/>
        </w:trPr>
        <w:tc>
          <w:tcPr>
            <w:tcW w:w="2070" w:type="dxa"/>
            <w:vAlign w:val="center"/>
          </w:tcPr>
          <w:p w:rsidRPr="00233EDE" w:rsidR="002F601D" w:rsidP="002F601D" w:rsidRDefault="002F601D" w14:paraId="45706442" w14:textId="77777777">
            <w:pPr>
              <w:autoSpaceDE w:val="0"/>
              <w:autoSpaceDN w:val="0"/>
              <w:adjustRightInd w:val="0"/>
              <w:ind w:left="180"/>
              <w:rPr>
                <w:rFonts w:ascii="Times New Roman" w:hAnsi="Times New Roman" w:eastAsia="Times New Roman" w:cs="Times New Roman"/>
                <w:sz w:val="18"/>
                <w:szCs w:val="24"/>
              </w:rPr>
            </w:pPr>
            <w:r w:rsidRPr="00233EDE">
              <w:rPr>
                <w:rFonts w:ascii="Times New Roman" w:hAnsi="Times New Roman" w:eastAsia="Times New Roman" w:cs="Times New Roman"/>
                <w:sz w:val="18"/>
                <w:szCs w:val="24"/>
              </w:rPr>
              <w:t>Total</w:t>
            </w:r>
          </w:p>
        </w:tc>
        <w:tc>
          <w:tcPr>
            <w:tcW w:w="2402" w:type="dxa"/>
          </w:tcPr>
          <w:p w:rsidRPr="00233EDE" w:rsidR="002F601D" w:rsidP="002F601D" w:rsidRDefault="002F601D" w14:paraId="03C319FD" w14:textId="77777777">
            <w:pPr>
              <w:keepNext/>
              <w:autoSpaceDE w:val="0"/>
              <w:autoSpaceDN w:val="0"/>
              <w:adjustRightInd w:val="0"/>
              <w:ind w:left="180"/>
              <w:rPr>
                <w:rFonts w:ascii="Times New Roman" w:hAnsi="Times New Roman" w:eastAsia="Times New Roman" w:cs="Times New Roman"/>
                <w:sz w:val="18"/>
                <w:szCs w:val="24"/>
              </w:rPr>
            </w:pPr>
          </w:p>
        </w:tc>
        <w:tc>
          <w:tcPr>
            <w:tcW w:w="1350" w:type="dxa"/>
            <w:vAlign w:val="center"/>
          </w:tcPr>
          <w:p w:rsidRPr="00233EDE" w:rsidR="002F601D" w:rsidP="002F601D" w:rsidRDefault="002F601D" w14:paraId="6EC8A280" w14:textId="496115EF">
            <w:pPr>
              <w:autoSpaceDE w:val="0"/>
              <w:autoSpaceDN w:val="0"/>
              <w:adjustRightInd w:val="0"/>
              <w:ind w:left="180"/>
              <w:jc w:val="center"/>
              <w:rPr>
                <w:rFonts w:ascii="Times New Roman" w:hAnsi="Times New Roman" w:eastAsia="Times New Roman" w:cs="Times New Roman"/>
                <w:sz w:val="18"/>
                <w:szCs w:val="24"/>
              </w:rPr>
            </w:pPr>
          </w:p>
        </w:tc>
        <w:tc>
          <w:tcPr>
            <w:tcW w:w="1080" w:type="dxa"/>
            <w:vAlign w:val="center"/>
          </w:tcPr>
          <w:p w:rsidRPr="00233EDE" w:rsidR="002F601D" w:rsidP="002F601D" w:rsidRDefault="002F601D" w14:paraId="220EED0E" w14:textId="77777777">
            <w:pPr>
              <w:autoSpaceDE w:val="0"/>
              <w:autoSpaceDN w:val="0"/>
              <w:adjustRightInd w:val="0"/>
              <w:ind w:left="180"/>
              <w:jc w:val="center"/>
              <w:rPr>
                <w:rFonts w:ascii="Times New Roman" w:hAnsi="Times New Roman" w:eastAsia="Times New Roman" w:cs="Times New Roman"/>
                <w:sz w:val="18"/>
                <w:szCs w:val="24"/>
              </w:rPr>
            </w:pPr>
          </w:p>
        </w:tc>
        <w:tc>
          <w:tcPr>
            <w:tcW w:w="1378" w:type="dxa"/>
            <w:vAlign w:val="center"/>
          </w:tcPr>
          <w:p w:rsidRPr="00233EDE" w:rsidR="002F601D" w:rsidP="002F601D" w:rsidRDefault="00936BA7" w14:paraId="31A902EF" w14:textId="289B17B7">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$12,915</w:t>
            </w:r>
          </w:p>
        </w:tc>
      </w:tr>
    </w:tbl>
    <w:p w:rsidRPr="00233EDE" w:rsidR="00BE1FCB" w:rsidP="00BE1FCB" w:rsidRDefault="00BE1FCB" w14:paraId="772E4013" w14:textId="77777777">
      <w:pPr>
        <w:autoSpaceDE w:val="0"/>
        <w:autoSpaceDN w:val="0"/>
        <w:adjustRightInd w:val="0"/>
        <w:ind w:left="180" w:firstLine="540"/>
        <w:rPr>
          <w:rFonts w:ascii="Times New Roman" w:hAnsi="Times New Roman" w:eastAsia="Times New Roman" w:cs="Times New Roman"/>
          <w:color w:val="000000"/>
          <w:sz w:val="16"/>
          <w:szCs w:val="24"/>
        </w:rPr>
      </w:pPr>
      <w:r w:rsidRPr="00233EDE">
        <w:rPr>
          <w:rFonts w:ascii="Times New Roman" w:hAnsi="Times New Roman" w:eastAsia="Times New Roman" w:cs="Times New Roman"/>
          <w:color w:val="000000"/>
          <w:sz w:val="16"/>
          <w:szCs w:val="24"/>
          <w:vertAlign w:val="superscript"/>
        </w:rPr>
        <w:t>1</w:t>
      </w:r>
      <w:r w:rsidRPr="00233EDE">
        <w:rPr>
          <w:rFonts w:ascii="Times New Roman" w:hAnsi="Times New Roman" w:eastAsia="Times New Roman" w:cs="Times New Roman"/>
          <w:sz w:val="12"/>
          <w:szCs w:val="20"/>
        </w:rPr>
        <w:t xml:space="preserve"> </w:t>
      </w:r>
      <w:r w:rsidRPr="00233EDE">
        <w:rPr>
          <w:rFonts w:ascii="Times New Roman" w:hAnsi="Times New Roman" w:eastAsia="Times New Roman" w:cs="Times New Roman"/>
          <w:color w:val="000000"/>
          <w:sz w:val="16"/>
          <w:szCs w:val="24"/>
        </w:rPr>
        <w:t>Cost was rounded up to the next dollar.</w:t>
      </w:r>
    </w:p>
    <w:p w:rsidRPr="00233EDE" w:rsidR="00BE1FCB" w:rsidP="00BE1FCB" w:rsidRDefault="00BE1FCB" w14:paraId="445D06E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p>
    <w:p w:rsidRPr="00233EDE" w:rsidR="00BE1FCB" w:rsidP="00BE1FCB" w:rsidRDefault="00BE1FCB" w14:paraId="3FDE71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4" w:id="33"/>
      <w:r w:rsidRPr="00233EDE">
        <w:rPr>
          <w:rFonts w:ascii="Times New Roman" w:hAnsi="Times New Roman" w:eastAsia="Times New Roman" w:cs="Times New Roman"/>
          <w:b/>
          <w:bCs/>
          <w:szCs w:val="24"/>
        </w:rPr>
        <w:t xml:space="preserve">13.  </w:t>
      </w:r>
      <w:r w:rsidRPr="00233EDE">
        <w:rPr>
          <w:rFonts w:ascii="Times New Roman" w:hAnsi="Times New Roman" w:eastAsia="Times New Roman" w:cs="Times New Roman"/>
          <w:b/>
          <w:bCs/>
          <w:szCs w:val="24"/>
          <w:u w:val="single"/>
        </w:rPr>
        <w:t>Estimates of Other Total Annual Cost Burden to Respondents or Record Keepers</w:t>
      </w:r>
      <w:bookmarkEnd w:id="33"/>
    </w:p>
    <w:p w:rsidRPr="00233EDE" w:rsidR="00BE1FCB" w:rsidP="00BE1FCB" w:rsidRDefault="00BE1FCB" w14:paraId="53C4AEA4" w14:textId="77777777">
      <w:pPr>
        <w:ind w:left="180"/>
        <w:contextualSpacing/>
        <w:rPr>
          <w:rFonts w:ascii="Times New Roman" w:hAnsi="Times New Roman" w:eastAsia="Times New Roman" w:cs="Times New Roman"/>
          <w:szCs w:val="24"/>
        </w:rPr>
      </w:pPr>
    </w:p>
    <w:p w:rsidRPr="00233EDE" w:rsidR="00BE1FCB" w:rsidP="00BE1FCB" w:rsidRDefault="00BE1FCB" w14:paraId="3B6CAFDB" w14:textId="77777777">
      <w:pPr>
        <w:ind w:left="180"/>
        <w:contextualSpacing/>
        <w:rPr>
          <w:rFonts w:ascii="Times New Roman" w:hAnsi="Times New Roman" w:eastAsia="Times New Roman" w:cs="Times New Roman"/>
          <w:szCs w:val="24"/>
        </w:rPr>
      </w:pPr>
      <w:r w:rsidRPr="00233EDE">
        <w:rPr>
          <w:rFonts w:ascii="Times New Roman" w:hAnsi="Times New Roman" w:eastAsia="Times New Roman" w:cs="Times New Roman"/>
          <w:szCs w:val="24"/>
        </w:rPr>
        <w:t xml:space="preserve">There </w:t>
      </w:r>
      <w:proofErr w:type="gramStart"/>
      <w:r w:rsidRPr="00233EDE">
        <w:rPr>
          <w:rFonts w:ascii="Times New Roman" w:hAnsi="Times New Roman" w:eastAsia="Times New Roman" w:cs="Times New Roman"/>
          <w:szCs w:val="24"/>
        </w:rPr>
        <w:t>are</w:t>
      </w:r>
      <w:proofErr w:type="gramEnd"/>
      <w:r w:rsidRPr="00233EDE">
        <w:rPr>
          <w:rFonts w:ascii="Times New Roman" w:hAnsi="Times New Roman" w:eastAsia="Times New Roman" w:cs="Times New Roman"/>
          <w:szCs w:val="24"/>
        </w:rPr>
        <w:t xml:space="preserve"> no capital, start-up, operating, or maintenance costs associated with this data collection.</w:t>
      </w:r>
    </w:p>
    <w:p w:rsidRPr="00233EDE" w:rsidR="00BE1FCB" w:rsidP="00E85BBE" w:rsidRDefault="00BE1FCB" w14:paraId="13524828" w14:textId="05D958C3">
      <w:pPr>
        <w:pStyle w:val="ListParagraph"/>
        <w:numPr>
          <w:ilvl w:val="0"/>
          <w:numId w:val="15"/>
        </w:numPr>
        <w:spacing w:before="100" w:beforeAutospacing="1" w:after="100" w:afterAutospacing="1"/>
        <w:ind w:left="630" w:hanging="450"/>
        <w:rPr>
          <w:rFonts w:ascii="Times New Roman" w:hAnsi="Times New Roman" w:cs="Times New Roman"/>
          <w:b/>
          <w:u w:val="single"/>
        </w:rPr>
      </w:pPr>
      <w:bookmarkStart w:name="_Toc239649235" w:id="34"/>
      <w:r w:rsidRPr="00233EDE">
        <w:rPr>
          <w:rFonts w:ascii="Times New Roman" w:hAnsi="Times New Roman" w:cs="Times New Roman"/>
          <w:b/>
          <w:u w:val="single"/>
        </w:rPr>
        <w:t>Annualized Cost to the Federal Government</w:t>
      </w:r>
    </w:p>
    <w:p w:rsidRPr="00233EDE" w:rsidR="00645FFC" w:rsidP="001D1FEA" w:rsidRDefault="00645FFC" w14:paraId="52F93849" w14:textId="60E98106">
      <w:pPr>
        <w:spacing w:before="100" w:beforeAutospacing="1" w:after="100" w:afterAutospacing="1"/>
        <w:ind w:left="270"/>
        <w:rPr>
          <w:rFonts w:ascii="Times New Roman" w:hAnsi="Times New Roman" w:cs="Times New Roman"/>
          <w:bCs/>
        </w:rPr>
      </w:pPr>
      <w:r w:rsidRPr="00233EDE">
        <w:rPr>
          <w:rFonts w:ascii="Times New Roman" w:hAnsi="Times New Roman" w:cs="Times New Roman"/>
          <w:bCs/>
        </w:rPr>
        <w:t xml:space="preserve">This information collection is funded through a contract with </w:t>
      </w:r>
      <w:r w:rsidRPr="00233EDE" w:rsidR="00802F40">
        <w:rPr>
          <w:rFonts w:ascii="Times New Roman" w:hAnsi="Times New Roman" w:cs="Times New Roman"/>
          <w:bCs/>
        </w:rPr>
        <w:t>FCB New York</w:t>
      </w:r>
      <w:r w:rsidRPr="00233EDE">
        <w:rPr>
          <w:rFonts w:ascii="Times New Roman" w:hAnsi="Times New Roman" w:cs="Times New Roman"/>
          <w:bCs/>
        </w:rPr>
        <w:t xml:space="preserve">. The estimated costs attributable to this data collection are </w:t>
      </w:r>
      <w:r w:rsidRPr="00233EDE" w:rsidR="00C12674">
        <w:rPr>
          <w:rFonts w:ascii="Times New Roman" w:hAnsi="Times New Roman" w:cs="Times New Roman"/>
          <w:bCs/>
        </w:rPr>
        <w:t>$</w:t>
      </w:r>
      <w:r w:rsidRPr="00233EDE" w:rsidR="00DA7983">
        <w:rPr>
          <w:rFonts w:ascii="Times New Roman" w:hAnsi="Times New Roman" w:cs="Times New Roman"/>
          <w:bCs/>
        </w:rPr>
        <w:t>753,587 per year</w:t>
      </w:r>
      <w:r w:rsidRPr="00233EDE" w:rsidR="00C12674">
        <w:rPr>
          <w:rFonts w:ascii="Times New Roman" w:hAnsi="Times New Roman" w:cs="Times New Roman"/>
          <w:bCs/>
        </w:rPr>
        <w:t xml:space="preserve">. </w:t>
      </w:r>
      <w:r w:rsidRPr="00233EDE">
        <w:rPr>
          <w:rFonts w:ascii="Times New Roman" w:hAnsi="Times New Roman" w:cs="Times New Roman"/>
          <w:bCs/>
        </w:rPr>
        <w:t>(</w:t>
      </w:r>
      <w:r w:rsidRPr="00233EDE" w:rsidR="004D7181">
        <w:rPr>
          <w:rFonts w:ascii="Times New Roman" w:hAnsi="Times New Roman" w:cs="Times New Roman"/>
          <w:bCs/>
        </w:rPr>
        <w:t>Table 3</w:t>
      </w:r>
      <w:r w:rsidRPr="00233EDE">
        <w:rPr>
          <w:rFonts w:ascii="Times New Roman" w:hAnsi="Times New Roman" w:cs="Times New Roman"/>
          <w:bCs/>
        </w:rPr>
        <w:t xml:space="preserve">). There are additional contract-funded activities occurring before and after this data collection that include project planning and data analysis. Other activities outside this data collection include coordination with FDA, instrument development, reporting, </w:t>
      </w:r>
      <w:r w:rsidRPr="00233EDE" w:rsidR="00802F40">
        <w:rPr>
          <w:rFonts w:ascii="Times New Roman" w:hAnsi="Times New Roman" w:cs="Times New Roman"/>
          <w:bCs/>
        </w:rPr>
        <w:t>KDH Research and Communication IRB</w:t>
      </w:r>
      <w:r w:rsidRPr="00233EDE" w:rsidR="001124F6">
        <w:rPr>
          <w:rFonts w:ascii="Times New Roman" w:hAnsi="Times New Roman" w:cs="Times New Roman"/>
          <w:bCs/>
        </w:rPr>
        <w:t xml:space="preserve">, </w:t>
      </w:r>
      <w:r w:rsidRPr="00233EDE">
        <w:rPr>
          <w:rFonts w:ascii="Times New Roman" w:hAnsi="Times New Roman" w:cs="Times New Roman"/>
          <w:bCs/>
        </w:rPr>
        <w:t>project management</w:t>
      </w:r>
      <w:r w:rsidRPr="00233EDE" w:rsidR="001124F6">
        <w:rPr>
          <w:rFonts w:ascii="Times New Roman" w:hAnsi="Times New Roman" w:cs="Times New Roman"/>
          <w:bCs/>
        </w:rPr>
        <w:t xml:space="preserve"> and progress reporting</w:t>
      </w:r>
      <w:r w:rsidRPr="00233EDE">
        <w:rPr>
          <w:rFonts w:ascii="Times New Roman" w:hAnsi="Times New Roman" w:cs="Times New Roman"/>
          <w:bCs/>
        </w:rPr>
        <w:t xml:space="preserve">. This information collection will occur </w:t>
      </w:r>
      <w:r w:rsidRPr="00233EDE" w:rsidR="007C5333">
        <w:rPr>
          <w:rFonts w:ascii="Times New Roman" w:hAnsi="Times New Roman" w:cs="Times New Roman"/>
          <w:bCs/>
        </w:rPr>
        <w:t xml:space="preserve">for </w:t>
      </w:r>
      <w:r w:rsidR="00B27A74">
        <w:rPr>
          <w:rFonts w:ascii="Times New Roman" w:hAnsi="Times New Roman" w:cs="Times New Roman"/>
          <w:bCs/>
        </w:rPr>
        <w:t xml:space="preserve">six </w:t>
      </w:r>
      <w:proofErr w:type="gramStart"/>
      <w:r w:rsidR="00B27A74">
        <w:rPr>
          <w:rFonts w:ascii="Times New Roman" w:hAnsi="Times New Roman" w:cs="Times New Roman"/>
          <w:bCs/>
        </w:rPr>
        <w:t>months.</w:t>
      </w:r>
      <w:r w:rsidRPr="00233EDE">
        <w:rPr>
          <w:rFonts w:ascii="Times New Roman" w:hAnsi="Times New Roman" w:cs="Times New Roman"/>
          <w:bCs/>
        </w:rPr>
        <w:t>.</w:t>
      </w:r>
      <w:proofErr w:type="gramEnd"/>
    </w:p>
    <w:p w:rsidRPr="00233EDE" w:rsidR="00BE1FCB" w:rsidP="004D5C89" w:rsidRDefault="00BE1FCB" w14:paraId="56A6E28C" w14:textId="77777777">
      <w:pPr>
        <w:pStyle w:val="FigureTitle"/>
        <w:ind w:left="720"/>
      </w:pPr>
      <w:r w:rsidRPr="00233EDE">
        <w:t>Table 3.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57"/>
        <w:gridCol w:w="1992"/>
        <w:gridCol w:w="2687"/>
        <w:gridCol w:w="1604"/>
      </w:tblGrid>
      <w:tr w:rsidRPr="00233EDE" w:rsidR="00BE1FCB" w:rsidTr="00B30823" w14:paraId="0AD30C32" w14:textId="77777777">
        <w:trPr>
          <w:trHeight w:val="107"/>
        </w:trPr>
        <w:tc>
          <w:tcPr>
            <w:tcW w:w="235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5B4E01A7" w14:textId="77777777">
            <w:pPr>
              <w:pStyle w:val="FigureTitle"/>
              <w:spacing w:before="0" w:after="120"/>
              <w:jc w:val="center"/>
            </w:pPr>
            <w:r w:rsidRPr="00233EDE">
              <w:rPr>
                <w:sz w:val="22"/>
                <w:szCs w:val="22"/>
              </w:rPr>
              <w:t>Government Personnel</w:t>
            </w:r>
          </w:p>
        </w:tc>
        <w:tc>
          <w:tcPr>
            <w:tcW w:w="199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5AA259FA" w14:textId="77777777">
            <w:pPr>
              <w:pStyle w:val="FigureTitle"/>
              <w:spacing w:before="0" w:after="120"/>
              <w:jc w:val="center"/>
            </w:pPr>
            <w:r w:rsidRPr="00233EDE">
              <w:rPr>
                <w:sz w:val="22"/>
                <w:szCs w:val="22"/>
              </w:rPr>
              <w:t>Time Commitment</w:t>
            </w:r>
          </w:p>
        </w:tc>
        <w:tc>
          <w:tcPr>
            <w:tcW w:w="268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2162C4C2" w14:textId="77777777">
            <w:pPr>
              <w:pStyle w:val="FigureTitle"/>
              <w:spacing w:before="0" w:after="120"/>
              <w:jc w:val="right"/>
            </w:pPr>
            <w:r w:rsidRPr="00233EDE">
              <w:rPr>
                <w:sz w:val="22"/>
                <w:szCs w:val="22"/>
              </w:rPr>
              <w:t>Average Annual Salary</w:t>
            </w:r>
          </w:p>
        </w:tc>
        <w:tc>
          <w:tcPr>
            <w:tcW w:w="1604" w:type="dxa"/>
            <w:tcBorders>
              <w:top w:val="single" w:color="auto" w:sz="12" w:space="0"/>
              <w:left w:val="nil"/>
              <w:bottom w:val="single" w:color="auto" w:sz="8" w:space="0"/>
              <w:right w:val="nil"/>
            </w:tcBorders>
            <w:tcMar>
              <w:top w:w="0" w:type="dxa"/>
              <w:left w:w="108" w:type="dxa"/>
              <w:bottom w:w="0" w:type="dxa"/>
              <w:right w:w="108" w:type="dxa"/>
            </w:tcMar>
            <w:vAlign w:val="center"/>
            <w:hideMark/>
          </w:tcPr>
          <w:p w:rsidRPr="00233EDE" w:rsidR="00BE1FCB" w:rsidP="00B30823" w:rsidRDefault="00BE1FCB" w14:paraId="65230065" w14:textId="77777777">
            <w:pPr>
              <w:pStyle w:val="FigureTitle"/>
              <w:spacing w:before="0" w:after="120"/>
              <w:jc w:val="center"/>
            </w:pPr>
            <w:r w:rsidRPr="00233EDE">
              <w:rPr>
                <w:sz w:val="22"/>
                <w:szCs w:val="22"/>
              </w:rPr>
              <w:t>Total</w:t>
            </w:r>
            <w:r w:rsidRPr="00233EDE">
              <w:rPr>
                <w:sz w:val="22"/>
                <w:szCs w:val="22"/>
                <w:vertAlign w:val="superscript"/>
              </w:rPr>
              <w:t>1</w:t>
            </w:r>
          </w:p>
        </w:tc>
      </w:tr>
      <w:tr w:rsidRPr="00233EDE" w:rsidR="00BE1FCB" w:rsidTr="00B30823" w14:paraId="1C103E5C" w14:textId="77777777">
        <w:trPr>
          <w:trHeight w:val="368"/>
        </w:trPr>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5D87840C" w14:textId="77777777">
            <w:pPr>
              <w:pStyle w:val="FigureTitle"/>
              <w:spacing w:before="0" w:after="60"/>
              <w:jc w:val="center"/>
              <w:rPr>
                <w:b w:val="0"/>
                <w:sz w:val="22"/>
                <w:szCs w:val="22"/>
              </w:rPr>
            </w:pPr>
            <w:r w:rsidRPr="00233EDE">
              <w:rPr>
                <w:b w:val="0"/>
                <w:bCs/>
                <w:sz w:val="22"/>
                <w:szCs w:val="22"/>
              </w:rPr>
              <w:t>GS-12</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32E1AECE" w14:textId="77777777">
            <w:pPr>
              <w:pStyle w:val="FigureTitle"/>
              <w:spacing w:before="0" w:after="60"/>
              <w:jc w:val="center"/>
              <w:rPr>
                <w:b w:val="0"/>
                <w:sz w:val="22"/>
                <w:szCs w:val="22"/>
              </w:rPr>
            </w:pPr>
            <w:r w:rsidRPr="00233EDE">
              <w:rPr>
                <w:b w:val="0"/>
                <w:bCs/>
                <w:sz w:val="22"/>
                <w:szCs w:val="22"/>
              </w:rPr>
              <w:t>5%</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16FBE4A3" w14:textId="2437B2E4">
            <w:pPr>
              <w:pStyle w:val="FigureTitle"/>
              <w:spacing w:before="0" w:after="60"/>
              <w:jc w:val="right"/>
              <w:rPr>
                <w:b w:val="0"/>
                <w:sz w:val="22"/>
                <w:szCs w:val="22"/>
              </w:rPr>
            </w:pPr>
            <w:r w:rsidRPr="00233EDE">
              <w:rPr>
                <w:b w:val="0"/>
                <w:bCs/>
                <w:sz w:val="22"/>
                <w:szCs w:val="22"/>
              </w:rPr>
              <w:t>$86,</w:t>
            </w:r>
            <w:r w:rsidRPr="00233EDE" w:rsidR="008A74EB">
              <w:rPr>
                <w:b w:val="0"/>
                <w:bCs/>
                <w:sz w:val="22"/>
                <w:szCs w:val="22"/>
              </w:rPr>
              <w:t>335</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233EDE" w:rsidR="00BE1FCB" w:rsidP="00B30823" w:rsidRDefault="00BE1FCB" w14:paraId="587F05D9" w14:textId="0E6759BA">
            <w:pPr>
              <w:pStyle w:val="FigureTitle"/>
              <w:spacing w:before="0" w:after="60"/>
              <w:jc w:val="right"/>
              <w:rPr>
                <w:b w:val="0"/>
                <w:sz w:val="22"/>
                <w:szCs w:val="22"/>
              </w:rPr>
            </w:pPr>
            <w:r w:rsidRPr="00233EDE">
              <w:rPr>
                <w:b w:val="0"/>
                <w:bCs/>
                <w:sz w:val="22"/>
                <w:szCs w:val="22"/>
              </w:rPr>
              <w:t>$4,3</w:t>
            </w:r>
            <w:r w:rsidRPr="00233EDE" w:rsidR="008A74EB">
              <w:rPr>
                <w:b w:val="0"/>
                <w:bCs/>
                <w:sz w:val="22"/>
                <w:szCs w:val="22"/>
              </w:rPr>
              <w:t>17</w:t>
            </w:r>
          </w:p>
        </w:tc>
      </w:tr>
      <w:tr w:rsidRPr="00233EDE" w:rsidR="00BE1FCB" w:rsidTr="00B30823" w14:paraId="3C8DA0E7" w14:textId="77777777">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363511CF" w14:textId="77777777">
            <w:pPr>
              <w:pStyle w:val="FigureTitle"/>
              <w:spacing w:before="0" w:after="60"/>
              <w:jc w:val="center"/>
              <w:rPr>
                <w:b w:val="0"/>
                <w:sz w:val="22"/>
                <w:szCs w:val="22"/>
              </w:rPr>
            </w:pPr>
            <w:r w:rsidRPr="00233EDE">
              <w:rPr>
                <w:b w:val="0"/>
                <w:bCs/>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2CF9097E" w14:textId="77777777">
            <w:pPr>
              <w:pStyle w:val="FigureTitle"/>
              <w:spacing w:before="0" w:after="60"/>
              <w:jc w:val="center"/>
              <w:rPr>
                <w:b w:val="0"/>
                <w:sz w:val="22"/>
                <w:szCs w:val="22"/>
              </w:rPr>
            </w:pPr>
            <w:r w:rsidRPr="00233EDE">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68EDF1B3" w14:textId="35998730">
            <w:pPr>
              <w:pStyle w:val="FigureTitle"/>
              <w:spacing w:before="0" w:after="60"/>
              <w:jc w:val="right"/>
              <w:rPr>
                <w:b w:val="0"/>
                <w:sz w:val="22"/>
                <w:szCs w:val="22"/>
              </w:rPr>
            </w:pPr>
            <w:r w:rsidRPr="00233EDE">
              <w:rPr>
                <w:b w:val="0"/>
                <w:bCs/>
                <w:sz w:val="22"/>
                <w:szCs w:val="22"/>
              </w:rPr>
              <w:t>$</w:t>
            </w:r>
            <w:r w:rsidRPr="00233EDE" w:rsidR="008A74EB">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233EDE" w:rsidR="00BE1FCB" w:rsidP="00B30823" w:rsidRDefault="00BE1FCB" w14:paraId="0B5E5272" w14:textId="26E4D334">
            <w:pPr>
              <w:pStyle w:val="FigureTitle"/>
              <w:spacing w:before="0" w:after="60"/>
              <w:jc w:val="right"/>
              <w:rPr>
                <w:b w:val="0"/>
                <w:sz w:val="22"/>
                <w:szCs w:val="22"/>
              </w:rPr>
            </w:pPr>
            <w:r w:rsidRPr="00233EDE">
              <w:rPr>
                <w:b w:val="0"/>
                <w:bCs/>
                <w:sz w:val="22"/>
                <w:szCs w:val="22"/>
              </w:rPr>
              <w:t>$10,</w:t>
            </w:r>
            <w:r w:rsidRPr="00233EDE" w:rsidR="008A74EB">
              <w:rPr>
                <w:b w:val="0"/>
                <w:bCs/>
                <w:sz w:val="22"/>
                <w:szCs w:val="22"/>
              </w:rPr>
              <w:t>266</w:t>
            </w:r>
          </w:p>
        </w:tc>
      </w:tr>
      <w:tr w:rsidRPr="00233EDE" w:rsidR="00BE1FCB" w:rsidTr="00B30823" w14:paraId="01FA2176"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tcPr>
          <w:p w:rsidRPr="00233EDE" w:rsidR="00BE1FCB" w:rsidP="00B30823" w:rsidRDefault="00BE1FCB" w14:paraId="20628E51" w14:textId="77777777">
            <w:pPr>
              <w:pStyle w:val="FigureTitle"/>
              <w:spacing w:before="0" w:after="60"/>
              <w:jc w:val="center"/>
              <w:rPr>
                <w:b w:val="0"/>
                <w:sz w:val="22"/>
                <w:szCs w:val="22"/>
              </w:rPr>
            </w:pPr>
            <w:r w:rsidRPr="00233EDE">
              <w:rPr>
                <w:b w:val="0"/>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tcPr>
          <w:p w:rsidRPr="00233EDE" w:rsidR="00BE1FCB" w:rsidP="00B30823" w:rsidRDefault="00BE1FCB" w14:paraId="7FFA8F71" w14:textId="77777777">
            <w:pPr>
              <w:pStyle w:val="FigureTitle"/>
              <w:spacing w:before="0" w:after="60"/>
              <w:jc w:val="center"/>
              <w:rPr>
                <w:b w:val="0"/>
                <w:sz w:val="22"/>
                <w:szCs w:val="22"/>
              </w:rPr>
            </w:pPr>
            <w:r w:rsidRPr="00233EDE">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rsidRPr="00233EDE" w:rsidR="00BE1FCB" w:rsidP="00B30823" w:rsidRDefault="00BE1FCB" w14:paraId="4A5DCFF8" w14:textId="3CBA5EBD">
            <w:pPr>
              <w:pStyle w:val="FigureTitle"/>
              <w:spacing w:before="0" w:after="60"/>
              <w:jc w:val="right"/>
              <w:rPr>
                <w:b w:val="0"/>
                <w:sz w:val="22"/>
                <w:szCs w:val="22"/>
              </w:rPr>
            </w:pPr>
            <w:r w:rsidRPr="00233EDE">
              <w:rPr>
                <w:b w:val="0"/>
                <w:bCs/>
                <w:sz w:val="22"/>
                <w:szCs w:val="22"/>
              </w:rPr>
              <w:t>$</w:t>
            </w:r>
            <w:r w:rsidRPr="00233EDE" w:rsidR="008A74EB">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vAlign w:val="center"/>
          </w:tcPr>
          <w:p w:rsidRPr="00233EDE" w:rsidR="00BE1FCB" w:rsidP="00B30823" w:rsidRDefault="00BE1FCB" w14:paraId="0C0048EB" w14:textId="57186BC1">
            <w:pPr>
              <w:pStyle w:val="FigureTitle"/>
              <w:spacing w:before="0" w:after="60"/>
              <w:jc w:val="right"/>
              <w:rPr>
                <w:b w:val="0"/>
                <w:sz w:val="22"/>
                <w:szCs w:val="22"/>
              </w:rPr>
            </w:pPr>
            <w:r w:rsidRPr="00233EDE">
              <w:rPr>
                <w:b w:val="0"/>
                <w:bCs/>
                <w:sz w:val="22"/>
                <w:szCs w:val="22"/>
              </w:rPr>
              <w:t>$10,</w:t>
            </w:r>
            <w:r w:rsidRPr="00233EDE" w:rsidR="008A74EB">
              <w:rPr>
                <w:b w:val="0"/>
                <w:bCs/>
                <w:sz w:val="22"/>
                <w:szCs w:val="22"/>
              </w:rPr>
              <w:t>266</w:t>
            </w:r>
          </w:p>
        </w:tc>
      </w:tr>
      <w:tr w:rsidRPr="00233EDE" w:rsidR="00BE1FCB" w:rsidTr="00B30823" w14:paraId="12D12122"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tcPr>
          <w:p w:rsidRPr="00233EDE" w:rsidR="00BE1FCB" w:rsidP="00F3750D" w:rsidRDefault="00BE1FCB" w14:paraId="73E26748" w14:textId="77777777">
            <w:pPr>
              <w:pStyle w:val="FigureTitle"/>
              <w:spacing w:before="0" w:after="60"/>
              <w:jc w:val="center"/>
              <w:rPr>
                <w:b w:val="0"/>
                <w:sz w:val="22"/>
                <w:szCs w:val="22"/>
              </w:rPr>
            </w:pPr>
          </w:p>
        </w:tc>
        <w:tc>
          <w:tcPr>
            <w:tcW w:w="1992" w:type="dxa"/>
            <w:tcBorders>
              <w:top w:val="nil"/>
              <w:left w:val="nil"/>
              <w:bottom w:val="single" w:color="auto" w:sz="8" w:space="0"/>
              <w:right w:val="single" w:color="auto" w:sz="8" w:space="0"/>
            </w:tcBorders>
            <w:tcMar>
              <w:top w:w="0" w:type="dxa"/>
              <w:left w:w="108" w:type="dxa"/>
              <w:bottom w:w="0" w:type="dxa"/>
              <w:right w:w="108" w:type="dxa"/>
            </w:tcMar>
          </w:tcPr>
          <w:p w:rsidRPr="00233EDE" w:rsidR="00BE1FCB" w:rsidP="00F3750D" w:rsidRDefault="00BE1FCB" w14:paraId="4FA136EF" w14:textId="77777777">
            <w:pPr>
              <w:pStyle w:val="FigureTitle"/>
              <w:spacing w:before="0" w:after="60"/>
              <w:jc w:val="center"/>
              <w:rPr>
                <w:b w:val="0"/>
                <w:sz w:val="22"/>
                <w:szCs w:val="22"/>
              </w:rPr>
            </w:pP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33EDE" w:rsidR="00BE1FCB" w:rsidP="00B30823" w:rsidRDefault="00BE1FCB" w14:paraId="76C55074" w14:textId="0B61BDC4">
            <w:pPr>
              <w:pStyle w:val="FigureTitle"/>
              <w:spacing w:before="0" w:after="60"/>
              <w:jc w:val="right"/>
              <w:rPr>
                <w:sz w:val="22"/>
                <w:szCs w:val="22"/>
              </w:rPr>
            </w:pPr>
            <w:r w:rsidRPr="00233EDE">
              <w:rPr>
                <w:sz w:val="22"/>
                <w:szCs w:val="22"/>
              </w:rPr>
              <w:t>Total</w:t>
            </w:r>
            <w:r w:rsidRPr="00233EDE" w:rsidR="00672B9A">
              <w:rPr>
                <w:sz w:val="22"/>
                <w:szCs w:val="22"/>
              </w:rPr>
              <w:t xml:space="preserve"> Annual</w:t>
            </w:r>
            <w:r w:rsidRPr="00233EDE">
              <w:rPr>
                <w:sz w:val="22"/>
                <w:szCs w:val="22"/>
              </w:rPr>
              <w:t xml:space="preserve"> Salary Costs</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233EDE" w:rsidR="00BE1FCB" w:rsidP="00B30823" w:rsidRDefault="00BE1FCB" w14:paraId="0AAC65FC" w14:textId="5AE0C76E">
            <w:pPr>
              <w:pStyle w:val="FigureTitle"/>
              <w:spacing w:before="0" w:after="60"/>
              <w:jc w:val="right"/>
              <w:rPr>
                <w:b w:val="0"/>
                <w:sz w:val="22"/>
                <w:szCs w:val="22"/>
              </w:rPr>
            </w:pPr>
            <w:r w:rsidRPr="00233EDE">
              <w:rPr>
                <w:b w:val="0"/>
                <w:bCs/>
                <w:sz w:val="22"/>
                <w:szCs w:val="22"/>
              </w:rPr>
              <w:t>$</w:t>
            </w:r>
            <w:r w:rsidRPr="00233EDE" w:rsidR="008A74EB">
              <w:rPr>
                <w:b w:val="0"/>
                <w:bCs/>
                <w:sz w:val="22"/>
                <w:szCs w:val="22"/>
              </w:rPr>
              <w:t>24,849</w:t>
            </w:r>
          </w:p>
        </w:tc>
      </w:tr>
      <w:tr w:rsidRPr="00233EDE" w:rsidR="00BE1FCB" w:rsidTr="00B30823" w14:paraId="310CE124"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233EDE" w:rsidR="00BE1FCB" w:rsidP="00B30823" w:rsidRDefault="00672B9A" w14:paraId="7BF0CBBF" w14:textId="54187145">
            <w:pPr>
              <w:pStyle w:val="FigureTitle"/>
              <w:spacing w:before="0" w:after="60"/>
              <w:jc w:val="right"/>
              <w:rPr>
                <w:sz w:val="22"/>
                <w:szCs w:val="22"/>
              </w:rPr>
            </w:pPr>
            <w:r w:rsidRPr="00233EDE">
              <w:rPr>
                <w:sz w:val="22"/>
                <w:szCs w:val="22"/>
              </w:rPr>
              <w:t xml:space="preserve">Annual </w:t>
            </w:r>
            <w:r w:rsidRPr="00233EDE" w:rsidR="00BE1FCB">
              <w:rPr>
                <w:sz w:val="22"/>
                <w:szCs w:val="22"/>
              </w:rPr>
              <w:t>Contract Cost</w:t>
            </w:r>
          </w:p>
        </w:tc>
        <w:tc>
          <w:tcPr>
            <w:tcW w:w="1604" w:type="dxa"/>
            <w:tcBorders>
              <w:top w:val="nil"/>
              <w:left w:val="nil"/>
              <w:bottom w:val="single" w:color="auto" w:sz="12" w:space="0"/>
              <w:right w:val="nil"/>
            </w:tcBorders>
            <w:tcMar>
              <w:top w:w="0" w:type="dxa"/>
              <w:left w:w="108" w:type="dxa"/>
              <w:bottom w:w="0" w:type="dxa"/>
              <w:right w:w="108" w:type="dxa"/>
            </w:tcMar>
            <w:vAlign w:val="center"/>
          </w:tcPr>
          <w:p w:rsidRPr="00233EDE" w:rsidR="00BE1FCB" w:rsidP="00B30823" w:rsidRDefault="00BE1FCB" w14:paraId="5FC559A4" w14:textId="563CF15F">
            <w:pPr>
              <w:pStyle w:val="FigureTitle"/>
              <w:spacing w:before="0" w:after="60"/>
              <w:jc w:val="right"/>
              <w:rPr>
                <w:b w:val="0"/>
                <w:sz w:val="22"/>
                <w:szCs w:val="22"/>
              </w:rPr>
            </w:pPr>
            <w:r w:rsidRPr="00233EDE">
              <w:rPr>
                <w:b w:val="0"/>
                <w:sz w:val="22"/>
                <w:szCs w:val="22"/>
              </w:rPr>
              <w:t>$</w:t>
            </w:r>
            <w:r w:rsidRPr="00233EDE" w:rsidR="00CB534D">
              <w:rPr>
                <w:b w:val="0"/>
                <w:sz w:val="22"/>
                <w:szCs w:val="22"/>
              </w:rPr>
              <w:t>728</w:t>
            </w:r>
            <w:r w:rsidRPr="00233EDE" w:rsidR="00672B9A">
              <w:rPr>
                <w:b w:val="0"/>
                <w:sz w:val="22"/>
                <w:szCs w:val="22"/>
              </w:rPr>
              <w:t>,738</w:t>
            </w:r>
          </w:p>
        </w:tc>
      </w:tr>
      <w:tr w:rsidRPr="00233EDE" w:rsidR="00BE1FCB" w:rsidTr="00B30823" w14:paraId="4DBA12D3"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233EDE" w:rsidR="00BE1FCB" w:rsidP="00B30823" w:rsidRDefault="00BE1FCB" w14:paraId="5625DF85" w14:textId="05983744">
            <w:pPr>
              <w:pStyle w:val="FigureTitle"/>
              <w:spacing w:before="0" w:after="60"/>
              <w:jc w:val="right"/>
              <w:rPr>
                <w:sz w:val="22"/>
                <w:szCs w:val="22"/>
              </w:rPr>
            </w:pPr>
            <w:r w:rsidRPr="00233EDE">
              <w:rPr>
                <w:sz w:val="22"/>
                <w:szCs w:val="22"/>
              </w:rPr>
              <w:t>Total</w:t>
            </w:r>
            <w:r w:rsidRPr="00233EDE" w:rsidR="00672B9A">
              <w:rPr>
                <w:sz w:val="22"/>
                <w:szCs w:val="22"/>
              </w:rPr>
              <w:t xml:space="preserve"> Annual Cost</w:t>
            </w:r>
          </w:p>
        </w:tc>
        <w:tc>
          <w:tcPr>
            <w:tcW w:w="1604" w:type="dxa"/>
            <w:tcBorders>
              <w:top w:val="nil"/>
              <w:left w:val="nil"/>
              <w:bottom w:val="single" w:color="auto" w:sz="12" w:space="0"/>
              <w:right w:val="nil"/>
            </w:tcBorders>
            <w:tcMar>
              <w:top w:w="0" w:type="dxa"/>
              <w:left w:w="108" w:type="dxa"/>
              <w:bottom w:w="0" w:type="dxa"/>
              <w:right w:w="108" w:type="dxa"/>
            </w:tcMar>
            <w:vAlign w:val="center"/>
            <w:hideMark/>
          </w:tcPr>
          <w:p w:rsidRPr="00233EDE" w:rsidR="00BE1FCB" w:rsidP="00B30823" w:rsidRDefault="00BE1FCB" w14:paraId="05FCC910" w14:textId="7B04BDCC">
            <w:pPr>
              <w:pStyle w:val="FigureTitle"/>
              <w:spacing w:before="0" w:after="60"/>
              <w:jc w:val="right"/>
              <w:rPr>
                <w:sz w:val="22"/>
                <w:szCs w:val="22"/>
              </w:rPr>
            </w:pPr>
            <w:r w:rsidRPr="00233EDE">
              <w:rPr>
                <w:sz w:val="22"/>
                <w:szCs w:val="22"/>
              </w:rPr>
              <w:t>$</w:t>
            </w:r>
            <w:r w:rsidRPr="00233EDE" w:rsidR="00672B9A">
              <w:rPr>
                <w:sz w:val="22"/>
                <w:szCs w:val="22"/>
              </w:rPr>
              <w:t>753,587</w:t>
            </w:r>
          </w:p>
        </w:tc>
      </w:tr>
    </w:tbl>
    <w:p w:rsidRPr="00233EDE" w:rsidR="00BE1FCB" w:rsidP="00BE1FCB" w:rsidRDefault="00BE1FCB" w14:paraId="767102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color w:val="000000"/>
          <w:sz w:val="16"/>
          <w:szCs w:val="24"/>
        </w:rPr>
      </w:pPr>
      <w:r w:rsidRPr="00233EDE">
        <w:rPr>
          <w:rFonts w:ascii="Times New Roman" w:hAnsi="Times New Roman" w:eastAsia="Times New Roman" w:cs="Times New Roman"/>
          <w:color w:val="000000"/>
          <w:sz w:val="16"/>
          <w:szCs w:val="24"/>
          <w:vertAlign w:val="superscript"/>
        </w:rPr>
        <w:t xml:space="preserve">                      1</w:t>
      </w:r>
      <w:r w:rsidRPr="00233EDE">
        <w:rPr>
          <w:rFonts w:ascii="Times New Roman" w:hAnsi="Times New Roman" w:eastAsia="Times New Roman" w:cs="Times New Roman"/>
          <w:sz w:val="12"/>
          <w:szCs w:val="20"/>
        </w:rPr>
        <w:t xml:space="preserve"> </w:t>
      </w:r>
      <w:r w:rsidRPr="00233EDE">
        <w:rPr>
          <w:rFonts w:ascii="Times New Roman" w:hAnsi="Times New Roman" w:eastAsia="Times New Roman" w:cs="Times New Roman"/>
          <w:color w:val="000000"/>
          <w:sz w:val="16"/>
          <w:szCs w:val="24"/>
        </w:rPr>
        <w:t>Cost was rounded up to the next dollar.</w:t>
      </w:r>
    </w:p>
    <w:p w:rsidRPr="00233EDE" w:rsidR="00BE1FCB" w:rsidP="00BE1FCB" w:rsidRDefault="00BE1FCB" w14:paraId="6873AD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Pr="00233EDE" w:rsidR="00BE1FCB" w:rsidP="00BE1FCB" w:rsidRDefault="00BE1FCB" w14:paraId="38DBB406" w14:textId="6EF6A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6" w:id="35"/>
      <w:bookmarkEnd w:id="34"/>
      <w:r w:rsidRPr="00233EDE">
        <w:rPr>
          <w:rFonts w:ascii="Times New Roman" w:hAnsi="Times New Roman" w:eastAsia="Times New Roman" w:cs="Times New Roman"/>
          <w:b/>
          <w:bCs/>
          <w:szCs w:val="24"/>
        </w:rPr>
        <w:lastRenderedPageBreak/>
        <w:t>1</w:t>
      </w:r>
      <w:r w:rsidRPr="00233EDE" w:rsidR="00CF281F">
        <w:rPr>
          <w:rFonts w:ascii="Times New Roman" w:hAnsi="Times New Roman" w:eastAsia="Times New Roman" w:cs="Times New Roman"/>
          <w:b/>
          <w:bCs/>
          <w:szCs w:val="24"/>
        </w:rPr>
        <w:t>5</w:t>
      </w:r>
      <w:r w:rsidRPr="00233EDE">
        <w:rPr>
          <w:rFonts w:ascii="Times New Roman" w:hAnsi="Times New Roman" w:eastAsia="Times New Roman" w:cs="Times New Roman"/>
          <w:b/>
          <w:bCs/>
          <w:szCs w:val="24"/>
        </w:rPr>
        <w:t>.</w:t>
      </w:r>
      <w:r w:rsidRPr="00233EDE">
        <w:rPr>
          <w:rFonts w:ascii="Times New Roman" w:hAnsi="Times New Roman" w:eastAsia="Times New Roman" w:cs="Times New Roman"/>
          <w:szCs w:val="24"/>
        </w:rPr>
        <w:t xml:space="preserve">  </w:t>
      </w:r>
      <w:r w:rsidRPr="00233EDE">
        <w:rPr>
          <w:rFonts w:ascii="Times New Roman" w:hAnsi="Times New Roman" w:eastAsia="Times New Roman" w:cs="Times New Roman"/>
          <w:b/>
          <w:bCs/>
          <w:szCs w:val="24"/>
          <w:u w:val="single"/>
        </w:rPr>
        <w:t>Explanation for Program Changes or Adjustments</w:t>
      </w:r>
      <w:bookmarkEnd w:id="35"/>
    </w:p>
    <w:p w:rsidRPr="00233EDE" w:rsidR="00BE1FCB" w:rsidP="00BE1FCB" w:rsidRDefault="00BE1FCB" w14:paraId="5F9617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2E6BF3" w14:paraId="1C165AD4" w14:textId="6BF99E1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Pr>
          <w:rFonts w:ascii="Times New Roman" w:hAnsi="Times New Roman" w:eastAsia="Times New Roman" w:cs="Times New Roman"/>
          <w:szCs w:val="24"/>
        </w:rPr>
        <w:t xml:space="preserve">Year one of </w:t>
      </w:r>
      <w:r w:rsidR="0007729E">
        <w:rPr>
          <w:rFonts w:ascii="Times New Roman" w:hAnsi="Times New Roman" w:eastAsia="Times New Roman" w:cs="Times New Roman"/>
          <w:szCs w:val="24"/>
        </w:rPr>
        <w:t xml:space="preserve">this </w:t>
      </w:r>
      <w:r w:rsidRPr="00233EDE" w:rsidR="00A66BDD">
        <w:rPr>
          <w:rFonts w:ascii="Times New Roman" w:hAnsi="Times New Roman" w:eastAsia="Times New Roman" w:cs="Times New Roman"/>
          <w:szCs w:val="24"/>
        </w:rPr>
        <w:t xml:space="preserve">study was previously approved </w:t>
      </w:r>
      <w:r>
        <w:rPr>
          <w:rFonts w:ascii="Times New Roman" w:hAnsi="Times New Roman" w:eastAsia="Times New Roman" w:cs="Times New Roman"/>
          <w:szCs w:val="24"/>
        </w:rPr>
        <w:t xml:space="preserve">under </w:t>
      </w:r>
      <w:r w:rsidR="006C7024">
        <w:rPr>
          <w:rFonts w:ascii="Times New Roman" w:hAnsi="Times New Roman" w:eastAsia="Times New Roman" w:cs="Times New Roman"/>
          <w:szCs w:val="24"/>
        </w:rPr>
        <w:t xml:space="preserve">ICR reference # </w:t>
      </w:r>
      <w:r w:rsidRPr="006C7024" w:rsidR="006C7024">
        <w:rPr>
          <w:rFonts w:ascii="Times New Roman" w:hAnsi="Times New Roman" w:eastAsia="Times New Roman" w:cs="Times New Roman"/>
          <w:szCs w:val="24"/>
        </w:rPr>
        <w:t>202101-0910-013</w:t>
      </w:r>
      <w:r w:rsidR="006C7024">
        <w:rPr>
          <w:rFonts w:ascii="Times New Roman" w:hAnsi="Times New Roman" w:eastAsia="Times New Roman" w:cs="Times New Roman"/>
          <w:szCs w:val="24"/>
        </w:rPr>
        <w:t>.</w:t>
      </w:r>
      <w:r w:rsidRPr="00233EDE" w:rsidR="00A66BDD">
        <w:rPr>
          <w:rFonts w:ascii="Times New Roman" w:hAnsi="Times New Roman" w:eastAsia="Times New Roman" w:cs="Times New Roman"/>
          <w:szCs w:val="24"/>
        </w:rPr>
        <w:t xml:space="preserve"> </w:t>
      </w:r>
      <w:r w:rsidR="006C7024">
        <w:rPr>
          <w:rFonts w:ascii="Times New Roman" w:hAnsi="Times New Roman" w:eastAsia="Times New Roman" w:cs="Times New Roman"/>
          <w:szCs w:val="24"/>
        </w:rPr>
        <w:t>We are submitting th</w:t>
      </w:r>
      <w:r w:rsidR="0007729E">
        <w:rPr>
          <w:rFonts w:ascii="Times New Roman" w:hAnsi="Times New Roman" w:eastAsia="Times New Roman" w:cs="Times New Roman"/>
          <w:szCs w:val="24"/>
        </w:rPr>
        <w:t xml:space="preserve">is new </w:t>
      </w:r>
      <w:r w:rsidR="006C7024">
        <w:rPr>
          <w:rFonts w:ascii="Times New Roman" w:hAnsi="Times New Roman" w:eastAsia="Times New Roman" w:cs="Times New Roman"/>
          <w:szCs w:val="24"/>
        </w:rPr>
        <w:t xml:space="preserve">ICR for another </w:t>
      </w:r>
      <w:r w:rsidR="00412B1B">
        <w:rPr>
          <w:rFonts w:ascii="Times New Roman" w:hAnsi="Times New Roman" w:eastAsia="Times New Roman" w:cs="Times New Roman"/>
          <w:szCs w:val="24"/>
        </w:rPr>
        <w:t>six months</w:t>
      </w:r>
      <w:r w:rsidR="006C7024">
        <w:rPr>
          <w:rFonts w:ascii="Times New Roman" w:hAnsi="Times New Roman" w:eastAsia="Times New Roman" w:cs="Times New Roman"/>
          <w:szCs w:val="24"/>
        </w:rPr>
        <w:t xml:space="preserve"> of data collection.</w:t>
      </w:r>
      <w:r w:rsidRPr="00233EDE" w:rsidR="00A66BDD">
        <w:rPr>
          <w:rFonts w:ascii="Times New Roman" w:hAnsi="Times New Roman" w:eastAsia="Times New Roman" w:cs="Times New Roman"/>
          <w:szCs w:val="24"/>
        </w:rPr>
        <w:t xml:space="preserve"> </w:t>
      </w:r>
      <w:r w:rsidRPr="00233EDE" w:rsidR="002448FC">
        <w:rPr>
          <w:rFonts w:ascii="Times New Roman" w:hAnsi="Times New Roman" w:eastAsia="Times New Roman" w:cs="Times New Roman"/>
          <w:szCs w:val="24"/>
        </w:rPr>
        <w:t xml:space="preserve">The methodology is identical to the previous </w:t>
      </w:r>
      <w:r w:rsidR="006C7024">
        <w:rPr>
          <w:rFonts w:ascii="Times New Roman" w:hAnsi="Times New Roman" w:eastAsia="Times New Roman" w:cs="Times New Roman"/>
          <w:szCs w:val="24"/>
        </w:rPr>
        <w:t>ICR</w:t>
      </w:r>
      <w:r w:rsidR="0007729E">
        <w:rPr>
          <w:rFonts w:ascii="Times New Roman" w:hAnsi="Times New Roman" w:eastAsia="Times New Roman" w:cs="Times New Roman"/>
          <w:szCs w:val="24"/>
        </w:rPr>
        <w:t>,</w:t>
      </w:r>
      <w:r w:rsidRPr="00233EDE" w:rsidR="006C7024">
        <w:rPr>
          <w:rFonts w:ascii="Times New Roman" w:hAnsi="Times New Roman" w:eastAsia="Times New Roman" w:cs="Times New Roman"/>
          <w:szCs w:val="24"/>
        </w:rPr>
        <w:t xml:space="preserve"> </w:t>
      </w:r>
      <w:r w:rsidRPr="00233EDE" w:rsidR="002448FC">
        <w:rPr>
          <w:rFonts w:ascii="Times New Roman" w:hAnsi="Times New Roman" w:eastAsia="Times New Roman" w:cs="Times New Roman"/>
          <w:szCs w:val="24"/>
        </w:rPr>
        <w:t>but the sampling frame is changed</w:t>
      </w:r>
      <w:r w:rsidR="0007729E">
        <w:rPr>
          <w:rFonts w:ascii="Times New Roman" w:hAnsi="Times New Roman" w:eastAsia="Times New Roman" w:cs="Times New Roman"/>
          <w:szCs w:val="24"/>
        </w:rPr>
        <w:t>.</w:t>
      </w:r>
      <w:r w:rsidRPr="00233EDE" w:rsidR="002448FC">
        <w:rPr>
          <w:rFonts w:ascii="Times New Roman" w:hAnsi="Times New Roman" w:eastAsia="Times New Roman" w:cs="Times New Roman"/>
          <w:szCs w:val="24"/>
        </w:rPr>
        <w:t xml:space="preserve"> </w:t>
      </w:r>
      <w:r w:rsidR="0007729E">
        <w:rPr>
          <w:rFonts w:ascii="Times New Roman" w:hAnsi="Times New Roman" w:eastAsia="Times New Roman" w:cs="Times New Roman"/>
          <w:szCs w:val="24"/>
        </w:rPr>
        <w:t>Y</w:t>
      </w:r>
      <w:r w:rsidRPr="00233EDE" w:rsidR="00A66BDD">
        <w:rPr>
          <w:rFonts w:ascii="Times New Roman" w:hAnsi="Times New Roman" w:eastAsia="Times New Roman" w:cs="Times New Roman"/>
          <w:szCs w:val="24"/>
        </w:rPr>
        <w:t xml:space="preserve">oung adults have been removed from the sampling plan and the eligibility criteria has changed to all tobacco products use, not just vaping. </w:t>
      </w:r>
    </w:p>
    <w:p w:rsidRPr="00233EDE" w:rsidR="00BE1FCB" w:rsidP="00BE1FCB" w:rsidRDefault="00BE1FCB" w14:paraId="20A745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BE1FCB" w14:paraId="4C2F263E" w14:textId="15D17E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7" w:id="36"/>
      <w:r w:rsidRPr="00233EDE">
        <w:rPr>
          <w:rFonts w:ascii="Times New Roman" w:hAnsi="Times New Roman" w:eastAsia="Times New Roman" w:cs="Times New Roman"/>
          <w:b/>
          <w:bCs/>
          <w:szCs w:val="24"/>
        </w:rPr>
        <w:t>1</w:t>
      </w:r>
      <w:r w:rsidRPr="00233EDE" w:rsidR="004B3D08">
        <w:rPr>
          <w:rFonts w:ascii="Times New Roman" w:hAnsi="Times New Roman" w:eastAsia="Times New Roman" w:cs="Times New Roman"/>
          <w:b/>
          <w:bCs/>
          <w:szCs w:val="24"/>
        </w:rPr>
        <w:t>6</w:t>
      </w:r>
      <w:r w:rsidRPr="00233EDE">
        <w:rPr>
          <w:rFonts w:ascii="Times New Roman" w:hAnsi="Times New Roman" w:eastAsia="Times New Roman" w:cs="Times New Roman"/>
          <w:b/>
          <w:bCs/>
          <w:szCs w:val="24"/>
        </w:rPr>
        <w:t>.</w:t>
      </w:r>
      <w:r w:rsidRPr="00233EDE">
        <w:rPr>
          <w:rFonts w:ascii="Times New Roman" w:hAnsi="Times New Roman" w:eastAsia="Times New Roman" w:cs="Times New Roman"/>
          <w:szCs w:val="24"/>
        </w:rPr>
        <w:t xml:space="preserve">  </w:t>
      </w:r>
      <w:r w:rsidRPr="00233EDE">
        <w:rPr>
          <w:rFonts w:ascii="Times New Roman" w:hAnsi="Times New Roman" w:eastAsia="Times New Roman" w:cs="Times New Roman"/>
          <w:b/>
          <w:bCs/>
          <w:szCs w:val="24"/>
          <w:u w:val="single"/>
        </w:rPr>
        <w:t>Plans for Reporting and Project Time Schedule</w:t>
      </w:r>
      <w:bookmarkEnd w:id="36"/>
    </w:p>
    <w:p w:rsidRPr="00233EDE" w:rsidR="00BE1FCB" w:rsidP="00BE1FCB" w:rsidRDefault="00BE1FCB" w14:paraId="47DAE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233EDE" w:rsidR="00BE1FCB" w:rsidP="00BE1FCB" w:rsidRDefault="003717C0" w14:paraId="344BDA12" w14:textId="68C77109">
      <w:pPr>
        <w:ind w:left="180"/>
        <w:rPr>
          <w:rFonts w:ascii="Times New Roman" w:hAnsi="Times New Roman" w:eastAsia="Times New Roman" w:cs="Times New Roman"/>
          <w:szCs w:val="20"/>
        </w:rPr>
      </w:pPr>
      <w:r w:rsidRPr="00233EDE">
        <w:rPr>
          <w:rFonts w:ascii="Times New Roman" w:hAnsi="Times New Roman" w:eastAsia="Times New Roman" w:cs="Times New Roman"/>
          <w:szCs w:val="20"/>
        </w:rPr>
        <w:t xml:space="preserve">Data from this information collection will </w:t>
      </w:r>
      <w:r w:rsidRPr="00233EDE" w:rsidR="000A5D80">
        <w:rPr>
          <w:rFonts w:ascii="Times New Roman" w:hAnsi="Times New Roman" w:eastAsia="Times New Roman" w:cs="Times New Roman"/>
          <w:iCs/>
          <w:szCs w:val="20"/>
        </w:rPr>
        <w:t xml:space="preserve">enable </w:t>
      </w:r>
      <w:r w:rsidRPr="00233EDE" w:rsidR="00C864D9">
        <w:rPr>
          <w:rFonts w:ascii="Times New Roman" w:hAnsi="Times New Roman" w:eastAsia="Times New Roman" w:cs="Times New Roman"/>
          <w:iCs/>
          <w:szCs w:val="20"/>
        </w:rPr>
        <w:t xml:space="preserve">the </w:t>
      </w:r>
      <w:r w:rsidRPr="00233EDE" w:rsidR="000A5D80">
        <w:rPr>
          <w:rFonts w:ascii="Times New Roman" w:hAnsi="Times New Roman" w:eastAsia="Times New Roman" w:cs="Times New Roman"/>
          <w:iCs/>
          <w:szCs w:val="20"/>
        </w:rPr>
        <w:t xml:space="preserve">FDA to monitor </w:t>
      </w:r>
      <w:r w:rsidRPr="00233EDE" w:rsidR="00F0652B">
        <w:rPr>
          <w:rFonts w:ascii="Times New Roman" w:hAnsi="Times New Roman" w:eastAsia="Times New Roman" w:cs="Times New Roman"/>
          <w:iCs/>
          <w:szCs w:val="20"/>
        </w:rPr>
        <w:t xml:space="preserve">and </w:t>
      </w:r>
      <w:r w:rsidRPr="00233EDE" w:rsidR="000A5D80">
        <w:rPr>
          <w:rFonts w:ascii="Times New Roman" w:hAnsi="Times New Roman" w:eastAsia="Times New Roman" w:cs="Times New Roman"/>
          <w:iCs/>
          <w:szCs w:val="20"/>
        </w:rPr>
        <w:t>assess</w:t>
      </w:r>
      <w:r w:rsidRPr="00233EDE" w:rsidR="00282702">
        <w:rPr>
          <w:rFonts w:ascii="Times New Roman" w:hAnsi="Times New Roman" w:eastAsia="Times New Roman" w:cs="Times New Roman"/>
          <w:iCs/>
          <w:szCs w:val="20"/>
        </w:rPr>
        <w:t xml:space="preserve"> </w:t>
      </w:r>
      <w:r w:rsidRPr="00233EDE" w:rsidR="00E21B08">
        <w:rPr>
          <w:rFonts w:ascii="Times New Roman" w:hAnsi="Times New Roman" w:eastAsia="Times New Roman" w:cs="Times New Roman"/>
          <w:iCs/>
          <w:szCs w:val="20"/>
        </w:rPr>
        <w:t xml:space="preserve">awareness and receptivity to CTP’s public education campaign advertisements, as well as knowledge, attitudes, and beliefs around </w:t>
      </w:r>
      <w:r w:rsidRPr="00233EDE" w:rsidR="005A1F26">
        <w:rPr>
          <w:rFonts w:ascii="Times New Roman" w:hAnsi="Times New Roman" w:eastAsia="Times New Roman" w:cs="Times New Roman"/>
          <w:iCs/>
          <w:szCs w:val="20"/>
        </w:rPr>
        <w:t>tobacco</w:t>
      </w:r>
      <w:r w:rsidRPr="00233EDE" w:rsidR="00E21B08">
        <w:rPr>
          <w:rFonts w:ascii="Times New Roman" w:hAnsi="Times New Roman" w:eastAsia="Times New Roman" w:cs="Times New Roman"/>
          <w:iCs/>
          <w:szCs w:val="20"/>
        </w:rPr>
        <w:t xml:space="preserve"> products and trends in media use behavior</w:t>
      </w:r>
      <w:r w:rsidRPr="00233EDE" w:rsidR="000A5D80">
        <w:rPr>
          <w:rFonts w:ascii="Times New Roman" w:hAnsi="Times New Roman" w:eastAsia="Times New Roman" w:cs="Times New Roman"/>
          <w:iCs/>
          <w:szCs w:val="20"/>
        </w:rPr>
        <w:t xml:space="preserve">. This activity will allow the FDA to set priorities and raise situational awareness because </w:t>
      </w:r>
      <w:r w:rsidRPr="00233EDE" w:rsidR="005A1F26">
        <w:rPr>
          <w:rFonts w:ascii="Times New Roman" w:hAnsi="Times New Roman" w:eastAsia="Times New Roman" w:cs="Times New Roman"/>
          <w:iCs/>
          <w:szCs w:val="20"/>
        </w:rPr>
        <w:t>tobacco use</w:t>
      </w:r>
      <w:r w:rsidRPr="00233EDE" w:rsidR="000A5D80">
        <w:rPr>
          <w:rFonts w:ascii="Times New Roman" w:hAnsi="Times New Roman" w:eastAsia="Times New Roman" w:cs="Times New Roman"/>
          <w:iCs/>
          <w:szCs w:val="20"/>
        </w:rPr>
        <w:t xml:space="preserve"> </w:t>
      </w:r>
      <w:r w:rsidRPr="00233EDE" w:rsidR="00B941E0">
        <w:rPr>
          <w:rFonts w:ascii="Times New Roman" w:hAnsi="Times New Roman" w:eastAsia="Times New Roman" w:cs="Times New Roman"/>
          <w:iCs/>
          <w:szCs w:val="20"/>
        </w:rPr>
        <w:t>is</w:t>
      </w:r>
      <w:r w:rsidRPr="00233EDE" w:rsidR="000A5D80">
        <w:rPr>
          <w:rFonts w:ascii="Times New Roman" w:hAnsi="Times New Roman" w:eastAsia="Times New Roman" w:cs="Times New Roman"/>
          <w:iCs/>
          <w:szCs w:val="20"/>
        </w:rPr>
        <w:t xml:space="preserve"> a threat to public health. </w:t>
      </w:r>
      <w:r w:rsidRPr="00233EDE" w:rsidR="000A5D80">
        <w:rPr>
          <w:rFonts w:ascii="Times New Roman" w:hAnsi="Times New Roman" w:eastAsia="Times New Roman" w:cs="Times New Roman"/>
          <w:szCs w:val="20"/>
        </w:rPr>
        <w:t xml:space="preserve">These data will allow us to </w:t>
      </w:r>
      <w:r w:rsidRPr="00233EDE" w:rsidR="00F0652B">
        <w:rPr>
          <w:rFonts w:ascii="Times New Roman" w:hAnsi="Times New Roman" w:eastAsia="Times New Roman" w:cs="Times New Roman"/>
          <w:szCs w:val="20"/>
        </w:rPr>
        <w:t xml:space="preserve">examine ad performance to optimize it, and </w:t>
      </w:r>
      <w:r w:rsidRPr="00233EDE" w:rsidR="000A5D80">
        <w:rPr>
          <w:rFonts w:ascii="Times New Roman" w:hAnsi="Times New Roman" w:eastAsia="Times New Roman" w:cs="Times New Roman"/>
          <w:szCs w:val="20"/>
        </w:rPr>
        <w:t xml:space="preserve">track and determine trends in </w:t>
      </w:r>
      <w:r w:rsidRPr="00233EDE" w:rsidR="00E21B08">
        <w:rPr>
          <w:rFonts w:ascii="Times New Roman" w:hAnsi="Times New Roman" w:eastAsia="Times New Roman" w:cs="Times New Roman"/>
          <w:szCs w:val="20"/>
        </w:rPr>
        <w:t>tobacco product and media platform</w:t>
      </w:r>
      <w:r w:rsidRPr="00233EDE" w:rsidR="000A5D80">
        <w:rPr>
          <w:rFonts w:ascii="Times New Roman" w:hAnsi="Times New Roman" w:eastAsia="Times New Roman" w:cs="Times New Roman"/>
          <w:szCs w:val="20"/>
        </w:rPr>
        <w:t xml:space="preserve"> choices so that the FDA can develop new media campaign messages related to tobacco products that resonate with </w:t>
      </w:r>
      <w:r w:rsidRPr="00233EDE" w:rsidR="00E21B08">
        <w:rPr>
          <w:rFonts w:ascii="Times New Roman" w:hAnsi="Times New Roman" w:eastAsia="Times New Roman" w:cs="Times New Roman"/>
          <w:szCs w:val="20"/>
        </w:rPr>
        <w:t xml:space="preserve">and effectively reach </w:t>
      </w:r>
      <w:r w:rsidRPr="00233EDE" w:rsidR="000A5D80">
        <w:rPr>
          <w:rFonts w:ascii="Times New Roman" w:hAnsi="Times New Roman" w:eastAsia="Times New Roman" w:cs="Times New Roman"/>
          <w:szCs w:val="20"/>
        </w:rPr>
        <w:t>youth ages 1</w:t>
      </w:r>
      <w:r w:rsidRPr="00233EDE" w:rsidR="00B941E0">
        <w:rPr>
          <w:rFonts w:ascii="Times New Roman" w:hAnsi="Times New Roman" w:eastAsia="Times New Roman" w:cs="Times New Roman"/>
          <w:szCs w:val="20"/>
        </w:rPr>
        <w:t>3</w:t>
      </w:r>
      <w:r w:rsidRPr="00233EDE" w:rsidR="000A5D80">
        <w:rPr>
          <w:rFonts w:ascii="Times New Roman" w:hAnsi="Times New Roman" w:eastAsia="Times New Roman" w:cs="Times New Roman"/>
          <w:szCs w:val="20"/>
        </w:rPr>
        <w:t xml:space="preserve"> to </w:t>
      </w:r>
      <w:r w:rsidRPr="00233EDE" w:rsidR="00A66BDD">
        <w:rPr>
          <w:rFonts w:ascii="Times New Roman" w:hAnsi="Times New Roman" w:eastAsia="Times New Roman" w:cs="Times New Roman"/>
          <w:szCs w:val="20"/>
        </w:rPr>
        <w:t>17</w:t>
      </w:r>
      <w:r w:rsidRPr="00233EDE" w:rsidR="000A5D80">
        <w:rPr>
          <w:rFonts w:ascii="Times New Roman" w:hAnsi="Times New Roman" w:eastAsia="Times New Roman" w:cs="Times New Roman"/>
          <w:szCs w:val="20"/>
        </w:rPr>
        <w:t xml:space="preserve"> years old in the United States</w:t>
      </w:r>
      <w:r w:rsidRPr="00233EDE">
        <w:rPr>
          <w:rFonts w:ascii="Times New Roman" w:hAnsi="Times New Roman" w:eastAsia="Times New Roman" w:cs="Times New Roman"/>
          <w:szCs w:val="20"/>
        </w:rPr>
        <w:t>.</w:t>
      </w:r>
      <w:r w:rsidRPr="00233EDE" w:rsidR="00BE1FCB">
        <w:rPr>
          <w:rFonts w:ascii="Times New Roman" w:hAnsi="Times New Roman" w:eastAsia="Times New Roman" w:cs="Times New Roman"/>
          <w:szCs w:val="20"/>
        </w:rPr>
        <w:t xml:space="preserve"> Findings from these analyses will be used to inform FDA CTP health communication strategy and messaging.</w:t>
      </w:r>
    </w:p>
    <w:p w:rsidRPr="00233EDE" w:rsidR="00BE1FCB" w:rsidP="00BE1FCB" w:rsidRDefault="00BE1FCB" w14:paraId="5CF9C33F" w14:textId="77777777">
      <w:pPr>
        <w:ind w:left="180"/>
        <w:rPr>
          <w:rFonts w:ascii="Times New Roman" w:hAnsi="Times New Roman" w:eastAsia="Times New Roman" w:cs="Times New Roman"/>
          <w:b/>
          <w:szCs w:val="20"/>
          <w:u w:val="single"/>
        </w:rPr>
      </w:pPr>
    </w:p>
    <w:p w:rsidRPr="00233EDE" w:rsidR="00BE1FCB" w:rsidP="00BE1FCB" w:rsidRDefault="00BE1FCB" w14:paraId="74C43880" w14:textId="77777777">
      <w:pPr>
        <w:ind w:left="180"/>
        <w:rPr>
          <w:rFonts w:ascii="Times New Roman" w:hAnsi="Times New Roman" w:eastAsia="Times New Roman" w:cs="Times New Roman"/>
          <w:szCs w:val="20"/>
          <w:u w:val="single"/>
        </w:rPr>
      </w:pPr>
      <w:r w:rsidRPr="00233EDE">
        <w:rPr>
          <w:rFonts w:ascii="Times New Roman" w:hAnsi="Times New Roman" w:eastAsia="Times New Roman" w:cs="Times New Roman"/>
          <w:szCs w:val="20"/>
          <w:u w:val="single"/>
        </w:rPr>
        <w:t>Reporting</w:t>
      </w:r>
    </w:p>
    <w:p w:rsidRPr="00233EDE" w:rsidR="00BE1FCB" w:rsidP="00BE1FCB" w:rsidRDefault="00A2736D" w14:paraId="26B886EE" w14:textId="203F1AE0">
      <w:pPr>
        <w:ind w:left="180"/>
        <w:rPr>
          <w:rFonts w:ascii="Times New Roman" w:hAnsi="Times New Roman" w:eastAsia="Times New Roman" w:cs="Times New Roman"/>
          <w:szCs w:val="20"/>
        </w:rPr>
      </w:pPr>
      <w:r w:rsidRPr="00233EDE">
        <w:rPr>
          <w:rFonts w:ascii="Times New Roman" w:hAnsi="Times New Roman" w:eastAsia="Times New Roman" w:cs="Times New Roman"/>
          <w:szCs w:val="20"/>
        </w:rPr>
        <w:t xml:space="preserve">Reporting will consist </w:t>
      </w:r>
      <w:r w:rsidRPr="00233EDE" w:rsidR="004621F7">
        <w:rPr>
          <w:rFonts w:ascii="Times New Roman" w:hAnsi="Times New Roman" w:eastAsia="Times New Roman" w:cs="Times New Roman"/>
          <w:szCs w:val="20"/>
        </w:rPr>
        <w:t xml:space="preserve">of </w:t>
      </w:r>
      <w:r w:rsidRPr="00233EDE" w:rsidR="00B941E0">
        <w:rPr>
          <w:rFonts w:ascii="Times New Roman" w:hAnsi="Times New Roman" w:eastAsia="Times New Roman" w:cs="Times New Roman"/>
          <w:szCs w:val="20"/>
        </w:rPr>
        <w:t xml:space="preserve">quarterly </w:t>
      </w:r>
      <w:r w:rsidRPr="00233EDE">
        <w:rPr>
          <w:rFonts w:ascii="Times New Roman" w:hAnsi="Times New Roman" w:eastAsia="Times New Roman" w:cs="Times New Roman"/>
          <w:szCs w:val="20"/>
        </w:rPr>
        <w:t xml:space="preserve">summaries of key results and findings. At the end of the study, a final report containing background information on the project objectives, scope and methodology, and key findings and conclusions will be completed. The approximate dates for completing project tasks are listed in Table </w:t>
      </w:r>
      <w:r w:rsidRPr="00233EDE" w:rsidR="004D7181">
        <w:rPr>
          <w:rFonts w:ascii="Times New Roman" w:hAnsi="Times New Roman" w:eastAsia="Times New Roman" w:cs="Times New Roman"/>
          <w:szCs w:val="20"/>
        </w:rPr>
        <w:t>4</w:t>
      </w:r>
      <w:r w:rsidRPr="00233EDE">
        <w:rPr>
          <w:rFonts w:ascii="Times New Roman" w:hAnsi="Times New Roman" w:eastAsia="Times New Roman" w:cs="Times New Roman"/>
          <w:szCs w:val="20"/>
        </w:rPr>
        <w:t>.</w:t>
      </w:r>
    </w:p>
    <w:p w:rsidR="00F7786D" w:rsidP="00BE1FCB" w:rsidRDefault="00F7786D" w14:paraId="15F2DE11" w14:textId="5AEF72F2">
      <w:pPr>
        <w:keepNext/>
        <w:keepLines/>
        <w:ind w:left="180"/>
        <w:rPr>
          <w:rFonts w:ascii="Times New Roman" w:hAnsi="Times New Roman" w:eastAsia="Times New Roman" w:cs="Times New Roman"/>
          <w:szCs w:val="20"/>
        </w:rPr>
      </w:pPr>
      <w:bookmarkStart w:name="_Ref216592722" w:id="37"/>
      <w:bookmarkStart w:name="_Toc66689102" w:id="38"/>
      <w:bookmarkStart w:name="_Toc140476560" w:id="39"/>
      <w:bookmarkStart w:name="_Toc216595340" w:id="40"/>
      <w:bookmarkStart w:name="_Toc361824172" w:id="41"/>
    </w:p>
    <w:p w:rsidR="006C28D4" w:rsidP="00BE1FCB" w:rsidRDefault="006C28D4" w14:paraId="7D2A4D96" w14:textId="77777777">
      <w:pPr>
        <w:keepNext/>
        <w:keepLines/>
        <w:ind w:left="180"/>
        <w:rPr>
          <w:rFonts w:ascii="Times New Roman" w:hAnsi="Times New Roman" w:eastAsia="Times New Roman" w:cs="Times New Roman"/>
          <w:b/>
          <w:szCs w:val="20"/>
        </w:rPr>
      </w:pPr>
    </w:p>
    <w:p w:rsidRPr="00233EDE" w:rsidR="00BE1FCB" w:rsidP="00BE1FCB" w:rsidRDefault="00BE1FCB" w14:paraId="474E319D" w14:textId="28490FE0">
      <w:pPr>
        <w:keepNext/>
        <w:keepLines/>
        <w:ind w:left="180"/>
        <w:rPr>
          <w:rFonts w:ascii="Times New Roman" w:hAnsi="Times New Roman" w:eastAsia="Times New Roman" w:cs="Times New Roman"/>
          <w:b/>
          <w:szCs w:val="20"/>
        </w:rPr>
      </w:pPr>
      <w:r w:rsidRPr="00233EDE">
        <w:rPr>
          <w:rFonts w:ascii="Times New Roman" w:hAnsi="Times New Roman" w:eastAsia="Times New Roman" w:cs="Times New Roman"/>
          <w:b/>
          <w:szCs w:val="20"/>
        </w:rPr>
        <w:t xml:space="preserve">Table </w:t>
      </w:r>
      <w:bookmarkEnd w:id="37"/>
      <w:r w:rsidRPr="00233EDE" w:rsidR="004D7181">
        <w:rPr>
          <w:rFonts w:ascii="Times New Roman" w:hAnsi="Times New Roman" w:eastAsia="Times New Roman" w:cs="Times New Roman"/>
          <w:b/>
          <w:szCs w:val="20"/>
        </w:rPr>
        <w:t>4</w:t>
      </w:r>
      <w:r w:rsidRPr="00233EDE">
        <w:rPr>
          <w:rFonts w:ascii="Times New Roman" w:hAnsi="Times New Roman" w:eastAsia="Times New Roman" w:cs="Times New Roman"/>
          <w:b/>
          <w:szCs w:val="20"/>
        </w:rPr>
        <w:t>.</w:t>
      </w:r>
      <w:bookmarkEnd w:id="38"/>
      <w:bookmarkEnd w:id="39"/>
      <w:bookmarkEnd w:id="40"/>
      <w:r w:rsidRPr="00233EDE">
        <w:rPr>
          <w:rFonts w:ascii="Times New Roman" w:hAnsi="Times New Roman" w:eastAsia="Times New Roman" w:cs="Times New Roman"/>
          <w:b/>
          <w:szCs w:val="20"/>
        </w:rPr>
        <w:t xml:space="preserve"> Approximate Project Schedule</w:t>
      </w:r>
      <w:bookmarkEnd w:id="41"/>
    </w:p>
    <w:p w:rsidRPr="002E6B4A" w:rsidR="00BE1FCB" w:rsidP="00BE1FCB" w:rsidRDefault="00BE1FCB" w14:paraId="1DD24182" w14:textId="77777777">
      <w:pPr>
        <w:autoSpaceDE w:val="0"/>
        <w:autoSpaceDN w:val="0"/>
        <w:adjustRightInd w:val="0"/>
        <w:ind w:left="180"/>
        <w:rPr>
          <w:rFonts w:ascii="Courier 10cpi" w:hAnsi="Courier 10cpi" w:eastAsia="Times New Roman" w:cs="Times New Roman"/>
          <w:sz w:val="20"/>
          <w:szCs w:val="20"/>
          <w:highlight w:val="yellow"/>
        </w:rPr>
      </w:pPr>
    </w:p>
    <w:tbl>
      <w:tblPr>
        <w:tblW w:w="8733" w:type="dxa"/>
        <w:tblInd w:w="605" w:type="dxa"/>
        <w:tblBorders>
          <w:top w:val="single" w:color="auto" w:sz="12" w:space="0"/>
        </w:tblBorders>
        <w:tblLayout w:type="fixed"/>
        <w:tblCellMar>
          <w:top w:w="29" w:type="dxa"/>
          <w:left w:w="115" w:type="dxa"/>
          <w:right w:w="115" w:type="dxa"/>
        </w:tblCellMar>
        <w:tblLook w:val="01E0" w:firstRow="1" w:lastRow="1" w:firstColumn="1" w:lastColumn="1" w:noHBand="0" w:noVBand="0"/>
      </w:tblPr>
      <w:tblGrid>
        <w:gridCol w:w="3211"/>
        <w:gridCol w:w="5522"/>
      </w:tblGrid>
      <w:tr w:rsidRPr="002E6B4A" w:rsidR="00BE1FCB" w:rsidTr="00B30823" w14:paraId="4ED93619" w14:textId="77777777">
        <w:trPr>
          <w:cantSplit/>
        </w:trPr>
        <w:tc>
          <w:tcPr>
            <w:tcW w:w="3211" w:type="dxa"/>
            <w:tcBorders>
              <w:top w:val="single" w:color="auto" w:sz="12" w:space="0"/>
              <w:bottom w:val="single" w:color="auto" w:sz="6" w:space="0"/>
            </w:tcBorders>
            <w:vAlign w:val="bottom"/>
          </w:tcPr>
          <w:p w:rsidRPr="00233EDE" w:rsidR="00BE1FCB" w:rsidP="00F3750D" w:rsidRDefault="00BE1FCB" w14:paraId="2627DA2A" w14:textId="77777777">
            <w:pPr>
              <w:keepNext/>
              <w:ind w:left="180"/>
              <w:rPr>
                <w:rFonts w:ascii="Times New Roman" w:hAnsi="Times New Roman" w:eastAsia="Times New Roman" w:cs="Times New Roman"/>
                <w:b/>
                <w:bCs/>
                <w:sz w:val="18"/>
              </w:rPr>
            </w:pPr>
            <w:r w:rsidRPr="00233EDE">
              <w:rPr>
                <w:rFonts w:ascii="Times New Roman" w:hAnsi="Times New Roman" w:eastAsia="Times New Roman" w:cs="Times New Roman"/>
                <w:b/>
                <w:bCs/>
                <w:sz w:val="18"/>
              </w:rPr>
              <w:t>Project Activity</w:t>
            </w:r>
          </w:p>
        </w:tc>
        <w:tc>
          <w:tcPr>
            <w:tcW w:w="5522" w:type="dxa"/>
            <w:tcBorders>
              <w:top w:val="single" w:color="auto" w:sz="12" w:space="0"/>
              <w:bottom w:val="single" w:color="auto" w:sz="6" w:space="0"/>
            </w:tcBorders>
            <w:vAlign w:val="bottom"/>
          </w:tcPr>
          <w:p w:rsidRPr="00233EDE" w:rsidR="00BE1FCB" w:rsidP="00F3750D" w:rsidRDefault="00BE1FCB" w14:paraId="61E9511A" w14:textId="77777777">
            <w:pPr>
              <w:keepNext/>
              <w:ind w:left="180"/>
              <w:rPr>
                <w:rFonts w:ascii="Times New Roman" w:hAnsi="Times New Roman" w:eastAsia="Times New Roman" w:cs="Times New Roman"/>
                <w:b/>
                <w:bCs/>
                <w:sz w:val="18"/>
              </w:rPr>
            </w:pPr>
            <w:r w:rsidRPr="00233EDE">
              <w:rPr>
                <w:rFonts w:ascii="Times New Roman" w:hAnsi="Times New Roman" w:eastAsia="Times New Roman" w:cs="Times New Roman"/>
                <w:b/>
                <w:bCs/>
                <w:sz w:val="18"/>
              </w:rPr>
              <w:t>Date</w:t>
            </w:r>
          </w:p>
        </w:tc>
      </w:tr>
      <w:tr w:rsidRPr="002E6B4A" w:rsidR="00BE1FCB" w:rsidTr="00B30823" w14:paraId="273C2B97" w14:textId="77777777">
        <w:tblPrEx>
          <w:tblCellMar>
            <w:top w:w="0" w:type="dxa"/>
          </w:tblCellMar>
        </w:tblPrEx>
        <w:trPr>
          <w:cantSplit/>
        </w:trPr>
        <w:tc>
          <w:tcPr>
            <w:tcW w:w="3211" w:type="dxa"/>
          </w:tcPr>
          <w:p w:rsidRPr="00233EDE" w:rsidR="00BE1FCB" w:rsidP="00F3750D" w:rsidRDefault="00BE1FCB" w14:paraId="7DFD4D3F" w14:textId="77777777">
            <w:pPr>
              <w:keepNext/>
              <w:autoSpaceDE w:val="0"/>
              <w:autoSpaceDN w:val="0"/>
              <w:adjustRightInd w:val="0"/>
              <w:ind w:left="180"/>
              <w:rPr>
                <w:rFonts w:ascii="Times New Roman" w:hAnsi="Times New Roman" w:eastAsia="Times New Roman" w:cs="Times New Roman"/>
                <w:sz w:val="18"/>
              </w:rPr>
            </w:pPr>
            <w:r w:rsidRPr="00233EDE">
              <w:rPr>
                <w:rFonts w:ascii="Times New Roman" w:hAnsi="Times New Roman" w:eastAsia="Times New Roman" w:cs="Times New Roman"/>
                <w:sz w:val="18"/>
              </w:rPr>
              <w:t>Survey</w:t>
            </w:r>
          </w:p>
        </w:tc>
        <w:tc>
          <w:tcPr>
            <w:tcW w:w="5522" w:type="dxa"/>
          </w:tcPr>
          <w:p w:rsidRPr="00233EDE" w:rsidR="00BE1FCB" w:rsidP="00F3750D" w:rsidRDefault="001831C7" w14:paraId="798966DD" w14:textId="28A3CA05">
            <w:pPr>
              <w:keepNext/>
              <w:autoSpaceDE w:val="0"/>
              <w:autoSpaceDN w:val="0"/>
              <w:adjustRightInd w:val="0"/>
              <w:ind w:left="180"/>
              <w:rPr>
                <w:rFonts w:ascii="Times New Roman" w:hAnsi="Times New Roman" w:eastAsia="Times New Roman" w:cs="Times New Roman"/>
                <w:sz w:val="18"/>
              </w:rPr>
            </w:pPr>
            <w:r>
              <w:rPr>
                <w:rFonts w:ascii="Times New Roman" w:hAnsi="Times New Roman" w:eastAsia="Times New Roman" w:cs="Times New Roman"/>
                <w:sz w:val="18"/>
              </w:rPr>
              <w:t>August</w:t>
            </w:r>
            <w:r w:rsidRPr="00233EDE" w:rsidR="00FB6B80">
              <w:rPr>
                <w:rFonts w:ascii="Times New Roman" w:hAnsi="Times New Roman" w:eastAsia="Times New Roman" w:cs="Times New Roman"/>
                <w:sz w:val="18"/>
              </w:rPr>
              <w:t xml:space="preserve"> 2022</w:t>
            </w:r>
            <w:r w:rsidRPr="00233EDE" w:rsidR="0030529D">
              <w:rPr>
                <w:rFonts w:ascii="Times New Roman" w:hAnsi="Times New Roman" w:eastAsia="Times New Roman" w:cs="Times New Roman"/>
                <w:sz w:val="18"/>
              </w:rPr>
              <w:t xml:space="preserve"> </w:t>
            </w:r>
            <w:r w:rsidRPr="00233EDE" w:rsidR="00BE1FCB">
              <w:rPr>
                <w:rFonts w:ascii="Times New Roman" w:hAnsi="Times New Roman" w:eastAsia="Times New Roman" w:cs="Times New Roman"/>
                <w:sz w:val="18"/>
              </w:rPr>
              <w:t>to</w:t>
            </w:r>
            <w:r w:rsidR="00412B1B">
              <w:rPr>
                <w:rFonts w:ascii="Times New Roman" w:hAnsi="Times New Roman" w:eastAsia="Times New Roman" w:cs="Times New Roman"/>
                <w:sz w:val="18"/>
              </w:rPr>
              <w:t xml:space="preserve"> </w:t>
            </w:r>
            <w:r>
              <w:rPr>
                <w:rFonts w:ascii="Times New Roman" w:hAnsi="Times New Roman" w:eastAsia="Times New Roman" w:cs="Times New Roman"/>
                <w:sz w:val="18"/>
              </w:rPr>
              <w:t>January</w:t>
            </w:r>
            <w:r w:rsidR="00412B1B">
              <w:rPr>
                <w:rFonts w:ascii="Times New Roman" w:hAnsi="Times New Roman" w:eastAsia="Times New Roman" w:cs="Times New Roman"/>
                <w:sz w:val="18"/>
              </w:rPr>
              <w:t xml:space="preserve"> 202</w:t>
            </w:r>
            <w:r>
              <w:rPr>
                <w:rFonts w:ascii="Times New Roman" w:hAnsi="Times New Roman" w:eastAsia="Times New Roman" w:cs="Times New Roman"/>
                <w:sz w:val="18"/>
              </w:rPr>
              <w:t>3</w:t>
            </w:r>
            <w:r w:rsidRPr="00233EDE" w:rsidR="00936BA7">
              <w:rPr>
                <w:rFonts w:ascii="Times New Roman" w:hAnsi="Times New Roman" w:eastAsia="Times New Roman" w:cs="Times New Roman"/>
                <w:sz w:val="18"/>
              </w:rPr>
              <w:t>(Approximate</w:t>
            </w:r>
            <w:r w:rsidR="00DB20CC">
              <w:rPr>
                <w:rFonts w:ascii="Times New Roman" w:hAnsi="Times New Roman" w:eastAsia="Times New Roman" w:cs="Times New Roman"/>
                <w:sz w:val="18"/>
              </w:rPr>
              <w:t>, pending OMB approval</w:t>
            </w:r>
            <w:r w:rsidRPr="00233EDE" w:rsidR="00936BA7">
              <w:rPr>
                <w:rFonts w:ascii="Times New Roman" w:hAnsi="Times New Roman" w:eastAsia="Times New Roman" w:cs="Times New Roman"/>
                <w:sz w:val="18"/>
              </w:rPr>
              <w:t>)</w:t>
            </w:r>
          </w:p>
        </w:tc>
      </w:tr>
      <w:tr w:rsidRPr="002E6B4A" w:rsidR="001E6213" w:rsidTr="00B30823" w14:paraId="6AD5697F" w14:textId="77777777">
        <w:tblPrEx>
          <w:tblCellMar>
            <w:top w:w="0" w:type="dxa"/>
          </w:tblCellMar>
        </w:tblPrEx>
        <w:trPr>
          <w:cantSplit/>
        </w:trPr>
        <w:tc>
          <w:tcPr>
            <w:tcW w:w="3211" w:type="dxa"/>
            <w:tcBorders>
              <w:bottom w:val="nil"/>
            </w:tcBorders>
          </w:tcPr>
          <w:p w:rsidRPr="00233EDE" w:rsidR="001E6213" w:rsidP="001E6213" w:rsidRDefault="001E6213" w14:paraId="4A610AB5" w14:textId="77777777">
            <w:pPr>
              <w:keepNext/>
              <w:autoSpaceDE w:val="0"/>
              <w:autoSpaceDN w:val="0"/>
              <w:adjustRightInd w:val="0"/>
              <w:ind w:left="180"/>
              <w:rPr>
                <w:rFonts w:ascii="Times New Roman" w:hAnsi="Times New Roman" w:eastAsia="Times New Roman" w:cs="Times New Roman"/>
                <w:sz w:val="18"/>
              </w:rPr>
            </w:pPr>
            <w:r w:rsidRPr="00233EDE">
              <w:rPr>
                <w:rFonts w:ascii="Times New Roman" w:hAnsi="Times New Roman" w:eastAsia="Times New Roman" w:cs="Times New Roman"/>
                <w:sz w:val="18"/>
              </w:rPr>
              <w:t>Data Analysis</w:t>
            </w:r>
          </w:p>
        </w:tc>
        <w:tc>
          <w:tcPr>
            <w:tcW w:w="5522" w:type="dxa"/>
          </w:tcPr>
          <w:p w:rsidRPr="00233EDE" w:rsidR="001E6213" w:rsidP="001E6213" w:rsidRDefault="001E6213" w14:paraId="07E4AD34" w14:textId="6D8A28B2">
            <w:pPr>
              <w:keepNext/>
              <w:autoSpaceDE w:val="0"/>
              <w:autoSpaceDN w:val="0"/>
              <w:adjustRightInd w:val="0"/>
              <w:ind w:left="180"/>
              <w:rPr>
                <w:rFonts w:ascii="Times New Roman" w:hAnsi="Times New Roman" w:eastAsia="Times New Roman" w:cs="Times New Roman"/>
                <w:sz w:val="18"/>
                <w:szCs w:val="18"/>
              </w:rPr>
            </w:pPr>
            <w:r w:rsidRPr="00233EDE">
              <w:rPr>
                <w:rFonts w:ascii="Times New Roman" w:hAnsi="Times New Roman" w:cs="Times New Roman"/>
                <w:sz w:val="18"/>
                <w:szCs w:val="18"/>
              </w:rPr>
              <w:t xml:space="preserve">Approximately </w:t>
            </w:r>
            <w:r w:rsidRPr="00233EDE" w:rsidR="00B941E0">
              <w:rPr>
                <w:rFonts w:ascii="Times New Roman" w:hAnsi="Times New Roman" w:cs="Times New Roman"/>
                <w:sz w:val="18"/>
                <w:szCs w:val="18"/>
              </w:rPr>
              <w:t>1</w:t>
            </w:r>
            <w:r w:rsidRPr="00233EDE">
              <w:rPr>
                <w:rFonts w:ascii="Times New Roman" w:hAnsi="Times New Roman" w:cs="Times New Roman"/>
                <w:sz w:val="18"/>
                <w:szCs w:val="18"/>
              </w:rPr>
              <w:t>–</w:t>
            </w:r>
            <w:r w:rsidRPr="00233EDE" w:rsidR="00B941E0">
              <w:rPr>
                <w:rFonts w:ascii="Times New Roman" w:hAnsi="Times New Roman" w:cs="Times New Roman"/>
                <w:sz w:val="18"/>
                <w:szCs w:val="18"/>
              </w:rPr>
              <w:t>2</w:t>
            </w:r>
            <w:r w:rsidRPr="00233EDE">
              <w:rPr>
                <w:rFonts w:ascii="Times New Roman" w:hAnsi="Times New Roman" w:cs="Times New Roman"/>
                <w:sz w:val="18"/>
                <w:szCs w:val="18"/>
              </w:rPr>
              <w:t xml:space="preserve"> weeks </w:t>
            </w:r>
            <w:r w:rsidRPr="00233EDE" w:rsidR="000A3256">
              <w:rPr>
                <w:rFonts w:ascii="Times New Roman" w:hAnsi="Times New Roman" w:cs="Times New Roman"/>
                <w:sz w:val="18"/>
                <w:szCs w:val="18"/>
              </w:rPr>
              <w:t>after completion of data collection</w:t>
            </w:r>
          </w:p>
        </w:tc>
      </w:tr>
      <w:tr w:rsidRPr="008265FC" w:rsidR="00BE1FCB" w:rsidTr="002E6B4A" w14:paraId="21373182" w14:textId="77777777">
        <w:tblPrEx>
          <w:tblCellMar>
            <w:top w:w="0" w:type="dxa"/>
          </w:tblCellMar>
        </w:tblPrEx>
        <w:trPr>
          <w:cantSplit/>
          <w:trHeight w:val="80"/>
        </w:trPr>
        <w:tc>
          <w:tcPr>
            <w:tcW w:w="3211" w:type="dxa"/>
            <w:tcBorders>
              <w:top w:val="nil"/>
              <w:bottom w:val="single" w:color="auto" w:sz="12" w:space="0"/>
            </w:tcBorders>
          </w:tcPr>
          <w:p w:rsidRPr="00233EDE" w:rsidR="00BE1FCB" w:rsidP="00F3750D" w:rsidRDefault="00BE1FCB" w14:paraId="183D2387" w14:textId="77777777">
            <w:pPr>
              <w:keepNext/>
              <w:autoSpaceDE w:val="0"/>
              <w:autoSpaceDN w:val="0"/>
              <w:adjustRightInd w:val="0"/>
              <w:ind w:left="180"/>
              <w:rPr>
                <w:rFonts w:ascii="Times New Roman" w:hAnsi="Times New Roman" w:eastAsia="Times New Roman" w:cs="Times New Roman"/>
                <w:sz w:val="18"/>
              </w:rPr>
            </w:pPr>
            <w:r w:rsidRPr="00233EDE">
              <w:rPr>
                <w:rFonts w:ascii="Times New Roman" w:hAnsi="Times New Roman" w:eastAsia="Times New Roman" w:cs="Times New Roman"/>
                <w:sz w:val="18"/>
              </w:rPr>
              <w:t xml:space="preserve">Report Writing </w:t>
            </w:r>
          </w:p>
        </w:tc>
        <w:tc>
          <w:tcPr>
            <w:tcW w:w="5522" w:type="dxa"/>
            <w:tcBorders>
              <w:top w:val="nil"/>
              <w:bottom w:val="single" w:color="auto" w:sz="12" w:space="0"/>
            </w:tcBorders>
          </w:tcPr>
          <w:p w:rsidRPr="00233EDE" w:rsidR="00BE1FCB" w:rsidP="00F3750D" w:rsidRDefault="00850225" w14:paraId="7C88A537" w14:textId="1C09005D">
            <w:pPr>
              <w:keepNext/>
              <w:autoSpaceDE w:val="0"/>
              <w:autoSpaceDN w:val="0"/>
              <w:adjustRightInd w:val="0"/>
              <w:ind w:left="180"/>
              <w:rPr>
                <w:rFonts w:ascii="Times New Roman" w:hAnsi="Times New Roman" w:eastAsia="Times New Roman" w:cs="Times New Roman"/>
                <w:sz w:val="18"/>
              </w:rPr>
            </w:pPr>
            <w:r w:rsidRPr="00233EDE">
              <w:rPr>
                <w:rFonts w:ascii="Times New Roman" w:hAnsi="Times New Roman" w:eastAsia="Times New Roman" w:cs="Times New Roman"/>
                <w:sz w:val="18"/>
              </w:rPr>
              <w:t xml:space="preserve">Approximately </w:t>
            </w:r>
            <w:r w:rsidRPr="00233EDE" w:rsidR="00B941E0">
              <w:rPr>
                <w:rFonts w:ascii="Times New Roman" w:hAnsi="Times New Roman" w:eastAsia="Times New Roman" w:cs="Times New Roman"/>
                <w:sz w:val="18"/>
              </w:rPr>
              <w:t>2</w:t>
            </w:r>
            <w:r w:rsidRPr="00233EDE">
              <w:rPr>
                <w:rFonts w:ascii="Times New Roman" w:hAnsi="Times New Roman" w:eastAsia="Times New Roman" w:cs="Times New Roman"/>
                <w:sz w:val="18"/>
              </w:rPr>
              <w:t>-</w:t>
            </w:r>
            <w:r w:rsidRPr="00233EDE" w:rsidR="00B941E0">
              <w:rPr>
                <w:rFonts w:ascii="Times New Roman" w:hAnsi="Times New Roman" w:eastAsia="Times New Roman" w:cs="Times New Roman"/>
                <w:sz w:val="18"/>
              </w:rPr>
              <w:t>4</w:t>
            </w:r>
            <w:r w:rsidRPr="00233EDE">
              <w:rPr>
                <w:rFonts w:ascii="Times New Roman" w:hAnsi="Times New Roman" w:eastAsia="Times New Roman" w:cs="Times New Roman"/>
                <w:sz w:val="18"/>
              </w:rPr>
              <w:t xml:space="preserve"> weeks </w:t>
            </w:r>
            <w:r w:rsidRPr="00233EDE" w:rsidR="000A3256">
              <w:rPr>
                <w:rFonts w:ascii="Times New Roman" w:hAnsi="Times New Roman" w:eastAsia="Times New Roman" w:cs="Times New Roman"/>
                <w:sz w:val="18"/>
              </w:rPr>
              <w:t>after completion of data collection</w:t>
            </w:r>
          </w:p>
        </w:tc>
      </w:tr>
    </w:tbl>
    <w:p w:rsidR="00BE1FCB" w:rsidP="00BE1FCB" w:rsidRDefault="00BE1FCB" w14:paraId="5D730BE3" w14:textId="5C0863F4">
      <w:pPr>
        <w:autoSpaceDE w:val="0"/>
        <w:autoSpaceDN w:val="0"/>
        <w:adjustRightInd w:val="0"/>
        <w:ind w:left="180"/>
        <w:rPr>
          <w:rFonts w:ascii="Courier 10cpi" w:hAnsi="Courier 10cpi" w:eastAsia="Times New Roman" w:cs="Times New Roman"/>
          <w:sz w:val="20"/>
          <w:szCs w:val="20"/>
        </w:rPr>
      </w:pPr>
    </w:p>
    <w:p w:rsidR="00A2736D" w:rsidP="00BE1FCB" w:rsidRDefault="00A2736D" w14:paraId="48EF5E55" w14:textId="30889B8D">
      <w:pPr>
        <w:autoSpaceDE w:val="0"/>
        <w:autoSpaceDN w:val="0"/>
        <w:adjustRightInd w:val="0"/>
        <w:ind w:left="180"/>
        <w:rPr>
          <w:rFonts w:ascii="Courier 10cpi" w:hAnsi="Courier 10cpi" w:eastAsia="Times New Roman" w:cs="Times New Roman"/>
          <w:sz w:val="20"/>
          <w:szCs w:val="20"/>
        </w:rPr>
      </w:pPr>
    </w:p>
    <w:p w:rsidR="00CE3249" w:rsidP="00BE1FCB" w:rsidRDefault="00CE3249" w14:paraId="03C4366F" w14:textId="1968FB5F">
      <w:pPr>
        <w:autoSpaceDE w:val="0"/>
        <w:autoSpaceDN w:val="0"/>
        <w:adjustRightInd w:val="0"/>
        <w:ind w:left="180"/>
        <w:rPr>
          <w:rFonts w:ascii="Courier 10cpi" w:hAnsi="Courier 10cpi" w:eastAsia="Times New Roman" w:cs="Times New Roman"/>
          <w:sz w:val="20"/>
          <w:szCs w:val="20"/>
        </w:rPr>
      </w:pPr>
    </w:p>
    <w:p w:rsidRPr="008265FC" w:rsidR="00BE1FCB" w:rsidP="00BE1FCB" w:rsidRDefault="00BE1FCB" w14:paraId="219BDE21" w14:textId="61F1AF3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u w:val="single"/>
        </w:rPr>
      </w:pPr>
      <w:bookmarkStart w:name="_Toc239649238" w:id="42"/>
      <w:r w:rsidRPr="008265FC">
        <w:rPr>
          <w:rFonts w:ascii="Times New Roman" w:hAnsi="Times New Roman" w:eastAsia="Times New Roman" w:cs="Times New Roman"/>
          <w:b/>
          <w:bCs/>
          <w:szCs w:val="24"/>
        </w:rPr>
        <w:t>1</w:t>
      </w:r>
      <w:r w:rsidR="004D7181">
        <w:rPr>
          <w:rFonts w:ascii="Times New Roman" w:hAnsi="Times New Roman" w:eastAsia="Times New Roman" w:cs="Times New Roman"/>
          <w:b/>
          <w:bCs/>
          <w:szCs w:val="24"/>
        </w:rPr>
        <w:t>7</w:t>
      </w:r>
      <w:r w:rsidRPr="008265FC">
        <w:rPr>
          <w:rFonts w:ascii="Times New Roman" w:hAnsi="Times New Roman" w:eastAsia="Times New Roman" w:cs="Times New Roman"/>
          <w:b/>
          <w:bCs/>
          <w:szCs w:val="24"/>
        </w:rPr>
        <w:t xml:space="preserve">.  </w:t>
      </w:r>
      <w:r w:rsidRPr="008265FC">
        <w:rPr>
          <w:rFonts w:ascii="Times New Roman" w:hAnsi="Times New Roman" w:eastAsia="Times New Roman" w:cs="Times New Roman"/>
          <w:b/>
          <w:bCs/>
          <w:szCs w:val="24"/>
          <w:u w:val="single"/>
        </w:rPr>
        <w:t>Reason(s) Display of OMB Expiration Date is Inappropriate</w:t>
      </w:r>
      <w:bookmarkEnd w:id="42"/>
    </w:p>
    <w:p w:rsidRPr="008265FC" w:rsidR="00BE1FCB" w:rsidP="00BE1FCB" w:rsidRDefault="00BE1FCB" w14:paraId="73A569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BE1FCB" w:rsidRDefault="00977DF3" w14:paraId="76AEF05A" w14:textId="1B7DE2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sidRPr="00977DF3">
        <w:rPr>
          <w:rFonts w:ascii="Times New Roman" w:hAnsi="Times New Roman" w:eastAsia="Times New Roman" w:cs="Times New Roman"/>
          <w:szCs w:val="24"/>
        </w:rPr>
        <w:t>Not applicable. All data collection instruments will display the expiration date for OMB approval of the information collection.</w:t>
      </w:r>
    </w:p>
    <w:p w:rsidR="00BE1FCB" w:rsidP="00BE1FCB" w:rsidRDefault="00BE1FCB" w14:paraId="30479E70" w14:textId="36B4F4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bookmarkStart w:name="_Toc239649239" w:id="43"/>
    </w:p>
    <w:p w:rsidRPr="008265FC" w:rsidR="00BE1FCB" w:rsidP="00BE1FCB" w:rsidRDefault="00BE1FCB" w14:paraId="4695FE56" w14:textId="517275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8265FC">
        <w:rPr>
          <w:rFonts w:ascii="Times New Roman" w:hAnsi="Times New Roman" w:eastAsia="Times New Roman" w:cs="Times New Roman"/>
          <w:b/>
          <w:bCs/>
          <w:szCs w:val="24"/>
        </w:rPr>
        <w:t>1</w:t>
      </w:r>
      <w:r w:rsidR="004D7181">
        <w:rPr>
          <w:rFonts w:ascii="Times New Roman" w:hAnsi="Times New Roman" w:eastAsia="Times New Roman" w:cs="Times New Roman"/>
          <w:b/>
          <w:bCs/>
          <w:szCs w:val="24"/>
        </w:rPr>
        <w:t>8</w:t>
      </w:r>
      <w:r w:rsidRPr="008265FC">
        <w:rPr>
          <w:rFonts w:ascii="Times New Roman" w:hAnsi="Times New Roman" w:eastAsia="Times New Roman" w:cs="Times New Roman"/>
          <w:b/>
          <w:bCs/>
          <w:szCs w:val="24"/>
        </w:rPr>
        <w:t xml:space="preserve">.  </w:t>
      </w:r>
      <w:r w:rsidRPr="008265FC">
        <w:rPr>
          <w:rFonts w:ascii="Times New Roman" w:hAnsi="Times New Roman" w:eastAsia="Times New Roman" w:cs="Times New Roman"/>
          <w:b/>
          <w:bCs/>
          <w:szCs w:val="24"/>
          <w:u w:val="single"/>
        </w:rPr>
        <w:t>Exceptions to Certification for Paperwork Reduction Act Submissions</w:t>
      </w:r>
      <w:bookmarkEnd w:id="43"/>
    </w:p>
    <w:p w:rsidRPr="008265FC" w:rsidR="00BE1FCB" w:rsidP="00BE1FCB" w:rsidRDefault="00BE1FCB" w14:paraId="034B06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BE1FCB" w:rsidRDefault="00BE1FCB" w14:paraId="703DA8BD"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sidRPr="008265FC">
        <w:rPr>
          <w:rFonts w:ascii="Times New Roman" w:hAnsi="Times New Roman" w:eastAsia="Times New Roman" w:cs="Times New Roman"/>
          <w:szCs w:val="24"/>
        </w:rPr>
        <w:t>These information collection activities involve no exception to the Certification for Paperwork Reduction Act Submissions.</w:t>
      </w:r>
      <w:r w:rsidRPr="008265FC">
        <w:rPr>
          <w:rFonts w:ascii="Times New Roman" w:hAnsi="Times New Roman" w:eastAsia="Times New Roman" w:cs="Times New Roman"/>
          <w:b/>
          <w:bCs/>
          <w:szCs w:val="24"/>
        </w:rPr>
        <w:t xml:space="preserve"> </w:t>
      </w:r>
    </w:p>
    <w:p w:rsidR="00BE1FCB" w:rsidP="004324B6" w:rsidRDefault="00BE1FCB" w14:paraId="09A352D3" w14:textId="13F634A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Pr>
          <w:rFonts w:ascii="Times New Roman" w:hAnsi="Times New Roman" w:eastAsia="Times New Roman" w:cs="Times New Roman"/>
          <w:b/>
          <w:bCs/>
          <w:szCs w:val="24"/>
        </w:rPr>
        <w:br w:type="page"/>
      </w:r>
    </w:p>
    <w:p w:rsidRPr="00533205" w:rsidR="00257DA1" w:rsidP="00257DA1" w:rsidRDefault="00257DA1" w14:paraId="06B8E747" w14:textId="77777777">
      <w:pPr>
        <w:pBdr>
          <w:top w:val="nil"/>
          <w:left w:val="nil"/>
          <w:bottom w:val="nil"/>
          <w:right w:val="nil"/>
          <w:between w:val="nil"/>
          <w:bar w:val="nil"/>
        </w:pBdr>
        <w:rPr>
          <w:rFonts w:ascii="Times New Roman" w:hAnsi="Times New Roman" w:eastAsia="Times New Roman" w:cs="Times New Roman"/>
          <w:b/>
          <w:color w:val="000000"/>
          <w:szCs w:val="24"/>
          <w:u w:color="000000"/>
          <w:bdr w:val="nil"/>
        </w:rPr>
      </w:pPr>
      <w:r w:rsidRPr="00533205">
        <w:rPr>
          <w:rFonts w:ascii="Times New Roman" w:hAnsi="Times New Roman" w:eastAsia="Times New Roman" w:cs="Times New Roman"/>
          <w:b/>
          <w:color w:val="000000"/>
          <w:szCs w:val="24"/>
          <w:u w:color="000000"/>
          <w:bdr w:val="nil"/>
        </w:rPr>
        <w:lastRenderedPageBreak/>
        <w:t>References</w:t>
      </w:r>
    </w:p>
    <w:p w:rsidRPr="00EB6281" w:rsidR="00257DA1" w:rsidP="00257DA1" w:rsidRDefault="00257DA1" w14:paraId="7E8D396C" w14:textId="77777777">
      <w:pPr>
        <w:rPr>
          <w:rFonts w:ascii="Times New Roman" w:hAnsi="Times New Roman" w:cs="Times New Roman"/>
        </w:rPr>
      </w:pPr>
    </w:p>
    <w:bookmarkStart w:name="_Hlk67298730" w:id="44"/>
    <w:p w:rsidRPr="009D7398" w:rsidR="00257DA1" w:rsidP="00257DA1" w:rsidRDefault="00257DA1" w14:paraId="0AE0F201" w14:textId="77777777">
      <w:pPr>
        <w:pStyle w:val="Bibliography"/>
        <w:spacing w:after="120" w:line="240" w:lineRule="auto"/>
        <w:rPr>
          <w:rFonts w:ascii="Times New Roman" w:hAnsi="Times New Roman" w:cs="Times New Roman"/>
        </w:rPr>
      </w:pPr>
      <w:r>
        <w:fldChar w:fldCharType="begin"/>
      </w:r>
      <w:r>
        <w:instrText xml:space="preserve"> ADDIN ZOTERO_BIBL {"uncited":[],"omitted":[],"custom":[]} CSL_BIBLIOGRAPHY </w:instrText>
      </w:r>
      <w:r>
        <w:fldChar w:fldCharType="separate"/>
      </w:r>
      <w:r w:rsidRPr="009D7398">
        <w:rPr>
          <w:rFonts w:ascii="Times New Roman" w:hAnsi="Times New Roman" w:cs="Times New Roman"/>
        </w:rPr>
        <w:t xml:space="preserve">Booker, C., Harding, S., &amp; Benzeval, M. (2011). </w:t>
      </w:r>
      <w:r w:rsidRPr="009D7398">
        <w:rPr>
          <w:rFonts w:ascii="Times New Roman" w:hAnsi="Times New Roman" w:cs="Times New Roman"/>
          <w:i/>
          <w:iCs/>
        </w:rPr>
        <w:t>A systematic review of the effect of retention methods in population-based cohort studies | BMC Public Health | Full Text</w:t>
      </w:r>
      <w:r w:rsidRPr="009D7398">
        <w:rPr>
          <w:rFonts w:ascii="Times New Roman" w:hAnsi="Times New Roman" w:cs="Times New Roman"/>
        </w:rPr>
        <w:t>. https://bmcpublichealth.biomedcentral.com/articles/10.1186/1471-2458-11-249</w:t>
      </w:r>
    </w:p>
    <w:p w:rsidRPr="009D7398" w:rsidR="00257DA1" w:rsidP="00257DA1" w:rsidRDefault="00257DA1" w14:paraId="72B0B6F3"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Caldwell, P., Hamilton, S., Tan, A., &amp; Craig, J. (2010). </w:t>
      </w:r>
      <w:r w:rsidRPr="009D7398">
        <w:rPr>
          <w:rFonts w:ascii="Times New Roman" w:hAnsi="Times New Roman" w:cs="Times New Roman"/>
          <w:i/>
          <w:iCs/>
        </w:rPr>
        <w:t>Strategies for Increasing Recruitment to Randomised Controlled Trials: Systematic Review</w:t>
      </w:r>
      <w:r w:rsidRPr="009D7398">
        <w:rPr>
          <w:rFonts w:ascii="Times New Roman" w:hAnsi="Times New Roman" w:cs="Times New Roman"/>
        </w:rPr>
        <w:t>. https://journals.plos.org/plosmedicine/article?id=10.1371/journal.pmed.1000368</w:t>
      </w:r>
    </w:p>
    <w:p w:rsidRPr="009D7398" w:rsidR="00257DA1" w:rsidP="00257DA1" w:rsidRDefault="00257DA1" w14:paraId="00677707" w14:textId="66D4471D">
      <w:pPr>
        <w:pStyle w:val="Bibliography"/>
        <w:spacing w:after="120" w:line="240" w:lineRule="auto"/>
        <w:rPr>
          <w:rFonts w:ascii="Times New Roman" w:hAnsi="Times New Roman" w:cs="Times New Roman"/>
        </w:rPr>
      </w:pPr>
      <w:r w:rsidRPr="009D7398">
        <w:rPr>
          <w:rFonts w:ascii="Times New Roman" w:hAnsi="Times New Roman" w:cs="Times New Roman"/>
        </w:rPr>
        <w:t>CDCTobaccoFree. (20</w:t>
      </w:r>
      <w:r w:rsidR="008404A0">
        <w:rPr>
          <w:rFonts w:ascii="Times New Roman" w:hAnsi="Times New Roman" w:cs="Times New Roman"/>
        </w:rPr>
        <w:t>14</w:t>
      </w:r>
      <w:r w:rsidRPr="009D7398">
        <w:rPr>
          <w:rFonts w:ascii="Times New Roman" w:hAnsi="Times New Roman" w:cs="Times New Roman"/>
        </w:rPr>
        <w:t xml:space="preserve">). </w:t>
      </w:r>
      <w:r w:rsidRPr="009D7398">
        <w:rPr>
          <w:rFonts w:ascii="Times New Roman" w:hAnsi="Times New Roman" w:cs="Times New Roman"/>
          <w:i/>
          <w:iCs/>
        </w:rPr>
        <w:t>Best Practices for Comprehensive Tobacco Control Programs—2014</w:t>
      </w:r>
      <w:r w:rsidRPr="009D7398">
        <w:rPr>
          <w:rFonts w:ascii="Times New Roman" w:hAnsi="Times New Roman" w:cs="Times New Roman"/>
        </w:rPr>
        <w:t>. Centers for Disease Control and Prevention. https://www.cdc.gov/tobacco/stateandcommunity/best_practices/index.htm</w:t>
      </w:r>
    </w:p>
    <w:p w:rsidRPr="009D7398" w:rsidR="00257DA1" w:rsidP="00257DA1" w:rsidRDefault="00257DA1" w14:paraId="1C4DE6A4"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Creamer, M. R., Wang, T., Babb, S., &amp; Cullen, K. (2019). Tobacco Product Use and Cessation Indicators Among Adults—United States, 2018. </w:t>
      </w:r>
      <w:r w:rsidRPr="009D7398">
        <w:rPr>
          <w:rFonts w:ascii="Times New Roman" w:hAnsi="Times New Roman" w:cs="Times New Roman"/>
          <w:i/>
          <w:iCs/>
        </w:rPr>
        <w:t>MMWR. Morbidity and Mortality Weekly Report</w:t>
      </w:r>
      <w:r w:rsidRPr="009D7398">
        <w:rPr>
          <w:rFonts w:ascii="Times New Roman" w:hAnsi="Times New Roman" w:cs="Times New Roman"/>
        </w:rPr>
        <w:t xml:space="preserve">, </w:t>
      </w:r>
      <w:r w:rsidRPr="009D7398">
        <w:rPr>
          <w:rFonts w:ascii="Times New Roman" w:hAnsi="Times New Roman" w:cs="Times New Roman"/>
          <w:i/>
          <w:iCs/>
        </w:rPr>
        <w:t>68</w:t>
      </w:r>
      <w:r w:rsidRPr="009D7398">
        <w:rPr>
          <w:rFonts w:ascii="Times New Roman" w:hAnsi="Times New Roman" w:cs="Times New Roman"/>
        </w:rPr>
        <w:t>. https://doi.org/10.15585/mmwr.mm6845a2</w:t>
      </w:r>
    </w:p>
    <w:p w:rsidRPr="00FB120D" w:rsidR="00FB120D" w:rsidP="00FB120D" w:rsidRDefault="00FB120D" w14:paraId="335C3D5D" w14:textId="622F7FFE">
      <w:pPr>
        <w:rPr>
          <w:rFonts w:ascii="Times New Roman" w:hAnsi="Times New Roman" w:cs="Times New Roman"/>
        </w:rPr>
      </w:pPr>
      <w:r w:rsidRPr="00FB120D">
        <w:rPr>
          <w:rFonts w:ascii="Times New Roman" w:hAnsi="Times New Roman" w:cs="Times New Roman"/>
        </w:rPr>
        <w:t>U.S. Department of Health and Human Services. Let’s Make the Next Generation Tobacco-Free: Your Guide to the 50th Anniversary Surgeon General’s Report on Smoking and Health. Published online July 2015. https://www.hhs.gov/sites/default/files/consequences-smoking-consumer-guide.pdf</w:t>
      </w:r>
    </w:p>
    <w:p w:rsidRPr="00FB120D" w:rsidR="00FB120D" w:rsidP="00FB120D" w:rsidRDefault="00FB120D" w14:paraId="534E2A55" w14:textId="77777777"/>
    <w:p w:rsidRPr="009D7398" w:rsidR="00257DA1" w:rsidP="00257DA1" w:rsidRDefault="00257DA1" w14:paraId="59F704DA"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Wang, T., Gentzke, A., Creamer, M., Cullen, K., Holder-Hayes, E., &amp; Sawdey, M. (2019). Tobacco Product Use and Associated Factors Among Middle and High School Students—United States, 2019. </w:t>
      </w:r>
      <w:r w:rsidRPr="009D7398">
        <w:rPr>
          <w:rFonts w:ascii="Times New Roman" w:hAnsi="Times New Roman" w:cs="Times New Roman"/>
          <w:i/>
          <w:iCs/>
        </w:rPr>
        <w:t>MMWR. Surveillance Summaries</w:t>
      </w:r>
      <w:r w:rsidRPr="009D7398">
        <w:rPr>
          <w:rFonts w:ascii="Times New Roman" w:hAnsi="Times New Roman" w:cs="Times New Roman"/>
        </w:rPr>
        <w:t xml:space="preserve">, </w:t>
      </w:r>
      <w:r w:rsidRPr="009D7398">
        <w:rPr>
          <w:rFonts w:ascii="Times New Roman" w:hAnsi="Times New Roman" w:cs="Times New Roman"/>
          <w:i/>
          <w:iCs/>
        </w:rPr>
        <w:t>68</w:t>
      </w:r>
      <w:r w:rsidRPr="009D7398">
        <w:rPr>
          <w:rFonts w:ascii="Times New Roman" w:hAnsi="Times New Roman" w:cs="Times New Roman"/>
        </w:rPr>
        <w:t>. https://doi.org/10.15585/mmwr.ss6812a1</w:t>
      </w:r>
    </w:p>
    <w:p w:rsidR="008404A0" w:rsidP="00257DA1" w:rsidRDefault="008404A0" w14:paraId="70AE7A4F" w14:textId="29D13775">
      <w:pPr>
        <w:pStyle w:val="Bibliography"/>
        <w:spacing w:after="120" w:line="240" w:lineRule="auto"/>
        <w:rPr>
          <w:rFonts w:ascii="Times New Roman" w:hAnsi="Times New Roman" w:cs="Times New Roman"/>
        </w:rPr>
      </w:pPr>
      <w:r>
        <w:rPr>
          <w:rFonts w:ascii="Times New Roman" w:hAnsi="Times New Roman" w:cs="Times New Roman"/>
        </w:rPr>
        <w:t xml:space="preserve">Young, J. M., O'Halloran, A., McAulay, C., Pirotta, M., Forsdike, K., Stacey, I., &amp; Currow, D. (2015) Unconditional and conditional incentives differentially improved general practitioners' participation in an online survey: randomized controlled trial. </w:t>
      </w:r>
      <w:r w:rsidRPr="008404A0">
        <w:rPr>
          <w:rFonts w:ascii="Times New Roman" w:hAnsi="Times New Roman" w:cs="Times New Roman"/>
          <w:i/>
          <w:iCs/>
        </w:rPr>
        <w:t>Journal of</w:t>
      </w:r>
      <w:r>
        <w:rPr>
          <w:rFonts w:ascii="Times New Roman" w:hAnsi="Times New Roman" w:cs="Times New Roman"/>
        </w:rPr>
        <w:t xml:space="preserve"> </w:t>
      </w:r>
      <w:r w:rsidRPr="008404A0">
        <w:rPr>
          <w:rFonts w:ascii="Times New Roman" w:hAnsi="Times New Roman" w:cs="Times New Roman"/>
          <w:i/>
          <w:iCs/>
        </w:rPr>
        <w:t>Clinical Epidemiology, 68</w:t>
      </w:r>
      <w:r>
        <w:rPr>
          <w:rFonts w:ascii="Times New Roman" w:hAnsi="Times New Roman" w:cs="Times New Roman"/>
        </w:rPr>
        <w:t xml:space="preserve">(6), 693-697. </w:t>
      </w:r>
    </w:p>
    <w:p w:rsidR="00F3750D" w:rsidP="00257DA1" w:rsidRDefault="00257DA1" w14:paraId="63235150" w14:textId="3B4F6804">
      <w:r>
        <w:rPr>
          <w:rFonts w:ascii="Times New Roman" w:hAnsi="Times New Roman" w:cs="Times New Roman"/>
        </w:rPr>
        <w:fldChar w:fldCharType="end"/>
      </w:r>
      <w:bookmarkEnd w:id="44"/>
    </w:p>
    <w:sectPr w:rsidR="00F3750D" w:rsidSect="00F3750D">
      <w:footerReference w:type="default" r:id="rId11"/>
      <w:footerReference w:type="first" r:id="rId12"/>
      <w:pgSz w:w="12240" w:h="15840"/>
      <w:pgMar w:top="1440" w:right="1440" w:bottom="1440" w:left="1440" w:header="1440" w:footer="720" w:gutter="0"/>
      <w:pgNumType w:start="1"/>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6330" w16cex:dateUtc="2022-06-24T20:22:00Z"/>
  <w16cex:commentExtensible w16cex:durableId="2660666D" w16cex:dateUtc="2022-06-24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993A" w14:textId="77777777" w:rsidR="00C426B4" w:rsidRDefault="00C426B4" w:rsidP="00E9252F">
      <w:r>
        <w:separator/>
      </w:r>
    </w:p>
  </w:endnote>
  <w:endnote w:type="continuationSeparator" w:id="0">
    <w:p w14:paraId="3524E660" w14:textId="77777777" w:rsidR="00C426B4" w:rsidRDefault="00C426B4" w:rsidP="00E9252F">
      <w:r>
        <w:continuationSeparator/>
      </w:r>
    </w:p>
  </w:endnote>
  <w:endnote w:type="continuationNotice" w:id="1">
    <w:p w14:paraId="0D7445EB" w14:textId="77777777" w:rsidR="00C426B4" w:rsidRDefault="00C4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69744564"/>
      <w:docPartObj>
        <w:docPartGallery w:val="Page Numbers (Bottom of Page)"/>
        <w:docPartUnique/>
      </w:docPartObj>
    </w:sdtPr>
    <w:sdtEndPr>
      <w:rPr>
        <w:noProof/>
      </w:rPr>
    </w:sdtEndPr>
    <w:sdtContent>
      <w:p w14:paraId="412B4F53" w14:textId="77777777" w:rsidR="001320D2" w:rsidRPr="00533205" w:rsidRDefault="001320D2">
        <w:pPr>
          <w:pStyle w:val="Footer"/>
          <w:jc w:val="right"/>
          <w:rPr>
            <w:rFonts w:ascii="Times New Roman" w:hAnsi="Times New Roman" w:cs="Times New Roman"/>
          </w:rPr>
        </w:pPr>
        <w:r w:rsidRPr="00533205">
          <w:rPr>
            <w:rFonts w:ascii="Times New Roman" w:hAnsi="Times New Roman" w:cs="Times New Roman"/>
          </w:rPr>
          <w:fldChar w:fldCharType="begin"/>
        </w:r>
        <w:r w:rsidRPr="00533205">
          <w:rPr>
            <w:rFonts w:ascii="Times New Roman" w:hAnsi="Times New Roman" w:cs="Times New Roman"/>
          </w:rPr>
          <w:instrText xml:space="preserve"> PAGE   \* MERGEFORMAT </w:instrText>
        </w:r>
        <w:r w:rsidRPr="00533205">
          <w:rPr>
            <w:rFonts w:ascii="Times New Roman" w:hAnsi="Times New Roman" w:cs="Times New Roman"/>
          </w:rPr>
          <w:fldChar w:fldCharType="separate"/>
        </w:r>
        <w:r>
          <w:rPr>
            <w:rFonts w:ascii="Times New Roman" w:hAnsi="Times New Roman" w:cs="Times New Roman"/>
            <w:noProof/>
          </w:rPr>
          <w:t>13</w:t>
        </w:r>
        <w:r w:rsidRPr="00533205">
          <w:rPr>
            <w:rFonts w:ascii="Times New Roman" w:hAnsi="Times New Roman" w:cs="Times New Roman"/>
            <w:noProof/>
          </w:rPr>
          <w:fldChar w:fldCharType="end"/>
        </w:r>
      </w:p>
    </w:sdtContent>
  </w:sdt>
  <w:p w14:paraId="358EED42" w14:textId="77777777" w:rsidR="001320D2" w:rsidRPr="00533205" w:rsidRDefault="001320D2" w:rsidP="00F3750D">
    <w:pPr>
      <w:pStyle w:val="Footer"/>
      <w:rPr>
        <w:rFonts w:ascii="Times New Roman" w:hAnsi="Times New Roman" w:cs="Times New Roman"/>
        <w:sz w:val="16"/>
        <w:szCs w:val="16"/>
      </w:rPr>
    </w:pPr>
  </w:p>
  <w:p w14:paraId="4730C91B" w14:textId="77777777" w:rsidR="001320D2" w:rsidRDefault="001320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46058697"/>
      <w:docPartObj>
        <w:docPartGallery w:val="Page Numbers (Bottom of Page)"/>
        <w:docPartUnique/>
      </w:docPartObj>
    </w:sdtPr>
    <w:sdtEndPr>
      <w:rPr>
        <w:noProof/>
      </w:rPr>
    </w:sdtEndPr>
    <w:sdtContent>
      <w:p w14:paraId="75487C9D" w14:textId="77777777" w:rsidR="001320D2" w:rsidRPr="00C361E3" w:rsidRDefault="001320D2">
        <w:pPr>
          <w:pStyle w:val="Footer"/>
          <w:jc w:val="right"/>
          <w:rPr>
            <w:rFonts w:ascii="Times New Roman" w:hAnsi="Times New Roman" w:cs="Times New Roman"/>
          </w:rPr>
        </w:pPr>
        <w:r w:rsidRPr="00C361E3">
          <w:rPr>
            <w:rFonts w:ascii="Times New Roman" w:hAnsi="Times New Roman" w:cs="Times New Roman"/>
          </w:rPr>
          <w:fldChar w:fldCharType="begin"/>
        </w:r>
        <w:r w:rsidRPr="00C361E3">
          <w:rPr>
            <w:rFonts w:ascii="Times New Roman" w:hAnsi="Times New Roman" w:cs="Times New Roman"/>
          </w:rPr>
          <w:instrText xml:space="preserve"> PAGE   \* MERGEFORMAT </w:instrText>
        </w:r>
        <w:r w:rsidRPr="00C361E3">
          <w:rPr>
            <w:rFonts w:ascii="Times New Roman" w:hAnsi="Times New Roman" w:cs="Times New Roman"/>
          </w:rPr>
          <w:fldChar w:fldCharType="separate"/>
        </w:r>
        <w:r>
          <w:rPr>
            <w:rFonts w:ascii="Times New Roman" w:hAnsi="Times New Roman" w:cs="Times New Roman"/>
            <w:noProof/>
          </w:rPr>
          <w:t>1</w:t>
        </w:r>
        <w:r w:rsidRPr="00C361E3">
          <w:rPr>
            <w:rFonts w:ascii="Times New Roman" w:hAnsi="Times New Roman" w:cs="Times New Roman"/>
            <w:noProof/>
          </w:rPr>
          <w:fldChar w:fldCharType="end"/>
        </w:r>
      </w:p>
    </w:sdtContent>
  </w:sdt>
  <w:p w14:paraId="78E17664" w14:textId="77777777" w:rsidR="001320D2" w:rsidRPr="00C361E3" w:rsidRDefault="001320D2">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49EF7" w14:textId="77777777" w:rsidR="00C426B4" w:rsidRDefault="00C426B4" w:rsidP="00E9252F">
      <w:r>
        <w:separator/>
      </w:r>
    </w:p>
  </w:footnote>
  <w:footnote w:type="continuationSeparator" w:id="0">
    <w:p w14:paraId="4B8DB8C9" w14:textId="77777777" w:rsidR="00C426B4" w:rsidRDefault="00C426B4" w:rsidP="00E9252F">
      <w:r>
        <w:continuationSeparator/>
      </w:r>
    </w:p>
  </w:footnote>
  <w:footnote w:type="continuationNotice" w:id="1">
    <w:p w14:paraId="163B93A6" w14:textId="77777777" w:rsidR="00C426B4" w:rsidRDefault="00C426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F66"/>
    <w:multiLevelType w:val="hybridMultilevel"/>
    <w:tmpl w:val="F26C9D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738"/>
    <w:multiLevelType w:val="hybridMultilevel"/>
    <w:tmpl w:val="4ED2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428CE"/>
    <w:multiLevelType w:val="hybridMultilevel"/>
    <w:tmpl w:val="FC36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0B5"/>
    <w:multiLevelType w:val="hybridMultilevel"/>
    <w:tmpl w:val="92BA6E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7E6D8E"/>
    <w:multiLevelType w:val="hybridMultilevel"/>
    <w:tmpl w:val="472CE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180B57"/>
    <w:multiLevelType w:val="hybridMultilevel"/>
    <w:tmpl w:val="99607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4445C"/>
    <w:multiLevelType w:val="hybridMultilevel"/>
    <w:tmpl w:val="986E5B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E687B79"/>
    <w:multiLevelType w:val="multilevel"/>
    <w:tmpl w:val="56FEB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F3879"/>
    <w:multiLevelType w:val="hybridMultilevel"/>
    <w:tmpl w:val="4DAE7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99D09AB"/>
    <w:multiLevelType w:val="multilevel"/>
    <w:tmpl w:val="D548D0F8"/>
    <w:lvl w:ilvl="0">
      <w:start w:val="1"/>
      <w:numFmt w:val="decimal"/>
      <w:lvlText w:val="%1."/>
      <w:lvlJc w:val="left"/>
      <w:pPr>
        <w:tabs>
          <w:tab w:val="num" w:pos="360"/>
        </w:tabs>
        <w:ind w:left="36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04860"/>
    <w:multiLevelType w:val="hybridMultilevel"/>
    <w:tmpl w:val="80DC1E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D157F59"/>
    <w:multiLevelType w:val="hybridMultilevel"/>
    <w:tmpl w:val="B7CCAC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B530A"/>
    <w:multiLevelType w:val="hybridMultilevel"/>
    <w:tmpl w:val="D20230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E0673B5"/>
    <w:multiLevelType w:val="hybridMultilevel"/>
    <w:tmpl w:val="603E92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F82002F"/>
    <w:multiLevelType w:val="hybridMultilevel"/>
    <w:tmpl w:val="703AB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59E578A"/>
    <w:multiLevelType w:val="hybridMultilevel"/>
    <w:tmpl w:val="3C5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82A9C"/>
    <w:multiLevelType w:val="hybridMultilevel"/>
    <w:tmpl w:val="C6CE7E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992EE4"/>
    <w:multiLevelType w:val="multilevel"/>
    <w:tmpl w:val="2514E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C866A3"/>
    <w:multiLevelType w:val="hybridMultilevel"/>
    <w:tmpl w:val="B684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D2C72F8"/>
    <w:multiLevelType w:val="hybridMultilevel"/>
    <w:tmpl w:val="C2C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60B5C"/>
    <w:multiLevelType w:val="hybridMultilevel"/>
    <w:tmpl w:val="F75E6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13258B4"/>
    <w:multiLevelType w:val="hybridMultilevel"/>
    <w:tmpl w:val="90EEA7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E63028A"/>
    <w:multiLevelType w:val="hybridMultilevel"/>
    <w:tmpl w:val="388A99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9"/>
  </w:num>
  <w:num w:numId="2">
    <w:abstractNumId w:val="10"/>
  </w:num>
  <w:num w:numId="3">
    <w:abstractNumId w:val="7"/>
  </w:num>
  <w:num w:numId="4">
    <w:abstractNumId w:val="4"/>
  </w:num>
  <w:num w:numId="5">
    <w:abstractNumId w:val="22"/>
  </w:num>
  <w:num w:numId="6">
    <w:abstractNumId w:val="24"/>
  </w:num>
  <w:num w:numId="7">
    <w:abstractNumId w:val="18"/>
  </w:num>
  <w:num w:numId="8">
    <w:abstractNumId w:val="26"/>
  </w:num>
  <w:num w:numId="9">
    <w:abstractNumId w:val="5"/>
  </w:num>
  <w:num w:numId="10">
    <w:abstractNumId w:val="3"/>
  </w:num>
  <w:num w:numId="11">
    <w:abstractNumId w:val="16"/>
  </w:num>
  <w:num w:numId="12">
    <w:abstractNumId w:val="0"/>
  </w:num>
  <w:num w:numId="13">
    <w:abstractNumId w:val="25"/>
  </w:num>
  <w:num w:numId="14">
    <w:abstractNumId w:val="11"/>
  </w:num>
  <w:num w:numId="15">
    <w:abstractNumId w:val="13"/>
  </w:num>
  <w:num w:numId="16">
    <w:abstractNumId w:val="6"/>
  </w:num>
  <w:num w:numId="17">
    <w:abstractNumId w:val="20"/>
  </w:num>
  <w:num w:numId="18">
    <w:abstractNumId w:val="9"/>
  </w:num>
  <w:num w:numId="19">
    <w:abstractNumId w:val="2"/>
  </w:num>
  <w:num w:numId="20">
    <w:abstractNumId w:val="12"/>
  </w:num>
  <w:num w:numId="21">
    <w:abstractNumId w:val="15"/>
  </w:num>
  <w:num w:numId="22">
    <w:abstractNumId w:val="8"/>
  </w:num>
  <w:num w:numId="23">
    <w:abstractNumId w:val="14"/>
  </w:num>
  <w:num w:numId="24">
    <w:abstractNumId w:val="1"/>
  </w:num>
  <w:num w:numId="25">
    <w:abstractNumId w:val="21"/>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B"/>
    <w:rsid w:val="000013BE"/>
    <w:rsid w:val="000036E7"/>
    <w:rsid w:val="00006720"/>
    <w:rsid w:val="00011EE3"/>
    <w:rsid w:val="00015D0B"/>
    <w:rsid w:val="00020734"/>
    <w:rsid w:val="0002113E"/>
    <w:rsid w:val="00023F60"/>
    <w:rsid w:val="0002515C"/>
    <w:rsid w:val="00025BEE"/>
    <w:rsid w:val="00026F69"/>
    <w:rsid w:val="000278F8"/>
    <w:rsid w:val="0003283B"/>
    <w:rsid w:val="00040679"/>
    <w:rsid w:val="00044764"/>
    <w:rsid w:val="0004643A"/>
    <w:rsid w:val="000474CE"/>
    <w:rsid w:val="00047F68"/>
    <w:rsid w:val="00060E16"/>
    <w:rsid w:val="00066E34"/>
    <w:rsid w:val="000675C5"/>
    <w:rsid w:val="00070B99"/>
    <w:rsid w:val="000726B6"/>
    <w:rsid w:val="00073B0B"/>
    <w:rsid w:val="00074B81"/>
    <w:rsid w:val="00074DCB"/>
    <w:rsid w:val="00076A23"/>
    <w:rsid w:val="0007729E"/>
    <w:rsid w:val="00077B16"/>
    <w:rsid w:val="000814A4"/>
    <w:rsid w:val="00082A84"/>
    <w:rsid w:val="00085333"/>
    <w:rsid w:val="000873AA"/>
    <w:rsid w:val="00091895"/>
    <w:rsid w:val="00092432"/>
    <w:rsid w:val="000941DC"/>
    <w:rsid w:val="00095051"/>
    <w:rsid w:val="00095CC2"/>
    <w:rsid w:val="000A3256"/>
    <w:rsid w:val="000A5D80"/>
    <w:rsid w:val="000A7ECE"/>
    <w:rsid w:val="000B41AB"/>
    <w:rsid w:val="000B775D"/>
    <w:rsid w:val="000C0A66"/>
    <w:rsid w:val="000C2A9B"/>
    <w:rsid w:val="000C66CD"/>
    <w:rsid w:val="000C6821"/>
    <w:rsid w:val="000C6D42"/>
    <w:rsid w:val="000D2F57"/>
    <w:rsid w:val="000D411F"/>
    <w:rsid w:val="000D4771"/>
    <w:rsid w:val="000D4DC0"/>
    <w:rsid w:val="000E034C"/>
    <w:rsid w:val="000E3693"/>
    <w:rsid w:val="000E4CF3"/>
    <w:rsid w:val="000E56C9"/>
    <w:rsid w:val="000F0744"/>
    <w:rsid w:val="001007E4"/>
    <w:rsid w:val="00101059"/>
    <w:rsid w:val="00102729"/>
    <w:rsid w:val="00107953"/>
    <w:rsid w:val="0011078B"/>
    <w:rsid w:val="00111F91"/>
    <w:rsid w:val="001124F6"/>
    <w:rsid w:val="00120EDD"/>
    <w:rsid w:val="00125034"/>
    <w:rsid w:val="00127749"/>
    <w:rsid w:val="001320D2"/>
    <w:rsid w:val="00134DCE"/>
    <w:rsid w:val="001363C9"/>
    <w:rsid w:val="00136E4C"/>
    <w:rsid w:val="00145878"/>
    <w:rsid w:val="00147D41"/>
    <w:rsid w:val="00150BF4"/>
    <w:rsid w:val="00151C53"/>
    <w:rsid w:val="00153FD0"/>
    <w:rsid w:val="00154907"/>
    <w:rsid w:val="00155112"/>
    <w:rsid w:val="00160C58"/>
    <w:rsid w:val="00162146"/>
    <w:rsid w:val="00170D27"/>
    <w:rsid w:val="001710BE"/>
    <w:rsid w:val="00171EBD"/>
    <w:rsid w:val="001721E9"/>
    <w:rsid w:val="00175A31"/>
    <w:rsid w:val="0017609F"/>
    <w:rsid w:val="00181C0D"/>
    <w:rsid w:val="00182D04"/>
    <w:rsid w:val="001831C7"/>
    <w:rsid w:val="00183DCD"/>
    <w:rsid w:val="00185DBE"/>
    <w:rsid w:val="0018754B"/>
    <w:rsid w:val="00193625"/>
    <w:rsid w:val="00193B32"/>
    <w:rsid w:val="0019469E"/>
    <w:rsid w:val="001A0AC4"/>
    <w:rsid w:val="001A0AD7"/>
    <w:rsid w:val="001A0B37"/>
    <w:rsid w:val="001A1EB5"/>
    <w:rsid w:val="001A253C"/>
    <w:rsid w:val="001A30C1"/>
    <w:rsid w:val="001A3C31"/>
    <w:rsid w:val="001A4B9D"/>
    <w:rsid w:val="001A5D4F"/>
    <w:rsid w:val="001A6C34"/>
    <w:rsid w:val="001A7059"/>
    <w:rsid w:val="001A741D"/>
    <w:rsid w:val="001B0020"/>
    <w:rsid w:val="001B1939"/>
    <w:rsid w:val="001B46DD"/>
    <w:rsid w:val="001C34F8"/>
    <w:rsid w:val="001C7AEF"/>
    <w:rsid w:val="001D0BA4"/>
    <w:rsid w:val="001D1FEA"/>
    <w:rsid w:val="001D3031"/>
    <w:rsid w:val="001D58E4"/>
    <w:rsid w:val="001D7888"/>
    <w:rsid w:val="001E403E"/>
    <w:rsid w:val="001E6213"/>
    <w:rsid w:val="001E72E4"/>
    <w:rsid w:val="001F44E5"/>
    <w:rsid w:val="001F7840"/>
    <w:rsid w:val="00200BDF"/>
    <w:rsid w:val="00201680"/>
    <w:rsid w:val="0020465D"/>
    <w:rsid w:val="00215E19"/>
    <w:rsid w:val="002234B4"/>
    <w:rsid w:val="00227B2B"/>
    <w:rsid w:val="0023052C"/>
    <w:rsid w:val="002329D0"/>
    <w:rsid w:val="00233374"/>
    <w:rsid w:val="00233EDE"/>
    <w:rsid w:val="00236C42"/>
    <w:rsid w:val="00240799"/>
    <w:rsid w:val="002448FC"/>
    <w:rsid w:val="002462E5"/>
    <w:rsid w:val="00246417"/>
    <w:rsid w:val="0024771E"/>
    <w:rsid w:val="002479F7"/>
    <w:rsid w:val="00250FFD"/>
    <w:rsid w:val="00257AD0"/>
    <w:rsid w:val="00257DA1"/>
    <w:rsid w:val="0026002E"/>
    <w:rsid w:val="00265644"/>
    <w:rsid w:val="00272CC1"/>
    <w:rsid w:val="002744F8"/>
    <w:rsid w:val="0027684E"/>
    <w:rsid w:val="00276E06"/>
    <w:rsid w:val="00282702"/>
    <w:rsid w:val="00283733"/>
    <w:rsid w:val="00283FA9"/>
    <w:rsid w:val="00283FAE"/>
    <w:rsid w:val="00286C05"/>
    <w:rsid w:val="0029136E"/>
    <w:rsid w:val="00292465"/>
    <w:rsid w:val="002952B6"/>
    <w:rsid w:val="002A1B8E"/>
    <w:rsid w:val="002A3C48"/>
    <w:rsid w:val="002A443C"/>
    <w:rsid w:val="002A4557"/>
    <w:rsid w:val="002B1C96"/>
    <w:rsid w:val="002B5CD4"/>
    <w:rsid w:val="002B61A4"/>
    <w:rsid w:val="002C02BA"/>
    <w:rsid w:val="002C0894"/>
    <w:rsid w:val="002C7AAE"/>
    <w:rsid w:val="002D6A5C"/>
    <w:rsid w:val="002D6CA4"/>
    <w:rsid w:val="002E3246"/>
    <w:rsid w:val="002E41E7"/>
    <w:rsid w:val="002E4765"/>
    <w:rsid w:val="002E5C82"/>
    <w:rsid w:val="002E6B4A"/>
    <w:rsid w:val="002E6BF3"/>
    <w:rsid w:val="002F601D"/>
    <w:rsid w:val="002F75DD"/>
    <w:rsid w:val="00301FDC"/>
    <w:rsid w:val="00303157"/>
    <w:rsid w:val="0030529D"/>
    <w:rsid w:val="003054FA"/>
    <w:rsid w:val="003058AC"/>
    <w:rsid w:val="003075C0"/>
    <w:rsid w:val="00314892"/>
    <w:rsid w:val="0031719D"/>
    <w:rsid w:val="00323D4B"/>
    <w:rsid w:val="003328D5"/>
    <w:rsid w:val="00333524"/>
    <w:rsid w:val="0033506E"/>
    <w:rsid w:val="003360C6"/>
    <w:rsid w:val="00341429"/>
    <w:rsid w:val="00341BA6"/>
    <w:rsid w:val="00343F3B"/>
    <w:rsid w:val="0034447E"/>
    <w:rsid w:val="00347BFC"/>
    <w:rsid w:val="003527C3"/>
    <w:rsid w:val="003538DF"/>
    <w:rsid w:val="00354593"/>
    <w:rsid w:val="0035744F"/>
    <w:rsid w:val="00357480"/>
    <w:rsid w:val="00360E40"/>
    <w:rsid w:val="00361ECD"/>
    <w:rsid w:val="00361FC2"/>
    <w:rsid w:val="00364525"/>
    <w:rsid w:val="0037144B"/>
    <w:rsid w:val="003717C0"/>
    <w:rsid w:val="003779E4"/>
    <w:rsid w:val="00380681"/>
    <w:rsid w:val="0038070F"/>
    <w:rsid w:val="003807AB"/>
    <w:rsid w:val="00384655"/>
    <w:rsid w:val="00385330"/>
    <w:rsid w:val="00393B59"/>
    <w:rsid w:val="00394DE0"/>
    <w:rsid w:val="0039643B"/>
    <w:rsid w:val="003A0E8D"/>
    <w:rsid w:val="003A19D4"/>
    <w:rsid w:val="003A4C68"/>
    <w:rsid w:val="003A58ED"/>
    <w:rsid w:val="003A6106"/>
    <w:rsid w:val="003A6B65"/>
    <w:rsid w:val="003B0A99"/>
    <w:rsid w:val="003B0CEE"/>
    <w:rsid w:val="003B71DC"/>
    <w:rsid w:val="003B7D28"/>
    <w:rsid w:val="003C0880"/>
    <w:rsid w:val="003D266E"/>
    <w:rsid w:val="003D39B2"/>
    <w:rsid w:val="003D470C"/>
    <w:rsid w:val="003D6A14"/>
    <w:rsid w:val="003E33EF"/>
    <w:rsid w:val="003E3F65"/>
    <w:rsid w:val="003E41E6"/>
    <w:rsid w:val="003E5DB0"/>
    <w:rsid w:val="003F5122"/>
    <w:rsid w:val="003F6F63"/>
    <w:rsid w:val="00400D17"/>
    <w:rsid w:val="00401C86"/>
    <w:rsid w:val="004023E0"/>
    <w:rsid w:val="00403E9F"/>
    <w:rsid w:val="00410035"/>
    <w:rsid w:val="00410D99"/>
    <w:rsid w:val="00412248"/>
    <w:rsid w:val="00412B1B"/>
    <w:rsid w:val="00417295"/>
    <w:rsid w:val="0042167C"/>
    <w:rsid w:val="004216DE"/>
    <w:rsid w:val="00423C78"/>
    <w:rsid w:val="00426765"/>
    <w:rsid w:val="00427FC4"/>
    <w:rsid w:val="004324B6"/>
    <w:rsid w:val="00432E5D"/>
    <w:rsid w:val="00436A9C"/>
    <w:rsid w:val="00437010"/>
    <w:rsid w:val="004373A1"/>
    <w:rsid w:val="00437638"/>
    <w:rsid w:val="004412EF"/>
    <w:rsid w:val="00445E59"/>
    <w:rsid w:val="0045460B"/>
    <w:rsid w:val="00456F1C"/>
    <w:rsid w:val="00460726"/>
    <w:rsid w:val="004613B8"/>
    <w:rsid w:val="004621F7"/>
    <w:rsid w:val="00464A80"/>
    <w:rsid w:val="0046592D"/>
    <w:rsid w:val="0046667A"/>
    <w:rsid w:val="00467FBC"/>
    <w:rsid w:val="00472B5D"/>
    <w:rsid w:val="00474FAF"/>
    <w:rsid w:val="004756CB"/>
    <w:rsid w:val="004849E6"/>
    <w:rsid w:val="0048512E"/>
    <w:rsid w:val="00486726"/>
    <w:rsid w:val="00492BE6"/>
    <w:rsid w:val="00493C5D"/>
    <w:rsid w:val="004978D1"/>
    <w:rsid w:val="004A062E"/>
    <w:rsid w:val="004A4D8F"/>
    <w:rsid w:val="004A4F73"/>
    <w:rsid w:val="004A51AD"/>
    <w:rsid w:val="004A65A2"/>
    <w:rsid w:val="004B2636"/>
    <w:rsid w:val="004B3D08"/>
    <w:rsid w:val="004B4457"/>
    <w:rsid w:val="004B5416"/>
    <w:rsid w:val="004C0C3A"/>
    <w:rsid w:val="004C17B2"/>
    <w:rsid w:val="004C42D1"/>
    <w:rsid w:val="004C6D2E"/>
    <w:rsid w:val="004C78BE"/>
    <w:rsid w:val="004D3374"/>
    <w:rsid w:val="004D5C89"/>
    <w:rsid w:val="004D6182"/>
    <w:rsid w:val="004D7181"/>
    <w:rsid w:val="004E330B"/>
    <w:rsid w:val="004E4354"/>
    <w:rsid w:val="004E46EC"/>
    <w:rsid w:val="004E510C"/>
    <w:rsid w:val="004E73CC"/>
    <w:rsid w:val="004F02AA"/>
    <w:rsid w:val="004F055C"/>
    <w:rsid w:val="004F0C26"/>
    <w:rsid w:val="004F27E6"/>
    <w:rsid w:val="004F4AAC"/>
    <w:rsid w:val="00501404"/>
    <w:rsid w:val="005055A6"/>
    <w:rsid w:val="005125BA"/>
    <w:rsid w:val="00517103"/>
    <w:rsid w:val="00525816"/>
    <w:rsid w:val="0052736F"/>
    <w:rsid w:val="005325C9"/>
    <w:rsid w:val="0053280E"/>
    <w:rsid w:val="005356B5"/>
    <w:rsid w:val="00552C84"/>
    <w:rsid w:val="005533B0"/>
    <w:rsid w:val="00557C71"/>
    <w:rsid w:val="00563927"/>
    <w:rsid w:val="00567357"/>
    <w:rsid w:val="00570B94"/>
    <w:rsid w:val="005773DC"/>
    <w:rsid w:val="005773E1"/>
    <w:rsid w:val="0058084A"/>
    <w:rsid w:val="005829C5"/>
    <w:rsid w:val="00583432"/>
    <w:rsid w:val="00584305"/>
    <w:rsid w:val="00584D19"/>
    <w:rsid w:val="0059232C"/>
    <w:rsid w:val="00592E5C"/>
    <w:rsid w:val="00597339"/>
    <w:rsid w:val="005A1F26"/>
    <w:rsid w:val="005B40E7"/>
    <w:rsid w:val="005B7C37"/>
    <w:rsid w:val="005C1646"/>
    <w:rsid w:val="005C7F2F"/>
    <w:rsid w:val="005D16DF"/>
    <w:rsid w:val="005D4FAA"/>
    <w:rsid w:val="005D6D70"/>
    <w:rsid w:val="005E16AA"/>
    <w:rsid w:val="005E207A"/>
    <w:rsid w:val="005E3BBC"/>
    <w:rsid w:val="005E617B"/>
    <w:rsid w:val="005E7DBB"/>
    <w:rsid w:val="005F3EC5"/>
    <w:rsid w:val="005F4EA7"/>
    <w:rsid w:val="005F5ADF"/>
    <w:rsid w:val="005F68B2"/>
    <w:rsid w:val="00600BBB"/>
    <w:rsid w:val="006077FA"/>
    <w:rsid w:val="00607E62"/>
    <w:rsid w:val="00614BCC"/>
    <w:rsid w:val="0062037D"/>
    <w:rsid w:val="00620566"/>
    <w:rsid w:val="006224BD"/>
    <w:rsid w:val="0062585E"/>
    <w:rsid w:val="00625AC6"/>
    <w:rsid w:val="0062757C"/>
    <w:rsid w:val="00643F69"/>
    <w:rsid w:val="00645FFC"/>
    <w:rsid w:val="006507C4"/>
    <w:rsid w:val="00652273"/>
    <w:rsid w:val="006529E0"/>
    <w:rsid w:val="00654F87"/>
    <w:rsid w:val="006568CE"/>
    <w:rsid w:val="00672B9A"/>
    <w:rsid w:val="00674B86"/>
    <w:rsid w:val="00676E4D"/>
    <w:rsid w:val="0067727A"/>
    <w:rsid w:val="00680794"/>
    <w:rsid w:val="00683623"/>
    <w:rsid w:val="00684019"/>
    <w:rsid w:val="00684BFD"/>
    <w:rsid w:val="0068610A"/>
    <w:rsid w:val="00687A00"/>
    <w:rsid w:val="00693440"/>
    <w:rsid w:val="006A01FE"/>
    <w:rsid w:val="006A1B73"/>
    <w:rsid w:val="006A1FB1"/>
    <w:rsid w:val="006A2999"/>
    <w:rsid w:val="006A2E5C"/>
    <w:rsid w:val="006A48BB"/>
    <w:rsid w:val="006A69C3"/>
    <w:rsid w:val="006A7086"/>
    <w:rsid w:val="006B4B28"/>
    <w:rsid w:val="006B57D7"/>
    <w:rsid w:val="006B6EC3"/>
    <w:rsid w:val="006C087E"/>
    <w:rsid w:val="006C28D4"/>
    <w:rsid w:val="006C3946"/>
    <w:rsid w:val="006C46E9"/>
    <w:rsid w:val="006C7024"/>
    <w:rsid w:val="006C7042"/>
    <w:rsid w:val="006C7B7F"/>
    <w:rsid w:val="006D2551"/>
    <w:rsid w:val="006D3602"/>
    <w:rsid w:val="006D742F"/>
    <w:rsid w:val="006D7C4C"/>
    <w:rsid w:val="006E1E40"/>
    <w:rsid w:val="006E4D52"/>
    <w:rsid w:val="006E57DC"/>
    <w:rsid w:val="006E5CDC"/>
    <w:rsid w:val="006F5F1D"/>
    <w:rsid w:val="006F6837"/>
    <w:rsid w:val="006F6CBD"/>
    <w:rsid w:val="0070031C"/>
    <w:rsid w:val="00705808"/>
    <w:rsid w:val="00705930"/>
    <w:rsid w:val="00710AB8"/>
    <w:rsid w:val="0071281F"/>
    <w:rsid w:val="00715B66"/>
    <w:rsid w:val="007174B6"/>
    <w:rsid w:val="00717CFB"/>
    <w:rsid w:val="007207E8"/>
    <w:rsid w:val="0072135B"/>
    <w:rsid w:val="0072785F"/>
    <w:rsid w:val="00730B9E"/>
    <w:rsid w:val="00736009"/>
    <w:rsid w:val="00744A53"/>
    <w:rsid w:val="00747144"/>
    <w:rsid w:val="007478CB"/>
    <w:rsid w:val="00750900"/>
    <w:rsid w:val="00751FA4"/>
    <w:rsid w:val="00752D93"/>
    <w:rsid w:val="0075548A"/>
    <w:rsid w:val="007562F1"/>
    <w:rsid w:val="00757FBF"/>
    <w:rsid w:val="00773E7C"/>
    <w:rsid w:val="0078066E"/>
    <w:rsid w:val="007858D9"/>
    <w:rsid w:val="007951D6"/>
    <w:rsid w:val="007A04B7"/>
    <w:rsid w:val="007A3F94"/>
    <w:rsid w:val="007A5292"/>
    <w:rsid w:val="007A64F8"/>
    <w:rsid w:val="007A7AC4"/>
    <w:rsid w:val="007B4646"/>
    <w:rsid w:val="007B4F97"/>
    <w:rsid w:val="007C3306"/>
    <w:rsid w:val="007C4DF6"/>
    <w:rsid w:val="007C50DB"/>
    <w:rsid w:val="007C5333"/>
    <w:rsid w:val="007C58D9"/>
    <w:rsid w:val="007C59B8"/>
    <w:rsid w:val="007D167B"/>
    <w:rsid w:val="007D309A"/>
    <w:rsid w:val="007D5382"/>
    <w:rsid w:val="007E1BA4"/>
    <w:rsid w:val="007E22C9"/>
    <w:rsid w:val="007E58CF"/>
    <w:rsid w:val="007F33FB"/>
    <w:rsid w:val="007F358E"/>
    <w:rsid w:val="007F36CF"/>
    <w:rsid w:val="007F40C7"/>
    <w:rsid w:val="007F4407"/>
    <w:rsid w:val="00800620"/>
    <w:rsid w:val="00801C98"/>
    <w:rsid w:val="00801EB0"/>
    <w:rsid w:val="00802228"/>
    <w:rsid w:val="00802F40"/>
    <w:rsid w:val="00803388"/>
    <w:rsid w:val="00804FE9"/>
    <w:rsid w:val="008152C6"/>
    <w:rsid w:val="008173F0"/>
    <w:rsid w:val="00820C3A"/>
    <w:rsid w:val="00821CDF"/>
    <w:rsid w:val="00830D83"/>
    <w:rsid w:val="00831D0E"/>
    <w:rsid w:val="0083232D"/>
    <w:rsid w:val="00836FFE"/>
    <w:rsid w:val="008404A0"/>
    <w:rsid w:val="00843B70"/>
    <w:rsid w:val="00844E5E"/>
    <w:rsid w:val="00846644"/>
    <w:rsid w:val="0084734C"/>
    <w:rsid w:val="00850225"/>
    <w:rsid w:val="008558A4"/>
    <w:rsid w:val="00861364"/>
    <w:rsid w:val="00866ADF"/>
    <w:rsid w:val="0086777B"/>
    <w:rsid w:val="00870950"/>
    <w:rsid w:val="0088113C"/>
    <w:rsid w:val="00882F0C"/>
    <w:rsid w:val="00891787"/>
    <w:rsid w:val="008919D7"/>
    <w:rsid w:val="00893509"/>
    <w:rsid w:val="00895BE2"/>
    <w:rsid w:val="00895FD6"/>
    <w:rsid w:val="008A0924"/>
    <w:rsid w:val="008A0B4E"/>
    <w:rsid w:val="008A0F81"/>
    <w:rsid w:val="008A41BB"/>
    <w:rsid w:val="008A4BB5"/>
    <w:rsid w:val="008A5E36"/>
    <w:rsid w:val="008A72B9"/>
    <w:rsid w:val="008A74EB"/>
    <w:rsid w:val="008A75C4"/>
    <w:rsid w:val="008B1D9E"/>
    <w:rsid w:val="008B6C18"/>
    <w:rsid w:val="008C261E"/>
    <w:rsid w:val="008D0DC2"/>
    <w:rsid w:val="008D1F79"/>
    <w:rsid w:val="008D435F"/>
    <w:rsid w:val="008D6974"/>
    <w:rsid w:val="008D752E"/>
    <w:rsid w:val="008D7806"/>
    <w:rsid w:val="008D7E17"/>
    <w:rsid w:val="008E26C4"/>
    <w:rsid w:val="008E3903"/>
    <w:rsid w:val="008E61D7"/>
    <w:rsid w:val="008F26BD"/>
    <w:rsid w:val="008F272E"/>
    <w:rsid w:val="008F3E4C"/>
    <w:rsid w:val="00900C46"/>
    <w:rsid w:val="00907F3A"/>
    <w:rsid w:val="00911073"/>
    <w:rsid w:val="00912617"/>
    <w:rsid w:val="0091733F"/>
    <w:rsid w:val="0092066B"/>
    <w:rsid w:val="009211B7"/>
    <w:rsid w:val="0092496A"/>
    <w:rsid w:val="00924B66"/>
    <w:rsid w:val="00926DFB"/>
    <w:rsid w:val="00927E99"/>
    <w:rsid w:val="009315A6"/>
    <w:rsid w:val="00931C96"/>
    <w:rsid w:val="009340CD"/>
    <w:rsid w:val="00936BA7"/>
    <w:rsid w:val="0093753B"/>
    <w:rsid w:val="00941862"/>
    <w:rsid w:val="00941C1B"/>
    <w:rsid w:val="00942E34"/>
    <w:rsid w:val="00946E19"/>
    <w:rsid w:val="00947D18"/>
    <w:rsid w:val="00950AA0"/>
    <w:rsid w:val="00960956"/>
    <w:rsid w:val="00972E0D"/>
    <w:rsid w:val="00973F7A"/>
    <w:rsid w:val="00976E50"/>
    <w:rsid w:val="00977DF3"/>
    <w:rsid w:val="009818A4"/>
    <w:rsid w:val="00981E22"/>
    <w:rsid w:val="00985187"/>
    <w:rsid w:val="00986466"/>
    <w:rsid w:val="00987F60"/>
    <w:rsid w:val="009A1891"/>
    <w:rsid w:val="009A2EE5"/>
    <w:rsid w:val="009A3753"/>
    <w:rsid w:val="009A3E89"/>
    <w:rsid w:val="009A3E90"/>
    <w:rsid w:val="009A4034"/>
    <w:rsid w:val="009A734D"/>
    <w:rsid w:val="009A799D"/>
    <w:rsid w:val="009C131E"/>
    <w:rsid w:val="009C214D"/>
    <w:rsid w:val="009C48E7"/>
    <w:rsid w:val="009C71F3"/>
    <w:rsid w:val="009C78E9"/>
    <w:rsid w:val="009D1F0C"/>
    <w:rsid w:val="009D41D1"/>
    <w:rsid w:val="009D4D51"/>
    <w:rsid w:val="009D5AB3"/>
    <w:rsid w:val="009D7398"/>
    <w:rsid w:val="009E0BC7"/>
    <w:rsid w:val="009F1BF9"/>
    <w:rsid w:val="009F46FB"/>
    <w:rsid w:val="00A023ED"/>
    <w:rsid w:val="00A0375E"/>
    <w:rsid w:val="00A10142"/>
    <w:rsid w:val="00A14486"/>
    <w:rsid w:val="00A16246"/>
    <w:rsid w:val="00A17A59"/>
    <w:rsid w:val="00A203E2"/>
    <w:rsid w:val="00A20853"/>
    <w:rsid w:val="00A20E5D"/>
    <w:rsid w:val="00A2736D"/>
    <w:rsid w:val="00A31F92"/>
    <w:rsid w:val="00A33735"/>
    <w:rsid w:val="00A3458B"/>
    <w:rsid w:val="00A35C6D"/>
    <w:rsid w:val="00A44490"/>
    <w:rsid w:val="00A47761"/>
    <w:rsid w:val="00A54475"/>
    <w:rsid w:val="00A553B7"/>
    <w:rsid w:val="00A555B5"/>
    <w:rsid w:val="00A63395"/>
    <w:rsid w:val="00A66BDD"/>
    <w:rsid w:val="00A7002E"/>
    <w:rsid w:val="00A727C6"/>
    <w:rsid w:val="00A75C28"/>
    <w:rsid w:val="00A77484"/>
    <w:rsid w:val="00A8249C"/>
    <w:rsid w:val="00A82821"/>
    <w:rsid w:val="00A9438F"/>
    <w:rsid w:val="00A95192"/>
    <w:rsid w:val="00A96C13"/>
    <w:rsid w:val="00A97B30"/>
    <w:rsid w:val="00A97D25"/>
    <w:rsid w:val="00AA0109"/>
    <w:rsid w:val="00AA1E4D"/>
    <w:rsid w:val="00AB755E"/>
    <w:rsid w:val="00AC2A47"/>
    <w:rsid w:val="00AC40F8"/>
    <w:rsid w:val="00AC4E6C"/>
    <w:rsid w:val="00AC5368"/>
    <w:rsid w:val="00AC7B9C"/>
    <w:rsid w:val="00AD2CC2"/>
    <w:rsid w:val="00AD351E"/>
    <w:rsid w:val="00AD5307"/>
    <w:rsid w:val="00AE0255"/>
    <w:rsid w:val="00AE66F0"/>
    <w:rsid w:val="00AF3A72"/>
    <w:rsid w:val="00AF3B74"/>
    <w:rsid w:val="00AF4DA8"/>
    <w:rsid w:val="00AF62F5"/>
    <w:rsid w:val="00AF69D5"/>
    <w:rsid w:val="00B00EFE"/>
    <w:rsid w:val="00B021E3"/>
    <w:rsid w:val="00B11B3A"/>
    <w:rsid w:val="00B16E5F"/>
    <w:rsid w:val="00B17C30"/>
    <w:rsid w:val="00B207D6"/>
    <w:rsid w:val="00B23954"/>
    <w:rsid w:val="00B27A74"/>
    <w:rsid w:val="00B27F52"/>
    <w:rsid w:val="00B30326"/>
    <w:rsid w:val="00B30823"/>
    <w:rsid w:val="00B30D53"/>
    <w:rsid w:val="00B3249B"/>
    <w:rsid w:val="00B36228"/>
    <w:rsid w:val="00B430F4"/>
    <w:rsid w:val="00B4310B"/>
    <w:rsid w:val="00B456B2"/>
    <w:rsid w:val="00B4604B"/>
    <w:rsid w:val="00B4639C"/>
    <w:rsid w:val="00B56A90"/>
    <w:rsid w:val="00B578EC"/>
    <w:rsid w:val="00B665BA"/>
    <w:rsid w:val="00B741BE"/>
    <w:rsid w:val="00B76721"/>
    <w:rsid w:val="00B812FD"/>
    <w:rsid w:val="00B847F8"/>
    <w:rsid w:val="00B84874"/>
    <w:rsid w:val="00B91D68"/>
    <w:rsid w:val="00B941E0"/>
    <w:rsid w:val="00B96D95"/>
    <w:rsid w:val="00BA0560"/>
    <w:rsid w:val="00BA09CD"/>
    <w:rsid w:val="00BA2CBC"/>
    <w:rsid w:val="00BA3B7D"/>
    <w:rsid w:val="00BA442A"/>
    <w:rsid w:val="00BA596B"/>
    <w:rsid w:val="00BB068B"/>
    <w:rsid w:val="00BB3266"/>
    <w:rsid w:val="00BC3EAC"/>
    <w:rsid w:val="00BC4D96"/>
    <w:rsid w:val="00BD12F9"/>
    <w:rsid w:val="00BD19F6"/>
    <w:rsid w:val="00BD2850"/>
    <w:rsid w:val="00BD3EDE"/>
    <w:rsid w:val="00BD5DA5"/>
    <w:rsid w:val="00BD64EC"/>
    <w:rsid w:val="00BD7937"/>
    <w:rsid w:val="00BE07B5"/>
    <w:rsid w:val="00BE1659"/>
    <w:rsid w:val="00BE16A8"/>
    <w:rsid w:val="00BE1FCB"/>
    <w:rsid w:val="00BE223A"/>
    <w:rsid w:val="00BE2685"/>
    <w:rsid w:val="00BE3024"/>
    <w:rsid w:val="00BE5517"/>
    <w:rsid w:val="00BE7BDC"/>
    <w:rsid w:val="00BF13BA"/>
    <w:rsid w:val="00BF372C"/>
    <w:rsid w:val="00BF562C"/>
    <w:rsid w:val="00C12674"/>
    <w:rsid w:val="00C13D4C"/>
    <w:rsid w:val="00C15756"/>
    <w:rsid w:val="00C157EB"/>
    <w:rsid w:val="00C270DE"/>
    <w:rsid w:val="00C31ECB"/>
    <w:rsid w:val="00C36616"/>
    <w:rsid w:val="00C426B4"/>
    <w:rsid w:val="00C426FA"/>
    <w:rsid w:val="00C44863"/>
    <w:rsid w:val="00C4515C"/>
    <w:rsid w:val="00C4552B"/>
    <w:rsid w:val="00C71481"/>
    <w:rsid w:val="00C7165B"/>
    <w:rsid w:val="00C716C7"/>
    <w:rsid w:val="00C717D9"/>
    <w:rsid w:val="00C74EAE"/>
    <w:rsid w:val="00C7666D"/>
    <w:rsid w:val="00C82E7D"/>
    <w:rsid w:val="00C83CEF"/>
    <w:rsid w:val="00C864D9"/>
    <w:rsid w:val="00C8712B"/>
    <w:rsid w:val="00C8741F"/>
    <w:rsid w:val="00C91DA0"/>
    <w:rsid w:val="00C9301C"/>
    <w:rsid w:val="00C954DA"/>
    <w:rsid w:val="00C95611"/>
    <w:rsid w:val="00C97B1D"/>
    <w:rsid w:val="00CA519A"/>
    <w:rsid w:val="00CB1188"/>
    <w:rsid w:val="00CB534D"/>
    <w:rsid w:val="00CB7F1B"/>
    <w:rsid w:val="00CC1C4C"/>
    <w:rsid w:val="00CC4610"/>
    <w:rsid w:val="00CC46B3"/>
    <w:rsid w:val="00CD415D"/>
    <w:rsid w:val="00CE3249"/>
    <w:rsid w:val="00CE3417"/>
    <w:rsid w:val="00CE514D"/>
    <w:rsid w:val="00CE5CBF"/>
    <w:rsid w:val="00CE5FFE"/>
    <w:rsid w:val="00CE657C"/>
    <w:rsid w:val="00CF2466"/>
    <w:rsid w:val="00CF281F"/>
    <w:rsid w:val="00CF5A7E"/>
    <w:rsid w:val="00CF7DDC"/>
    <w:rsid w:val="00D03B65"/>
    <w:rsid w:val="00D0437F"/>
    <w:rsid w:val="00D059DA"/>
    <w:rsid w:val="00D068AE"/>
    <w:rsid w:val="00D12416"/>
    <w:rsid w:val="00D16007"/>
    <w:rsid w:val="00D165E2"/>
    <w:rsid w:val="00D244C6"/>
    <w:rsid w:val="00D2633C"/>
    <w:rsid w:val="00D40586"/>
    <w:rsid w:val="00D42BF1"/>
    <w:rsid w:val="00D43F21"/>
    <w:rsid w:val="00D44F75"/>
    <w:rsid w:val="00D5281F"/>
    <w:rsid w:val="00D54A74"/>
    <w:rsid w:val="00D55BA1"/>
    <w:rsid w:val="00D56539"/>
    <w:rsid w:val="00D574AC"/>
    <w:rsid w:val="00D61EFE"/>
    <w:rsid w:val="00D61FA9"/>
    <w:rsid w:val="00D62177"/>
    <w:rsid w:val="00D63FEC"/>
    <w:rsid w:val="00D64916"/>
    <w:rsid w:val="00D65633"/>
    <w:rsid w:val="00D662E2"/>
    <w:rsid w:val="00D71367"/>
    <w:rsid w:val="00D727E6"/>
    <w:rsid w:val="00D81585"/>
    <w:rsid w:val="00D82B51"/>
    <w:rsid w:val="00D85B9C"/>
    <w:rsid w:val="00D90196"/>
    <w:rsid w:val="00D945F7"/>
    <w:rsid w:val="00D96299"/>
    <w:rsid w:val="00DA06B4"/>
    <w:rsid w:val="00DA4C7E"/>
    <w:rsid w:val="00DA611C"/>
    <w:rsid w:val="00DA732E"/>
    <w:rsid w:val="00DA7983"/>
    <w:rsid w:val="00DB20CC"/>
    <w:rsid w:val="00DB54E8"/>
    <w:rsid w:val="00DC0511"/>
    <w:rsid w:val="00DC48C0"/>
    <w:rsid w:val="00DC4D3C"/>
    <w:rsid w:val="00DC5121"/>
    <w:rsid w:val="00DC519F"/>
    <w:rsid w:val="00DC7E3B"/>
    <w:rsid w:val="00DD5A77"/>
    <w:rsid w:val="00DE0332"/>
    <w:rsid w:val="00DE03EC"/>
    <w:rsid w:val="00DE27F1"/>
    <w:rsid w:val="00DE3829"/>
    <w:rsid w:val="00DF6FEB"/>
    <w:rsid w:val="00E031B2"/>
    <w:rsid w:val="00E070C7"/>
    <w:rsid w:val="00E127BE"/>
    <w:rsid w:val="00E1391B"/>
    <w:rsid w:val="00E16A42"/>
    <w:rsid w:val="00E17514"/>
    <w:rsid w:val="00E2047F"/>
    <w:rsid w:val="00E21B08"/>
    <w:rsid w:val="00E2254F"/>
    <w:rsid w:val="00E25223"/>
    <w:rsid w:val="00E2714E"/>
    <w:rsid w:val="00E31C65"/>
    <w:rsid w:val="00E4499E"/>
    <w:rsid w:val="00E52BE7"/>
    <w:rsid w:val="00E53B28"/>
    <w:rsid w:val="00E546DF"/>
    <w:rsid w:val="00E5593E"/>
    <w:rsid w:val="00E601F4"/>
    <w:rsid w:val="00E624F1"/>
    <w:rsid w:val="00E632E2"/>
    <w:rsid w:val="00E6485E"/>
    <w:rsid w:val="00E64E8B"/>
    <w:rsid w:val="00E744AF"/>
    <w:rsid w:val="00E74D31"/>
    <w:rsid w:val="00E75926"/>
    <w:rsid w:val="00E76E53"/>
    <w:rsid w:val="00E85BBE"/>
    <w:rsid w:val="00E85E92"/>
    <w:rsid w:val="00E922DF"/>
    <w:rsid w:val="00E9252F"/>
    <w:rsid w:val="00E93353"/>
    <w:rsid w:val="00E95A0C"/>
    <w:rsid w:val="00EA0D40"/>
    <w:rsid w:val="00EA484A"/>
    <w:rsid w:val="00EB09DB"/>
    <w:rsid w:val="00EB43DE"/>
    <w:rsid w:val="00EB45BE"/>
    <w:rsid w:val="00EB4780"/>
    <w:rsid w:val="00EB7875"/>
    <w:rsid w:val="00EC0713"/>
    <w:rsid w:val="00EC4B9E"/>
    <w:rsid w:val="00EC545C"/>
    <w:rsid w:val="00EC7A02"/>
    <w:rsid w:val="00ED2149"/>
    <w:rsid w:val="00ED74D1"/>
    <w:rsid w:val="00EE10F4"/>
    <w:rsid w:val="00EE2829"/>
    <w:rsid w:val="00EE6688"/>
    <w:rsid w:val="00EE7CD6"/>
    <w:rsid w:val="00EF1267"/>
    <w:rsid w:val="00F0024A"/>
    <w:rsid w:val="00F01EEE"/>
    <w:rsid w:val="00F02EB0"/>
    <w:rsid w:val="00F055BE"/>
    <w:rsid w:val="00F0652B"/>
    <w:rsid w:val="00F07742"/>
    <w:rsid w:val="00F117A3"/>
    <w:rsid w:val="00F126C2"/>
    <w:rsid w:val="00F1384C"/>
    <w:rsid w:val="00F206C7"/>
    <w:rsid w:val="00F20D3C"/>
    <w:rsid w:val="00F2286C"/>
    <w:rsid w:val="00F259D1"/>
    <w:rsid w:val="00F2670A"/>
    <w:rsid w:val="00F307BD"/>
    <w:rsid w:val="00F33969"/>
    <w:rsid w:val="00F3611A"/>
    <w:rsid w:val="00F3750D"/>
    <w:rsid w:val="00F402A8"/>
    <w:rsid w:val="00F475DC"/>
    <w:rsid w:val="00F54BCC"/>
    <w:rsid w:val="00F5795E"/>
    <w:rsid w:val="00F62E70"/>
    <w:rsid w:val="00F63D66"/>
    <w:rsid w:val="00F64C9F"/>
    <w:rsid w:val="00F677EB"/>
    <w:rsid w:val="00F734AC"/>
    <w:rsid w:val="00F745EF"/>
    <w:rsid w:val="00F746FA"/>
    <w:rsid w:val="00F7786D"/>
    <w:rsid w:val="00F80EED"/>
    <w:rsid w:val="00F857BB"/>
    <w:rsid w:val="00F85E49"/>
    <w:rsid w:val="00F90702"/>
    <w:rsid w:val="00FA0B84"/>
    <w:rsid w:val="00FA7CD2"/>
    <w:rsid w:val="00FB082B"/>
    <w:rsid w:val="00FB111C"/>
    <w:rsid w:val="00FB120D"/>
    <w:rsid w:val="00FB4597"/>
    <w:rsid w:val="00FB5372"/>
    <w:rsid w:val="00FB6B80"/>
    <w:rsid w:val="00FC610D"/>
    <w:rsid w:val="00FD1E65"/>
    <w:rsid w:val="00FE04A8"/>
    <w:rsid w:val="00FE3B15"/>
    <w:rsid w:val="00FE3F2C"/>
    <w:rsid w:val="00FE5973"/>
    <w:rsid w:val="00FE784E"/>
    <w:rsid w:val="00FF12C4"/>
    <w:rsid w:val="00FF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877C"/>
  <w15:chartTrackingRefBased/>
  <w15:docId w15:val="{9A284CB2-60C5-4A71-B6FC-299D5765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D4C"/>
    <w:pPr>
      <w:spacing w:after="0" w:line="240" w:lineRule="auto"/>
    </w:pPr>
    <w:rPr>
      <w:rFonts w:ascii="Franklin Gothic Book" w:hAnsi="Franklin Gothic Book"/>
      <w:sz w:val="24"/>
    </w:rPr>
  </w:style>
  <w:style w:type="paragraph" w:styleId="Heading1">
    <w:name w:val="heading 1"/>
    <w:basedOn w:val="Normal"/>
    <w:link w:val="Heading1Char"/>
    <w:uiPriority w:val="9"/>
    <w:qFormat/>
    <w:rsid w:val="00BE1F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E1FCB"/>
    <w:pPr>
      <w:tabs>
        <w:tab w:val="center" w:pos="4680"/>
        <w:tab w:val="right" w:pos="9360"/>
      </w:tabs>
    </w:pPr>
  </w:style>
  <w:style w:type="character" w:customStyle="1" w:styleId="HeaderChar">
    <w:name w:val="Header Char"/>
    <w:basedOn w:val="DefaultParagraphFont"/>
    <w:link w:val="Header"/>
    <w:uiPriority w:val="99"/>
    <w:rsid w:val="00BE1FCB"/>
    <w:rPr>
      <w:rFonts w:ascii="Franklin Gothic Book" w:hAnsi="Franklin Gothic Book"/>
      <w:sz w:val="24"/>
    </w:rPr>
  </w:style>
  <w:style w:type="paragraph" w:styleId="Footer">
    <w:name w:val="footer"/>
    <w:basedOn w:val="Normal"/>
    <w:link w:val="FooterChar"/>
    <w:uiPriority w:val="99"/>
    <w:unhideWhenUsed/>
    <w:rsid w:val="00BE1FCB"/>
    <w:pPr>
      <w:tabs>
        <w:tab w:val="center" w:pos="4680"/>
        <w:tab w:val="right" w:pos="9360"/>
      </w:tabs>
    </w:pPr>
  </w:style>
  <w:style w:type="character" w:customStyle="1" w:styleId="FooterChar">
    <w:name w:val="Footer Char"/>
    <w:basedOn w:val="DefaultParagraphFont"/>
    <w:link w:val="Footer"/>
    <w:uiPriority w:val="99"/>
    <w:rsid w:val="00BE1FCB"/>
    <w:rPr>
      <w:rFonts w:ascii="Franklin Gothic Book" w:hAnsi="Franklin Gothic Book"/>
      <w:sz w:val="24"/>
    </w:rPr>
  </w:style>
  <w:style w:type="paragraph" w:styleId="ListParagraph">
    <w:name w:val="List Paragraph"/>
    <w:basedOn w:val="Normal"/>
    <w:uiPriority w:val="34"/>
    <w:qFormat/>
    <w:rsid w:val="00BE1FCB"/>
    <w:pPr>
      <w:ind w:left="720"/>
      <w:contextualSpacing/>
    </w:pPr>
  </w:style>
  <w:style w:type="character" w:styleId="CommentReference">
    <w:name w:val="annotation reference"/>
    <w:basedOn w:val="DefaultParagraphFont"/>
    <w:unhideWhenUsed/>
    <w:rsid w:val="00BE1FCB"/>
    <w:rPr>
      <w:sz w:val="16"/>
      <w:szCs w:val="16"/>
    </w:rPr>
  </w:style>
  <w:style w:type="paragraph" w:styleId="CommentText">
    <w:name w:val="annotation text"/>
    <w:basedOn w:val="Normal"/>
    <w:link w:val="CommentTextChar"/>
    <w:uiPriority w:val="99"/>
    <w:unhideWhenUsed/>
    <w:rsid w:val="00BE1FCB"/>
    <w:rPr>
      <w:sz w:val="20"/>
      <w:szCs w:val="20"/>
    </w:rPr>
  </w:style>
  <w:style w:type="character" w:customStyle="1" w:styleId="CommentTextChar">
    <w:name w:val="Comment Text Char"/>
    <w:basedOn w:val="DefaultParagraphFont"/>
    <w:link w:val="CommentText"/>
    <w:uiPriority w:val="99"/>
    <w:rsid w:val="00BE1FC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E1FCB"/>
    <w:rPr>
      <w:b/>
      <w:bCs/>
    </w:rPr>
  </w:style>
  <w:style w:type="character" w:customStyle="1" w:styleId="CommentSubjectChar">
    <w:name w:val="Comment Subject Char"/>
    <w:basedOn w:val="CommentTextChar"/>
    <w:link w:val="CommentSubject"/>
    <w:uiPriority w:val="99"/>
    <w:semiHidden/>
    <w:rsid w:val="00BE1FCB"/>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BE1FCB"/>
    <w:rPr>
      <w:rFonts w:ascii="Tahoma" w:hAnsi="Tahoma" w:cs="Tahoma"/>
      <w:sz w:val="16"/>
      <w:szCs w:val="16"/>
    </w:rPr>
  </w:style>
  <w:style w:type="character" w:customStyle="1" w:styleId="BalloonTextChar">
    <w:name w:val="Balloon Text Char"/>
    <w:basedOn w:val="DefaultParagraphFont"/>
    <w:link w:val="BalloonText"/>
    <w:uiPriority w:val="99"/>
    <w:semiHidden/>
    <w:rsid w:val="00BE1FCB"/>
    <w:rPr>
      <w:rFonts w:ascii="Tahoma" w:hAnsi="Tahoma" w:cs="Tahoma"/>
      <w:sz w:val="16"/>
      <w:szCs w:val="16"/>
    </w:rPr>
  </w:style>
  <w:style w:type="paragraph" w:customStyle="1" w:styleId="FigureTitle">
    <w:name w:val="Figure Title"/>
    <w:basedOn w:val="Normal"/>
    <w:uiPriority w:val="99"/>
    <w:rsid w:val="00BE1FCB"/>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BE1FCB"/>
    <w:rPr>
      <w:color w:val="0000FF"/>
      <w:u w:val="single"/>
    </w:rPr>
  </w:style>
  <w:style w:type="paragraph" w:styleId="Revision">
    <w:name w:val="Revision"/>
    <w:hidden/>
    <w:uiPriority w:val="99"/>
    <w:semiHidden/>
    <w:rsid w:val="00BE1FCB"/>
    <w:pPr>
      <w:spacing w:after="0" w:line="240" w:lineRule="auto"/>
    </w:pPr>
    <w:rPr>
      <w:rFonts w:ascii="Franklin Gothic Book" w:hAnsi="Franklin Gothic Book"/>
      <w:sz w:val="24"/>
    </w:rPr>
  </w:style>
  <w:style w:type="character" w:styleId="UnresolvedMention">
    <w:name w:val="Unresolved Mention"/>
    <w:basedOn w:val="DefaultParagraphFont"/>
    <w:uiPriority w:val="99"/>
    <w:semiHidden/>
    <w:unhideWhenUsed/>
    <w:rsid w:val="00BE1FCB"/>
    <w:rPr>
      <w:color w:val="605E5C"/>
      <w:shd w:val="clear" w:color="auto" w:fill="E1DFDD"/>
    </w:rPr>
  </w:style>
  <w:style w:type="paragraph" w:styleId="NormalWeb">
    <w:name w:val="Normal (Web)"/>
    <w:basedOn w:val="Normal"/>
    <w:uiPriority w:val="99"/>
    <w:semiHidden/>
    <w:unhideWhenUsed/>
    <w:rsid w:val="00DA732E"/>
    <w:rPr>
      <w:rFonts w:ascii="Times New Roman" w:hAnsi="Times New Roman" w:cs="Times New Roman"/>
      <w:szCs w:val="24"/>
    </w:rPr>
  </w:style>
  <w:style w:type="character" w:styleId="FollowedHyperlink">
    <w:name w:val="FollowedHyperlink"/>
    <w:basedOn w:val="DefaultParagraphFont"/>
    <w:uiPriority w:val="99"/>
    <w:semiHidden/>
    <w:unhideWhenUsed/>
    <w:rsid w:val="00882F0C"/>
    <w:rPr>
      <w:color w:val="954F72" w:themeColor="followedHyperlink"/>
      <w:u w:val="single"/>
    </w:rPr>
  </w:style>
  <w:style w:type="paragraph" w:styleId="Bibliography">
    <w:name w:val="Bibliography"/>
    <w:basedOn w:val="Normal"/>
    <w:next w:val="Normal"/>
    <w:uiPriority w:val="37"/>
    <w:unhideWhenUsed/>
    <w:rsid w:val="009D7398"/>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9088">
      <w:bodyDiv w:val="1"/>
      <w:marLeft w:val="0"/>
      <w:marRight w:val="0"/>
      <w:marTop w:val="0"/>
      <w:marBottom w:val="0"/>
      <w:divBdr>
        <w:top w:val="none" w:sz="0" w:space="0" w:color="auto"/>
        <w:left w:val="none" w:sz="0" w:space="0" w:color="auto"/>
        <w:bottom w:val="none" w:sz="0" w:space="0" w:color="auto"/>
        <w:right w:val="none" w:sz="0" w:space="0" w:color="auto"/>
      </w:divBdr>
    </w:div>
    <w:div w:id="820119654">
      <w:bodyDiv w:val="1"/>
      <w:marLeft w:val="0"/>
      <w:marRight w:val="0"/>
      <w:marTop w:val="0"/>
      <w:marBottom w:val="0"/>
      <w:divBdr>
        <w:top w:val="none" w:sz="0" w:space="0" w:color="auto"/>
        <w:left w:val="none" w:sz="0" w:space="0" w:color="auto"/>
        <w:bottom w:val="none" w:sz="0" w:space="0" w:color="auto"/>
        <w:right w:val="none" w:sz="0" w:space="0" w:color="auto"/>
      </w:divBdr>
    </w:div>
    <w:div w:id="964581888">
      <w:bodyDiv w:val="1"/>
      <w:marLeft w:val="0"/>
      <w:marRight w:val="0"/>
      <w:marTop w:val="0"/>
      <w:marBottom w:val="0"/>
      <w:divBdr>
        <w:top w:val="none" w:sz="0" w:space="0" w:color="auto"/>
        <w:left w:val="none" w:sz="0" w:space="0" w:color="auto"/>
        <w:bottom w:val="none" w:sz="0" w:space="0" w:color="auto"/>
        <w:right w:val="none" w:sz="0" w:space="0" w:color="auto"/>
      </w:divBdr>
    </w:div>
    <w:div w:id="1123575947">
      <w:bodyDiv w:val="1"/>
      <w:marLeft w:val="0"/>
      <w:marRight w:val="0"/>
      <w:marTop w:val="0"/>
      <w:marBottom w:val="0"/>
      <w:divBdr>
        <w:top w:val="none" w:sz="0" w:space="0" w:color="auto"/>
        <w:left w:val="none" w:sz="0" w:space="0" w:color="auto"/>
        <w:bottom w:val="none" w:sz="0" w:space="0" w:color="auto"/>
        <w:right w:val="none" w:sz="0" w:space="0" w:color="auto"/>
      </w:divBdr>
    </w:div>
    <w:div w:id="1370033409">
      <w:bodyDiv w:val="1"/>
      <w:marLeft w:val="0"/>
      <w:marRight w:val="0"/>
      <w:marTop w:val="0"/>
      <w:marBottom w:val="0"/>
      <w:divBdr>
        <w:top w:val="none" w:sz="0" w:space="0" w:color="auto"/>
        <w:left w:val="none" w:sz="0" w:space="0" w:color="auto"/>
        <w:bottom w:val="none" w:sz="0" w:space="0" w:color="auto"/>
        <w:right w:val="none" w:sz="0" w:space="0" w:color="auto"/>
      </w:divBdr>
    </w:div>
    <w:div w:id="1514144080">
      <w:bodyDiv w:val="1"/>
      <w:marLeft w:val="0"/>
      <w:marRight w:val="0"/>
      <w:marTop w:val="0"/>
      <w:marBottom w:val="0"/>
      <w:divBdr>
        <w:top w:val="none" w:sz="0" w:space="0" w:color="auto"/>
        <w:left w:val="none" w:sz="0" w:space="0" w:color="auto"/>
        <w:bottom w:val="none" w:sz="0" w:space="0" w:color="auto"/>
        <w:right w:val="none" w:sz="0" w:space="0" w:color="auto"/>
      </w:divBdr>
    </w:div>
    <w:div w:id="1556356144">
      <w:bodyDiv w:val="1"/>
      <w:marLeft w:val="0"/>
      <w:marRight w:val="0"/>
      <w:marTop w:val="0"/>
      <w:marBottom w:val="0"/>
      <w:divBdr>
        <w:top w:val="none" w:sz="0" w:space="0" w:color="auto"/>
        <w:left w:val="none" w:sz="0" w:space="0" w:color="auto"/>
        <w:bottom w:val="none" w:sz="0" w:space="0" w:color="auto"/>
        <w:right w:val="none" w:sz="0" w:space="0" w:color="auto"/>
      </w:divBdr>
    </w:div>
    <w:div w:id="1686445798">
      <w:bodyDiv w:val="1"/>
      <w:marLeft w:val="0"/>
      <w:marRight w:val="0"/>
      <w:marTop w:val="0"/>
      <w:marBottom w:val="0"/>
      <w:divBdr>
        <w:top w:val="none" w:sz="0" w:space="0" w:color="auto"/>
        <w:left w:val="none" w:sz="0" w:space="0" w:color="auto"/>
        <w:bottom w:val="none" w:sz="0" w:space="0" w:color="auto"/>
        <w:right w:val="none" w:sz="0" w:space="0" w:color="auto"/>
      </w:divBdr>
    </w:div>
    <w:div w:id="1687516274">
      <w:bodyDiv w:val="1"/>
      <w:marLeft w:val="0"/>
      <w:marRight w:val="0"/>
      <w:marTop w:val="0"/>
      <w:marBottom w:val="0"/>
      <w:divBdr>
        <w:top w:val="none" w:sz="0" w:space="0" w:color="auto"/>
        <w:left w:val="none" w:sz="0" w:space="0" w:color="auto"/>
        <w:bottom w:val="none" w:sz="0" w:space="0" w:color="auto"/>
        <w:right w:val="none" w:sz="0" w:space="0" w:color="auto"/>
      </w:divBdr>
    </w:div>
    <w:div w:id="1900823478">
      <w:bodyDiv w:val="1"/>
      <w:marLeft w:val="0"/>
      <w:marRight w:val="0"/>
      <w:marTop w:val="0"/>
      <w:marBottom w:val="0"/>
      <w:divBdr>
        <w:top w:val="none" w:sz="0" w:space="0" w:color="auto"/>
        <w:left w:val="none" w:sz="0" w:space="0" w:color="auto"/>
        <w:bottom w:val="none" w:sz="0" w:space="0" w:color="auto"/>
        <w:right w:val="none" w:sz="0" w:space="0" w:color="auto"/>
      </w:divBdr>
    </w:div>
    <w:div w:id="1962878600">
      <w:bodyDiv w:val="1"/>
      <w:marLeft w:val="0"/>
      <w:marRight w:val="0"/>
      <w:marTop w:val="0"/>
      <w:marBottom w:val="0"/>
      <w:divBdr>
        <w:top w:val="none" w:sz="0" w:space="0" w:color="auto"/>
        <w:left w:val="none" w:sz="0" w:space="0" w:color="auto"/>
        <w:bottom w:val="none" w:sz="0" w:space="0" w:color="auto"/>
        <w:right w:val="none" w:sz="0" w:space="0" w:color="auto"/>
      </w:divBdr>
    </w:div>
    <w:div w:id="1964843101">
      <w:bodyDiv w:val="1"/>
      <w:marLeft w:val="0"/>
      <w:marRight w:val="0"/>
      <w:marTop w:val="0"/>
      <w:marBottom w:val="0"/>
      <w:divBdr>
        <w:top w:val="none" w:sz="0" w:space="0" w:color="auto"/>
        <w:left w:val="none" w:sz="0" w:space="0" w:color="auto"/>
        <w:bottom w:val="none" w:sz="0" w:space="0" w:color="auto"/>
        <w:right w:val="none" w:sz="0" w:space="0" w:color="auto"/>
      </w:divBdr>
    </w:div>
    <w:div w:id="1977907139">
      <w:bodyDiv w:val="1"/>
      <w:marLeft w:val="0"/>
      <w:marRight w:val="0"/>
      <w:marTop w:val="0"/>
      <w:marBottom w:val="0"/>
      <w:divBdr>
        <w:top w:val="none" w:sz="0" w:space="0" w:color="auto"/>
        <w:left w:val="none" w:sz="0" w:space="0" w:color="auto"/>
        <w:bottom w:val="none" w:sz="0" w:space="0" w:color="auto"/>
        <w:right w:val="none" w:sz="0" w:space="0" w:color="auto"/>
      </w:divBdr>
    </w:div>
    <w:div w:id="21327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Atanaska.Dineva@fda.hhs.gov" TargetMode="External"/><Relationship Id="rId4" Type="http://schemas.openxmlformats.org/officeDocument/2006/relationships/styles" Target="styles.xml"/><Relationship Id="rId9" Type="http://schemas.openxmlformats.org/officeDocument/2006/relationships/hyperlink" Target="mailto:Morgane.Bennett@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4866DAF0EF9469A813249208A0D91" ma:contentTypeVersion="6" ma:contentTypeDescription="Create a new document." ma:contentTypeScope="" ma:versionID="357ab4f1a5d31d925e20e9e9c09a2ddf">
  <xsd:schema xmlns:xsd="http://www.w3.org/2001/XMLSchema" xmlns:xs="http://www.w3.org/2001/XMLSchema" xmlns:p="http://schemas.microsoft.com/office/2006/metadata/properties" xmlns:ns2="93467b62-f8c7-420f-9496-48b86bd7de6d" xmlns:ns3="7f491547-27ec-49e7-9471-14e768d93a6b" targetNamespace="http://schemas.microsoft.com/office/2006/metadata/properties" ma:root="true" ma:fieldsID="9a73e1db899b08142690e28214894d65" ns2:_="" ns3:_="">
    <xsd:import namespace="93467b62-f8c7-420f-9496-48b86bd7de6d"/>
    <xsd:import namespace="7f491547-27ec-49e7-9471-14e768d93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67b62-f8c7-420f-9496-48b86bd7d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91547-27ec-49e7-9471-14e768d93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ACED-8F4F-482B-AD1C-7BC0B911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67b62-f8c7-420f-9496-48b86bd7de6d"/>
    <ds:schemaRef ds:uri="7f491547-27ec-49e7-9471-14e768d93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96BD6-CF38-401D-986A-C4A79C73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6371</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Mikus</dc:creator>
  <cp:keywords/>
  <dc:description/>
  <cp:lastModifiedBy>Ciccarone, Michael J. EOP/OMB</cp:lastModifiedBy>
  <cp:revision>3</cp:revision>
  <dcterms:created xsi:type="dcterms:W3CDTF">2022-07-08T14:42:00Z</dcterms:created>
  <dcterms:modified xsi:type="dcterms:W3CDTF">2022-07-08T14:43:00Z</dcterms:modified>
</cp:coreProperties>
</file>