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03EE" w14:textId="77777777" w:rsidR="0088391F" w:rsidRPr="00E5570A" w:rsidRDefault="0088391F" w:rsidP="00435A63">
      <w:pPr>
        <w:jc w:val="center"/>
        <w:rPr>
          <w:rFonts w:ascii="Times New Roman" w:hAnsi="Times New Roman"/>
          <w:sz w:val="24"/>
          <w:szCs w:val="24"/>
        </w:rPr>
      </w:pPr>
      <w:bookmarkStart w:id="0" w:name="_Hlk101722092"/>
      <w:r w:rsidRPr="00E5570A">
        <w:rPr>
          <w:rFonts w:ascii="Times New Roman" w:hAnsi="Times New Roman"/>
          <w:sz w:val="24"/>
          <w:szCs w:val="24"/>
        </w:rPr>
        <w:t>U.S. Food and Drug Administration</w:t>
      </w:r>
    </w:p>
    <w:p w14:paraId="2F4C8DF7" w14:textId="77777777" w:rsidR="0088391F" w:rsidRPr="00E5570A" w:rsidRDefault="0088391F" w:rsidP="00435A63">
      <w:pPr>
        <w:jc w:val="center"/>
        <w:rPr>
          <w:rFonts w:ascii="Times New Roman" w:hAnsi="Times New Roman"/>
          <w:sz w:val="24"/>
          <w:szCs w:val="24"/>
        </w:rPr>
      </w:pPr>
      <w:r w:rsidRPr="00E5570A">
        <w:rPr>
          <w:rFonts w:ascii="Times New Roman" w:hAnsi="Times New Roman"/>
          <w:sz w:val="24"/>
          <w:szCs w:val="24"/>
        </w:rPr>
        <w:t>Center for Tobacco Products</w:t>
      </w:r>
    </w:p>
    <w:bookmarkEnd w:id="0"/>
    <w:p w14:paraId="26EF01AB" w14:textId="77777777" w:rsidR="0088391F" w:rsidRPr="00E5570A" w:rsidRDefault="0088391F" w:rsidP="00D420E1">
      <w:pPr>
        <w:jc w:val="center"/>
        <w:rPr>
          <w:rFonts w:ascii="Times New Roman" w:hAnsi="Times New Roman"/>
          <w:sz w:val="24"/>
          <w:szCs w:val="24"/>
        </w:rPr>
      </w:pPr>
      <w:r w:rsidRPr="00E5570A">
        <w:rPr>
          <w:rFonts w:ascii="Times New Roman" w:hAnsi="Times New Roman"/>
          <w:sz w:val="24"/>
          <w:szCs w:val="24"/>
        </w:rPr>
        <w:t>Testing Message Evaluation Measures Using Youth-focused Vaping Prevention Messages</w:t>
      </w:r>
    </w:p>
    <w:p w14:paraId="4B8F4E57" w14:textId="77777777" w:rsidR="00435A63" w:rsidRPr="00E5570A" w:rsidRDefault="0088391F" w:rsidP="00E5570A">
      <w:pPr>
        <w:jc w:val="center"/>
        <w:rPr>
          <w:rFonts w:ascii="Times New Roman" w:hAnsi="Times New Roman"/>
          <w:sz w:val="24"/>
          <w:szCs w:val="24"/>
        </w:rPr>
      </w:pPr>
      <w:r w:rsidRPr="00E5570A">
        <w:rPr>
          <w:rFonts w:ascii="Times New Roman" w:hAnsi="Times New Roman"/>
          <w:sz w:val="24"/>
          <w:szCs w:val="24"/>
        </w:rPr>
        <w:t>OMB Control # 0910-0810</w:t>
      </w:r>
    </w:p>
    <w:p w14:paraId="755C55BD" w14:textId="032D4CC3" w:rsidR="00435A63" w:rsidRPr="009943A6" w:rsidRDefault="00435A63" w:rsidP="00435A63">
      <w:pPr>
        <w:autoSpaceDE/>
        <w:autoSpaceDN/>
        <w:adjustRightInd/>
        <w:spacing w:before="100" w:beforeAutospacing="1" w:after="100" w:afterAutospacing="1"/>
        <w:jc w:val="center"/>
        <w:outlineLvl w:val="0"/>
        <w:rPr>
          <w:rFonts w:ascii="Times New Roman" w:hAnsi="Times New Roman"/>
          <w:b/>
          <w:bCs/>
          <w:sz w:val="24"/>
          <w:szCs w:val="24"/>
        </w:rPr>
      </w:pPr>
      <w:r w:rsidRPr="00E5570A">
        <w:rPr>
          <w:rFonts w:ascii="Times New Roman" w:hAnsi="Times New Roman"/>
          <w:sz w:val="24"/>
          <w:szCs w:val="24"/>
        </w:rPr>
        <w:t>Supporting Statement: Part A</w:t>
      </w:r>
    </w:p>
    <w:p w14:paraId="722CED7C" w14:textId="77777777" w:rsidR="006967DB" w:rsidRPr="006967DB" w:rsidRDefault="006967DB" w:rsidP="00E5570A">
      <w:pPr>
        <w:jc w:val="center"/>
        <w:rPr>
          <w:rFonts w:ascii="Times New Roman" w:hAnsi="Times New Roman"/>
          <w:b/>
          <w:color w:val="000000"/>
          <w:sz w:val="16"/>
          <w:szCs w:val="16"/>
        </w:rPr>
      </w:pPr>
    </w:p>
    <w:p w14:paraId="409F942D" w14:textId="77777777" w:rsidR="006967DB" w:rsidRPr="006967DB" w:rsidRDefault="00875F3E" w:rsidP="006967DB">
      <w:pPr>
        <w:rPr>
          <w:rFonts w:ascii="Times New Roman" w:hAnsi="Times New Roman"/>
          <w:b/>
          <w:color w:val="000000"/>
          <w:sz w:val="28"/>
          <w:szCs w:val="28"/>
        </w:rPr>
      </w:pPr>
      <w:r>
        <w:rPr>
          <w:rFonts w:ascii="Times New Roman" w:hAnsi="Times New Roman"/>
          <w:b/>
          <w:color w:val="000000"/>
          <w:sz w:val="28"/>
          <w:szCs w:val="28"/>
        </w:rPr>
        <w:t>Supporting Statement: Summary</w:t>
      </w:r>
    </w:p>
    <w:p w14:paraId="45044C01" w14:textId="77777777" w:rsidR="006967DB" w:rsidRPr="006967DB" w:rsidRDefault="006967DB" w:rsidP="006967DB">
      <w:pPr>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81DB5" w:rsidRPr="002E3ECD" w14:paraId="387019A7" w14:textId="77777777" w:rsidTr="00A35EBF">
        <w:trPr>
          <w:trHeight w:val="4112"/>
        </w:trPr>
        <w:tc>
          <w:tcPr>
            <w:tcW w:w="9576" w:type="dxa"/>
            <w:shd w:val="clear" w:color="auto" w:fill="auto"/>
          </w:tcPr>
          <w:p w14:paraId="6135C95C" w14:textId="77777777" w:rsidR="0041232C" w:rsidRDefault="0041232C" w:rsidP="0041232C">
            <w:pPr>
              <w:pStyle w:val="ListParagraph"/>
              <w:numPr>
                <w:ilvl w:val="0"/>
                <w:numId w:val="29"/>
              </w:numPr>
              <w:rPr>
                <w:rFonts w:ascii="Times New Roman" w:hAnsi="Times New Roman"/>
              </w:rPr>
            </w:pPr>
            <w:r w:rsidRPr="00774C9B">
              <w:rPr>
                <w:rFonts w:ascii="Times New Roman" w:hAnsi="Times New Roman"/>
              </w:rPr>
              <w:t xml:space="preserve">This study will use an online survey to determine valid measures to use in evaluating </w:t>
            </w:r>
            <w:r>
              <w:rPr>
                <w:rFonts w:ascii="Times New Roman" w:hAnsi="Times New Roman"/>
              </w:rPr>
              <w:t xml:space="preserve">youth-targeted </w:t>
            </w:r>
            <w:r w:rsidRPr="00774C9B">
              <w:rPr>
                <w:rFonts w:ascii="Times New Roman" w:hAnsi="Times New Roman"/>
              </w:rPr>
              <w:t>anti-tobacco messaging. The results of this study can be used to inform the selection of optimal message evaluation</w:t>
            </w:r>
            <w:r>
              <w:rPr>
                <w:rFonts w:ascii="Times New Roman" w:hAnsi="Times New Roman"/>
              </w:rPr>
              <w:t xml:space="preserve"> </w:t>
            </w:r>
            <w:r w:rsidRPr="00FC3EB5">
              <w:rPr>
                <w:rFonts w:ascii="Times New Roman" w:hAnsi="Times New Roman"/>
              </w:rPr>
              <w:t>measures for evaluating the relative potential effectiveness of campaign messages</w:t>
            </w:r>
            <w:r>
              <w:rPr>
                <w:rFonts w:ascii="Times New Roman" w:hAnsi="Times New Roman"/>
              </w:rPr>
              <w:t xml:space="preserve"> prior to campaign launch</w:t>
            </w:r>
            <w:r w:rsidRPr="00FC3EB5">
              <w:rPr>
                <w:rFonts w:ascii="Times New Roman" w:hAnsi="Times New Roman"/>
              </w:rPr>
              <w:t>.</w:t>
            </w:r>
          </w:p>
          <w:p w14:paraId="677AB8BE" w14:textId="47FD7AB3" w:rsidR="0041232C" w:rsidRPr="00774C9B" w:rsidRDefault="0041232C" w:rsidP="0041232C">
            <w:pPr>
              <w:pStyle w:val="ListParagraph"/>
              <w:numPr>
                <w:ilvl w:val="0"/>
                <w:numId w:val="29"/>
              </w:numPr>
              <w:rPr>
                <w:rFonts w:ascii="Times New Roman" w:hAnsi="Times New Roman"/>
              </w:rPr>
            </w:pPr>
            <w:r w:rsidRPr="00774C9B">
              <w:rPr>
                <w:rFonts w:ascii="Times New Roman" w:hAnsi="Times New Roman"/>
              </w:rPr>
              <w:t xml:space="preserve">The study will be conducted using </w:t>
            </w:r>
            <w:r>
              <w:rPr>
                <w:rFonts w:ascii="Times New Roman" w:hAnsi="Times New Roman"/>
              </w:rPr>
              <w:t xml:space="preserve">a </w:t>
            </w:r>
            <w:r w:rsidRPr="00774C9B">
              <w:rPr>
                <w:rFonts w:ascii="Times New Roman" w:hAnsi="Times New Roman"/>
              </w:rPr>
              <w:t xml:space="preserve">web-based survey that </w:t>
            </w:r>
            <w:r>
              <w:rPr>
                <w:rFonts w:ascii="Times New Roman" w:hAnsi="Times New Roman"/>
              </w:rPr>
              <w:t>is</w:t>
            </w:r>
            <w:r w:rsidRPr="00774C9B">
              <w:rPr>
                <w:rFonts w:ascii="Times New Roman" w:hAnsi="Times New Roman"/>
              </w:rPr>
              <w:t xml:space="preserve"> self-administered </w:t>
            </w:r>
            <w:r>
              <w:rPr>
                <w:rFonts w:ascii="Times New Roman" w:hAnsi="Times New Roman"/>
              </w:rPr>
              <w:t>by</w:t>
            </w:r>
            <w:r w:rsidRPr="00774C9B">
              <w:rPr>
                <w:rFonts w:ascii="Times New Roman" w:hAnsi="Times New Roman"/>
              </w:rPr>
              <w:t xml:space="preserve"> </w:t>
            </w:r>
            <w:r>
              <w:rPr>
                <w:rFonts w:ascii="Times New Roman" w:hAnsi="Times New Roman"/>
              </w:rPr>
              <w:t xml:space="preserve">participants using their </w:t>
            </w:r>
            <w:r w:rsidRPr="00774C9B">
              <w:rPr>
                <w:rFonts w:ascii="Times New Roman" w:hAnsi="Times New Roman"/>
              </w:rPr>
              <w:t xml:space="preserve">personal computer. </w:t>
            </w:r>
            <w:r>
              <w:rPr>
                <w:rFonts w:ascii="Times New Roman" w:hAnsi="Times New Roman"/>
              </w:rPr>
              <w:t>Participants will consist of</w:t>
            </w:r>
            <w:r w:rsidRPr="00774C9B">
              <w:rPr>
                <w:rFonts w:ascii="Times New Roman" w:hAnsi="Times New Roman"/>
              </w:rPr>
              <w:t xml:space="preserve"> approximately 2,400 youth who are 13-17 years old, and who have experimented with vaping or who are at risk of vaping. The study will take approximately 15 minutes </w:t>
            </w:r>
            <w:r>
              <w:rPr>
                <w:rFonts w:ascii="Times New Roman" w:hAnsi="Times New Roman"/>
              </w:rPr>
              <w:t xml:space="preserve">for each participant </w:t>
            </w:r>
            <w:r w:rsidRPr="00774C9B">
              <w:rPr>
                <w:rFonts w:ascii="Times New Roman" w:hAnsi="Times New Roman"/>
              </w:rPr>
              <w:t xml:space="preserve">to complete.   </w:t>
            </w:r>
          </w:p>
          <w:p w14:paraId="6A0E478F" w14:textId="77777777" w:rsidR="0041232C" w:rsidRDefault="0041232C" w:rsidP="0041232C">
            <w:pPr>
              <w:pStyle w:val="ListParagraph"/>
              <w:numPr>
                <w:ilvl w:val="0"/>
                <w:numId w:val="29"/>
              </w:numPr>
              <w:rPr>
                <w:rFonts w:ascii="Times New Roman" w:hAnsi="Times New Roman"/>
              </w:rPr>
            </w:pPr>
            <w:r w:rsidRPr="00774C9B">
              <w:rPr>
                <w:rFonts w:ascii="Times New Roman" w:hAnsi="Times New Roman"/>
              </w:rPr>
              <w:t>Respondents will answer questions about tobacco use, watch four 15-</w:t>
            </w:r>
            <w:r>
              <w:rPr>
                <w:rFonts w:ascii="Times New Roman" w:hAnsi="Times New Roman"/>
              </w:rPr>
              <w:t xml:space="preserve"> or </w:t>
            </w:r>
            <w:r w:rsidRPr="00774C9B">
              <w:rPr>
                <w:rFonts w:ascii="Times New Roman" w:hAnsi="Times New Roman"/>
              </w:rPr>
              <w:t>30</w:t>
            </w:r>
            <w:r>
              <w:rPr>
                <w:rFonts w:ascii="Times New Roman" w:hAnsi="Times New Roman"/>
              </w:rPr>
              <w:t>-</w:t>
            </w:r>
            <w:r w:rsidRPr="00774C9B">
              <w:rPr>
                <w:rFonts w:ascii="Times New Roman" w:hAnsi="Times New Roman"/>
              </w:rPr>
              <w:t xml:space="preserve">second anti-tobacco videos, and answer questions about their beliefs, behavioral intentions, and reactions to the messages. </w:t>
            </w:r>
            <w:r>
              <w:rPr>
                <w:rFonts w:ascii="Times New Roman" w:hAnsi="Times New Roman"/>
              </w:rPr>
              <w:t>Survey</w:t>
            </w:r>
            <w:r w:rsidRPr="00B31C88">
              <w:rPr>
                <w:rFonts w:ascii="Times New Roman" w:hAnsi="Times New Roman"/>
              </w:rPr>
              <w:t xml:space="preserve"> questions</w:t>
            </w:r>
            <w:r>
              <w:rPr>
                <w:rFonts w:ascii="Times New Roman" w:hAnsi="Times New Roman"/>
              </w:rPr>
              <w:t xml:space="preserve"> will</w:t>
            </w:r>
            <w:r w:rsidRPr="00B31C88">
              <w:rPr>
                <w:rFonts w:ascii="Times New Roman" w:hAnsi="Times New Roman"/>
              </w:rPr>
              <w:t xml:space="preserve"> </w:t>
            </w:r>
            <w:r>
              <w:rPr>
                <w:rFonts w:ascii="Times New Roman" w:hAnsi="Times New Roman"/>
              </w:rPr>
              <w:t xml:space="preserve">also </w:t>
            </w:r>
            <w:r w:rsidRPr="00B31C88">
              <w:rPr>
                <w:rFonts w:ascii="Times New Roman" w:hAnsi="Times New Roman"/>
              </w:rPr>
              <w:t>collect information about respondents’ demographics.</w:t>
            </w:r>
          </w:p>
          <w:p w14:paraId="40452A2F" w14:textId="73D481FF" w:rsidR="006967DB" w:rsidRPr="008A44AE" w:rsidRDefault="0041232C" w:rsidP="00A35EBF">
            <w:pPr>
              <w:pStyle w:val="ListParagraph"/>
              <w:numPr>
                <w:ilvl w:val="0"/>
                <w:numId w:val="29"/>
              </w:numPr>
              <w:rPr>
                <w:rFonts w:ascii="Times New Roman" w:hAnsi="Times New Roman"/>
              </w:rPr>
            </w:pPr>
            <w:r w:rsidRPr="00B31C88">
              <w:rPr>
                <w:rFonts w:ascii="Times New Roman" w:hAnsi="Times New Roman"/>
              </w:rPr>
              <w:t xml:space="preserve">The resulting data will be analyzed using </w:t>
            </w:r>
            <w:r>
              <w:rPr>
                <w:rFonts w:ascii="Times New Roman" w:hAnsi="Times New Roman"/>
              </w:rPr>
              <w:t>descriptive and inferential statistics to describe the sample and answer the study research questions</w:t>
            </w:r>
            <w:r w:rsidRPr="00B31C88">
              <w:rPr>
                <w:rFonts w:ascii="Times New Roman" w:hAnsi="Times New Roman"/>
              </w:rPr>
              <w:t xml:space="preserve">. </w:t>
            </w:r>
          </w:p>
        </w:tc>
      </w:tr>
    </w:tbl>
    <w:p w14:paraId="3F94E792" w14:textId="77777777" w:rsidR="006967DB" w:rsidRPr="006967DB" w:rsidRDefault="006967DB" w:rsidP="006967DB">
      <w:pPr>
        <w:rPr>
          <w:rFonts w:ascii="Times New Roman" w:hAnsi="Times New Roman"/>
          <w:b/>
          <w:color w:val="000000"/>
        </w:rPr>
      </w:pPr>
    </w:p>
    <w:p w14:paraId="4E84A5F4" w14:textId="77777777" w:rsidR="006967DB" w:rsidRDefault="006967DB" w:rsidP="006967DB">
      <w:pPr>
        <w:rPr>
          <w:rFonts w:ascii="Times New Roman" w:hAnsi="Times New Roman"/>
          <w:b/>
          <w:color w:val="000000"/>
          <w:sz w:val="22"/>
          <w:u w:val="single"/>
        </w:rPr>
      </w:pPr>
    </w:p>
    <w:p w14:paraId="51DF5A48" w14:textId="77777777" w:rsidR="006967DB" w:rsidRDefault="006967DB" w:rsidP="006967DB">
      <w:pPr>
        <w:rPr>
          <w:rFonts w:ascii="Times New Roman" w:hAnsi="Times New Roman"/>
          <w:b/>
          <w:color w:val="000000"/>
          <w:sz w:val="22"/>
          <w:u w:val="single"/>
        </w:rPr>
      </w:pPr>
      <w:r w:rsidRPr="006967DB">
        <w:rPr>
          <w:rFonts w:ascii="Times New Roman" w:hAnsi="Times New Roman"/>
          <w:b/>
          <w:color w:val="000000"/>
          <w:sz w:val="22"/>
          <w:u w:val="single"/>
        </w:rPr>
        <w:t xml:space="preserve">Consent Forms </w:t>
      </w:r>
    </w:p>
    <w:p w14:paraId="0097516E" w14:textId="77777777" w:rsidR="006967DB" w:rsidRPr="006967DB" w:rsidRDefault="006967DB" w:rsidP="006967DB">
      <w:pPr>
        <w:spacing w:line="276" w:lineRule="auto"/>
        <w:rPr>
          <w:rFonts w:ascii="Times New Roman" w:hAnsi="Times New Roman"/>
          <w:b/>
          <w:color w:val="000000"/>
          <w:sz w:val="22"/>
        </w:rPr>
      </w:pPr>
    </w:p>
    <w:p w14:paraId="481B9133" w14:textId="2C3AF451" w:rsidR="006967DB" w:rsidRPr="00A35EBF" w:rsidRDefault="00774C9B" w:rsidP="006967DB">
      <w:pPr>
        <w:pStyle w:val="ListParagraph"/>
        <w:numPr>
          <w:ilvl w:val="0"/>
          <w:numId w:val="30"/>
        </w:numPr>
        <w:spacing w:after="0"/>
        <w:rPr>
          <w:rFonts w:ascii="Times New Roman" w:hAnsi="Times New Roman"/>
          <w:color w:val="000000"/>
        </w:rPr>
      </w:pPr>
      <w:r w:rsidRPr="00A35EBF">
        <w:rPr>
          <w:rFonts w:ascii="Times New Roman" w:hAnsi="Times New Roman"/>
          <w:color w:val="000000"/>
        </w:rPr>
        <w:t xml:space="preserve">Appendix </w:t>
      </w:r>
      <w:r w:rsidR="00100C3C">
        <w:rPr>
          <w:rFonts w:ascii="Times New Roman" w:hAnsi="Times New Roman"/>
          <w:color w:val="000000"/>
        </w:rPr>
        <w:t>A</w:t>
      </w:r>
      <w:r w:rsidR="006967DB" w:rsidRPr="00A35EBF">
        <w:rPr>
          <w:rFonts w:ascii="Times New Roman" w:hAnsi="Times New Roman"/>
          <w:color w:val="000000"/>
        </w:rPr>
        <w:t>: Parent Permission Form</w:t>
      </w:r>
    </w:p>
    <w:p w14:paraId="649E19C2" w14:textId="6CBB8D42" w:rsidR="006967DB" w:rsidRPr="00A35EBF" w:rsidRDefault="00774C9B" w:rsidP="006967DB">
      <w:pPr>
        <w:pStyle w:val="ListParagraph"/>
        <w:numPr>
          <w:ilvl w:val="0"/>
          <w:numId w:val="30"/>
        </w:numPr>
        <w:spacing w:after="0"/>
        <w:rPr>
          <w:rFonts w:ascii="Times New Roman" w:hAnsi="Times New Roman"/>
          <w:color w:val="000000"/>
        </w:rPr>
      </w:pPr>
      <w:r w:rsidRPr="00A35EBF">
        <w:rPr>
          <w:rFonts w:ascii="Times New Roman" w:hAnsi="Times New Roman"/>
          <w:color w:val="000000"/>
        </w:rPr>
        <w:t xml:space="preserve">Appendix </w:t>
      </w:r>
      <w:r w:rsidR="00100C3C">
        <w:rPr>
          <w:rFonts w:ascii="Times New Roman" w:hAnsi="Times New Roman"/>
          <w:color w:val="000000"/>
        </w:rPr>
        <w:t>B</w:t>
      </w:r>
      <w:r w:rsidR="006967DB" w:rsidRPr="00A35EBF">
        <w:rPr>
          <w:rFonts w:ascii="Times New Roman" w:hAnsi="Times New Roman"/>
          <w:color w:val="000000"/>
        </w:rPr>
        <w:t>: Youth Assent Form</w:t>
      </w:r>
    </w:p>
    <w:p w14:paraId="204F10AE" w14:textId="77777777" w:rsidR="006967DB" w:rsidRPr="00A35EBF" w:rsidRDefault="006967DB" w:rsidP="006967DB">
      <w:pPr>
        <w:rPr>
          <w:rFonts w:ascii="Times New Roman" w:hAnsi="Times New Roman"/>
          <w:b/>
          <w:color w:val="000000"/>
        </w:rPr>
      </w:pPr>
    </w:p>
    <w:p w14:paraId="143F9797" w14:textId="77777777" w:rsidR="006967DB" w:rsidRPr="00A35EBF" w:rsidRDefault="006967DB" w:rsidP="006967DB">
      <w:pPr>
        <w:rPr>
          <w:rFonts w:ascii="Times New Roman" w:hAnsi="Times New Roman"/>
          <w:b/>
          <w:color w:val="000000"/>
          <w:sz w:val="22"/>
          <w:u w:val="single"/>
        </w:rPr>
      </w:pPr>
    </w:p>
    <w:p w14:paraId="66A72E0E" w14:textId="77777777" w:rsidR="006967DB" w:rsidRPr="00A35EBF" w:rsidRDefault="006967DB" w:rsidP="006967DB">
      <w:pPr>
        <w:rPr>
          <w:rFonts w:ascii="Times New Roman" w:hAnsi="Times New Roman"/>
          <w:b/>
          <w:color w:val="000000"/>
          <w:sz w:val="22"/>
          <w:u w:val="single"/>
        </w:rPr>
      </w:pPr>
      <w:r w:rsidRPr="00A35EBF">
        <w:rPr>
          <w:rFonts w:ascii="Times New Roman" w:hAnsi="Times New Roman"/>
          <w:b/>
          <w:color w:val="000000"/>
          <w:sz w:val="22"/>
          <w:u w:val="single"/>
        </w:rPr>
        <w:t>Data Collection Instruments</w:t>
      </w:r>
    </w:p>
    <w:p w14:paraId="369EC3C0" w14:textId="77777777" w:rsidR="006967DB" w:rsidRPr="00A35EBF" w:rsidRDefault="006967DB" w:rsidP="006967DB">
      <w:pPr>
        <w:spacing w:line="276" w:lineRule="auto"/>
        <w:rPr>
          <w:rFonts w:ascii="Times New Roman" w:hAnsi="Times New Roman"/>
          <w:color w:val="000000"/>
          <w:sz w:val="22"/>
          <w:u w:val="single"/>
        </w:rPr>
      </w:pPr>
    </w:p>
    <w:p w14:paraId="03C86F7A" w14:textId="722701E7" w:rsidR="006967DB" w:rsidRPr="00A35EBF" w:rsidRDefault="00774C9B" w:rsidP="006967DB">
      <w:pPr>
        <w:pStyle w:val="ListParagraph"/>
        <w:numPr>
          <w:ilvl w:val="0"/>
          <w:numId w:val="28"/>
        </w:numPr>
        <w:spacing w:after="0"/>
        <w:ind w:left="720"/>
        <w:rPr>
          <w:rFonts w:ascii="Times New Roman" w:hAnsi="Times New Roman"/>
          <w:color w:val="000000"/>
        </w:rPr>
      </w:pPr>
      <w:r w:rsidRPr="00A35EBF">
        <w:rPr>
          <w:rFonts w:ascii="Times New Roman" w:hAnsi="Times New Roman"/>
          <w:color w:val="000000"/>
        </w:rPr>
        <w:t xml:space="preserve">Appendix </w:t>
      </w:r>
      <w:r w:rsidR="00100C3C">
        <w:rPr>
          <w:rFonts w:ascii="Times New Roman" w:hAnsi="Times New Roman"/>
          <w:color w:val="000000"/>
        </w:rPr>
        <w:t>C</w:t>
      </w:r>
      <w:r w:rsidR="006967DB" w:rsidRPr="00A35EBF">
        <w:rPr>
          <w:rFonts w:ascii="Times New Roman" w:hAnsi="Times New Roman"/>
          <w:color w:val="000000"/>
        </w:rPr>
        <w:t xml:space="preserve">: </w:t>
      </w:r>
      <w:r w:rsidR="00BD2636" w:rsidRPr="00A35EBF">
        <w:rPr>
          <w:rFonts w:ascii="Times New Roman" w:hAnsi="Times New Roman"/>
          <w:color w:val="000000"/>
        </w:rPr>
        <w:t xml:space="preserve">Study </w:t>
      </w:r>
      <w:r w:rsidR="006967DB" w:rsidRPr="00A35EBF">
        <w:rPr>
          <w:rFonts w:ascii="Times New Roman" w:hAnsi="Times New Roman"/>
          <w:color w:val="000000"/>
        </w:rPr>
        <w:t>Screener</w:t>
      </w:r>
      <w:r w:rsidR="00BD2636" w:rsidRPr="00A35EBF">
        <w:rPr>
          <w:rFonts w:ascii="Times New Roman" w:hAnsi="Times New Roman"/>
          <w:color w:val="000000"/>
        </w:rPr>
        <w:t xml:space="preserve"> and Survey Instrument</w:t>
      </w:r>
    </w:p>
    <w:p w14:paraId="1EE0C14A" w14:textId="07592934" w:rsidR="006967DB" w:rsidRPr="006967DB" w:rsidRDefault="006967DB" w:rsidP="006967DB">
      <w:pPr>
        <w:pStyle w:val="ListParagraph"/>
        <w:rPr>
          <w:color w:val="000000"/>
        </w:rPr>
      </w:pPr>
    </w:p>
    <w:p w14:paraId="2F63F4EC" w14:textId="77777777" w:rsidR="006967DB" w:rsidRDefault="006967DB" w:rsidP="009943A6">
      <w:pPr>
        <w:autoSpaceDE/>
        <w:autoSpaceDN/>
        <w:adjustRightInd/>
        <w:spacing w:before="100" w:beforeAutospacing="1" w:after="100" w:afterAutospacing="1"/>
        <w:jc w:val="center"/>
        <w:outlineLvl w:val="0"/>
        <w:rPr>
          <w:rFonts w:ascii="Times New Roman" w:hAnsi="Times New Roman"/>
          <w:b/>
          <w:sz w:val="24"/>
          <w:szCs w:val="24"/>
        </w:rPr>
      </w:pPr>
    </w:p>
    <w:p w14:paraId="28B7CEB0" w14:textId="77777777" w:rsidR="006967DB" w:rsidRDefault="006967DB" w:rsidP="006967DB">
      <w:pPr>
        <w:autoSpaceDE/>
        <w:autoSpaceDN/>
        <w:adjustRightInd/>
        <w:spacing w:before="100" w:beforeAutospacing="1" w:after="100" w:afterAutospacing="1"/>
        <w:outlineLvl w:val="0"/>
        <w:rPr>
          <w:rFonts w:ascii="Times New Roman" w:hAnsi="Times New Roman"/>
          <w:b/>
          <w:sz w:val="24"/>
          <w:szCs w:val="24"/>
        </w:rPr>
      </w:pPr>
    </w:p>
    <w:p w14:paraId="4608117E" w14:textId="77777777" w:rsidR="00435A63" w:rsidRDefault="006967DB" w:rsidP="006967DB">
      <w:pPr>
        <w:autoSpaceDE/>
        <w:autoSpaceDN/>
        <w:adjustRightInd/>
        <w:spacing w:before="100" w:beforeAutospacing="1" w:after="100" w:afterAutospacing="1"/>
        <w:jc w:val="center"/>
        <w:outlineLvl w:val="0"/>
        <w:rPr>
          <w:rFonts w:ascii="Times New Roman" w:hAnsi="Times New Roman"/>
          <w:b/>
          <w:sz w:val="22"/>
        </w:rPr>
      </w:pPr>
      <w:r>
        <w:rPr>
          <w:rFonts w:ascii="Times New Roman" w:hAnsi="Times New Roman"/>
          <w:b/>
          <w:sz w:val="22"/>
        </w:rPr>
        <w:br w:type="page"/>
      </w:r>
    </w:p>
    <w:p w14:paraId="535B60A4" w14:textId="77777777" w:rsidR="00435A63" w:rsidRPr="00E5570A" w:rsidRDefault="00435A63" w:rsidP="00E5570A">
      <w:pPr>
        <w:jc w:val="center"/>
        <w:rPr>
          <w:rFonts w:ascii="Times New Roman" w:hAnsi="Times New Roman"/>
          <w:sz w:val="24"/>
          <w:szCs w:val="24"/>
        </w:rPr>
      </w:pPr>
      <w:r w:rsidRPr="00E5570A">
        <w:rPr>
          <w:rFonts w:ascii="Times New Roman" w:hAnsi="Times New Roman"/>
          <w:sz w:val="24"/>
          <w:szCs w:val="24"/>
        </w:rPr>
        <w:lastRenderedPageBreak/>
        <w:t>U.S. Food and Drug Administration</w:t>
      </w:r>
    </w:p>
    <w:p w14:paraId="29C0F5BC" w14:textId="73974CAA" w:rsidR="00435A63" w:rsidRPr="00E5570A" w:rsidRDefault="00435A63" w:rsidP="00E5570A">
      <w:pPr>
        <w:jc w:val="center"/>
        <w:rPr>
          <w:rFonts w:ascii="Times New Roman" w:hAnsi="Times New Roman"/>
          <w:sz w:val="24"/>
          <w:szCs w:val="24"/>
        </w:rPr>
      </w:pPr>
      <w:r w:rsidRPr="00E5570A">
        <w:rPr>
          <w:rFonts w:ascii="Times New Roman" w:hAnsi="Times New Roman"/>
          <w:sz w:val="24"/>
          <w:szCs w:val="24"/>
        </w:rPr>
        <w:t>Center for Tobacco Products</w:t>
      </w:r>
    </w:p>
    <w:p w14:paraId="2E80FE52" w14:textId="54E329A1" w:rsidR="006967DB" w:rsidRPr="00E5570A" w:rsidRDefault="00793D05" w:rsidP="00E5570A">
      <w:pPr>
        <w:jc w:val="center"/>
        <w:rPr>
          <w:rFonts w:ascii="Times New Roman" w:hAnsi="Times New Roman"/>
          <w:sz w:val="24"/>
          <w:szCs w:val="24"/>
        </w:rPr>
      </w:pPr>
      <w:r w:rsidRPr="00E5570A">
        <w:rPr>
          <w:rFonts w:ascii="Times New Roman" w:hAnsi="Times New Roman"/>
          <w:sz w:val="24"/>
          <w:szCs w:val="24"/>
        </w:rPr>
        <w:t>Testing Message Evaluation Measures Using Youth-focused Vaping Prevention Messages</w:t>
      </w:r>
    </w:p>
    <w:p w14:paraId="25A9551A" w14:textId="77777777" w:rsidR="00457B64" w:rsidRPr="00E5570A" w:rsidRDefault="00457B64" w:rsidP="00E5570A">
      <w:pPr>
        <w:jc w:val="center"/>
        <w:rPr>
          <w:rFonts w:ascii="Times New Roman" w:hAnsi="Times New Roman"/>
          <w:sz w:val="24"/>
          <w:szCs w:val="24"/>
        </w:rPr>
      </w:pPr>
      <w:r w:rsidRPr="00E5570A">
        <w:rPr>
          <w:rFonts w:ascii="Times New Roman" w:hAnsi="Times New Roman"/>
          <w:sz w:val="24"/>
          <w:szCs w:val="24"/>
        </w:rPr>
        <w:t>09</w:t>
      </w:r>
      <w:r w:rsidR="0002650D" w:rsidRPr="00E5570A">
        <w:rPr>
          <w:rFonts w:ascii="Times New Roman" w:hAnsi="Times New Roman"/>
          <w:sz w:val="24"/>
          <w:szCs w:val="24"/>
        </w:rPr>
        <w:t>10</w:t>
      </w:r>
      <w:r w:rsidR="00F22E2B" w:rsidRPr="00E5570A">
        <w:rPr>
          <w:rFonts w:ascii="Times New Roman" w:hAnsi="Times New Roman"/>
          <w:sz w:val="24"/>
          <w:szCs w:val="24"/>
        </w:rPr>
        <w:t>-08</w:t>
      </w:r>
      <w:r w:rsidR="00892B58" w:rsidRPr="00E5570A">
        <w:rPr>
          <w:rFonts w:ascii="Times New Roman" w:hAnsi="Times New Roman"/>
          <w:sz w:val="24"/>
          <w:szCs w:val="24"/>
        </w:rPr>
        <w:t>10</w:t>
      </w:r>
    </w:p>
    <w:p w14:paraId="6796033D" w14:textId="70A7805E" w:rsidR="00293C23" w:rsidRDefault="009943A6" w:rsidP="00435A63">
      <w:pPr>
        <w:jc w:val="center"/>
        <w:rPr>
          <w:rFonts w:ascii="Times New Roman" w:hAnsi="Times New Roman"/>
          <w:sz w:val="24"/>
          <w:szCs w:val="24"/>
        </w:rPr>
      </w:pPr>
      <w:bookmarkStart w:id="1" w:name="_Hlk101721942"/>
      <w:r w:rsidRPr="00E5570A">
        <w:rPr>
          <w:rFonts w:ascii="Times New Roman" w:hAnsi="Times New Roman"/>
          <w:sz w:val="24"/>
          <w:szCs w:val="24"/>
        </w:rPr>
        <w:t>Supporting Statement</w:t>
      </w:r>
      <w:r w:rsidR="00875F3E" w:rsidRPr="00E5570A">
        <w:rPr>
          <w:rFonts w:ascii="Times New Roman" w:hAnsi="Times New Roman"/>
          <w:sz w:val="24"/>
          <w:szCs w:val="24"/>
        </w:rPr>
        <w:t>: Part A</w:t>
      </w:r>
    </w:p>
    <w:p w14:paraId="64F4880A" w14:textId="77777777" w:rsidR="00435A63" w:rsidRPr="00E5570A" w:rsidRDefault="00435A63" w:rsidP="00E5570A">
      <w:pPr>
        <w:jc w:val="center"/>
        <w:rPr>
          <w:rFonts w:ascii="Times New Roman" w:hAnsi="Times New Roman"/>
          <w:sz w:val="24"/>
          <w:szCs w:val="24"/>
        </w:rPr>
      </w:pPr>
    </w:p>
    <w:p w14:paraId="01073C44" w14:textId="77777777" w:rsidR="005C0FF9" w:rsidRPr="002051D8" w:rsidRDefault="005C0FF9" w:rsidP="00EB43D0">
      <w:pPr>
        <w:numPr>
          <w:ilvl w:val="12"/>
          <w:numId w:val="0"/>
        </w:numPr>
        <w:outlineLvl w:val="1"/>
        <w:rPr>
          <w:rFonts w:ascii="Times New Roman" w:hAnsi="Times New Roman"/>
          <w:b/>
          <w:bCs/>
          <w:sz w:val="24"/>
          <w:szCs w:val="24"/>
        </w:rPr>
      </w:pPr>
      <w:bookmarkStart w:id="2" w:name="_Toc239649220"/>
      <w:bookmarkEnd w:id="1"/>
      <w:r w:rsidRPr="002051D8">
        <w:rPr>
          <w:rFonts w:ascii="Times New Roman" w:hAnsi="Times New Roman"/>
          <w:b/>
          <w:bCs/>
          <w:sz w:val="24"/>
          <w:szCs w:val="24"/>
        </w:rPr>
        <w:t>A.  JUSTIFICATION</w:t>
      </w:r>
      <w:bookmarkEnd w:id="2"/>
    </w:p>
    <w:p w14:paraId="0D9FAEE9" w14:textId="77777777" w:rsidR="005C0FF9" w:rsidRPr="002051D8" w:rsidRDefault="005C0FF9" w:rsidP="00EB43D0">
      <w:pPr>
        <w:numPr>
          <w:ilvl w:val="12"/>
          <w:numId w:val="0"/>
        </w:numPr>
        <w:rPr>
          <w:rFonts w:ascii="Times New Roman" w:hAnsi="Times New Roman"/>
          <w:b/>
          <w:bCs/>
          <w:sz w:val="24"/>
          <w:szCs w:val="24"/>
        </w:rPr>
      </w:pPr>
    </w:p>
    <w:p w14:paraId="4205C895" w14:textId="77777777" w:rsidR="005C0FF9" w:rsidRPr="002051D8" w:rsidRDefault="005C0FF9" w:rsidP="00EB43D0">
      <w:pPr>
        <w:numPr>
          <w:ilvl w:val="12"/>
          <w:numId w:val="0"/>
        </w:numPr>
        <w:outlineLvl w:val="2"/>
        <w:rPr>
          <w:rFonts w:ascii="Times New Roman" w:hAnsi="Times New Roman"/>
          <w:b/>
          <w:bCs/>
          <w:sz w:val="24"/>
          <w:szCs w:val="24"/>
          <w:u w:val="single"/>
        </w:rPr>
      </w:pPr>
      <w:bookmarkStart w:id="3" w:name="_Toc239649221"/>
      <w:r w:rsidRPr="002051D8">
        <w:rPr>
          <w:rFonts w:ascii="Times New Roman" w:hAnsi="Times New Roman"/>
          <w:b/>
          <w:bCs/>
          <w:sz w:val="24"/>
          <w:szCs w:val="24"/>
        </w:rPr>
        <w:t xml:space="preserve">1.  </w:t>
      </w:r>
      <w:r w:rsidRPr="002051D8">
        <w:rPr>
          <w:rFonts w:ascii="Times New Roman" w:hAnsi="Times New Roman"/>
          <w:b/>
          <w:bCs/>
          <w:sz w:val="24"/>
          <w:szCs w:val="24"/>
          <w:u w:val="single"/>
        </w:rPr>
        <w:t>Circumstances Making the Collection of Information Necessary</w:t>
      </w:r>
      <w:bookmarkEnd w:id="3"/>
    </w:p>
    <w:p w14:paraId="72ECDA59" w14:textId="77777777" w:rsidR="005C0FF9" w:rsidRPr="002051D8" w:rsidRDefault="005C0FF9" w:rsidP="00EB43D0">
      <w:pPr>
        <w:numPr>
          <w:ilvl w:val="12"/>
          <w:numId w:val="0"/>
        </w:numPr>
        <w:rPr>
          <w:rFonts w:ascii="Times New Roman" w:hAnsi="Times New Roman"/>
          <w:sz w:val="24"/>
          <w:szCs w:val="24"/>
        </w:rPr>
      </w:pPr>
    </w:p>
    <w:p w14:paraId="0381852B" w14:textId="1D6E63A1" w:rsidR="002E3ECD" w:rsidRPr="002E3ECD" w:rsidRDefault="002E3ECD" w:rsidP="00517ED0">
      <w:pPr>
        <w:ind w:firstLine="720"/>
        <w:rPr>
          <w:rFonts w:ascii="Times New Roman" w:hAnsi="Times New Roman"/>
          <w:sz w:val="24"/>
          <w:szCs w:val="24"/>
        </w:rPr>
      </w:pPr>
      <w:r w:rsidRPr="002E3ECD">
        <w:rPr>
          <w:rFonts w:ascii="Times New Roman" w:hAnsi="Times New Roman"/>
          <w:sz w:val="24"/>
          <w:szCs w:val="24"/>
        </w:rPr>
        <w:t xml:space="preserve">FDA </w:t>
      </w:r>
      <w:r w:rsidR="001B6864">
        <w:rPr>
          <w:rFonts w:ascii="Times New Roman" w:hAnsi="Times New Roman"/>
          <w:sz w:val="24"/>
          <w:szCs w:val="24"/>
        </w:rPr>
        <w:t xml:space="preserve">develops and </w:t>
      </w:r>
      <w:r w:rsidRPr="002E3ECD">
        <w:rPr>
          <w:rFonts w:ascii="Times New Roman" w:hAnsi="Times New Roman"/>
          <w:sz w:val="24"/>
          <w:szCs w:val="24"/>
        </w:rPr>
        <w:t>implement</w:t>
      </w:r>
      <w:r w:rsidR="001B6864">
        <w:rPr>
          <w:rFonts w:ascii="Times New Roman" w:hAnsi="Times New Roman"/>
          <w:sz w:val="24"/>
          <w:szCs w:val="24"/>
        </w:rPr>
        <w:t>s</w:t>
      </w:r>
      <w:r w:rsidRPr="002E3ECD">
        <w:rPr>
          <w:rFonts w:ascii="Times New Roman" w:hAnsi="Times New Roman"/>
          <w:sz w:val="24"/>
          <w:szCs w:val="24"/>
        </w:rPr>
        <w:t xml:space="preserve"> multi-strategy youth-targeted public education campaigns to reduce the public health burden of tobacco that will consist of general market paid media campaigns, geo-targeted campaigns to reach specific target audiences, community outreach activities, and a comprehensive social media effort.</w:t>
      </w:r>
    </w:p>
    <w:p w14:paraId="20200942" w14:textId="77777777" w:rsidR="00793D05" w:rsidRDefault="00793D05" w:rsidP="00335EA2">
      <w:pPr>
        <w:numPr>
          <w:ilvl w:val="12"/>
          <w:numId w:val="0"/>
        </w:numPr>
        <w:rPr>
          <w:rFonts w:ascii="Times New Roman" w:hAnsi="Times New Roman"/>
          <w:sz w:val="24"/>
          <w:szCs w:val="24"/>
        </w:rPr>
      </w:pPr>
    </w:p>
    <w:p w14:paraId="6CF2D67B" w14:textId="73D15C3C" w:rsidR="00793D05" w:rsidRPr="001B6864" w:rsidRDefault="00CC382B" w:rsidP="00517ED0">
      <w:pPr>
        <w:ind w:firstLine="720"/>
        <w:rPr>
          <w:rFonts w:ascii="Times New Roman" w:hAnsi="Times New Roman"/>
          <w:bCs/>
          <w:sz w:val="24"/>
          <w:szCs w:val="24"/>
        </w:rPr>
      </w:pPr>
      <w:r w:rsidRPr="001B6864">
        <w:rPr>
          <w:rFonts w:ascii="Times New Roman" w:hAnsi="Times New Roman"/>
          <w:sz w:val="24"/>
          <w:szCs w:val="24"/>
        </w:rPr>
        <w:t xml:space="preserve">To inform these efforts, </w:t>
      </w:r>
      <w:r w:rsidR="00793D05" w:rsidRPr="001B6864">
        <w:rPr>
          <w:rFonts w:ascii="Times New Roman" w:hAnsi="Times New Roman"/>
          <w:sz w:val="24"/>
          <w:szCs w:val="24"/>
        </w:rPr>
        <w:t xml:space="preserve">CTP </w:t>
      </w:r>
      <w:r w:rsidR="009A5AA4" w:rsidRPr="001B6864">
        <w:rPr>
          <w:rFonts w:ascii="Times New Roman" w:hAnsi="Times New Roman"/>
          <w:sz w:val="24"/>
          <w:szCs w:val="24"/>
        </w:rPr>
        <w:t>is interested in identifying</w:t>
      </w:r>
      <w:r w:rsidR="00793D05" w:rsidRPr="001B6864">
        <w:rPr>
          <w:rFonts w:ascii="Times New Roman" w:hAnsi="Times New Roman"/>
          <w:sz w:val="24"/>
          <w:szCs w:val="24"/>
        </w:rPr>
        <w:t xml:space="preserve"> valid measures of message effectiveness that can help guide the selection of messages to include in tobacco education campaigns</w:t>
      </w:r>
      <w:r w:rsidR="009A5AA4" w:rsidRPr="001B6864">
        <w:rPr>
          <w:rFonts w:ascii="Times New Roman" w:hAnsi="Times New Roman"/>
          <w:sz w:val="24"/>
          <w:szCs w:val="24"/>
        </w:rPr>
        <w:t xml:space="preserve"> such as the Real Cost tobacco prevention campaign</w:t>
      </w:r>
      <w:r w:rsidR="00793D05" w:rsidRPr="001B6864">
        <w:rPr>
          <w:rFonts w:ascii="Times New Roman" w:hAnsi="Times New Roman"/>
          <w:sz w:val="24"/>
          <w:szCs w:val="24"/>
        </w:rPr>
        <w:t xml:space="preserve">. There is currently a lack of consensus in the literature as to which message evaluation (ME) measures are most strongly associated with </w:t>
      </w:r>
      <w:r w:rsidR="00793D05" w:rsidRPr="001B6864">
        <w:rPr>
          <w:rFonts w:ascii="Times New Roman" w:hAnsi="Times New Roman"/>
          <w:bCs/>
          <w:sz w:val="24"/>
          <w:szCs w:val="24"/>
        </w:rPr>
        <w:t>actual message effectiveness (AME). Thus, the purpose of this task is to identify valid measures and methods of evaluating messages for use in future formative research and message testing.</w:t>
      </w:r>
    </w:p>
    <w:p w14:paraId="25F1E3C9" w14:textId="05C2A271" w:rsidR="002E3ECD" w:rsidRDefault="002E3ECD" w:rsidP="00460D2B">
      <w:pPr>
        <w:numPr>
          <w:ilvl w:val="12"/>
          <w:numId w:val="0"/>
        </w:numPr>
        <w:rPr>
          <w:rFonts w:ascii="Times New Roman" w:hAnsi="Times New Roman"/>
          <w:sz w:val="24"/>
          <w:szCs w:val="24"/>
        </w:rPr>
      </w:pPr>
    </w:p>
    <w:p w14:paraId="738858AA" w14:textId="1B60CD05" w:rsidR="0093754A" w:rsidRPr="00A1544F" w:rsidRDefault="0093754A" w:rsidP="00A1544F">
      <w:pPr>
        <w:numPr>
          <w:ilvl w:val="12"/>
          <w:numId w:val="0"/>
        </w:numPr>
        <w:outlineLvl w:val="2"/>
        <w:rPr>
          <w:rFonts w:ascii="Times New Roman" w:hAnsi="Times New Roman"/>
          <w:b/>
          <w:bCs/>
          <w:sz w:val="24"/>
          <w:szCs w:val="24"/>
          <w:u w:val="single"/>
        </w:rPr>
      </w:pPr>
      <w:r w:rsidRPr="005E5681">
        <w:rPr>
          <w:rFonts w:ascii="Times New Roman" w:hAnsi="Times New Roman"/>
          <w:b/>
          <w:bCs/>
          <w:sz w:val="24"/>
          <w:szCs w:val="24"/>
        </w:rPr>
        <w:t xml:space="preserve">2.  </w:t>
      </w:r>
      <w:r w:rsidRPr="005E5681">
        <w:rPr>
          <w:rFonts w:ascii="Times New Roman" w:hAnsi="Times New Roman"/>
          <w:b/>
          <w:bCs/>
          <w:sz w:val="24"/>
          <w:szCs w:val="24"/>
          <w:u w:val="single"/>
        </w:rPr>
        <w:t>Purpose and Use of the Information</w:t>
      </w:r>
    </w:p>
    <w:p w14:paraId="3596D725" w14:textId="77777777" w:rsidR="0093754A" w:rsidRDefault="0093754A" w:rsidP="002E3ECD">
      <w:pPr>
        <w:numPr>
          <w:ilvl w:val="12"/>
          <w:numId w:val="0"/>
        </w:numPr>
        <w:ind w:left="270"/>
        <w:rPr>
          <w:rFonts w:ascii="Times New Roman" w:hAnsi="Times New Roman"/>
          <w:sz w:val="24"/>
          <w:szCs w:val="24"/>
        </w:rPr>
      </w:pPr>
    </w:p>
    <w:p w14:paraId="034891C5" w14:textId="62EFC4DE" w:rsidR="00A1544F" w:rsidRPr="00517ED0" w:rsidRDefault="0093754A" w:rsidP="00517ED0">
      <w:pPr>
        <w:ind w:firstLine="720"/>
        <w:rPr>
          <w:rFonts w:ascii="Times New Roman" w:hAnsi="Times New Roman"/>
          <w:sz w:val="24"/>
          <w:szCs w:val="24"/>
        </w:rPr>
      </w:pPr>
      <w:r w:rsidRPr="00517ED0">
        <w:rPr>
          <w:rFonts w:ascii="Times New Roman" w:hAnsi="Times New Roman"/>
          <w:sz w:val="24"/>
          <w:szCs w:val="24"/>
        </w:rPr>
        <w:t xml:space="preserve">The FDA has contracted with RTI International (RTI) to </w:t>
      </w:r>
      <w:r w:rsidR="00793D05" w:rsidRPr="00517ED0">
        <w:rPr>
          <w:rFonts w:ascii="Times New Roman" w:hAnsi="Times New Roman"/>
          <w:sz w:val="24"/>
          <w:szCs w:val="24"/>
        </w:rPr>
        <w:t>conduct a message testing study among youth ages 13-17 to examine whether key ME measures (e.g., perceived message effectiveness, reactance in response to messages, perceived argument strength) often used in formative research demonstrate criterion validity by investigating the strength of their relationship with outcomes of message exposure, such as beliefs and behavioral intentions. We will also aim to compare ME measures on the strength of their association with AME and to examine whether the relationship between ME measures and message outcomes varies depending on characteristics of the vaping prevention messages and user groups.</w:t>
      </w:r>
      <w:r w:rsidR="1E79C808" w:rsidRPr="00517ED0">
        <w:rPr>
          <w:rFonts w:ascii="Times New Roman" w:hAnsi="Times New Roman"/>
          <w:sz w:val="24"/>
          <w:szCs w:val="24"/>
        </w:rPr>
        <w:t xml:space="preserve"> </w:t>
      </w:r>
    </w:p>
    <w:p w14:paraId="2360733C" w14:textId="77777777" w:rsidR="001B6864" w:rsidRPr="00517ED0" w:rsidRDefault="001B6864" w:rsidP="00517ED0">
      <w:pPr>
        <w:rPr>
          <w:rFonts w:ascii="Times New Roman" w:hAnsi="Times New Roman"/>
          <w:sz w:val="24"/>
          <w:szCs w:val="24"/>
        </w:rPr>
      </w:pPr>
    </w:p>
    <w:p w14:paraId="497447C3" w14:textId="03736A35" w:rsidR="00A1544F" w:rsidRPr="00517ED0" w:rsidRDefault="0093754A" w:rsidP="00517ED0">
      <w:pPr>
        <w:ind w:firstLine="360"/>
        <w:rPr>
          <w:rFonts w:ascii="Times New Roman" w:hAnsi="Times New Roman"/>
          <w:sz w:val="24"/>
          <w:szCs w:val="24"/>
        </w:rPr>
      </w:pPr>
      <w:r w:rsidRPr="00517ED0">
        <w:rPr>
          <w:rFonts w:ascii="Times New Roman" w:hAnsi="Times New Roman"/>
          <w:sz w:val="24"/>
          <w:szCs w:val="24"/>
        </w:rPr>
        <w:t xml:space="preserve">The information obtained from the proposed data collection activities will be used to inform </w:t>
      </w:r>
      <w:r w:rsidR="003E31F0" w:rsidRPr="00517ED0">
        <w:rPr>
          <w:rFonts w:ascii="Times New Roman" w:hAnsi="Times New Roman"/>
          <w:sz w:val="24"/>
          <w:szCs w:val="24"/>
        </w:rPr>
        <w:t>social/behavioral scientists in FDA’s Center for Tobacco Products and other health communication professionals</w:t>
      </w:r>
      <w:r w:rsidR="00DB7565" w:rsidRPr="00517ED0">
        <w:rPr>
          <w:rFonts w:ascii="Times New Roman" w:hAnsi="Times New Roman"/>
          <w:sz w:val="24"/>
          <w:szCs w:val="24"/>
        </w:rPr>
        <w:t xml:space="preserve"> </w:t>
      </w:r>
      <w:r w:rsidRPr="00517ED0">
        <w:rPr>
          <w:rFonts w:ascii="Times New Roman" w:hAnsi="Times New Roman"/>
          <w:sz w:val="24"/>
          <w:szCs w:val="24"/>
        </w:rPr>
        <w:t xml:space="preserve">of optimal ME </w:t>
      </w:r>
      <w:r w:rsidRPr="00517ED0">
        <w:rPr>
          <w:rFonts w:ascii="Times New Roman" w:hAnsi="Times New Roman"/>
          <w:bCs/>
          <w:sz w:val="24"/>
          <w:szCs w:val="24"/>
        </w:rPr>
        <w:t>measures</w:t>
      </w:r>
      <w:r w:rsidRPr="00517ED0">
        <w:rPr>
          <w:rFonts w:ascii="Times New Roman" w:hAnsi="Times New Roman"/>
          <w:sz w:val="24"/>
          <w:szCs w:val="24"/>
        </w:rPr>
        <w:t xml:space="preserve"> for evaluating the relative potential effectiveness of campaign messages. </w:t>
      </w:r>
      <w:r w:rsidR="00A1544F" w:rsidRPr="00517ED0">
        <w:rPr>
          <w:rFonts w:ascii="Times New Roman" w:hAnsi="Times New Roman"/>
          <w:sz w:val="24"/>
          <w:szCs w:val="24"/>
        </w:rPr>
        <w:t>This study aims to address the following research questions:</w:t>
      </w:r>
    </w:p>
    <w:p w14:paraId="5144CCFF" w14:textId="77777777" w:rsidR="00CC1E3E" w:rsidRPr="00A1544F" w:rsidRDefault="00CC1E3E" w:rsidP="00A1544F">
      <w:pPr>
        <w:numPr>
          <w:ilvl w:val="12"/>
          <w:numId w:val="0"/>
        </w:numPr>
        <w:ind w:left="360"/>
        <w:rPr>
          <w:rFonts w:ascii="Times New Roman" w:hAnsi="Times New Roman"/>
          <w:sz w:val="24"/>
          <w:szCs w:val="24"/>
        </w:rPr>
      </w:pPr>
    </w:p>
    <w:p w14:paraId="0CF1EC12" w14:textId="77777777" w:rsidR="00A1544F" w:rsidRPr="00A1544F" w:rsidRDefault="00A1544F" w:rsidP="00A1544F">
      <w:pPr>
        <w:numPr>
          <w:ilvl w:val="0"/>
          <w:numId w:val="37"/>
        </w:numPr>
        <w:rPr>
          <w:rFonts w:ascii="Times New Roman" w:hAnsi="Times New Roman"/>
          <w:sz w:val="24"/>
          <w:szCs w:val="24"/>
        </w:rPr>
      </w:pPr>
      <w:r w:rsidRPr="00A1544F">
        <w:rPr>
          <w:rFonts w:ascii="Times New Roman" w:hAnsi="Times New Roman"/>
          <w:sz w:val="24"/>
          <w:szCs w:val="24"/>
        </w:rPr>
        <w:t>RQ1: To what extent are aggregate ME scores predictive of AME?</w:t>
      </w:r>
    </w:p>
    <w:p w14:paraId="37FA150E" w14:textId="77777777" w:rsidR="00A1544F" w:rsidRPr="00A1544F" w:rsidRDefault="00A1544F" w:rsidP="00A1544F">
      <w:pPr>
        <w:numPr>
          <w:ilvl w:val="0"/>
          <w:numId w:val="37"/>
        </w:numPr>
        <w:rPr>
          <w:rFonts w:ascii="Times New Roman" w:hAnsi="Times New Roman"/>
          <w:sz w:val="24"/>
          <w:szCs w:val="24"/>
        </w:rPr>
      </w:pPr>
      <w:r w:rsidRPr="00A1544F">
        <w:rPr>
          <w:rFonts w:ascii="Times New Roman" w:hAnsi="Times New Roman"/>
          <w:sz w:val="24"/>
          <w:szCs w:val="24"/>
        </w:rPr>
        <w:t>RQ2: To what extent does the strength of the ME-AME association vary across different ME measures?</w:t>
      </w:r>
    </w:p>
    <w:p w14:paraId="10067B80" w14:textId="77777777" w:rsidR="00A1544F" w:rsidRPr="00A1544F" w:rsidRDefault="00A1544F" w:rsidP="00A1544F">
      <w:pPr>
        <w:numPr>
          <w:ilvl w:val="0"/>
          <w:numId w:val="37"/>
        </w:numPr>
        <w:rPr>
          <w:rFonts w:ascii="Times New Roman" w:hAnsi="Times New Roman"/>
          <w:sz w:val="24"/>
          <w:szCs w:val="24"/>
        </w:rPr>
      </w:pPr>
      <w:r w:rsidRPr="00A1544F">
        <w:rPr>
          <w:rFonts w:ascii="Times New Roman" w:hAnsi="Times New Roman"/>
          <w:sz w:val="24"/>
          <w:szCs w:val="24"/>
        </w:rPr>
        <w:t>RQ3: Which measures, when used together, are more predictive of AME than as independent predictors (examining incremental validity)?</w:t>
      </w:r>
    </w:p>
    <w:p w14:paraId="63BCA6EE" w14:textId="77777777" w:rsidR="00A1544F" w:rsidRPr="00A1544F" w:rsidRDefault="00A1544F" w:rsidP="00A1544F">
      <w:pPr>
        <w:numPr>
          <w:ilvl w:val="0"/>
          <w:numId w:val="37"/>
        </w:numPr>
        <w:rPr>
          <w:rFonts w:ascii="Times New Roman" w:hAnsi="Times New Roman"/>
          <w:sz w:val="24"/>
          <w:szCs w:val="24"/>
        </w:rPr>
      </w:pPr>
      <w:r w:rsidRPr="00A1544F">
        <w:rPr>
          <w:rFonts w:ascii="Times New Roman" w:hAnsi="Times New Roman"/>
          <w:sz w:val="24"/>
          <w:szCs w:val="24"/>
        </w:rPr>
        <w:lastRenderedPageBreak/>
        <w:t>RQ4: To what extent does the relationship between ME and AME vary by message characteristic?</w:t>
      </w:r>
    </w:p>
    <w:p w14:paraId="5492BC9C" w14:textId="34881FAD" w:rsidR="0093754A" w:rsidRDefault="00A1544F" w:rsidP="00A35EBF">
      <w:pPr>
        <w:numPr>
          <w:ilvl w:val="0"/>
          <w:numId w:val="37"/>
        </w:numPr>
        <w:rPr>
          <w:rFonts w:ascii="Times New Roman" w:hAnsi="Times New Roman"/>
          <w:sz w:val="24"/>
          <w:szCs w:val="24"/>
        </w:rPr>
      </w:pPr>
      <w:r w:rsidRPr="00A1544F">
        <w:rPr>
          <w:rFonts w:ascii="Times New Roman" w:hAnsi="Times New Roman"/>
          <w:sz w:val="24"/>
          <w:szCs w:val="24"/>
        </w:rPr>
        <w:t>RQ5: To what extent does the relationship between ME and AME vary by participant characteristics (e.g., user group, demographics)?</w:t>
      </w:r>
    </w:p>
    <w:p w14:paraId="0DB253B1" w14:textId="77777777" w:rsidR="00581DB5" w:rsidRPr="000216D8" w:rsidRDefault="00581DB5" w:rsidP="005540FC">
      <w:pPr>
        <w:numPr>
          <w:ilvl w:val="12"/>
          <w:numId w:val="0"/>
        </w:numPr>
        <w:rPr>
          <w:rFonts w:ascii="Times New Roman" w:hAnsi="Times New Roman"/>
          <w:sz w:val="24"/>
          <w:szCs w:val="24"/>
        </w:rPr>
      </w:pPr>
    </w:p>
    <w:p w14:paraId="0D4170D1"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4" w:name="_Toc239649223"/>
      <w:r w:rsidRPr="005E5681">
        <w:rPr>
          <w:rFonts w:ascii="Times New Roman" w:hAnsi="Times New Roman"/>
          <w:b/>
          <w:bCs/>
          <w:sz w:val="24"/>
          <w:szCs w:val="24"/>
        </w:rPr>
        <w:t xml:space="preserve">3.  </w:t>
      </w:r>
      <w:r w:rsidRPr="005E5681">
        <w:rPr>
          <w:rFonts w:ascii="Times New Roman" w:hAnsi="Times New Roman"/>
          <w:b/>
          <w:bCs/>
          <w:sz w:val="24"/>
          <w:szCs w:val="24"/>
          <w:u w:val="single"/>
        </w:rPr>
        <w:t>Use of Information Technology and Burden Reduction</w:t>
      </w:r>
      <w:bookmarkEnd w:id="4"/>
    </w:p>
    <w:p w14:paraId="2291A84B"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8F1F8B9" w14:textId="540B3170" w:rsidR="005C0FF9" w:rsidRPr="00517ED0" w:rsidRDefault="002E3ECD" w:rsidP="00517ED0">
      <w:pPr>
        <w:ind w:firstLine="720"/>
        <w:rPr>
          <w:rFonts w:ascii="Times New Roman" w:hAnsi="Times New Roman"/>
          <w:sz w:val="24"/>
          <w:szCs w:val="24"/>
        </w:rPr>
      </w:pPr>
      <w:r w:rsidRPr="00517ED0">
        <w:rPr>
          <w:rFonts w:ascii="Times New Roman" w:hAnsi="Times New Roman"/>
          <w:sz w:val="24"/>
          <w:szCs w:val="24"/>
        </w:rPr>
        <w:t xml:space="preserve">This study will rely on web-based survey data collection </w:t>
      </w:r>
      <w:r w:rsidR="00AC5FC9" w:rsidRPr="00517ED0">
        <w:rPr>
          <w:rFonts w:ascii="Times New Roman" w:hAnsi="Times New Roman"/>
          <w:sz w:val="24"/>
          <w:szCs w:val="24"/>
        </w:rPr>
        <w:t>for all respondents to</w:t>
      </w:r>
      <w:r w:rsidRPr="00517ED0">
        <w:rPr>
          <w:rFonts w:ascii="Times New Roman" w:hAnsi="Times New Roman"/>
          <w:sz w:val="24"/>
          <w:szCs w:val="24"/>
        </w:rPr>
        <w:t xml:space="preserve"> </w:t>
      </w:r>
      <w:r w:rsidR="005540FC" w:rsidRPr="00517ED0">
        <w:rPr>
          <w:rFonts w:ascii="Times New Roman" w:hAnsi="Times New Roman"/>
          <w:sz w:val="24"/>
          <w:szCs w:val="24"/>
        </w:rPr>
        <w:t>evaluat</w:t>
      </w:r>
      <w:r w:rsidR="00AC5FC9" w:rsidRPr="00517ED0">
        <w:rPr>
          <w:rFonts w:ascii="Times New Roman" w:hAnsi="Times New Roman"/>
          <w:sz w:val="24"/>
          <w:szCs w:val="24"/>
        </w:rPr>
        <w:t>e</w:t>
      </w:r>
      <w:r w:rsidR="005540FC" w:rsidRPr="00517ED0">
        <w:rPr>
          <w:rFonts w:ascii="Times New Roman" w:hAnsi="Times New Roman"/>
          <w:sz w:val="24"/>
          <w:szCs w:val="24"/>
        </w:rPr>
        <w:t xml:space="preserve"> anti-tobacco messaging among </w:t>
      </w:r>
      <w:r w:rsidRPr="00517ED0">
        <w:rPr>
          <w:rFonts w:ascii="Times New Roman" w:hAnsi="Times New Roman"/>
          <w:sz w:val="24"/>
          <w:szCs w:val="24"/>
        </w:rPr>
        <w:t xml:space="preserve">youth ages 13-17 who have either experimented with </w:t>
      </w:r>
      <w:r w:rsidR="005540FC" w:rsidRPr="00517ED0">
        <w:rPr>
          <w:rFonts w:ascii="Times New Roman" w:hAnsi="Times New Roman"/>
          <w:sz w:val="24"/>
          <w:szCs w:val="24"/>
        </w:rPr>
        <w:t>vaping</w:t>
      </w:r>
      <w:r w:rsidRPr="00517ED0">
        <w:rPr>
          <w:rFonts w:ascii="Times New Roman" w:hAnsi="Times New Roman"/>
          <w:sz w:val="24"/>
          <w:szCs w:val="24"/>
        </w:rPr>
        <w:t xml:space="preserve"> or are at risk of initiating </w:t>
      </w:r>
      <w:r w:rsidR="005540FC" w:rsidRPr="00517ED0">
        <w:rPr>
          <w:rFonts w:ascii="Times New Roman" w:hAnsi="Times New Roman"/>
          <w:sz w:val="24"/>
          <w:szCs w:val="24"/>
        </w:rPr>
        <w:t>vaping</w:t>
      </w:r>
      <w:r w:rsidRPr="00517ED0">
        <w:rPr>
          <w:rFonts w:ascii="Times New Roman" w:hAnsi="Times New Roman"/>
          <w:sz w:val="24"/>
          <w:szCs w:val="24"/>
        </w:rPr>
        <w:t>. Using an anonymous</w:t>
      </w:r>
      <w:r w:rsidR="00AC5FC9" w:rsidRPr="00517ED0">
        <w:rPr>
          <w:rFonts w:ascii="Times New Roman" w:hAnsi="Times New Roman"/>
          <w:sz w:val="24"/>
          <w:szCs w:val="24"/>
        </w:rPr>
        <w:t>, fillable</w:t>
      </w:r>
      <w:r w:rsidRPr="00517ED0">
        <w:rPr>
          <w:rFonts w:ascii="Times New Roman" w:hAnsi="Times New Roman"/>
          <w:sz w:val="24"/>
          <w:szCs w:val="24"/>
        </w:rPr>
        <w:t xml:space="preserve"> survey allows the respondent to be more candid with their responses. This allows for more accurate data because respondents provide more honest responses than other types of research methodology, especially since </w:t>
      </w:r>
      <w:proofErr w:type="gramStart"/>
      <w:r w:rsidRPr="00517ED0">
        <w:rPr>
          <w:rFonts w:ascii="Times New Roman" w:hAnsi="Times New Roman"/>
          <w:sz w:val="24"/>
          <w:szCs w:val="24"/>
        </w:rPr>
        <w:t>it is clear that the</w:t>
      </w:r>
      <w:proofErr w:type="gramEnd"/>
      <w:r w:rsidRPr="00517ED0">
        <w:rPr>
          <w:rFonts w:ascii="Times New Roman" w:hAnsi="Times New Roman"/>
          <w:sz w:val="24"/>
          <w:szCs w:val="24"/>
        </w:rPr>
        <w:t xml:space="preserve"> answers will remain confidential. In addition, using a survey will allow for more participates to respond in a cost-effective and timely manner. The self-administered, web-based survey permits greater expediency with respect to data processing and analysis (e.g., </w:t>
      </w:r>
      <w:proofErr w:type="gramStart"/>
      <w:r w:rsidRPr="00517ED0">
        <w:rPr>
          <w:rFonts w:ascii="Times New Roman" w:hAnsi="Times New Roman"/>
          <w:sz w:val="24"/>
          <w:szCs w:val="24"/>
        </w:rPr>
        <w:t>a number of</w:t>
      </w:r>
      <w:proofErr w:type="gramEnd"/>
      <w:r w:rsidRPr="00517ED0">
        <w:rPr>
          <w:rFonts w:ascii="Times New Roman" w:hAnsi="Times New Roman"/>
          <w:sz w:val="24"/>
          <w:szCs w:val="24"/>
        </w:rPr>
        <w:t xml:space="preserve"> back-end processing steps, including coding and data entry). Data are transmitted electronically at </w:t>
      </w:r>
      <w:r w:rsidRPr="00517ED0">
        <w:rPr>
          <w:rFonts w:ascii="Times New Roman" w:hAnsi="Times New Roman"/>
          <w:bCs/>
          <w:sz w:val="24"/>
          <w:szCs w:val="24"/>
        </w:rPr>
        <w:t>the</w:t>
      </w:r>
      <w:r w:rsidRPr="00517ED0">
        <w:rPr>
          <w:rFonts w:ascii="Times New Roman" w:hAnsi="Times New Roman"/>
          <w:sz w:val="24"/>
          <w:szCs w:val="24"/>
        </w:rPr>
        <w:t xml:space="preserve"> end of the day, rather than by mail. These efficiencies save time due to the speed of data transmission, as well as receipt in a format suitable for analysis. Finally, this technology permits respondents to complete the interview in privacy. Providing the respondent with a methodology that improves privacy makes reporting of potentially embarrassing or stigmatizing behaviors (e.g., tobacco use) less threatening and enhances response validity and response rates.</w:t>
      </w:r>
    </w:p>
    <w:p w14:paraId="05DFA2E2" w14:textId="77777777" w:rsidR="002E3ECD" w:rsidRPr="005E5681" w:rsidRDefault="002E3ECD"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4"/>
          <w:szCs w:val="24"/>
        </w:rPr>
      </w:pPr>
    </w:p>
    <w:p w14:paraId="6F786B20" w14:textId="77777777" w:rsidR="005C0FF9"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5" w:name="_Toc239649224"/>
      <w:r w:rsidRPr="005E5681">
        <w:rPr>
          <w:rFonts w:ascii="Times New Roman" w:hAnsi="Times New Roman"/>
          <w:b/>
          <w:bCs/>
          <w:sz w:val="24"/>
          <w:szCs w:val="24"/>
        </w:rPr>
        <w:t xml:space="preserve">4.  </w:t>
      </w:r>
      <w:r w:rsidRPr="005E5681">
        <w:rPr>
          <w:rFonts w:ascii="Times New Roman" w:hAnsi="Times New Roman"/>
          <w:b/>
          <w:bCs/>
          <w:sz w:val="24"/>
          <w:szCs w:val="24"/>
          <w:u w:val="single"/>
        </w:rPr>
        <w:t>Efforts to Identify Duplication and Use of Similar Information</w:t>
      </w:r>
      <w:bookmarkEnd w:id="5"/>
    </w:p>
    <w:p w14:paraId="2F286871" w14:textId="77777777" w:rsidR="00517ED0" w:rsidRDefault="00517ED0" w:rsidP="00517ED0">
      <w:pPr>
        <w:rPr>
          <w:rFonts w:ascii="Times New Roman" w:hAnsi="Times New Roman"/>
          <w:bCs/>
          <w:sz w:val="24"/>
          <w:szCs w:val="24"/>
        </w:rPr>
      </w:pPr>
    </w:p>
    <w:p w14:paraId="7FDD1043" w14:textId="1964128D" w:rsidR="00E71088" w:rsidRPr="00517ED0" w:rsidRDefault="00E937F9" w:rsidP="00517ED0">
      <w:pPr>
        <w:ind w:firstLine="720"/>
        <w:rPr>
          <w:rFonts w:ascii="Times New Roman" w:hAnsi="Times New Roman"/>
          <w:sz w:val="24"/>
          <w:szCs w:val="24"/>
        </w:rPr>
      </w:pPr>
      <w:proofErr w:type="gramStart"/>
      <w:r w:rsidRPr="00517ED0">
        <w:rPr>
          <w:rFonts w:ascii="Times New Roman" w:hAnsi="Times New Roman"/>
          <w:sz w:val="24"/>
          <w:szCs w:val="24"/>
        </w:rPr>
        <w:t>In order to</w:t>
      </w:r>
      <w:proofErr w:type="gramEnd"/>
      <w:r w:rsidRPr="00517ED0">
        <w:rPr>
          <w:rFonts w:ascii="Times New Roman" w:hAnsi="Times New Roman"/>
          <w:sz w:val="24"/>
          <w:szCs w:val="24"/>
        </w:rPr>
        <w:t xml:space="preserve"> ensure no duplication of efforts, we have reviewed relevant literature and existing data sets to determine whether any of them are sufficiently similar or could be modified to address FDA’s objectives for this data collection. Through this review, </w:t>
      </w:r>
      <w:r w:rsidR="005F56D3" w:rsidRPr="00517ED0">
        <w:rPr>
          <w:rFonts w:ascii="Times New Roman" w:hAnsi="Times New Roman"/>
          <w:sz w:val="24"/>
          <w:szCs w:val="24"/>
        </w:rPr>
        <w:t xml:space="preserve">a variety </w:t>
      </w:r>
      <w:r w:rsidRPr="00517ED0">
        <w:rPr>
          <w:rFonts w:ascii="Times New Roman" w:hAnsi="Times New Roman"/>
          <w:sz w:val="24"/>
          <w:szCs w:val="24"/>
        </w:rPr>
        <w:t xml:space="preserve">of </w:t>
      </w:r>
      <w:r w:rsidR="005F56D3" w:rsidRPr="00517ED0">
        <w:rPr>
          <w:rFonts w:ascii="Times New Roman" w:hAnsi="Times New Roman"/>
          <w:sz w:val="24"/>
          <w:szCs w:val="24"/>
        </w:rPr>
        <w:t>ME measures used to predict AME</w:t>
      </w:r>
      <w:r w:rsidRPr="00517ED0">
        <w:rPr>
          <w:rFonts w:ascii="Times New Roman" w:hAnsi="Times New Roman"/>
          <w:sz w:val="24"/>
          <w:szCs w:val="24"/>
        </w:rPr>
        <w:t xml:space="preserve"> were identified</w:t>
      </w:r>
      <w:r w:rsidR="005F56D3" w:rsidRPr="00517ED0">
        <w:rPr>
          <w:rFonts w:ascii="Times New Roman" w:hAnsi="Times New Roman"/>
          <w:sz w:val="24"/>
          <w:szCs w:val="24"/>
        </w:rPr>
        <w:t xml:space="preserve">. These measures have been used to evaluate health messages in terms of perceptions of message effectiveness, argument strength, and credibility; emotional reactions; cognitive elaboration; as well as other reactions. We also collected information about methodological approaches used in studies that provide some evidence of the predictive validity of ME measures. The findings from the literature were useful for informing the selection of ME measures to include in this message testing study. </w:t>
      </w:r>
    </w:p>
    <w:p w14:paraId="6D1EFFD6" w14:textId="77777777" w:rsidR="00D73907" w:rsidRPr="00517ED0" w:rsidRDefault="00D73907" w:rsidP="00517ED0">
      <w:pPr>
        <w:rPr>
          <w:rFonts w:ascii="Times New Roman" w:hAnsi="Times New Roman"/>
          <w:sz w:val="24"/>
          <w:szCs w:val="24"/>
        </w:rPr>
      </w:pPr>
    </w:p>
    <w:p w14:paraId="45011B9C" w14:textId="70CFBC87" w:rsidR="00E71088" w:rsidRPr="00517ED0" w:rsidRDefault="005F56D3" w:rsidP="00517ED0">
      <w:pPr>
        <w:ind w:firstLine="720"/>
        <w:rPr>
          <w:rFonts w:ascii="Times New Roman" w:hAnsi="Times New Roman"/>
          <w:bCs/>
          <w:sz w:val="24"/>
          <w:szCs w:val="24"/>
        </w:rPr>
      </w:pPr>
      <w:r w:rsidRPr="00517ED0">
        <w:rPr>
          <w:rFonts w:ascii="Times New Roman" w:hAnsi="Times New Roman"/>
          <w:bCs/>
          <w:sz w:val="24"/>
          <w:szCs w:val="24"/>
        </w:rPr>
        <w:t xml:space="preserve">The literature review also highlighted several gaps in the literature on ME measures. First, research assessing the validity of ME measures has largely relied on individual correlations between ME and AME. Individual ME-AME correlations provide information about whether individuals’ ME scores predict their AME scores. However, for message-pretesting purposes, we want to know whether a message’s relative standing on ME is predictive of its relative standing on AME (O’Keefe, 2020). Some research has started to address this gap by aggregating ME </w:t>
      </w:r>
      <w:proofErr w:type="gramStart"/>
      <w:r w:rsidRPr="00517ED0">
        <w:rPr>
          <w:rFonts w:ascii="Times New Roman" w:hAnsi="Times New Roman"/>
          <w:bCs/>
          <w:sz w:val="24"/>
          <w:szCs w:val="24"/>
        </w:rPr>
        <w:t>scores</w:t>
      </w:r>
      <w:proofErr w:type="gramEnd"/>
      <w:r w:rsidRPr="00517ED0">
        <w:rPr>
          <w:rFonts w:ascii="Times New Roman" w:hAnsi="Times New Roman"/>
          <w:bCs/>
          <w:sz w:val="24"/>
          <w:szCs w:val="24"/>
        </w:rPr>
        <w:t xml:space="preserve"> so they are no longer individual-level scores. However, the research that has aggregated ME scores has generally created campaign-level rather than message-level ME scores (e.g., </w:t>
      </w:r>
      <w:proofErr w:type="spellStart"/>
      <w:r w:rsidRPr="00517ED0">
        <w:rPr>
          <w:rFonts w:ascii="Times New Roman" w:hAnsi="Times New Roman"/>
          <w:bCs/>
          <w:sz w:val="24"/>
          <w:szCs w:val="24"/>
        </w:rPr>
        <w:t>Bigsby</w:t>
      </w:r>
      <w:proofErr w:type="spellEnd"/>
      <w:r w:rsidRPr="00517ED0">
        <w:rPr>
          <w:rFonts w:ascii="Times New Roman" w:hAnsi="Times New Roman"/>
          <w:bCs/>
          <w:sz w:val="24"/>
          <w:szCs w:val="24"/>
        </w:rPr>
        <w:t xml:space="preserve"> et al. 2013; Morgan et al., 2020). Aggregating ME scores at the message level instead would not only allow for an assessment of whether message-level ME is predictive of AME, but also whether the ME-AME relationship varies depending on message characteristics.</w:t>
      </w:r>
    </w:p>
    <w:p w14:paraId="326892AD" w14:textId="77777777" w:rsidR="00517ED0" w:rsidRDefault="00517ED0" w:rsidP="00517ED0">
      <w:pPr>
        <w:rPr>
          <w:rFonts w:ascii="Times New Roman" w:hAnsi="Times New Roman"/>
          <w:bCs/>
          <w:sz w:val="24"/>
          <w:szCs w:val="24"/>
        </w:rPr>
      </w:pPr>
    </w:p>
    <w:p w14:paraId="633A9B6E" w14:textId="65380D71" w:rsidR="00887E84" w:rsidRPr="00517ED0" w:rsidRDefault="005F56D3" w:rsidP="00517ED0">
      <w:pPr>
        <w:ind w:firstLine="720"/>
        <w:rPr>
          <w:rFonts w:ascii="Times New Roman" w:hAnsi="Times New Roman"/>
          <w:bCs/>
          <w:sz w:val="24"/>
          <w:szCs w:val="24"/>
        </w:rPr>
      </w:pPr>
      <w:r w:rsidRPr="00517ED0">
        <w:rPr>
          <w:rFonts w:ascii="Times New Roman" w:hAnsi="Times New Roman"/>
          <w:bCs/>
          <w:sz w:val="24"/>
          <w:szCs w:val="24"/>
        </w:rPr>
        <w:lastRenderedPageBreak/>
        <w:t>Second, only a small number of ME measures have been included in research using message- or campaign-level aggregate scores and few studies assessing the validity of ME measures have included more than one ME measure to either compare measures in terms of how well they predict AME or to examine whether including more than one measure improves the prediction of AME (Baig et al., 2021a; 2021b). Third, little is known about the performance of ME measures in the context of youth-targeted vaping prevention ads, as much of the previous research has focused on smoking prevention and cessation.</w:t>
      </w:r>
      <w:r w:rsidR="002417E9" w:rsidRPr="00517ED0">
        <w:rPr>
          <w:rFonts w:ascii="Times New Roman" w:hAnsi="Times New Roman"/>
          <w:bCs/>
          <w:sz w:val="24"/>
          <w:szCs w:val="24"/>
        </w:rPr>
        <w:t xml:space="preserve"> </w:t>
      </w:r>
    </w:p>
    <w:p w14:paraId="1EC5145A" w14:textId="77777777" w:rsidR="002E3ECD" w:rsidRPr="00517ED0" w:rsidRDefault="002E3ECD" w:rsidP="00517ED0">
      <w:pPr>
        <w:rPr>
          <w:rFonts w:ascii="Times New Roman" w:hAnsi="Times New Roman"/>
          <w:bCs/>
          <w:sz w:val="24"/>
          <w:szCs w:val="24"/>
        </w:rPr>
      </w:pPr>
    </w:p>
    <w:p w14:paraId="57ED1B4D" w14:textId="61A9DE94" w:rsidR="00E937F9" w:rsidRPr="00517ED0" w:rsidRDefault="004D64AA" w:rsidP="00517ED0">
      <w:pPr>
        <w:ind w:firstLine="720"/>
        <w:rPr>
          <w:rFonts w:ascii="Times New Roman" w:hAnsi="Times New Roman"/>
          <w:bCs/>
          <w:sz w:val="24"/>
          <w:szCs w:val="24"/>
        </w:rPr>
      </w:pPr>
      <w:r w:rsidRPr="00517ED0">
        <w:rPr>
          <w:rFonts w:ascii="Times New Roman" w:hAnsi="Times New Roman"/>
          <w:bCs/>
          <w:sz w:val="24"/>
          <w:szCs w:val="24"/>
        </w:rPr>
        <w:t>Based on</w:t>
      </w:r>
      <w:r w:rsidR="00E937F9" w:rsidRPr="00517ED0">
        <w:rPr>
          <w:rFonts w:ascii="Times New Roman" w:hAnsi="Times New Roman"/>
          <w:bCs/>
          <w:sz w:val="24"/>
          <w:szCs w:val="24"/>
        </w:rPr>
        <w:t xml:space="preserve"> this review of the relevant literature and existing data sets</w:t>
      </w:r>
      <w:r w:rsidRPr="00517ED0">
        <w:rPr>
          <w:rFonts w:ascii="Times New Roman" w:hAnsi="Times New Roman"/>
          <w:bCs/>
          <w:sz w:val="24"/>
          <w:szCs w:val="24"/>
        </w:rPr>
        <w:t xml:space="preserve">, we concluded </w:t>
      </w:r>
      <w:r w:rsidR="00E937F9" w:rsidRPr="00517ED0">
        <w:rPr>
          <w:rFonts w:ascii="Times New Roman" w:hAnsi="Times New Roman"/>
          <w:bCs/>
          <w:sz w:val="24"/>
          <w:szCs w:val="24"/>
        </w:rPr>
        <w:t xml:space="preserve">that </w:t>
      </w:r>
      <w:r w:rsidRPr="00517ED0">
        <w:rPr>
          <w:rFonts w:ascii="Times New Roman" w:hAnsi="Times New Roman"/>
          <w:bCs/>
          <w:sz w:val="24"/>
          <w:szCs w:val="24"/>
        </w:rPr>
        <w:t xml:space="preserve">no </w:t>
      </w:r>
      <w:r w:rsidR="00E937F9" w:rsidRPr="00517ED0">
        <w:rPr>
          <w:rFonts w:ascii="Times New Roman" w:hAnsi="Times New Roman"/>
          <w:bCs/>
          <w:sz w:val="24"/>
          <w:szCs w:val="24"/>
        </w:rPr>
        <w:t>comparable data have been collected by any other entities.</w:t>
      </w:r>
      <w:r w:rsidR="00EF6CC4" w:rsidRPr="00517ED0">
        <w:rPr>
          <w:rFonts w:ascii="Times New Roman" w:hAnsi="Times New Roman"/>
          <w:bCs/>
          <w:sz w:val="24"/>
          <w:szCs w:val="24"/>
        </w:rPr>
        <w:t xml:space="preserve"> We are also consulting with a</w:t>
      </w:r>
      <w:r w:rsidR="005D0A0B" w:rsidRPr="00517ED0">
        <w:rPr>
          <w:rFonts w:ascii="Times New Roman" w:hAnsi="Times New Roman"/>
          <w:bCs/>
          <w:sz w:val="24"/>
          <w:szCs w:val="24"/>
        </w:rPr>
        <w:t>n</w:t>
      </w:r>
      <w:r w:rsidR="00EF6CC4" w:rsidRPr="00517ED0">
        <w:rPr>
          <w:rFonts w:ascii="Times New Roman" w:hAnsi="Times New Roman"/>
          <w:bCs/>
          <w:sz w:val="24"/>
          <w:szCs w:val="24"/>
        </w:rPr>
        <w:t xml:space="preserve"> FDA</w:t>
      </w:r>
      <w:r w:rsidR="005D0A0B" w:rsidRPr="00517ED0">
        <w:rPr>
          <w:rFonts w:ascii="Times New Roman" w:hAnsi="Times New Roman"/>
          <w:bCs/>
          <w:sz w:val="24"/>
          <w:szCs w:val="24"/>
        </w:rPr>
        <w:t>-</w:t>
      </w:r>
      <w:r w:rsidR="00EF6CC4" w:rsidRPr="00517ED0">
        <w:rPr>
          <w:rFonts w:ascii="Times New Roman" w:hAnsi="Times New Roman"/>
          <w:bCs/>
          <w:sz w:val="24"/>
          <w:szCs w:val="24"/>
        </w:rPr>
        <w:t xml:space="preserve"> and NIH</w:t>
      </w:r>
      <w:r w:rsidR="005D0A0B" w:rsidRPr="00517ED0">
        <w:rPr>
          <w:rFonts w:ascii="Times New Roman" w:hAnsi="Times New Roman"/>
          <w:bCs/>
          <w:sz w:val="24"/>
          <w:szCs w:val="24"/>
        </w:rPr>
        <w:t>-</w:t>
      </w:r>
      <w:r w:rsidR="00EF6CC4" w:rsidRPr="00517ED0">
        <w:rPr>
          <w:rFonts w:ascii="Times New Roman" w:hAnsi="Times New Roman"/>
          <w:bCs/>
          <w:sz w:val="24"/>
          <w:szCs w:val="24"/>
        </w:rPr>
        <w:t>funded academic (Seth Noar, University of North Carolina) who conducts research on this topic to ensure relevance and reduce the potential for duplication of efforts.</w:t>
      </w:r>
      <w:r w:rsidR="00E937F9" w:rsidRPr="00517ED0">
        <w:rPr>
          <w:rFonts w:ascii="Times New Roman" w:hAnsi="Times New Roman"/>
          <w:bCs/>
          <w:sz w:val="24"/>
          <w:szCs w:val="24"/>
        </w:rPr>
        <w:t xml:space="preserve"> </w:t>
      </w:r>
      <w:r w:rsidRPr="00517ED0">
        <w:rPr>
          <w:rFonts w:ascii="Times New Roman" w:hAnsi="Times New Roman"/>
          <w:bCs/>
          <w:sz w:val="24"/>
          <w:szCs w:val="24"/>
        </w:rPr>
        <w:t xml:space="preserve">There is no duplicative collection of this information. </w:t>
      </w:r>
    </w:p>
    <w:p w14:paraId="5D8FB533"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D274B94" w14:textId="77777777" w:rsidR="005C0FF9" w:rsidRPr="008459A9" w:rsidRDefault="005C0FF9" w:rsidP="008459A9">
      <w:pPr>
        <w:autoSpaceDE/>
        <w:autoSpaceDN/>
        <w:adjustRightInd/>
        <w:rPr>
          <w:rFonts w:ascii="Times New Roman" w:hAnsi="Times New Roman"/>
          <w:b/>
          <w:bCs/>
          <w:sz w:val="24"/>
          <w:szCs w:val="24"/>
        </w:rPr>
      </w:pPr>
      <w:bookmarkStart w:id="6" w:name="_Toc239649225"/>
      <w:r w:rsidRPr="005E5681">
        <w:rPr>
          <w:rFonts w:ascii="Times New Roman" w:hAnsi="Times New Roman"/>
          <w:b/>
          <w:bCs/>
          <w:sz w:val="24"/>
          <w:szCs w:val="24"/>
        </w:rPr>
        <w:t>5.</w:t>
      </w:r>
      <w:r w:rsidRPr="005E5681">
        <w:rPr>
          <w:rFonts w:ascii="Times New Roman" w:hAnsi="Times New Roman"/>
          <w:sz w:val="24"/>
          <w:szCs w:val="24"/>
        </w:rPr>
        <w:t xml:space="preserve">   </w:t>
      </w:r>
      <w:r w:rsidRPr="005E5681">
        <w:rPr>
          <w:rFonts w:ascii="Times New Roman" w:hAnsi="Times New Roman"/>
          <w:b/>
          <w:bCs/>
          <w:sz w:val="24"/>
          <w:szCs w:val="24"/>
          <w:u w:val="single"/>
        </w:rPr>
        <w:t>Impact on Small Businesses or Other Small Entities</w:t>
      </w:r>
      <w:bookmarkEnd w:id="6"/>
    </w:p>
    <w:p w14:paraId="178B55BE" w14:textId="77777777" w:rsidR="00581DB5" w:rsidRDefault="00581DB5"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bookmarkStart w:id="7" w:name="_Toc239649226"/>
    </w:p>
    <w:p w14:paraId="5D86D95B" w14:textId="749C951D" w:rsidR="00581DB5" w:rsidRDefault="000424D7"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r w:rsidRPr="000424D7">
        <w:rPr>
          <w:rFonts w:ascii="Times New Roman" w:hAnsi="Times New Roman"/>
          <w:bCs/>
          <w:sz w:val="24"/>
          <w:szCs w:val="24"/>
        </w:rPr>
        <w:t>No small businesses will be involved in this collection of information.</w:t>
      </w:r>
    </w:p>
    <w:p w14:paraId="361170BF" w14:textId="77777777" w:rsidR="00E5570A" w:rsidRDefault="00E5570A"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p>
    <w:p w14:paraId="194D677B" w14:textId="77777777" w:rsidR="005C0FF9"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005E5681">
        <w:rPr>
          <w:rFonts w:ascii="Times New Roman" w:hAnsi="Times New Roman"/>
          <w:b/>
          <w:bCs/>
          <w:sz w:val="24"/>
          <w:szCs w:val="24"/>
        </w:rPr>
        <w:t>6.</w:t>
      </w:r>
      <w:r w:rsidRPr="005E5681">
        <w:rPr>
          <w:rFonts w:ascii="Times New Roman" w:hAnsi="Times New Roman"/>
          <w:sz w:val="24"/>
          <w:szCs w:val="24"/>
        </w:rPr>
        <w:t xml:space="preserve">  </w:t>
      </w:r>
      <w:r w:rsidRPr="005E5681">
        <w:rPr>
          <w:rFonts w:ascii="Times New Roman" w:hAnsi="Times New Roman"/>
          <w:b/>
          <w:bCs/>
          <w:sz w:val="24"/>
          <w:szCs w:val="24"/>
          <w:u w:val="single"/>
        </w:rPr>
        <w:t>Consequence of Collecting the Information Less Frequently</w:t>
      </w:r>
      <w:bookmarkEnd w:id="7"/>
    </w:p>
    <w:p w14:paraId="498790FB" w14:textId="77777777" w:rsidR="00581DB5" w:rsidRPr="00326C6F" w:rsidRDefault="00581DB5"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p>
    <w:p w14:paraId="70D1C8F8" w14:textId="79FE11D5" w:rsidR="00581DB5" w:rsidRPr="00517ED0" w:rsidRDefault="00581DB5" w:rsidP="00517ED0">
      <w:pPr>
        <w:ind w:firstLine="720"/>
        <w:rPr>
          <w:rFonts w:ascii="Times New Roman" w:hAnsi="Times New Roman"/>
          <w:sz w:val="24"/>
          <w:szCs w:val="24"/>
        </w:rPr>
      </w:pPr>
      <w:bookmarkStart w:id="8" w:name="_Toc239649227"/>
      <w:r w:rsidRPr="00517ED0">
        <w:rPr>
          <w:rFonts w:ascii="Times New Roman" w:hAnsi="Times New Roman"/>
          <w:sz w:val="24"/>
          <w:szCs w:val="24"/>
        </w:rPr>
        <w:t xml:space="preserve">Respondents to this collection of information will answer only once to ensure the participant burden is as low as possible. Without the information collection requested for this evaluation study, it would be difficult to determine the most effective messages to use in upcoming tobacco prevention campaigns. Failure to collect these data could </w:t>
      </w:r>
      <w:r w:rsidR="005D0A0B" w:rsidRPr="00517ED0">
        <w:rPr>
          <w:rFonts w:ascii="Times New Roman" w:hAnsi="Times New Roman"/>
          <w:sz w:val="24"/>
          <w:szCs w:val="24"/>
        </w:rPr>
        <w:t xml:space="preserve">prevent the identification of more effective </w:t>
      </w:r>
      <w:r w:rsidR="005D0A0B" w:rsidRPr="00517ED0">
        <w:rPr>
          <w:rFonts w:ascii="Times New Roman" w:hAnsi="Times New Roman"/>
          <w:bCs/>
          <w:sz w:val="24"/>
          <w:szCs w:val="24"/>
        </w:rPr>
        <w:t>methods</w:t>
      </w:r>
      <w:r w:rsidR="005D0A0B" w:rsidRPr="00517ED0">
        <w:rPr>
          <w:rFonts w:ascii="Times New Roman" w:hAnsi="Times New Roman"/>
          <w:sz w:val="24"/>
          <w:szCs w:val="24"/>
        </w:rPr>
        <w:t xml:space="preserve"> for selecting messages to include in FDA tobacco education campaigns, thereby limiting </w:t>
      </w:r>
      <w:r w:rsidRPr="00517ED0">
        <w:rPr>
          <w:rFonts w:ascii="Times New Roman" w:hAnsi="Times New Roman"/>
          <w:sz w:val="24"/>
          <w:szCs w:val="24"/>
        </w:rPr>
        <w:t xml:space="preserve">the benefit of </w:t>
      </w:r>
      <w:r w:rsidR="005D0A0B" w:rsidRPr="00517ED0">
        <w:rPr>
          <w:rFonts w:ascii="Times New Roman" w:hAnsi="Times New Roman"/>
          <w:sz w:val="24"/>
          <w:szCs w:val="24"/>
        </w:rPr>
        <w:t xml:space="preserve">FDA’s </w:t>
      </w:r>
      <w:r w:rsidRPr="00517ED0">
        <w:rPr>
          <w:rFonts w:ascii="Times New Roman" w:hAnsi="Times New Roman"/>
          <w:sz w:val="24"/>
          <w:szCs w:val="24"/>
        </w:rPr>
        <w:t xml:space="preserve">messages for youth in the United States. </w:t>
      </w:r>
    </w:p>
    <w:p w14:paraId="3B17BF7D" w14:textId="77777777" w:rsidR="00581DB5" w:rsidRDefault="00581DB5" w:rsidP="00581DB5">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sz w:val="24"/>
          <w:szCs w:val="24"/>
        </w:rPr>
      </w:pPr>
    </w:p>
    <w:p w14:paraId="1919FFBF" w14:textId="77777777" w:rsidR="005C0FF9" w:rsidRPr="009943A6"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sz w:val="24"/>
          <w:szCs w:val="24"/>
        </w:rPr>
      </w:pPr>
      <w:r w:rsidRPr="009943A6">
        <w:rPr>
          <w:rFonts w:ascii="Times New Roman" w:hAnsi="Times New Roman"/>
          <w:b/>
          <w:bCs/>
          <w:sz w:val="24"/>
          <w:szCs w:val="24"/>
        </w:rPr>
        <w:t>7.</w:t>
      </w:r>
      <w:r w:rsidRPr="009943A6">
        <w:rPr>
          <w:rFonts w:ascii="Times New Roman" w:hAnsi="Times New Roman"/>
          <w:b/>
          <w:sz w:val="24"/>
          <w:szCs w:val="24"/>
        </w:rPr>
        <w:t xml:space="preserve">  </w:t>
      </w:r>
      <w:r w:rsidRPr="009943A6">
        <w:rPr>
          <w:rFonts w:ascii="Times New Roman" w:hAnsi="Times New Roman"/>
          <w:b/>
          <w:bCs/>
          <w:sz w:val="24"/>
          <w:szCs w:val="24"/>
          <w:u w:val="single"/>
        </w:rPr>
        <w:t>Special Circumstances Relating to the Guidelines of 5 CFR 1320.5</w:t>
      </w:r>
      <w:bookmarkEnd w:id="8"/>
    </w:p>
    <w:p w14:paraId="1574F3FE"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2C11431" w14:textId="332F298C" w:rsidR="00355B8B" w:rsidRPr="00517ED0" w:rsidRDefault="00581DB5" w:rsidP="00517ED0">
      <w:pPr>
        <w:ind w:firstLine="720"/>
        <w:rPr>
          <w:rFonts w:ascii="Times New Roman" w:hAnsi="Times New Roman"/>
          <w:sz w:val="24"/>
          <w:szCs w:val="24"/>
        </w:rPr>
      </w:pPr>
      <w:r w:rsidRPr="00517ED0">
        <w:rPr>
          <w:rFonts w:ascii="Times New Roman" w:hAnsi="Times New Roman"/>
          <w:bCs/>
          <w:sz w:val="24"/>
          <w:szCs w:val="24"/>
        </w:rPr>
        <w:t>There</w:t>
      </w:r>
      <w:r w:rsidRPr="00517ED0">
        <w:rPr>
          <w:rFonts w:ascii="Times New Roman" w:hAnsi="Times New Roman"/>
          <w:sz w:val="24"/>
          <w:szCs w:val="24"/>
        </w:rPr>
        <w:t xml:space="preserve"> are no special circumstances for this collection of information that require the data collection to be conducted in a manner inconsistent with 5 CRF 1320.5(d)(2). The message testing activities fully comply with the guidelines in 5 CFR 1320.5.</w:t>
      </w:r>
    </w:p>
    <w:p w14:paraId="04306921" w14:textId="77777777" w:rsidR="00355B8B" w:rsidRPr="00AB77E0" w:rsidRDefault="00355B8B"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03DDBD9" w14:textId="77777777" w:rsidR="005C0FF9" w:rsidRPr="00AB77E0"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9" w:name="_Toc239649228"/>
      <w:r w:rsidRPr="00AB77E0">
        <w:rPr>
          <w:rFonts w:ascii="Times New Roman" w:hAnsi="Times New Roman"/>
          <w:b/>
          <w:bCs/>
          <w:sz w:val="24"/>
          <w:szCs w:val="24"/>
        </w:rPr>
        <w:t xml:space="preserve">8.  </w:t>
      </w:r>
      <w:r w:rsidRPr="00AB77E0">
        <w:rPr>
          <w:rFonts w:ascii="Times New Roman" w:hAnsi="Times New Roman"/>
          <w:b/>
          <w:bCs/>
          <w:sz w:val="24"/>
          <w:szCs w:val="24"/>
          <w:u w:val="single"/>
        </w:rPr>
        <w:t>Comments in Response to the Federal Register Notice and Efforts to Consult Outside</w:t>
      </w:r>
      <w:bookmarkEnd w:id="9"/>
      <w:r w:rsidRPr="00AB77E0">
        <w:rPr>
          <w:rFonts w:ascii="Times New Roman" w:hAnsi="Times New Roman"/>
          <w:b/>
          <w:bCs/>
          <w:sz w:val="24"/>
          <w:szCs w:val="24"/>
          <w:u w:val="single"/>
        </w:rPr>
        <w:t xml:space="preserve"> </w:t>
      </w:r>
    </w:p>
    <w:p w14:paraId="7027EAE5" w14:textId="77777777" w:rsidR="005C0FF9" w:rsidRPr="00AB77E0" w:rsidRDefault="005C0FF9" w:rsidP="00EB43D0">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2"/>
        <w:rPr>
          <w:rFonts w:ascii="Times New Roman" w:hAnsi="Times New Roman"/>
          <w:b/>
          <w:bCs/>
          <w:sz w:val="24"/>
          <w:szCs w:val="24"/>
          <w:u w:val="single"/>
        </w:rPr>
      </w:pPr>
      <w:bookmarkStart w:id="10" w:name="_Toc239649229"/>
      <w:r w:rsidRPr="00AB77E0">
        <w:rPr>
          <w:rFonts w:ascii="Times New Roman" w:hAnsi="Times New Roman"/>
          <w:b/>
          <w:bCs/>
          <w:sz w:val="24"/>
          <w:szCs w:val="24"/>
          <w:u w:val="single"/>
        </w:rPr>
        <w:t>Agency</w:t>
      </w:r>
      <w:bookmarkEnd w:id="10"/>
    </w:p>
    <w:p w14:paraId="466B55F1" w14:textId="77777777" w:rsidR="00D66F13" w:rsidRDefault="00D66F13" w:rsidP="00EB43D0">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2"/>
        <w:rPr>
          <w:rFonts w:ascii="Times New Roman" w:hAnsi="Times New Roman"/>
          <w:b/>
          <w:bCs/>
          <w:sz w:val="24"/>
          <w:szCs w:val="24"/>
          <w:u w:val="single"/>
        </w:rPr>
      </w:pPr>
    </w:p>
    <w:p w14:paraId="05ED4952" w14:textId="2CB87ADF" w:rsidR="005C0FF9" w:rsidRPr="00517ED0" w:rsidRDefault="1E79C808" w:rsidP="00517ED0">
      <w:pPr>
        <w:ind w:firstLine="540"/>
        <w:rPr>
          <w:rFonts w:ascii="Times New Roman" w:hAnsi="Times New Roman"/>
          <w:sz w:val="24"/>
          <w:szCs w:val="24"/>
        </w:rPr>
      </w:pPr>
      <w:r w:rsidRPr="00517ED0">
        <w:rPr>
          <w:rFonts w:ascii="Times New Roman" w:hAnsi="Times New Roman"/>
          <w:sz w:val="24"/>
          <w:szCs w:val="24"/>
        </w:rPr>
        <w:t>The following individuals inside the agency have been consulted on the design of the study, instrument development, or intra-agency coordination of information collection efforts:</w:t>
      </w:r>
    </w:p>
    <w:p w14:paraId="4B33924E" w14:textId="135CED93" w:rsidR="005C0FF9" w:rsidRPr="0069105F" w:rsidRDefault="005C0FF9"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sz w:val="24"/>
          <w:szCs w:val="24"/>
        </w:rPr>
      </w:pPr>
    </w:p>
    <w:p w14:paraId="53FE7CF7" w14:textId="7B35B4F3" w:rsidR="005C0FF9" w:rsidRPr="0069105F" w:rsidRDefault="1E79C808" w:rsidP="1E79C808">
      <w:pPr>
        <w:rPr>
          <w:rFonts w:ascii="Times New Roman" w:hAnsi="Times New Roman"/>
          <w:sz w:val="24"/>
          <w:szCs w:val="24"/>
        </w:rPr>
      </w:pPr>
      <w:r w:rsidRPr="1E79C808">
        <w:rPr>
          <w:rFonts w:ascii="Times New Roman" w:hAnsi="Times New Roman"/>
          <w:sz w:val="24"/>
          <w:szCs w:val="24"/>
        </w:rPr>
        <w:t>Megan Wall</w:t>
      </w:r>
    </w:p>
    <w:p w14:paraId="2CA1AED9" w14:textId="4F91AD36" w:rsidR="005C0FF9" w:rsidRPr="0069105F" w:rsidRDefault="1E79C808" w:rsidP="1E79C808">
      <w:pPr>
        <w:rPr>
          <w:rFonts w:ascii="Times New Roman" w:hAnsi="Times New Roman"/>
          <w:sz w:val="24"/>
          <w:szCs w:val="24"/>
        </w:rPr>
      </w:pPr>
      <w:r w:rsidRPr="1E79C808">
        <w:rPr>
          <w:rFonts w:ascii="Times New Roman" w:hAnsi="Times New Roman"/>
          <w:sz w:val="24"/>
          <w:szCs w:val="24"/>
        </w:rPr>
        <w:t>Office of Health Communication &amp; Education</w:t>
      </w:r>
    </w:p>
    <w:p w14:paraId="178BE0EB" w14:textId="49887DF3" w:rsidR="005C0FF9" w:rsidRPr="0069105F" w:rsidRDefault="1E79C808" w:rsidP="1E79C808">
      <w:pPr>
        <w:rPr>
          <w:rFonts w:ascii="Times New Roman" w:hAnsi="Times New Roman"/>
          <w:sz w:val="24"/>
          <w:szCs w:val="24"/>
        </w:rPr>
      </w:pPr>
      <w:r w:rsidRPr="1E79C808">
        <w:rPr>
          <w:rFonts w:ascii="Times New Roman" w:hAnsi="Times New Roman"/>
          <w:sz w:val="24"/>
          <w:szCs w:val="24"/>
        </w:rPr>
        <w:t>Center for Tobacco Products</w:t>
      </w:r>
    </w:p>
    <w:p w14:paraId="3D997239" w14:textId="5E0445A5" w:rsidR="005C0FF9" w:rsidRPr="0069105F" w:rsidRDefault="1E79C808" w:rsidP="1E79C808">
      <w:pPr>
        <w:rPr>
          <w:rFonts w:ascii="Times New Roman" w:hAnsi="Times New Roman"/>
          <w:sz w:val="24"/>
          <w:szCs w:val="24"/>
        </w:rPr>
      </w:pPr>
      <w:r w:rsidRPr="1E79C808">
        <w:rPr>
          <w:rFonts w:ascii="Times New Roman" w:hAnsi="Times New Roman"/>
          <w:sz w:val="24"/>
          <w:szCs w:val="24"/>
        </w:rPr>
        <w:t>Food and Drug Administration</w:t>
      </w:r>
    </w:p>
    <w:p w14:paraId="7A719304" w14:textId="26E22DE8" w:rsidR="005C0FF9" w:rsidRPr="0069105F" w:rsidRDefault="1E79C808" w:rsidP="1E79C808">
      <w:pPr>
        <w:rPr>
          <w:rFonts w:ascii="Times New Roman" w:hAnsi="Times New Roman"/>
          <w:sz w:val="24"/>
          <w:szCs w:val="24"/>
        </w:rPr>
      </w:pPr>
      <w:r w:rsidRPr="1E79C808">
        <w:rPr>
          <w:rFonts w:ascii="Times New Roman" w:hAnsi="Times New Roman"/>
          <w:sz w:val="24"/>
          <w:szCs w:val="24"/>
        </w:rPr>
        <w:t>10903 New Hampshire Avenue</w:t>
      </w:r>
    </w:p>
    <w:p w14:paraId="711F07EC" w14:textId="084CFCA9" w:rsidR="005C0FF9" w:rsidRPr="0069105F" w:rsidRDefault="1E79C808" w:rsidP="1E79C808">
      <w:pPr>
        <w:rPr>
          <w:rFonts w:ascii="Times New Roman" w:hAnsi="Times New Roman"/>
          <w:sz w:val="24"/>
          <w:szCs w:val="24"/>
        </w:rPr>
      </w:pPr>
      <w:r w:rsidRPr="1E79C808">
        <w:rPr>
          <w:rFonts w:ascii="Times New Roman" w:hAnsi="Times New Roman"/>
          <w:sz w:val="24"/>
          <w:szCs w:val="24"/>
        </w:rPr>
        <w:t>Silver Spring, MD 20993</w:t>
      </w:r>
    </w:p>
    <w:p w14:paraId="0B648A03" w14:textId="77394389" w:rsidR="005C0FF9" w:rsidRPr="0069105F" w:rsidRDefault="1E79C808" w:rsidP="1E79C808">
      <w:pPr>
        <w:rPr>
          <w:rFonts w:ascii="Times New Roman" w:hAnsi="Times New Roman"/>
          <w:sz w:val="24"/>
          <w:szCs w:val="24"/>
        </w:rPr>
      </w:pPr>
      <w:r w:rsidRPr="1E79C808">
        <w:rPr>
          <w:rFonts w:ascii="Times New Roman" w:hAnsi="Times New Roman"/>
          <w:sz w:val="24"/>
          <w:szCs w:val="24"/>
        </w:rPr>
        <w:lastRenderedPageBreak/>
        <w:t xml:space="preserve">Phone: </w:t>
      </w:r>
      <w:r w:rsidR="00F63F23">
        <w:rPr>
          <w:rFonts w:ascii="Times New Roman" w:hAnsi="Times New Roman"/>
          <w:sz w:val="24"/>
          <w:szCs w:val="24"/>
        </w:rPr>
        <w:t>240-750-5844</w:t>
      </w:r>
    </w:p>
    <w:p w14:paraId="7348EAD4" w14:textId="3D6A93F2" w:rsidR="005C0FF9" w:rsidRPr="0069105F" w:rsidRDefault="1E79C808" w:rsidP="1E79C808">
      <w:pPr>
        <w:rPr>
          <w:sz w:val="24"/>
          <w:szCs w:val="24"/>
        </w:rPr>
      </w:pPr>
      <w:r w:rsidRPr="1E79C808">
        <w:rPr>
          <w:rFonts w:ascii="Times New Roman" w:hAnsi="Times New Roman"/>
          <w:sz w:val="24"/>
          <w:szCs w:val="24"/>
        </w:rPr>
        <w:t>E-mail: Megan.Wall@fda.hhs.gov</w:t>
      </w:r>
    </w:p>
    <w:p w14:paraId="30EB6D1C" w14:textId="05334688" w:rsidR="005C0FF9" w:rsidRPr="0069105F" w:rsidRDefault="005C0FF9"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sz w:val="24"/>
          <w:szCs w:val="24"/>
        </w:rPr>
      </w:pPr>
    </w:p>
    <w:p w14:paraId="4C905CF0" w14:textId="1810826B" w:rsidR="005C0FF9" w:rsidRPr="0069105F" w:rsidRDefault="1E79C808" w:rsidP="1E79C808">
      <w:pPr>
        <w:rPr>
          <w:rFonts w:ascii="Times New Roman" w:hAnsi="Times New Roman"/>
          <w:sz w:val="24"/>
          <w:szCs w:val="24"/>
        </w:rPr>
      </w:pPr>
      <w:r w:rsidRPr="1E79C808">
        <w:rPr>
          <w:rFonts w:ascii="Times New Roman" w:hAnsi="Times New Roman"/>
          <w:sz w:val="24"/>
          <w:szCs w:val="24"/>
        </w:rPr>
        <w:t>Emily Peterson</w:t>
      </w:r>
    </w:p>
    <w:p w14:paraId="32C956C7" w14:textId="4F91AD36" w:rsidR="005C0FF9" w:rsidRPr="0069105F" w:rsidRDefault="1E79C808" w:rsidP="1E79C808">
      <w:r w:rsidRPr="1E79C808">
        <w:rPr>
          <w:rFonts w:ascii="Times New Roman" w:hAnsi="Times New Roman"/>
          <w:sz w:val="24"/>
          <w:szCs w:val="24"/>
        </w:rPr>
        <w:t>Office of Health Communication &amp; Education</w:t>
      </w:r>
    </w:p>
    <w:p w14:paraId="04F8EEC5" w14:textId="49887DF3" w:rsidR="005C0FF9" w:rsidRPr="0069105F" w:rsidRDefault="1E79C808" w:rsidP="1E79C808">
      <w:r w:rsidRPr="1E79C808">
        <w:rPr>
          <w:rFonts w:ascii="Times New Roman" w:hAnsi="Times New Roman"/>
          <w:sz w:val="24"/>
          <w:szCs w:val="24"/>
        </w:rPr>
        <w:t>Center for Tobacco Products</w:t>
      </w:r>
    </w:p>
    <w:p w14:paraId="008BB99E" w14:textId="5E0445A5" w:rsidR="005C0FF9" w:rsidRPr="0069105F" w:rsidRDefault="1E79C808" w:rsidP="1E79C808">
      <w:r w:rsidRPr="1E79C808">
        <w:rPr>
          <w:rFonts w:ascii="Times New Roman" w:hAnsi="Times New Roman"/>
          <w:sz w:val="24"/>
          <w:szCs w:val="24"/>
        </w:rPr>
        <w:t>Food and Drug Administration</w:t>
      </w:r>
    </w:p>
    <w:p w14:paraId="7F5D8297" w14:textId="26E22DE8" w:rsidR="005C0FF9" w:rsidRPr="0069105F" w:rsidRDefault="1E79C808" w:rsidP="1E79C808">
      <w:r w:rsidRPr="1E79C808">
        <w:rPr>
          <w:rFonts w:ascii="Times New Roman" w:hAnsi="Times New Roman"/>
          <w:sz w:val="24"/>
          <w:szCs w:val="24"/>
        </w:rPr>
        <w:t>10903 New Hampshire Avenue</w:t>
      </w:r>
    </w:p>
    <w:p w14:paraId="66E71214" w14:textId="45376FDF" w:rsidR="005C0FF9" w:rsidRPr="0069105F" w:rsidRDefault="1E79C808" w:rsidP="1E79C808">
      <w:r w:rsidRPr="1E79C808">
        <w:rPr>
          <w:rFonts w:ascii="Times New Roman" w:hAnsi="Times New Roman"/>
          <w:sz w:val="24"/>
          <w:szCs w:val="24"/>
        </w:rPr>
        <w:t>Silver Spring, MD 20993</w:t>
      </w:r>
    </w:p>
    <w:p w14:paraId="6B71F82D" w14:textId="30FC6DF6" w:rsidR="005C0FF9" w:rsidRPr="0069105F" w:rsidRDefault="1E79C808" w:rsidP="1E79C808">
      <w:pPr>
        <w:rPr>
          <w:rFonts w:ascii="Times New Roman" w:hAnsi="Times New Roman"/>
          <w:sz w:val="24"/>
          <w:szCs w:val="24"/>
        </w:rPr>
      </w:pPr>
      <w:r w:rsidRPr="1E79C808">
        <w:rPr>
          <w:rFonts w:ascii="Times New Roman" w:hAnsi="Times New Roman"/>
          <w:sz w:val="24"/>
          <w:szCs w:val="24"/>
        </w:rPr>
        <w:t>Phone: 301-633-4223</w:t>
      </w:r>
    </w:p>
    <w:p w14:paraId="68B52753" w14:textId="078AAB5B" w:rsidR="005C0FF9" w:rsidRPr="0069105F" w:rsidRDefault="1E79C808" w:rsidP="1E79C808">
      <w:r w:rsidRPr="1E79C808">
        <w:rPr>
          <w:rFonts w:ascii="Times New Roman" w:hAnsi="Times New Roman"/>
          <w:sz w:val="24"/>
          <w:szCs w:val="24"/>
        </w:rPr>
        <w:t xml:space="preserve">E-mail: </w:t>
      </w:r>
      <w:hyperlink r:id="rId8" w:history="1">
        <w:r w:rsidRPr="1E79C808">
          <w:rPr>
            <w:rStyle w:val="Hyperlink"/>
            <w:rFonts w:ascii="Times New Roman" w:hAnsi="Times New Roman"/>
            <w:sz w:val="24"/>
            <w:szCs w:val="24"/>
          </w:rPr>
          <w:t>Emily.Peterson@fda.hhs.gov</w:t>
        </w:r>
      </w:hyperlink>
    </w:p>
    <w:p w14:paraId="16E7487E" w14:textId="006654E7" w:rsidR="005C0FF9" w:rsidRPr="0069105F" w:rsidRDefault="005C0FF9"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sz w:val="24"/>
          <w:szCs w:val="24"/>
        </w:rPr>
      </w:pPr>
    </w:p>
    <w:p w14:paraId="13DE660E" w14:textId="517A7658" w:rsidR="005C0FF9" w:rsidRPr="001F0C3E" w:rsidRDefault="00517ED0"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sz w:val="24"/>
          <w:szCs w:val="24"/>
        </w:rPr>
        <w:tab/>
      </w:r>
      <w:r w:rsidR="1E79C808" w:rsidRPr="1E79C808">
        <w:rPr>
          <w:rFonts w:ascii="Times New Roman" w:hAnsi="Times New Roman"/>
          <w:sz w:val="24"/>
          <w:szCs w:val="24"/>
        </w:rPr>
        <w:t xml:space="preserve">FDA collaborates with other federal government agencies that sponsor or endorse health communication projects, such as the Centers for Disease Control and Prevention, Office on Smoking and Health (CDC/OSH), the Substance Abuse and Mental Health Services </w:t>
      </w:r>
      <w:r w:rsidR="1E79C808" w:rsidRPr="00F63F23">
        <w:rPr>
          <w:rFonts w:ascii="Times New Roman" w:hAnsi="Times New Roman"/>
          <w:sz w:val="24"/>
          <w:szCs w:val="24"/>
        </w:rPr>
        <w:t>Administration (SAMHSA) and the National Institutes of Health National Cancer Institute (NIH/NCI). These affiliations serve as information channels, help prevent redundancy, and promote use of consistent measures of effectiveness. Coordination activities include:</w:t>
      </w:r>
    </w:p>
    <w:p w14:paraId="50A4A110" w14:textId="412C1A88" w:rsidR="005C0FF9" w:rsidRPr="001F0C3E" w:rsidRDefault="1E79C808" w:rsidP="001F0C3E">
      <w:pPr>
        <w:pStyle w:val="ListParagraph"/>
        <w:numPr>
          <w:ilvl w:val="0"/>
          <w:numId w:val="45"/>
        </w:numPr>
        <w:rPr>
          <w:rFonts w:ascii="Times New Roman" w:eastAsia="Courier 10cpi" w:hAnsi="Times New Roman"/>
          <w:sz w:val="24"/>
          <w:szCs w:val="24"/>
        </w:rPr>
      </w:pPr>
      <w:r w:rsidRPr="001F0C3E">
        <w:rPr>
          <w:rFonts w:ascii="Times New Roman" w:eastAsia="Courier 10cpi" w:hAnsi="Times New Roman"/>
          <w:sz w:val="24"/>
          <w:szCs w:val="24"/>
        </w:rPr>
        <w:t xml:space="preserve">Review of proposed messages for </w:t>
      </w:r>
      <w:proofErr w:type="gramStart"/>
      <w:r w:rsidRPr="001F0C3E">
        <w:rPr>
          <w:rFonts w:ascii="Times New Roman" w:eastAsia="Courier 10cpi" w:hAnsi="Times New Roman"/>
          <w:sz w:val="24"/>
          <w:szCs w:val="24"/>
        </w:rPr>
        <w:t>advertisements;</w:t>
      </w:r>
      <w:proofErr w:type="gramEnd"/>
    </w:p>
    <w:p w14:paraId="4928B30B" w14:textId="1FCCF025" w:rsidR="005C0FF9" w:rsidRPr="001F0C3E" w:rsidRDefault="1E79C808" w:rsidP="001F0C3E">
      <w:pPr>
        <w:pStyle w:val="ListParagraph"/>
        <w:numPr>
          <w:ilvl w:val="0"/>
          <w:numId w:val="45"/>
        </w:numPr>
        <w:rPr>
          <w:rFonts w:ascii="Times New Roman" w:eastAsia="Courier 10cpi" w:hAnsi="Times New Roman"/>
          <w:sz w:val="24"/>
          <w:szCs w:val="24"/>
        </w:rPr>
      </w:pPr>
      <w:r w:rsidRPr="001F0C3E">
        <w:rPr>
          <w:rFonts w:ascii="Times New Roman" w:eastAsia="Courier 10cpi" w:hAnsi="Times New Roman"/>
          <w:sz w:val="24"/>
          <w:szCs w:val="24"/>
        </w:rPr>
        <w:t xml:space="preserve">Review of questionnaires for testing </w:t>
      </w:r>
      <w:proofErr w:type="gramStart"/>
      <w:r w:rsidRPr="001F0C3E">
        <w:rPr>
          <w:rFonts w:ascii="Times New Roman" w:eastAsia="Courier 10cpi" w:hAnsi="Times New Roman"/>
          <w:sz w:val="24"/>
          <w:szCs w:val="24"/>
        </w:rPr>
        <w:t>purposes;</w:t>
      </w:r>
      <w:proofErr w:type="gramEnd"/>
    </w:p>
    <w:p w14:paraId="6E6CEF33" w14:textId="3CDDBD19" w:rsidR="005C0FF9" w:rsidRPr="001F0C3E" w:rsidRDefault="1E79C808" w:rsidP="001F0C3E">
      <w:pPr>
        <w:pStyle w:val="ListParagraph"/>
        <w:numPr>
          <w:ilvl w:val="0"/>
          <w:numId w:val="45"/>
        </w:numPr>
        <w:rPr>
          <w:rFonts w:ascii="Times New Roman" w:eastAsia="Courier 10cpi" w:hAnsi="Times New Roman"/>
          <w:sz w:val="24"/>
          <w:szCs w:val="24"/>
        </w:rPr>
      </w:pPr>
      <w:r w:rsidRPr="001F0C3E">
        <w:rPr>
          <w:rFonts w:ascii="Times New Roman" w:eastAsia="Courier 10cpi" w:hAnsi="Times New Roman"/>
          <w:sz w:val="24"/>
          <w:szCs w:val="24"/>
        </w:rPr>
        <w:t>Sharing data; and</w:t>
      </w:r>
    </w:p>
    <w:p w14:paraId="20F781F1" w14:textId="1F52C626" w:rsidR="005C0FF9" w:rsidRPr="00366283" w:rsidRDefault="1E79C808" w:rsidP="002728D8">
      <w:pPr>
        <w:pStyle w:val="ListParagraph"/>
        <w:numPr>
          <w:ilvl w:val="0"/>
          <w:numId w:val="45"/>
        </w:numPr>
        <w:rPr>
          <w:rFonts w:ascii="Times New Roman" w:hAnsi="Times New Roman"/>
          <w:sz w:val="24"/>
          <w:szCs w:val="24"/>
        </w:rPr>
      </w:pPr>
      <w:r w:rsidRPr="00366283">
        <w:rPr>
          <w:rFonts w:ascii="Times New Roman" w:eastAsia="Courier 10cpi" w:hAnsi="Times New Roman"/>
          <w:sz w:val="24"/>
          <w:szCs w:val="24"/>
        </w:rPr>
        <w:t xml:space="preserve">Standardizing survey tools where at all possible. </w:t>
      </w:r>
      <w:r w:rsidRPr="00366283">
        <w:rPr>
          <w:rFonts w:ascii="Times New Roman" w:hAnsi="Times New Roman"/>
          <w:sz w:val="24"/>
          <w:szCs w:val="24"/>
        </w:rPr>
        <w:t xml:space="preserve"> </w:t>
      </w:r>
    </w:p>
    <w:p w14:paraId="21A7BBEA" w14:textId="18DC527D" w:rsidR="005C0FF9" w:rsidRPr="0069105F" w:rsidRDefault="1E79C808" w:rsidP="5BD0BABC">
      <w:pPr>
        <w:rPr>
          <w:rFonts w:ascii="Times New Roman" w:hAnsi="Times New Roman"/>
          <w:sz w:val="24"/>
          <w:szCs w:val="24"/>
        </w:rPr>
      </w:pPr>
      <w:r w:rsidRPr="5BD0BABC">
        <w:rPr>
          <w:rFonts w:ascii="Times New Roman" w:hAnsi="Times New Roman"/>
          <w:sz w:val="24"/>
          <w:szCs w:val="24"/>
        </w:rPr>
        <w:t>The following individuals outside of the agency have been consulted on questionnaire development.</w:t>
      </w:r>
    </w:p>
    <w:p w14:paraId="1B492C25" w14:textId="64AC8C45" w:rsidR="005C0FF9" w:rsidRPr="0069105F" w:rsidRDefault="005C0FF9" w:rsidP="5BD0B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sz w:val="24"/>
          <w:szCs w:val="24"/>
        </w:rPr>
      </w:pPr>
    </w:p>
    <w:p w14:paraId="1D0720E0" w14:textId="00ACBCD0"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Susana Peinado</w:t>
      </w:r>
    </w:p>
    <w:p w14:paraId="2EA169C6" w14:textId="63962BF1"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RTI International</w:t>
      </w:r>
    </w:p>
    <w:p w14:paraId="50D1C68B" w14:textId="3965BEED"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3040 Cornwallis Road</w:t>
      </w:r>
    </w:p>
    <w:p w14:paraId="26A93DCB" w14:textId="03973FF9"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Research Triangle Park, NC 27709</w:t>
      </w:r>
    </w:p>
    <w:p w14:paraId="2A59FA71" w14:textId="68B2364A"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Phone: 919-316-3190</w:t>
      </w:r>
    </w:p>
    <w:p w14:paraId="6B0928C1" w14:textId="55151596"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 xml:space="preserve">E-mail: </w:t>
      </w:r>
      <w:hyperlink r:id="rId9" w:history="1">
        <w:r w:rsidRPr="5BD0BABC">
          <w:rPr>
            <w:rStyle w:val="Hyperlink"/>
            <w:rFonts w:ascii="Times New Roman" w:hAnsi="Times New Roman"/>
          </w:rPr>
          <w:t>speinado@rti.org</w:t>
        </w:r>
      </w:hyperlink>
    </w:p>
    <w:p w14:paraId="7A60CD57" w14:textId="414F05C8" w:rsidR="1E79C808" w:rsidRDefault="1E79C808" w:rsidP="5BD0BABC">
      <w:pPr>
        <w:rPr>
          <w:rFonts w:ascii="Times New Roman" w:hAnsi="Times New Roman"/>
          <w:color w:val="000000" w:themeColor="text1"/>
          <w:sz w:val="24"/>
          <w:szCs w:val="24"/>
        </w:rPr>
      </w:pPr>
    </w:p>
    <w:p w14:paraId="4BB9A59D" w14:textId="181BDDB5"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Laura Baum</w:t>
      </w:r>
    </w:p>
    <w:p w14:paraId="19AD9FB0" w14:textId="70C3D16B"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RTI International</w:t>
      </w:r>
    </w:p>
    <w:p w14:paraId="1DDCFB32" w14:textId="1294AC63"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3040 Cornwallis Road</w:t>
      </w:r>
    </w:p>
    <w:p w14:paraId="087EC63F" w14:textId="3659859A"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Research Triangle Park, NC 27709</w:t>
      </w:r>
    </w:p>
    <w:p w14:paraId="5A89A325" w14:textId="14FF3AC7"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Phone: 770-234-5017</w:t>
      </w:r>
    </w:p>
    <w:p w14:paraId="692E9498" w14:textId="131B182B"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 xml:space="preserve">E-mail: </w:t>
      </w:r>
      <w:hyperlink r:id="rId10" w:history="1">
        <w:r w:rsidRPr="5BD0BABC">
          <w:rPr>
            <w:rStyle w:val="Hyperlink"/>
            <w:rFonts w:ascii="Times New Roman" w:hAnsi="Times New Roman"/>
          </w:rPr>
          <w:t>lbaum@rti.org</w:t>
        </w:r>
      </w:hyperlink>
    </w:p>
    <w:p w14:paraId="04A7374C" w14:textId="02690A5E" w:rsidR="1E79C808" w:rsidRDefault="1E79C808" w:rsidP="5BD0BABC">
      <w:pPr>
        <w:rPr>
          <w:rFonts w:ascii="Times New Roman" w:hAnsi="Times New Roman"/>
          <w:color w:val="000000" w:themeColor="text1"/>
          <w:sz w:val="24"/>
          <w:szCs w:val="24"/>
        </w:rPr>
      </w:pPr>
    </w:p>
    <w:p w14:paraId="113BB9E5" w14:textId="30311B6B"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Matt Eggers</w:t>
      </w:r>
    </w:p>
    <w:p w14:paraId="3890CD76" w14:textId="34E5E178"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RTI International</w:t>
      </w:r>
    </w:p>
    <w:p w14:paraId="040DCDEC" w14:textId="773DB672"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3040 Cornwallis Road</w:t>
      </w:r>
    </w:p>
    <w:p w14:paraId="37EE87AC" w14:textId="747914A9"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Research Triangle Park, NC 27709</w:t>
      </w:r>
    </w:p>
    <w:p w14:paraId="49E73B8A" w14:textId="467FB43E"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Phone: 919-541-6683</w:t>
      </w:r>
    </w:p>
    <w:p w14:paraId="1C0D727C" w14:textId="6CDDE1D0"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 xml:space="preserve">E-mail: </w:t>
      </w:r>
      <w:hyperlink r:id="rId11" w:history="1">
        <w:r w:rsidRPr="5BD0BABC">
          <w:rPr>
            <w:rStyle w:val="Hyperlink"/>
            <w:rFonts w:ascii="Times New Roman" w:hAnsi="Times New Roman"/>
          </w:rPr>
          <w:t>meggers@rti.org</w:t>
        </w:r>
      </w:hyperlink>
    </w:p>
    <w:p w14:paraId="12BF2E06" w14:textId="270E6227" w:rsidR="1E79C808" w:rsidRDefault="1E79C808" w:rsidP="5BD0BABC">
      <w:pPr>
        <w:rPr>
          <w:rFonts w:ascii="Times New Roman" w:hAnsi="Times New Roman"/>
          <w:color w:val="000000" w:themeColor="text1"/>
          <w:sz w:val="24"/>
          <w:szCs w:val="24"/>
        </w:rPr>
      </w:pPr>
    </w:p>
    <w:p w14:paraId="58DD075A" w14:textId="31E14BC0"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James Nonnemaker</w:t>
      </w:r>
    </w:p>
    <w:p w14:paraId="0FAC8257" w14:textId="5B26B26A"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RTI International</w:t>
      </w:r>
    </w:p>
    <w:p w14:paraId="4C4500E8" w14:textId="1DAEE02F"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3040 Cornwallis Road</w:t>
      </w:r>
    </w:p>
    <w:p w14:paraId="178F96CA" w14:textId="3AE255B6"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Research Triangle Park, NC 27709</w:t>
      </w:r>
    </w:p>
    <w:p w14:paraId="0AF48818" w14:textId="1ACDF746"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Phone: 919-541-7064</w:t>
      </w:r>
    </w:p>
    <w:p w14:paraId="1CEE1F52" w14:textId="706E3396" w:rsidR="1E79C808" w:rsidRDefault="5BD0BABC" w:rsidP="5BD0BABC">
      <w:pPr>
        <w:rPr>
          <w:rFonts w:ascii="Times New Roman" w:hAnsi="Times New Roman"/>
          <w:color w:val="000000" w:themeColor="text1"/>
          <w:sz w:val="24"/>
          <w:szCs w:val="24"/>
        </w:rPr>
      </w:pPr>
      <w:r w:rsidRPr="5BD0BABC">
        <w:rPr>
          <w:rFonts w:ascii="Times New Roman" w:hAnsi="Times New Roman"/>
          <w:color w:val="000000" w:themeColor="text1"/>
          <w:sz w:val="24"/>
          <w:szCs w:val="24"/>
        </w:rPr>
        <w:t xml:space="preserve">E-mail: </w:t>
      </w:r>
      <w:hyperlink r:id="rId12" w:history="1">
        <w:r w:rsidRPr="5BD0BABC">
          <w:rPr>
            <w:rStyle w:val="Hyperlink"/>
            <w:rFonts w:ascii="Times New Roman" w:hAnsi="Times New Roman"/>
            <w:sz w:val="24"/>
            <w:szCs w:val="24"/>
          </w:rPr>
          <w:t>jnonnemaker@rti.org</w:t>
        </w:r>
      </w:hyperlink>
    </w:p>
    <w:p w14:paraId="33628854" w14:textId="77777777" w:rsidR="00581DB5" w:rsidRPr="002051D8" w:rsidRDefault="00581DB5" w:rsidP="005E5681">
      <w:pPr>
        <w:rPr>
          <w:rFonts w:ascii="Times New Roman" w:hAnsi="Times New Roman"/>
          <w:sz w:val="24"/>
          <w:szCs w:val="24"/>
        </w:rPr>
      </w:pPr>
    </w:p>
    <w:p w14:paraId="6614D55B"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1" w:name="_Toc239649230"/>
      <w:bookmarkStart w:id="12" w:name="_Hlk99452618"/>
      <w:r w:rsidRPr="002051D8">
        <w:rPr>
          <w:rFonts w:ascii="Times New Roman" w:hAnsi="Times New Roman"/>
          <w:b/>
          <w:bCs/>
          <w:sz w:val="24"/>
          <w:szCs w:val="24"/>
        </w:rPr>
        <w:t xml:space="preserve">9.  </w:t>
      </w:r>
      <w:r w:rsidRPr="002051D8">
        <w:rPr>
          <w:rFonts w:ascii="Times New Roman" w:hAnsi="Times New Roman"/>
          <w:b/>
          <w:bCs/>
          <w:sz w:val="24"/>
          <w:szCs w:val="24"/>
          <w:u w:val="single"/>
        </w:rPr>
        <w:t>Explanation of Any Payment or Gift to Respondents</w:t>
      </w:r>
      <w:bookmarkEnd w:id="11"/>
    </w:p>
    <w:p w14:paraId="4849F1E7" w14:textId="77777777" w:rsidR="00581DB5" w:rsidRDefault="00581DB5"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rPr>
      </w:pPr>
      <w:bookmarkStart w:id="13" w:name="_Toc239649231"/>
    </w:p>
    <w:p w14:paraId="10317444" w14:textId="31D96845" w:rsidR="00251938" w:rsidRDefault="00517ED0" w:rsidP="103F6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r>
        <w:rPr>
          <w:rFonts w:ascii="Times New Roman" w:hAnsi="Times New Roman"/>
          <w:sz w:val="24"/>
          <w:szCs w:val="24"/>
        </w:rPr>
        <w:tab/>
      </w:r>
      <w:r w:rsidR="00251938" w:rsidRPr="7C2B7A89">
        <w:rPr>
          <w:rFonts w:ascii="Times New Roman" w:hAnsi="Times New Roman"/>
          <w:sz w:val="24"/>
          <w:szCs w:val="24"/>
        </w:rPr>
        <w:t>Lightspeed</w:t>
      </w:r>
      <w:r w:rsidR="00EB28BE">
        <w:rPr>
          <w:rFonts w:ascii="Times New Roman" w:hAnsi="Times New Roman"/>
          <w:sz w:val="24"/>
          <w:szCs w:val="24"/>
        </w:rPr>
        <w:t xml:space="preserve">, the </w:t>
      </w:r>
      <w:r w:rsidR="00EB28BE" w:rsidRPr="00633961">
        <w:rPr>
          <w:rFonts w:ascii="Times New Roman" w:hAnsi="Times New Roman"/>
          <w:sz w:val="24"/>
          <w:szCs w:val="24"/>
        </w:rPr>
        <w:t>online survey vendor</w:t>
      </w:r>
      <w:r w:rsidR="00EB28BE">
        <w:rPr>
          <w:rFonts w:ascii="Times New Roman" w:hAnsi="Times New Roman"/>
          <w:sz w:val="24"/>
          <w:szCs w:val="24"/>
        </w:rPr>
        <w:t>,</w:t>
      </w:r>
      <w:r w:rsidR="00251938" w:rsidRPr="7C2B7A89">
        <w:rPr>
          <w:rFonts w:ascii="Times New Roman" w:hAnsi="Times New Roman"/>
          <w:sz w:val="24"/>
          <w:szCs w:val="24"/>
        </w:rPr>
        <w:t xml:space="preserve"> will provide a nonmonetary reward valued at approximately $1.00-1.25 to </w:t>
      </w:r>
      <w:r w:rsidR="00EB28BE">
        <w:rPr>
          <w:rFonts w:ascii="Times New Roman" w:hAnsi="Times New Roman"/>
          <w:sz w:val="24"/>
          <w:szCs w:val="24"/>
        </w:rPr>
        <w:t xml:space="preserve">participants </w:t>
      </w:r>
      <w:r w:rsidR="00EB28BE" w:rsidRPr="7C2B7A89">
        <w:rPr>
          <w:rFonts w:ascii="Times New Roman" w:hAnsi="Times New Roman"/>
          <w:sz w:val="24"/>
          <w:szCs w:val="24"/>
        </w:rPr>
        <w:t xml:space="preserve">who complete </w:t>
      </w:r>
      <w:r w:rsidR="00EB28BE">
        <w:rPr>
          <w:rFonts w:ascii="Times New Roman" w:hAnsi="Times New Roman"/>
          <w:sz w:val="24"/>
          <w:szCs w:val="24"/>
        </w:rPr>
        <w:t>the</w:t>
      </w:r>
      <w:r w:rsidR="00EB28BE" w:rsidRPr="7C2B7A89">
        <w:rPr>
          <w:rFonts w:ascii="Times New Roman" w:hAnsi="Times New Roman"/>
          <w:sz w:val="24"/>
          <w:szCs w:val="24"/>
        </w:rPr>
        <w:t xml:space="preserve"> survey</w:t>
      </w:r>
      <w:r w:rsidR="00EB28BE">
        <w:rPr>
          <w:rFonts w:ascii="Times New Roman" w:hAnsi="Times New Roman"/>
          <w:sz w:val="24"/>
          <w:szCs w:val="24"/>
        </w:rPr>
        <w:t xml:space="preserve"> through the </w:t>
      </w:r>
      <w:r w:rsidR="00251938" w:rsidRPr="7C2B7A89">
        <w:rPr>
          <w:rFonts w:ascii="Times New Roman" w:hAnsi="Times New Roman"/>
          <w:sz w:val="24"/>
          <w:szCs w:val="24"/>
        </w:rPr>
        <w:t>parent</w:t>
      </w:r>
      <w:r w:rsidR="00EB28BE">
        <w:rPr>
          <w:rFonts w:ascii="Times New Roman" w:hAnsi="Times New Roman"/>
          <w:sz w:val="24"/>
          <w:szCs w:val="24"/>
        </w:rPr>
        <w:t>’</w:t>
      </w:r>
      <w:r w:rsidR="00251938" w:rsidRPr="7C2B7A89">
        <w:rPr>
          <w:rFonts w:ascii="Times New Roman" w:hAnsi="Times New Roman"/>
          <w:sz w:val="24"/>
          <w:szCs w:val="24"/>
        </w:rPr>
        <w:t>s</w:t>
      </w:r>
      <w:r w:rsidR="00974989">
        <w:rPr>
          <w:rFonts w:ascii="Times New Roman" w:hAnsi="Times New Roman"/>
          <w:sz w:val="24"/>
          <w:szCs w:val="24"/>
        </w:rPr>
        <w:t>/</w:t>
      </w:r>
      <w:r w:rsidR="00EB28BE">
        <w:rPr>
          <w:rFonts w:ascii="Times New Roman" w:hAnsi="Times New Roman"/>
          <w:sz w:val="24"/>
          <w:szCs w:val="24"/>
        </w:rPr>
        <w:t>guardian’s Lightspeed account</w:t>
      </w:r>
      <w:r w:rsidR="00251938" w:rsidRPr="7C2B7A89">
        <w:rPr>
          <w:rFonts w:ascii="Times New Roman" w:hAnsi="Times New Roman"/>
          <w:sz w:val="24"/>
          <w:szCs w:val="24"/>
        </w:rPr>
        <w:t xml:space="preserve">. The reward is a routine part of Lightspeed’s panel maintenance strategy and can be accrued and traded for material items with Lightspeed partner vendors (e.g., Amazon.com, Starbucks) or for cash. For parents who are recruited from partner survey vendors, the partner company will provide equivalent compensation in the form typically used by that company with its panelists. </w:t>
      </w:r>
    </w:p>
    <w:p w14:paraId="75F5CD53" w14:textId="77777777" w:rsidR="00DA295A" w:rsidRDefault="00DA295A" w:rsidP="0069105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p>
    <w:bookmarkEnd w:id="12"/>
    <w:p w14:paraId="066AA0FF" w14:textId="188A84A6" w:rsidR="00581DB5" w:rsidRDefault="00F10DF8" w:rsidP="103F6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rPr>
          <w:rFonts w:ascii="Times New Roman" w:hAnsi="Times New Roman"/>
          <w:sz w:val="24"/>
          <w:szCs w:val="24"/>
        </w:rPr>
      </w:pPr>
      <w:r>
        <w:rPr>
          <w:rFonts w:ascii="Times New Roman" w:hAnsi="Times New Roman"/>
          <w:bCs/>
          <w:sz w:val="24"/>
          <w:szCs w:val="24"/>
        </w:rPr>
        <w:tab/>
      </w:r>
      <w:r w:rsidR="00251938" w:rsidRPr="103F628B">
        <w:rPr>
          <w:rFonts w:ascii="Times New Roman" w:hAnsi="Times New Roman"/>
          <w:sz w:val="24"/>
          <w:szCs w:val="24"/>
        </w:rPr>
        <w:t xml:space="preserve">The use of compensation treats participants justly and with respect by recognizing and acknowledging the effort they expend to participate. In this research, we are asking participants to provide thought-intensive feedback on video ads that require a high level of engagement. </w:t>
      </w:r>
      <w:r w:rsidR="00581DB5" w:rsidRPr="103F628B">
        <w:rPr>
          <w:rFonts w:ascii="Times New Roman" w:hAnsi="Times New Roman"/>
          <w:sz w:val="24"/>
          <w:szCs w:val="24"/>
        </w:rPr>
        <w:t xml:space="preserve">We estimate that the survey will take </w:t>
      </w:r>
      <w:r w:rsidR="00BE75C4" w:rsidRPr="103F628B">
        <w:rPr>
          <w:rFonts w:ascii="Times New Roman" w:hAnsi="Times New Roman"/>
          <w:sz w:val="24"/>
          <w:szCs w:val="24"/>
        </w:rPr>
        <w:t>approximately 15</w:t>
      </w:r>
      <w:r w:rsidR="00581DB5" w:rsidRPr="103F628B">
        <w:rPr>
          <w:rFonts w:ascii="Times New Roman" w:hAnsi="Times New Roman"/>
          <w:sz w:val="24"/>
          <w:szCs w:val="24"/>
        </w:rPr>
        <w:t xml:space="preserve"> minutes to complete. The incentive </w:t>
      </w:r>
      <w:r w:rsidR="00B77B2A">
        <w:rPr>
          <w:rFonts w:ascii="Times New Roman" w:hAnsi="Times New Roman"/>
          <w:sz w:val="24"/>
          <w:szCs w:val="24"/>
        </w:rPr>
        <w:t>is</w:t>
      </w:r>
      <w:r w:rsidR="00581DB5" w:rsidRPr="103F628B">
        <w:rPr>
          <w:rFonts w:ascii="Times New Roman" w:hAnsi="Times New Roman"/>
          <w:sz w:val="24"/>
          <w:szCs w:val="24"/>
        </w:rPr>
        <w:t xml:space="preserve"> intended to recognize the time burden placed on participants, encourage their cooperation, and convey appreciation for contributing to this important study</w:t>
      </w:r>
      <w:r w:rsidR="00B77B2A">
        <w:rPr>
          <w:rFonts w:ascii="Times New Roman" w:hAnsi="Times New Roman"/>
          <w:sz w:val="24"/>
          <w:szCs w:val="24"/>
        </w:rPr>
        <w:t>. This incentive is</w:t>
      </w:r>
      <w:r w:rsidR="00581DB5" w:rsidRPr="103F628B">
        <w:rPr>
          <w:rFonts w:ascii="Times New Roman" w:hAnsi="Times New Roman"/>
          <w:sz w:val="24"/>
          <w:szCs w:val="24"/>
        </w:rPr>
        <w:t xml:space="preserve"> </w:t>
      </w:r>
      <w:proofErr w:type="gramStart"/>
      <w:r w:rsidR="00581DB5" w:rsidRPr="103F628B">
        <w:rPr>
          <w:rFonts w:ascii="Times New Roman" w:hAnsi="Times New Roman"/>
          <w:sz w:val="24"/>
          <w:szCs w:val="24"/>
        </w:rPr>
        <w:t>similar to</w:t>
      </w:r>
      <w:proofErr w:type="gramEnd"/>
      <w:r w:rsidR="00581DB5" w:rsidRPr="103F628B">
        <w:rPr>
          <w:rFonts w:ascii="Times New Roman" w:hAnsi="Times New Roman"/>
          <w:sz w:val="24"/>
          <w:szCs w:val="24"/>
        </w:rPr>
        <w:t xml:space="preserve"> incentives that are offered for most surveys of this type</w:t>
      </w:r>
      <w:r w:rsidR="00B77B2A">
        <w:rPr>
          <w:rFonts w:ascii="Times New Roman" w:hAnsi="Times New Roman"/>
          <w:sz w:val="24"/>
          <w:szCs w:val="24"/>
        </w:rPr>
        <w:t xml:space="preserve"> and is consistent with the rate for minimum wage.</w:t>
      </w:r>
      <w:r w:rsidR="00581DB5" w:rsidRPr="103F628B">
        <w:rPr>
          <w:rFonts w:ascii="Times New Roman" w:hAnsi="Times New Roman"/>
          <w:sz w:val="24"/>
          <w:szCs w:val="24"/>
        </w:rPr>
        <w:t xml:space="preserve"> </w:t>
      </w:r>
    </w:p>
    <w:p w14:paraId="39309BFB" w14:textId="6CD23B4F" w:rsidR="00581DB5" w:rsidRDefault="001D0A3E" w:rsidP="00366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rPr>
          <w:rFonts w:ascii="Times New Roman" w:hAnsi="Times New Roman"/>
          <w:b/>
          <w:bCs/>
          <w:sz w:val="24"/>
          <w:szCs w:val="24"/>
        </w:rPr>
      </w:pPr>
      <w:r>
        <w:rPr>
          <w:rFonts w:ascii="Times New Roman" w:hAnsi="Times New Roman"/>
          <w:sz w:val="24"/>
          <w:szCs w:val="24"/>
        </w:rPr>
        <w:tab/>
      </w:r>
      <w:bookmarkStart w:id="14" w:name="_Hlk101873037"/>
      <w:r>
        <w:rPr>
          <w:rFonts w:ascii="Times New Roman" w:hAnsi="Times New Roman"/>
          <w:sz w:val="24"/>
          <w:szCs w:val="24"/>
        </w:rPr>
        <w:t xml:space="preserve">This token of appreciation is warranted </w:t>
      </w:r>
      <w:r w:rsidR="00E33A02">
        <w:rPr>
          <w:rFonts w:ascii="Times New Roman" w:hAnsi="Times New Roman"/>
          <w:sz w:val="24"/>
          <w:szCs w:val="24"/>
        </w:rPr>
        <w:t>since</w:t>
      </w:r>
      <w:r>
        <w:rPr>
          <w:rFonts w:ascii="Times New Roman" w:hAnsi="Times New Roman"/>
          <w:sz w:val="24"/>
          <w:szCs w:val="24"/>
        </w:rPr>
        <w:t xml:space="preserve"> we aim to recruit youth via their parents, who have many competing demands for their time. We also aim to overrecruit racial and ethnic minority participants, who are often difficult to reach, to align</w:t>
      </w:r>
      <w:r w:rsidR="0072476A">
        <w:rPr>
          <w:rFonts w:ascii="Times New Roman" w:hAnsi="Times New Roman"/>
          <w:sz w:val="24"/>
          <w:szCs w:val="24"/>
        </w:rPr>
        <w:t xml:space="preserve"> our sample</w:t>
      </w:r>
      <w:r>
        <w:rPr>
          <w:rFonts w:ascii="Times New Roman" w:hAnsi="Times New Roman"/>
          <w:sz w:val="24"/>
          <w:szCs w:val="24"/>
        </w:rPr>
        <w:t xml:space="preserve"> with population distributions</w:t>
      </w:r>
      <w:r w:rsidR="0072476A">
        <w:rPr>
          <w:rFonts w:ascii="Times New Roman" w:hAnsi="Times New Roman"/>
          <w:sz w:val="24"/>
          <w:szCs w:val="24"/>
        </w:rPr>
        <w:t>.</w:t>
      </w:r>
      <w:bookmarkEnd w:id="14"/>
    </w:p>
    <w:p w14:paraId="605CA0F4" w14:textId="024A5D11" w:rsidR="005C0FF9" w:rsidRDefault="005C0FF9" w:rsidP="7C2B7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7C2B7A89">
        <w:rPr>
          <w:rFonts w:ascii="Times New Roman" w:hAnsi="Times New Roman"/>
          <w:b/>
          <w:bCs/>
          <w:sz w:val="24"/>
          <w:szCs w:val="24"/>
        </w:rPr>
        <w:t xml:space="preserve">10.  </w:t>
      </w:r>
      <w:r w:rsidRPr="7C2B7A89">
        <w:rPr>
          <w:rFonts w:ascii="Times New Roman" w:hAnsi="Times New Roman"/>
          <w:b/>
          <w:bCs/>
          <w:sz w:val="24"/>
          <w:szCs w:val="24"/>
          <w:u w:val="single"/>
        </w:rPr>
        <w:t>Assurance of Confidentiality Provided to Respondents</w:t>
      </w:r>
      <w:bookmarkEnd w:id="13"/>
    </w:p>
    <w:p w14:paraId="47125181" w14:textId="2857D372" w:rsidR="7C2B7A89" w:rsidRDefault="7C2B7A89" w:rsidP="7C2B7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46C5C04" w14:textId="43549210" w:rsidR="7C2B7A89" w:rsidRDefault="1E79C808" w:rsidP="7C2B7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1E79C808">
        <w:rPr>
          <w:rFonts w:ascii="Times New Roman" w:hAnsi="Times New Roman"/>
          <w:sz w:val="24"/>
          <w:szCs w:val="24"/>
        </w:rPr>
        <w:t xml:space="preserve">OMB Control Number 0910-0810 is covered under a Privacy Impact Assessment that has been approved by the Department of Health and Human Services (PIA Unique Identifier: P-9008729-198376).  </w:t>
      </w:r>
    </w:p>
    <w:p w14:paraId="672A0D38" w14:textId="7CC71BED" w:rsidR="00917FED" w:rsidRPr="0069105F" w:rsidRDefault="00EB5ADD" w:rsidP="0069105F">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Times New Roman" w:hAnsi="Times New Roman"/>
          <w:sz w:val="24"/>
          <w:szCs w:val="24"/>
          <w:u w:val="single"/>
        </w:rPr>
      </w:pPr>
      <w:r w:rsidRPr="00157A67">
        <w:rPr>
          <w:rFonts w:ascii="Times New Roman" w:hAnsi="Times New Roman"/>
          <w:sz w:val="24"/>
          <w:szCs w:val="24"/>
          <w:u w:val="single"/>
        </w:rPr>
        <w:t>How Information will be Shared and for What Purposes</w:t>
      </w:r>
    </w:p>
    <w:p w14:paraId="0BFBF8EE" w14:textId="7417EB96" w:rsidR="00AA7B58" w:rsidRDefault="00F10DF8" w:rsidP="00F10DF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ab/>
      </w:r>
      <w:r w:rsidR="00AA7B58" w:rsidRPr="00AA7B58">
        <w:rPr>
          <w:rFonts w:ascii="Times New Roman" w:hAnsi="Times New Roman"/>
          <w:sz w:val="24"/>
          <w:szCs w:val="24"/>
        </w:rPr>
        <w:t>Concern for privacy and protection of respondents’ rights will play a central role in the study implementation, storage and handling of data, and data analysis and reporting. The Institutional Review Board (IRB) of RTI International, the research organization contracted to manage data collection has reviewed and approved the protocols for the survey. FDA’s Research Involving Human Subjects Committee (RIHSC) conducted a courtesy review before submission to RTI IRB. The primary concern of IRB is protecting respondents’ rights, one of which is maintaining the privacy of respondent information.</w:t>
      </w:r>
    </w:p>
    <w:p w14:paraId="2113C323" w14:textId="77777777" w:rsidR="00AA7B58" w:rsidRDefault="00AA7B58" w:rsidP="0069105F">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785E8E7" w14:textId="5C8979D5" w:rsidR="00917FED" w:rsidRDefault="00917FED" w:rsidP="0069105F">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57A67">
        <w:rPr>
          <w:rFonts w:ascii="Times New Roman" w:hAnsi="Times New Roman"/>
          <w:sz w:val="24"/>
          <w:szCs w:val="24"/>
        </w:rPr>
        <w:lastRenderedPageBreak/>
        <w:t xml:space="preserve">Privacy for survey respondents will be ensured in </w:t>
      </w:r>
      <w:proofErr w:type="gramStart"/>
      <w:r w:rsidRPr="00157A67">
        <w:rPr>
          <w:rFonts w:ascii="Times New Roman" w:hAnsi="Times New Roman"/>
          <w:sz w:val="24"/>
          <w:szCs w:val="24"/>
        </w:rPr>
        <w:t>a number of</w:t>
      </w:r>
      <w:proofErr w:type="gramEnd"/>
      <w:r w:rsidRPr="00157A67">
        <w:rPr>
          <w:rFonts w:ascii="Times New Roman" w:hAnsi="Times New Roman"/>
          <w:sz w:val="24"/>
          <w:szCs w:val="24"/>
        </w:rPr>
        <w:t xml:space="preserve"> ways:</w:t>
      </w:r>
    </w:p>
    <w:p w14:paraId="7EA52931" w14:textId="77777777" w:rsidR="0069105F" w:rsidRPr="00157A67" w:rsidRDefault="0069105F" w:rsidP="0069105F">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D7F1804" w14:textId="16B6A805" w:rsidR="00157A67" w:rsidRPr="00157A67" w:rsidRDefault="00157A67" w:rsidP="0069105F">
      <w:pPr>
        <w:numPr>
          <w:ilvl w:val="0"/>
          <w:numId w:val="37"/>
        </w:numPr>
        <w:spacing w:after="120"/>
        <w:rPr>
          <w:rFonts w:ascii="Times New Roman" w:hAnsi="Times New Roman"/>
          <w:sz w:val="24"/>
          <w:szCs w:val="24"/>
        </w:rPr>
      </w:pPr>
      <w:r w:rsidRPr="00157A67">
        <w:rPr>
          <w:rFonts w:ascii="Times New Roman" w:hAnsi="Times New Roman"/>
          <w:sz w:val="24"/>
          <w:szCs w:val="24"/>
        </w:rPr>
        <w:t xml:space="preserve">Although demographic information (e.g., gender, age, and race) will be gathered, no direct personal identifiers (e.g., full name, phone number, social security number, etc.) will be collected or maintained as part of the screener or survey. As such, because it does not exist, no directly identifying information will be transmitted to </w:t>
      </w:r>
      <w:r w:rsidR="00F0044E">
        <w:rPr>
          <w:rFonts w:ascii="Times New Roman" w:hAnsi="Times New Roman"/>
          <w:sz w:val="24"/>
          <w:szCs w:val="24"/>
        </w:rPr>
        <w:t xml:space="preserve">FDA or </w:t>
      </w:r>
      <w:r w:rsidRPr="00157A67">
        <w:rPr>
          <w:rFonts w:ascii="Times New Roman" w:hAnsi="Times New Roman"/>
          <w:sz w:val="24"/>
          <w:szCs w:val="24"/>
        </w:rPr>
        <w:t xml:space="preserve">RTI.  </w:t>
      </w:r>
    </w:p>
    <w:p w14:paraId="1E845861" w14:textId="2D6CBC8B" w:rsidR="00917FED" w:rsidRPr="00157A67" w:rsidRDefault="00157A67" w:rsidP="0069105F">
      <w:pPr>
        <w:numPr>
          <w:ilvl w:val="0"/>
          <w:numId w:val="37"/>
        </w:numPr>
        <w:spacing w:after="120"/>
        <w:rPr>
          <w:rFonts w:ascii="Times New Roman" w:hAnsi="Times New Roman"/>
          <w:sz w:val="24"/>
          <w:szCs w:val="24"/>
        </w:rPr>
      </w:pPr>
      <w:r w:rsidRPr="00157A67">
        <w:rPr>
          <w:rFonts w:ascii="Times New Roman" w:hAnsi="Times New Roman"/>
          <w:sz w:val="24"/>
          <w:szCs w:val="24"/>
        </w:rPr>
        <w:t>Additionally, e</w:t>
      </w:r>
      <w:r w:rsidR="00917FED" w:rsidRPr="00157A67">
        <w:rPr>
          <w:rFonts w:ascii="Times New Roman" w:hAnsi="Times New Roman"/>
          <w:sz w:val="24"/>
          <w:szCs w:val="24"/>
        </w:rPr>
        <w:t>ach respondent will be known to FDA and RTI only by a unique alphanumeric ID variable provided by Lightspeed. That ID variable is specific to the study. Although Lightspeed and any partner survey vendors maintain databases of names and email addresses of potential participants as part of their normal operations, neither FDA nor RTI will receive or request this information from Lightspeed.</w:t>
      </w:r>
    </w:p>
    <w:p w14:paraId="502FDF36" w14:textId="66039178" w:rsidR="00AA7B58" w:rsidRPr="00AA7B58" w:rsidRDefault="00917FED">
      <w:pPr>
        <w:numPr>
          <w:ilvl w:val="0"/>
          <w:numId w:val="37"/>
        </w:numPr>
        <w:spacing w:after="120"/>
        <w:rPr>
          <w:rFonts w:ascii="Times New Roman" w:hAnsi="Times New Roman"/>
          <w:sz w:val="24"/>
          <w:szCs w:val="24"/>
        </w:rPr>
      </w:pPr>
      <w:r w:rsidRPr="00157A67">
        <w:rPr>
          <w:rFonts w:ascii="Times New Roman" w:hAnsi="Times New Roman"/>
          <w:sz w:val="24"/>
          <w:szCs w:val="24"/>
        </w:rPr>
        <w:t>Lightspeed will not use the data it collects through the screener or survey to update panelists’ profiles. Because Lightspeed will not share the data it collects from the screener or survey with the companies they partner with for recruitment, it will not be possible for the partners to use this data to update profiles of their own panel members.</w:t>
      </w:r>
    </w:p>
    <w:p w14:paraId="731D585D" w14:textId="4D53EE8B" w:rsidR="0069105F" w:rsidRPr="0069105F" w:rsidRDefault="00917FED" w:rsidP="0069105F">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Times New Roman" w:hAnsi="Times New Roman"/>
          <w:sz w:val="24"/>
          <w:szCs w:val="24"/>
          <w:u w:val="single"/>
        </w:rPr>
      </w:pPr>
      <w:r w:rsidRPr="0069105F">
        <w:rPr>
          <w:rFonts w:ascii="Times New Roman" w:hAnsi="Times New Roman"/>
          <w:sz w:val="24"/>
          <w:szCs w:val="24"/>
          <w:u w:val="single"/>
        </w:rPr>
        <w:t xml:space="preserve">Voluntary Participation </w:t>
      </w:r>
    </w:p>
    <w:p w14:paraId="37C5F9CD" w14:textId="0A03262D" w:rsidR="00917FED" w:rsidRPr="00157A67" w:rsidRDefault="00917FED" w:rsidP="0069105F">
      <w:pPr>
        <w:numPr>
          <w:ilvl w:val="0"/>
          <w:numId w:val="37"/>
        </w:numPr>
        <w:spacing w:after="120"/>
        <w:rPr>
          <w:rFonts w:ascii="Times New Roman" w:hAnsi="Times New Roman"/>
          <w:sz w:val="24"/>
          <w:szCs w:val="24"/>
        </w:rPr>
      </w:pPr>
      <w:r w:rsidRPr="00157A67">
        <w:rPr>
          <w:rFonts w:ascii="Times New Roman" w:hAnsi="Times New Roman"/>
          <w:sz w:val="24"/>
          <w:szCs w:val="24"/>
        </w:rPr>
        <w:t xml:space="preserve">Lightspeed will invite youth of adult panel participants to complete the survey through an email invitation to their parent. If affirmative </w:t>
      </w:r>
      <w:r w:rsidR="00F02B92">
        <w:rPr>
          <w:rFonts w:ascii="Times New Roman" w:hAnsi="Times New Roman"/>
          <w:sz w:val="24"/>
          <w:szCs w:val="24"/>
        </w:rPr>
        <w:t>parental informed consent</w:t>
      </w:r>
      <w:r w:rsidR="00F02B92" w:rsidRPr="00157A67">
        <w:rPr>
          <w:rFonts w:ascii="Times New Roman" w:hAnsi="Times New Roman"/>
          <w:sz w:val="24"/>
          <w:szCs w:val="24"/>
        </w:rPr>
        <w:t xml:space="preserve"> </w:t>
      </w:r>
      <w:r w:rsidRPr="00157A67">
        <w:rPr>
          <w:rFonts w:ascii="Times New Roman" w:hAnsi="Times New Roman"/>
          <w:sz w:val="24"/>
          <w:szCs w:val="24"/>
        </w:rPr>
        <w:t>is provided online, parents will be asked to allow their child to complete the</w:t>
      </w:r>
      <w:r w:rsidR="00F02B92">
        <w:rPr>
          <w:rFonts w:ascii="Times New Roman" w:hAnsi="Times New Roman"/>
          <w:sz w:val="24"/>
          <w:szCs w:val="24"/>
        </w:rPr>
        <w:t>ir consent</w:t>
      </w:r>
      <w:r w:rsidR="004276EB">
        <w:rPr>
          <w:rFonts w:ascii="Times New Roman" w:hAnsi="Times New Roman"/>
          <w:sz w:val="24"/>
          <w:szCs w:val="24"/>
        </w:rPr>
        <w:t>,</w:t>
      </w:r>
      <w:r w:rsidRPr="00157A67">
        <w:rPr>
          <w:rFonts w:ascii="Times New Roman" w:hAnsi="Times New Roman"/>
          <w:sz w:val="24"/>
          <w:szCs w:val="24"/>
        </w:rPr>
        <w:t xml:space="preserve"> screener</w:t>
      </w:r>
      <w:r w:rsidR="00F02B92">
        <w:rPr>
          <w:rFonts w:ascii="Times New Roman" w:hAnsi="Times New Roman"/>
          <w:sz w:val="24"/>
          <w:szCs w:val="24"/>
        </w:rPr>
        <w:t>,</w:t>
      </w:r>
      <w:r w:rsidRPr="00157A67">
        <w:rPr>
          <w:rFonts w:ascii="Times New Roman" w:hAnsi="Times New Roman"/>
          <w:sz w:val="24"/>
          <w:szCs w:val="24"/>
        </w:rPr>
        <w:t xml:space="preserve"> and survey in private, so they cannot see the responses. Youth participants will also be informed that their answers will not be shared with their parents.</w:t>
      </w:r>
    </w:p>
    <w:p w14:paraId="77CA2E13" w14:textId="62BA9FD5" w:rsidR="00F02B92" w:rsidRPr="0069105F" w:rsidRDefault="00917FED" w:rsidP="0069105F">
      <w:pPr>
        <w:numPr>
          <w:ilvl w:val="0"/>
          <w:numId w:val="37"/>
        </w:numPr>
        <w:spacing w:after="120"/>
        <w:rPr>
          <w:rFonts w:ascii="Times New Roman" w:hAnsi="Times New Roman"/>
          <w:sz w:val="24"/>
          <w:szCs w:val="24"/>
        </w:rPr>
      </w:pPr>
      <w:r w:rsidRPr="00157A67">
        <w:rPr>
          <w:rFonts w:ascii="Times New Roman" w:hAnsi="Times New Roman"/>
          <w:sz w:val="24"/>
          <w:szCs w:val="24"/>
        </w:rPr>
        <w:t xml:space="preserve">The online survey is self-administered, and respondents will participate on a voluntary basis. Questions in the screener are required for determining eligibility; however, respondents can exit the survey by closing the browser if they do not wish to answer these. All other questions are optional. The voluntary nature of the </w:t>
      </w:r>
      <w:r w:rsidRPr="00731B04">
        <w:rPr>
          <w:rFonts w:ascii="Times New Roman" w:hAnsi="Times New Roman"/>
          <w:sz w:val="24"/>
          <w:szCs w:val="24"/>
        </w:rPr>
        <w:t xml:space="preserve">information collection is described in the online parental </w:t>
      </w:r>
      <w:r w:rsidR="00F02B92">
        <w:rPr>
          <w:rFonts w:ascii="Times New Roman" w:hAnsi="Times New Roman"/>
          <w:sz w:val="24"/>
          <w:szCs w:val="24"/>
        </w:rPr>
        <w:t>consent</w:t>
      </w:r>
      <w:r w:rsidR="00F02B92" w:rsidRPr="00731B04">
        <w:rPr>
          <w:rFonts w:ascii="Times New Roman" w:hAnsi="Times New Roman"/>
          <w:sz w:val="24"/>
          <w:szCs w:val="24"/>
        </w:rPr>
        <w:t xml:space="preserve"> </w:t>
      </w:r>
      <w:r w:rsidRPr="00731B04">
        <w:rPr>
          <w:rFonts w:ascii="Times New Roman" w:hAnsi="Times New Roman"/>
          <w:sz w:val="24"/>
          <w:szCs w:val="24"/>
        </w:rPr>
        <w:t xml:space="preserve">and </w:t>
      </w:r>
      <w:r w:rsidR="00F02B92">
        <w:rPr>
          <w:rFonts w:ascii="Times New Roman" w:hAnsi="Times New Roman"/>
          <w:sz w:val="24"/>
          <w:szCs w:val="24"/>
        </w:rPr>
        <w:t xml:space="preserve">youth </w:t>
      </w:r>
      <w:r w:rsidRPr="00731B04">
        <w:rPr>
          <w:rFonts w:ascii="Times New Roman" w:hAnsi="Times New Roman"/>
          <w:sz w:val="24"/>
          <w:szCs w:val="24"/>
        </w:rPr>
        <w:t>assent forms to which participants provide online affirmative agreement.</w:t>
      </w:r>
    </w:p>
    <w:p w14:paraId="7AEA0435" w14:textId="27F33439" w:rsidR="0069105F" w:rsidRPr="0069105F" w:rsidRDefault="00917FED" w:rsidP="0069105F">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Times New Roman" w:hAnsi="Times New Roman"/>
          <w:sz w:val="24"/>
          <w:szCs w:val="24"/>
          <w:u w:val="single"/>
        </w:rPr>
      </w:pPr>
      <w:r w:rsidRPr="0069105F">
        <w:rPr>
          <w:rFonts w:ascii="Times New Roman" w:hAnsi="Times New Roman"/>
          <w:sz w:val="24"/>
          <w:szCs w:val="24"/>
          <w:u w:val="single"/>
        </w:rPr>
        <w:t>Data Security</w:t>
      </w:r>
    </w:p>
    <w:p w14:paraId="0966A1B5" w14:textId="77777777" w:rsidR="00157A67" w:rsidRPr="00D73907" w:rsidRDefault="00917FED" w:rsidP="008A44AE">
      <w:pPr>
        <w:spacing w:after="120"/>
        <w:rPr>
          <w:rFonts w:ascii="Times New Roman" w:hAnsi="Times New Roman"/>
          <w:i/>
          <w:iCs/>
          <w:sz w:val="24"/>
          <w:szCs w:val="24"/>
        </w:rPr>
      </w:pPr>
      <w:r w:rsidRPr="00D73907">
        <w:rPr>
          <w:rFonts w:ascii="Times New Roman" w:hAnsi="Times New Roman"/>
          <w:i/>
          <w:iCs/>
          <w:sz w:val="24"/>
          <w:szCs w:val="24"/>
        </w:rPr>
        <w:t xml:space="preserve">Online data collection: </w:t>
      </w:r>
    </w:p>
    <w:p w14:paraId="78614CB2" w14:textId="67288C62" w:rsidR="00157A67" w:rsidRPr="0090690A" w:rsidRDefault="00157A67" w:rsidP="0090690A">
      <w:pPr>
        <w:numPr>
          <w:ilvl w:val="0"/>
          <w:numId w:val="37"/>
        </w:numPr>
        <w:spacing w:after="120"/>
        <w:rPr>
          <w:rFonts w:ascii="Times New Roman" w:hAnsi="Times New Roman"/>
          <w:sz w:val="24"/>
          <w:szCs w:val="24"/>
        </w:rPr>
      </w:pPr>
      <w:r w:rsidRPr="00731B04">
        <w:rPr>
          <w:rFonts w:ascii="Times New Roman" w:hAnsi="Times New Roman"/>
          <w:sz w:val="24"/>
          <w:szCs w:val="24"/>
        </w:rPr>
        <w:t xml:space="preserve">Lightspeed Research collects survey data via their platform, which has a Domain Validation certificate issued. Lightspeed Research may store data from this study using cloud-based services. Lightspeed was approved by RTI’s Cloud Technology Committee, which assesses the security and confidentiality of cloud computing providers. A full copy of Lightspeed LLC’s privacy policy can be found at: </w:t>
      </w:r>
      <w:hyperlink r:id="rId13" w:history="1">
        <w:r w:rsidRPr="0090690A">
          <w:rPr>
            <w:rStyle w:val="Hyperlink"/>
            <w:rFonts w:ascii="Times New Roman" w:hAnsi="Times New Roman"/>
            <w:sz w:val="24"/>
            <w:szCs w:val="24"/>
          </w:rPr>
          <w:t>https://www.lifepointspanel.com/en/privacy</w:t>
        </w:r>
      </w:hyperlink>
      <w:r w:rsidRPr="0090690A">
        <w:rPr>
          <w:rFonts w:ascii="Times New Roman" w:hAnsi="Times New Roman"/>
          <w:sz w:val="24"/>
          <w:szCs w:val="24"/>
        </w:rPr>
        <w:t xml:space="preserve">. Partners might be used to assist with recruiting; however, they only provide links to the Lightspeed survey. </w:t>
      </w:r>
    </w:p>
    <w:p w14:paraId="54367041" w14:textId="4C8A033A" w:rsidR="00E81E2A" w:rsidRDefault="00157A67" w:rsidP="00D73907">
      <w:pPr>
        <w:numPr>
          <w:ilvl w:val="0"/>
          <w:numId w:val="37"/>
        </w:numPr>
        <w:spacing w:after="120"/>
        <w:rPr>
          <w:rFonts w:ascii="Times New Roman" w:hAnsi="Times New Roman"/>
          <w:sz w:val="24"/>
          <w:szCs w:val="24"/>
        </w:rPr>
      </w:pPr>
      <w:r w:rsidRPr="00917FED">
        <w:rPr>
          <w:rFonts w:ascii="Times New Roman" w:hAnsi="Times New Roman"/>
          <w:sz w:val="24"/>
          <w:szCs w:val="24"/>
        </w:rPr>
        <w:t xml:space="preserve">We require affirmative parental </w:t>
      </w:r>
      <w:r w:rsidR="00E81E2A">
        <w:rPr>
          <w:rFonts w:ascii="Times New Roman" w:hAnsi="Times New Roman"/>
          <w:sz w:val="24"/>
          <w:szCs w:val="24"/>
        </w:rPr>
        <w:t>consent</w:t>
      </w:r>
      <w:r w:rsidR="00E81E2A" w:rsidRPr="00917FED">
        <w:rPr>
          <w:rFonts w:ascii="Times New Roman" w:hAnsi="Times New Roman"/>
          <w:sz w:val="24"/>
          <w:szCs w:val="24"/>
        </w:rPr>
        <w:t xml:space="preserve"> </w:t>
      </w:r>
      <w:r w:rsidRPr="00917FED">
        <w:rPr>
          <w:rFonts w:ascii="Times New Roman" w:hAnsi="Times New Roman"/>
          <w:sz w:val="24"/>
          <w:szCs w:val="24"/>
        </w:rPr>
        <w:t xml:space="preserve">and </w:t>
      </w:r>
      <w:r w:rsidR="00E81E2A">
        <w:rPr>
          <w:rFonts w:ascii="Times New Roman" w:hAnsi="Times New Roman"/>
          <w:sz w:val="24"/>
          <w:szCs w:val="24"/>
        </w:rPr>
        <w:t xml:space="preserve">youth </w:t>
      </w:r>
      <w:r w:rsidRPr="00917FED">
        <w:rPr>
          <w:rFonts w:ascii="Times New Roman" w:hAnsi="Times New Roman"/>
          <w:sz w:val="24"/>
          <w:szCs w:val="24"/>
        </w:rPr>
        <w:t xml:space="preserve">assent prior to participation. </w:t>
      </w:r>
      <w:r w:rsidR="00E81E2A">
        <w:rPr>
          <w:rFonts w:ascii="Times New Roman" w:hAnsi="Times New Roman"/>
          <w:sz w:val="24"/>
          <w:szCs w:val="24"/>
        </w:rPr>
        <w:t>Following</w:t>
      </w:r>
      <w:r w:rsidR="00E81E2A" w:rsidRPr="00917FED">
        <w:rPr>
          <w:rFonts w:ascii="Times New Roman" w:hAnsi="Times New Roman"/>
          <w:sz w:val="24"/>
          <w:szCs w:val="24"/>
        </w:rPr>
        <w:t xml:space="preserve"> </w:t>
      </w:r>
      <w:r w:rsidRPr="00917FED">
        <w:rPr>
          <w:rFonts w:ascii="Times New Roman" w:hAnsi="Times New Roman"/>
          <w:sz w:val="24"/>
          <w:szCs w:val="24"/>
        </w:rPr>
        <w:t xml:space="preserve">the parental </w:t>
      </w:r>
      <w:r w:rsidR="00E81E2A">
        <w:rPr>
          <w:rFonts w:ascii="Times New Roman" w:hAnsi="Times New Roman"/>
          <w:sz w:val="24"/>
          <w:szCs w:val="24"/>
        </w:rPr>
        <w:t>consent</w:t>
      </w:r>
      <w:r w:rsidR="00E81E2A" w:rsidRPr="00917FED">
        <w:rPr>
          <w:rFonts w:ascii="Times New Roman" w:hAnsi="Times New Roman"/>
          <w:sz w:val="24"/>
          <w:szCs w:val="24"/>
        </w:rPr>
        <w:t xml:space="preserve"> </w:t>
      </w:r>
      <w:r w:rsidRPr="00917FED">
        <w:rPr>
          <w:rFonts w:ascii="Times New Roman" w:hAnsi="Times New Roman"/>
          <w:sz w:val="24"/>
          <w:szCs w:val="24"/>
        </w:rPr>
        <w:t xml:space="preserve">form, parents will be asked to allow their youth to complete the survey in a place where no one can look over their shoulder and view their answers. </w:t>
      </w:r>
      <w:r w:rsidRPr="00917FED">
        <w:rPr>
          <w:rFonts w:ascii="Times New Roman" w:hAnsi="Times New Roman"/>
          <w:sz w:val="24"/>
          <w:szCs w:val="24"/>
        </w:rPr>
        <w:lastRenderedPageBreak/>
        <w:t xml:space="preserve">Youth will also be asked to complete each survey in private and informed that RTI and Lightspeed will not share their answers with their parent. </w:t>
      </w:r>
    </w:p>
    <w:p w14:paraId="2BB4EB1C" w14:textId="40569246" w:rsidR="00157A67" w:rsidRPr="00731B04" w:rsidRDefault="00157A67" w:rsidP="00D73907">
      <w:pPr>
        <w:numPr>
          <w:ilvl w:val="0"/>
          <w:numId w:val="37"/>
        </w:numPr>
        <w:spacing w:after="120"/>
        <w:rPr>
          <w:rFonts w:ascii="Times New Roman" w:hAnsi="Times New Roman"/>
          <w:sz w:val="24"/>
          <w:szCs w:val="24"/>
        </w:rPr>
      </w:pPr>
      <w:r w:rsidRPr="00917FED">
        <w:rPr>
          <w:rFonts w:ascii="Times New Roman" w:hAnsi="Times New Roman"/>
          <w:sz w:val="24"/>
          <w:szCs w:val="24"/>
        </w:rPr>
        <w:t>Respondents cannot back up in the survey to view previous responses. For example, if a youth were to exit the survey, the parent could not view previously entered</w:t>
      </w:r>
      <w:r w:rsidRPr="00731B04">
        <w:rPr>
          <w:rFonts w:ascii="Times New Roman" w:hAnsi="Times New Roman"/>
          <w:sz w:val="24"/>
          <w:szCs w:val="24"/>
        </w:rPr>
        <w:t xml:space="preserve"> </w:t>
      </w:r>
      <w:r w:rsidRPr="00917FED">
        <w:rPr>
          <w:rFonts w:ascii="Times New Roman" w:hAnsi="Times New Roman"/>
          <w:sz w:val="24"/>
          <w:szCs w:val="24"/>
        </w:rPr>
        <w:t>responses</w:t>
      </w:r>
      <w:r w:rsidRPr="00731B04">
        <w:rPr>
          <w:rFonts w:ascii="Times New Roman" w:hAnsi="Times New Roman"/>
          <w:sz w:val="24"/>
          <w:szCs w:val="24"/>
        </w:rPr>
        <w:t>.</w:t>
      </w:r>
    </w:p>
    <w:p w14:paraId="6E6AE1E3" w14:textId="7849364C" w:rsidR="00917FED" w:rsidRPr="00731B04" w:rsidRDefault="00917FED" w:rsidP="00D73907">
      <w:pPr>
        <w:numPr>
          <w:ilvl w:val="0"/>
          <w:numId w:val="37"/>
        </w:numPr>
        <w:spacing w:after="120"/>
        <w:rPr>
          <w:rFonts w:ascii="Times New Roman" w:hAnsi="Times New Roman"/>
          <w:sz w:val="24"/>
          <w:szCs w:val="24"/>
        </w:rPr>
      </w:pPr>
      <w:r w:rsidRPr="00917FED">
        <w:rPr>
          <w:rFonts w:ascii="Times New Roman" w:hAnsi="Times New Roman"/>
          <w:sz w:val="24"/>
          <w:szCs w:val="24"/>
        </w:rPr>
        <w:t xml:space="preserve">The surveys will be administered online using participants’ own computers/tablets/mobile devices in a location of their choosing. </w:t>
      </w:r>
      <w:r w:rsidRPr="00731B04">
        <w:rPr>
          <w:rFonts w:ascii="Times New Roman" w:hAnsi="Times New Roman"/>
          <w:sz w:val="24"/>
          <w:szCs w:val="24"/>
        </w:rPr>
        <w:t xml:space="preserve">Parents and youth respondents access the survey through a unique link provided by Lightspeed. The link cannot be shared for others to use because it is unique. </w:t>
      </w:r>
    </w:p>
    <w:p w14:paraId="25DE1DCB" w14:textId="77777777" w:rsidR="00157A67" w:rsidRPr="00731B04" w:rsidRDefault="00157A67" w:rsidP="00D73907">
      <w:pPr>
        <w:numPr>
          <w:ilvl w:val="0"/>
          <w:numId w:val="37"/>
        </w:numPr>
        <w:spacing w:after="120"/>
        <w:rPr>
          <w:rFonts w:ascii="Times New Roman" w:hAnsi="Times New Roman"/>
          <w:sz w:val="24"/>
          <w:szCs w:val="24"/>
        </w:rPr>
      </w:pPr>
      <w:r w:rsidRPr="00731B04">
        <w:rPr>
          <w:rFonts w:ascii="Times New Roman" w:hAnsi="Times New Roman"/>
          <w:sz w:val="24"/>
          <w:szCs w:val="24"/>
        </w:rPr>
        <w:t>Respondents on the web-based survey will have the option to decline to respond to any item in the survey for any reason and may drop out of the survey at any time.  These procedures conform to ethical practices for collecting data from human participants.</w:t>
      </w:r>
    </w:p>
    <w:p w14:paraId="38BF3932" w14:textId="77777777" w:rsidR="00917FED" w:rsidRPr="00D73907" w:rsidRDefault="00917FED" w:rsidP="00D73907">
      <w:pPr>
        <w:spacing w:after="120"/>
        <w:rPr>
          <w:rFonts w:ascii="Times New Roman" w:hAnsi="Times New Roman"/>
          <w:i/>
          <w:iCs/>
          <w:sz w:val="24"/>
          <w:szCs w:val="24"/>
        </w:rPr>
      </w:pPr>
      <w:r w:rsidRPr="00D73907">
        <w:rPr>
          <w:rFonts w:ascii="Times New Roman" w:hAnsi="Times New Roman"/>
          <w:i/>
          <w:iCs/>
          <w:sz w:val="24"/>
          <w:szCs w:val="24"/>
        </w:rPr>
        <w:t xml:space="preserve">Datasets: </w:t>
      </w:r>
    </w:p>
    <w:p w14:paraId="5EF630CE" w14:textId="77777777" w:rsidR="00157A67" w:rsidRDefault="00157A67" w:rsidP="00D73907">
      <w:pPr>
        <w:numPr>
          <w:ilvl w:val="0"/>
          <w:numId w:val="37"/>
        </w:numPr>
        <w:spacing w:after="120"/>
        <w:rPr>
          <w:rFonts w:ascii="Times New Roman" w:hAnsi="Times New Roman"/>
          <w:sz w:val="24"/>
          <w:szCs w:val="24"/>
        </w:rPr>
      </w:pPr>
      <w:r w:rsidRPr="00917FED">
        <w:rPr>
          <w:rFonts w:ascii="Times New Roman" w:hAnsi="Times New Roman"/>
          <w:sz w:val="24"/>
          <w:szCs w:val="24"/>
        </w:rPr>
        <w:t xml:space="preserve">Though Lightspeed and its recruitment partners maintain databases of names and email addresses of potential participants as part of their normal operations, this information will not be paired with responses and neither FDA nor RTI will receive this information from Lightspeed as part of the data set. </w:t>
      </w:r>
    </w:p>
    <w:p w14:paraId="253A6111" w14:textId="24EACE39" w:rsidR="00157A67" w:rsidRPr="00157A67" w:rsidRDefault="00157A67" w:rsidP="00D73907">
      <w:pPr>
        <w:numPr>
          <w:ilvl w:val="0"/>
          <w:numId w:val="37"/>
        </w:numPr>
        <w:spacing w:after="120"/>
        <w:rPr>
          <w:rFonts w:ascii="Times New Roman" w:hAnsi="Times New Roman"/>
          <w:sz w:val="24"/>
          <w:szCs w:val="24"/>
        </w:rPr>
      </w:pPr>
      <w:r w:rsidRPr="00157A67">
        <w:rPr>
          <w:rFonts w:ascii="Times New Roman" w:hAnsi="Times New Roman"/>
          <w:sz w:val="24"/>
          <w:szCs w:val="24"/>
        </w:rPr>
        <w:t>Each respondent will be known to FDA and RTI only by a unique alphanumeric variable provided by Lightspeed. The survey datafile that will be shared with FDA will not contain any PII. Lightspeed will store data for 1 year before deletion.</w:t>
      </w:r>
    </w:p>
    <w:p w14:paraId="1BF1F76E" w14:textId="3194EF55" w:rsidR="00157A67" w:rsidRDefault="00157A67" w:rsidP="00D73907">
      <w:pPr>
        <w:numPr>
          <w:ilvl w:val="0"/>
          <w:numId w:val="37"/>
        </w:numPr>
        <w:spacing w:after="120"/>
        <w:rPr>
          <w:rFonts w:ascii="Times New Roman" w:hAnsi="Times New Roman"/>
          <w:sz w:val="24"/>
          <w:szCs w:val="24"/>
        </w:rPr>
      </w:pPr>
      <w:r w:rsidRPr="00917FED">
        <w:rPr>
          <w:rFonts w:ascii="Times New Roman" w:hAnsi="Times New Roman"/>
          <w:sz w:val="24"/>
          <w:szCs w:val="24"/>
        </w:rPr>
        <w:t>When data collection is complete, the data file will be transmitted from Lightspeed to RTI via a website with an SSL certificate applied.</w:t>
      </w:r>
    </w:p>
    <w:p w14:paraId="7C6D2F98" w14:textId="77777777" w:rsidR="00157A67" w:rsidRDefault="00917FED" w:rsidP="00D73907">
      <w:pPr>
        <w:numPr>
          <w:ilvl w:val="0"/>
          <w:numId w:val="37"/>
        </w:numPr>
        <w:spacing w:after="120"/>
        <w:rPr>
          <w:rFonts w:ascii="Times New Roman" w:hAnsi="Times New Roman"/>
          <w:sz w:val="24"/>
          <w:szCs w:val="24"/>
        </w:rPr>
      </w:pPr>
      <w:r w:rsidRPr="00917FED">
        <w:rPr>
          <w:rFonts w:ascii="Times New Roman" w:hAnsi="Times New Roman"/>
          <w:sz w:val="24"/>
          <w:szCs w:val="24"/>
        </w:rPr>
        <w:t xml:space="preserve">Data will consist of responses to the permission/assent forms and online surveys, which are only available electronically. </w:t>
      </w:r>
    </w:p>
    <w:p w14:paraId="24723A3A" w14:textId="77777777" w:rsidR="00157A67" w:rsidRDefault="00917FED" w:rsidP="00D73907">
      <w:pPr>
        <w:numPr>
          <w:ilvl w:val="0"/>
          <w:numId w:val="37"/>
        </w:numPr>
        <w:spacing w:after="120"/>
        <w:rPr>
          <w:rFonts w:ascii="Times New Roman" w:hAnsi="Times New Roman"/>
          <w:sz w:val="24"/>
          <w:szCs w:val="24"/>
        </w:rPr>
      </w:pPr>
      <w:r w:rsidRPr="00157A67">
        <w:rPr>
          <w:rFonts w:ascii="Times New Roman" w:hAnsi="Times New Roman"/>
          <w:sz w:val="24"/>
          <w:szCs w:val="24"/>
        </w:rPr>
        <w:t xml:space="preserve">RTI analysts will perform additional data cleaning. The data file will be stored by RTI and FDA on a restricted-access folder on a shared network drive, and only authorized project members will have access. All data maintained by RTI will be maintained in a secure manner in accordance with RTI standard policies and procedures. </w:t>
      </w:r>
    </w:p>
    <w:p w14:paraId="5DAE393F" w14:textId="77777777" w:rsidR="00157A67" w:rsidRDefault="00917FED" w:rsidP="00D73907">
      <w:pPr>
        <w:numPr>
          <w:ilvl w:val="0"/>
          <w:numId w:val="37"/>
        </w:numPr>
        <w:spacing w:after="120"/>
        <w:rPr>
          <w:rFonts w:ascii="Times New Roman" w:hAnsi="Times New Roman"/>
          <w:sz w:val="24"/>
          <w:szCs w:val="24"/>
        </w:rPr>
      </w:pPr>
      <w:proofErr w:type="gramStart"/>
      <w:r w:rsidRPr="00157A67">
        <w:rPr>
          <w:rFonts w:ascii="Times New Roman" w:hAnsi="Times New Roman"/>
          <w:sz w:val="24"/>
          <w:szCs w:val="24"/>
        </w:rPr>
        <w:t>At this time</w:t>
      </w:r>
      <w:proofErr w:type="gramEnd"/>
      <w:r w:rsidRPr="00157A67">
        <w:rPr>
          <w:rFonts w:ascii="Times New Roman" w:hAnsi="Times New Roman"/>
          <w:sz w:val="24"/>
          <w:szCs w:val="24"/>
        </w:rPr>
        <w:t>, FDA does not plan to make the data available as a public-use dataset but reserves the right to do so in the future.</w:t>
      </w:r>
    </w:p>
    <w:p w14:paraId="3AD38E86" w14:textId="77777777" w:rsidR="00E81E2A" w:rsidRDefault="00917FED" w:rsidP="00D73907">
      <w:pPr>
        <w:numPr>
          <w:ilvl w:val="0"/>
          <w:numId w:val="37"/>
        </w:numPr>
        <w:spacing w:after="120"/>
        <w:rPr>
          <w:rFonts w:ascii="Times New Roman" w:hAnsi="Times New Roman"/>
          <w:sz w:val="24"/>
          <w:szCs w:val="24"/>
        </w:rPr>
      </w:pPr>
      <w:r w:rsidRPr="00157A67">
        <w:rPr>
          <w:rFonts w:ascii="Times New Roman" w:hAnsi="Times New Roman"/>
          <w:sz w:val="24"/>
          <w:szCs w:val="24"/>
        </w:rPr>
        <w:t xml:space="preserve">To ensure compliance with all applicable information security laws, statutes, and agency directives, RTI has implemented the IT security guidelines and principles published by the National Institute of Standards and Technology (NIST). RTI’s network meets all NIST confidentiality, integrity, and availability security standards for both low and moderate risk. RTI’s security practices include the use of a virtual private network (VPN) and SSL and IPsec for encryption of data in transit when required based on project needs. </w:t>
      </w:r>
    </w:p>
    <w:p w14:paraId="411AAD45" w14:textId="77777777" w:rsidR="00E81E2A" w:rsidRDefault="00917FED" w:rsidP="00D73907">
      <w:pPr>
        <w:numPr>
          <w:ilvl w:val="0"/>
          <w:numId w:val="37"/>
        </w:numPr>
        <w:spacing w:after="120"/>
        <w:rPr>
          <w:rFonts w:ascii="Times New Roman" w:hAnsi="Times New Roman"/>
          <w:sz w:val="24"/>
          <w:szCs w:val="24"/>
        </w:rPr>
      </w:pPr>
      <w:r w:rsidRPr="00157A67">
        <w:rPr>
          <w:rFonts w:ascii="Times New Roman" w:hAnsi="Times New Roman"/>
          <w:sz w:val="24"/>
          <w:szCs w:val="24"/>
        </w:rPr>
        <w:t xml:space="preserve">RTI will send the data to FDA via a password protected zip file in an encrypted email. </w:t>
      </w:r>
    </w:p>
    <w:p w14:paraId="50F1287A" w14:textId="22E0D88D" w:rsidR="00917FED" w:rsidRDefault="00917FED" w:rsidP="00D73907">
      <w:pPr>
        <w:numPr>
          <w:ilvl w:val="0"/>
          <w:numId w:val="37"/>
        </w:numPr>
        <w:spacing w:after="120"/>
        <w:rPr>
          <w:rFonts w:ascii="Times New Roman" w:hAnsi="Times New Roman"/>
          <w:sz w:val="24"/>
          <w:szCs w:val="24"/>
        </w:rPr>
      </w:pPr>
      <w:r w:rsidRPr="00157A67">
        <w:rPr>
          <w:rFonts w:ascii="Times New Roman" w:hAnsi="Times New Roman"/>
          <w:sz w:val="24"/>
          <w:szCs w:val="24"/>
        </w:rPr>
        <w:t>RTI will store data for 5 years before deletion</w:t>
      </w:r>
      <w:r w:rsidR="00157A67">
        <w:rPr>
          <w:rFonts w:ascii="Times New Roman" w:hAnsi="Times New Roman"/>
          <w:sz w:val="24"/>
          <w:szCs w:val="24"/>
        </w:rPr>
        <w:t>.</w:t>
      </w:r>
    </w:p>
    <w:p w14:paraId="3E31105C" w14:textId="77777777" w:rsidR="00CD21C2" w:rsidRDefault="00CD21C2" w:rsidP="00CD21C2">
      <w:pPr>
        <w:spacing w:after="120"/>
        <w:rPr>
          <w:rFonts w:ascii="Times New Roman" w:hAnsi="Times New Roman"/>
          <w:sz w:val="24"/>
          <w:szCs w:val="24"/>
        </w:rPr>
      </w:pPr>
    </w:p>
    <w:p w14:paraId="36204CCD" w14:textId="583A3E08" w:rsidR="00CD21C2" w:rsidRDefault="00CD21C2" w:rsidP="00E5570A">
      <w:pPr>
        <w:spacing w:after="120"/>
        <w:rPr>
          <w:rFonts w:ascii="Times New Roman" w:hAnsi="Times New Roman"/>
          <w:sz w:val="24"/>
          <w:szCs w:val="24"/>
        </w:rPr>
      </w:pPr>
      <w:r w:rsidRPr="00CD21C2">
        <w:rPr>
          <w:rFonts w:ascii="Times New Roman" w:hAnsi="Times New Roman"/>
          <w:sz w:val="24"/>
          <w:szCs w:val="24"/>
        </w:rPr>
        <w:lastRenderedPageBreak/>
        <w:t>This study is funded by the FDA, a Department of Health and Human Services supported agency, and is covered by a Certificate of Confidentiality (CoC). Section 2012 of the 21st Century Cures Act includes significant amendments, to the previous statutory authority for such protections, to enhance privacy protections for individuals who are the subjects of federally funded research, under subsection 301(d) of the Public Health Service Act (42 U.S.C. 241). Specifically, the amended authority requires the FDA to issue a CoC to investigators or institutions engaged in research funded by the Federal government to protect the privacy of individuals who are subjects of this research. We will notify participants in the assent form (and parental permission form) of the protections that the Certificate provides</w:t>
      </w:r>
      <w:r w:rsidR="00366283">
        <w:rPr>
          <w:rFonts w:ascii="Times New Roman" w:hAnsi="Times New Roman"/>
          <w:sz w:val="24"/>
          <w:szCs w:val="24"/>
        </w:rPr>
        <w:t>.</w:t>
      </w:r>
    </w:p>
    <w:p w14:paraId="16A619BD" w14:textId="77777777" w:rsidR="00581DB5" w:rsidRPr="005E5681" w:rsidRDefault="00581DB5" w:rsidP="00157A6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D362B04"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5" w:name="_Toc239649232"/>
      <w:r w:rsidRPr="005E5681">
        <w:rPr>
          <w:rFonts w:ascii="Times New Roman" w:hAnsi="Times New Roman"/>
          <w:b/>
          <w:bCs/>
          <w:sz w:val="24"/>
          <w:szCs w:val="24"/>
        </w:rPr>
        <w:t xml:space="preserve">11.  </w:t>
      </w:r>
      <w:r w:rsidRPr="005E5681">
        <w:rPr>
          <w:rFonts w:ascii="Times New Roman" w:hAnsi="Times New Roman"/>
          <w:b/>
          <w:bCs/>
          <w:sz w:val="24"/>
          <w:szCs w:val="24"/>
          <w:u w:val="single"/>
        </w:rPr>
        <w:t>Justification for Sensitive Questions</w:t>
      </w:r>
      <w:bookmarkEnd w:id="15"/>
    </w:p>
    <w:p w14:paraId="221D43F9"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DD7E7F7" w14:textId="0CA0D7E2" w:rsidR="001A3900" w:rsidRDefault="00F10DF8"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ab/>
      </w:r>
      <w:proofErr w:type="gramStart"/>
      <w:r w:rsidR="00EB5ADD" w:rsidRPr="00EB5ADD">
        <w:rPr>
          <w:rFonts w:ascii="Times New Roman" w:hAnsi="Times New Roman"/>
          <w:sz w:val="24"/>
          <w:szCs w:val="24"/>
        </w:rPr>
        <w:t>The majority of</w:t>
      </w:r>
      <w:proofErr w:type="gramEnd"/>
      <w:r w:rsidR="00EB5ADD" w:rsidRPr="00EB5ADD">
        <w:rPr>
          <w:rFonts w:ascii="Times New Roman" w:hAnsi="Times New Roman"/>
          <w:sz w:val="24"/>
          <w:szCs w:val="24"/>
        </w:rPr>
        <w:t xml:space="preserve"> questions asked will not be of a sensitive nature. There will be no requests for a respondent’s Social Security Number (SSN). However, it will be necessary to ask some questions that may </w:t>
      </w:r>
      <w:proofErr w:type="gramStart"/>
      <w:r w:rsidR="00EB5ADD" w:rsidRPr="00EB5ADD">
        <w:rPr>
          <w:rFonts w:ascii="Times New Roman" w:hAnsi="Times New Roman"/>
          <w:sz w:val="24"/>
          <w:szCs w:val="24"/>
        </w:rPr>
        <w:t>be considered to be</w:t>
      </w:r>
      <w:proofErr w:type="gramEnd"/>
      <w:r w:rsidR="00EB5ADD" w:rsidRPr="00EB5ADD">
        <w:rPr>
          <w:rFonts w:ascii="Times New Roman" w:hAnsi="Times New Roman"/>
          <w:sz w:val="24"/>
          <w:szCs w:val="24"/>
        </w:rPr>
        <w:t xml:space="preserve"> of a sensitive nature in order to assess specific health behaviors</w:t>
      </w:r>
      <w:r w:rsidR="007670CB">
        <w:rPr>
          <w:rFonts w:ascii="Times New Roman" w:hAnsi="Times New Roman"/>
          <w:sz w:val="24"/>
          <w:szCs w:val="24"/>
        </w:rPr>
        <w:t xml:space="preserve"> and</w:t>
      </w:r>
      <w:r w:rsidR="0089382E">
        <w:rPr>
          <w:rFonts w:ascii="Times New Roman" w:hAnsi="Times New Roman"/>
          <w:sz w:val="24"/>
          <w:szCs w:val="24"/>
        </w:rPr>
        <w:t xml:space="preserve"> to collect demographic information</w:t>
      </w:r>
      <w:r w:rsidR="00EB5ADD" w:rsidRPr="00EB5ADD">
        <w:rPr>
          <w:rFonts w:ascii="Times New Roman" w:hAnsi="Times New Roman"/>
          <w:sz w:val="24"/>
          <w:szCs w:val="24"/>
        </w:rPr>
        <w:t xml:space="preserve">. </w:t>
      </w:r>
      <w:r w:rsidR="001A3900">
        <w:rPr>
          <w:rFonts w:ascii="Times New Roman" w:hAnsi="Times New Roman"/>
          <w:sz w:val="24"/>
          <w:szCs w:val="24"/>
        </w:rPr>
        <w:t>For example, q</w:t>
      </w:r>
      <w:r w:rsidR="007670CB" w:rsidRPr="00EB5ADD">
        <w:rPr>
          <w:rFonts w:ascii="Times New Roman" w:hAnsi="Times New Roman"/>
          <w:sz w:val="24"/>
          <w:szCs w:val="24"/>
        </w:rPr>
        <w:t xml:space="preserve">uestions </w:t>
      </w:r>
      <w:r w:rsidR="001A3900">
        <w:rPr>
          <w:rFonts w:ascii="Times New Roman" w:hAnsi="Times New Roman"/>
          <w:sz w:val="24"/>
          <w:szCs w:val="24"/>
        </w:rPr>
        <w:t>about</w:t>
      </w:r>
      <w:r w:rsidR="007670CB" w:rsidRPr="00EB5ADD">
        <w:rPr>
          <w:rFonts w:ascii="Times New Roman" w:hAnsi="Times New Roman"/>
          <w:sz w:val="24"/>
          <w:szCs w:val="24"/>
        </w:rPr>
        <w:t xml:space="preserve"> </w:t>
      </w:r>
      <w:r w:rsidR="007670CB">
        <w:rPr>
          <w:rFonts w:ascii="Times New Roman" w:hAnsi="Times New Roman"/>
          <w:sz w:val="24"/>
          <w:szCs w:val="24"/>
        </w:rPr>
        <w:t>tobacco use</w:t>
      </w:r>
      <w:r w:rsidR="007670CB" w:rsidRPr="00EB5ADD">
        <w:rPr>
          <w:rFonts w:ascii="Times New Roman" w:hAnsi="Times New Roman"/>
          <w:sz w:val="24"/>
          <w:szCs w:val="24"/>
        </w:rPr>
        <w:t xml:space="preserve"> and demographic information, such as race, ethnicity, </w:t>
      </w:r>
      <w:r w:rsidR="007670CB">
        <w:rPr>
          <w:rFonts w:ascii="Times New Roman" w:hAnsi="Times New Roman"/>
          <w:sz w:val="24"/>
          <w:szCs w:val="24"/>
        </w:rPr>
        <w:t xml:space="preserve">family origin, </w:t>
      </w:r>
      <w:r w:rsidR="007670CB" w:rsidRPr="00EB5ADD">
        <w:rPr>
          <w:rFonts w:ascii="Times New Roman" w:hAnsi="Times New Roman"/>
          <w:sz w:val="24"/>
          <w:szCs w:val="24"/>
        </w:rPr>
        <w:t xml:space="preserve">and </w:t>
      </w:r>
      <w:r w:rsidR="007670CB">
        <w:rPr>
          <w:rFonts w:ascii="Times New Roman" w:hAnsi="Times New Roman"/>
          <w:sz w:val="24"/>
          <w:szCs w:val="24"/>
        </w:rPr>
        <w:t xml:space="preserve">family </w:t>
      </w:r>
      <w:r w:rsidR="007670CB" w:rsidRPr="00EB5ADD">
        <w:rPr>
          <w:rFonts w:ascii="Times New Roman" w:hAnsi="Times New Roman"/>
          <w:sz w:val="24"/>
          <w:szCs w:val="24"/>
        </w:rPr>
        <w:t xml:space="preserve">income could be considered sensitive. </w:t>
      </w:r>
      <w:r w:rsidR="00EB5ADD" w:rsidRPr="00EB5ADD">
        <w:rPr>
          <w:rFonts w:ascii="Times New Roman" w:hAnsi="Times New Roman"/>
          <w:sz w:val="24"/>
          <w:szCs w:val="24"/>
        </w:rPr>
        <w:t>These questions are essential to the objectives of this information collection</w:t>
      </w:r>
      <w:r w:rsidR="007670CB">
        <w:rPr>
          <w:rFonts w:ascii="Times New Roman" w:hAnsi="Times New Roman"/>
          <w:sz w:val="24"/>
          <w:szCs w:val="24"/>
        </w:rPr>
        <w:t xml:space="preserve"> </w:t>
      </w:r>
      <w:r w:rsidR="001A3900">
        <w:rPr>
          <w:rFonts w:ascii="Times New Roman" w:hAnsi="Times New Roman"/>
          <w:sz w:val="24"/>
          <w:szCs w:val="24"/>
        </w:rPr>
        <w:t>because they provide</w:t>
      </w:r>
      <w:r w:rsidR="007670CB">
        <w:rPr>
          <w:rFonts w:ascii="Times New Roman" w:hAnsi="Times New Roman"/>
          <w:sz w:val="24"/>
          <w:szCs w:val="24"/>
        </w:rPr>
        <w:t xml:space="preserve"> insight into how past behavior and demographic factors (e.g., level of acculturation determined by questions about family origin) may influence perceptions of and reactions to vaping prevention messages</w:t>
      </w:r>
      <w:r w:rsidR="00EB5ADD" w:rsidRPr="00EB5ADD">
        <w:rPr>
          <w:rFonts w:ascii="Times New Roman" w:hAnsi="Times New Roman"/>
          <w:sz w:val="24"/>
          <w:szCs w:val="24"/>
        </w:rPr>
        <w:t xml:space="preserve">. </w:t>
      </w:r>
      <w:r w:rsidR="005D75B7" w:rsidRPr="005D75B7">
        <w:rPr>
          <w:rFonts w:ascii="Times New Roman" w:hAnsi="Times New Roman"/>
          <w:sz w:val="24"/>
          <w:szCs w:val="24"/>
        </w:rPr>
        <w:t>Specifically for individuals from Hispanic/Latino origin this level of detail is necessary as data shows disparities in tobacco use and susceptibility depending on Hispanic/Latino country of origin. It is important for CTP to capture this information to better understand Hispanic/Latino tobacco use and prevention. This question is modeled after the 2020 U.S. Census which includes country of origin/national background when asking about Hispanic/Latino ethnicity. We are including the top 5 countries of origin based on the 2020 U.S. Census data</w:t>
      </w:r>
      <w:r w:rsidR="005D75B7">
        <w:rPr>
          <w:rFonts w:ascii="Times New Roman" w:hAnsi="Times New Roman"/>
          <w:sz w:val="24"/>
          <w:szCs w:val="24"/>
        </w:rPr>
        <w:t>.</w:t>
      </w:r>
    </w:p>
    <w:p w14:paraId="5F227136" w14:textId="77777777" w:rsidR="001A3900" w:rsidRDefault="001A3900"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12BBA02" w14:textId="0E5A2CC9" w:rsidR="007670CB" w:rsidRPr="00D23E36" w:rsidRDefault="001A3900"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ab/>
      </w:r>
      <w:r w:rsidRPr="00D23E36">
        <w:rPr>
          <w:rFonts w:ascii="Times New Roman" w:hAnsi="Times New Roman"/>
          <w:sz w:val="24"/>
          <w:szCs w:val="24"/>
        </w:rPr>
        <w:t>Q</w:t>
      </w:r>
      <w:r w:rsidR="007670CB" w:rsidRPr="00D23E36">
        <w:rPr>
          <w:rFonts w:ascii="Times New Roman" w:hAnsi="Times New Roman"/>
          <w:sz w:val="24"/>
          <w:szCs w:val="24"/>
        </w:rPr>
        <w:t xml:space="preserve">uestions about tobacco use are potentially sensitive because tobacco use among adolescents under age 18 is illegal in a few states, and sales to individuals under age 21 are illegal nationwide. These questions are essential to the objectives of this information collection because participants’ risk perceptions of nicotine </w:t>
      </w:r>
      <w:r>
        <w:rPr>
          <w:rFonts w:ascii="Times New Roman" w:hAnsi="Times New Roman"/>
          <w:sz w:val="24"/>
          <w:szCs w:val="24"/>
        </w:rPr>
        <w:t xml:space="preserve">use </w:t>
      </w:r>
      <w:r w:rsidR="007670CB" w:rsidRPr="00D23E36">
        <w:rPr>
          <w:rFonts w:ascii="Times New Roman" w:hAnsi="Times New Roman"/>
          <w:sz w:val="24"/>
          <w:szCs w:val="24"/>
        </w:rPr>
        <w:t xml:space="preserve">are influenced by </w:t>
      </w:r>
      <w:proofErr w:type="gramStart"/>
      <w:r w:rsidR="007670CB" w:rsidRPr="00D23E36">
        <w:rPr>
          <w:rFonts w:ascii="Times New Roman" w:hAnsi="Times New Roman"/>
          <w:sz w:val="24"/>
          <w:szCs w:val="24"/>
        </w:rPr>
        <w:t>whether or not</w:t>
      </w:r>
      <w:proofErr w:type="gramEnd"/>
      <w:r w:rsidR="007670CB" w:rsidRPr="00D23E36">
        <w:rPr>
          <w:rFonts w:ascii="Times New Roman" w:hAnsi="Times New Roman"/>
          <w:sz w:val="24"/>
          <w:szCs w:val="24"/>
        </w:rPr>
        <w:t xml:space="preserve"> the participant uses </w:t>
      </w:r>
      <w:r>
        <w:rPr>
          <w:rFonts w:ascii="Times New Roman" w:hAnsi="Times New Roman"/>
          <w:sz w:val="24"/>
          <w:szCs w:val="24"/>
        </w:rPr>
        <w:t xml:space="preserve">or has used </w:t>
      </w:r>
      <w:r w:rsidR="007670CB" w:rsidRPr="00D23E36">
        <w:rPr>
          <w:rFonts w:ascii="Times New Roman" w:hAnsi="Times New Roman"/>
          <w:sz w:val="24"/>
          <w:szCs w:val="24"/>
        </w:rPr>
        <w:t xml:space="preserve">tobacco products. Questions </w:t>
      </w:r>
      <w:r>
        <w:rPr>
          <w:rFonts w:ascii="Times New Roman" w:hAnsi="Times New Roman"/>
          <w:sz w:val="24"/>
          <w:szCs w:val="24"/>
        </w:rPr>
        <w:t>intended to collect</w:t>
      </w:r>
      <w:r w:rsidR="007670CB" w:rsidRPr="00D23E36">
        <w:rPr>
          <w:rFonts w:ascii="Times New Roman" w:hAnsi="Times New Roman"/>
          <w:sz w:val="24"/>
          <w:szCs w:val="24"/>
        </w:rPr>
        <w:t xml:space="preserve"> demographic information, such as </w:t>
      </w:r>
      <w:r>
        <w:rPr>
          <w:rFonts w:ascii="Times New Roman" w:hAnsi="Times New Roman"/>
          <w:sz w:val="24"/>
          <w:szCs w:val="24"/>
        </w:rPr>
        <w:t xml:space="preserve">participant </w:t>
      </w:r>
      <w:r w:rsidR="007670CB" w:rsidRPr="00D23E36">
        <w:rPr>
          <w:rFonts w:ascii="Times New Roman" w:hAnsi="Times New Roman"/>
          <w:sz w:val="24"/>
          <w:szCs w:val="24"/>
        </w:rPr>
        <w:t>race</w:t>
      </w:r>
      <w:r>
        <w:rPr>
          <w:rFonts w:ascii="Times New Roman" w:hAnsi="Times New Roman"/>
          <w:sz w:val="24"/>
          <w:szCs w:val="24"/>
        </w:rPr>
        <w:t>,</w:t>
      </w:r>
      <w:r w:rsidR="007670CB" w:rsidRPr="00D23E36">
        <w:rPr>
          <w:rFonts w:ascii="Times New Roman" w:hAnsi="Times New Roman"/>
          <w:sz w:val="24"/>
          <w:szCs w:val="24"/>
        </w:rPr>
        <w:t xml:space="preserve"> ethnicity, </w:t>
      </w:r>
      <w:r>
        <w:rPr>
          <w:rFonts w:ascii="Times New Roman" w:hAnsi="Times New Roman"/>
          <w:sz w:val="24"/>
          <w:szCs w:val="24"/>
        </w:rPr>
        <w:t xml:space="preserve">family income status, and family </w:t>
      </w:r>
      <w:r w:rsidRPr="00D23E36">
        <w:rPr>
          <w:rFonts w:ascii="Times New Roman" w:hAnsi="Times New Roman"/>
          <w:sz w:val="24"/>
          <w:szCs w:val="24"/>
        </w:rPr>
        <w:t>country of origin (for biologic parents)</w:t>
      </w:r>
      <w:r>
        <w:rPr>
          <w:rFonts w:ascii="Times New Roman" w:hAnsi="Times New Roman"/>
          <w:sz w:val="24"/>
          <w:szCs w:val="24"/>
        </w:rPr>
        <w:t xml:space="preserve"> </w:t>
      </w:r>
      <w:r w:rsidR="007670CB" w:rsidRPr="00D23E36">
        <w:rPr>
          <w:rFonts w:ascii="Times New Roman" w:hAnsi="Times New Roman"/>
          <w:sz w:val="24"/>
          <w:szCs w:val="24"/>
        </w:rPr>
        <w:t xml:space="preserve">could </w:t>
      </w:r>
      <w:r>
        <w:rPr>
          <w:rFonts w:ascii="Times New Roman" w:hAnsi="Times New Roman"/>
          <w:sz w:val="24"/>
          <w:szCs w:val="24"/>
        </w:rPr>
        <w:t xml:space="preserve">also </w:t>
      </w:r>
      <w:r w:rsidR="007670CB" w:rsidRPr="00D23E36">
        <w:rPr>
          <w:rFonts w:ascii="Times New Roman" w:hAnsi="Times New Roman"/>
          <w:sz w:val="24"/>
          <w:szCs w:val="24"/>
        </w:rPr>
        <w:t xml:space="preserve">be considered sensitive. </w:t>
      </w:r>
      <w:r w:rsidR="00D23E36">
        <w:rPr>
          <w:rFonts w:ascii="Times New Roman" w:hAnsi="Times New Roman"/>
          <w:sz w:val="24"/>
          <w:szCs w:val="24"/>
        </w:rPr>
        <w:t xml:space="preserve">For example, the question about family origin could </w:t>
      </w:r>
      <w:r w:rsidR="00D23E36" w:rsidRPr="00D23E36">
        <w:rPr>
          <w:rFonts w:ascii="Times New Roman" w:hAnsi="Times New Roman"/>
          <w:sz w:val="24"/>
          <w:szCs w:val="24"/>
        </w:rPr>
        <w:t>potentially be unsettling for youth participants who may be undocumented</w:t>
      </w:r>
      <w:r w:rsidR="00D23E36">
        <w:rPr>
          <w:rFonts w:ascii="Times New Roman" w:hAnsi="Times New Roman"/>
          <w:sz w:val="24"/>
          <w:szCs w:val="24"/>
        </w:rPr>
        <w:t xml:space="preserve">. This </w:t>
      </w:r>
      <w:proofErr w:type="gramStart"/>
      <w:r w:rsidR="00D23E36">
        <w:rPr>
          <w:rFonts w:ascii="Times New Roman" w:hAnsi="Times New Roman"/>
          <w:sz w:val="24"/>
          <w:szCs w:val="24"/>
        </w:rPr>
        <w:t>particular question</w:t>
      </w:r>
      <w:proofErr w:type="gramEnd"/>
      <w:r w:rsidR="00D23E36">
        <w:rPr>
          <w:rFonts w:ascii="Times New Roman" w:hAnsi="Times New Roman"/>
          <w:sz w:val="24"/>
          <w:szCs w:val="24"/>
        </w:rPr>
        <w:t xml:space="preserve"> will be used to measure level of acculturation, a demographic factor that has been identified as playing a role in tobacco use behaviors. T</w:t>
      </w:r>
      <w:r w:rsidR="007670CB" w:rsidRPr="00D23E36">
        <w:rPr>
          <w:rFonts w:ascii="Times New Roman" w:hAnsi="Times New Roman"/>
          <w:sz w:val="24"/>
          <w:szCs w:val="24"/>
        </w:rPr>
        <w:t xml:space="preserve">hese </w:t>
      </w:r>
      <w:r w:rsidR="00D23E36">
        <w:rPr>
          <w:rFonts w:ascii="Times New Roman" w:hAnsi="Times New Roman"/>
          <w:sz w:val="24"/>
          <w:szCs w:val="24"/>
        </w:rPr>
        <w:t xml:space="preserve">demographic </w:t>
      </w:r>
      <w:r w:rsidR="007670CB" w:rsidRPr="00D23E36">
        <w:rPr>
          <w:rFonts w:ascii="Times New Roman" w:hAnsi="Times New Roman"/>
          <w:sz w:val="24"/>
          <w:szCs w:val="24"/>
        </w:rPr>
        <w:t xml:space="preserve">questions are essential to the objectives of this information collection because they </w:t>
      </w:r>
      <w:r w:rsidR="00D23E36">
        <w:rPr>
          <w:rFonts w:ascii="Times New Roman" w:hAnsi="Times New Roman"/>
          <w:sz w:val="24"/>
          <w:szCs w:val="24"/>
        </w:rPr>
        <w:t>will be used to</w:t>
      </w:r>
      <w:r w:rsidR="007670CB" w:rsidRPr="00D23E36">
        <w:rPr>
          <w:rFonts w:ascii="Times New Roman" w:hAnsi="Times New Roman"/>
          <w:sz w:val="24"/>
          <w:szCs w:val="24"/>
        </w:rPr>
        <w:t xml:space="preserve"> measur</w:t>
      </w:r>
      <w:r w:rsidR="00D23E36">
        <w:rPr>
          <w:rFonts w:ascii="Times New Roman" w:hAnsi="Times New Roman"/>
          <w:sz w:val="24"/>
          <w:szCs w:val="24"/>
        </w:rPr>
        <w:t>e</w:t>
      </w:r>
      <w:r w:rsidR="007670CB" w:rsidRPr="00D23E36">
        <w:rPr>
          <w:rFonts w:ascii="Times New Roman" w:hAnsi="Times New Roman"/>
          <w:sz w:val="24"/>
          <w:szCs w:val="24"/>
        </w:rPr>
        <w:t xml:space="preserve"> the </w:t>
      </w:r>
      <w:r w:rsidR="00D23E36">
        <w:rPr>
          <w:rFonts w:ascii="Times New Roman" w:hAnsi="Times New Roman"/>
          <w:sz w:val="24"/>
          <w:szCs w:val="24"/>
        </w:rPr>
        <w:t xml:space="preserve">participant </w:t>
      </w:r>
      <w:r w:rsidR="007670CB" w:rsidRPr="00D23E36">
        <w:rPr>
          <w:rFonts w:ascii="Times New Roman" w:hAnsi="Times New Roman"/>
          <w:sz w:val="24"/>
          <w:szCs w:val="24"/>
        </w:rPr>
        <w:t xml:space="preserve">characteristics identified in the research question: </w:t>
      </w:r>
      <w:r w:rsidR="00D23E36" w:rsidRPr="00A1544F">
        <w:rPr>
          <w:rFonts w:ascii="Times New Roman" w:hAnsi="Times New Roman"/>
          <w:sz w:val="24"/>
          <w:szCs w:val="24"/>
        </w:rPr>
        <w:t>To what extent does the relationship between ME and AME vary by participant characteristics (e.g., user group, demographics)</w:t>
      </w:r>
      <w:r w:rsidR="007670CB" w:rsidRPr="00D23E36">
        <w:rPr>
          <w:rFonts w:ascii="Times New Roman" w:hAnsi="Times New Roman"/>
          <w:sz w:val="24"/>
          <w:szCs w:val="24"/>
        </w:rPr>
        <w:t xml:space="preserve">? </w:t>
      </w:r>
    </w:p>
    <w:p w14:paraId="6671C6B1" w14:textId="77777777" w:rsidR="007670CB" w:rsidRDefault="007670CB"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7C56353" w14:textId="7D4AD0E9" w:rsidR="00EB5ADD" w:rsidRDefault="001A3900"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ab/>
      </w:r>
      <w:r w:rsidR="00EB5ADD" w:rsidRPr="00EB5ADD">
        <w:rPr>
          <w:rFonts w:ascii="Times New Roman" w:hAnsi="Times New Roman"/>
          <w:sz w:val="24"/>
          <w:szCs w:val="24"/>
        </w:rPr>
        <w:t xml:space="preserve">To address any concerns about inadvertent disclosure of sensitive information, respondents will be fully informed of the applicable privacy safeguards. The informed consent protocol will apprise respondents that these topics will be covered during the survey. This study </w:t>
      </w:r>
      <w:r w:rsidR="00EB5ADD" w:rsidRPr="00EB5ADD">
        <w:rPr>
          <w:rFonts w:ascii="Times New Roman" w:hAnsi="Times New Roman"/>
          <w:sz w:val="24"/>
          <w:szCs w:val="24"/>
        </w:rPr>
        <w:lastRenderedPageBreak/>
        <w:t xml:space="preserve">includes </w:t>
      </w:r>
      <w:proofErr w:type="gramStart"/>
      <w:r w:rsidR="00EB5ADD" w:rsidRPr="00EB5ADD">
        <w:rPr>
          <w:rFonts w:ascii="Times New Roman" w:hAnsi="Times New Roman"/>
          <w:sz w:val="24"/>
          <w:szCs w:val="24"/>
        </w:rPr>
        <w:t>a number of</w:t>
      </w:r>
      <w:proofErr w:type="gramEnd"/>
      <w:r w:rsidR="00EB5ADD" w:rsidRPr="00EB5ADD">
        <w:rPr>
          <w:rFonts w:ascii="Times New Roman" w:hAnsi="Times New Roman"/>
          <w:sz w:val="24"/>
          <w:szCs w:val="24"/>
        </w:rPr>
        <w:t xml:space="preserve"> procedures and methodological characteristics that will minimize potential negative reactions to these types of questions, including the following:</w:t>
      </w:r>
    </w:p>
    <w:p w14:paraId="3F5CE870" w14:textId="77777777" w:rsidR="0090690A" w:rsidRPr="00EB5ADD" w:rsidRDefault="0090690A" w:rsidP="0090690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01A8BBF" w14:textId="77777777" w:rsidR="00731B04" w:rsidRDefault="00EB5ADD" w:rsidP="0090690A">
      <w:pPr>
        <w:numPr>
          <w:ilvl w:val="0"/>
          <w:numId w:val="37"/>
        </w:numPr>
        <w:spacing w:after="120"/>
        <w:rPr>
          <w:rFonts w:ascii="Times New Roman" w:hAnsi="Times New Roman"/>
          <w:sz w:val="24"/>
          <w:szCs w:val="24"/>
        </w:rPr>
      </w:pPr>
      <w:r w:rsidRPr="00731B04">
        <w:rPr>
          <w:rFonts w:ascii="Times New Roman" w:hAnsi="Times New Roman"/>
          <w:sz w:val="24"/>
          <w:szCs w:val="24"/>
        </w:rPr>
        <w:t>Respondents will be informed that they need not answer any question that makes them feel uncomfortable or that they simply do not wish to answer.</w:t>
      </w:r>
    </w:p>
    <w:p w14:paraId="40F63331" w14:textId="77777777" w:rsidR="00731B04" w:rsidRDefault="00EB5ADD" w:rsidP="0090690A">
      <w:pPr>
        <w:numPr>
          <w:ilvl w:val="0"/>
          <w:numId w:val="37"/>
        </w:numPr>
        <w:spacing w:after="120"/>
        <w:rPr>
          <w:rFonts w:ascii="Times New Roman" w:hAnsi="Times New Roman"/>
          <w:sz w:val="24"/>
          <w:szCs w:val="24"/>
        </w:rPr>
      </w:pPr>
      <w:r w:rsidRPr="00731B04">
        <w:rPr>
          <w:rFonts w:ascii="Times New Roman" w:hAnsi="Times New Roman"/>
          <w:sz w:val="24"/>
          <w:szCs w:val="24"/>
        </w:rPr>
        <w:t>Web surveys are entirely self-administered and maximize respondent privacy without the need to verbalize responses.</w:t>
      </w:r>
    </w:p>
    <w:p w14:paraId="5F64E28D" w14:textId="77777777" w:rsidR="00731B04" w:rsidRDefault="00EB5ADD" w:rsidP="0090690A">
      <w:pPr>
        <w:numPr>
          <w:ilvl w:val="0"/>
          <w:numId w:val="37"/>
        </w:numPr>
        <w:spacing w:after="120"/>
        <w:rPr>
          <w:rFonts w:ascii="Times New Roman" w:hAnsi="Times New Roman"/>
          <w:sz w:val="24"/>
          <w:szCs w:val="24"/>
        </w:rPr>
      </w:pPr>
      <w:r w:rsidRPr="00731B04">
        <w:rPr>
          <w:rFonts w:ascii="Times New Roman" w:hAnsi="Times New Roman"/>
          <w:sz w:val="24"/>
          <w:szCs w:val="24"/>
        </w:rPr>
        <w:t xml:space="preserve">Participants will be provided with a toll-free phone number for the RTI project director and a toll-free phone number for the RTI IRB hotline should they have any questions or concerns about the study or their rights as a study participant. </w:t>
      </w:r>
    </w:p>
    <w:p w14:paraId="70B360E6" w14:textId="34D38C26" w:rsidR="00876B7D" w:rsidRPr="00366283" w:rsidRDefault="00EB5ADD" w:rsidP="00914107">
      <w:pPr>
        <w:numPr>
          <w:ilvl w:val="0"/>
          <w:numId w:val="37"/>
        </w:numPr>
        <w:spacing w:after="120"/>
        <w:rPr>
          <w:rFonts w:ascii="Times New Roman" w:hAnsi="Times New Roman"/>
          <w:sz w:val="24"/>
          <w:szCs w:val="24"/>
        </w:rPr>
      </w:pPr>
      <w:r w:rsidRPr="00366283">
        <w:rPr>
          <w:rFonts w:ascii="Times New Roman" w:hAnsi="Times New Roman"/>
          <w:sz w:val="24"/>
          <w:szCs w:val="24"/>
        </w:rPr>
        <w:t>Finally, as with all information collected, these data will be presented with all identifiers removed.</w:t>
      </w:r>
    </w:p>
    <w:p w14:paraId="2F45648E" w14:textId="04E7D6A7" w:rsidR="005C0FF9" w:rsidRPr="0090690A" w:rsidRDefault="005C0FF9" w:rsidP="009069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6" w:name="_Toc239649233"/>
      <w:r w:rsidRPr="004732BA">
        <w:rPr>
          <w:rFonts w:ascii="Times New Roman" w:hAnsi="Times New Roman"/>
          <w:b/>
          <w:bCs/>
          <w:sz w:val="24"/>
          <w:szCs w:val="24"/>
        </w:rPr>
        <w:t xml:space="preserve">12.  </w:t>
      </w:r>
      <w:r w:rsidRPr="004732BA">
        <w:rPr>
          <w:rFonts w:ascii="Times New Roman" w:hAnsi="Times New Roman"/>
          <w:b/>
          <w:bCs/>
          <w:sz w:val="24"/>
          <w:szCs w:val="24"/>
          <w:u w:val="single"/>
        </w:rPr>
        <w:t>Estimates of Annualized Burden Hours and Costs</w:t>
      </w:r>
      <w:bookmarkEnd w:id="16"/>
    </w:p>
    <w:p w14:paraId="142F586E" w14:textId="77777777" w:rsidR="00EB5ADD" w:rsidRPr="0090690A" w:rsidRDefault="00EB5ADD" w:rsidP="0090690A">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Times New Roman" w:hAnsi="Times New Roman"/>
          <w:sz w:val="24"/>
          <w:szCs w:val="24"/>
          <w:u w:val="single"/>
        </w:rPr>
      </w:pPr>
      <w:r w:rsidRPr="00EB5ADD">
        <w:rPr>
          <w:rFonts w:ascii="Times New Roman" w:hAnsi="Times New Roman"/>
          <w:sz w:val="24"/>
          <w:szCs w:val="24"/>
          <w:u w:val="single"/>
        </w:rPr>
        <w:t>12 a. Annualized Hour Burden Estimate</w:t>
      </w:r>
    </w:p>
    <w:p w14:paraId="09EBBC40" w14:textId="7F2F9499" w:rsidR="00A95ED5" w:rsidRDefault="00F10DF8"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ab/>
      </w:r>
      <w:r w:rsidR="00EB5ADD" w:rsidRPr="005A69E7">
        <w:rPr>
          <w:rFonts w:ascii="Times New Roman" w:hAnsi="Times New Roman"/>
          <w:sz w:val="24"/>
          <w:szCs w:val="24"/>
        </w:rPr>
        <w:t xml:space="preserve">An estimated one-time reporting burden for </w:t>
      </w:r>
      <w:r w:rsidR="00000904" w:rsidRPr="56C18DC8">
        <w:rPr>
          <w:rFonts w:ascii="Times New Roman" w:hAnsi="Times New Roman"/>
          <w:sz w:val="24"/>
          <w:szCs w:val="24"/>
        </w:rPr>
        <w:t xml:space="preserve">both adults and youth combined for </w:t>
      </w:r>
      <w:r w:rsidR="00EB5ADD" w:rsidRPr="005A69E7">
        <w:rPr>
          <w:rFonts w:ascii="Times New Roman" w:hAnsi="Times New Roman"/>
          <w:sz w:val="24"/>
          <w:szCs w:val="24"/>
        </w:rPr>
        <w:t xml:space="preserve">this collection will be approximately </w:t>
      </w:r>
      <w:r w:rsidR="00BA018D" w:rsidRPr="005A69E7">
        <w:rPr>
          <w:rFonts w:ascii="Times New Roman" w:hAnsi="Times New Roman"/>
          <w:sz w:val="24"/>
          <w:szCs w:val="24"/>
        </w:rPr>
        <w:t>1,</w:t>
      </w:r>
      <w:r w:rsidR="00AA2637" w:rsidRPr="56C18DC8">
        <w:rPr>
          <w:rFonts w:ascii="Times New Roman" w:hAnsi="Times New Roman"/>
          <w:sz w:val="24"/>
          <w:szCs w:val="24"/>
        </w:rPr>
        <w:t xml:space="preserve">367 </w:t>
      </w:r>
      <w:r w:rsidR="00EB5ADD" w:rsidRPr="005A69E7">
        <w:rPr>
          <w:rFonts w:ascii="Times New Roman" w:hAnsi="Times New Roman"/>
          <w:sz w:val="24"/>
          <w:szCs w:val="24"/>
        </w:rPr>
        <w:t xml:space="preserve">hours (Table </w:t>
      </w:r>
      <w:r w:rsidR="00000904" w:rsidRPr="56C18DC8">
        <w:rPr>
          <w:rFonts w:ascii="Times New Roman" w:hAnsi="Times New Roman"/>
          <w:sz w:val="24"/>
          <w:szCs w:val="24"/>
        </w:rPr>
        <w:t>1</w:t>
      </w:r>
      <w:r w:rsidR="00EB5ADD" w:rsidRPr="00BA018D">
        <w:rPr>
          <w:rFonts w:ascii="Times New Roman" w:hAnsi="Times New Roman"/>
          <w:sz w:val="24"/>
          <w:szCs w:val="24"/>
        </w:rPr>
        <w:t xml:space="preserve">). </w:t>
      </w:r>
      <w:bookmarkStart w:id="17" w:name="_Toc361824170"/>
      <w:r w:rsidR="00F277CA" w:rsidRPr="56C18DC8">
        <w:rPr>
          <w:rFonts w:ascii="Times New Roman" w:hAnsi="Times New Roman"/>
          <w:sz w:val="24"/>
          <w:szCs w:val="24"/>
        </w:rPr>
        <w:t xml:space="preserve">This includes a reporting burden of approximately 267 hours for adults and approximately 1,100 hours for youth. </w:t>
      </w:r>
      <w:r w:rsidR="00000904" w:rsidRPr="56C18DC8">
        <w:rPr>
          <w:rFonts w:ascii="Times New Roman" w:hAnsi="Times New Roman"/>
          <w:sz w:val="24"/>
          <w:szCs w:val="24"/>
        </w:rPr>
        <w:t xml:space="preserve">The total time burden for adults includes time associated with the parental consent process, which we anticipate will require 2 minutes </w:t>
      </w:r>
      <w:r w:rsidR="00F31AC2">
        <w:rPr>
          <w:rFonts w:ascii="Times New Roman" w:hAnsi="Times New Roman"/>
          <w:sz w:val="24"/>
          <w:szCs w:val="24"/>
        </w:rPr>
        <w:t xml:space="preserve">per response </w:t>
      </w:r>
      <w:r w:rsidR="00000904" w:rsidRPr="56C18DC8">
        <w:rPr>
          <w:rFonts w:ascii="Times New Roman" w:hAnsi="Times New Roman"/>
          <w:sz w:val="24"/>
          <w:szCs w:val="24"/>
        </w:rPr>
        <w:t xml:space="preserve">to complete (0.033). </w:t>
      </w:r>
      <w:r w:rsidR="00A95ED5" w:rsidRPr="56C18DC8">
        <w:rPr>
          <w:rFonts w:ascii="Times New Roman" w:hAnsi="Times New Roman"/>
          <w:sz w:val="24"/>
          <w:szCs w:val="24"/>
        </w:rPr>
        <w:t>Among youth, w</w:t>
      </w:r>
      <w:r w:rsidR="005F4447">
        <w:rPr>
          <w:rFonts w:ascii="Times New Roman" w:hAnsi="Times New Roman"/>
          <w:sz w:val="24"/>
          <w:szCs w:val="24"/>
        </w:rPr>
        <w:t xml:space="preserve">e anticipate </w:t>
      </w:r>
      <w:r w:rsidR="00353C38">
        <w:rPr>
          <w:rFonts w:ascii="Times New Roman" w:hAnsi="Times New Roman"/>
          <w:sz w:val="24"/>
          <w:szCs w:val="24"/>
        </w:rPr>
        <w:t xml:space="preserve">the assent </w:t>
      </w:r>
      <w:r w:rsidR="00A95ED5" w:rsidRPr="56C18DC8">
        <w:rPr>
          <w:rFonts w:ascii="Times New Roman" w:hAnsi="Times New Roman"/>
          <w:sz w:val="24"/>
          <w:szCs w:val="24"/>
        </w:rPr>
        <w:t xml:space="preserve">process will also require 2 minutes </w:t>
      </w:r>
      <w:r w:rsidR="00F31AC2">
        <w:rPr>
          <w:rFonts w:ascii="Times New Roman" w:hAnsi="Times New Roman"/>
          <w:sz w:val="24"/>
          <w:szCs w:val="24"/>
        </w:rPr>
        <w:t xml:space="preserve">per response </w:t>
      </w:r>
      <w:r w:rsidR="00A95ED5" w:rsidRPr="56C18DC8">
        <w:rPr>
          <w:rFonts w:ascii="Times New Roman" w:hAnsi="Times New Roman"/>
          <w:sz w:val="24"/>
          <w:szCs w:val="24"/>
        </w:rPr>
        <w:t xml:space="preserve">to complete (0.033) </w:t>
      </w:r>
      <w:r w:rsidR="00353C38">
        <w:rPr>
          <w:rFonts w:ascii="Times New Roman" w:hAnsi="Times New Roman"/>
          <w:sz w:val="24"/>
          <w:szCs w:val="24"/>
        </w:rPr>
        <w:t xml:space="preserve">and screening will require </w:t>
      </w:r>
      <w:r w:rsidR="00A95ED5" w:rsidRPr="56C18DC8">
        <w:rPr>
          <w:rFonts w:ascii="Times New Roman" w:hAnsi="Times New Roman"/>
          <w:sz w:val="24"/>
          <w:szCs w:val="24"/>
        </w:rPr>
        <w:t>3</w:t>
      </w:r>
      <w:r w:rsidR="00353C38">
        <w:rPr>
          <w:rFonts w:ascii="Times New Roman" w:hAnsi="Times New Roman"/>
          <w:sz w:val="24"/>
          <w:szCs w:val="24"/>
        </w:rPr>
        <w:t xml:space="preserve"> minutes </w:t>
      </w:r>
      <w:r w:rsidR="00F31AC2">
        <w:rPr>
          <w:rFonts w:ascii="Times New Roman" w:hAnsi="Times New Roman"/>
          <w:sz w:val="24"/>
          <w:szCs w:val="24"/>
        </w:rPr>
        <w:t xml:space="preserve">per response </w:t>
      </w:r>
      <w:r w:rsidR="00353C38">
        <w:rPr>
          <w:rFonts w:ascii="Times New Roman" w:hAnsi="Times New Roman"/>
          <w:sz w:val="24"/>
          <w:szCs w:val="24"/>
        </w:rPr>
        <w:t>to complete (0.</w:t>
      </w:r>
      <w:r w:rsidR="00A95ED5" w:rsidRPr="56C18DC8">
        <w:rPr>
          <w:rFonts w:ascii="Times New Roman" w:hAnsi="Times New Roman"/>
          <w:sz w:val="24"/>
          <w:szCs w:val="24"/>
        </w:rPr>
        <w:t>05</w:t>
      </w:r>
      <w:r w:rsidR="003911C2">
        <w:rPr>
          <w:rFonts w:ascii="Times New Roman" w:hAnsi="Times New Roman"/>
          <w:sz w:val="24"/>
          <w:szCs w:val="24"/>
        </w:rPr>
        <w:t>)</w:t>
      </w:r>
      <w:r w:rsidR="00353C38">
        <w:rPr>
          <w:rFonts w:ascii="Times New Roman" w:hAnsi="Times New Roman"/>
          <w:sz w:val="24"/>
          <w:szCs w:val="24"/>
        </w:rPr>
        <w:t xml:space="preserve">. </w:t>
      </w:r>
    </w:p>
    <w:p w14:paraId="5F64B1DC" w14:textId="77777777" w:rsidR="00366283" w:rsidRDefault="00366283"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63BACEE" w14:textId="7B848022" w:rsidR="00456B93" w:rsidRDefault="002717F8" w:rsidP="1E79C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ab/>
      </w:r>
      <w:r w:rsidR="00EB5ADD" w:rsidRPr="005D0A0B">
        <w:rPr>
          <w:rFonts w:ascii="Times New Roman" w:hAnsi="Times New Roman"/>
          <w:sz w:val="24"/>
          <w:szCs w:val="24"/>
        </w:rPr>
        <w:t xml:space="preserve">To obtain a final sample of </w:t>
      </w:r>
      <w:r w:rsidR="00463407" w:rsidRPr="005D0A0B">
        <w:rPr>
          <w:rFonts w:ascii="Times New Roman" w:hAnsi="Times New Roman"/>
          <w:sz w:val="24"/>
          <w:szCs w:val="24"/>
        </w:rPr>
        <w:t>2,400</w:t>
      </w:r>
      <w:r w:rsidR="00326755" w:rsidRPr="005D0A0B">
        <w:rPr>
          <w:rFonts w:ascii="Times New Roman" w:hAnsi="Times New Roman"/>
          <w:sz w:val="24"/>
          <w:szCs w:val="24"/>
        </w:rPr>
        <w:t xml:space="preserve"> youth</w:t>
      </w:r>
      <w:r w:rsidR="00463407" w:rsidRPr="005D0A0B">
        <w:rPr>
          <w:rFonts w:ascii="Times New Roman" w:hAnsi="Times New Roman"/>
          <w:sz w:val="24"/>
          <w:szCs w:val="24"/>
        </w:rPr>
        <w:t xml:space="preserve"> </w:t>
      </w:r>
      <w:r w:rsidR="00463407" w:rsidRPr="0090690A">
        <w:rPr>
          <w:rFonts w:ascii="Times New Roman" w:hAnsi="Times New Roman"/>
          <w:sz w:val="24"/>
          <w:szCs w:val="24"/>
        </w:rPr>
        <w:t>aged 13-17 who have either experimented with vaping or are at risk of initiating vaping</w:t>
      </w:r>
      <w:r w:rsidR="00463407" w:rsidRPr="005D0A0B">
        <w:rPr>
          <w:rFonts w:ascii="Times New Roman" w:hAnsi="Times New Roman"/>
          <w:sz w:val="24"/>
          <w:szCs w:val="24"/>
        </w:rPr>
        <w:t>,</w:t>
      </w:r>
      <w:r w:rsidR="00EB5ADD" w:rsidRPr="005D0A0B">
        <w:rPr>
          <w:rFonts w:ascii="Times New Roman" w:hAnsi="Times New Roman"/>
          <w:sz w:val="24"/>
          <w:szCs w:val="24"/>
        </w:rPr>
        <w:t xml:space="preserve"> we will need to </w:t>
      </w:r>
      <w:r>
        <w:rPr>
          <w:rFonts w:ascii="Times New Roman" w:hAnsi="Times New Roman"/>
          <w:sz w:val="24"/>
          <w:szCs w:val="24"/>
        </w:rPr>
        <w:t>administer the study invitation and parental consent to</w:t>
      </w:r>
      <w:r w:rsidR="00EB5ADD" w:rsidRPr="005D0A0B">
        <w:rPr>
          <w:rFonts w:ascii="Times New Roman" w:hAnsi="Times New Roman"/>
          <w:sz w:val="24"/>
          <w:szCs w:val="24"/>
        </w:rPr>
        <w:t xml:space="preserve"> </w:t>
      </w:r>
      <w:r w:rsidR="00BA018D">
        <w:rPr>
          <w:rFonts w:ascii="Times New Roman" w:hAnsi="Times New Roman"/>
          <w:sz w:val="24"/>
          <w:szCs w:val="24"/>
        </w:rPr>
        <w:t>8,000</w:t>
      </w:r>
      <w:r w:rsidR="00EB5ADD" w:rsidRPr="005D0A0B">
        <w:rPr>
          <w:rFonts w:ascii="Times New Roman" w:hAnsi="Times New Roman"/>
          <w:sz w:val="24"/>
          <w:szCs w:val="24"/>
        </w:rPr>
        <w:t xml:space="preserve"> p</w:t>
      </w:r>
      <w:r>
        <w:rPr>
          <w:rFonts w:ascii="Times New Roman" w:hAnsi="Times New Roman"/>
          <w:sz w:val="24"/>
          <w:szCs w:val="24"/>
        </w:rPr>
        <w:t xml:space="preserve">arents of potential </w:t>
      </w:r>
      <w:r w:rsidR="004629B1">
        <w:rPr>
          <w:rFonts w:ascii="Times New Roman" w:hAnsi="Times New Roman"/>
          <w:sz w:val="24"/>
          <w:szCs w:val="24"/>
        </w:rPr>
        <w:t>participants</w:t>
      </w:r>
      <w:r w:rsidR="00EB5ADD" w:rsidRPr="005D0A0B">
        <w:rPr>
          <w:rFonts w:ascii="Times New Roman" w:hAnsi="Times New Roman"/>
          <w:sz w:val="24"/>
          <w:szCs w:val="24"/>
        </w:rPr>
        <w:t>.</w:t>
      </w:r>
      <w:r>
        <w:rPr>
          <w:rFonts w:ascii="Times New Roman" w:hAnsi="Times New Roman"/>
          <w:sz w:val="24"/>
          <w:szCs w:val="24"/>
        </w:rPr>
        <w:t xml:space="preserve"> </w:t>
      </w:r>
      <w:r w:rsidRPr="005D0A0B">
        <w:rPr>
          <w:rFonts w:ascii="Times New Roman" w:hAnsi="Times New Roman"/>
          <w:sz w:val="24"/>
          <w:szCs w:val="24"/>
        </w:rPr>
        <w:t>Based on experience from previous surveys, we anticipate about 75% of</w:t>
      </w:r>
      <w:r>
        <w:rPr>
          <w:rFonts w:ascii="Times New Roman" w:hAnsi="Times New Roman"/>
          <w:sz w:val="24"/>
          <w:szCs w:val="24"/>
        </w:rPr>
        <w:t xml:space="preserve"> parents who </w:t>
      </w:r>
      <w:r w:rsidR="004629B1">
        <w:rPr>
          <w:rFonts w:ascii="Times New Roman" w:hAnsi="Times New Roman"/>
          <w:sz w:val="24"/>
          <w:szCs w:val="24"/>
        </w:rPr>
        <w:t xml:space="preserve">review the parental consent form will provide permission for their child to participate in the study. Of the potential youth participants who have parental permission to participate in the study, </w:t>
      </w:r>
      <w:r w:rsidR="004629B1" w:rsidRPr="005D0A0B">
        <w:rPr>
          <w:rFonts w:ascii="Times New Roman" w:hAnsi="Times New Roman"/>
          <w:sz w:val="24"/>
          <w:szCs w:val="24"/>
        </w:rPr>
        <w:t xml:space="preserve">we anticipate approximately 40% have </w:t>
      </w:r>
      <w:r w:rsidR="004629B1" w:rsidRPr="0090690A">
        <w:rPr>
          <w:rFonts w:ascii="Times New Roman" w:hAnsi="Times New Roman"/>
          <w:sz w:val="24"/>
          <w:szCs w:val="24"/>
        </w:rPr>
        <w:t>either experimented with vaping or are at risk of initiating vaping</w:t>
      </w:r>
      <w:r w:rsidR="004629B1" w:rsidRPr="005D0A0B" w:rsidDel="00463407">
        <w:rPr>
          <w:rFonts w:ascii="Times New Roman" w:hAnsi="Times New Roman"/>
          <w:sz w:val="24"/>
          <w:szCs w:val="24"/>
        </w:rPr>
        <w:t xml:space="preserve"> </w:t>
      </w:r>
      <w:r w:rsidR="004629B1" w:rsidRPr="005D0A0B">
        <w:rPr>
          <w:rFonts w:ascii="Times New Roman" w:hAnsi="Times New Roman"/>
          <w:sz w:val="24"/>
          <w:szCs w:val="24"/>
        </w:rPr>
        <w:t>(</w:t>
      </w:r>
      <w:r w:rsidR="004629B1">
        <w:rPr>
          <w:rFonts w:ascii="Times New Roman" w:hAnsi="Times New Roman"/>
          <w:sz w:val="24"/>
          <w:szCs w:val="24"/>
        </w:rPr>
        <w:t>CDC</w:t>
      </w:r>
      <w:r w:rsidR="004629B1" w:rsidRPr="005D0A0B">
        <w:rPr>
          <w:rFonts w:ascii="Times New Roman" w:hAnsi="Times New Roman"/>
          <w:sz w:val="24"/>
          <w:szCs w:val="24"/>
        </w:rPr>
        <w:t>, 202</w:t>
      </w:r>
      <w:r w:rsidR="004629B1">
        <w:rPr>
          <w:rFonts w:ascii="Times New Roman" w:hAnsi="Times New Roman"/>
          <w:sz w:val="24"/>
          <w:szCs w:val="24"/>
        </w:rPr>
        <w:t>1</w:t>
      </w:r>
      <w:r w:rsidR="004629B1" w:rsidRPr="005D0A0B">
        <w:rPr>
          <w:rFonts w:ascii="Times New Roman" w:hAnsi="Times New Roman"/>
          <w:sz w:val="24"/>
          <w:szCs w:val="24"/>
        </w:rPr>
        <w:t>)</w:t>
      </w:r>
      <w:r w:rsidR="004629B1">
        <w:rPr>
          <w:rFonts w:ascii="Times New Roman" w:hAnsi="Times New Roman"/>
          <w:sz w:val="24"/>
          <w:szCs w:val="24"/>
        </w:rPr>
        <w:t xml:space="preserve"> and will consent to participate. </w:t>
      </w:r>
      <w:r w:rsidR="004629B1" w:rsidRPr="005D0A0B">
        <w:rPr>
          <w:rFonts w:ascii="Times New Roman" w:hAnsi="Times New Roman"/>
          <w:sz w:val="24"/>
          <w:szCs w:val="24"/>
        </w:rPr>
        <w:t xml:space="preserve"> </w:t>
      </w:r>
    </w:p>
    <w:p w14:paraId="437159D6" w14:textId="10299682" w:rsidR="00B30F18" w:rsidRPr="00EB5ADD" w:rsidRDefault="00B30F18" w:rsidP="00B30F18">
      <w:pPr>
        <w:spacing w:before="100" w:beforeAutospacing="1" w:after="120"/>
        <w:rPr>
          <w:rFonts w:ascii="Times New Roman" w:hAnsi="Times New Roman"/>
          <w:b/>
          <w:sz w:val="24"/>
          <w:szCs w:val="24"/>
          <w:vertAlign w:val="superscript"/>
        </w:rPr>
      </w:pPr>
      <w:r w:rsidRPr="42A86FAD">
        <w:rPr>
          <w:rFonts w:ascii="Times New Roman" w:hAnsi="Times New Roman"/>
          <w:b/>
          <w:bCs/>
          <w:sz w:val="24"/>
          <w:szCs w:val="24"/>
        </w:rPr>
        <w:t>Table 1.</w:t>
      </w:r>
      <w:r w:rsidR="007A5B7D" w:rsidRPr="42A86FAD">
        <w:rPr>
          <w:rFonts w:ascii="Times New Roman" w:hAnsi="Times New Roman"/>
          <w:b/>
          <w:bCs/>
          <w:sz w:val="24"/>
          <w:szCs w:val="24"/>
        </w:rPr>
        <w:t xml:space="preserve"> </w:t>
      </w:r>
      <w:r w:rsidRPr="42A86FAD">
        <w:rPr>
          <w:rFonts w:ascii="Times New Roman" w:hAnsi="Times New Roman"/>
          <w:b/>
          <w:bCs/>
          <w:sz w:val="24"/>
          <w:szCs w:val="24"/>
        </w:rPr>
        <w:t>Estimated Annual Reporting Burden</w:t>
      </w:r>
      <w:r w:rsidRPr="42A86FAD">
        <w:rPr>
          <w:rFonts w:ascii="Times New Roman" w:hAnsi="Times New Roman"/>
          <w:b/>
          <w:bCs/>
          <w:sz w:val="24"/>
          <w:szCs w:val="24"/>
          <w:vertAlign w:val="superscript"/>
        </w:rPr>
        <w:t>1</w:t>
      </w:r>
    </w:p>
    <w:tbl>
      <w:tblPr>
        <w:tblW w:w="9249" w:type="dxa"/>
        <w:tblLayout w:type="fixed"/>
        <w:tblCellMar>
          <w:left w:w="29" w:type="dxa"/>
          <w:right w:w="29" w:type="dxa"/>
        </w:tblCellMar>
        <w:tblLook w:val="00A0" w:firstRow="1" w:lastRow="0" w:firstColumn="1" w:lastColumn="0" w:noHBand="0" w:noVBand="0"/>
      </w:tblPr>
      <w:tblGrid>
        <w:gridCol w:w="1800"/>
        <w:gridCol w:w="1710"/>
        <w:gridCol w:w="1260"/>
        <w:gridCol w:w="1350"/>
        <w:gridCol w:w="1080"/>
        <w:gridCol w:w="1080"/>
        <w:gridCol w:w="969"/>
      </w:tblGrid>
      <w:tr w:rsidR="00B30F18" w:rsidRPr="00EB5ADD" w14:paraId="2BDA3365" w14:textId="77777777" w:rsidTr="00393B20">
        <w:trPr>
          <w:cantSplit/>
        </w:trPr>
        <w:tc>
          <w:tcPr>
            <w:tcW w:w="1800" w:type="dxa"/>
            <w:tcBorders>
              <w:top w:val="single" w:sz="12" w:space="0" w:color="000000" w:themeColor="text1"/>
              <w:bottom w:val="single" w:sz="4" w:space="0" w:color="000000" w:themeColor="text1"/>
            </w:tcBorders>
            <w:vAlign w:val="center"/>
          </w:tcPr>
          <w:p w14:paraId="6E90303F" w14:textId="77777777" w:rsidR="00B30F18" w:rsidRPr="000776EB" w:rsidRDefault="00B30F18" w:rsidP="00D21CBD">
            <w:pPr>
              <w:keepNext/>
              <w:spacing w:before="20" w:after="20"/>
              <w:rPr>
                <w:rFonts w:ascii="Times New Roman" w:hAnsi="Times New Roman"/>
                <w:b/>
                <w:sz w:val="22"/>
                <w:szCs w:val="22"/>
              </w:rPr>
            </w:pPr>
            <w:r w:rsidRPr="000776EB">
              <w:rPr>
                <w:rFonts w:ascii="Times New Roman" w:hAnsi="Times New Roman"/>
                <w:b/>
                <w:sz w:val="22"/>
                <w:szCs w:val="22"/>
              </w:rPr>
              <w:t>Type of Respondent</w:t>
            </w:r>
          </w:p>
        </w:tc>
        <w:tc>
          <w:tcPr>
            <w:tcW w:w="1710" w:type="dxa"/>
            <w:tcBorders>
              <w:top w:val="single" w:sz="12" w:space="0" w:color="000000" w:themeColor="text1"/>
              <w:bottom w:val="single" w:sz="4" w:space="0" w:color="000000" w:themeColor="text1"/>
            </w:tcBorders>
            <w:vAlign w:val="center"/>
          </w:tcPr>
          <w:p w14:paraId="2C97C1FF" w14:textId="77777777" w:rsidR="00B30F18" w:rsidRPr="000776EB" w:rsidRDefault="00B30F18" w:rsidP="00D21CBD">
            <w:pPr>
              <w:keepNext/>
              <w:spacing w:before="20" w:after="20"/>
              <w:jc w:val="center"/>
              <w:rPr>
                <w:rFonts w:ascii="Times New Roman" w:hAnsi="Times New Roman"/>
                <w:b/>
                <w:sz w:val="22"/>
                <w:szCs w:val="22"/>
              </w:rPr>
            </w:pPr>
            <w:r w:rsidRPr="000776EB">
              <w:rPr>
                <w:rFonts w:ascii="Times New Roman" w:hAnsi="Times New Roman"/>
                <w:b/>
                <w:sz w:val="22"/>
                <w:szCs w:val="22"/>
              </w:rPr>
              <w:t>Activity</w:t>
            </w:r>
          </w:p>
        </w:tc>
        <w:tc>
          <w:tcPr>
            <w:tcW w:w="1260" w:type="dxa"/>
            <w:tcBorders>
              <w:top w:val="single" w:sz="12" w:space="0" w:color="000000" w:themeColor="text1"/>
              <w:bottom w:val="single" w:sz="4" w:space="0" w:color="000000" w:themeColor="text1"/>
            </w:tcBorders>
            <w:vAlign w:val="center"/>
          </w:tcPr>
          <w:p w14:paraId="54FA16B2" w14:textId="77777777" w:rsidR="00B30F18" w:rsidRPr="000776EB" w:rsidRDefault="00B30F18" w:rsidP="00D21CBD">
            <w:pPr>
              <w:keepNext/>
              <w:spacing w:before="20" w:after="20"/>
              <w:jc w:val="center"/>
              <w:rPr>
                <w:rFonts w:ascii="Times New Roman" w:hAnsi="Times New Roman"/>
                <w:b/>
                <w:sz w:val="22"/>
                <w:szCs w:val="22"/>
              </w:rPr>
            </w:pPr>
            <w:r w:rsidRPr="000776EB">
              <w:rPr>
                <w:rFonts w:ascii="Times New Roman" w:hAnsi="Times New Roman"/>
                <w:b/>
                <w:sz w:val="22"/>
                <w:szCs w:val="22"/>
              </w:rPr>
              <w:t>Number of Respondents</w:t>
            </w:r>
          </w:p>
        </w:tc>
        <w:tc>
          <w:tcPr>
            <w:tcW w:w="1350" w:type="dxa"/>
            <w:tcBorders>
              <w:top w:val="single" w:sz="12" w:space="0" w:color="000000" w:themeColor="text1"/>
              <w:bottom w:val="single" w:sz="4" w:space="0" w:color="000000" w:themeColor="text1"/>
            </w:tcBorders>
            <w:vAlign w:val="center"/>
          </w:tcPr>
          <w:p w14:paraId="19459A4F" w14:textId="77777777" w:rsidR="00B30F18" w:rsidRPr="000776EB" w:rsidRDefault="00B30F18" w:rsidP="00D21CBD">
            <w:pPr>
              <w:keepNext/>
              <w:spacing w:before="20" w:after="20"/>
              <w:jc w:val="center"/>
              <w:rPr>
                <w:rFonts w:ascii="Times New Roman" w:hAnsi="Times New Roman"/>
                <w:b/>
                <w:sz w:val="22"/>
                <w:szCs w:val="22"/>
              </w:rPr>
            </w:pPr>
            <w:r w:rsidRPr="000776EB">
              <w:rPr>
                <w:rFonts w:ascii="Times New Roman" w:hAnsi="Times New Roman"/>
                <w:b/>
                <w:sz w:val="22"/>
                <w:szCs w:val="22"/>
              </w:rPr>
              <w:t>Number of Responses per Respondent</w:t>
            </w:r>
          </w:p>
        </w:tc>
        <w:tc>
          <w:tcPr>
            <w:tcW w:w="1080" w:type="dxa"/>
            <w:tcBorders>
              <w:top w:val="single" w:sz="12" w:space="0" w:color="000000" w:themeColor="text1"/>
              <w:bottom w:val="single" w:sz="4" w:space="0" w:color="000000" w:themeColor="text1"/>
            </w:tcBorders>
            <w:vAlign w:val="center"/>
          </w:tcPr>
          <w:p w14:paraId="1E3D94E7" w14:textId="77777777" w:rsidR="00B30F18" w:rsidRPr="000776EB" w:rsidRDefault="00B30F18" w:rsidP="00D21CBD">
            <w:pPr>
              <w:keepNext/>
              <w:spacing w:before="20" w:after="20"/>
              <w:jc w:val="center"/>
              <w:rPr>
                <w:rFonts w:ascii="Times New Roman" w:hAnsi="Times New Roman"/>
                <w:b/>
                <w:sz w:val="22"/>
                <w:szCs w:val="22"/>
              </w:rPr>
            </w:pPr>
            <w:r w:rsidRPr="000776EB">
              <w:rPr>
                <w:rFonts w:ascii="Times New Roman" w:hAnsi="Times New Roman"/>
                <w:b/>
                <w:sz w:val="22"/>
                <w:szCs w:val="22"/>
              </w:rPr>
              <w:t>Total Responses</w:t>
            </w:r>
          </w:p>
        </w:tc>
        <w:tc>
          <w:tcPr>
            <w:tcW w:w="1080" w:type="dxa"/>
            <w:tcBorders>
              <w:top w:val="single" w:sz="12" w:space="0" w:color="000000" w:themeColor="text1"/>
              <w:bottom w:val="single" w:sz="4" w:space="0" w:color="000000" w:themeColor="text1"/>
            </w:tcBorders>
            <w:vAlign w:val="center"/>
          </w:tcPr>
          <w:p w14:paraId="3B863158" w14:textId="77777777" w:rsidR="00B30F18" w:rsidRPr="000776EB" w:rsidRDefault="00B30F18" w:rsidP="00D21CBD">
            <w:pPr>
              <w:keepNext/>
              <w:spacing w:before="20" w:after="20"/>
              <w:jc w:val="center"/>
              <w:rPr>
                <w:rFonts w:ascii="Times New Roman" w:hAnsi="Times New Roman"/>
                <w:b/>
                <w:sz w:val="22"/>
                <w:szCs w:val="22"/>
              </w:rPr>
            </w:pPr>
            <w:r w:rsidRPr="000776EB">
              <w:rPr>
                <w:rFonts w:ascii="Times New Roman" w:hAnsi="Times New Roman"/>
                <w:b/>
                <w:sz w:val="22"/>
                <w:szCs w:val="22"/>
              </w:rPr>
              <w:t>Average Burden per Response (in hours)</w:t>
            </w:r>
          </w:p>
        </w:tc>
        <w:tc>
          <w:tcPr>
            <w:tcW w:w="969" w:type="dxa"/>
            <w:tcBorders>
              <w:top w:val="single" w:sz="12" w:space="0" w:color="000000" w:themeColor="text1"/>
              <w:bottom w:val="single" w:sz="4" w:space="0" w:color="000000" w:themeColor="text1"/>
            </w:tcBorders>
            <w:vAlign w:val="center"/>
          </w:tcPr>
          <w:p w14:paraId="261FC520" w14:textId="77777777" w:rsidR="00B30F18" w:rsidRPr="000776EB" w:rsidRDefault="00B30F18" w:rsidP="00D21CBD">
            <w:pPr>
              <w:keepNext/>
              <w:spacing w:before="20" w:after="20"/>
              <w:jc w:val="center"/>
              <w:rPr>
                <w:rFonts w:ascii="Times New Roman" w:hAnsi="Times New Roman"/>
                <w:b/>
                <w:sz w:val="22"/>
                <w:szCs w:val="22"/>
              </w:rPr>
            </w:pPr>
            <w:r w:rsidRPr="000776EB">
              <w:rPr>
                <w:rFonts w:ascii="Times New Roman" w:hAnsi="Times New Roman"/>
                <w:b/>
                <w:sz w:val="22"/>
                <w:szCs w:val="22"/>
              </w:rPr>
              <w:t>Total Hours¹</w:t>
            </w:r>
          </w:p>
        </w:tc>
      </w:tr>
      <w:tr w:rsidR="00B30F18" w:rsidRPr="00EB5ADD" w14:paraId="1B455565" w14:textId="77777777" w:rsidTr="00393B20">
        <w:trPr>
          <w:cantSplit/>
        </w:trPr>
        <w:tc>
          <w:tcPr>
            <w:tcW w:w="1800" w:type="dxa"/>
            <w:tcBorders>
              <w:top w:val="single" w:sz="4" w:space="0" w:color="000000" w:themeColor="text1"/>
              <w:bottom w:val="single" w:sz="4" w:space="0" w:color="D9D9D9" w:themeColor="background1" w:themeShade="D9"/>
            </w:tcBorders>
            <w:vAlign w:val="center"/>
          </w:tcPr>
          <w:p w14:paraId="1CD96B9D" w14:textId="0055800D" w:rsidR="00B30F18" w:rsidRPr="000776EB" w:rsidRDefault="000E2A59" w:rsidP="00D21CBD">
            <w:pPr>
              <w:keepNext/>
              <w:spacing w:before="20" w:after="20"/>
              <w:rPr>
                <w:rFonts w:ascii="Times New Roman" w:hAnsi="Times New Roman"/>
                <w:sz w:val="22"/>
                <w:szCs w:val="22"/>
              </w:rPr>
            </w:pPr>
            <w:r>
              <w:rPr>
                <w:rFonts w:ascii="Times New Roman" w:hAnsi="Times New Roman"/>
                <w:sz w:val="22"/>
                <w:szCs w:val="22"/>
              </w:rPr>
              <w:t>Adult, g</w:t>
            </w:r>
            <w:r w:rsidR="00B30F18" w:rsidRPr="000776EB">
              <w:rPr>
                <w:rFonts w:ascii="Times New Roman" w:hAnsi="Times New Roman"/>
                <w:sz w:val="22"/>
                <w:szCs w:val="22"/>
              </w:rPr>
              <w:t>eneral population</w:t>
            </w:r>
          </w:p>
        </w:tc>
        <w:tc>
          <w:tcPr>
            <w:tcW w:w="1710" w:type="dxa"/>
            <w:tcBorders>
              <w:top w:val="single" w:sz="4" w:space="0" w:color="000000" w:themeColor="text1"/>
              <w:bottom w:val="single" w:sz="4" w:space="0" w:color="D9D9D9" w:themeColor="background1" w:themeShade="D9"/>
            </w:tcBorders>
            <w:vAlign w:val="center"/>
          </w:tcPr>
          <w:p w14:paraId="5C0228B8" w14:textId="77777777" w:rsidR="00B30F18" w:rsidRPr="000776EB" w:rsidRDefault="00B30F18" w:rsidP="00D21CBD">
            <w:pPr>
              <w:keepNext/>
              <w:spacing w:before="20" w:after="20"/>
              <w:rPr>
                <w:rFonts w:ascii="Times New Roman" w:hAnsi="Times New Roman"/>
                <w:sz w:val="22"/>
                <w:szCs w:val="22"/>
              </w:rPr>
            </w:pPr>
            <w:r w:rsidRPr="000776EB">
              <w:rPr>
                <w:rFonts w:ascii="Times New Roman" w:hAnsi="Times New Roman"/>
                <w:sz w:val="22"/>
                <w:szCs w:val="22"/>
              </w:rPr>
              <w:t xml:space="preserve">Invitation and Parental Consent </w:t>
            </w:r>
          </w:p>
        </w:tc>
        <w:tc>
          <w:tcPr>
            <w:tcW w:w="1260" w:type="dxa"/>
            <w:tcBorders>
              <w:top w:val="single" w:sz="4" w:space="0" w:color="000000" w:themeColor="text1"/>
              <w:bottom w:val="single" w:sz="4" w:space="0" w:color="D9D9D9" w:themeColor="background1" w:themeShade="D9"/>
            </w:tcBorders>
            <w:vAlign w:val="center"/>
          </w:tcPr>
          <w:p w14:paraId="59E10E02" w14:textId="77777777" w:rsidR="00B30F18" w:rsidRPr="000776EB" w:rsidRDefault="00B30F18" w:rsidP="00D21CBD">
            <w:pPr>
              <w:keepNext/>
              <w:tabs>
                <w:tab w:val="decimal" w:pos="932"/>
              </w:tabs>
              <w:spacing w:before="20" w:after="20"/>
              <w:rPr>
                <w:rFonts w:ascii="Times New Roman" w:hAnsi="Times New Roman"/>
                <w:sz w:val="22"/>
                <w:szCs w:val="22"/>
              </w:rPr>
            </w:pPr>
            <w:r w:rsidRPr="000776EB">
              <w:rPr>
                <w:rFonts w:ascii="Times New Roman" w:hAnsi="Times New Roman"/>
                <w:sz w:val="22"/>
                <w:szCs w:val="22"/>
              </w:rPr>
              <w:t>8,000</w:t>
            </w:r>
          </w:p>
        </w:tc>
        <w:tc>
          <w:tcPr>
            <w:tcW w:w="1350" w:type="dxa"/>
            <w:tcBorders>
              <w:top w:val="single" w:sz="4" w:space="0" w:color="000000" w:themeColor="text1"/>
              <w:bottom w:val="single" w:sz="4" w:space="0" w:color="D9D9D9" w:themeColor="background1" w:themeShade="D9"/>
            </w:tcBorders>
            <w:vAlign w:val="center"/>
          </w:tcPr>
          <w:p w14:paraId="29E34389" w14:textId="77777777" w:rsidR="00B30F18" w:rsidRPr="000776EB" w:rsidRDefault="00B30F18" w:rsidP="00D21CBD">
            <w:pPr>
              <w:keepNext/>
              <w:spacing w:before="20" w:after="20"/>
              <w:jc w:val="center"/>
              <w:rPr>
                <w:rFonts w:ascii="Times New Roman" w:hAnsi="Times New Roman"/>
                <w:sz w:val="22"/>
                <w:szCs w:val="22"/>
              </w:rPr>
            </w:pPr>
            <w:r w:rsidRPr="000776EB">
              <w:rPr>
                <w:rFonts w:ascii="Times New Roman" w:hAnsi="Times New Roman"/>
                <w:sz w:val="22"/>
                <w:szCs w:val="22"/>
              </w:rPr>
              <w:t>1</w:t>
            </w:r>
          </w:p>
        </w:tc>
        <w:tc>
          <w:tcPr>
            <w:tcW w:w="1080" w:type="dxa"/>
            <w:tcBorders>
              <w:top w:val="single" w:sz="4" w:space="0" w:color="000000" w:themeColor="text1"/>
              <w:bottom w:val="single" w:sz="4" w:space="0" w:color="D9D9D9" w:themeColor="background1" w:themeShade="D9"/>
            </w:tcBorders>
            <w:vAlign w:val="center"/>
          </w:tcPr>
          <w:p w14:paraId="0EA2AC53" w14:textId="77777777" w:rsidR="00B30F18" w:rsidRPr="000776EB" w:rsidRDefault="00B30F18" w:rsidP="00D21CBD">
            <w:pPr>
              <w:keepNext/>
              <w:tabs>
                <w:tab w:val="decimal" w:pos="710"/>
              </w:tabs>
              <w:spacing w:before="20" w:after="20"/>
              <w:rPr>
                <w:rFonts w:ascii="Times New Roman" w:hAnsi="Times New Roman"/>
                <w:sz w:val="22"/>
                <w:szCs w:val="22"/>
              </w:rPr>
            </w:pPr>
            <w:r w:rsidRPr="000776EB">
              <w:rPr>
                <w:rFonts w:ascii="Times New Roman" w:hAnsi="Times New Roman"/>
                <w:sz w:val="22"/>
                <w:szCs w:val="22"/>
              </w:rPr>
              <w:t>8,000</w:t>
            </w:r>
          </w:p>
        </w:tc>
        <w:tc>
          <w:tcPr>
            <w:tcW w:w="1080" w:type="dxa"/>
            <w:tcBorders>
              <w:top w:val="single" w:sz="4" w:space="0" w:color="000000" w:themeColor="text1"/>
              <w:bottom w:val="single" w:sz="4" w:space="0" w:color="D9D9D9" w:themeColor="background1" w:themeShade="D9"/>
            </w:tcBorders>
            <w:vAlign w:val="center"/>
          </w:tcPr>
          <w:p w14:paraId="11B99F8E" w14:textId="0DFB0817" w:rsidR="00B30F18" w:rsidRPr="000776EB" w:rsidRDefault="00B30F18" w:rsidP="00D21CBD">
            <w:pPr>
              <w:keepNext/>
              <w:tabs>
                <w:tab w:val="decimal" w:pos="454"/>
              </w:tabs>
              <w:spacing w:before="20" w:after="20"/>
              <w:rPr>
                <w:rFonts w:ascii="Times New Roman" w:hAnsi="Times New Roman"/>
                <w:sz w:val="22"/>
                <w:szCs w:val="22"/>
              </w:rPr>
            </w:pPr>
            <w:r w:rsidRPr="000776EB">
              <w:rPr>
                <w:rFonts w:ascii="Times New Roman" w:hAnsi="Times New Roman"/>
                <w:sz w:val="22"/>
                <w:szCs w:val="22"/>
              </w:rPr>
              <w:t>0.033</w:t>
            </w:r>
            <w:r w:rsidR="004A3AC0">
              <w:rPr>
                <w:rFonts w:ascii="Times New Roman" w:hAnsi="Times New Roman"/>
                <w:sz w:val="22"/>
                <w:szCs w:val="22"/>
              </w:rPr>
              <w:t>33</w:t>
            </w:r>
          </w:p>
        </w:tc>
        <w:tc>
          <w:tcPr>
            <w:tcW w:w="969" w:type="dxa"/>
            <w:tcBorders>
              <w:top w:val="single" w:sz="4" w:space="0" w:color="000000" w:themeColor="text1"/>
              <w:bottom w:val="single" w:sz="4" w:space="0" w:color="D9D9D9" w:themeColor="background1" w:themeShade="D9"/>
            </w:tcBorders>
            <w:vAlign w:val="center"/>
          </w:tcPr>
          <w:p w14:paraId="192AD54B" w14:textId="77777777" w:rsidR="00B30F18" w:rsidRPr="000776EB" w:rsidRDefault="00B30F18" w:rsidP="00D21CBD">
            <w:pPr>
              <w:jc w:val="center"/>
              <w:rPr>
                <w:rFonts w:ascii="Times New Roman" w:hAnsi="Times New Roman"/>
                <w:b/>
                <w:sz w:val="22"/>
                <w:szCs w:val="22"/>
              </w:rPr>
            </w:pPr>
            <w:r w:rsidRPr="000776EB">
              <w:rPr>
                <w:rFonts w:ascii="Times New Roman" w:hAnsi="Times New Roman"/>
                <w:b/>
                <w:sz w:val="22"/>
                <w:szCs w:val="22"/>
              </w:rPr>
              <w:t>267</w:t>
            </w:r>
          </w:p>
        </w:tc>
      </w:tr>
      <w:tr w:rsidR="00456B93" w:rsidRPr="00EB5ADD" w14:paraId="6ABCC1FF" w14:textId="77777777" w:rsidTr="00393B20">
        <w:trPr>
          <w:cantSplit/>
          <w:trHeight w:val="478"/>
        </w:trPr>
        <w:tc>
          <w:tcPr>
            <w:tcW w:w="9249" w:type="dxa"/>
            <w:gridSpan w:val="7"/>
            <w:tcBorders>
              <w:top w:val="single" w:sz="4" w:space="0" w:color="D9D9D9" w:themeColor="background1" w:themeShade="D9"/>
              <w:bottom w:val="single" w:sz="4" w:space="0" w:color="D9D9D9" w:themeColor="background1" w:themeShade="D9"/>
            </w:tcBorders>
            <w:vAlign w:val="center"/>
          </w:tcPr>
          <w:p w14:paraId="4FD64909" w14:textId="77777777" w:rsidR="00456B93" w:rsidRPr="000776EB" w:rsidRDefault="00456B93" w:rsidP="00C12239">
            <w:pPr>
              <w:rPr>
                <w:rFonts w:ascii="Times New Roman" w:hAnsi="Times New Roman"/>
                <w:b/>
                <w:sz w:val="22"/>
                <w:szCs w:val="22"/>
              </w:rPr>
            </w:pPr>
            <w:r w:rsidRPr="000776EB">
              <w:rPr>
                <w:rFonts w:ascii="Times New Roman" w:hAnsi="Times New Roman"/>
                <w:b/>
                <w:sz w:val="22"/>
                <w:szCs w:val="22"/>
              </w:rPr>
              <w:t>Screened Potential Participants</w:t>
            </w:r>
          </w:p>
        </w:tc>
      </w:tr>
      <w:tr w:rsidR="00456B93" w:rsidRPr="00EB5ADD" w14:paraId="3FB4AB59" w14:textId="77777777" w:rsidTr="00C12239">
        <w:trPr>
          <w:cantSplit/>
          <w:trHeight w:val="534"/>
        </w:trPr>
        <w:tc>
          <w:tcPr>
            <w:tcW w:w="1800" w:type="dxa"/>
            <w:tcBorders>
              <w:top w:val="single" w:sz="4" w:space="0" w:color="D9D9D9" w:themeColor="background1" w:themeShade="D9"/>
              <w:bottom w:val="single" w:sz="4" w:space="0" w:color="D9D9D9" w:themeColor="background1" w:themeShade="D9"/>
            </w:tcBorders>
            <w:vAlign w:val="center"/>
          </w:tcPr>
          <w:p w14:paraId="666B4AC5" w14:textId="77777777" w:rsidR="00456B93" w:rsidRPr="000776EB" w:rsidRDefault="00456B93" w:rsidP="00C12239">
            <w:pPr>
              <w:keepNext/>
              <w:spacing w:before="20" w:after="20"/>
              <w:rPr>
                <w:rFonts w:ascii="Times New Roman" w:hAnsi="Times New Roman"/>
                <w:sz w:val="22"/>
                <w:szCs w:val="22"/>
              </w:rPr>
            </w:pPr>
            <w:r w:rsidRPr="000776EB">
              <w:rPr>
                <w:rFonts w:ascii="Times New Roman" w:hAnsi="Times New Roman"/>
                <w:sz w:val="22"/>
                <w:szCs w:val="22"/>
              </w:rPr>
              <w:lastRenderedPageBreak/>
              <w:t xml:space="preserve">Youth aged </w:t>
            </w:r>
            <w:r w:rsidRPr="000776EB">
              <w:rPr>
                <w:rFonts w:ascii="Times New Roman" w:hAnsi="Times New Roman"/>
                <w:sz w:val="22"/>
                <w:szCs w:val="22"/>
              </w:rPr>
              <w:br/>
              <w:t xml:space="preserve">13 to 17 </w:t>
            </w:r>
          </w:p>
        </w:tc>
        <w:tc>
          <w:tcPr>
            <w:tcW w:w="1710" w:type="dxa"/>
            <w:tcBorders>
              <w:top w:val="single" w:sz="4" w:space="0" w:color="D9D9D9" w:themeColor="background1" w:themeShade="D9"/>
              <w:bottom w:val="single" w:sz="4" w:space="0" w:color="D9D9D9" w:themeColor="background1" w:themeShade="D9"/>
            </w:tcBorders>
            <w:vAlign w:val="center"/>
          </w:tcPr>
          <w:p w14:paraId="3D20606D" w14:textId="77777777" w:rsidR="00456B93" w:rsidRPr="000776EB" w:rsidRDefault="00456B93" w:rsidP="00C12239">
            <w:pPr>
              <w:keepNext/>
              <w:spacing w:before="20" w:after="20"/>
              <w:rPr>
                <w:rFonts w:ascii="Times New Roman" w:hAnsi="Times New Roman"/>
                <w:sz w:val="22"/>
                <w:szCs w:val="22"/>
              </w:rPr>
            </w:pPr>
            <w:r w:rsidRPr="000776EB">
              <w:rPr>
                <w:rFonts w:ascii="Times New Roman" w:hAnsi="Times New Roman"/>
                <w:sz w:val="22"/>
                <w:szCs w:val="22"/>
              </w:rPr>
              <w:t xml:space="preserve">Youth Assent </w:t>
            </w:r>
          </w:p>
        </w:tc>
        <w:tc>
          <w:tcPr>
            <w:tcW w:w="1260" w:type="dxa"/>
            <w:tcBorders>
              <w:top w:val="single" w:sz="4" w:space="0" w:color="D9D9D9" w:themeColor="background1" w:themeShade="D9"/>
              <w:bottom w:val="single" w:sz="4" w:space="0" w:color="D9D9D9" w:themeColor="background1" w:themeShade="D9"/>
            </w:tcBorders>
            <w:vAlign w:val="center"/>
          </w:tcPr>
          <w:p w14:paraId="1E200EEA" w14:textId="77777777" w:rsidR="00456B93" w:rsidRPr="000776EB" w:rsidRDefault="00456B93" w:rsidP="00C12239">
            <w:pPr>
              <w:keepNext/>
              <w:tabs>
                <w:tab w:val="decimal" w:pos="932"/>
              </w:tabs>
              <w:spacing w:before="20" w:after="20"/>
              <w:rPr>
                <w:rFonts w:ascii="Times New Roman" w:hAnsi="Times New Roman"/>
                <w:sz w:val="22"/>
                <w:szCs w:val="22"/>
              </w:rPr>
            </w:pPr>
            <w:r w:rsidRPr="000776EB">
              <w:rPr>
                <w:rFonts w:ascii="Times New Roman" w:hAnsi="Times New Roman"/>
                <w:sz w:val="22"/>
                <w:szCs w:val="22"/>
              </w:rPr>
              <w:t>6,000</w:t>
            </w:r>
          </w:p>
        </w:tc>
        <w:tc>
          <w:tcPr>
            <w:tcW w:w="1350" w:type="dxa"/>
            <w:tcBorders>
              <w:top w:val="single" w:sz="4" w:space="0" w:color="D9D9D9" w:themeColor="background1" w:themeShade="D9"/>
              <w:bottom w:val="single" w:sz="4" w:space="0" w:color="D9D9D9" w:themeColor="background1" w:themeShade="D9"/>
            </w:tcBorders>
            <w:vAlign w:val="center"/>
          </w:tcPr>
          <w:p w14:paraId="4EE8EE44" w14:textId="77777777" w:rsidR="00456B93" w:rsidRPr="000776EB" w:rsidRDefault="00456B93" w:rsidP="00C12239">
            <w:pPr>
              <w:keepNext/>
              <w:spacing w:before="20" w:after="20"/>
              <w:jc w:val="center"/>
              <w:rPr>
                <w:rFonts w:ascii="Times New Roman" w:hAnsi="Times New Roman"/>
                <w:sz w:val="22"/>
                <w:szCs w:val="22"/>
              </w:rPr>
            </w:pPr>
            <w:r w:rsidRPr="000776EB">
              <w:rPr>
                <w:rFonts w:ascii="Times New Roman" w:hAnsi="Times New Roman"/>
                <w:sz w:val="22"/>
                <w:szCs w:val="22"/>
              </w:rPr>
              <w:t>1</w:t>
            </w:r>
          </w:p>
        </w:tc>
        <w:tc>
          <w:tcPr>
            <w:tcW w:w="1080" w:type="dxa"/>
            <w:tcBorders>
              <w:top w:val="single" w:sz="4" w:space="0" w:color="D9D9D9" w:themeColor="background1" w:themeShade="D9"/>
              <w:bottom w:val="single" w:sz="4" w:space="0" w:color="D9D9D9" w:themeColor="background1" w:themeShade="D9"/>
            </w:tcBorders>
            <w:vAlign w:val="center"/>
          </w:tcPr>
          <w:p w14:paraId="59097693" w14:textId="77777777" w:rsidR="00456B93" w:rsidRPr="000776EB" w:rsidRDefault="00456B93" w:rsidP="00C12239">
            <w:pPr>
              <w:keepNext/>
              <w:tabs>
                <w:tab w:val="decimal" w:pos="710"/>
              </w:tabs>
              <w:spacing w:before="20" w:after="20"/>
              <w:rPr>
                <w:rFonts w:ascii="Times New Roman" w:hAnsi="Times New Roman"/>
                <w:sz w:val="22"/>
                <w:szCs w:val="22"/>
              </w:rPr>
            </w:pPr>
            <w:r w:rsidRPr="000776EB">
              <w:rPr>
                <w:rFonts w:ascii="Times New Roman" w:hAnsi="Times New Roman"/>
                <w:sz w:val="22"/>
                <w:szCs w:val="22"/>
              </w:rPr>
              <w:t>6,000</w:t>
            </w:r>
          </w:p>
        </w:tc>
        <w:tc>
          <w:tcPr>
            <w:tcW w:w="1080" w:type="dxa"/>
            <w:tcBorders>
              <w:top w:val="single" w:sz="4" w:space="0" w:color="D9D9D9" w:themeColor="background1" w:themeShade="D9"/>
              <w:bottom w:val="single" w:sz="4" w:space="0" w:color="D9D9D9" w:themeColor="background1" w:themeShade="D9"/>
            </w:tcBorders>
            <w:vAlign w:val="center"/>
          </w:tcPr>
          <w:p w14:paraId="5B16D75E" w14:textId="03255E02" w:rsidR="00456B93" w:rsidRPr="000776EB" w:rsidRDefault="00456B93" w:rsidP="00C12239">
            <w:pPr>
              <w:keepNext/>
              <w:tabs>
                <w:tab w:val="decimal" w:pos="454"/>
              </w:tabs>
              <w:spacing w:before="20" w:after="20"/>
              <w:rPr>
                <w:rFonts w:ascii="Times New Roman" w:hAnsi="Times New Roman"/>
                <w:sz w:val="22"/>
                <w:szCs w:val="22"/>
              </w:rPr>
            </w:pPr>
            <w:r w:rsidRPr="000776EB">
              <w:rPr>
                <w:rFonts w:ascii="Times New Roman" w:hAnsi="Times New Roman"/>
                <w:sz w:val="22"/>
                <w:szCs w:val="22"/>
              </w:rPr>
              <w:t>0.033</w:t>
            </w:r>
            <w:r w:rsidR="006E7032">
              <w:rPr>
                <w:rFonts w:ascii="Times New Roman" w:hAnsi="Times New Roman"/>
                <w:sz w:val="22"/>
                <w:szCs w:val="22"/>
              </w:rPr>
              <w:t>3</w:t>
            </w:r>
          </w:p>
        </w:tc>
        <w:tc>
          <w:tcPr>
            <w:tcW w:w="969" w:type="dxa"/>
            <w:tcBorders>
              <w:top w:val="single" w:sz="4" w:space="0" w:color="D9D9D9" w:themeColor="background1" w:themeShade="D9"/>
              <w:bottom w:val="single" w:sz="4" w:space="0" w:color="D9D9D9" w:themeColor="background1" w:themeShade="D9"/>
            </w:tcBorders>
            <w:vAlign w:val="center"/>
          </w:tcPr>
          <w:p w14:paraId="1651158E" w14:textId="77777777" w:rsidR="00456B93" w:rsidRPr="00F277CA" w:rsidRDefault="00456B93" w:rsidP="00C12239">
            <w:pPr>
              <w:jc w:val="center"/>
              <w:rPr>
                <w:rFonts w:ascii="Times New Roman" w:hAnsi="Times New Roman"/>
                <w:b/>
                <w:sz w:val="22"/>
                <w:szCs w:val="22"/>
              </w:rPr>
            </w:pPr>
            <w:r w:rsidRPr="00F277CA">
              <w:rPr>
                <w:rFonts w:ascii="Times New Roman" w:hAnsi="Times New Roman"/>
                <w:b/>
                <w:sz w:val="22"/>
                <w:szCs w:val="22"/>
              </w:rPr>
              <w:t>200</w:t>
            </w:r>
          </w:p>
        </w:tc>
      </w:tr>
      <w:tr w:rsidR="00456B93" w:rsidRPr="00EB5ADD" w14:paraId="7DE5893E" w14:textId="77777777" w:rsidTr="00C12239">
        <w:trPr>
          <w:cantSplit/>
          <w:trHeight w:val="534"/>
        </w:trPr>
        <w:tc>
          <w:tcPr>
            <w:tcW w:w="1800" w:type="dxa"/>
            <w:tcBorders>
              <w:top w:val="single" w:sz="4" w:space="0" w:color="D9D9D9" w:themeColor="background1" w:themeShade="D9"/>
              <w:bottom w:val="single" w:sz="4" w:space="0" w:color="D9D9D9" w:themeColor="background1" w:themeShade="D9"/>
            </w:tcBorders>
            <w:vAlign w:val="center"/>
          </w:tcPr>
          <w:p w14:paraId="111E491B" w14:textId="77777777" w:rsidR="00456B93" w:rsidRPr="000776EB" w:rsidRDefault="00456B93" w:rsidP="00C12239">
            <w:pPr>
              <w:keepNext/>
              <w:spacing w:before="20" w:after="20"/>
              <w:rPr>
                <w:rFonts w:ascii="Times New Roman" w:hAnsi="Times New Roman"/>
                <w:sz w:val="22"/>
                <w:szCs w:val="22"/>
              </w:rPr>
            </w:pPr>
            <w:r w:rsidRPr="00493B82">
              <w:rPr>
                <w:rFonts w:ascii="Times New Roman" w:hAnsi="Times New Roman"/>
                <w:sz w:val="22"/>
                <w:szCs w:val="22"/>
              </w:rPr>
              <w:t xml:space="preserve">Youth aged </w:t>
            </w:r>
            <w:r w:rsidRPr="00493B82">
              <w:rPr>
                <w:rFonts w:ascii="Times New Roman" w:hAnsi="Times New Roman"/>
                <w:sz w:val="22"/>
                <w:szCs w:val="22"/>
              </w:rPr>
              <w:br/>
              <w:t>13 to 17</w:t>
            </w:r>
          </w:p>
        </w:tc>
        <w:tc>
          <w:tcPr>
            <w:tcW w:w="1710" w:type="dxa"/>
            <w:tcBorders>
              <w:top w:val="single" w:sz="4" w:space="0" w:color="D9D9D9" w:themeColor="background1" w:themeShade="D9"/>
              <w:bottom w:val="single" w:sz="4" w:space="0" w:color="D9D9D9" w:themeColor="background1" w:themeShade="D9"/>
            </w:tcBorders>
            <w:vAlign w:val="center"/>
          </w:tcPr>
          <w:p w14:paraId="51E74721" w14:textId="77777777" w:rsidR="00456B93" w:rsidRPr="000776EB" w:rsidRDefault="00456B93" w:rsidP="00C12239">
            <w:pPr>
              <w:keepNext/>
              <w:spacing w:before="20" w:after="20"/>
              <w:rPr>
                <w:rFonts w:ascii="Times New Roman" w:hAnsi="Times New Roman"/>
                <w:sz w:val="22"/>
                <w:szCs w:val="22"/>
              </w:rPr>
            </w:pPr>
            <w:r w:rsidRPr="00493B82">
              <w:rPr>
                <w:rFonts w:ascii="Times New Roman" w:hAnsi="Times New Roman"/>
                <w:sz w:val="22"/>
                <w:szCs w:val="22"/>
              </w:rPr>
              <w:t>Youth Screening</w:t>
            </w:r>
          </w:p>
        </w:tc>
        <w:tc>
          <w:tcPr>
            <w:tcW w:w="1260" w:type="dxa"/>
            <w:tcBorders>
              <w:top w:val="single" w:sz="4" w:space="0" w:color="D9D9D9" w:themeColor="background1" w:themeShade="D9"/>
              <w:bottom w:val="single" w:sz="4" w:space="0" w:color="D9D9D9" w:themeColor="background1" w:themeShade="D9"/>
            </w:tcBorders>
            <w:vAlign w:val="center"/>
          </w:tcPr>
          <w:p w14:paraId="30A0B147" w14:textId="77777777" w:rsidR="00456B93" w:rsidRPr="000776EB" w:rsidRDefault="00456B93" w:rsidP="00C12239">
            <w:pPr>
              <w:keepNext/>
              <w:tabs>
                <w:tab w:val="decimal" w:pos="932"/>
              </w:tabs>
              <w:spacing w:before="20" w:after="20"/>
              <w:rPr>
                <w:rFonts w:ascii="Times New Roman" w:hAnsi="Times New Roman"/>
                <w:sz w:val="22"/>
                <w:szCs w:val="22"/>
              </w:rPr>
            </w:pPr>
            <w:r>
              <w:rPr>
                <w:rFonts w:ascii="Times New Roman" w:hAnsi="Times New Roman"/>
                <w:sz w:val="22"/>
                <w:szCs w:val="22"/>
              </w:rPr>
              <w:t>6,000</w:t>
            </w:r>
          </w:p>
        </w:tc>
        <w:tc>
          <w:tcPr>
            <w:tcW w:w="1350" w:type="dxa"/>
            <w:tcBorders>
              <w:top w:val="single" w:sz="4" w:space="0" w:color="D9D9D9" w:themeColor="background1" w:themeShade="D9"/>
              <w:bottom w:val="single" w:sz="4" w:space="0" w:color="D9D9D9" w:themeColor="background1" w:themeShade="D9"/>
            </w:tcBorders>
            <w:vAlign w:val="center"/>
          </w:tcPr>
          <w:p w14:paraId="1FBDC70A" w14:textId="77777777" w:rsidR="00456B93" w:rsidRPr="000776EB" w:rsidRDefault="00456B93" w:rsidP="00C12239">
            <w:pPr>
              <w:keepNext/>
              <w:spacing w:before="20" w:after="20"/>
              <w:jc w:val="center"/>
              <w:rPr>
                <w:rFonts w:ascii="Times New Roman" w:hAnsi="Times New Roman"/>
                <w:sz w:val="22"/>
                <w:szCs w:val="22"/>
              </w:rPr>
            </w:pPr>
            <w:r>
              <w:rPr>
                <w:rFonts w:ascii="Times New Roman" w:hAnsi="Times New Roman"/>
                <w:sz w:val="22"/>
                <w:szCs w:val="22"/>
              </w:rPr>
              <w:t>1</w:t>
            </w:r>
          </w:p>
        </w:tc>
        <w:tc>
          <w:tcPr>
            <w:tcW w:w="1080" w:type="dxa"/>
            <w:tcBorders>
              <w:top w:val="single" w:sz="4" w:space="0" w:color="D9D9D9" w:themeColor="background1" w:themeShade="D9"/>
              <w:bottom w:val="single" w:sz="4" w:space="0" w:color="D9D9D9" w:themeColor="background1" w:themeShade="D9"/>
            </w:tcBorders>
            <w:vAlign w:val="center"/>
          </w:tcPr>
          <w:p w14:paraId="4E8980BB" w14:textId="77777777" w:rsidR="00456B93" w:rsidRPr="000776EB" w:rsidRDefault="00456B93" w:rsidP="00C12239">
            <w:pPr>
              <w:keepNext/>
              <w:tabs>
                <w:tab w:val="decimal" w:pos="710"/>
              </w:tabs>
              <w:spacing w:before="20" w:after="20"/>
              <w:rPr>
                <w:rFonts w:ascii="Times New Roman" w:hAnsi="Times New Roman"/>
                <w:sz w:val="22"/>
                <w:szCs w:val="22"/>
              </w:rPr>
            </w:pPr>
            <w:r w:rsidRPr="000776EB">
              <w:rPr>
                <w:rFonts w:ascii="Times New Roman" w:hAnsi="Times New Roman"/>
                <w:sz w:val="22"/>
                <w:szCs w:val="22"/>
              </w:rPr>
              <w:t>6,000</w:t>
            </w:r>
          </w:p>
        </w:tc>
        <w:tc>
          <w:tcPr>
            <w:tcW w:w="1080" w:type="dxa"/>
            <w:tcBorders>
              <w:top w:val="single" w:sz="4" w:space="0" w:color="D9D9D9" w:themeColor="background1" w:themeShade="D9"/>
              <w:bottom w:val="single" w:sz="4" w:space="0" w:color="D9D9D9" w:themeColor="background1" w:themeShade="D9"/>
            </w:tcBorders>
            <w:vAlign w:val="center"/>
          </w:tcPr>
          <w:p w14:paraId="0C1C6552" w14:textId="77777777" w:rsidR="00456B93" w:rsidRPr="000776EB" w:rsidRDefault="00456B93" w:rsidP="00C12239">
            <w:pPr>
              <w:keepNext/>
              <w:tabs>
                <w:tab w:val="decimal" w:pos="454"/>
              </w:tabs>
              <w:spacing w:before="20" w:after="20"/>
              <w:rPr>
                <w:rFonts w:ascii="Times New Roman" w:hAnsi="Times New Roman"/>
                <w:sz w:val="22"/>
                <w:szCs w:val="22"/>
              </w:rPr>
            </w:pPr>
            <w:r>
              <w:rPr>
                <w:rFonts w:ascii="Times New Roman" w:hAnsi="Times New Roman"/>
                <w:sz w:val="22"/>
                <w:szCs w:val="22"/>
              </w:rPr>
              <w:t>.05</w:t>
            </w:r>
          </w:p>
        </w:tc>
        <w:tc>
          <w:tcPr>
            <w:tcW w:w="969" w:type="dxa"/>
            <w:tcBorders>
              <w:top w:val="single" w:sz="4" w:space="0" w:color="D9D9D9" w:themeColor="background1" w:themeShade="D9"/>
              <w:bottom w:val="single" w:sz="4" w:space="0" w:color="D9D9D9" w:themeColor="background1" w:themeShade="D9"/>
            </w:tcBorders>
            <w:vAlign w:val="center"/>
          </w:tcPr>
          <w:p w14:paraId="3867B708" w14:textId="77777777" w:rsidR="00456B93" w:rsidRPr="00F277CA" w:rsidRDefault="00456B93" w:rsidP="00C12239">
            <w:pPr>
              <w:jc w:val="center"/>
              <w:rPr>
                <w:rFonts w:ascii="Times New Roman" w:hAnsi="Times New Roman"/>
                <w:b/>
                <w:sz w:val="22"/>
                <w:szCs w:val="22"/>
              </w:rPr>
            </w:pPr>
            <w:r w:rsidRPr="00F277CA">
              <w:rPr>
                <w:rFonts w:ascii="Times New Roman" w:hAnsi="Times New Roman"/>
                <w:b/>
                <w:sz w:val="22"/>
                <w:szCs w:val="22"/>
              </w:rPr>
              <w:t>300</w:t>
            </w:r>
          </w:p>
        </w:tc>
      </w:tr>
      <w:tr w:rsidR="00456B93" w:rsidRPr="00EB5ADD" w14:paraId="62D3A1CA" w14:textId="77777777" w:rsidTr="00393B20">
        <w:trPr>
          <w:cantSplit/>
          <w:trHeight w:val="475"/>
        </w:trPr>
        <w:tc>
          <w:tcPr>
            <w:tcW w:w="9249" w:type="dxa"/>
            <w:gridSpan w:val="7"/>
            <w:tcBorders>
              <w:top w:val="single" w:sz="4" w:space="0" w:color="D9D9D9" w:themeColor="background1" w:themeShade="D9"/>
              <w:bottom w:val="single" w:sz="4" w:space="0" w:color="D9D9D9" w:themeColor="background1" w:themeShade="D9"/>
            </w:tcBorders>
            <w:vAlign w:val="center"/>
          </w:tcPr>
          <w:p w14:paraId="361F1E21" w14:textId="7FA09142" w:rsidR="00456B93" w:rsidRPr="00393B20" w:rsidRDefault="00456B93" w:rsidP="00C12239">
            <w:pPr>
              <w:rPr>
                <w:rFonts w:ascii="Times New Roman" w:hAnsi="Times New Roman"/>
                <w:b/>
                <w:sz w:val="22"/>
                <w:szCs w:val="22"/>
              </w:rPr>
            </w:pPr>
            <w:r>
              <w:rPr>
                <w:rFonts w:ascii="Times New Roman" w:hAnsi="Times New Roman"/>
                <w:b/>
                <w:sz w:val="22"/>
                <w:szCs w:val="22"/>
              </w:rPr>
              <w:t>Survey</w:t>
            </w:r>
            <w:r w:rsidRPr="000776EB">
              <w:rPr>
                <w:rFonts w:ascii="Times New Roman" w:hAnsi="Times New Roman"/>
                <w:b/>
                <w:sz w:val="22"/>
                <w:szCs w:val="22"/>
              </w:rPr>
              <w:t xml:space="preserve"> Participants</w:t>
            </w:r>
          </w:p>
        </w:tc>
      </w:tr>
      <w:tr w:rsidR="00456B93" w:rsidRPr="00EB5ADD" w14:paraId="0AF3EEB0" w14:textId="77777777" w:rsidTr="00C12239">
        <w:trPr>
          <w:cantSplit/>
        </w:trPr>
        <w:tc>
          <w:tcPr>
            <w:tcW w:w="1800" w:type="dxa"/>
            <w:tcBorders>
              <w:top w:val="single" w:sz="4" w:space="0" w:color="D9D9D9" w:themeColor="background1" w:themeShade="D9"/>
              <w:bottom w:val="single" w:sz="4" w:space="0" w:color="auto"/>
            </w:tcBorders>
            <w:vAlign w:val="center"/>
          </w:tcPr>
          <w:p w14:paraId="6BF2BF5C" w14:textId="77777777" w:rsidR="00456B93" w:rsidRPr="000776EB" w:rsidRDefault="00456B93" w:rsidP="00C12239">
            <w:pPr>
              <w:keepNext/>
              <w:spacing w:before="20" w:after="20"/>
              <w:rPr>
                <w:rFonts w:ascii="Times New Roman" w:hAnsi="Times New Roman"/>
                <w:sz w:val="22"/>
                <w:szCs w:val="22"/>
              </w:rPr>
            </w:pPr>
            <w:r w:rsidRPr="000776EB">
              <w:rPr>
                <w:rFonts w:ascii="Times New Roman" w:hAnsi="Times New Roman"/>
                <w:sz w:val="22"/>
                <w:szCs w:val="22"/>
              </w:rPr>
              <w:t xml:space="preserve">Youth aged </w:t>
            </w:r>
            <w:r w:rsidRPr="000776EB">
              <w:rPr>
                <w:rFonts w:ascii="Times New Roman" w:hAnsi="Times New Roman"/>
                <w:sz w:val="22"/>
                <w:szCs w:val="22"/>
              </w:rPr>
              <w:br/>
              <w:t xml:space="preserve">13 to 17  </w:t>
            </w:r>
          </w:p>
        </w:tc>
        <w:tc>
          <w:tcPr>
            <w:tcW w:w="1710" w:type="dxa"/>
            <w:tcBorders>
              <w:top w:val="single" w:sz="4" w:space="0" w:color="D9D9D9" w:themeColor="background1" w:themeShade="D9"/>
              <w:bottom w:val="single" w:sz="4" w:space="0" w:color="auto"/>
            </w:tcBorders>
            <w:vAlign w:val="center"/>
          </w:tcPr>
          <w:p w14:paraId="5AA42BB9" w14:textId="77777777" w:rsidR="00456B93" w:rsidRPr="000776EB" w:rsidDel="00841491" w:rsidRDefault="00456B93" w:rsidP="00C12239">
            <w:pPr>
              <w:keepNext/>
              <w:spacing w:before="20" w:after="20"/>
              <w:rPr>
                <w:rFonts w:ascii="Times New Roman" w:hAnsi="Times New Roman"/>
                <w:sz w:val="22"/>
                <w:szCs w:val="22"/>
              </w:rPr>
            </w:pPr>
            <w:r w:rsidRPr="000776EB">
              <w:rPr>
                <w:rFonts w:ascii="Times New Roman" w:hAnsi="Times New Roman"/>
                <w:sz w:val="22"/>
                <w:szCs w:val="22"/>
              </w:rPr>
              <w:t>Survey</w:t>
            </w:r>
          </w:p>
        </w:tc>
        <w:tc>
          <w:tcPr>
            <w:tcW w:w="1260" w:type="dxa"/>
            <w:tcBorders>
              <w:top w:val="single" w:sz="4" w:space="0" w:color="D9D9D9" w:themeColor="background1" w:themeShade="D9"/>
              <w:bottom w:val="single" w:sz="4" w:space="0" w:color="auto"/>
            </w:tcBorders>
            <w:vAlign w:val="center"/>
          </w:tcPr>
          <w:p w14:paraId="672E496C" w14:textId="77777777" w:rsidR="00456B93" w:rsidRPr="000776EB" w:rsidRDefault="00456B93" w:rsidP="00C12239">
            <w:pPr>
              <w:keepNext/>
              <w:tabs>
                <w:tab w:val="decimal" w:pos="932"/>
              </w:tabs>
              <w:spacing w:before="20" w:after="20"/>
              <w:jc w:val="center"/>
              <w:rPr>
                <w:rFonts w:ascii="Times New Roman" w:hAnsi="Times New Roman"/>
                <w:sz w:val="22"/>
                <w:szCs w:val="22"/>
              </w:rPr>
            </w:pPr>
            <w:r w:rsidRPr="000776EB">
              <w:rPr>
                <w:rFonts w:ascii="Times New Roman" w:hAnsi="Times New Roman"/>
                <w:sz w:val="22"/>
                <w:szCs w:val="22"/>
              </w:rPr>
              <w:t>2,400</w:t>
            </w:r>
          </w:p>
        </w:tc>
        <w:tc>
          <w:tcPr>
            <w:tcW w:w="1350" w:type="dxa"/>
            <w:tcBorders>
              <w:top w:val="single" w:sz="4" w:space="0" w:color="D9D9D9" w:themeColor="background1" w:themeShade="D9"/>
              <w:bottom w:val="single" w:sz="4" w:space="0" w:color="auto"/>
            </w:tcBorders>
            <w:vAlign w:val="center"/>
          </w:tcPr>
          <w:p w14:paraId="75C39FAE" w14:textId="77777777" w:rsidR="00456B93" w:rsidRPr="000776EB" w:rsidRDefault="00456B93" w:rsidP="00C12239">
            <w:pPr>
              <w:keepNext/>
              <w:spacing w:before="20" w:after="20"/>
              <w:jc w:val="center"/>
              <w:rPr>
                <w:rFonts w:ascii="Times New Roman" w:hAnsi="Times New Roman"/>
                <w:sz w:val="22"/>
                <w:szCs w:val="22"/>
              </w:rPr>
            </w:pPr>
            <w:r w:rsidRPr="000776EB">
              <w:rPr>
                <w:rFonts w:ascii="Times New Roman" w:hAnsi="Times New Roman"/>
                <w:sz w:val="22"/>
                <w:szCs w:val="22"/>
              </w:rPr>
              <w:t>1</w:t>
            </w:r>
          </w:p>
        </w:tc>
        <w:tc>
          <w:tcPr>
            <w:tcW w:w="1080" w:type="dxa"/>
            <w:tcBorders>
              <w:top w:val="single" w:sz="4" w:space="0" w:color="D9D9D9" w:themeColor="background1" w:themeShade="D9"/>
              <w:bottom w:val="single" w:sz="4" w:space="0" w:color="auto"/>
            </w:tcBorders>
            <w:vAlign w:val="center"/>
          </w:tcPr>
          <w:p w14:paraId="6CD1C22E" w14:textId="77777777" w:rsidR="00456B93" w:rsidRPr="000776EB" w:rsidRDefault="00456B93" w:rsidP="00C12239">
            <w:pPr>
              <w:keepNext/>
              <w:tabs>
                <w:tab w:val="decimal" w:pos="710"/>
              </w:tabs>
              <w:spacing w:before="20" w:after="20"/>
              <w:jc w:val="center"/>
              <w:rPr>
                <w:rFonts w:ascii="Times New Roman" w:hAnsi="Times New Roman"/>
                <w:sz w:val="22"/>
                <w:szCs w:val="22"/>
              </w:rPr>
            </w:pPr>
            <w:r w:rsidRPr="000776EB">
              <w:rPr>
                <w:rFonts w:ascii="Times New Roman" w:hAnsi="Times New Roman"/>
                <w:sz w:val="22"/>
                <w:szCs w:val="22"/>
              </w:rPr>
              <w:t>2,400</w:t>
            </w:r>
          </w:p>
        </w:tc>
        <w:tc>
          <w:tcPr>
            <w:tcW w:w="1080" w:type="dxa"/>
            <w:tcBorders>
              <w:top w:val="single" w:sz="4" w:space="0" w:color="D9D9D9" w:themeColor="background1" w:themeShade="D9"/>
              <w:bottom w:val="single" w:sz="4" w:space="0" w:color="auto"/>
            </w:tcBorders>
            <w:vAlign w:val="center"/>
          </w:tcPr>
          <w:p w14:paraId="4613552C" w14:textId="77777777" w:rsidR="00456B93" w:rsidRPr="000776EB" w:rsidRDefault="00456B93" w:rsidP="00C12239">
            <w:pPr>
              <w:keepNext/>
              <w:tabs>
                <w:tab w:val="decimal" w:pos="454"/>
              </w:tabs>
              <w:spacing w:before="20" w:after="20"/>
              <w:jc w:val="center"/>
              <w:rPr>
                <w:rFonts w:ascii="Times New Roman" w:hAnsi="Times New Roman"/>
                <w:sz w:val="22"/>
                <w:szCs w:val="22"/>
              </w:rPr>
            </w:pPr>
            <w:r w:rsidRPr="000776EB">
              <w:rPr>
                <w:rFonts w:ascii="Times New Roman" w:hAnsi="Times New Roman"/>
                <w:sz w:val="22"/>
                <w:szCs w:val="22"/>
              </w:rPr>
              <w:t>0.25</w:t>
            </w:r>
          </w:p>
        </w:tc>
        <w:tc>
          <w:tcPr>
            <w:tcW w:w="969" w:type="dxa"/>
            <w:tcBorders>
              <w:top w:val="single" w:sz="4" w:space="0" w:color="D9D9D9" w:themeColor="background1" w:themeShade="D9"/>
              <w:bottom w:val="single" w:sz="4" w:space="0" w:color="auto"/>
            </w:tcBorders>
            <w:vAlign w:val="center"/>
          </w:tcPr>
          <w:p w14:paraId="6EB75990" w14:textId="77777777" w:rsidR="00456B93" w:rsidRPr="00504ECC" w:rsidRDefault="00456B93" w:rsidP="00C12239">
            <w:pPr>
              <w:jc w:val="center"/>
              <w:rPr>
                <w:rFonts w:ascii="Times New Roman" w:hAnsi="Times New Roman"/>
                <w:b/>
                <w:bCs/>
                <w:sz w:val="22"/>
                <w:szCs w:val="22"/>
              </w:rPr>
            </w:pPr>
            <w:r w:rsidRPr="00504ECC">
              <w:rPr>
                <w:rFonts w:ascii="Times New Roman" w:hAnsi="Times New Roman"/>
                <w:b/>
                <w:bCs/>
                <w:sz w:val="22"/>
                <w:szCs w:val="22"/>
              </w:rPr>
              <w:t>600</w:t>
            </w:r>
          </w:p>
        </w:tc>
      </w:tr>
      <w:tr w:rsidR="00B30F18" w:rsidRPr="00EB5ADD" w14:paraId="0C5DCE1D" w14:textId="77777777" w:rsidTr="00D21CBD">
        <w:trPr>
          <w:cantSplit/>
        </w:trPr>
        <w:tc>
          <w:tcPr>
            <w:tcW w:w="1800" w:type="dxa"/>
            <w:tcBorders>
              <w:top w:val="single" w:sz="4" w:space="0" w:color="auto"/>
              <w:bottom w:val="single" w:sz="12" w:space="0" w:color="000000" w:themeColor="text1"/>
            </w:tcBorders>
            <w:vAlign w:val="center"/>
          </w:tcPr>
          <w:p w14:paraId="791F6DF0" w14:textId="77777777" w:rsidR="00B30F18" w:rsidRPr="000776EB" w:rsidRDefault="00B30F18" w:rsidP="00D21CBD">
            <w:pPr>
              <w:keepNext/>
              <w:spacing w:before="20" w:after="20"/>
              <w:rPr>
                <w:rFonts w:ascii="Times New Roman" w:hAnsi="Times New Roman"/>
                <w:b/>
                <w:sz w:val="22"/>
                <w:szCs w:val="22"/>
              </w:rPr>
            </w:pPr>
            <w:r w:rsidRPr="000776EB">
              <w:rPr>
                <w:rFonts w:ascii="Times New Roman" w:hAnsi="Times New Roman"/>
                <w:b/>
                <w:sz w:val="22"/>
                <w:szCs w:val="22"/>
              </w:rPr>
              <w:t>Total Annualized Hours</w:t>
            </w:r>
          </w:p>
        </w:tc>
        <w:tc>
          <w:tcPr>
            <w:tcW w:w="1710" w:type="dxa"/>
            <w:tcBorders>
              <w:top w:val="single" w:sz="4" w:space="0" w:color="auto"/>
              <w:bottom w:val="single" w:sz="12" w:space="0" w:color="000000" w:themeColor="text1"/>
            </w:tcBorders>
            <w:vAlign w:val="center"/>
          </w:tcPr>
          <w:p w14:paraId="45C98573" w14:textId="77777777" w:rsidR="00B30F18" w:rsidRPr="000776EB" w:rsidRDefault="00B30F18" w:rsidP="00D21CBD">
            <w:pPr>
              <w:keepNext/>
              <w:spacing w:before="20" w:after="20"/>
              <w:rPr>
                <w:rFonts w:ascii="Times New Roman" w:hAnsi="Times New Roman"/>
                <w:sz w:val="22"/>
                <w:szCs w:val="22"/>
              </w:rPr>
            </w:pPr>
          </w:p>
        </w:tc>
        <w:tc>
          <w:tcPr>
            <w:tcW w:w="1260" w:type="dxa"/>
            <w:tcBorders>
              <w:top w:val="single" w:sz="4" w:space="0" w:color="auto"/>
              <w:bottom w:val="single" w:sz="12" w:space="0" w:color="000000" w:themeColor="text1"/>
            </w:tcBorders>
            <w:vAlign w:val="center"/>
          </w:tcPr>
          <w:p w14:paraId="5F1170F4" w14:textId="77777777" w:rsidR="00B30F18" w:rsidRPr="000776EB" w:rsidRDefault="00B30F18" w:rsidP="00D21CBD">
            <w:pPr>
              <w:keepNext/>
              <w:tabs>
                <w:tab w:val="decimal" w:pos="932"/>
              </w:tabs>
              <w:spacing w:before="20" w:after="20"/>
              <w:rPr>
                <w:rFonts w:ascii="Times New Roman" w:hAnsi="Times New Roman"/>
                <w:sz w:val="22"/>
                <w:szCs w:val="22"/>
              </w:rPr>
            </w:pPr>
          </w:p>
        </w:tc>
        <w:tc>
          <w:tcPr>
            <w:tcW w:w="1350" w:type="dxa"/>
            <w:tcBorders>
              <w:top w:val="single" w:sz="4" w:space="0" w:color="auto"/>
              <w:bottom w:val="single" w:sz="12" w:space="0" w:color="000000" w:themeColor="text1"/>
            </w:tcBorders>
            <w:vAlign w:val="center"/>
          </w:tcPr>
          <w:p w14:paraId="3B273B39" w14:textId="77777777" w:rsidR="00B30F18" w:rsidRPr="000776EB" w:rsidRDefault="00B30F18" w:rsidP="00D21CBD">
            <w:pPr>
              <w:keepNext/>
              <w:spacing w:before="20" w:after="20"/>
              <w:rPr>
                <w:rFonts w:ascii="Times New Roman" w:hAnsi="Times New Roman"/>
                <w:sz w:val="22"/>
                <w:szCs w:val="22"/>
              </w:rPr>
            </w:pPr>
          </w:p>
        </w:tc>
        <w:tc>
          <w:tcPr>
            <w:tcW w:w="1080" w:type="dxa"/>
            <w:tcBorders>
              <w:top w:val="single" w:sz="4" w:space="0" w:color="auto"/>
              <w:bottom w:val="single" w:sz="12" w:space="0" w:color="000000" w:themeColor="text1"/>
            </w:tcBorders>
            <w:vAlign w:val="center"/>
          </w:tcPr>
          <w:p w14:paraId="6B17D9D6" w14:textId="77777777" w:rsidR="00B30F18" w:rsidRPr="000776EB" w:rsidRDefault="00B30F18" w:rsidP="00D21CBD">
            <w:pPr>
              <w:keepNext/>
              <w:tabs>
                <w:tab w:val="decimal" w:pos="710"/>
              </w:tabs>
              <w:spacing w:before="20" w:after="20"/>
              <w:rPr>
                <w:rFonts w:ascii="Times New Roman" w:hAnsi="Times New Roman"/>
                <w:sz w:val="22"/>
                <w:szCs w:val="22"/>
              </w:rPr>
            </w:pPr>
          </w:p>
        </w:tc>
        <w:tc>
          <w:tcPr>
            <w:tcW w:w="1080" w:type="dxa"/>
            <w:tcBorders>
              <w:top w:val="single" w:sz="4" w:space="0" w:color="auto"/>
              <w:bottom w:val="single" w:sz="12" w:space="0" w:color="000000" w:themeColor="text1"/>
            </w:tcBorders>
            <w:vAlign w:val="center"/>
          </w:tcPr>
          <w:p w14:paraId="0D0CE8AC" w14:textId="77777777" w:rsidR="00B30F18" w:rsidRPr="000776EB" w:rsidRDefault="00B30F18" w:rsidP="00D21CBD">
            <w:pPr>
              <w:keepNext/>
              <w:tabs>
                <w:tab w:val="decimal" w:pos="454"/>
              </w:tabs>
              <w:spacing w:before="20" w:after="20"/>
              <w:rPr>
                <w:rFonts w:ascii="Times New Roman" w:hAnsi="Times New Roman"/>
                <w:sz w:val="22"/>
                <w:szCs w:val="22"/>
              </w:rPr>
            </w:pPr>
          </w:p>
        </w:tc>
        <w:tc>
          <w:tcPr>
            <w:tcW w:w="969" w:type="dxa"/>
            <w:tcBorders>
              <w:top w:val="single" w:sz="4" w:space="0" w:color="auto"/>
              <w:bottom w:val="single" w:sz="12" w:space="0" w:color="000000" w:themeColor="text1"/>
            </w:tcBorders>
            <w:vAlign w:val="center"/>
          </w:tcPr>
          <w:p w14:paraId="4346C0C3" w14:textId="4BCE3AA7" w:rsidR="00B30F18" w:rsidRPr="000776EB" w:rsidRDefault="00093BAA" w:rsidP="00D21CBD">
            <w:pPr>
              <w:jc w:val="center"/>
              <w:rPr>
                <w:rFonts w:ascii="Times New Roman" w:hAnsi="Times New Roman"/>
                <w:b/>
                <w:sz w:val="22"/>
                <w:szCs w:val="22"/>
              </w:rPr>
            </w:pPr>
            <w:r>
              <w:rPr>
                <w:rFonts w:ascii="Times New Roman" w:hAnsi="Times New Roman"/>
                <w:b/>
                <w:sz w:val="22"/>
                <w:szCs w:val="22"/>
              </w:rPr>
              <w:t>1,367</w:t>
            </w:r>
          </w:p>
        </w:tc>
      </w:tr>
    </w:tbl>
    <w:p w14:paraId="05B8D6C7" w14:textId="4FB12CCE" w:rsidR="00B30F18" w:rsidRPr="000776EB" w:rsidRDefault="00B30F18" w:rsidP="00B30F18">
      <w:pPr>
        <w:spacing w:before="120"/>
        <w:rPr>
          <w:rFonts w:ascii="Times New Roman" w:hAnsi="Times New Roman"/>
          <w:color w:val="000000"/>
        </w:rPr>
      </w:pPr>
      <w:r w:rsidRPr="000776EB">
        <w:rPr>
          <w:rFonts w:ascii="Times New Roman" w:hAnsi="Times New Roman"/>
          <w:color w:val="000000"/>
          <w:vertAlign w:val="superscript"/>
        </w:rPr>
        <w:t>1</w:t>
      </w:r>
      <w:r w:rsidRPr="000776EB">
        <w:rPr>
          <w:rFonts w:ascii="Times New Roman" w:hAnsi="Times New Roman"/>
        </w:rPr>
        <w:t xml:space="preserve"> </w:t>
      </w:r>
      <w:r w:rsidRPr="000776EB">
        <w:rPr>
          <w:rFonts w:ascii="Times New Roman" w:hAnsi="Times New Roman"/>
          <w:color w:val="000000"/>
        </w:rPr>
        <w:t xml:space="preserve">The total number of </w:t>
      </w:r>
      <w:r w:rsidR="000E2A59">
        <w:rPr>
          <w:rFonts w:ascii="Times New Roman" w:hAnsi="Times New Roman"/>
          <w:color w:val="000000"/>
        </w:rPr>
        <w:t xml:space="preserve">adult </w:t>
      </w:r>
      <w:r w:rsidRPr="000776EB">
        <w:rPr>
          <w:rFonts w:ascii="Times New Roman" w:hAnsi="Times New Roman"/>
          <w:color w:val="000000"/>
        </w:rPr>
        <w:t xml:space="preserve">respondents </w:t>
      </w:r>
      <w:r w:rsidR="000E2A59">
        <w:rPr>
          <w:rFonts w:ascii="Times New Roman" w:hAnsi="Times New Roman"/>
          <w:color w:val="000000"/>
        </w:rPr>
        <w:t>that will need to be invited to achieve th</w:t>
      </w:r>
      <w:r w:rsidR="00093BAA">
        <w:rPr>
          <w:rFonts w:ascii="Times New Roman" w:hAnsi="Times New Roman"/>
          <w:color w:val="000000"/>
        </w:rPr>
        <w:t>e</w:t>
      </w:r>
      <w:r w:rsidR="000E2A59">
        <w:rPr>
          <w:rFonts w:ascii="Times New Roman" w:hAnsi="Times New Roman"/>
          <w:color w:val="000000"/>
        </w:rPr>
        <w:t xml:space="preserve"> desired </w:t>
      </w:r>
      <w:r w:rsidR="00093BAA">
        <w:rPr>
          <w:rFonts w:ascii="Times New Roman" w:hAnsi="Times New Roman"/>
          <w:color w:val="000000"/>
        </w:rPr>
        <w:t xml:space="preserve">youth </w:t>
      </w:r>
      <w:r w:rsidR="000E2A59">
        <w:rPr>
          <w:rFonts w:ascii="Times New Roman" w:hAnsi="Times New Roman"/>
          <w:color w:val="000000"/>
        </w:rPr>
        <w:t xml:space="preserve">sample </w:t>
      </w:r>
      <w:r w:rsidRPr="000776EB">
        <w:rPr>
          <w:rFonts w:ascii="Times New Roman" w:hAnsi="Times New Roman"/>
          <w:color w:val="000000"/>
        </w:rPr>
        <w:t>is 8,000</w:t>
      </w:r>
      <w:r w:rsidR="00093BAA">
        <w:rPr>
          <w:rFonts w:ascii="Times New Roman" w:hAnsi="Times New Roman"/>
          <w:color w:val="000000"/>
        </w:rPr>
        <w:t xml:space="preserve">; </w:t>
      </w:r>
      <w:r w:rsidR="00093BAA" w:rsidRPr="000776EB">
        <w:rPr>
          <w:rFonts w:ascii="Times New Roman" w:hAnsi="Times New Roman"/>
          <w:color w:val="000000"/>
        </w:rPr>
        <w:t>2,400 represent</w:t>
      </w:r>
      <w:r w:rsidR="00093BAA">
        <w:rPr>
          <w:rFonts w:ascii="Times New Roman" w:hAnsi="Times New Roman"/>
          <w:color w:val="000000"/>
        </w:rPr>
        <w:t>s</w:t>
      </w:r>
      <w:r w:rsidR="00093BAA" w:rsidRPr="000776EB">
        <w:rPr>
          <w:rFonts w:ascii="Times New Roman" w:hAnsi="Times New Roman"/>
          <w:color w:val="000000"/>
        </w:rPr>
        <w:t xml:space="preserve"> the total number of participants</w:t>
      </w:r>
      <w:r w:rsidR="00093BAA">
        <w:rPr>
          <w:rFonts w:ascii="Times New Roman" w:hAnsi="Times New Roman"/>
          <w:color w:val="000000"/>
        </w:rPr>
        <w:t xml:space="preserve"> in the study</w:t>
      </w:r>
      <w:r w:rsidR="00093BAA" w:rsidRPr="000776EB">
        <w:rPr>
          <w:rFonts w:ascii="Times New Roman" w:hAnsi="Times New Roman"/>
          <w:color w:val="000000"/>
        </w:rPr>
        <w:t>.</w:t>
      </w:r>
    </w:p>
    <w:bookmarkEnd w:id="17"/>
    <w:p w14:paraId="6E7C4C0A" w14:textId="77777777" w:rsidR="00366283" w:rsidRDefault="00366283" w:rsidP="000776EB">
      <w:pPr>
        <w:pStyle w:val="BodyText2"/>
        <w:ind w:firstLine="0"/>
        <w:rPr>
          <w:rFonts w:ascii="Times New Roman" w:hAnsi="Times New Roman"/>
          <w:u w:val="single"/>
        </w:rPr>
      </w:pPr>
    </w:p>
    <w:p w14:paraId="641E9553" w14:textId="5C095E87" w:rsidR="00EB5ADD" w:rsidRDefault="00EB5ADD" w:rsidP="000776EB">
      <w:pPr>
        <w:pStyle w:val="BodyText2"/>
        <w:ind w:firstLine="0"/>
        <w:rPr>
          <w:rFonts w:ascii="Times New Roman" w:hAnsi="Times New Roman"/>
          <w:u w:val="single"/>
        </w:rPr>
      </w:pPr>
      <w:r w:rsidRPr="00EB5ADD">
        <w:rPr>
          <w:rFonts w:ascii="Times New Roman" w:hAnsi="Times New Roman"/>
          <w:u w:val="single"/>
        </w:rPr>
        <w:t>12b. Annualized Cost Burden Estimate</w:t>
      </w:r>
    </w:p>
    <w:p w14:paraId="04536E38" w14:textId="77777777" w:rsidR="00EB5ADD" w:rsidRPr="00EB5ADD" w:rsidRDefault="00EB5ADD" w:rsidP="00EB5ADD">
      <w:pPr>
        <w:pStyle w:val="BodyText2"/>
        <w:ind w:left="450" w:firstLine="0"/>
        <w:rPr>
          <w:rFonts w:ascii="Times New Roman" w:hAnsi="Times New Roman"/>
        </w:rPr>
      </w:pPr>
    </w:p>
    <w:p w14:paraId="20A6DD9B" w14:textId="022DB105" w:rsidR="00EB5ADD" w:rsidRPr="00EB5ADD" w:rsidRDefault="00EB5ADD" w:rsidP="00120603">
      <w:pPr>
        <w:pStyle w:val="BodyText2"/>
        <w:spacing w:after="120"/>
        <w:rPr>
          <w:rFonts w:ascii="Times New Roman" w:hAnsi="Times New Roman"/>
        </w:rPr>
      </w:pPr>
      <w:r w:rsidRPr="00EB5ADD">
        <w:rPr>
          <w:rFonts w:ascii="Times New Roman" w:hAnsi="Times New Roman"/>
        </w:rPr>
        <w:t xml:space="preserve">Respondents participate on a purely voluntary basis and, therefore, are subject to no direct costs other than time to participate. There are also no start-up or maintenance costs. RTI has conducted many </w:t>
      </w:r>
      <w:r w:rsidR="006A5A94">
        <w:rPr>
          <w:rFonts w:ascii="Times New Roman" w:hAnsi="Times New Roman"/>
        </w:rPr>
        <w:t>tobacco</w:t>
      </w:r>
      <w:r w:rsidRPr="00EB5ADD">
        <w:rPr>
          <w:rFonts w:ascii="Times New Roman" w:hAnsi="Times New Roman"/>
        </w:rPr>
        <w:t xml:space="preserve">-related surveys of similar length among youth. We have examined diagnostic data from prior surveys and estimate that data collection for this study will take approximately </w:t>
      </w:r>
      <w:r w:rsidR="00731B04">
        <w:rPr>
          <w:rFonts w:ascii="Times New Roman" w:hAnsi="Times New Roman"/>
        </w:rPr>
        <w:t>15</w:t>
      </w:r>
      <w:r w:rsidRPr="00EB5ADD">
        <w:rPr>
          <w:rFonts w:ascii="Times New Roman" w:hAnsi="Times New Roman"/>
        </w:rPr>
        <w:t xml:space="preserve"> minutes per respondent. We have also allocated </w:t>
      </w:r>
      <w:proofErr w:type="gramStart"/>
      <w:r w:rsidRPr="00EB5ADD">
        <w:rPr>
          <w:rFonts w:ascii="Times New Roman" w:hAnsi="Times New Roman"/>
        </w:rPr>
        <w:t xml:space="preserve">a </w:t>
      </w:r>
      <w:r w:rsidR="00D420E1">
        <w:rPr>
          <w:rFonts w:ascii="Times New Roman" w:hAnsi="Times New Roman"/>
        </w:rPr>
        <w:t>two</w:t>
      </w:r>
      <w:r w:rsidR="00D420E1" w:rsidRPr="00EB5ADD">
        <w:rPr>
          <w:rFonts w:ascii="Times New Roman" w:hAnsi="Times New Roman"/>
        </w:rPr>
        <w:t xml:space="preserve"> </w:t>
      </w:r>
      <w:r w:rsidRPr="00EB5ADD">
        <w:rPr>
          <w:rFonts w:ascii="Times New Roman" w:hAnsi="Times New Roman"/>
        </w:rPr>
        <w:t>minutes</w:t>
      </w:r>
      <w:proofErr w:type="gramEnd"/>
      <w:r w:rsidRPr="00EB5ADD">
        <w:rPr>
          <w:rFonts w:ascii="Times New Roman" w:hAnsi="Times New Roman"/>
        </w:rPr>
        <w:t xml:space="preserve"> for parents to give their </w:t>
      </w:r>
      <w:r w:rsidR="006A5A94">
        <w:rPr>
          <w:rFonts w:ascii="Times New Roman" w:hAnsi="Times New Roman"/>
        </w:rPr>
        <w:t>consent</w:t>
      </w:r>
      <w:r w:rsidR="006A5A94" w:rsidRPr="00EB5ADD">
        <w:rPr>
          <w:rFonts w:ascii="Times New Roman" w:hAnsi="Times New Roman"/>
        </w:rPr>
        <w:t xml:space="preserve"> </w:t>
      </w:r>
      <w:r w:rsidRPr="00EB5ADD">
        <w:rPr>
          <w:rFonts w:ascii="Times New Roman" w:hAnsi="Times New Roman"/>
        </w:rPr>
        <w:t>for their child to participate and for youth to give their assent to participate.</w:t>
      </w:r>
    </w:p>
    <w:p w14:paraId="3C903B48" w14:textId="672DD9F3" w:rsidR="00EB5ADD" w:rsidRPr="00EB5ADD" w:rsidRDefault="00EB5ADD" w:rsidP="00F10DF8">
      <w:pPr>
        <w:pStyle w:val="BodyText2"/>
        <w:rPr>
          <w:rFonts w:ascii="Times New Roman" w:hAnsi="Times New Roman"/>
        </w:rPr>
      </w:pPr>
      <w:r w:rsidRPr="00EB5ADD">
        <w:rPr>
          <w:rFonts w:ascii="Times New Roman" w:hAnsi="Times New Roman"/>
        </w:rPr>
        <w:t>To calculate this cost, the mean hourly wage of $7.25 was used for youth and $22.33 was used for parents.</w:t>
      </w:r>
      <w:r w:rsidR="00C17D0E">
        <w:rPr>
          <w:rFonts w:ascii="Times New Roman" w:hAnsi="Times New Roman"/>
        </w:rPr>
        <w:t xml:space="preserve"> </w:t>
      </w:r>
      <w:r w:rsidRPr="00EB5ADD">
        <w:rPr>
          <w:rFonts w:ascii="Times New Roman" w:hAnsi="Times New Roman"/>
        </w:rPr>
        <w:t>The youth price represents the minimum wage, and the parental costs represent the Department of Labor estimated mean for state, local, and private industry earnings. There are no direct costs to respondents associated with participation in this information collection. Thus, assuming an average hourly wage of $7.25 and $22.33 (youth and parent), the estimated one-year annualized cost to participants will be $</w:t>
      </w:r>
      <w:r w:rsidR="007A5B7D">
        <w:rPr>
          <w:rFonts w:ascii="Times New Roman" w:hAnsi="Times New Roman"/>
        </w:rPr>
        <w:t>13</w:t>
      </w:r>
      <w:r w:rsidR="007B7BE7">
        <w:rPr>
          <w:rFonts w:ascii="Times New Roman" w:hAnsi="Times New Roman"/>
        </w:rPr>
        <w:t>,</w:t>
      </w:r>
      <w:r w:rsidR="007A5B7D">
        <w:rPr>
          <w:rFonts w:ascii="Times New Roman" w:hAnsi="Times New Roman"/>
        </w:rPr>
        <w:t>937</w:t>
      </w:r>
      <w:r w:rsidRPr="00EB5ADD">
        <w:rPr>
          <w:rFonts w:ascii="Times New Roman" w:hAnsi="Times New Roman"/>
        </w:rPr>
        <w:t xml:space="preserve">. The estimated value of respondents’ time for participating in the information collection is summarized in </w:t>
      </w:r>
      <w:r w:rsidR="00C17D0E">
        <w:rPr>
          <w:rFonts w:ascii="Times New Roman" w:hAnsi="Times New Roman"/>
        </w:rPr>
        <w:t>Table</w:t>
      </w:r>
      <w:r w:rsidR="00C17D0E" w:rsidRPr="00EB5ADD">
        <w:rPr>
          <w:rFonts w:ascii="Times New Roman" w:hAnsi="Times New Roman"/>
        </w:rPr>
        <w:t xml:space="preserve"> </w:t>
      </w:r>
      <w:r w:rsidR="009678D8">
        <w:rPr>
          <w:rFonts w:ascii="Times New Roman" w:hAnsi="Times New Roman"/>
        </w:rPr>
        <w:t>2</w:t>
      </w:r>
      <w:r w:rsidRPr="00EB5ADD">
        <w:rPr>
          <w:rFonts w:ascii="Times New Roman" w:hAnsi="Times New Roman"/>
        </w:rPr>
        <w:t>.</w:t>
      </w:r>
    </w:p>
    <w:p w14:paraId="043F06F0" w14:textId="1379608A" w:rsidR="00EB5ADD" w:rsidRPr="00EB5ADD" w:rsidRDefault="00326755" w:rsidP="000776EB">
      <w:pPr>
        <w:spacing w:before="100" w:beforeAutospacing="1" w:after="120"/>
        <w:rPr>
          <w:rFonts w:ascii="Times New Roman" w:hAnsi="Times New Roman"/>
          <w:b/>
          <w:sz w:val="24"/>
          <w:szCs w:val="24"/>
        </w:rPr>
      </w:pPr>
      <w:r w:rsidRPr="005D0A0B">
        <w:rPr>
          <w:rFonts w:ascii="Times New Roman" w:hAnsi="Times New Roman"/>
          <w:b/>
          <w:sz w:val="24"/>
          <w:szCs w:val="24"/>
        </w:rPr>
        <w:t>Table</w:t>
      </w:r>
      <w:r w:rsidR="00EB5ADD" w:rsidRPr="005D0A0B">
        <w:rPr>
          <w:rFonts w:ascii="Times New Roman" w:hAnsi="Times New Roman"/>
          <w:b/>
          <w:sz w:val="24"/>
          <w:szCs w:val="24"/>
        </w:rPr>
        <w:t xml:space="preserve"> </w:t>
      </w:r>
      <w:r w:rsidR="009678D8">
        <w:rPr>
          <w:rFonts w:ascii="Times New Roman" w:hAnsi="Times New Roman"/>
          <w:b/>
          <w:sz w:val="24"/>
          <w:szCs w:val="24"/>
        </w:rPr>
        <w:t>2</w:t>
      </w:r>
      <w:r w:rsidR="00EB5ADD" w:rsidRPr="005D0A0B">
        <w:rPr>
          <w:rFonts w:ascii="Times New Roman" w:hAnsi="Times New Roman"/>
          <w:b/>
          <w:sz w:val="24"/>
          <w:szCs w:val="24"/>
        </w:rPr>
        <w:t>. Estimated Annual Cost</w:t>
      </w:r>
    </w:p>
    <w:tbl>
      <w:tblPr>
        <w:tblW w:w="8820" w:type="dxa"/>
        <w:tblLayout w:type="fixed"/>
        <w:tblCellMar>
          <w:left w:w="58" w:type="dxa"/>
          <w:right w:w="58" w:type="dxa"/>
        </w:tblCellMar>
        <w:tblLook w:val="00A0" w:firstRow="1" w:lastRow="0" w:firstColumn="1" w:lastColumn="0" w:noHBand="0" w:noVBand="0"/>
      </w:tblPr>
      <w:tblGrid>
        <w:gridCol w:w="2582"/>
        <w:gridCol w:w="2610"/>
        <w:gridCol w:w="1350"/>
        <w:gridCol w:w="1080"/>
        <w:gridCol w:w="1198"/>
      </w:tblGrid>
      <w:tr w:rsidR="00EB5ADD" w:rsidRPr="00EB5ADD" w14:paraId="1F104890" w14:textId="77777777" w:rsidTr="007A5B7D">
        <w:trPr>
          <w:cantSplit/>
          <w:tblHeader/>
        </w:trPr>
        <w:tc>
          <w:tcPr>
            <w:tcW w:w="2582" w:type="dxa"/>
            <w:tcBorders>
              <w:top w:val="single" w:sz="12" w:space="0" w:color="000000" w:themeColor="text1"/>
              <w:bottom w:val="single" w:sz="4" w:space="0" w:color="000000" w:themeColor="text1"/>
            </w:tcBorders>
            <w:vAlign w:val="center"/>
          </w:tcPr>
          <w:p w14:paraId="00F9C722" w14:textId="77777777" w:rsidR="00EB5ADD" w:rsidRPr="000776EB" w:rsidRDefault="00EB5ADD" w:rsidP="0097535D">
            <w:pPr>
              <w:keepNext/>
              <w:spacing w:before="60" w:after="60"/>
              <w:rPr>
                <w:rFonts w:ascii="Times New Roman" w:hAnsi="Times New Roman"/>
                <w:b/>
                <w:sz w:val="22"/>
                <w:szCs w:val="22"/>
              </w:rPr>
            </w:pPr>
            <w:r w:rsidRPr="000776EB">
              <w:rPr>
                <w:rFonts w:ascii="Times New Roman" w:hAnsi="Times New Roman"/>
                <w:b/>
                <w:sz w:val="22"/>
                <w:szCs w:val="22"/>
              </w:rPr>
              <w:t>Type of Respondent</w:t>
            </w:r>
          </w:p>
        </w:tc>
        <w:tc>
          <w:tcPr>
            <w:tcW w:w="2610" w:type="dxa"/>
            <w:tcBorders>
              <w:top w:val="single" w:sz="12" w:space="0" w:color="000000" w:themeColor="text1"/>
              <w:bottom w:val="single" w:sz="4" w:space="0" w:color="000000" w:themeColor="text1"/>
            </w:tcBorders>
            <w:vAlign w:val="center"/>
          </w:tcPr>
          <w:p w14:paraId="095921B2" w14:textId="77777777" w:rsidR="00EB5ADD" w:rsidRPr="000776EB" w:rsidRDefault="00EB5ADD" w:rsidP="000978D7">
            <w:pPr>
              <w:keepNext/>
              <w:spacing w:before="60" w:after="60"/>
              <w:rPr>
                <w:rFonts w:ascii="Times New Roman" w:hAnsi="Times New Roman"/>
                <w:b/>
                <w:sz w:val="22"/>
                <w:szCs w:val="22"/>
              </w:rPr>
            </w:pPr>
            <w:r w:rsidRPr="000776EB">
              <w:rPr>
                <w:rFonts w:ascii="Times New Roman" w:hAnsi="Times New Roman"/>
                <w:b/>
                <w:sz w:val="22"/>
                <w:szCs w:val="22"/>
              </w:rPr>
              <w:t>Activity</w:t>
            </w:r>
          </w:p>
        </w:tc>
        <w:tc>
          <w:tcPr>
            <w:tcW w:w="1350" w:type="dxa"/>
            <w:tcBorders>
              <w:top w:val="single" w:sz="12" w:space="0" w:color="000000" w:themeColor="text1"/>
              <w:bottom w:val="single" w:sz="4" w:space="0" w:color="000000" w:themeColor="text1"/>
            </w:tcBorders>
            <w:vAlign w:val="center"/>
          </w:tcPr>
          <w:p w14:paraId="3B6E61F0" w14:textId="77777777" w:rsidR="00EB5ADD" w:rsidRPr="000776EB" w:rsidRDefault="00EB5ADD" w:rsidP="0097535D">
            <w:pPr>
              <w:keepNext/>
              <w:spacing w:before="60" w:after="60"/>
              <w:jc w:val="center"/>
              <w:rPr>
                <w:rFonts w:ascii="Times New Roman" w:hAnsi="Times New Roman"/>
                <w:b/>
                <w:sz w:val="22"/>
                <w:szCs w:val="22"/>
              </w:rPr>
            </w:pPr>
            <w:r w:rsidRPr="000776EB">
              <w:rPr>
                <w:rFonts w:ascii="Times New Roman" w:hAnsi="Times New Roman"/>
                <w:b/>
                <w:sz w:val="22"/>
                <w:szCs w:val="22"/>
              </w:rPr>
              <w:t>Annual Burden Hours</w:t>
            </w:r>
          </w:p>
        </w:tc>
        <w:tc>
          <w:tcPr>
            <w:tcW w:w="1080" w:type="dxa"/>
            <w:tcBorders>
              <w:top w:val="single" w:sz="12" w:space="0" w:color="000000" w:themeColor="text1"/>
              <w:bottom w:val="single" w:sz="4" w:space="0" w:color="000000" w:themeColor="text1"/>
            </w:tcBorders>
            <w:vAlign w:val="center"/>
          </w:tcPr>
          <w:p w14:paraId="14B002FA" w14:textId="77777777" w:rsidR="00EB5ADD" w:rsidRPr="000776EB" w:rsidRDefault="00EB5ADD" w:rsidP="0097535D">
            <w:pPr>
              <w:keepNext/>
              <w:spacing w:before="60" w:after="60"/>
              <w:jc w:val="center"/>
              <w:rPr>
                <w:rFonts w:ascii="Times New Roman" w:hAnsi="Times New Roman"/>
                <w:b/>
                <w:sz w:val="22"/>
                <w:szCs w:val="22"/>
              </w:rPr>
            </w:pPr>
            <w:r w:rsidRPr="000776EB">
              <w:rPr>
                <w:rFonts w:ascii="Times New Roman" w:hAnsi="Times New Roman"/>
                <w:b/>
                <w:sz w:val="22"/>
                <w:szCs w:val="22"/>
              </w:rPr>
              <w:t>Hourly Wage Rate</w:t>
            </w:r>
          </w:p>
        </w:tc>
        <w:tc>
          <w:tcPr>
            <w:tcW w:w="1198" w:type="dxa"/>
            <w:tcBorders>
              <w:top w:val="single" w:sz="12" w:space="0" w:color="000000" w:themeColor="text1"/>
              <w:bottom w:val="single" w:sz="4" w:space="0" w:color="000000" w:themeColor="text1"/>
            </w:tcBorders>
            <w:vAlign w:val="center"/>
          </w:tcPr>
          <w:p w14:paraId="3F6EF741" w14:textId="77777777" w:rsidR="00EB5ADD" w:rsidRPr="000776EB" w:rsidRDefault="00EB5ADD" w:rsidP="0097535D">
            <w:pPr>
              <w:keepNext/>
              <w:spacing w:before="60" w:after="60"/>
              <w:jc w:val="center"/>
              <w:rPr>
                <w:rFonts w:ascii="Times New Roman" w:hAnsi="Times New Roman"/>
                <w:b/>
                <w:sz w:val="22"/>
                <w:szCs w:val="22"/>
              </w:rPr>
            </w:pPr>
            <w:r w:rsidRPr="000776EB">
              <w:rPr>
                <w:rFonts w:ascii="Times New Roman" w:hAnsi="Times New Roman"/>
                <w:b/>
                <w:sz w:val="22"/>
                <w:szCs w:val="22"/>
              </w:rPr>
              <w:t>Total Cost</w:t>
            </w:r>
          </w:p>
        </w:tc>
      </w:tr>
      <w:tr w:rsidR="004629B1" w:rsidRPr="00EB5ADD" w14:paraId="718955D3" w14:textId="77777777" w:rsidTr="007A5B7D">
        <w:trPr>
          <w:cantSplit/>
          <w:trHeight w:val="444"/>
        </w:trPr>
        <w:tc>
          <w:tcPr>
            <w:tcW w:w="2582" w:type="dxa"/>
            <w:tcBorders>
              <w:top w:val="single" w:sz="4" w:space="0" w:color="000000" w:themeColor="text1"/>
              <w:bottom w:val="single" w:sz="4" w:space="0" w:color="D9D9D9" w:themeColor="background1" w:themeShade="D9"/>
            </w:tcBorders>
            <w:vAlign w:val="center"/>
          </w:tcPr>
          <w:p w14:paraId="067ABB79" w14:textId="327954A4" w:rsidR="004629B1" w:rsidRPr="00C17D0E" w:rsidRDefault="004629B1" w:rsidP="004629B1">
            <w:pPr>
              <w:rPr>
                <w:rFonts w:ascii="Times New Roman" w:hAnsi="Times New Roman"/>
                <w:sz w:val="22"/>
                <w:szCs w:val="22"/>
              </w:rPr>
            </w:pPr>
            <w:r>
              <w:rPr>
                <w:rFonts w:ascii="Times New Roman" w:hAnsi="Times New Roman"/>
                <w:sz w:val="22"/>
                <w:szCs w:val="22"/>
              </w:rPr>
              <w:t>Parent</w:t>
            </w:r>
          </w:p>
        </w:tc>
        <w:tc>
          <w:tcPr>
            <w:tcW w:w="2610" w:type="dxa"/>
            <w:tcBorders>
              <w:top w:val="single" w:sz="4" w:space="0" w:color="000000" w:themeColor="text1"/>
              <w:bottom w:val="single" w:sz="4" w:space="0" w:color="D9D9D9" w:themeColor="background1" w:themeShade="D9"/>
            </w:tcBorders>
          </w:tcPr>
          <w:p w14:paraId="2D76BAFE" w14:textId="73B0EE7E" w:rsidR="004629B1" w:rsidRPr="00C17D0E" w:rsidDel="00841491" w:rsidRDefault="004629B1" w:rsidP="004629B1">
            <w:pPr>
              <w:keepNext/>
              <w:spacing w:before="60" w:after="60"/>
              <w:rPr>
                <w:rFonts w:ascii="Times New Roman" w:hAnsi="Times New Roman"/>
                <w:sz w:val="22"/>
                <w:szCs w:val="22"/>
              </w:rPr>
            </w:pPr>
            <w:r w:rsidRPr="000776EB">
              <w:rPr>
                <w:rFonts w:ascii="Times New Roman" w:hAnsi="Times New Roman"/>
                <w:sz w:val="22"/>
                <w:szCs w:val="22"/>
              </w:rPr>
              <w:t xml:space="preserve">Invitation and Parental Permission Form </w:t>
            </w:r>
          </w:p>
        </w:tc>
        <w:tc>
          <w:tcPr>
            <w:tcW w:w="1350" w:type="dxa"/>
            <w:tcBorders>
              <w:top w:val="single" w:sz="4" w:space="0" w:color="000000" w:themeColor="text1"/>
              <w:bottom w:val="single" w:sz="4" w:space="0" w:color="D9D9D9" w:themeColor="background1" w:themeShade="D9"/>
            </w:tcBorders>
            <w:vAlign w:val="center"/>
          </w:tcPr>
          <w:p w14:paraId="3EF0784B" w14:textId="65BA4C96" w:rsidR="004629B1" w:rsidRPr="00C17D0E" w:rsidRDefault="004629B1" w:rsidP="004629B1">
            <w:pPr>
              <w:jc w:val="center"/>
              <w:rPr>
                <w:rFonts w:ascii="Times New Roman" w:hAnsi="Times New Roman"/>
                <w:sz w:val="22"/>
                <w:szCs w:val="22"/>
              </w:rPr>
            </w:pPr>
            <w:r w:rsidRPr="000776EB">
              <w:rPr>
                <w:rFonts w:ascii="Times New Roman" w:hAnsi="Times New Roman"/>
                <w:sz w:val="22"/>
                <w:szCs w:val="22"/>
              </w:rPr>
              <w:t>267</w:t>
            </w:r>
          </w:p>
        </w:tc>
        <w:tc>
          <w:tcPr>
            <w:tcW w:w="1080" w:type="dxa"/>
            <w:tcBorders>
              <w:top w:val="single" w:sz="4" w:space="0" w:color="000000" w:themeColor="text1"/>
              <w:bottom w:val="single" w:sz="4" w:space="0" w:color="D9D9D9" w:themeColor="background1" w:themeShade="D9"/>
            </w:tcBorders>
            <w:vAlign w:val="center"/>
          </w:tcPr>
          <w:p w14:paraId="2A439CCE" w14:textId="3718F73A" w:rsidR="004629B1" w:rsidRPr="00C17D0E" w:rsidRDefault="004629B1" w:rsidP="004629B1">
            <w:pPr>
              <w:jc w:val="center"/>
              <w:rPr>
                <w:rFonts w:ascii="Times New Roman" w:hAnsi="Times New Roman"/>
                <w:sz w:val="22"/>
                <w:szCs w:val="22"/>
              </w:rPr>
            </w:pPr>
            <w:r w:rsidRPr="000776EB">
              <w:rPr>
                <w:rFonts w:ascii="Times New Roman" w:hAnsi="Times New Roman"/>
                <w:sz w:val="22"/>
                <w:szCs w:val="22"/>
              </w:rPr>
              <w:t>$ 22.33</w:t>
            </w:r>
          </w:p>
        </w:tc>
        <w:tc>
          <w:tcPr>
            <w:tcW w:w="1198" w:type="dxa"/>
            <w:tcBorders>
              <w:top w:val="single" w:sz="4" w:space="0" w:color="000000" w:themeColor="text1"/>
              <w:bottom w:val="single" w:sz="4" w:space="0" w:color="D9D9D9" w:themeColor="background1" w:themeShade="D9"/>
            </w:tcBorders>
            <w:vAlign w:val="center"/>
          </w:tcPr>
          <w:p w14:paraId="7EE35037" w14:textId="53D132A7" w:rsidR="004629B1" w:rsidRPr="00C17D0E" w:rsidRDefault="004629B1" w:rsidP="004629B1">
            <w:pPr>
              <w:jc w:val="center"/>
              <w:rPr>
                <w:rFonts w:ascii="Times New Roman" w:hAnsi="Times New Roman"/>
                <w:sz w:val="22"/>
                <w:szCs w:val="22"/>
              </w:rPr>
            </w:pPr>
            <w:r w:rsidRPr="000776EB">
              <w:rPr>
                <w:rFonts w:ascii="Times New Roman" w:hAnsi="Times New Roman"/>
                <w:sz w:val="22"/>
                <w:szCs w:val="22"/>
              </w:rPr>
              <w:t xml:space="preserve">$5,962 </w:t>
            </w:r>
          </w:p>
        </w:tc>
      </w:tr>
      <w:tr w:rsidR="004629B1" w:rsidRPr="00EB5ADD" w14:paraId="3121CCAD" w14:textId="77777777" w:rsidTr="0097535D">
        <w:trPr>
          <w:cantSplit/>
          <w:trHeight w:val="444"/>
        </w:trPr>
        <w:tc>
          <w:tcPr>
            <w:tcW w:w="2582" w:type="dxa"/>
            <w:tcBorders>
              <w:top w:val="single" w:sz="4" w:space="0" w:color="D9D9D9" w:themeColor="background1" w:themeShade="D9"/>
              <w:bottom w:val="single" w:sz="4" w:space="0" w:color="000000" w:themeColor="text1"/>
            </w:tcBorders>
            <w:vAlign w:val="center"/>
          </w:tcPr>
          <w:p w14:paraId="001399E1" w14:textId="36C5FC58" w:rsidR="004629B1" w:rsidRPr="00C17D0E" w:rsidRDefault="004629B1" w:rsidP="004629B1">
            <w:pPr>
              <w:rPr>
                <w:rFonts w:ascii="Times New Roman" w:hAnsi="Times New Roman"/>
                <w:sz w:val="22"/>
                <w:szCs w:val="22"/>
              </w:rPr>
            </w:pPr>
            <w:r w:rsidRPr="00C17D0E">
              <w:rPr>
                <w:rFonts w:ascii="Times New Roman" w:hAnsi="Times New Roman"/>
                <w:sz w:val="22"/>
                <w:szCs w:val="22"/>
              </w:rPr>
              <w:t>Youth</w:t>
            </w:r>
          </w:p>
        </w:tc>
        <w:tc>
          <w:tcPr>
            <w:tcW w:w="2610" w:type="dxa"/>
            <w:tcBorders>
              <w:top w:val="single" w:sz="4" w:space="0" w:color="D9D9D9" w:themeColor="background1" w:themeShade="D9"/>
              <w:bottom w:val="single" w:sz="4" w:space="0" w:color="000000" w:themeColor="text1"/>
            </w:tcBorders>
            <w:vAlign w:val="center"/>
          </w:tcPr>
          <w:p w14:paraId="0B030636" w14:textId="2F3C58A6" w:rsidR="004629B1" w:rsidRPr="00C17D0E" w:rsidRDefault="004629B1" w:rsidP="004629B1">
            <w:pPr>
              <w:keepNext/>
              <w:spacing w:before="60" w:after="60"/>
              <w:rPr>
                <w:rFonts w:ascii="Times New Roman" w:hAnsi="Times New Roman"/>
                <w:sz w:val="22"/>
                <w:szCs w:val="22"/>
              </w:rPr>
            </w:pPr>
            <w:r>
              <w:rPr>
                <w:rFonts w:ascii="Times New Roman" w:hAnsi="Times New Roman"/>
                <w:sz w:val="22"/>
                <w:szCs w:val="22"/>
              </w:rPr>
              <w:t>Assent, Screener, and S</w:t>
            </w:r>
            <w:r w:rsidRPr="00C17D0E">
              <w:rPr>
                <w:rFonts w:ascii="Times New Roman" w:hAnsi="Times New Roman"/>
                <w:sz w:val="22"/>
                <w:szCs w:val="22"/>
              </w:rPr>
              <w:t xml:space="preserve">urvey </w:t>
            </w:r>
          </w:p>
        </w:tc>
        <w:tc>
          <w:tcPr>
            <w:tcW w:w="1350" w:type="dxa"/>
            <w:tcBorders>
              <w:top w:val="single" w:sz="4" w:space="0" w:color="D9D9D9" w:themeColor="background1" w:themeShade="D9"/>
              <w:bottom w:val="single" w:sz="4" w:space="0" w:color="000000" w:themeColor="text1"/>
            </w:tcBorders>
            <w:vAlign w:val="center"/>
          </w:tcPr>
          <w:p w14:paraId="0E120550" w14:textId="662A7EE6" w:rsidR="004629B1" w:rsidRPr="00C17D0E" w:rsidRDefault="004629B1" w:rsidP="004629B1">
            <w:pPr>
              <w:jc w:val="center"/>
              <w:rPr>
                <w:rFonts w:ascii="Times New Roman" w:hAnsi="Times New Roman"/>
                <w:sz w:val="22"/>
                <w:szCs w:val="22"/>
              </w:rPr>
            </w:pPr>
            <w:r>
              <w:rPr>
                <w:rFonts w:ascii="Times New Roman" w:hAnsi="Times New Roman"/>
                <w:sz w:val="22"/>
                <w:szCs w:val="22"/>
              </w:rPr>
              <w:t>1,100</w:t>
            </w:r>
          </w:p>
        </w:tc>
        <w:tc>
          <w:tcPr>
            <w:tcW w:w="1080" w:type="dxa"/>
            <w:tcBorders>
              <w:top w:val="single" w:sz="4" w:space="0" w:color="D9D9D9" w:themeColor="background1" w:themeShade="D9"/>
              <w:bottom w:val="single" w:sz="4" w:space="0" w:color="000000" w:themeColor="text1"/>
            </w:tcBorders>
            <w:vAlign w:val="center"/>
          </w:tcPr>
          <w:p w14:paraId="646277F7" w14:textId="47892A4D" w:rsidR="004629B1" w:rsidRPr="00C17D0E" w:rsidRDefault="004629B1" w:rsidP="004629B1">
            <w:pPr>
              <w:jc w:val="center"/>
              <w:rPr>
                <w:rFonts w:ascii="Times New Roman" w:hAnsi="Times New Roman"/>
                <w:sz w:val="22"/>
                <w:szCs w:val="22"/>
              </w:rPr>
            </w:pPr>
            <w:r w:rsidRPr="00C17D0E">
              <w:rPr>
                <w:rFonts w:ascii="Times New Roman" w:hAnsi="Times New Roman"/>
                <w:sz w:val="22"/>
                <w:szCs w:val="22"/>
              </w:rPr>
              <w:t>$ 7.25</w:t>
            </w:r>
          </w:p>
        </w:tc>
        <w:tc>
          <w:tcPr>
            <w:tcW w:w="1198" w:type="dxa"/>
            <w:tcBorders>
              <w:top w:val="single" w:sz="4" w:space="0" w:color="D9D9D9" w:themeColor="background1" w:themeShade="D9"/>
              <w:bottom w:val="single" w:sz="4" w:space="0" w:color="000000" w:themeColor="text1"/>
            </w:tcBorders>
            <w:vAlign w:val="center"/>
          </w:tcPr>
          <w:p w14:paraId="30A12554" w14:textId="00B9940C" w:rsidR="004629B1" w:rsidRPr="00C17D0E" w:rsidRDefault="004629B1" w:rsidP="004629B1">
            <w:pPr>
              <w:jc w:val="center"/>
              <w:rPr>
                <w:rFonts w:ascii="Times New Roman" w:hAnsi="Times New Roman"/>
                <w:sz w:val="22"/>
                <w:szCs w:val="22"/>
              </w:rPr>
            </w:pPr>
            <w:r w:rsidRPr="00C17D0E">
              <w:rPr>
                <w:rFonts w:ascii="Times New Roman" w:hAnsi="Times New Roman"/>
                <w:sz w:val="22"/>
                <w:szCs w:val="22"/>
              </w:rPr>
              <w:t>$</w:t>
            </w:r>
            <w:r>
              <w:rPr>
                <w:rFonts w:ascii="Times New Roman" w:hAnsi="Times New Roman"/>
                <w:sz w:val="22"/>
                <w:szCs w:val="22"/>
              </w:rPr>
              <w:t>7,975</w:t>
            </w:r>
            <w:r w:rsidRPr="00C17D0E">
              <w:rPr>
                <w:rFonts w:ascii="Times New Roman" w:hAnsi="Times New Roman"/>
                <w:sz w:val="22"/>
                <w:szCs w:val="22"/>
              </w:rPr>
              <w:t xml:space="preserve"> </w:t>
            </w:r>
          </w:p>
        </w:tc>
      </w:tr>
      <w:tr w:rsidR="00057464" w:rsidRPr="00EB5ADD" w14:paraId="3D788504" w14:textId="77777777" w:rsidTr="0097535D">
        <w:trPr>
          <w:cantSplit/>
        </w:trPr>
        <w:tc>
          <w:tcPr>
            <w:tcW w:w="2582" w:type="dxa"/>
            <w:tcBorders>
              <w:top w:val="single" w:sz="4" w:space="0" w:color="000000" w:themeColor="text1"/>
              <w:bottom w:val="single" w:sz="12" w:space="0" w:color="000000" w:themeColor="text1"/>
            </w:tcBorders>
            <w:vAlign w:val="center"/>
          </w:tcPr>
          <w:p w14:paraId="3CAE65A1" w14:textId="77777777" w:rsidR="00057464" w:rsidRPr="00C17D0E" w:rsidRDefault="00057464" w:rsidP="00C17D0E">
            <w:pPr>
              <w:spacing w:before="60" w:after="60"/>
              <w:rPr>
                <w:rFonts w:ascii="Times New Roman" w:hAnsi="Times New Roman"/>
                <w:b/>
                <w:bCs/>
                <w:sz w:val="22"/>
                <w:szCs w:val="22"/>
              </w:rPr>
            </w:pPr>
            <w:r w:rsidRPr="00C17D0E">
              <w:rPr>
                <w:rFonts w:ascii="Times New Roman" w:hAnsi="Times New Roman"/>
                <w:b/>
                <w:bCs/>
                <w:sz w:val="22"/>
                <w:szCs w:val="22"/>
              </w:rPr>
              <w:t>Total</w:t>
            </w:r>
          </w:p>
        </w:tc>
        <w:tc>
          <w:tcPr>
            <w:tcW w:w="2610" w:type="dxa"/>
            <w:tcBorders>
              <w:top w:val="single" w:sz="4" w:space="0" w:color="000000" w:themeColor="text1"/>
              <w:bottom w:val="single" w:sz="12" w:space="0" w:color="000000" w:themeColor="text1"/>
            </w:tcBorders>
          </w:tcPr>
          <w:p w14:paraId="097DB393" w14:textId="77777777" w:rsidR="00057464" w:rsidRPr="00C17D0E" w:rsidRDefault="00057464" w:rsidP="00FF7A17">
            <w:pPr>
              <w:keepNext/>
              <w:spacing w:before="60" w:after="60"/>
              <w:rPr>
                <w:rFonts w:ascii="Times New Roman" w:hAnsi="Times New Roman"/>
                <w:b/>
                <w:bCs/>
                <w:sz w:val="22"/>
                <w:szCs w:val="22"/>
              </w:rPr>
            </w:pPr>
          </w:p>
        </w:tc>
        <w:tc>
          <w:tcPr>
            <w:tcW w:w="1350" w:type="dxa"/>
            <w:tcBorders>
              <w:top w:val="single" w:sz="4" w:space="0" w:color="000000" w:themeColor="text1"/>
              <w:bottom w:val="single" w:sz="12" w:space="0" w:color="000000" w:themeColor="text1"/>
            </w:tcBorders>
            <w:vAlign w:val="center"/>
          </w:tcPr>
          <w:p w14:paraId="365EB8F6" w14:textId="1B910E8E" w:rsidR="00057464" w:rsidRPr="00C17D0E" w:rsidRDefault="004629B1" w:rsidP="000776EB">
            <w:pPr>
              <w:jc w:val="center"/>
              <w:rPr>
                <w:rFonts w:ascii="Times New Roman" w:hAnsi="Times New Roman"/>
                <w:b/>
                <w:bCs/>
                <w:sz w:val="22"/>
                <w:szCs w:val="22"/>
              </w:rPr>
            </w:pPr>
            <w:r>
              <w:rPr>
                <w:rFonts w:ascii="Times New Roman" w:hAnsi="Times New Roman"/>
                <w:b/>
                <w:bCs/>
                <w:sz w:val="22"/>
                <w:szCs w:val="22"/>
              </w:rPr>
              <w:t>1,367</w:t>
            </w:r>
          </w:p>
        </w:tc>
        <w:tc>
          <w:tcPr>
            <w:tcW w:w="1080" w:type="dxa"/>
            <w:tcBorders>
              <w:top w:val="single" w:sz="4" w:space="0" w:color="000000" w:themeColor="text1"/>
              <w:bottom w:val="single" w:sz="12" w:space="0" w:color="000000" w:themeColor="text1"/>
            </w:tcBorders>
            <w:vAlign w:val="center"/>
          </w:tcPr>
          <w:p w14:paraId="6AEA95CC" w14:textId="77777777" w:rsidR="00057464" w:rsidRPr="00C17D0E" w:rsidRDefault="00057464" w:rsidP="000776EB">
            <w:pPr>
              <w:jc w:val="center"/>
              <w:rPr>
                <w:rFonts w:ascii="Times New Roman" w:hAnsi="Times New Roman"/>
                <w:b/>
                <w:bCs/>
                <w:sz w:val="22"/>
                <w:szCs w:val="22"/>
              </w:rPr>
            </w:pPr>
          </w:p>
        </w:tc>
        <w:tc>
          <w:tcPr>
            <w:tcW w:w="1198" w:type="dxa"/>
            <w:tcBorders>
              <w:top w:val="single" w:sz="4" w:space="0" w:color="000000" w:themeColor="text1"/>
              <w:bottom w:val="single" w:sz="12" w:space="0" w:color="000000" w:themeColor="text1"/>
            </w:tcBorders>
            <w:vAlign w:val="center"/>
          </w:tcPr>
          <w:p w14:paraId="4481AA8C" w14:textId="5448052C" w:rsidR="00057464" w:rsidRPr="00C17D0E" w:rsidRDefault="00057464" w:rsidP="00C17D0E">
            <w:pPr>
              <w:jc w:val="center"/>
              <w:rPr>
                <w:rFonts w:ascii="Times New Roman" w:hAnsi="Times New Roman"/>
                <w:b/>
                <w:bCs/>
                <w:sz w:val="22"/>
                <w:szCs w:val="22"/>
              </w:rPr>
            </w:pPr>
            <w:r w:rsidRPr="00C17D0E">
              <w:rPr>
                <w:rFonts w:ascii="Times New Roman" w:hAnsi="Times New Roman"/>
                <w:b/>
                <w:bCs/>
                <w:sz w:val="22"/>
                <w:szCs w:val="22"/>
              </w:rPr>
              <w:t>$</w:t>
            </w:r>
            <w:r w:rsidR="004629B1">
              <w:rPr>
                <w:rFonts w:ascii="Times New Roman" w:hAnsi="Times New Roman"/>
                <w:b/>
                <w:bCs/>
                <w:sz w:val="22"/>
                <w:szCs w:val="22"/>
              </w:rPr>
              <w:t>13,937</w:t>
            </w:r>
          </w:p>
        </w:tc>
      </w:tr>
    </w:tbl>
    <w:p w14:paraId="66686838" w14:textId="2534A30C" w:rsidR="005C0FF9"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p>
    <w:p w14:paraId="4E73153E" w14:textId="77777777" w:rsidR="005C0FF9" w:rsidRPr="00F303FE"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8" w:name="_Toc239649234"/>
      <w:r w:rsidRPr="002051D8">
        <w:rPr>
          <w:rFonts w:ascii="Times New Roman" w:hAnsi="Times New Roman"/>
          <w:b/>
          <w:bCs/>
          <w:sz w:val="24"/>
          <w:szCs w:val="24"/>
        </w:rPr>
        <w:t xml:space="preserve">13.  </w:t>
      </w:r>
      <w:r w:rsidRPr="002051D8">
        <w:rPr>
          <w:rFonts w:ascii="Times New Roman" w:hAnsi="Times New Roman"/>
          <w:b/>
          <w:bCs/>
          <w:sz w:val="24"/>
          <w:szCs w:val="24"/>
          <w:u w:val="single"/>
        </w:rPr>
        <w:t>Estimates of Other Total Annual Cost Burden to Respondents or Record Keepers</w:t>
      </w:r>
      <w:bookmarkEnd w:id="18"/>
    </w:p>
    <w:p w14:paraId="22C1256A" w14:textId="77777777" w:rsidR="4AE7160D" w:rsidRDefault="004675D7" w:rsidP="0013620D">
      <w:pPr>
        <w:spacing w:before="100" w:beforeAutospacing="1" w:after="100" w:afterAutospacing="1"/>
        <w:ind w:firstLine="720"/>
        <w:rPr>
          <w:sz w:val="24"/>
          <w:szCs w:val="24"/>
        </w:rPr>
      </w:pPr>
      <w:r w:rsidRPr="00C17D0E">
        <w:rPr>
          <w:rFonts w:ascii="Times New Roman" w:hAnsi="Times New Roman"/>
          <w:sz w:val="24"/>
          <w:szCs w:val="24"/>
        </w:rPr>
        <w:t xml:space="preserve">There </w:t>
      </w:r>
      <w:proofErr w:type="gramStart"/>
      <w:r w:rsidRPr="00C17D0E">
        <w:rPr>
          <w:rFonts w:ascii="Times New Roman" w:hAnsi="Times New Roman"/>
          <w:sz w:val="24"/>
          <w:szCs w:val="24"/>
        </w:rPr>
        <w:t>are</w:t>
      </w:r>
      <w:proofErr w:type="gramEnd"/>
      <w:r w:rsidRPr="00C17D0E">
        <w:rPr>
          <w:rFonts w:ascii="Times New Roman" w:hAnsi="Times New Roman"/>
          <w:sz w:val="24"/>
          <w:szCs w:val="24"/>
        </w:rPr>
        <w:t xml:space="preserve"> no capital, start-up, operating</w:t>
      </w:r>
      <w:r w:rsidR="00573151" w:rsidRPr="00C17D0E">
        <w:rPr>
          <w:rFonts w:ascii="Times New Roman" w:hAnsi="Times New Roman"/>
          <w:sz w:val="24"/>
          <w:szCs w:val="24"/>
        </w:rPr>
        <w:t>,</w:t>
      </w:r>
      <w:r w:rsidRPr="00C17D0E">
        <w:rPr>
          <w:rFonts w:ascii="Times New Roman" w:hAnsi="Times New Roman"/>
          <w:sz w:val="24"/>
          <w:szCs w:val="24"/>
        </w:rPr>
        <w:t xml:space="preserve"> or maintenance costs associated with this information collection</w:t>
      </w:r>
      <w:r w:rsidR="00573151" w:rsidRPr="00C17D0E">
        <w:rPr>
          <w:rFonts w:ascii="Times New Roman" w:hAnsi="Times New Roman"/>
          <w:sz w:val="24"/>
          <w:szCs w:val="24"/>
        </w:rPr>
        <w:t>.</w:t>
      </w:r>
      <w:bookmarkStart w:id="19" w:name="_Toc239649235"/>
    </w:p>
    <w:p w14:paraId="452CE1B9"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00D73907">
        <w:rPr>
          <w:rFonts w:ascii="Times New Roman" w:hAnsi="Times New Roman"/>
          <w:b/>
          <w:bCs/>
          <w:sz w:val="24"/>
          <w:szCs w:val="24"/>
          <w:u w:val="single"/>
        </w:rPr>
        <w:lastRenderedPageBreak/>
        <w:t xml:space="preserve">14.  </w:t>
      </w:r>
      <w:r w:rsidRPr="005D0A0B">
        <w:rPr>
          <w:rFonts w:ascii="Times New Roman" w:hAnsi="Times New Roman"/>
          <w:b/>
          <w:bCs/>
          <w:sz w:val="24"/>
          <w:szCs w:val="24"/>
          <w:u w:val="single"/>
        </w:rPr>
        <w:t>Annualized Cost to the Federal Government</w:t>
      </w:r>
      <w:bookmarkEnd w:id="19"/>
    </w:p>
    <w:p w14:paraId="5403BBA5" w14:textId="77777777" w:rsidR="0097535D" w:rsidRDefault="0097535D" w:rsidP="0097535D">
      <w:pPr>
        <w:pStyle w:val="BodyText2"/>
        <w:ind w:firstLine="0"/>
        <w:rPr>
          <w:rFonts w:ascii="Times New Roman" w:hAnsi="Times New Roman"/>
        </w:rPr>
      </w:pPr>
    </w:p>
    <w:p w14:paraId="1DE8F1AB" w14:textId="6A3D1DAA" w:rsidR="0097535D" w:rsidRPr="001B6D9D" w:rsidRDefault="0097535D" w:rsidP="0089382E">
      <w:pPr>
        <w:pStyle w:val="BodyText2"/>
        <w:jc w:val="left"/>
      </w:pPr>
      <w:r w:rsidRPr="7C2B7A89">
        <w:rPr>
          <w:rFonts w:ascii="Times New Roman" w:hAnsi="Times New Roman"/>
        </w:rPr>
        <w:t>The total estimated cost to the Federal Government for this study is $</w:t>
      </w:r>
      <w:r w:rsidR="00DF0048">
        <w:rPr>
          <w:rFonts w:ascii="Times New Roman" w:hAnsi="Times New Roman"/>
        </w:rPr>
        <w:t>129,068</w:t>
      </w:r>
      <w:r w:rsidRPr="7C2B7A89">
        <w:rPr>
          <w:rFonts w:ascii="Times New Roman" w:hAnsi="Times New Roman"/>
        </w:rPr>
        <w:t xml:space="preserve"> as shown in Table </w:t>
      </w:r>
      <w:r w:rsidR="009678D8">
        <w:rPr>
          <w:rFonts w:ascii="Times New Roman" w:hAnsi="Times New Roman"/>
        </w:rPr>
        <w:t>3</w:t>
      </w:r>
      <w:r w:rsidRPr="7C2B7A89">
        <w:rPr>
          <w:rFonts w:ascii="Times New Roman" w:hAnsi="Times New Roman"/>
        </w:rPr>
        <w:t xml:space="preserve">. </w:t>
      </w:r>
      <w:r w:rsidR="00787A6E" w:rsidRPr="5BD0BABC">
        <w:rPr>
          <w:rFonts w:ascii="Times New Roman" w:hAnsi="Times New Roman"/>
        </w:rPr>
        <w:t xml:space="preserve">This </w:t>
      </w:r>
      <w:r w:rsidR="00BB136C" w:rsidRPr="5BD0BABC">
        <w:rPr>
          <w:rFonts w:ascii="Times New Roman" w:hAnsi="Times New Roman"/>
        </w:rPr>
        <w:t xml:space="preserve">value was calculated using the </w:t>
      </w:r>
      <w:r w:rsidR="00E32B25" w:rsidRPr="5BD0BABC">
        <w:rPr>
          <w:rFonts w:ascii="Times New Roman" w:hAnsi="Times New Roman"/>
        </w:rPr>
        <w:t xml:space="preserve">step 1 </w:t>
      </w:r>
      <w:hyperlink r:id="rId14" w:history="1">
        <w:r w:rsidR="000B732E" w:rsidRPr="5BD0BABC">
          <w:rPr>
            <w:rStyle w:val="Hyperlink"/>
            <w:rFonts w:ascii="Times New Roman" w:hAnsi="Times New Roman"/>
          </w:rPr>
          <w:t>federal government salaries</w:t>
        </w:r>
      </w:hyperlink>
      <w:r w:rsidR="00967EBD" w:rsidRPr="5BD0BABC">
        <w:rPr>
          <w:rFonts w:ascii="Times New Roman" w:hAnsi="Times New Roman"/>
        </w:rPr>
        <w:t xml:space="preserve"> for the Washington DC locality (</w:t>
      </w:r>
      <w:hyperlink r:id="rId15" w:history="1">
        <w:r w:rsidR="00967EBD" w:rsidRPr="5BD0BABC">
          <w:rPr>
            <w:rStyle w:val="Hyperlink"/>
            <w:rFonts w:ascii="Times New Roman" w:hAnsi="Times New Roman"/>
          </w:rPr>
          <w:t>OPM.gov</w:t>
        </w:r>
      </w:hyperlink>
      <w:r w:rsidR="00967EBD" w:rsidRPr="5BD0BABC">
        <w:rPr>
          <w:rFonts w:ascii="Times New Roman" w:hAnsi="Times New Roman"/>
        </w:rPr>
        <w:t>)</w:t>
      </w:r>
      <w:r w:rsidR="00380E2C" w:rsidRPr="5BD0BABC">
        <w:rPr>
          <w:rFonts w:ascii="Times New Roman" w:hAnsi="Times New Roman"/>
        </w:rPr>
        <w:t xml:space="preserve">. </w:t>
      </w:r>
      <w:r w:rsidRPr="7C2B7A89">
        <w:rPr>
          <w:rFonts w:ascii="Times New Roman" w:hAnsi="Times New Roman"/>
        </w:rPr>
        <w:t>Contractor costs attributable to this information collection are $</w:t>
      </w:r>
      <w:r w:rsidR="00DF0048">
        <w:rPr>
          <w:rFonts w:ascii="Times New Roman" w:hAnsi="Times New Roman"/>
        </w:rPr>
        <w:t>90,709</w:t>
      </w:r>
      <w:r w:rsidRPr="7C2B7A89">
        <w:rPr>
          <w:rFonts w:ascii="Times New Roman" w:hAnsi="Times New Roman"/>
        </w:rPr>
        <w:t>. This includes costs to program the survey, draw the sample, collect the data</w:t>
      </w:r>
      <w:r w:rsidR="0089382E">
        <w:rPr>
          <w:rFonts w:ascii="Times New Roman" w:hAnsi="Times New Roman"/>
        </w:rPr>
        <w:t>, analyze the data, and report findings</w:t>
      </w:r>
      <w:r w:rsidRPr="7C2B7A89">
        <w:rPr>
          <w:rFonts w:ascii="Times New Roman" w:hAnsi="Times New Roman"/>
        </w:rPr>
        <w:t>. Other contractor activities outside this data collection estimate include coordination with FDA to develop the instrument and deliver the final data set and reporting deliverables.</w:t>
      </w:r>
    </w:p>
    <w:p w14:paraId="65DC415C" w14:textId="2BE382E3" w:rsidR="00CE4712" w:rsidRPr="0097535D" w:rsidRDefault="00326755" w:rsidP="7C2B7A89">
      <w:pPr>
        <w:spacing w:before="100" w:beforeAutospacing="1" w:after="120"/>
        <w:rPr>
          <w:rFonts w:ascii="Times New Roman" w:hAnsi="Times New Roman"/>
          <w:b/>
          <w:bCs/>
          <w:sz w:val="24"/>
          <w:szCs w:val="24"/>
        </w:rPr>
      </w:pPr>
      <w:r w:rsidRPr="7C2B7A89">
        <w:rPr>
          <w:rFonts w:ascii="Times New Roman" w:hAnsi="Times New Roman"/>
          <w:b/>
          <w:bCs/>
          <w:sz w:val="24"/>
          <w:szCs w:val="24"/>
        </w:rPr>
        <w:t>Table</w:t>
      </w:r>
      <w:r w:rsidR="00CE4712" w:rsidRPr="7C2B7A89">
        <w:rPr>
          <w:rFonts w:ascii="Times New Roman" w:hAnsi="Times New Roman"/>
          <w:b/>
          <w:bCs/>
          <w:sz w:val="24"/>
          <w:szCs w:val="24"/>
        </w:rPr>
        <w:t xml:space="preserve"> </w:t>
      </w:r>
      <w:r w:rsidR="003E6DC9">
        <w:rPr>
          <w:rFonts w:ascii="Times New Roman" w:hAnsi="Times New Roman"/>
          <w:b/>
          <w:bCs/>
          <w:sz w:val="24"/>
          <w:szCs w:val="24"/>
        </w:rPr>
        <w:t>3</w:t>
      </w:r>
      <w:r w:rsidR="00CE4712" w:rsidRPr="7C2B7A89">
        <w:rPr>
          <w:rFonts w:ascii="Times New Roman" w:hAnsi="Times New Roman"/>
          <w:b/>
          <w:bCs/>
          <w:sz w:val="24"/>
          <w:szCs w:val="24"/>
        </w:rPr>
        <w:t>. Itemized Cost to the Federal Government</w:t>
      </w:r>
    </w:p>
    <w:tbl>
      <w:tblPr>
        <w:tblW w:w="0" w:type="auto"/>
        <w:tblCellMar>
          <w:left w:w="0" w:type="dxa"/>
          <w:right w:w="0" w:type="dxa"/>
        </w:tblCellMar>
        <w:tblLook w:val="04A0" w:firstRow="1" w:lastRow="0" w:firstColumn="1" w:lastColumn="0" w:noHBand="0" w:noVBand="1"/>
      </w:tblPr>
      <w:tblGrid>
        <w:gridCol w:w="2548"/>
        <w:gridCol w:w="1819"/>
        <w:gridCol w:w="2233"/>
        <w:gridCol w:w="2760"/>
      </w:tblGrid>
      <w:tr w:rsidR="00CE4712" w:rsidRPr="00CE4712" w14:paraId="7AF7A686" w14:textId="77777777" w:rsidTr="7C2B7A89">
        <w:trPr>
          <w:trHeight w:val="107"/>
        </w:trPr>
        <w:tc>
          <w:tcPr>
            <w:tcW w:w="2548" w:type="dxa"/>
            <w:tcBorders>
              <w:top w:val="single" w:sz="12" w:space="0" w:color="000000" w:themeColor="text1"/>
              <w:left w:val="nil"/>
              <w:bottom w:val="single" w:sz="4" w:space="0" w:color="000000" w:themeColor="text1"/>
            </w:tcBorders>
            <w:tcMar>
              <w:top w:w="0" w:type="dxa"/>
              <w:left w:w="108" w:type="dxa"/>
              <w:bottom w:w="0" w:type="dxa"/>
              <w:right w:w="108" w:type="dxa"/>
            </w:tcMar>
            <w:vAlign w:val="center"/>
            <w:hideMark/>
          </w:tcPr>
          <w:p w14:paraId="4DC44761" w14:textId="47434A6E" w:rsidR="00CE4712" w:rsidRPr="00C17D0E" w:rsidRDefault="00CE4712" w:rsidP="00C17D0E">
            <w:pPr>
              <w:pStyle w:val="FigureTitle"/>
              <w:spacing w:before="0" w:after="120"/>
              <w:rPr>
                <w:sz w:val="22"/>
                <w:szCs w:val="22"/>
              </w:rPr>
            </w:pPr>
            <w:r w:rsidRPr="7C2B7A89">
              <w:rPr>
                <w:sz w:val="22"/>
                <w:szCs w:val="22"/>
              </w:rPr>
              <w:t>Government Personnel</w:t>
            </w:r>
          </w:p>
        </w:tc>
        <w:tc>
          <w:tcPr>
            <w:tcW w:w="1819" w:type="dxa"/>
            <w:tcBorders>
              <w:top w:val="single" w:sz="12" w:space="0" w:color="000000" w:themeColor="text1"/>
              <w:bottom w:val="single" w:sz="4" w:space="0" w:color="000000" w:themeColor="text1"/>
            </w:tcBorders>
            <w:tcMar>
              <w:top w:w="0" w:type="dxa"/>
              <w:left w:w="108" w:type="dxa"/>
              <w:bottom w:w="0" w:type="dxa"/>
              <w:right w:w="108" w:type="dxa"/>
            </w:tcMar>
            <w:vAlign w:val="center"/>
            <w:hideMark/>
          </w:tcPr>
          <w:p w14:paraId="7DF32FB9" w14:textId="77777777" w:rsidR="00CE4712" w:rsidRPr="00C17D0E" w:rsidRDefault="00CE4712" w:rsidP="00C17D0E">
            <w:pPr>
              <w:pStyle w:val="FigureTitle"/>
              <w:spacing w:before="0" w:after="120"/>
              <w:jc w:val="center"/>
              <w:rPr>
                <w:sz w:val="22"/>
                <w:szCs w:val="22"/>
              </w:rPr>
            </w:pPr>
            <w:r w:rsidRPr="00C17D0E">
              <w:rPr>
                <w:sz w:val="22"/>
                <w:szCs w:val="22"/>
              </w:rPr>
              <w:t>Time Commitment</w:t>
            </w:r>
          </w:p>
        </w:tc>
        <w:tc>
          <w:tcPr>
            <w:tcW w:w="2233" w:type="dxa"/>
            <w:tcBorders>
              <w:top w:val="single" w:sz="12" w:space="0" w:color="000000" w:themeColor="text1"/>
              <w:bottom w:val="single" w:sz="4" w:space="0" w:color="000000" w:themeColor="text1"/>
            </w:tcBorders>
            <w:tcMar>
              <w:top w:w="0" w:type="dxa"/>
              <w:left w:w="108" w:type="dxa"/>
              <w:bottom w:w="0" w:type="dxa"/>
              <w:right w:w="108" w:type="dxa"/>
            </w:tcMar>
            <w:vAlign w:val="center"/>
            <w:hideMark/>
          </w:tcPr>
          <w:p w14:paraId="757AC417" w14:textId="77777777" w:rsidR="00CE4712" w:rsidRPr="00C17D0E" w:rsidRDefault="00CE4712" w:rsidP="00C17D0E">
            <w:pPr>
              <w:pStyle w:val="FigureTitle"/>
              <w:spacing w:before="0" w:after="120"/>
              <w:jc w:val="center"/>
              <w:rPr>
                <w:sz w:val="22"/>
                <w:szCs w:val="22"/>
              </w:rPr>
            </w:pPr>
            <w:r w:rsidRPr="00C17D0E">
              <w:rPr>
                <w:sz w:val="22"/>
                <w:szCs w:val="22"/>
              </w:rPr>
              <w:t>Average Annual Salary</w:t>
            </w:r>
          </w:p>
        </w:tc>
        <w:tc>
          <w:tcPr>
            <w:tcW w:w="2760" w:type="dxa"/>
            <w:tcBorders>
              <w:top w:val="single" w:sz="12" w:space="0" w:color="000000" w:themeColor="text1"/>
              <w:bottom w:val="single" w:sz="4" w:space="0" w:color="000000" w:themeColor="text1"/>
              <w:right w:val="nil"/>
            </w:tcBorders>
            <w:tcMar>
              <w:top w:w="0" w:type="dxa"/>
              <w:left w:w="108" w:type="dxa"/>
              <w:bottom w:w="0" w:type="dxa"/>
              <w:right w:w="108" w:type="dxa"/>
            </w:tcMar>
            <w:vAlign w:val="center"/>
            <w:hideMark/>
          </w:tcPr>
          <w:p w14:paraId="01C1982D" w14:textId="77777777" w:rsidR="00CE4712" w:rsidRPr="00C17D0E" w:rsidRDefault="00CE4712" w:rsidP="00C17D0E">
            <w:pPr>
              <w:pStyle w:val="FigureTitle"/>
              <w:spacing w:before="0" w:after="120"/>
              <w:jc w:val="center"/>
              <w:rPr>
                <w:sz w:val="22"/>
                <w:szCs w:val="22"/>
              </w:rPr>
            </w:pPr>
            <w:r w:rsidRPr="00C17D0E">
              <w:rPr>
                <w:sz w:val="22"/>
                <w:szCs w:val="22"/>
              </w:rPr>
              <w:t>Total</w:t>
            </w:r>
          </w:p>
        </w:tc>
      </w:tr>
      <w:tr w:rsidR="00CE4712" w:rsidRPr="00CE4712" w14:paraId="1FA468D8" w14:textId="77777777" w:rsidTr="7C2B7A89">
        <w:tc>
          <w:tcPr>
            <w:tcW w:w="2548" w:type="dxa"/>
            <w:tcBorders>
              <w:top w:val="single" w:sz="4" w:space="0" w:color="D9D9D9" w:themeColor="background1" w:themeShade="D9"/>
              <w:left w:val="nil"/>
              <w:bottom w:val="single" w:sz="4" w:space="0" w:color="D9D9D9" w:themeColor="background1" w:themeShade="D9"/>
            </w:tcBorders>
            <w:tcMar>
              <w:top w:w="0" w:type="dxa"/>
              <w:left w:w="108" w:type="dxa"/>
              <w:bottom w:w="0" w:type="dxa"/>
              <w:right w:w="108" w:type="dxa"/>
            </w:tcMar>
            <w:vAlign w:val="center"/>
            <w:hideMark/>
          </w:tcPr>
          <w:p w14:paraId="188F24B5" w14:textId="283C5376" w:rsidR="00CE4712" w:rsidRPr="00C17D0E" w:rsidRDefault="00CE4712" w:rsidP="000978D7">
            <w:pPr>
              <w:pStyle w:val="FigureTitle"/>
              <w:spacing w:before="60" w:after="60"/>
              <w:rPr>
                <w:b w:val="0"/>
                <w:sz w:val="22"/>
                <w:szCs w:val="22"/>
              </w:rPr>
            </w:pPr>
            <w:r w:rsidRPr="7C2B7A89">
              <w:rPr>
                <w:b w:val="0"/>
                <w:sz w:val="22"/>
                <w:szCs w:val="22"/>
              </w:rPr>
              <w:t>GS-1</w:t>
            </w:r>
            <w:r w:rsidR="00851E14">
              <w:rPr>
                <w:b w:val="0"/>
                <w:sz w:val="22"/>
                <w:szCs w:val="22"/>
              </w:rPr>
              <w:t>3</w:t>
            </w:r>
          </w:p>
        </w:tc>
        <w:tc>
          <w:tcPr>
            <w:tcW w:w="1819" w:type="dxa"/>
            <w:tcBorders>
              <w:top w:val="single" w:sz="4" w:space="0" w:color="D9D9D9" w:themeColor="background1" w:themeShade="D9"/>
              <w:bottom w:val="single" w:sz="4" w:space="0" w:color="D9D9D9" w:themeColor="background1" w:themeShade="D9"/>
            </w:tcBorders>
            <w:tcMar>
              <w:top w:w="0" w:type="dxa"/>
              <w:left w:w="108" w:type="dxa"/>
              <w:bottom w:w="0" w:type="dxa"/>
              <w:right w:w="108" w:type="dxa"/>
            </w:tcMar>
            <w:vAlign w:val="center"/>
            <w:hideMark/>
          </w:tcPr>
          <w:p w14:paraId="467FFF48" w14:textId="284F774A" w:rsidR="00CE4712" w:rsidRPr="00C17D0E" w:rsidRDefault="00CE4712" w:rsidP="000978D7">
            <w:pPr>
              <w:pStyle w:val="FigureTitle"/>
              <w:spacing w:before="60" w:after="60"/>
              <w:jc w:val="center"/>
              <w:rPr>
                <w:b w:val="0"/>
                <w:sz w:val="22"/>
                <w:szCs w:val="22"/>
              </w:rPr>
            </w:pPr>
            <w:r w:rsidRPr="7C2B7A89">
              <w:rPr>
                <w:b w:val="0"/>
                <w:sz w:val="22"/>
                <w:szCs w:val="22"/>
              </w:rPr>
              <w:t>20%</w:t>
            </w:r>
          </w:p>
        </w:tc>
        <w:tc>
          <w:tcPr>
            <w:tcW w:w="2233" w:type="dxa"/>
            <w:tcBorders>
              <w:top w:val="single" w:sz="4" w:space="0" w:color="D9D9D9" w:themeColor="background1" w:themeShade="D9"/>
              <w:bottom w:val="single" w:sz="4" w:space="0" w:color="D9D9D9" w:themeColor="background1" w:themeShade="D9"/>
            </w:tcBorders>
            <w:tcMar>
              <w:top w:w="0" w:type="dxa"/>
              <w:left w:w="108" w:type="dxa"/>
              <w:bottom w:w="0" w:type="dxa"/>
              <w:right w:w="108" w:type="dxa"/>
            </w:tcMar>
            <w:vAlign w:val="center"/>
            <w:hideMark/>
          </w:tcPr>
          <w:p w14:paraId="37714A98" w14:textId="322EAE2B" w:rsidR="00CE4712" w:rsidRPr="00C17D0E" w:rsidRDefault="00C14BA2" w:rsidP="000978D7">
            <w:pPr>
              <w:pStyle w:val="FigureTitle"/>
              <w:spacing w:before="60" w:after="60"/>
              <w:jc w:val="center"/>
              <w:rPr>
                <w:b w:val="0"/>
                <w:sz w:val="22"/>
                <w:szCs w:val="22"/>
              </w:rPr>
            </w:pPr>
            <w:r>
              <w:rPr>
                <w:b w:val="0"/>
                <w:sz w:val="22"/>
                <w:szCs w:val="22"/>
              </w:rPr>
              <w:t>$106,823</w:t>
            </w:r>
          </w:p>
        </w:tc>
        <w:tc>
          <w:tcPr>
            <w:tcW w:w="2760" w:type="dxa"/>
            <w:tcBorders>
              <w:top w:val="single" w:sz="4" w:space="0" w:color="D9D9D9" w:themeColor="background1" w:themeShade="D9"/>
              <w:bottom w:val="single" w:sz="4" w:space="0" w:color="D9D9D9" w:themeColor="background1" w:themeShade="D9"/>
              <w:right w:val="nil"/>
            </w:tcBorders>
            <w:tcMar>
              <w:top w:w="0" w:type="dxa"/>
              <w:left w:w="108" w:type="dxa"/>
              <w:bottom w:w="0" w:type="dxa"/>
              <w:right w:w="108" w:type="dxa"/>
            </w:tcMar>
            <w:vAlign w:val="center"/>
            <w:hideMark/>
          </w:tcPr>
          <w:p w14:paraId="1047701B" w14:textId="2BDE0589" w:rsidR="00CE4712" w:rsidRPr="00C17D0E" w:rsidRDefault="00CE4712" w:rsidP="000978D7">
            <w:pPr>
              <w:pStyle w:val="FigureTitle"/>
              <w:spacing w:before="60" w:after="60"/>
              <w:jc w:val="center"/>
              <w:rPr>
                <w:b w:val="0"/>
                <w:sz w:val="22"/>
                <w:szCs w:val="22"/>
              </w:rPr>
            </w:pPr>
            <w:r w:rsidRPr="7C2B7A89">
              <w:rPr>
                <w:b w:val="0"/>
                <w:sz w:val="22"/>
                <w:szCs w:val="22"/>
              </w:rPr>
              <w:t>$</w:t>
            </w:r>
            <w:r w:rsidR="00DC5465">
              <w:rPr>
                <w:b w:val="0"/>
                <w:sz w:val="22"/>
                <w:szCs w:val="22"/>
              </w:rPr>
              <w:t>21,365</w:t>
            </w:r>
          </w:p>
        </w:tc>
      </w:tr>
      <w:tr w:rsidR="7C2B7A89" w14:paraId="67B107F3" w14:textId="77777777" w:rsidTr="7C2B7A89">
        <w:tc>
          <w:tcPr>
            <w:tcW w:w="2548" w:type="dxa"/>
            <w:tcBorders>
              <w:top w:val="single" w:sz="4" w:space="0" w:color="D9D9D9" w:themeColor="background1" w:themeShade="D9"/>
              <w:left w:val="nil"/>
              <w:bottom w:val="single" w:sz="4" w:space="0" w:color="D9D9D9" w:themeColor="background1" w:themeShade="D9"/>
            </w:tcBorders>
            <w:tcMar>
              <w:top w:w="0" w:type="dxa"/>
              <w:left w:w="108" w:type="dxa"/>
              <w:bottom w:w="0" w:type="dxa"/>
              <w:right w:w="108" w:type="dxa"/>
            </w:tcMar>
            <w:vAlign w:val="center"/>
            <w:hideMark/>
          </w:tcPr>
          <w:p w14:paraId="3ED4079D" w14:textId="284B0A37" w:rsidR="7C2B7A89" w:rsidRDefault="7C2B7A89" w:rsidP="7C2B7A89">
            <w:pPr>
              <w:pStyle w:val="FigureTitle"/>
              <w:rPr>
                <w:b w:val="0"/>
                <w:sz w:val="22"/>
                <w:szCs w:val="22"/>
              </w:rPr>
            </w:pPr>
            <w:r w:rsidRPr="7C2B7A89">
              <w:rPr>
                <w:b w:val="0"/>
                <w:sz w:val="22"/>
                <w:szCs w:val="22"/>
              </w:rPr>
              <w:t>GS-13</w:t>
            </w:r>
          </w:p>
        </w:tc>
        <w:tc>
          <w:tcPr>
            <w:tcW w:w="1819" w:type="dxa"/>
            <w:tcBorders>
              <w:top w:val="single" w:sz="4" w:space="0" w:color="D9D9D9" w:themeColor="background1" w:themeShade="D9"/>
              <w:bottom w:val="single" w:sz="4" w:space="0" w:color="D9D9D9" w:themeColor="background1" w:themeShade="D9"/>
            </w:tcBorders>
            <w:tcMar>
              <w:top w:w="0" w:type="dxa"/>
              <w:left w:w="108" w:type="dxa"/>
              <w:bottom w:w="0" w:type="dxa"/>
              <w:right w:w="108" w:type="dxa"/>
            </w:tcMar>
            <w:vAlign w:val="center"/>
            <w:hideMark/>
          </w:tcPr>
          <w:p w14:paraId="689FC0FC" w14:textId="6E247B26" w:rsidR="7C2B7A89" w:rsidRDefault="7C2B7A89" w:rsidP="7C2B7A89">
            <w:pPr>
              <w:pStyle w:val="FigureTitle"/>
              <w:jc w:val="center"/>
              <w:rPr>
                <w:b w:val="0"/>
                <w:sz w:val="22"/>
                <w:szCs w:val="22"/>
              </w:rPr>
            </w:pPr>
            <w:r w:rsidRPr="7C2B7A89">
              <w:rPr>
                <w:b w:val="0"/>
                <w:sz w:val="22"/>
                <w:szCs w:val="22"/>
              </w:rPr>
              <w:t>10%</w:t>
            </w:r>
          </w:p>
        </w:tc>
        <w:tc>
          <w:tcPr>
            <w:tcW w:w="2233" w:type="dxa"/>
            <w:tcBorders>
              <w:top w:val="single" w:sz="4" w:space="0" w:color="D9D9D9" w:themeColor="background1" w:themeShade="D9"/>
              <w:bottom w:val="single" w:sz="4" w:space="0" w:color="D9D9D9" w:themeColor="background1" w:themeShade="D9"/>
            </w:tcBorders>
            <w:tcMar>
              <w:top w:w="0" w:type="dxa"/>
              <w:left w:w="108" w:type="dxa"/>
              <w:bottom w:w="0" w:type="dxa"/>
              <w:right w:w="108" w:type="dxa"/>
            </w:tcMar>
            <w:vAlign w:val="center"/>
            <w:hideMark/>
          </w:tcPr>
          <w:p w14:paraId="16863A99" w14:textId="3C18BF05" w:rsidR="7C2B7A89" w:rsidRDefault="7C2B7A89" w:rsidP="7C2B7A89">
            <w:pPr>
              <w:pStyle w:val="FigureTitle"/>
              <w:jc w:val="center"/>
              <w:rPr>
                <w:bCs/>
                <w:sz w:val="22"/>
                <w:szCs w:val="22"/>
              </w:rPr>
            </w:pPr>
            <w:r w:rsidRPr="7C2B7A89">
              <w:rPr>
                <w:b w:val="0"/>
                <w:sz w:val="22"/>
                <w:szCs w:val="22"/>
              </w:rPr>
              <w:t>$106,823</w:t>
            </w:r>
          </w:p>
        </w:tc>
        <w:tc>
          <w:tcPr>
            <w:tcW w:w="2760" w:type="dxa"/>
            <w:tcBorders>
              <w:top w:val="single" w:sz="4" w:space="0" w:color="D9D9D9" w:themeColor="background1" w:themeShade="D9"/>
              <w:bottom w:val="single" w:sz="4" w:space="0" w:color="D9D9D9" w:themeColor="background1" w:themeShade="D9"/>
              <w:right w:val="nil"/>
            </w:tcBorders>
            <w:tcMar>
              <w:top w:w="0" w:type="dxa"/>
              <w:left w:w="108" w:type="dxa"/>
              <w:bottom w:w="0" w:type="dxa"/>
              <w:right w:w="108" w:type="dxa"/>
            </w:tcMar>
            <w:vAlign w:val="center"/>
            <w:hideMark/>
          </w:tcPr>
          <w:p w14:paraId="23EE7211" w14:textId="0BE61A08" w:rsidR="7C2B7A89" w:rsidRDefault="7C2B7A89" w:rsidP="7C2B7A89">
            <w:pPr>
              <w:pStyle w:val="FigureTitle"/>
              <w:jc w:val="center"/>
              <w:rPr>
                <w:bCs/>
                <w:sz w:val="22"/>
                <w:szCs w:val="22"/>
              </w:rPr>
            </w:pPr>
            <w:r w:rsidRPr="7C2B7A89">
              <w:rPr>
                <w:b w:val="0"/>
                <w:sz w:val="22"/>
                <w:szCs w:val="22"/>
              </w:rPr>
              <w:t>$10,682</w:t>
            </w:r>
          </w:p>
        </w:tc>
      </w:tr>
      <w:tr w:rsidR="7C2B7A89" w14:paraId="63B61838" w14:textId="77777777" w:rsidTr="7C2B7A89">
        <w:tc>
          <w:tcPr>
            <w:tcW w:w="2548" w:type="dxa"/>
            <w:tcBorders>
              <w:top w:val="single" w:sz="4" w:space="0" w:color="D9D9D9" w:themeColor="background1" w:themeShade="D9"/>
              <w:left w:val="nil"/>
              <w:bottom w:val="single" w:sz="4" w:space="0" w:color="D9D9D9" w:themeColor="background1" w:themeShade="D9"/>
            </w:tcBorders>
            <w:tcMar>
              <w:top w:w="0" w:type="dxa"/>
              <w:left w:w="108" w:type="dxa"/>
              <w:bottom w:w="0" w:type="dxa"/>
              <w:right w:w="108" w:type="dxa"/>
            </w:tcMar>
            <w:vAlign w:val="center"/>
            <w:hideMark/>
          </w:tcPr>
          <w:p w14:paraId="1BA23B61" w14:textId="64F561EB" w:rsidR="7C2B7A89" w:rsidRDefault="7C2B7A89" w:rsidP="7C2B7A89">
            <w:pPr>
              <w:pStyle w:val="FigureTitle"/>
              <w:rPr>
                <w:b w:val="0"/>
                <w:sz w:val="22"/>
                <w:szCs w:val="22"/>
              </w:rPr>
            </w:pPr>
            <w:r w:rsidRPr="7C2B7A89">
              <w:rPr>
                <w:b w:val="0"/>
                <w:sz w:val="22"/>
                <w:szCs w:val="22"/>
              </w:rPr>
              <w:t>GS-14</w:t>
            </w:r>
          </w:p>
        </w:tc>
        <w:tc>
          <w:tcPr>
            <w:tcW w:w="1819" w:type="dxa"/>
            <w:tcBorders>
              <w:top w:val="single" w:sz="4" w:space="0" w:color="D9D9D9" w:themeColor="background1" w:themeShade="D9"/>
              <w:bottom w:val="single" w:sz="4" w:space="0" w:color="D9D9D9" w:themeColor="background1" w:themeShade="D9"/>
            </w:tcBorders>
            <w:tcMar>
              <w:top w:w="0" w:type="dxa"/>
              <w:left w:w="108" w:type="dxa"/>
              <w:bottom w:w="0" w:type="dxa"/>
              <w:right w:w="108" w:type="dxa"/>
            </w:tcMar>
            <w:vAlign w:val="center"/>
            <w:hideMark/>
          </w:tcPr>
          <w:p w14:paraId="18D9B80C" w14:textId="0F6CF877" w:rsidR="7C2B7A89" w:rsidRDefault="7C2B7A89" w:rsidP="7C2B7A89">
            <w:pPr>
              <w:pStyle w:val="FigureTitle"/>
              <w:jc w:val="center"/>
              <w:rPr>
                <w:bCs/>
                <w:sz w:val="22"/>
                <w:szCs w:val="22"/>
              </w:rPr>
            </w:pPr>
            <w:r w:rsidRPr="7C2B7A89">
              <w:rPr>
                <w:b w:val="0"/>
                <w:sz w:val="22"/>
                <w:szCs w:val="22"/>
              </w:rPr>
              <w:t>5%</w:t>
            </w:r>
          </w:p>
        </w:tc>
        <w:tc>
          <w:tcPr>
            <w:tcW w:w="2233" w:type="dxa"/>
            <w:tcBorders>
              <w:top w:val="single" w:sz="4" w:space="0" w:color="D9D9D9" w:themeColor="background1" w:themeShade="D9"/>
              <w:bottom w:val="single" w:sz="4" w:space="0" w:color="D9D9D9" w:themeColor="background1" w:themeShade="D9"/>
            </w:tcBorders>
            <w:tcMar>
              <w:top w:w="0" w:type="dxa"/>
              <w:left w:w="108" w:type="dxa"/>
              <w:bottom w:w="0" w:type="dxa"/>
              <w:right w:w="108" w:type="dxa"/>
            </w:tcMar>
            <w:vAlign w:val="center"/>
            <w:hideMark/>
          </w:tcPr>
          <w:p w14:paraId="51B9B2FC" w14:textId="7EAF5245" w:rsidR="7C2B7A89" w:rsidRDefault="7C2B7A89" w:rsidP="7C2B7A89">
            <w:pPr>
              <w:pStyle w:val="FigureTitle"/>
              <w:jc w:val="center"/>
              <w:rPr>
                <w:bCs/>
                <w:sz w:val="22"/>
                <w:szCs w:val="22"/>
              </w:rPr>
            </w:pPr>
            <w:r w:rsidRPr="7C2B7A89">
              <w:rPr>
                <w:b w:val="0"/>
                <w:sz w:val="22"/>
                <w:szCs w:val="22"/>
              </w:rPr>
              <w:t>$126,233</w:t>
            </w:r>
          </w:p>
        </w:tc>
        <w:tc>
          <w:tcPr>
            <w:tcW w:w="2760" w:type="dxa"/>
            <w:tcBorders>
              <w:top w:val="single" w:sz="4" w:space="0" w:color="D9D9D9" w:themeColor="background1" w:themeShade="D9"/>
              <w:bottom w:val="single" w:sz="4" w:space="0" w:color="D9D9D9" w:themeColor="background1" w:themeShade="D9"/>
              <w:right w:val="nil"/>
            </w:tcBorders>
            <w:tcMar>
              <w:top w:w="0" w:type="dxa"/>
              <w:left w:w="108" w:type="dxa"/>
              <w:bottom w:w="0" w:type="dxa"/>
              <w:right w:w="108" w:type="dxa"/>
            </w:tcMar>
            <w:vAlign w:val="center"/>
            <w:hideMark/>
          </w:tcPr>
          <w:p w14:paraId="22FE33D5" w14:textId="341C0E66" w:rsidR="7C2B7A89" w:rsidRDefault="7C2B7A89" w:rsidP="7C2B7A89">
            <w:pPr>
              <w:pStyle w:val="FigureTitle"/>
              <w:jc w:val="center"/>
              <w:rPr>
                <w:bCs/>
                <w:sz w:val="22"/>
                <w:szCs w:val="22"/>
              </w:rPr>
            </w:pPr>
            <w:r w:rsidRPr="7C2B7A89">
              <w:rPr>
                <w:b w:val="0"/>
                <w:sz w:val="22"/>
                <w:szCs w:val="22"/>
              </w:rPr>
              <w:t>$6,312</w:t>
            </w:r>
          </w:p>
        </w:tc>
      </w:tr>
      <w:tr w:rsidR="00CE4712" w:rsidRPr="00CE4712" w14:paraId="56B12EF1" w14:textId="77777777" w:rsidTr="7C2B7A89">
        <w:trPr>
          <w:trHeight w:val="260"/>
        </w:trPr>
        <w:tc>
          <w:tcPr>
            <w:tcW w:w="2548" w:type="dxa"/>
            <w:tcBorders>
              <w:top w:val="single" w:sz="4" w:space="0" w:color="D9D9D9" w:themeColor="background1" w:themeShade="D9"/>
              <w:left w:val="nil"/>
              <w:bottom w:val="single" w:sz="4" w:space="0" w:color="D9D9D9" w:themeColor="background1" w:themeShade="D9"/>
            </w:tcBorders>
            <w:tcMar>
              <w:top w:w="0" w:type="dxa"/>
              <w:left w:w="108" w:type="dxa"/>
              <w:bottom w:w="0" w:type="dxa"/>
              <w:right w:w="108" w:type="dxa"/>
            </w:tcMar>
            <w:vAlign w:val="center"/>
          </w:tcPr>
          <w:p w14:paraId="57A03C1F" w14:textId="111A373B" w:rsidR="00CE4712" w:rsidRPr="00C17D0E" w:rsidRDefault="00C17D0E" w:rsidP="000978D7">
            <w:pPr>
              <w:pStyle w:val="FigureTitle"/>
              <w:spacing w:before="60" w:after="60"/>
              <w:rPr>
                <w:b w:val="0"/>
                <w:sz w:val="22"/>
                <w:szCs w:val="22"/>
              </w:rPr>
            </w:pPr>
            <w:r w:rsidRPr="7C2B7A89">
              <w:rPr>
                <w:b w:val="0"/>
                <w:sz w:val="22"/>
                <w:szCs w:val="22"/>
              </w:rPr>
              <w:t>Total Salary Costs</w:t>
            </w:r>
          </w:p>
        </w:tc>
        <w:tc>
          <w:tcPr>
            <w:tcW w:w="1819" w:type="dxa"/>
            <w:tcBorders>
              <w:top w:val="single" w:sz="4" w:space="0" w:color="D9D9D9" w:themeColor="background1" w:themeShade="D9"/>
              <w:bottom w:val="single" w:sz="4" w:space="0" w:color="D9D9D9" w:themeColor="background1" w:themeShade="D9"/>
            </w:tcBorders>
            <w:tcMar>
              <w:top w:w="0" w:type="dxa"/>
              <w:left w:w="108" w:type="dxa"/>
              <w:bottom w:w="0" w:type="dxa"/>
              <w:right w:w="108" w:type="dxa"/>
            </w:tcMar>
            <w:vAlign w:val="center"/>
          </w:tcPr>
          <w:p w14:paraId="392F6720" w14:textId="77777777" w:rsidR="00CE4712" w:rsidRPr="00C17D0E" w:rsidRDefault="00CE4712" w:rsidP="000978D7">
            <w:pPr>
              <w:pStyle w:val="FigureTitle"/>
              <w:spacing w:before="60" w:after="60"/>
              <w:jc w:val="center"/>
              <w:rPr>
                <w:b w:val="0"/>
                <w:sz w:val="22"/>
                <w:szCs w:val="22"/>
              </w:rPr>
            </w:pPr>
          </w:p>
        </w:tc>
        <w:tc>
          <w:tcPr>
            <w:tcW w:w="2233" w:type="dxa"/>
            <w:tcBorders>
              <w:top w:val="single" w:sz="4" w:space="0" w:color="D9D9D9" w:themeColor="background1" w:themeShade="D9"/>
              <w:bottom w:val="single" w:sz="4" w:space="0" w:color="D9D9D9" w:themeColor="background1" w:themeShade="D9"/>
            </w:tcBorders>
            <w:tcMar>
              <w:top w:w="0" w:type="dxa"/>
              <w:left w:w="108" w:type="dxa"/>
              <w:bottom w:w="0" w:type="dxa"/>
              <w:right w:w="108" w:type="dxa"/>
            </w:tcMar>
            <w:vAlign w:val="center"/>
            <w:hideMark/>
          </w:tcPr>
          <w:p w14:paraId="6A9405BF" w14:textId="6376CE39" w:rsidR="00CE4712" w:rsidRPr="00C17D0E" w:rsidRDefault="00CE4712" w:rsidP="000978D7">
            <w:pPr>
              <w:pStyle w:val="FigureTitle"/>
              <w:spacing w:before="60" w:after="60"/>
              <w:jc w:val="center"/>
              <w:rPr>
                <w:sz w:val="22"/>
                <w:szCs w:val="22"/>
              </w:rPr>
            </w:pPr>
          </w:p>
        </w:tc>
        <w:tc>
          <w:tcPr>
            <w:tcW w:w="2760" w:type="dxa"/>
            <w:tcBorders>
              <w:top w:val="single" w:sz="4" w:space="0" w:color="D9D9D9" w:themeColor="background1" w:themeShade="D9"/>
              <w:bottom w:val="single" w:sz="4" w:space="0" w:color="D9D9D9" w:themeColor="background1" w:themeShade="D9"/>
              <w:right w:val="nil"/>
            </w:tcBorders>
            <w:tcMar>
              <w:top w:w="0" w:type="dxa"/>
              <w:left w:w="108" w:type="dxa"/>
              <w:bottom w:w="0" w:type="dxa"/>
              <w:right w:w="108" w:type="dxa"/>
            </w:tcMar>
            <w:vAlign w:val="center"/>
            <w:hideMark/>
          </w:tcPr>
          <w:p w14:paraId="4BAD6965" w14:textId="65443026" w:rsidR="00CE4712" w:rsidRPr="00C17D0E" w:rsidRDefault="00CE4712" w:rsidP="000978D7">
            <w:pPr>
              <w:pStyle w:val="FigureTitle"/>
              <w:spacing w:before="60" w:after="60"/>
              <w:jc w:val="center"/>
              <w:rPr>
                <w:b w:val="0"/>
                <w:sz w:val="22"/>
                <w:szCs w:val="22"/>
              </w:rPr>
            </w:pPr>
            <w:r w:rsidRPr="7C2B7A89">
              <w:rPr>
                <w:b w:val="0"/>
                <w:sz w:val="22"/>
                <w:szCs w:val="22"/>
              </w:rPr>
              <w:t>$3</w:t>
            </w:r>
            <w:r w:rsidR="00ED70CA">
              <w:rPr>
                <w:b w:val="0"/>
                <w:sz w:val="22"/>
                <w:szCs w:val="22"/>
              </w:rPr>
              <w:t>8,359</w:t>
            </w:r>
          </w:p>
        </w:tc>
      </w:tr>
      <w:tr w:rsidR="00CE4712" w:rsidRPr="00CE4712" w14:paraId="3B49378D" w14:textId="77777777" w:rsidTr="7C2B7A89">
        <w:trPr>
          <w:trHeight w:val="458"/>
        </w:trPr>
        <w:tc>
          <w:tcPr>
            <w:tcW w:w="6600" w:type="dxa"/>
            <w:gridSpan w:val="3"/>
            <w:tcBorders>
              <w:top w:val="single" w:sz="4" w:space="0" w:color="D9D9D9" w:themeColor="background1" w:themeShade="D9"/>
              <w:left w:val="nil"/>
              <w:bottom w:val="single" w:sz="4" w:space="0" w:color="000000" w:themeColor="text1"/>
            </w:tcBorders>
            <w:tcMar>
              <w:top w:w="0" w:type="dxa"/>
              <w:left w:w="108" w:type="dxa"/>
              <w:bottom w:w="0" w:type="dxa"/>
              <w:right w:w="108" w:type="dxa"/>
            </w:tcMar>
            <w:vAlign w:val="center"/>
            <w:hideMark/>
          </w:tcPr>
          <w:p w14:paraId="6662B8ED" w14:textId="033EA12C" w:rsidR="00CE4712" w:rsidRPr="008A44AE" w:rsidRDefault="00CE4712" w:rsidP="7C2B7A89">
            <w:pPr>
              <w:pStyle w:val="FigureTitle"/>
              <w:spacing w:before="60" w:after="60"/>
              <w:rPr>
                <w:b w:val="0"/>
                <w:sz w:val="22"/>
                <w:szCs w:val="22"/>
              </w:rPr>
            </w:pPr>
            <w:r w:rsidRPr="7C2B7A89">
              <w:rPr>
                <w:b w:val="0"/>
                <w:sz w:val="22"/>
                <w:szCs w:val="22"/>
              </w:rPr>
              <w:t>Contract</w:t>
            </w:r>
            <w:r w:rsidR="00C17D0E" w:rsidRPr="7C2B7A89">
              <w:rPr>
                <w:b w:val="0"/>
                <w:sz w:val="22"/>
                <w:szCs w:val="22"/>
              </w:rPr>
              <w:t>or</w:t>
            </w:r>
            <w:r w:rsidRPr="7C2B7A89">
              <w:rPr>
                <w:b w:val="0"/>
                <w:sz w:val="22"/>
                <w:szCs w:val="22"/>
              </w:rPr>
              <w:t xml:space="preserve"> Cost</w:t>
            </w:r>
            <w:r w:rsidR="00C17D0E" w:rsidRPr="7C2B7A89">
              <w:rPr>
                <w:b w:val="0"/>
                <w:sz w:val="22"/>
                <w:szCs w:val="22"/>
              </w:rPr>
              <w:t>s</w:t>
            </w:r>
          </w:p>
        </w:tc>
        <w:tc>
          <w:tcPr>
            <w:tcW w:w="2760" w:type="dxa"/>
            <w:tcBorders>
              <w:top w:val="single" w:sz="4" w:space="0" w:color="D9D9D9" w:themeColor="background1" w:themeShade="D9"/>
              <w:bottom w:val="single" w:sz="4" w:space="0" w:color="000000" w:themeColor="text1"/>
              <w:right w:val="nil"/>
            </w:tcBorders>
            <w:tcMar>
              <w:top w:w="0" w:type="dxa"/>
              <w:left w:w="108" w:type="dxa"/>
              <w:bottom w:w="0" w:type="dxa"/>
              <w:right w:w="108" w:type="dxa"/>
            </w:tcMar>
            <w:vAlign w:val="center"/>
          </w:tcPr>
          <w:p w14:paraId="745D5315" w14:textId="45A7EE94" w:rsidR="00CE4712" w:rsidRPr="00C17D0E" w:rsidRDefault="00CE4712" w:rsidP="000978D7">
            <w:pPr>
              <w:pStyle w:val="FigureTitle"/>
              <w:spacing w:before="60" w:after="60"/>
              <w:jc w:val="center"/>
              <w:rPr>
                <w:b w:val="0"/>
                <w:sz w:val="22"/>
                <w:szCs w:val="22"/>
              </w:rPr>
            </w:pPr>
            <w:r w:rsidRPr="7C2B7A89">
              <w:rPr>
                <w:b w:val="0"/>
                <w:sz w:val="22"/>
                <w:szCs w:val="22"/>
              </w:rPr>
              <w:t>$</w:t>
            </w:r>
            <w:r w:rsidR="00E26BC9">
              <w:rPr>
                <w:b w:val="0"/>
                <w:sz w:val="22"/>
                <w:szCs w:val="22"/>
              </w:rPr>
              <w:t>90,</w:t>
            </w:r>
            <w:r w:rsidR="0013620D">
              <w:rPr>
                <w:b w:val="0"/>
                <w:sz w:val="22"/>
                <w:szCs w:val="22"/>
              </w:rPr>
              <w:t>709</w:t>
            </w:r>
          </w:p>
        </w:tc>
      </w:tr>
      <w:tr w:rsidR="00CE4712" w:rsidRPr="00CE4712" w14:paraId="57CE9411" w14:textId="77777777" w:rsidTr="7C2B7A89">
        <w:trPr>
          <w:trHeight w:val="458"/>
        </w:trPr>
        <w:tc>
          <w:tcPr>
            <w:tcW w:w="6600" w:type="dxa"/>
            <w:gridSpan w:val="3"/>
            <w:tcBorders>
              <w:top w:val="single" w:sz="4" w:space="0" w:color="000000" w:themeColor="text1"/>
              <w:left w:val="nil"/>
              <w:bottom w:val="single" w:sz="12" w:space="0" w:color="000000" w:themeColor="text1"/>
            </w:tcBorders>
            <w:tcMar>
              <w:top w:w="0" w:type="dxa"/>
              <w:left w:w="108" w:type="dxa"/>
              <w:bottom w:w="0" w:type="dxa"/>
              <w:right w:w="108" w:type="dxa"/>
            </w:tcMar>
            <w:vAlign w:val="center"/>
            <w:hideMark/>
          </w:tcPr>
          <w:p w14:paraId="02E4FDDC" w14:textId="77777777" w:rsidR="00CE4712" w:rsidRPr="00C17D0E" w:rsidRDefault="00CE4712" w:rsidP="000978D7">
            <w:pPr>
              <w:pStyle w:val="FigureTitle"/>
              <w:spacing w:before="60" w:after="60"/>
              <w:rPr>
                <w:sz w:val="22"/>
                <w:szCs w:val="22"/>
              </w:rPr>
            </w:pPr>
            <w:r w:rsidRPr="00C17D0E">
              <w:rPr>
                <w:sz w:val="22"/>
                <w:szCs w:val="22"/>
              </w:rPr>
              <w:t>Total</w:t>
            </w:r>
          </w:p>
        </w:tc>
        <w:tc>
          <w:tcPr>
            <w:tcW w:w="2760" w:type="dxa"/>
            <w:tcBorders>
              <w:top w:val="single" w:sz="4" w:space="0" w:color="000000" w:themeColor="text1"/>
              <w:bottom w:val="single" w:sz="12" w:space="0" w:color="000000" w:themeColor="text1"/>
              <w:right w:val="nil"/>
            </w:tcBorders>
            <w:tcMar>
              <w:top w:w="0" w:type="dxa"/>
              <w:left w:w="108" w:type="dxa"/>
              <w:bottom w:w="0" w:type="dxa"/>
              <w:right w:w="108" w:type="dxa"/>
            </w:tcMar>
            <w:vAlign w:val="center"/>
            <w:hideMark/>
          </w:tcPr>
          <w:p w14:paraId="25EB8809" w14:textId="4767E834" w:rsidR="00CE4712" w:rsidRPr="00C17D0E" w:rsidRDefault="00CE4712" w:rsidP="000978D7">
            <w:pPr>
              <w:pStyle w:val="FigureTitle"/>
              <w:spacing w:before="60" w:after="60"/>
              <w:jc w:val="center"/>
              <w:rPr>
                <w:sz w:val="22"/>
                <w:szCs w:val="22"/>
              </w:rPr>
            </w:pPr>
            <w:r w:rsidRPr="7C2B7A89">
              <w:rPr>
                <w:sz w:val="22"/>
                <w:szCs w:val="22"/>
              </w:rPr>
              <w:t>$</w:t>
            </w:r>
            <w:r w:rsidR="00E26BC9">
              <w:rPr>
                <w:sz w:val="22"/>
                <w:szCs w:val="22"/>
              </w:rPr>
              <w:t>129,</w:t>
            </w:r>
            <w:r w:rsidR="0013620D">
              <w:rPr>
                <w:sz w:val="22"/>
                <w:szCs w:val="22"/>
              </w:rPr>
              <w:t>068</w:t>
            </w:r>
          </w:p>
        </w:tc>
      </w:tr>
    </w:tbl>
    <w:p w14:paraId="2B133601" w14:textId="77777777" w:rsidR="00A703F9" w:rsidRPr="00CE4712" w:rsidRDefault="00A703F9" w:rsidP="008A44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76" w:lineRule="auto"/>
        <w:rPr>
          <w:rFonts w:ascii="Times New Roman" w:hAnsi="Times New Roman"/>
          <w:sz w:val="18"/>
          <w:szCs w:val="24"/>
        </w:rPr>
      </w:pPr>
    </w:p>
    <w:p w14:paraId="1B0B986F" w14:textId="77777777" w:rsidR="005C0FF9" w:rsidRPr="005E5681" w:rsidRDefault="005C0FF9" w:rsidP="008A44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outlineLvl w:val="2"/>
        <w:rPr>
          <w:rFonts w:ascii="Times New Roman" w:hAnsi="Times New Roman"/>
          <w:b/>
          <w:bCs/>
          <w:sz w:val="24"/>
          <w:szCs w:val="24"/>
          <w:u w:val="single"/>
        </w:rPr>
      </w:pPr>
      <w:bookmarkStart w:id="20" w:name="_Toc239649236"/>
      <w:r w:rsidRPr="005E5681">
        <w:rPr>
          <w:rFonts w:ascii="Times New Roman" w:hAnsi="Times New Roman"/>
          <w:b/>
          <w:bCs/>
          <w:sz w:val="24"/>
          <w:szCs w:val="24"/>
        </w:rPr>
        <w:t>15.</w:t>
      </w:r>
      <w:r w:rsidRPr="005E5681">
        <w:rPr>
          <w:rFonts w:ascii="Times New Roman" w:hAnsi="Times New Roman"/>
          <w:sz w:val="24"/>
          <w:szCs w:val="24"/>
        </w:rPr>
        <w:t xml:space="preserve">  </w:t>
      </w:r>
      <w:r w:rsidRPr="005E5681">
        <w:rPr>
          <w:rFonts w:ascii="Times New Roman" w:hAnsi="Times New Roman"/>
          <w:b/>
          <w:bCs/>
          <w:sz w:val="24"/>
          <w:szCs w:val="24"/>
          <w:u w:val="single"/>
        </w:rPr>
        <w:t>Explanation for Program Changes or Adjustments</w:t>
      </w:r>
      <w:bookmarkEnd w:id="20"/>
    </w:p>
    <w:p w14:paraId="26E3AC86"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75E4E20" w14:textId="17F7B40A" w:rsidR="005C0FF9" w:rsidRPr="002051D8" w:rsidRDefault="00F10DF8" w:rsidP="0097535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ab/>
      </w:r>
      <w:r w:rsidR="005C0FF9" w:rsidRPr="005E5681">
        <w:rPr>
          <w:rFonts w:ascii="Times New Roman" w:hAnsi="Times New Roman"/>
          <w:sz w:val="24"/>
          <w:szCs w:val="24"/>
        </w:rPr>
        <w:t>This is a new collection of information.</w:t>
      </w:r>
    </w:p>
    <w:p w14:paraId="47E7D301"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3969BBE"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21" w:name="_Toc239649237"/>
      <w:r w:rsidRPr="002051D8">
        <w:rPr>
          <w:rFonts w:ascii="Times New Roman" w:hAnsi="Times New Roman"/>
          <w:b/>
          <w:bCs/>
          <w:sz w:val="24"/>
          <w:szCs w:val="24"/>
        </w:rPr>
        <w:t>16.</w:t>
      </w:r>
      <w:r w:rsidRPr="002051D8">
        <w:rPr>
          <w:rFonts w:ascii="Times New Roman" w:hAnsi="Times New Roman"/>
          <w:sz w:val="24"/>
          <w:szCs w:val="24"/>
        </w:rPr>
        <w:t xml:space="preserve">  </w:t>
      </w:r>
      <w:r w:rsidRPr="002051D8">
        <w:rPr>
          <w:rFonts w:ascii="Times New Roman" w:hAnsi="Times New Roman"/>
          <w:b/>
          <w:bCs/>
          <w:sz w:val="24"/>
          <w:szCs w:val="24"/>
          <w:u w:val="single"/>
        </w:rPr>
        <w:t>Plans for Tabulation and Publication and Project Time Schedule</w:t>
      </w:r>
      <w:bookmarkEnd w:id="21"/>
    </w:p>
    <w:p w14:paraId="0C4950D9" w14:textId="77777777" w:rsidR="00083036" w:rsidRDefault="00083036" w:rsidP="00CE4712">
      <w:pPr>
        <w:pStyle w:val="BodyText1"/>
        <w:spacing w:after="0" w:line="240" w:lineRule="auto"/>
        <w:ind w:left="450" w:firstLine="0"/>
      </w:pPr>
    </w:p>
    <w:p w14:paraId="4C00DBB2" w14:textId="5103A014" w:rsidR="00CE4712" w:rsidRPr="005D0A0B" w:rsidRDefault="00F10DF8" w:rsidP="0097535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rFonts w:ascii="Times New Roman" w:hAnsi="Times New Roman"/>
          <w:sz w:val="24"/>
          <w:szCs w:val="24"/>
        </w:rPr>
        <w:tab/>
      </w:r>
      <w:r w:rsidR="00BE75C4" w:rsidRPr="005D0A0B">
        <w:rPr>
          <w:rFonts w:ascii="Times New Roman" w:hAnsi="Times New Roman"/>
          <w:sz w:val="24"/>
          <w:szCs w:val="24"/>
        </w:rPr>
        <w:t xml:space="preserve">The analyses will </w:t>
      </w:r>
      <w:r w:rsidR="00BE75C4" w:rsidRPr="00871806">
        <w:rPr>
          <w:rFonts w:ascii="Times New Roman" w:hAnsi="Times New Roman"/>
          <w:sz w:val="24"/>
          <w:szCs w:val="24"/>
        </w:rPr>
        <w:t xml:space="preserve">examine whether key ME measures </w:t>
      </w:r>
      <w:r w:rsidR="00BE75C4" w:rsidRPr="005A69E7">
        <w:rPr>
          <w:rFonts w:ascii="Times New Roman" w:hAnsi="Times New Roman"/>
          <w:sz w:val="24"/>
          <w:szCs w:val="24"/>
        </w:rPr>
        <w:t>demonstrate criterion validity by investigating the strength of their relationship with outcomes of message exposure, such as beliefs and behavioral intentions. We will also aim to compare ME measures on the strength of their association with AME and to examine whether the relationship between ME measures and message outcomes varies depending on characteristics of the vaping prevention messages and user groups.</w:t>
      </w:r>
      <w:r w:rsidR="00CE4712" w:rsidRPr="005D0A0B">
        <w:rPr>
          <w:rFonts w:ascii="Times New Roman" w:hAnsi="Times New Roman"/>
          <w:sz w:val="24"/>
          <w:szCs w:val="24"/>
        </w:rPr>
        <w:t xml:space="preserve"> Findings from these analyses will be used to inform FDA CTP health communication strategies.</w:t>
      </w:r>
      <w:r w:rsidR="005A69E7" w:rsidRPr="00871806">
        <w:rPr>
          <w:rFonts w:ascii="Times New Roman" w:hAnsi="Times New Roman"/>
          <w:sz w:val="24"/>
          <w:szCs w:val="24"/>
        </w:rPr>
        <w:t xml:space="preserve"> </w:t>
      </w:r>
      <w:r w:rsidR="00CE4712" w:rsidRPr="00871806">
        <w:rPr>
          <w:rFonts w:ascii="Times New Roman" w:hAnsi="Times New Roman"/>
          <w:sz w:val="24"/>
          <w:szCs w:val="24"/>
        </w:rPr>
        <w:t>The reporting and dissemination mechanism will consist of a comprehensive evaluation report summarizing findings from this information collection.</w:t>
      </w:r>
      <w:r w:rsidR="005A69E7">
        <w:rPr>
          <w:rFonts w:ascii="Times New Roman" w:hAnsi="Times New Roman"/>
          <w:sz w:val="24"/>
          <w:szCs w:val="24"/>
        </w:rPr>
        <w:t xml:space="preserve"> The key project milestones are listed in Table </w:t>
      </w:r>
      <w:r w:rsidR="00AE653B">
        <w:rPr>
          <w:rFonts w:ascii="Times New Roman" w:hAnsi="Times New Roman"/>
          <w:sz w:val="24"/>
          <w:szCs w:val="24"/>
        </w:rPr>
        <w:t xml:space="preserve">4 </w:t>
      </w:r>
      <w:r w:rsidR="005A69E7">
        <w:rPr>
          <w:rFonts w:ascii="Times New Roman" w:hAnsi="Times New Roman"/>
          <w:sz w:val="24"/>
          <w:szCs w:val="24"/>
        </w:rPr>
        <w:t xml:space="preserve">below. </w:t>
      </w:r>
      <w:r w:rsidR="00954FAE">
        <w:rPr>
          <w:rFonts w:ascii="Times New Roman" w:hAnsi="Times New Roman"/>
          <w:sz w:val="24"/>
          <w:szCs w:val="24"/>
        </w:rPr>
        <w:t>Data collection will begin after OMB approval ha</w:t>
      </w:r>
      <w:r w:rsidR="00E03409">
        <w:rPr>
          <w:rFonts w:ascii="Times New Roman" w:hAnsi="Times New Roman"/>
          <w:sz w:val="24"/>
          <w:szCs w:val="24"/>
        </w:rPr>
        <w:t>s</w:t>
      </w:r>
      <w:r w:rsidR="00954FAE">
        <w:rPr>
          <w:rFonts w:ascii="Times New Roman" w:hAnsi="Times New Roman"/>
          <w:sz w:val="24"/>
          <w:szCs w:val="24"/>
        </w:rPr>
        <w:t xml:space="preserve"> been obtained. The estimated timeframe is below. </w:t>
      </w:r>
    </w:p>
    <w:p w14:paraId="57F90FBC" w14:textId="77777777" w:rsidR="00CE4712" w:rsidRPr="00083036" w:rsidRDefault="00CE4712" w:rsidP="00CE4712">
      <w:pPr>
        <w:pStyle w:val="BodyText1"/>
        <w:spacing w:after="0" w:line="240" w:lineRule="auto"/>
        <w:ind w:left="720" w:firstLine="0"/>
        <w:rPr>
          <w:highlight w:val="yellow"/>
        </w:rPr>
      </w:pPr>
    </w:p>
    <w:p w14:paraId="6059021C" w14:textId="77777777" w:rsidR="005D75B7" w:rsidRDefault="005D75B7" w:rsidP="0097535D">
      <w:pPr>
        <w:pStyle w:val="FigureTitle"/>
        <w:spacing w:before="0" w:after="0"/>
      </w:pPr>
      <w:bookmarkStart w:id="22" w:name="_Ref216592722"/>
      <w:bookmarkStart w:id="23" w:name="_Toc66689102"/>
      <w:bookmarkStart w:id="24" w:name="_Toc140476560"/>
      <w:bookmarkStart w:id="25" w:name="_Toc216595340"/>
      <w:bookmarkStart w:id="26" w:name="_Toc361824172"/>
    </w:p>
    <w:p w14:paraId="56A7819E" w14:textId="77777777" w:rsidR="005D75B7" w:rsidRDefault="005D75B7" w:rsidP="0097535D">
      <w:pPr>
        <w:pStyle w:val="FigureTitle"/>
        <w:spacing w:before="0" w:after="0"/>
      </w:pPr>
    </w:p>
    <w:p w14:paraId="08DD717F" w14:textId="51B2E27C" w:rsidR="00CE4712" w:rsidRPr="00F332CB" w:rsidRDefault="00326755" w:rsidP="0097535D">
      <w:pPr>
        <w:pStyle w:val="FigureTitle"/>
        <w:spacing w:before="0" w:after="0"/>
      </w:pPr>
      <w:r w:rsidRPr="005D0A0B">
        <w:t>Table</w:t>
      </w:r>
      <w:r w:rsidR="00CE4712" w:rsidRPr="005D0A0B">
        <w:t xml:space="preserve"> </w:t>
      </w:r>
      <w:bookmarkEnd w:id="22"/>
      <w:r w:rsidR="003E6DC9">
        <w:t>4</w:t>
      </w:r>
      <w:r w:rsidR="00CE4712" w:rsidRPr="005D0A0B">
        <w:t>.</w:t>
      </w:r>
      <w:bookmarkEnd w:id="23"/>
      <w:bookmarkEnd w:id="24"/>
      <w:bookmarkEnd w:id="25"/>
      <w:r w:rsidR="00CE4712" w:rsidRPr="005D0A0B">
        <w:t xml:space="preserve"> Project Schedule</w:t>
      </w:r>
      <w:bookmarkEnd w:id="26"/>
    </w:p>
    <w:p w14:paraId="3257D294" w14:textId="77777777" w:rsidR="00CE4712" w:rsidRPr="00F332CB" w:rsidRDefault="00CE4712" w:rsidP="00CE4712">
      <w:pPr>
        <w:ind w:left="720"/>
      </w:pPr>
    </w:p>
    <w:tbl>
      <w:tblPr>
        <w:tblW w:w="9597" w:type="dxa"/>
        <w:tblBorders>
          <w:top w:val="single" w:sz="12" w:space="0" w:color="auto"/>
        </w:tblBorders>
        <w:tblLayout w:type="fixed"/>
        <w:tblCellMar>
          <w:top w:w="29" w:type="dxa"/>
          <w:left w:w="115" w:type="dxa"/>
          <w:right w:w="115" w:type="dxa"/>
        </w:tblCellMar>
        <w:tblLook w:val="01E0" w:firstRow="1" w:lastRow="1" w:firstColumn="1" w:lastColumn="1" w:noHBand="0" w:noVBand="0"/>
      </w:tblPr>
      <w:tblGrid>
        <w:gridCol w:w="4075"/>
        <w:gridCol w:w="5522"/>
      </w:tblGrid>
      <w:tr w:rsidR="00CE4712" w:rsidRPr="00F332CB" w14:paraId="52AB79C9" w14:textId="77777777" w:rsidTr="7C2B7A89">
        <w:trPr>
          <w:cantSplit/>
        </w:trPr>
        <w:tc>
          <w:tcPr>
            <w:tcW w:w="4075" w:type="dxa"/>
            <w:tcBorders>
              <w:top w:val="single" w:sz="12" w:space="0" w:color="auto"/>
              <w:bottom w:val="single" w:sz="6" w:space="0" w:color="auto"/>
            </w:tcBorders>
            <w:vAlign w:val="bottom"/>
          </w:tcPr>
          <w:p w14:paraId="6E364F81" w14:textId="77777777" w:rsidR="00CE4712" w:rsidRPr="0097535D" w:rsidRDefault="00CE4712" w:rsidP="0097535D">
            <w:pPr>
              <w:spacing w:before="100" w:beforeAutospacing="1" w:after="120"/>
              <w:rPr>
                <w:rFonts w:ascii="Times New Roman" w:hAnsi="Times New Roman"/>
                <w:b/>
                <w:sz w:val="22"/>
                <w:szCs w:val="22"/>
              </w:rPr>
            </w:pPr>
            <w:r w:rsidRPr="0097535D">
              <w:rPr>
                <w:rFonts w:ascii="Times New Roman" w:hAnsi="Times New Roman"/>
                <w:b/>
                <w:sz w:val="22"/>
                <w:szCs w:val="22"/>
              </w:rPr>
              <w:t>Project Activity</w:t>
            </w:r>
          </w:p>
        </w:tc>
        <w:tc>
          <w:tcPr>
            <w:tcW w:w="5522" w:type="dxa"/>
            <w:tcBorders>
              <w:top w:val="single" w:sz="12" w:space="0" w:color="auto"/>
              <w:bottom w:val="single" w:sz="6" w:space="0" w:color="auto"/>
            </w:tcBorders>
            <w:vAlign w:val="bottom"/>
          </w:tcPr>
          <w:p w14:paraId="3494FC9A" w14:textId="0C6767A2" w:rsidR="00CE4712" w:rsidRPr="0097535D" w:rsidRDefault="00CE4712" w:rsidP="0097535D">
            <w:pPr>
              <w:spacing w:before="100" w:beforeAutospacing="1" w:after="120"/>
              <w:rPr>
                <w:rFonts w:ascii="Times New Roman" w:hAnsi="Times New Roman"/>
                <w:b/>
                <w:sz w:val="22"/>
                <w:szCs w:val="22"/>
              </w:rPr>
            </w:pPr>
            <w:r w:rsidRPr="4AE7160D">
              <w:rPr>
                <w:rFonts w:ascii="Times New Roman" w:hAnsi="Times New Roman"/>
                <w:b/>
                <w:bCs/>
                <w:sz w:val="22"/>
                <w:szCs w:val="22"/>
              </w:rPr>
              <w:t>Approximate Date</w:t>
            </w:r>
            <w:r w:rsidR="000A2F11">
              <w:rPr>
                <w:rFonts w:ascii="Times New Roman" w:hAnsi="Times New Roman"/>
                <w:b/>
                <w:bCs/>
                <w:sz w:val="22"/>
                <w:szCs w:val="22"/>
              </w:rPr>
              <w:t>s</w:t>
            </w:r>
          </w:p>
        </w:tc>
      </w:tr>
      <w:tr w:rsidR="00CE4712" w:rsidRPr="00F332CB" w14:paraId="3756A487" w14:textId="77777777" w:rsidTr="7C2B7A89">
        <w:tblPrEx>
          <w:tblCellMar>
            <w:top w:w="0" w:type="dxa"/>
          </w:tblCellMar>
        </w:tblPrEx>
        <w:trPr>
          <w:cantSplit/>
        </w:trPr>
        <w:tc>
          <w:tcPr>
            <w:tcW w:w="4075" w:type="dxa"/>
            <w:tcBorders>
              <w:top w:val="single" w:sz="6" w:space="0" w:color="auto"/>
              <w:bottom w:val="single" w:sz="4" w:space="0" w:color="D9D9D9" w:themeColor="background1" w:themeShade="D9"/>
            </w:tcBorders>
            <w:vAlign w:val="center"/>
          </w:tcPr>
          <w:p w14:paraId="176BE5B2" w14:textId="64BB17CF" w:rsidR="00CE4712" w:rsidRPr="0097535D" w:rsidRDefault="00CE4712" w:rsidP="000978D7">
            <w:pPr>
              <w:spacing w:before="60" w:after="60"/>
              <w:rPr>
                <w:rFonts w:ascii="Times New Roman" w:hAnsi="Times New Roman"/>
                <w:bCs/>
                <w:sz w:val="22"/>
                <w:szCs w:val="22"/>
              </w:rPr>
            </w:pPr>
            <w:r w:rsidRPr="0097535D">
              <w:rPr>
                <w:rFonts w:ascii="Times New Roman" w:hAnsi="Times New Roman"/>
                <w:bCs/>
                <w:sz w:val="22"/>
                <w:szCs w:val="22"/>
              </w:rPr>
              <w:t>Survey</w:t>
            </w:r>
            <w:r w:rsidR="00871806" w:rsidRPr="0097535D">
              <w:rPr>
                <w:rFonts w:ascii="Times New Roman" w:hAnsi="Times New Roman"/>
                <w:bCs/>
                <w:sz w:val="22"/>
                <w:szCs w:val="22"/>
              </w:rPr>
              <w:t xml:space="preserve"> Data Collection</w:t>
            </w:r>
          </w:p>
        </w:tc>
        <w:tc>
          <w:tcPr>
            <w:tcW w:w="5522" w:type="dxa"/>
            <w:tcBorders>
              <w:top w:val="single" w:sz="6" w:space="0" w:color="auto"/>
              <w:bottom w:val="single" w:sz="4" w:space="0" w:color="D9D9D9" w:themeColor="background1" w:themeShade="D9"/>
            </w:tcBorders>
            <w:vAlign w:val="center"/>
          </w:tcPr>
          <w:p w14:paraId="215790B1" w14:textId="1F2A863F" w:rsidR="00CE4712" w:rsidRPr="0097535D" w:rsidRDefault="00864DC2" w:rsidP="000978D7">
            <w:pPr>
              <w:spacing w:before="60" w:after="60"/>
              <w:rPr>
                <w:rFonts w:ascii="Times New Roman" w:hAnsi="Times New Roman"/>
                <w:bCs/>
                <w:sz w:val="22"/>
                <w:szCs w:val="22"/>
              </w:rPr>
            </w:pPr>
            <w:r>
              <w:rPr>
                <w:rFonts w:ascii="Times New Roman" w:hAnsi="Times New Roman"/>
                <w:bCs/>
                <w:sz w:val="22"/>
                <w:szCs w:val="22"/>
              </w:rPr>
              <w:t>July</w:t>
            </w:r>
            <w:r w:rsidR="00954FAE" w:rsidRPr="0097535D">
              <w:rPr>
                <w:rFonts w:ascii="Times New Roman" w:hAnsi="Times New Roman"/>
                <w:bCs/>
                <w:sz w:val="22"/>
                <w:szCs w:val="22"/>
              </w:rPr>
              <w:t xml:space="preserve"> </w:t>
            </w:r>
            <w:r w:rsidR="00CE4712" w:rsidRPr="0097535D">
              <w:rPr>
                <w:rFonts w:ascii="Times New Roman" w:hAnsi="Times New Roman"/>
                <w:bCs/>
                <w:sz w:val="22"/>
                <w:szCs w:val="22"/>
              </w:rPr>
              <w:t>20</w:t>
            </w:r>
            <w:r w:rsidR="00F92CEA" w:rsidRPr="0097535D">
              <w:rPr>
                <w:rFonts w:ascii="Times New Roman" w:hAnsi="Times New Roman"/>
                <w:bCs/>
                <w:sz w:val="22"/>
                <w:szCs w:val="22"/>
              </w:rPr>
              <w:t>22</w:t>
            </w:r>
            <w:r w:rsidR="00CE4712" w:rsidRPr="0097535D">
              <w:rPr>
                <w:rFonts w:ascii="Times New Roman" w:hAnsi="Times New Roman"/>
                <w:bCs/>
                <w:sz w:val="22"/>
                <w:szCs w:val="22"/>
              </w:rPr>
              <w:t xml:space="preserve"> to </w:t>
            </w:r>
            <w:r>
              <w:rPr>
                <w:rFonts w:ascii="Times New Roman" w:hAnsi="Times New Roman"/>
                <w:bCs/>
                <w:sz w:val="22"/>
                <w:szCs w:val="22"/>
              </w:rPr>
              <w:t xml:space="preserve">August </w:t>
            </w:r>
            <w:r w:rsidR="00CE4712" w:rsidRPr="0097535D">
              <w:rPr>
                <w:rFonts w:ascii="Times New Roman" w:hAnsi="Times New Roman"/>
                <w:bCs/>
                <w:sz w:val="22"/>
                <w:szCs w:val="22"/>
              </w:rPr>
              <w:t>20</w:t>
            </w:r>
            <w:r w:rsidR="00F92CEA" w:rsidRPr="0097535D">
              <w:rPr>
                <w:rFonts w:ascii="Times New Roman" w:hAnsi="Times New Roman"/>
                <w:bCs/>
                <w:sz w:val="22"/>
                <w:szCs w:val="22"/>
              </w:rPr>
              <w:t>22</w:t>
            </w:r>
            <w:r w:rsidR="00CE4712" w:rsidRPr="0097535D">
              <w:rPr>
                <w:rFonts w:ascii="Times New Roman" w:hAnsi="Times New Roman"/>
                <w:bCs/>
                <w:sz w:val="22"/>
                <w:szCs w:val="22"/>
              </w:rPr>
              <w:t xml:space="preserve"> </w:t>
            </w:r>
          </w:p>
        </w:tc>
      </w:tr>
      <w:tr w:rsidR="00CE4712" w:rsidRPr="00F332CB" w14:paraId="02F23CE1" w14:textId="77777777" w:rsidTr="7C2B7A89">
        <w:tblPrEx>
          <w:tblCellMar>
            <w:top w:w="0" w:type="dxa"/>
          </w:tblCellMar>
        </w:tblPrEx>
        <w:trPr>
          <w:cantSplit/>
        </w:trPr>
        <w:tc>
          <w:tcPr>
            <w:tcW w:w="4075" w:type="dxa"/>
            <w:tcBorders>
              <w:top w:val="single" w:sz="4" w:space="0" w:color="D9D9D9" w:themeColor="background1" w:themeShade="D9"/>
              <w:bottom w:val="single" w:sz="4" w:space="0" w:color="D9D9D9" w:themeColor="background1" w:themeShade="D9"/>
            </w:tcBorders>
            <w:vAlign w:val="center"/>
          </w:tcPr>
          <w:p w14:paraId="11F29ACC" w14:textId="77777777" w:rsidR="00CE4712" w:rsidRPr="0097535D" w:rsidRDefault="00CE4712" w:rsidP="000978D7">
            <w:pPr>
              <w:spacing w:before="60" w:after="60"/>
              <w:rPr>
                <w:rFonts w:ascii="Times New Roman" w:hAnsi="Times New Roman"/>
                <w:bCs/>
                <w:sz w:val="22"/>
                <w:szCs w:val="22"/>
              </w:rPr>
            </w:pPr>
            <w:r w:rsidRPr="0097535D">
              <w:rPr>
                <w:rFonts w:ascii="Times New Roman" w:hAnsi="Times New Roman"/>
                <w:bCs/>
                <w:sz w:val="22"/>
                <w:szCs w:val="22"/>
              </w:rPr>
              <w:t>Data Analysis</w:t>
            </w:r>
          </w:p>
        </w:tc>
        <w:tc>
          <w:tcPr>
            <w:tcW w:w="5522" w:type="dxa"/>
            <w:tcBorders>
              <w:top w:val="single" w:sz="4" w:space="0" w:color="D9D9D9" w:themeColor="background1" w:themeShade="D9"/>
              <w:bottom w:val="single" w:sz="4" w:space="0" w:color="D9D9D9" w:themeColor="background1" w:themeShade="D9"/>
            </w:tcBorders>
            <w:vAlign w:val="center"/>
          </w:tcPr>
          <w:p w14:paraId="23295017" w14:textId="0028D837" w:rsidR="00CE4712" w:rsidRPr="0097535D" w:rsidRDefault="00864DC2" w:rsidP="000978D7">
            <w:pPr>
              <w:spacing w:before="60" w:after="60"/>
              <w:rPr>
                <w:rFonts w:ascii="Times New Roman" w:hAnsi="Times New Roman"/>
                <w:bCs/>
                <w:sz w:val="22"/>
                <w:szCs w:val="22"/>
              </w:rPr>
            </w:pPr>
            <w:r>
              <w:rPr>
                <w:rFonts w:ascii="Times New Roman" w:hAnsi="Times New Roman"/>
                <w:bCs/>
                <w:sz w:val="22"/>
                <w:szCs w:val="22"/>
              </w:rPr>
              <w:t>Augu</w:t>
            </w:r>
            <w:r w:rsidR="00361DBD">
              <w:rPr>
                <w:rFonts w:ascii="Times New Roman" w:hAnsi="Times New Roman"/>
                <w:bCs/>
                <w:sz w:val="22"/>
                <w:szCs w:val="22"/>
              </w:rPr>
              <w:t>st</w:t>
            </w:r>
            <w:r w:rsidR="00954FAE">
              <w:rPr>
                <w:rFonts w:ascii="Times New Roman" w:hAnsi="Times New Roman"/>
                <w:bCs/>
                <w:sz w:val="22"/>
                <w:szCs w:val="22"/>
              </w:rPr>
              <w:t xml:space="preserve"> </w:t>
            </w:r>
            <w:r w:rsidR="00F92CEA" w:rsidRPr="0097535D">
              <w:rPr>
                <w:rFonts w:ascii="Times New Roman" w:hAnsi="Times New Roman"/>
                <w:bCs/>
                <w:sz w:val="22"/>
                <w:szCs w:val="22"/>
              </w:rPr>
              <w:t xml:space="preserve">2022 to </w:t>
            </w:r>
            <w:r w:rsidR="00361DBD">
              <w:rPr>
                <w:rFonts w:ascii="Times New Roman" w:hAnsi="Times New Roman"/>
                <w:bCs/>
                <w:sz w:val="22"/>
                <w:szCs w:val="22"/>
              </w:rPr>
              <w:t>October</w:t>
            </w:r>
            <w:r w:rsidR="00954FAE">
              <w:rPr>
                <w:rFonts w:ascii="Times New Roman" w:hAnsi="Times New Roman"/>
                <w:bCs/>
                <w:sz w:val="22"/>
                <w:szCs w:val="22"/>
              </w:rPr>
              <w:t xml:space="preserve"> </w:t>
            </w:r>
            <w:r w:rsidR="00F92CEA" w:rsidRPr="0097535D">
              <w:rPr>
                <w:rFonts w:ascii="Times New Roman" w:hAnsi="Times New Roman"/>
                <w:bCs/>
                <w:sz w:val="22"/>
                <w:szCs w:val="22"/>
              </w:rPr>
              <w:t>2022</w:t>
            </w:r>
            <w:r w:rsidR="00CE4712" w:rsidRPr="0097535D">
              <w:rPr>
                <w:rFonts w:ascii="Times New Roman" w:hAnsi="Times New Roman"/>
                <w:bCs/>
                <w:sz w:val="22"/>
                <w:szCs w:val="22"/>
              </w:rPr>
              <w:t xml:space="preserve"> </w:t>
            </w:r>
          </w:p>
        </w:tc>
      </w:tr>
      <w:tr w:rsidR="00CE4712" w:rsidRPr="00F332CB" w14:paraId="2F8B3AD3" w14:textId="77777777" w:rsidTr="7C2B7A89">
        <w:trPr>
          <w:cantSplit/>
        </w:trPr>
        <w:tc>
          <w:tcPr>
            <w:tcW w:w="4075" w:type="dxa"/>
            <w:tcBorders>
              <w:top w:val="single" w:sz="4" w:space="0" w:color="D9D9D9" w:themeColor="background1" w:themeShade="D9"/>
              <w:bottom w:val="single" w:sz="4" w:space="0" w:color="D9D9D9" w:themeColor="background1" w:themeShade="D9"/>
            </w:tcBorders>
            <w:vAlign w:val="center"/>
          </w:tcPr>
          <w:p w14:paraId="221631E5" w14:textId="5C8EAFDA" w:rsidR="00CE4712" w:rsidRPr="0097535D" w:rsidRDefault="000A2F11" w:rsidP="000978D7">
            <w:pPr>
              <w:spacing w:before="60" w:after="60"/>
              <w:rPr>
                <w:rFonts w:ascii="Times New Roman" w:hAnsi="Times New Roman"/>
                <w:bCs/>
                <w:sz w:val="22"/>
                <w:szCs w:val="22"/>
              </w:rPr>
            </w:pPr>
            <w:r>
              <w:rPr>
                <w:rFonts w:ascii="Times New Roman" w:hAnsi="Times New Roman"/>
                <w:bCs/>
                <w:sz w:val="22"/>
                <w:szCs w:val="22"/>
              </w:rPr>
              <w:t xml:space="preserve">Draft </w:t>
            </w:r>
            <w:r w:rsidR="00CE4712" w:rsidRPr="0097535D">
              <w:rPr>
                <w:rFonts w:ascii="Times New Roman" w:hAnsi="Times New Roman"/>
                <w:bCs/>
                <w:sz w:val="22"/>
                <w:szCs w:val="22"/>
              </w:rPr>
              <w:t xml:space="preserve">Report Writing </w:t>
            </w:r>
          </w:p>
        </w:tc>
        <w:tc>
          <w:tcPr>
            <w:tcW w:w="5522" w:type="dxa"/>
            <w:tcBorders>
              <w:top w:val="single" w:sz="4" w:space="0" w:color="D9D9D9" w:themeColor="background1" w:themeShade="D9"/>
              <w:bottom w:val="single" w:sz="4" w:space="0" w:color="D9D9D9" w:themeColor="background1" w:themeShade="D9"/>
            </w:tcBorders>
            <w:vAlign w:val="center"/>
          </w:tcPr>
          <w:p w14:paraId="4884F3D6" w14:textId="56E573AD" w:rsidR="00CE4712" w:rsidRPr="0097535D" w:rsidRDefault="00361DBD" w:rsidP="000978D7">
            <w:pPr>
              <w:spacing w:before="60" w:after="60"/>
              <w:rPr>
                <w:rFonts w:ascii="Times New Roman" w:hAnsi="Times New Roman"/>
                <w:bCs/>
                <w:sz w:val="22"/>
                <w:szCs w:val="22"/>
              </w:rPr>
            </w:pPr>
            <w:r>
              <w:rPr>
                <w:rFonts w:ascii="Times New Roman" w:hAnsi="Times New Roman"/>
                <w:bCs/>
                <w:sz w:val="22"/>
                <w:szCs w:val="22"/>
              </w:rPr>
              <w:t>October</w:t>
            </w:r>
            <w:r w:rsidR="00954FAE">
              <w:rPr>
                <w:rFonts w:ascii="Times New Roman" w:hAnsi="Times New Roman"/>
                <w:bCs/>
                <w:sz w:val="22"/>
                <w:szCs w:val="22"/>
              </w:rPr>
              <w:t xml:space="preserve"> </w:t>
            </w:r>
            <w:r w:rsidR="00CE4712" w:rsidRPr="0097535D">
              <w:rPr>
                <w:rFonts w:ascii="Times New Roman" w:hAnsi="Times New Roman"/>
                <w:bCs/>
                <w:sz w:val="22"/>
                <w:szCs w:val="22"/>
              </w:rPr>
              <w:t>20</w:t>
            </w:r>
            <w:r w:rsidR="00F92CEA" w:rsidRPr="0097535D">
              <w:rPr>
                <w:rFonts w:ascii="Times New Roman" w:hAnsi="Times New Roman"/>
                <w:bCs/>
                <w:sz w:val="22"/>
                <w:szCs w:val="22"/>
              </w:rPr>
              <w:t>22</w:t>
            </w:r>
            <w:r w:rsidR="00CE4712" w:rsidRPr="0097535D">
              <w:rPr>
                <w:rFonts w:ascii="Times New Roman" w:hAnsi="Times New Roman"/>
                <w:bCs/>
                <w:sz w:val="22"/>
                <w:szCs w:val="22"/>
              </w:rPr>
              <w:t xml:space="preserve"> to </w:t>
            </w:r>
            <w:r>
              <w:rPr>
                <w:rFonts w:ascii="Times New Roman" w:hAnsi="Times New Roman"/>
                <w:bCs/>
                <w:sz w:val="22"/>
                <w:szCs w:val="22"/>
              </w:rPr>
              <w:t>November</w:t>
            </w:r>
            <w:r w:rsidR="000A2F11" w:rsidRPr="0097535D">
              <w:rPr>
                <w:rFonts w:ascii="Times New Roman" w:hAnsi="Times New Roman"/>
                <w:bCs/>
                <w:sz w:val="22"/>
                <w:szCs w:val="22"/>
              </w:rPr>
              <w:t xml:space="preserve"> </w:t>
            </w:r>
            <w:r w:rsidR="00F92CEA" w:rsidRPr="0097535D">
              <w:rPr>
                <w:rFonts w:ascii="Times New Roman" w:hAnsi="Times New Roman"/>
                <w:bCs/>
                <w:sz w:val="22"/>
                <w:szCs w:val="22"/>
              </w:rPr>
              <w:t xml:space="preserve">2022 </w:t>
            </w:r>
          </w:p>
        </w:tc>
      </w:tr>
      <w:tr w:rsidR="00871806" w:rsidRPr="00F332CB" w14:paraId="052B96AA" w14:textId="77777777" w:rsidTr="7C2B7A89">
        <w:tblPrEx>
          <w:tblCellMar>
            <w:top w:w="0" w:type="dxa"/>
          </w:tblCellMar>
        </w:tblPrEx>
        <w:trPr>
          <w:cantSplit/>
        </w:trPr>
        <w:tc>
          <w:tcPr>
            <w:tcW w:w="4075" w:type="dxa"/>
            <w:tcBorders>
              <w:top w:val="single" w:sz="4" w:space="0" w:color="D9D9D9" w:themeColor="background1" w:themeShade="D9"/>
              <w:bottom w:val="single" w:sz="12" w:space="0" w:color="auto"/>
            </w:tcBorders>
            <w:vAlign w:val="center"/>
          </w:tcPr>
          <w:p w14:paraId="32AE53A8" w14:textId="025FBD22" w:rsidR="00871806" w:rsidRPr="0097535D" w:rsidRDefault="000A2F11" w:rsidP="7C2B7A89">
            <w:pPr>
              <w:spacing w:before="60" w:after="60"/>
              <w:rPr>
                <w:rFonts w:ascii="Times New Roman" w:hAnsi="Times New Roman"/>
                <w:sz w:val="22"/>
                <w:szCs w:val="22"/>
              </w:rPr>
            </w:pPr>
            <w:r>
              <w:rPr>
                <w:rFonts w:ascii="Times New Roman" w:hAnsi="Times New Roman"/>
                <w:bCs/>
                <w:sz w:val="22"/>
                <w:szCs w:val="22"/>
              </w:rPr>
              <w:t>Final Report</w:t>
            </w:r>
            <w:r w:rsidR="00871806" w:rsidRPr="7C2B7A89">
              <w:rPr>
                <w:rFonts w:ascii="Times New Roman" w:hAnsi="Times New Roman"/>
                <w:sz w:val="22"/>
                <w:szCs w:val="22"/>
              </w:rPr>
              <w:t xml:space="preserve"> Writing</w:t>
            </w:r>
          </w:p>
        </w:tc>
        <w:tc>
          <w:tcPr>
            <w:tcW w:w="5522" w:type="dxa"/>
            <w:tcBorders>
              <w:top w:val="single" w:sz="4" w:space="0" w:color="D9D9D9" w:themeColor="background1" w:themeShade="D9"/>
              <w:bottom w:val="single" w:sz="12" w:space="0" w:color="auto"/>
            </w:tcBorders>
            <w:vAlign w:val="center"/>
          </w:tcPr>
          <w:p w14:paraId="64CC1AC3" w14:textId="4371F399" w:rsidR="00871806" w:rsidRPr="0097535D" w:rsidDel="00F92CEA" w:rsidRDefault="00361DBD" w:rsidP="7C2B7A89">
            <w:pPr>
              <w:spacing w:before="60" w:after="60"/>
              <w:rPr>
                <w:rFonts w:ascii="Times New Roman" w:hAnsi="Times New Roman"/>
                <w:sz w:val="22"/>
                <w:szCs w:val="22"/>
              </w:rPr>
            </w:pPr>
            <w:r>
              <w:rPr>
                <w:rFonts w:ascii="Times New Roman" w:hAnsi="Times New Roman"/>
                <w:bCs/>
                <w:sz w:val="22"/>
                <w:szCs w:val="22"/>
              </w:rPr>
              <w:t>November</w:t>
            </w:r>
            <w:r w:rsidR="000A2F11" w:rsidRPr="0097535D">
              <w:rPr>
                <w:rFonts w:ascii="Times New Roman" w:hAnsi="Times New Roman"/>
                <w:bCs/>
                <w:sz w:val="22"/>
                <w:szCs w:val="22"/>
              </w:rPr>
              <w:t xml:space="preserve"> 2022 </w:t>
            </w:r>
            <w:r w:rsidR="000A2F11">
              <w:rPr>
                <w:rFonts w:ascii="Times New Roman" w:hAnsi="Times New Roman"/>
                <w:bCs/>
                <w:sz w:val="22"/>
                <w:szCs w:val="22"/>
              </w:rPr>
              <w:t xml:space="preserve">to </w:t>
            </w:r>
            <w:r>
              <w:rPr>
                <w:rFonts w:ascii="Times New Roman" w:hAnsi="Times New Roman"/>
                <w:bCs/>
                <w:sz w:val="22"/>
                <w:szCs w:val="22"/>
              </w:rPr>
              <w:t>January</w:t>
            </w:r>
            <w:r w:rsidR="00954FAE">
              <w:rPr>
                <w:rFonts w:ascii="Times New Roman" w:hAnsi="Times New Roman"/>
                <w:bCs/>
                <w:sz w:val="22"/>
                <w:szCs w:val="22"/>
              </w:rPr>
              <w:t xml:space="preserve"> </w:t>
            </w:r>
            <w:r w:rsidR="00871806" w:rsidRPr="7C2B7A89">
              <w:rPr>
                <w:rFonts w:ascii="Times New Roman" w:hAnsi="Times New Roman"/>
                <w:sz w:val="22"/>
                <w:szCs w:val="22"/>
              </w:rPr>
              <w:t>202</w:t>
            </w:r>
            <w:r>
              <w:rPr>
                <w:rFonts w:ascii="Times New Roman" w:hAnsi="Times New Roman"/>
                <w:sz w:val="22"/>
                <w:szCs w:val="22"/>
              </w:rPr>
              <w:t>3</w:t>
            </w:r>
          </w:p>
        </w:tc>
      </w:tr>
    </w:tbl>
    <w:p w14:paraId="0B5C8194" w14:textId="77777777" w:rsidR="00CE4712" w:rsidRPr="00F332CB" w:rsidRDefault="00CE4712" w:rsidP="00CE4712">
      <w:pPr>
        <w:ind w:left="720"/>
      </w:pPr>
    </w:p>
    <w:p w14:paraId="72AFC970" w14:textId="77777777" w:rsidR="00C82263" w:rsidRPr="00C82263" w:rsidRDefault="00C82263" w:rsidP="00CE47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14:paraId="1B0E60AA" w14:textId="3F6C85D3" w:rsidR="00C82263" w:rsidRDefault="000978D7" w:rsidP="000978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outlineLvl w:val="2"/>
        <w:rPr>
          <w:rFonts w:ascii="Times New Roman" w:hAnsi="Times New Roman"/>
          <w:b/>
          <w:bCs/>
          <w:sz w:val="24"/>
          <w:szCs w:val="24"/>
        </w:rPr>
      </w:pPr>
      <w:r w:rsidRPr="000978D7">
        <w:rPr>
          <w:rFonts w:ascii="Times New Roman" w:hAnsi="Times New Roman"/>
          <w:b/>
          <w:bCs/>
          <w:sz w:val="24"/>
          <w:szCs w:val="24"/>
        </w:rPr>
        <w:t xml:space="preserve">17. </w:t>
      </w:r>
      <w:r>
        <w:rPr>
          <w:rFonts w:ascii="Times New Roman" w:hAnsi="Times New Roman"/>
          <w:b/>
          <w:bCs/>
          <w:sz w:val="24"/>
          <w:szCs w:val="24"/>
        </w:rPr>
        <w:t xml:space="preserve"> </w:t>
      </w:r>
      <w:r w:rsidR="00C82263" w:rsidRPr="000978D7">
        <w:rPr>
          <w:rFonts w:ascii="Times New Roman" w:hAnsi="Times New Roman"/>
          <w:b/>
          <w:bCs/>
          <w:sz w:val="24"/>
          <w:szCs w:val="24"/>
          <w:u w:val="single"/>
        </w:rPr>
        <w:t>Reason(s) Display of OMB Expiration Date is Inappropriate</w:t>
      </w:r>
    </w:p>
    <w:p w14:paraId="59EEF652" w14:textId="77777777" w:rsidR="000978D7" w:rsidRPr="000978D7" w:rsidRDefault="000978D7" w:rsidP="000978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outlineLvl w:val="2"/>
        <w:rPr>
          <w:rFonts w:ascii="Times New Roman" w:hAnsi="Times New Roman"/>
          <w:b/>
          <w:bCs/>
          <w:sz w:val="24"/>
          <w:szCs w:val="24"/>
        </w:rPr>
      </w:pPr>
    </w:p>
    <w:p w14:paraId="33DA530C" w14:textId="674B6848" w:rsidR="00C82263" w:rsidRDefault="4AE7160D" w:rsidP="4AE7160D">
      <w:pPr>
        <w:ind w:firstLine="720"/>
        <w:rPr>
          <w:rFonts w:ascii="Times New Roman" w:hAnsi="Times New Roman"/>
          <w:sz w:val="24"/>
          <w:szCs w:val="24"/>
        </w:rPr>
      </w:pPr>
      <w:r w:rsidRPr="4AE7160D">
        <w:rPr>
          <w:rFonts w:ascii="Times New Roman" w:hAnsi="Times New Roman"/>
          <w:sz w:val="24"/>
          <w:szCs w:val="24"/>
        </w:rPr>
        <w:t>FDA is not requesting an exemption for display of the OMB expiration date and is also not seeking OMB approval to exclude the expiration date for this information collection. The OMB approval and expiration date will be displayed on the relevant materials associated with the study.</w:t>
      </w:r>
    </w:p>
    <w:p w14:paraId="3F155D04" w14:textId="77777777" w:rsidR="00C82263" w:rsidRPr="00C82263" w:rsidRDefault="00C82263" w:rsidP="00C82263">
      <w:pPr>
        <w:ind w:left="720"/>
        <w:rPr>
          <w:rFonts w:ascii="Times New Roman" w:hAnsi="Times New Roman"/>
          <w:sz w:val="24"/>
        </w:rPr>
      </w:pPr>
    </w:p>
    <w:p w14:paraId="202FCCED" w14:textId="4156C7EB" w:rsidR="00C82263" w:rsidRPr="000978D7" w:rsidRDefault="000978D7" w:rsidP="000978D7">
      <w:pPr>
        <w:rPr>
          <w:rFonts w:ascii="Times New Roman" w:hAnsi="Times New Roman"/>
          <w:b/>
          <w:bCs/>
          <w:sz w:val="24"/>
          <w:u w:val="single"/>
        </w:rPr>
      </w:pPr>
      <w:r w:rsidRPr="000978D7">
        <w:rPr>
          <w:rFonts w:ascii="Times New Roman" w:hAnsi="Times New Roman"/>
          <w:b/>
          <w:bCs/>
          <w:sz w:val="24"/>
        </w:rPr>
        <w:t xml:space="preserve">18.  </w:t>
      </w:r>
      <w:r w:rsidR="00C82263" w:rsidRPr="000978D7">
        <w:rPr>
          <w:rFonts w:ascii="Times New Roman" w:hAnsi="Times New Roman"/>
          <w:b/>
          <w:bCs/>
          <w:sz w:val="24"/>
          <w:u w:val="single"/>
        </w:rPr>
        <w:t>Exceptions to Certification for Paperwork Reduction Act Submissions</w:t>
      </w:r>
    </w:p>
    <w:p w14:paraId="72A3F854" w14:textId="418EDAA3" w:rsidR="00C82263" w:rsidRDefault="00C82263" w:rsidP="00335EA2">
      <w:pPr>
        <w:spacing w:before="100" w:beforeAutospacing="1" w:after="100" w:afterAutospacing="1"/>
        <w:ind w:firstLine="720"/>
        <w:rPr>
          <w:rFonts w:ascii="Times New Roman" w:hAnsi="Times New Roman"/>
          <w:sz w:val="24"/>
          <w:szCs w:val="24"/>
        </w:rPr>
      </w:pPr>
      <w:r w:rsidRPr="00C82263">
        <w:rPr>
          <w:rFonts w:ascii="Times New Roman" w:hAnsi="Times New Roman"/>
          <w:sz w:val="24"/>
        </w:rPr>
        <w:t>There are no exceptions to the certification.</w:t>
      </w:r>
    </w:p>
    <w:p w14:paraId="72BAEF11" w14:textId="6AFFF853" w:rsidR="00057464" w:rsidRPr="00120603" w:rsidRDefault="00CE4712" w:rsidP="0012060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b/>
          <w:bCs/>
          <w:sz w:val="24"/>
          <w:szCs w:val="24"/>
        </w:rPr>
      </w:pPr>
      <w:r w:rsidRPr="00C82263">
        <w:rPr>
          <w:rFonts w:ascii="Times New Roman" w:hAnsi="Times New Roman"/>
          <w:sz w:val="24"/>
          <w:szCs w:val="24"/>
        </w:rPr>
        <w:br w:type="page"/>
      </w:r>
      <w:r w:rsidRPr="00CE4712">
        <w:rPr>
          <w:rFonts w:ascii="Times New Roman" w:hAnsi="Times New Roman"/>
          <w:b/>
          <w:sz w:val="24"/>
          <w:szCs w:val="24"/>
        </w:rPr>
        <w:lastRenderedPageBreak/>
        <w:t>References</w:t>
      </w:r>
    </w:p>
    <w:p w14:paraId="727B9D2F"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bookmarkStart w:id="27" w:name="_Hlk97900017"/>
      <w:proofErr w:type="spellStart"/>
      <w:r w:rsidRPr="005D75B7">
        <w:rPr>
          <w:rFonts w:ascii="Times New Roman" w:hAnsi="Times New Roman"/>
          <w:sz w:val="24"/>
          <w:szCs w:val="24"/>
        </w:rPr>
        <w:t>Baig</w:t>
      </w:r>
      <w:proofErr w:type="spellEnd"/>
      <w:r w:rsidRPr="005D75B7">
        <w:rPr>
          <w:rFonts w:ascii="Times New Roman" w:hAnsi="Times New Roman"/>
          <w:sz w:val="24"/>
          <w:szCs w:val="24"/>
        </w:rPr>
        <w:t xml:space="preserve">, S. A., </w:t>
      </w:r>
      <w:proofErr w:type="spellStart"/>
      <w:r w:rsidRPr="005D75B7">
        <w:rPr>
          <w:rFonts w:ascii="Times New Roman" w:hAnsi="Times New Roman"/>
          <w:sz w:val="24"/>
          <w:szCs w:val="24"/>
        </w:rPr>
        <w:t>Noar</w:t>
      </w:r>
      <w:proofErr w:type="spellEnd"/>
      <w:r w:rsidRPr="005D75B7">
        <w:rPr>
          <w:rFonts w:ascii="Times New Roman" w:hAnsi="Times New Roman"/>
          <w:sz w:val="24"/>
          <w:szCs w:val="24"/>
        </w:rPr>
        <w:t xml:space="preserve">, S. M., Gottfredson, N. C., Lazard, A. J., </w:t>
      </w:r>
      <w:proofErr w:type="spellStart"/>
      <w:r w:rsidRPr="005D75B7">
        <w:rPr>
          <w:rFonts w:ascii="Times New Roman" w:hAnsi="Times New Roman"/>
          <w:sz w:val="24"/>
          <w:szCs w:val="24"/>
        </w:rPr>
        <w:t>Ribisl</w:t>
      </w:r>
      <w:proofErr w:type="spellEnd"/>
      <w:r w:rsidRPr="005D75B7">
        <w:rPr>
          <w:rFonts w:ascii="Times New Roman" w:hAnsi="Times New Roman"/>
          <w:sz w:val="24"/>
          <w:szCs w:val="24"/>
        </w:rPr>
        <w:t>, K. M., &amp; Brewer, N. T. (2021a). Incremental criterion validity of message perceptions and effects perceptions in the context of anti-smoking messages. Journal of Behavioral Medicine, 44(1), 74-83. doi:10.1007/s10865-020-00163-0</w:t>
      </w:r>
    </w:p>
    <w:p w14:paraId="0B4A0824"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2270E7E"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roofErr w:type="spellStart"/>
      <w:r w:rsidRPr="005D75B7">
        <w:rPr>
          <w:rFonts w:ascii="Times New Roman" w:hAnsi="Times New Roman"/>
          <w:sz w:val="24"/>
          <w:szCs w:val="24"/>
        </w:rPr>
        <w:t>Bandiera</w:t>
      </w:r>
      <w:proofErr w:type="spellEnd"/>
      <w:r w:rsidRPr="005D75B7">
        <w:rPr>
          <w:rFonts w:ascii="Times New Roman" w:hAnsi="Times New Roman"/>
          <w:sz w:val="24"/>
          <w:szCs w:val="24"/>
        </w:rPr>
        <w:t xml:space="preserve"> FC, Arguelles W, Gellman M, et al. Cigarette smoking and depressive symptoms among Hispanic/Latino adults: Results from the Hispanic Community Health Study/Study of Latinos (</w:t>
      </w:r>
      <w:proofErr w:type="spellStart"/>
      <w:r w:rsidRPr="005D75B7">
        <w:rPr>
          <w:rFonts w:ascii="Times New Roman" w:hAnsi="Times New Roman"/>
          <w:sz w:val="24"/>
          <w:szCs w:val="24"/>
        </w:rPr>
        <w:t>hchs</w:t>
      </w:r>
      <w:proofErr w:type="spellEnd"/>
      <w:r w:rsidRPr="005D75B7">
        <w:rPr>
          <w:rFonts w:ascii="Times New Roman" w:hAnsi="Times New Roman"/>
          <w:sz w:val="24"/>
          <w:szCs w:val="24"/>
        </w:rPr>
        <w:t xml:space="preserve">/Sol). Nicotine </w:t>
      </w:r>
      <w:proofErr w:type="spellStart"/>
      <w:r w:rsidRPr="005D75B7">
        <w:rPr>
          <w:rFonts w:ascii="Times New Roman" w:hAnsi="Times New Roman"/>
          <w:sz w:val="24"/>
          <w:szCs w:val="24"/>
        </w:rPr>
        <w:t>Tob</w:t>
      </w:r>
      <w:proofErr w:type="spellEnd"/>
      <w:r w:rsidRPr="005D75B7">
        <w:rPr>
          <w:rFonts w:ascii="Times New Roman" w:hAnsi="Times New Roman"/>
          <w:sz w:val="24"/>
          <w:szCs w:val="24"/>
        </w:rPr>
        <w:t xml:space="preserve"> Res. 2015;17(6):727-734. doi:10.1093/</w:t>
      </w:r>
      <w:proofErr w:type="spellStart"/>
      <w:r w:rsidRPr="005D75B7">
        <w:rPr>
          <w:rFonts w:ascii="Times New Roman" w:hAnsi="Times New Roman"/>
          <w:sz w:val="24"/>
          <w:szCs w:val="24"/>
        </w:rPr>
        <w:t>ntr</w:t>
      </w:r>
      <w:proofErr w:type="spellEnd"/>
      <w:r w:rsidRPr="005D75B7">
        <w:rPr>
          <w:rFonts w:ascii="Times New Roman" w:hAnsi="Times New Roman"/>
          <w:sz w:val="24"/>
          <w:szCs w:val="24"/>
        </w:rPr>
        <w:t>/ntu209</w:t>
      </w:r>
    </w:p>
    <w:p w14:paraId="18D35B75" w14:textId="77777777" w:rsid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F63C135" w14:textId="3064746E"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roofErr w:type="spellStart"/>
      <w:r w:rsidRPr="005D75B7">
        <w:rPr>
          <w:rFonts w:ascii="Times New Roman" w:hAnsi="Times New Roman"/>
          <w:sz w:val="24"/>
          <w:szCs w:val="24"/>
        </w:rPr>
        <w:t>Baig</w:t>
      </w:r>
      <w:proofErr w:type="spellEnd"/>
      <w:r w:rsidRPr="005D75B7">
        <w:rPr>
          <w:rFonts w:ascii="Times New Roman" w:hAnsi="Times New Roman"/>
          <w:sz w:val="24"/>
          <w:szCs w:val="24"/>
        </w:rPr>
        <w:t xml:space="preserve">, S. A., </w:t>
      </w:r>
      <w:proofErr w:type="spellStart"/>
      <w:r w:rsidRPr="005D75B7">
        <w:rPr>
          <w:rFonts w:ascii="Times New Roman" w:hAnsi="Times New Roman"/>
          <w:sz w:val="24"/>
          <w:szCs w:val="24"/>
        </w:rPr>
        <w:t>Noar</w:t>
      </w:r>
      <w:proofErr w:type="spellEnd"/>
      <w:r w:rsidRPr="005D75B7">
        <w:rPr>
          <w:rFonts w:ascii="Times New Roman" w:hAnsi="Times New Roman"/>
          <w:sz w:val="24"/>
          <w:szCs w:val="24"/>
        </w:rPr>
        <w:t xml:space="preserve">, S. M., Gottfredson, N.C., Lazard, A. J., </w:t>
      </w:r>
      <w:proofErr w:type="spellStart"/>
      <w:r w:rsidRPr="005D75B7">
        <w:rPr>
          <w:rFonts w:ascii="Times New Roman" w:hAnsi="Times New Roman"/>
          <w:sz w:val="24"/>
          <w:szCs w:val="24"/>
        </w:rPr>
        <w:t>Ribisl</w:t>
      </w:r>
      <w:proofErr w:type="spellEnd"/>
      <w:r w:rsidRPr="005D75B7">
        <w:rPr>
          <w:rFonts w:ascii="Times New Roman" w:hAnsi="Times New Roman"/>
          <w:sz w:val="24"/>
          <w:szCs w:val="24"/>
        </w:rPr>
        <w:t xml:space="preserve">, K. M., &amp; Brewer, N. T. (2021b). Message perceptions and effects perceptions as proxies for behavioral impact in the context of anti-smoking messages. Preventive Medicine Reports. https://doi.org/10.1016/j.pmedr.2021.101434 </w:t>
      </w:r>
    </w:p>
    <w:p w14:paraId="3883B932" w14:textId="77777777" w:rsid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0F7C207" w14:textId="0CAF34A8"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roofErr w:type="spellStart"/>
      <w:r w:rsidRPr="005D75B7">
        <w:rPr>
          <w:rFonts w:ascii="Times New Roman" w:hAnsi="Times New Roman"/>
          <w:sz w:val="24"/>
          <w:szCs w:val="24"/>
        </w:rPr>
        <w:t>Bigsby</w:t>
      </w:r>
      <w:proofErr w:type="spellEnd"/>
      <w:r w:rsidRPr="005D75B7">
        <w:rPr>
          <w:rFonts w:ascii="Times New Roman" w:hAnsi="Times New Roman"/>
          <w:sz w:val="24"/>
          <w:szCs w:val="24"/>
        </w:rPr>
        <w:t xml:space="preserve">, E., Cappella, J. N., &amp; Seitz, H. H. (2013). Efficiently and effectively evaluation public service announcements: Additional evidence for the utility of perceived effectiveness. Communication Monographs, 80(1), 1-23. </w:t>
      </w:r>
    </w:p>
    <w:p w14:paraId="4BDB7416"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ab/>
      </w:r>
    </w:p>
    <w:p w14:paraId="3D015F43" w14:textId="1CC8F6E8"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CDC. See Centers for Disease Control and Prevention.</w:t>
      </w:r>
    </w:p>
    <w:p w14:paraId="78B05D0F"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ab/>
      </w:r>
    </w:p>
    <w:p w14:paraId="20EF12D8" w14:textId="64B4F1DA"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 xml:space="preserve">Centers for Disease Control and Prevention (2021). 2020 National Youth Tobacco Survey Dataset. Atlanta, GA.  </w:t>
      </w:r>
    </w:p>
    <w:p w14:paraId="0EB2AED4"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ab/>
      </w:r>
    </w:p>
    <w:p w14:paraId="77E9C3FE"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 xml:space="preserve">Kaplan RC, </w:t>
      </w:r>
      <w:proofErr w:type="spellStart"/>
      <w:r w:rsidRPr="005D75B7">
        <w:rPr>
          <w:rFonts w:ascii="Times New Roman" w:hAnsi="Times New Roman"/>
          <w:sz w:val="24"/>
          <w:szCs w:val="24"/>
        </w:rPr>
        <w:t>Bangdiala</w:t>
      </w:r>
      <w:proofErr w:type="spellEnd"/>
      <w:r w:rsidRPr="005D75B7">
        <w:rPr>
          <w:rFonts w:ascii="Times New Roman" w:hAnsi="Times New Roman"/>
          <w:sz w:val="24"/>
          <w:szCs w:val="24"/>
        </w:rPr>
        <w:t xml:space="preserve"> SI, Barnhart JM, et al. Smoking among US Hispanic/Latino adults: The Hispanic Community Health Study/Study of Latinos. Am J </w:t>
      </w:r>
      <w:proofErr w:type="spellStart"/>
      <w:r w:rsidRPr="005D75B7">
        <w:rPr>
          <w:rFonts w:ascii="Times New Roman" w:hAnsi="Times New Roman"/>
          <w:sz w:val="24"/>
          <w:szCs w:val="24"/>
        </w:rPr>
        <w:t>Prev</w:t>
      </w:r>
      <w:proofErr w:type="spellEnd"/>
      <w:r w:rsidRPr="005D75B7">
        <w:rPr>
          <w:rFonts w:ascii="Times New Roman" w:hAnsi="Times New Roman"/>
          <w:sz w:val="24"/>
          <w:szCs w:val="24"/>
        </w:rPr>
        <w:t xml:space="preserve"> Med. 2014;46(5):496-506. </w:t>
      </w:r>
      <w:proofErr w:type="gramStart"/>
      <w:r w:rsidRPr="005D75B7">
        <w:rPr>
          <w:rFonts w:ascii="Times New Roman" w:hAnsi="Times New Roman"/>
          <w:sz w:val="24"/>
          <w:szCs w:val="24"/>
        </w:rPr>
        <w:t>doi:10.1016/j.amepre</w:t>
      </w:r>
      <w:proofErr w:type="gramEnd"/>
      <w:r w:rsidRPr="005D75B7">
        <w:rPr>
          <w:rFonts w:ascii="Times New Roman" w:hAnsi="Times New Roman"/>
          <w:sz w:val="24"/>
          <w:szCs w:val="24"/>
        </w:rPr>
        <w:t>.2014.01.014</w:t>
      </w:r>
    </w:p>
    <w:p w14:paraId="5E10E454"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9144A80"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 xml:space="preserve">Morgan, J. C., Sutton, J. A., Yang, S., &amp; Cappella, J. N. (2020). Impact of graphic warning messages on intentions to use alternate tobacco products. Journal of Health Communication, 25(8), 613-623. </w:t>
      </w:r>
    </w:p>
    <w:p w14:paraId="2A7ADE21"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6A8525B"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 xml:space="preserve">O’Keefe, D. J. (2020). Message pretesting using perceived persuasiveness measures: Reconsidering the correlational evidence. Communication Methods and Measures, 14(1), 25-37. </w:t>
      </w:r>
    </w:p>
    <w:p w14:paraId="426C5A01"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1C5B63F"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roofErr w:type="spellStart"/>
      <w:r w:rsidRPr="005D75B7">
        <w:rPr>
          <w:rFonts w:ascii="Times New Roman" w:hAnsi="Times New Roman"/>
          <w:sz w:val="24"/>
          <w:szCs w:val="24"/>
        </w:rPr>
        <w:t>Parrinello</w:t>
      </w:r>
      <w:proofErr w:type="spellEnd"/>
      <w:r w:rsidRPr="005D75B7">
        <w:rPr>
          <w:rFonts w:ascii="Times New Roman" w:hAnsi="Times New Roman"/>
          <w:sz w:val="24"/>
          <w:szCs w:val="24"/>
        </w:rPr>
        <w:t xml:space="preserve"> CM, </w:t>
      </w:r>
      <w:proofErr w:type="spellStart"/>
      <w:r w:rsidRPr="005D75B7">
        <w:rPr>
          <w:rFonts w:ascii="Times New Roman" w:hAnsi="Times New Roman"/>
          <w:sz w:val="24"/>
          <w:szCs w:val="24"/>
        </w:rPr>
        <w:t>Isasi</w:t>
      </w:r>
      <w:proofErr w:type="spellEnd"/>
      <w:r w:rsidRPr="005D75B7">
        <w:rPr>
          <w:rFonts w:ascii="Times New Roman" w:hAnsi="Times New Roman"/>
          <w:sz w:val="24"/>
          <w:szCs w:val="24"/>
        </w:rPr>
        <w:t xml:space="preserve"> CR, </w:t>
      </w:r>
      <w:proofErr w:type="spellStart"/>
      <w:r w:rsidRPr="005D75B7">
        <w:rPr>
          <w:rFonts w:ascii="Times New Roman" w:hAnsi="Times New Roman"/>
          <w:sz w:val="24"/>
          <w:szCs w:val="24"/>
        </w:rPr>
        <w:t>Xue</w:t>
      </w:r>
      <w:proofErr w:type="spellEnd"/>
      <w:r w:rsidRPr="005D75B7">
        <w:rPr>
          <w:rFonts w:ascii="Times New Roman" w:hAnsi="Times New Roman"/>
          <w:sz w:val="24"/>
          <w:szCs w:val="24"/>
        </w:rPr>
        <w:t xml:space="preserve"> X, et al. Risk of cigarette smoking initiation during Adolescence among US-Born and non-US-born Hispanics/Latinos: The Hispanic Community Health Study/Study of Latinos. Am J Public Health. 2015;105(6):1230-1236. doi:10.2105/AJPH.2014.302155</w:t>
      </w:r>
    </w:p>
    <w:p w14:paraId="28ED7F95"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A4431CC" w14:textId="77777777" w:rsidR="005D75B7" w:rsidRPr="005D75B7"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roofErr w:type="spellStart"/>
      <w:r w:rsidRPr="005D75B7">
        <w:rPr>
          <w:rFonts w:ascii="Times New Roman" w:hAnsi="Times New Roman"/>
          <w:sz w:val="24"/>
          <w:szCs w:val="24"/>
        </w:rPr>
        <w:t>Slobig</w:t>
      </w:r>
      <w:proofErr w:type="spellEnd"/>
      <w:r w:rsidRPr="005D75B7">
        <w:rPr>
          <w:rFonts w:ascii="Times New Roman" w:hAnsi="Times New Roman"/>
          <w:sz w:val="24"/>
          <w:szCs w:val="24"/>
        </w:rPr>
        <w:t xml:space="preserve"> Z. Latino College Health Initiative: A Study of Tobacco-Related Health Disparities </w:t>
      </w:r>
      <w:proofErr w:type="gramStart"/>
      <w:r w:rsidRPr="005D75B7">
        <w:rPr>
          <w:rFonts w:ascii="Times New Roman" w:hAnsi="Times New Roman"/>
          <w:sz w:val="24"/>
          <w:szCs w:val="24"/>
        </w:rPr>
        <w:t>In</w:t>
      </w:r>
      <w:proofErr w:type="gramEnd"/>
      <w:r w:rsidRPr="005D75B7">
        <w:rPr>
          <w:rFonts w:ascii="Times New Roman" w:hAnsi="Times New Roman"/>
          <w:sz w:val="24"/>
          <w:szCs w:val="24"/>
        </w:rPr>
        <w:t xml:space="preserve"> Hispanic/Latino Subpopulations. Truth Initiative; 2014:44. Accessed January 14, 2021. https://truthinitiative.org/sites/default/files/media/files/2019/03/Latino_College_Health_Initative</w:t>
      </w:r>
    </w:p>
    <w:p w14:paraId="2A1EBC5C" w14:textId="65374190" w:rsidR="00871806" w:rsidRDefault="005D75B7" w:rsidP="005D75B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D75B7">
        <w:rPr>
          <w:rFonts w:ascii="Times New Roman" w:hAnsi="Times New Roman"/>
          <w:sz w:val="24"/>
          <w:szCs w:val="24"/>
        </w:rPr>
        <w:t>_2014.pdf</w:t>
      </w:r>
    </w:p>
    <w:bookmarkEnd w:id="27"/>
    <w:p w14:paraId="135570CA" w14:textId="544E1AF9" w:rsidR="00CE4712" w:rsidRPr="002051D8" w:rsidRDefault="00CE4712" w:rsidP="00381776">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sectPr w:rsidR="00CE4712" w:rsidRPr="002051D8" w:rsidSect="007C5B73">
      <w:footerReference w:type="default" r:id="rId16"/>
      <w:headerReference w:type="first" r:id="rId17"/>
      <w:footerReference w:type="first" r:id="rId18"/>
      <w:type w:val="continuous"/>
      <w:pgSz w:w="12240" w:h="15840"/>
      <w:pgMar w:top="1440" w:right="1440" w:bottom="1440" w:left="1440" w:header="1440" w:footer="72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83F6" w14:textId="77777777" w:rsidR="00016183" w:rsidRDefault="00016183">
      <w:r>
        <w:separator/>
      </w:r>
    </w:p>
  </w:endnote>
  <w:endnote w:type="continuationSeparator" w:id="0">
    <w:p w14:paraId="14FFACFE" w14:textId="77777777" w:rsidR="00016183" w:rsidRDefault="00016183">
      <w:r>
        <w:continuationSeparator/>
      </w:r>
    </w:p>
  </w:endnote>
  <w:endnote w:type="continuationNotice" w:id="1">
    <w:p w14:paraId="173286D7" w14:textId="77777777" w:rsidR="00016183" w:rsidRDefault="00016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07775"/>
      <w:docPartObj>
        <w:docPartGallery w:val="Page Numbers (Bottom of Page)"/>
        <w:docPartUnique/>
      </w:docPartObj>
    </w:sdtPr>
    <w:sdtEndPr>
      <w:rPr>
        <w:noProof/>
      </w:rPr>
    </w:sdtEndPr>
    <w:sdtContent>
      <w:p w14:paraId="2EB1B2AE" w14:textId="63504D6F" w:rsidR="00D420E1" w:rsidRDefault="00D420E1">
        <w:pPr>
          <w:pStyle w:val="Footer"/>
          <w:jc w:val="center"/>
        </w:pPr>
        <w:r w:rsidRPr="00E5570A">
          <w:rPr>
            <w:rFonts w:ascii="Times New Roman" w:hAnsi="Times New Roman"/>
            <w:sz w:val="24"/>
            <w:szCs w:val="24"/>
          </w:rPr>
          <w:fldChar w:fldCharType="begin"/>
        </w:r>
        <w:r w:rsidRPr="00E5570A">
          <w:rPr>
            <w:rFonts w:ascii="Times New Roman" w:hAnsi="Times New Roman"/>
            <w:sz w:val="24"/>
            <w:szCs w:val="24"/>
          </w:rPr>
          <w:instrText xml:space="preserve"> PAGE   \* MERGEFORMAT </w:instrText>
        </w:r>
        <w:r w:rsidRPr="00E5570A">
          <w:rPr>
            <w:rFonts w:ascii="Times New Roman" w:hAnsi="Times New Roman"/>
            <w:sz w:val="24"/>
            <w:szCs w:val="24"/>
          </w:rPr>
          <w:fldChar w:fldCharType="separate"/>
        </w:r>
        <w:r w:rsidRPr="00E5570A">
          <w:rPr>
            <w:rFonts w:ascii="Times New Roman" w:hAnsi="Times New Roman"/>
            <w:noProof/>
            <w:sz w:val="24"/>
            <w:szCs w:val="24"/>
          </w:rPr>
          <w:t>2</w:t>
        </w:r>
        <w:r w:rsidRPr="00E5570A">
          <w:rPr>
            <w:rFonts w:ascii="Times New Roman" w:hAnsi="Times New Roman"/>
            <w:noProof/>
            <w:sz w:val="24"/>
            <w:szCs w:val="24"/>
          </w:rPr>
          <w:fldChar w:fldCharType="end"/>
        </w:r>
      </w:p>
    </w:sdtContent>
  </w:sdt>
  <w:p w14:paraId="4DB2B545" w14:textId="7874AA2F" w:rsidR="001605F2" w:rsidRPr="00E5570A" w:rsidRDefault="001605F2" w:rsidP="002E3ECD">
    <w:pPr>
      <w:pStyle w:val="Footer"/>
      <w:jc w:val="center"/>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76137"/>
      <w:docPartObj>
        <w:docPartGallery w:val="Page Numbers (Bottom of Page)"/>
        <w:docPartUnique/>
      </w:docPartObj>
    </w:sdtPr>
    <w:sdtEndPr>
      <w:rPr>
        <w:rFonts w:ascii="Times New Roman" w:hAnsi="Times New Roman"/>
        <w:noProof/>
        <w:sz w:val="24"/>
        <w:szCs w:val="24"/>
      </w:rPr>
    </w:sdtEndPr>
    <w:sdtContent>
      <w:p w14:paraId="32404F8D" w14:textId="61B9AAA3" w:rsidR="00D420E1" w:rsidRDefault="00D42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A97C2" w14:textId="77777777" w:rsidR="002E3ECD" w:rsidRDefault="002E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AFCF" w14:textId="77777777" w:rsidR="00016183" w:rsidRDefault="00016183">
      <w:r>
        <w:separator/>
      </w:r>
    </w:p>
  </w:footnote>
  <w:footnote w:type="continuationSeparator" w:id="0">
    <w:p w14:paraId="5E0DE195" w14:textId="77777777" w:rsidR="00016183" w:rsidRDefault="00016183">
      <w:r>
        <w:continuationSeparator/>
      </w:r>
    </w:p>
  </w:footnote>
  <w:footnote w:type="continuationNotice" w:id="1">
    <w:p w14:paraId="2B2D89C7" w14:textId="77777777" w:rsidR="00016183" w:rsidRDefault="00016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97C0" w14:textId="4ACFCC1B" w:rsidR="0088391F" w:rsidRPr="00793D05" w:rsidRDefault="0088391F" w:rsidP="00E557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DF9"/>
    <w:multiLevelType w:val="hybridMultilevel"/>
    <w:tmpl w:val="4E220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0D5A"/>
    <w:multiLevelType w:val="multilevel"/>
    <w:tmpl w:val="B73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303B4"/>
    <w:multiLevelType w:val="hybridMultilevel"/>
    <w:tmpl w:val="7DE422F8"/>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06E26"/>
    <w:multiLevelType w:val="hybridMultilevel"/>
    <w:tmpl w:val="119E31F8"/>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CA37B7F"/>
    <w:multiLevelType w:val="hybridMultilevel"/>
    <w:tmpl w:val="24E026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E131405"/>
    <w:multiLevelType w:val="singleLevel"/>
    <w:tmpl w:val="BB9A9BE4"/>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6" w15:restartNumberingAfterBreak="0">
    <w:nsid w:val="0FA73F38"/>
    <w:multiLevelType w:val="hybridMultilevel"/>
    <w:tmpl w:val="FD983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050E56"/>
    <w:multiLevelType w:val="hybridMultilevel"/>
    <w:tmpl w:val="513CC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B2BAD"/>
    <w:multiLevelType w:val="hybridMultilevel"/>
    <w:tmpl w:val="95961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745233"/>
    <w:multiLevelType w:val="singleLevel"/>
    <w:tmpl w:val="680C1442"/>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10" w15:restartNumberingAfterBreak="0">
    <w:nsid w:val="1A427A41"/>
    <w:multiLevelType w:val="hybridMultilevel"/>
    <w:tmpl w:val="0E8EE296"/>
    <w:lvl w:ilvl="0" w:tplc="58EA99C8">
      <w:start w:val="17"/>
      <w:numFmt w:val="decimal"/>
      <w:lvlText w:val="%1."/>
      <w:lvlJc w:val="left"/>
      <w:pPr>
        <w:ind w:left="720" w:hanging="36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E4934"/>
    <w:multiLevelType w:val="hybridMultilevel"/>
    <w:tmpl w:val="07605CE8"/>
    <w:lvl w:ilvl="0" w:tplc="04090001">
      <w:start w:val="1"/>
      <w:numFmt w:val="bullet"/>
      <w:lvlText w:val=""/>
      <w:lvlJc w:val="left"/>
      <w:pPr>
        <w:ind w:left="720" w:hanging="360"/>
      </w:pPr>
      <w:rPr>
        <w:rFonts w:ascii="Symbol" w:hAnsi="Symbol" w:hint="default"/>
      </w:rPr>
    </w:lvl>
    <w:lvl w:ilvl="1" w:tplc="CE26FD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11841"/>
    <w:multiLevelType w:val="hybridMultilevel"/>
    <w:tmpl w:val="598A8588"/>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A6F81"/>
    <w:multiLevelType w:val="hybridMultilevel"/>
    <w:tmpl w:val="D1D20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1DF0787"/>
    <w:multiLevelType w:val="hybridMultilevel"/>
    <w:tmpl w:val="F0FCA3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F26874"/>
    <w:multiLevelType w:val="hybridMultilevel"/>
    <w:tmpl w:val="9E0E01E0"/>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866D21"/>
    <w:multiLevelType w:val="singleLevel"/>
    <w:tmpl w:val="BB9A9BE4"/>
    <w:lvl w:ilvl="0">
      <w:start w:val="17"/>
      <w:numFmt w:val="decimal"/>
      <w:lvlText w:val="%1."/>
      <w:legacy w:legacy="1" w:legacySpace="0" w:legacyIndent="1"/>
      <w:lvlJc w:val="left"/>
      <w:pPr>
        <w:ind w:left="721" w:hanging="1"/>
      </w:pPr>
      <w:rPr>
        <w:rFonts w:ascii="Times New Roman" w:hAnsi="Times New Roman" w:cs="Times New Roman" w:hint="default"/>
      </w:rPr>
    </w:lvl>
  </w:abstractNum>
  <w:abstractNum w:abstractNumId="24" w15:restartNumberingAfterBreak="0">
    <w:nsid w:val="3EDD7500"/>
    <w:multiLevelType w:val="singleLevel"/>
    <w:tmpl w:val="89E80FDA"/>
    <w:lvl w:ilvl="0">
      <w:start w:val="10"/>
      <w:numFmt w:val="decimal"/>
      <w:lvlText w:val="%1."/>
      <w:legacy w:legacy="1" w:legacySpace="0" w:legacyIndent="1"/>
      <w:lvlJc w:val="left"/>
      <w:pPr>
        <w:ind w:left="721" w:hanging="1"/>
      </w:pPr>
      <w:rPr>
        <w:rFonts w:ascii="Times New Roman" w:hAnsi="Times New Roman" w:cs="Times New Roman" w:hint="default"/>
      </w:rPr>
    </w:lvl>
  </w:abstractNum>
  <w:abstractNum w:abstractNumId="25" w15:restartNumberingAfterBreak="0">
    <w:nsid w:val="414533CB"/>
    <w:multiLevelType w:val="hybridMultilevel"/>
    <w:tmpl w:val="571EB218"/>
    <w:lvl w:ilvl="0" w:tplc="4A60DA54">
      <w:numFmt w:val="bullet"/>
      <w:lvlText w:val="•"/>
      <w:lvlJc w:val="left"/>
      <w:pPr>
        <w:ind w:left="1170" w:hanging="45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42270126"/>
    <w:multiLevelType w:val="hybridMultilevel"/>
    <w:tmpl w:val="8EA6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D75A5"/>
    <w:multiLevelType w:val="hybridMultilevel"/>
    <w:tmpl w:val="21669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2840A2"/>
    <w:multiLevelType w:val="hybridMultilevel"/>
    <w:tmpl w:val="70EEBB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923709"/>
    <w:multiLevelType w:val="hybridMultilevel"/>
    <w:tmpl w:val="395CE0C4"/>
    <w:lvl w:ilvl="0" w:tplc="40DED5B6">
      <w:start w:val="1"/>
      <w:numFmt w:val="bullet"/>
      <w:lvlText w:val="·"/>
      <w:lvlJc w:val="left"/>
      <w:pPr>
        <w:ind w:left="720" w:hanging="360"/>
      </w:pPr>
      <w:rPr>
        <w:rFonts w:ascii="Symbol" w:hAnsi="Symbol" w:hint="default"/>
      </w:rPr>
    </w:lvl>
    <w:lvl w:ilvl="1" w:tplc="547A50B0">
      <w:start w:val="1"/>
      <w:numFmt w:val="bullet"/>
      <w:lvlText w:val="o"/>
      <w:lvlJc w:val="left"/>
      <w:pPr>
        <w:ind w:left="1440" w:hanging="360"/>
      </w:pPr>
      <w:rPr>
        <w:rFonts w:ascii="Courier New" w:hAnsi="Courier New" w:hint="default"/>
      </w:rPr>
    </w:lvl>
    <w:lvl w:ilvl="2" w:tplc="D89C7E52">
      <w:start w:val="1"/>
      <w:numFmt w:val="bullet"/>
      <w:lvlText w:val=""/>
      <w:lvlJc w:val="left"/>
      <w:pPr>
        <w:ind w:left="2160" w:hanging="360"/>
      </w:pPr>
      <w:rPr>
        <w:rFonts w:ascii="Wingdings" w:hAnsi="Wingdings" w:hint="default"/>
      </w:rPr>
    </w:lvl>
    <w:lvl w:ilvl="3" w:tplc="AE48966E">
      <w:start w:val="1"/>
      <w:numFmt w:val="bullet"/>
      <w:lvlText w:val=""/>
      <w:lvlJc w:val="left"/>
      <w:pPr>
        <w:ind w:left="2880" w:hanging="360"/>
      </w:pPr>
      <w:rPr>
        <w:rFonts w:ascii="Symbol" w:hAnsi="Symbol" w:hint="default"/>
      </w:rPr>
    </w:lvl>
    <w:lvl w:ilvl="4" w:tplc="78F00634">
      <w:start w:val="1"/>
      <w:numFmt w:val="bullet"/>
      <w:lvlText w:val="o"/>
      <w:lvlJc w:val="left"/>
      <w:pPr>
        <w:ind w:left="3600" w:hanging="360"/>
      </w:pPr>
      <w:rPr>
        <w:rFonts w:ascii="Courier New" w:hAnsi="Courier New" w:hint="default"/>
      </w:rPr>
    </w:lvl>
    <w:lvl w:ilvl="5" w:tplc="343A0A76">
      <w:start w:val="1"/>
      <w:numFmt w:val="bullet"/>
      <w:lvlText w:val=""/>
      <w:lvlJc w:val="left"/>
      <w:pPr>
        <w:ind w:left="4320" w:hanging="360"/>
      </w:pPr>
      <w:rPr>
        <w:rFonts w:ascii="Wingdings" w:hAnsi="Wingdings" w:hint="default"/>
      </w:rPr>
    </w:lvl>
    <w:lvl w:ilvl="6" w:tplc="AF08402A">
      <w:start w:val="1"/>
      <w:numFmt w:val="bullet"/>
      <w:lvlText w:val=""/>
      <w:lvlJc w:val="left"/>
      <w:pPr>
        <w:ind w:left="5040" w:hanging="360"/>
      </w:pPr>
      <w:rPr>
        <w:rFonts w:ascii="Symbol" w:hAnsi="Symbol" w:hint="default"/>
      </w:rPr>
    </w:lvl>
    <w:lvl w:ilvl="7" w:tplc="D86A17B4">
      <w:start w:val="1"/>
      <w:numFmt w:val="bullet"/>
      <w:lvlText w:val="o"/>
      <w:lvlJc w:val="left"/>
      <w:pPr>
        <w:ind w:left="5760" w:hanging="360"/>
      </w:pPr>
      <w:rPr>
        <w:rFonts w:ascii="Courier New" w:hAnsi="Courier New" w:hint="default"/>
      </w:rPr>
    </w:lvl>
    <w:lvl w:ilvl="8" w:tplc="DA04479C">
      <w:start w:val="1"/>
      <w:numFmt w:val="bullet"/>
      <w:lvlText w:val=""/>
      <w:lvlJc w:val="left"/>
      <w:pPr>
        <w:ind w:left="6480" w:hanging="360"/>
      </w:pPr>
      <w:rPr>
        <w:rFonts w:ascii="Wingdings" w:hAnsi="Wingdings" w:hint="default"/>
      </w:rPr>
    </w:lvl>
  </w:abstractNum>
  <w:abstractNum w:abstractNumId="31" w15:restartNumberingAfterBreak="0">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D4087"/>
    <w:multiLevelType w:val="hybridMultilevel"/>
    <w:tmpl w:val="64D4B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300710"/>
    <w:multiLevelType w:val="hybridMultilevel"/>
    <w:tmpl w:val="4686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9F2939"/>
    <w:multiLevelType w:val="hybridMultilevel"/>
    <w:tmpl w:val="5D1ED18C"/>
    <w:lvl w:ilvl="0" w:tplc="4A60DA54">
      <w:numFmt w:val="bullet"/>
      <w:lvlText w:val="•"/>
      <w:lvlJc w:val="left"/>
      <w:pPr>
        <w:ind w:left="720" w:hanging="45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70919ED"/>
    <w:multiLevelType w:val="hybridMultilevel"/>
    <w:tmpl w:val="A7BEB0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9B6D12"/>
    <w:multiLevelType w:val="hybridMultilevel"/>
    <w:tmpl w:val="15F49F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6CFC3C59"/>
    <w:multiLevelType w:val="hybridMultilevel"/>
    <w:tmpl w:val="C37638E0"/>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6DEF3FB6"/>
    <w:multiLevelType w:val="hybridMultilevel"/>
    <w:tmpl w:val="BCF8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046EFC"/>
    <w:multiLevelType w:val="singleLevel"/>
    <w:tmpl w:val="89E80FDA"/>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42" w15:restartNumberingAfterBreak="0">
    <w:nsid w:val="709F5CFE"/>
    <w:multiLevelType w:val="multilevel"/>
    <w:tmpl w:val="A7BEB0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AB1E9C"/>
    <w:multiLevelType w:val="hybridMultilevel"/>
    <w:tmpl w:val="A140AE3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23"/>
  </w:num>
  <w:num w:numId="4">
    <w:abstractNumId w:val="41"/>
  </w:num>
  <w:num w:numId="5">
    <w:abstractNumId w:val="5"/>
  </w:num>
  <w:num w:numId="6">
    <w:abstractNumId w:val="37"/>
  </w:num>
  <w:num w:numId="7">
    <w:abstractNumId w:val="44"/>
  </w:num>
  <w:num w:numId="8">
    <w:abstractNumId w:val="31"/>
  </w:num>
  <w:num w:numId="9">
    <w:abstractNumId w:val="42"/>
  </w:num>
  <w:num w:numId="10">
    <w:abstractNumId w:val="28"/>
  </w:num>
  <w:num w:numId="11">
    <w:abstractNumId w:val="22"/>
  </w:num>
  <w:num w:numId="12">
    <w:abstractNumId w:val="14"/>
  </w:num>
  <w:num w:numId="13">
    <w:abstractNumId w:val="2"/>
  </w:num>
  <w:num w:numId="14">
    <w:abstractNumId w:val="16"/>
  </w:num>
  <w:num w:numId="15">
    <w:abstractNumId w:val="33"/>
  </w:num>
  <w:num w:numId="16">
    <w:abstractNumId w:val="6"/>
  </w:num>
  <w:num w:numId="17">
    <w:abstractNumId w:val="8"/>
  </w:num>
  <w:num w:numId="18">
    <w:abstractNumId w:val="43"/>
  </w:num>
  <w:num w:numId="19">
    <w:abstractNumId w:val="29"/>
  </w:num>
  <w:num w:numId="20">
    <w:abstractNumId w:val="12"/>
  </w:num>
  <w:num w:numId="21">
    <w:abstractNumId w:val="7"/>
  </w:num>
  <w:num w:numId="22">
    <w:abstractNumId w:val="19"/>
  </w:num>
  <w:num w:numId="23">
    <w:abstractNumId w:val="20"/>
  </w:num>
  <w:num w:numId="24">
    <w:abstractNumId w:val="1"/>
  </w:num>
  <w:num w:numId="25">
    <w:abstractNumId w:val="32"/>
  </w:num>
  <w:num w:numId="26">
    <w:abstractNumId w:val="11"/>
  </w:num>
  <w:num w:numId="27">
    <w:abstractNumId w:val="15"/>
  </w:num>
  <w:num w:numId="28">
    <w:abstractNumId w:val="35"/>
  </w:num>
  <w:num w:numId="29">
    <w:abstractNumId w:val="17"/>
  </w:num>
  <w:num w:numId="30">
    <w:abstractNumId w:val="13"/>
  </w:num>
  <w:num w:numId="31">
    <w:abstractNumId w:val="26"/>
  </w:num>
  <w:num w:numId="32">
    <w:abstractNumId w:val="4"/>
  </w:num>
  <w:num w:numId="33">
    <w:abstractNumId w:val="36"/>
  </w:num>
  <w:num w:numId="34">
    <w:abstractNumId w:val="3"/>
  </w:num>
  <w:num w:numId="35">
    <w:abstractNumId w:val="25"/>
  </w:num>
  <w:num w:numId="36">
    <w:abstractNumId w:val="39"/>
  </w:num>
  <w:num w:numId="37">
    <w:abstractNumId w:val="34"/>
  </w:num>
  <w:num w:numId="38">
    <w:abstractNumId w:val="0"/>
  </w:num>
  <w:num w:numId="39">
    <w:abstractNumId w:val="38"/>
  </w:num>
  <w:num w:numId="40">
    <w:abstractNumId w:val="18"/>
  </w:num>
  <w:num w:numId="41">
    <w:abstractNumId w:val="40"/>
  </w:num>
  <w:num w:numId="42">
    <w:abstractNumId w:val="21"/>
  </w:num>
  <w:num w:numId="43">
    <w:abstractNumId w:val="10"/>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8C"/>
    <w:rsid w:val="0000030B"/>
    <w:rsid w:val="00000904"/>
    <w:rsid w:val="00003405"/>
    <w:rsid w:val="0000449A"/>
    <w:rsid w:val="00007C02"/>
    <w:rsid w:val="000113C7"/>
    <w:rsid w:val="00016183"/>
    <w:rsid w:val="00016DF6"/>
    <w:rsid w:val="000216D8"/>
    <w:rsid w:val="00024664"/>
    <w:rsid w:val="0002650D"/>
    <w:rsid w:val="000424D7"/>
    <w:rsid w:val="00057464"/>
    <w:rsid w:val="0006445E"/>
    <w:rsid w:val="0007013B"/>
    <w:rsid w:val="00073310"/>
    <w:rsid w:val="000759F5"/>
    <w:rsid w:val="00075BFF"/>
    <w:rsid w:val="0007649E"/>
    <w:rsid w:val="000776EB"/>
    <w:rsid w:val="00077D08"/>
    <w:rsid w:val="00083036"/>
    <w:rsid w:val="00087E7A"/>
    <w:rsid w:val="00092D53"/>
    <w:rsid w:val="00093825"/>
    <w:rsid w:val="00093BAA"/>
    <w:rsid w:val="000978D7"/>
    <w:rsid w:val="000A2F11"/>
    <w:rsid w:val="000A69E5"/>
    <w:rsid w:val="000B05FF"/>
    <w:rsid w:val="000B1493"/>
    <w:rsid w:val="000B2AED"/>
    <w:rsid w:val="000B475F"/>
    <w:rsid w:val="000B732E"/>
    <w:rsid w:val="000C6188"/>
    <w:rsid w:val="000D317F"/>
    <w:rsid w:val="000D5B55"/>
    <w:rsid w:val="000E2A59"/>
    <w:rsid w:val="000E2B4D"/>
    <w:rsid w:val="000E690D"/>
    <w:rsid w:val="000F5941"/>
    <w:rsid w:val="00100C3C"/>
    <w:rsid w:val="0011028C"/>
    <w:rsid w:val="00114ED0"/>
    <w:rsid w:val="00117BD9"/>
    <w:rsid w:val="00120603"/>
    <w:rsid w:val="0013250E"/>
    <w:rsid w:val="00132A71"/>
    <w:rsid w:val="001331DD"/>
    <w:rsid w:val="00134977"/>
    <w:rsid w:val="0013620D"/>
    <w:rsid w:val="00143DFE"/>
    <w:rsid w:val="00153B59"/>
    <w:rsid w:val="00157822"/>
    <w:rsid w:val="00157A67"/>
    <w:rsid w:val="001605F2"/>
    <w:rsid w:val="00160B7D"/>
    <w:rsid w:val="00161B0D"/>
    <w:rsid w:val="0016417E"/>
    <w:rsid w:val="00164C23"/>
    <w:rsid w:val="001666A0"/>
    <w:rsid w:val="00167209"/>
    <w:rsid w:val="00167A02"/>
    <w:rsid w:val="00167AC9"/>
    <w:rsid w:val="00170DC8"/>
    <w:rsid w:val="0018222E"/>
    <w:rsid w:val="00182612"/>
    <w:rsid w:val="0018611D"/>
    <w:rsid w:val="001871AE"/>
    <w:rsid w:val="001925F1"/>
    <w:rsid w:val="001A241E"/>
    <w:rsid w:val="001A2822"/>
    <w:rsid w:val="001A3900"/>
    <w:rsid w:val="001B0183"/>
    <w:rsid w:val="001B0F9B"/>
    <w:rsid w:val="001B33C8"/>
    <w:rsid w:val="001B51A4"/>
    <w:rsid w:val="001B6864"/>
    <w:rsid w:val="001B6D9D"/>
    <w:rsid w:val="001C3211"/>
    <w:rsid w:val="001D0A3E"/>
    <w:rsid w:val="001D1D63"/>
    <w:rsid w:val="001E094C"/>
    <w:rsid w:val="001E22AC"/>
    <w:rsid w:val="001E723C"/>
    <w:rsid w:val="001F0C3E"/>
    <w:rsid w:val="001F24C8"/>
    <w:rsid w:val="001F3059"/>
    <w:rsid w:val="001F41CF"/>
    <w:rsid w:val="00202216"/>
    <w:rsid w:val="002039FC"/>
    <w:rsid w:val="00203CCA"/>
    <w:rsid w:val="00204640"/>
    <w:rsid w:val="002051D8"/>
    <w:rsid w:val="0020609D"/>
    <w:rsid w:val="002063C6"/>
    <w:rsid w:val="0020760E"/>
    <w:rsid w:val="00212767"/>
    <w:rsid w:val="00212ECB"/>
    <w:rsid w:val="002173A3"/>
    <w:rsid w:val="00217A3C"/>
    <w:rsid w:val="00221C66"/>
    <w:rsid w:val="00226697"/>
    <w:rsid w:val="0022679B"/>
    <w:rsid w:val="002301EC"/>
    <w:rsid w:val="00230787"/>
    <w:rsid w:val="0023288A"/>
    <w:rsid w:val="0023594B"/>
    <w:rsid w:val="00237CEC"/>
    <w:rsid w:val="002417E9"/>
    <w:rsid w:val="002423EA"/>
    <w:rsid w:val="00242883"/>
    <w:rsid w:val="00251938"/>
    <w:rsid w:val="00254739"/>
    <w:rsid w:val="002558BD"/>
    <w:rsid w:val="00255D9B"/>
    <w:rsid w:val="00265027"/>
    <w:rsid w:val="00266851"/>
    <w:rsid w:val="00267147"/>
    <w:rsid w:val="002717C9"/>
    <w:rsid w:val="002717F8"/>
    <w:rsid w:val="002760ED"/>
    <w:rsid w:val="0027732F"/>
    <w:rsid w:val="00291772"/>
    <w:rsid w:val="00293C23"/>
    <w:rsid w:val="002A71C2"/>
    <w:rsid w:val="002B0CBE"/>
    <w:rsid w:val="002B21B2"/>
    <w:rsid w:val="002B26DF"/>
    <w:rsid w:val="002B467A"/>
    <w:rsid w:val="002B6095"/>
    <w:rsid w:val="002B6C74"/>
    <w:rsid w:val="002E08A7"/>
    <w:rsid w:val="002E1EB3"/>
    <w:rsid w:val="002E3812"/>
    <w:rsid w:val="002E3ECD"/>
    <w:rsid w:val="002E5C08"/>
    <w:rsid w:val="002E6437"/>
    <w:rsid w:val="002F716B"/>
    <w:rsid w:val="00300BB3"/>
    <w:rsid w:val="00301B59"/>
    <w:rsid w:val="0031695B"/>
    <w:rsid w:val="0032273F"/>
    <w:rsid w:val="003261EC"/>
    <w:rsid w:val="00326755"/>
    <w:rsid w:val="00326C6F"/>
    <w:rsid w:val="00335EA2"/>
    <w:rsid w:val="00337037"/>
    <w:rsid w:val="00341225"/>
    <w:rsid w:val="00341478"/>
    <w:rsid w:val="0034441D"/>
    <w:rsid w:val="00346B32"/>
    <w:rsid w:val="00351C73"/>
    <w:rsid w:val="00353C38"/>
    <w:rsid w:val="00354712"/>
    <w:rsid w:val="00354C90"/>
    <w:rsid w:val="00355B8B"/>
    <w:rsid w:val="00361DBD"/>
    <w:rsid w:val="0036363E"/>
    <w:rsid w:val="003644B9"/>
    <w:rsid w:val="00366283"/>
    <w:rsid w:val="0037320D"/>
    <w:rsid w:val="00374034"/>
    <w:rsid w:val="003762AF"/>
    <w:rsid w:val="00380E2C"/>
    <w:rsid w:val="00381776"/>
    <w:rsid w:val="00385951"/>
    <w:rsid w:val="00386D6C"/>
    <w:rsid w:val="003874B9"/>
    <w:rsid w:val="003911C2"/>
    <w:rsid w:val="00393B20"/>
    <w:rsid w:val="003B00A6"/>
    <w:rsid w:val="003B6D75"/>
    <w:rsid w:val="003C56D6"/>
    <w:rsid w:val="003D4CE4"/>
    <w:rsid w:val="003E02D6"/>
    <w:rsid w:val="003E31F0"/>
    <w:rsid w:val="003E6DC9"/>
    <w:rsid w:val="00400CB1"/>
    <w:rsid w:val="00401C9D"/>
    <w:rsid w:val="0040556E"/>
    <w:rsid w:val="0041232C"/>
    <w:rsid w:val="00426D15"/>
    <w:rsid w:val="004276EB"/>
    <w:rsid w:val="004308FB"/>
    <w:rsid w:val="004335FC"/>
    <w:rsid w:val="00435A63"/>
    <w:rsid w:val="004546B9"/>
    <w:rsid w:val="00456B93"/>
    <w:rsid w:val="00457B64"/>
    <w:rsid w:val="00460A53"/>
    <w:rsid w:val="00460D2B"/>
    <w:rsid w:val="004629B1"/>
    <w:rsid w:val="00463407"/>
    <w:rsid w:val="004675D7"/>
    <w:rsid w:val="00470E70"/>
    <w:rsid w:val="00472AED"/>
    <w:rsid w:val="004732BA"/>
    <w:rsid w:val="00474002"/>
    <w:rsid w:val="00482A31"/>
    <w:rsid w:val="00485D99"/>
    <w:rsid w:val="004868D1"/>
    <w:rsid w:val="00492FB8"/>
    <w:rsid w:val="00493B82"/>
    <w:rsid w:val="004953D8"/>
    <w:rsid w:val="004A2CD8"/>
    <w:rsid w:val="004A3AC0"/>
    <w:rsid w:val="004B4A21"/>
    <w:rsid w:val="004C1F78"/>
    <w:rsid w:val="004C5B66"/>
    <w:rsid w:val="004C6682"/>
    <w:rsid w:val="004C6CE0"/>
    <w:rsid w:val="004D3E3E"/>
    <w:rsid w:val="004D64AA"/>
    <w:rsid w:val="004E70E2"/>
    <w:rsid w:val="004F557D"/>
    <w:rsid w:val="00500D1E"/>
    <w:rsid w:val="00504ECC"/>
    <w:rsid w:val="00506019"/>
    <w:rsid w:val="005072D1"/>
    <w:rsid w:val="00507F32"/>
    <w:rsid w:val="00507FCD"/>
    <w:rsid w:val="0051608C"/>
    <w:rsid w:val="00517ED0"/>
    <w:rsid w:val="00520F63"/>
    <w:rsid w:val="00523D28"/>
    <w:rsid w:val="00535C40"/>
    <w:rsid w:val="00537206"/>
    <w:rsid w:val="005540FC"/>
    <w:rsid w:val="00556746"/>
    <w:rsid w:val="00560084"/>
    <w:rsid w:val="00560F15"/>
    <w:rsid w:val="00566286"/>
    <w:rsid w:val="00570A96"/>
    <w:rsid w:val="005710C5"/>
    <w:rsid w:val="00571380"/>
    <w:rsid w:val="005718F6"/>
    <w:rsid w:val="00573151"/>
    <w:rsid w:val="00573AE4"/>
    <w:rsid w:val="00581DB5"/>
    <w:rsid w:val="00587898"/>
    <w:rsid w:val="00596B96"/>
    <w:rsid w:val="005A019E"/>
    <w:rsid w:val="005A69E7"/>
    <w:rsid w:val="005B124E"/>
    <w:rsid w:val="005C0FF9"/>
    <w:rsid w:val="005C23C2"/>
    <w:rsid w:val="005C6607"/>
    <w:rsid w:val="005C7A18"/>
    <w:rsid w:val="005D00E9"/>
    <w:rsid w:val="005D0A0B"/>
    <w:rsid w:val="005D5B2C"/>
    <w:rsid w:val="005D75B7"/>
    <w:rsid w:val="005E1541"/>
    <w:rsid w:val="005E206E"/>
    <w:rsid w:val="005E4C0C"/>
    <w:rsid w:val="005E5681"/>
    <w:rsid w:val="005E6B0C"/>
    <w:rsid w:val="005F365B"/>
    <w:rsid w:val="005F4447"/>
    <w:rsid w:val="005F56D3"/>
    <w:rsid w:val="005F6485"/>
    <w:rsid w:val="00604124"/>
    <w:rsid w:val="006229A4"/>
    <w:rsid w:val="006253CC"/>
    <w:rsid w:val="006271AB"/>
    <w:rsid w:val="00633961"/>
    <w:rsid w:val="006347B4"/>
    <w:rsid w:val="0063754B"/>
    <w:rsid w:val="00637C23"/>
    <w:rsid w:val="00650879"/>
    <w:rsid w:val="00654117"/>
    <w:rsid w:val="006576CA"/>
    <w:rsid w:val="0065772E"/>
    <w:rsid w:val="0069105F"/>
    <w:rsid w:val="006914FA"/>
    <w:rsid w:val="006967DB"/>
    <w:rsid w:val="00697FB6"/>
    <w:rsid w:val="006A327E"/>
    <w:rsid w:val="006A5A94"/>
    <w:rsid w:val="006A6421"/>
    <w:rsid w:val="006C0D51"/>
    <w:rsid w:val="006C3950"/>
    <w:rsid w:val="006D010D"/>
    <w:rsid w:val="006D21F9"/>
    <w:rsid w:val="006E1019"/>
    <w:rsid w:val="006E225C"/>
    <w:rsid w:val="006E7032"/>
    <w:rsid w:val="006E769E"/>
    <w:rsid w:val="006F117E"/>
    <w:rsid w:val="006F2C5C"/>
    <w:rsid w:val="00707416"/>
    <w:rsid w:val="007101BF"/>
    <w:rsid w:val="00717893"/>
    <w:rsid w:val="0072476A"/>
    <w:rsid w:val="007274ED"/>
    <w:rsid w:val="00731AD7"/>
    <w:rsid w:val="00731B04"/>
    <w:rsid w:val="0073310C"/>
    <w:rsid w:val="00733573"/>
    <w:rsid w:val="00734BED"/>
    <w:rsid w:val="00753BCE"/>
    <w:rsid w:val="00756B50"/>
    <w:rsid w:val="0076293C"/>
    <w:rsid w:val="007670CB"/>
    <w:rsid w:val="00770D2F"/>
    <w:rsid w:val="00773576"/>
    <w:rsid w:val="00773BB5"/>
    <w:rsid w:val="00774739"/>
    <w:rsid w:val="00774C9B"/>
    <w:rsid w:val="00784A64"/>
    <w:rsid w:val="00787A6E"/>
    <w:rsid w:val="00793D05"/>
    <w:rsid w:val="007A31C3"/>
    <w:rsid w:val="007A3A41"/>
    <w:rsid w:val="007A5B7D"/>
    <w:rsid w:val="007B7BE7"/>
    <w:rsid w:val="007C1E71"/>
    <w:rsid w:val="007C3E2D"/>
    <w:rsid w:val="007C5B73"/>
    <w:rsid w:val="007D097E"/>
    <w:rsid w:val="007D0A85"/>
    <w:rsid w:val="007D57EE"/>
    <w:rsid w:val="007D678E"/>
    <w:rsid w:val="007D7E6C"/>
    <w:rsid w:val="007E29EB"/>
    <w:rsid w:val="007E609B"/>
    <w:rsid w:val="007F1D2B"/>
    <w:rsid w:val="00802C2A"/>
    <w:rsid w:val="00807DD4"/>
    <w:rsid w:val="0081268C"/>
    <w:rsid w:val="008153F3"/>
    <w:rsid w:val="008159AD"/>
    <w:rsid w:val="00815BD1"/>
    <w:rsid w:val="00817163"/>
    <w:rsid w:val="0082223D"/>
    <w:rsid w:val="008267E2"/>
    <w:rsid w:val="00827B68"/>
    <w:rsid w:val="008342CD"/>
    <w:rsid w:val="008443DC"/>
    <w:rsid w:val="008459A9"/>
    <w:rsid w:val="0085008D"/>
    <w:rsid w:val="00851E14"/>
    <w:rsid w:val="0085765D"/>
    <w:rsid w:val="00864DC2"/>
    <w:rsid w:val="00871806"/>
    <w:rsid w:val="00875F3E"/>
    <w:rsid w:val="00876B7D"/>
    <w:rsid w:val="0088391F"/>
    <w:rsid w:val="00884ECF"/>
    <w:rsid w:val="00887E84"/>
    <w:rsid w:val="00892B58"/>
    <w:rsid w:val="00892C71"/>
    <w:rsid w:val="0089382E"/>
    <w:rsid w:val="00893951"/>
    <w:rsid w:val="008A1FE8"/>
    <w:rsid w:val="008A44AE"/>
    <w:rsid w:val="008A673F"/>
    <w:rsid w:val="008B301B"/>
    <w:rsid w:val="008B76F4"/>
    <w:rsid w:val="008C689B"/>
    <w:rsid w:val="008D288A"/>
    <w:rsid w:val="008D3C57"/>
    <w:rsid w:val="008E075B"/>
    <w:rsid w:val="008E3922"/>
    <w:rsid w:val="008E455D"/>
    <w:rsid w:val="00900CDA"/>
    <w:rsid w:val="009028FD"/>
    <w:rsid w:val="00905441"/>
    <w:rsid w:val="0090690A"/>
    <w:rsid w:val="009077BC"/>
    <w:rsid w:val="009157A4"/>
    <w:rsid w:val="009169AF"/>
    <w:rsid w:val="00917FED"/>
    <w:rsid w:val="00920C1E"/>
    <w:rsid w:val="00922F44"/>
    <w:rsid w:val="00926A72"/>
    <w:rsid w:val="00927939"/>
    <w:rsid w:val="00930B17"/>
    <w:rsid w:val="0093178C"/>
    <w:rsid w:val="0093754A"/>
    <w:rsid w:val="0094052D"/>
    <w:rsid w:val="00944C49"/>
    <w:rsid w:val="00946942"/>
    <w:rsid w:val="0095093F"/>
    <w:rsid w:val="00954FAE"/>
    <w:rsid w:val="009565C6"/>
    <w:rsid w:val="00957DDC"/>
    <w:rsid w:val="00965100"/>
    <w:rsid w:val="009678D8"/>
    <w:rsid w:val="00967EBD"/>
    <w:rsid w:val="00970C26"/>
    <w:rsid w:val="009723CD"/>
    <w:rsid w:val="00974989"/>
    <w:rsid w:val="0097535D"/>
    <w:rsid w:val="00975CEA"/>
    <w:rsid w:val="00985BE4"/>
    <w:rsid w:val="00986B61"/>
    <w:rsid w:val="009943A6"/>
    <w:rsid w:val="009A3696"/>
    <w:rsid w:val="009A5AA4"/>
    <w:rsid w:val="009B055F"/>
    <w:rsid w:val="009B2186"/>
    <w:rsid w:val="009B2A99"/>
    <w:rsid w:val="009C2BC8"/>
    <w:rsid w:val="009D65E5"/>
    <w:rsid w:val="009D7EDD"/>
    <w:rsid w:val="009E10AF"/>
    <w:rsid w:val="009F1268"/>
    <w:rsid w:val="009F245E"/>
    <w:rsid w:val="00A0101E"/>
    <w:rsid w:val="00A028A1"/>
    <w:rsid w:val="00A037C8"/>
    <w:rsid w:val="00A115F0"/>
    <w:rsid w:val="00A1544F"/>
    <w:rsid w:val="00A2461B"/>
    <w:rsid w:val="00A34D83"/>
    <w:rsid w:val="00A35EBF"/>
    <w:rsid w:val="00A36C49"/>
    <w:rsid w:val="00A46E11"/>
    <w:rsid w:val="00A46F41"/>
    <w:rsid w:val="00A63338"/>
    <w:rsid w:val="00A65768"/>
    <w:rsid w:val="00A703F9"/>
    <w:rsid w:val="00A82E0F"/>
    <w:rsid w:val="00A862F4"/>
    <w:rsid w:val="00A93423"/>
    <w:rsid w:val="00A93540"/>
    <w:rsid w:val="00A94186"/>
    <w:rsid w:val="00A95ED5"/>
    <w:rsid w:val="00AA0B21"/>
    <w:rsid w:val="00AA2637"/>
    <w:rsid w:val="00AA723F"/>
    <w:rsid w:val="00AA7B58"/>
    <w:rsid w:val="00AB58C8"/>
    <w:rsid w:val="00AB604A"/>
    <w:rsid w:val="00AB77E0"/>
    <w:rsid w:val="00AC0509"/>
    <w:rsid w:val="00AC1039"/>
    <w:rsid w:val="00AC1CA0"/>
    <w:rsid w:val="00AC1D6D"/>
    <w:rsid w:val="00AC3C60"/>
    <w:rsid w:val="00AC5FC9"/>
    <w:rsid w:val="00AD1713"/>
    <w:rsid w:val="00AE0B67"/>
    <w:rsid w:val="00AE653B"/>
    <w:rsid w:val="00AF1E23"/>
    <w:rsid w:val="00AF7088"/>
    <w:rsid w:val="00B109F9"/>
    <w:rsid w:val="00B11317"/>
    <w:rsid w:val="00B15D5C"/>
    <w:rsid w:val="00B22A14"/>
    <w:rsid w:val="00B26B2F"/>
    <w:rsid w:val="00B30F18"/>
    <w:rsid w:val="00B31C88"/>
    <w:rsid w:val="00B32381"/>
    <w:rsid w:val="00B348C5"/>
    <w:rsid w:val="00B427EC"/>
    <w:rsid w:val="00B47740"/>
    <w:rsid w:val="00B571F4"/>
    <w:rsid w:val="00B61CCA"/>
    <w:rsid w:val="00B66FDB"/>
    <w:rsid w:val="00B670BE"/>
    <w:rsid w:val="00B70413"/>
    <w:rsid w:val="00B72260"/>
    <w:rsid w:val="00B75848"/>
    <w:rsid w:val="00B75B2C"/>
    <w:rsid w:val="00B76929"/>
    <w:rsid w:val="00B77B2A"/>
    <w:rsid w:val="00B85276"/>
    <w:rsid w:val="00B966EB"/>
    <w:rsid w:val="00B9786B"/>
    <w:rsid w:val="00BA018D"/>
    <w:rsid w:val="00BA712E"/>
    <w:rsid w:val="00BB136C"/>
    <w:rsid w:val="00BC123B"/>
    <w:rsid w:val="00BD2636"/>
    <w:rsid w:val="00BD6202"/>
    <w:rsid w:val="00BD6916"/>
    <w:rsid w:val="00BE75C4"/>
    <w:rsid w:val="00BF1587"/>
    <w:rsid w:val="00C14BA2"/>
    <w:rsid w:val="00C14C6F"/>
    <w:rsid w:val="00C17D0E"/>
    <w:rsid w:val="00C21E57"/>
    <w:rsid w:val="00C425EE"/>
    <w:rsid w:val="00C5011F"/>
    <w:rsid w:val="00C53269"/>
    <w:rsid w:val="00C60291"/>
    <w:rsid w:val="00C63371"/>
    <w:rsid w:val="00C63BCA"/>
    <w:rsid w:val="00C7280B"/>
    <w:rsid w:val="00C746B6"/>
    <w:rsid w:val="00C77F04"/>
    <w:rsid w:val="00C80EA7"/>
    <w:rsid w:val="00C81369"/>
    <w:rsid w:val="00C82263"/>
    <w:rsid w:val="00C82283"/>
    <w:rsid w:val="00C9114E"/>
    <w:rsid w:val="00CA5C63"/>
    <w:rsid w:val="00CA6C16"/>
    <w:rsid w:val="00CA7318"/>
    <w:rsid w:val="00CC1E3E"/>
    <w:rsid w:val="00CC20A8"/>
    <w:rsid w:val="00CC251D"/>
    <w:rsid w:val="00CC382B"/>
    <w:rsid w:val="00CD1B4D"/>
    <w:rsid w:val="00CD21C2"/>
    <w:rsid w:val="00CD6993"/>
    <w:rsid w:val="00CE0B38"/>
    <w:rsid w:val="00CE4712"/>
    <w:rsid w:val="00CE5058"/>
    <w:rsid w:val="00CF1CF4"/>
    <w:rsid w:val="00CF54CF"/>
    <w:rsid w:val="00CF672D"/>
    <w:rsid w:val="00D00BA7"/>
    <w:rsid w:val="00D06673"/>
    <w:rsid w:val="00D17BAA"/>
    <w:rsid w:val="00D21BEF"/>
    <w:rsid w:val="00D23E36"/>
    <w:rsid w:val="00D278A9"/>
    <w:rsid w:val="00D35263"/>
    <w:rsid w:val="00D41618"/>
    <w:rsid w:val="00D420E1"/>
    <w:rsid w:val="00D47E55"/>
    <w:rsid w:val="00D50B3C"/>
    <w:rsid w:val="00D5356E"/>
    <w:rsid w:val="00D6223C"/>
    <w:rsid w:val="00D66F13"/>
    <w:rsid w:val="00D71C85"/>
    <w:rsid w:val="00D73907"/>
    <w:rsid w:val="00D772A6"/>
    <w:rsid w:val="00DA1197"/>
    <w:rsid w:val="00DA295A"/>
    <w:rsid w:val="00DA5001"/>
    <w:rsid w:val="00DB125A"/>
    <w:rsid w:val="00DB37D3"/>
    <w:rsid w:val="00DB6DA1"/>
    <w:rsid w:val="00DB7565"/>
    <w:rsid w:val="00DC5465"/>
    <w:rsid w:val="00DC762F"/>
    <w:rsid w:val="00DD255D"/>
    <w:rsid w:val="00DD5987"/>
    <w:rsid w:val="00DD68A8"/>
    <w:rsid w:val="00DE0599"/>
    <w:rsid w:val="00DE30C2"/>
    <w:rsid w:val="00DE44F9"/>
    <w:rsid w:val="00DE7DFA"/>
    <w:rsid w:val="00DF0048"/>
    <w:rsid w:val="00DF188B"/>
    <w:rsid w:val="00DF2D6B"/>
    <w:rsid w:val="00DF2FAD"/>
    <w:rsid w:val="00DF3BD3"/>
    <w:rsid w:val="00E00750"/>
    <w:rsid w:val="00E0144F"/>
    <w:rsid w:val="00E01C04"/>
    <w:rsid w:val="00E02D2D"/>
    <w:rsid w:val="00E03409"/>
    <w:rsid w:val="00E04CC3"/>
    <w:rsid w:val="00E1207E"/>
    <w:rsid w:val="00E134B1"/>
    <w:rsid w:val="00E147DF"/>
    <w:rsid w:val="00E14D38"/>
    <w:rsid w:val="00E218D3"/>
    <w:rsid w:val="00E26BC9"/>
    <w:rsid w:val="00E32B25"/>
    <w:rsid w:val="00E33A02"/>
    <w:rsid w:val="00E35A37"/>
    <w:rsid w:val="00E37AEF"/>
    <w:rsid w:val="00E402AC"/>
    <w:rsid w:val="00E51BED"/>
    <w:rsid w:val="00E5314C"/>
    <w:rsid w:val="00E5570A"/>
    <w:rsid w:val="00E57535"/>
    <w:rsid w:val="00E657BD"/>
    <w:rsid w:val="00E71088"/>
    <w:rsid w:val="00E7190F"/>
    <w:rsid w:val="00E7313D"/>
    <w:rsid w:val="00E81E2A"/>
    <w:rsid w:val="00E82325"/>
    <w:rsid w:val="00E91B2D"/>
    <w:rsid w:val="00E92C3A"/>
    <w:rsid w:val="00E937F9"/>
    <w:rsid w:val="00E9490F"/>
    <w:rsid w:val="00E94A9A"/>
    <w:rsid w:val="00EB28BE"/>
    <w:rsid w:val="00EB3501"/>
    <w:rsid w:val="00EB43D0"/>
    <w:rsid w:val="00EB579B"/>
    <w:rsid w:val="00EB5ADD"/>
    <w:rsid w:val="00EB6639"/>
    <w:rsid w:val="00EB78D8"/>
    <w:rsid w:val="00EC0F03"/>
    <w:rsid w:val="00EC577D"/>
    <w:rsid w:val="00EC7DC8"/>
    <w:rsid w:val="00ED372F"/>
    <w:rsid w:val="00ED481C"/>
    <w:rsid w:val="00ED70CA"/>
    <w:rsid w:val="00EE1E64"/>
    <w:rsid w:val="00EE31E0"/>
    <w:rsid w:val="00EF118C"/>
    <w:rsid w:val="00EF497A"/>
    <w:rsid w:val="00EF6CC4"/>
    <w:rsid w:val="00F0044E"/>
    <w:rsid w:val="00F02B92"/>
    <w:rsid w:val="00F10DF8"/>
    <w:rsid w:val="00F177D2"/>
    <w:rsid w:val="00F22923"/>
    <w:rsid w:val="00F22E2B"/>
    <w:rsid w:val="00F23886"/>
    <w:rsid w:val="00F277CA"/>
    <w:rsid w:val="00F303FE"/>
    <w:rsid w:val="00F31AC2"/>
    <w:rsid w:val="00F32EF4"/>
    <w:rsid w:val="00F37575"/>
    <w:rsid w:val="00F37923"/>
    <w:rsid w:val="00F37F38"/>
    <w:rsid w:val="00F42249"/>
    <w:rsid w:val="00F46ED3"/>
    <w:rsid w:val="00F5021A"/>
    <w:rsid w:val="00F5357E"/>
    <w:rsid w:val="00F5375C"/>
    <w:rsid w:val="00F54F72"/>
    <w:rsid w:val="00F56EDA"/>
    <w:rsid w:val="00F63F23"/>
    <w:rsid w:val="00F6532D"/>
    <w:rsid w:val="00F709E9"/>
    <w:rsid w:val="00F70DC5"/>
    <w:rsid w:val="00F72AE5"/>
    <w:rsid w:val="00F75419"/>
    <w:rsid w:val="00F7603D"/>
    <w:rsid w:val="00F80D61"/>
    <w:rsid w:val="00F815C5"/>
    <w:rsid w:val="00F83CCE"/>
    <w:rsid w:val="00F84577"/>
    <w:rsid w:val="00F852FC"/>
    <w:rsid w:val="00F9158A"/>
    <w:rsid w:val="00F92CEA"/>
    <w:rsid w:val="00FA42BB"/>
    <w:rsid w:val="00FA4C7F"/>
    <w:rsid w:val="00FA5DCE"/>
    <w:rsid w:val="00FB59EB"/>
    <w:rsid w:val="00FB73B6"/>
    <w:rsid w:val="00FC0892"/>
    <w:rsid w:val="00FC2246"/>
    <w:rsid w:val="00FC344A"/>
    <w:rsid w:val="00FC3EB5"/>
    <w:rsid w:val="00FC5A51"/>
    <w:rsid w:val="00FE01D6"/>
    <w:rsid w:val="026222AF"/>
    <w:rsid w:val="028F1633"/>
    <w:rsid w:val="0801D89A"/>
    <w:rsid w:val="080B6EA4"/>
    <w:rsid w:val="0A6D5716"/>
    <w:rsid w:val="0AC56F65"/>
    <w:rsid w:val="0AD40B4E"/>
    <w:rsid w:val="0BEFDC98"/>
    <w:rsid w:val="0DB3A94A"/>
    <w:rsid w:val="0F9DC32D"/>
    <w:rsid w:val="0FF1D1D6"/>
    <w:rsid w:val="103F628B"/>
    <w:rsid w:val="1055E19D"/>
    <w:rsid w:val="119B0BDE"/>
    <w:rsid w:val="11D125D6"/>
    <w:rsid w:val="11E10FD5"/>
    <w:rsid w:val="13090AEB"/>
    <w:rsid w:val="157E1FA0"/>
    <w:rsid w:val="16841989"/>
    <w:rsid w:val="16EDFDF2"/>
    <w:rsid w:val="181E5653"/>
    <w:rsid w:val="181FE9EA"/>
    <w:rsid w:val="1B578AAC"/>
    <w:rsid w:val="1DC6081D"/>
    <w:rsid w:val="1E79C808"/>
    <w:rsid w:val="1F566574"/>
    <w:rsid w:val="20453039"/>
    <w:rsid w:val="256BABF4"/>
    <w:rsid w:val="274E42AF"/>
    <w:rsid w:val="2B4F2944"/>
    <w:rsid w:val="3807A9CE"/>
    <w:rsid w:val="392E2127"/>
    <w:rsid w:val="3A978916"/>
    <w:rsid w:val="3AC9F188"/>
    <w:rsid w:val="3B8C60DB"/>
    <w:rsid w:val="419F1CFB"/>
    <w:rsid w:val="42A86FAD"/>
    <w:rsid w:val="44476DB4"/>
    <w:rsid w:val="4450565E"/>
    <w:rsid w:val="455D41AE"/>
    <w:rsid w:val="48896F66"/>
    <w:rsid w:val="4AE7160D"/>
    <w:rsid w:val="4EE29549"/>
    <w:rsid w:val="50053698"/>
    <w:rsid w:val="512C638B"/>
    <w:rsid w:val="562A9C89"/>
    <w:rsid w:val="565AF41B"/>
    <w:rsid w:val="56C18DC8"/>
    <w:rsid w:val="57504AA5"/>
    <w:rsid w:val="5BD0BABC"/>
    <w:rsid w:val="5C459B93"/>
    <w:rsid w:val="5E4D9EE9"/>
    <w:rsid w:val="5F0A1090"/>
    <w:rsid w:val="5F0F752F"/>
    <w:rsid w:val="5FDBB9F7"/>
    <w:rsid w:val="6549C2A8"/>
    <w:rsid w:val="657FA37E"/>
    <w:rsid w:val="65C90A77"/>
    <w:rsid w:val="65FEB5CA"/>
    <w:rsid w:val="6764DAD8"/>
    <w:rsid w:val="691D2E2F"/>
    <w:rsid w:val="698C3247"/>
    <w:rsid w:val="6DD8463D"/>
    <w:rsid w:val="6DF09F52"/>
    <w:rsid w:val="73D41CA2"/>
    <w:rsid w:val="7C2B7A89"/>
    <w:rsid w:val="7C643425"/>
    <w:rsid w:val="7E5AF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58FBA0C"/>
  <w15:docId w15:val="{F3F326B1-778A-4204-8875-7CBAC630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Courier 10cpi" w:hAnsi="Courier 10cpi"/>
    </w:rPr>
  </w:style>
  <w:style w:type="paragraph" w:styleId="Heading1">
    <w:name w:val="heading 1"/>
    <w:basedOn w:val="Normal"/>
    <w:next w:val="Normal"/>
    <w:qFormat/>
    <w:pPr>
      <w:keepNext/>
      <w:tabs>
        <w:tab w:val="left" w:pos="960"/>
        <w:tab w:val="right" w:pos="9240"/>
      </w:tabs>
      <w:autoSpaceDE/>
      <w:autoSpaceDN/>
      <w:adjustRightInd/>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 w:val="24"/>
      <w:szCs w:val="24"/>
    </w:rPr>
  </w:style>
  <w:style w:type="paragraph" w:styleId="BodyText2">
    <w:name w:val="Body Text 2"/>
    <w:basedOn w:val="Normal"/>
    <w:pPr>
      <w:ind w:firstLine="720"/>
      <w:jc w:val="both"/>
    </w:pPr>
    <w:rPr>
      <w:sz w:val="24"/>
      <w:szCs w:val="24"/>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NormalWeb">
    <w:name w:val="Normal (Web)"/>
    <w:basedOn w:val="Normal"/>
    <w:pPr>
      <w:autoSpaceDE/>
      <w:autoSpaceDN/>
      <w:adjustRightInd/>
      <w:spacing w:before="100" w:beforeAutospacing="1" w:after="100" w:afterAutospacing="1"/>
    </w:pPr>
    <w:rPr>
      <w:rFonts w:ascii="Times New Roman" w:hAnsi="Times New Roman"/>
      <w:sz w:val="24"/>
      <w:szCs w:val="24"/>
    </w:rPr>
  </w:style>
  <w:style w:type="character" w:styleId="Strong">
    <w:name w:val="Strong"/>
    <w:qFormat/>
    <w:rPr>
      <w:b/>
      <w:bCs/>
    </w:rPr>
  </w:style>
  <w:style w:type="paragraph" w:customStyle="1" w:styleId="SL-FlLftSgl">
    <w:name w:val="SL-Fl Lft Sgl"/>
    <w:pPr>
      <w:spacing w:line="240" w:lineRule="atLeast"/>
      <w:jc w:val="both"/>
    </w:pPr>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TOC1">
    <w:name w:val="toc 1"/>
    <w:basedOn w:val="Normal"/>
    <w:next w:val="Normal"/>
    <w:autoRedefine/>
    <w:semiHidden/>
  </w:style>
  <w:style w:type="paragraph" w:styleId="TOC2">
    <w:name w:val="toc 2"/>
    <w:basedOn w:val="Normal"/>
    <w:next w:val="Normal"/>
    <w:autoRedefine/>
    <w:semiHidden/>
    <w:pPr>
      <w:tabs>
        <w:tab w:val="right" w:pos="9350"/>
      </w:tabs>
      <w:ind w:left="200"/>
    </w:pPr>
    <w:rPr>
      <w:rFonts w:ascii="Times New Roman" w:hAnsi="Times New Roman"/>
      <w:noProof/>
      <w:sz w:val="22"/>
      <w:szCs w:val="22"/>
    </w:rPr>
  </w:style>
  <w:style w:type="paragraph" w:styleId="TOC3">
    <w:name w:val="toc 3"/>
    <w:basedOn w:val="Normal"/>
    <w:next w:val="Normal"/>
    <w:autoRedefine/>
    <w:semiHidden/>
    <w:pPr>
      <w:ind w:left="400"/>
    </w:pPr>
  </w:style>
  <w:style w:type="character" w:styleId="CommentReference">
    <w:name w:val="annotation reference"/>
    <w:uiPriority w:val="99"/>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rsid w:val="00986B61"/>
    <w:pPr>
      <w:spacing w:after="120"/>
      <w:ind w:left="360"/>
    </w:pPr>
  </w:style>
  <w:style w:type="character" w:customStyle="1" w:styleId="BodyTextIndentChar">
    <w:name w:val="Body Text Indent Char"/>
    <w:link w:val="BodyTextIndent"/>
    <w:rsid w:val="00986B61"/>
    <w:rPr>
      <w:rFonts w:ascii="Courier 10cpi" w:hAnsi="Courier 10cpi"/>
    </w:rPr>
  </w:style>
  <w:style w:type="paragraph" w:styleId="ListParagraph">
    <w:name w:val="List Paragraph"/>
    <w:basedOn w:val="Normal"/>
    <w:uiPriority w:val="34"/>
    <w:qFormat/>
    <w:rsid w:val="00773576"/>
    <w:pPr>
      <w:autoSpaceDE/>
      <w:autoSpaceDN/>
      <w:adjustRightInd/>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9943A6"/>
    <w:rPr>
      <w:rFonts w:ascii="Courier 10cpi" w:hAnsi="Courier 10cpi"/>
    </w:rPr>
  </w:style>
  <w:style w:type="character" w:customStyle="1" w:styleId="FootnoteTextChar">
    <w:name w:val="Footnote Text Char"/>
    <w:link w:val="FootnoteText"/>
    <w:uiPriority w:val="99"/>
    <w:semiHidden/>
    <w:rsid w:val="00AF1E23"/>
    <w:rPr>
      <w:rFonts w:ascii="Courier 10cpi" w:hAnsi="Courier 10cpi"/>
    </w:rPr>
  </w:style>
  <w:style w:type="character" w:styleId="FollowedHyperlink">
    <w:name w:val="FollowedHyperlink"/>
    <w:rsid w:val="0076293C"/>
    <w:rPr>
      <w:color w:val="800080"/>
      <w:u w:val="single"/>
    </w:rPr>
  </w:style>
  <w:style w:type="character" w:customStyle="1" w:styleId="HeaderChar">
    <w:name w:val="Header Char"/>
    <w:link w:val="Header"/>
    <w:uiPriority w:val="99"/>
    <w:rsid w:val="002E3ECD"/>
    <w:rPr>
      <w:rFonts w:ascii="Courier 10cpi" w:hAnsi="Courier 10cpi"/>
    </w:rPr>
  </w:style>
  <w:style w:type="paragraph" w:customStyle="1" w:styleId="FigureTitle">
    <w:name w:val="Figure Title"/>
    <w:basedOn w:val="Normal"/>
    <w:uiPriority w:val="99"/>
    <w:rsid w:val="00581DB5"/>
    <w:pPr>
      <w:keepNext/>
      <w:keepLines/>
      <w:autoSpaceDE/>
      <w:autoSpaceDN/>
      <w:adjustRightInd/>
      <w:spacing w:before="240" w:after="240"/>
    </w:pPr>
    <w:rPr>
      <w:rFonts w:ascii="Times New Roman" w:hAnsi="Times New Roman"/>
      <w:b/>
      <w:sz w:val="24"/>
    </w:rPr>
  </w:style>
  <w:style w:type="character" w:customStyle="1" w:styleId="bodytextChar">
    <w:name w:val="body text Char"/>
    <w:aliases w:val="bt Char,body tx Char,indent Char1,flush Char Char,indent Char,flush Char"/>
    <w:link w:val="BodyText1"/>
    <w:locked/>
    <w:rsid w:val="00CE4712"/>
    <w:rPr>
      <w:sz w:val="24"/>
    </w:rPr>
  </w:style>
  <w:style w:type="paragraph" w:customStyle="1" w:styleId="BodyText1">
    <w:name w:val="Body Text1"/>
    <w:aliases w:val="bt,body tx,indent,flush,body text"/>
    <w:basedOn w:val="Normal"/>
    <w:link w:val="bodytextChar"/>
    <w:rsid w:val="00CE4712"/>
    <w:pPr>
      <w:autoSpaceDE/>
      <w:autoSpaceDN/>
      <w:adjustRightInd/>
      <w:spacing w:after="120" w:line="360" w:lineRule="auto"/>
      <w:ind w:firstLine="720"/>
    </w:pPr>
    <w:rPr>
      <w:rFonts w:ascii="Times New Roman" w:hAnsi="Times New Roman"/>
      <w:sz w:val="24"/>
    </w:rPr>
  </w:style>
  <w:style w:type="paragraph" w:customStyle="1" w:styleId="TableHeaders">
    <w:name w:val="Table Headers"/>
    <w:basedOn w:val="Normal"/>
    <w:uiPriority w:val="99"/>
    <w:rsid w:val="00CE4712"/>
    <w:pPr>
      <w:autoSpaceDE/>
      <w:autoSpaceDN/>
      <w:adjustRightInd/>
      <w:spacing w:before="40" w:after="40"/>
      <w:jc w:val="center"/>
    </w:pPr>
    <w:rPr>
      <w:rFonts w:ascii="Times New Roman" w:hAnsi="Times New Roman"/>
      <w:b/>
      <w:bCs/>
      <w:sz w:val="22"/>
      <w:szCs w:val="22"/>
    </w:rPr>
  </w:style>
  <w:style w:type="paragraph" w:styleId="BodyText">
    <w:name w:val="Body Text"/>
    <w:basedOn w:val="Normal"/>
    <w:link w:val="BodyTextChar0"/>
    <w:semiHidden/>
    <w:unhideWhenUsed/>
    <w:rsid w:val="00633961"/>
    <w:pPr>
      <w:spacing w:after="120"/>
    </w:pPr>
  </w:style>
  <w:style w:type="character" w:customStyle="1" w:styleId="BodyTextChar0">
    <w:name w:val="Body Text Char"/>
    <w:basedOn w:val="DefaultParagraphFont"/>
    <w:link w:val="BodyText"/>
    <w:semiHidden/>
    <w:rsid w:val="00633961"/>
    <w:rPr>
      <w:rFonts w:ascii="Courier 10cpi" w:hAnsi="Courier 10cpi"/>
    </w:rPr>
  </w:style>
  <w:style w:type="character" w:styleId="UnresolvedMention">
    <w:name w:val="Unresolved Mention"/>
    <w:basedOn w:val="DefaultParagraphFont"/>
    <w:uiPriority w:val="99"/>
    <w:semiHidden/>
    <w:unhideWhenUsed/>
    <w:rsid w:val="00157A67"/>
    <w:rPr>
      <w:color w:val="605E5C"/>
      <w:shd w:val="clear" w:color="auto" w:fill="E1DFDD"/>
    </w:rPr>
  </w:style>
  <w:style w:type="character" w:customStyle="1" w:styleId="authors">
    <w:name w:val="authors"/>
    <w:basedOn w:val="DefaultParagraphFont"/>
    <w:rsid w:val="00871806"/>
  </w:style>
  <w:style w:type="character" w:customStyle="1" w:styleId="Date1">
    <w:name w:val="Date1"/>
    <w:basedOn w:val="DefaultParagraphFont"/>
    <w:rsid w:val="00871806"/>
  </w:style>
  <w:style w:type="character" w:customStyle="1" w:styleId="arttitle">
    <w:name w:val="art_title"/>
    <w:basedOn w:val="DefaultParagraphFont"/>
    <w:rsid w:val="00871806"/>
  </w:style>
  <w:style w:type="character" w:customStyle="1" w:styleId="serialtitle">
    <w:name w:val="serial_title"/>
    <w:basedOn w:val="DefaultParagraphFont"/>
    <w:rsid w:val="00871806"/>
  </w:style>
  <w:style w:type="character" w:customStyle="1" w:styleId="volumeissue">
    <w:name w:val="volume_issue"/>
    <w:basedOn w:val="DefaultParagraphFont"/>
    <w:rsid w:val="00871806"/>
  </w:style>
  <w:style w:type="character" w:customStyle="1" w:styleId="pagerange">
    <w:name w:val="page_range"/>
    <w:basedOn w:val="DefaultParagraphFont"/>
    <w:rsid w:val="00871806"/>
  </w:style>
  <w:style w:type="paragraph" w:styleId="Revision">
    <w:name w:val="Revision"/>
    <w:hidden/>
    <w:uiPriority w:val="99"/>
    <w:semiHidden/>
    <w:rsid w:val="003E31F0"/>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454">
      <w:bodyDiv w:val="1"/>
      <w:marLeft w:val="0"/>
      <w:marRight w:val="0"/>
      <w:marTop w:val="0"/>
      <w:marBottom w:val="0"/>
      <w:divBdr>
        <w:top w:val="none" w:sz="0" w:space="0" w:color="auto"/>
        <w:left w:val="none" w:sz="0" w:space="0" w:color="auto"/>
        <w:bottom w:val="none" w:sz="0" w:space="0" w:color="auto"/>
        <w:right w:val="none" w:sz="0" w:space="0" w:color="auto"/>
      </w:divBdr>
    </w:div>
    <w:div w:id="297413979">
      <w:bodyDiv w:val="1"/>
      <w:marLeft w:val="0"/>
      <w:marRight w:val="0"/>
      <w:marTop w:val="0"/>
      <w:marBottom w:val="0"/>
      <w:divBdr>
        <w:top w:val="none" w:sz="0" w:space="0" w:color="auto"/>
        <w:left w:val="none" w:sz="0" w:space="0" w:color="auto"/>
        <w:bottom w:val="none" w:sz="0" w:space="0" w:color="auto"/>
        <w:right w:val="none" w:sz="0" w:space="0" w:color="auto"/>
      </w:divBdr>
    </w:div>
    <w:div w:id="367411148">
      <w:bodyDiv w:val="1"/>
      <w:marLeft w:val="0"/>
      <w:marRight w:val="0"/>
      <w:marTop w:val="0"/>
      <w:marBottom w:val="0"/>
      <w:divBdr>
        <w:top w:val="none" w:sz="0" w:space="0" w:color="auto"/>
        <w:left w:val="none" w:sz="0" w:space="0" w:color="auto"/>
        <w:bottom w:val="none" w:sz="0" w:space="0" w:color="auto"/>
        <w:right w:val="none" w:sz="0" w:space="0" w:color="auto"/>
      </w:divBdr>
    </w:div>
    <w:div w:id="459304198">
      <w:bodyDiv w:val="1"/>
      <w:marLeft w:val="0"/>
      <w:marRight w:val="0"/>
      <w:marTop w:val="0"/>
      <w:marBottom w:val="0"/>
      <w:divBdr>
        <w:top w:val="none" w:sz="0" w:space="0" w:color="auto"/>
        <w:left w:val="none" w:sz="0" w:space="0" w:color="auto"/>
        <w:bottom w:val="none" w:sz="0" w:space="0" w:color="auto"/>
        <w:right w:val="none" w:sz="0" w:space="0" w:color="auto"/>
      </w:divBdr>
    </w:div>
    <w:div w:id="495806632">
      <w:bodyDiv w:val="1"/>
      <w:marLeft w:val="0"/>
      <w:marRight w:val="0"/>
      <w:marTop w:val="0"/>
      <w:marBottom w:val="0"/>
      <w:divBdr>
        <w:top w:val="none" w:sz="0" w:space="0" w:color="auto"/>
        <w:left w:val="none" w:sz="0" w:space="0" w:color="auto"/>
        <w:bottom w:val="none" w:sz="0" w:space="0" w:color="auto"/>
        <w:right w:val="none" w:sz="0" w:space="0" w:color="auto"/>
      </w:divBdr>
    </w:div>
    <w:div w:id="663823284">
      <w:bodyDiv w:val="1"/>
      <w:marLeft w:val="0"/>
      <w:marRight w:val="0"/>
      <w:marTop w:val="0"/>
      <w:marBottom w:val="0"/>
      <w:divBdr>
        <w:top w:val="none" w:sz="0" w:space="0" w:color="auto"/>
        <w:left w:val="none" w:sz="0" w:space="0" w:color="auto"/>
        <w:bottom w:val="none" w:sz="0" w:space="0" w:color="auto"/>
        <w:right w:val="none" w:sz="0" w:space="0" w:color="auto"/>
      </w:divBdr>
    </w:div>
    <w:div w:id="888498228">
      <w:bodyDiv w:val="1"/>
      <w:marLeft w:val="0"/>
      <w:marRight w:val="0"/>
      <w:marTop w:val="0"/>
      <w:marBottom w:val="0"/>
      <w:divBdr>
        <w:top w:val="none" w:sz="0" w:space="0" w:color="auto"/>
        <w:left w:val="none" w:sz="0" w:space="0" w:color="auto"/>
        <w:bottom w:val="none" w:sz="0" w:space="0" w:color="auto"/>
        <w:right w:val="none" w:sz="0" w:space="0" w:color="auto"/>
      </w:divBdr>
    </w:div>
    <w:div w:id="994339807">
      <w:bodyDiv w:val="1"/>
      <w:marLeft w:val="0"/>
      <w:marRight w:val="0"/>
      <w:marTop w:val="0"/>
      <w:marBottom w:val="0"/>
      <w:divBdr>
        <w:top w:val="none" w:sz="0" w:space="0" w:color="auto"/>
        <w:left w:val="none" w:sz="0" w:space="0" w:color="auto"/>
        <w:bottom w:val="none" w:sz="0" w:space="0" w:color="auto"/>
        <w:right w:val="none" w:sz="0" w:space="0" w:color="auto"/>
      </w:divBdr>
    </w:div>
    <w:div w:id="1095127882">
      <w:bodyDiv w:val="1"/>
      <w:marLeft w:val="0"/>
      <w:marRight w:val="0"/>
      <w:marTop w:val="0"/>
      <w:marBottom w:val="0"/>
      <w:divBdr>
        <w:top w:val="none" w:sz="0" w:space="0" w:color="auto"/>
        <w:left w:val="none" w:sz="0" w:space="0" w:color="auto"/>
        <w:bottom w:val="none" w:sz="0" w:space="0" w:color="auto"/>
        <w:right w:val="none" w:sz="0" w:space="0" w:color="auto"/>
      </w:divBdr>
    </w:div>
    <w:div w:id="1445540336">
      <w:bodyDiv w:val="1"/>
      <w:marLeft w:val="0"/>
      <w:marRight w:val="0"/>
      <w:marTop w:val="0"/>
      <w:marBottom w:val="0"/>
      <w:divBdr>
        <w:top w:val="none" w:sz="0" w:space="0" w:color="auto"/>
        <w:left w:val="none" w:sz="0" w:space="0" w:color="auto"/>
        <w:bottom w:val="none" w:sz="0" w:space="0" w:color="auto"/>
        <w:right w:val="none" w:sz="0" w:space="0" w:color="auto"/>
      </w:divBdr>
    </w:div>
    <w:div w:id="1510291832">
      <w:bodyDiv w:val="1"/>
      <w:marLeft w:val="0"/>
      <w:marRight w:val="0"/>
      <w:marTop w:val="0"/>
      <w:marBottom w:val="0"/>
      <w:divBdr>
        <w:top w:val="none" w:sz="0" w:space="0" w:color="auto"/>
        <w:left w:val="none" w:sz="0" w:space="0" w:color="auto"/>
        <w:bottom w:val="none" w:sz="0" w:space="0" w:color="auto"/>
        <w:right w:val="none" w:sz="0" w:space="0" w:color="auto"/>
      </w:divBdr>
    </w:div>
    <w:div w:id="1623806899">
      <w:bodyDiv w:val="1"/>
      <w:marLeft w:val="0"/>
      <w:marRight w:val="0"/>
      <w:marTop w:val="0"/>
      <w:marBottom w:val="0"/>
      <w:divBdr>
        <w:top w:val="none" w:sz="0" w:space="0" w:color="auto"/>
        <w:left w:val="none" w:sz="0" w:space="0" w:color="auto"/>
        <w:bottom w:val="none" w:sz="0" w:space="0" w:color="auto"/>
        <w:right w:val="none" w:sz="0" w:space="0" w:color="auto"/>
      </w:divBdr>
    </w:div>
    <w:div w:id="1635019838">
      <w:bodyDiv w:val="1"/>
      <w:marLeft w:val="0"/>
      <w:marRight w:val="0"/>
      <w:marTop w:val="0"/>
      <w:marBottom w:val="0"/>
      <w:divBdr>
        <w:top w:val="none" w:sz="0" w:space="0" w:color="auto"/>
        <w:left w:val="none" w:sz="0" w:space="0" w:color="auto"/>
        <w:bottom w:val="none" w:sz="0" w:space="0" w:color="auto"/>
        <w:right w:val="none" w:sz="0" w:space="0" w:color="auto"/>
      </w:divBdr>
    </w:div>
    <w:div w:id="1995451971">
      <w:bodyDiv w:val="1"/>
      <w:marLeft w:val="0"/>
      <w:marRight w:val="0"/>
      <w:marTop w:val="0"/>
      <w:marBottom w:val="0"/>
      <w:divBdr>
        <w:top w:val="none" w:sz="0" w:space="0" w:color="auto"/>
        <w:left w:val="none" w:sz="0" w:space="0" w:color="auto"/>
        <w:bottom w:val="none" w:sz="0" w:space="0" w:color="auto"/>
        <w:right w:val="none" w:sz="0" w:space="0" w:color="auto"/>
      </w:divBdr>
    </w:div>
    <w:div w:id="20984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Peterson@fda.hhs.gov%0d" TargetMode="External"/><Relationship Id="rId13" Type="http://schemas.openxmlformats.org/officeDocument/2006/relationships/hyperlink" Target="https://www.lifepointspanel.com/en/priva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nonnemaker@rti.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gers@rti.org"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salary-tables/22Tables/html/DCB.aspx" TargetMode="External"/><Relationship Id="rId10" Type="http://schemas.openxmlformats.org/officeDocument/2006/relationships/hyperlink" Target="mailto:lbaum@rti.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einado@rti.org" TargetMode="External"/><Relationship Id="rId14"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1C0A-E624-48EF-9003-45981F39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4894</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Gittleson, Daniel</cp:lastModifiedBy>
  <cp:revision>2</cp:revision>
  <dcterms:created xsi:type="dcterms:W3CDTF">2022-08-08T20:54:00Z</dcterms:created>
  <dcterms:modified xsi:type="dcterms:W3CDTF">2022-08-08T20:54:00Z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