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10BF" w:rsidR="000E10BF" w:rsidP="000E10BF" w:rsidRDefault="000E10BF" w14:paraId="1F3502AF" w14:textId="77777777">
      <w:pPr>
        <w:tabs>
          <w:tab w:val="center" w:pos="4680"/>
          <w:tab w:val="right" w:pos="9360"/>
        </w:tabs>
        <w:contextualSpacing/>
        <w:jc w:val="right"/>
        <w:rPr>
          <w:rFonts w:eastAsiaTheme="minorHAnsi" w:cstheme="minorBidi"/>
          <w:b/>
          <w:sz w:val="22"/>
          <w:szCs w:val="22"/>
        </w:rPr>
      </w:pPr>
      <w:bookmarkStart w:name="_Hlk4767951" w:id="0"/>
      <w:r w:rsidRPr="000E10BF">
        <w:rPr>
          <w:rFonts w:eastAsiaTheme="minorHAnsi" w:cstheme="minorBidi"/>
          <w:b/>
          <w:sz w:val="22"/>
          <w:szCs w:val="22"/>
        </w:rPr>
        <w:t>OMB No. 0910-0810</w:t>
      </w:r>
    </w:p>
    <w:p w:rsidRPr="000E10BF" w:rsidR="000E10BF" w:rsidP="000E10BF" w:rsidRDefault="000E10BF" w14:paraId="4FB4A4E0" w14:textId="054E418D">
      <w:pPr>
        <w:tabs>
          <w:tab w:val="center" w:pos="4680"/>
          <w:tab w:val="right" w:pos="9360"/>
        </w:tabs>
        <w:contextualSpacing/>
        <w:jc w:val="right"/>
        <w:rPr>
          <w:rFonts w:eastAsiaTheme="minorHAnsi" w:cstheme="minorBidi"/>
          <w:b/>
          <w:sz w:val="22"/>
          <w:szCs w:val="22"/>
        </w:rPr>
      </w:pPr>
      <w:r w:rsidRPr="000E10BF">
        <w:rPr>
          <w:rFonts w:eastAsiaTheme="minorHAnsi" w:cstheme="minorBidi"/>
          <w:b/>
          <w:sz w:val="22"/>
          <w:szCs w:val="22"/>
        </w:rPr>
        <w:t xml:space="preserve">Exp. Date: </w:t>
      </w:r>
      <w:r w:rsidR="00A64FF1">
        <w:rPr>
          <w:rFonts w:eastAsiaTheme="minorHAnsi" w:cstheme="minorBidi"/>
          <w:b/>
          <w:sz w:val="22"/>
          <w:szCs w:val="22"/>
        </w:rPr>
        <w:t>12</w:t>
      </w:r>
      <w:r w:rsidRPr="000E10BF">
        <w:rPr>
          <w:rFonts w:eastAsiaTheme="minorHAnsi" w:cstheme="minorBidi"/>
          <w:b/>
          <w:sz w:val="22"/>
          <w:szCs w:val="22"/>
        </w:rPr>
        <w:t>/</w:t>
      </w:r>
      <w:r w:rsidR="00A64FF1">
        <w:rPr>
          <w:rFonts w:eastAsiaTheme="minorHAnsi" w:cstheme="minorBidi"/>
          <w:b/>
          <w:sz w:val="22"/>
          <w:szCs w:val="22"/>
        </w:rPr>
        <w:t>31</w:t>
      </w:r>
      <w:r w:rsidRPr="000E10BF">
        <w:rPr>
          <w:rFonts w:eastAsiaTheme="minorHAnsi" w:cstheme="minorBidi"/>
          <w:b/>
          <w:sz w:val="22"/>
          <w:szCs w:val="22"/>
        </w:rPr>
        <w:t>/20</w:t>
      </w:r>
      <w:r w:rsidR="00A64FF1">
        <w:rPr>
          <w:rFonts w:eastAsiaTheme="minorHAnsi" w:cstheme="minorBidi"/>
          <w:b/>
          <w:sz w:val="22"/>
          <w:szCs w:val="22"/>
        </w:rPr>
        <w:t>24</w:t>
      </w:r>
    </w:p>
    <w:bookmarkEnd w:id="0"/>
    <w:p w:rsidR="000E10BF" w:rsidP="000E10BF" w:rsidRDefault="0074660E" w14:paraId="351D3690" w14:textId="77777777">
      <w:pPr>
        <w:tabs>
          <w:tab w:val="center" w:pos="4680"/>
          <w:tab w:val="right" w:pos="9360"/>
        </w:tabs>
        <w:jc w:val="right"/>
        <w:outlineLvl w:val="0"/>
        <w:rPr>
          <w:b/>
          <w:sz w:val="22"/>
        </w:rPr>
      </w:pPr>
      <w:r>
        <w:rPr>
          <w:b/>
          <w:sz w:val="22"/>
        </w:rPr>
        <w:tab/>
      </w:r>
    </w:p>
    <w:p w:rsidRPr="0074660E" w:rsidR="0074660E" w:rsidP="000E10BF" w:rsidRDefault="0074660E" w14:paraId="769902B5" w14:textId="62A027A1">
      <w:pPr>
        <w:tabs>
          <w:tab w:val="center" w:pos="4680"/>
          <w:tab w:val="right" w:pos="9360"/>
        </w:tabs>
        <w:jc w:val="center"/>
        <w:outlineLvl w:val="0"/>
        <w:rPr>
          <w:b/>
          <w:sz w:val="22"/>
        </w:rPr>
      </w:pPr>
      <w:r w:rsidRPr="0074660E">
        <w:rPr>
          <w:b/>
          <w:sz w:val="22"/>
        </w:rPr>
        <w:t>U.S Food and Drug Administration</w:t>
      </w:r>
    </w:p>
    <w:p w:rsidR="001A2DFF" w:rsidP="000E10BF" w:rsidRDefault="0074660E" w14:paraId="308B9325" w14:textId="6F92BCB2">
      <w:pPr>
        <w:tabs>
          <w:tab w:val="center" w:pos="4680"/>
          <w:tab w:val="right" w:pos="9360"/>
        </w:tabs>
        <w:jc w:val="center"/>
        <w:outlineLvl w:val="0"/>
        <w:rPr>
          <w:b/>
          <w:sz w:val="22"/>
        </w:rPr>
      </w:pPr>
      <w:r w:rsidRPr="0074660E">
        <w:rPr>
          <w:b/>
          <w:sz w:val="22"/>
        </w:rPr>
        <w:t>Center for Tobacco Products</w:t>
      </w:r>
    </w:p>
    <w:p w:rsidR="001A2DFF" w:rsidP="006E71B8" w:rsidRDefault="001A2DFF" w14:paraId="7E414199" w14:textId="77777777">
      <w:pPr>
        <w:jc w:val="center"/>
        <w:outlineLvl w:val="0"/>
        <w:rPr>
          <w:b/>
          <w:sz w:val="22"/>
        </w:rPr>
      </w:pPr>
    </w:p>
    <w:p w:rsidR="006E71B8" w:rsidP="006E71B8" w:rsidRDefault="006E2C91" w14:paraId="43D318E3" w14:textId="4DC890FB">
      <w:pPr>
        <w:jc w:val="center"/>
        <w:outlineLvl w:val="0"/>
        <w:rPr>
          <w:b/>
          <w:sz w:val="22"/>
        </w:rPr>
      </w:pPr>
      <w:r>
        <w:rPr>
          <w:b/>
          <w:sz w:val="22"/>
        </w:rPr>
        <w:t xml:space="preserve">Promising Themes </w:t>
      </w:r>
      <w:r w:rsidRPr="006E71B8" w:rsidR="006E71B8">
        <w:rPr>
          <w:b/>
          <w:sz w:val="22"/>
        </w:rPr>
        <w:t>Stud</w:t>
      </w:r>
      <w:r>
        <w:rPr>
          <w:b/>
          <w:sz w:val="22"/>
        </w:rPr>
        <w:t>ies</w:t>
      </w:r>
    </w:p>
    <w:p w:rsidR="006E71B8" w:rsidP="006E71B8" w:rsidRDefault="00A24FC4" w14:paraId="26324546" w14:textId="570F7E0B">
      <w:pPr>
        <w:jc w:val="center"/>
        <w:rPr>
          <w:b/>
          <w:sz w:val="24"/>
          <w:szCs w:val="24"/>
        </w:rPr>
      </w:pPr>
      <w:r>
        <w:rPr>
          <w:b/>
          <w:sz w:val="24"/>
          <w:szCs w:val="24"/>
        </w:rPr>
        <w:t xml:space="preserve">Generic IC </w:t>
      </w:r>
      <w:r w:rsidR="006E71B8">
        <w:rPr>
          <w:b/>
          <w:sz w:val="24"/>
          <w:szCs w:val="24"/>
        </w:rPr>
        <w:t>Supporting Statement: Part B</w:t>
      </w:r>
    </w:p>
    <w:p w:rsidR="006E71B8" w:rsidP="006E71B8" w:rsidRDefault="006E71B8" w14:paraId="719863FF" w14:textId="77777777">
      <w:pPr>
        <w:jc w:val="center"/>
        <w:rPr>
          <w:b/>
          <w:sz w:val="24"/>
          <w:szCs w:val="24"/>
        </w:rPr>
      </w:pPr>
    </w:p>
    <w:p w:rsidR="006E71B8" w:rsidP="006E71B8" w:rsidRDefault="006E71B8" w14:paraId="7E41181B" w14:textId="77777777">
      <w:pPr>
        <w:rPr>
          <w:caps/>
          <w:sz w:val="24"/>
          <w:szCs w:val="24"/>
        </w:rPr>
      </w:pPr>
      <w:r>
        <w:rPr>
          <w:b/>
          <w:bCs/>
          <w:caps/>
          <w:sz w:val="24"/>
          <w:szCs w:val="24"/>
        </w:rPr>
        <w:t>B.</w:t>
      </w:r>
      <w:r w:rsidRPr="00A77197">
        <w:rPr>
          <w:b/>
          <w:bCs/>
          <w:caps/>
          <w:sz w:val="24"/>
          <w:szCs w:val="24"/>
        </w:rPr>
        <w:t xml:space="preserve"> Statistical Methods</w:t>
      </w:r>
      <w:r w:rsidRPr="00A77197">
        <w:rPr>
          <w:caps/>
          <w:sz w:val="24"/>
          <w:szCs w:val="24"/>
        </w:rPr>
        <w:t xml:space="preserve"> </w:t>
      </w:r>
    </w:p>
    <w:p w:rsidRPr="00A77197" w:rsidR="006E71B8" w:rsidP="006E71B8" w:rsidRDefault="006E71B8" w14:paraId="2246C85C" w14:textId="77777777">
      <w:pPr>
        <w:rPr>
          <w:b/>
          <w:bCs/>
          <w:caps/>
          <w:sz w:val="24"/>
          <w:szCs w:val="24"/>
        </w:rPr>
      </w:pPr>
    </w:p>
    <w:p w:rsidR="006E71B8" w:rsidP="006E71B8" w:rsidRDefault="006E71B8" w14:paraId="10813157" w14:textId="77777777">
      <w:pPr>
        <w:rPr>
          <w:b/>
          <w:sz w:val="24"/>
          <w:szCs w:val="24"/>
          <w:u w:val="single"/>
        </w:rPr>
      </w:pPr>
      <w:r w:rsidRPr="00A77197">
        <w:rPr>
          <w:b/>
          <w:sz w:val="24"/>
          <w:szCs w:val="24"/>
          <w:u w:val="single"/>
        </w:rPr>
        <w:t xml:space="preserve">1. Respondent Universe and Sampling Methods </w:t>
      </w:r>
    </w:p>
    <w:p w:rsidR="006E71B8" w:rsidP="006E71B8" w:rsidRDefault="006E71B8" w14:paraId="474E87C2" w14:textId="77777777">
      <w:pPr>
        <w:rPr>
          <w:b/>
          <w:sz w:val="24"/>
          <w:szCs w:val="24"/>
          <w:u w:val="single"/>
        </w:rPr>
      </w:pPr>
    </w:p>
    <w:p w:rsidR="006E71B8" w:rsidP="006E71B8" w:rsidRDefault="006E71B8" w14:paraId="2ABAFD50" w14:textId="7C5BDF50">
      <w:pPr>
        <w:rPr>
          <w:sz w:val="24"/>
          <w:szCs w:val="24"/>
        </w:rPr>
      </w:pPr>
      <w:r w:rsidRPr="002E054D">
        <w:rPr>
          <w:sz w:val="24"/>
          <w:szCs w:val="24"/>
        </w:rPr>
        <w:t xml:space="preserve">The one-time actual burden figures are listed in </w:t>
      </w:r>
      <w:r>
        <w:rPr>
          <w:sz w:val="24"/>
          <w:szCs w:val="24"/>
        </w:rPr>
        <w:t xml:space="preserve">the tables in the Part </w:t>
      </w:r>
      <w:proofErr w:type="gramStart"/>
      <w:r>
        <w:rPr>
          <w:sz w:val="24"/>
          <w:szCs w:val="24"/>
        </w:rPr>
        <w:t>A</w:t>
      </w:r>
      <w:proofErr w:type="gramEnd"/>
      <w:r>
        <w:rPr>
          <w:sz w:val="24"/>
          <w:szCs w:val="24"/>
        </w:rPr>
        <w:t xml:space="preserve"> Supporting Statement</w:t>
      </w:r>
      <w:r w:rsidR="00E72C92">
        <w:rPr>
          <w:sz w:val="24"/>
          <w:szCs w:val="24"/>
        </w:rPr>
        <w:t>.</w:t>
      </w:r>
      <w:r>
        <w:rPr>
          <w:sz w:val="24"/>
          <w:szCs w:val="24"/>
        </w:rPr>
        <w:t xml:space="preserve"> </w:t>
      </w:r>
    </w:p>
    <w:p w:rsidR="006E71B8" w:rsidP="006E71B8" w:rsidRDefault="006E71B8" w14:paraId="7BA79FB9" w14:textId="77777777">
      <w:pPr>
        <w:rPr>
          <w:sz w:val="24"/>
          <w:szCs w:val="24"/>
        </w:rPr>
      </w:pPr>
    </w:p>
    <w:p w:rsidR="006E71B8" w:rsidP="006E71B8" w:rsidRDefault="000E10BF" w14:paraId="795D1C58" w14:textId="4DAADEF0">
      <w:pPr>
        <w:rPr>
          <w:sz w:val="24"/>
          <w:szCs w:val="24"/>
        </w:rPr>
      </w:pPr>
      <w:r w:rsidRPr="000E10BF">
        <w:rPr>
          <w:sz w:val="24"/>
          <w:szCs w:val="24"/>
        </w:rPr>
        <w:t xml:space="preserve">RTI will administer online surveys with youth and young adults in the United States recruited through social media. </w:t>
      </w:r>
      <w:r w:rsidR="006E71B8">
        <w:rPr>
          <w:sz w:val="24"/>
          <w:szCs w:val="24"/>
        </w:rPr>
        <w:t xml:space="preserve">For this study, </w:t>
      </w:r>
      <w:r>
        <w:rPr>
          <w:sz w:val="24"/>
          <w:szCs w:val="24"/>
        </w:rPr>
        <w:t>we</w:t>
      </w:r>
      <w:r w:rsidRPr="00992E25" w:rsidR="00992E25">
        <w:rPr>
          <w:sz w:val="24"/>
          <w:szCs w:val="24"/>
        </w:rPr>
        <w:t xml:space="preserve"> will recruit up to </w:t>
      </w:r>
      <w:r w:rsidR="001F26A3">
        <w:rPr>
          <w:sz w:val="24"/>
          <w:szCs w:val="24"/>
        </w:rPr>
        <w:t>1,</w:t>
      </w:r>
      <w:r w:rsidR="00BE0897">
        <w:rPr>
          <w:sz w:val="24"/>
          <w:szCs w:val="24"/>
        </w:rPr>
        <w:t>7</w:t>
      </w:r>
      <w:r w:rsidR="001F26A3">
        <w:rPr>
          <w:sz w:val="24"/>
          <w:szCs w:val="24"/>
        </w:rPr>
        <w:t>00</w:t>
      </w:r>
      <w:r w:rsidRPr="00992E25" w:rsidR="00992E25">
        <w:rPr>
          <w:sz w:val="24"/>
          <w:szCs w:val="24"/>
        </w:rPr>
        <w:t xml:space="preserve"> respondents for</w:t>
      </w:r>
      <w:r w:rsidR="00A64FF1">
        <w:rPr>
          <w:sz w:val="24"/>
          <w:szCs w:val="24"/>
        </w:rPr>
        <w:t xml:space="preserve"> the</w:t>
      </w:r>
      <w:r w:rsidRPr="00992E25" w:rsidR="00992E25">
        <w:rPr>
          <w:sz w:val="24"/>
          <w:szCs w:val="24"/>
        </w:rPr>
        <w:t xml:space="preserve"> survey.</w:t>
      </w:r>
      <w:r w:rsidRPr="003F2361" w:rsidR="003F2361">
        <w:rPr>
          <w:sz w:val="24"/>
          <w:szCs w:val="24"/>
        </w:rPr>
        <w:t xml:space="preserve"> </w:t>
      </w:r>
      <w:r w:rsidR="00BB349E">
        <w:rPr>
          <w:sz w:val="24"/>
          <w:szCs w:val="24"/>
        </w:rPr>
        <w:t>T</w:t>
      </w:r>
      <w:r w:rsidRPr="006E2C91" w:rsidR="006E2C91">
        <w:rPr>
          <w:sz w:val="24"/>
          <w:szCs w:val="24"/>
        </w:rPr>
        <w:t xml:space="preserve">he study will use </w:t>
      </w:r>
      <w:r w:rsidR="00BB349E">
        <w:rPr>
          <w:sz w:val="24"/>
          <w:szCs w:val="24"/>
        </w:rPr>
        <w:t xml:space="preserve">the </w:t>
      </w:r>
      <w:r w:rsidRPr="006E2C91" w:rsidR="006E2C91">
        <w:rPr>
          <w:sz w:val="24"/>
          <w:szCs w:val="24"/>
        </w:rPr>
        <w:t xml:space="preserve">survey to measure </w:t>
      </w:r>
      <w:r w:rsidR="00BB349E">
        <w:rPr>
          <w:sz w:val="24"/>
          <w:szCs w:val="24"/>
        </w:rPr>
        <w:t>the participants’</w:t>
      </w:r>
      <w:r w:rsidRPr="006E2C91" w:rsidR="006E2C91">
        <w:rPr>
          <w:sz w:val="24"/>
          <w:szCs w:val="24"/>
        </w:rPr>
        <w:t xml:space="preserve"> level of agreement with belief statements to understand their potential as targets for public education.</w:t>
      </w:r>
      <w:r w:rsidRPr="00BD15C9" w:rsidR="00BD15C9">
        <w:rPr>
          <w:sz w:val="24"/>
          <w:szCs w:val="24"/>
        </w:rPr>
        <w:t xml:space="preserve"> </w:t>
      </w:r>
      <w:r w:rsidRPr="00D844A8" w:rsidR="00D844A8">
        <w:rPr>
          <w:sz w:val="24"/>
          <w:szCs w:val="24"/>
        </w:rPr>
        <w:t xml:space="preserve">Respondents will be allowed to complete an additional, cross-sectional survey after 6 months. </w:t>
      </w:r>
      <w:r w:rsidRPr="00713BD6" w:rsidR="006E71B8">
        <w:rPr>
          <w:sz w:val="24"/>
          <w:szCs w:val="24"/>
        </w:rPr>
        <w:t xml:space="preserve">As this study is considered part of formative research for campaign development and planning, these methods are not intended to generate nationally representative samples or precise estimates of population parameters. The sample is designed primarily to </w:t>
      </w:r>
      <w:r w:rsidRPr="00992E25" w:rsidR="00992E25">
        <w:rPr>
          <w:sz w:val="24"/>
          <w:szCs w:val="24"/>
        </w:rPr>
        <w:t xml:space="preserve">understand the relationship between beliefs about tobacco products and intentions to use tobacco products so that the FDA can develop new media campaign messages related to tobacco products that resonate with youth and adults ages </w:t>
      </w:r>
      <w:r w:rsidR="001F26A3">
        <w:rPr>
          <w:sz w:val="24"/>
          <w:szCs w:val="24"/>
        </w:rPr>
        <w:t>15</w:t>
      </w:r>
      <w:r w:rsidRPr="00992E25" w:rsidR="001F26A3">
        <w:rPr>
          <w:sz w:val="24"/>
          <w:szCs w:val="24"/>
        </w:rPr>
        <w:t xml:space="preserve"> </w:t>
      </w:r>
      <w:r w:rsidRPr="00992E25" w:rsidR="00992E25">
        <w:rPr>
          <w:sz w:val="24"/>
          <w:szCs w:val="24"/>
        </w:rPr>
        <w:t xml:space="preserve">to </w:t>
      </w:r>
      <w:r w:rsidR="00D576E5">
        <w:rPr>
          <w:sz w:val="24"/>
          <w:szCs w:val="24"/>
        </w:rPr>
        <w:t>30</w:t>
      </w:r>
      <w:r w:rsidRPr="00992E25" w:rsidR="001F26A3">
        <w:rPr>
          <w:sz w:val="24"/>
          <w:szCs w:val="24"/>
        </w:rPr>
        <w:t xml:space="preserve"> </w:t>
      </w:r>
      <w:r w:rsidRPr="00992E25" w:rsidR="00992E25">
        <w:rPr>
          <w:sz w:val="24"/>
          <w:szCs w:val="24"/>
        </w:rPr>
        <w:t>years old in the United States.</w:t>
      </w:r>
      <w:r w:rsidR="00F60C65">
        <w:rPr>
          <w:sz w:val="24"/>
          <w:szCs w:val="24"/>
        </w:rPr>
        <w:t xml:space="preserve"> </w:t>
      </w:r>
      <w:r w:rsidRPr="00D576E5" w:rsidR="00D576E5">
        <w:rPr>
          <w:sz w:val="24"/>
          <w:szCs w:val="24"/>
        </w:rPr>
        <w:t xml:space="preserve">The results of the Promising Themes study will be used to inform the U.S. Food and Drug Administration’s (FDA’s) public education programs to reduce tobacco-related death and disease. These data will also be used to inform the development of new campaign messages for future FDA media campaigns.  </w:t>
      </w:r>
    </w:p>
    <w:p w:rsidRPr="002E054D" w:rsidR="006E71B8" w:rsidP="006E71B8" w:rsidRDefault="006E71B8" w14:paraId="04154F83" w14:textId="77777777">
      <w:pPr>
        <w:rPr>
          <w:sz w:val="24"/>
          <w:szCs w:val="24"/>
        </w:rPr>
      </w:pPr>
      <w:bookmarkStart w:name="OLE_LINK1" w:id="1"/>
      <w:bookmarkStart w:name="OLE_LINK2" w:id="2"/>
    </w:p>
    <w:p w:rsidRPr="002E054D" w:rsidR="006E71B8" w:rsidP="006E71B8" w:rsidRDefault="006E71B8" w14:paraId="40980BAA" w14:textId="77777777">
      <w:pPr>
        <w:rPr>
          <w:i/>
          <w:sz w:val="24"/>
        </w:rPr>
      </w:pPr>
      <w:r w:rsidRPr="002E054D">
        <w:rPr>
          <w:i/>
          <w:sz w:val="24"/>
        </w:rPr>
        <w:t>Sampling Methods</w:t>
      </w:r>
    </w:p>
    <w:p w:rsidR="006E71B8" w:rsidP="006E71B8" w:rsidRDefault="006E71B8" w14:paraId="24043FA4" w14:textId="4FCFA5CC">
      <w:pPr>
        <w:rPr>
          <w:sz w:val="24"/>
        </w:rPr>
      </w:pPr>
      <w:r>
        <w:rPr>
          <w:sz w:val="24"/>
        </w:rPr>
        <w:t>The study sample will be comprised of participants</w:t>
      </w:r>
      <w:r w:rsidR="00630A09">
        <w:rPr>
          <w:sz w:val="24"/>
        </w:rPr>
        <w:t xml:space="preserve"> that are</w:t>
      </w:r>
      <w:r w:rsidRPr="00630A09" w:rsidR="00630A09">
        <w:rPr>
          <w:sz w:val="24"/>
        </w:rPr>
        <w:t xml:space="preserve">: (1) youth ages </w:t>
      </w:r>
      <w:r w:rsidR="001F26A3">
        <w:rPr>
          <w:sz w:val="24"/>
        </w:rPr>
        <w:t>15</w:t>
      </w:r>
      <w:r w:rsidRPr="00630A09" w:rsidR="001F26A3">
        <w:rPr>
          <w:sz w:val="24"/>
        </w:rPr>
        <w:t xml:space="preserve"> </w:t>
      </w:r>
      <w:r w:rsidRPr="00630A09" w:rsidR="00630A09">
        <w:rPr>
          <w:sz w:val="24"/>
        </w:rPr>
        <w:t xml:space="preserve">to 17 in the United States who are both non-users and users of tobacco products and (2) adults ages 18 to </w:t>
      </w:r>
      <w:r w:rsidR="00D576E5">
        <w:rPr>
          <w:sz w:val="24"/>
        </w:rPr>
        <w:t>30</w:t>
      </w:r>
      <w:r w:rsidRPr="00630A09" w:rsidR="001F26A3">
        <w:rPr>
          <w:sz w:val="24"/>
        </w:rPr>
        <w:t xml:space="preserve"> </w:t>
      </w:r>
      <w:r w:rsidRPr="00630A09" w:rsidR="00630A09">
        <w:rPr>
          <w:sz w:val="24"/>
        </w:rPr>
        <w:t>years in the United States who are both non-users and users of tobacco products.</w:t>
      </w:r>
      <w:r w:rsidR="00630A09">
        <w:rPr>
          <w:sz w:val="24"/>
        </w:rPr>
        <w:t xml:space="preserve"> </w:t>
      </w:r>
      <w:r w:rsidR="00E269D6">
        <w:rPr>
          <w:sz w:val="24"/>
        </w:rPr>
        <w:t>While this sample is not nationally representative, to</w:t>
      </w:r>
      <w:r w:rsidR="0072097C">
        <w:rPr>
          <w:sz w:val="24"/>
        </w:rPr>
        <w:t xml:space="preserve"> ensure we have a diverse </w:t>
      </w:r>
      <w:r w:rsidR="00596C88">
        <w:rPr>
          <w:sz w:val="24"/>
        </w:rPr>
        <w:t>sample, we will ask participants about their gender identity</w:t>
      </w:r>
      <w:r w:rsidR="00114E03">
        <w:rPr>
          <w:sz w:val="24"/>
        </w:rPr>
        <w:t xml:space="preserve">. </w:t>
      </w:r>
      <w:r>
        <w:rPr>
          <w:sz w:val="24"/>
        </w:rPr>
        <w:t xml:space="preserve">This study is considered part of formative research for campaign development and planning, and these methods are not intended to generate nationally representative samples or precise estimates of population parameters. The sample is designed primarily to </w:t>
      </w:r>
      <w:r w:rsidR="00384079">
        <w:rPr>
          <w:sz w:val="24"/>
        </w:rPr>
        <w:t xml:space="preserve">look at </w:t>
      </w:r>
      <w:r w:rsidRPr="00384079" w:rsidR="00384079">
        <w:rPr>
          <w:sz w:val="24"/>
        </w:rPr>
        <w:t>the association between beliefs and tobacco product use and between beliefs and intentions to use tobacco products.</w:t>
      </w:r>
    </w:p>
    <w:p w:rsidR="006E71B8" w:rsidP="006E71B8" w:rsidRDefault="006E71B8" w14:paraId="520A49F9" w14:textId="77777777">
      <w:pPr>
        <w:rPr>
          <w:sz w:val="24"/>
        </w:rPr>
      </w:pPr>
    </w:p>
    <w:p w:rsidR="006E71B8" w:rsidP="006E71B8" w:rsidRDefault="006E71B8" w14:paraId="6FC4B5AA" w14:textId="5DE65002">
      <w:pPr>
        <w:rPr>
          <w:sz w:val="24"/>
          <w:szCs w:val="24"/>
        </w:rPr>
      </w:pPr>
      <w:r>
        <w:rPr>
          <w:sz w:val="24"/>
        </w:rPr>
        <w:t xml:space="preserve">Participants will be recruited through targeted social media advertising. </w:t>
      </w:r>
      <w:r w:rsidRPr="00D576E5" w:rsidR="00D576E5">
        <w:rPr>
          <w:sz w:val="24"/>
        </w:rPr>
        <w:t xml:space="preserve">Examples of the social media platforms that we may use to recruit for the surveys are Facebook, Instagram, Snapchat, Twitter, Reddit, Pinterest, Spotify and TikTok. </w:t>
      </w:r>
      <w:r>
        <w:rPr>
          <w:sz w:val="24"/>
        </w:rPr>
        <w:t xml:space="preserve">After clicking on the advertisement, participants will be directed to the screener </w:t>
      </w:r>
      <w:r w:rsidRPr="005D26AB">
        <w:rPr>
          <w:sz w:val="24"/>
        </w:rPr>
        <w:t>(</w:t>
      </w:r>
      <w:r w:rsidRPr="0049247E">
        <w:rPr>
          <w:sz w:val="24"/>
        </w:rPr>
        <w:t>Attachment</w:t>
      </w:r>
      <w:r w:rsidRPr="0049247E" w:rsidR="005D26AB">
        <w:rPr>
          <w:sz w:val="24"/>
          <w:szCs w:val="24"/>
        </w:rPr>
        <w:t xml:space="preserve"> </w:t>
      </w:r>
      <w:r w:rsidR="00AF3199">
        <w:rPr>
          <w:sz w:val="24"/>
          <w:szCs w:val="24"/>
        </w:rPr>
        <w:t>1</w:t>
      </w:r>
      <w:r w:rsidRPr="0049247E">
        <w:rPr>
          <w:sz w:val="24"/>
        </w:rPr>
        <w:t>).</w:t>
      </w:r>
      <w:r>
        <w:rPr>
          <w:sz w:val="24"/>
        </w:rPr>
        <w:t xml:space="preserve"> After completing the screener, participants will be asked to include a personal email address</w:t>
      </w:r>
      <w:r w:rsidR="00E502BD">
        <w:rPr>
          <w:sz w:val="24"/>
        </w:rPr>
        <w:t xml:space="preserve"> to receive their incentive</w:t>
      </w:r>
      <w:r>
        <w:rPr>
          <w:sz w:val="24"/>
        </w:rPr>
        <w:t xml:space="preserve">. </w:t>
      </w:r>
      <w:r w:rsidRPr="00FA0CCE" w:rsidR="00FA0CCE">
        <w:rPr>
          <w:sz w:val="24"/>
        </w:rPr>
        <w:t xml:space="preserve">The online screener will take approximately </w:t>
      </w:r>
      <w:r w:rsidR="001F26A3">
        <w:rPr>
          <w:sz w:val="24"/>
        </w:rPr>
        <w:t xml:space="preserve">3 </w:t>
      </w:r>
      <w:r w:rsidRPr="00FA0CCE" w:rsidR="00FA0CCE">
        <w:rPr>
          <w:sz w:val="24"/>
        </w:rPr>
        <w:t xml:space="preserve">minutes to complete. Screener instructions note that respondents may only </w:t>
      </w:r>
      <w:r w:rsidRPr="00FA0CCE" w:rsidR="00FA0CCE">
        <w:rPr>
          <w:sz w:val="24"/>
        </w:rPr>
        <w:lastRenderedPageBreak/>
        <w:t xml:space="preserve">complete the survey one time. The screener does not include questions that are especially sensitive or that we anticipate will be upsetting to those who read or complete it. The primary purpose of the online screener is to screen out participants that are not eligible to complete </w:t>
      </w:r>
      <w:r w:rsidR="00384079">
        <w:rPr>
          <w:sz w:val="24"/>
        </w:rPr>
        <w:t>the</w:t>
      </w:r>
      <w:r w:rsidRPr="00FA0CCE" w:rsidR="00FA0CCE">
        <w:rPr>
          <w:sz w:val="24"/>
        </w:rPr>
        <w:t xml:space="preserve"> online survey. Individuals may decline to participate in the online screener if they wish.</w:t>
      </w:r>
    </w:p>
    <w:p w:rsidR="006E71B8" w:rsidP="006E71B8" w:rsidRDefault="006E71B8" w14:paraId="687A1D49" w14:textId="77777777">
      <w:pPr>
        <w:rPr>
          <w:sz w:val="24"/>
          <w:szCs w:val="24"/>
        </w:rPr>
      </w:pPr>
    </w:p>
    <w:p w:rsidRPr="00AE00C0" w:rsidR="006E71B8" w:rsidP="006E71B8" w:rsidRDefault="006E71B8" w14:paraId="6B768B2A" w14:textId="77777777">
      <w:pPr>
        <w:rPr>
          <w:i/>
          <w:sz w:val="24"/>
        </w:rPr>
      </w:pPr>
      <w:r w:rsidRPr="00AE00C0">
        <w:rPr>
          <w:i/>
          <w:sz w:val="24"/>
        </w:rPr>
        <w:t>Sample Size</w:t>
      </w:r>
    </w:p>
    <w:p w:rsidR="006E71B8" w:rsidP="006E71B8" w:rsidRDefault="006E71B8" w14:paraId="3DC5B003" w14:textId="2E5AED9D">
      <w:pPr>
        <w:rPr>
          <w:sz w:val="24"/>
        </w:rPr>
      </w:pPr>
      <w:r>
        <w:rPr>
          <w:sz w:val="24"/>
        </w:rPr>
        <w:t xml:space="preserve">To obtain a </w:t>
      </w:r>
      <w:r w:rsidR="00D6496F">
        <w:rPr>
          <w:sz w:val="24"/>
        </w:rPr>
        <w:t xml:space="preserve">final </w:t>
      </w:r>
      <w:r>
        <w:rPr>
          <w:sz w:val="24"/>
        </w:rPr>
        <w:t xml:space="preserve">sample of </w:t>
      </w:r>
      <w:r w:rsidR="003C70DB">
        <w:rPr>
          <w:sz w:val="24"/>
        </w:rPr>
        <w:t>1</w:t>
      </w:r>
      <w:r w:rsidR="00FC2A79">
        <w:rPr>
          <w:sz w:val="24"/>
        </w:rPr>
        <w:t>,</w:t>
      </w:r>
      <w:r w:rsidR="003C70DB">
        <w:rPr>
          <w:sz w:val="24"/>
        </w:rPr>
        <w:t>7</w:t>
      </w:r>
      <w:r w:rsidR="00FC2A79">
        <w:rPr>
          <w:sz w:val="24"/>
        </w:rPr>
        <w:t>00</w:t>
      </w:r>
      <w:r>
        <w:rPr>
          <w:sz w:val="24"/>
        </w:rPr>
        <w:t xml:space="preserve"> </w:t>
      </w:r>
      <w:r w:rsidR="009B1D2F">
        <w:rPr>
          <w:sz w:val="24"/>
        </w:rPr>
        <w:t>participants</w:t>
      </w:r>
      <w:r w:rsidR="001C0022">
        <w:rPr>
          <w:sz w:val="24"/>
        </w:rPr>
        <w:t xml:space="preserve"> </w:t>
      </w:r>
      <w:r>
        <w:rPr>
          <w:sz w:val="24"/>
        </w:rPr>
        <w:t xml:space="preserve">ages </w:t>
      </w:r>
      <w:r w:rsidR="001F26A3">
        <w:rPr>
          <w:sz w:val="24"/>
        </w:rPr>
        <w:t>15</w:t>
      </w:r>
      <w:r>
        <w:rPr>
          <w:sz w:val="24"/>
        </w:rPr>
        <w:t>–</w:t>
      </w:r>
      <w:r w:rsidR="00D576E5">
        <w:rPr>
          <w:sz w:val="24"/>
        </w:rPr>
        <w:t>30</w:t>
      </w:r>
      <w:r w:rsidR="00BE781B">
        <w:rPr>
          <w:sz w:val="24"/>
        </w:rPr>
        <w:t>, w</w:t>
      </w:r>
      <w:r w:rsidRPr="00BE781B" w:rsidR="00BE781B">
        <w:rPr>
          <w:sz w:val="24"/>
        </w:rPr>
        <w:t xml:space="preserve">e will need to screen approximately </w:t>
      </w:r>
      <w:r w:rsidR="00C53A73">
        <w:rPr>
          <w:sz w:val="24"/>
        </w:rPr>
        <w:t>8</w:t>
      </w:r>
      <w:r w:rsidRPr="008E3A73" w:rsidR="008E3A73">
        <w:rPr>
          <w:sz w:val="24"/>
        </w:rPr>
        <w:t xml:space="preserve">,000 </w:t>
      </w:r>
      <w:r w:rsidRPr="00BE781B" w:rsidR="00BE781B">
        <w:rPr>
          <w:sz w:val="24"/>
        </w:rPr>
        <w:t xml:space="preserve">potential participants. </w:t>
      </w:r>
    </w:p>
    <w:p w:rsidRPr="00ED7ABC" w:rsidR="006E71B8" w:rsidP="006E71B8" w:rsidRDefault="006E71B8" w14:paraId="63FE305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p>
    <w:bookmarkEnd w:id="1"/>
    <w:bookmarkEnd w:id="2"/>
    <w:p w:rsidRPr="00A77197" w:rsidR="006E71B8" w:rsidP="006E71B8" w:rsidRDefault="006E71B8" w14:paraId="29915DDC" w14:textId="77777777">
      <w:pPr>
        <w:rPr>
          <w:b/>
          <w:sz w:val="24"/>
          <w:szCs w:val="24"/>
          <w:u w:val="single"/>
        </w:rPr>
      </w:pPr>
      <w:r w:rsidRPr="00A77197">
        <w:rPr>
          <w:b/>
          <w:sz w:val="24"/>
          <w:szCs w:val="24"/>
          <w:u w:val="single"/>
        </w:rPr>
        <w:t xml:space="preserve">2. Procedures for the Collection of Information </w:t>
      </w:r>
    </w:p>
    <w:p w:rsidR="006E71B8" w:rsidP="006E71B8" w:rsidRDefault="006E71B8" w14:paraId="48CA9C1C" w14:textId="77777777">
      <w:pPr>
        <w:rPr>
          <w:sz w:val="24"/>
          <w:szCs w:val="24"/>
        </w:rPr>
      </w:pPr>
    </w:p>
    <w:p w:rsidR="006E71B8" w:rsidP="006E71B8" w:rsidRDefault="006E71B8" w14:paraId="1FD3BA30" w14:textId="608D90C0">
      <w:pPr>
        <w:rPr>
          <w:sz w:val="24"/>
          <w:szCs w:val="24"/>
        </w:rPr>
      </w:pPr>
      <w:r w:rsidRPr="002E054D">
        <w:rPr>
          <w:sz w:val="24"/>
          <w:szCs w:val="24"/>
        </w:rPr>
        <w:t>This section describes the procedures for the survey data collection. The survey will be conducted via a web-based survey disseminated by</w:t>
      </w:r>
      <w:r w:rsidR="001756D7">
        <w:rPr>
          <w:sz w:val="24"/>
          <w:szCs w:val="24"/>
        </w:rPr>
        <w:t xml:space="preserve"> RTI International</w:t>
      </w:r>
      <w:r w:rsidRPr="002E054D">
        <w:rPr>
          <w:sz w:val="24"/>
          <w:szCs w:val="24"/>
        </w:rPr>
        <w:t>.</w:t>
      </w:r>
      <w:r>
        <w:rPr>
          <w:sz w:val="24"/>
          <w:szCs w:val="24"/>
        </w:rPr>
        <w:t xml:space="preserve"> </w:t>
      </w:r>
      <w:r w:rsidR="0061029E">
        <w:rPr>
          <w:sz w:val="24"/>
          <w:szCs w:val="24"/>
        </w:rPr>
        <w:t>The</w:t>
      </w:r>
      <w:r w:rsidR="00F749C8">
        <w:rPr>
          <w:sz w:val="24"/>
          <w:szCs w:val="24"/>
        </w:rPr>
        <w:t xml:space="preserve"> survey will be conducted using a self-administered, online survey. </w:t>
      </w:r>
      <w:r>
        <w:rPr>
          <w:sz w:val="24"/>
          <w:szCs w:val="24"/>
        </w:rPr>
        <w:t xml:space="preserve">To be eligible, youth </w:t>
      </w:r>
      <w:r w:rsidR="003E6AEA">
        <w:rPr>
          <w:sz w:val="24"/>
          <w:szCs w:val="24"/>
        </w:rPr>
        <w:t xml:space="preserve">ages </w:t>
      </w:r>
      <w:r w:rsidR="001F26A3">
        <w:rPr>
          <w:sz w:val="24"/>
          <w:szCs w:val="24"/>
        </w:rPr>
        <w:t>15</w:t>
      </w:r>
      <w:r w:rsidR="003E6AEA">
        <w:rPr>
          <w:sz w:val="24"/>
        </w:rPr>
        <w:t>–</w:t>
      </w:r>
      <w:r w:rsidR="008E1751">
        <w:rPr>
          <w:sz w:val="24"/>
        </w:rPr>
        <w:t>17</w:t>
      </w:r>
      <w:r w:rsidR="003E6AEA">
        <w:rPr>
          <w:sz w:val="24"/>
          <w:szCs w:val="24"/>
        </w:rPr>
        <w:t xml:space="preserve"> </w:t>
      </w:r>
      <w:r w:rsidR="00960EA9">
        <w:rPr>
          <w:sz w:val="24"/>
          <w:szCs w:val="24"/>
        </w:rPr>
        <w:t xml:space="preserve">years old </w:t>
      </w:r>
      <w:r>
        <w:rPr>
          <w:sz w:val="24"/>
          <w:szCs w:val="24"/>
        </w:rPr>
        <w:t>must give their assent</w:t>
      </w:r>
      <w:r w:rsidR="00F06747">
        <w:rPr>
          <w:sz w:val="24"/>
          <w:szCs w:val="24"/>
        </w:rPr>
        <w:t xml:space="preserve"> (Attachment</w:t>
      </w:r>
      <w:r w:rsidR="009B1D2F">
        <w:rPr>
          <w:sz w:val="24"/>
          <w:szCs w:val="24"/>
        </w:rPr>
        <w:t xml:space="preserve"> </w:t>
      </w:r>
      <w:r w:rsidR="00D576E5">
        <w:rPr>
          <w:sz w:val="24"/>
          <w:szCs w:val="24"/>
        </w:rPr>
        <w:t>1</w:t>
      </w:r>
      <w:r w:rsidR="00F06747">
        <w:rPr>
          <w:sz w:val="24"/>
          <w:szCs w:val="24"/>
        </w:rPr>
        <w:t>)</w:t>
      </w:r>
      <w:r>
        <w:rPr>
          <w:sz w:val="24"/>
          <w:szCs w:val="24"/>
        </w:rPr>
        <w:t xml:space="preserve">, </w:t>
      </w:r>
      <w:r w:rsidR="00960EA9">
        <w:rPr>
          <w:sz w:val="24"/>
          <w:szCs w:val="24"/>
        </w:rPr>
        <w:t xml:space="preserve">and </w:t>
      </w:r>
      <w:r w:rsidR="008E1751">
        <w:rPr>
          <w:sz w:val="24"/>
          <w:szCs w:val="24"/>
        </w:rPr>
        <w:t>adult</w:t>
      </w:r>
      <w:r w:rsidR="00CB6A47">
        <w:rPr>
          <w:sz w:val="24"/>
          <w:szCs w:val="24"/>
        </w:rPr>
        <w:t>s</w:t>
      </w:r>
      <w:r w:rsidR="008E1751">
        <w:rPr>
          <w:sz w:val="24"/>
          <w:szCs w:val="24"/>
        </w:rPr>
        <w:t xml:space="preserve"> </w:t>
      </w:r>
      <w:r w:rsidR="00960EA9">
        <w:rPr>
          <w:sz w:val="24"/>
          <w:szCs w:val="24"/>
        </w:rPr>
        <w:t xml:space="preserve">ages </w:t>
      </w:r>
      <w:r w:rsidR="008E1751">
        <w:rPr>
          <w:sz w:val="24"/>
          <w:szCs w:val="24"/>
        </w:rPr>
        <w:t>18-</w:t>
      </w:r>
      <w:r w:rsidR="00D576E5">
        <w:rPr>
          <w:sz w:val="24"/>
          <w:szCs w:val="24"/>
        </w:rPr>
        <w:t>30</w:t>
      </w:r>
      <w:r w:rsidR="001F26A3">
        <w:rPr>
          <w:sz w:val="24"/>
          <w:szCs w:val="24"/>
        </w:rPr>
        <w:t xml:space="preserve"> </w:t>
      </w:r>
      <w:r w:rsidR="00960EA9">
        <w:rPr>
          <w:sz w:val="24"/>
          <w:szCs w:val="24"/>
        </w:rPr>
        <w:t>years old</w:t>
      </w:r>
      <w:r w:rsidR="008E1751">
        <w:rPr>
          <w:sz w:val="24"/>
          <w:szCs w:val="24"/>
        </w:rPr>
        <w:t xml:space="preserve"> </w:t>
      </w:r>
      <w:r>
        <w:rPr>
          <w:sz w:val="24"/>
          <w:szCs w:val="24"/>
        </w:rPr>
        <w:t>must</w:t>
      </w:r>
      <w:r w:rsidR="008E1751">
        <w:rPr>
          <w:sz w:val="24"/>
          <w:szCs w:val="24"/>
        </w:rPr>
        <w:t xml:space="preserve"> give their consent</w:t>
      </w:r>
      <w:r w:rsidR="00B33D3C">
        <w:rPr>
          <w:sz w:val="24"/>
          <w:szCs w:val="24"/>
        </w:rPr>
        <w:t xml:space="preserve"> (Attachment</w:t>
      </w:r>
      <w:r w:rsidR="009B1D2F">
        <w:rPr>
          <w:sz w:val="24"/>
          <w:szCs w:val="24"/>
        </w:rPr>
        <w:t xml:space="preserve"> </w:t>
      </w:r>
      <w:r w:rsidR="00D576E5">
        <w:rPr>
          <w:sz w:val="24"/>
          <w:szCs w:val="24"/>
        </w:rPr>
        <w:t>2</w:t>
      </w:r>
      <w:r w:rsidR="00B33D3C">
        <w:rPr>
          <w:sz w:val="24"/>
          <w:szCs w:val="24"/>
        </w:rPr>
        <w:t>)</w:t>
      </w:r>
      <w:r w:rsidR="00960EA9">
        <w:rPr>
          <w:sz w:val="24"/>
          <w:szCs w:val="24"/>
        </w:rPr>
        <w:t xml:space="preserve">. </w:t>
      </w:r>
      <w:r>
        <w:rPr>
          <w:sz w:val="24"/>
          <w:szCs w:val="24"/>
        </w:rPr>
        <w:t xml:space="preserve">The screener </w:t>
      </w:r>
      <w:r w:rsidR="003A009F">
        <w:rPr>
          <w:sz w:val="24"/>
          <w:szCs w:val="24"/>
        </w:rPr>
        <w:t>is</w:t>
      </w:r>
      <w:r>
        <w:rPr>
          <w:sz w:val="24"/>
          <w:szCs w:val="24"/>
        </w:rPr>
        <w:t xml:space="preserve"> included </w:t>
      </w:r>
      <w:r w:rsidR="00224D06">
        <w:rPr>
          <w:sz w:val="24"/>
          <w:szCs w:val="24"/>
        </w:rPr>
        <w:t xml:space="preserve">in </w:t>
      </w:r>
      <w:r w:rsidRPr="00BE781B" w:rsidR="00B943B5">
        <w:rPr>
          <w:sz w:val="24"/>
        </w:rPr>
        <w:t xml:space="preserve">Attachment </w:t>
      </w:r>
      <w:r w:rsidR="00D576E5">
        <w:rPr>
          <w:sz w:val="24"/>
        </w:rPr>
        <w:t>3</w:t>
      </w:r>
      <w:r w:rsidRPr="00BE781B">
        <w:rPr>
          <w:sz w:val="24"/>
          <w:szCs w:val="24"/>
        </w:rPr>
        <w:t>.</w:t>
      </w:r>
      <w:r>
        <w:rPr>
          <w:sz w:val="24"/>
          <w:szCs w:val="24"/>
        </w:rPr>
        <w:t xml:space="preserve"> Links to the survey instrument (Attachment</w:t>
      </w:r>
      <w:r w:rsidRPr="00D16C82">
        <w:rPr>
          <w:szCs w:val="24"/>
        </w:rPr>
        <w:t xml:space="preserve"> </w:t>
      </w:r>
      <w:r w:rsidR="00D576E5">
        <w:rPr>
          <w:sz w:val="24"/>
          <w:szCs w:val="24"/>
        </w:rPr>
        <w:t>3</w:t>
      </w:r>
      <w:r w:rsidR="00AF3199">
        <w:rPr>
          <w:sz w:val="24"/>
          <w:szCs w:val="24"/>
        </w:rPr>
        <w:t>)</w:t>
      </w:r>
      <w:r w:rsidRPr="00D92785" w:rsidR="00D92785">
        <w:rPr>
          <w:sz w:val="24"/>
          <w:szCs w:val="24"/>
        </w:rPr>
        <w:t xml:space="preserve"> </w:t>
      </w:r>
      <w:r>
        <w:rPr>
          <w:sz w:val="24"/>
          <w:szCs w:val="24"/>
        </w:rPr>
        <w:t>will only be provided to participants after the</w:t>
      </w:r>
      <w:r w:rsidR="0041289E">
        <w:rPr>
          <w:sz w:val="24"/>
          <w:szCs w:val="24"/>
        </w:rPr>
        <w:t xml:space="preserve">y complete the screener and give their assent or consent. </w:t>
      </w:r>
      <w:r w:rsidRPr="00F749C8" w:rsidR="00F749C8">
        <w:rPr>
          <w:sz w:val="24"/>
          <w:szCs w:val="24"/>
        </w:rPr>
        <w:t xml:space="preserve">As a check for validity, the birthdate in the screener and the age that the participant completes as part of the instrument must match one another for the participant to be eligible. </w:t>
      </w:r>
    </w:p>
    <w:p w:rsidR="00867E49" w:rsidP="006E71B8" w:rsidRDefault="00867E49" w14:paraId="3AF5405D" w14:textId="6DB2F744">
      <w:pPr>
        <w:rPr>
          <w:sz w:val="24"/>
          <w:szCs w:val="24"/>
        </w:rPr>
      </w:pPr>
    </w:p>
    <w:p w:rsidRPr="006015A6" w:rsidR="00824045" w:rsidP="00824045" w:rsidRDefault="009B1D2F" w14:paraId="5719390C" w14:textId="5CAD843F">
      <w:pPr>
        <w:rPr>
          <w:rFonts w:eastAsiaTheme="minorHAnsi"/>
          <w:sz w:val="24"/>
          <w:szCs w:val="24"/>
        </w:rPr>
      </w:pPr>
      <w:r w:rsidRPr="009B1D2F">
        <w:rPr>
          <w:sz w:val="24"/>
          <w:szCs w:val="24"/>
        </w:rPr>
        <w:t xml:space="preserve">Generic 0910-0810 is covered underneath an approved umbrella PIA. FDA IRB will not be the IRB of record and will defer to </w:t>
      </w:r>
      <w:r w:rsidR="00D576E5">
        <w:rPr>
          <w:sz w:val="24"/>
          <w:szCs w:val="24"/>
        </w:rPr>
        <w:t>Advarra’s</w:t>
      </w:r>
      <w:r w:rsidRPr="009B1D2F">
        <w:rPr>
          <w:sz w:val="24"/>
          <w:szCs w:val="24"/>
        </w:rPr>
        <w:t xml:space="preserve"> IRB’s policies and oversight</w:t>
      </w:r>
      <w:r>
        <w:rPr>
          <w:sz w:val="24"/>
          <w:szCs w:val="24"/>
        </w:rPr>
        <w:t xml:space="preserve">. </w:t>
      </w:r>
      <w:r w:rsidRPr="00D576E5" w:rsidR="00D576E5">
        <w:rPr>
          <w:sz w:val="24"/>
          <w:szCs w:val="24"/>
        </w:rPr>
        <w:t xml:space="preserve">Advarra became the IRB of record for the </w:t>
      </w:r>
      <w:r w:rsidR="00D576E5">
        <w:rPr>
          <w:sz w:val="24"/>
          <w:szCs w:val="24"/>
        </w:rPr>
        <w:t>Promising Themes</w:t>
      </w:r>
      <w:r w:rsidRPr="00D576E5" w:rsidR="00D576E5">
        <w:rPr>
          <w:sz w:val="24"/>
          <w:szCs w:val="24"/>
        </w:rPr>
        <w:t xml:space="preserve"> Study in September 2021. For this study, we are not collecting any data, including personally identifiable data, from parents. With IRB’s permission, we will continue to waive parental permission, and instead ask the youth respondents to provide assent of their own accord. Eligible youth who are 15 to 17 years old will not require parental permission and will therefore encounter the assent language once they are routed to the survey</w:t>
      </w:r>
      <w:r w:rsidRPr="00027455" w:rsidR="00867E49">
        <w:rPr>
          <w:sz w:val="24"/>
          <w:szCs w:val="24"/>
        </w:rPr>
        <w:t xml:space="preserve">. </w:t>
      </w:r>
      <w:r w:rsidRPr="006015A6" w:rsidR="006015A6">
        <w:rPr>
          <w:bCs/>
          <w:sz w:val="24"/>
          <w:szCs w:val="24"/>
        </w:rPr>
        <w:t xml:space="preserve">We recognize that some of the behaviors we are asking about are not legal for some respondents (e.g., respondents under </w:t>
      </w:r>
      <w:r w:rsidR="007E0259">
        <w:rPr>
          <w:bCs/>
          <w:sz w:val="24"/>
          <w:szCs w:val="24"/>
        </w:rPr>
        <w:t>21</w:t>
      </w:r>
      <w:r w:rsidRPr="006015A6" w:rsidR="006015A6">
        <w:rPr>
          <w:bCs/>
          <w:sz w:val="24"/>
          <w:szCs w:val="24"/>
        </w:rPr>
        <w:t xml:space="preserve"> who use tobacco). The central purpose of this study is to measure beliefs, behaviors, and tobacco use intentions for specific tobacco products among youth and </w:t>
      </w:r>
      <w:r w:rsidR="001F26A3">
        <w:rPr>
          <w:bCs/>
          <w:sz w:val="24"/>
          <w:szCs w:val="24"/>
        </w:rPr>
        <w:t xml:space="preserve">young </w:t>
      </w:r>
      <w:r w:rsidRPr="006015A6" w:rsidR="006015A6">
        <w:rPr>
          <w:bCs/>
          <w:sz w:val="24"/>
          <w:szCs w:val="24"/>
        </w:rPr>
        <w:t xml:space="preserve">adults. </w:t>
      </w:r>
      <w:r w:rsidR="006015A6">
        <w:rPr>
          <w:bCs/>
          <w:sz w:val="24"/>
          <w:szCs w:val="24"/>
        </w:rPr>
        <w:t>P</w:t>
      </w:r>
      <w:r w:rsidRPr="00027455" w:rsidR="005772C6">
        <w:rPr>
          <w:bCs/>
          <w:sz w:val="24"/>
          <w:szCs w:val="24"/>
        </w:rPr>
        <w:t xml:space="preserve">articipants’ responses will not be linked to their names or email addresses. </w:t>
      </w:r>
    </w:p>
    <w:p w:rsidRPr="00824045" w:rsidR="00824045" w:rsidP="00824045" w:rsidRDefault="00824045" w14:paraId="4429CCE3" w14:textId="77777777">
      <w:pPr>
        <w:rPr>
          <w:bCs/>
          <w:sz w:val="24"/>
          <w:szCs w:val="24"/>
        </w:rPr>
      </w:pPr>
    </w:p>
    <w:p w:rsidR="00867E49" w:rsidP="006E71B8" w:rsidRDefault="00867E49" w14:paraId="05C4D07C" w14:textId="551272DF">
      <w:pPr>
        <w:rPr>
          <w:sz w:val="24"/>
          <w:szCs w:val="24"/>
        </w:rPr>
      </w:pPr>
      <w:r w:rsidRPr="00867E49">
        <w:rPr>
          <w:sz w:val="24"/>
          <w:szCs w:val="24"/>
        </w:rPr>
        <w:t>This study poses only a minimal risk to participants and would not adversely affect their rights or welfare in any foreseeable way.</w:t>
      </w:r>
    </w:p>
    <w:p w:rsidRPr="00DD73FD" w:rsidR="006E71B8" w:rsidP="006E71B8" w:rsidRDefault="006E71B8" w14:paraId="189A7904" w14:textId="77777777">
      <w:pPr>
        <w:pStyle w:val="bodytextpsg"/>
        <w:spacing w:before="0" w:after="0"/>
        <w:ind w:firstLine="0"/>
        <w:rPr>
          <w:bCs/>
          <w:iCs/>
          <w:sz w:val="24"/>
          <w:szCs w:val="24"/>
        </w:rPr>
      </w:pPr>
    </w:p>
    <w:p w:rsidR="00824045" w:rsidP="006E71B8" w:rsidRDefault="00824045" w14:paraId="01D432CB" w14:textId="77777777">
      <w:pPr>
        <w:pStyle w:val="bodytextpsg"/>
        <w:spacing w:before="0" w:after="0"/>
        <w:ind w:firstLine="0"/>
        <w:rPr>
          <w:b/>
          <w:bCs/>
          <w:i/>
          <w:iCs/>
          <w:sz w:val="24"/>
          <w:szCs w:val="24"/>
        </w:rPr>
      </w:pPr>
    </w:p>
    <w:p w:rsidR="006E71B8" w:rsidP="006E71B8" w:rsidRDefault="006E71B8" w14:paraId="79213D0E" w14:textId="12A5E879">
      <w:pPr>
        <w:pStyle w:val="bodytextpsg"/>
        <w:spacing w:before="0" w:after="0"/>
        <w:ind w:firstLine="0"/>
        <w:rPr>
          <w:b/>
          <w:bCs/>
          <w:i/>
          <w:iCs/>
          <w:sz w:val="24"/>
          <w:szCs w:val="24"/>
        </w:rPr>
      </w:pPr>
      <w:r w:rsidRPr="00E378E8">
        <w:rPr>
          <w:b/>
          <w:bCs/>
          <w:i/>
          <w:iCs/>
          <w:sz w:val="24"/>
          <w:szCs w:val="24"/>
        </w:rPr>
        <w:t xml:space="preserve">Summary of </w:t>
      </w:r>
      <w:r>
        <w:rPr>
          <w:b/>
          <w:bCs/>
          <w:i/>
          <w:iCs/>
          <w:sz w:val="24"/>
          <w:szCs w:val="24"/>
        </w:rPr>
        <w:t>P</w:t>
      </w:r>
      <w:r w:rsidRPr="00E378E8">
        <w:rPr>
          <w:b/>
          <w:bCs/>
          <w:i/>
          <w:iCs/>
          <w:sz w:val="24"/>
          <w:szCs w:val="24"/>
        </w:rPr>
        <w:t xml:space="preserve">rotocol </w:t>
      </w:r>
    </w:p>
    <w:p w:rsidRPr="002E054D" w:rsidR="006E71B8" w:rsidP="006E71B8" w:rsidRDefault="006E71B8" w14:paraId="0B30418B" w14:textId="77777777">
      <w:pPr>
        <w:rPr>
          <w:sz w:val="24"/>
          <w:szCs w:val="24"/>
        </w:rPr>
      </w:pPr>
      <w:r w:rsidRPr="002E054D">
        <w:rPr>
          <w:sz w:val="24"/>
          <w:szCs w:val="24"/>
        </w:rPr>
        <w:t>The list of study procedures is as follows:</w:t>
      </w:r>
    </w:p>
    <w:p w:rsidR="006E71B8" w:rsidP="006E71B8" w:rsidRDefault="006E71B8" w14:paraId="554F23EC" w14:textId="77777777">
      <w:pPr>
        <w:rPr>
          <w:sz w:val="24"/>
          <w:szCs w:val="24"/>
        </w:rPr>
      </w:pPr>
    </w:p>
    <w:p w:rsidRPr="00CA7776" w:rsidR="006E71B8" w:rsidP="006E71B8" w:rsidRDefault="00BF5E39" w14:paraId="5821F7F0" w14:textId="1BF5C7E2">
      <w:pPr>
        <w:rPr>
          <w:b/>
          <w:sz w:val="24"/>
          <w:szCs w:val="24"/>
          <w:u w:val="single"/>
        </w:rPr>
      </w:pPr>
      <w:r>
        <w:rPr>
          <w:b/>
          <w:sz w:val="24"/>
          <w:szCs w:val="24"/>
          <w:u w:val="single"/>
        </w:rPr>
        <w:t>Promising Themes</w:t>
      </w:r>
      <w:r w:rsidR="004362A3">
        <w:rPr>
          <w:b/>
          <w:sz w:val="24"/>
          <w:szCs w:val="24"/>
          <w:u w:val="single"/>
        </w:rPr>
        <w:t xml:space="preserve"> Study</w:t>
      </w:r>
      <w:r w:rsidRPr="00CA7776" w:rsidR="006E71B8">
        <w:rPr>
          <w:b/>
          <w:sz w:val="24"/>
          <w:szCs w:val="24"/>
          <w:u w:val="single"/>
        </w:rPr>
        <w:t xml:space="preserve"> participants recruited through social media</w:t>
      </w:r>
    </w:p>
    <w:p w:rsidR="006E71B8" w:rsidP="006E71B8" w:rsidRDefault="006E71B8" w14:paraId="2A319EE9" w14:textId="77777777">
      <w:pPr>
        <w:numPr>
          <w:ilvl w:val="0"/>
          <w:numId w:val="1"/>
        </w:numPr>
        <w:ind w:left="1440"/>
        <w:rPr>
          <w:sz w:val="24"/>
          <w:szCs w:val="24"/>
        </w:rPr>
      </w:pPr>
      <w:r>
        <w:rPr>
          <w:sz w:val="24"/>
          <w:szCs w:val="24"/>
        </w:rPr>
        <w:t xml:space="preserve">Participants are recruited through targeted social media advertising on Facebook and Instagram. </w:t>
      </w:r>
    </w:p>
    <w:p w:rsidR="006E71B8" w:rsidP="006E71B8" w:rsidRDefault="006E71B8" w14:paraId="4CAA19A0" w14:textId="77777777">
      <w:pPr>
        <w:numPr>
          <w:ilvl w:val="0"/>
          <w:numId w:val="1"/>
        </w:numPr>
        <w:ind w:left="1440"/>
        <w:rPr>
          <w:sz w:val="24"/>
          <w:szCs w:val="24"/>
        </w:rPr>
      </w:pPr>
      <w:r>
        <w:rPr>
          <w:sz w:val="24"/>
          <w:szCs w:val="24"/>
        </w:rPr>
        <w:t xml:space="preserve">After clicking the link in one of the social media advertisements, participants will be directed to the screener link. </w:t>
      </w:r>
    </w:p>
    <w:p w:rsidR="007D067D" w:rsidP="006E71B8" w:rsidRDefault="006E71B8" w14:paraId="5B0188EE" w14:textId="2F378A82">
      <w:pPr>
        <w:numPr>
          <w:ilvl w:val="0"/>
          <w:numId w:val="1"/>
        </w:numPr>
        <w:ind w:left="1440"/>
        <w:rPr>
          <w:sz w:val="24"/>
          <w:szCs w:val="24"/>
        </w:rPr>
      </w:pPr>
      <w:r>
        <w:rPr>
          <w:sz w:val="24"/>
          <w:szCs w:val="24"/>
        </w:rPr>
        <w:lastRenderedPageBreak/>
        <w:t xml:space="preserve">Participants will complete the screener and, if they qualify, will </w:t>
      </w:r>
      <w:r w:rsidR="00924863">
        <w:rPr>
          <w:sz w:val="24"/>
          <w:szCs w:val="24"/>
        </w:rPr>
        <w:t xml:space="preserve">be directed to the </w:t>
      </w:r>
      <w:r w:rsidR="007D067D">
        <w:rPr>
          <w:sz w:val="24"/>
          <w:szCs w:val="24"/>
        </w:rPr>
        <w:t xml:space="preserve">online survey. </w:t>
      </w:r>
    </w:p>
    <w:p w:rsidR="00416EB5" w:rsidP="006E71B8" w:rsidRDefault="00416EB5" w14:paraId="3170E83F" w14:textId="7A2C63D3">
      <w:pPr>
        <w:numPr>
          <w:ilvl w:val="0"/>
          <w:numId w:val="1"/>
        </w:numPr>
        <w:ind w:left="1440"/>
        <w:rPr>
          <w:sz w:val="24"/>
          <w:szCs w:val="24"/>
        </w:rPr>
      </w:pPr>
      <w:r w:rsidRPr="00416EB5">
        <w:rPr>
          <w:sz w:val="24"/>
          <w:szCs w:val="24"/>
        </w:rPr>
        <w:t xml:space="preserve">Eligible participants who provide their email address upon completing the online survey will receive one </w:t>
      </w:r>
      <w:r w:rsidRPr="00141FBD">
        <w:rPr>
          <w:sz w:val="24"/>
          <w:szCs w:val="24"/>
        </w:rPr>
        <w:t>$5</w:t>
      </w:r>
      <w:r w:rsidRPr="00416EB5">
        <w:rPr>
          <w:sz w:val="24"/>
          <w:szCs w:val="24"/>
        </w:rPr>
        <w:t xml:space="preserve"> digital gift card from Amazon as compensation for their time after we have confirmed that they have only taken the survey one time in the past six months.</w:t>
      </w:r>
      <w:r>
        <w:rPr>
          <w:sz w:val="24"/>
          <w:szCs w:val="24"/>
        </w:rPr>
        <w:t xml:space="preserve"> </w:t>
      </w:r>
    </w:p>
    <w:p w:rsidR="006E71B8" w:rsidP="006E71B8" w:rsidRDefault="007D067D" w14:paraId="34A5E5D1" w14:textId="324BEB8D">
      <w:pPr>
        <w:numPr>
          <w:ilvl w:val="0"/>
          <w:numId w:val="1"/>
        </w:numPr>
        <w:ind w:left="1440"/>
        <w:rPr>
          <w:sz w:val="24"/>
          <w:szCs w:val="24"/>
        </w:rPr>
      </w:pPr>
      <w:r w:rsidRPr="007D067D">
        <w:rPr>
          <w:sz w:val="24"/>
          <w:szCs w:val="24"/>
        </w:rPr>
        <w:t xml:space="preserve">We will work with an incentive distribution vendor, Creative Group, Inc., by purchase order to send a thank you message via email along with a digital gift card to participants who complete </w:t>
      </w:r>
      <w:r w:rsidR="001A3E81">
        <w:rPr>
          <w:sz w:val="24"/>
          <w:szCs w:val="24"/>
        </w:rPr>
        <w:t>the</w:t>
      </w:r>
      <w:r w:rsidR="00B334BE">
        <w:rPr>
          <w:sz w:val="24"/>
          <w:szCs w:val="24"/>
        </w:rPr>
        <w:t xml:space="preserve"> </w:t>
      </w:r>
      <w:r w:rsidRPr="007D067D">
        <w:rPr>
          <w:sz w:val="24"/>
          <w:szCs w:val="24"/>
        </w:rPr>
        <w:t xml:space="preserve">online survey. </w:t>
      </w:r>
    </w:p>
    <w:p w:rsidR="0049371C" w:rsidP="0049371C" w:rsidRDefault="0049371C" w14:paraId="09429472" w14:textId="5A459A87">
      <w:pPr>
        <w:rPr>
          <w:sz w:val="24"/>
          <w:szCs w:val="24"/>
        </w:rPr>
      </w:pPr>
    </w:p>
    <w:p w:rsidRPr="0049371C" w:rsidR="0049371C" w:rsidP="0049371C" w:rsidRDefault="0049371C" w14:paraId="0F894E57" w14:textId="3A5C4622">
      <w:pPr>
        <w:rPr>
          <w:sz w:val="24"/>
          <w:szCs w:val="24"/>
        </w:rPr>
      </w:pPr>
      <w:r w:rsidRPr="0049371C">
        <w:rPr>
          <w:sz w:val="24"/>
          <w:szCs w:val="24"/>
        </w:rPr>
        <w:t>E-mail addresses will be collected in the Qualtrics survey platform and stored in an isolated survey that will contain a</w:t>
      </w:r>
      <w:r w:rsidR="001F26A3">
        <w:rPr>
          <w:sz w:val="24"/>
          <w:szCs w:val="24"/>
        </w:rPr>
        <w:t>n</w:t>
      </w:r>
      <w:r w:rsidRPr="0049371C">
        <w:rPr>
          <w:sz w:val="24"/>
          <w:szCs w:val="24"/>
        </w:rPr>
        <w:t xml:space="preserve"> RTI-assigned unique ID and email address. IP address will be collected in the survey platform in an isolated survey that contains IP address, RTI-assigned unique ID, and screener responses. </w:t>
      </w:r>
      <w:r w:rsidR="00727CFF">
        <w:rPr>
          <w:sz w:val="24"/>
          <w:szCs w:val="24"/>
        </w:rPr>
        <w:t>Date of birth will be collected in an isolated survey that will contain a</w:t>
      </w:r>
      <w:r w:rsidR="0074660E">
        <w:rPr>
          <w:sz w:val="24"/>
          <w:szCs w:val="24"/>
        </w:rPr>
        <w:t>n</w:t>
      </w:r>
      <w:r w:rsidR="00727CFF">
        <w:rPr>
          <w:sz w:val="24"/>
          <w:szCs w:val="24"/>
        </w:rPr>
        <w:t xml:space="preserve"> RTI-assigned unique ID and date of birth. </w:t>
      </w:r>
      <w:r w:rsidRPr="0049371C">
        <w:rPr>
          <w:sz w:val="24"/>
          <w:szCs w:val="24"/>
        </w:rPr>
        <w:t>Responses to the body of the survey will be collected in the Qualtrics survey platform and stored in an isolated survey. IP address</w:t>
      </w:r>
      <w:r w:rsidR="00AC21AC">
        <w:rPr>
          <w:sz w:val="24"/>
          <w:szCs w:val="24"/>
        </w:rPr>
        <w:t xml:space="preserve">, </w:t>
      </w:r>
      <w:r w:rsidRPr="0049371C">
        <w:rPr>
          <w:sz w:val="24"/>
          <w:szCs w:val="24"/>
        </w:rPr>
        <w:t>e-mail address</w:t>
      </w:r>
      <w:r w:rsidR="00AC21AC">
        <w:rPr>
          <w:sz w:val="24"/>
          <w:szCs w:val="24"/>
        </w:rPr>
        <w:t>, and date of birth</w:t>
      </w:r>
      <w:r w:rsidRPr="0049371C">
        <w:rPr>
          <w:sz w:val="24"/>
          <w:szCs w:val="24"/>
        </w:rPr>
        <w:t xml:space="preserve"> will not be collected in the same file. </w:t>
      </w:r>
    </w:p>
    <w:p w:rsidRPr="0049371C" w:rsidR="0049371C" w:rsidP="0049371C" w:rsidRDefault="0049371C" w14:paraId="218F09B8" w14:textId="77777777">
      <w:pPr>
        <w:rPr>
          <w:sz w:val="24"/>
          <w:szCs w:val="24"/>
        </w:rPr>
      </w:pPr>
    </w:p>
    <w:p w:rsidRPr="0049371C" w:rsidR="0049371C" w:rsidP="0049371C" w:rsidRDefault="003C0269" w14:paraId="07748E78" w14:textId="69BDD377">
      <w:pPr>
        <w:rPr>
          <w:sz w:val="24"/>
          <w:szCs w:val="24"/>
        </w:rPr>
      </w:pPr>
      <w:r w:rsidRPr="003C0269">
        <w:rPr>
          <w:sz w:val="24"/>
          <w:szCs w:val="24"/>
        </w:rPr>
        <w:t xml:space="preserve">All three survey data files (IP address, PII, and survey responses) will be downloaded separately from Qualtrics (which requires a password). </w:t>
      </w:r>
      <w:r w:rsidRPr="0049371C" w:rsidR="0049371C">
        <w:rPr>
          <w:sz w:val="24"/>
          <w:szCs w:val="24"/>
        </w:rPr>
        <w:t xml:space="preserve">Since the </w:t>
      </w:r>
      <w:r w:rsidRPr="00A376AA" w:rsidR="00A376AA">
        <w:rPr>
          <w:sz w:val="24"/>
          <w:szCs w:val="24"/>
        </w:rPr>
        <w:t xml:space="preserve">Federal Information Processing Standards (FIPS) 199 </w:t>
      </w:r>
      <w:r w:rsidRPr="0049371C" w:rsidR="0049371C">
        <w:rPr>
          <w:sz w:val="24"/>
          <w:szCs w:val="24"/>
        </w:rPr>
        <w:t xml:space="preserve">does not permit access to the internet (and downloading the data from Qualtrics requires an internet connection), the files will be downloaded to the secure RTI study share drive and stored on the study share drive for no more than </w:t>
      </w:r>
      <w:r w:rsidR="001C1C3B">
        <w:rPr>
          <w:sz w:val="24"/>
          <w:szCs w:val="24"/>
        </w:rPr>
        <w:t>48</w:t>
      </w:r>
      <w:r w:rsidRPr="0049371C" w:rsidR="0049371C">
        <w:rPr>
          <w:sz w:val="24"/>
          <w:szCs w:val="24"/>
        </w:rPr>
        <w:t xml:space="preserve"> hours after download. Study staff will be given as-needed access to the data files on the share during that </w:t>
      </w:r>
      <w:r w:rsidR="001C1C3B">
        <w:rPr>
          <w:sz w:val="24"/>
          <w:szCs w:val="24"/>
        </w:rPr>
        <w:t>48</w:t>
      </w:r>
      <w:r w:rsidRPr="0049371C" w:rsidR="0049371C">
        <w:rPr>
          <w:sz w:val="24"/>
          <w:szCs w:val="24"/>
        </w:rPr>
        <w:t xml:space="preserve">-hour period to conduct fraud detection procedures, at which point data from the individual will be combined to check for fraudulent responses. </w:t>
      </w:r>
    </w:p>
    <w:p w:rsidRPr="0049371C" w:rsidR="0049371C" w:rsidP="0049371C" w:rsidRDefault="0049371C" w14:paraId="1D8A5508" w14:textId="77777777">
      <w:pPr>
        <w:rPr>
          <w:sz w:val="24"/>
          <w:szCs w:val="24"/>
        </w:rPr>
      </w:pPr>
    </w:p>
    <w:p w:rsidRPr="0049371C" w:rsidR="0049371C" w:rsidP="0049371C" w:rsidRDefault="0049371C" w14:paraId="5EECD9AA" w14:textId="6EBC7869">
      <w:pPr>
        <w:rPr>
          <w:sz w:val="24"/>
          <w:szCs w:val="24"/>
        </w:rPr>
      </w:pPr>
      <w:r w:rsidRPr="0049371C">
        <w:rPr>
          <w:sz w:val="24"/>
          <w:szCs w:val="24"/>
        </w:rPr>
        <w:t>Once fraud detection procedures have been completed (within 4</w:t>
      </w:r>
      <w:r w:rsidR="00D576E5">
        <w:rPr>
          <w:sz w:val="24"/>
          <w:szCs w:val="24"/>
        </w:rPr>
        <w:t>8</w:t>
      </w:r>
      <w:r w:rsidRPr="0049371C">
        <w:rPr>
          <w:sz w:val="24"/>
          <w:szCs w:val="24"/>
        </w:rPr>
        <w:t xml:space="preserve"> hours after download), we will send a password protected file of just the e-mail addresses (that get incentives) to Creative Group. We will then send the password to Creative Group in a separate e-mail. Password protected/encrypted files with just e-mail addresses will be stored on the share drive until the study is completed. After completion of the study, all files containing e-mail address and/or IP address will be moved to the</w:t>
      </w:r>
      <w:r w:rsidRPr="00A376AA" w:rsidR="00A376AA">
        <w:rPr>
          <w:sz w:val="24"/>
          <w:szCs w:val="24"/>
        </w:rPr>
        <w:t xml:space="preserve"> Federal Information Processing Standards (FIPS) 199</w:t>
      </w:r>
      <w:r w:rsidRPr="0049371C">
        <w:rPr>
          <w:sz w:val="24"/>
          <w:szCs w:val="24"/>
        </w:rPr>
        <w:t>. Once these files have been transferred any files on the study share that contain e-mail</w:t>
      </w:r>
      <w:r w:rsidR="00AC21AC">
        <w:rPr>
          <w:sz w:val="24"/>
          <w:szCs w:val="24"/>
        </w:rPr>
        <w:t>, date of birth,</w:t>
      </w:r>
      <w:r w:rsidRPr="0049371C">
        <w:rPr>
          <w:sz w:val="24"/>
          <w:szCs w:val="24"/>
        </w:rPr>
        <w:t xml:space="preserve"> and/or IP addresses will be deleted. The file containing participant ID (but not e-mail address</w:t>
      </w:r>
      <w:r w:rsidR="00AC21AC">
        <w:rPr>
          <w:sz w:val="24"/>
          <w:szCs w:val="24"/>
        </w:rPr>
        <w:t>, date of birth,</w:t>
      </w:r>
      <w:r w:rsidRPr="0049371C">
        <w:rPr>
          <w:sz w:val="24"/>
          <w:szCs w:val="24"/>
        </w:rPr>
        <w:t xml:space="preserve"> and/or IP address) and the survey responses will remain on the study share drive for analysis. At the completion of data collection, all response data will be deleted from the survey platform (Qualtrics) and remain only on RTI’s secure shared drive and </w:t>
      </w:r>
      <w:r w:rsidRPr="00A376AA" w:rsidR="00A376AA">
        <w:rPr>
          <w:sz w:val="24"/>
          <w:szCs w:val="24"/>
        </w:rPr>
        <w:t>Federal Information Processing Standards (FIPS) 199</w:t>
      </w:r>
      <w:r w:rsidRPr="0049371C">
        <w:rPr>
          <w:sz w:val="24"/>
          <w:szCs w:val="24"/>
        </w:rPr>
        <w:t xml:space="preserve">. </w:t>
      </w:r>
    </w:p>
    <w:p w:rsidRPr="0049371C" w:rsidR="0049371C" w:rsidP="0049371C" w:rsidRDefault="0049371C" w14:paraId="3F672CB8" w14:textId="77777777">
      <w:pPr>
        <w:rPr>
          <w:sz w:val="24"/>
          <w:szCs w:val="24"/>
        </w:rPr>
      </w:pPr>
    </w:p>
    <w:p w:rsidR="0049371C" w:rsidP="0049371C" w:rsidRDefault="0049371C" w14:paraId="742B6023" w14:textId="1A201909">
      <w:pPr>
        <w:rPr>
          <w:sz w:val="24"/>
          <w:szCs w:val="24"/>
        </w:rPr>
      </w:pPr>
      <w:r w:rsidRPr="0049371C">
        <w:rPr>
          <w:sz w:val="24"/>
          <w:szCs w:val="24"/>
        </w:rPr>
        <w:t>At the end of data collection, a member of the project staff will export the data from the survey and out of the ESN, saving them directly onto the project share drive. Only RTI project staff directly involved in programming, sampling, recruitment, or analysis will have access to the survey data or sampling frame. No respondent identifiers will be contained in reports to FDA, and results will only be presented in aggregate form.</w:t>
      </w:r>
    </w:p>
    <w:p w:rsidRPr="0049371C" w:rsidR="00DD7EF8" w:rsidP="0049371C" w:rsidRDefault="00DD7EF8" w14:paraId="5C6D3706" w14:textId="77777777">
      <w:pPr>
        <w:rPr>
          <w:sz w:val="24"/>
          <w:szCs w:val="24"/>
        </w:rPr>
      </w:pPr>
    </w:p>
    <w:p w:rsidR="0049371C" w:rsidP="0049371C" w:rsidRDefault="0049371C" w14:paraId="3B4600F7" w14:textId="0268C9BF">
      <w:pPr>
        <w:rPr>
          <w:sz w:val="24"/>
          <w:szCs w:val="24"/>
        </w:rPr>
      </w:pPr>
      <w:r w:rsidRPr="0049371C">
        <w:rPr>
          <w:sz w:val="24"/>
          <w:szCs w:val="24"/>
        </w:rPr>
        <w:lastRenderedPageBreak/>
        <w:t>To reduce the potential of participants completing multiple surveys and to reduce non-U.S. based youth from completing surveys, IP addresses from outside of the U.S. will be blocked from taking the screener. Additionally, we may maintain a list of IP addresses from which we receive repeated fraudulent activity as defined above. IP addresses appearing on this list may be blocked from accessing the screener or main survey. We also block VPNs with an IP address from a potential spoofing site.</w:t>
      </w:r>
    </w:p>
    <w:p w:rsidRPr="00E76392" w:rsidR="006E71B8" w:rsidP="006E71B8" w:rsidRDefault="006E71B8" w14:paraId="087F8BDB" w14:textId="77777777">
      <w:pPr>
        <w:ind w:left="1440"/>
        <w:rPr>
          <w:sz w:val="24"/>
          <w:szCs w:val="24"/>
        </w:rPr>
      </w:pPr>
    </w:p>
    <w:p w:rsidRPr="00CD24D2" w:rsidR="006E71B8" w:rsidP="006E71B8" w:rsidRDefault="006E71B8" w14:paraId="7BE78260" w14:textId="77777777">
      <w:pPr>
        <w:pStyle w:val="bodytextpsg"/>
        <w:autoSpaceDE w:val="0"/>
        <w:autoSpaceDN w:val="0"/>
        <w:adjustRightInd w:val="0"/>
        <w:spacing w:before="0" w:after="0"/>
        <w:ind w:firstLine="0"/>
        <w:rPr>
          <w:b/>
          <w:i/>
          <w:sz w:val="24"/>
        </w:rPr>
      </w:pPr>
      <w:r w:rsidRPr="00CD24D2">
        <w:rPr>
          <w:b/>
          <w:i/>
          <w:sz w:val="24"/>
        </w:rPr>
        <w:t>Unusual Problems Requiring Specialized Sampling Procedures</w:t>
      </w:r>
    </w:p>
    <w:p w:rsidRPr="00E378E8" w:rsidR="006E71B8" w:rsidP="006E71B8" w:rsidRDefault="006E71B8" w14:paraId="7B818FA9" w14:textId="77777777">
      <w:pPr>
        <w:autoSpaceDE w:val="0"/>
        <w:autoSpaceDN w:val="0"/>
        <w:adjustRightInd w:val="0"/>
        <w:rPr>
          <w:sz w:val="24"/>
          <w:szCs w:val="24"/>
        </w:rPr>
      </w:pPr>
      <w:r w:rsidRPr="00E378E8">
        <w:rPr>
          <w:sz w:val="24"/>
          <w:szCs w:val="24"/>
        </w:rPr>
        <w:t>No specialized sampling procedures are involved.</w:t>
      </w:r>
    </w:p>
    <w:p w:rsidR="006E71B8" w:rsidP="006E71B8" w:rsidRDefault="006E71B8" w14:paraId="34715116" w14:textId="77777777">
      <w:pPr>
        <w:autoSpaceDE w:val="0"/>
        <w:autoSpaceDN w:val="0"/>
        <w:adjustRightInd w:val="0"/>
        <w:rPr>
          <w:b/>
          <w:i/>
          <w:sz w:val="24"/>
        </w:rPr>
      </w:pPr>
    </w:p>
    <w:p w:rsidRPr="00DD37DC" w:rsidR="00DD37DC" w:rsidP="00DD37DC" w:rsidRDefault="00DD37DC" w14:paraId="2C2AAC83" w14:textId="77777777"/>
    <w:p w:rsidRPr="00A77197" w:rsidR="006E71B8" w:rsidP="006E71B8" w:rsidRDefault="006E71B8" w14:paraId="1F1E5837" w14:textId="77777777">
      <w:pPr>
        <w:pStyle w:val="Heading4"/>
        <w:rPr>
          <w:rFonts w:ascii="Times New Roman" w:hAnsi="Times New Roman" w:cs="Times New Roman"/>
          <w:szCs w:val="24"/>
          <w:u w:val="single"/>
        </w:rPr>
      </w:pPr>
      <w:r w:rsidRPr="00A77197">
        <w:rPr>
          <w:rFonts w:ascii="Times New Roman" w:hAnsi="Times New Roman" w:cs="Times New Roman"/>
          <w:szCs w:val="24"/>
          <w:u w:val="single"/>
        </w:rPr>
        <w:t>3. Methods to Maximize Response Rates</w:t>
      </w:r>
    </w:p>
    <w:p w:rsidR="006E71B8" w:rsidP="006E71B8" w:rsidRDefault="006E71B8" w14:paraId="6A2AEED9" w14:textId="77777777">
      <w:pPr>
        <w:rPr>
          <w:b/>
          <w:sz w:val="24"/>
          <w:szCs w:val="24"/>
          <w:u w:val="single"/>
        </w:rPr>
      </w:pPr>
    </w:p>
    <w:p w:rsidRPr="002E054D" w:rsidR="006E71B8" w:rsidP="006E71B8" w:rsidRDefault="006E71B8" w14:paraId="0C19F5DE" w14:textId="6D5A63BF">
      <w:pPr>
        <w:rPr>
          <w:sz w:val="24"/>
          <w:szCs w:val="24"/>
        </w:rPr>
      </w:pPr>
      <w:r w:rsidRPr="002E054D">
        <w:rPr>
          <w:sz w:val="24"/>
          <w:szCs w:val="24"/>
        </w:rPr>
        <w:t xml:space="preserve">The ability to obtain the cooperation of potential respondents in the survey will be important to the success of this study. </w:t>
      </w:r>
      <w:r w:rsidR="0036058F">
        <w:rPr>
          <w:sz w:val="24"/>
          <w:szCs w:val="24"/>
        </w:rPr>
        <w:t>RTI International</w:t>
      </w:r>
      <w:r w:rsidRPr="002E054D">
        <w:rPr>
          <w:sz w:val="24"/>
          <w:szCs w:val="24"/>
        </w:rPr>
        <w:t xml:space="preserve"> will minimize the non-response rate by employing the following measures:</w:t>
      </w:r>
    </w:p>
    <w:p w:rsidRPr="00832536" w:rsidR="006E71B8" w:rsidP="006E71B8" w:rsidRDefault="006E71B8" w14:paraId="5AFA02DD" w14:textId="77777777">
      <w:pPr>
        <w:numPr>
          <w:ilvl w:val="0"/>
          <w:numId w:val="2"/>
        </w:numPr>
        <w:ind w:left="720"/>
        <w:rPr>
          <w:sz w:val="24"/>
          <w:szCs w:val="24"/>
        </w:rPr>
      </w:pPr>
      <w:r>
        <w:rPr>
          <w:sz w:val="24"/>
          <w:szCs w:val="24"/>
        </w:rPr>
        <w:t>Employ targeted advertising to best reach the desired sample</w:t>
      </w:r>
    </w:p>
    <w:p w:rsidRPr="002E054D" w:rsidR="006E71B8" w:rsidP="006E71B8" w:rsidRDefault="006E71B8" w14:paraId="444CC17C" w14:textId="5AD34593">
      <w:pPr>
        <w:numPr>
          <w:ilvl w:val="0"/>
          <w:numId w:val="2"/>
        </w:numPr>
        <w:ind w:left="720"/>
        <w:rPr>
          <w:sz w:val="24"/>
          <w:szCs w:val="24"/>
        </w:rPr>
      </w:pPr>
      <w:r w:rsidRPr="002E054D">
        <w:rPr>
          <w:sz w:val="24"/>
          <w:szCs w:val="24"/>
        </w:rPr>
        <w:t xml:space="preserve">Provide </w:t>
      </w:r>
      <w:r>
        <w:rPr>
          <w:sz w:val="24"/>
          <w:szCs w:val="24"/>
        </w:rPr>
        <w:t>a token of appreciation in the form of a $</w:t>
      </w:r>
      <w:r w:rsidR="0036058F">
        <w:rPr>
          <w:sz w:val="24"/>
          <w:szCs w:val="24"/>
        </w:rPr>
        <w:t>5</w:t>
      </w:r>
      <w:r>
        <w:rPr>
          <w:sz w:val="24"/>
          <w:szCs w:val="24"/>
        </w:rPr>
        <w:t xml:space="preserve"> </w:t>
      </w:r>
      <w:r w:rsidRPr="00074AF4" w:rsidR="00074AF4">
        <w:rPr>
          <w:sz w:val="24"/>
          <w:szCs w:val="24"/>
        </w:rPr>
        <w:t>digital gift card from Amazon</w:t>
      </w:r>
      <w:r>
        <w:rPr>
          <w:sz w:val="24"/>
          <w:szCs w:val="24"/>
        </w:rPr>
        <w:t xml:space="preserve"> to participants who complete and submit the survey</w:t>
      </w:r>
    </w:p>
    <w:p w:rsidRPr="002E054D" w:rsidR="006E71B8" w:rsidP="006E71B8" w:rsidRDefault="006E71B8" w14:paraId="4FA78CC9" w14:textId="77777777">
      <w:pPr>
        <w:rPr>
          <w:sz w:val="24"/>
          <w:szCs w:val="24"/>
        </w:rPr>
      </w:pPr>
    </w:p>
    <w:p w:rsidR="00A82369" w:rsidP="00A82369" w:rsidRDefault="006E71B8" w14:paraId="4E0F17B4" w14:textId="299D372D">
      <w:pPr>
        <w:rPr>
          <w:rFonts w:eastAsiaTheme="minorHAnsi"/>
          <w:sz w:val="24"/>
          <w:szCs w:val="24"/>
        </w:rPr>
      </w:pPr>
      <w:r>
        <w:rPr>
          <w:sz w:val="24"/>
          <w:szCs w:val="24"/>
        </w:rPr>
        <w:t xml:space="preserve">We will use targeted advertising on </w:t>
      </w:r>
      <w:r w:rsidR="0074602D">
        <w:rPr>
          <w:sz w:val="24"/>
          <w:szCs w:val="24"/>
        </w:rPr>
        <w:t>social media</w:t>
      </w:r>
      <w:r>
        <w:rPr>
          <w:sz w:val="24"/>
          <w:szCs w:val="24"/>
        </w:rPr>
        <w:t xml:space="preserve"> to reach </w:t>
      </w:r>
      <w:r w:rsidR="00726270">
        <w:rPr>
          <w:sz w:val="24"/>
          <w:szCs w:val="24"/>
        </w:rPr>
        <w:t>the target population.</w:t>
      </w:r>
      <w:r>
        <w:rPr>
          <w:sz w:val="24"/>
          <w:szCs w:val="24"/>
        </w:rPr>
        <w:t xml:space="preserve"> We estimate that the survey will take </w:t>
      </w:r>
      <w:r w:rsidR="00DD7EF8">
        <w:rPr>
          <w:sz w:val="24"/>
          <w:szCs w:val="24"/>
        </w:rPr>
        <w:t>20</w:t>
      </w:r>
      <w:r>
        <w:rPr>
          <w:sz w:val="24"/>
          <w:szCs w:val="24"/>
        </w:rPr>
        <w:t xml:space="preserve"> minutes to compete. </w:t>
      </w:r>
      <w:r w:rsidRPr="003C27C8">
        <w:rPr>
          <w:bCs/>
          <w:sz w:val="24"/>
          <w:szCs w:val="24"/>
        </w:rPr>
        <w:t>As a token of appreciation, participants recruited through social media who complete and submit</w:t>
      </w:r>
      <w:r w:rsidRPr="0054144A">
        <w:rPr>
          <w:bCs/>
          <w:sz w:val="24"/>
          <w:szCs w:val="24"/>
        </w:rPr>
        <w:t xml:space="preserve"> t</w:t>
      </w:r>
      <w:r w:rsidRPr="00751AA4">
        <w:rPr>
          <w:bCs/>
          <w:sz w:val="24"/>
          <w:szCs w:val="24"/>
        </w:rPr>
        <w:t xml:space="preserve">he survey will receive a </w:t>
      </w:r>
      <w:r w:rsidRPr="00191553" w:rsidR="00191553">
        <w:rPr>
          <w:bCs/>
          <w:sz w:val="24"/>
          <w:szCs w:val="24"/>
        </w:rPr>
        <w:t>$5 digital gift card from Amazon</w:t>
      </w:r>
      <w:r w:rsidRPr="00751AA4">
        <w:rPr>
          <w:bCs/>
          <w:sz w:val="24"/>
          <w:szCs w:val="24"/>
        </w:rPr>
        <w:t xml:space="preserve">. </w:t>
      </w:r>
      <w:r w:rsidRPr="00751AA4">
        <w:rPr>
          <w:sz w:val="24"/>
          <w:szCs w:val="24"/>
        </w:rPr>
        <w:t xml:space="preserve">As participants often have competing demands for their time, a token of appreciation for participation in research is warranted. The use of a token of appreciation treats participants justly and with respect by recognizing and acknowledging the effort participants expend to participate. </w:t>
      </w:r>
      <w:r w:rsidR="00A82369">
        <w:rPr>
          <w:sz w:val="24"/>
          <w:szCs w:val="24"/>
        </w:rPr>
        <w:t xml:space="preserve">Numerous empirical studies have also shown that a token of appreciation can significantly increase response rates in cross-sectional studies and reduce attrition in longitudinal studies (e.g., Abreu &amp; Winters, 1999; Castiglioni, </w:t>
      </w:r>
      <w:proofErr w:type="spellStart"/>
      <w:r w:rsidR="00A82369">
        <w:rPr>
          <w:sz w:val="24"/>
          <w:szCs w:val="24"/>
        </w:rPr>
        <w:t>Pforr</w:t>
      </w:r>
      <w:proofErr w:type="spellEnd"/>
      <w:r w:rsidR="00A82369">
        <w:rPr>
          <w:sz w:val="24"/>
          <w:szCs w:val="24"/>
        </w:rPr>
        <w:t xml:space="preserve">, &amp; Krieger, 2008; </w:t>
      </w:r>
      <w:proofErr w:type="spellStart"/>
      <w:r w:rsidR="00A82369">
        <w:rPr>
          <w:sz w:val="24"/>
          <w:szCs w:val="24"/>
        </w:rPr>
        <w:t>Shettle</w:t>
      </w:r>
      <w:proofErr w:type="spellEnd"/>
      <w:r w:rsidR="00A82369">
        <w:rPr>
          <w:sz w:val="24"/>
          <w:szCs w:val="24"/>
        </w:rPr>
        <w:t xml:space="preserve"> &amp; Mooney, 1999; Singer, 2002). Additionally, evidence indicates that at-risk and multicultural populations may be particularly difficult to recruit and retain in health research (</w:t>
      </w:r>
      <w:proofErr w:type="spellStart"/>
      <w:r w:rsidR="00A82369">
        <w:rPr>
          <w:sz w:val="24"/>
          <w:szCs w:val="24"/>
        </w:rPr>
        <w:t>Hooven</w:t>
      </w:r>
      <w:proofErr w:type="spellEnd"/>
      <w:r w:rsidR="00A82369">
        <w:rPr>
          <w:sz w:val="24"/>
          <w:szCs w:val="24"/>
        </w:rPr>
        <w:t xml:space="preserve">, Walsh, </w:t>
      </w:r>
      <w:proofErr w:type="spellStart"/>
      <w:r w:rsidR="00A82369">
        <w:rPr>
          <w:sz w:val="24"/>
          <w:szCs w:val="24"/>
        </w:rPr>
        <w:t>Willgerodt</w:t>
      </w:r>
      <w:proofErr w:type="spellEnd"/>
      <w:r w:rsidR="00A82369">
        <w:rPr>
          <w:sz w:val="24"/>
          <w:szCs w:val="24"/>
        </w:rPr>
        <w:t xml:space="preserve">, &amp; Salazar, 2011; </w:t>
      </w:r>
      <w:proofErr w:type="spellStart"/>
      <w:r w:rsidR="00A82369">
        <w:rPr>
          <w:sz w:val="24"/>
          <w:szCs w:val="24"/>
        </w:rPr>
        <w:t>Zand</w:t>
      </w:r>
      <w:proofErr w:type="spellEnd"/>
      <w:r w:rsidR="00A82369">
        <w:rPr>
          <w:sz w:val="24"/>
          <w:szCs w:val="24"/>
        </w:rPr>
        <w:t xml:space="preserve"> et al., 2006; Post, </w:t>
      </w:r>
      <w:proofErr w:type="spellStart"/>
      <w:r w:rsidR="00A82369">
        <w:rPr>
          <w:sz w:val="24"/>
          <w:szCs w:val="24"/>
        </w:rPr>
        <w:t>Gilljam</w:t>
      </w:r>
      <w:proofErr w:type="spellEnd"/>
      <w:r w:rsidR="00A82369">
        <w:rPr>
          <w:sz w:val="24"/>
          <w:szCs w:val="24"/>
        </w:rPr>
        <w:t xml:space="preserve">, </w:t>
      </w:r>
      <w:proofErr w:type="spellStart"/>
      <w:r w:rsidR="00A82369">
        <w:rPr>
          <w:sz w:val="24"/>
          <w:szCs w:val="24"/>
        </w:rPr>
        <w:t>Bremberg</w:t>
      </w:r>
      <w:proofErr w:type="spellEnd"/>
      <w:r w:rsidR="00A82369">
        <w:rPr>
          <w:sz w:val="24"/>
          <w:szCs w:val="24"/>
        </w:rPr>
        <w:t xml:space="preserve">, &amp; </w:t>
      </w:r>
      <w:proofErr w:type="spellStart"/>
      <w:r w:rsidR="00A82369">
        <w:rPr>
          <w:sz w:val="24"/>
          <w:szCs w:val="24"/>
        </w:rPr>
        <w:t>Galanti</w:t>
      </w:r>
      <w:proofErr w:type="spellEnd"/>
      <w:r w:rsidR="00A82369">
        <w:rPr>
          <w:sz w:val="24"/>
          <w:szCs w:val="24"/>
        </w:rPr>
        <w:t xml:space="preserve">, 2012; Patel, </w:t>
      </w:r>
      <w:proofErr w:type="spellStart"/>
      <w:r w:rsidR="00A82369">
        <w:rPr>
          <w:sz w:val="24"/>
          <w:szCs w:val="24"/>
        </w:rPr>
        <w:t>Doku</w:t>
      </w:r>
      <w:proofErr w:type="spellEnd"/>
      <w:r w:rsidR="00A82369">
        <w:rPr>
          <w:sz w:val="24"/>
          <w:szCs w:val="24"/>
        </w:rPr>
        <w:t xml:space="preserve">, &amp; Tennakoon, 2003; Siddiqui, Flay, &amp; Hu, 1996; Giuliano et al., 2000; Murthy, </w:t>
      </w:r>
      <w:proofErr w:type="spellStart"/>
      <w:r w:rsidR="00A82369">
        <w:rPr>
          <w:sz w:val="24"/>
          <w:szCs w:val="24"/>
        </w:rPr>
        <w:t>Krumholz</w:t>
      </w:r>
      <w:proofErr w:type="spellEnd"/>
      <w:r w:rsidR="00A82369">
        <w:rPr>
          <w:sz w:val="24"/>
          <w:szCs w:val="24"/>
        </w:rPr>
        <w:t xml:space="preserve">, &amp; Gross, 2004), but that the use of a token of appreciation can be an effective means of recruiting and retaining participants from these populations (Martinson et al., 2000; Booker, Harding, &amp; </w:t>
      </w:r>
      <w:proofErr w:type="spellStart"/>
      <w:r w:rsidR="00A82369">
        <w:rPr>
          <w:sz w:val="24"/>
          <w:szCs w:val="24"/>
        </w:rPr>
        <w:t>Benzeval</w:t>
      </w:r>
      <w:proofErr w:type="spellEnd"/>
      <w:r w:rsidR="00A82369">
        <w:rPr>
          <w:sz w:val="24"/>
          <w:szCs w:val="24"/>
        </w:rPr>
        <w:t xml:space="preserve">, 2011; Caldwell, Hamilton, Tan, &amp; Craig, 2010; Walter, Burke, &amp; Davis, 2013). </w:t>
      </w:r>
    </w:p>
    <w:p w:rsidR="006E71B8" w:rsidP="006E71B8" w:rsidRDefault="006E71B8" w14:paraId="69D0D395" w14:textId="340D33E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sz w:val="24"/>
          <w:szCs w:val="24"/>
        </w:rPr>
      </w:pPr>
    </w:p>
    <w:p w:rsidRPr="003C27C8" w:rsidR="00273625" w:rsidP="006E71B8" w:rsidRDefault="00273625" w14:paraId="2460A592"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sz w:val="24"/>
          <w:szCs w:val="24"/>
        </w:rPr>
      </w:pPr>
    </w:p>
    <w:p w:rsidRPr="00A77197" w:rsidR="006E71B8" w:rsidP="006E71B8" w:rsidRDefault="006E71B8" w14:paraId="42484D09" w14:textId="6A0C8324">
      <w:pPr>
        <w:rPr>
          <w:b/>
          <w:sz w:val="24"/>
          <w:szCs w:val="24"/>
          <w:u w:val="single"/>
        </w:rPr>
      </w:pPr>
      <w:r w:rsidRPr="00A77197">
        <w:rPr>
          <w:b/>
          <w:sz w:val="24"/>
          <w:szCs w:val="24"/>
          <w:u w:val="single"/>
        </w:rPr>
        <w:t>4</w:t>
      </w:r>
      <w:r w:rsidRPr="00A77197">
        <w:rPr>
          <w:sz w:val="24"/>
          <w:szCs w:val="24"/>
          <w:u w:val="single"/>
        </w:rPr>
        <w:t xml:space="preserve">. </w:t>
      </w:r>
      <w:r w:rsidRPr="00A77197">
        <w:rPr>
          <w:b/>
          <w:sz w:val="24"/>
          <w:szCs w:val="24"/>
          <w:u w:val="single"/>
        </w:rPr>
        <w:t>Tests of Procedures or Methods</w:t>
      </w:r>
    </w:p>
    <w:p w:rsidR="006E71B8" w:rsidP="006E71B8" w:rsidRDefault="006E71B8" w14:paraId="6AC02344" w14:textId="77777777">
      <w:pPr>
        <w:ind w:left="720" w:hanging="720"/>
        <w:rPr>
          <w:b/>
          <w:sz w:val="24"/>
          <w:szCs w:val="24"/>
          <w:u w:val="single"/>
        </w:rPr>
      </w:pPr>
    </w:p>
    <w:p w:rsidR="006E71B8" w:rsidP="006E71B8" w:rsidRDefault="00B42AE3" w14:paraId="6815CF1A" w14:textId="65DA036D">
      <w:pPr>
        <w:rPr>
          <w:sz w:val="24"/>
          <w:szCs w:val="24"/>
        </w:rPr>
      </w:pPr>
      <w:r>
        <w:rPr>
          <w:sz w:val="24"/>
          <w:szCs w:val="24"/>
        </w:rPr>
        <w:t>RTI International</w:t>
      </w:r>
      <w:r w:rsidRPr="002E054D" w:rsidR="006E71B8">
        <w:rPr>
          <w:sz w:val="24"/>
          <w:szCs w:val="24"/>
        </w:rPr>
        <w:t xml:space="preserve"> will conduct rigorous internal testing of the online survey instrument prior to fielding. </w:t>
      </w:r>
      <w:r w:rsidR="006E71B8">
        <w:rPr>
          <w:sz w:val="24"/>
          <w:szCs w:val="24"/>
        </w:rPr>
        <w:t xml:space="preserve">Survey testers </w:t>
      </w:r>
      <w:r w:rsidRPr="002E054D" w:rsidR="006E71B8">
        <w:rPr>
          <w:sz w:val="24"/>
          <w:szCs w:val="24"/>
        </w:rPr>
        <w:t xml:space="preserve">will review the online test version of the instrument that we will use to verify that instrument skip patterns are functioning properly, delivery of </w:t>
      </w:r>
      <w:r w:rsidR="006E71B8">
        <w:rPr>
          <w:sz w:val="24"/>
          <w:szCs w:val="24"/>
        </w:rPr>
        <w:t>the $</w:t>
      </w:r>
      <w:r w:rsidR="007C7317">
        <w:rPr>
          <w:sz w:val="24"/>
          <w:szCs w:val="24"/>
        </w:rPr>
        <w:t>5</w:t>
      </w:r>
      <w:r w:rsidR="006E71B8">
        <w:rPr>
          <w:sz w:val="24"/>
          <w:szCs w:val="24"/>
        </w:rPr>
        <w:t xml:space="preserve"> gift card as a token of appreciation </w:t>
      </w:r>
      <w:r w:rsidRPr="002E054D" w:rsidR="006E71B8">
        <w:rPr>
          <w:sz w:val="24"/>
          <w:szCs w:val="24"/>
        </w:rPr>
        <w:t>is working properly, and that all survey questions are worded correctly and are in accordance with the instrument approved by OMB.</w:t>
      </w:r>
    </w:p>
    <w:p w:rsidR="006E71B8" w:rsidP="006E71B8" w:rsidRDefault="006E71B8" w14:paraId="27B70BC3" w14:textId="77777777">
      <w:pPr>
        <w:ind w:left="720" w:hanging="720"/>
        <w:rPr>
          <w:b/>
          <w:sz w:val="24"/>
          <w:szCs w:val="24"/>
          <w:u w:val="single"/>
        </w:rPr>
      </w:pPr>
    </w:p>
    <w:p w:rsidRPr="00A77197" w:rsidR="006E71B8" w:rsidP="006E71B8" w:rsidRDefault="006E71B8" w14:paraId="344B0039" w14:textId="77777777">
      <w:pPr>
        <w:ind w:left="720" w:hanging="720"/>
        <w:rPr>
          <w:b/>
          <w:sz w:val="24"/>
          <w:szCs w:val="24"/>
          <w:u w:val="single"/>
        </w:rPr>
      </w:pPr>
      <w:r w:rsidRPr="00A77197">
        <w:rPr>
          <w:b/>
          <w:sz w:val="24"/>
          <w:szCs w:val="24"/>
          <w:u w:val="single"/>
        </w:rPr>
        <w:t>5. Individuals Involved in Statistical Consultation and Information Collection</w:t>
      </w:r>
    </w:p>
    <w:p w:rsidR="006E71B8" w:rsidP="006E71B8" w:rsidRDefault="006E71B8" w14:paraId="3C545004" w14:textId="77777777">
      <w:pPr>
        <w:rPr>
          <w:sz w:val="24"/>
          <w:szCs w:val="24"/>
        </w:rPr>
      </w:pPr>
    </w:p>
    <w:p w:rsidR="000F47AC" w:rsidP="000F47AC" w:rsidRDefault="000F47AC" w14:paraId="14C0CE5C" w14:textId="77777777">
      <w:pPr>
        <w:rPr>
          <w:sz w:val="24"/>
          <w:szCs w:val="24"/>
        </w:rPr>
      </w:pPr>
      <w:bookmarkStart w:name="_Toc361824168" w:id="3"/>
      <w:bookmarkStart w:name="_Toc365037510" w:id="4"/>
      <w:r>
        <w:rPr>
          <w:sz w:val="24"/>
          <w:szCs w:val="24"/>
        </w:rPr>
        <w:t>The following individuals inside the agency have been consulted on the design of the study plan, audience questionnaire development, or intra-agency coordination of information collection efforts:</w:t>
      </w:r>
    </w:p>
    <w:p w:rsidR="000F47AC" w:rsidP="000F47AC" w:rsidRDefault="000F47AC" w14:paraId="43B95419" w14:textId="77777777">
      <w:pPr>
        <w:rPr>
          <w:sz w:val="24"/>
          <w:szCs w:val="24"/>
        </w:rPr>
      </w:pPr>
    </w:p>
    <w:p w:rsidRPr="001C1C3B" w:rsidR="001C1C3B" w:rsidP="001C1C3B" w:rsidRDefault="001C1C3B" w14:paraId="1FBF2A49" w14:textId="77777777">
      <w:pPr>
        <w:ind w:left="180"/>
        <w:rPr>
          <w:rFonts w:eastAsiaTheme="minorHAnsi"/>
          <w:sz w:val="24"/>
          <w:szCs w:val="24"/>
        </w:rPr>
      </w:pPr>
      <w:r w:rsidRPr="001C1C3B">
        <w:rPr>
          <w:rFonts w:eastAsiaTheme="minorHAnsi"/>
          <w:sz w:val="24"/>
          <w:szCs w:val="24"/>
        </w:rPr>
        <w:t xml:space="preserve">Andrea Malterud </w:t>
      </w:r>
    </w:p>
    <w:p w:rsidRPr="001C1C3B" w:rsidR="001C1C3B" w:rsidP="001C1C3B" w:rsidRDefault="001C1C3B" w14:paraId="03C5F9DB" w14:textId="77777777">
      <w:pPr>
        <w:ind w:left="180"/>
        <w:rPr>
          <w:rFonts w:eastAsiaTheme="minorHAnsi"/>
          <w:sz w:val="24"/>
          <w:szCs w:val="24"/>
        </w:rPr>
      </w:pPr>
      <w:r w:rsidRPr="001C1C3B">
        <w:rPr>
          <w:rFonts w:eastAsiaTheme="minorHAnsi"/>
          <w:sz w:val="24"/>
          <w:szCs w:val="24"/>
        </w:rPr>
        <w:t>Office of Health Communication &amp; Education</w:t>
      </w:r>
    </w:p>
    <w:p w:rsidRPr="001C1C3B" w:rsidR="001C1C3B" w:rsidP="001C1C3B" w:rsidRDefault="001C1C3B" w14:paraId="5D0EF709" w14:textId="77777777">
      <w:pPr>
        <w:ind w:left="180"/>
        <w:rPr>
          <w:rFonts w:eastAsiaTheme="minorHAnsi"/>
          <w:sz w:val="24"/>
          <w:szCs w:val="24"/>
        </w:rPr>
      </w:pPr>
      <w:r w:rsidRPr="001C1C3B">
        <w:rPr>
          <w:rFonts w:eastAsiaTheme="minorHAnsi"/>
          <w:sz w:val="24"/>
          <w:szCs w:val="24"/>
        </w:rPr>
        <w:t>Center for Tobacco Products</w:t>
      </w:r>
    </w:p>
    <w:p w:rsidRPr="001C1C3B" w:rsidR="001C1C3B" w:rsidP="001C1C3B" w:rsidRDefault="001C1C3B" w14:paraId="2228021E" w14:textId="77777777">
      <w:pPr>
        <w:ind w:left="180"/>
        <w:rPr>
          <w:rFonts w:eastAsiaTheme="minorHAnsi"/>
          <w:sz w:val="24"/>
          <w:szCs w:val="24"/>
        </w:rPr>
      </w:pPr>
      <w:r w:rsidRPr="001C1C3B">
        <w:rPr>
          <w:rFonts w:eastAsiaTheme="minorHAnsi"/>
          <w:sz w:val="24"/>
          <w:szCs w:val="24"/>
        </w:rPr>
        <w:t>Food and Drug Administration</w:t>
      </w:r>
    </w:p>
    <w:p w:rsidRPr="001C1C3B" w:rsidR="001C1C3B" w:rsidP="001C1C3B" w:rsidRDefault="001C1C3B" w14:paraId="73E5F750" w14:textId="77777777">
      <w:pPr>
        <w:ind w:left="180"/>
        <w:rPr>
          <w:rFonts w:eastAsiaTheme="minorHAnsi"/>
          <w:sz w:val="24"/>
          <w:szCs w:val="24"/>
        </w:rPr>
      </w:pPr>
      <w:r w:rsidRPr="001C1C3B">
        <w:rPr>
          <w:rFonts w:eastAsiaTheme="minorHAnsi"/>
          <w:sz w:val="24"/>
          <w:szCs w:val="24"/>
        </w:rPr>
        <w:t>10903 New Hampshire Ave</w:t>
      </w:r>
    </w:p>
    <w:p w:rsidRPr="001C1C3B" w:rsidR="001C1C3B" w:rsidP="001C1C3B" w:rsidRDefault="001C1C3B" w14:paraId="584D9DAA" w14:textId="77777777">
      <w:pPr>
        <w:ind w:left="180"/>
        <w:rPr>
          <w:rFonts w:eastAsiaTheme="minorHAnsi"/>
          <w:sz w:val="24"/>
          <w:szCs w:val="24"/>
        </w:rPr>
      </w:pPr>
      <w:r w:rsidRPr="001C1C3B">
        <w:rPr>
          <w:rFonts w:eastAsiaTheme="minorHAnsi"/>
          <w:sz w:val="24"/>
          <w:szCs w:val="24"/>
        </w:rPr>
        <w:t>Silver Spring, MD 20993</w:t>
      </w:r>
    </w:p>
    <w:p w:rsidRPr="001C1C3B" w:rsidR="001C1C3B" w:rsidP="001C1C3B" w:rsidRDefault="001C1C3B" w14:paraId="34A66849" w14:textId="77777777">
      <w:pPr>
        <w:ind w:left="180"/>
        <w:rPr>
          <w:rFonts w:eastAsiaTheme="minorHAnsi"/>
          <w:sz w:val="24"/>
          <w:szCs w:val="24"/>
        </w:rPr>
      </w:pPr>
      <w:r w:rsidRPr="001C1C3B">
        <w:rPr>
          <w:rFonts w:eastAsiaTheme="minorHAnsi"/>
          <w:sz w:val="24"/>
          <w:szCs w:val="24"/>
        </w:rPr>
        <w:t>Phone: 240.743.1750</w:t>
      </w:r>
    </w:p>
    <w:p w:rsidRPr="001C1C3B" w:rsidR="001C1C3B" w:rsidP="001C1C3B" w:rsidRDefault="001C1C3B" w14:paraId="6EFB9714" w14:textId="77777777">
      <w:pPr>
        <w:ind w:left="180"/>
        <w:rPr>
          <w:rFonts w:eastAsiaTheme="minorHAnsi"/>
          <w:sz w:val="24"/>
          <w:szCs w:val="24"/>
        </w:rPr>
      </w:pPr>
      <w:r w:rsidRPr="001C1C3B">
        <w:rPr>
          <w:rFonts w:eastAsiaTheme="minorHAnsi"/>
          <w:sz w:val="24"/>
          <w:szCs w:val="24"/>
        </w:rPr>
        <w:t xml:space="preserve">E-mail: </w:t>
      </w:r>
      <w:hyperlink w:history="1" r:id="rId11">
        <w:r w:rsidRPr="001C1C3B">
          <w:rPr>
            <w:rFonts w:eastAsiaTheme="minorHAnsi"/>
            <w:color w:val="0000FF"/>
            <w:sz w:val="24"/>
            <w:szCs w:val="24"/>
            <w:u w:val="single"/>
          </w:rPr>
          <w:t>andrea.malterud@fda.hhs.gov</w:t>
        </w:r>
      </w:hyperlink>
      <w:r w:rsidRPr="001C1C3B">
        <w:rPr>
          <w:rFonts w:eastAsiaTheme="minorHAnsi"/>
          <w:sz w:val="24"/>
          <w:szCs w:val="24"/>
        </w:rPr>
        <w:t xml:space="preserve"> </w:t>
      </w:r>
    </w:p>
    <w:p w:rsidRPr="001C1C3B" w:rsidR="001C1C3B" w:rsidP="001C1C3B" w:rsidRDefault="001C1C3B" w14:paraId="44DFBCF2" w14:textId="77777777">
      <w:pPr>
        <w:ind w:left="180"/>
        <w:rPr>
          <w:rFonts w:eastAsiaTheme="minorHAnsi"/>
          <w:sz w:val="24"/>
          <w:szCs w:val="24"/>
        </w:rPr>
      </w:pPr>
    </w:p>
    <w:p w:rsidRPr="001C1C3B" w:rsidR="001C1C3B" w:rsidP="001C1C3B" w:rsidRDefault="001C1C3B" w14:paraId="5660724B" w14:textId="77777777">
      <w:pPr>
        <w:ind w:left="180"/>
        <w:rPr>
          <w:rFonts w:eastAsiaTheme="minorHAnsi"/>
          <w:sz w:val="24"/>
          <w:szCs w:val="24"/>
        </w:rPr>
      </w:pPr>
      <w:r w:rsidRPr="001C1C3B">
        <w:rPr>
          <w:rFonts w:eastAsiaTheme="minorHAnsi"/>
          <w:sz w:val="24"/>
          <w:szCs w:val="24"/>
        </w:rPr>
        <w:t>Emily Sanders</w:t>
      </w:r>
    </w:p>
    <w:p w:rsidRPr="001C1C3B" w:rsidR="001C1C3B" w:rsidP="001C1C3B" w:rsidRDefault="001C1C3B" w14:paraId="4D0D940B" w14:textId="77777777">
      <w:pPr>
        <w:ind w:left="180"/>
        <w:rPr>
          <w:rFonts w:eastAsiaTheme="minorHAnsi"/>
          <w:sz w:val="24"/>
          <w:szCs w:val="24"/>
        </w:rPr>
      </w:pPr>
      <w:r w:rsidRPr="001C1C3B">
        <w:rPr>
          <w:rFonts w:eastAsiaTheme="minorHAnsi"/>
          <w:sz w:val="24"/>
          <w:szCs w:val="24"/>
        </w:rPr>
        <w:t>Office of Health Communication &amp; Education</w:t>
      </w:r>
    </w:p>
    <w:p w:rsidRPr="001C1C3B" w:rsidR="001C1C3B" w:rsidP="001C1C3B" w:rsidRDefault="001C1C3B" w14:paraId="1CF539F2" w14:textId="77777777">
      <w:pPr>
        <w:ind w:left="180"/>
        <w:rPr>
          <w:rFonts w:eastAsiaTheme="minorHAnsi"/>
          <w:sz w:val="24"/>
          <w:szCs w:val="24"/>
        </w:rPr>
      </w:pPr>
      <w:r w:rsidRPr="001C1C3B">
        <w:rPr>
          <w:rFonts w:eastAsiaTheme="minorHAnsi"/>
          <w:sz w:val="24"/>
          <w:szCs w:val="24"/>
        </w:rPr>
        <w:t>Center for Tobacco Products</w:t>
      </w:r>
    </w:p>
    <w:p w:rsidRPr="001C1C3B" w:rsidR="001C1C3B" w:rsidP="001C1C3B" w:rsidRDefault="001C1C3B" w14:paraId="06BCCB7D" w14:textId="77777777">
      <w:pPr>
        <w:ind w:left="180"/>
        <w:rPr>
          <w:rFonts w:eastAsiaTheme="minorHAnsi"/>
          <w:sz w:val="24"/>
          <w:szCs w:val="24"/>
        </w:rPr>
      </w:pPr>
      <w:r w:rsidRPr="001C1C3B">
        <w:rPr>
          <w:rFonts w:eastAsiaTheme="minorHAnsi"/>
          <w:sz w:val="24"/>
          <w:szCs w:val="24"/>
        </w:rPr>
        <w:t>Food and Drug Administration</w:t>
      </w:r>
    </w:p>
    <w:p w:rsidRPr="001C1C3B" w:rsidR="001C1C3B" w:rsidP="001C1C3B" w:rsidRDefault="001C1C3B" w14:paraId="13D73455" w14:textId="77777777">
      <w:pPr>
        <w:ind w:left="180"/>
        <w:rPr>
          <w:rFonts w:eastAsiaTheme="minorHAnsi"/>
          <w:sz w:val="24"/>
          <w:szCs w:val="24"/>
        </w:rPr>
      </w:pPr>
      <w:r w:rsidRPr="001C1C3B">
        <w:rPr>
          <w:rFonts w:eastAsiaTheme="minorHAnsi"/>
          <w:sz w:val="24"/>
          <w:szCs w:val="24"/>
        </w:rPr>
        <w:t>10903 New Hampshire Avenue</w:t>
      </w:r>
    </w:p>
    <w:p w:rsidRPr="001C1C3B" w:rsidR="001C1C3B" w:rsidP="001C1C3B" w:rsidRDefault="001C1C3B" w14:paraId="41FF6404" w14:textId="77777777">
      <w:pPr>
        <w:ind w:left="180"/>
        <w:rPr>
          <w:rFonts w:eastAsiaTheme="minorHAnsi"/>
          <w:sz w:val="24"/>
          <w:szCs w:val="24"/>
        </w:rPr>
      </w:pPr>
      <w:r w:rsidRPr="001C1C3B">
        <w:rPr>
          <w:rFonts w:eastAsiaTheme="minorHAnsi"/>
          <w:sz w:val="24"/>
          <w:szCs w:val="24"/>
        </w:rPr>
        <w:t>Silver Spring, MD 20993</w:t>
      </w:r>
    </w:p>
    <w:p w:rsidRPr="001C1C3B" w:rsidR="001C1C3B" w:rsidP="001C1C3B" w:rsidRDefault="001C1C3B" w14:paraId="7DACBDB3" w14:textId="77777777">
      <w:pPr>
        <w:ind w:firstLine="180"/>
        <w:rPr>
          <w:rFonts w:eastAsiaTheme="minorHAnsi"/>
          <w:sz w:val="24"/>
          <w:szCs w:val="24"/>
        </w:rPr>
      </w:pPr>
      <w:r w:rsidRPr="001C1C3B">
        <w:rPr>
          <w:rFonts w:eastAsiaTheme="minorHAnsi"/>
          <w:sz w:val="24"/>
          <w:szCs w:val="24"/>
          <w:bdr w:val="none" w:color="auto" w:sz="0" w:space="0" w:frame="1"/>
        </w:rPr>
        <w:t>Phone: 240-402-4269, Cell: 240-485-9209</w:t>
      </w:r>
    </w:p>
    <w:p w:rsidRPr="001C1C3B" w:rsidR="001C1C3B" w:rsidP="001C1C3B" w:rsidRDefault="001C1C3B" w14:paraId="66F66A78" w14:textId="77777777">
      <w:pPr>
        <w:spacing w:after="210"/>
        <w:ind w:firstLine="180"/>
        <w:rPr>
          <w:rFonts w:eastAsiaTheme="minorHAnsi"/>
          <w:sz w:val="24"/>
          <w:szCs w:val="24"/>
        </w:rPr>
      </w:pPr>
      <w:r w:rsidRPr="001C1C3B">
        <w:rPr>
          <w:rFonts w:eastAsiaTheme="minorHAnsi"/>
          <w:sz w:val="24"/>
          <w:szCs w:val="24"/>
        </w:rPr>
        <w:t xml:space="preserve">E-mail: </w:t>
      </w:r>
      <w:hyperlink w:history="1" r:id="rId12">
        <w:r w:rsidRPr="001C1C3B">
          <w:rPr>
            <w:rFonts w:eastAsiaTheme="minorHAnsi"/>
            <w:color w:val="0000FF"/>
            <w:sz w:val="24"/>
            <w:szCs w:val="24"/>
            <w:u w:val="single"/>
          </w:rPr>
          <w:t>emily.sanders@fda.hhs.gov</w:t>
        </w:r>
      </w:hyperlink>
    </w:p>
    <w:p w:rsidRPr="001C1C3B" w:rsidR="001C1C3B" w:rsidP="001C1C3B" w:rsidRDefault="001C1C3B" w14:paraId="165F73E9" w14:textId="77777777">
      <w:pPr>
        <w:ind w:left="180"/>
        <w:rPr>
          <w:rFonts w:eastAsiaTheme="minorHAnsi"/>
          <w:sz w:val="24"/>
          <w:szCs w:val="24"/>
        </w:rPr>
      </w:pPr>
      <w:r w:rsidRPr="001C1C3B">
        <w:rPr>
          <w:rFonts w:eastAsiaTheme="minorHAnsi"/>
          <w:sz w:val="24"/>
          <w:szCs w:val="24"/>
        </w:rPr>
        <w:t>Morgane Bennett</w:t>
      </w:r>
    </w:p>
    <w:p w:rsidRPr="001C1C3B" w:rsidR="001C1C3B" w:rsidP="001C1C3B" w:rsidRDefault="001C1C3B" w14:paraId="66EE5DDA" w14:textId="77777777">
      <w:pPr>
        <w:ind w:left="180"/>
        <w:rPr>
          <w:rFonts w:eastAsiaTheme="minorHAnsi"/>
          <w:sz w:val="24"/>
          <w:szCs w:val="24"/>
        </w:rPr>
      </w:pPr>
      <w:r w:rsidRPr="001C1C3B">
        <w:rPr>
          <w:rFonts w:eastAsiaTheme="minorHAnsi"/>
          <w:sz w:val="24"/>
          <w:szCs w:val="24"/>
        </w:rPr>
        <w:t>Office of Health Communication &amp; Education</w:t>
      </w:r>
    </w:p>
    <w:p w:rsidRPr="001C1C3B" w:rsidR="001C1C3B" w:rsidP="001C1C3B" w:rsidRDefault="001C1C3B" w14:paraId="6193547A" w14:textId="77777777">
      <w:pPr>
        <w:ind w:left="180"/>
        <w:rPr>
          <w:rFonts w:eastAsiaTheme="minorHAnsi"/>
          <w:sz w:val="24"/>
          <w:szCs w:val="24"/>
        </w:rPr>
      </w:pPr>
      <w:r w:rsidRPr="001C1C3B">
        <w:rPr>
          <w:rFonts w:eastAsiaTheme="minorHAnsi"/>
          <w:sz w:val="24"/>
          <w:szCs w:val="24"/>
        </w:rPr>
        <w:t>Center for Tobacco Products</w:t>
      </w:r>
    </w:p>
    <w:p w:rsidRPr="001C1C3B" w:rsidR="001C1C3B" w:rsidP="001C1C3B" w:rsidRDefault="001C1C3B" w14:paraId="6C1CB5D1" w14:textId="77777777">
      <w:pPr>
        <w:ind w:left="180"/>
        <w:rPr>
          <w:rFonts w:eastAsiaTheme="minorHAnsi"/>
          <w:sz w:val="24"/>
          <w:szCs w:val="24"/>
        </w:rPr>
      </w:pPr>
      <w:r w:rsidRPr="001C1C3B">
        <w:rPr>
          <w:rFonts w:eastAsiaTheme="minorHAnsi"/>
          <w:sz w:val="24"/>
          <w:szCs w:val="24"/>
        </w:rPr>
        <w:t>Food and Drug Administration</w:t>
      </w:r>
    </w:p>
    <w:p w:rsidRPr="001C1C3B" w:rsidR="001C1C3B" w:rsidP="001C1C3B" w:rsidRDefault="001C1C3B" w14:paraId="2478098A" w14:textId="77777777">
      <w:pPr>
        <w:ind w:left="180"/>
        <w:rPr>
          <w:rFonts w:eastAsiaTheme="minorHAnsi"/>
          <w:sz w:val="24"/>
          <w:szCs w:val="24"/>
        </w:rPr>
      </w:pPr>
      <w:r w:rsidRPr="001C1C3B">
        <w:rPr>
          <w:rFonts w:eastAsiaTheme="minorHAnsi"/>
          <w:sz w:val="24"/>
          <w:szCs w:val="24"/>
        </w:rPr>
        <w:t>10903 New Hampshire Avenue</w:t>
      </w:r>
    </w:p>
    <w:p w:rsidRPr="001C1C3B" w:rsidR="001C1C3B" w:rsidP="001C1C3B" w:rsidRDefault="001C1C3B" w14:paraId="2C12BB4A" w14:textId="77777777">
      <w:pPr>
        <w:ind w:left="180"/>
        <w:rPr>
          <w:rFonts w:eastAsiaTheme="minorHAnsi"/>
          <w:sz w:val="24"/>
          <w:szCs w:val="24"/>
        </w:rPr>
      </w:pPr>
      <w:r w:rsidRPr="001C1C3B">
        <w:rPr>
          <w:rFonts w:eastAsiaTheme="minorHAnsi"/>
          <w:sz w:val="24"/>
          <w:szCs w:val="24"/>
        </w:rPr>
        <w:t>Silver Spring, MD 20993</w:t>
      </w:r>
    </w:p>
    <w:p w:rsidRPr="001C1C3B" w:rsidR="001C1C3B" w:rsidP="001C1C3B" w:rsidRDefault="001C1C3B" w14:paraId="65A7DCA6" w14:textId="77777777">
      <w:pPr>
        <w:ind w:left="180"/>
        <w:rPr>
          <w:rFonts w:eastAsiaTheme="minorHAnsi"/>
          <w:sz w:val="24"/>
          <w:szCs w:val="24"/>
        </w:rPr>
      </w:pPr>
      <w:r w:rsidRPr="001C1C3B">
        <w:rPr>
          <w:rFonts w:eastAsiaTheme="minorHAnsi"/>
          <w:sz w:val="24"/>
          <w:szCs w:val="24"/>
        </w:rPr>
        <w:t>Phone: 240-402-9281</w:t>
      </w:r>
    </w:p>
    <w:p w:rsidR="00A45CA1" w:rsidP="00EE192E" w:rsidRDefault="00A45CA1" w14:paraId="7E63DF6C" w14:textId="77777777">
      <w:pPr>
        <w:ind w:left="180"/>
        <w:rPr>
          <w:rFonts w:eastAsiaTheme="minorHAnsi"/>
          <w:sz w:val="24"/>
          <w:szCs w:val="24"/>
        </w:rPr>
      </w:pPr>
    </w:p>
    <w:p w:rsidRPr="002E054D" w:rsidR="006E71B8" w:rsidP="006E71B8" w:rsidRDefault="006E71B8" w14:paraId="5234F0FA" w14:textId="77777777">
      <w:pPr>
        <w:rPr>
          <w:sz w:val="24"/>
          <w:szCs w:val="24"/>
        </w:rPr>
      </w:pPr>
      <w:r w:rsidRPr="002E054D">
        <w:rPr>
          <w:sz w:val="24"/>
          <w:szCs w:val="24"/>
        </w:rPr>
        <w:t>The following individuals outside of the agency have been consulted on questionnaire development.</w:t>
      </w:r>
    </w:p>
    <w:p w:rsidRPr="002E054D" w:rsidR="006E71B8" w:rsidP="006E71B8" w:rsidRDefault="006E71B8" w14:paraId="540D8335" w14:textId="77777777">
      <w:pPr>
        <w:rPr>
          <w:sz w:val="24"/>
          <w:szCs w:val="24"/>
        </w:rPr>
      </w:pPr>
    </w:p>
    <w:bookmarkEnd w:id="3"/>
    <w:bookmarkEnd w:id="4"/>
    <w:p w:rsidRPr="001C1C3B" w:rsidR="001C1C3B" w:rsidP="001C1C3B" w:rsidRDefault="001C1C3B" w14:paraId="2CDA23C3" w14:textId="77777777">
      <w:pPr>
        <w:ind w:left="180"/>
        <w:rPr>
          <w:rFonts w:eastAsiaTheme="minorHAnsi"/>
          <w:sz w:val="24"/>
          <w:szCs w:val="22"/>
        </w:rPr>
      </w:pPr>
      <w:r w:rsidRPr="001C1C3B">
        <w:rPr>
          <w:rFonts w:eastAsiaTheme="minorHAnsi"/>
          <w:sz w:val="24"/>
          <w:szCs w:val="22"/>
        </w:rPr>
        <w:t>Laurel Curry</w:t>
      </w:r>
    </w:p>
    <w:p w:rsidRPr="001C1C3B" w:rsidR="001C1C3B" w:rsidP="001C1C3B" w:rsidRDefault="001C1C3B" w14:paraId="479AC76E" w14:textId="77777777">
      <w:pPr>
        <w:ind w:left="180"/>
        <w:rPr>
          <w:rFonts w:eastAsiaTheme="minorHAnsi"/>
          <w:sz w:val="24"/>
          <w:szCs w:val="22"/>
        </w:rPr>
      </w:pPr>
      <w:r w:rsidRPr="001C1C3B">
        <w:rPr>
          <w:rFonts w:eastAsiaTheme="minorHAnsi"/>
          <w:sz w:val="24"/>
          <w:szCs w:val="22"/>
        </w:rPr>
        <w:t>RTI International</w:t>
      </w:r>
    </w:p>
    <w:p w:rsidRPr="001C1C3B" w:rsidR="001C1C3B" w:rsidP="001C1C3B" w:rsidRDefault="001C1C3B" w14:paraId="17E1ADC4" w14:textId="77777777">
      <w:pPr>
        <w:ind w:left="180"/>
        <w:rPr>
          <w:rFonts w:eastAsiaTheme="minorHAnsi"/>
          <w:sz w:val="24"/>
          <w:szCs w:val="22"/>
        </w:rPr>
      </w:pPr>
      <w:r w:rsidRPr="001C1C3B">
        <w:rPr>
          <w:rFonts w:eastAsiaTheme="minorHAnsi"/>
          <w:sz w:val="24"/>
          <w:szCs w:val="22"/>
        </w:rPr>
        <w:t>3040 E. Cornwallis Road</w:t>
      </w:r>
    </w:p>
    <w:p w:rsidRPr="001C1C3B" w:rsidR="001C1C3B" w:rsidP="001C1C3B" w:rsidRDefault="001C1C3B" w14:paraId="47D3F3C5" w14:textId="77777777">
      <w:pPr>
        <w:ind w:left="180"/>
        <w:rPr>
          <w:rFonts w:eastAsiaTheme="minorHAnsi"/>
          <w:sz w:val="24"/>
          <w:szCs w:val="22"/>
        </w:rPr>
      </w:pPr>
      <w:r w:rsidRPr="001C1C3B">
        <w:rPr>
          <w:rFonts w:eastAsiaTheme="minorHAnsi"/>
          <w:sz w:val="24"/>
          <w:szCs w:val="22"/>
        </w:rPr>
        <w:t>Research Triangle Park, NC 27709</w:t>
      </w:r>
    </w:p>
    <w:p w:rsidRPr="001C1C3B" w:rsidR="001C1C3B" w:rsidP="001C1C3B" w:rsidRDefault="001C1C3B" w14:paraId="293BB5EB" w14:textId="77777777">
      <w:pPr>
        <w:ind w:left="180"/>
        <w:rPr>
          <w:rFonts w:eastAsiaTheme="minorHAnsi"/>
          <w:sz w:val="24"/>
          <w:szCs w:val="22"/>
        </w:rPr>
      </w:pPr>
      <w:r w:rsidRPr="001C1C3B">
        <w:rPr>
          <w:rFonts w:eastAsiaTheme="minorHAnsi"/>
          <w:sz w:val="24"/>
          <w:szCs w:val="22"/>
        </w:rPr>
        <w:t>Phone: 202-728-2086</w:t>
      </w:r>
    </w:p>
    <w:p w:rsidRPr="001C1C3B" w:rsidR="001C1C3B" w:rsidP="001C1C3B" w:rsidRDefault="001C1C3B" w14:paraId="72BEBAAE" w14:textId="77777777">
      <w:pPr>
        <w:ind w:left="180"/>
        <w:rPr>
          <w:rFonts w:eastAsiaTheme="minorHAnsi"/>
          <w:sz w:val="24"/>
          <w:szCs w:val="22"/>
        </w:rPr>
      </w:pPr>
      <w:r w:rsidRPr="001C1C3B">
        <w:rPr>
          <w:rFonts w:eastAsiaTheme="minorHAnsi"/>
          <w:sz w:val="24"/>
          <w:szCs w:val="22"/>
        </w:rPr>
        <w:t xml:space="preserve">E-mail: </w:t>
      </w:r>
      <w:hyperlink w:history="1" r:id="rId13">
        <w:r w:rsidRPr="001C1C3B">
          <w:rPr>
            <w:rFonts w:eastAsiaTheme="minorHAnsi"/>
            <w:color w:val="0000FF"/>
            <w:sz w:val="24"/>
            <w:szCs w:val="22"/>
            <w:u w:val="single"/>
          </w:rPr>
          <w:t>lcurry@rti.org</w:t>
        </w:r>
      </w:hyperlink>
    </w:p>
    <w:p w:rsidRPr="001C1C3B" w:rsidR="001C1C3B" w:rsidP="001C1C3B" w:rsidRDefault="001C1C3B" w14:paraId="1A0C9BE6" w14:textId="77777777">
      <w:pPr>
        <w:ind w:left="180"/>
        <w:rPr>
          <w:rFonts w:eastAsiaTheme="minorHAnsi"/>
          <w:sz w:val="24"/>
          <w:szCs w:val="22"/>
        </w:rPr>
      </w:pPr>
    </w:p>
    <w:p w:rsidRPr="001C1C3B" w:rsidR="001C1C3B" w:rsidP="001C1C3B" w:rsidRDefault="001C1C3B" w14:paraId="70C5959A" w14:textId="77777777">
      <w:pPr>
        <w:ind w:left="180"/>
        <w:rPr>
          <w:rFonts w:eastAsiaTheme="minorHAnsi"/>
          <w:sz w:val="24"/>
          <w:szCs w:val="22"/>
        </w:rPr>
      </w:pPr>
      <w:r w:rsidRPr="001C1C3B">
        <w:rPr>
          <w:rFonts w:eastAsiaTheme="minorHAnsi"/>
          <w:sz w:val="24"/>
          <w:szCs w:val="22"/>
        </w:rPr>
        <w:t xml:space="preserve">Jane Allen </w:t>
      </w:r>
    </w:p>
    <w:p w:rsidRPr="001C1C3B" w:rsidR="001C1C3B" w:rsidP="001C1C3B" w:rsidRDefault="001C1C3B" w14:paraId="670926FC" w14:textId="77777777">
      <w:pPr>
        <w:ind w:left="180"/>
        <w:rPr>
          <w:rFonts w:eastAsiaTheme="minorHAnsi"/>
          <w:sz w:val="24"/>
          <w:szCs w:val="22"/>
        </w:rPr>
      </w:pPr>
      <w:r w:rsidRPr="001C1C3B">
        <w:rPr>
          <w:rFonts w:eastAsiaTheme="minorHAnsi"/>
          <w:sz w:val="24"/>
          <w:szCs w:val="22"/>
        </w:rPr>
        <w:t>RTI International</w:t>
      </w:r>
    </w:p>
    <w:p w:rsidRPr="001C1C3B" w:rsidR="001C1C3B" w:rsidP="001C1C3B" w:rsidRDefault="001C1C3B" w14:paraId="65297D11" w14:textId="77777777">
      <w:pPr>
        <w:ind w:left="180"/>
        <w:rPr>
          <w:rFonts w:eastAsiaTheme="minorHAnsi"/>
          <w:sz w:val="24"/>
          <w:szCs w:val="22"/>
        </w:rPr>
      </w:pPr>
      <w:r w:rsidRPr="001C1C3B">
        <w:rPr>
          <w:rFonts w:eastAsiaTheme="minorHAnsi"/>
          <w:sz w:val="24"/>
          <w:szCs w:val="22"/>
        </w:rPr>
        <w:t>3040 E. Cornwallis Road</w:t>
      </w:r>
    </w:p>
    <w:p w:rsidRPr="001C1C3B" w:rsidR="001C1C3B" w:rsidP="001C1C3B" w:rsidRDefault="001C1C3B" w14:paraId="03AFE81F" w14:textId="77777777">
      <w:pPr>
        <w:ind w:left="180"/>
        <w:rPr>
          <w:rFonts w:eastAsiaTheme="minorHAnsi"/>
          <w:sz w:val="24"/>
          <w:szCs w:val="22"/>
        </w:rPr>
      </w:pPr>
      <w:r w:rsidRPr="001C1C3B">
        <w:rPr>
          <w:rFonts w:eastAsiaTheme="minorHAnsi"/>
          <w:sz w:val="24"/>
          <w:szCs w:val="22"/>
        </w:rPr>
        <w:t>Research Triangle Park, NC 27709</w:t>
      </w:r>
    </w:p>
    <w:p w:rsidRPr="001C1C3B" w:rsidR="001C1C3B" w:rsidP="001C1C3B" w:rsidRDefault="001C1C3B" w14:paraId="0E6892CE" w14:textId="77777777">
      <w:pPr>
        <w:ind w:left="180"/>
        <w:rPr>
          <w:rFonts w:eastAsiaTheme="minorHAnsi"/>
          <w:sz w:val="24"/>
          <w:szCs w:val="22"/>
        </w:rPr>
      </w:pPr>
      <w:r w:rsidRPr="001C1C3B">
        <w:rPr>
          <w:rFonts w:eastAsiaTheme="minorHAnsi"/>
          <w:sz w:val="24"/>
          <w:szCs w:val="22"/>
        </w:rPr>
        <w:t>Phone: 919-597-5115</w:t>
      </w:r>
    </w:p>
    <w:p w:rsidRPr="001C1C3B" w:rsidR="001C1C3B" w:rsidP="001C1C3B" w:rsidRDefault="001C1C3B" w14:paraId="5CD49C63" w14:textId="77777777">
      <w:pPr>
        <w:ind w:left="180"/>
        <w:rPr>
          <w:rFonts w:eastAsiaTheme="minorHAnsi"/>
          <w:sz w:val="24"/>
          <w:szCs w:val="22"/>
        </w:rPr>
      </w:pPr>
      <w:r w:rsidRPr="001C1C3B">
        <w:rPr>
          <w:rFonts w:eastAsiaTheme="minorHAnsi"/>
          <w:sz w:val="24"/>
          <w:szCs w:val="22"/>
        </w:rPr>
        <w:t>E-mail:</w:t>
      </w:r>
      <w:hyperlink w:history="1" r:id="rId14">
        <w:r w:rsidRPr="001C1C3B">
          <w:rPr>
            <w:rFonts w:eastAsiaTheme="minorHAnsi"/>
            <w:color w:val="0000FF"/>
            <w:sz w:val="24"/>
            <w:szCs w:val="22"/>
            <w:u w:val="single"/>
          </w:rPr>
          <w:t>Janeallen@rti.org</w:t>
        </w:r>
      </w:hyperlink>
    </w:p>
    <w:p w:rsidRPr="001C1C3B" w:rsidR="001C1C3B" w:rsidP="001C1C3B" w:rsidRDefault="001C1C3B" w14:paraId="63805A9A" w14:textId="77777777">
      <w:pPr>
        <w:rPr>
          <w:rFonts w:eastAsiaTheme="minorHAnsi"/>
          <w:sz w:val="24"/>
          <w:szCs w:val="22"/>
        </w:rPr>
      </w:pPr>
    </w:p>
    <w:p w:rsidRPr="001C1C3B" w:rsidR="001C1C3B" w:rsidP="001C1C3B" w:rsidRDefault="001C1C3B" w14:paraId="4E20C194" w14:textId="77777777">
      <w:pPr>
        <w:ind w:left="180"/>
        <w:rPr>
          <w:rFonts w:eastAsiaTheme="minorHAnsi"/>
          <w:sz w:val="24"/>
          <w:szCs w:val="22"/>
        </w:rPr>
      </w:pPr>
      <w:r w:rsidRPr="001C1C3B">
        <w:rPr>
          <w:rFonts w:eastAsiaTheme="minorHAnsi"/>
          <w:sz w:val="24"/>
          <w:szCs w:val="22"/>
        </w:rPr>
        <w:t>Amy Henes</w:t>
      </w:r>
    </w:p>
    <w:p w:rsidRPr="001C1C3B" w:rsidR="001C1C3B" w:rsidP="001C1C3B" w:rsidRDefault="001C1C3B" w14:paraId="59AF195D" w14:textId="77777777">
      <w:pPr>
        <w:ind w:left="180"/>
        <w:rPr>
          <w:rFonts w:eastAsiaTheme="minorHAnsi"/>
          <w:sz w:val="24"/>
          <w:szCs w:val="22"/>
        </w:rPr>
      </w:pPr>
      <w:r w:rsidRPr="001C1C3B">
        <w:rPr>
          <w:rFonts w:eastAsiaTheme="minorHAnsi"/>
          <w:sz w:val="24"/>
          <w:szCs w:val="22"/>
        </w:rPr>
        <w:t>RTI International</w:t>
      </w:r>
    </w:p>
    <w:p w:rsidRPr="001C1C3B" w:rsidR="001C1C3B" w:rsidP="001C1C3B" w:rsidRDefault="001C1C3B" w14:paraId="2D6CF361" w14:textId="77777777">
      <w:pPr>
        <w:ind w:left="180"/>
        <w:rPr>
          <w:rFonts w:eastAsiaTheme="minorHAnsi"/>
          <w:sz w:val="24"/>
          <w:szCs w:val="22"/>
        </w:rPr>
      </w:pPr>
      <w:r w:rsidRPr="001C1C3B">
        <w:rPr>
          <w:rFonts w:eastAsiaTheme="minorHAnsi"/>
          <w:sz w:val="24"/>
          <w:szCs w:val="22"/>
        </w:rPr>
        <w:t>3040 E. Cornwallis Road</w:t>
      </w:r>
    </w:p>
    <w:p w:rsidRPr="001C1C3B" w:rsidR="001C1C3B" w:rsidP="001C1C3B" w:rsidRDefault="001C1C3B" w14:paraId="47C1ADF9" w14:textId="77777777">
      <w:pPr>
        <w:ind w:left="180"/>
        <w:rPr>
          <w:rFonts w:eastAsiaTheme="minorHAnsi"/>
          <w:sz w:val="24"/>
          <w:szCs w:val="22"/>
        </w:rPr>
      </w:pPr>
      <w:r w:rsidRPr="001C1C3B">
        <w:rPr>
          <w:rFonts w:eastAsiaTheme="minorHAnsi"/>
          <w:sz w:val="24"/>
          <w:szCs w:val="22"/>
        </w:rPr>
        <w:t>Research Triangle Park, NC 27709</w:t>
      </w:r>
    </w:p>
    <w:p w:rsidRPr="001C1C3B" w:rsidR="001C1C3B" w:rsidP="001C1C3B" w:rsidRDefault="001C1C3B" w14:paraId="6C3C0C36" w14:textId="77777777">
      <w:pPr>
        <w:ind w:left="180"/>
        <w:rPr>
          <w:rFonts w:eastAsiaTheme="minorHAnsi"/>
          <w:sz w:val="24"/>
          <w:szCs w:val="22"/>
        </w:rPr>
      </w:pPr>
      <w:r w:rsidRPr="001C1C3B">
        <w:rPr>
          <w:rFonts w:eastAsiaTheme="minorHAnsi"/>
          <w:sz w:val="24"/>
          <w:szCs w:val="22"/>
        </w:rPr>
        <w:t>Phone: 919-541-7293</w:t>
      </w:r>
    </w:p>
    <w:p w:rsidRPr="001C1C3B" w:rsidR="001C1C3B" w:rsidP="001C1C3B" w:rsidRDefault="001C1C3B" w14:paraId="56AD5CE4" w14:textId="77777777">
      <w:pPr>
        <w:ind w:left="180"/>
        <w:rPr>
          <w:rFonts w:eastAsiaTheme="minorHAnsi"/>
          <w:sz w:val="24"/>
          <w:szCs w:val="22"/>
        </w:rPr>
      </w:pPr>
      <w:r w:rsidRPr="001C1C3B">
        <w:rPr>
          <w:rFonts w:eastAsiaTheme="minorHAnsi"/>
          <w:sz w:val="24"/>
          <w:szCs w:val="22"/>
        </w:rPr>
        <w:t xml:space="preserve">E-mail: </w:t>
      </w:r>
      <w:hyperlink w:history="1" r:id="rId15">
        <w:r w:rsidRPr="001C1C3B">
          <w:rPr>
            <w:rFonts w:eastAsiaTheme="minorHAnsi"/>
            <w:color w:val="0000FF"/>
            <w:sz w:val="24"/>
            <w:szCs w:val="22"/>
            <w:u w:val="single"/>
          </w:rPr>
          <w:t>ahenes@rti.org</w:t>
        </w:r>
      </w:hyperlink>
    </w:p>
    <w:p w:rsidRPr="001C1C3B" w:rsidR="001C1C3B" w:rsidP="001C1C3B" w:rsidRDefault="001C1C3B" w14:paraId="53D1789C" w14:textId="77777777">
      <w:pPr>
        <w:ind w:left="180"/>
        <w:rPr>
          <w:rFonts w:eastAsiaTheme="minorHAnsi"/>
          <w:sz w:val="24"/>
          <w:szCs w:val="22"/>
        </w:rPr>
      </w:pPr>
    </w:p>
    <w:p w:rsidRPr="001C1C3B" w:rsidR="001C1C3B" w:rsidP="001C1C3B" w:rsidRDefault="001C1C3B" w14:paraId="260CD416" w14:textId="77777777">
      <w:pPr>
        <w:ind w:left="180"/>
        <w:rPr>
          <w:rFonts w:eastAsiaTheme="minorHAnsi"/>
          <w:sz w:val="24"/>
          <w:szCs w:val="22"/>
        </w:rPr>
      </w:pPr>
      <w:r w:rsidRPr="001C1C3B">
        <w:rPr>
          <w:rFonts w:eastAsiaTheme="minorHAnsi"/>
          <w:sz w:val="24"/>
          <w:szCs w:val="22"/>
        </w:rPr>
        <w:t>Nathaniel Taylor</w:t>
      </w:r>
    </w:p>
    <w:p w:rsidRPr="001C1C3B" w:rsidR="001C1C3B" w:rsidP="001C1C3B" w:rsidRDefault="001C1C3B" w14:paraId="55311A8B" w14:textId="77777777">
      <w:pPr>
        <w:ind w:left="180"/>
        <w:rPr>
          <w:rFonts w:eastAsiaTheme="minorHAnsi"/>
          <w:sz w:val="24"/>
          <w:szCs w:val="22"/>
        </w:rPr>
      </w:pPr>
      <w:r w:rsidRPr="001C1C3B">
        <w:rPr>
          <w:rFonts w:eastAsiaTheme="minorHAnsi"/>
          <w:sz w:val="24"/>
          <w:szCs w:val="22"/>
        </w:rPr>
        <w:t>RTI International</w:t>
      </w:r>
    </w:p>
    <w:p w:rsidRPr="001C1C3B" w:rsidR="001C1C3B" w:rsidP="001C1C3B" w:rsidRDefault="001C1C3B" w14:paraId="57D43C6F" w14:textId="77777777">
      <w:pPr>
        <w:ind w:left="180"/>
        <w:rPr>
          <w:rFonts w:eastAsiaTheme="minorHAnsi"/>
          <w:sz w:val="24"/>
          <w:szCs w:val="22"/>
        </w:rPr>
      </w:pPr>
      <w:r w:rsidRPr="001C1C3B">
        <w:rPr>
          <w:rFonts w:eastAsiaTheme="minorHAnsi"/>
          <w:sz w:val="24"/>
          <w:szCs w:val="22"/>
        </w:rPr>
        <w:t>3040 E. Cornwallis Road</w:t>
      </w:r>
    </w:p>
    <w:p w:rsidRPr="001C1C3B" w:rsidR="001C1C3B" w:rsidP="001C1C3B" w:rsidRDefault="001C1C3B" w14:paraId="041F446C" w14:textId="77777777">
      <w:pPr>
        <w:ind w:left="180"/>
        <w:rPr>
          <w:rFonts w:eastAsiaTheme="minorHAnsi"/>
          <w:sz w:val="24"/>
          <w:szCs w:val="22"/>
        </w:rPr>
      </w:pPr>
      <w:r w:rsidRPr="001C1C3B">
        <w:rPr>
          <w:rFonts w:eastAsiaTheme="minorHAnsi"/>
          <w:sz w:val="24"/>
          <w:szCs w:val="22"/>
        </w:rPr>
        <w:t>Research Triangle Park, NC 27709</w:t>
      </w:r>
    </w:p>
    <w:p w:rsidRPr="001C1C3B" w:rsidR="001C1C3B" w:rsidP="001C1C3B" w:rsidRDefault="001C1C3B" w14:paraId="3E908B65" w14:textId="77777777">
      <w:pPr>
        <w:ind w:left="180"/>
        <w:rPr>
          <w:rFonts w:eastAsiaTheme="minorHAnsi"/>
          <w:sz w:val="24"/>
          <w:szCs w:val="22"/>
        </w:rPr>
      </w:pPr>
      <w:r w:rsidRPr="001C1C3B">
        <w:rPr>
          <w:rFonts w:eastAsiaTheme="minorHAnsi"/>
          <w:sz w:val="24"/>
          <w:szCs w:val="22"/>
        </w:rPr>
        <w:t>Phone: 919-316-3523</w:t>
      </w:r>
    </w:p>
    <w:p w:rsidRPr="001C1C3B" w:rsidR="001C1C3B" w:rsidP="001C1C3B" w:rsidRDefault="001C1C3B" w14:paraId="4A408951" w14:textId="77777777">
      <w:pPr>
        <w:ind w:left="180"/>
        <w:rPr>
          <w:rFonts w:eastAsiaTheme="minorHAnsi"/>
          <w:sz w:val="24"/>
          <w:szCs w:val="22"/>
        </w:rPr>
      </w:pPr>
      <w:r w:rsidRPr="001C1C3B">
        <w:rPr>
          <w:rFonts w:eastAsiaTheme="minorHAnsi"/>
          <w:sz w:val="24"/>
          <w:szCs w:val="22"/>
        </w:rPr>
        <w:t xml:space="preserve">Email: </w:t>
      </w:r>
      <w:hyperlink w:history="1" r:id="rId16">
        <w:r w:rsidRPr="001C1C3B">
          <w:rPr>
            <w:rFonts w:eastAsiaTheme="minorHAnsi"/>
            <w:color w:val="0000FF"/>
            <w:sz w:val="24"/>
            <w:szCs w:val="22"/>
            <w:u w:val="single"/>
          </w:rPr>
          <w:t>ntaylor@rti.org</w:t>
        </w:r>
      </w:hyperlink>
    </w:p>
    <w:p w:rsidRPr="005C4BA0" w:rsidR="005C4BA0" w:rsidP="005C4BA0" w:rsidRDefault="005C4BA0" w14:paraId="70371BD7" w14:textId="77777777">
      <w:pPr>
        <w:ind w:left="180"/>
        <w:rPr>
          <w:rFonts w:eastAsiaTheme="minorHAnsi"/>
          <w:sz w:val="24"/>
          <w:szCs w:val="22"/>
        </w:rPr>
      </w:pPr>
    </w:p>
    <w:p w:rsidR="00D51F8F" w:rsidRDefault="00D51F8F" w14:paraId="62E5D11B" w14:textId="02E6EC55">
      <w:pPr>
        <w:spacing w:after="160" w:line="259" w:lineRule="auto"/>
      </w:pPr>
      <w:r>
        <w:br w:type="page"/>
      </w:r>
    </w:p>
    <w:p w:rsidRPr="002E054D" w:rsidR="00C56818" w:rsidP="00C56818" w:rsidRDefault="00C56818" w14:paraId="42D33864" w14:textId="77777777">
      <w:pPr>
        <w:rPr>
          <w:b/>
          <w:sz w:val="24"/>
          <w:szCs w:val="24"/>
        </w:rPr>
      </w:pPr>
      <w:r w:rsidRPr="002E054D">
        <w:rPr>
          <w:b/>
          <w:sz w:val="24"/>
          <w:szCs w:val="24"/>
        </w:rPr>
        <w:lastRenderedPageBreak/>
        <w:t>References</w:t>
      </w:r>
    </w:p>
    <w:p w:rsidR="00C56818" w:rsidP="00C56818" w:rsidRDefault="00C56818" w14:paraId="3C2722DB" w14:textId="77777777">
      <w:pPr>
        <w:rPr>
          <w:sz w:val="24"/>
          <w:szCs w:val="24"/>
        </w:rPr>
      </w:pPr>
    </w:p>
    <w:p w:rsidRPr="00CE45F4" w:rsidR="00CE45F4" w:rsidP="00CE45F4" w:rsidRDefault="00CE45F4" w14:paraId="581E7477" w14:textId="77777777">
      <w:pPr>
        <w:spacing w:after="200"/>
        <w:ind w:left="720" w:hanging="720"/>
        <w:rPr>
          <w:color w:val="000000" w:themeColor="text1"/>
          <w:sz w:val="24"/>
          <w:szCs w:val="24"/>
          <w:shd w:val="clear" w:color="auto" w:fill="FFFFFF"/>
        </w:rPr>
      </w:pPr>
      <w:r w:rsidRPr="00CE45F4">
        <w:rPr>
          <w:color w:val="000000" w:themeColor="text1"/>
          <w:sz w:val="24"/>
          <w:szCs w:val="24"/>
          <w:shd w:val="clear" w:color="auto" w:fill="FFFFFF"/>
        </w:rPr>
        <w:t xml:space="preserve">Abreu, D. A., &amp; Winters, F. (1999). Using monetary incentives to reduce attrition in the survey of income and program participation. In: U.S. Census Bureau. </w:t>
      </w:r>
      <w:r w:rsidRPr="00CE45F4">
        <w:rPr>
          <w:i/>
          <w:iCs/>
          <w:color w:val="000000" w:themeColor="text1"/>
          <w:sz w:val="24"/>
          <w:szCs w:val="24"/>
          <w:shd w:val="clear" w:color="auto" w:fill="FFFFFF"/>
        </w:rPr>
        <w:t>Proceedings of the Survey Research Methods</w:t>
      </w:r>
      <w:r w:rsidRPr="00CE45F4">
        <w:rPr>
          <w:iCs/>
          <w:color w:val="000000" w:themeColor="text1"/>
          <w:sz w:val="24"/>
          <w:szCs w:val="24"/>
          <w:shd w:val="clear" w:color="auto" w:fill="FFFFFF"/>
        </w:rPr>
        <w:t>,</w:t>
      </w:r>
      <w:r w:rsidRPr="00CE45F4" w:rsidDel="00906383">
        <w:rPr>
          <w:iCs/>
          <w:color w:val="000000" w:themeColor="text1"/>
          <w:sz w:val="24"/>
          <w:szCs w:val="24"/>
          <w:shd w:val="clear" w:color="auto" w:fill="FFFFFF"/>
        </w:rPr>
        <w:t xml:space="preserve"> </w:t>
      </w:r>
      <w:r w:rsidRPr="00CE45F4">
        <w:rPr>
          <w:color w:val="000000" w:themeColor="text1"/>
          <w:sz w:val="24"/>
          <w:szCs w:val="24"/>
          <w:shd w:val="clear" w:color="auto" w:fill="FFFFFF"/>
        </w:rPr>
        <w:t>533-538.</w:t>
      </w:r>
    </w:p>
    <w:p w:rsidRPr="00CE45F4" w:rsidR="00CE45F4" w:rsidP="00CE45F4" w:rsidRDefault="00CE45F4" w14:paraId="2366E547" w14:textId="77777777">
      <w:pPr>
        <w:spacing w:after="240"/>
        <w:ind w:left="720" w:hanging="720"/>
        <w:rPr>
          <w:color w:val="000000" w:themeColor="text1"/>
          <w:sz w:val="24"/>
          <w:szCs w:val="24"/>
          <w:shd w:val="clear" w:color="auto" w:fill="FFFFFF"/>
        </w:rPr>
      </w:pPr>
      <w:r w:rsidRPr="00CE45F4">
        <w:rPr>
          <w:color w:val="000000" w:themeColor="text1"/>
          <w:sz w:val="24"/>
          <w:szCs w:val="24"/>
          <w:shd w:val="clear" w:color="auto" w:fill="FFFFFF"/>
        </w:rPr>
        <w:t xml:space="preserve">Booker, C.L., Harding, S., </w:t>
      </w:r>
      <w:proofErr w:type="spellStart"/>
      <w:r w:rsidRPr="00CE45F4">
        <w:rPr>
          <w:color w:val="000000" w:themeColor="text1"/>
          <w:sz w:val="24"/>
          <w:szCs w:val="24"/>
          <w:shd w:val="clear" w:color="auto" w:fill="FFFFFF"/>
        </w:rPr>
        <w:t>Benzeval</w:t>
      </w:r>
      <w:proofErr w:type="spellEnd"/>
      <w:r w:rsidRPr="00CE45F4">
        <w:rPr>
          <w:color w:val="000000" w:themeColor="text1"/>
          <w:sz w:val="24"/>
          <w:szCs w:val="24"/>
          <w:shd w:val="clear" w:color="auto" w:fill="FFFFFF"/>
        </w:rPr>
        <w:t xml:space="preserve">, M. (2011). A systematic review of the effect of retention methods in population-based cohort studies. </w:t>
      </w:r>
      <w:r w:rsidRPr="00CE45F4">
        <w:rPr>
          <w:i/>
          <w:color w:val="000000" w:themeColor="text1"/>
          <w:sz w:val="24"/>
          <w:szCs w:val="24"/>
          <w:shd w:val="clear" w:color="auto" w:fill="FFFFFF"/>
        </w:rPr>
        <w:t>BMC Public Health, 11</w:t>
      </w:r>
      <w:r w:rsidRPr="00CE45F4">
        <w:rPr>
          <w:color w:val="000000" w:themeColor="text1"/>
          <w:sz w:val="24"/>
          <w:szCs w:val="24"/>
          <w:shd w:val="clear" w:color="auto" w:fill="FFFFFF"/>
        </w:rPr>
        <w:t>, 249.</w:t>
      </w:r>
    </w:p>
    <w:p w:rsidRPr="00CE45F4" w:rsidR="00CE45F4" w:rsidP="00CE45F4" w:rsidRDefault="00CE45F4" w14:paraId="3D76ABC9" w14:textId="77777777">
      <w:pPr>
        <w:spacing w:after="200"/>
        <w:ind w:left="720" w:hanging="720"/>
        <w:rPr>
          <w:color w:val="000000" w:themeColor="text1"/>
          <w:sz w:val="24"/>
          <w:szCs w:val="24"/>
          <w:shd w:val="clear" w:color="auto" w:fill="FFFFFF"/>
        </w:rPr>
      </w:pPr>
      <w:r w:rsidRPr="00CE45F4">
        <w:rPr>
          <w:color w:val="000000" w:themeColor="text1"/>
          <w:sz w:val="24"/>
          <w:szCs w:val="24"/>
          <w:shd w:val="clear" w:color="auto" w:fill="FFFFFF"/>
        </w:rPr>
        <w:t xml:space="preserve">Caldwell, P.H., Hamilton, S., Tan, A., &amp; Craig, J.C. (2010). Strategies for increasing recruitment to </w:t>
      </w:r>
      <w:proofErr w:type="spellStart"/>
      <w:r w:rsidRPr="00CE45F4">
        <w:rPr>
          <w:color w:val="000000" w:themeColor="text1"/>
          <w:sz w:val="24"/>
          <w:szCs w:val="24"/>
          <w:shd w:val="clear" w:color="auto" w:fill="FFFFFF"/>
        </w:rPr>
        <w:t>randomised</w:t>
      </w:r>
      <w:proofErr w:type="spellEnd"/>
      <w:r w:rsidRPr="00CE45F4">
        <w:rPr>
          <w:color w:val="000000" w:themeColor="text1"/>
          <w:sz w:val="24"/>
          <w:szCs w:val="24"/>
          <w:shd w:val="clear" w:color="auto" w:fill="FFFFFF"/>
        </w:rPr>
        <w:t xml:space="preserve"> controlled trials: Systematic review. </w:t>
      </w:r>
      <w:proofErr w:type="spellStart"/>
      <w:r w:rsidRPr="00CE45F4">
        <w:rPr>
          <w:i/>
          <w:color w:val="000000" w:themeColor="text1"/>
          <w:sz w:val="24"/>
          <w:szCs w:val="24"/>
          <w:shd w:val="clear" w:color="auto" w:fill="FFFFFF"/>
        </w:rPr>
        <w:t>PLoS</w:t>
      </w:r>
      <w:proofErr w:type="spellEnd"/>
      <w:r w:rsidRPr="00CE45F4">
        <w:rPr>
          <w:i/>
          <w:color w:val="000000" w:themeColor="text1"/>
          <w:sz w:val="24"/>
          <w:szCs w:val="24"/>
          <w:shd w:val="clear" w:color="auto" w:fill="FFFFFF"/>
        </w:rPr>
        <w:t xml:space="preserve"> Medicine, 7</w:t>
      </w:r>
      <w:r w:rsidRPr="00CE45F4">
        <w:rPr>
          <w:color w:val="000000" w:themeColor="text1"/>
          <w:sz w:val="24"/>
          <w:szCs w:val="24"/>
          <w:shd w:val="clear" w:color="auto" w:fill="FFFFFF"/>
        </w:rPr>
        <w:t>(11), e1000368.</w:t>
      </w:r>
    </w:p>
    <w:p w:rsidRPr="00CE45F4" w:rsidR="00CE45F4" w:rsidP="00CE45F4" w:rsidRDefault="00CE45F4" w14:paraId="0CA91371" w14:textId="77777777">
      <w:pPr>
        <w:spacing w:after="200"/>
        <w:ind w:left="720" w:hanging="720"/>
        <w:rPr>
          <w:color w:val="000000" w:themeColor="text1"/>
          <w:sz w:val="24"/>
          <w:szCs w:val="24"/>
          <w:shd w:val="clear" w:color="auto" w:fill="FFFFFF"/>
        </w:rPr>
      </w:pPr>
      <w:r w:rsidRPr="00CE45F4">
        <w:rPr>
          <w:color w:val="000000" w:themeColor="text1"/>
          <w:sz w:val="24"/>
          <w:szCs w:val="24"/>
          <w:shd w:val="clear" w:color="auto" w:fill="FFFFFF"/>
        </w:rPr>
        <w:t xml:space="preserve">Castiglioni, L., </w:t>
      </w:r>
      <w:proofErr w:type="spellStart"/>
      <w:r w:rsidRPr="00CE45F4">
        <w:rPr>
          <w:color w:val="000000" w:themeColor="text1"/>
          <w:sz w:val="24"/>
          <w:szCs w:val="24"/>
          <w:shd w:val="clear" w:color="auto" w:fill="FFFFFF"/>
        </w:rPr>
        <w:t>Pforr</w:t>
      </w:r>
      <w:proofErr w:type="spellEnd"/>
      <w:r w:rsidRPr="00CE45F4">
        <w:rPr>
          <w:color w:val="000000" w:themeColor="text1"/>
          <w:sz w:val="24"/>
          <w:szCs w:val="24"/>
          <w:shd w:val="clear" w:color="auto" w:fill="FFFFFF"/>
        </w:rPr>
        <w:t>, K., Krieger, U. (2008). The effect of incentives on response rates and panel attrition: Results of a controlled experiment.</w:t>
      </w:r>
      <w:r w:rsidRPr="00CE45F4" w:rsidDel="00D42CBC">
        <w:rPr>
          <w:color w:val="000000" w:themeColor="text1"/>
          <w:sz w:val="24"/>
          <w:szCs w:val="24"/>
          <w:shd w:val="clear" w:color="auto" w:fill="FFFFFF"/>
        </w:rPr>
        <w:t xml:space="preserve"> </w:t>
      </w:r>
      <w:r w:rsidRPr="00CE45F4">
        <w:rPr>
          <w:i/>
          <w:iCs/>
          <w:color w:val="000000" w:themeColor="text1"/>
          <w:sz w:val="24"/>
          <w:szCs w:val="24"/>
          <w:shd w:val="clear" w:color="auto" w:fill="FFFFFF"/>
        </w:rPr>
        <w:t xml:space="preserve">Survey Research Methods, </w:t>
      </w:r>
      <w:r w:rsidRPr="00CE45F4">
        <w:rPr>
          <w:i/>
          <w:color w:val="000000" w:themeColor="text1"/>
          <w:sz w:val="24"/>
          <w:szCs w:val="24"/>
          <w:shd w:val="clear" w:color="auto" w:fill="FFFFFF"/>
        </w:rPr>
        <w:t>2</w:t>
      </w:r>
      <w:r w:rsidRPr="00CE45F4">
        <w:rPr>
          <w:color w:val="000000" w:themeColor="text1"/>
          <w:sz w:val="24"/>
          <w:szCs w:val="24"/>
          <w:shd w:val="clear" w:color="auto" w:fill="FFFFFF"/>
        </w:rPr>
        <w:t>(3), 151-158.</w:t>
      </w:r>
    </w:p>
    <w:p w:rsidRPr="00CE45F4" w:rsidR="00CE45F4" w:rsidP="00CE45F4" w:rsidRDefault="00CE45F4" w14:paraId="4D5B8C39" w14:textId="77777777">
      <w:pPr>
        <w:widowControl w:val="0"/>
        <w:autoSpaceDE w:val="0"/>
        <w:autoSpaceDN w:val="0"/>
        <w:adjustRightInd w:val="0"/>
        <w:spacing w:after="240"/>
        <w:ind w:left="720" w:hanging="720"/>
        <w:rPr>
          <w:color w:val="000000" w:themeColor="text1"/>
          <w:sz w:val="24"/>
          <w:szCs w:val="24"/>
        </w:rPr>
      </w:pPr>
      <w:r w:rsidRPr="00CE45F4">
        <w:rPr>
          <w:color w:val="000000" w:themeColor="text1"/>
          <w:sz w:val="24"/>
          <w:szCs w:val="24"/>
        </w:rPr>
        <w:t xml:space="preserve">Giuliano, A.R., </w:t>
      </w:r>
      <w:proofErr w:type="spellStart"/>
      <w:r w:rsidRPr="00CE45F4">
        <w:rPr>
          <w:color w:val="000000" w:themeColor="text1"/>
          <w:sz w:val="24"/>
          <w:szCs w:val="24"/>
        </w:rPr>
        <w:t>Mokuau</w:t>
      </w:r>
      <w:proofErr w:type="spellEnd"/>
      <w:r w:rsidRPr="00CE45F4">
        <w:rPr>
          <w:color w:val="000000" w:themeColor="text1"/>
          <w:sz w:val="24"/>
          <w:szCs w:val="24"/>
        </w:rPr>
        <w:t xml:space="preserve">, N., Hughes, C., </w:t>
      </w:r>
      <w:proofErr w:type="spellStart"/>
      <w:r w:rsidRPr="00CE45F4">
        <w:rPr>
          <w:color w:val="000000" w:themeColor="text1"/>
          <w:sz w:val="24"/>
          <w:szCs w:val="24"/>
        </w:rPr>
        <w:t>Tortolero</w:t>
      </w:r>
      <w:proofErr w:type="spellEnd"/>
      <w:r w:rsidRPr="00CE45F4">
        <w:rPr>
          <w:color w:val="000000" w:themeColor="text1"/>
          <w:sz w:val="24"/>
          <w:szCs w:val="24"/>
        </w:rPr>
        <w:t xml:space="preserve">-Luna, G., </w:t>
      </w:r>
      <w:proofErr w:type="spellStart"/>
      <w:r w:rsidRPr="00CE45F4">
        <w:rPr>
          <w:color w:val="000000" w:themeColor="text1"/>
          <w:sz w:val="24"/>
          <w:szCs w:val="24"/>
        </w:rPr>
        <w:t>Risendal</w:t>
      </w:r>
      <w:proofErr w:type="spellEnd"/>
      <w:r w:rsidRPr="00CE45F4">
        <w:rPr>
          <w:color w:val="000000" w:themeColor="text1"/>
          <w:sz w:val="24"/>
          <w:szCs w:val="24"/>
        </w:rPr>
        <w:t xml:space="preserve">, B., Ho, R.C.S., … McCaskill-Stevens, W.J. (2000). Participation of </w:t>
      </w:r>
      <w:proofErr w:type="spellStart"/>
      <w:r w:rsidRPr="00CE45F4">
        <w:rPr>
          <w:color w:val="000000" w:themeColor="text1"/>
          <w:sz w:val="24"/>
          <w:szCs w:val="24"/>
        </w:rPr>
        <w:t>miniorities</w:t>
      </w:r>
      <w:proofErr w:type="spellEnd"/>
      <w:r w:rsidRPr="00CE45F4">
        <w:rPr>
          <w:color w:val="000000" w:themeColor="text1"/>
          <w:sz w:val="24"/>
          <w:szCs w:val="24"/>
        </w:rPr>
        <w:t xml:space="preserve"> in cancer research. </w:t>
      </w:r>
      <w:r w:rsidRPr="00CE45F4">
        <w:rPr>
          <w:i/>
          <w:color w:val="000000" w:themeColor="text1"/>
          <w:sz w:val="24"/>
          <w:szCs w:val="24"/>
        </w:rPr>
        <w:t>Annals of Epidemiology, 10</w:t>
      </w:r>
      <w:r w:rsidRPr="00CE45F4">
        <w:rPr>
          <w:color w:val="000000" w:themeColor="text1"/>
          <w:sz w:val="24"/>
          <w:szCs w:val="24"/>
        </w:rPr>
        <w:t>(8 Suppl 1), S22-S34.</w:t>
      </w:r>
    </w:p>
    <w:p w:rsidRPr="00CE45F4" w:rsidR="00CE45F4" w:rsidP="00CE45F4" w:rsidRDefault="00CE45F4" w14:paraId="4C1F4D0F" w14:textId="77777777">
      <w:pPr>
        <w:spacing w:before="100" w:beforeAutospacing="1" w:after="100" w:afterAutospacing="1"/>
        <w:ind w:left="720" w:hanging="720"/>
        <w:rPr>
          <w:sz w:val="24"/>
          <w:szCs w:val="24"/>
        </w:rPr>
      </w:pPr>
      <w:proofErr w:type="spellStart"/>
      <w:r w:rsidRPr="00CE45F4">
        <w:rPr>
          <w:color w:val="000000" w:themeColor="text1"/>
          <w:sz w:val="24"/>
          <w:szCs w:val="24"/>
        </w:rPr>
        <w:t>Hooven</w:t>
      </w:r>
      <w:proofErr w:type="spellEnd"/>
      <w:r w:rsidRPr="00CE45F4">
        <w:rPr>
          <w:color w:val="000000" w:themeColor="text1"/>
          <w:sz w:val="24"/>
          <w:szCs w:val="24"/>
        </w:rPr>
        <w:t xml:space="preserve">, C., Walsh, E., </w:t>
      </w:r>
      <w:proofErr w:type="spellStart"/>
      <w:r w:rsidRPr="00CE45F4">
        <w:rPr>
          <w:color w:val="000000" w:themeColor="text1"/>
          <w:sz w:val="24"/>
          <w:szCs w:val="24"/>
        </w:rPr>
        <w:t>Willgerodt</w:t>
      </w:r>
      <w:proofErr w:type="spellEnd"/>
      <w:r w:rsidRPr="00CE45F4">
        <w:rPr>
          <w:color w:val="000000" w:themeColor="text1"/>
          <w:sz w:val="24"/>
          <w:szCs w:val="24"/>
        </w:rPr>
        <w:t xml:space="preserve">, M., &amp; Salazar, A. (2011). Increasing participation in prevention research: Strategies for youth, parents, and schools. </w:t>
      </w:r>
      <w:r w:rsidRPr="00CE45F4">
        <w:rPr>
          <w:i/>
          <w:color w:val="000000" w:themeColor="text1"/>
          <w:sz w:val="24"/>
          <w:szCs w:val="24"/>
        </w:rPr>
        <w:t>Journal of Child and Adolescent Psychiatric Nursing, 24</w:t>
      </w:r>
      <w:r w:rsidRPr="00CE45F4">
        <w:rPr>
          <w:color w:val="000000" w:themeColor="text1"/>
          <w:sz w:val="24"/>
          <w:szCs w:val="24"/>
        </w:rPr>
        <w:t>(3), 137-149.</w:t>
      </w:r>
    </w:p>
    <w:p w:rsidRPr="00CE45F4" w:rsidR="00CE45F4" w:rsidP="00CE45F4" w:rsidRDefault="00CE45F4" w14:paraId="67DC16EF" w14:textId="77777777">
      <w:pPr>
        <w:widowControl w:val="0"/>
        <w:autoSpaceDE w:val="0"/>
        <w:autoSpaceDN w:val="0"/>
        <w:adjustRightInd w:val="0"/>
        <w:spacing w:after="240"/>
        <w:ind w:left="720" w:hanging="720"/>
        <w:rPr>
          <w:color w:val="000000" w:themeColor="text1"/>
          <w:sz w:val="24"/>
          <w:szCs w:val="24"/>
        </w:rPr>
      </w:pPr>
      <w:r w:rsidRPr="00CE45F4">
        <w:rPr>
          <w:color w:val="000000" w:themeColor="text1"/>
          <w:sz w:val="24"/>
          <w:szCs w:val="24"/>
        </w:rPr>
        <w:t xml:space="preserve">Martinson, B.C., </w:t>
      </w:r>
      <w:proofErr w:type="spellStart"/>
      <w:r w:rsidRPr="00CE45F4">
        <w:rPr>
          <w:color w:val="000000" w:themeColor="text1"/>
          <w:sz w:val="24"/>
          <w:szCs w:val="24"/>
        </w:rPr>
        <w:t>Lazovich</w:t>
      </w:r>
      <w:proofErr w:type="spellEnd"/>
      <w:r w:rsidRPr="00CE45F4">
        <w:rPr>
          <w:color w:val="000000" w:themeColor="text1"/>
          <w:sz w:val="24"/>
          <w:szCs w:val="24"/>
        </w:rPr>
        <w:t xml:space="preserve">, D., Lando, H.A., Perry, C.L., McGovern, P.G., &amp; Boyle, R.G. (2000). Effectiveness of monetary incentives for recruiting adolescents to an intervention trial to reduce smoking. </w:t>
      </w:r>
      <w:r w:rsidRPr="00CE45F4">
        <w:rPr>
          <w:i/>
          <w:color w:val="000000" w:themeColor="text1"/>
          <w:sz w:val="24"/>
          <w:szCs w:val="24"/>
        </w:rPr>
        <w:t>Preventive Medicine, 31</w:t>
      </w:r>
      <w:r w:rsidRPr="00CE45F4">
        <w:rPr>
          <w:color w:val="000000" w:themeColor="text1"/>
          <w:sz w:val="24"/>
          <w:szCs w:val="24"/>
        </w:rPr>
        <w:t>(6), 706-713.</w:t>
      </w:r>
    </w:p>
    <w:p w:rsidRPr="00CE45F4" w:rsidR="00CE45F4" w:rsidP="00CE45F4" w:rsidRDefault="00CE45F4" w14:paraId="0168AA8A" w14:textId="77777777">
      <w:pPr>
        <w:widowControl w:val="0"/>
        <w:autoSpaceDE w:val="0"/>
        <w:autoSpaceDN w:val="0"/>
        <w:adjustRightInd w:val="0"/>
        <w:spacing w:after="240"/>
        <w:ind w:left="720" w:hanging="720"/>
        <w:rPr>
          <w:color w:val="000000" w:themeColor="text1"/>
          <w:sz w:val="24"/>
          <w:szCs w:val="24"/>
        </w:rPr>
      </w:pPr>
      <w:r w:rsidRPr="00CE45F4">
        <w:rPr>
          <w:color w:val="000000" w:themeColor="text1"/>
          <w:sz w:val="24"/>
          <w:szCs w:val="24"/>
        </w:rPr>
        <w:t xml:space="preserve">Murthy, V.H., </w:t>
      </w:r>
      <w:proofErr w:type="spellStart"/>
      <w:r w:rsidRPr="00CE45F4">
        <w:rPr>
          <w:color w:val="000000" w:themeColor="text1"/>
          <w:sz w:val="24"/>
          <w:szCs w:val="24"/>
        </w:rPr>
        <w:t>Krumholz</w:t>
      </w:r>
      <w:proofErr w:type="spellEnd"/>
      <w:r w:rsidRPr="00CE45F4">
        <w:rPr>
          <w:color w:val="000000" w:themeColor="text1"/>
          <w:sz w:val="24"/>
          <w:szCs w:val="24"/>
        </w:rPr>
        <w:t xml:space="preserve">, H.M., &amp; Gross, C.P. (2004). Participation in cancer clinical trials: Race-, sex-, and age-based disparities. </w:t>
      </w:r>
      <w:r w:rsidRPr="00CE45F4">
        <w:rPr>
          <w:i/>
          <w:color w:val="000000" w:themeColor="text1"/>
          <w:sz w:val="24"/>
          <w:szCs w:val="24"/>
        </w:rPr>
        <w:t>Journal of the American Medical Association, 291</w:t>
      </w:r>
      <w:r w:rsidRPr="00CE45F4">
        <w:rPr>
          <w:color w:val="000000" w:themeColor="text1"/>
          <w:sz w:val="24"/>
          <w:szCs w:val="24"/>
        </w:rPr>
        <w:t>(22), 2720-2726.</w:t>
      </w:r>
    </w:p>
    <w:p w:rsidRPr="00CE45F4" w:rsidR="00CE45F4" w:rsidP="00CE45F4" w:rsidRDefault="00CE45F4" w14:paraId="27633033" w14:textId="77777777">
      <w:pPr>
        <w:spacing w:before="100" w:beforeAutospacing="1" w:after="100" w:afterAutospacing="1"/>
        <w:ind w:left="720" w:hanging="720"/>
        <w:rPr>
          <w:color w:val="000000" w:themeColor="text1"/>
          <w:sz w:val="24"/>
          <w:szCs w:val="24"/>
        </w:rPr>
      </w:pPr>
      <w:r w:rsidRPr="00CE45F4">
        <w:rPr>
          <w:color w:val="000000" w:themeColor="text1"/>
          <w:sz w:val="24"/>
          <w:szCs w:val="24"/>
        </w:rPr>
        <w:t xml:space="preserve">Patel, M.X., </w:t>
      </w:r>
      <w:proofErr w:type="spellStart"/>
      <w:r w:rsidRPr="00CE45F4">
        <w:rPr>
          <w:color w:val="000000" w:themeColor="text1"/>
          <w:sz w:val="24"/>
          <w:szCs w:val="24"/>
        </w:rPr>
        <w:t>Doku</w:t>
      </w:r>
      <w:proofErr w:type="spellEnd"/>
      <w:r w:rsidRPr="00CE45F4">
        <w:rPr>
          <w:color w:val="000000" w:themeColor="text1"/>
          <w:sz w:val="24"/>
          <w:szCs w:val="24"/>
        </w:rPr>
        <w:t xml:space="preserve">, V., Tennakoon, L. (2003). Challenges in recruitment of research participants. </w:t>
      </w:r>
      <w:r w:rsidRPr="00CE45F4">
        <w:rPr>
          <w:i/>
          <w:color w:val="000000" w:themeColor="text1"/>
          <w:sz w:val="24"/>
          <w:szCs w:val="24"/>
        </w:rPr>
        <w:t xml:space="preserve">Advances in Psychiatric </w:t>
      </w:r>
      <w:proofErr w:type="spellStart"/>
      <w:r w:rsidRPr="00CE45F4">
        <w:rPr>
          <w:i/>
          <w:color w:val="000000" w:themeColor="text1"/>
          <w:sz w:val="24"/>
          <w:szCs w:val="24"/>
        </w:rPr>
        <w:t>Treathment</w:t>
      </w:r>
      <w:proofErr w:type="spellEnd"/>
      <w:r w:rsidRPr="00CE45F4">
        <w:rPr>
          <w:i/>
          <w:color w:val="000000" w:themeColor="text1"/>
          <w:sz w:val="24"/>
          <w:szCs w:val="24"/>
        </w:rPr>
        <w:t>, 9</w:t>
      </w:r>
      <w:r w:rsidRPr="00CE45F4">
        <w:rPr>
          <w:color w:val="000000" w:themeColor="text1"/>
          <w:sz w:val="24"/>
          <w:szCs w:val="24"/>
        </w:rPr>
        <w:t>(3), 229-238.</w:t>
      </w:r>
    </w:p>
    <w:p w:rsidRPr="00CE45F4" w:rsidR="00CE45F4" w:rsidP="00CE45F4" w:rsidRDefault="00CE45F4" w14:paraId="233CD39F" w14:textId="77777777">
      <w:pPr>
        <w:widowControl w:val="0"/>
        <w:autoSpaceDE w:val="0"/>
        <w:autoSpaceDN w:val="0"/>
        <w:adjustRightInd w:val="0"/>
        <w:spacing w:after="240"/>
        <w:ind w:left="720" w:hanging="720"/>
        <w:rPr>
          <w:color w:val="000000" w:themeColor="text1"/>
          <w:sz w:val="24"/>
          <w:szCs w:val="24"/>
        </w:rPr>
      </w:pPr>
      <w:r w:rsidRPr="00CE45F4">
        <w:rPr>
          <w:color w:val="000000" w:themeColor="text1"/>
          <w:sz w:val="24"/>
          <w:szCs w:val="24"/>
        </w:rPr>
        <w:t xml:space="preserve">Post, A., </w:t>
      </w:r>
      <w:proofErr w:type="spellStart"/>
      <w:r w:rsidRPr="00CE45F4">
        <w:rPr>
          <w:color w:val="000000" w:themeColor="text1"/>
          <w:sz w:val="24"/>
          <w:szCs w:val="24"/>
        </w:rPr>
        <w:t>Gilljam</w:t>
      </w:r>
      <w:proofErr w:type="spellEnd"/>
      <w:r w:rsidRPr="00CE45F4">
        <w:rPr>
          <w:color w:val="000000" w:themeColor="text1"/>
          <w:sz w:val="24"/>
          <w:szCs w:val="24"/>
        </w:rPr>
        <w:t xml:space="preserve">, H., </w:t>
      </w:r>
      <w:proofErr w:type="spellStart"/>
      <w:r w:rsidRPr="00CE45F4">
        <w:rPr>
          <w:color w:val="000000" w:themeColor="text1"/>
          <w:sz w:val="24"/>
          <w:szCs w:val="24"/>
        </w:rPr>
        <w:t>Bremberg</w:t>
      </w:r>
      <w:proofErr w:type="spellEnd"/>
      <w:r w:rsidRPr="00CE45F4">
        <w:rPr>
          <w:color w:val="000000" w:themeColor="text1"/>
          <w:sz w:val="24"/>
          <w:szCs w:val="24"/>
        </w:rPr>
        <w:t xml:space="preserve">, S., &amp; </w:t>
      </w:r>
      <w:proofErr w:type="spellStart"/>
      <w:r w:rsidRPr="00CE45F4">
        <w:rPr>
          <w:color w:val="000000" w:themeColor="text1"/>
          <w:sz w:val="24"/>
          <w:szCs w:val="24"/>
        </w:rPr>
        <w:t>Galanti</w:t>
      </w:r>
      <w:proofErr w:type="spellEnd"/>
      <w:r w:rsidRPr="00CE45F4">
        <w:rPr>
          <w:color w:val="000000" w:themeColor="text1"/>
          <w:sz w:val="24"/>
          <w:szCs w:val="24"/>
        </w:rPr>
        <w:t xml:space="preserve">, M.R. (2012). Psychosocial determinants of attrition in a longitudinal study of tobacco use in youth. </w:t>
      </w:r>
      <w:r w:rsidRPr="00CE45F4">
        <w:rPr>
          <w:i/>
          <w:color w:val="000000" w:themeColor="text1"/>
          <w:sz w:val="24"/>
          <w:szCs w:val="24"/>
        </w:rPr>
        <w:t>Scientific World Journal, 2012</w:t>
      </w:r>
      <w:r w:rsidRPr="00CE45F4">
        <w:rPr>
          <w:color w:val="000000" w:themeColor="text1"/>
          <w:sz w:val="24"/>
          <w:szCs w:val="24"/>
        </w:rPr>
        <w:t>, 654030.</w:t>
      </w:r>
    </w:p>
    <w:p w:rsidRPr="00CE45F4" w:rsidR="00CE45F4" w:rsidP="00CE45F4" w:rsidRDefault="00CE45F4" w14:paraId="6F8F377D" w14:textId="77777777">
      <w:pPr>
        <w:ind w:left="720" w:hanging="720"/>
        <w:rPr>
          <w:sz w:val="24"/>
          <w:szCs w:val="24"/>
        </w:rPr>
      </w:pPr>
    </w:p>
    <w:p w:rsidRPr="00CE45F4" w:rsidR="00CE45F4" w:rsidP="00CE45F4" w:rsidRDefault="00CE45F4" w14:paraId="6450ABDC" w14:textId="77777777">
      <w:pPr>
        <w:spacing w:after="240"/>
        <w:ind w:left="720" w:hanging="720"/>
        <w:rPr>
          <w:color w:val="000000" w:themeColor="text1"/>
          <w:sz w:val="24"/>
          <w:szCs w:val="24"/>
          <w:shd w:val="clear" w:color="auto" w:fill="FFFFFF"/>
        </w:rPr>
      </w:pPr>
      <w:r w:rsidRPr="00CE45F4">
        <w:rPr>
          <w:color w:val="000000" w:themeColor="text1"/>
          <w:sz w:val="24"/>
          <w:szCs w:val="24"/>
          <w:shd w:val="clear" w:color="auto" w:fill="FFFFFF"/>
        </w:rPr>
        <w:t xml:space="preserve">Siddiqui, O., Flay, B.R., &amp; Hu, F.B. (1996). Factors affecting attrition in a longitudinal smoking prevention study. </w:t>
      </w:r>
      <w:r w:rsidRPr="00CE45F4">
        <w:rPr>
          <w:i/>
          <w:color w:val="000000" w:themeColor="text1"/>
          <w:sz w:val="24"/>
          <w:szCs w:val="24"/>
          <w:shd w:val="clear" w:color="auto" w:fill="FFFFFF"/>
        </w:rPr>
        <w:t>Preventive Medicine, 25</w:t>
      </w:r>
      <w:r w:rsidRPr="00CE45F4">
        <w:rPr>
          <w:color w:val="000000" w:themeColor="text1"/>
          <w:sz w:val="24"/>
          <w:szCs w:val="24"/>
          <w:shd w:val="clear" w:color="auto" w:fill="FFFFFF"/>
        </w:rPr>
        <w:t>(5), 554-560.</w:t>
      </w:r>
    </w:p>
    <w:p w:rsidRPr="00CE45F4" w:rsidR="00CE45F4" w:rsidP="00CE45F4" w:rsidRDefault="00CE45F4" w14:paraId="05DDF94E" w14:textId="77777777">
      <w:pPr>
        <w:spacing w:after="200"/>
        <w:ind w:left="720" w:hanging="720"/>
        <w:rPr>
          <w:color w:val="000000" w:themeColor="text1"/>
          <w:sz w:val="24"/>
          <w:szCs w:val="24"/>
          <w:shd w:val="clear" w:color="auto" w:fill="FFFFFF"/>
        </w:rPr>
      </w:pPr>
      <w:r w:rsidRPr="00CE45F4">
        <w:rPr>
          <w:color w:val="000000" w:themeColor="text1"/>
          <w:sz w:val="24"/>
          <w:szCs w:val="24"/>
          <w:shd w:val="clear" w:color="auto" w:fill="FFFFFF"/>
        </w:rPr>
        <w:t xml:space="preserve">Singer, E. (2002). The use of incentives to reduce nonresponse in household surveys. In: Wiley, ed. </w:t>
      </w:r>
      <w:r w:rsidRPr="00CE45F4">
        <w:rPr>
          <w:i/>
          <w:iCs/>
          <w:color w:val="000000" w:themeColor="text1"/>
          <w:sz w:val="24"/>
          <w:szCs w:val="24"/>
          <w:shd w:val="clear" w:color="auto" w:fill="FFFFFF"/>
        </w:rPr>
        <w:t>Survey nonresponse</w:t>
      </w:r>
      <w:r w:rsidRPr="00CE45F4">
        <w:rPr>
          <w:color w:val="000000" w:themeColor="text1"/>
          <w:sz w:val="24"/>
          <w:szCs w:val="24"/>
          <w:shd w:val="clear" w:color="auto" w:fill="FFFFFF"/>
        </w:rPr>
        <w:t>, </w:t>
      </w:r>
      <w:r w:rsidRPr="00CE45F4">
        <w:rPr>
          <w:i/>
          <w:iCs/>
          <w:color w:val="000000" w:themeColor="text1"/>
          <w:sz w:val="24"/>
          <w:szCs w:val="24"/>
          <w:shd w:val="clear" w:color="auto" w:fill="FFFFFF"/>
        </w:rPr>
        <w:t>51</w:t>
      </w:r>
      <w:r w:rsidRPr="00CE45F4">
        <w:rPr>
          <w:color w:val="000000" w:themeColor="text1"/>
          <w:sz w:val="24"/>
          <w:szCs w:val="24"/>
          <w:shd w:val="clear" w:color="auto" w:fill="FFFFFF"/>
        </w:rPr>
        <w:t>, 163-177.</w:t>
      </w:r>
    </w:p>
    <w:p w:rsidRPr="00CE45F4" w:rsidR="00CE45F4" w:rsidP="00CE45F4" w:rsidRDefault="00CE45F4" w14:paraId="2FB1EBC5" w14:textId="77777777">
      <w:pPr>
        <w:spacing w:after="200"/>
        <w:ind w:left="720" w:hanging="720"/>
        <w:rPr>
          <w:color w:val="000000" w:themeColor="text1"/>
          <w:sz w:val="24"/>
          <w:szCs w:val="24"/>
          <w:shd w:val="clear" w:color="auto" w:fill="FFFFFF"/>
        </w:rPr>
      </w:pPr>
      <w:proofErr w:type="spellStart"/>
      <w:r w:rsidRPr="00CE45F4">
        <w:rPr>
          <w:color w:val="000000" w:themeColor="text1"/>
          <w:sz w:val="24"/>
          <w:szCs w:val="24"/>
          <w:shd w:val="clear" w:color="auto" w:fill="FFFFFF"/>
        </w:rPr>
        <w:t>Shettle</w:t>
      </w:r>
      <w:proofErr w:type="spellEnd"/>
      <w:r w:rsidRPr="00CE45F4">
        <w:rPr>
          <w:color w:val="000000" w:themeColor="text1"/>
          <w:sz w:val="24"/>
          <w:szCs w:val="24"/>
          <w:shd w:val="clear" w:color="auto" w:fill="FFFFFF"/>
        </w:rPr>
        <w:t>, C., &amp; Mooney, G. (1999). Monetary incentives in US government surveys. </w:t>
      </w:r>
      <w:r w:rsidRPr="00CE45F4">
        <w:rPr>
          <w:i/>
          <w:iCs/>
          <w:color w:val="000000" w:themeColor="text1"/>
          <w:sz w:val="24"/>
          <w:szCs w:val="24"/>
          <w:shd w:val="clear" w:color="auto" w:fill="FFFFFF"/>
        </w:rPr>
        <w:t>Journal of Official Statistics, 15</w:t>
      </w:r>
      <w:r w:rsidRPr="00CE45F4">
        <w:rPr>
          <w:color w:val="000000" w:themeColor="text1"/>
          <w:sz w:val="24"/>
          <w:szCs w:val="24"/>
          <w:shd w:val="clear" w:color="auto" w:fill="FFFFFF"/>
        </w:rPr>
        <w:t>(2), 231.</w:t>
      </w:r>
    </w:p>
    <w:p w:rsidRPr="00CE45F4" w:rsidR="00CE45F4" w:rsidP="00CE45F4" w:rsidRDefault="00CE45F4" w14:paraId="57AEB484" w14:textId="77777777">
      <w:pPr>
        <w:ind w:left="720" w:hanging="720"/>
        <w:rPr>
          <w:sz w:val="24"/>
          <w:szCs w:val="24"/>
        </w:rPr>
      </w:pPr>
    </w:p>
    <w:p w:rsidRPr="00CE45F4" w:rsidR="00CE45F4" w:rsidP="00CE45F4" w:rsidRDefault="00CE45F4" w14:paraId="644FFE86" w14:textId="77777777">
      <w:pPr>
        <w:spacing w:after="240"/>
        <w:ind w:left="720" w:hanging="720"/>
        <w:rPr>
          <w:color w:val="000000" w:themeColor="text1"/>
          <w:sz w:val="24"/>
          <w:szCs w:val="24"/>
        </w:rPr>
      </w:pPr>
      <w:r w:rsidRPr="00CE45F4">
        <w:rPr>
          <w:color w:val="000000" w:themeColor="text1"/>
          <w:sz w:val="24"/>
          <w:szCs w:val="24"/>
        </w:rPr>
        <w:t xml:space="preserve">Walter, J.K., Burke, J.F., &amp; Davis, M.M. (2013). Research participation by low-income and racial/ethnic minority groups: How payment may change the balance. </w:t>
      </w:r>
      <w:r w:rsidRPr="00CE45F4">
        <w:rPr>
          <w:i/>
          <w:color w:val="000000" w:themeColor="text1"/>
          <w:sz w:val="24"/>
          <w:szCs w:val="24"/>
        </w:rPr>
        <w:t>Clinical and Translational Science, 6</w:t>
      </w:r>
      <w:r w:rsidRPr="00CE45F4">
        <w:rPr>
          <w:color w:val="000000" w:themeColor="text1"/>
          <w:sz w:val="24"/>
          <w:szCs w:val="24"/>
        </w:rPr>
        <w:t>, 363-371.</w:t>
      </w:r>
    </w:p>
    <w:p w:rsidRPr="00CE45F4" w:rsidR="00CE45F4" w:rsidP="00CE45F4" w:rsidRDefault="00CE45F4" w14:paraId="6BE43AF6" w14:textId="77777777">
      <w:pPr>
        <w:spacing w:before="100" w:beforeAutospacing="1" w:after="100" w:afterAutospacing="1"/>
        <w:ind w:left="720" w:hanging="720"/>
        <w:rPr>
          <w:sz w:val="24"/>
          <w:szCs w:val="24"/>
        </w:rPr>
      </w:pPr>
      <w:proofErr w:type="spellStart"/>
      <w:r w:rsidRPr="00CE45F4">
        <w:rPr>
          <w:color w:val="000000" w:themeColor="text1"/>
          <w:sz w:val="24"/>
          <w:szCs w:val="24"/>
        </w:rPr>
        <w:t>Zand</w:t>
      </w:r>
      <w:proofErr w:type="spellEnd"/>
      <w:r w:rsidRPr="00CE45F4">
        <w:rPr>
          <w:color w:val="000000" w:themeColor="text1"/>
          <w:sz w:val="24"/>
          <w:szCs w:val="24"/>
        </w:rPr>
        <w:t xml:space="preserve">, D., Thomson, N.R., </w:t>
      </w:r>
      <w:proofErr w:type="spellStart"/>
      <w:r w:rsidRPr="00CE45F4">
        <w:rPr>
          <w:color w:val="000000" w:themeColor="text1"/>
          <w:sz w:val="24"/>
          <w:szCs w:val="24"/>
        </w:rPr>
        <w:t>Budan</w:t>
      </w:r>
      <w:proofErr w:type="spellEnd"/>
      <w:r w:rsidRPr="00CE45F4">
        <w:rPr>
          <w:color w:val="000000" w:themeColor="text1"/>
          <w:sz w:val="24"/>
          <w:szCs w:val="24"/>
        </w:rPr>
        <w:t xml:space="preserve">, M., Braun, J.A., </w:t>
      </w:r>
      <w:proofErr w:type="spellStart"/>
      <w:r w:rsidRPr="00CE45F4">
        <w:rPr>
          <w:color w:val="000000" w:themeColor="text1"/>
          <w:sz w:val="24"/>
          <w:szCs w:val="24"/>
        </w:rPr>
        <w:t>Holterman</w:t>
      </w:r>
      <w:proofErr w:type="spellEnd"/>
      <w:r w:rsidRPr="00CE45F4">
        <w:rPr>
          <w:color w:val="000000" w:themeColor="text1"/>
          <w:sz w:val="24"/>
          <w:szCs w:val="24"/>
        </w:rPr>
        <w:t xml:space="preserve">-Hommes, P., &amp; Hunter, P.L. (2006). Predictors of retention in an alcohol, tobacco, and other drug prevention study. </w:t>
      </w:r>
      <w:r w:rsidRPr="00CE45F4">
        <w:rPr>
          <w:i/>
          <w:color w:val="000000" w:themeColor="text1"/>
          <w:sz w:val="24"/>
          <w:szCs w:val="24"/>
        </w:rPr>
        <w:t>Evaluation Review, 30</w:t>
      </w:r>
      <w:r w:rsidRPr="00CE45F4">
        <w:rPr>
          <w:color w:val="000000" w:themeColor="text1"/>
          <w:sz w:val="24"/>
          <w:szCs w:val="24"/>
        </w:rPr>
        <w:t>(2), 209-222.</w:t>
      </w:r>
    </w:p>
    <w:p w:rsidR="002375F3" w:rsidP="00CE45F4" w:rsidRDefault="00B45D3E" w14:paraId="7005387E" w14:textId="77777777">
      <w:pPr>
        <w:spacing w:after="200"/>
        <w:ind w:left="720" w:hanging="720"/>
      </w:pPr>
    </w:p>
    <w:sectPr w:rsidR="002375F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DF3B" w14:textId="77777777" w:rsidR="00705FAC" w:rsidRDefault="00705FAC" w:rsidP="00E85591">
      <w:r>
        <w:separator/>
      </w:r>
    </w:p>
  </w:endnote>
  <w:endnote w:type="continuationSeparator" w:id="0">
    <w:p w14:paraId="468F2A40" w14:textId="77777777" w:rsidR="00705FAC" w:rsidRDefault="00705FAC" w:rsidP="00E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378335"/>
      <w:docPartObj>
        <w:docPartGallery w:val="Page Numbers (Bottom of Page)"/>
        <w:docPartUnique/>
      </w:docPartObj>
    </w:sdtPr>
    <w:sdtEndPr>
      <w:rPr>
        <w:noProof/>
      </w:rPr>
    </w:sdtEndPr>
    <w:sdtContent>
      <w:p w14:paraId="34AF4A90" w14:textId="0C3AC73D" w:rsidR="00E85591" w:rsidRDefault="00E855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DAA7A5" w14:textId="77777777" w:rsidR="00E85591" w:rsidRDefault="00E8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BBFC" w14:textId="77777777" w:rsidR="00705FAC" w:rsidRDefault="00705FAC" w:rsidP="00E85591">
      <w:r>
        <w:separator/>
      </w:r>
    </w:p>
  </w:footnote>
  <w:footnote w:type="continuationSeparator" w:id="0">
    <w:p w14:paraId="04F88DEE" w14:textId="77777777" w:rsidR="00705FAC" w:rsidRDefault="00705FAC" w:rsidP="00E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0288E"/>
    <w:multiLevelType w:val="hybridMultilevel"/>
    <w:tmpl w:val="17440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7D85EA5"/>
    <w:multiLevelType w:val="hybridMultilevel"/>
    <w:tmpl w:val="5232DE46"/>
    <w:lvl w:ilvl="0" w:tplc="8E4EDADA">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732190"/>
    <w:multiLevelType w:val="hybridMultilevel"/>
    <w:tmpl w:val="6ED8B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B8"/>
    <w:rsid w:val="0001492C"/>
    <w:rsid w:val="00026F69"/>
    <w:rsid w:val="00027455"/>
    <w:rsid w:val="000619EC"/>
    <w:rsid w:val="00067AC6"/>
    <w:rsid w:val="00070B4C"/>
    <w:rsid w:val="00070DBA"/>
    <w:rsid w:val="00074541"/>
    <w:rsid w:val="00074AF4"/>
    <w:rsid w:val="000A2116"/>
    <w:rsid w:val="000A7CDF"/>
    <w:rsid w:val="000B3EEB"/>
    <w:rsid w:val="000C0CCB"/>
    <w:rsid w:val="000C2308"/>
    <w:rsid w:val="000C3349"/>
    <w:rsid w:val="000C6BBA"/>
    <w:rsid w:val="000E10BF"/>
    <w:rsid w:val="000E33FA"/>
    <w:rsid w:val="000F47AC"/>
    <w:rsid w:val="00101CC7"/>
    <w:rsid w:val="00104799"/>
    <w:rsid w:val="00110DDA"/>
    <w:rsid w:val="00114E03"/>
    <w:rsid w:val="00117E9F"/>
    <w:rsid w:val="00120D87"/>
    <w:rsid w:val="00141FBD"/>
    <w:rsid w:val="0014495C"/>
    <w:rsid w:val="0015056A"/>
    <w:rsid w:val="001756D7"/>
    <w:rsid w:val="00191553"/>
    <w:rsid w:val="001A2DFF"/>
    <w:rsid w:val="001A3E81"/>
    <w:rsid w:val="001A54A8"/>
    <w:rsid w:val="001B38B4"/>
    <w:rsid w:val="001B51ED"/>
    <w:rsid w:val="001B576E"/>
    <w:rsid w:val="001C0022"/>
    <w:rsid w:val="001C1C3B"/>
    <w:rsid w:val="001F26A3"/>
    <w:rsid w:val="001F5AA9"/>
    <w:rsid w:val="00212329"/>
    <w:rsid w:val="00224D06"/>
    <w:rsid w:val="00262E15"/>
    <w:rsid w:val="00262E7C"/>
    <w:rsid w:val="00263A58"/>
    <w:rsid w:val="00273625"/>
    <w:rsid w:val="00291CBB"/>
    <w:rsid w:val="002A5DAF"/>
    <w:rsid w:val="002E0606"/>
    <w:rsid w:val="002E4270"/>
    <w:rsid w:val="00304E3C"/>
    <w:rsid w:val="00313A6D"/>
    <w:rsid w:val="003159F8"/>
    <w:rsid w:val="00316355"/>
    <w:rsid w:val="003309E3"/>
    <w:rsid w:val="0035589F"/>
    <w:rsid w:val="0036058F"/>
    <w:rsid w:val="00361B74"/>
    <w:rsid w:val="00370350"/>
    <w:rsid w:val="00384079"/>
    <w:rsid w:val="003A009F"/>
    <w:rsid w:val="003B36FC"/>
    <w:rsid w:val="003C0269"/>
    <w:rsid w:val="003C70DB"/>
    <w:rsid w:val="003D68F9"/>
    <w:rsid w:val="003E6AEA"/>
    <w:rsid w:val="003E7D0F"/>
    <w:rsid w:val="003F08EC"/>
    <w:rsid w:val="003F2361"/>
    <w:rsid w:val="0041289E"/>
    <w:rsid w:val="00416EB5"/>
    <w:rsid w:val="00430B9F"/>
    <w:rsid w:val="00435258"/>
    <w:rsid w:val="004362A3"/>
    <w:rsid w:val="00447222"/>
    <w:rsid w:val="0049247E"/>
    <w:rsid w:val="0049371C"/>
    <w:rsid w:val="004B0262"/>
    <w:rsid w:val="004E78FB"/>
    <w:rsid w:val="00536944"/>
    <w:rsid w:val="005606C8"/>
    <w:rsid w:val="005772C6"/>
    <w:rsid w:val="005825C6"/>
    <w:rsid w:val="005914D6"/>
    <w:rsid w:val="00596C88"/>
    <w:rsid w:val="005A195B"/>
    <w:rsid w:val="005B10C7"/>
    <w:rsid w:val="005B7A0E"/>
    <w:rsid w:val="005C4BA0"/>
    <w:rsid w:val="005C4F33"/>
    <w:rsid w:val="005D26AB"/>
    <w:rsid w:val="005F591E"/>
    <w:rsid w:val="006015A6"/>
    <w:rsid w:val="006056AC"/>
    <w:rsid w:val="0061029E"/>
    <w:rsid w:val="00615FB3"/>
    <w:rsid w:val="00630A09"/>
    <w:rsid w:val="00630E27"/>
    <w:rsid w:val="00631B09"/>
    <w:rsid w:val="00640310"/>
    <w:rsid w:val="006425B8"/>
    <w:rsid w:val="006425DB"/>
    <w:rsid w:val="00655BEE"/>
    <w:rsid w:val="00663B8C"/>
    <w:rsid w:val="00691C6D"/>
    <w:rsid w:val="006925EB"/>
    <w:rsid w:val="006964A2"/>
    <w:rsid w:val="006A62B0"/>
    <w:rsid w:val="006B7109"/>
    <w:rsid w:val="006C2E6D"/>
    <w:rsid w:val="006D155C"/>
    <w:rsid w:val="006E0CF8"/>
    <w:rsid w:val="006E2C91"/>
    <w:rsid w:val="006E32CC"/>
    <w:rsid w:val="006E71B8"/>
    <w:rsid w:val="006F1B71"/>
    <w:rsid w:val="006F24D9"/>
    <w:rsid w:val="00704E9D"/>
    <w:rsid w:val="0070515A"/>
    <w:rsid w:val="00705FAC"/>
    <w:rsid w:val="00715008"/>
    <w:rsid w:val="0072097C"/>
    <w:rsid w:val="00726270"/>
    <w:rsid w:val="00727CFF"/>
    <w:rsid w:val="0074284B"/>
    <w:rsid w:val="0074602D"/>
    <w:rsid w:val="0074660E"/>
    <w:rsid w:val="00746845"/>
    <w:rsid w:val="007546AF"/>
    <w:rsid w:val="00764AB1"/>
    <w:rsid w:val="00782AD4"/>
    <w:rsid w:val="00786972"/>
    <w:rsid w:val="007A36C4"/>
    <w:rsid w:val="007C7317"/>
    <w:rsid w:val="007D067D"/>
    <w:rsid w:val="007E0259"/>
    <w:rsid w:val="00805FD2"/>
    <w:rsid w:val="00820A2D"/>
    <w:rsid w:val="00824045"/>
    <w:rsid w:val="00824EF4"/>
    <w:rsid w:val="00861055"/>
    <w:rsid w:val="00866429"/>
    <w:rsid w:val="00867AE3"/>
    <w:rsid w:val="00867E49"/>
    <w:rsid w:val="00870E38"/>
    <w:rsid w:val="00871620"/>
    <w:rsid w:val="00874B75"/>
    <w:rsid w:val="00894EA1"/>
    <w:rsid w:val="008B48C5"/>
    <w:rsid w:val="008B59AE"/>
    <w:rsid w:val="008D34C2"/>
    <w:rsid w:val="008D69A1"/>
    <w:rsid w:val="008D735E"/>
    <w:rsid w:val="008E1751"/>
    <w:rsid w:val="008E3A73"/>
    <w:rsid w:val="008F6900"/>
    <w:rsid w:val="00904ACE"/>
    <w:rsid w:val="00905C59"/>
    <w:rsid w:val="00924863"/>
    <w:rsid w:val="00925614"/>
    <w:rsid w:val="00932242"/>
    <w:rsid w:val="00954DE6"/>
    <w:rsid w:val="00955A1F"/>
    <w:rsid w:val="00960EA9"/>
    <w:rsid w:val="00962713"/>
    <w:rsid w:val="0099224B"/>
    <w:rsid w:val="00992E25"/>
    <w:rsid w:val="009A24DD"/>
    <w:rsid w:val="009B1D2F"/>
    <w:rsid w:val="009C6915"/>
    <w:rsid w:val="009D2910"/>
    <w:rsid w:val="009E33B2"/>
    <w:rsid w:val="009F1463"/>
    <w:rsid w:val="009F3871"/>
    <w:rsid w:val="009F3DD1"/>
    <w:rsid w:val="009F53EB"/>
    <w:rsid w:val="00A1451A"/>
    <w:rsid w:val="00A24FC4"/>
    <w:rsid w:val="00A25893"/>
    <w:rsid w:val="00A376AA"/>
    <w:rsid w:val="00A42E68"/>
    <w:rsid w:val="00A45CA1"/>
    <w:rsid w:val="00A4662D"/>
    <w:rsid w:val="00A64FF1"/>
    <w:rsid w:val="00A82369"/>
    <w:rsid w:val="00AA4B12"/>
    <w:rsid w:val="00AC0F77"/>
    <w:rsid w:val="00AC139A"/>
    <w:rsid w:val="00AC21AC"/>
    <w:rsid w:val="00AF3199"/>
    <w:rsid w:val="00B166C8"/>
    <w:rsid w:val="00B30F53"/>
    <w:rsid w:val="00B334BE"/>
    <w:rsid w:val="00B33D3C"/>
    <w:rsid w:val="00B42AE3"/>
    <w:rsid w:val="00B45D3E"/>
    <w:rsid w:val="00B57410"/>
    <w:rsid w:val="00B803B3"/>
    <w:rsid w:val="00B943B5"/>
    <w:rsid w:val="00BB349E"/>
    <w:rsid w:val="00BC1C29"/>
    <w:rsid w:val="00BD15C9"/>
    <w:rsid w:val="00BD3235"/>
    <w:rsid w:val="00BD6B55"/>
    <w:rsid w:val="00BE0897"/>
    <w:rsid w:val="00BE781B"/>
    <w:rsid w:val="00BF5E39"/>
    <w:rsid w:val="00C04860"/>
    <w:rsid w:val="00C222E4"/>
    <w:rsid w:val="00C22839"/>
    <w:rsid w:val="00C24CA1"/>
    <w:rsid w:val="00C36EBD"/>
    <w:rsid w:val="00C44AD5"/>
    <w:rsid w:val="00C53A73"/>
    <w:rsid w:val="00C56818"/>
    <w:rsid w:val="00C67F80"/>
    <w:rsid w:val="00C95C53"/>
    <w:rsid w:val="00CA09D2"/>
    <w:rsid w:val="00CB6A47"/>
    <w:rsid w:val="00CC44F6"/>
    <w:rsid w:val="00CE1702"/>
    <w:rsid w:val="00CE2021"/>
    <w:rsid w:val="00CE45F4"/>
    <w:rsid w:val="00CF2466"/>
    <w:rsid w:val="00CF5A3F"/>
    <w:rsid w:val="00D255F7"/>
    <w:rsid w:val="00D3338A"/>
    <w:rsid w:val="00D36CF3"/>
    <w:rsid w:val="00D44342"/>
    <w:rsid w:val="00D44639"/>
    <w:rsid w:val="00D51F8F"/>
    <w:rsid w:val="00D576E5"/>
    <w:rsid w:val="00D602FA"/>
    <w:rsid w:val="00D6496F"/>
    <w:rsid w:val="00D65870"/>
    <w:rsid w:val="00D80D71"/>
    <w:rsid w:val="00D844A8"/>
    <w:rsid w:val="00D92785"/>
    <w:rsid w:val="00DD37DC"/>
    <w:rsid w:val="00DD3B82"/>
    <w:rsid w:val="00DD7EF8"/>
    <w:rsid w:val="00DF2524"/>
    <w:rsid w:val="00DF73B9"/>
    <w:rsid w:val="00E0395E"/>
    <w:rsid w:val="00E266A5"/>
    <w:rsid w:val="00E269D6"/>
    <w:rsid w:val="00E272AA"/>
    <w:rsid w:val="00E4255A"/>
    <w:rsid w:val="00E44872"/>
    <w:rsid w:val="00E502BD"/>
    <w:rsid w:val="00E57698"/>
    <w:rsid w:val="00E72C92"/>
    <w:rsid w:val="00E85591"/>
    <w:rsid w:val="00EA18CC"/>
    <w:rsid w:val="00EB7487"/>
    <w:rsid w:val="00EC25C7"/>
    <w:rsid w:val="00EC53AC"/>
    <w:rsid w:val="00EE192E"/>
    <w:rsid w:val="00F06747"/>
    <w:rsid w:val="00F207BD"/>
    <w:rsid w:val="00F40542"/>
    <w:rsid w:val="00F60C65"/>
    <w:rsid w:val="00F749C8"/>
    <w:rsid w:val="00FA0CCE"/>
    <w:rsid w:val="00FB2A4C"/>
    <w:rsid w:val="00FC216D"/>
    <w:rsid w:val="00FC2A79"/>
    <w:rsid w:val="00FE70A9"/>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712C"/>
  <w15:chartTrackingRefBased/>
  <w15:docId w15:val="{69AC38BE-B276-4374-AE87-9AF87E97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B8"/>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6E71B8"/>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71B8"/>
    <w:rPr>
      <w:rFonts w:ascii="Arial" w:eastAsia="Times New Roman" w:hAnsi="Arial" w:cs="Arial"/>
      <w:b/>
      <w:bCs/>
      <w:sz w:val="24"/>
      <w:szCs w:val="20"/>
    </w:rPr>
  </w:style>
  <w:style w:type="character" w:styleId="Hyperlink">
    <w:name w:val="Hyperlink"/>
    <w:rsid w:val="006E71B8"/>
    <w:rPr>
      <w:color w:val="0000FF"/>
      <w:u w:val="single"/>
    </w:rPr>
  </w:style>
  <w:style w:type="paragraph" w:customStyle="1" w:styleId="bodytextpsg">
    <w:name w:val="body text_psg"/>
    <w:basedOn w:val="Normal"/>
    <w:link w:val="bodytextpsgChar"/>
    <w:rsid w:val="006E71B8"/>
    <w:pPr>
      <w:spacing w:before="120" w:after="120"/>
      <w:ind w:firstLine="720"/>
    </w:pPr>
    <w:rPr>
      <w:sz w:val="22"/>
    </w:rPr>
  </w:style>
  <w:style w:type="character" w:customStyle="1" w:styleId="bodytextpsgChar">
    <w:name w:val="body text_psg Char"/>
    <w:link w:val="bodytextpsg"/>
    <w:rsid w:val="006E71B8"/>
    <w:rPr>
      <w:rFonts w:ascii="Times New Roman" w:eastAsia="Times New Roman" w:hAnsi="Times New Roman" w:cs="Times New Roman"/>
      <w:szCs w:val="20"/>
    </w:rPr>
  </w:style>
  <w:style w:type="paragraph" w:styleId="Header">
    <w:name w:val="header"/>
    <w:basedOn w:val="Normal"/>
    <w:link w:val="HeaderChar"/>
    <w:uiPriority w:val="99"/>
    <w:rsid w:val="006E71B8"/>
    <w:pPr>
      <w:tabs>
        <w:tab w:val="center" w:pos="4680"/>
        <w:tab w:val="right" w:pos="9360"/>
      </w:tabs>
    </w:pPr>
  </w:style>
  <w:style w:type="character" w:customStyle="1" w:styleId="HeaderChar">
    <w:name w:val="Header Char"/>
    <w:basedOn w:val="DefaultParagraphFont"/>
    <w:link w:val="Header"/>
    <w:uiPriority w:val="99"/>
    <w:rsid w:val="006E71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7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B8"/>
    <w:rPr>
      <w:rFonts w:ascii="Segoe UI" w:eastAsia="Times New Roman" w:hAnsi="Segoe UI" w:cs="Segoe UI"/>
      <w:sz w:val="18"/>
      <w:szCs w:val="18"/>
    </w:rPr>
  </w:style>
  <w:style w:type="character" w:styleId="CommentReference">
    <w:name w:val="annotation reference"/>
    <w:basedOn w:val="DefaultParagraphFont"/>
    <w:unhideWhenUsed/>
    <w:rsid w:val="00C95C53"/>
    <w:rPr>
      <w:sz w:val="16"/>
      <w:szCs w:val="16"/>
    </w:rPr>
  </w:style>
  <w:style w:type="paragraph" w:styleId="CommentText">
    <w:name w:val="annotation text"/>
    <w:basedOn w:val="Normal"/>
    <w:link w:val="CommentTextChar"/>
    <w:uiPriority w:val="99"/>
    <w:semiHidden/>
    <w:unhideWhenUsed/>
    <w:rsid w:val="00C95C53"/>
  </w:style>
  <w:style w:type="character" w:customStyle="1" w:styleId="CommentTextChar">
    <w:name w:val="Comment Text Char"/>
    <w:basedOn w:val="DefaultParagraphFont"/>
    <w:link w:val="CommentText"/>
    <w:uiPriority w:val="99"/>
    <w:semiHidden/>
    <w:rsid w:val="00C95C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5C53"/>
    <w:rPr>
      <w:b/>
      <w:bCs/>
    </w:rPr>
  </w:style>
  <w:style w:type="character" w:customStyle="1" w:styleId="CommentSubjectChar">
    <w:name w:val="Comment Subject Char"/>
    <w:basedOn w:val="CommentTextChar"/>
    <w:link w:val="CommentSubject"/>
    <w:uiPriority w:val="99"/>
    <w:semiHidden/>
    <w:rsid w:val="00C95C5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27CFF"/>
    <w:rPr>
      <w:color w:val="605E5C"/>
      <w:shd w:val="clear" w:color="auto" w:fill="E1DFDD"/>
    </w:rPr>
  </w:style>
  <w:style w:type="paragraph" w:styleId="Footer">
    <w:name w:val="footer"/>
    <w:basedOn w:val="Normal"/>
    <w:link w:val="FooterChar"/>
    <w:uiPriority w:val="99"/>
    <w:unhideWhenUsed/>
    <w:rsid w:val="00E85591"/>
    <w:pPr>
      <w:tabs>
        <w:tab w:val="center" w:pos="4680"/>
        <w:tab w:val="right" w:pos="9360"/>
      </w:tabs>
    </w:pPr>
  </w:style>
  <w:style w:type="character" w:customStyle="1" w:styleId="FooterChar">
    <w:name w:val="Footer Char"/>
    <w:basedOn w:val="DefaultParagraphFont"/>
    <w:link w:val="Footer"/>
    <w:uiPriority w:val="99"/>
    <w:rsid w:val="00E85591"/>
    <w:rPr>
      <w:rFonts w:ascii="Times New Roman" w:eastAsia="Times New Roman" w:hAnsi="Times New Roman" w:cs="Times New Roman"/>
      <w:sz w:val="20"/>
      <w:szCs w:val="20"/>
    </w:rPr>
  </w:style>
  <w:style w:type="paragraph" w:styleId="Revision">
    <w:name w:val="Revision"/>
    <w:hidden/>
    <w:uiPriority w:val="99"/>
    <w:semiHidden/>
    <w:rsid w:val="00DD7EF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23348">
      <w:bodyDiv w:val="1"/>
      <w:marLeft w:val="0"/>
      <w:marRight w:val="0"/>
      <w:marTop w:val="0"/>
      <w:marBottom w:val="0"/>
      <w:divBdr>
        <w:top w:val="none" w:sz="0" w:space="0" w:color="auto"/>
        <w:left w:val="none" w:sz="0" w:space="0" w:color="auto"/>
        <w:bottom w:val="none" w:sz="0" w:space="0" w:color="auto"/>
        <w:right w:val="none" w:sz="0" w:space="0" w:color="auto"/>
      </w:divBdr>
    </w:div>
    <w:div w:id="1266039659">
      <w:bodyDiv w:val="1"/>
      <w:marLeft w:val="0"/>
      <w:marRight w:val="0"/>
      <w:marTop w:val="0"/>
      <w:marBottom w:val="0"/>
      <w:divBdr>
        <w:top w:val="none" w:sz="0" w:space="0" w:color="auto"/>
        <w:left w:val="none" w:sz="0" w:space="0" w:color="auto"/>
        <w:bottom w:val="none" w:sz="0" w:space="0" w:color="auto"/>
        <w:right w:val="none" w:sz="0" w:space="0" w:color="auto"/>
      </w:divBdr>
    </w:div>
    <w:div w:id="1787649908">
      <w:bodyDiv w:val="1"/>
      <w:marLeft w:val="0"/>
      <w:marRight w:val="0"/>
      <w:marTop w:val="0"/>
      <w:marBottom w:val="0"/>
      <w:divBdr>
        <w:top w:val="none" w:sz="0" w:space="0" w:color="auto"/>
        <w:left w:val="none" w:sz="0" w:space="0" w:color="auto"/>
        <w:bottom w:val="none" w:sz="0" w:space="0" w:color="auto"/>
        <w:right w:val="none" w:sz="0" w:space="0" w:color="auto"/>
      </w:divBdr>
    </w:div>
    <w:div w:id="1802460526">
      <w:bodyDiv w:val="1"/>
      <w:marLeft w:val="0"/>
      <w:marRight w:val="0"/>
      <w:marTop w:val="0"/>
      <w:marBottom w:val="0"/>
      <w:divBdr>
        <w:top w:val="none" w:sz="0" w:space="0" w:color="auto"/>
        <w:left w:val="none" w:sz="0" w:space="0" w:color="auto"/>
        <w:bottom w:val="none" w:sz="0" w:space="0" w:color="auto"/>
        <w:right w:val="none" w:sz="0" w:space="0" w:color="auto"/>
      </w:divBdr>
    </w:div>
    <w:div w:id="20975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rtpnfil02/0215534_FDA_Marketing_IDIQ/Cohort_2/008_Monthly_Monitoring_Study/001_Planning_Documents/OMB/lcurry@rt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sanders@fda.hh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taylor@rt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malterud@fda.hhs.gov" TargetMode="External"/><Relationship Id="rId5" Type="http://schemas.openxmlformats.org/officeDocument/2006/relationships/numbering" Target="numbering.xml"/><Relationship Id="rId15" Type="http://schemas.openxmlformats.org/officeDocument/2006/relationships/hyperlink" Target="mailto:ahenes@rt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allen@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A3C9123BDE44C8AD50F808F186529" ma:contentTypeVersion="11" ma:contentTypeDescription="Create a new document." ma:contentTypeScope="" ma:versionID="6984200185e52458fa53109b522f289d">
  <xsd:schema xmlns:xsd="http://www.w3.org/2001/XMLSchema" xmlns:xs="http://www.w3.org/2001/XMLSchema" xmlns:p="http://schemas.microsoft.com/office/2006/metadata/properties" xmlns:ns3="dcda1828-1d71-4e9b-9798-841a3c408bcb" xmlns:ns4="4f5febe0-14ac-4f16-963b-fc17ffa2fe2a" targetNamespace="http://schemas.microsoft.com/office/2006/metadata/properties" ma:root="true" ma:fieldsID="768bd053b8d48d64593620868cba1ff5" ns3:_="" ns4:_="">
    <xsd:import namespace="dcda1828-1d71-4e9b-9798-841a3c408bcb"/>
    <xsd:import namespace="4f5febe0-14ac-4f16-963b-fc17ffa2fe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1828-1d71-4e9b-9798-841a3c408b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5febe0-14ac-4f16-963b-fc17ffa2fe2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9C937-4A37-4AA3-9C94-17FAB62AF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1828-1d71-4e9b-9798-841a3c408bcb"/>
    <ds:schemaRef ds:uri="4f5febe0-14ac-4f16-963b-fc17ffa2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08F20-63E9-4FA9-8C95-EA8221260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730401-BF29-4EB7-87FE-387C65B49EC4}">
  <ds:schemaRefs>
    <ds:schemaRef ds:uri="http://schemas.microsoft.com/sharepoint/v3/contenttype/forms"/>
  </ds:schemaRefs>
</ds:datastoreItem>
</file>

<file path=customXml/itemProps4.xml><?xml version="1.0" encoding="utf-8"?>
<ds:datastoreItem xmlns:ds="http://schemas.openxmlformats.org/officeDocument/2006/customXml" ds:itemID="{10236208-BBC7-40FA-9F69-B80C3D9D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2542</Words>
  <Characters>14496</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LeTonya</dc:creator>
  <cp:keywords/>
  <dc:description/>
  <cp:lastModifiedBy>Capezzuto, JonnaLynn</cp:lastModifiedBy>
  <cp:revision>2</cp:revision>
  <dcterms:created xsi:type="dcterms:W3CDTF">2022-08-03T13:00:00Z</dcterms:created>
  <dcterms:modified xsi:type="dcterms:W3CDTF">2022-08-03T13:00:00Z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0x010100037A3C9123BDE44C8AD50F808F186529</vt:lpwstr>
  </property>
</Properties>
</file>