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68E8" w:rsidR="000F0744" w:rsidP="265E300C" w:rsidRDefault="000F0744" w14:paraId="3FDF7219" w14:textId="327085CA">
      <w:pPr>
        <w:pStyle w:val="Header"/>
        <w:contextualSpacing/>
        <w:jc w:val="right"/>
        <w:rPr>
          <w:rFonts w:ascii="Times New Roman" w:hAnsi="Times New Roman"/>
          <w:b/>
          <w:bCs/>
          <w:sz w:val="22"/>
        </w:rPr>
      </w:pPr>
      <w:bookmarkStart w:name="_Hlk4767951" w:id="0"/>
      <w:bookmarkStart w:name="_Hlk46925286" w:id="1"/>
      <w:r w:rsidRPr="006968E8">
        <w:rPr>
          <w:rFonts w:ascii="Times New Roman" w:hAnsi="Times New Roman"/>
          <w:b/>
          <w:bCs/>
          <w:sz w:val="22"/>
        </w:rPr>
        <w:t xml:space="preserve">OMB No. </w:t>
      </w:r>
      <w:r w:rsidRPr="006968E8" w:rsidR="00127749">
        <w:rPr>
          <w:rFonts w:ascii="Times New Roman" w:hAnsi="Times New Roman"/>
          <w:b/>
          <w:bCs/>
          <w:sz w:val="22"/>
        </w:rPr>
        <w:t>0910-0810</w:t>
      </w:r>
    </w:p>
    <w:p w:rsidR="000F0744" w:rsidP="265E300C" w:rsidRDefault="000F0744" w14:paraId="6BA2F967" w14:textId="4C091151">
      <w:pPr>
        <w:pStyle w:val="Header"/>
        <w:contextualSpacing/>
        <w:jc w:val="right"/>
        <w:rPr>
          <w:rFonts w:ascii="Times New Roman" w:hAnsi="Times New Roman"/>
          <w:b/>
          <w:bCs/>
          <w:sz w:val="22"/>
        </w:rPr>
      </w:pPr>
      <w:r w:rsidRPr="006968E8">
        <w:rPr>
          <w:rFonts w:ascii="Times New Roman" w:hAnsi="Times New Roman"/>
          <w:b/>
          <w:bCs/>
          <w:sz w:val="22"/>
        </w:rPr>
        <w:t xml:space="preserve">Exp. Date: </w:t>
      </w:r>
      <w:r w:rsidRPr="006968E8" w:rsidR="00EE15CA">
        <w:rPr>
          <w:rFonts w:ascii="Times New Roman" w:hAnsi="Times New Roman"/>
          <w:b/>
          <w:bCs/>
          <w:sz w:val="22"/>
        </w:rPr>
        <w:t>12/31/2024</w:t>
      </w:r>
    </w:p>
    <w:bookmarkEnd w:id="1"/>
    <w:bookmarkEnd w:id="0"/>
    <w:p w:rsidRPr="006C4B7A" w:rsidR="000F139F" w:rsidP="000F139F" w:rsidRDefault="000F139F" w14:paraId="0589606C" w14:textId="51384F98">
      <w:pPr>
        <w:widowControl w:val="0"/>
        <w:autoSpaceDE w:val="0"/>
        <w:autoSpaceDN w:val="0"/>
        <w:adjustRightInd w:val="0"/>
        <w:ind w:left="360"/>
        <w:rPr>
          <w:rFonts w:ascii="Times New Roman" w:hAnsi="Times New Roman"/>
        </w:rPr>
      </w:pPr>
    </w:p>
    <w:p w:rsidRPr="0058084A" w:rsidR="00BE1FCB" w:rsidP="00D26895" w:rsidRDefault="006529E0" w14:paraId="768CC595" w14:textId="471CBDB3">
      <w:pPr>
        <w:jc w:val="center"/>
        <w:outlineLvl w:val="0"/>
        <w:rPr>
          <w:rFonts w:ascii="Times New Roman" w:hAnsi="Times New Roman" w:eastAsia="Times New Roman" w:cs="Times New Roman"/>
          <w:b/>
          <w:szCs w:val="24"/>
        </w:rPr>
      </w:pPr>
      <w:r>
        <w:rPr>
          <w:rFonts w:ascii="Times New Roman" w:hAnsi="Times New Roman"/>
          <w:b/>
          <w:bCs/>
        </w:rPr>
        <w:t>The Real Cost Campaign</w:t>
      </w:r>
      <w:r w:rsidR="00AC0452">
        <w:rPr>
          <w:rFonts w:ascii="Times New Roman" w:hAnsi="Times New Roman"/>
          <w:b/>
          <w:bCs/>
        </w:rPr>
        <w:t xml:space="preserve"> (W3)</w:t>
      </w:r>
      <w:r>
        <w:rPr>
          <w:rFonts w:ascii="Times New Roman" w:hAnsi="Times New Roman"/>
          <w:b/>
          <w:bCs/>
        </w:rPr>
        <w:t xml:space="preserve">: </w:t>
      </w:r>
      <w:r w:rsidRPr="006C4B7A" w:rsidR="000F139F">
        <w:rPr>
          <w:rFonts w:ascii="Times New Roman" w:hAnsi="Times New Roman"/>
          <w:b/>
        </w:rPr>
        <w:t xml:space="preserve">Online Quantitative Study of Reactions to Rough-Cut Advertising Designed to Prevent Youth Tobacco Use </w:t>
      </w:r>
    </w:p>
    <w:p w:rsidRPr="0058084A" w:rsidR="00750900" w:rsidP="005E16AA" w:rsidRDefault="00750900" w14:paraId="06A3F2FC" w14:textId="5AAD690A">
      <w:pPr>
        <w:jc w:val="center"/>
        <w:outlineLvl w:val="0"/>
        <w:rPr>
          <w:rFonts w:ascii="Times New Roman" w:hAnsi="Times New Roman" w:eastAsia="Times New Roman" w:cs="Times New Roman"/>
          <w:b/>
          <w:szCs w:val="24"/>
        </w:rPr>
      </w:pPr>
    </w:p>
    <w:p w:rsidRPr="0058084A" w:rsidR="00127749" w:rsidP="00127749" w:rsidRDefault="00127749" w14:paraId="5E89BB6E" w14:textId="77777777">
      <w:pPr>
        <w:jc w:val="center"/>
        <w:outlineLvl w:val="0"/>
        <w:rPr>
          <w:rFonts w:ascii="Times New Roman" w:hAnsi="Times New Roman" w:eastAsia="Times New Roman" w:cs="Times New Roman"/>
          <w:b/>
          <w:szCs w:val="24"/>
        </w:rPr>
      </w:pPr>
      <w:r w:rsidRPr="0058084A">
        <w:rPr>
          <w:rFonts w:ascii="Times New Roman" w:hAnsi="Times New Roman"/>
          <w:b/>
          <w:szCs w:val="24"/>
        </w:rPr>
        <w:t>0910-0810</w:t>
      </w:r>
    </w:p>
    <w:p w:rsidRPr="008265FC" w:rsidR="00750900" w:rsidP="005E16AA" w:rsidRDefault="00750900" w14:paraId="49A38703" w14:textId="7EF86131">
      <w:pPr>
        <w:jc w:val="center"/>
        <w:outlineLvl w:val="0"/>
        <w:rPr>
          <w:rFonts w:ascii="Times New Roman" w:hAnsi="Times New Roman" w:eastAsia="Times New Roman" w:cs="Times New Roman"/>
          <w:b/>
          <w:sz w:val="22"/>
          <w:szCs w:val="20"/>
        </w:rPr>
      </w:pPr>
    </w:p>
    <w:p w:rsidRPr="008265FC" w:rsidR="00BE1FCB" w:rsidP="00BE1FCB" w:rsidRDefault="00DB7924" w14:paraId="3039B841" w14:textId="43D40882">
      <w:pPr>
        <w:jc w:val="center"/>
        <w:rPr>
          <w:rFonts w:ascii="Times New Roman" w:hAnsi="Times New Roman" w:eastAsia="Times New Roman" w:cs="Times New Roman"/>
          <w:b/>
          <w:szCs w:val="24"/>
        </w:rPr>
      </w:pPr>
      <w:r>
        <w:rPr>
          <w:rFonts w:ascii="Times New Roman" w:hAnsi="Times New Roman" w:eastAsia="Times New Roman" w:cs="Times New Roman"/>
          <w:b/>
          <w:szCs w:val="24"/>
        </w:rPr>
        <w:t xml:space="preserve">Generic IC </w:t>
      </w:r>
      <w:r w:rsidRPr="008265FC" w:rsidR="00BE1FCB">
        <w:rPr>
          <w:rFonts w:ascii="Times New Roman" w:hAnsi="Times New Roman" w:eastAsia="Times New Roman" w:cs="Times New Roman"/>
          <w:b/>
          <w:szCs w:val="24"/>
        </w:rPr>
        <w:t>Supporting Statement</w:t>
      </w:r>
      <w:r w:rsidR="00BE1FCB">
        <w:rPr>
          <w:rFonts w:ascii="Times New Roman" w:hAnsi="Times New Roman" w:eastAsia="Times New Roman" w:cs="Times New Roman"/>
          <w:b/>
          <w:szCs w:val="24"/>
        </w:rPr>
        <w:t>: Part A</w:t>
      </w:r>
    </w:p>
    <w:p w:rsidRPr="008265FC" w:rsidR="00BE1FCB" w:rsidP="00BE1FCB" w:rsidRDefault="00BE1FCB" w14:paraId="315E5C7F" w14:textId="77777777">
      <w:pPr>
        <w:jc w:val="center"/>
        <w:rPr>
          <w:rFonts w:ascii="Times New Roman" w:hAnsi="Times New Roman" w:eastAsia="Times New Roman" w:cs="Times New Roman"/>
          <w:b/>
          <w:szCs w:val="24"/>
        </w:rPr>
      </w:pPr>
    </w:p>
    <w:p w:rsidRPr="008265FC" w:rsidR="00BE1FCB" w:rsidP="00BE1FCB" w:rsidRDefault="00BE1FCB" w14:paraId="0C0F4789" w14:textId="77777777">
      <w:pPr>
        <w:numPr>
          <w:ilvl w:val="12"/>
          <w:numId w:val="0"/>
        </w:numPr>
        <w:autoSpaceDE w:val="0"/>
        <w:autoSpaceDN w:val="0"/>
        <w:adjustRightInd w:val="0"/>
        <w:ind w:left="180"/>
        <w:outlineLvl w:val="1"/>
        <w:rPr>
          <w:rFonts w:ascii="Times New Roman" w:hAnsi="Times New Roman" w:eastAsia="Times New Roman" w:cs="Times New Roman"/>
          <w:b/>
          <w:bCs/>
          <w:szCs w:val="24"/>
        </w:rPr>
      </w:pPr>
      <w:bookmarkStart w:name="_Toc239649220" w:id="2"/>
      <w:r>
        <w:rPr>
          <w:rFonts w:ascii="Times New Roman" w:hAnsi="Times New Roman" w:eastAsia="Times New Roman" w:cs="Times New Roman"/>
          <w:b/>
          <w:bCs/>
          <w:szCs w:val="24"/>
        </w:rPr>
        <w:t xml:space="preserve">A. </w:t>
      </w:r>
      <w:r w:rsidRPr="008265FC">
        <w:rPr>
          <w:rFonts w:ascii="Times New Roman" w:hAnsi="Times New Roman" w:eastAsia="Times New Roman" w:cs="Times New Roman"/>
          <w:b/>
          <w:bCs/>
          <w:szCs w:val="24"/>
        </w:rPr>
        <w:t>JUSTIFICATION</w:t>
      </w:r>
      <w:bookmarkEnd w:id="2"/>
    </w:p>
    <w:p w:rsidRPr="008265FC" w:rsidR="00BE1FCB" w:rsidP="00BE1FCB" w:rsidRDefault="00BE1FCB" w14:paraId="41380C9D" w14:textId="77777777">
      <w:pPr>
        <w:numPr>
          <w:ilvl w:val="12"/>
          <w:numId w:val="0"/>
        </w:numPr>
        <w:autoSpaceDE w:val="0"/>
        <w:autoSpaceDN w:val="0"/>
        <w:adjustRightInd w:val="0"/>
        <w:ind w:left="180"/>
        <w:rPr>
          <w:rFonts w:ascii="Times New Roman" w:hAnsi="Times New Roman" w:eastAsia="Times New Roman" w:cs="Times New Roman"/>
          <w:b/>
          <w:bCs/>
          <w:szCs w:val="24"/>
        </w:rPr>
      </w:pPr>
    </w:p>
    <w:p w:rsidRPr="008265FC" w:rsidR="00BE1FCB" w:rsidP="00BE1FCB" w:rsidRDefault="00BE1FCB" w14:paraId="1E48C591"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bookmarkStart w:name="_Toc239649221" w:id="3"/>
      <w:r>
        <w:rPr>
          <w:rFonts w:ascii="Times New Roman" w:hAnsi="Times New Roman" w:eastAsia="Times New Roman" w:cs="Times New Roman"/>
          <w:b/>
          <w:bCs/>
          <w:szCs w:val="24"/>
        </w:rPr>
        <w:t>1.</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Circumstances Making the Collection of Information Necessary</w:t>
      </w:r>
      <w:bookmarkEnd w:id="3"/>
    </w:p>
    <w:p w:rsidR="00BE1FCB" w:rsidP="00BE1FCB" w:rsidRDefault="00BE1FCB" w14:paraId="68D0200B" w14:textId="5A31C8ED">
      <w:pPr>
        <w:numPr>
          <w:ilvl w:val="12"/>
          <w:numId w:val="0"/>
        </w:numPr>
        <w:autoSpaceDE w:val="0"/>
        <w:autoSpaceDN w:val="0"/>
        <w:adjustRightInd w:val="0"/>
        <w:ind w:left="180"/>
        <w:rPr>
          <w:rFonts w:ascii="Times New Roman" w:hAnsi="Times New Roman" w:eastAsia="Times New Roman" w:cs="Times New Roman"/>
          <w:szCs w:val="24"/>
        </w:rPr>
      </w:pPr>
    </w:p>
    <w:p w:rsidR="00483A2D" w:rsidP="00A31D7A" w:rsidRDefault="00F90702" w14:paraId="2A87A5E3" w14:textId="0874DA47">
      <w:pPr>
        <w:numPr>
          <w:ilvl w:val="12"/>
          <w:numId w:val="0"/>
        </w:numPr>
        <w:autoSpaceDE w:val="0"/>
        <w:autoSpaceDN w:val="0"/>
        <w:adjustRightInd w:val="0"/>
        <w:ind w:left="180"/>
        <w:rPr>
          <w:rFonts w:ascii="Times New Roman" w:hAnsi="Times New Roman" w:eastAsia="Times New Roman" w:cs="Times New Roman"/>
          <w:szCs w:val="24"/>
        </w:rPr>
      </w:pPr>
      <w:r w:rsidRPr="00F90702">
        <w:rPr>
          <w:rFonts w:ascii="Times New Roman" w:hAnsi="Times New Roman" w:eastAsia="Times New Roman" w:cs="Times New Roman"/>
          <w:szCs w:val="24"/>
        </w:rPr>
        <w:t xml:space="preserve">In support of </w:t>
      </w:r>
      <w:r w:rsidR="00091895">
        <w:rPr>
          <w:rFonts w:ascii="Times New Roman" w:hAnsi="Times New Roman" w:eastAsia="Times New Roman" w:cs="Times New Roman"/>
          <w:szCs w:val="24"/>
        </w:rPr>
        <w:t>the U.S. Food and Drug Administration’s (</w:t>
      </w:r>
      <w:r w:rsidRPr="00F90702">
        <w:rPr>
          <w:rFonts w:ascii="Times New Roman" w:hAnsi="Times New Roman" w:eastAsia="Times New Roman" w:cs="Times New Roman"/>
          <w:szCs w:val="24"/>
        </w:rPr>
        <w:t>FDA</w:t>
      </w:r>
      <w:r w:rsidR="00091895">
        <w:rPr>
          <w:rFonts w:ascii="Times New Roman" w:hAnsi="Times New Roman" w:eastAsia="Times New Roman" w:cs="Times New Roman"/>
          <w:szCs w:val="24"/>
        </w:rPr>
        <w:t>)</w:t>
      </w:r>
      <w:r w:rsidRPr="00F90702">
        <w:rPr>
          <w:rFonts w:ascii="Times New Roman" w:hAnsi="Times New Roman" w:eastAsia="Times New Roman" w:cs="Times New Roman"/>
          <w:szCs w:val="24"/>
        </w:rPr>
        <w:t xml:space="preserve"> efforts to refresh campaign messaging, the Center for Tobacco Products (CTP) will conduct a quantitative study to inform the development of appropriate messaging for FDA’s </w:t>
      </w:r>
      <w:r w:rsidRPr="001721E9" w:rsidR="001721E9">
        <w:rPr>
          <w:rFonts w:ascii="Times New Roman" w:hAnsi="Times New Roman" w:eastAsia="Times New Roman" w:cs="Times New Roman"/>
          <w:szCs w:val="24"/>
        </w:rPr>
        <w:t>The Real Cost campaign</w:t>
      </w:r>
      <w:r w:rsidR="001721E9">
        <w:rPr>
          <w:rFonts w:ascii="Times New Roman" w:hAnsi="Times New Roman" w:eastAsia="Times New Roman" w:cs="Times New Roman"/>
          <w:szCs w:val="24"/>
        </w:rPr>
        <w:t>.</w:t>
      </w:r>
      <w:r w:rsidR="003779E4">
        <w:rPr>
          <w:rFonts w:ascii="Times New Roman" w:hAnsi="Times New Roman" w:eastAsia="Times New Roman" w:cs="Times New Roman"/>
          <w:szCs w:val="24"/>
        </w:rPr>
        <w:t xml:space="preserve"> </w:t>
      </w:r>
    </w:p>
    <w:p w:rsidR="00483A2D" w:rsidP="00A31D7A" w:rsidRDefault="00483A2D" w14:paraId="4404AC48" w14:textId="77777777">
      <w:pPr>
        <w:numPr>
          <w:ilvl w:val="12"/>
          <w:numId w:val="0"/>
        </w:numPr>
        <w:autoSpaceDE w:val="0"/>
        <w:autoSpaceDN w:val="0"/>
        <w:adjustRightInd w:val="0"/>
        <w:ind w:left="180"/>
        <w:rPr>
          <w:rFonts w:ascii="Times New Roman" w:hAnsi="Times New Roman" w:eastAsia="Times New Roman" w:cs="Times New Roman"/>
          <w:szCs w:val="24"/>
        </w:rPr>
      </w:pPr>
    </w:p>
    <w:p w:rsidR="00D068AE" w:rsidP="00A31D7A" w:rsidRDefault="003779E4" w14:paraId="42F60437" w14:textId="2821B239">
      <w:pPr>
        <w:numPr>
          <w:ilvl w:val="12"/>
          <w:numId w:val="0"/>
        </w:numPr>
        <w:autoSpaceDE w:val="0"/>
        <w:autoSpaceDN w:val="0"/>
        <w:adjustRightInd w:val="0"/>
        <w:ind w:left="180"/>
        <w:rPr>
          <w:rFonts w:ascii="Times New Roman" w:hAnsi="Times New Roman" w:eastAsia="Times New Roman" w:cs="Times New Roman"/>
          <w:szCs w:val="24"/>
        </w:rPr>
      </w:pPr>
      <w:r w:rsidRPr="00D47A35">
        <w:rPr>
          <w:rFonts w:ascii="Times New Roman" w:hAnsi="Times New Roman"/>
        </w:rPr>
        <w:t>In 2019, about 6.2 million U.S. middle and high school students were current users of some type of tobacco product</w:t>
      </w:r>
      <w:r w:rsidR="00501404">
        <w:rPr>
          <w:rFonts w:ascii="Times New Roman" w:hAnsi="Times New Roman"/>
        </w:rPr>
        <w:t xml:space="preserve"> </w:t>
      </w:r>
      <w:r w:rsidRPr="00D47A35">
        <w:rPr>
          <w:rFonts w:ascii="Times New Roman" w:hAnsi="Times New Roman"/>
        </w:rPr>
        <w:t xml:space="preserve">(Wang, </w:t>
      </w:r>
      <w:proofErr w:type="spellStart"/>
      <w:r w:rsidRPr="00D47A35">
        <w:rPr>
          <w:rFonts w:ascii="Times New Roman" w:hAnsi="Times New Roman"/>
        </w:rPr>
        <w:t>Gentzke</w:t>
      </w:r>
      <w:proofErr w:type="spellEnd"/>
      <w:r w:rsidRPr="00D47A35">
        <w:rPr>
          <w:rFonts w:ascii="Times New Roman" w:hAnsi="Times New Roman"/>
        </w:rPr>
        <w:t xml:space="preserve"> &amp; Creamer, 2019). Specifically, 5.8% high school students used cigarettes and 27.5% used e-cigarettes and 13.3% of middle and high school students used both cigarettes and e-cigarettes (Wang, </w:t>
      </w:r>
      <w:proofErr w:type="spellStart"/>
      <w:r w:rsidRPr="00D47A35">
        <w:rPr>
          <w:rFonts w:ascii="Times New Roman" w:hAnsi="Times New Roman"/>
        </w:rPr>
        <w:t>Gentzke</w:t>
      </w:r>
      <w:proofErr w:type="spellEnd"/>
      <w:r w:rsidRPr="00D47A35">
        <w:rPr>
          <w:rFonts w:ascii="Times New Roman" w:hAnsi="Times New Roman"/>
        </w:rPr>
        <w:t xml:space="preserve"> &amp; Creamer, 2019). </w:t>
      </w:r>
      <w:r w:rsidR="00736009">
        <w:rPr>
          <w:rFonts w:ascii="Times New Roman" w:hAnsi="Times New Roman"/>
        </w:rPr>
        <w:t>Young people</w:t>
      </w:r>
      <w:r w:rsidRPr="00D47A35" w:rsidR="00736009">
        <w:rPr>
          <w:rFonts w:ascii="Times New Roman" w:hAnsi="Times New Roman"/>
        </w:rPr>
        <w:t xml:space="preserve"> </w:t>
      </w:r>
      <w:r w:rsidRPr="00D47A35">
        <w:rPr>
          <w:rFonts w:ascii="Times New Roman" w:hAnsi="Times New Roman"/>
        </w:rPr>
        <w:t>continue to represent a priority population when it comes to prevention messaging. Among young adults, 7.8% currently smoke cigarettes (Creamer, Wang &amp; Babb, 2019)</w:t>
      </w:r>
      <w:r w:rsidR="00736009">
        <w:rPr>
          <w:rFonts w:ascii="Times New Roman" w:hAnsi="Times New Roman"/>
        </w:rPr>
        <w:t>, and</w:t>
      </w:r>
      <w:r w:rsidRPr="00D47A35">
        <w:rPr>
          <w:rFonts w:ascii="Times New Roman" w:hAnsi="Times New Roman"/>
        </w:rPr>
        <w:t xml:space="preserve"> 99% of smokers start smoking by age 26 (U.S. Department of Health and Human Services, 201</w:t>
      </w:r>
      <w:r w:rsidR="00AF3A72">
        <w:rPr>
          <w:rFonts w:ascii="Times New Roman" w:hAnsi="Times New Roman"/>
        </w:rPr>
        <w:t>4</w:t>
      </w:r>
      <w:r w:rsidRPr="00D47A35">
        <w:rPr>
          <w:rFonts w:ascii="Times New Roman" w:hAnsi="Times New Roman"/>
        </w:rPr>
        <w:t xml:space="preserve">). </w:t>
      </w:r>
      <w:proofErr w:type="gramStart"/>
      <w:r w:rsidRPr="00D068AE" w:rsidR="00D068AE">
        <w:rPr>
          <w:rFonts w:ascii="Times New Roman" w:hAnsi="Times New Roman" w:eastAsia="Times New Roman" w:cs="Times New Roman"/>
          <w:szCs w:val="24"/>
        </w:rPr>
        <w:t>As a way to</w:t>
      </w:r>
      <w:proofErr w:type="gramEnd"/>
      <w:r w:rsidRPr="00D068AE" w:rsidR="00D068AE">
        <w:rPr>
          <w:rFonts w:ascii="Times New Roman" w:hAnsi="Times New Roman" w:eastAsia="Times New Roman" w:cs="Times New Roman"/>
          <w:szCs w:val="24"/>
        </w:rPr>
        <w:t xml:space="preserve"> reduce the enormous public health burden of tobacco, the Family Smoking Prevention and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 In fact, the Centers for Disease Control and Prevention (CDC) considers mass media campaigns to be a “best practice” for tobacco contro</w:t>
      </w:r>
      <w:r w:rsidR="005773E1">
        <w:rPr>
          <w:rFonts w:ascii="Times New Roman" w:hAnsi="Times New Roman" w:eastAsia="Times New Roman" w:cs="Times New Roman"/>
          <w:szCs w:val="24"/>
        </w:rPr>
        <w:t>l (</w:t>
      </w:r>
      <w:r w:rsidR="00FF4201">
        <w:rPr>
          <w:rFonts w:ascii="Times New Roman" w:hAnsi="Times New Roman" w:eastAsia="Times New Roman" w:cs="Times New Roman"/>
          <w:szCs w:val="24"/>
        </w:rPr>
        <w:t>CDC, 2014)</w:t>
      </w:r>
    </w:p>
    <w:p w:rsidR="00362DBC" w:rsidP="265E300C" w:rsidRDefault="00362DBC" w14:paraId="16EAB0AB" w14:textId="77777777">
      <w:pPr>
        <w:autoSpaceDE w:val="0"/>
        <w:autoSpaceDN w:val="0"/>
        <w:adjustRightInd w:val="0"/>
        <w:ind w:left="180"/>
        <w:rPr>
          <w:rFonts w:ascii="Times New Roman" w:hAnsi="Times New Roman" w:eastAsia="Times New Roman" w:cs="Times New Roman"/>
        </w:rPr>
      </w:pPr>
    </w:p>
    <w:p w:rsidR="00483A2D" w:rsidP="265E300C" w:rsidRDefault="00483A2D" w14:paraId="096B839C" w14:textId="77050701">
      <w:pPr>
        <w:autoSpaceDE w:val="0"/>
        <w:autoSpaceDN w:val="0"/>
        <w:adjustRightInd w:val="0"/>
        <w:ind w:left="180"/>
        <w:rPr>
          <w:rFonts w:ascii="Times New Roman" w:hAnsi="Times New Roman" w:eastAsia="Times New Roman" w:cs="Times New Roman"/>
        </w:rPr>
      </w:pPr>
      <w:r w:rsidRPr="265E300C">
        <w:rPr>
          <w:rFonts w:ascii="Times New Roman" w:hAnsi="Times New Roman" w:eastAsia="Times New Roman" w:cs="Times New Roman"/>
        </w:rPr>
        <w:t>To develop appropriate messaging to inform youth about the risks of using tobacco products it is important for the FDA to conduct research to gain insight into youth perceptions of (electronic nicotine delivery systems) ENDS and cigarettes and reactions to draft advertising concepts. Information obtained through this study will be used to develop and refine messaging related to preventing ENDS use among youth aged 13 to 17 who are at risk of initiating or who have experimented with ENDS products.</w:t>
      </w:r>
    </w:p>
    <w:p w:rsidR="00012742" w:rsidP="00BE1FCB" w:rsidRDefault="00012742" w14:paraId="6BF19001" w14:textId="2B6F7794">
      <w:pPr>
        <w:numPr>
          <w:ilvl w:val="12"/>
          <w:numId w:val="0"/>
        </w:numPr>
        <w:autoSpaceDE w:val="0"/>
        <w:autoSpaceDN w:val="0"/>
        <w:adjustRightInd w:val="0"/>
        <w:ind w:left="180"/>
        <w:rPr>
          <w:rFonts w:ascii="Times New Roman" w:hAnsi="Times New Roman" w:eastAsia="Times New Roman" w:cs="Times New Roman"/>
          <w:szCs w:val="24"/>
        </w:rPr>
      </w:pPr>
    </w:p>
    <w:p w:rsidR="00012742" w:rsidP="265E300C" w:rsidRDefault="00683EAC" w14:paraId="6E4B32B8" w14:textId="044CF428">
      <w:pPr>
        <w:autoSpaceDE w:val="0"/>
        <w:autoSpaceDN w:val="0"/>
        <w:adjustRightInd w:val="0"/>
        <w:ind w:left="180"/>
        <w:rPr>
          <w:rFonts w:ascii="Times New Roman" w:hAnsi="Times New Roman"/>
          <w:color w:val="FF0000"/>
        </w:rPr>
      </w:pPr>
      <w:r w:rsidRPr="3F3C16F7">
        <w:rPr>
          <w:rFonts w:ascii="Times New Roman" w:hAnsi="Times New Roman" w:eastAsia="Times New Roman" w:cs="Times New Roman"/>
        </w:rPr>
        <w:t xml:space="preserve">The study will be conducted using self-administered online surveys on personal computers or mobile devices. </w:t>
      </w:r>
      <w:r w:rsidRPr="3F3C16F7" w:rsidR="00012742">
        <w:rPr>
          <w:rFonts w:ascii="Times New Roman" w:hAnsi="Times New Roman" w:eastAsia="Times New Roman" w:cs="Times New Roman"/>
        </w:rPr>
        <w:t>All participants will</w:t>
      </w:r>
      <w:r w:rsidRPr="3F3C16F7" w:rsidR="0021652A">
        <w:rPr>
          <w:rFonts w:ascii="Times New Roman" w:hAnsi="Times New Roman" w:eastAsia="Times New Roman" w:cs="Times New Roman"/>
        </w:rPr>
        <w:t xml:space="preserve"> </w:t>
      </w:r>
      <w:r w:rsidRPr="3F3C16F7" w:rsidR="00012742">
        <w:rPr>
          <w:rFonts w:ascii="Times New Roman" w:hAnsi="Times New Roman" w:eastAsia="Times New Roman" w:cs="Times New Roman"/>
        </w:rPr>
        <w:t>complete an online screener to determine eligibility. Qualified participants will be invited to complete a full survey, where they will be randomly assigned to either the ad-viewing condition, where they will view one ad, or the control condition, where they will not view any ads.</w:t>
      </w:r>
      <w:r w:rsidRPr="3F3C16F7" w:rsidR="00563799">
        <w:rPr>
          <w:rFonts w:ascii="Times New Roman" w:hAnsi="Times New Roman" w:eastAsia="Times New Roman" w:cs="Times New Roman"/>
        </w:rPr>
        <w:t xml:space="preserve"> </w:t>
      </w:r>
      <w:r w:rsidRPr="3F3C16F7" w:rsidR="00BB6739">
        <w:rPr>
          <w:rFonts w:ascii="Times New Roman" w:hAnsi="Times New Roman" w:eastAsia="Times New Roman" w:cs="Times New Roman"/>
        </w:rPr>
        <w:t xml:space="preserve">Each participant in the ad-viewing group will take approximately 24 </w:t>
      </w:r>
      <w:r w:rsidRPr="3F3C16F7" w:rsidR="00505695">
        <w:rPr>
          <w:rFonts w:ascii="Times New Roman" w:hAnsi="Times New Roman" w:eastAsia="Times New Roman" w:cs="Times New Roman"/>
        </w:rPr>
        <w:t xml:space="preserve">minutes </w:t>
      </w:r>
      <w:r w:rsidRPr="3F3C16F7" w:rsidR="00BB6739">
        <w:rPr>
          <w:rFonts w:ascii="Times New Roman" w:hAnsi="Times New Roman" w:eastAsia="Times New Roman" w:cs="Times New Roman"/>
        </w:rPr>
        <w:t>to complete the study (2-minute screener, 2-minute assent, 20-</w:t>
      </w:r>
      <w:r w:rsidRPr="3F3C16F7" w:rsidR="00BB6739">
        <w:rPr>
          <w:rFonts w:ascii="Times New Roman" w:hAnsi="Times New Roman" w:eastAsia="Times New Roman" w:cs="Times New Roman"/>
        </w:rPr>
        <w:lastRenderedPageBreak/>
        <w:t>minute survey). Participants in the non-ad viewing group will take approximately 14 minutes to complete the study (2-minute screener, 2-minute assent, 10-minute survey)</w:t>
      </w:r>
      <w:r w:rsidRPr="3F3C16F7" w:rsidR="00BB6739">
        <w:rPr>
          <w:rFonts w:ascii="Times New Roman" w:hAnsi="Times New Roman"/>
          <w:color w:val="FF0000"/>
        </w:rPr>
        <w:t xml:space="preserve">. </w:t>
      </w:r>
    </w:p>
    <w:p w:rsidR="00301FDC" w:rsidP="00F54BCC" w:rsidRDefault="00301FDC" w14:paraId="29EB4619" w14:textId="7604B4F9">
      <w:pPr>
        <w:rPr>
          <w:rFonts w:ascii="Times New Roman" w:hAnsi="Times New Roman" w:eastAsia="Times New Roman" w:cs="Times New Roman"/>
          <w:b/>
          <w:bCs/>
          <w:szCs w:val="24"/>
        </w:rPr>
      </w:pPr>
      <w:bookmarkStart w:name="_Toc239649222" w:id="4"/>
    </w:p>
    <w:p w:rsidR="00BE1FCB" w:rsidP="00BE1FCB" w:rsidRDefault="00BE1FCB" w14:paraId="1655EED6" w14:textId="42A3AE94">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r>
        <w:rPr>
          <w:rFonts w:ascii="Times New Roman" w:hAnsi="Times New Roman" w:eastAsia="Times New Roman" w:cs="Times New Roman"/>
          <w:b/>
          <w:bCs/>
          <w:szCs w:val="24"/>
        </w:rPr>
        <w:t xml:space="preserve">2. </w:t>
      </w:r>
      <w:r w:rsidRPr="008265FC">
        <w:rPr>
          <w:rFonts w:ascii="Times New Roman" w:hAnsi="Times New Roman" w:eastAsia="Times New Roman" w:cs="Times New Roman"/>
          <w:b/>
          <w:bCs/>
          <w:szCs w:val="24"/>
          <w:u w:val="single"/>
        </w:rPr>
        <w:t>Purpose and Use of the Information</w:t>
      </w:r>
      <w:bookmarkEnd w:id="4"/>
    </w:p>
    <w:p w:rsidR="00563799" w:rsidP="00BE1FCB" w:rsidRDefault="00563799" w14:paraId="1C6D32D1" w14:textId="0BFEEB24">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p>
    <w:p w:rsidRPr="00F5749D" w:rsidR="00B21D4C" w:rsidRDefault="00B21D4C" w14:paraId="51ADD96D" w14:textId="002CAF60">
      <w:pPr>
        <w:widowControl w:val="0"/>
        <w:autoSpaceDE w:val="0"/>
        <w:autoSpaceDN w:val="0"/>
        <w:adjustRightInd w:val="0"/>
        <w:spacing w:after="240"/>
        <w:ind w:left="180"/>
        <w:rPr>
          <w:rFonts w:ascii="Times New Roman" w:hAnsi="Times New Roman" w:eastAsia="Times New Roman" w:cs="Arial"/>
        </w:rPr>
      </w:pPr>
      <w:r w:rsidRPr="2C3933FF">
        <w:rPr>
          <w:rFonts w:ascii="Times New Roman" w:hAnsi="Times New Roman" w:eastAsia="Times New Roman" w:cs="Arial"/>
        </w:rPr>
        <w:t xml:space="preserve">CTP has contracted with FCB and FCB’s subcontractors KDH Research and Communication and Marketing Workshop to conduct online surveys </w:t>
      </w:r>
      <w:r w:rsidRPr="2C3933FF" w:rsidR="00FB69CE">
        <w:rPr>
          <w:rFonts w:ascii="Times New Roman" w:hAnsi="Times New Roman" w:eastAsia="Times New Roman" w:cs="Arial"/>
        </w:rPr>
        <w:t xml:space="preserve">to assess ad performance </w:t>
      </w:r>
      <w:r w:rsidRPr="2C3933FF">
        <w:rPr>
          <w:rFonts w:ascii="Times New Roman" w:hAnsi="Times New Roman" w:eastAsia="Times New Roman" w:cs="Times New Roman"/>
        </w:rPr>
        <w:t>of draft advertising concepts</w:t>
      </w:r>
      <w:r w:rsidRPr="2C3933FF" w:rsidR="00CC74F6">
        <w:rPr>
          <w:rFonts w:ascii="Times New Roman" w:hAnsi="Times New Roman" w:eastAsia="Times New Roman" w:cs="Times New Roman"/>
        </w:rPr>
        <w:t>. Recruitment will be conducted mostly online, with some telephone recruitment if needed.</w:t>
      </w:r>
      <w:r w:rsidRPr="2C3933FF">
        <w:rPr>
          <w:rFonts w:ascii="Times New Roman" w:hAnsi="Times New Roman" w:eastAsia="Times New Roman" w:cs="Arial"/>
        </w:rPr>
        <w:t xml:space="preserve"> Data collection will consist of a national, online self-administered survey of 300 youth (ages 13-17)</w:t>
      </w:r>
      <w:r w:rsidRPr="2C3933FF" w:rsidR="0060049C">
        <w:rPr>
          <w:rFonts w:ascii="Times New Roman" w:hAnsi="Times New Roman" w:eastAsia="Times New Roman" w:cs="Arial"/>
        </w:rPr>
        <w:t xml:space="preserve">. </w:t>
      </w:r>
    </w:p>
    <w:p w:rsidR="00B60118" w:rsidP="00B60118" w:rsidRDefault="000F704D" w14:paraId="1C4D35AF" w14:textId="19D1D685">
      <w:pPr>
        <w:ind w:left="187"/>
        <w:rPr>
          <w:rFonts w:ascii="Times New Roman" w:hAnsi="Times New Roman" w:eastAsia="Times New Roman" w:cs="Times New Roman"/>
          <w:szCs w:val="24"/>
        </w:rPr>
      </w:pPr>
      <w:r w:rsidRPr="265E300C">
        <w:rPr>
          <w:rFonts w:ascii="Times New Roman" w:hAnsi="Times New Roman" w:eastAsia="Times New Roman" w:cs="Arial"/>
        </w:rPr>
        <w:t xml:space="preserve">The results of this survey will be used to inform specific recommendations around FDA’s public education programs’ impact and effectiveness in reducing tobacco-related death and disease. </w:t>
      </w:r>
      <w:r w:rsidRPr="265E300C" w:rsidR="265E300C">
        <w:rPr>
          <w:rFonts w:ascii="Times New Roman" w:hAnsi="Times New Roman" w:eastAsia="Times New Roman" w:cs="Times New Roman"/>
          <w:szCs w:val="24"/>
        </w:rPr>
        <w:t>Information gathered will not be used for the purpose of substantially informing influential policy decisions. The information gathered is also not intended to yield results that are statistically projectable, nationally representative, or precise estimates of population parameters.</w:t>
      </w:r>
    </w:p>
    <w:p w:rsidR="00B60118" w:rsidP="00B60118" w:rsidRDefault="00B60118" w14:paraId="6A29D0B6" w14:textId="77777777">
      <w:pPr>
        <w:ind w:left="187"/>
        <w:rPr>
          <w:rFonts w:ascii="Times New Roman" w:hAnsi="Times New Roman" w:eastAsia="Times New Roman" w:cs="Arial"/>
        </w:rPr>
      </w:pPr>
    </w:p>
    <w:p w:rsidR="00563799" w:rsidP="00B60118" w:rsidRDefault="00563799" w14:paraId="4030E6DD" w14:textId="6138BF9D">
      <w:pPr>
        <w:ind w:left="187"/>
        <w:rPr>
          <w:rFonts w:ascii="Times New Roman" w:hAnsi="Times New Roman"/>
        </w:rPr>
      </w:pPr>
      <w:r w:rsidRPr="006C4B7A">
        <w:rPr>
          <w:rFonts w:ascii="Times New Roman" w:hAnsi="Times New Roman"/>
        </w:rPr>
        <w:t>The research will explore the following questions:</w:t>
      </w:r>
    </w:p>
    <w:p w:rsidRPr="00B60118" w:rsidR="00B60118" w:rsidP="00B60118" w:rsidRDefault="00B60118" w14:paraId="591BE0A5" w14:textId="77777777">
      <w:pPr>
        <w:ind w:left="187"/>
        <w:rPr>
          <w:rFonts w:ascii="Times New Roman" w:hAnsi="Times New Roman" w:eastAsia="Times New Roman" w:cs="Arial"/>
        </w:rPr>
      </w:pPr>
    </w:p>
    <w:p w:rsidRPr="006C4B7A" w:rsidR="00563799" w:rsidP="00F5749D" w:rsidRDefault="00563799" w14:paraId="2F157425" w14:textId="08B976D2">
      <w:pPr>
        <w:pStyle w:val="ListParagraph"/>
        <w:widowControl w:val="0"/>
        <w:numPr>
          <w:ilvl w:val="0"/>
          <w:numId w:val="26"/>
        </w:numPr>
        <w:pBdr>
          <w:top w:val="nil"/>
          <w:left w:val="nil"/>
          <w:bottom w:val="nil"/>
          <w:right w:val="nil"/>
          <w:between w:val="nil"/>
          <w:bar w:val="nil"/>
        </w:pBdr>
        <w:autoSpaceDE w:val="0"/>
        <w:autoSpaceDN w:val="0"/>
        <w:adjustRightInd w:val="0"/>
        <w:spacing w:after="240"/>
        <w:ind w:left="900"/>
        <w:rPr>
          <w:rFonts w:ascii="Times New Roman" w:hAnsi="Times New Roman"/>
        </w:rPr>
      </w:pPr>
      <w:r w:rsidRPr="006C4B7A">
        <w:rPr>
          <w:rFonts w:ascii="Times New Roman" w:hAnsi="Times New Roman"/>
        </w:rPr>
        <w:t>To what extent does the advertisement provide an understandable and engaging message about the harms of ENDS</w:t>
      </w:r>
      <w:r>
        <w:rPr>
          <w:rFonts w:ascii="Times New Roman" w:hAnsi="Times New Roman"/>
        </w:rPr>
        <w:t xml:space="preserve"> use</w:t>
      </w:r>
      <w:r w:rsidRPr="006C4B7A">
        <w:rPr>
          <w:rFonts w:ascii="Times New Roman" w:hAnsi="Times New Roman"/>
        </w:rPr>
        <w:t>?</w:t>
      </w:r>
    </w:p>
    <w:p w:rsidRPr="006C4B7A" w:rsidR="00563799" w:rsidP="00F5749D" w:rsidRDefault="00563799" w14:paraId="65156A55" w14:textId="389BADC3">
      <w:pPr>
        <w:pStyle w:val="ListParagraph"/>
        <w:widowControl w:val="0"/>
        <w:numPr>
          <w:ilvl w:val="0"/>
          <w:numId w:val="26"/>
        </w:numPr>
        <w:pBdr>
          <w:top w:val="nil"/>
          <w:left w:val="nil"/>
          <w:bottom w:val="nil"/>
          <w:right w:val="nil"/>
          <w:between w:val="nil"/>
          <w:bar w:val="nil"/>
        </w:pBdr>
        <w:autoSpaceDE w:val="0"/>
        <w:autoSpaceDN w:val="0"/>
        <w:adjustRightInd w:val="0"/>
        <w:spacing w:after="240"/>
        <w:ind w:left="900"/>
        <w:rPr>
          <w:rFonts w:ascii="Times New Roman" w:hAnsi="Times New Roman"/>
        </w:rPr>
      </w:pPr>
      <w:r w:rsidRPr="006C4B7A">
        <w:rPr>
          <w:rFonts w:ascii="Times New Roman" w:hAnsi="Times New Roman"/>
        </w:rPr>
        <w:t>To what extent does the advertisement have any potential adverse or unintended consequences related to beliefs around the harms of ENDS use?</w:t>
      </w:r>
    </w:p>
    <w:p w:rsidRPr="008265FC" w:rsidR="00BE1FCB" w:rsidP="00BE1FCB" w:rsidRDefault="00BE1FCB" w14:paraId="3885F7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3" w:id="5"/>
      <w:r>
        <w:rPr>
          <w:rFonts w:ascii="Times New Roman" w:hAnsi="Times New Roman" w:eastAsia="Times New Roman" w:cs="Times New Roman"/>
          <w:b/>
          <w:bCs/>
          <w:szCs w:val="24"/>
        </w:rPr>
        <w:t xml:space="preserve">3. </w:t>
      </w:r>
      <w:r w:rsidRPr="008265FC">
        <w:rPr>
          <w:rFonts w:ascii="Times New Roman" w:hAnsi="Times New Roman" w:eastAsia="Times New Roman" w:cs="Times New Roman"/>
          <w:b/>
          <w:bCs/>
          <w:szCs w:val="24"/>
          <w:u w:val="single"/>
        </w:rPr>
        <w:t>Use of Information Technology and Burden Reduction</w:t>
      </w:r>
      <w:bookmarkEnd w:id="5"/>
    </w:p>
    <w:p w:rsidRPr="008265FC" w:rsidR="00BE1FCB" w:rsidP="00BE1FCB" w:rsidRDefault="00BE1FCB"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60118" w:rsidP="002C29FE" w:rsidRDefault="00BE1FCB" w14:paraId="69116644" w14:textId="7DF9C411">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r w:rsidRPr="008265FC">
        <w:rPr>
          <w:rFonts w:ascii="Times New Roman" w:hAnsi="Times New Roman" w:eastAsia="Times New Roman" w:cs="Times New Roman"/>
          <w:color w:val="000000"/>
          <w:szCs w:val="24"/>
        </w:rPr>
        <w:t xml:space="preserve">This study will rely on </w:t>
      </w:r>
      <w:r w:rsidR="0083232D">
        <w:rPr>
          <w:rFonts w:ascii="Times New Roman" w:hAnsi="Times New Roman" w:eastAsia="Times New Roman" w:cs="Times New Roman"/>
          <w:color w:val="000000"/>
          <w:szCs w:val="24"/>
        </w:rPr>
        <w:t xml:space="preserve">online </w:t>
      </w:r>
      <w:r w:rsidRPr="008265FC" w:rsidR="0083232D">
        <w:rPr>
          <w:rFonts w:ascii="Times New Roman" w:hAnsi="Times New Roman" w:eastAsia="Times New Roman" w:cs="Times New Roman"/>
          <w:color w:val="000000"/>
          <w:szCs w:val="24"/>
        </w:rPr>
        <w:t>survey</w:t>
      </w:r>
      <w:r w:rsidRPr="008265FC">
        <w:rPr>
          <w:rFonts w:ascii="Times New Roman" w:hAnsi="Times New Roman" w:eastAsia="Times New Roman" w:cs="Times New Roman"/>
          <w:color w:val="000000"/>
          <w:szCs w:val="24"/>
        </w:rPr>
        <w:t xml:space="preserve"> data collection </w:t>
      </w:r>
      <w:r w:rsidRPr="00CE514D" w:rsidR="00CE514D">
        <w:rPr>
          <w:rFonts w:ascii="Times New Roman" w:hAnsi="Times New Roman" w:eastAsia="Times New Roman" w:cs="Times New Roman"/>
          <w:color w:val="000000"/>
          <w:szCs w:val="24"/>
        </w:rPr>
        <w:t>to collect primary data</w:t>
      </w:r>
      <w:r w:rsidR="00CB0868">
        <w:rPr>
          <w:rFonts w:ascii="Times New Roman" w:hAnsi="Times New Roman" w:eastAsia="Times New Roman" w:cs="Times New Roman"/>
          <w:color w:val="000000"/>
          <w:szCs w:val="24"/>
        </w:rPr>
        <w:t xml:space="preserve">. Online data collection reduces burden on the participants and on the contractors. </w:t>
      </w:r>
      <w:r w:rsidR="00AF63EF">
        <w:rPr>
          <w:rFonts w:ascii="Times New Roman" w:hAnsi="Times New Roman" w:eastAsia="Times New Roman" w:cs="Times New Roman"/>
          <w:color w:val="000000"/>
          <w:szCs w:val="24"/>
        </w:rPr>
        <w:t>Participants are more likely to answer candidly using o</w:t>
      </w:r>
      <w:r w:rsidR="002672A9">
        <w:rPr>
          <w:rFonts w:ascii="Times New Roman" w:hAnsi="Times New Roman" w:eastAsia="Times New Roman" w:cs="Times New Roman"/>
          <w:color w:val="000000"/>
          <w:szCs w:val="24"/>
        </w:rPr>
        <w:t xml:space="preserve">nline surveys </w:t>
      </w:r>
      <w:r w:rsidR="00AF63EF">
        <w:rPr>
          <w:rFonts w:ascii="Times New Roman" w:hAnsi="Times New Roman" w:eastAsia="Times New Roman" w:cs="Times New Roman"/>
          <w:color w:val="000000"/>
          <w:szCs w:val="24"/>
        </w:rPr>
        <w:t xml:space="preserve">compared to other types of data collection methods, </w:t>
      </w:r>
      <w:r w:rsidRPr="008265FC" w:rsidR="002672A9">
        <w:rPr>
          <w:rFonts w:ascii="Times New Roman" w:hAnsi="Times New Roman" w:eastAsia="Times New Roman" w:cs="Times New Roman"/>
          <w:color w:val="000000"/>
          <w:szCs w:val="24"/>
        </w:rPr>
        <w:t>especially</w:t>
      </w:r>
      <w:r w:rsidR="002672A9">
        <w:rPr>
          <w:rFonts w:ascii="Times New Roman" w:hAnsi="Times New Roman" w:eastAsia="Times New Roman" w:cs="Times New Roman"/>
          <w:color w:val="000000"/>
          <w:szCs w:val="24"/>
        </w:rPr>
        <w:t xml:space="preserve"> when</w:t>
      </w:r>
      <w:r w:rsidRPr="008265FC" w:rsidR="002672A9">
        <w:rPr>
          <w:rFonts w:ascii="Times New Roman" w:hAnsi="Times New Roman" w:eastAsia="Times New Roman" w:cs="Times New Roman"/>
          <w:color w:val="000000"/>
          <w:szCs w:val="24"/>
        </w:rPr>
        <w:t xml:space="preserve"> it is clear the</w:t>
      </w:r>
      <w:r w:rsidR="00AF63EF">
        <w:rPr>
          <w:rFonts w:ascii="Times New Roman" w:hAnsi="Times New Roman" w:eastAsia="Times New Roman" w:cs="Times New Roman"/>
          <w:color w:val="000000"/>
          <w:szCs w:val="24"/>
        </w:rPr>
        <w:t>ir</w:t>
      </w:r>
      <w:r w:rsidRPr="008265FC" w:rsidR="002672A9">
        <w:rPr>
          <w:rFonts w:ascii="Times New Roman" w:hAnsi="Times New Roman" w:eastAsia="Times New Roman" w:cs="Times New Roman"/>
          <w:color w:val="000000"/>
          <w:szCs w:val="24"/>
        </w:rPr>
        <w:t xml:space="preserve"> ans</w:t>
      </w:r>
      <w:r w:rsidR="002672A9">
        <w:rPr>
          <w:rFonts w:ascii="Times New Roman" w:hAnsi="Times New Roman" w:eastAsia="Times New Roman" w:cs="Times New Roman"/>
          <w:color w:val="000000"/>
          <w:szCs w:val="24"/>
        </w:rPr>
        <w:t>wers will remain private.</w:t>
      </w:r>
      <w:r w:rsidR="00A209DE">
        <w:rPr>
          <w:rFonts w:ascii="Times New Roman" w:hAnsi="Times New Roman" w:eastAsia="Times New Roman" w:cs="Times New Roman"/>
          <w:color w:val="000000"/>
          <w:szCs w:val="24"/>
        </w:rPr>
        <w:t xml:space="preserve"> </w:t>
      </w:r>
      <w:r w:rsidRPr="008265FC">
        <w:rPr>
          <w:rFonts w:ascii="Times New Roman" w:hAnsi="Times New Roman" w:eastAsia="Times New Roman" w:cs="Times New Roman"/>
          <w:color w:val="000000"/>
          <w:szCs w:val="24"/>
        </w:rPr>
        <w:t>In addition, using a</w:t>
      </w:r>
      <w:r w:rsidR="001A30C1">
        <w:rPr>
          <w:rFonts w:ascii="Times New Roman" w:hAnsi="Times New Roman" w:eastAsia="Times New Roman" w:cs="Times New Roman"/>
          <w:color w:val="000000"/>
          <w:szCs w:val="24"/>
        </w:rPr>
        <w:t>n online</w:t>
      </w:r>
      <w:r w:rsidRPr="008265FC">
        <w:rPr>
          <w:rFonts w:ascii="Times New Roman" w:hAnsi="Times New Roman" w:eastAsia="Times New Roman" w:cs="Times New Roman"/>
          <w:color w:val="000000"/>
          <w:szCs w:val="24"/>
        </w:rPr>
        <w:t xml:space="preserve"> survey will allow for more participa</w:t>
      </w:r>
      <w:r>
        <w:rPr>
          <w:rFonts w:ascii="Times New Roman" w:hAnsi="Times New Roman" w:eastAsia="Times New Roman" w:cs="Times New Roman"/>
          <w:color w:val="000000"/>
          <w:szCs w:val="24"/>
        </w:rPr>
        <w:t>nt</w:t>
      </w:r>
      <w:r w:rsidRPr="008265FC">
        <w:rPr>
          <w:rFonts w:ascii="Times New Roman" w:hAnsi="Times New Roman" w:eastAsia="Times New Roman" w:cs="Times New Roman"/>
          <w:color w:val="000000"/>
          <w:szCs w:val="24"/>
        </w:rPr>
        <w:t>s to respond in a cos</w:t>
      </w:r>
      <w:r>
        <w:rPr>
          <w:rFonts w:ascii="Times New Roman" w:hAnsi="Times New Roman" w:eastAsia="Times New Roman" w:cs="Times New Roman"/>
          <w:color w:val="000000"/>
          <w:szCs w:val="24"/>
        </w:rPr>
        <w:t xml:space="preserve">t-effective and timely manner. </w:t>
      </w:r>
      <w:r w:rsidRPr="008265FC">
        <w:rPr>
          <w:rFonts w:ascii="Times New Roman" w:hAnsi="Times New Roman" w:eastAsia="Times New Roman" w:cs="Times New Roman"/>
          <w:color w:val="000000"/>
          <w:szCs w:val="24"/>
        </w:rPr>
        <w:t xml:space="preserve">The self-administered, </w:t>
      </w:r>
      <w:r w:rsidR="0084734C">
        <w:rPr>
          <w:rFonts w:ascii="Times New Roman" w:hAnsi="Times New Roman" w:eastAsia="Times New Roman" w:cs="Times New Roman"/>
          <w:color w:val="000000"/>
          <w:szCs w:val="24"/>
        </w:rPr>
        <w:t>online</w:t>
      </w:r>
      <w:r w:rsidRPr="008265FC">
        <w:rPr>
          <w:rFonts w:ascii="Times New Roman" w:hAnsi="Times New Roman" w:eastAsia="Times New Roman" w:cs="Times New Roman"/>
          <w:color w:val="000000"/>
          <w:szCs w:val="24"/>
        </w:rPr>
        <w:t xml:space="preserve"> survey </w:t>
      </w:r>
      <w:r w:rsidR="00567357">
        <w:rPr>
          <w:rFonts w:ascii="Times New Roman" w:hAnsi="Times New Roman" w:eastAsia="Times New Roman" w:cs="Times New Roman"/>
          <w:color w:val="000000"/>
          <w:szCs w:val="24"/>
        </w:rPr>
        <w:t>makes</w:t>
      </w:r>
      <w:r w:rsidRPr="008265FC">
        <w:rPr>
          <w:rFonts w:ascii="Times New Roman" w:hAnsi="Times New Roman" w:eastAsia="Times New Roman" w:cs="Times New Roman"/>
          <w:color w:val="000000"/>
          <w:szCs w:val="24"/>
        </w:rPr>
        <w:t xml:space="preserve"> data processing and analysis </w:t>
      </w:r>
      <w:r w:rsidR="00567357">
        <w:rPr>
          <w:rFonts w:ascii="Times New Roman" w:hAnsi="Times New Roman" w:eastAsia="Times New Roman" w:cs="Times New Roman"/>
          <w:color w:val="000000"/>
          <w:szCs w:val="24"/>
        </w:rPr>
        <w:t xml:space="preserve">quicker, including </w:t>
      </w:r>
      <w:r w:rsidRPr="008265FC">
        <w:rPr>
          <w:rFonts w:ascii="Times New Roman" w:hAnsi="Times New Roman" w:eastAsia="Times New Roman" w:cs="Times New Roman"/>
          <w:color w:val="000000"/>
          <w:szCs w:val="24"/>
        </w:rPr>
        <w:t>coding and data entry. Data are transmitted electronically, rather than by mail. These efficiencies save time due to the speed of data transmission, as well as receipt in a format suitable for analysis.</w:t>
      </w:r>
      <w:r>
        <w:rPr>
          <w:rFonts w:ascii="Times New Roman" w:hAnsi="Times New Roman" w:eastAsia="Times New Roman" w:cs="Times New Roman"/>
          <w:color w:val="000000"/>
          <w:szCs w:val="24"/>
        </w:rPr>
        <w:t xml:space="preserve"> An added benefit is increased data protection by limiting the amount of personally identifiable information (PII) collected from participants, reducing the risk of data security issues.</w:t>
      </w:r>
      <w:r w:rsidRPr="008265FC">
        <w:rPr>
          <w:rFonts w:ascii="Times New Roman" w:hAnsi="Times New Roman" w:eastAsia="Times New Roman" w:cs="Times New Roman"/>
          <w:color w:val="000000"/>
          <w:szCs w:val="24"/>
        </w:rPr>
        <w:t xml:space="preserve"> Finally, as noted above, this technology permits respondents to complete the </w:t>
      </w:r>
      <w:r>
        <w:rPr>
          <w:rFonts w:ascii="Times New Roman" w:hAnsi="Times New Roman" w:eastAsia="Times New Roman" w:cs="Times New Roman"/>
          <w:color w:val="000000"/>
          <w:szCs w:val="24"/>
        </w:rPr>
        <w:t>survey</w:t>
      </w:r>
      <w:r w:rsidRPr="008265FC">
        <w:rPr>
          <w:rFonts w:ascii="Times New Roman" w:hAnsi="Times New Roman" w:eastAsia="Times New Roman" w:cs="Times New Roman"/>
          <w:color w:val="000000"/>
          <w:szCs w:val="24"/>
        </w:rPr>
        <w:t xml:space="preserve"> in privacy.</w:t>
      </w:r>
      <w:r>
        <w:rPr>
          <w:rFonts w:ascii="Times New Roman" w:hAnsi="Times New Roman" w:eastAsia="Times New Roman" w:cs="Times New Roman"/>
          <w:color w:val="000000"/>
          <w:szCs w:val="24"/>
        </w:rPr>
        <w:t xml:space="preserve"> The use of a more private data collection method makes reporting </w:t>
      </w:r>
      <w:r w:rsidRPr="008265FC">
        <w:rPr>
          <w:rFonts w:ascii="Times New Roman" w:hAnsi="Times New Roman" w:eastAsia="Times New Roman" w:cs="Times New Roman"/>
          <w:color w:val="000000"/>
          <w:szCs w:val="24"/>
        </w:rPr>
        <w:t>potentially embarrassing or stigmatizing behaviors (e.g., tobacco use) less threatening and enhances response validity and response rates.</w:t>
      </w:r>
      <w:r w:rsidRPr="00265644" w:rsidR="00265644">
        <w:rPr>
          <w:rFonts w:ascii="Times New Roman" w:hAnsi="Times New Roman"/>
        </w:rPr>
        <w:t xml:space="preserve"> </w:t>
      </w:r>
      <w:r w:rsidRPr="00D47A35" w:rsidR="00265644">
        <w:rPr>
          <w:rFonts w:ascii="Times New Roman" w:hAnsi="Times New Roman"/>
        </w:rPr>
        <w:t>Only Marketing Workshop will ever have data with PII</w:t>
      </w:r>
      <w:r w:rsidR="00265644">
        <w:rPr>
          <w:rFonts w:ascii="Times New Roman" w:hAnsi="Times New Roman"/>
        </w:rPr>
        <w:t>. FDA</w:t>
      </w:r>
      <w:r w:rsidR="00AF63EF">
        <w:rPr>
          <w:rFonts w:ascii="Times New Roman" w:hAnsi="Times New Roman"/>
        </w:rPr>
        <w:t>, FCB, and KDH Research &amp; Communication</w:t>
      </w:r>
      <w:r w:rsidR="00265644">
        <w:rPr>
          <w:rFonts w:ascii="Times New Roman" w:hAnsi="Times New Roman"/>
        </w:rPr>
        <w:t xml:space="preserve"> will not have access to PII.</w:t>
      </w:r>
    </w:p>
    <w:p w:rsidRPr="008265FC" w:rsidR="00032F12" w:rsidP="00A209DE" w:rsidRDefault="00032F12" w14:paraId="43CF6D53" w14:textId="77777777">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p>
    <w:p w:rsidRPr="008265FC" w:rsidR="00BE1FCB" w:rsidP="00BE1FCB" w:rsidRDefault="00BE1FCB"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4" w:id="6"/>
      <w:r>
        <w:rPr>
          <w:rFonts w:ascii="Times New Roman" w:hAnsi="Times New Roman" w:eastAsia="Times New Roman" w:cs="Times New Roman"/>
          <w:b/>
          <w:bCs/>
          <w:szCs w:val="24"/>
        </w:rPr>
        <w:t xml:space="preserve">4. </w:t>
      </w:r>
      <w:r w:rsidRPr="008265FC">
        <w:rPr>
          <w:rFonts w:ascii="Times New Roman" w:hAnsi="Times New Roman" w:eastAsia="Times New Roman" w:cs="Times New Roman"/>
          <w:b/>
          <w:bCs/>
          <w:szCs w:val="24"/>
          <w:u w:val="single"/>
        </w:rPr>
        <w:t>Efforts to Identify Duplication and Use of Similar Information</w:t>
      </w:r>
      <w:bookmarkEnd w:id="6"/>
    </w:p>
    <w:p w:rsidR="00DB7924" w:rsidP="00821CDF" w:rsidRDefault="00DB7924" w14:paraId="47952C57"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361FC2" w:rsidR="00361FC2" w:rsidP="00821CDF" w:rsidRDefault="00802228" w14:paraId="186B0149" w14:textId="3699DBE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Pr>
          <w:rFonts w:ascii="Times New Roman" w:hAnsi="Times New Roman" w:eastAsia="Times New Roman" w:cs="Times New Roman"/>
          <w:bCs/>
          <w:szCs w:val="24"/>
        </w:rPr>
        <w:t>T</w:t>
      </w:r>
      <w:r w:rsidR="00567357">
        <w:rPr>
          <w:rFonts w:ascii="Times New Roman" w:hAnsi="Times New Roman" w:eastAsia="Times New Roman" w:cs="Times New Roman"/>
          <w:bCs/>
          <w:szCs w:val="24"/>
        </w:rPr>
        <w:t>he types of</w:t>
      </w:r>
      <w:r w:rsidRPr="00D727E6" w:rsidR="00F64C9F">
        <w:rPr>
          <w:rFonts w:ascii="Times New Roman" w:hAnsi="Times New Roman" w:eastAsia="Times New Roman" w:cs="Times New Roman"/>
          <w:bCs/>
          <w:szCs w:val="24"/>
        </w:rPr>
        <w:t xml:space="preserve"> </w:t>
      </w:r>
      <w:r w:rsidRPr="00D727E6" w:rsidR="006A69C3">
        <w:rPr>
          <w:rFonts w:ascii="Times New Roman" w:hAnsi="Times New Roman" w:eastAsia="Times New Roman" w:cs="Times New Roman"/>
          <w:bCs/>
          <w:szCs w:val="24"/>
        </w:rPr>
        <w:t>tobacco and vaping products on the market</w:t>
      </w:r>
      <w:r w:rsidR="00567357">
        <w:rPr>
          <w:rFonts w:ascii="Times New Roman" w:hAnsi="Times New Roman" w:eastAsia="Times New Roman" w:cs="Times New Roman"/>
          <w:bCs/>
          <w:szCs w:val="24"/>
        </w:rPr>
        <w:t xml:space="preserve"> change quickly</w:t>
      </w:r>
      <w:r w:rsidR="001A30C1">
        <w:rPr>
          <w:rFonts w:ascii="Times New Roman" w:hAnsi="Times New Roman" w:eastAsia="Times New Roman" w:cs="Times New Roman"/>
          <w:bCs/>
          <w:szCs w:val="24"/>
        </w:rPr>
        <w:t>,</w:t>
      </w:r>
      <w:r w:rsidR="00567357">
        <w:rPr>
          <w:rFonts w:ascii="Times New Roman" w:hAnsi="Times New Roman" w:eastAsia="Times New Roman" w:cs="Times New Roman"/>
          <w:bCs/>
          <w:szCs w:val="24"/>
        </w:rPr>
        <w:t xml:space="preserve"> and </w:t>
      </w:r>
      <w:r w:rsidRPr="00D727E6" w:rsidR="00BE1FCB">
        <w:rPr>
          <w:rFonts w:ascii="Times New Roman" w:hAnsi="Times New Roman" w:eastAsia="Times New Roman" w:cs="Times New Roman"/>
          <w:bCs/>
          <w:szCs w:val="24"/>
        </w:rPr>
        <w:t>it is important</w:t>
      </w:r>
      <w:r w:rsidR="00567357">
        <w:rPr>
          <w:rFonts w:ascii="Times New Roman" w:hAnsi="Times New Roman" w:eastAsia="Times New Roman" w:cs="Times New Roman"/>
          <w:bCs/>
          <w:szCs w:val="24"/>
        </w:rPr>
        <w:t xml:space="preserve"> for advertising to reflect the current state of vaping use to </w:t>
      </w:r>
      <w:r w:rsidR="00EB45BE">
        <w:rPr>
          <w:rFonts w:ascii="Times New Roman" w:hAnsi="Times New Roman" w:eastAsia="Times New Roman" w:cs="Times New Roman"/>
          <w:bCs/>
          <w:szCs w:val="24"/>
        </w:rPr>
        <w:t xml:space="preserve">be salient and have the best chance of </w:t>
      </w:r>
      <w:r w:rsidR="00EB45BE">
        <w:rPr>
          <w:rFonts w:ascii="Times New Roman" w:hAnsi="Times New Roman" w:eastAsia="Times New Roman" w:cs="Times New Roman"/>
          <w:bCs/>
          <w:szCs w:val="24"/>
        </w:rPr>
        <w:lastRenderedPageBreak/>
        <w:t xml:space="preserve">affecting change in tobacco </w:t>
      </w:r>
      <w:r w:rsidRPr="00D727E6" w:rsidR="00BE1FCB">
        <w:rPr>
          <w:rFonts w:ascii="Times New Roman" w:hAnsi="Times New Roman" w:eastAsia="Times New Roman" w:cs="Times New Roman"/>
          <w:bCs/>
          <w:szCs w:val="24"/>
        </w:rPr>
        <w:t xml:space="preserve">use. </w:t>
      </w:r>
      <w:r w:rsidRPr="00820C3A" w:rsidR="00820C3A">
        <w:rPr>
          <w:rFonts w:ascii="Times New Roman" w:hAnsi="Times New Roman" w:eastAsia="Times New Roman" w:cs="Times New Roman"/>
          <w:szCs w:val="24"/>
        </w:rPr>
        <w:t xml:space="preserve">In designing the proposed data collection activities, we </w:t>
      </w:r>
      <w:r w:rsidR="00800620">
        <w:rPr>
          <w:rFonts w:ascii="Times New Roman" w:hAnsi="Times New Roman" w:eastAsia="Times New Roman" w:cs="Times New Roman"/>
          <w:szCs w:val="24"/>
        </w:rPr>
        <w:t>took</w:t>
      </w:r>
      <w:r w:rsidRPr="00820C3A" w:rsidR="00820C3A">
        <w:rPr>
          <w:rFonts w:ascii="Times New Roman" w:hAnsi="Times New Roman" w:eastAsia="Times New Roman" w:cs="Times New Roman"/>
          <w:szCs w:val="24"/>
        </w:rPr>
        <w:t xml:space="preserve"> several steps to ensure that this effort does not duplicate ongoing efforts and that no existing data sets </w:t>
      </w:r>
      <w:r w:rsidR="008A41BB">
        <w:rPr>
          <w:rFonts w:ascii="Times New Roman" w:hAnsi="Times New Roman" w:eastAsia="Times New Roman" w:cs="Times New Roman"/>
          <w:szCs w:val="24"/>
        </w:rPr>
        <w:t xml:space="preserve">already </w:t>
      </w:r>
      <w:r w:rsidRPr="00820C3A" w:rsidR="00820C3A">
        <w:rPr>
          <w:rFonts w:ascii="Times New Roman" w:hAnsi="Times New Roman" w:eastAsia="Times New Roman" w:cs="Times New Roman"/>
          <w:szCs w:val="24"/>
        </w:rPr>
        <w:t>address the proposed study questions.</w:t>
      </w:r>
      <w:r w:rsidRPr="00987F60" w:rsidR="00987F60">
        <w:t xml:space="preserve"> </w:t>
      </w:r>
      <w:r w:rsidRPr="00987F60" w:rsidR="00987F60">
        <w:rPr>
          <w:rFonts w:ascii="Times New Roman" w:hAnsi="Times New Roman" w:eastAsia="Times New Roman" w:cs="Times New Roman"/>
          <w:szCs w:val="24"/>
        </w:rPr>
        <w:t xml:space="preserve">We carefully reviewed existing data sets to determine whether any of them are sufficiently similar or could be modified to address FDA’s need for </w:t>
      </w:r>
      <w:r w:rsidR="00F206C7">
        <w:rPr>
          <w:rFonts w:ascii="Times New Roman" w:hAnsi="Times New Roman" w:eastAsia="Times New Roman" w:cs="Times New Roman"/>
          <w:szCs w:val="24"/>
        </w:rPr>
        <w:t xml:space="preserve">this </w:t>
      </w:r>
      <w:r w:rsidRPr="00987F60" w:rsidR="00987F60">
        <w:rPr>
          <w:rFonts w:ascii="Times New Roman" w:hAnsi="Times New Roman" w:eastAsia="Times New Roman" w:cs="Times New Roman"/>
          <w:szCs w:val="24"/>
        </w:rPr>
        <w:t xml:space="preserve">information. </w:t>
      </w:r>
      <w:r w:rsidRPr="00CE5FFE" w:rsidR="00CE5FFE">
        <w:rPr>
          <w:rFonts w:ascii="Times New Roman" w:hAnsi="Times New Roman" w:eastAsia="Times New Roman" w:cs="Times New Roman"/>
          <w:szCs w:val="24"/>
        </w:rPr>
        <w:t xml:space="preserve">Data sources we examined for this purpose include ongoing national surveillance systems such as the National </w:t>
      </w:r>
      <w:r w:rsidRPr="00CE5FFE" w:rsidR="00074DCB">
        <w:rPr>
          <w:rFonts w:ascii="Times New Roman" w:hAnsi="Times New Roman" w:eastAsia="Times New Roman" w:cs="Times New Roman"/>
          <w:szCs w:val="24"/>
        </w:rPr>
        <w:t>Youth</w:t>
      </w:r>
      <w:r w:rsidR="00025BEE">
        <w:rPr>
          <w:rFonts w:ascii="Times New Roman" w:hAnsi="Times New Roman" w:eastAsia="Times New Roman" w:cs="Times New Roman"/>
          <w:szCs w:val="24"/>
        </w:rPr>
        <w:t xml:space="preserve"> </w:t>
      </w:r>
      <w:r w:rsidRPr="00CE5FFE" w:rsidR="00CE5FFE">
        <w:rPr>
          <w:rFonts w:ascii="Times New Roman" w:hAnsi="Times New Roman" w:eastAsia="Times New Roman" w:cs="Times New Roman"/>
          <w:szCs w:val="24"/>
        </w:rPr>
        <w:t>Tobacco Survey (NYTS), the Youth Risk Behavior Surveillance System (YRBSS)</w:t>
      </w:r>
      <w:r w:rsidR="008F272E">
        <w:rPr>
          <w:rFonts w:ascii="Times New Roman" w:hAnsi="Times New Roman" w:eastAsia="Times New Roman" w:cs="Times New Roman"/>
          <w:szCs w:val="24"/>
        </w:rPr>
        <w:t>,</w:t>
      </w:r>
      <w:r w:rsidR="00EB45BE">
        <w:rPr>
          <w:rFonts w:ascii="Times New Roman" w:hAnsi="Times New Roman" w:eastAsia="Times New Roman" w:cs="Times New Roman"/>
          <w:szCs w:val="24"/>
        </w:rPr>
        <w:t xml:space="preserve"> </w:t>
      </w:r>
      <w:r w:rsidRPr="00CE5FFE" w:rsidR="00CE5FFE">
        <w:rPr>
          <w:rFonts w:ascii="Times New Roman" w:hAnsi="Times New Roman" w:eastAsia="Times New Roman" w:cs="Times New Roman"/>
          <w:szCs w:val="24"/>
        </w:rPr>
        <w:t xml:space="preserve">the </w:t>
      </w:r>
      <w:r w:rsidRPr="008D752E" w:rsidR="008D752E">
        <w:rPr>
          <w:rFonts w:ascii="Times New Roman" w:hAnsi="Times New Roman" w:eastAsia="Times New Roman" w:cs="Times New Roman"/>
          <w:szCs w:val="24"/>
        </w:rPr>
        <w:t>National Health Interview Survey (NHIS)</w:t>
      </w:r>
      <w:r w:rsidR="008F272E">
        <w:rPr>
          <w:rFonts w:ascii="Times New Roman" w:hAnsi="Times New Roman" w:eastAsia="Times New Roman" w:cs="Times New Roman"/>
          <w:szCs w:val="24"/>
        </w:rPr>
        <w:t xml:space="preserve">, and the </w:t>
      </w:r>
      <w:r w:rsidRPr="00CE5FFE" w:rsidR="00CE5FFE">
        <w:rPr>
          <w:rFonts w:ascii="Times New Roman" w:hAnsi="Times New Roman" w:eastAsia="Times New Roman" w:cs="Times New Roman"/>
          <w:szCs w:val="24"/>
        </w:rPr>
        <w:t>Population Assessment of Tobacco and Health (PATH)</w:t>
      </w:r>
      <w:r w:rsidR="008F272E">
        <w:rPr>
          <w:rFonts w:ascii="Times New Roman" w:hAnsi="Times New Roman" w:eastAsia="Times New Roman" w:cs="Times New Roman"/>
          <w:szCs w:val="24"/>
        </w:rPr>
        <w:t>.</w:t>
      </w:r>
      <w:r w:rsidRPr="00CE5FFE" w:rsidR="00CE5FFE">
        <w:rPr>
          <w:rFonts w:ascii="Times New Roman" w:hAnsi="Times New Roman" w:eastAsia="Times New Roman" w:cs="Times New Roman"/>
          <w:szCs w:val="24"/>
        </w:rPr>
        <w:t xml:space="preserve"> </w:t>
      </w:r>
      <w:r w:rsidR="00EB45BE">
        <w:rPr>
          <w:rFonts w:ascii="Times New Roman" w:hAnsi="Times New Roman" w:eastAsia="Times New Roman" w:cs="Times New Roman"/>
          <w:szCs w:val="24"/>
        </w:rPr>
        <w:t xml:space="preserve">We also reviewed </w:t>
      </w:r>
      <w:r w:rsidRPr="00CE5FFE" w:rsidR="00CE5FFE">
        <w:rPr>
          <w:rFonts w:ascii="Times New Roman" w:hAnsi="Times New Roman" w:eastAsia="Times New Roman" w:cs="Times New Roman"/>
          <w:szCs w:val="24"/>
        </w:rPr>
        <w:t xml:space="preserve">data collected to evaluate other national tobacco-focused media campaigns such as CDC’s Tips </w:t>
      </w:r>
      <w:r w:rsidR="00B30823">
        <w:rPr>
          <w:rFonts w:ascii="Times New Roman" w:hAnsi="Times New Roman" w:eastAsia="Times New Roman" w:cs="Times New Roman"/>
          <w:szCs w:val="24"/>
        </w:rPr>
        <w:t>f</w:t>
      </w:r>
      <w:r w:rsidRPr="00CE5FFE" w:rsidR="00CE5FFE">
        <w:rPr>
          <w:rFonts w:ascii="Times New Roman" w:hAnsi="Times New Roman" w:eastAsia="Times New Roman" w:cs="Times New Roman"/>
          <w:szCs w:val="24"/>
        </w:rPr>
        <w:t xml:space="preserve">rom Former Smokers </w:t>
      </w:r>
      <w:r w:rsidR="00EB45BE">
        <w:rPr>
          <w:rFonts w:ascii="Times New Roman" w:hAnsi="Times New Roman" w:eastAsia="Times New Roman" w:cs="Times New Roman"/>
          <w:szCs w:val="24"/>
        </w:rPr>
        <w:t>and FDA’s The Real Cost</w:t>
      </w:r>
      <w:r w:rsidR="001A30C1">
        <w:rPr>
          <w:rFonts w:ascii="Times New Roman" w:hAnsi="Times New Roman" w:eastAsia="Times New Roman" w:cs="Times New Roman"/>
          <w:szCs w:val="24"/>
        </w:rPr>
        <w:t>, as well as other CTP surveillance mechanisms</w:t>
      </w:r>
      <w:r w:rsidRPr="00CE5FFE" w:rsidR="00CE5FFE">
        <w:rPr>
          <w:rFonts w:ascii="Times New Roman" w:hAnsi="Times New Roman" w:eastAsia="Times New Roman" w:cs="Times New Roman"/>
          <w:szCs w:val="24"/>
        </w:rPr>
        <w:t xml:space="preserve">. </w:t>
      </w:r>
      <w:r w:rsidRPr="00F5749D" w:rsidR="00CE5FFE">
        <w:rPr>
          <w:rFonts w:ascii="Times New Roman" w:hAnsi="Times New Roman" w:eastAsia="Times New Roman" w:cs="Times New Roman"/>
          <w:szCs w:val="24"/>
        </w:rPr>
        <w:t>We concluded that these data sources do not include the measures</w:t>
      </w:r>
      <w:r w:rsidRPr="00F5749D" w:rsidR="00567357">
        <w:rPr>
          <w:rFonts w:ascii="Times New Roman" w:hAnsi="Times New Roman" w:eastAsia="Times New Roman" w:cs="Times New Roman"/>
          <w:szCs w:val="24"/>
        </w:rPr>
        <w:t xml:space="preserve">, nor do they </w:t>
      </w:r>
      <w:r w:rsidRPr="00F5749D" w:rsidR="00F5749D">
        <w:rPr>
          <w:rFonts w:ascii="Times New Roman" w:hAnsi="Times New Roman" w:eastAsia="Times New Roman" w:cs="Times New Roman"/>
          <w:szCs w:val="24"/>
        </w:rPr>
        <w:t xml:space="preserve">test CTP’s draft advertising concepts. </w:t>
      </w:r>
    </w:p>
    <w:p w:rsidRPr="008265FC" w:rsidR="00CF5A7E" w:rsidP="00BE1FCB" w:rsidRDefault="00CF5A7E"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26F4174A" w14:textId="77777777">
      <w:pPr>
        <w:ind w:left="180"/>
        <w:rPr>
          <w:rFonts w:ascii="Times New Roman" w:hAnsi="Times New Roman" w:eastAsia="Times New Roman" w:cs="Times New Roman"/>
          <w:b/>
          <w:bCs/>
          <w:szCs w:val="24"/>
        </w:rPr>
      </w:pPr>
      <w:bookmarkStart w:name="_Toc239649225" w:id="7"/>
      <w:r w:rsidRPr="008265FC">
        <w:rPr>
          <w:rFonts w:ascii="Times New Roman" w:hAnsi="Times New Roman" w:eastAsia="Times New Roman" w:cs="Times New Roman"/>
          <w:b/>
          <w:bCs/>
          <w:szCs w:val="24"/>
        </w:rPr>
        <w:t>5.</w:t>
      </w:r>
      <w:r w:rsidRPr="008265FC">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Impact on Small Businesses or Other Small Entities</w:t>
      </w:r>
      <w:bookmarkEnd w:id="7"/>
    </w:p>
    <w:p w:rsidRPr="008265FC" w:rsidR="00BE1FCB" w:rsidP="00BE1FCB" w:rsidRDefault="00BE1FCB" w14:paraId="7D2E4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6" w:id="8"/>
    </w:p>
    <w:p w:rsidRPr="008265FC" w:rsidR="00BE1FCB" w:rsidP="00BE1FCB" w:rsidRDefault="00BE1FCB" w14:paraId="742D091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Respondents in this study will be members of the </w:t>
      </w:r>
      <w:proofErr w:type="gramStart"/>
      <w:r w:rsidRPr="008265FC">
        <w:rPr>
          <w:rFonts w:ascii="Times New Roman" w:hAnsi="Times New Roman" w:eastAsia="Times New Roman" w:cs="Times New Roman"/>
          <w:szCs w:val="24"/>
        </w:rPr>
        <w:t>general public</w:t>
      </w:r>
      <w:proofErr w:type="gramEnd"/>
      <w:r w:rsidRPr="008265FC">
        <w:rPr>
          <w:rFonts w:ascii="Times New Roman" w:hAnsi="Times New Roman" w:eastAsia="Times New Roman" w:cs="Times New Roman"/>
          <w:szCs w:val="24"/>
        </w:rPr>
        <w:t>, specific subpopulations or specific professions, not business entities. No impact on small businesses or other small entities is anticipated.</w:t>
      </w:r>
    </w:p>
    <w:p w:rsidR="00BE1FCB" w:rsidP="00BE1FCB" w:rsidRDefault="00BE1FCB" w14:paraId="7EC31178" w14:textId="1C26B3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p>
    <w:p w:rsidRPr="008265FC" w:rsidR="00BE1FCB" w:rsidP="00BE1FCB" w:rsidRDefault="00BE1FCB"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8265FC">
        <w:rPr>
          <w:rFonts w:ascii="Times New Roman" w:hAnsi="Times New Roman" w:eastAsia="Times New Roman" w:cs="Times New Roman"/>
          <w:b/>
          <w:bCs/>
          <w:szCs w:val="24"/>
        </w:rPr>
        <w:t>6.</w:t>
      </w:r>
      <w:r>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Consequence of Collecting the Information Less Frequently</w:t>
      </w:r>
      <w:bookmarkEnd w:id="8"/>
    </w:p>
    <w:p w:rsidRPr="008265FC" w:rsidR="00BE1FCB" w:rsidP="00BE1FCB" w:rsidRDefault="00BE1FCB"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003312D0" w:rsidP="003312D0" w:rsidRDefault="003312D0" w14:paraId="7B6EBE6E" w14:textId="77777777">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7" w:id="9"/>
      <w:r w:rsidRPr="008265FC">
        <w:rPr>
          <w:rFonts w:ascii="Times New Roman" w:hAnsi="Times New Roman" w:eastAsia="Times New Roman" w:cs="Times New Roman"/>
          <w:szCs w:val="24"/>
        </w:rPr>
        <w:t xml:space="preserve">Respondents to this </w:t>
      </w:r>
      <w:r>
        <w:rPr>
          <w:rFonts w:ascii="Times New Roman" w:hAnsi="Times New Roman" w:eastAsia="Times New Roman" w:cs="Times New Roman"/>
          <w:szCs w:val="24"/>
        </w:rPr>
        <w:t>data collection</w:t>
      </w:r>
      <w:r w:rsidRPr="008265FC">
        <w:rPr>
          <w:rFonts w:ascii="Times New Roman" w:hAnsi="Times New Roman" w:eastAsia="Times New Roman" w:cs="Times New Roman"/>
          <w:szCs w:val="24"/>
        </w:rPr>
        <w:t xml:space="preserve"> will answer only once to ensure the participant burden is as low as po</w:t>
      </w:r>
      <w:r>
        <w:rPr>
          <w:rFonts w:ascii="Times New Roman" w:hAnsi="Times New Roman" w:eastAsia="Times New Roman" w:cs="Times New Roman"/>
          <w:szCs w:val="24"/>
        </w:rPr>
        <w:t xml:space="preserve">ssible. Without the data </w:t>
      </w:r>
      <w:r w:rsidRPr="008265FC">
        <w:rPr>
          <w:rFonts w:ascii="Times New Roman" w:hAnsi="Times New Roman" w:eastAsia="Times New Roman" w:cs="Times New Roman"/>
          <w:szCs w:val="24"/>
        </w:rPr>
        <w:t>collectio</w:t>
      </w:r>
      <w:r>
        <w:rPr>
          <w:rFonts w:ascii="Times New Roman" w:hAnsi="Times New Roman" w:eastAsia="Times New Roman" w:cs="Times New Roman"/>
          <w:szCs w:val="24"/>
        </w:rPr>
        <w:t xml:space="preserve">n requested for this </w:t>
      </w:r>
      <w:r w:rsidRPr="008265FC">
        <w:rPr>
          <w:rFonts w:ascii="Times New Roman" w:hAnsi="Times New Roman" w:eastAsia="Times New Roman" w:cs="Times New Roman"/>
          <w:szCs w:val="24"/>
        </w:rPr>
        <w:t xml:space="preserve">study, it would be difficult to determine the most effective messages to use in upcoming tobacco prevention campaigns. Failure to collect these data could reduce effectiveness of the FDA’s messaging, and therefore reduce the benefit of the messages for youth in the United States. </w:t>
      </w:r>
    </w:p>
    <w:p w:rsidR="00B30823" w:rsidP="00F5749D" w:rsidRDefault="00B30823" w14:paraId="4740927F" w14:textId="77777777">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eastAsia="Times New Roman" w:cs="Times New Roman"/>
          <w:szCs w:val="24"/>
        </w:rPr>
      </w:pPr>
    </w:p>
    <w:p w:rsidRPr="008265FC" w:rsidR="00BE1FCB" w:rsidP="00BE1FCB" w:rsidRDefault="00BE1FCB" w14:paraId="5391F8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szCs w:val="24"/>
        </w:rPr>
      </w:pPr>
      <w:r w:rsidRPr="008265FC">
        <w:rPr>
          <w:rFonts w:ascii="Times New Roman" w:hAnsi="Times New Roman" w:eastAsia="Times New Roman" w:cs="Times New Roman"/>
          <w:b/>
          <w:bCs/>
          <w:szCs w:val="24"/>
        </w:rPr>
        <w:t>7.</w:t>
      </w:r>
      <w:r>
        <w:rPr>
          <w:rFonts w:ascii="Times New Roman" w:hAnsi="Times New Roman" w:eastAsia="Times New Roman" w:cs="Times New Roman"/>
          <w:b/>
          <w:szCs w:val="24"/>
        </w:rPr>
        <w:t xml:space="preserve"> </w:t>
      </w:r>
      <w:r w:rsidRPr="008265FC">
        <w:rPr>
          <w:rFonts w:ascii="Times New Roman" w:hAnsi="Times New Roman" w:eastAsia="Times New Roman" w:cs="Times New Roman"/>
          <w:b/>
          <w:bCs/>
          <w:szCs w:val="24"/>
          <w:u w:val="single"/>
        </w:rPr>
        <w:t>Special Circumstances Relating to the Guidelines of 5 CFR 1320.5</w:t>
      </w:r>
      <w:bookmarkEnd w:id="9"/>
    </w:p>
    <w:p w:rsidRPr="008265FC" w:rsidR="00BE1FCB" w:rsidP="00BE1FCB" w:rsidRDefault="00BE1FCB"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0CB177D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8265FC">
        <w:rPr>
          <w:rFonts w:ascii="Times New Roman" w:hAnsi="Times New Roman" w:eastAsia="Times New Roman" w:cs="Times New Roman"/>
          <w:szCs w:val="24"/>
        </w:rPr>
        <w:t>There are no special circumstances for this collection of information that require the data collection to be conducted in a manner inconsistent with 5 CRF 1320.5(d)(2). The message testing activities fully comply with the guidelines in 5 CFR 1320.5.</w:t>
      </w:r>
    </w:p>
    <w:p w:rsidRPr="008265FC" w:rsidR="00BE1FCB" w:rsidP="00BE1FCB" w:rsidRDefault="00BE1FCB" w14:paraId="0F4EEAB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hAnsi="Courier 10cpi" w:eastAsia="Times New Roman" w:cs="Times New Roman"/>
          <w:sz w:val="20"/>
          <w:szCs w:val="20"/>
        </w:rPr>
      </w:pPr>
    </w:p>
    <w:p w:rsidRPr="008265FC" w:rsidR="00BE1FCB" w:rsidP="00BE1FCB" w:rsidRDefault="00BE1FCB" w14:paraId="618F3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8" w:id="10"/>
      <w:r>
        <w:rPr>
          <w:rFonts w:ascii="Times New Roman" w:hAnsi="Times New Roman" w:eastAsia="Times New Roman" w:cs="Times New Roman"/>
          <w:b/>
          <w:bCs/>
          <w:szCs w:val="24"/>
        </w:rPr>
        <w:t xml:space="preserve">8. </w:t>
      </w:r>
      <w:r w:rsidRPr="008265FC">
        <w:rPr>
          <w:rFonts w:ascii="Times New Roman" w:hAnsi="Times New Roman" w:eastAsia="Times New Roman" w:cs="Times New Roman"/>
          <w:b/>
          <w:bCs/>
          <w:szCs w:val="24"/>
          <w:u w:val="single"/>
        </w:rPr>
        <w:t>Comments in Response to the Federal Register Notice and Efforts to Consult Outside</w:t>
      </w:r>
      <w:bookmarkEnd w:id="10"/>
      <w:r w:rsidRPr="008265FC">
        <w:rPr>
          <w:rFonts w:ascii="Times New Roman" w:hAnsi="Times New Roman" w:eastAsia="Times New Roman" w:cs="Times New Roman"/>
          <w:b/>
          <w:bCs/>
          <w:szCs w:val="24"/>
          <w:u w:val="single"/>
        </w:rPr>
        <w:t xml:space="preserve"> </w:t>
      </w:r>
    </w:p>
    <w:p w:rsidRPr="008265FC" w:rsidR="00BE1FCB" w:rsidP="00BE1FCB" w:rsidRDefault="00BE1FCB" w14:paraId="4EDC5A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hAnsi="Times New Roman" w:eastAsia="Times New Roman" w:cs="Times New Roman"/>
          <w:b/>
          <w:bCs/>
          <w:szCs w:val="24"/>
          <w:u w:val="single"/>
        </w:rPr>
      </w:pPr>
      <w:bookmarkStart w:name="_Toc239649229" w:id="11"/>
      <w:r>
        <w:rPr>
          <w:rFonts w:ascii="Times New Roman" w:hAnsi="Times New Roman" w:eastAsia="Times New Roman" w:cs="Times New Roman"/>
          <w:b/>
          <w:bCs/>
          <w:szCs w:val="24"/>
        </w:rPr>
        <w:tab/>
      </w:r>
      <w:r w:rsidRPr="008265FC">
        <w:rPr>
          <w:rFonts w:ascii="Times New Roman" w:hAnsi="Times New Roman" w:eastAsia="Times New Roman" w:cs="Times New Roman"/>
          <w:b/>
          <w:bCs/>
          <w:szCs w:val="24"/>
          <w:u w:val="single"/>
        </w:rPr>
        <w:t>Agency</w:t>
      </w:r>
      <w:bookmarkEnd w:id="11"/>
    </w:p>
    <w:p w:rsidR="00BE1FCB" w:rsidP="00BE1FCB" w:rsidRDefault="00BE1FCB"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F734AC" w:rsidR="00F734AC" w:rsidP="00F734AC" w:rsidRDefault="00F734AC" w14:paraId="5D0A7C07" w14:textId="752483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F734AC">
        <w:rPr>
          <w:rFonts w:ascii="Times New Roman" w:hAnsi="Times New Roman" w:eastAsia="Times New Roman" w:cs="Times New Roman"/>
          <w:bCs/>
          <w:szCs w:val="24"/>
        </w:rPr>
        <w:t xml:space="preserve">The following individuals inside the agency have been consulted on the design of the </w:t>
      </w:r>
      <w:r w:rsidR="002462E5">
        <w:rPr>
          <w:rFonts w:ascii="Times New Roman" w:hAnsi="Times New Roman" w:eastAsia="Times New Roman" w:cs="Times New Roman"/>
          <w:bCs/>
          <w:szCs w:val="24"/>
        </w:rPr>
        <w:t>study</w:t>
      </w:r>
      <w:r w:rsidRPr="00F734AC">
        <w:rPr>
          <w:rFonts w:ascii="Times New Roman" w:hAnsi="Times New Roman" w:eastAsia="Times New Roman" w:cs="Times New Roman"/>
          <w:bCs/>
          <w:szCs w:val="24"/>
        </w:rPr>
        <w:t xml:space="preserve">, </w:t>
      </w:r>
      <w:r w:rsidR="00333524">
        <w:rPr>
          <w:rFonts w:ascii="Times New Roman" w:hAnsi="Times New Roman" w:eastAsia="Times New Roman" w:cs="Times New Roman"/>
          <w:bCs/>
          <w:szCs w:val="24"/>
        </w:rPr>
        <w:t>instrument</w:t>
      </w:r>
      <w:r w:rsidRPr="00F734AC">
        <w:rPr>
          <w:rFonts w:ascii="Times New Roman" w:hAnsi="Times New Roman" w:eastAsia="Times New Roman" w:cs="Times New Roman"/>
          <w:bCs/>
          <w:szCs w:val="24"/>
        </w:rPr>
        <w:t xml:space="preserve"> development, or intra-agency coordination of information collection efforts:</w:t>
      </w:r>
    </w:p>
    <w:p w:rsidR="00362DBC" w:rsidP="00456F1C" w:rsidRDefault="00362DBC" w14:paraId="68C67075" w14:textId="77777777">
      <w:pPr>
        <w:ind w:left="180"/>
        <w:rPr>
          <w:rFonts w:ascii="Times New Roman" w:hAnsi="Times New Roman" w:cs="Times New Roman"/>
          <w:szCs w:val="24"/>
        </w:rPr>
      </w:pPr>
      <w:bookmarkStart w:name="_Hlk54626003" w:id="12"/>
    </w:p>
    <w:p w:rsidRPr="007F4407" w:rsidR="00464A80" w:rsidP="00456F1C" w:rsidRDefault="0049573D" w14:paraId="661A7157" w14:textId="126C88BD">
      <w:pPr>
        <w:ind w:left="180"/>
        <w:rPr>
          <w:rFonts w:ascii="Times New Roman" w:hAnsi="Times New Roman" w:cs="Times New Roman"/>
          <w:szCs w:val="24"/>
        </w:rPr>
      </w:pPr>
      <w:r>
        <w:rPr>
          <w:rFonts w:ascii="Times New Roman" w:hAnsi="Times New Roman" w:cs="Times New Roman"/>
          <w:szCs w:val="24"/>
        </w:rPr>
        <w:t>Emily Peterson</w:t>
      </w:r>
      <w:r w:rsidR="00AF3A72">
        <w:rPr>
          <w:rFonts w:ascii="Times New Roman" w:hAnsi="Times New Roman" w:cs="Times New Roman"/>
          <w:szCs w:val="24"/>
        </w:rPr>
        <w:t>, PhD</w:t>
      </w:r>
    </w:p>
    <w:p w:rsidRPr="007F4407" w:rsidR="00464A80" w:rsidP="00456F1C" w:rsidRDefault="00464A80" w14:paraId="1F7B0128" w14:textId="77777777">
      <w:pPr>
        <w:ind w:left="180"/>
        <w:rPr>
          <w:rFonts w:ascii="Times New Roman" w:hAnsi="Times New Roman" w:cs="Times New Roman"/>
          <w:szCs w:val="24"/>
        </w:rPr>
      </w:pPr>
      <w:r w:rsidRPr="007F4407">
        <w:rPr>
          <w:rFonts w:ascii="Times New Roman" w:hAnsi="Times New Roman" w:cs="Times New Roman"/>
          <w:szCs w:val="24"/>
        </w:rPr>
        <w:t>Office of Health Communication &amp; Education</w:t>
      </w:r>
    </w:p>
    <w:p w:rsidRPr="007F4407" w:rsidR="00464A80" w:rsidP="00456F1C" w:rsidRDefault="00464A80" w14:paraId="4CE81A3F" w14:textId="77777777">
      <w:pPr>
        <w:ind w:left="180"/>
        <w:rPr>
          <w:rFonts w:ascii="Times New Roman" w:hAnsi="Times New Roman" w:cs="Times New Roman"/>
          <w:szCs w:val="24"/>
        </w:rPr>
      </w:pPr>
      <w:r w:rsidRPr="007F4407">
        <w:rPr>
          <w:rFonts w:ascii="Times New Roman" w:hAnsi="Times New Roman" w:cs="Times New Roman"/>
          <w:szCs w:val="24"/>
        </w:rPr>
        <w:t>Center for Tobacco Products</w:t>
      </w:r>
    </w:p>
    <w:p w:rsidRPr="007F4407" w:rsidR="00464A80" w:rsidP="00456F1C" w:rsidRDefault="00464A80" w14:paraId="7F43BDFF" w14:textId="77777777">
      <w:pPr>
        <w:ind w:left="180"/>
        <w:rPr>
          <w:rFonts w:ascii="Times New Roman" w:hAnsi="Times New Roman" w:cs="Times New Roman"/>
          <w:szCs w:val="24"/>
        </w:rPr>
      </w:pPr>
      <w:r w:rsidRPr="007F4407">
        <w:rPr>
          <w:rFonts w:ascii="Times New Roman" w:hAnsi="Times New Roman" w:cs="Times New Roman"/>
          <w:szCs w:val="24"/>
        </w:rPr>
        <w:t>Food and Drug Administration</w:t>
      </w:r>
    </w:p>
    <w:p w:rsidRPr="007F4407" w:rsidR="00464A80" w:rsidP="00456F1C" w:rsidRDefault="00464A80" w14:paraId="64DCDB0B" w14:textId="77777777">
      <w:pPr>
        <w:ind w:left="180"/>
        <w:rPr>
          <w:rFonts w:ascii="Times New Roman" w:hAnsi="Times New Roman" w:cs="Times New Roman"/>
          <w:szCs w:val="24"/>
        </w:rPr>
      </w:pPr>
      <w:r w:rsidRPr="007F4407">
        <w:rPr>
          <w:rFonts w:ascii="Times New Roman" w:hAnsi="Times New Roman" w:cs="Times New Roman"/>
          <w:szCs w:val="24"/>
        </w:rPr>
        <w:t>9200 Corporate Boulevard</w:t>
      </w:r>
    </w:p>
    <w:p w:rsidRPr="005C7608" w:rsidR="00464A80" w:rsidP="00456F1C" w:rsidRDefault="00464A80" w14:paraId="07CC1522" w14:textId="77777777">
      <w:pPr>
        <w:ind w:left="180"/>
        <w:rPr>
          <w:rFonts w:ascii="Times New Roman" w:hAnsi="Times New Roman" w:cs="Times New Roman"/>
          <w:szCs w:val="24"/>
        </w:rPr>
      </w:pPr>
      <w:r w:rsidRPr="005C7608">
        <w:rPr>
          <w:rFonts w:ascii="Times New Roman" w:hAnsi="Times New Roman" w:cs="Times New Roman"/>
          <w:szCs w:val="24"/>
        </w:rPr>
        <w:t>Rockville, MD 20850</w:t>
      </w:r>
    </w:p>
    <w:p w:rsidR="005204E9" w:rsidP="00456F1C" w:rsidRDefault="00464A80" w14:paraId="0CE6C940" w14:textId="1BA39ED0">
      <w:pPr>
        <w:ind w:left="180"/>
        <w:rPr>
          <w:rFonts w:ascii="Times New Roman" w:hAnsi="Times New Roman" w:cs="Times New Roman"/>
          <w:szCs w:val="24"/>
        </w:rPr>
      </w:pPr>
      <w:r w:rsidRPr="005C7608">
        <w:rPr>
          <w:rFonts w:ascii="Times New Roman" w:hAnsi="Times New Roman" w:cs="Times New Roman"/>
          <w:szCs w:val="24"/>
        </w:rPr>
        <w:t>Phone:</w:t>
      </w:r>
      <w:r w:rsidRPr="005C7608" w:rsidR="00456F1C">
        <w:rPr>
          <w:rFonts w:ascii="Times New Roman" w:hAnsi="Times New Roman" w:cs="Times New Roman"/>
          <w:szCs w:val="24"/>
        </w:rPr>
        <w:t xml:space="preserve"> </w:t>
      </w:r>
      <w:r w:rsidRPr="005204E9" w:rsidR="005204E9">
        <w:rPr>
          <w:rFonts w:ascii="Times New Roman" w:hAnsi="Times New Roman" w:cs="Times New Roman"/>
          <w:szCs w:val="24"/>
        </w:rPr>
        <w:t>3</w:t>
      </w:r>
      <w:r w:rsidR="006C5666">
        <w:rPr>
          <w:rFonts w:ascii="Times New Roman" w:hAnsi="Times New Roman" w:cs="Times New Roman"/>
          <w:szCs w:val="24"/>
        </w:rPr>
        <w:t>01</w:t>
      </w:r>
      <w:r w:rsidRPr="005204E9" w:rsidR="005204E9">
        <w:rPr>
          <w:rFonts w:ascii="Times New Roman" w:hAnsi="Times New Roman" w:cs="Times New Roman"/>
          <w:szCs w:val="24"/>
        </w:rPr>
        <w:t>-633-4223</w:t>
      </w:r>
    </w:p>
    <w:p w:rsidRPr="00F5749D" w:rsidR="00464A80" w:rsidP="00456F1C" w:rsidRDefault="00464A80" w14:paraId="0AC4EFB7" w14:textId="6186D6AE">
      <w:pPr>
        <w:ind w:left="180"/>
        <w:rPr>
          <w:rStyle w:val="Hyperlink"/>
          <w:rFonts w:ascii="Times New Roman" w:hAnsi="Times New Roman" w:cs="Times New Roman"/>
          <w:color w:val="auto"/>
          <w:szCs w:val="24"/>
        </w:rPr>
      </w:pPr>
      <w:r w:rsidRPr="005C7608">
        <w:rPr>
          <w:rFonts w:ascii="Times New Roman" w:hAnsi="Times New Roman" w:cs="Times New Roman"/>
          <w:szCs w:val="24"/>
        </w:rPr>
        <w:t>E-mail:</w:t>
      </w:r>
      <w:r w:rsidRPr="005C7608" w:rsidR="00456F1C">
        <w:rPr>
          <w:rFonts w:ascii="Times New Roman" w:hAnsi="Times New Roman" w:cs="Times New Roman"/>
          <w:szCs w:val="24"/>
        </w:rPr>
        <w:t xml:space="preserve"> </w:t>
      </w:r>
      <w:r w:rsidRPr="00F5749D" w:rsidR="005C7608">
        <w:t>E</w:t>
      </w:r>
      <w:r w:rsidRPr="00F5749D" w:rsidR="005C7608">
        <w:rPr>
          <w:rFonts w:ascii="Times New Roman" w:hAnsi="Times New Roman" w:cs="Times New Roman"/>
          <w:szCs w:val="24"/>
        </w:rPr>
        <w:t>mily.</w:t>
      </w:r>
      <w:r w:rsidRPr="00F5749D" w:rsidR="005C7608">
        <w:t>P</w:t>
      </w:r>
      <w:r w:rsidRPr="00F5749D" w:rsidR="005C7608">
        <w:rPr>
          <w:rFonts w:ascii="Times New Roman" w:hAnsi="Times New Roman" w:cs="Times New Roman"/>
          <w:szCs w:val="24"/>
        </w:rPr>
        <w:t>eterson@fda.hhs.gov</w:t>
      </w:r>
      <w:r w:rsidRPr="00F5749D" w:rsidR="0049573D">
        <w:rPr>
          <w:rFonts w:ascii="Times New Roman" w:hAnsi="Times New Roman" w:cs="Times New Roman"/>
          <w:szCs w:val="24"/>
        </w:rPr>
        <w:t xml:space="preserve"> </w:t>
      </w:r>
    </w:p>
    <w:p w:rsidRPr="007F4407" w:rsidR="00456F1C" w:rsidP="00456F1C" w:rsidRDefault="00456F1C" w14:paraId="0D007A9B" w14:textId="666C3943">
      <w:pPr>
        <w:ind w:left="180"/>
        <w:rPr>
          <w:rFonts w:ascii="Times New Roman" w:hAnsi="Times New Roman" w:cs="Times New Roman"/>
          <w:szCs w:val="24"/>
        </w:rPr>
      </w:pPr>
    </w:p>
    <w:p w:rsidRPr="007F4407" w:rsidR="007F4407" w:rsidP="007F4407" w:rsidRDefault="005C7608" w14:paraId="0715A557" w14:textId="1932E6F8">
      <w:pPr>
        <w:ind w:left="180"/>
        <w:rPr>
          <w:rFonts w:ascii="Times New Roman" w:hAnsi="Times New Roman" w:cs="Times New Roman"/>
          <w:szCs w:val="24"/>
        </w:rPr>
      </w:pPr>
      <w:r>
        <w:rPr>
          <w:rFonts w:ascii="Times New Roman" w:hAnsi="Times New Roman" w:cs="Times New Roman"/>
          <w:szCs w:val="24"/>
        </w:rPr>
        <w:t xml:space="preserve">Andrea </w:t>
      </w:r>
      <w:proofErr w:type="spellStart"/>
      <w:r>
        <w:rPr>
          <w:rFonts w:ascii="Times New Roman" w:hAnsi="Times New Roman" w:cs="Times New Roman"/>
          <w:szCs w:val="24"/>
        </w:rPr>
        <w:t>Malterud</w:t>
      </w:r>
      <w:proofErr w:type="spellEnd"/>
      <w:r>
        <w:rPr>
          <w:rFonts w:ascii="Times New Roman" w:hAnsi="Times New Roman" w:cs="Times New Roman"/>
          <w:szCs w:val="24"/>
        </w:rPr>
        <w:t xml:space="preserve">, PhD </w:t>
      </w:r>
    </w:p>
    <w:p w:rsidRPr="007F4407" w:rsidR="007F4407" w:rsidP="007F4407" w:rsidRDefault="007F4407" w14:paraId="64749EB8" w14:textId="77777777">
      <w:pPr>
        <w:ind w:left="180"/>
        <w:rPr>
          <w:rFonts w:ascii="Times New Roman" w:hAnsi="Times New Roman" w:cs="Times New Roman"/>
          <w:szCs w:val="24"/>
        </w:rPr>
      </w:pPr>
      <w:r w:rsidRPr="007F4407">
        <w:rPr>
          <w:rFonts w:ascii="Times New Roman" w:hAnsi="Times New Roman" w:cs="Times New Roman"/>
          <w:szCs w:val="24"/>
        </w:rPr>
        <w:t>Office of Health Communication &amp; Education</w:t>
      </w:r>
    </w:p>
    <w:p w:rsidRPr="007F4407" w:rsidR="007F4407" w:rsidP="007F4407" w:rsidRDefault="007F4407" w14:paraId="68F9E7CF" w14:textId="77777777">
      <w:pPr>
        <w:ind w:left="180"/>
        <w:rPr>
          <w:rFonts w:ascii="Times New Roman" w:hAnsi="Times New Roman" w:cs="Times New Roman"/>
          <w:szCs w:val="24"/>
        </w:rPr>
      </w:pPr>
      <w:r w:rsidRPr="007F4407">
        <w:rPr>
          <w:rFonts w:ascii="Times New Roman" w:hAnsi="Times New Roman" w:cs="Times New Roman"/>
          <w:szCs w:val="24"/>
        </w:rPr>
        <w:t>Center for Tobacco Products</w:t>
      </w:r>
    </w:p>
    <w:p w:rsidRPr="007F4407" w:rsidR="007F4407" w:rsidP="007F4407" w:rsidRDefault="007F4407" w14:paraId="563EF0C6" w14:textId="77777777">
      <w:pPr>
        <w:ind w:left="180"/>
        <w:rPr>
          <w:rFonts w:ascii="Times New Roman" w:hAnsi="Times New Roman" w:cs="Times New Roman"/>
          <w:szCs w:val="24"/>
        </w:rPr>
      </w:pPr>
      <w:r w:rsidRPr="007F4407">
        <w:rPr>
          <w:rFonts w:ascii="Times New Roman" w:hAnsi="Times New Roman" w:cs="Times New Roman"/>
          <w:szCs w:val="24"/>
        </w:rPr>
        <w:t>Food and Drug Administration</w:t>
      </w:r>
    </w:p>
    <w:p w:rsidRPr="007F4407" w:rsidR="007F4407" w:rsidP="007F4407" w:rsidRDefault="007F4407" w14:paraId="47A7D071" w14:textId="77777777">
      <w:pPr>
        <w:ind w:left="180"/>
        <w:rPr>
          <w:rFonts w:ascii="Times New Roman" w:hAnsi="Times New Roman" w:cs="Times New Roman"/>
          <w:szCs w:val="24"/>
        </w:rPr>
      </w:pPr>
      <w:r w:rsidRPr="007F4407">
        <w:rPr>
          <w:rFonts w:ascii="Times New Roman" w:hAnsi="Times New Roman" w:cs="Times New Roman"/>
          <w:szCs w:val="24"/>
        </w:rPr>
        <w:t>10903 New Hampshire Avenue</w:t>
      </w:r>
    </w:p>
    <w:p w:rsidRPr="007F4407" w:rsidR="007F4407" w:rsidP="007F4407" w:rsidRDefault="007F4407" w14:paraId="0BF46A34" w14:textId="77777777">
      <w:pPr>
        <w:ind w:left="180"/>
        <w:rPr>
          <w:rFonts w:ascii="Times New Roman" w:hAnsi="Times New Roman" w:cs="Times New Roman"/>
          <w:szCs w:val="24"/>
        </w:rPr>
      </w:pPr>
      <w:r w:rsidRPr="007F4407">
        <w:rPr>
          <w:rFonts w:ascii="Times New Roman" w:hAnsi="Times New Roman" w:cs="Times New Roman"/>
          <w:szCs w:val="24"/>
        </w:rPr>
        <w:t>Silver Spring, MD 20993</w:t>
      </w:r>
    </w:p>
    <w:p w:rsidRPr="007F4407" w:rsidR="007F4407" w:rsidP="007F4407" w:rsidRDefault="007F4407" w14:paraId="3A9AF6A0" w14:textId="5B5F3FDD">
      <w:pPr>
        <w:ind w:left="180"/>
        <w:rPr>
          <w:rFonts w:ascii="Times New Roman" w:hAnsi="Times New Roman" w:cs="Times New Roman"/>
          <w:szCs w:val="24"/>
        </w:rPr>
      </w:pPr>
      <w:r w:rsidRPr="007F4407">
        <w:rPr>
          <w:rFonts w:ascii="Times New Roman" w:hAnsi="Times New Roman" w:cs="Times New Roman"/>
          <w:szCs w:val="24"/>
        </w:rPr>
        <w:t>Phone:</w:t>
      </w:r>
      <w:r w:rsidR="004412EF">
        <w:rPr>
          <w:rFonts w:ascii="Times New Roman" w:hAnsi="Times New Roman" w:cs="Times New Roman"/>
          <w:szCs w:val="24"/>
        </w:rPr>
        <w:t xml:space="preserve"> </w:t>
      </w:r>
      <w:r w:rsidRPr="00AF69D5" w:rsidR="00AF69D5">
        <w:rPr>
          <w:rFonts w:ascii="Times New Roman" w:hAnsi="Times New Roman" w:cs="Times New Roman"/>
          <w:szCs w:val="24"/>
        </w:rPr>
        <w:t>240-</w:t>
      </w:r>
      <w:r w:rsidR="005C7608">
        <w:rPr>
          <w:rFonts w:ascii="Times New Roman" w:hAnsi="Times New Roman" w:cs="Times New Roman"/>
          <w:szCs w:val="24"/>
        </w:rPr>
        <w:t>743</w:t>
      </w:r>
      <w:r w:rsidRPr="00AF69D5" w:rsidR="00AF69D5">
        <w:rPr>
          <w:rFonts w:ascii="Times New Roman" w:hAnsi="Times New Roman" w:cs="Times New Roman"/>
          <w:szCs w:val="24"/>
        </w:rPr>
        <w:t>-</w:t>
      </w:r>
      <w:r w:rsidR="005C7608">
        <w:rPr>
          <w:rFonts w:ascii="Times New Roman" w:hAnsi="Times New Roman" w:cs="Times New Roman"/>
          <w:szCs w:val="24"/>
        </w:rPr>
        <w:t>1750</w:t>
      </w:r>
    </w:p>
    <w:p w:rsidR="007F4407" w:rsidP="007F4407" w:rsidRDefault="007F4407" w14:paraId="65F438A1" w14:textId="7021E16A">
      <w:pPr>
        <w:ind w:left="180"/>
        <w:rPr>
          <w:rFonts w:ascii="Times New Roman" w:hAnsi="Times New Roman" w:cs="Times New Roman"/>
          <w:szCs w:val="24"/>
        </w:rPr>
      </w:pPr>
      <w:r w:rsidRPr="007F4407">
        <w:rPr>
          <w:rFonts w:ascii="Times New Roman" w:hAnsi="Times New Roman" w:cs="Times New Roman"/>
          <w:szCs w:val="24"/>
        </w:rPr>
        <w:t>E-mail:</w:t>
      </w:r>
      <w:r w:rsidR="004412EF">
        <w:rPr>
          <w:rFonts w:ascii="Times New Roman" w:hAnsi="Times New Roman" w:cs="Times New Roman"/>
          <w:szCs w:val="24"/>
        </w:rPr>
        <w:t xml:space="preserve"> </w:t>
      </w:r>
      <w:r w:rsidRPr="00F5749D" w:rsidR="005C7608">
        <w:rPr>
          <w:rFonts w:ascii="Times New Roman" w:hAnsi="Times New Roman" w:cs="Times New Roman"/>
          <w:color w:val="000000"/>
        </w:rPr>
        <w:t>Andrea.Malterud@fda.hhs.gov</w:t>
      </w:r>
    </w:p>
    <w:bookmarkEnd w:id="12"/>
    <w:p w:rsidRPr="007F4407" w:rsidR="008A41BB" w:rsidP="00FE7BF0" w:rsidRDefault="001007E4" w14:paraId="107B4DD0" w14:textId="474DFA12">
      <w:pPr>
        <w:tabs>
          <w:tab w:val="left" w:pos="1590"/>
        </w:tabs>
        <w:rPr>
          <w:rFonts w:ascii="Times New Roman" w:hAnsi="Times New Roman" w:cs="Times New Roman"/>
          <w:szCs w:val="24"/>
          <w:u w:val="single"/>
        </w:rPr>
      </w:pPr>
      <w:r>
        <w:rPr>
          <w:rFonts w:ascii="Times New Roman" w:hAnsi="Times New Roman" w:cs="Times New Roman"/>
          <w:szCs w:val="24"/>
        </w:rPr>
        <w:tab/>
      </w:r>
    </w:p>
    <w:p w:rsidR="004F27E6" w:rsidP="00040679" w:rsidRDefault="004F27E6" w14:paraId="6A1E4F80" w14:textId="31C1F9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8265FC">
        <w:rPr>
          <w:rFonts w:ascii="Times New Roman" w:hAnsi="Times New Roman" w:eastAsia="Times New Roman" w:cs="Times New Roman"/>
          <w:bCs/>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Administration (SAMHSA) and the </w:t>
      </w:r>
      <w:r>
        <w:rPr>
          <w:rFonts w:ascii="Times New Roman" w:hAnsi="Times New Roman" w:eastAsia="Times New Roman" w:cs="Times New Roman"/>
          <w:bCs/>
          <w:szCs w:val="24"/>
        </w:rPr>
        <w:t xml:space="preserve">National Institutes of Health </w:t>
      </w:r>
      <w:r w:rsidRPr="008265FC">
        <w:rPr>
          <w:rFonts w:ascii="Times New Roman" w:hAnsi="Times New Roman" w:eastAsia="Times New Roman" w:cs="Times New Roman"/>
          <w:bCs/>
          <w:szCs w:val="24"/>
        </w:rPr>
        <w:t>Nation</w:t>
      </w:r>
      <w:r>
        <w:rPr>
          <w:rFonts w:ascii="Times New Roman" w:hAnsi="Times New Roman" w:eastAsia="Times New Roman" w:cs="Times New Roman"/>
          <w:bCs/>
          <w:szCs w:val="24"/>
        </w:rPr>
        <w:t xml:space="preserve">al Cancer Institute (NIH/NCI). </w:t>
      </w:r>
      <w:r w:rsidRPr="008265FC">
        <w:rPr>
          <w:rFonts w:ascii="Times New Roman" w:hAnsi="Times New Roman" w:eastAsia="Times New Roman" w:cs="Times New Roman"/>
          <w:bCs/>
          <w:szCs w:val="24"/>
        </w:rPr>
        <w:t>These affiliations serve as information channels, help prevent redundancy, and promote use of consist</w:t>
      </w:r>
      <w:r>
        <w:rPr>
          <w:rFonts w:ascii="Times New Roman" w:hAnsi="Times New Roman" w:eastAsia="Times New Roman" w:cs="Times New Roman"/>
          <w:bCs/>
          <w:szCs w:val="24"/>
        </w:rPr>
        <w:t xml:space="preserve">ent measures of effectiveness. </w:t>
      </w:r>
      <w:r w:rsidRPr="008265FC">
        <w:rPr>
          <w:rFonts w:ascii="Times New Roman" w:hAnsi="Times New Roman" w:eastAsia="Times New Roman" w:cs="Times New Roman"/>
          <w:bCs/>
          <w:szCs w:val="24"/>
        </w:rPr>
        <w:t>Coordination activities include:</w:t>
      </w:r>
    </w:p>
    <w:p w:rsidRPr="008265FC" w:rsidR="00032F12" w:rsidP="00040679" w:rsidRDefault="00032F12" w14:paraId="7993DA9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004F27E6" w:rsidP="004F27E6" w:rsidRDefault="004F27E6" w14:paraId="27DCC7DB" w14:textId="77777777">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 xml:space="preserve">Review of proposed messages for </w:t>
      </w:r>
      <w:proofErr w:type="gramStart"/>
      <w:r w:rsidRPr="000F7E48">
        <w:rPr>
          <w:rFonts w:ascii="Times New Roman" w:hAnsi="Times New Roman" w:eastAsia="Times New Roman" w:cs="Times New Roman"/>
          <w:bCs/>
          <w:szCs w:val="24"/>
        </w:rPr>
        <w:t>advertisements;</w:t>
      </w:r>
      <w:proofErr w:type="gramEnd"/>
    </w:p>
    <w:p w:rsidR="004F27E6" w:rsidP="004F27E6" w:rsidRDefault="004F27E6" w14:paraId="5BEBD4AE" w14:textId="0755F50B">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 xml:space="preserve">Review of </w:t>
      </w:r>
      <w:r w:rsidR="009C131E">
        <w:rPr>
          <w:rFonts w:ascii="Times New Roman" w:hAnsi="Times New Roman" w:eastAsia="Times New Roman" w:cs="Times New Roman"/>
          <w:bCs/>
          <w:szCs w:val="24"/>
        </w:rPr>
        <w:t>surveys</w:t>
      </w:r>
      <w:r w:rsidRPr="000F7E48">
        <w:rPr>
          <w:rFonts w:ascii="Times New Roman" w:hAnsi="Times New Roman" w:eastAsia="Times New Roman" w:cs="Times New Roman"/>
          <w:bCs/>
          <w:szCs w:val="24"/>
        </w:rPr>
        <w:t xml:space="preserve"> for testing </w:t>
      </w:r>
      <w:proofErr w:type="gramStart"/>
      <w:r w:rsidRPr="000F7E48">
        <w:rPr>
          <w:rFonts w:ascii="Times New Roman" w:hAnsi="Times New Roman" w:eastAsia="Times New Roman" w:cs="Times New Roman"/>
          <w:bCs/>
          <w:szCs w:val="24"/>
        </w:rPr>
        <w:t>purposes;</w:t>
      </w:r>
      <w:proofErr w:type="gramEnd"/>
    </w:p>
    <w:p w:rsidR="004F27E6" w:rsidP="004F27E6" w:rsidRDefault="004F27E6" w14:paraId="014AF2ED" w14:textId="77777777">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Sharing data; and</w:t>
      </w:r>
    </w:p>
    <w:p w:rsidRPr="000F7E48" w:rsidR="004F27E6" w:rsidP="004F27E6" w:rsidRDefault="004F27E6" w14:paraId="33562E2A" w14:textId="77777777">
      <w:pPr>
        <w:pStyle w:val="ListParagraph"/>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 xml:space="preserve">Standardizing survey tools where at all possible. </w:t>
      </w:r>
    </w:p>
    <w:p w:rsidR="004F27E6" w:rsidP="004412EF" w:rsidRDefault="004F27E6" w14:paraId="5C094163" w14:textId="77777777">
      <w:pPr>
        <w:ind w:left="180"/>
        <w:rPr>
          <w:rFonts w:ascii="Times New Roman" w:hAnsi="Times New Roman" w:cs="Times New Roman"/>
          <w:szCs w:val="24"/>
        </w:rPr>
      </w:pPr>
    </w:p>
    <w:p w:rsidRPr="004412EF" w:rsidR="004412EF" w:rsidP="004412EF" w:rsidRDefault="004412EF" w14:paraId="6F2D089F" w14:textId="77482252">
      <w:pPr>
        <w:ind w:left="180"/>
        <w:rPr>
          <w:rFonts w:ascii="Times New Roman" w:hAnsi="Times New Roman" w:cs="Times New Roman"/>
          <w:szCs w:val="24"/>
        </w:rPr>
      </w:pPr>
      <w:r w:rsidRPr="004412EF">
        <w:rPr>
          <w:rFonts w:ascii="Times New Roman" w:hAnsi="Times New Roman" w:cs="Times New Roman"/>
          <w:szCs w:val="24"/>
        </w:rPr>
        <w:t xml:space="preserve">The following individuals outside of the agency have been consulted on </w:t>
      </w:r>
      <w:r w:rsidR="009C131E">
        <w:rPr>
          <w:rFonts w:ascii="Times New Roman" w:hAnsi="Times New Roman" w:cs="Times New Roman"/>
          <w:szCs w:val="24"/>
        </w:rPr>
        <w:t>survey</w:t>
      </w:r>
      <w:r w:rsidRPr="004412EF">
        <w:rPr>
          <w:rFonts w:ascii="Times New Roman" w:hAnsi="Times New Roman" w:cs="Times New Roman"/>
          <w:szCs w:val="24"/>
        </w:rPr>
        <w:t xml:space="preserve"> development. </w:t>
      </w:r>
    </w:p>
    <w:p w:rsidR="00EA0D40" w:rsidP="00EA0D40" w:rsidRDefault="00EA0D40" w14:paraId="6A756158" w14:textId="62CF6EE1">
      <w:pPr>
        <w:ind w:left="180"/>
      </w:pPr>
    </w:p>
    <w:p w:rsidRPr="00972E0D" w:rsidR="00D244C6" w:rsidP="007E1BA4" w:rsidRDefault="00D244C6" w14:paraId="3BE8736E" w14:textId="600504FC">
      <w:pPr>
        <w:ind w:left="180"/>
        <w:rPr>
          <w:rFonts w:ascii="Times New Roman" w:hAnsi="Times New Roman" w:cs="Times New Roman"/>
        </w:rPr>
      </w:pPr>
      <w:r w:rsidRPr="00972E0D">
        <w:rPr>
          <w:rFonts w:ascii="Times New Roman" w:hAnsi="Times New Roman" w:cs="Times New Roman"/>
        </w:rPr>
        <w:t>Kristen Holtz</w:t>
      </w:r>
      <w:r w:rsidRPr="00972E0D" w:rsidR="00303157">
        <w:rPr>
          <w:rFonts w:ascii="Times New Roman" w:hAnsi="Times New Roman" w:cs="Times New Roman"/>
        </w:rPr>
        <w:t>, Ph.D.</w:t>
      </w:r>
    </w:p>
    <w:p w:rsidRPr="00972E0D" w:rsidR="00D244C6" w:rsidP="007E1BA4" w:rsidRDefault="00D244C6" w14:paraId="4295FE72" w14:textId="77777777">
      <w:pPr>
        <w:ind w:left="180"/>
        <w:rPr>
          <w:rFonts w:ascii="Times New Roman" w:hAnsi="Times New Roman" w:cs="Times New Roman"/>
        </w:rPr>
      </w:pPr>
      <w:r w:rsidRPr="00972E0D">
        <w:rPr>
          <w:rFonts w:ascii="Times New Roman" w:hAnsi="Times New Roman" w:cs="Times New Roman"/>
        </w:rPr>
        <w:t xml:space="preserve">KDH Research &amp; Communication </w:t>
      </w:r>
    </w:p>
    <w:p w:rsidRPr="00972E0D" w:rsidR="00D244C6" w:rsidRDefault="00CB0868" w14:paraId="153E299F" w14:textId="1A41A795">
      <w:pPr>
        <w:ind w:left="180"/>
        <w:rPr>
          <w:rFonts w:ascii="Times New Roman" w:hAnsi="Times New Roman" w:cs="Times New Roman"/>
        </w:rPr>
      </w:pPr>
      <w:r>
        <w:rPr>
          <w:rFonts w:ascii="Times New Roman" w:hAnsi="Times New Roman" w:cs="Times New Roman"/>
        </w:rPr>
        <w:t>145 15</w:t>
      </w:r>
      <w:proofErr w:type="gramStart"/>
      <w:r w:rsidRPr="00AF63EF">
        <w:rPr>
          <w:rFonts w:ascii="Times New Roman" w:hAnsi="Times New Roman" w:cs="Times New Roman"/>
          <w:vertAlign w:val="superscript"/>
        </w:rPr>
        <w:t>th</w:t>
      </w:r>
      <w:r>
        <w:rPr>
          <w:rFonts w:ascii="Times New Roman" w:hAnsi="Times New Roman" w:cs="Times New Roman"/>
        </w:rPr>
        <w:t xml:space="preserve">  </w:t>
      </w:r>
      <w:r w:rsidRPr="00972E0D" w:rsidR="00D244C6">
        <w:rPr>
          <w:rFonts w:ascii="Times New Roman" w:hAnsi="Times New Roman" w:cs="Times New Roman"/>
        </w:rPr>
        <w:t>Street</w:t>
      </w:r>
      <w:proofErr w:type="gramEnd"/>
      <w:r w:rsidRPr="00972E0D" w:rsidR="00D244C6">
        <w:rPr>
          <w:rFonts w:ascii="Times New Roman" w:hAnsi="Times New Roman" w:cs="Times New Roman"/>
        </w:rPr>
        <w:t xml:space="preserve"> NE</w:t>
      </w:r>
      <w:r>
        <w:rPr>
          <w:rFonts w:ascii="Times New Roman" w:hAnsi="Times New Roman" w:cs="Times New Roman"/>
        </w:rPr>
        <w:t>, Suite 831</w:t>
      </w:r>
    </w:p>
    <w:p w:rsidR="00D244C6" w:rsidP="007E1BA4" w:rsidRDefault="00D244C6" w14:paraId="4E7195A1" w14:textId="63C6C170">
      <w:pPr>
        <w:ind w:left="180"/>
        <w:rPr>
          <w:rFonts w:ascii="Times New Roman" w:hAnsi="Times New Roman" w:cs="Times New Roman"/>
        </w:rPr>
      </w:pPr>
      <w:r w:rsidRPr="00972E0D">
        <w:rPr>
          <w:rFonts w:ascii="Times New Roman" w:hAnsi="Times New Roman" w:cs="Times New Roman"/>
        </w:rPr>
        <w:t>Atlanta, GA 303</w:t>
      </w:r>
      <w:r w:rsidR="00CB0868">
        <w:rPr>
          <w:rFonts w:ascii="Times New Roman" w:hAnsi="Times New Roman" w:cs="Times New Roman"/>
        </w:rPr>
        <w:t>09</w:t>
      </w:r>
    </w:p>
    <w:p w:rsidR="00552C84" w:rsidP="00552C84" w:rsidRDefault="00552C84" w14:paraId="04DF35ED" w14:textId="60AA7C4C">
      <w:pPr>
        <w:ind w:left="180"/>
        <w:rPr>
          <w:rFonts w:ascii="Times New Roman" w:hAnsi="Times New Roman" w:cs="Times New Roman"/>
        </w:rPr>
      </w:pPr>
      <w:r>
        <w:rPr>
          <w:rFonts w:ascii="Times New Roman" w:hAnsi="Times New Roman" w:cs="Times New Roman"/>
        </w:rPr>
        <w:t>(404) 395 8711</w:t>
      </w:r>
    </w:p>
    <w:p w:rsidR="00552C84" w:rsidRDefault="00552C84" w14:paraId="076F52AB" w14:textId="77777777">
      <w:pPr>
        <w:ind w:left="180"/>
        <w:rPr>
          <w:rFonts w:ascii="Times New Roman" w:hAnsi="Times New Roman" w:cs="Times New Roman"/>
        </w:rPr>
      </w:pPr>
    </w:p>
    <w:p w:rsidR="001007E4" w:rsidP="007E1BA4" w:rsidRDefault="001007E4" w14:paraId="1FD6FA48" w14:textId="6AEB6AFA">
      <w:pPr>
        <w:ind w:left="180"/>
        <w:rPr>
          <w:rFonts w:ascii="Times New Roman" w:hAnsi="Times New Roman" w:cs="Times New Roman"/>
        </w:rPr>
      </w:pPr>
      <w:bookmarkStart w:name="_Hlk54626051" w:id="13"/>
      <w:r>
        <w:rPr>
          <w:rFonts w:ascii="Times New Roman" w:hAnsi="Times New Roman" w:cs="Times New Roman"/>
        </w:rPr>
        <w:t xml:space="preserve">Dimas </w:t>
      </w:r>
      <w:proofErr w:type="spellStart"/>
      <w:r>
        <w:rPr>
          <w:rFonts w:ascii="Times New Roman" w:hAnsi="Times New Roman" w:cs="Times New Roman"/>
        </w:rPr>
        <w:t>Adiw</w:t>
      </w:r>
      <w:r w:rsidR="00552C84">
        <w:rPr>
          <w:rFonts w:ascii="Times New Roman" w:hAnsi="Times New Roman" w:cs="Times New Roman"/>
        </w:rPr>
        <w:t>i</w:t>
      </w:r>
      <w:r>
        <w:rPr>
          <w:rFonts w:ascii="Times New Roman" w:hAnsi="Times New Roman" w:cs="Times New Roman"/>
        </w:rPr>
        <w:t>yoto</w:t>
      </w:r>
      <w:proofErr w:type="spellEnd"/>
      <w:r>
        <w:rPr>
          <w:rFonts w:ascii="Times New Roman" w:hAnsi="Times New Roman" w:cs="Times New Roman"/>
        </w:rPr>
        <w:t xml:space="preserve"> </w:t>
      </w:r>
    </w:p>
    <w:p w:rsidR="001007E4" w:rsidP="007E1BA4" w:rsidRDefault="001007E4" w14:paraId="24E1E44B" w14:textId="67226D46">
      <w:pPr>
        <w:ind w:left="180"/>
        <w:rPr>
          <w:rFonts w:ascii="Times New Roman" w:hAnsi="Times New Roman" w:cs="Times New Roman"/>
        </w:rPr>
      </w:pPr>
      <w:r>
        <w:rPr>
          <w:rFonts w:ascii="Times New Roman" w:hAnsi="Times New Roman" w:cs="Times New Roman"/>
        </w:rPr>
        <w:t>Senior Vice President</w:t>
      </w:r>
    </w:p>
    <w:p w:rsidR="001007E4" w:rsidP="007E1BA4" w:rsidRDefault="001007E4" w14:paraId="2EC7107D" w14:textId="20B3FAB3">
      <w:pPr>
        <w:ind w:left="180"/>
        <w:rPr>
          <w:rFonts w:ascii="Times New Roman" w:hAnsi="Times New Roman" w:cs="Times New Roman"/>
        </w:rPr>
      </w:pPr>
      <w:r>
        <w:rPr>
          <w:rFonts w:ascii="Times New Roman" w:hAnsi="Times New Roman" w:cs="Times New Roman"/>
        </w:rPr>
        <w:t>FCB</w:t>
      </w:r>
    </w:p>
    <w:p w:rsidR="00552C84" w:rsidP="007E1BA4" w:rsidRDefault="00552C84" w14:paraId="1363DB3F" w14:textId="48A69D9C">
      <w:pPr>
        <w:ind w:left="180"/>
        <w:rPr>
          <w:rFonts w:ascii="Times New Roman" w:hAnsi="Times New Roman" w:cs="Times New Roman"/>
        </w:rPr>
      </w:pPr>
      <w:r w:rsidRPr="00552C84">
        <w:rPr>
          <w:rFonts w:ascii="Times New Roman" w:hAnsi="Times New Roman" w:cs="Times New Roman"/>
        </w:rPr>
        <w:t>111 W 33rd S</w:t>
      </w:r>
      <w:r>
        <w:rPr>
          <w:rFonts w:ascii="Times New Roman" w:hAnsi="Times New Roman" w:cs="Times New Roman"/>
        </w:rPr>
        <w:t>treet</w:t>
      </w:r>
      <w:r w:rsidRPr="00552C84">
        <w:rPr>
          <w:rFonts w:ascii="Times New Roman" w:hAnsi="Times New Roman" w:cs="Times New Roman"/>
        </w:rPr>
        <w:t xml:space="preserve"> </w:t>
      </w:r>
    </w:p>
    <w:p w:rsidR="001007E4" w:rsidP="007E1BA4" w:rsidRDefault="00552C84" w14:paraId="33A572BB" w14:textId="59A11307">
      <w:pPr>
        <w:ind w:left="180"/>
        <w:rPr>
          <w:rFonts w:ascii="Times New Roman" w:hAnsi="Times New Roman" w:cs="Times New Roman"/>
        </w:rPr>
      </w:pPr>
      <w:r w:rsidRPr="00552C84">
        <w:rPr>
          <w:rFonts w:ascii="Times New Roman" w:hAnsi="Times New Roman" w:cs="Times New Roman"/>
        </w:rPr>
        <w:t>New York, NY 10120</w:t>
      </w:r>
    </w:p>
    <w:p w:rsidRPr="001007E4" w:rsidR="001007E4" w:rsidP="001007E4" w:rsidRDefault="00552C84" w14:paraId="477C526A" w14:textId="3AF93FEA">
      <w:pPr>
        <w:ind w:left="180"/>
        <w:rPr>
          <w:rFonts w:ascii="Times New Roman" w:hAnsi="Times New Roman" w:cs="Times New Roman"/>
        </w:rPr>
      </w:pPr>
      <w:r>
        <w:rPr>
          <w:rFonts w:ascii="Times New Roman" w:hAnsi="Times New Roman" w:cs="Times New Roman"/>
        </w:rPr>
        <w:t>(</w:t>
      </w:r>
      <w:r w:rsidRPr="001007E4" w:rsidR="001007E4">
        <w:rPr>
          <w:rFonts w:ascii="Times New Roman" w:hAnsi="Times New Roman" w:cs="Times New Roman"/>
        </w:rPr>
        <w:t>646) 504 8586</w:t>
      </w:r>
    </w:p>
    <w:bookmarkEnd w:id="13"/>
    <w:p w:rsidRPr="00CE7EE2" w:rsidR="00456F1C" w:rsidP="00456F1C" w:rsidRDefault="00456F1C" w14:paraId="60DDBEF1" w14:textId="77777777">
      <w:pPr>
        <w:ind w:left="180"/>
      </w:pPr>
    </w:p>
    <w:p w:rsidRPr="00F74829" w:rsidR="00BE1FCB" w:rsidP="00BE1FCB" w:rsidRDefault="00BE1FC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0" w:id="14"/>
      <w:r>
        <w:rPr>
          <w:rFonts w:ascii="Times New Roman" w:hAnsi="Times New Roman" w:eastAsia="Times New Roman" w:cs="Times New Roman"/>
          <w:b/>
          <w:bCs/>
          <w:szCs w:val="24"/>
        </w:rPr>
        <w:t xml:space="preserve">9. </w:t>
      </w:r>
      <w:r w:rsidRPr="008265FC">
        <w:rPr>
          <w:rFonts w:ascii="Times New Roman" w:hAnsi="Times New Roman" w:eastAsia="Times New Roman" w:cs="Times New Roman"/>
          <w:b/>
          <w:bCs/>
          <w:szCs w:val="24"/>
          <w:u w:val="single"/>
        </w:rPr>
        <w:t>Explanation of Any Payment or Gift to Respondents</w:t>
      </w:r>
      <w:bookmarkStart w:name="_Toc239649231" w:id="15"/>
      <w:bookmarkEnd w:id="14"/>
    </w:p>
    <w:p w:rsidRPr="00CE3249" w:rsidR="00BE1FCB" w:rsidP="00CE3249" w:rsidRDefault="00BE1FCB" w14:paraId="405DF652" w14:textId="77777777"/>
    <w:p w:rsidRPr="003B0CEE" w:rsidR="00257DA1" w:rsidP="265E300C" w:rsidRDefault="00257DA1" w14:paraId="0DA14D12" w14:textId="6F17A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rPr>
      </w:pPr>
      <w:bookmarkStart w:name="_Hlk3981578" w:id="16"/>
      <w:r w:rsidRPr="265E300C">
        <w:rPr>
          <w:rFonts w:ascii="Times New Roman" w:hAnsi="Times New Roman" w:eastAsia="Times New Roman" w:cs="Times New Roman"/>
        </w:rPr>
        <w:t xml:space="preserve">As a token of appreciation, participants recruited who complete and submit the survey will receive </w:t>
      </w:r>
      <w:bookmarkStart w:name="_Hlk55998010" w:id="17"/>
      <w:r w:rsidRPr="265E300C">
        <w:rPr>
          <w:rFonts w:ascii="Times New Roman" w:hAnsi="Times New Roman" w:eastAsia="Times New Roman" w:cs="Times New Roman"/>
        </w:rPr>
        <w:t xml:space="preserve">a </w:t>
      </w:r>
      <w:r w:rsidRPr="265E300C" w:rsidR="00505695">
        <w:rPr>
          <w:rFonts w:ascii="Times New Roman" w:hAnsi="Times New Roman"/>
        </w:rPr>
        <w:t xml:space="preserve">$10 e-gift </w:t>
      </w:r>
      <w:r w:rsidRPr="265E300C" w:rsidR="00A86CCD">
        <w:rPr>
          <w:rFonts w:ascii="Times New Roman" w:hAnsi="Times New Roman"/>
        </w:rPr>
        <w:t xml:space="preserve">in the form of a </w:t>
      </w:r>
      <w:r w:rsidRPr="265E300C" w:rsidR="00505695">
        <w:rPr>
          <w:rFonts w:ascii="Times New Roman" w:hAnsi="Times New Roman"/>
        </w:rPr>
        <w:t>voucher or points</w:t>
      </w:r>
      <w:bookmarkEnd w:id="17"/>
      <w:r w:rsidRPr="265E300C">
        <w:rPr>
          <w:rFonts w:ascii="Times New Roman" w:hAnsi="Times New Roman" w:eastAsia="Times New Roman" w:cs="Times New Roman"/>
        </w:rPr>
        <w:t xml:space="preserve">. </w:t>
      </w:r>
      <w:r w:rsidRPr="265E300C" w:rsidR="265E300C">
        <w:rPr>
          <w:rFonts w:ascii="Times New Roman" w:hAnsi="Times New Roman" w:eastAsia="Times New Roman" w:cs="Times New Roman"/>
          <w:szCs w:val="24"/>
        </w:rPr>
        <w:t xml:space="preserve">There is no token of appreciation for completing the screener. </w:t>
      </w:r>
    </w:p>
    <w:p w:rsidRPr="003B0CEE" w:rsidR="00257DA1" w:rsidP="265E300C" w:rsidRDefault="00257DA1" w14:paraId="4F6E119B" w14:textId="18EF7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rPr>
      </w:pPr>
    </w:p>
    <w:p w:rsidRPr="003B0CEE" w:rsidR="00257DA1" w:rsidP="265E300C" w:rsidRDefault="00257DA1" w14:paraId="23BE3D1C" w14:textId="3ADFF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rPr>
      </w:pPr>
      <w:bookmarkStart w:name="_Hlk45028191" w:id="18"/>
      <w:r w:rsidRPr="265E300C">
        <w:rPr>
          <w:rFonts w:ascii="Times New Roman" w:hAnsi="Times New Roman" w:eastAsia="Times New Roman" w:cs="Times New Roman"/>
        </w:rPr>
        <w:t xml:space="preserve">Such tokens </w:t>
      </w:r>
      <w:r w:rsidRPr="265E300C">
        <w:rPr>
          <w:rFonts w:ascii="Times New Roman" w:hAnsi="Times New Roman"/>
        </w:rPr>
        <w:t xml:space="preserve">are commonly used by research agencies to </w:t>
      </w:r>
      <w:r w:rsidRPr="265E300C" w:rsidR="00AC1B13">
        <w:rPr>
          <w:rFonts w:ascii="Times New Roman" w:hAnsi="Times New Roman"/>
        </w:rPr>
        <w:t>recruit participants efficiently and effectively</w:t>
      </w:r>
      <w:r w:rsidRPr="265E300C">
        <w:rPr>
          <w:rFonts w:ascii="Times New Roman" w:hAnsi="Times New Roman"/>
        </w:rPr>
        <w:t xml:space="preserve">; parents/guardians or individual members who choose to be a part of these online panels have an expectation that they will be compensated for their time. </w:t>
      </w:r>
      <w:r w:rsidRPr="265E300C">
        <w:rPr>
          <w:rFonts w:ascii="Times New Roman" w:hAnsi="Times New Roman" w:cs="Times New Roman"/>
        </w:rPr>
        <w:t xml:space="preserve">We estimate that the </w:t>
      </w:r>
      <w:r w:rsidRPr="265E300C">
        <w:rPr>
          <w:rFonts w:ascii="Times New Roman" w:hAnsi="Times New Roman" w:cs="Times New Roman"/>
        </w:rPr>
        <w:lastRenderedPageBreak/>
        <w:t xml:space="preserve">survey will take </w:t>
      </w:r>
      <w:r w:rsidRPr="265E300C" w:rsidR="00DC6FD5">
        <w:rPr>
          <w:rFonts w:ascii="Times New Roman" w:hAnsi="Times New Roman" w:cs="Times New Roman"/>
        </w:rPr>
        <w:t xml:space="preserve">up to 20 minutes </w:t>
      </w:r>
      <w:r w:rsidR="00FD394B">
        <w:rPr>
          <w:rFonts w:ascii="Times New Roman" w:hAnsi="Times New Roman" w:cs="Times New Roman"/>
        </w:rPr>
        <w:t>per respondent</w:t>
      </w:r>
      <w:bookmarkEnd w:id="18"/>
      <w:r w:rsidR="00FD394B">
        <w:rPr>
          <w:rFonts w:ascii="Times New Roman" w:hAnsi="Times New Roman" w:cs="Times New Roman"/>
        </w:rPr>
        <w:t xml:space="preserve">. </w:t>
      </w:r>
      <w:r w:rsidRPr="265E300C">
        <w:rPr>
          <w:rFonts w:ascii="Times New Roman" w:hAnsi="Times New Roman" w:cs="Times New Roman"/>
        </w:rPr>
        <w:t>Th</w:t>
      </w:r>
      <w:r w:rsidRPr="265E300C" w:rsidR="00AC1B13">
        <w:rPr>
          <w:rFonts w:ascii="Times New Roman" w:hAnsi="Times New Roman" w:cs="Times New Roman"/>
        </w:rPr>
        <w:t>e token</w:t>
      </w:r>
      <w:r w:rsidRPr="265E300C">
        <w:rPr>
          <w:rFonts w:ascii="Times New Roman" w:hAnsi="Times New Roman" w:cs="Times New Roman"/>
        </w:rPr>
        <w:t xml:space="preserve"> amount not only reflects the burden of time to participate, </w:t>
      </w:r>
      <w:r w:rsidRPr="265E300C" w:rsidR="001A6649">
        <w:rPr>
          <w:rFonts w:ascii="Times New Roman" w:hAnsi="Times New Roman" w:cs="Times New Roman"/>
        </w:rPr>
        <w:t>but it</w:t>
      </w:r>
      <w:r w:rsidRPr="265E300C">
        <w:rPr>
          <w:rFonts w:ascii="Times New Roman" w:hAnsi="Times New Roman" w:cs="Times New Roman"/>
        </w:rPr>
        <w:t xml:space="preserve"> will also ensure that the respondent pool is recruited within a tight timeframe. Smaller token amounts are associated with slower movement on recruitment. </w:t>
      </w:r>
      <w:bookmarkStart w:name="_Hlk55998224" w:id="19"/>
    </w:p>
    <w:p w:rsidRPr="003B0CEE" w:rsidR="00257DA1" w:rsidP="00257DA1" w:rsidRDefault="00257DA1" w14:paraId="543B2F5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p>
    <w:p w:rsidRPr="003B0CEE" w:rsidR="00257DA1" w:rsidP="00257DA1" w:rsidRDefault="00257DA1" w14:paraId="7D930F96" w14:textId="06188B1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r w:rsidRPr="003B0CEE">
        <w:rPr>
          <w:rFonts w:ascii="Times New Roman" w:hAnsi="Times New Roman" w:cs="Times New Roman"/>
          <w:szCs w:val="24"/>
        </w:rPr>
        <w:t>Paying the</w:t>
      </w:r>
      <w:r>
        <w:rPr>
          <w:rFonts w:ascii="Times New Roman" w:hAnsi="Times New Roman" w:cs="Times New Roman"/>
          <w:szCs w:val="24"/>
        </w:rPr>
        <w:t xml:space="preserve"> token of appreciation</w:t>
      </w:r>
      <w:r w:rsidRPr="003B0CEE">
        <w:rPr>
          <w:rFonts w:ascii="Times New Roman" w:hAnsi="Times New Roman" w:cs="Times New Roman"/>
          <w:szCs w:val="24"/>
        </w:rPr>
        <w:t xml:space="preserve"> as a </w:t>
      </w:r>
      <w:r w:rsidRPr="00714A42" w:rsidR="00A86CCD">
        <w:rPr>
          <w:rFonts w:ascii="Times New Roman" w:hAnsi="Times New Roman"/>
        </w:rPr>
        <w:t xml:space="preserve">$10 e-gift </w:t>
      </w:r>
      <w:r w:rsidRPr="003B0CEE">
        <w:rPr>
          <w:rFonts w:ascii="Times New Roman" w:hAnsi="Times New Roman" w:cs="Times New Roman"/>
          <w:szCs w:val="24"/>
        </w:rPr>
        <w:t xml:space="preserve">ensures that all participants are </w:t>
      </w:r>
      <w:r w:rsidR="00B4604B">
        <w:rPr>
          <w:rFonts w:ascii="Times New Roman" w:hAnsi="Times New Roman" w:cs="Times New Roman"/>
          <w:szCs w:val="24"/>
        </w:rPr>
        <w:t>compensated</w:t>
      </w:r>
      <w:r w:rsidRPr="003B0CEE">
        <w:rPr>
          <w:rFonts w:ascii="Times New Roman" w:hAnsi="Times New Roman" w:cs="Times New Roman"/>
          <w:szCs w:val="24"/>
        </w:rPr>
        <w:t xml:space="preserve"> equally, which reflects our human subjects’ commitment to equity in research participation. </w:t>
      </w:r>
    </w:p>
    <w:p w:rsidRPr="003B0CEE" w:rsidR="00257DA1" w:rsidP="00257DA1" w:rsidRDefault="00257DA1" w14:paraId="0DC9F38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szCs w:val="24"/>
        </w:rPr>
      </w:pPr>
    </w:p>
    <w:p w:rsidR="00257DA1" w:rsidP="265E300C" w:rsidRDefault="00257DA1" w14:paraId="1790CD54" w14:textId="44739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rPr>
      </w:pPr>
      <w:r w:rsidRPr="2C3933FF">
        <w:rPr>
          <w:rFonts w:ascii="Times New Roman" w:hAnsi="Times New Roman" w:cs="Times New Roman"/>
        </w:rPr>
        <w:t xml:space="preserve">Tokens of appreciation are important to research for many reasons: </w:t>
      </w:r>
    </w:p>
    <w:p w:rsidRPr="003B0CEE" w:rsidR="00032F12" w:rsidP="265E300C" w:rsidRDefault="00032F12" w14:paraId="22A75F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rPr>
      </w:pPr>
    </w:p>
    <w:p w:rsidRPr="00F01EEE" w:rsidR="00257DA1" w:rsidP="00257DA1" w:rsidRDefault="00257DA1" w14:paraId="2921BAFA" w14:textId="77777777">
      <w:pPr>
        <w:pStyle w:val="ListParagraph"/>
        <w:numPr>
          <w:ilvl w:val="0"/>
          <w:numId w:val="2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eastAsia="Times New Roman"/>
        </w:rPr>
      </w:pPr>
      <w:r>
        <w:rPr>
          <w:rFonts w:ascii="Times New Roman" w:hAnsi="Times New Roman" w:eastAsia="STFangsong" w:cs="Times New Roman"/>
          <w:b/>
          <w:bCs/>
        </w:rPr>
        <w:t>Tokens of appreciation</w:t>
      </w:r>
      <w:r w:rsidRPr="00240799">
        <w:rPr>
          <w:rFonts w:ascii="Times New Roman" w:hAnsi="Times New Roman" w:eastAsia="STFangsong" w:cs="Times New Roman"/>
          <w:b/>
          <w:bCs/>
        </w:rPr>
        <w:t xml:space="preserve"> </w:t>
      </w:r>
      <w:r w:rsidRPr="00F01EEE">
        <w:rPr>
          <w:rFonts w:ascii="Times New Roman" w:hAnsi="Times New Roman" w:cs="Times New Roman"/>
          <w:b/>
          <w:bCs/>
          <w:szCs w:val="24"/>
        </w:rPr>
        <w:t>ensure efficient and effective recruitment, which saves the government time and money</w:t>
      </w:r>
      <w:r w:rsidRPr="00F01EEE">
        <w:rPr>
          <w:rFonts w:ascii="Times New Roman" w:hAnsi="Times New Roman" w:cs="Times New Roman"/>
          <w:szCs w:val="24"/>
        </w:rPr>
        <w:t xml:space="preserve">: </w:t>
      </w:r>
      <w:r>
        <w:rPr>
          <w:rFonts w:ascii="Times New Roman" w:hAnsi="Times New Roman" w:cs="Times New Roman"/>
          <w:szCs w:val="24"/>
        </w:rPr>
        <w:t>Without such tokens,</w:t>
      </w:r>
      <w:r w:rsidRPr="00F01EEE">
        <w:rPr>
          <w:rFonts w:ascii="Times New Roman" w:hAnsi="Times New Roman" w:cs="Times New Roman"/>
          <w:szCs w:val="24"/>
        </w:rPr>
        <w:t xml:space="preserve"> samples are substantially slower to recruit, have higher abandonment rates (</w:t>
      </w:r>
      <w:proofErr w:type="gramStart"/>
      <w:r w:rsidRPr="00F01EEE">
        <w:rPr>
          <w:rFonts w:ascii="Times New Roman" w:hAnsi="Times New Roman" w:cs="Times New Roman"/>
          <w:szCs w:val="24"/>
        </w:rPr>
        <w:t>e.g.</w:t>
      </w:r>
      <w:proofErr w:type="gramEnd"/>
      <w:r w:rsidRPr="00F01EEE">
        <w:rPr>
          <w:rFonts w:ascii="Times New Roman" w:hAnsi="Times New Roman" w:cs="Times New Roman"/>
          <w:szCs w:val="24"/>
        </w:rPr>
        <w:t xml:space="preserve"> incomplete data), and generally poorer quality than samples</w:t>
      </w:r>
      <w:r>
        <w:rPr>
          <w:rFonts w:ascii="Times New Roman" w:hAnsi="Times New Roman" w:cs="Times New Roman"/>
          <w:szCs w:val="24"/>
        </w:rPr>
        <w:t xml:space="preserve"> offered a token.</w:t>
      </w:r>
    </w:p>
    <w:p w:rsidR="00257DA1" w:rsidP="265E300C" w:rsidRDefault="00257DA1" w14:paraId="0E0EC9C9" w14:textId="504AF77A">
      <w:pPr>
        <w:pStyle w:val="ListParagraph"/>
        <w:numPr>
          <w:ilvl w:val="0"/>
          <w:numId w:val="2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heme="minorHAnsi" w:hAnsiTheme="minorHAnsi" w:eastAsiaTheme="minorEastAsia"/>
          <w:szCs w:val="24"/>
        </w:rPr>
      </w:pPr>
      <w:r w:rsidRPr="265E300C">
        <w:rPr>
          <w:rFonts w:ascii="Times New Roman" w:hAnsi="Times New Roman" w:eastAsia="STFangsong" w:cs="Times New Roman"/>
          <w:b/>
          <w:bCs/>
        </w:rPr>
        <w:t>Tokens of appreciation boost recruitment:</w:t>
      </w:r>
      <w:r w:rsidRPr="265E300C">
        <w:rPr>
          <w:rFonts w:ascii="Times New Roman" w:hAnsi="Times New Roman" w:eastAsia="STFangsong" w:cs="Times New Roman"/>
        </w:rPr>
        <w:t xml:space="preserve"> Research finds that most participants will not participate without financial </w:t>
      </w:r>
      <w:r w:rsidRPr="265E300C" w:rsidR="00D65633">
        <w:rPr>
          <w:rFonts w:ascii="Times New Roman" w:hAnsi="Times New Roman" w:eastAsia="STFangsong" w:cs="Times New Roman"/>
        </w:rPr>
        <w:t>compensation</w:t>
      </w:r>
      <w:r w:rsidRPr="265E300C">
        <w:rPr>
          <w:rFonts w:ascii="Times New Roman" w:hAnsi="Times New Roman" w:eastAsia="STFangsong" w:cs="Times New Roman"/>
        </w:rPr>
        <w:t xml:space="preserve"> </w:t>
      </w:r>
      <w:r w:rsidRPr="265E300C" w:rsidR="00D65633">
        <w:rPr>
          <w:rFonts w:ascii="Times New Roman" w:hAnsi="Times New Roman" w:eastAsia="STFangsong" w:cs="Times New Roman"/>
        </w:rPr>
        <w:t>and it</w:t>
      </w:r>
      <w:r w:rsidRPr="265E300C">
        <w:rPr>
          <w:rFonts w:ascii="Times New Roman" w:hAnsi="Times New Roman" w:eastAsia="STFangsong" w:cs="Times New Roman"/>
        </w:rPr>
        <w:t xml:space="preserve"> is one of the main reasons why participants participate in research studies </w:t>
      </w:r>
      <w:r w:rsidRPr="265E300C">
        <w:rPr>
          <w:rFonts w:ascii="Times New Roman" w:hAnsi="Times New Roman" w:eastAsia="STFangsong" w:cs="Times New Roman"/>
          <w:color w:val="2B579A"/>
          <w:shd w:val="clear" w:color="auto" w:fill="E6E6E6"/>
        </w:rPr>
        <w:fldChar w:fldCharType="begin"/>
      </w:r>
      <w:r w:rsidRPr="265E300C">
        <w:rPr>
          <w:rFonts w:ascii="Times New Roman" w:hAnsi="Times New Roman" w:eastAsia="STFangsong" w:cs="Times New Roman"/>
        </w:rPr>
        <w:instrText xml:space="preserve"> ADDIN ZOTERO_ITEM CSL_CITATION {"citationID":"5cPllkDQ","properties":{"formattedCitation":"(Resnik, 2015)","plainCitation":"(Resnik, 2015)","noteIndex":0},"citationItems":[{"id":905,"uris":["http://zotero.org/users/local/CWd9clrq/items/9T36M4W2"],"uri":["http://zotero.org/users/local/CWd9clrq/items/9T36M4W2"],"itemData":{"id":905,"type":"article-journal","abstract":"Offering research subjects financial incentives for their participation is a common practice that boosts recruitment but also raises ethical concerns, such as undue inducement, exploitation, and biased enrollment. This article reviews the arguments for providing participants with financial incentives, ethical concerns about payment, and approaches to establishing appropriate compensation levels. It also makes recommendations for investigators, institutions, and oversight committees.","container-title":"Medicolegal and bioethics","DOI":"10.2147/MB.S70416","ISSN":"2230-2468","journalAbbreviation":"Medicoleg Bioeth","note":"PMID: 26807399\nPMCID: PMC4719771","page":"35-41","source":"PubMed Central","title":"Bioethical Issues in Providing Financial Incentives to Research Participants","volume":"5","author":[{"family":"Resnik","given":"David B."}],"issued":{"date-parts":[["2015",6,24]]}}}],"schema":"https://github.com/citation-style-language/schema/raw/master/csl-citation.json"} </w:instrText>
      </w:r>
      <w:r w:rsidRPr="265E300C">
        <w:rPr>
          <w:rFonts w:ascii="Times New Roman" w:hAnsi="Times New Roman" w:eastAsia="STFangsong" w:cs="Times New Roman"/>
          <w:color w:val="2B579A"/>
          <w:shd w:val="clear" w:color="auto" w:fill="E6E6E6"/>
        </w:rPr>
        <w:fldChar w:fldCharType="separate"/>
      </w:r>
      <w:r w:rsidRPr="265E300C">
        <w:rPr>
          <w:rFonts w:ascii="Times New Roman" w:hAnsi="Times New Roman" w:cs="Times New Roman"/>
        </w:rPr>
        <w:t>(Resnik, 2015)</w:t>
      </w:r>
      <w:r w:rsidRPr="265E300C">
        <w:rPr>
          <w:rFonts w:ascii="Times New Roman" w:hAnsi="Times New Roman" w:eastAsia="STFangsong" w:cs="Times New Roman"/>
          <w:color w:val="2B579A"/>
          <w:shd w:val="clear" w:color="auto" w:fill="E6E6E6"/>
        </w:rPr>
        <w:fldChar w:fldCharType="end"/>
      </w:r>
      <w:r w:rsidRPr="265E300C">
        <w:rPr>
          <w:rFonts w:ascii="Times New Roman" w:hAnsi="Times New Roman" w:eastAsia="STFangsong" w:cs="Times New Roman"/>
        </w:rPr>
        <w:t xml:space="preserve">. </w:t>
      </w:r>
      <w:r w:rsidRPr="265E300C" w:rsidR="265E300C">
        <w:rPr>
          <w:rFonts w:ascii="Times New Roman" w:hAnsi="Times New Roman" w:eastAsia="Times New Roman" w:cs="Times New Roman"/>
          <w:szCs w:val="24"/>
        </w:rPr>
        <w:t>The recruitment strategy relies on the effective placement and reach of the advertisements used to recruit participants of the target populations into the study. This placement and reach on social media platforms are determined by the platforms’ systems for targeting the populations necessary for participation in the study. These systems price and place advertisements using an “auction” system, setting prices and prioritizing advertisement placement based in-part on the rate that potential participants engage with the advertisements. Due to the way these advertisement systems function, increasing potential participant engagement with the advertisements results in increased reach of subsequent advertisements among the target populations</w:t>
      </w:r>
      <w:r w:rsidRPr="265E300C" w:rsidR="265E300C">
        <w:rPr>
          <w:rFonts w:ascii="Times New Roman" w:hAnsi="Times New Roman" w:eastAsia="STFangsong" w:cs="Times New Roman"/>
        </w:rPr>
        <w:t xml:space="preserve"> </w:t>
      </w:r>
      <w:r w:rsidRPr="265E300C">
        <w:rPr>
          <w:rFonts w:ascii="Times New Roman" w:hAnsi="Times New Roman" w:eastAsia="STFangsong" w:cs="Times New Roman"/>
        </w:rPr>
        <w:t xml:space="preserve">Not providing tokens of appreciation may hinder the research study, thus delaying scientific progress and unethically exposing participants to burden </w:t>
      </w:r>
      <w:r w:rsidRPr="265E300C">
        <w:rPr>
          <w:rFonts w:ascii="Times New Roman" w:hAnsi="Times New Roman" w:eastAsia="STFangsong" w:cs="Times New Roman"/>
          <w:color w:val="2B579A"/>
          <w:shd w:val="clear" w:color="auto" w:fill="E6E6E6"/>
        </w:rPr>
        <w:fldChar w:fldCharType="begin"/>
      </w:r>
      <w:r w:rsidRPr="265E300C">
        <w:rPr>
          <w:rFonts w:ascii="Times New Roman" w:hAnsi="Times New Roman" w:eastAsia="STFangsong" w:cs="Times New Roman"/>
        </w:rPr>
        <w:instrText xml:space="preserve"> ADDIN ZOTERO_ITEM CSL_CITATION {"citationID":"4aHLLJIb","properties":{"formattedCitation":"(Largent &amp; Fernandez Lynch, 2017)","plainCitation":"(Largent &amp; Fernandez Lynch, 2017)","noteIndex":0},"citationItems":[{"id":894,"uris":["http://zotero.org/users/local/CWd9clrq/items/W632JX6D"],"uri":["http://zotero.org/users/local/CWd9clrq/items/W632JX6D"],"itemData":{"id":894,"type":"article-journal","abstract":"The practice of offering payment to individuals in exchange for their participation in clinical research is widespread and longstanding. Nevertheless, such payment remains the source of substantial debate, in particular about whether or the extent to which offers of payment coerce and/or unduly induce individuals to participate. Yet, the various laws, regulations, and ethical guidelines that govern the conduct of human subjects research offer relatively little in the way of specific guidance regarding what makes a payment offer ethically acceptable-or not. Moreover, there is a lack of definitional agreement regarding what the terms coercion and undue inducement mean in the human subjects research context. It is, therefore, unsurprising that investigators and Institutional Review Boards (IRBs) experience confusion about how to evaluate offers of payment, and lean toward conservative approaches. These trends are exemplified by our pilot data regarding the ways in which some IRB members and investigators (mis)understand the concepts of coercion and undue inducement, as well as the ways in which certain research institutions oversee offers of payment at a local level. This article systematically examines the legal and ethical dimensions of offering payment to research participants. It argues that many concerns about offers of payment to research participants can be attributed to the misguided view that such offers ought to be treated differently than offers of payment in other contexts, a form of \"research exceptionalism.\" We show that rejection of research exceptionalism with respect to payment helps settle open debates about both how best to define coercion and undue influence, and how to understand the relation between these concepts and offers of payment. We argue for adoption of our preferred definitions, ideally by regulatory authorities, and against the conventional conservatism toward payment of research participants. Instead, we draw attention to the rarely asked, even radical, question: are research participants paid enough? We conclude by arguing that we ought to change the default to favor, rather than encourage suspicion of, offers of payment to research participants.","container-title":"Yale Journal of Health Policy, Law, and Ethics","ISSN":"1535-3532","issue":"1","journalAbbreviation":"Yale J Health Policy Law Ethics","language":"eng","note":"PMID: 29249912\nPMCID: PMC5728432","page":"61-141","source":"PubMed","title":"Paying Research Participants: Regulatory Uncertainty, Conceptual Confusion, and a Path Forward","title-short":"Paying Research Participants","volume":"17","author":[{"family":"Largent","given":"Emily A."},{"family":"Fernandez Lynch","given":"Holly"}],"issued":{"date-parts":[["2017"]],"season":"Winter"}}}],"schema":"https://github.com/citation-style-language/schema/raw/master/csl-citation.json"} </w:instrText>
      </w:r>
      <w:r w:rsidRPr="265E300C">
        <w:rPr>
          <w:rFonts w:ascii="Times New Roman" w:hAnsi="Times New Roman" w:eastAsia="STFangsong" w:cs="Times New Roman"/>
          <w:color w:val="2B579A"/>
          <w:shd w:val="clear" w:color="auto" w:fill="E6E6E6"/>
        </w:rPr>
        <w:fldChar w:fldCharType="separate"/>
      </w:r>
      <w:r w:rsidRPr="265E300C">
        <w:rPr>
          <w:rFonts w:ascii="Times New Roman" w:hAnsi="Times New Roman" w:cs="Times New Roman"/>
        </w:rPr>
        <w:t>(Largent &amp; Fernandez Lynch, 2017)</w:t>
      </w:r>
      <w:r w:rsidRPr="265E300C">
        <w:rPr>
          <w:rFonts w:ascii="Times New Roman" w:hAnsi="Times New Roman" w:eastAsia="STFangsong" w:cs="Times New Roman"/>
          <w:color w:val="2B579A"/>
          <w:shd w:val="clear" w:color="auto" w:fill="E6E6E6"/>
        </w:rPr>
        <w:fldChar w:fldCharType="end"/>
      </w:r>
      <w:r w:rsidRPr="265E300C">
        <w:rPr>
          <w:rFonts w:ascii="Times New Roman" w:hAnsi="Times New Roman" w:eastAsia="STFangsong" w:cs="Times New Roman"/>
        </w:rPr>
        <w:t>.</w:t>
      </w:r>
    </w:p>
    <w:p w:rsidRPr="00240799" w:rsidR="00257DA1" w:rsidP="00257DA1" w:rsidRDefault="00257DA1" w14:paraId="685FEA00" w14:textId="77777777">
      <w:pPr>
        <w:pStyle w:val="ListParagraph"/>
        <w:numPr>
          <w:ilvl w:val="0"/>
          <w:numId w:val="2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eastAsia="STFangsong" w:cs="Times New Roman"/>
        </w:rPr>
      </w:pPr>
      <w:r>
        <w:rPr>
          <w:rFonts w:ascii="Times New Roman" w:hAnsi="Times New Roman" w:eastAsia="STFangsong" w:cs="Times New Roman"/>
          <w:b/>
          <w:bCs/>
        </w:rPr>
        <w:t>Tokens of appreciation</w:t>
      </w:r>
      <w:r w:rsidRPr="00240799">
        <w:rPr>
          <w:rFonts w:ascii="Times New Roman" w:hAnsi="Times New Roman" w:eastAsia="STFangsong" w:cs="Times New Roman"/>
          <w:b/>
          <w:bCs/>
        </w:rPr>
        <w:t xml:space="preserve"> </w:t>
      </w:r>
      <w:r>
        <w:rPr>
          <w:rFonts w:ascii="Times New Roman" w:hAnsi="Times New Roman" w:eastAsia="STFangsong" w:cs="Times New Roman"/>
          <w:b/>
          <w:bCs/>
        </w:rPr>
        <w:t xml:space="preserve">reflect </w:t>
      </w:r>
      <w:r w:rsidRPr="00240799">
        <w:rPr>
          <w:rFonts w:ascii="Times New Roman" w:hAnsi="Times New Roman" w:eastAsia="STFangsong" w:cs="Times New Roman"/>
          <w:b/>
          <w:bCs/>
        </w:rPr>
        <w:t>human subjects</w:t>
      </w:r>
      <w:r>
        <w:rPr>
          <w:rFonts w:ascii="Times New Roman" w:hAnsi="Times New Roman" w:eastAsia="STFangsong" w:cs="Times New Roman"/>
          <w:b/>
          <w:bCs/>
        </w:rPr>
        <w:t xml:space="preserve"> protections</w:t>
      </w:r>
      <w:r w:rsidRPr="00240799">
        <w:rPr>
          <w:rFonts w:ascii="Times New Roman" w:hAnsi="Times New Roman" w:eastAsia="STFangsong" w:cs="Times New Roman"/>
        </w:rPr>
        <w:t xml:space="preserve">: Providing </w:t>
      </w:r>
      <w:r>
        <w:rPr>
          <w:rFonts w:ascii="Times New Roman" w:hAnsi="Times New Roman" w:eastAsia="STFangsong" w:cs="Times New Roman"/>
        </w:rPr>
        <w:t>tokens</w:t>
      </w:r>
      <w:r w:rsidRPr="00240799">
        <w:rPr>
          <w:rFonts w:ascii="Times New Roman" w:hAnsi="Times New Roman" w:eastAsia="STFangsong" w:cs="Times New Roman"/>
        </w:rPr>
        <w:t xml:space="preserve"> allow</w:t>
      </w:r>
      <w:r>
        <w:rPr>
          <w:rFonts w:ascii="Times New Roman" w:hAnsi="Times New Roman" w:eastAsia="STFangsong" w:cs="Times New Roman"/>
        </w:rPr>
        <w:t>s</w:t>
      </w:r>
      <w:r w:rsidRPr="00240799">
        <w:rPr>
          <w:rFonts w:ascii="Times New Roman" w:hAnsi="Times New Roman" w:eastAsia="STFangsong" w:cs="Times New Roman"/>
        </w:rPr>
        <w:t xml:space="preserve"> for a fair distribution of burden and benefit </w:t>
      </w:r>
      <w:r>
        <w:rPr>
          <w:rFonts w:ascii="Times New Roman" w:hAnsi="Times New Roman" w:eastAsia="STFangsong" w:cs="Times New Roman"/>
        </w:rPr>
        <w:t xml:space="preserve">across participants, resulting in a diverse sample and </w:t>
      </w:r>
      <w:r w:rsidRPr="00240799">
        <w:rPr>
          <w:rFonts w:ascii="Times New Roman" w:hAnsi="Times New Roman" w:eastAsia="STFangsong" w:cs="Times New Roman"/>
        </w:rPr>
        <w:t>creating trust between investigators and participants</w:t>
      </w:r>
      <w:r>
        <w:rPr>
          <w:rFonts w:ascii="Times New Roman" w:hAnsi="Times New Roman" w:eastAsia="STFangsong" w:cs="Times New Roman"/>
        </w:rPr>
        <w:t xml:space="preserve"> </w:t>
      </w:r>
      <w:r>
        <w:rPr>
          <w:rFonts w:ascii="Times New Roman" w:hAnsi="Times New Roman" w:eastAsia="STFangsong" w:cs="Times New Roman"/>
          <w:color w:val="2B579A"/>
          <w:shd w:val="clear" w:color="auto" w:fill="E6E6E6"/>
        </w:rPr>
        <w:fldChar w:fldCharType="begin"/>
      </w:r>
      <w:r>
        <w:rPr>
          <w:rFonts w:ascii="Times New Roman" w:hAnsi="Times New Roman" w:eastAsia="STFangsong" w:cs="Times New Roman"/>
        </w:rPr>
        <w:instrText xml:space="preserve"> ADDIN ZOTERO_ITEM CSL_CITATION {"citationID":"tNfiDHln","properties":{"formattedCitation":"(Largent &amp; Fernandez Lynch, 2017)","plainCitation":"(Largent &amp; Fernandez Lynch, 2017)","noteIndex":0},"citationItems":[{"id":894,"uris":["http://zotero.org/users/local/CWd9clrq/items/W632JX6D"],"uri":["http://zotero.org/users/local/CWd9clrq/items/W632JX6D"],"itemData":{"id":894,"type":"article-journal","abstract":"The practice of offering payment to individuals in exchange for their participation in clinical research is widespread and longstanding. Nevertheless, such payment remains the source of substantial debate, in particular about whether or the extent to which offers of payment coerce and/or unduly induce individuals to participate. Yet, the various laws, regulations, and ethical guidelines that govern the conduct of human subjects research offer relatively little in the way of specific guidance regarding what makes a payment offer ethically acceptable-or not. Moreover, there is a lack of definitional agreement regarding what the terms coercion and undue inducement mean in the human subjects research context. It is, therefore, unsurprising that investigators and Institutional Review Boards (IRBs) experience confusion about how to evaluate offers of payment, and lean toward conservative approaches. These trends are exemplified by our pilot data regarding the ways in which some IRB members and investigators (mis)understand the concepts of coercion and undue inducement, as well as the ways in which certain research institutions oversee offers of payment at a local level. This article systematically examines the legal and ethical dimensions of offering payment to research participants. It argues that many concerns about offers of payment to research participants can be attributed to the misguided view that such offers ought to be treated differently than offers of payment in other contexts, a form of \"research exceptionalism.\" We show that rejection of research exceptionalism with respect to payment helps settle open debates about both how best to define coercion and undue influence, and how to understand the relation between these concepts and offers of payment. We argue for adoption of our preferred definitions, ideally by regulatory authorities, and against the conventional conservatism toward payment of research participants. Instead, we draw attention to the rarely asked, even radical, question: are research participants paid enough? We conclude by arguing that we ought to change the default to favor, rather than encourage suspicion of, offers of payment to research participants.","container-title":"Yale Journal of Health Policy, Law, and Ethics","ISSN":"1535-3532","issue":"1","journalAbbreviation":"Yale J Health Policy Law Ethics","language":"eng","note":"PMID: 29249912\nPMCID: PMC5728432","page":"61-141","source":"PubMed","title":"Paying Research Participants: Regulatory Uncertainty, Conceptual Confusion, and a Path Forward","title-short":"Paying Research Participants","volume":"17","author":[{"family":"Largent","given":"Emily A."},{"family":"Fernandez Lynch","given":"Holly"}],"issued":{"date-parts":[["2017"]],"season":"Winter"}}}],"schema":"https://github.com/citation-style-language/schema/raw/master/csl-citation.json"} </w:instrText>
      </w:r>
      <w:r>
        <w:rPr>
          <w:rFonts w:ascii="Times New Roman" w:hAnsi="Times New Roman" w:eastAsia="STFangsong" w:cs="Times New Roman"/>
          <w:color w:val="2B579A"/>
          <w:shd w:val="clear" w:color="auto" w:fill="E6E6E6"/>
        </w:rPr>
        <w:fldChar w:fldCharType="separate"/>
      </w:r>
      <w:r w:rsidRPr="005E7DBB">
        <w:rPr>
          <w:rFonts w:ascii="Times New Roman" w:hAnsi="Times New Roman" w:cs="Times New Roman"/>
        </w:rPr>
        <w:t>(Largent &amp; Fernandez Lynch, 2017)</w:t>
      </w:r>
      <w:r>
        <w:rPr>
          <w:rFonts w:ascii="Times New Roman" w:hAnsi="Times New Roman" w:eastAsia="STFangsong" w:cs="Times New Roman"/>
          <w:color w:val="2B579A"/>
          <w:shd w:val="clear" w:color="auto" w:fill="E6E6E6"/>
        </w:rPr>
        <w:fldChar w:fldCharType="end"/>
      </w:r>
      <w:r w:rsidRPr="00240799">
        <w:rPr>
          <w:rFonts w:ascii="Times New Roman" w:hAnsi="Times New Roman" w:eastAsia="STFangsong" w:cs="Times New Roman"/>
        </w:rPr>
        <w:t>.</w:t>
      </w:r>
    </w:p>
    <w:p w:rsidRPr="003B0CEE" w:rsidR="00257DA1" w:rsidP="00257DA1" w:rsidRDefault="00257DA1" w14:paraId="42A0F4DD" w14:textId="52D6293D">
      <w:pPr>
        <w:pStyle w:val="ListParagraph"/>
        <w:numPr>
          <w:ilvl w:val="0"/>
          <w:numId w:val="2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Cs w:val="24"/>
        </w:rPr>
      </w:pPr>
      <w:r>
        <w:rPr>
          <w:rFonts w:ascii="Times New Roman" w:hAnsi="Times New Roman" w:eastAsia="STFangsong" w:cs="Times New Roman"/>
          <w:b/>
          <w:bCs/>
        </w:rPr>
        <w:t>Tokens of appreciation</w:t>
      </w:r>
      <w:r w:rsidRPr="00240799">
        <w:rPr>
          <w:rFonts w:ascii="Times New Roman" w:hAnsi="Times New Roman" w:eastAsia="STFangsong" w:cs="Times New Roman"/>
          <w:b/>
          <w:bCs/>
        </w:rPr>
        <w:t xml:space="preserve"> </w:t>
      </w:r>
      <w:r w:rsidRPr="003B0CEE">
        <w:rPr>
          <w:rFonts w:ascii="Times New Roman" w:hAnsi="Times New Roman" w:cs="Times New Roman"/>
          <w:b/>
          <w:bCs/>
          <w:szCs w:val="24"/>
        </w:rPr>
        <w:t>are associated with a more balanced and unbiased sample</w:t>
      </w:r>
      <w:r w:rsidRPr="003B0CEE">
        <w:rPr>
          <w:rFonts w:ascii="Times New Roman" w:hAnsi="Times New Roman" w:cs="Times New Roman"/>
          <w:szCs w:val="24"/>
        </w:rPr>
        <w:t xml:space="preserve">: Evidence suggests that participants who are </w:t>
      </w:r>
      <w:r>
        <w:rPr>
          <w:rFonts w:ascii="Times New Roman" w:hAnsi="Times New Roman" w:cs="Times New Roman"/>
          <w:szCs w:val="24"/>
        </w:rPr>
        <w:t>offered a token of appreciation</w:t>
      </w:r>
      <w:r w:rsidRPr="003B0CEE">
        <w:rPr>
          <w:rFonts w:ascii="Times New Roman" w:hAnsi="Times New Roman" w:cs="Times New Roman"/>
          <w:szCs w:val="24"/>
        </w:rPr>
        <w:t xml:space="preserve"> have significantly lower non-response rates and less missing data, potentially providing reduction in bias resulting from these factors </w:t>
      </w:r>
      <w:r>
        <w:rPr>
          <w:rFonts w:ascii="Times New Roman" w:hAnsi="Times New Roman" w:cs="Times New Roman"/>
          <w:color w:val="2B579A"/>
          <w:szCs w:val="24"/>
          <w:shd w:val="clear" w:color="auto" w:fill="E6E6E6"/>
        </w:rPr>
        <w:fldChar w:fldCharType="begin"/>
      </w:r>
      <w:r>
        <w:rPr>
          <w:rFonts w:ascii="Times New Roman" w:hAnsi="Times New Roman" w:cs="Times New Roman"/>
          <w:szCs w:val="24"/>
        </w:rPr>
        <w:instrText xml:space="preserve"> ADDIN ZOTERO_ITEM CSL_CITATION {"citationID":"YGiIIo6t","properties":{"formattedCitation":"(Singer, 2002)","plainCitation":"(Singer, 2002)","noteIndex":0},"citationItems":[{"id":911,"uris":["http://zotero.org/users/local/CWd9clrq/items/AEREX8EM"],"uri":["http://zotero.org/users/local/CWd9clrq/items/AEREX8EM"],"itemData":{"id":911,"type":"webpage","title":"The use of incentives to reduce nonresponse household surveys - WebSM","URL":"http://www.websm.org/db/12/15616/Web%20Survey%20Bibliography/The_use_of_incentives_to_reduce_nonresponse_household_surveys/","author":[{"family":"Singer","given":"E"}],"accessed":{"date-parts":[["2021",3,16]]},"issued":{"date-parts":[["2002"]]}}}],"schema":"https://github.com/citation-style-language/schema/raw/master/csl-citation.json"} </w:instrText>
      </w:r>
      <w:r>
        <w:rPr>
          <w:rFonts w:ascii="Times New Roman" w:hAnsi="Times New Roman" w:cs="Times New Roman"/>
          <w:color w:val="2B579A"/>
          <w:szCs w:val="24"/>
          <w:shd w:val="clear" w:color="auto" w:fill="E6E6E6"/>
        </w:rPr>
        <w:fldChar w:fldCharType="separate"/>
      </w:r>
      <w:r w:rsidRPr="00AC4E6C">
        <w:rPr>
          <w:rFonts w:ascii="Times New Roman" w:hAnsi="Times New Roman" w:cs="Times New Roman"/>
        </w:rPr>
        <w:t>(Singer, 2002)</w:t>
      </w:r>
      <w:r>
        <w:rPr>
          <w:rFonts w:ascii="Times New Roman" w:hAnsi="Times New Roman" w:cs="Times New Roman"/>
          <w:color w:val="2B579A"/>
          <w:szCs w:val="24"/>
          <w:shd w:val="clear" w:color="auto" w:fill="E6E6E6"/>
        </w:rPr>
        <w:fldChar w:fldCharType="end"/>
      </w:r>
      <w:r w:rsidRPr="003B0CEE">
        <w:rPr>
          <w:rFonts w:ascii="Times New Roman" w:hAnsi="Times New Roman" w:cs="Times New Roman"/>
          <w:szCs w:val="24"/>
        </w:rPr>
        <w:t xml:space="preserve">. </w:t>
      </w:r>
      <w:bookmarkEnd w:id="16"/>
      <w:bookmarkEnd w:id="19"/>
    </w:p>
    <w:p w:rsidR="00257DA1" w:rsidP="00257DA1" w:rsidRDefault="00257DA1" w14:paraId="33DEAD95" w14:textId="00E8E9FB">
      <w:pPr>
        <w:pStyle w:val="ListParagraph"/>
        <w:numPr>
          <w:ilvl w:val="0"/>
          <w:numId w:val="2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Cs w:val="24"/>
        </w:rPr>
      </w:pPr>
      <w:r>
        <w:rPr>
          <w:rFonts w:ascii="Times New Roman" w:hAnsi="Times New Roman" w:eastAsia="STFangsong" w:cs="Times New Roman"/>
          <w:b/>
          <w:bCs/>
        </w:rPr>
        <w:t>Tokens of appreciation</w:t>
      </w:r>
      <w:r w:rsidRPr="00240799">
        <w:rPr>
          <w:rFonts w:ascii="Times New Roman" w:hAnsi="Times New Roman" w:eastAsia="STFangsong" w:cs="Times New Roman"/>
          <w:b/>
          <w:bCs/>
        </w:rPr>
        <w:t xml:space="preserve"> </w:t>
      </w:r>
      <w:r w:rsidRPr="003B0CEE">
        <w:rPr>
          <w:rFonts w:ascii="Times New Roman" w:hAnsi="Times New Roman" w:cs="Times New Roman"/>
          <w:b/>
          <w:bCs/>
          <w:szCs w:val="24"/>
        </w:rPr>
        <w:t>are important to recruit at-risk and multicultural populations:</w:t>
      </w:r>
      <w:r w:rsidRPr="003B0CEE">
        <w:rPr>
          <w:rFonts w:ascii="Times New Roman" w:hAnsi="Times New Roman" w:cs="Times New Roman"/>
          <w:szCs w:val="24"/>
        </w:rPr>
        <w:t xml:space="preserve"> Such populations are important to this research because of the risk factors for tobacco use</w:t>
      </w:r>
      <w:r>
        <w:rPr>
          <w:rFonts w:ascii="Times New Roman" w:hAnsi="Times New Roman" w:cs="Times New Roman"/>
          <w:szCs w:val="24"/>
        </w:rPr>
        <w:t xml:space="preserve">; those population are also </w:t>
      </w:r>
      <w:r w:rsidRPr="003B0CEE">
        <w:rPr>
          <w:rFonts w:ascii="Times New Roman" w:hAnsi="Times New Roman" w:cs="Times New Roman"/>
          <w:szCs w:val="24"/>
        </w:rPr>
        <w:t>historically difficult to recruit and retain in health research</w:t>
      </w:r>
      <w:r>
        <w:rPr>
          <w:rFonts w:ascii="Times New Roman" w:hAnsi="Times New Roman" w:cs="Times New Roman"/>
          <w:szCs w:val="24"/>
        </w:rPr>
        <w:t xml:space="preserve"> </w:t>
      </w:r>
      <w:r>
        <w:rPr>
          <w:rFonts w:ascii="Times New Roman" w:hAnsi="Times New Roman" w:cs="Times New Roman"/>
          <w:color w:val="2B579A"/>
          <w:szCs w:val="24"/>
          <w:shd w:val="clear" w:color="auto" w:fill="E6E6E6"/>
        </w:rPr>
        <w:fldChar w:fldCharType="begin"/>
      </w:r>
      <w:r>
        <w:rPr>
          <w:rFonts w:ascii="Times New Roman" w:hAnsi="Times New Roman" w:cs="Times New Roman"/>
          <w:szCs w:val="24"/>
        </w:rPr>
        <w:instrText xml:space="preserve"> ADDIN ZOTERO_ITEM CSL_CITATION {"citationID":"LJARmycX","properties":{"formattedCitation":"(Hooven et al., 2011; Murthy et al., 2004; Post et al., 2012; Siddiqui et al., 1996; Zand et al., 2006)","plainCitation":"(Hooven et al., 2011; Murthy et al., 2004; Post et al., 2012; Siddiqui et al., 1996; Zand et al., 2006)","noteIndex":0},"citationItems":[{"id":892,"uris":["http://zotero.org/users/local/CWd9clrq/items/3VHCUIPM"],"uri":["http://zotero.org/users/local/CWd9clrq/items/3VHCUIPM"],"itemData":{"id":892,"type":"webpage","title":"Increasing Participation in Prevention Research: Strategies for Youth, Parents and Schools","URL":"https://www.ncbi.nlm.nih.gov/pmc/articles/PMC3546549/","author":[{"family":"Hooven","given":"C"},{"family":"Walsh","given":"E"},{"family":"Willgerodt","given":"M"},{"family":"Salazar","given":"A"}],"accessed":{"date-parts":[["2021",3,16]]},"issued":{"date-parts":[["2011"]]}}},{"id":898,"uris":["http://zotero.org/users/local/CWd9clrq/items/2BS8VM8E"],"uri":["http://zotero.org/users/local/CWd9clrq/items/2BS8VM8E"],"itemData":{"id":898,"type":"article-journal","abstract":"CONTEXT: Despite the importance of diversity of cancer trial participants with regard to race, ethnicity, age, and sex, there is little recent information about the representation of these groups in clinical trials.\nOBJECTIVE: To characterize the representation of racial and ethnic minorities, the elderly, and women in cancer trials sponsored by the National Cancer Institute.\nDESIGN, SETTING, AND PATIENTS: Cross-sectional population-based analysis of all participants in therapeutic nonsurgical National Cancer Institute Clinical Trial Cooperative Group breast, colorectal, lung, and prostate cancer clinical trials in 2000 through 2002. In a separate analysis, the ethnic distribution of patients enrolled in 2000 through 2002 was compared with those enrolled in 1996 through 1998, using logistic regression models to estimate the relative risk ratio of enrollment for racial and ethnic minorities to that of white patients during these time periods.\nMAIN OUTCOME MEASURE: Enrollment fraction, defined as the number of trial enrollees divided by the estimated US cancer cases in each race and age subgroup.\nRESULTS: Cancer research participation varied significantly across racial/ethnic and age groups. Compared with a 1.8% enrollment fraction among white patients, lower enrollment fractions were noted in Hispanic (1.3%; odds ratio [OR] vs whites, 0.72; 95% confidence interval [CI], 0.68-0.77; P&lt;.001) and black (1.3%; OR, 0.71; 95% CI, 0.68-0.74; P&lt;.001) patients. There was a strong relationship between age and enrollment fraction, with trial participants 30 to 64 years of age representing 3.0% of incident cancer patients in that age group, in comparison to 1.3% of 65- to 74-year-old patients and 0.5% of patients 75 years of age and older. This inverse relationship between age and trial enrollment fraction was consistent across racial and ethnic groups. Although the total number of trial participants increased during our study period, the representation of racial and ethnic minorities decreased. In comparison to whites, after adjusting for age, cancer type, and sex, patients enrolled in 2000 through 2002 were 24% less likely to be black (adjusted relative risk ratio, 0.76; 95% CI, 0.65-0.89; P&lt;.001). Men were more likely than women to enroll in colorectal cancer trials (enrollment fractions: 2.1% vs 1.6%, respectively; OR, 1.30; 95% CI, 1.24-1.35; P&lt;.001) and lung cancer trials (enrollment fractions: 0.9% vs 0.7%, respectively; OR, 1.23; 95% CI, 1.16-1.31; P&lt;.001).\nCONCLUSIONS: Enrollment in cancer trials is low for all patient groups. Racial and ethnic minorities, women, and the elderly were less likely to enroll in cooperative group cancer trials than were whites, men, and younger patients, respectively. The proportion of trial participants who are black has declined in recent years.","container-title":"JAMA","DOI":"10.1001/jama.291.22.2720","ISSN":"1538-3598","issue":"22","journalAbbreviation":"JAMA","language":"eng","note":"PMID: 15187053","page":"2720-2726","source":"PubMed","title":"Participation in cancer clinical trials: race-, sex-, and age-based disparities","title-short":"Participation in cancer clinical trials","volume":"291","author":[{"family":"Murthy","given":"Vivek H."},{"family":"Krumholz","given":"Harlan M."},{"family":"Gross","given":"Cary P."}],"issued":{"date-parts":[["2004",6,9]]}}},{"id":902,"uris":["http://zotero.org/users/local/CWd9clrq/items/NYYVFC9B"],"uri":["http://zotero.org/users/local/CWd9clrq/items/NYYVFC9B"],"itemData":{"id":902,"type":"article-journal","abstract":"To gain knowledge on psychosocial characteristics that predict the propensity of participation in longitudinal studies, attrition was analysed in a cohort of 3020 adolescents participating in the baseline survey of a longitudinal study with repeated followup focusing on adolescents' tobacco use. During the followup surveys, the proportion of responders was constantly at or above 90%. There were 941 adolescents (31.2%) who failed to participate in at least one of the six followup surveys. Boys had a fifty percent increased risk of nonparticipation compared with girls. Adolescents in families with experience of divorce, unemployment, and change of residence had a higher risk of nonparticipation. An increasing number of stressful life events during the previous year, uptake of tobacco use, number of friends, perceived performance at school, truancy, and alcohol use during the last term also independently associated with nonparticipation. Diverse psychosocial characteristics are independently associated with nonparticipation of youths in longitudinal studies.","container-title":"TheScientificWorldJournal","DOI":"10.1100/2012/654030","ISSN":"1537-744X","journalAbbreviation":"ScientificWorldJournal","language":"eng","note":"PMID: 22649302\nPMCID: PMC3354444","page":"654030","source":"PubMed","title":"Psychosocial determinants of attrition in a longitudinal study of tobacco use in youth","volume":"2012","author":[{"family":"Post","given":"Ann"},{"family":"Gilljam","given":"Hans"},{"family":"Bremberg","given":"Sven"},{"family":"Galanti","given":"Maria Rosaria"}],"issued":{"date-parts":[["2012"]]}}},{"id":908,"uris":["http://zotero.org/users/local/CWd9clrq/items/5327EMK2"],"uri":["http://zotero.org/users/local/CWd9clrq/items/5327EMK2"],"itemData":{"id":908,"type":"article-journal","abstract":"Examined the significant predictors of attrition among adolescents in a longitudinal smoking prevention study and suggested ways to reduce attrition bias in evaluating program effects. 5,351 students in Los Angeles and San Diego were surveyed at 4 different time points which included pretesting (January 1986) and completion (April 1986) of an immediate postintervention, and 2 (April 1987 and April 1988) follow-up questionnaires. Survival analysis methods were used in the assessment. Results show that dropouts tend to be of lower academic achievement, have lower tobacco and health knowledge, have lower social influence/resistance skills knowledge, and are more likely to be smokers and marijuana users. Blacks are more likely to drop out than other ethnic groups and gender is not a significant predictor of attrition. Attrition bias can be reduced by considering the characteristics of dropouts and implementing appropriate strategies for reducing dropout rates. (PsycINFO Database Record (c) 2016 APA, all rights reserved)","container-title":"Preventive Medicine: An International Journal Devoted to Practice and Theory","DOI":"10.1006/pmed.1996.0089","ISSN":"0091-7435(Print)","issue":"5","note":"publisher-place: Netherlands\npublisher: Elsevier Science","page":"554-560","source":"APA PsycNET","title":"Factors affecting attrition in a longitudinal smoking prevention study","volume":"25","author":[{"family":"Siddiqui","given":"Ohidul"},{"family":"Flay","given":"Brian R."},{"family":"Hu","given":"Frank B."}],"issued":{"date-parts":[["1996"]]}}},{"id":921,"uris":["http://zotero.org/users/local/CWd9clrq/items/2RZYKCSU"],"uri":["http://zotero.org/users/local/CWd9clrq/items/2RZYKCSU"],"itemData":{"id":921,"type":"webpage","title":"Predictors of Retention in an Alcohol, Tobacco, and Other Drug Prevention Study - Debra Zand, Nicole Renick Thomson, Mary Dugan, James A. Braun, Pat Holterman-Hommes, Patricia L. Hunter, 2006","URL":"https://journals.sagepub.com/doi/10.1177/0193841X05281160","author":[{"family":"Zand","given":"D"},{"family":"Thomson","given":"NR"},{"family":"Budan","given":"M"},{"family":"Braun","given":"JA"}],"accessed":{"date-parts":[["2021",3,16]]},"issued":{"date-parts":[["2006"]]}}}],"schema":"https://github.com/citation-style-language/schema/raw/master/csl-citation.json"} </w:instrText>
      </w:r>
      <w:r>
        <w:rPr>
          <w:rFonts w:ascii="Times New Roman" w:hAnsi="Times New Roman" w:cs="Times New Roman"/>
          <w:color w:val="2B579A"/>
          <w:szCs w:val="24"/>
          <w:shd w:val="clear" w:color="auto" w:fill="E6E6E6"/>
        </w:rPr>
        <w:fldChar w:fldCharType="separate"/>
      </w:r>
      <w:r w:rsidRPr="00DC4D3C">
        <w:rPr>
          <w:rFonts w:ascii="Times New Roman" w:hAnsi="Times New Roman" w:cs="Times New Roman"/>
        </w:rPr>
        <w:t>(Hooven et al., 2011; Murthy et al., 2004; Post et al., 2012; Siddiqui et al., 1996; Zand et al., 2006)</w:t>
      </w:r>
      <w:r>
        <w:rPr>
          <w:rFonts w:ascii="Times New Roman" w:hAnsi="Times New Roman" w:cs="Times New Roman"/>
          <w:color w:val="2B579A"/>
          <w:szCs w:val="24"/>
          <w:shd w:val="clear" w:color="auto" w:fill="E6E6E6"/>
        </w:rPr>
        <w:fldChar w:fldCharType="end"/>
      </w:r>
      <w:r w:rsidRPr="003B0CEE">
        <w:rPr>
          <w:rFonts w:ascii="Times New Roman" w:hAnsi="Times New Roman" w:cs="Times New Roman"/>
          <w:szCs w:val="24"/>
        </w:rPr>
        <w:t xml:space="preserve">. The use of </w:t>
      </w:r>
      <w:r>
        <w:rPr>
          <w:rFonts w:ascii="Times New Roman" w:hAnsi="Times New Roman" w:eastAsia="STFangsong" w:cs="Times New Roman"/>
          <w:bCs/>
        </w:rPr>
        <w:t>t</w:t>
      </w:r>
      <w:r w:rsidRPr="009C71F3">
        <w:rPr>
          <w:rFonts w:ascii="Times New Roman" w:hAnsi="Times New Roman" w:eastAsia="STFangsong" w:cs="Times New Roman"/>
          <w:bCs/>
        </w:rPr>
        <w:t>okens of appreciation</w:t>
      </w:r>
      <w:r w:rsidRPr="00240799">
        <w:rPr>
          <w:rFonts w:ascii="Times New Roman" w:hAnsi="Times New Roman" w:eastAsia="STFangsong" w:cs="Times New Roman"/>
          <w:b/>
          <w:bCs/>
        </w:rPr>
        <w:t xml:space="preserve"> </w:t>
      </w:r>
      <w:r w:rsidRPr="003B0CEE">
        <w:rPr>
          <w:rFonts w:ascii="Times New Roman" w:hAnsi="Times New Roman" w:cs="Times New Roman"/>
          <w:szCs w:val="24"/>
        </w:rPr>
        <w:t xml:space="preserve">is associated with more diverse sample populations </w:t>
      </w:r>
      <w:r>
        <w:rPr>
          <w:rFonts w:ascii="Times New Roman" w:hAnsi="Times New Roman" w:cs="Times New Roman"/>
          <w:color w:val="2B579A"/>
          <w:szCs w:val="24"/>
          <w:shd w:val="clear" w:color="auto" w:fill="E6E6E6"/>
        </w:rPr>
        <w:fldChar w:fldCharType="begin"/>
      </w:r>
      <w:r>
        <w:rPr>
          <w:rFonts w:ascii="Times New Roman" w:hAnsi="Times New Roman" w:cs="Times New Roman"/>
          <w:szCs w:val="24"/>
        </w:rPr>
        <w:instrText xml:space="preserve"> ADDIN ZOTERO_ITEM CSL_CITATION {"citationID":"7pgKJKN1","properties":{"formattedCitation":"(Booker et al., 2011; Caldwell et al., 2010; Martinson et al., 2000; Walter et al., 2013)","plainCitation":"(Booker et al., 2011; Caldwell et al., 2010; Martinson et al., 2000; Walter et al., 2013)","noteIndex":0},"citationItems":[{"id":883,"uris":["http://zotero.org/users/local/CWd9clrq/items/N2IC5SQJ"],"uri":["http://zotero.org/users/local/CWd9clrq/items/N2IC5SQJ"],"itemData":{"id":883,"type":"webpage","title":"A systematic review of the effect of retention methods in population-based cohort studies | BMC Public Health | Full Text","URL":"https://bmcpublichealth.biomedcentral.com/articles/10.1186/1471-2458-11-249","author":[{"family":"Booker","given":"CL"},{"family":"Harding","given":"S"},{"family":"Benzeval","given":"M"}],"accessed":{"date-parts":[["2021",3,16]]},"issued":{"date-parts":[["2011"]]}}},{"id":885,"uris":["http://zotero.org/users/local/CWd9clrq/items/D8HW9JXS"],"uri":["http://zotero.org/users/local/CWd9clrq/items/D8HW9JXS"],"itemData":{"id":885,"type":"webpage","title":"Strategies for Increasing Recruitment to Randomised Controlled Trials: Systematic Review","URL":"https://journals.plos.org/plosmedicine/article?id=10.1371/journal.pmed.1000368","author":[{"family":"Caldwell","given":"PH"},{"family":"Hamilton","given":"S"},{"family":"Tan","given":"A"},{"family":"Craig","given":"JC"}],"accessed":{"date-parts":[["2021",3,16]]},"issued":{"date-parts":[["2010"]]}}},{"id":896,"uris":["http://zotero.org/users/local/CWd9clrq/items/3XDSDP5T"],"uri":["http://zotero.org/users/local/CWd9clrq/items/3XDSDP5T"],"itemData":{"id":896,"type":"article-journal","abstract":"BACKGROUND: The study objective is to evaluate the effect of monetary incentives on response rates of adolescents to a smoking-related survey as the first step toward participation in an intervention trial.\nMETHODS: A sample of 4,200 adolescent members of a managed care organization were randomized to one of four incentive groups: a $2 cash group, a $15 cash group, a $200 prize drawing group, or a no-incentive group. We compared group-specific response rates and willingness to be contacted about future study activities, as well as costs.\nRESULTS: Incentives increased survey response rates (55% response without incentive vs. a 69% response with incentive), with response of 74% in the $15 cash group, 69% in the token group, and 63% with a prize incentive. Incentives did not adversely affect willingness of adolescents to be contacted about a smoking intervention, (65% willing with incentives vs. 60% without, P = 0.03). In terms of cost per additional survey completed, token and prize groups were marginally more expensive than the no-incentive group ($0.40 and $1.42, respectively) while the large cash incentive was substantially more costly ($11.37).\nCONCLUSIONS: Monetary incentives improve response rates to a mailed survey, without adverse impact on willingness to further participate in intervention activities. However, a variety of issues must be considered when using incentives for recruitment to intervention studies.","container-title":"Preventive Medicine","DOI":"10.1006/pmed.2000.0762","ISSN":"0091-7435","issue":"6","journalAbbreviation":"Prev Med","language":"eng","note":"PMID: 11133338","page":"706-713","source":"PubMed","title":"Effectiveness of monetary incentives for recruiting adolescents to an intervention trial to reduce smoking","volume":"31","author":[{"family":"Martinson","given":"B. C."},{"family":"Lazovich","given":"D."},{"family":"Lando","given":"H. A."},{"family":"Perry","given":"C. L."},{"family":"McGovern","given":"P. G."},{"family":"Boyle","given":"R. G."}],"issued":{"date-parts":[["2000",12]]}}},{"id":913,"uris":["http://zotero.org/users/local/CWd9clrq/items/8IRBT3GG"],"uri":["http://zotero.org/users/local/CWd9clrq/items/8IRBT3GG"],"itemData":{"id":913,"type":"article-journal","abstract":"Minorities are underenrolled in clinical research trials, and one‐third of trials are underenrolled overall. The role of payment has not been studied at the national level as an explanation for enrollment patterns. Our objective was to examine the distribution of self‐reported previous research participation across different sociodemographic groups; to assess the public's perception of fair payment for a low‐risk medicine trial and the association between requested payment and sociodemographic characteristics; to estimate the amount of payment for a medication trial to achieve proportional representation of minorities and different socioeconomic groups. This was a cross‐sectional study with nationally representative data collected in 2011 by the C.S. Mott Children's Hospital National Poll on Children's Health. To determine the relationship between perceived fair payment and individual‐level characteristics, we used multivariable linear regression., With 60% participation rate, in a sample of 2,150 respondents 11% (n = 221) of the sample had previously participated in medical research. Requested payment differed significantly by racial/ethnic group with Hispanics requesting more payment than non‐Hispanic whites (0.37 [95%CI 0.02, 0.72]) In contrast to payment at $49, $149, and $249, payment at $349 yielded proportional representation of racial/ethnic minority groups., Hispanics requested higher payment for research participation, suggesting a possible explanation for their underenrollment.","container-title":"Clinical and Translational Science","DOI":"10.1111/cts.12084","ISSN":"1752-8054","issue":"5","journalAbbreviation":"Clin Transl Sci","note":"PMID: 24127923\nPMCID: PMC5350891","page":"363-371","source":"PubMed Central","title":"Research Participation by Low‐Income and Racial/Ethnic Minority Groups: How Payment May Change the Balance","title-short":"Research Participation by Low‐Income and Racial/Ethnic Minority Groups","volume":"6","author":[{"family":"Walter","given":"Jennifer K."},{"family":"Burke","given":"James F."},{"family":"Davis","given":"Matthew M."}],"issued":{"date-parts":[["2013",10]]}}}],"schema":"https://github.com/citation-style-language/schema/raw/master/csl-citation.json"} </w:instrText>
      </w:r>
      <w:r>
        <w:rPr>
          <w:rFonts w:ascii="Times New Roman" w:hAnsi="Times New Roman" w:cs="Times New Roman"/>
          <w:color w:val="2B579A"/>
          <w:szCs w:val="24"/>
          <w:shd w:val="clear" w:color="auto" w:fill="E6E6E6"/>
        </w:rPr>
        <w:fldChar w:fldCharType="separate"/>
      </w:r>
      <w:r w:rsidRPr="00976E50">
        <w:rPr>
          <w:rFonts w:ascii="Times New Roman" w:hAnsi="Times New Roman" w:cs="Times New Roman"/>
        </w:rPr>
        <w:t>(Booker et al., 2011; Caldwell et al., 2010; Martinson et al., 2000; Walter et al., 2013)</w:t>
      </w:r>
      <w:r>
        <w:rPr>
          <w:rFonts w:ascii="Times New Roman" w:hAnsi="Times New Roman" w:cs="Times New Roman"/>
          <w:color w:val="2B579A"/>
          <w:szCs w:val="24"/>
          <w:shd w:val="clear" w:color="auto" w:fill="E6E6E6"/>
        </w:rPr>
        <w:fldChar w:fldCharType="end"/>
      </w:r>
      <w:r>
        <w:rPr>
          <w:rFonts w:ascii="Times New Roman" w:hAnsi="Times New Roman" w:cs="Times New Roman"/>
          <w:szCs w:val="24"/>
        </w:rPr>
        <w:t>.</w:t>
      </w:r>
    </w:p>
    <w:p w:rsidR="00654EB1" w:rsidP="00654EB1" w:rsidRDefault="00654EB1" w14:paraId="0264EA46" w14:textId="24B7C9F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cs="Times New Roman"/>
          <w:szCs w:val="24"/>
        </w:rPr>
      </w:pPr>
    </w:p>
    <w:p w:rsidRPr="00654EB1" w:rsidR="00654EB1" w:rsidP="00032F12" w:rsidRDefault="00F818D0" w14:paraId="39CCF15C" w14:textId="09F82058">
      <w:pPr>
        <w:rPr>
          <w:rFonts w:ascii="Times New Roman" w:hAnsi="Times New Roman" w:cs="Times New Roman"/>
          <w:szCs w:val="24"/>
        </w:rPr>
      </w:pPr>
      <w:r>
        <w:rPr>
          <w:rStyle w:val="normaltextrun"/>
          <w:rFonts w:ascii="Times New Roman" w:hAnsi="Times New Roman" w:cs="Times New Roman"/>
          <w:color w:val="000000"/>
          <w:szCs w:val="24"/>
          <w:shd w:val="clear" w:color="auto" w:fill="FFFFFF"/>
        </w:rPr>
        <w:t>CTP</w:t>
      </w:r>
      <w:r w:rsidR="002B30F3">
        <w:rPr>
          <w:rStyle w:val="normaltextrun"/>
          <w:rFonts w:ascii="Times New Roman" w:hAnsi="Times New Roman" w:cs="Times New Roman"/>
          <w:color w:val="000000"/>
          <w:szCs w:val="24"/>
          <w:shd w:val="clear" w:color="auto" w:fill="FFFFFF"/>
        </w:rPr>
        <w:t xml:space="preserve"> has previously used this $10 token approach in a study with a </w:t>
      </w:r>
      <w:proofErr w:type="gramStart"/>
      <w:r w:rsidR="00001B8E">
        <w:rPr>
          <w:rStyle w:val="normaltextrun"/>
          <w:rFonts w:ascii="Times New Roman" w:hAnsi="Times New Roman" w:cs="Times New Roman"/>
          <w:color w:val="000000"/>
          <w:szCs w:val="24"/>
          <w:shd w:val="clear" w:color="auto" w:fill="FFFFFF"/>
        </w:rPr>
        <w:t>similar participants</w:t>
      </w:r>
      <w:proofErr w:type="gramEnd"/>
      <w:r w:rsidR="002B30F3">
        <w:rPr>
          <w:rStyle w:val="normaltextrun"/>
          <w:rFonts w:ascii="Times New Roman" w:hAnsi="Times New Roman" w:cs="Times New Roman"/>
          <w:color w:val="000000"/>
          <w:szCs w:val="24"/>
          <w:shd w:val="clear" w:color="auto" w:fill="FFFFFF"/>
        </w:rPr>
        <w:t xml:space="preserve"> (youth ages 13-17 who had experimented with ENDS use or at-risk of ENDS use)</w:t>
      </w:r>
      <w:r w:rsidR="00001B8E">
        <w:rPr>
          <w:rStyle w:val="normaltextrun"/>
          <w:rFonts w:ascii="Times New Roman" w:hAnsi="Times New Roman" w:cs="Times New Roman"/>
          <w:color w:val="000000"/>
          <w:szCs w:val="24"/>
          <w:shd w:val="clear" w:color="auto" w:fill="FFFFFF"/>
        </w:rPr>
        <w:t xml:space="preserve"> and study design</w:t>
      </w:r>
      <w:r w:rsidR="002B30F3">
        <w:rPr>
          <w:rStyle w:val="normaltextrun"/>
          <w:rFonts w:ascii="Times New Roman" w:hAnsi="Times New Roman" w:cs="Times New Roman"/>
          <w:color w:val="000000"/>
          <w:szCs w:val="24"/>
          <w:shd w:val="clear" w:color="auto" w:fill="FFFFFF"/>
        </w:rPr>
        <w:t>; that study had a diverse sample and timely data collection</w:t>
      </w:r>
      <w:r w:rsidR="004D229E">
        <w:rPr>
          <w:rStyle w:val="normaltextrun"/>
          <w:rFonts w:ascii="Times New Roman" w:hAnsi="Times New Roman" w:cs="Times New Roman"/>
          <w:color w:val="000000"/>
          <w:szCs w:val="24"/>
          <w:shd w:val="clear" w:color="auto" w:fill="FFFFFF"/>
        </w:rPr>
        <w:t xml:space="preserve"> (OMB control number 0910-8010)</w:t>
      </w:r>
      <w:r w:rsidR="002B30F3">
        <w:rPr>
          <w:rStyle w:val="normaltextrun"/>
          <w:rFonts w:ascii="Times New Roman" w:hAnsi="Times New Roman" w:cs="Times New Roman"/>
          <w:color w:val="000000"/>
          <w:szCs w:val="24"/>
          <w:shd w:val="clear" w:color="auto" w:fill="FFFFFF"/>
        </w:rPr>
        <w:t>.</w:t>
      </w:r>
      <w:r w:rsidR="004D229E">
        <w:rPr>
          <w:rStyle w:val="normaltextrun"/>
          <w:rFonts w:ascii="Times New Roman" w:hAnsi="Times New Roman" w:cs="Times New Roman"/>
          <w:color w:val="000000"/>
          <w:szCs w:val="24"/>
          <w:shd w:val="clear" w:color="auto" w:fill="FFFFFF"/>
        </w:rPr>
        <w:t xml:space="preserve"> In that </w:t>
      </w:r>
      <w:r w:rsidR="004D229E">
        <w:rPr>
          <w:rStyle w:val="normaltextrun"/>
          <w:rFonts w:ascii="Times New Roman" w:hAnsi="Times New Roman" w:cs="Times New Roman"/>
          <w:color w:val="000000"/>
          <w:szCs w:val="24"/>
          <w:shd w:val="clear" w:color="auto" w:fill="FFFFFF"/>
        </w:rPr>
        <w:lastRenderedPageBreak/>
        <w:t xml:space="preserve">study, the response rate was </w:t>
      </w:r>
      <w:r w:rsidR="00D167B5">
        <w:rPr>
          <w:rStyle w:val="normaltextrun"/>
          <w:rFonts w:ascii="Times New Roman" w:hAnsi="Times New Roman" w:cs="Times New Roman"/>
          <w:color w:val="000000"/>
          <w:szCs w:val="24"/>
          <w:shd w:val="clear" w:color="auto" w:fill="FFFFFF"/>
        </w:rPr>
        <w:t>about 19% (1,660 completed out of 8,837 screened)</w:t>
      </w:r>
      <w:r w:rsidR="008B25E9">
        <w:rPr>
          <w:rStyle w:val="normaltextrun"/>
          <w:rFonts w:ascii="Times New Roman" w:hAnsi="Times New Roman" w:cs="Times New Roman"/>
          <w:color w:val="000000"/>
          <w:szCs w:val="24"/>
          <w:shd w:val="clear" w:color="auto" w:fill="FFFFFF"/>
        </w:rPr>
        <w:t xml:space="preserve">. </w:t>
      </w:r>
      <w:r w:rsidR="00D44433">
        <w:rPr>
          <w:rStyle w:val="normaltextrun"/>
          <w:rFonts w:ascii="Times New Roman" w:hAnsi="Times New Roman" w:cs="Times New Roman"/>
          <w:color w:val="000000"/>
          <w:szCs w:val="24"/>
          <w:shd w:val="clear" w:color="auto" w:fill="FFFFFF"/>
        </w:rPr>
        <w:t>This</w:t>
      </w:r>
      <w:r>
        <w:rPr>
          <w:rStyle w:val="normaltextrun"/>
          <w:rFonts w:ascii="Times New Roman" w:hAnsi="Times New Roman" w:cs="Times New Roman"/>
          <w:color w:val="000000"/>
          <w:szCs w:val="24"/>
          <w:shd w:val="clear" w:color="auto" w:fill="FFFFFF"/>
        </w:rPr>
        <w:t xml:space="preserve"> past data show that this</w:t>
      </w:r>
      <w:r w:rsidR="008B25E9">
        <w:rPr>
          <w:rStyle w:val="normaltextrun"/>
          <w:rFonts w:ascii="Times New Roman" w:hAnsi="Times New Roman" w:cs="Times New Roman"/>
          <w:color w:val="000000"/>
          <w:szCs w:val="24"/>
          <w:shd w:val="clear" w:color="auto" w:fill="FFFFFF"/>
        </w:rPr>
        <w:t xml:space="preserve"> is a difficult population to recruit and enroll, and a</w:t>
      </w:r>
      <w:r w:rsidR="00532337">
        <w:rPr>
          <w:rStyle w:val="normaltextrun"/>
          <w:rFonts w:ascii="Times New Roman" w:hAnsi="Times New Roman" w:cs="Times New Roman"/>
          <w:color w:val="000000"/>
          <w:szCs w:val="24"/>
          <w:shd w:val="clear" w:color="auto" w:fill="FFFFFF"/>
        </w:rPr>
        <w:t xml:space="preserve">n incentive rate lower than $10 </w:t>
      </w:r>
      <w:r w:rsidR="008B25E9">
        <w:rPr>
          <w:rStyle w:val="normaltextrun"/>
          <w:rFonts w:ascii="Times New Roman" w:hAnsi="Times New Roman" w:cs="Times New Roman"/>
          <w:color w:val="000000"/>
          <w:szCs w:val="24"/>
          <w:shd w:val="clear" w:color="auto" w:fill="FFFFFF"/>
        </w:rPr>
        <w:t>would severely negatively impact the response rate</w:t>
      </w:r>
      <w:r w:rsidR="00532337">
        <w:rPr>
          <w:rStyle w:val="normaltextrun"/>
          <w:rFonts w:ascii="Times New Roman" w:hAnsi="Times New Roman" w:cs="Times New Roman"/>
          <w:color w:val="000000"/>
          <w:szCs w:val="24"/>
          <w:shd w:val="clear" w:color="auto" w:fill="FFFFFF"/>
        </w:rPr>
        <w:t>, costing the government additional time and money</w:t>
      </w:r>
      <w:r w:rsidR="008B25E9">
        <w:rPr>
          <w:rStyle w:val="normaltextrun"/>
          <w:rFonts w:ascii="Times New Roman" w:hAnsi="Times New Roman" w:cs="Times New Roman"/>
          <w:color w:val="000000"/>
          <w:szCs w:val="24"/>
          <w:shd w:val="clear" w:color="auto" w:fill="FFFFFF"/>
        </w:rPr>
        <w:t xml:space="preserve">. </w:t>
      </w:r>
      <w:r w:rsidR="002B30F3">
        <w:rPr>
          <w:rStyle w:val="normaltextrun"/>
          <w:rFonts w:ascii="Times New Roman" w:hAnsi="Times New Roman" w:cs="Times New Roman"/>
          <w:color w:val="000000"/>
          <w:szCs w:val="24"/>
          <w:shd w:val="clear" w:color="auto" w:fill="FFFFFF"/>
        </w:rPr>
        <w:t>Other CTP studies have used similar tokens of appreciation for surveys of similar length and with similar target populations (e.g., Monthly Monitoring Study, OMB control number 0910-0810).</w:t>
      </w:r>
      <w:r w:rsidR="002B30F3">
        <w:rPr>
          <w:rStyle w:val="eop"/>
          <w:rFonts w:ascii="Times New Roman" w:hAnsi="Times New Roman" w:cs="Times New Roman"/>
          <w:color w:val="000000"/>
          <w:szCs w:val="24"/>
          <w:shd w:val="clear" w:color="auto" w:fill="FFFFFF"/>
        </w:rPr>
        <w:t> </w:t>
      </w:r>
    </w:p>
    <w:p w:rsidR="00122407" w:rsidP="00C6714A" w:rsidRDefault="00122407" w14:paraId="55350C4B" w14:textId="77777777">
      <w:pPr>
        <w:pStyle w:val="ListParagraph"/>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cs="Times New Roman"/>
          <w:szCs w:val="24"/>
        </w:rPr>
      </w:pPr>
    </w:p>
    <w:p w:rsidRPr="008265FC" w:rsidR="00BE1FCB" w:rsidP="00BE1FCB" w:rsidRDefault="00BE1FCB" w14:paraId="5719D0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Pr>
          <w:rFonts w:ascii="Times New Roman" w:hAnsi="Times New Roman" w:eastAsia="Times New Roman" w:cs="Times New Roman"/>
          <w:b/>
          <w:bCs/>
          <w:szCs w:val="24"/>
        </w:rPr>
        <w:t xml:space="preserve">10. </w:t>
      </w:r>
      <w:r w:rsidRPr="008265FC">
        <w:rPr>
          <w:rFonts w:ascii="Times New Roman" w:hAnsi="Times New Roman" w:eastAsia="Times New Roman" w:cs="Times New Roman"/>
          <w:b/>
          <w:bCs/>
          <w:szCs w:val="24"/>
          <w:u w:val="single"/>
        </w:rPr>
        <w:t>Assurance of Confidentiality Provided to Respondents</w:t>
      </w:r>
      <w:bookmarkEnd w:id="15"/>
    </w:p>
    <w:p w:rsidRPr="008265FC" w:rsidR="00BE1FCB" w:rsidP="265E300C" w:rsidRDefault="00BE1FCB" w14:paraId="146EB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923F05" w:rsidR="00B30823" w:rsidP="00122407" w:rsidRDefault="00B30823" w14:paraId="5C758071" w14:textId="1F567705">
      <w:pPr>
        <w:autoSpaceDE w:val="0"/>
        <w:autoSpaceDN w:val="0"/>
        <w:adjustRightInd w:val="0"/>
        <w:ind w:left="180"/>
        <w:rPr>
          <w:rFonts w:eastAsia="Calibri"/>
          <w:szCs w:val="24"/>
        </w:rPr>
      </w:pPr>
      <w:bookmarkStart w:name="_Hlk64609096" w:id="20"/>
      <w:r w:rsidRPr="265E300C">
        <w:rPr>
          <w:rFonts w:ascii="Times New Roman" w:hAnsi="Times New Roman" w:eastAsia="Times New Roman" w:cs="Times New Roman"/>
        </w:rPr>
        <w:t>OMB Control Number 0910-0810 is covered underneath a Privacy Impact Assessment that has been approved by the Department of Health and Human Services (PIA Unique Identifier: P-9008729-198376).</w:t>
      </w:r>
      <w:r w:rsidRPr="265E300C" w:rsidR="265E300C">
        <w:rPr>
          <w:rFonts w:ascii="Times New Roman" w:hAnsi="Times New Roman" w:eastAsia="Times New Roman" w:cs="Times New Roman"/>
          <w:szCs w:val="24"/>
        </w:rPr>
        <w:t xml:space="preserve"> Concern for privacy and protection of respondents’ rights will play a central role in the study implementation, storage and handling of data, and data analysis and reporting. The Institutional Review Board (IRB) of KDH Research &amp; Communication, the research organization contracted to manage data collection, </w:t>
      </w:r>
      <w:proofErr w:type="gramStart"/>
      <w:r w:rsidRPr="265E300C" w:rsidR="265E300C">
        <w:rPr>
          <w:rFonts w:ascii="Times New Roman" w:hAnsi="Times New Roman" w:eastAsia="Times New Roman" w:cs="Times New Roman"/>
          <w:szCs w:val="24"/>
        </w:rPr>
        <w:t>reviewed</w:t>
      </w:r>
      <w:proofErr w:type="gramEnd"/>
      <w:r w:rsidRPr="265E300C" w:rsidR="265E300C">
        <w:rPr>
          <w:rFonts w:ascii="Times New Roman" w:hAnsi="Times New Roman" w:eastAsia="Times New Roman" w:cs="Times New Roman"/>
          <w:szCs w:val="24"/>
        </w:rPr>
        <w:t xml:space="preserve"> and approved the protocols for the survey. The primary concern of IRB is protecting respondents’ rights, one of which is maintaining the privacy of respondent information.</w:t>
      </w:r>
    </w:p>
    <w:bookmarkEnd w:id="20"/>
    <w:p w:rsidRPr="00060E16" w:rsidR="00060E16" w:rsidP="00C6714A" w:rsidRDefault="00060E16" w14:paraId="501FBE8E" w14:textId="582DF64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004E510C" w:rsidP="265E300C" w:rsidRDefault="00060E16" w14:paraId="780F4B05" w14:textId="48AADB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r w:rsidRPr="265E300C">
        <w:rPr>
          <w:rFonts w:ascii="Times New Roman" w:hAnsi="Times New Roman" w:eastAsia="Times New Roman" w:cs="Times New Roman"/>
        </w:rPr>
        <w:t>As part of this study</w:t>
      </w:r>
      <w:r w:rsidRPr="265E300C" w:rsidR="0083232D">
        <w:rPr>
          <w:rFonts w:ascii="Times New Roman" w:hAnsi="Times New Roman" w:eastAsia="Times New Roman" w:cs="Times New Roman"/>
        </w:rPr>
        <w:t xml:space="preserve"> </w:t>
      </w:r>
      <w:r w:rsidRPr="265E300C" w:rsidR="006A7086">
        <w:rPr>
          <w:rFonts w:ascii="Times New Roman" w:hAnsi="Times New Roman" w:eastAsia="Times New Roman" w:cs="Times New Roman"/>
        </w:rPr>
        <w:t>Marketing Workshop</w:t>
      </w:r>
      <w:r w:rsidRPr="265E300C">
        <w:rPr>
          <w:rFonts w:ascii="Times New Roman" w:hAnsi="Times New Roman" w:eastAsia="Times New Roman" w:cs="Times New Roman"/>
        </w:rPr>
        <w:t>, is collecting and maintaining personally identifiable information (PII) about participants who complete the online screener</w:t>
      </w:r>
      <w:r w:rsidRPr="265E300C" w:rsidR="00E25223">
        <w:rPr>
          <w:rFonts w:ascii="Times New Roman" w:hAnsi="Times New Roman" w:eastAsia="Times New Roman" w:cs="Times New Roman"/>
        </w:rPr>
        <w:t xml:space="preserve"> and</w:t>
      </w:r>
      <w:r w:rsidRPr="265E300C">
        <w:rPr>
          <w:rFonts w:ascii="Times New Roman" w:hAnsi="Times New Roman" w:eastAsia="Times New Roman" w:cs="Times New Roman"/>
        </w:rPr>
        <w:t xml:space="preserve"> </w:t>
      </w:r>
      <w:r w:rsidRPr="265E300C" w:rsidR="00023F60">
        <w:rPr>
          <w:rFonts w:ascii="Times New Roman" w:hAnsi="Times New Roman" w:eastAsia="Times New Roman" w:cs="Times New Roman"/>
        </w:rPr>
        <w:t>the</w:t>
      </w:r>
      <w:r w:rsidRPr="265E300C">
        <w:rPr>
          <w:rFonts w:ascii="Times New Roman" w:hAnsi="Times New Roman" w:eastAsia="Times New Roman" w:cs="Times New Roman"/>
        </w:rPr>
        <w:t xml:space="preserve"> online surveys</w:t>
      </w:r>
      <w:r w:rsidRPr="265E300C" w:rsidR="00023F60">
        <w:rPr>
          <w:rFonts w:ascii="Times New Roman" w:hAnsi="Times New Roman" w:eastAsia="Times New Roman" w:cs="Times New Roman"/>
        </w:rPr>
        <w:t>.</w:t>
      </w:r>
      <w:r w:rsidR="0020465D">
        <w:t xml:space="preserve"> </w:t>
      </w:r>
      <w:r w:rsidRPr="265E300C" w:rsidR="0020465D">
        <w:rPr>
          <w:rFonts w:ascii="Times New Roman" w:hAnsi="Times New Roman" w:eastAsia="Times New Roman" w:cs="Times New Roman"/>
        </w:rPr>
        <w:t xml:space="preserve">The only PII </w:t>
      </w:r>
      <w:r w:rsidRPr="265E300C" w:rsidR="00A7002E">
        <w:rPr>
          <w:rFonts w:ascii="Times New Roman" w:hAnsi="Times New Roman" w:eastAsia="Times New Roman" w:cs="Times New Roman"/>
        </w:rPr>
        <w:t>that</w:t>
      </w:r>
      <w:r w:rsidRPr="265E300C" w:rsidR="0020465D">
        <w:rPr>
          <w:rFonts w:ascii="Times New Roman" w:hAnsi="Times New Roman" w:eastAsia="Times New Roman" w:cs="Times New Roman"/>
        </w:rPr>
        <w:t xml:space="preserve"> will be collect</w:t>
      </w:r>
      <w:r w:rsidRPr="265E300C" w:rsidR="001A6649">
        <w:rPr>
          <w:rFonts w:ascii="Times New Roman" w:hAnsi="Times New Roman" w:eastAsia="Times New Roman" w:cs="Times New Roman"/>
        </w:rPr>
        <w:t>ed</w:t>
      </w:r>
      <w:r w:rsidRPr="265E300C" w:rsidR="0020465D">
        <w:rPr>
          <w:rFonts w:ascii="Times New Roman" w:hAnsi="Times New Roman" w:eastAsia="Times New Roman" w:cs="Times New Roman"/>
        </w:rPr>
        <w:t xml:space="preserve"> is email address</w:t>
      </w:r>
      <w:r w:rsidRPr="265E300C" w:rsidR="00757FBF">
        <w:rPr>
          <w:rFonts w:ascii="Times New Roman" w:hAnsi="Times New Roman" w:eastAsia="Times New Roman" w:cs="Times New Roman"/>
        </w:rPr>
        <w:t xml:space="preserve">, </w:t>
      </w:r>
      <w:r w:rsidRPr="265E300C" w:rsidR="0020465D">
        <w:rPr>
          <w:rFonts w:ascii="Times New Roman" w:hAnsi="Times New Roman" w:eastAsia="Times New Roman" w:cs="Times New Roman"/>
        </w:rPr>
        <w:t>IP address,</w:t>
      </w:r>
      <w:r w:rsidRPr="265E300C" w:rsidR="00757FBF">
        <w:rPr>
          <w:rFonts w:ascii="Times New Roman" w:hAnsi="Times New Roman" w:eastAsia="Times New Roman" w:cs="Times New Roman"/>
        </w:rPr>
        <w:t xml:space="preserve"> and </w:t>
      </w:r>
      <w:r w:rsidRPr="265E300C" w:rsidR="00162146">
        <w:rPr>
          <w:rFonts w:ascii="Times New Roman" w:hAnsi="Times New Roman" w:eastAsia="Times New Roman" w:cs="Times New Roman"/>
        </w:rPr>
        <w:t>zip code</w:t>
      </w:r>
      <w:r w:rsidRPr="265E300C" w:rsidR="009F3A6F">
        <w:rPr>
          <w:rFonts w:ascii="Times New Roman" w:hAnsi="Times New Roman" w:eastAsia="Times New Roman" w:cs="Times New Roman"/>
        </w:rPr>
        <w:t>.</w:t>
      </w:r>
      <w:r w:rsidRPr="265E300C" w:rsidR="0020465D">
        <w:rPr>
          <w:rFonts w:ascii="Times New Roman" w:hAnsi="Times New Roman" w:eastAsia="Times New Roman" w:cs="Times New Roman"/>
        </w:rPr>
        <w:t xml:space="preserve"> </w:t>
      </w:r>
      <w:r w:rsidRPr="265E300C" w:rsidR="009F3A6F">
        <w:rPr>
          <w:rFonts w:ascii="Times New Roman" w:hAnsi="Times New Roman" w:eastAsia="Times New Roman" w:cs="Times New Roman"/>
        </w:rPr>
        <w:t>T</w:t>
      </w:r>
      <w:r w:rsidRPr="265E300C" w:rsidR="0020465D">
        <w:rPr>
          <w:rFonts w:ascii="Times New Roman" w:hAnsi="Times New Roman" w:eastAsia="Times New Roman" w:cs="Times New Roman"/>
        </w:rPr>
        <w:t>his information will be stored separately from each other and from survey responses</w:t>
      </w:r>
      <w:r w:rsidRPr="265E300C" w:rsidR="006A7086">
        <w:rPr>
          <w:rFonts w:ascii="Times New Roman" w:hAnsi="Times New Roman" w:eastAsia="Times New Roman" w:cs="Times New Roman"/>
        </w:rPr>
        <w:t xml:space="preserve">. </w:t>
      </w:r>
      <w:r w:rsidRPr="265E300C" w:rsidR="0020465D">
        <w:rPr>
          <w:rFonts w:ascii="Times New Roman" w:hAnsi="Times New Roman" w:eastAsia="Times New Roman" w:cs="Times New Roman"/>
        </w:rPr>
        <w:t>We are not collecting any</w:t>
      </w:r>
      <w:r w:rsidRPr="265E300C" w:rsidR="00D54A74">
        <w:rPr>
          <w:rFonts w:ascii="Times New Roman" w:hAnsi="Times New Roman" w:eastAsia="Times New Roman" w:cs="Times New Roman"/>
        </w:rPr>
        <w:t xml:space="preserve"> Protected Health Information,</w:t>
      </w:r>
      <w:r w:rsidRPr="265E300C" w:rsidR="0020465D">
        <w:rPr>
          <w:rFonts w:ascii="Times New Roman" w:hAnsi="Times New Roman" w:eastAsia="Times New Roman" w:cs="Times New Roman"/>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 </w:t>
      </w:r>
      <w:r w:rsidRPr="265E300C" w:rsidR="0034447E">
        <w:rPr>
          <w:rFonts w:ascii="Times New Roman" w:hAnsi="Times New Roman" w:eastAsia="Times New Roman" w:cs="Times New Roman"/>
        </w:rPr>
        <w:t>S</w:t>
      </w:r>
      <w:r w:rsidRPr="265E300C" w:rsidR="0020465D">
        <w:rPr>
          <w:rFonts w:ascii="Times New Roman" w:hAnsi="Times New Roman" w:eastAsia="Times New Roman" w:cs="Times New Roman"/>
        </w:rPr>
        <w:t xml:space="preserve">urvey data </w:t>
      </w:r>
      <w:r w:rsidRPr="265E300C" w:rsidR="00FE784E">
        <w:rPr>
          <w:rFonts w:ascii="Times New Roman" w:hAnsi="Times New Roman" w:eastAsia="Times New Roman" w:cs="Times New Roman"/>
        </w:rPr>
        <w:t>will always be kept separate from PII</w:t>
      </w:r>
      <w:r w:rsidRPr="265E300C" w:rsidR="006A7086">
        <w:rPr>
          <w:rFonts w:ascii="Times New Roman" w:hAnsi="Times New Roman" w:eastAsia="Times New Roman" w:cs="Times New Roman"/>
        </w:rPr>
        <w:t>.</w:t>
      </w:r>
      <w:r w:rsidRPr="265E300C" w:rsidR="0058084A">
        <w:rPr>
          <w:rFonts w:ascii="Times New Roman" w:hAnsi="Times New Roman" w:eastAsia="Times New Roman" w:cs="Times New Roman"/>
        </w:rPr>
        <w:t xml:space="preserve"> </w:t>
      </w:r>
      <w:r w:rsidRPr="265E300C" w:rsidR="00265644">
        <w:rPr>
          <w:rFonts w:ascii="Times New Roman" w:hAnsi="Times New Roman"/>
        </w:rPr>
        <w:t xml:space="preserve">Only Marketing Workshop will ever have data with PII. </w:t>
      </w:r>
      <w:r w:rsidRPr="265E300C" w:rsidR="009B5CC3">
        <w:rPr>
          <w:rFonts w:ascii="Times New Roman" w:hAnsi="Times New Roman"/>
        </w:rPr>
        <w:t>FDA, FCB, and KDH Research &amp; Communication will not have access to any PII</w:t>
      </w:r>
      <w:r w:rsidRPr="265E300C" w:rsidR="00265644">
        <w:rPr>
          <w:rFonts w:ascii="Times New Roman" w:hAnsi="Times New Roman"/>
        </w:rPr>
        <w:t>.</w:t>
      </w:r>
    </w:p>
    <w:p w:rsidR="00F10971" w:rsidP="265E300C" w:rsidRDefault="00F10971" w14:paraId="5DC2EC61" w14:textId="61D050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p>
    <w:p w:rsidR="00F10971" w:rsidP="00F10971" w:rsidRDefault="00F10971" w14:paraId="0D18C484" w14:textId="7F4A18E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r w:rsidRPr="00F10971">
        <w:rPr>
          <w:rFonts w:ascii="Times New Roman" w:hAnsi="Times New Roman"/>
        </w:rPr>
        <w:t>The following procedures will be used to ensure participant privacy before, during, and after fielding:</w:t>
      </w:r>
    </w:p>
    <w:p w:rsidRPr="00F10971" w:rsidR="00F10971" w:rsidP="00F10971" w:rsidRDefault="00F10971" w14:paraId="58AAFD9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rPr>
      </w:pPr>
    </w:p>
    <w:p w:rsidR="00F10971" w:rsidP="00F10971" w:rsidRDefault="00F10971" w14:paraId="1D4A0587" w14:textId="77777777">
      <w:pPr>
        <w:pStyle w:val="ListParagraph"/>
        <w:numPr>
          <w:ilvl w:val="0"/>
          <w:numId w:val="3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rPr>
      </w:pPr>
      <w:r>
        <w:rPr>
          <w:rFonts w:ascii="Times New Roman" w:hAnsi="Times New Roman"/>
        </w:rPr>
        <w:t xml:space="preserve"> </w:t>
      </w:r>
      <w:r w:rsidRPr="00F10971">
        <w:rPr>
          <w:rFonts w:ascii="Times New Roman" w:hAnsi="Times New Roman"/>
        </w:rPr>
        <w:t xml:space="preserve">PII in the form of participants’ email addresses, zip codes, and IP addresses will be stored separately from screening-related data and survey </w:t>
      </w:r>
      <w:proofErr w:type="gramStart"/>
      <w:r w:rsidRPr="00F10971">
        <w:rPr>
          <w:rFonts w:ascii="Times New Roman" w:hAnsi="Times New Roman"/>
        </w:rPr>
        <w:t>data;</w:t>
      </w:r>
      <w:proofErr w:type="gramEnd"/>
    </w:p>
    <w:p w:rsidR="00F10971" w:rsidP="00F10971" w:rsidRDefault="00F10971" w14:paraId="0C0B42D7" w14:textId="77777777">
      <w:pPr>
        <w:pStyle w:val="ListParagraph"/>
        <w:numPr>
          <w:ilvl w:val="0"/>
          <w:numId w:val="3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rPr>
      </w:pPr>
      <w:r>
        <w:rPr>
          <w:rFonts w:ascii="Times New Roman" w:hAnsi="Times New Roman"/>
        </w:rPr>
        <w:t xml:space="preserve"> </w:t>
      </w:r>
      <w:r w:rsidRPr="00F10971">
        <w:rPr>
          <w:rFonts w:ascii="Times New Roman" w:hAnsi="Times New Roman"/>
        </w:rPr>
        <w:t xml:space="preserve">email addresses, zip codes, and IP addresses will be deleted after survey </w:t>
      </w:r>
      <w:proofErr w:type="gramStart"/>
      <w:r w:rsidRPr="00F10971">
        <w:rPr>
          <w:rFonts w:ascii="Times New Roman" w:hAnsi="Times New Roman"/>
        </w:rPr>
        <w:t>completion;</w:t>
      </w:r>
      <w:proofErr w:type="gramEnd"/>
    </w:p>
    <w:p w:rsidR="00F10971" w:rsidP="00F10971" w:rsidRDefault="00F10971" w14:paraId="4B94DE97" w14:textId="77777777">
      <w:pPr>
        <w:pStyle w:val="ListParagraph"/>
        <w:numPr>
          <w:ilvl w:val="0"/>
          <w:numId w:val="3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rPr>
      </w:pPr>
      <w:r>
        <w:rPr>
          <w:rFonts w:ascii="Times New Roman" w:hAnsi="Times New Roman"/>
        </w:rPr>
        <w:t xml:space="preserve"> </w:t>
      </w:r>
      <w:r w:rsidRPr="00F10971">
        <w:rPr>
          <w:rFonts w:ascii="Times New Roman" w:hAnsi="Times New Roman"/>
        </w:rPr>
        <w:t xml:space="preserve">datasets and reports will not contain any PII; and </w:t>
      </w:r>
    </w:p>
    <w:p w:rsidRPr="00F10971" w:rsidR="00F10971" w:rsidP="00F10971" w:rsidRDefault="00F10971" w14:paraId="2588D743" w14:textId="09F5AF33">
      <w:pPr>
        <w:pStyle w:val="ListParagraph"/>
        <w:numPr>
          <w:ilvl w:val="0"/>
          <w:numId w:val="3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rPr>
      </w:pPr>
      <w:r>
        <w:rPr>
          <w:rFonts w:ascii="Times New Roman" w:hAnsi="Times New Roman"/>
        </w:rPr>
        <w:t xml:space="preserve"> </w:t>
      </w:r>
      <w:r w:rsidRPr="00F10971">
        <w:rPr>
          <w:rFonts w:ascii="Times New Roman" w:hAnsi="Times New Roman"/>
        </w:rPr>
        <w:t>respondents’ information will not be tied to their individual responses and all analyses</w:t>
      </w:r>
      <w:r>
        <w:rPr>
          <w:rFonts w:ascii="Times New Roman" w:hAnsi="Times New Roman"/>
        </w:rPr>
        <w:t xml:space="preserve"> </w:t>
      </w:r>
      <w:r w:rsidRPr="00F10971">
        <w:rPr>
          <w:rFonts w:ascii="Times New Roman" w:hAnsi="Times New Roman"/>
        </w:rPr>
        <w:t xml:space="preserve">will be conducted in the aggregate (i.e., any data used in reporting will not be attributed to individual participants). All datasets and reports delivered to FDA, FCB (FDA Contractor) and KDH Research &amp; Communication (FDA sub-contractor) will not include PII. </w:t>
      </w:r>
    </w:p>
    <w:p w:rsidR="265E300C" w:rsidP="265E300C" w:rsidRDefault="265E300C" w14:paraId="4A4F4703" w14:textId="14A852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eastAsia="Calibri"/>
          <w:szCs w:val="24"/>
        </w:rPr>
      </w:pPr>
    </w:p>
    <w:p w:rsidR="00BE1FCB" w:rsidP="00F10971" w:rsidRDefault="00BE1FCB" w14:paraId="2CFC367D" w14:textId="0AAF172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Cs w:val="24"/>
        </w:rPr>
      </w:pPr>
      <w:r w:rsidRPr="265E300C">
        <w:rPr>
          <w:rFonts w:ascii="Times New Roman" w:hAnsi="Times New Roman" w:eastAsia="Times New Roman" w:cs="Times New Roman"/>
        </w:rPr>
        <w:t xml:space="preserve">PII will be collected in the form of email addresses for the purposes of </w:t>
      </w:r>
      <w:r w:rsidRPr="265E300C" w:rsidR="008D7806">
        <w:rPr>
          <w:rFonts w:ascii="Times New Roman" w:hAnsi="Times New Roman" w:eastAsia="Times New Roman" w:cs="Times New Roman"/>
        </w:rPr>
        <w:t>data quality assurance</w:t>
      </w:r>
      <w:r w:rsidRPr="265E300C">
        <w:rPr>
          <w:rFonts w:ascii="Times New Roman" w:hAnsi="Times New Roman" w:eastAsia="Times New Roman" w:cs="Times New Roman"/>
        </w:rPr>
        <w:t xml:space="preserve">. </w:t>
      </w:r>
      <w:r w:rsidRPr="265E300C" w:rsidR="00E64E8B">
        <w:rPr>
          <w:rFonts w:ascii="Times New Roman" w:hAnsi="Times New Roman" w:eastAsia="Times New Roman" w:cs="Times New Roman"/>
        </w:rPr>
        <w:t xml:space="preserve">Zip codes will be collected to </w:t>
      </w:r>
      <w:r w:rsidRPr="265E300C" w:rsidR="006E4D52">
        <w:rPr>
          <w:rFonts w:ascii="Times New Roman" w:hAnsi="Times New Roman" w:eastAsia="Times New Roman" w:cs="Times New Roman"/>
        </w:rPr>
        <w:t>verify</w:t>
      </w:r>
      <w:r w:rsidRPr="265E300C" w:rsidR="00E64E8B">
        <w:rPr>
          <w:rFonts w:ascii="Times New Roman" w:hAnsi="Times New Roman" w:eastAsia="Times New Roman" w:cs="Times New Roman"/>
        </w:rPr>
        <w:t xml:space="preserve"> that participants are within</w:t>
      </w:r>
      <w:r w:rsidR="00E64E8B">
        <w:t xml:space="preserve"> </w:t>
      </w:r>
      <w:r w:rsidRPr="265E300C" w:rsidR="00E64E8B">
        <w:rPr>
          <w:rFonts w:ascii="Times New Roman" w:hAnsi="Times New Roman" w:eastAsia="Times New Roman" w:cs="Times New Roman"/>
        </w:rPr>
        <w:t>determined geographic targets for the study. IP Address will be collected automatically to reduce fraudulent activity and verify participant country of origin</w:t>
      </w:r>
      <w:r w:rsidRPr="265E300C" w:rsidR="00D42BF1">
        <w:rPr>
          <w:rFonts w:ascii="Times New Roman" w:hAnsi="Times New Roman" w:eastAsia="Times New Roman" w:cs="Times New Roman"/>
        </w:rPr>
        <w:t>.</w:t>
      </w:r>
      <w:r w:rsidRPr="265E300C" w:rsidR="00E64E8B">
        <w:rPr>
          <w:rFonts w:ascii="Times New Roman" w:hAnsi="Times New Roman" w:eastAsia="Times New Roman" w:cs="Times New Roman"/>
        </w:rPr>
        <w:t xml:space="preserve"> </w:t>
      </w:r>
      <w:r w:rsidRPr="265E300C">
        <w:rPr>
          <w:rFonts w:ascii="Times New Roman" w:hAnsi="Times New Roman" w:eastAsia="Times New Roman" w:cs="Times New Roman"/>
        </w:rPr>
        <w:t xml:space="preserve">No additional personal identifiers (e.g., full name, phone number, </w:t>
      </w:r>
      <w:r w:rsidRPr="265E300C">
        <w:rPr>
          <w:rFonts w:ascii="Times New Roman" w:hAnsi="Times New Roman" w:eastAsia="Times New Roman" w:cs="Times New Roman"/>
        </w:rPr>
        <w:lastRenderedPageBreak/>
        <w:t>social security number) will be collected aside from basic demographic information (e.g., gender, age, and race). PII will be stored separately from any survey responses</w:t>
      </w:r>
      <w:r w:rsidRPr="265E300C" w:rsidR="001B0020">
        <w:rPr>
          <w:rFonts w:ascii="Times New Roman" w:hAnsi="Times New Roman" w:eastAsia="Times New Roman" w:cs="Times New Roman"/>
        </w:rPr>
        <w:t xml:space="preserve">. </w:t>
      </w:r>
      <w:r w:rsidRPr="265E300C">
        <w:rPr>
          <w:rFonts w:ascii="Times New Roman" w:hAnsi="Times New Roman" w:eastAsia="Times New Roman" w:cs="Times New Roman"/>
        </w:rPr>
        <w:t xml:space="preserve"> </w:t>
      </w:r>
    </w:p>
    <w:p w:rsidR="00265644" w:rsidP="00060E16" w:rsidRDefault="00265644" w14:paraId="0E9EC8F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032F12" w:rsidRDefault="000E4CF3" w14:paraId="4AB02F6B" w14:textId="628889F8">
      <w:pPr>
        <w:numPr>
          <w:ilvl w:val="12"/>
          <w:numId w:val="0"/>
        </w:numPr>
        <w:autoSpaceDE w:val="0"/>
        <w:autoSpaceDN w:val="0"/>
        <w:rPr>
          <w:rFonts w:ascii="Times New Roman" w:hAnsi="Times New Roman" w:eastAsia="Times New Roman" w:cs="Times New Roman"/>
          <w:szCs w:val="24"/>
        </w:rPr>
      </w:pPr>
      <w:r>
        <w:rPr>
          <w:rFonts w:ascii="Times New Roman" w:hAnsi="Times New Roman" w:cs="Times New Roman"/>
        </w:rPr>
        <w:t xml:space="preserve">This study is funded by the FDA, a Department of Health and Human Services supported agency, and is covered by a Certificate of Confidentiality (CoC).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w:t>
      </w:r>
      <w:r w:rsidR="0056124C">
        <w:rPr>
          <w:rFonts w:ascii="Times New Roman" w:hAnsi="Times New Roman" w:cs="Times New Roman"/>
        </w:rPr>
        <w:t>assent</w:t>
      </w:r>
      <w:r>
        <w:rPr>
          <w:rFonts w:ascii="Times New Roman" w:hAnsi="Times New Roman" w:cs="Times New Roman"/>
        </w:rPr>
        <w:t xml:space="preserve"> form of the protections that the Certificate provides.</w:t>
      </w:r>
    </w:p>
    <w:p w:rsidR="00B30823" w:rsidP="00F54BCC" w:rsidRDefault="00B30823" w14:paraId="6AF7E02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Pr="008265FC" w:rsidR="00BE1FCB" w:rsidP="00F10971" w:rsidRDefault="00BE1FCB" w14:paraId="659C47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eastAsia="Times New Roman" w:cs="Times New Roman"/>
          <w:b/>
          <w:bCs/>
          <w:szCs w:val="24"/>
          <w:u w:val="single"/>
        </w:rPr>
      </w:pPr>
      <w:bookmarkStart w:name="_Toc239649232" w:id="21"/>
      <w:r>
        <w:rPr>
          <w:rFonts w:ascii="Times New Roman" w:hAnsi="Times New Roman" w:eastAsia="Times New Roman" w:cs="Times New Roman"/>
          <w:b/>
          <w:bCs/>
          <w:szCs w:val="24"/>
        </w:rPr>
        <w:t xml:space="preserve">11. </w:t>
      </w:r>
      <w:r w:rsidRPr="008265FC">
        <w:rPr>
          <w:rFonts w:ascii="Times New Roman" w:hAnsi="Times New Roman" w:eastAsia="Times New Roman" w:cs="Times New Roman"/>
          <w:b/>
          <w:bCs/>
          <w:szCs w:val="24"/>
          <w:u w:val="single"/>
        </w:rPr>
        <w:t>Justification for Sensitive Questions</w:t>
      </w:r>
      <w:bookmarkEnd w:id="21"/>
    </w:p>
    <w:p w:rsidRPr="008265FC" w:rsidR="00BE1FCB" w:rsidP="00F10971" w:rsidRDefault="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00BE1FCB" w:rsidP="00F10971" w:rsidRDefault="00BE1FCB" w14:paraId="688D7C0C" w14:textId="3B9A2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proofErr w:type="gramStart"/>
      <w:r w:rsidRPr="265E300C">
        <w:rPr>
          <w:rFonts w:ascii="Times New Roman" w:hAnsi="Times New Roman" w:eastAsia="Times New Roman" w:cs="Times New Roman"/>
        </w:rPr>
        <w:t>The majority of</w:t>
      </w:r>
      <w:proofErr w:type="gramEnd"/>
      <w:r w:rsidRPr="265E300C">
        <w:rPr>
          <w:rFonts w:ascii="Times New Roman" w:hAnsi="Times New Roman" w:eastAsia="Times New Roman" w:cs="Times New Roman"/>
        </w:rPr>
        <w:t xml:space="preserve"> questions asked will not be sensitive</w:t>
      </w:r>
      <w:r w:rsidRPr="265E300C" w:rsidR="00F0652B">
        <w:rPr>
          <w:rFonts w:ascii="Times New Roman" w:hAnsi="Times New Roman" w:eastAsia="Times New Roman" w:cs="Times New Roman"/>
        </w:rPr>
        <w:t xml:space="preserve">, but some will ask about </w:t>
      </w:r>
      <w:r w:rsidRPr="265E300C">
        <w:rPr>
          <w:rFonts w:ascii="Times New Roman" w:hAnsi="Times New Roman" w:eastAsia="Times New Roman" w:cs="Times New Roman"/>
        </w:rPr>
        <w:t xml:space="preserve">specific health behaviors such as tobacco product use. </w:t>
      </w:r>
      <w:r w:rsidRPr="265E300C" w:rsidR="265E300C">
        <w:rPr>
          <w:rFonts w:ascii="Times New Roman" w:hAnsi="Times New Roman" w:eastAsia="Times New Roman" w:cs="Times New Roman"/>
          <w:szCs w:val="24"/>
        </w:rPr>
        <w:t xml:space="preserve">Some questions about tobacco use are potentially sensitive because tobacco use among adolescents under age 18 is illegal in a few states, and sales to individuals under age 21 are illegal nationwide. </w:t>
      </w:r>
      <w:r w:rsidRPr="265E300C">
        <w:rPr>
          <w:rFonts w:ascii="Times New Roman" w:hAnsi="Times New Roman" w:eastAsia="Times New Roman" w:cs="Times New Roman"/>
        </w:rPr>
        <w:t xml:space="preserve">These </w:t>
      </w:r>
      <w:r w:rsidRPr="265E300C" w:rsidR="00F0652B">
        <w:rPr>
          <w:rFonts w:ascii="Times New Roman" w:hAnsi="Times New Roman" w:eastAsia="Times New Roman" w:cs="Times New Roman"/>
        </w:rPr>
        <w:t xml:space="preserve">sensitive </w:t>
      </w:r>
      <w:r w:rsidRPr="265E300C">
        <w:rPr>
          <w:rFonts w:ascii="Times New Roman" w:hAnsi="Times New Roman" w:eastAsia="Times New Roman" w:cs="Times New Roman"/>
        </w:rPr>
        <w:t xml:space="preserve">questions are essential to the objectives of this data collection, specifically to understand how draft messages impact </w:t>
      </w:r>
      <w:r w:rsidRPr="265E300C" w:rsidR="00563799">
        <w:rPr>
          <w:rFonts w:ascii="Times New Roman" w:hAnsi="Times New Roman"/>
        </w:rPr>
        <w:t>beliefs around the harms of ENDS use and are necessary for measuring participant characteristics</w:t>
      </w:r>
      <w:r w:rsidRPr="265E300C">
        <w:rPr>
          <w:rFonts w:ascii="Times New Roman" w:hAnsi="Times New Roman" w:eastAsia="Times New Roman" w:cs="Times New Roman"/>
        </w:rPr>
        <w:t xml:space="preserve">. Although we do not anticipate any risks from these health questions, some participants may perceive them to be sensitive. Questions about messages concerning lifestyle (e.g., tobacco product use) and some demographic information, such as race and ethnicity could also be considered sensitive, but not highly sensitive.  </w:t>
      </w:r>
    </w:p>
    <w:p w:rsidR="00BE1FCB" w:rsidP="00F10971" w:rsidRDefault="00BE1FCB" w14:paraId="2DBDF5E3" w14:textId="235CE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p>
    <w:p w:rsidR="00BE1FCB" w:rsidP="00F10971" w:rsidRDefault="00BE1FCB" w14:paraId="3197FF68" w14:textId="7CFBF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265E300C">
        <w:rPr>
          <w:rFonts w:ascii="Times New Roman" w:hAnsi="Times New Roman" w:eastAsia="Times New Roman" w:cs="Times New Roman"/>
        </w:rPr>
        <w:t xml:space="preserve">To address any concerns about inadvertent disclosure of sensitive information, participants will be fully informed of the applicable privacy safeguards. The informed </w:t>
      </w:r>
      <w:r w:rsidRPr="265E300C" w:rsidR="00601018">
        <w:rPr>
          <w:rFonts w:ascii="Times New Roman" w:hAnsi="Times New Roman" w:eastAsia="Times New Roman" w:cs="Times New Roman"/>
        </w:rPr>
        <w:t>assent</w:t>
      </w:r>
      <w:r w:rsidRPr="265E300C">
        <w:rPr>
          <w:rFonts w:ascii="Times New Roman" w:hAnsi="Times New Roman" w:eastAsia="Times New Roman" w:cs="Times New Roman"/>
        </w:rPr>
        <w:t xml:space="preserve"> protocol will notify participants that these topics will be covered in the survey. This study includes </w:t>
      </w:r>
      <w:proofErr w:type="gramStart"/>
      <w:r w:rsidRPr="265E300C">
        <w:rPr>
          <w:rFonts w:ascii="Times New Roman" w:hAnsi="Times New Roman" w:eastAsia="Times New Roman" w:cs="Times New Roman"/>
        </w:rPr>
        <w:t>a number of</w:t>
      </w:r>
      <w:proofErr w:type="gramEnd"/>
      <w:r w:rsidRPr="265E300C">
        <w:rPr>
          <w:rFonts w:ascii="Times New Roman" w:hAnsi="Times New Roman" w:eastAsia="Times New Roman" w:cs="Times New Roman"/>
        </w:rPr>
        <w:t xml:space="preserve"> procedures and methodological characteristics that will minimize potential negative reactions to these types of question</w:t>
      </w:r>
      <w:r w:rsidRPr="265E300C" w:rsidR="00BA442A">
        <w:rPr>
          <w:rFonts w:ascii="Times New Roman" w:hAnsi="Times New Roman" w:eastAsia="Times New Roman" w:cs="Times New Roman"/>
        </w:rPr>
        <w:t>s</w:t>
      </w:r>
      <w:r w:rsidRPr="265E300C">
        <w:rPr>
          <w:rFonts w:ascii="Times New Roman" w:hAnsi="Times New Roman" w:eastAsia="Times New Roman" w:cs="Times New Roman"/>
        </w:rPr>
        <w:t>, including the following:</w:t>
      </w:r>
    </w:p>
    <w:p w:rsidR="00B30823" w:rsidP="00F10971" w:rsidRDefault="00B30823" w14:paraId="589DF64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00BE1FCB" w:rsidP="00F10971" w:rsidRDefault="00BE1FCB" w14:paraId="2F2DFBFE" w14:textId="77777777">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Times New Roman" w:hAnsi="Times New Roman" w:eastAsia="Times New Roman" w:cs="Times New Roman"/>
          <w:szCs w:val="24"/>
        </w:rPr>
      </w:pPr>
      <w:r>
        <w:rPr>
          <w:rFonts w:ascii="Times New Roman" w:hAnsi="Times New Roman" w:eastAsia="Times New Roman" w:cs="Times New Roman"/>
          <w:szCs w:val="24"/>
        </w:rPr>
        <w:t xml:space="preserve">Participants </w:t>
      </w:r>
      <w:r w:rsidRPr="00C361E3">
        <w:rPr>
          <w:rFonts w:ascii="Times New Roman" w:hAnsi="Times New Roman" w:eastAsia="Times New Roman" w:cs="Times New Roman"/>
          <w:szCs w:val="24"/>
        </w:rPr>
        <w:t>will be informed that they need not answer any question that makes them feel uncomfortable or that th</w:t>
      </w:r>
      <w:r>
        <w:rPr>
          <w:rFonts w:ascii="Times New Roman" w:hAnsi="Times New Roman" w:eastAsia="Times New Roman" w:cs="Times New Roman"/>
          <w:szCs w:val="24"/>
        </w:rPr>
        <w:t xml:space="preserve">ey simply do not wish to </w:t>
      </w:r>
      <w:proofErr w:type="gramStart"/>
      <w:r>
        <w:rPr>
          <w:rFonts w:ascii="Times New Roman" w:hAnsi="Times New Roman" w:eastAsia="Times New Roman" w:cs="Times New Roman"/>
          <w:szCs w:val="24"/>
        </w:rPr>
        <w:t>answer;</w:t>
      </w:r>
      <w:proofErr w:type="gramEnd"/>
    </w:p>
    <w:p w:rsidR="00BE1FCB" w:rsidP="00F10971" w:rsidRDefault="00394DE0" w14:paraId="1229167E" w14:textId="182F1367">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Times New Roman" w:hAnsi="Times New Roman" w:eastAsia="Times New Roman" w:cs="Times New Roman"/>
          <w:szCs w:val="24"/>
        </w:rPr>
      </w:pPr>
      <w:r>
        <w:rPr>
          <w:rFonts w:ascii="Times New Roman" w:hAnsi="Times New Roman" w:eastAsia="Times New Roman" w:cs="Times New Roman"/>
          <w:szCs w:val="24"/>
        </w:rPr>
        <w:t>Online</w:t>
      </w:r>
      <w:r w:rsidRPr="000F7E48" w:rsidR="00BE1FCB">
        <w:rPr>
          <w:rFonts w:ascii="Times New Roman" w:hAnsi="Times New Roman" w:eastAsia="Times New Roman" w:cs="Times New Roman"/>
          <w:szCs w:val="24"/>
        </w:rPr>
        <w:t xml:space="preserve"> surveys are entirely self-administered and maximize respondent privacy without the need to verbalize responses; and</w:t>
      </w:r>
    </w:p>
    <w:p w:rsidRPr="000F7E48" w:rsidR="00BE1FCB" w:rsidP="00F10971" w:rsidRDefault="00BE1FCB" w14:paraId="4D50A3BC" w14:textId="7341BBA5">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Times New Roman" w:hAnsi="Times New Roman" w:eastAsia="Times New Roman" w:cs="Times New Roman"/>
          <w:szCs w:val="24"/>
        </w:rPr>
      </w:pPr>
      <w:r w:rsidRPr="000F7E48">
        <w:rPr>
          <w:rFonts w:ascii="Times New Roman" w:hAnsi="Times New Roman" w:eastAsia="Times New Roman" w:cs="Times New Roman"/>
          <w:szCs w:val="24"/>
        </w:rPr>
        <w:t xml:space="preserve">Participants will be provided with a phone number and email address for the </w:t>
      </w:r>
      <w:r>
        <w:rPr>
          <w:rFonts w:ascii="Times New Roman" w:hAnsi="Times New Roman" w:eastAsia="Times New Roman" w:cs="Times New Roman"/>
          <w:szCs w:val="24"/>
        </w:rPr>
        <w:t>Principal Investigator</w:t>
      </w:r>
      <w:r w:rsidRPr="000F7E48">
        <w:rPr>
          <w:rFonts w:ascii="Times New Roman" w:hAnsi="Times New Roman" w:eastAsia="Times New Roman" w:cs="Times New Roman"/>
          <w:szCs w:val="24"/>
        </w:rPr>
        <w:t xml:space="preserve"> should they have any questions or concerns about the study. </w:t>
      </w:r>
    </w:p>
    <w:p w:rsidRPr="008265FC" w:rsidR="00BE1FCB" w:rsidP="00BE1FCB" w:rsidRDefault="00BE1FCB" w14:paraId="29A6337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257DA1" w:rsidRDefault="00BE1FCB" w14:paraId="7F1F08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hAnsi="Times New Roman" w:eastAsia="Times New Roman" w:cs="Times New Roman"/>
          <w:b/>
          <w:bCs/>
          <w:szCs w:val="24"/>
          <w:u w:val="single"/>
        </w:rPr>
      </w:pPr>
      <w:bookmarkStart w:name="_Toc239649233" w:id="22"/>
      <w:r w:rsidRPr="008265FC">
        <w:rPr>
          <w:rFonts w:ascii="Times New Roman" w:hAnsi="Times New Roman" w:eastAsia="Times New Roman" w:cs="Times New Roman"/>
          <w:b/>
          <w:bCs/>
          <w:szCs w:val="24"/>
        </w:rPr>
        <w:t xml:space="preserve">12.  </w:t>
      </w:r>
      <w:r w:rsidRPr="00265644">
        <w:rPr>
          <w:rFonts w:ascii="Times New Roman" w:hAnsi="Times New Roman" w:eastAsia="Times New Roman" w:cs="Times New Roman"/>
          <w:b/>
          <w:bCs/>
          <w:szCs w:val="24"/>
          <w:u w:val="single"/>
        </w:rPr>
        <w:t>Estimates of Annualized Burden Hours and Costs</w:t>
      </w:r>
      <w:bookmarkEnd w:id="22"/>
    </w:p>
    <w:p w:rsidRPr="008265FC" w:rsidR="00BE1FCB" w:rsidP="00BE1FCB" w:rsidRDefault="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B84874" w:rsidR="00BE1FCB" w:rsidP="00BE1FCB" w:rsidRDefault="00BE1FCB" w14:paraId="2A78C6C0" w14:textId="1D0068E3">
      <w:pPr>
        <w:autoSpaceDE w:val="0"/>
        <w:autoSpaceDN w:val="0"/>
        <w:adjustRightInd w:val="0"/>
        <w:ind w:left="180"/>
        <w:rPr>
          <w:rFonts w:ascii="Times New Roman" w:hAnsi="Times New Roman" w:eastAsia="Times New Roman" w:cs="Times New Roman"/>
          <w:szCs w:val="24"/>
        </w:rPr>
      </w:pPr>
      <w:r w:rsidRPr="00DC519F">
        <w:rPr>
          <w:rFonts w:ascii="Times New Roman" w:hAnsi="Times New Roman"/>
          <w:u w:val="single"/>
        </w:rPr>
        <w:t>12 a. Annualized Hour Burden Estimate</w:t>
      </w:r>
    </w:p>
    <w:p w:rsidR="00E93353" w:rsidP="265E300C" w:rsidRDefault="00BE1FCB" w14:paraId="7AF43948" w14:textId="1304DF4A">
      <w:pPr>
        <w:autoSpaceDE w:val="0"/>
        <w:autoSpaceDN w:val="0"/>
        <w:adjustRightInd w:val="0"/>
        <w:ind w:left="180"/>
        <w:rPr>
          <w:rFonts w:ascii="Times New Roman" w:hAnsi="Times New Roman" w:eastAsia="Times New Roman" w:cs="Times New Roman"/>
        </w:rPr>
      </w:pPr>
      <w:r w:rsidRPr="2C3933FF">
        <w:rPr>
          <w:rFonts w:ascii="Times New Roman" w:hAnsi="Times New Roman" w:eastAsia="Times New Roman" w:cs="Times New Roman"/>
        </w:rPr>
        <w:t xml:space="preserve">An estimated one-time reporting burden for this collection will be approximately </w:t>
      </w:r>
      <w:r w:rsidR="008F3799">
        <w:rPr>
          <w:rFonts w:ascii="Times New Roman" w:hAnsi="Times New Roman" w:eastAsia="Times New Roman" w:cs="Times New Roman"/>
        </w:rPr>
        <w:t>1</w:t>
      </w:r>
      <w:r w:rsidR="00023491">
        <w:rPr>
          <w:rFonts w:ascii="Times New Roman" w:hAnsi="Times New Roman" w:eastAsia="Times New Roman" w:cs="Times New Roman"/>
        </w:rPr>
        <w:t>60</w:t>
      </w:r>
      <w:r w:rsidR="00C521AF">
        <w:rPr>
          <w:rFonts w:ascii="Times New Roman" w:hAnsi="Times New Roman" w:eastAsia="Times New Roman" w:cs="Times New Roman"/>
        </w:rPr>
        <w:t xml:space="preserve"> </w:t>
      </w:r>
      <w:r w:rsidRPr="2C3933FF">
        <w:rPr>
          <w:rFonts w:ascii="Times New Roman" w:hAnsi="Times New Roman" w:eastAsia="Times New Roman" w:cs="Times New Roman"/>
        </w:rPr>
        <w:t>hours (Table 1</w:t>
      </w:r>
      <w:bookmarkStart w:name="_Toc361824170" w:id="23"/>
      <w:r w:rsidRPr="2C3933FF">
        <w:rPr>
          <w:rFonts w:ascii="Times New Roman" w:hAnsi="Times New Roman" w:eastAsia="Times New Roman" w:cs="Times New Roman"/>
        </w:rPr>
        <w:t>). This includes the time burden associated with the screener</w:t>
      </w:r>
      <w:r w:rsidRPr="2C3933FF" w:rsidR="00804FE9">
        <w:rPr>
          <w:rFonts w:ascii="Times New Roman" w:hAnsi="Times New Roman" w:eastAsia="Times New Roman" w:cs="Times New Roman"/>
        </w:rPr>
        <w:t xml:space="preserve"> and informed </w:t>
      </w:r>
      <w:r w:rsidRPr="2C3933FF" w:rsidR="0056124C">
        <w:rPr>
          <w:rFonts w:ascii="Times New Roman" w:hAnsi="Times New Roman" w:eastAsia="Times New Roman" w:cs="Times New Roman"/>
        </w:rPr>
        <w:t>assent</w:t>
      </w:r>
      <w:r w:rsidRPr="2C3933FF">
        <w:rPr>
          <w:rFonts w:ascii="Times New Roman" w:hAnsi="Times New Roman" w:eastAsia="Times New Roman" w:cs="Times New Roman"/>
        </w:rPr>
        <w:t xml:space="preserve">. </w:t>
      </w:r>
      <w:bookmarkStart w:name="_Hlk45028396" w:id="24"/>
      <w:r w:rsidRPr="2C3933FF" w:rsidR="003F6F63">
        <w:rPr>
          <w:rFonts w:ascii="Times New Roman" w:hAnsi="Times New Roman" w:eastAsia="Times New Roman" w:cs="Times New Roman"/>
        </w:rPr>
        <w:t>We will obtain a final sample size of 3</w:t>
      </w:r>
      <w:r w:rsidRPr="2C3933FF" w:rsidR="00D93985">
        <w:rPr>
          <w:rFonts w:ascii="Times New Roman" w:hAnsi="Times New Roman" w:eastAsia="Times New Roman" w:cs="Times New Roman"/>
        </w:rPr>
        <w:t>00</w:t>
      </w:r>
      <w:r w:rsidRPr="2C3933FF" w:rsidR="00B84874">
        <w:rPr>
          <w:rFonts w:ascii="Times New Roman" w:hAnsi="Times New Roman" w:eastAsia="Times New Roman" w:cs="Times New Roman"/>
        </w:rPr>
        <w:t xml:space="preserve"> </w:t>
      </w:r>
      <w:r w:rsidRPr="2C3933FF" w:rsidR="003F6F63">
        <w:rPr>
          <w:rFonts w:ascii="Times New Roman" w:hAnsi="Times New Roman" w:eastAsia="Times New Roman" w:cs="Times New Roman"/>
        </w:rPr>
        <w:t xml:space="preserve">youth </w:t>
      </w:r>
      <w:r w:rsidRPr="2C3933FF" w:rsidR="00D44F75">
        <w:rPr>
          <w:rFonts w:ascii="Times New Roman" w:hAnsi="Times New Roman" w:eastAsia="Times New Roman" w:cs="Times New Roman"/>
        </w:rPr>
        <w:t>(13- 17)</w:t>
      </w:r>
      <w:r w:rsidRPr="2C3933FF" w:rsidR="00D93985">
        <w:rPr>
          <w:rFonts w:ascii="Times New Roman" w:hAnsi="Times New Roman" w:eastAsia="Times New Roman" w:cs="Times New Roman"/>
        </w:rPr>
        <w:t xml:space="preserve">. </w:t>
      </w:r>
      <w:bookmarkEnd w:id="24"/>
    </w:p>
    <w:p w:rsidR="00E93353" w:rsidP="00E93353" w:rsidRDefault="00E93353" w14:paraId="59E41A58" w14:textId="77777777">
      <w:pPr>
        <w:autoSpaceDE w:val="0"/>
        <w:autoSpaceDN w:val="0"/>
        <w:adjustRightInd w:val="0"/>
        <w:ind w:left="180"/>
        <w:rPr>
          <w:rFonts w:ascii="Times New Roman" w:hAnsi="Times New Roman" w:eastAsia="Times New Roman" w:cs="Times New Roman"/>
          <w:szCs w:val="24"/>
        </w:rPr>
      </w:pPr>
    </w:p>
    <w:p w:rsidRPr="00E93353" w:rsidR="00BE1FCB" w:rsidP="00032F12" w:rsidRDefault="00D44F75" w14:paraId="6E572B79" w14:textId="06468189">
      <w:pPr>
        <w:autoSpaceDE w:val="0"/>
        <w:autoSpaceDN w:val="0"/>
        <w:adjustRightInd w:val="0"/>
        <w:ind w:left="180"/>
        <w:jc w:val="center"/>
        <w:rPr>
          <w:rFonts w:ascii="Times New Roman" w:hAnsi="Times New Roman" w:eastAsia="Times New Roman" w:cs="Times New Roman"/>
        </w:rPr>
      </w:pPr>
      <w:r w:rsidRPr="265E300C">
        <w:rPr>
          <w:rFonts w:ascii="Times New Roman" w:hAnsi="Times New Roman" w:eastAsia="Times New Roman" w:cs="Times New Roman"/>
          <w:b/>
          <w:bCs/>
        </w:rPr>
        <w:lastRenderedPageBreak/>
        <w:t>T</w:t>
      </w:r>
      <w:r w:rsidRPr="265E300C" w:rsidR="00BE1FCB">
        <w:rPr>
          <w:rFonts w:ascii="Times New Roman" w:hAnsi="Times New Roman" w:eastAsia="Times New Roman" w:cs="Times New Roman"/>
          <w:b/>
          <w:bCs/>
        </w:rPr>
        <w:t>able 1. Estimated Annual Reporting Burden</w:t>
      </w:r>
      <w:bookmarkEnd w:id="23"/>
    </w:p>
    <w:tbl>
      <w:tblPr>
        <w:tblW w:w="9630" w:type="dxa"/>
        <w:tblInd w:w="180" w:type="dxa"/>
        <w:tblBorders>
          <w:top w:val="single" w:color="auto" w:sz="12" w:space="0"/>
          <w:bottom w:val="single" w:color="auto" w:sz="12" w:space="0"/>
          <w:insideH w:val="single" w:color="auto" w:sz="6" w:space="0"/>
          <w:insideV w:val="single" w:color="auto" w:sz="6" w:space="0"/>
        </w:tblBorders>
        <w:tblLayout w:type="fixed"/>
        <w:tblCellMar>
          <w:left w:w="29" w:type="dxa"/>
          <w:right w:w="29" w:type="dxa"/>
        </w:tblCellMar>
        <w:tblLook w:val="00A0" w:firstRow="1" w:lastRow="0" w:firstColumn="1" w:lastColumn="0" w:noHBand="0" w:noVBand="0"/>
      </w:tblPr>
      <w:tblGrid>
        <w:gridCol w:w="2250"/>
        <w:gridCol w:w="28"/>
        <w:gridCol w:w="1888"/>
        <w:gridCol w:w="13"/>
        <w:gridCol w:w="951"/>
        <w:gridCol w:w="28"/>
        <w:gridCol w:w="962"/>
        <w:gridCol w:w="1170"/>
        <w:gridCol w:w="29"/>
        <w:gridCol w:w="1277"/>
        <w:gridCol w:w="20"/>
        <w:gridCol w:w="1014"/>
      </w:tblGrid>
      <w:tr w:rsidRPr="00FE7BF0" w:rsidR="00753824" w:rsidTr="00362DBC" w14:paraId="0D53B4C4" w14:textId="77777777">
        <w:trPr>
          <w:cantSplit/>
        </w:trPr>
        <w:tc>
          <w:tcPr>
            <w:tcW w:w="2250" w:type="dxa"/>
            <w:vAlign w:val="center"/>
          </w:tcPr>
          <w:p w:rsidRPr="006968E8" w:rsidR="00BE1FCB" w:rsidP="00B30823" w:rsidRDefault="00BE1FCB" w14:paraId="212BAAC2" w14:textId="77777777">
            <w:pPr>
              <w:keepNext/>
              <w:autoSpaceDE w:val="0"/>
              <w:autoSpaceDN w:val="0"/>
              <w:adjustRightInd w:val="0"/>
              <w:ind w:left="180"/>
              <w:jc w:val="center"/>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Type of Respondent</w:t>
            </w:r>
          </w:p>
        </w:tc>
        <w:tc>
          <w:tcPr>
            <w:tcW w:w="1929" w:type="dxa"/>
            <w:gridSpan w:val="3"/>
            <w:vAlign w:val="center"/>
          </w:tcPr>
          <w:p w:rsidRPr="006968E8" w:rsidR="00BE1FCB" w:rsidP="00B30823" w:rsidRDefault="00BE1FCB" w14:paraId="23429A3D" w14:textId="77777777">
            <w:pPr>
              <w:keepNext/>
              <w:autoSpaceDE w:val="0"/>
              <w:autoSpaceDN w:val="0"/>
              <w:adjustRightInd w:val="0"/>
              <w:jc w:val="center"/>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Activity</w:t>
            </w:r>
          </w:p>
        </w:tc>
        <w:tc>
          <w:tcPr>
            <w:tcW w:w="951" w:type="dxa"/>
            <w:vAlign w:val="center"/>
          </w:tcPr>
          <w:p w:rsidRPr="006968E8" w:rsidR="00BE1FCB" w:rsidP="00B30823" w:rsidRDefault="00BE1FCB" w14:paraId="4D23CDC2" w14:textId="77777777">
            <w:pPr>
              <w:keepNext/>
              <w:autoSpaceDE w:val="0"/>
              <w:autoSpaceDN w:val="0"/>
              <w:adjustRightInd w:val="0"/>
              <w:ind w:left="-66"/>
              <w:jc w:val="center"/>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Number of Respondents</w:t>
            </w:r>
          </w:p>
        </w:tc>
        <w:tc>
          <w:tcPr>
            <w:tcW w:w="990" w:type="dxa"/>
            <w:gridSpan w:val="2"/>
            <w:vAlign w:val="center"/>
          </w:tcPr>
          <w:p w:rsidRPr="006968E8" w:rsidR="00BE1FCB" w:rsidP="00362DBC" w:rsidRDefault="00BE1FCB" w14:paraId="71995CC5" w14:textId="77777777">
            <w:pPr>
              <w:keepNext/>
              <w:autoSpaceDE w:val="0"/>
              <w:autoSpaceDN w:val="0"/>
              <w:adjustRightInd w:val="0"/>
              <w:ind w:left="-29"/>
              <w:jc w:val="center"/>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Number of Responses per Respondent</w:t>
            </w:r>
          </w:p>
        </w:tc>
        <w:tc>
          <w:tcPr>
            <w:tcW w:w="1170" w:type="dxa"/>
            <w:vAlign w:val="center"/>
          </w:tcPr>
          <w:p w:rsidRPr="006968E8" w:rsidR="00BE1FCB" w:rsidP="00B30823" w:rsidRDefault="00BE1FCB" w14:paraId="2388F4D8" w14:textId="77777777">
            <w:pPr>
              <w:keepNext/>
              <w:autoSpaceDE w:val="0"/>
              <w:autoSpaceDN w:val="0"/>
              <w:adjustRightInd w:val="0"/>
              <w:ind w:left="180"/>
              <w:jc w:val="center"/>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Total Responses</w:t>
            </w:r>
          </w:p>
        </w:tc>
        <w:tc>
          <w:tcPr>
            <w:tcW w:w="1306" w:type="dxa"/>
            <w:gridSpan w:val="2"/>
            <w:vAlign w:val="center"/>
          </w:tcPr>
          <w:p w:rsidRPr="006968E8" w:rsidR="00BE1FCB" w:rsidP="00B30823" w:rsidRDefault="00BE1FCB" w14:paraId="5825BEEF" w14:textId="07633919">
            <w:pPr>
              <w:keepNext/>
              <w:autoSpaceDE w:val="0"/>
              <w:autoSpaceDN w:val="0"/>
              <w:adjustRightInd w:val="0"/>
              <w:ind w:left="180"/>
              <w:jc w:val="center"/>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Average Burden per Response</w:t>
            </w:r>
          </w:p>
        </w:tc>
        <w:tc>
          <w:tcPr>
            <w:tcW w:w="1034" w:type="dxa"/>
            <w:gridSpan w:val="2"/>
            <w:vAlign w:val="center"/>
          </w:tcPr>
          <w:p w:rsidRPr="006968E8" w:rsidR="00BE1FCB" w:rsidP="00B30823" w:rsidRDefault="00BE1FCB" w14:paraId="3B1AC711" w14:textId="77777777">
            <w:pPr>
              <w:keepNext/>
              <w:autoSpaceDE w:val="0"/>
              <w:autoSpaceDN w:val="0"/>
              <w:adjustRightInd w:val="0"/>
              <w:ind w:left="180"/>
              <w:jc w:val="center"/>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Total Hours¹</w:t>
            </w:r>
          </w:p>
        </w:tc>
      </w:tr>
      <w:tr w:rsidRPr="00FE7BF0" w:rsidR="00753824" w:rsidTr="00362DBC" w14:paraId="169FAF0C" w14:textId="77777777">
        <w:trPr>
          <w:cantSplit/>
          <w:trHeight w:val="318"/>
        </w:trPr>
        <w:tc>
          <w:tcPr>
            <w:tcW w:w="2250" w:type="dxa"/>
            <w:vAlign w:val="center"/>
          </w:tcPr>
          <w:p w:rsidRPr="006968E8" w:rsidR="006D3602" w:rsidP="006D3602" w:rsidRDefault="006D3602" w14:paraId="218EAA01" w14:textId="6A41C594">
            <w:pPr>
              <w:keepNext/>
              <w:autoSpaceDE w:val="0"/>
              <w:autoSpaceDN w:val="0"/>
              <w:adjustRightInd w:val="0"/>
              <w:ind w:left="180"/>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Parent Email Invitation</w:t>
            </w:r>
            <w:r w:rsidR="005C4D7A">
              <w:rPr>
                <w:rFonts w:ascii="Times New Roman" w:hAnsi="Times New Roman" w:eastAsia="Times New Roman" w:cs="Times New Roman"/>
                <w:b/>
                <w:sz w:val="16"/>
                <w:szCs w:val="24"/>
              </w:rPr>
              <w:t>/Reminder Invitation</w:t>
            </w:r>
            <w:r w:rsidR="00143B66">
              <w:rPr>
                <w:rFonts w:ascii="Times New Roman" w:hAnsi="Times New Roman" w:eastAsia="Times New Roman" w:cs="Times New Roman"/>
                <w:b/>
                <w:sz w:val="16"/>
                <w:szCs w:val="24"/>
              </w:rPr>
              <w:t xml:space="preserve"> and Notification Form</w:t>
            </w:r>
          </w:p>
        </w:tc>
        <w:tc>
          <w:tcPr>
            <w:tcW w:w="1929" w:type="dxa"/>
            <w:gridSpan w:val="3"/>
            <w:vAlign w:val="center"/>
          </w:tcPr>
          <w:p w:rsidRPr="006968E8" w:rsidR="006D3602" w:rsidP="00B30823" w:rsidRDefault="006D3602" w14:paraId="791CA3A1" w14:textId="77777777">
            <w:pPr>
              <w:keepNext/>
              <w:autoSpaceDE w:val="0"/>
              <w:autoSpaceDN w:val="0"/>
              <w:adjustRightInd w:val="0"/>
              <w:jc w:val="center"/>
              <w:rPr>
                <w:rFonts w:ascii="Times New Roman" w:hAnsi="Times New Roman" w:eastAsia="Times New Roman" w:cs="Times New Roman"/>
                <w:b/>
                <w:sz w:val="16"/>
                <w:szCs w:val="24"/>
              </w:rPr>
            </w:pPr>
          </w:p>
        </w:tc>
        <w:tc>
          <w:tcPr>
            <w:tcW w:w="951" w:type="dxa"/>
            <w:vAlign w:val="center"/>
          </w:tcPr>
          <w:p w:rsidRPr="006968E8" w:rsidR="006D3602" w:rsidP="00B30823" w:rsidRDefault="006D3602" w14:paraId="5ABE4B53" w14:textId="77777777">
            <w:pPr>
              <w:keepNext/>
              <w:autoSpaceDE w:val="0"/>
              <w:autoSpaceDN w:val="0"/>
              <w:adjustRightInd w:val="0"/>
              <w:ind w:left="-66"/>
              <w:jc w:val="center"/>
              <w:rPr>
                <w:rFonts w:ascii="Times New Roman" w:hAnsi="Times New Roman" w:eastAsia="Times New Roman" w:cs="Times New Roman"/>
                <w:b/>
                <w:sz w:val="16"/>
                <w:szCs w:val="24"/>
              </w:rPr>
            </w:pPr>
          </w:p>
        </w:tc>
        <w:tc>
          <w:tcPr>
            <w:tcW w:w="990" w:type="dxa"/>
            <w:gridSpan w:val="2"/>
            <w:vAlign w:val="center"/>
          </w:tcPr>
          <w:p w:rsidRPr="006968E8" w:rsidR="006D3602" w:rsidP="00B30823" w:rsidRDefault="006D3602" w14:paraId="515CA876" w14:textId="77777777">
            <w:pPr>
              <w:keepNext/>
              <w:autoSpaceDE w:val="0"/>
              <w:autoSpaceDN w:val="0"/>
              <w:adjustRightInd w:val="0"/>
              <w:ind w:left="180"/>
              <w:jc w:val="center"/>
              <w:rPr>
                <w:rFonts w:ascii="Times New Roman" w:hAnsi="Times New Roman" w:eastAsia="Times New Roman" w:cs="Times New Roman"/>
                <w:b/>
                <w:sz w:val="16"/>
                <w:szCs w:val="24"/>
              </w:rPr>
            </w:pPr>
          </w:p>
        </w:tc>
        <w:tc>
          <w:tcPr>
            <w:tcW w:w="1170" w:type="dxa"/>
            <w:vAlign w:val="center"/>
          </w:tcPr>
          <w:p w:rsidRPr="006968E8" w:rsidR="006D3602" w:rsidP="00B30823" w:rsidRDefault="006D3602" w14:paraId="6AB793A0" w14:textId="77777777">
            <w:pPr>
              <w:keepNext/>
              <w:autoSpaceDE w:val="0"/>
              <w:autoSpaceDN w:val="0"/>
              <w:adjustRightInd w:val="0"/>
              <w:ind w:left="180"/>
              <w:jc w:val="center"/>
              <w:rPr>
                <w:rFonts w:ascii="Times New Roman" w:hAnsi="Times New Roman" w:eastAsia="Times New Roman" w:cs="Times New Roman"/>
                <w:b/>
                <w:sz w:val="16"/>
                <w:szCs w:val="24"/>
              </w:rPr>
            </w:pPr>
          </w:p>
        </w:tc>
        <w:tc>
          <w:tcPr>
            <w:tcW w:w="1306" w:type="dxa"/>
            <w:gridSpan w:val="2"/>
            <w:vAlign w:val="center"/>
          </w:tcPr>
          <w:p w:rsidRPr="006968E8" w:rsidR="006D3602" w:rsidP="00B30823" w:rsidRDefault="006D3602" w14:paraId="1FA75C62" w14:textId="77777777">
            <w:pPr>
              <w:keepNext/>
              <w:autoSpaceDE w:val="0"/>
              <w:autoSpaceDN w:val="0"/>
              <w:adjustRightInd w:val="0"/>
              <w:ind w:left="180"/>
              <w:jc w:val="center"/>
              <w:rPr>
                <w:rFonts w:ascii="Times New Roman" w:hAnsi="Times New Roman" w:eastAsia="Times New Roman" w:cs="Times New Roman"/>
                <w:b/>
                <w:sz w:val="16"/>
                <w:szCs w:val="24"/>
              </w:rPr>
            </w:pPr>
          </w:p>
        </w:tc>
        <w:tc>
          <w:tcPr>
            <w:tcW w:w="1034" w:type="dxa"/>
            <w:gridSpan w:val="2"/>
            <w:vAlign w:val="center"/>
          </w:tcPr>
          <w:p w:rsidRPr="006968E8" w:rsidR="006D3602" w:rsidP="00B30823" w:rsidRDefault="006D3602" w14:paraId="728FEDB8" w14:textId="77777777">
            <w:pPr>
              <w:keepNext/>
              <w:autoSpaceDE w:val="0"/>
              <w:autoSpaceDN w:val="0"/>
              <w:adjustRightInd w:val="0"/>
              <w:ind w:left="180"/>
              <w:jc w:val="center"/>
              <w:rPr>
                <w:rFonts w:ascii="Times New Roman" w:hAnsi="Times New Roman" w:eastAsia="Times New Roman" w:cs="Times New Roman"/>
                <w:b/>
                <w:sz w:val="16"/>
                <w:szCs w:val="24"/>
              </w:rPr>
            </w:pPr>
          </w:p>
        </w:tc>
      </w:tr>
      <w:tr w:rsidRPr="00FE7BF0" w:rsidR="00753824" w:rsidTr="00362DBC" w14:paraId="3B8D8B63" w14:textId="77777777">
        <w:trPr>
          <w:cantSplit/>
          <w:trHeight w:val="426"/>
        </w:trPr>
        <w:tc>
          <w:tcPr>
            <w:tcW w:w="2250" w:type="dxa"/>
            <w:tcBorders>
              <w:bottom w:val="single" w:color="auto" w:sz="6" w:space="0"/>
            </w:tcBorders>
            <w:vAlign w:val="center"/>
          </w:tcPr>
          <w:p w:rsidRPr="006968E8" w:rsidR="006D3602" w:rsidP="006D3602" w:rsidRDefault="007C5333" w14:paraId="5DD9C878" w14:textId="1643CC87">
            <w:pPr>
              <w:keepNext/>
              <w:autoSpaceDE w:val="0"/>
              <w:autoSpaceDN w:val="0"/>
              <w:adjustRightInd w:val="0"/>
              <w:ind w:left="180"/>
              <w:rPr>
                <w:rFonts w:ascii="Times New Roman" w:hAnsi="Times New Roman" w:eastAsia="Times New Roman" w:cs="Times New Roman"/>
                <w:b/>
                <w:sz w:val="16"/>
                <w:szCs w:val="24"/>
              </w:rPr>
            </w:pPr>
            <w:r w:rsidRPr="006968E8">
              <w:rPr>
                <w:rFonts w:ascii="Times New Roman" w:hAnsi="Times New Roman" w:eastAsia="Times New Roman" w:cs="Times New Roman"/>
                <w:sz w:val="16"/>
                <w:szCs w:val="24"/>
              </w:rPr>
              <w:t>Parents of y</w:t>
            </w:r>
            <w:r w:rsidRPr="006968E8" w:rsidR="006D3602">
              <w:rPr>
                <w:rFonts w:ascii="Times New Roman" w:hAnsi="Times New Roman" w:eastAsia="Times New Roman" w:cs="Times New Roman"/>
                <w:sz w:val="16"/>
                <w:szCs w:val="24"/>
              </w:rPr>
              <w:t>outh aged 13–17</w:t>
            </w:r>
          </w:p>
        </w:tc>
        <w:tc>
          <w:tcPr>
            <w:tcW w:w="1929" w:type="dxa"/>
            <w:gridSpan w:val="3"/>
            <w:tcBorders>
              <w:bottom w:val="single" w:color="auto" w:sz="6" w:space="0"/>
            </w:tcBorders>
            <w:vAlign w:val="center"/>
          </w:tcPr>
          <w:p w:rsidRPr="006968E8" w:rsidR="006D3602" w:rsidP="00B30823" w:rsidRDefault="006D3602" w14:paraId="06EC86BA" w14:textId="742EC180">
            <w:pPr>
              <w:keepNext/>
              <w:autoSpaceDE w:val="0"/>
              <w:autoSpaceDN w:val="0"/>
              <w:adjustRightInd w:val="0"/>
              <w:jc w:val="center"/>
              <w:rPr>
                <w:rFonts w:ascii="Times New Roman" w:hAnsi="Times New Roman" w:eastAsia="Times New Roman" w:cs="Times New Roman"/>
                <w:b/>
                <w:sz w:val="16"/>
                <w:szCs w:val="24"/>
              </w:rPr>
            </w:pPr>
            <w:r w:rsidRPr="006968E8">
              <w:rPr>
                <w:rFonts w:ascii="Times New Roman" w:hAnsi="Times New Roman" w:eastAsia="Times New Roman" w:cs="Times New Roman"/>
                <w:sz w:val="16"/>
                <w:szCs w:val="24"/>
              </w:rPr>
              <w:t>Youth Recruiting</w:t>
            </w:r>
          </w:p>
        </w:tc>
        <w:tc>
          <w:tcPr>
            <w:tcW w:w="951" w:type="dxa"/>
            <w:tcBorders>
              <w:bottom w:val="single" w:color="auto" w:sz="6" w:space="0"/>
            </w:tcBorders>
            <w:vAlign w:val="center"/>
          </w:tcPr>
          <w:p w:rsidRPr="006968E8" w:rsidR="006D3602" w:rsidP="00362DBC" w:rsidRDefault="00DE129E" w14:paraId="3AF94CF6" w14:textId="4D1BA53A">
            <w:pPr>
              <w:keepNext/>
              <w:autoSpaceDE w:val="0"/>
              <w:autoSpaceDN w:val="0"/>
              <w:adjustRightInd w:val="0"/>
              <w:ind w:left="-66"/>
              <w:jc w:val="center"/>
              <w:rPr>
                <w:rFonts w:ascii="Times New Roman" w:hAnsi="Times New Roman" w:eastAsia="Times New Roman" w:cs="Times New Roman"/>
                <w:sz w:val="16"/>
                <w:szCs w:val="16"/>
              </w:rPr>
            </w:pPr>
            <w:r w:rsidRPr="006968E8">
              <w:rPr>
                <w:rFonts w:ascii="Times New Roman" w:hAnsi="Times New Roman" w:eastAsia="Times New Roman" w:cs="Times New Roman"/>
                <w:sz w:val="16"/>
                <w:szCs w:val="16"/>
              </w:rPr>
              <w:t>750</w:t>
            </w:r>
          </w:p>
        </w:tc>
        <w:tc>
          <w:tcPr>
            <w:tcW w:w="990" w:type="dxa"/>
            <w:gridSpan w:val="2"/>
            <w:tcBorders>
              <w:bottom w:val="single" w:color="auto" w:sz="6" w:space="0"/>
            </w:tcBorders>
            <w:vAlign w:val="center"/>
          </w:tcPr>
          <w:p w:rsidRPr="006968E8" w:rsidR="006D3602" w:rsidP="00362DBC" w:rsidRDefault="006D3602" w14:paraId="090A4679" w14:textId="73E769CA">
            <w:pPr>
              <w:keepNext/>
              <w:autoSpaceDE w:val="0"/>
              <w:autoSpaceDN w:val="0"/>
              <w:adjustRightInd w:val="0"/>
              <w:ind w:left="180"/>
              <w:jc w:val="center"/>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1</w:t>
            </w:r>
          </w:p>
        </w:tc>
        <w:tc>
          <w:tcPr>
            <w:tcW w:w="1170" w:type="dxa"/>
            <w:tcBorders>
              <w:bottom w:val="single" w:color="auto" w:sz="6" w:space="0"/>
            </w:tcBorders>
            <w:vAlign w:val="center"/>
          </w:tcPr>
          <w:p w:rsidRPr="006968E8" w:rsidR="006D3602" w:rsidP="00362DBC" w:rsidRDefault="00DE129E" w14:paraId="6A3E3FE9" w14:textId="21BC0085">
            <w:pPr>
              <w:keepNext/>
              <w:autoSpaceDE w:val="0"/>
              <w:autoSpaceDN w:val="0"/>
              <w:adjustRightInd w:val="0"/>
              <w:jc w:val="center"/>
              <w:rPr>
                <w:rFonts w:ascii="Times New Roman" w:hAnsi="Times New Roman" w:eastAsia="Times New Roman" w:cs="Times New Roman"/>
                <w:sz w:val="16"/>
                <w:szCs w:val="16"/>
              </w:rPr>
            </w:pPr>
            <w:r w:rsidRPr="006968E8">
              <w:rPr>
                <w:rFonts w:ascii="Times New Roman" w:hAnsi="Times New Roman" w:eastAsia="Times New Roman" w:cs="Times New Roman"/>
                <w:sz w:val="16"/>
                <w:szCs w:val="16"/>
              </w:rPr>
              <w:t>750</w:t>
            </w:r>
          </w:p>
        </w:tc>
        <w:tc>
          <w:tcPr>
            <w:tcW w:w="1306" w:type="dxa"/>
            <w:gridSpan w:val="2"/>
            <w:tcBorders>
              <w:bottom w:val="single" w:color="auto" w:sz="6" w:space="0"/>
            </w:tcBorders>
            <w:vAlign w:val="center"/>
          </w:tcPr>
          <w:p w:rsidRPr="006968E8" w:rsidR="006D3602" w:rsidP="00362DBC" w:rsidRDefault="00D16FA6" w14:paraId="7126B112" w14:textId="3CF6DFDE">
            <w:pPr>
              <w:keepNext/>
              <w:autoSpaceDE w:val="0"/>
              <w:autoSpaceDN w:val="0"/>
              <w:adjustRightInd w:val="0"/>
              <w:ind w:left="-29"/>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4</w:t>
            </w:r>
            <w:r w:rsidRPr="006968E8" w:rsidR="006D3602">
              <w:rPr>
                <w:rFonts w:ascii="Times New Roman" w:hAnsi="Times New Roman" w:eastAsia="Times New Roman" w:cs="Times New Roman"/>
                <w:sz w:val="16"/>
                <w:szCs w:val="24"/>
              </w:rPr>
              <w:t xml:space="preserve"> minute</w:t>
            </w:r>
            <w:r w:rsidR="00143B66">
              <w:rPr>
                <w:rFonts w:ascii="Times New Roman" w:hAnsi="Times New Roman" w:eastAsia="Times New Roman" w:cs="Times New Roman"/>
                <w:sz w:val="16"/>
                <w:szCs w:val="24"/>
              </w:rPr>
              <w:t>s</w:t>
            </w:r>
          </w:p>
        </w:tc>
        <w:tc>
          <w:tcPr>
            <w:tcW w:w="1034" w:type="dxa"/>
            <w:gridSpan w:val="2"/>
            <w:tcBorders>
              <w:bottom w:val="single" w:color="auto" w:sz="6" w:space="0"/>
            </w:tcBorders>
            <w:vAlign w:val="center"/>
          </w:tcPr>
          <w:p w:rsidRPr="00B24F13" w:rsidR="006D3602" w:rsidP="00362DBC" w:rsidRDefault="00362DBC" w14:paraId="7464012A" w14:textId="65F71426">
            <w:pPr>
              <w:keepNext/>
              <w:autoSpaceDE w:val="0"/>
              <w:autoSpaceDN w:val="0"/>
              <w:adjustRightInd w:val="0"/>
              <w:ind w:left="180"/>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 xml:space="preserve">      </w:t>
            </w:r>
            <w:r w:rsidR="007171BB">
              <w:rPr>
                <w:rFonts w:ascii="Times New Roman" w:hAnsi="Times New Roman" w:eastAsia="Times New Roman" w:cs="Times New Roman"/>
                <w:b/>
                <w:bCs/>
                <w:sz w:val="16"/>
                <w:szCs w:val="16"/>
              </w:rPr>
              <w:t>50</w:t>
            </w:r>
          </w:p>
        </w:tc>
      </w:tr>
      <w:tr w:rsidRPr="00FE7BF0" w:rsidR="00753824" w:rsidTr="265E300C" w14:paraId="45F72B8C" w14:textId="77777777">
        <w:trPr>
          <w:cantSplit/>
          <w:trHeight w:val="300"/>
        </w:trPr>
        <w:tc>
          <w:tcPr>
            <w:tcW w:w="9630" w:type="dxa"/>
            <w:gridSpan w:val="12"/>
            <w:tcBorders>
              <w:top w:val="single" w:color="auto" w:sz="6" w:space="0"/>
              <w:bottom w:val="single" w:color="auto" w:sz="6" w:space="0"/>
            </w:tcBorders>
            <w:vAlign w:val="center"/>
          </w:tcPr>
          <w:p w:rsidRPr="006968E8" w:rsidR="00BE1FCB" w:rsidP="00F3750D" w:rsidRDefault="00B30823" w14:paraId="5F4A71A8" w14:textId="3FA87561">
            <w:pPr>
              <w:autoSpaceDE w:val="0"/>
              <w:autoSpaceDN w:val="0"/>
              <w:adjustRightInd w:val="0"/>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 xml:space="preserve">     </w:t>
            </w:r>
            <w:r w:rsidRPr="006968E8" w:rsidR="00BE1FCB">
              <w:rPr>
                <w:rFonts w:ascii="Times New Roman" w:hAnsi="Times New Roman" w:eastAsia="Times New Roman" w:cs="Times New Roman"/>
                <w:b/>
                <w:sz w:val="16"/>
                <w:szCs w:val="24"/>
              </w:rPr>
              <w:t>Screening</w:t>
            </w:r>
          </w:p>
        </w:tc>
      </w:tr>
      <w:tr w:rsidRPr="00FE7BF0" w:rsidR="00753824" w:rsidTr="00362DBC" w14:paraId="68729FAE" w14:textId="77777777">
        <w:trPr>
          <w:cantSplit/>
          <w:trHeight w:val="534"/>
        </w:trPr>
        <w:tc>
          <w:tcPr>
            <w:tcW w:w="2278" w:type="dxa"/>
            <w:gridSpan w:val="2"/>
            <w:tcBorders>
              <w:top w:val="single" w:color="auto" w:sz="6" w:space="0"/>
            </w:tcBorders>
            <w:vAlign w:val="center"/>
          </w:tcPr>
          <w:p w:rsidRPr="006968E8" w:rsidR="0045460B" w:rsidP="0045460B" w:rsidRDefault="0045460B" w14:paraId="4A178F80" w14:textId="04641E12">
            <w:pPr>
              <w:keepNext/>
              <w:autoSpaceDE w:val="0"/>
              <w:autoSpaceDN w:val="0"/>
              <w:adjustRightInd w:val="0"/>
              <w:ind w:left="180"/>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Youth aged 1</w:t>
            </w:r>
            <w:r w:rsidRPr="006968E8" w:rsidR="00B941E0">
              <w:rPr>
                <w:rFonts w:ascii="Times New Roman" w:hAnsi="Times New Roman" w:eastAsia="Times New Roman" w:cs="Times New Roman"/>
                <w:sz w:val="16"/>
                <w:szCs w:val="24"/>
              </w:rPr>
              <w:t>3</w:t>
            </w:r>
            <w:r w:rsidRPr="006968E8">
              <w:rPr>
                <w:rFonts w:ascii="Times New Roman" w:hAnsi="Times New Roman" w:eastAsia="Times New Roman" w:cs="Times New Roman"/>
                <w:sz w:val="16"/>
                <w:szCs w:val="24"/>
              </w:rPr>
              <w:t>–</w:t>
            </w:r>
            <w:r w:rsidRPr="006968E8" w:rsidR="002E4765">
              <w:rPr>
                <w:rFonts w:ascii="Times New Roman" w:hAnsi="Times New Roman" w:eastAsia="Times New Roman" w:cs="Times New Roman"/>
                <w:sz w:val="16"/>
                <w:szCs w:val="24"/>
              </w:rPr>
              <w:t>17</w:t>
            </w:r>
            <w:r w:rsidRPr="006968E8">
              <w:rPr>
                <w:rFonts w:ascii="Times New Roman" w:hAnsi="Times New Roman" w:eastAsia="Times New Roman" w:cs="Times New Roman"/>
                <w:sz w:val="16"/>
                <w:szCs w:val="24"/>
              </w:rPr>
              <w:t xml:space="preserve"> </w:t>
            </w:r>
          </w:p>
        </w:tc>
        <w:tc>
          <w:tcPr>
            <w:tcW w:w="1888" w:type="dxa"/>
            <w:tcBorders>
              <w:top w:val="single" w:color="auto" w:sz="6" w:space="0"/>
            </w:tcBorders>
            <w:vAlign w:val="center"/>
          </w:tcPr>
          <w:p w:rsidRPr="006968E8" w:rsidR="0045460B" w:rsidP="0045460B" w:rsidRDefault="0045460B" w14:paraId="04E9010A" w14:textId="5941CF7D">
            <w:pPr>
              <w:keepNext/>
              <w:autoSpaceDE w:val="0"/>
              <w:autoSpaceDN w:val="0"/>
              <w:adjustRightInd w:val="0"/>
              <w:ind w:left="180"/>
              <w:jc w:val="center"/>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Youth Recruiting and Screening</w:t>
            </w:r>
          </w:p>
        </w:tc>
        <w:tc>
          <w:tcPr>
            <w:tcW w:w="992" w:type="dxa"/>
            <w:gridSpan w:val="3"/>
            <w:tcBorders>
              <w:top w:val="single" w:color="auto" w:sz="6" w:space="0"/>
            </w:tcBorders>
            <w:vAlign w:val="center"/>
          </w:tcPr>
          <w:p w:rsidRPr="006968E8" w:rsidR="0045460B" w:rsidP="265E300C" w:rsidRDefault="00DE129E" w14:paraId="79D98072" w14:textId="446CB426">
            <w:pPr>
              <w:keepNext/>
              <w:autoSpaceDE w:val="0"/>
              <w:autoSpaceDN w:val="0"/>
              <w:adjustRightInd w:val="0"/>
              <w:ind w:left="30"/>
              <w:jc w:val="center"/>
              <w:rPr>
                <w:rFonts w:ascii="Times New Roman" w:hAnsi="Times New Roman"/>
                <w:sz w:val="16"/>
                <w:szCs w:val="16"/>
              </w:rPr>
            </w:pPr>
            <w:r w:rsidRPr="006968E8">
              <w:rPr>
                <w:rFonts w:ascii="Times New Roman" w:hAnsi="Times New Roman" w:eastAsia="Times New Roman" w:cs="Times New Roman"/>
                <w:sz w:val="16"/>
                <w:szCs w:val="16"/>
              </w:rPr>
              <w:t>750</w:t>
            </w:r>
          </w:p>
        </w:tc>
        <w:tc>
          <w:tcPr>
            <w:tcW w:w="962" w:type="dxa"/>
            <w:tcBorders>
              <w:top w:val="single" w:color="auto" w:sz="6" w:space="0"/>
            </w:tcBorders>
            <w:vAlign w:val="center"/>
          </w:tcPr>
          <w:p w:rsidRPr="006968E8" w:rsidR="0045460B" w:rsidP="00DC519F" w:rsidRDefault="0045460B" w14:paraId="28218EE0" w14:textId="77777777">
            <w:pPr>
              <w:keepNext/>
              <w:autoSpaceDE w:val="0"/>
              <w:autoSpaceDN w:val="0"/>
              <w:adjustRightInd w:val="0"/>
              <w:ind w:left="30"/>
              <w:jc w:val="center"/>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1</w:t>
            </w:r>
          </w:p>
        </w:tc>
        <w:tc>
          <w:tcPr>
            <w:tcW w:w="1199" w:type="dxa"/>
            <w:gridSpan w:val="2"/>
            <w:tcBorders>
              <w:top w:val="single" w:color="auto" w:sz="6" w:space="0"/>
            </w:tcBorders>
            <w:vAlign w:val="center"/>
          </w:tcPr>
          <w:p w:rsidRPr="006968E8" w:rsidR="0045460B" w:rsidP="00362DBC" w:rsidRDefault="00DE129E" w14:paraId="2A72EBC9" w14:textId="2D99C9E3">
            <w:pPr>
              <w:keepNext/>
              <w:autoSpaceDE w:val="0"/>
              <w:autoSpaceDN w:val="0"/>
              <w:adjustRightInd w:val="0"/>
              <w:jc w:val="center"/>
              <w:rPr>
                <w:rFonts w:ascii="Times New Roman" w:hAnsi="Times New Roman"/>
                <w:sz w:val="16"/>
                <w:szCs w:val="16"/>
              </w:rPr>
            </w:pPr>
            <w:r w:rsidRPr="006968E8">
              <w:rPr>
                <w:rFonts w:ascii="Times New Roman" w:hAnsi="Times New Roman" w:eastAsia="Times New Roman" w:cs="Times New Roman"/>
                <w:sz w:val="16"/>
                <w:szCs w:val="16"/>
              </w:rPr>
              <w:t>750</w:t>
            </w:r>
          </w:p>
        </w:tc>
        <w:tc>
          <w:tcPr>
            <w:tcW w:w="1297" w:type="dxa"/>
            <w:gridSpan w:val="2"/>
            <w:tcBorders>
              <w:top w:val="single" w:color="auto" w:sz="6" w:space="0"/>
            </w:tcBorders>
            <w:vAlign w:val="center"/>
          </w:tcPr>
          <w:p w:rsidRPr="006968E8" w:rsidR="0045460B" w:rsidP="00362DBC" w:rsidRDefault="006F5F1D" w14:paraId="15CC51A4" w14:textId="442A6C09">
            <w:pPr>
              <w:keepNext/>
              <w:tabs>
                <w:tab w:val="decimal" w:pos="300"/>
              </w:tabs>
              <w:autoSpaceDE w:val="0"/>
              <w:autoSpaceDN w:val="0"/>
              <w:adjustRightInd w:val="0"/>
              <w:ind w:left="30"/>
              <w:rPr>
                <w:rFonts w:ascii="Times New Roman" w:hAnsi="Times New Roman"/>
                <w:sz w:val="16"/>
              </w:rPr>
            </w:pPr>
            <w:r w:rsidRPr="006968E8">
              <w:rPr>
                <w:rFonts w:ascii="Times New Roman" w:hAnsi="Times New Roman"/>
                <w:sz w:val="16"/>
              </w:rPr>
              <w:t>2</w:t>
            </w:r>
            <w:r w:rsidRPr="006968E8" w:rsidR="00D56539">
              <w:rPr>
                <w:rFonts w:ascii="Times New Roman" w:hAnsi="Times New Roman"/>
                <w:sz w:val="16"/>
              </w:rPr>
              <w:t xml:space="preserve"> minutes</w:t>
            </w:r>
          </w:p>
        </w:tc>
        <w:tc>
          <w:tcPr>
            <w:tcW w:w="1014" w:type="dxa"/>
            <w:tcBorders>
              <w:top w:val="single" w:color="auto" w:sz="6" w:space="0"/>
            </w:tcBorders>
            <w:vAlign w:val="center"/>
          </w:tcPr>
          <w:p w:rsidRPr="00B24F13" w:rsidR="0045460B" w:rsidP="00DC519F" w:rsidRDefault="00C521AF" w14:paraId="5A64CF54" w14:textId="735284DA">
            <w:pPr>
              <w:autoSpaceDE w:val="0"/>
              <w:autoSpaceDN w:val="0"/>
              <w:adjustRightInd w:val="0"/>
              <w:ind w:left="30"/>
              <w:jc w:val="center"/>
              <w:rPr>
                <w:rFonts w:ascii="Times New Roman" w:hAnsi="Times New Roman"/>
                <w:b/>
                <w:sz w:val="16"/>
              </w:rPr>
            </w:pPr>
            <w:r>
              <w:rPr>
                <w:rFonts w:ascii="Times New Roman" w:hAnsi="Times New Roman" w:eastAsia="Times New Roman" w:cs="Times New Roman"/>
                <w:b/>
                <w:bCs/>
                <w:sz w:val="16"/>
                <w:szCs w:val="14"/>
              </w:rPr>
              <w:t>25</w:t>
            </w:r>
          </w:p>
        </w:tc>
      </w:tr>
      <w:tr w:rsidRPr="00FE7BF0" w:rsidR="00753824" w:rsidTr="265E300C" w14:paraId="3CE292A2" w14:textId="77777777">
        <w:trPr>
          <w:cantSplit/>
          <w:trHeight w:val="285"/>
        </w:trPr>
        <w:tc>
          <w:tcPr>
            <w:tcW w:w="9630" w:type="dxa"/>
            <w:gridSpan w:val="12"/>
            <w:tcBorders>
              <w:top w:val="single" w:color="auto" w:sz="12" w:space="0"/>
              <w:bottom w:val="single" w:color="auto" w:sz="4" w:space="0"/>
            </w:tcBorders>
            <w:vAlign w:val="center"/>
          </w:tcPr>
          <w:p w:rsidRPr="006968E8" w:rsidR="008D435F" w:rsidP="00DC519F" w:rsidRDefault="008D435F" w14:paraId="1EA862CA" w14:textId="65261090">
            <w:pPr>
              <w:autoSpaceDE w:val="0"/>
              <w:autoSpaceDN w:val="0"/>
              <w:adjustRightInd w:val="0"/>
              <w:ind w:left="180"/>
              <w:rPr>
                <w:rFonts w:ascii="Times New Roman" w:hAnsi="Times New Roman" w:cs="Times New Roman"/>
                <w:b/>
                <w:bCs/>
                <w:sz w:val="16"/>
                <w:szCs w:val="14"/>
              </w:rPr>
            </w:pPr>
            <w:r w:rsidRPr="006968E8">
              <w:rPr>
                <w:rFonts w:ascii="Times New Roman" w:hAnsi="Times New Roman" w:eastAsia="Times New Roman" w:cs="Times New Roman"/>
                <w:b/>
                <w:sz w:val="16"/>
                <w:szCs w:val="24"/>
              </w:rPr>
              <w:t xml:space="preserve">Informed </w:t>
            </w:r>
            <w:r w:rsidRPr="006968E8" w:rsidR="0056124C">
              <w:rPr>
                <w:rFonts w:ascii="Times New Roman" w:hAnsi="Times New Roman" w:eastAsia="Times New Roman" w:cs="Times New Roman"/>
                <w:b/>
                <w:sz w:val="16"/>
                <w:szCs w:val="24"/>
              </w:rPr>
              <w:t>Assent</w:t>
            </w:r>
          </w:p>
        </w:tc>
      </w:tr>
      <w:tr w:rsidRPr="00FE7BF0" w:rsidR="00753824" w:rsidTr="00362DBC" w14:paraId="705A9859" w14:textId="77777777">
        <w:trPr>
          <w:cantSplit/>
          <w:trHeight w:val="458"/>
        </w:trPr>
        <w:tc>
          <w:tcPr>
            <w:tcW w:w="2278" w:type="dxa"/>
            <w:gridSpan w:val="2"/>
            <w:tcBorders>
              <w:top w:val="single" w:color="auto" w:sz="4" w:space="0"/>
            </w:tcBorders>
            <w:vAlign w:val="center"/>
          </w:tcPr>
          <w:p w:rsidRPr="006968E8" w:rsidR="00472B5D" w:rsidP="00472B5D" w:rsidRDefault="00472B5D" w14:paraId="3E745A82" w14:textId="3C48BAE9">
            <w:pPr>
              <w:keepNext/>
              <w:autoSpaceDE w:val="0"/>
              <w:autoSpaceDN w:val="0"/>
              <w:adjustRightInd w:val="0"/>
              <w:ind w:left="180"/>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 xml:space="preserve">Youth aged </w:t>
            </w:r>
            <w:r w:rsidRPr="006968E8" w:rsidR="002E4765">
              <w:rPr>
                <w:rFonts w:ascii="Times New Roman" w:hAnsi="Times New Roman" w:eastAsia="Times New Roman" w:cs="Times New Roman"/>
                <w:sz w:val="16"/>
                <w:szCs w:val="24"/>
              </w:rPr>
              <w:t>13</w:t>
            </w:r>
            <w:r w:rsidRPr="006968E8">
              <w:rPr>
                <w:rFonts w:ascii="Times New Roman" w:hAnsi="Times New Roman" w:eastAsia="Times New Roman" w:cs="Times New Roman"/>
                <w:sz w:val="16"/>
                <w:szCs w:val="24"/>
              </w:rPr>
              <w:t>–</w:t>
            </w:r>
            <w:r w:rsidRPr="006968E8" w:rsidR="002E4765">
              <w:rPr>
                <w:rFonts w:ascii="Times New Roman" w:hAnsi="Times New Roman" w:eastAsia="Times New Roman" w:cs="Times New Roman"/>
                <w:sz w:val="16"/>
                <w:szCs w:val="24"/>
              </w:rPr>
              <w:t>17</w:t>
            </w:r>
            <w:r w:rsidRPr="006968E8">
              <w:rPr>
                <w:rFonts w:ascii="Times New Roman" w:hAnsi="Times New Roman" w:eastAsia="Times New Roman" w:cs="Times New Roman"/>
                <w:sz w:val="16"/>
                <w:szCs w:val="24"/>
              </w:rPr>
              <w:t xml:space="preserve"> </w:t>
            </w:r>
          </w:p>
        </w:tc>
        <w:tc>
          <w:tcPr>
            <w:tcW w:w="1888" w:type="dxa"/>
            <w:tcBorders>
              <w:top w:val="single" w:color="auto" w:sz="4" w:space="0"/>
            </w:tcBorders>
            <w:vAlign w:val="center"/>
          </w:tcPr>
          <w:p w:rsidRPr="006968E8" w:rsidR="00472B5D" w:rsidP="00DC519F" w:rsidRDefault="00472B5D" w14:paraId="10C10E90" w14:textId="4C256AFC">
            <w:pPr>
              <w:keepNext/>
              <w:autoSpaceDE w:val="0"/>
              <w:autoSpaceDN w:val="0"/>
              <w:adjustRightInd w:val="0"/>
              <w:ind w:left="-60"/>
              <w:jc w:val="center"/>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Youth Assent</w:t>
            </w:r>
          </w:p>
        </w:tc>
        <w:tc>
          <w:tcPr>
            <w:tcW w:w="992" w:type="dxa"/>
            <w:gridSpan w:val="3"/>
            <w:tcBorders>
              <w:top w:val="single" w:color="auto" w:sz="4" w:space="0"/>
            </w:tcBorders>
            <w:vAlign w:val="center"/>
          </w:tcPr>
          <w:p w:rsidRPr="006968E8" w:rsidR="00472B5D" w:rsidP="00362DBC" w:rsidRDefault="00DC6FD5" w14:paraId="59585BEA" w14:textId="50A428EA">
            <w:pPr>
              <w:keepNext/>
              <w:tabs>
                <w:tab w:val="decimal" w:pos="0"/>
              </w:tabs>
              <w:autoSpaceDE w:val="0"/>
              <w:autoSpaceDN w:val="0"/>
              <w:adjustRightInd w:val="0"/>
              <w:jc w:val="center"/>
              <w:rPr>
                <w:rFonts w:ascii="Times New Roman" w:hAnsi="Times New Roman"/>
                <w:sz w:val="16"/>
                <w:szCs w:val="16"/>
              </w:rPr>
            </w:pPr>
            <w:r w:rsidRPr="006968E8">
              <w:rPr>
                <w:rFonts w:ascii="Times New Roman" w:hAnsi="Times New Roman" w:eastAsia="Times New Roman" w:cs="Times New Roman"/>
                <w:sz w:val="16"/>
                <w:szCs w:val="16"/>
              </w:rPr>
              <w:t>300</w:t>
            </w:r>
          </w:p>
        </w:tc>
        <w:tc>
          <w:tcPr>
            <w:tcW w:w="962" w:type="dxa"/>
            <w:tcBorders>
              <w:top w:val="single" w:color="auto" w:sz="4" w:space="0"/>
            </w:tcBorders>
            <w:vAlign w:val="center"/>
          </w:tcPr>
          <w:p w:rsidRPr="006968E8" w:rsidR="00472B5D" w:rsidP="006D3602" w:rsidRDefault="00472B5D" w14:paraId="2DCB034A" w14:textId="43CF91F9">
            <w:pPr>
              <w:keepNext/>
              <w:autoSpaceDE w:val="0"/>
              <w:autoSpaceDN w:val="0"/>
              <w:adjustRightInd w:val="0"/>
              <w:jc w:val="center"/>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1</w:t>
            </w:r>
          </w:p>
        </w:tc>
        <w:tc>
          <w:tcPr>
            <w:tcW w:w="1199" w:type="dxa"/>
            <w:gridSpan w:val="2"/>
            <w:tcBorders>
              <w:top w:val="single" w:color="auto" w:sz="4" w:space="0"/>
            </w:tcBorders>
            <w:vAlign w:val="center"/>
          </w:tcPr>
          <w:p w:rsidRPr="006968E8" w:rsidR="00472B5D" w:rsidP="00362DBC" w:rsidRDefault="00DC6FD5" w14:paraId="6049FB35" w14:textId="09768139">
            <w:pPr>
              <w:keepNext/>
              <w:tabs>
                <w:tab w:val="decimal" w:pos="0"/>
              </w:tabs>
              <w:autoSpaceDE w:val="0"/>
              <w:autoSpaceDN w:val="0"/>
              <w:adjustRightInd w:val="0"/>
              <w:jc w:val="center"/>
              <w:rPr>
                <w:rFonts w:ascii="Times New Roman" w:hAnsi="Times New Roman"/>
                <w:sz w:val="16"/>
                <w:szCs w:val="16"/>
              </w:rPr>
            </w:pPr>
            <w:r w:rsidRPr="006968E8">
              <w:rPr>
                <w:rFonts w:ascii="Times New Roman" w:hAnsi="Times New Roman" w:eastAsia="Times New Roman" w:cs="Times New Roman"/>
                <w:sz w:val="16"/>
                <w:szCs w:val="16"/>
              </w:rPr>
              <w:t>300</w:t>
            </w:r>
          </w:p>
        </w:tc>
        <w:tc>
          <w:tcPr>
            <w:tcW w:w="1297" w:type="dxa"/>
            <w:gridSpan w:val="2"/>
            <w:tcBorders>
              <w:top w:val="single" w:color="auto" w:sz="4" w:space="0"/>
            </w:tcBorders>
            <w:vAlign w:val="center"/>
          </w:tcPr>
          <w:p w:rsidRPr="006968E8" w:rsidR="00472B5D" w:rsidP="00FD394B" w:rsidRDefault="00D44F75" w14:paraId="11370B7B" w14:textId="669DD17F">
            <w:pPr>
              <w:keepNext/>
              <w:tabs>
                <w:tab w:val="decimal" w:pos="300"/>
              </w:tabs>
              <w:autoSpaceDE w:val="0"/>
              <w:autoSpaceDN w:val="0"/>
              <w:adjustRightInd w:val="0"/>
              <w:rPr>
                <w:rFonts w:ascii="Times New Roman" w:hAnsi="Times New Roman"/>
                <w:sz w:val="16"/>
              </w:rPr>
            </w:pPr>
            <w:r w:rsidRPr="006968E8">
              <w:rPr>
                <w:rFonts w:ascii="Times New Roman" w:hAnsi="Times New Roman"/>
                <w:sz w:val="16"/>
              </w:rPr>
              <w:t>2</w:t>
            </w:r>
            <w:r w:rsidRPr="006968E8" w:rsidR="00472B5D">
              <w:rPr>
                <w:rFonts w:ascii="Times New Roman" w:hAnsi="Times New Roman"/>
                <w:sz w:val="16"/>
              </w:rPr>
              <w:t xml:space="preserve"> minutes</w:t>
            </w:r>
          </w:p>
        </w:tc>
        <w:tc>
          <w:tcPr>
            <w:tcW w:w="1014" w:type="dxa"/>
            <w:tcBorders>
              <w:top w:val="single" w:color="auto" w:sz="4" w:space="0"/>
            </w:tcBorders>
            <w:vAlign w:val="center"/>
          </w:tcPr>
          <w:p w:rsidRPr="00B24F13" w:rsidR="00472B5D" w:rsidP="00362DBC" w:rsidRDefault="004D16AC" w14:paraId="07C01E64" w14:textId="3FBFA206">
            <w:pPr>
              <w:autoSpaceDE w:val="0"/>
              <w:autoSpaceDN w:val="0"/>
              <w:adjustRightInd w:val="0"/>
              <w:jc w:val="center"/>
              <w:rPr>
                <w:rFonts w:ascii="Times New Roman" w:hAnsi="Times New Roman"/>
                <w:b/>
                <w:sz w:val="16"/>
              </w:rPr>
            </w:pPr>
            <w:r w:rsidRPr="006968E8">
              <w:rPr>
                <w:rFonts w:ascii="Times New Roman" w:hAnsi="Times New Roman" w:cs="Times New Roman"/>
                <w:b/>
                <w:bCs/>
                <w:sz w:val="16"/>
                <w:szCs w:val="14"/>
              </w:rPr>
              <w:t>1</w:t>
            </w:r>
            <w:r w:rsidR="00C521AF">
              <w:rPr>
                <w:rFonts w:ascii="Times New Roman" w:hAnsi="Times New Roman" w:cs="Times New Roman"/>
                <w:b/>
                <w:bCs/>
                <w:sz w:val="16"/>
                <w:szCs w:val="14"/>
              </w:rPr>
              <w:t>0</w:t>
            </w:r>
          </w:p>
        </w:tc>
      </w:tr>
      <w:tr w:rsidRPr="00FE7BF0" w:rsidR="00753824" w:rsidTr="265E300C" w14:paraId="42588C29" w14:textId="77777777">
        <w:trPr>
          <w:cantSplit/>
          <w:trHeight w:val="282"/>
        </w:trPr>
        <w:tc>
          <w:tcPr>
            <w:tcW w:w="9630" w:type="dxa"/>
            <w:gridSpan w:val="12"/>
            <w:vAlign w:val="center"/>
          </w:tcPr>
          <w:p w:rsidRPr="006968E8" w:rsidR="00BE1FCB" w:rsidP="00DC519F" w:rsidRDefault="00BE1FCB" w14:paraId="00D68FD5" w14:textId="77777777">
            <w:pPr>
              <w:autoSpaceDE w:val="0"/>
              <w:autoSpaceDN w:val="0"/>
              <w:adjustRightInd w:val="0"/>
              <w:ind w:left="180"/>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Survey</w:t>
            </w:r>
          </w:p>
        </w:tc>
      </w:tr>
      <w:tr w:rsidRPr="00FE7BF0" w:rsidR="00753824" w:rsidTr="00362DBC" w14:paraId="28DC6980" w14:textId="77777777">
        <w:trPr>
          <w:cantSplit/>
          <w:trHeight w:val="372"/>
        </w:trPr>
        <w:tc>
          <w:tcPr>
            <w:tcW w:w="2250" w:type="dxa"/>
            <w:vAlign w:val="center"/>
          </w:tcPr>
          <w:p w:rsidRPr="006968E8" w:rsidR="00472B5D" w:rsidP="00472B5D" w:rsidRDefault="00472B5D" w14:paraId="5A05DA0F" w14:textId="53BA4CF3">
            <w:pPr>
              <w:keepNext/>
              <w:autoSpaceDE w:val="0"/>
              <w:autoSpaceDN w:val="0"/>
              <w:adjustRightInd w:val="0"/>
              <w:ind w:left="180"/>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 xml:space="preserve">Youth aged </w:t>
            </w:r>
            <w:r w:rsidRPr="006968E8" w:rsidR="002E4765">
              <w:rPr>
                <w:rFonts w:ascii="Times New Roman" w:hAnsi="Times New Roman" w:eastAsia="Times New Roman" w:cs="Times New Roman"/>
                <w:sz w:val="16"/>
                <w:szCs w:val="24"/>
              </w:rPr>
              <w:t>13</w:t>
            </w:r>
            <w:r w:rsidRPr="006968E8">
              <w:rPr>
                <w:rFonts w:ascii="Times New Roman" w:hAnsi="Times New Roman" w:eastAsia="Times New Roman" w:cs="Times New Roman"/>
                <w:sz w:val="16"/>
                <w:szCs w:val="24"/>
              </w:rPr>
              <w:t>–</w:t>
            </w:r>
            <w:r w:rsidRPr="006968E8" w:rsidR="002E4765">
              <w:rPr>
                <w:rFonts w:ascii="Times New Roman" w:hAnsi="Times New Roman" w:eastAsia="Times New Roman" w:cs="Times New Roman"/>
                <w:sz w:val="16"/>
                <w:szCs w:val="24"/>
              </w:rPr>
              <w:t>17</w:t>
            </w:r>
            <w:r w:rsidRPr="006968E8">
              <w:rPr>
                <w:rFonts w:ascii="Times New Roman" w:hAnsi="Times New Roman" w:eastAsia="Times New Roman" w:cs="Times New Roman"/>
                <w:sz w:val="16"/>
                <w:szCs w:val="24"/>
              </w:rPr>
              <w:t xml:space="preserve"> </w:t>
            </w:r>
          </w:p>
        </w:tc>
        <w:tc>
          <w:tcPr>
            <w:tcW w:w="1929" w:type="dxa"/>
            <w:gridSpan w:val="3"/>
            <w:vAlign w:val="center"/>
          </w:tcPr>
          <w:p w:rsidRPr="006968E8" w:rsidR="00472B5D" w:rsidDel="00841491" w:rsidP="00362DBC" w:rsidRDefault="00472B5D" w14:paraId="2D8B5C99" w14:textId="3C4C51A1">
            <w:pPr>
              <w:keepNext/>
              <w:autoSpaceDE w:val="0"/>
              <w:autoSpaceDN w:val="0"/>
              <w:adjustRightInd w:val="0"/>
              <w:jc w:val="center"/>
              <w:rPr>
                <w:rFonts w:ascii="Times New Roman" w:hAnsi="Times New Roman" w:eastAsia="Times New Roman" w:cs="Times New Roman"/>
                <w:sz w:val="16"/>
                <w:szCs w:val="16"/>
              </w:rPr>
            </w:pPr>
            <w:r w:rsidRPr="006968E8">
              <w:rPr>
                <w:rFonts w:ascii="Times New Roman" w:hAnsi="Times New Roman" w:eastAsia="Times New Roman" w:cs="Times New Roman"/>
                <w:sz w:val="16"/>
                <w:szCs w:val="16"/>
              </w:rPr>
              <w:t>Self-administered online Survey (ad-view condition)</w:t>
            </w:r>
          </w:p>
        </w:tc>
        <w:tc>
          <w:tcPr>
            <w:tcW w:w="951" w:type="dxa"/>
            <w:vAlign w:val="center"/>
          </w:tcPr>
          <w:p w:rsidRPr="006968E8" w:rsidR="00472B5D" w:rsidP="00362DBC" w:rsidRDefault="00DC6FD5" w14:paraId="566C29AE" w14:textId="3EA42991">
            <w:pPr>
              <w:keepNext/>
              <w:tabs>
                <w:tab w:val="decimal" w:pos="0"/>
              </w:tabs>
              <w:autoSpaceDE w:val="0"/>
              <w:autoSpaceDN w:val="0"/>
              <w:adjustRightInd w:val="0"/>
              <w:jc w:val="center"/>
              <w:rPr>
                <w:rFonts w:ascii="Times New Roman" w:hAnsi="Times New Roman"/>
                <w:sz w:val="16"/>
                <w:szCs w:val="16"/>
              </w:rPr>
            </w:pPr>
            <w:r w:rsidRPr="006968E8">
              <w:rPr>
                <w:rFonts w:ascii="Times New Roman" w:hAnsi="Times New Roman" w:eastAsia="Times New Roman" w:cs="Times New Roman"/>
                <w:sz w:val="16"/>
                <w:szCs w:val="16"/>
              </w:rPr>
              <w:t>150</w:t>
            </w:r>
          </w:p>
        </w:tc>
        <w:tc>
          <w:tcPr>
            <w:tcW w:w="990" w:type="dxa"/>
            <w:gridSpan w:val="2"/>
            <w:vAlign w:val="center"/>
          </w:tcPr>
          <w:p w:rsidRPr="006968E8" w:rsidR="00472B5D" w:rsidP="00FD394B" w:rsidRDefault="00472B5D" w14:paraId="0E87D8B9" w14:textId="287CB106">
            <w:pPr>
              <w:keepNext/>
              <w:autoSpaceDE w:val="0"/>
              <w:autoSpaceDN w:val="0"/>
              <w:adjustRightInd w:val="0"/>
              <w:jc w:val="center"/>
              <w:rPr>
                <w:rFonts w:ascii="Times New Roman" w:hAnsi="Times New Roman" w:eastAsia="Times New Roman" w:cs="Times New Roman"/>
                <w:sz w:val="16"/>
                <w:szCs w:val="24"/>
              </w:rPr>
            </w:pPr>
            <w:r w:rsidRPr="006968E8">
              <w:rPr>
                <w:rFonts w:ascii="Times New Roman" w:hAnsi="Times New Roman" w:eastAsia="Times New Roman" w:cs="Times New Roman"/>
                <w:sz w:val="16"/>
                <w:szCs w:val="24"/>
              </w:rPr>
              <w:t>1</w:t>
            </w:r>
          </w:p>
        </w:tc>
        <w:tc>
          <w:tcPr>
            <w:tcW w:w="1170" w:type="dxa"/>
            <w:vAlign w:val="center"/>
          </w:tcPr>
          <w:p w:rsidRPr="006968E8" w:rsidR="00472B5D" w:rsidP="00362DBC" w:rsidRDefault="00DC6FD5" w14:paraId="53B9E259" w14:textId="55FB8594">
            <w:pPr>
              <w:keepNext/>
              <w:tabs>
                <w:tab w:val="decimal" w:pos="0"/>
              </w:tabs>
              <w:autoSpaceDE w:val="0"/>
              <w:autoSpaceDN w:val="0"/>
              <w:adjustRightInd w:val="0"/>
              <w:jc w:val="center"/>
              <w:rPr>
                <w:rFonts w:ascii="Times New Roman" w:hAnsi="Times New Roman"/>
                <w:sz w:val="16"/>
                <w:szCs w:val="16"/>
              </w:rPr>
            </w:pPr>
            <w:r w:rsidRPr="006968E8">
              <w:rPr>
                <w:rFonts w:ascii="Times New Roman" w:hAnsi="Times New Roman" w:eastAsia="Times New Roman" w:cs="Times New Roman"/>
                <w:sz w:val="16"/>
                <w:szCs w:val="16"/>
              </w:rPr>
              <w:t>150</w:t>
            </w:r>
          </w:p>
        </w:tc>
        <w:tc>
          <w:tcPr>
            <w:tcW w:w="1306" w:type="dxa"/>
            <w:gridSpan w:val="2"/>
            <w:vAlign w:val="center"/>
          </w:tcPr>
          <w:p w:rsidRPr="006968E8" w:rsidR="00472B5D" w:rsidP="00362DBC" w:rsidRDefault="00BD2850" w14:paraId="4CBE39B6" w14:textId="466551E6">
            <w:pPr>
              <w:keepNext/>
              <w:tabs>
                <w:tab w:val="decimal" w:pos="0"/>
              </w:tabs>
              <w:autoSpaceDE w:val="0"/>
              <w:autoSpaceDN w:val="0"/>
              <w:adjustRightInd w:val="0"/>
              <w:jc w:val="center"/>
              <w:rPr>
                <w:rFonts w:ascii="Times New Roman" w:hAnsi="Times New Roman"/>
                <w:sz w:val="16"/>
                <w:szCs w:val="16"/>
              </w:rPr>
            </w:pPr>
            <w:r w:rsidRPr="006968E8">
              <w:rPr>
                <w:rFonts w:ascii="Times New Roman" w:hAnsi="Times New Roman"/>
                <w:sz w:val="16"/>
                <w:szCs w:val="16"/>
              </w:rPr>
              <w:t>20 minutes</w:t>
            </w:r>
          </w:p>
        </w:tc>
        <w:tc>
          <w:tcPr>
            <w:tcW w:w="1034" w:type="dxa"/>
            <w:gridSpan w:val="2"/>
            <w:vAlign w:val="center"/>
          </w:tcPr>
          <w:p w:rsidRPr="00B24F13" w:rsidR="00472B5D" w:rsidP="00362DBC" w:rsidRDefault="00C521AF" w14:paraId="38B8E956" w14:textId="35B784BD">
            <w:pPr>
              <w:autoSpaceDE w:val="0"/>
              <w:autoSpaceDN w:val="0"/>
              <w:adjustRightInd w:val="0"/>
              <w:ind w:left="16"/>
              <w:jc w:val="center"/>
              <w:rPr>
                <w:rFonts w:ascii="Times New Roman" w:hAnsi="Times New Roman"/>
                <w:b/>
                <w:sz w:val="16"/>
              </w:rPr>
            </w:pPr>
            <w:r>
              <w:rPr>
                <w:rFonts w:ascii="Times New Roman" w:hAnsi="Times New Roman" w:eastAsia="Times New Roman" w:cs="Times New Roman"/>
                <w:b/>
                <w:sz w:val="16"/>
                <w:szCs w:val="24"/>
              </w:rPr>
              <w:t>50</w:t>
            </w:r>
          </w:p>
        </w:tc>
      </w:tr>
      <w:tr w:rsidRPr="00FE7BF0" w:rsidR="265E300C" w:rsidTr="00362DBC" w14:paraId="5C055E02" w14:textId="77777777">
        <w:trPr>
          <w:cantSplit/>
          <w:trHeight w:val="372"/>
        </w:trPr>
        <w:tc>
          <w:tcPr>
            <w:tcW w:w="2250" w:type="dxa"/>
            <w:vAlign w:val="center"/>
          </w:tcPr>
          <w:p w:rsidRPr="006968E8" w:rsidR="265E300C" w:rsidP="00FD394B" w:rsidRDefault="00FD394B" w14:paraId="73B7F556" w14:textId="2DBC6289">
            <w:pPr>
              <w:rPr>
                <w:rFonts w:ascii="Times New Roman" w:hAnsi="Times New Roman" w:eastAsia="Calibri" w:cs="Times New Roman"/>
                <w:sz w:val="16"/>
                <w:szCs w:val="16"/>
              </w:rPr>
            </w:pPr>
            <w:r w:rsidRPr="006968E8">
              <w:rPr>
                <w:rFonts w:ascii="Times New Roman" w:hAnsi="Times New Roman" w:eastAsia="Calibri" w:cs="Times New Roman"/>
                <w:sz w:val="16"/>
                <w:szCs w:val="16"/>
              </w:rPr>
              <w:t xml:space="preserve">    </w:t>
            </w:r>
            <w:r w:rsidRPr="006968E8" w:rsidR="265E300C">
              <w:rPr>
                <w:rFonts w:ascii="Times New Roman" w:hAnsi="Times New Roman" w:eastAsia="Calibri" w:cs="Times New Roman"/>
                <w:sz w:val="16"/>
                <w:szCs w:val="16"/>
              </w:rPr>
              <w:t>Youth aged 13-17</w:t>
            </w:r>
          </w:p>
        </w:tc>
        <w:tc>
          <w:tcPr>
            <w:tcW w:w="1929" w:type="dxa"/>
            <w:gridSpan w:val="3"/>
            <w:vAlign w:val="center"/>
          </w:tcPr>
          <w:p w:rsidRPr="006968E8" w:rsidR="265E300C" w:rsidP="00362DBC" w:rsidRDefault="265E300C" w14:paraId="465CB2A1" w14:textId="173BEA23">
            <w:pPr>
              <w:jc w:val="center"/>
              <w:rPr>
                <w:rFonts w:ascii="Times New Roman" w:hAnsi="Times New Roman" w:eastAsia="Calibri" w:cs="Times New Roman"/>
                <w:sz w:val="16"/>
                <w:szCs w:val="16"/>
              </w:rPr>
            </w:pPr>
            <w:r w:rsidRPr="006968E8">
              <w:rPr>
                <w:rFonts w:ascii="Times New Roman" w:hAnsi="Times New Roman" w:eastAsia="Calibri" w:cs="Times New Roman"/>
                <w:sz w:val="16"/>
                <w:szCs w:val="16"/>
              </w:rPr>
              <w:t xml:space="preserve">Self-administered online </w:t>
            </w:r>
            <w:r w:rsidRPr="006968E8" w:rsidR="00FD394B">
              <w:rPr>
                <w:rFonts w:ascii="Times New Roman" w:hAnsi="Times New Roman" w:eastAsia="Calibri" w:cs="Times New Roman"/>
                <w:sz w:val="16"/>
                <w:szCs w:val="16"/>
              </w:rPr>
              <w:t>S</w:t>
            </w:r>
            <w:r w:rsidRPr="006968E8">
              <w:rPr>
                <w:rFonts w:ascii="Times New Roman" w:hAnsi="Times New Roman" w:eastAsia="Calibri" w:cs="Times New Roman"/>
                <w:sz w:val="16"/>
                <w:szCs w:val="16"/>
              </w:rPr>
              <w:t>urvey (control condition)</w:t>
            </w:r>
          </w:p>
        </w:tc>
        <w:tc>
          <w:tcPr>
            <w:tcW w:w="951" w:type="dxa"/>
            <w:vAlign w:val="center"/>
          </w:tcPr>
          <w:p w:rsidRPr="006968E8" w:rsidR="265E300C" w:rsidP="00FD394B" w:rsidRDefault="265E300C" w14:paraId="12B8F17B" w14:textId="3704526A">
            <w:pPr>
              <w:jc w:val="center"/>
              <w:rPr>
                <w:rFonts w:ascii="Times New Roman" w:hAnsi="Times New Roman" w:eastAsia="Calibri" w:cs="Times New Roman"/>
                <w:sz w:val="16"/>
                <w:szCs w:val="16"/>
              </w:rPr>
            </w:pPr>
            <w:r w:rsidRPr="006968E8">
              <w:rPr>
                <w:rFonts w:ascii="Times New Roman" w:hAnsi="Times New Roman" w:eastAsia="Calibri" w:cs="Times New Roman"/>
                <w:sz w:val="16"/>
                <w:szCs w:val="16"/>
              </w:rPr>
              <w:t>150</w:t>
            </w:r>
          </w:p>
        </w:tc>
        <w:tc>
          <w:tcPr>
            <w:tcW w:w="990" w:type="dxa"/>
            <w:gridSpan w:val="2"/>
            <w:vAlign w:val="center"/>
          </w:tcPr>
          <w:p w:rsidRPr="006968E8" w:rsidR="265E300C" w:rsidP="00FD394B" w:rsidRDefault="265E300C" w14:paraId="51C6E8AB" w14:textId="55958363">
            <w:pPr>
              <w:jc w:val="center"/>
              <w:rPr>
                <w:rFonts w:ascii="Times New Roman" w:hAnsi="Times New Roman" w:eastAsia="Calibri" w:cs="Times New Roman"/>
                <w:sz w:val="16"/>
                <w:szCs w:val="16"/>
              </w:rPr>
            </w:pPr>
            <w:r w:rsidRPr="006968E8">
              <w:rPr>
                <w:rFonts w:ascii="Times New Roman" w:hAnsi="Times New Roman" w:eastAsia="Calibri" w:cs="Times New Roman"/>
                <w:sz w:val="16"/>
                <w:szCs w:val="16"/>
              </w:rPr>
              <w:t>1</w:t>
            </w:r>
          </w:p>
        </w:tc>
        <w:tc>
          <w:tcPr>
            <w:tcW w:w="1170" w:type="dxa"/>
            <w:vAlign w:val="center"/>
          </w:tcPr>
          <w:p w:rsidRPr="006968E8" w:rsidR="265E300C" w:rsidP="00FD394B" w:rsidRDefault="265E300C" w14:paraId="72ECAB20" w14:textId="5B20B21B">
            <w:pPr>
              <w:jc w:val="center"/>
              <w:rPr>
                <w:rFonts w:ascii="Times New Roman" w:hAnsi="Times New Roman" w:eastAsia="Calibri" w:cs="Times New Roman"/>
                <w:sz w:val="16"/>
                <w:szCs w:val="16"/>
              </w:rPr>
            </w:pPr>
            <w:r w:rsidRPr="006968E8">
              <w:rPr>
                <w:rFonts w:ascii="Times New Roman" w:hAnsi="Times New Roman" w:eastAsia="Calibri" w:cs="Times New Roman"/>
                <w:sz w:val="16"/>
                <w:szCs w:val="16"/>
              </w:rPr>
              <w:t>150</w:t>
            </w:r>
          </w:p>
        </w:tc>
        <w:tc>
          <w:tcPr>
            <w:tcW w:w="1306" w:type="dxa"/>
            <w:gridSpan w:val="2"/>
            <w:vAlign w:val="center"/>
          </w:tcPr>
          <w:p w:rsidRPr="006968E8" w:rsidR="265E300C" w:rsidP="00362DBC" w:rsidRDefault="265E300C" w14:paraId="50960565" w14:textId="09E92B61">
            <w:pPr>
              <w:jc w:val="center"/>
              <w:rPr>
                <w:rFonts w:ascii="Times New Roman" w:hAnsi="Times New Roman" w:eastAsia="Calibri" w:cs="Times New Roman"/>
                <w:sz w:val="16"/>
                <w:szCs w:val="16"/>
              </w:rPr>
            </w:pPr>
            <w:r w:rsidRPr="006968E8">
              <w:rPr>
                <w:rFonts w:ascii="Times New Roman" w:hAnsi="Times New Roman" w:eastAsia="Calibri" w:cs="Times New Roman"/>
                <w:sz w:val="16"/>
                <w:szCs w:val="16"/>
              </w:rPr>
              <w:t>10 minutes</w:t>
            </w:r>
          </w:p>
        </w:tc>
        <w:tc>
          <w:tcPr>
            <w:tcW w:w="1034" w:type="dxa"/>
            <w:gridSpan w:val="2"/>
            <w:vAlign w:val="center"/>
          </w:tcPr>
          <w:p w:rsidRPr="006968E8" w:rsidR="265E300C" w:rsidP="265E300C" w:rsidRDefault="00C521AF" w14:paraId="61B78C05" w14:textId="2394900A">
            <w:pPr>
              <w:jc w:val="center"/>
              <w:rPr>
                <w:rFonts w:ascii="Times New Roman" w:hAnsi="Times New Roman" w:eastAsia="Calibri" w:cs="Times New Roman"/>
                <w:b/>
                <w:bCs/>
                <w:sz w:val="16"/>
                <w:szCs w:val="16"/>
              </w:rPr>
            </w:pPr>
            <w:r w:rsidRPr="006968E8">
              <w:rPr>
                <w:rFonts w:ascii="Times New Roman" w:hAnsi="Times New Roman" w:eastAsia="Calibri" w:cs="Times New Roman"/>
                <w:b/>
                <w:bCs/>
                <w:sz w:val="16"/>
                <w:szCs w:val="16"/>
              </w:rPr>
              <w:t>25</w:t>
            </w:r>
          </w:p>
        </w:tc>
      </w:tr>
      <w:tr w:rsidRPr="00FE7BF0" w:rsidR="00753824" w:rsidTr="00362DBC" w14:paraId="34F320D2" w14:textId="77777777">
        <w:trPr>
          <w:cantSplit/>
          <w:trHeight w:val="435"/>
        </w:trPr>
        <w:tc>
          <w:tcPr>
            <w:tcW w:w="2250" w:type="dxa"/>
            <w:vAlign w:val="center"/>
          </w:tcPr>
          <w:p w:rsidRPr="006968E8" w:rsidR="00BE1FCB" w:rsidP="00F3750D" w:rsidRDefault="00BE1FCB" w14:paraId="1670D87D" w14:textId="77777777">
            <w:pPr>
              <w:keepNext/>
              <w:autoSpaceDE w:val="0"/>
              <w:autoSpaceDN w:val="0"/>
              <w:adjustRightInd w:val="0"/>
              <w:ind w:left="180"/>
              <w:rPr>
                <w:rFonts w:ascii="Times New Roman" w:hAnsi="Times New Roman" w:eastAsia="Times New Roman" w:cs="Times New Roman"/>
                <w:b/>
                <w:sz w:val="16"/>
                <w:szCs w:val="24"/>
              </w:rPr>
            </w:pPr>
            <w:r w:rsidRPr="006968E8">
              <w:rPr>
                <w:rFonts w:ascii="Times New Roman" w:hAnsi="Times New Roman" w:eastAsia="Times New Roman" w:cs="Times New Roman"/>
                <w:b/>
                <w:sz w:val="16"/>
                <w:szCs w:val="24"/>
              </w:rPr>
              <w:t>Total Annualized Hours</w:t>
            </w:r>
          </w:p>
        </w:tc>
        <w:tc>
          <w:tcPr>
            <w:tcW w:w="1929" w:type="dxa"/>
            <w:gridSpan w:val="3"/>
            <w:vAlign w:val="center"/>
          </w:tcPr>
          <w:p w:rsidRPr="006968E8" w:rsidR="00BE1FCB" w:rsidP="00F3750D" w:rsidRDefault="00BE1FCB" w14:paraId="022DDE33" w14:textId="77777777">
            <w:pPr>
              <w:keepNext/>
              <w:autoSpaceDE w:val="0"/>
              <w:autoSpaceDN w:val="0"/>
              <w:adjustRightInd w:val="0"/>
              <w:ind w:left="180"/>
              <w:rPr>
                <w:rFonts w:ascii="Times New Roman" w:hAnsi="Times New Roman" w:eastAsia="Times New Roman" w:cs="Times New Roman"/>
                <w:sz w:val="16"/>
                <w:szCs w:val="24"/>
              </w:rPr>
            </w:pPr>
          </w:p>
        </w:tc>
        <w:tc>
          <w:tcPr>
            <w:tcW w:w="951" w:type="dxa"/>
            <w:vAlign w:val="center"/>
          </w:tcPr>
          <w:p w:rsidRPr="006968E8" w:rsidR="00BE1FCB" w:rsidP="00F3750D" w:rsidRDefault="00BE1FCB" w14:paraId="34B1F324" w14:textId="77777777">
            <w:pPr>
              <w:keepNext/>
              <w:tabs>
                <w:tab w:val="decimal" w:pos="932"/>
              </w:tabs>
              <w:autoSpaceDE w:val="0"/>
              <w:autoSpaceDN w:val="0"/>
              <w:adjustRightInd w:val="0"/>
              <w:ind w:left="180"/>
              <w:jc w:val="right"/>
              <w:rPr>
                <w:rFonts w:ascii="Times New Roman" w:hAnsi="Times New Roman" w:eastAsia="Times New Roman" w:cs="Times New Roman"/>
                <w:sz w:val="16"/>
                <w:szCs w:val="24"/>
              </w:rPr>
            </w:pPr>
          </w:p>
        </w:tc>
        <w:tc>
          <w:tcPr>
            <w:tcW w:w="990" w:type="dxa"/>
            <w:gridSpan w:val="2"/>
            <w:vAlign w:val="center"/>
          </w:tcPr>
          <w:p w:rsidRPr="006968E8" w:rsidR="00BE1FCB" w:rsidP="00F3750D" w:rsidRDefault="00BE1FCB" w14:paraId="29C970CB" w14:textId="77777777">
            <w:pPr>
              <w:keepNext/>
              <w:autoSpaceDE w:val="0"/>
              <w:autoSpaceDN w:val="0"/>
              <w:adjustRightInd w:val="0"/>
              <w:ind w:left="180"/>
              <w:jc w:val="right"/>
              <w:rPr>
                <w:rFonts w:ascii="Times New Roman" w:hAnsi="Times New Roman" w:eastAsia="Times New Roman" w:cs="Times New Roman"/>
                <w:sz w:val="16"/>
                <w:szCs w:val="24"/>
              </w:rPr>
            </w:pPr>
          </w:p>
        </w:tc>
        <w:tc>
          <w:tcPr>
            <w:tcW w:w="1170" w:type="dxa"/>
            <w:vAlign w:val="center"/>
          </w:tcPr>
          <w:p w:rsidRPr="006968E8" w:rsidR="00BE1FCB" w:rsidP="00F3750D" w:rsidRDefault="00BE1FCB" w14:paraId="2FF8D584" w14:textId="77777777">
            <w:pPr>
              <w:keepNext/>
              <w:tabs>
                <w:tab w:val="decimal" w:pos="710"/>
              </w:tabs>
              <w:autoSpaceDE w:val="0"/>
              <w:autoSpaceDN w:val="0"/>
              <w:adjustRightInd w:val="0"/>
              <w:ind w:left="180"/>
              <w:jc w:val="right"/>
              <w:rPr>
                <w:rFonts w:ascii="Times New Roman" w:hAnsi="Times New Roman"/>
                <w:sz w:val="16"/>
              </w:rPr>
            </w:pPr>
          </w:p>
        </w:tc>
        <w:tc>
          <w:tcPr>
            <w:tcW w:w="1306" w:type="dxa"/>
            <w:gridSpan w:val="2"/>
            <w:vAlign w:val="center"/>
          </w:tcPr>
          <w:p w:rsidRPr="006968E8" w:rsidR="00BE1FCB" w:rsidP="00F3750D" w:rsidRDefault="00BE1FCB" w14:paraId="78240483" w14:textId="77777777">
            <w:pPr>
              <w:keepNext/>
              <w:tabs>
                <w:tab w:val="decimal" w:pos="454"/>
              </w:tabs>
              <w:autoSpaceDE w:val="0"/>
              <w:autoSpaceDN w:val="0"/>
              <w:adjustRightInd w:val="0"/>
              <w:ind w:left="180"/>
              <w:jc w:val="right"/>
              <w:rPr>
                <w:rFonts w:ascii="Times New Roman" w:hAnsi="Times New Roman"/>
                <w:sz w:val="16"/>
              </w:rPr>
            </w:pPr>
          </w:p>
        </w:tc>
        <w:tc>
          <w:tcPr>
            <w:tcW w:w="1034" w:type="dxa"/>
            <w:gridSpan w:val="2"/>
            <w:vAlign w:val="center"/>
          </w:tcPr>
          <w:p w:rsidRPr="00B24F13" w:rsidR="00BE1FCB" w:rsidP="00362DBC" w:rsidRDefault="008F3799" w14:paraId="18CE1472" w14:textId="52CCE11A">
            <w:pPr>
              <w:autoSpaceDE w:val="0"/>
              <w:autoSpaceDN w:val="0"/>
              <w:adjustRightInd w:val="0"/>
              <w:jc w:val="center"/>
              <w:rPr>
                <w:rFonts w:ascii="Times New Roman" w:hAnsi="Times New Roman"/>
                <w:b/>
                <w:sz w:val="16"/>
              </w:rPr>
            </w:pPr>
            <w:r>
              <w:rPr>
                <w:rFonts w:ascii="Times New Roman" w:hAnsi="Times New Roman" w:eastAsia="Times New Roman" w:cs="Times New Roman"/>
                <w:b/>
                <w:sz w:val="16"/>
                <w:szCs w:val="24"/>
              </w:rPr>
              <w:t>1</w:t>
            </w:r>
            <w:r w:rsidR="00023491">
              <w:rPr>
                <w:rFonts w:ascii="Times New Roman" w:hAnsi="Times New Roman" w:eastAsia="Times New Roman" w:cs="Times New Roman"/>
                <w:b/>
                <w:sz w:val="16"/>
                <w:szCs w:val="24"/>
              </w:rPr>
              <w:t>60</w:t>
            </w:r>
          </w:p>
        </w:tc>
      </w:tr>
    </w:tbl>
    <w:p w:rsidR="007E58CF" w:rsidP="00BE1FCB" w:rsidRDefault="007E58CF" w14:paraId="2F336D8E" w14:textId="77777777">
      <w:pPr>
        <w:autoSpaceDE w:val="0"/>
        <w:autoSpaceDN w:val="0"/>
        <w:adjustRightInd w:val="0"/>
        <w:ind w:left="180"/>
        <w:jc w:val="both"/>
        <w:rPr>
          <w:rFonts w:ascii="Times New Roman" w:hAnsi="Times New Roman" w:eastAsia="Times New Roman" w:cs="Times New Roman"/>
          <w:szCs w:val="24"/>
          <w:u w:val="single"/>
        </w:rPr>
      </w:pPr>
    </w:p>
    <w:p w:rsidR="00BE1FCB" w:rsidP="00BE1FCB" w:rsidRDefault="00BE1FCB" w14:paraId="7E35F210" w14:textId="3EF1750E">
      <w:pPr>
        <w:autoSpaceDE w:val="0"/>
        <w:autoSpaceDN w:val="0"/>
        <w:adjustRightInd w:val="0"/>
        <w:ind w:left="180"/>
        <w:jc w:val="both"/>
        <w:rPr>
          <w:rFonts w:ascii="Times New Roman" w:hAnsi="Times New Roman" w:eastAsia="Times New Roman" w:cs="Times New Roman"/>
          <w:szCs w:val="24"/>
          <w:u w:val="single"/>
        </w:rPr>
      </w:pPr>
      <w:r w:rsidRPr="00265644">
        <w:rPr>
          <w:rFonts w:ascii="Times New Roman" w:hAnsi="Times New Roman" w:eastAsia="Times New Roman" w:cs="Times New Roman"/>
          <w:szCs w:val="24"/>
          <w:u w:val="single"/>
        </w:rPr>
        <w:t>12b. Annualized Cost Burden Estimate</w:t>
      </w:r>
    </w:p>
    <w:p w:rsidRPr="008265FC" w:rsidR="00032F12" w:rsidP="00BE1FCB" w:rsidRDefault="00032F12" w14:paraId="50246430" w14:textId="77777777">
      <w:pPr>
        <w:autoSpaceDE w:val="0"/>
        <w:autoSpaceDN w:val="0"/>
        <w:adjustRightInd w:val="0"/>
        <w:ind w:left="180"/>
        <w:jc w:val="both"/>
        <w:rPr>
          <w:rFonts w:ascii="Times New Roman" w:hAnsi="Times New Roman" w:eastAsia="Times New Roman" w:cs="Times New Roman"/>
          <w:szCs w:val="24"/>
          <w:u w:val="single"/>
        </w:rPr>
      </w:pPr>
    </w:p>
    <w:p w:rsidR="00BE1FCB" w:rsidP="265E300C" w:rsidRDefault="00BE1FCB" w14:paraId="2F564EA1" w14:textId="5EC54BF8">
      <w:pPr>
        <w:autoSpaceDE w:val="0"/>
        <w:autoSpaceDN w:val="0"/>
        <w:adjustRightInd w:val="0"/>
        <w:ind w:left="180"/>
        <w:rPr>
          <w:rFonts w:ascii="Times New Roman" w:hAnsi="Times New Roman" w:eastAsia="Times New Roman" w:cs="Times New Roman"/>
        </w:rPr>
      </w:pPr>
      <w:r w:rsidRPr="265E300C">
        <w:rPr>
          <w:rFonts w:ascii="Times New Roman" w:hAnsi="Times New Roman" w:eastAsia="Times New Roman" w:cs="Times New Roman"/>
        </w:rPr>
        <w:t xml:space="preserve">Respondents participate on a purely voluntary basis and, therefore, are subject to no direct costs other than time to participate. There are also no start-up or maintenance costs. </w:t>
      </w:r>
      <w:r w:rsidRPr="265E300C" w:rsidR="00B941E0">
        <w:rPr>
          <w:rFonts w:ascii="Times New Roman" w:hAnsi="Times New Roman" w:eastAsia="Times New Roman" w:cs="Times New Roman"/>
        </w:rPr>
        <w:t xml:space="preserve">Marketing Workshop </w:t>
      </w:r>
      <w:r w:rsidRPr="265E300C">
        <w:rPr>
          <w:rFonts w:ascii="Times New Roman" w:hAnsi="Times New Roman" w:eastAsia="Times New Roman" w:cs="Times New Roman"/>
        </w:rPr>
        <w:t>has conducted many smoking-related surveys of similar length among youth</w:t>
      </w:r>
      <w:r w:rsidRPr="265E300C" w:rsidR="00ED74D1">
        <w:rPr>
          <w:rFonts w:ascii="Times New Roman" w:hAnsi="Times New Roman" w:eastAsia="Times New Roman" w:cs="Times New Roman"/>
        </w:rPr>
        <w:t xml:space="preserve"> and adults</w:t>
      </w:r>
      <w:r w:rsidRPr="265E300C">
        <w:rPr>
          <w:rFonts w:ascii="Times New Roman" w:hAnsi="Times New Roman" w:eastAsia="Times New Roman" w:cs="Times New Roman"/>
        </w:rPr>
        <w:t xml:space="preserve">. </w:t>
      </w:r>
      <w:r w:rsidRPr="265E300C">
        <w:rPr>
          <w:rFonts w:ascii="Times New Roman" w:hAnsi="Times New Roman"/>
        </w:rPr>
        <w:t xml:space="preserve">We have examined diagnostic data from prior surveys and estimate that data collection for this study will take approximately </w:t>
      </w:r>
      <w:r w:rsidRPr="265E300C" w:rsidR="00D56539">
        <w:rPr>
          <w:rFonts w:ascii="Times New Roman" w:hAnsi="Times New Roman" w:eastAsia="Times New Roman" w:cs="Times New Roman"/>
        </w:rPr>
        <w:t>2</w:t>
      </w:r>
      <w:r w:rsidRPr="265E300C" w:rsidR="006F5F1D">
        <w:rPr>
          <w:rFonts w:ascii="Times New Roman" w:hAnsi="Times New Roman"/>
        </w:rPr>
        <w:t xml:space="preserve"> </w:t>
      </w:r>
      <w:r w:rsidRPr="265E300C" w:rsidR="003807AB">
        <w:rPr>
          <w:rFonts w:ascii="Times New Roman" w:hAnsi="Times New Roman"/>
        </w:rPr>
        <w:t>minutes per respondent for screening</w:t>
      </w:r>
      <w:r w:rsidRPr="265E300C" w:rsidR="00804FE9">
        <w:rPr>
          <w:rFonts w:ascii="Times New Roman" w:hAnsi="Times New Roman"/>
        </w:rPr>
        <w:t xml:space="preserve">, </w:t>
      </w:r>
      <w:r w:rsidRPr="265E300C" w:rsidR="00D56539">
        <w:rPr>
          <w:rFonts w:ascii="Times New Roman" w:hAnsi="Times New Roman" w:eastAsia="Times New Roman" w:cs="Times New Roman"/>
        </w:rPr>
        <w:t>2</w:t>
      </w:r>
      <w:r w:rsidRPr="265E300C" w:rsidR="007B4646">
        <w:rPr>
          <w:rFonts w:ascii="Times New Roman" w:hAnsi="Times New Roman"/>
        </w:rPr>
        <w:t xml:space="preserve"> </w:t>
      </w:r>
      <w:r w:rsidRPr="265E300C" w:rsidR="00804FE9">
        <w:rPr>
          <w:rFonts w:ascii="Times New Roman" w:hAnsi="Times New Roman"/>
        </w:rPr>
        <w:t>minutes per respondent for assenting,</w:t>
      </w:r>
      <w:r w:rsidRPr="265E300C" w:rsidR="003807AB">
        <w:rPr>
          <w:rFonts w:ascii="Times New Roman" w:hAnsi="Times New Roman"/>
        </w:rPr>
        <w:t xml:space="preserve"> and</w:t>
      </w:r>
      <w:r w:rsidRPr="265E300C" w:rsidR="00753824">
        <w:rPr>
          <w:rFonts w:ascii="Times New Roman" w:hAnsi="Times New Roman"/>
        </w:rPr>
        <w:t xml:space="preserve"> </w:t>
      </w:r>
      <w:r w:rsidRPr="265E300C" w:rsidR="00D56539">
        <w:rPr>
          <w:rFonts w:ascii="Times New Roman" w:hAnsi="Times New Roman" w:eastAsia="Times New Roman" w:cs="Times New Roman"/>
        </w:rPr>
        <w:t xml:space="preserve">up to 20 </w:t>
      </w:r>
      <w:r w:rsidRPr="265E300C">
        <w:rPr>
          <w:rFonts w:ascii="Times New Roman" w:hAnsi="Times New Roman"/>
        </w:rPr>
        <w:t xml:space="preserve">minutes per </w:t>
      </w:r>
      <w:r w:rsidRPr="265E300C" w:rsidR="003807AB">
        <w:rPr>
          <w:rFonts w:ascii="Times New Roman" w:hAnsi="Times New Roman"/>
        </w:rPr>
        <w:t>respondent for the online survey</w:t>
      </w:r>
      <w:r w:rsidRPr="265E300C" w:rsidR="00517103">
        <w:rPr>
          <w:rFonts w:ascii="Times New Roman" w:hAnsi="Times New Roman"/>
        </w:rPr>
        <w:t>s</w:t>
      </w:r>
      <w:r w:rsidRPr="265E300C">
        <w:rPr>
          <w:rFonts w:ascii="Times New Roman" w:hAnsi="Times New Roman" w:eastAsia="Times New Roman" w:cs="Times New Roman"/>
        </w:rPr>
        <w:t xml:space="preserve">. </w:t>
      </w:r>
    </w:p>
    <w:p w:rsidRPr="008265FC" w:rsidR="007E58CF" w:rsidP="00BE1FCB" w:rsidRDefault="007E58CF" w14:paraId="1AD6D22A" w14:textId="77777777">
      <w:pPr>
        <w:autoSpaceDE w:val="0"/>
        <w:autoSpaceDN w:val="0"/>
        <w:adjustRightInd w:val="0"/>
        <w:ind w:left="180"/>
        <w:rPr>
          <w:rFonts w:ascii="Times New Roman" w:hAnsi="Times New Roman" w:eastAsia="Times New Roman" w:cs="Times New Roman"/>
          <w:szCs w:val="24"/>
        </w:rPr>
      </w:pPr>
    </w:p>
    <w:p w:rsidR="00BE1FCB" w:rsidP="265E300C" w:rsidRDefault="00BE1FCB" w14:paraId="1D132FF6" w14:textId="1121C6F4">
      <w:pPr>
        <w:autoSpaceDE w:val="0"/>
        <w:autoSpaceDN w:val="0"/>
        <w:adjustRightInd w:val="0"/>
        <w:ind w:left="180"/>
        <w:rPr>
          <w:rFonts w:ascii="Times New Roman" w:hAnsi="Times New Roman" w:eastAsia="Times New Roman" w:cs="Times New Roman"/>
        </w:rPr>
      </w:pPr>
      <w:r w:rsidRPr="265E300C">
        <w:rPr>
          <w:rFonts w:ascii="Times New Roman" w:hAnsi="Times New Roman" w:eastAsia="Times New Roman" w:cs="Times New Roman"/>
        </w:rPr>
        <w:t xml:space="preserve">To calculate </w:t>
      </w:r>
      <w:bookmarkStart w:name="_Hlk46317441" w:id="25"/>
      <w:r w:rsidRPr="265E300C" w:rsidR="008A72B9">
        <w:rPr>
          <w:rFonts w:ascii="Times New Roman" w:hAnsi="Times New Roman" w:eastAsia="Times New Roman" w:cs="Times New Roman"/>
        </w:rPr>
        <w:t xml:space="preserve">the estimate annual </w:t>
      </w:r>
      <w:r w:rsidRPr="265E300C">
        <w:rPr>
          <w:rFonts w:ascii="Times New Roman" w:hAnsi="Times New Roman" w:eastAsia="Times New Roman" w:cs="Times New Roman"/>
        </w:rPr>
        <w:t>cost, the mean hourly wage of $7.25 was used for youth</w:t>
      </w:r>
      <w:r w:rsidRPr="265E300C" w:rsidR="004D16AC">
        <w:rPr>
          <w:rFonts w:ascii="Times New Roman" w:hAnsi="Times New Roman" w:eastAsia="Times New Roman" w:cs="Times New Roman"/>
        </w:rPr>
        <w:t>.</w:t>
      </w:r>
      <w:r w:rsidRPr="265E300C">
        <w:rPr>
          <w:rFonts w:ascii="Times New Roman" w:hAnsi="Times New Roman" w:eastAsia="Times New Roman" w:cs="Times New Roman"/>
        </w:rPr>
        <w:t xml:space="preserve"> </w:t>
      </w:r>
      <w:bookmarkEnd w:id="25"/>
      <w:r w:rsidRPr="265E300C" w:rsidR="00C44863">
        <w:rPr>
          <w:rFonts w:ascii="Times New Roman" w:hAnsi="Times New Roman" w:eastAsia="Times New Roman" w:cs="Times New Roman"/>
        </w:rPr>
        <w:t xml:space="preserve">The youth price represents the minimum wage from the </w:t>
      </w:r>
      <w:r w:rsidRPr="265E300C" w:rsidR="005E3BBC">
        <w:rPr>
          <w:rFonts w:ascii="Times New Roman" w:hAnsi="Times New Roman" w:eastAsia="Times New Roman" w:cs="Times New Roman"/>
        </w:rPr>
        <w:t>U.S. Department of Labor Bureau of Labor Statistics</w:t>
      </w:r>
      <w:r w:rsidRPr="265E300C" w:rsidR="00C44863">
        <w:rPr>
          <w:rFonts w:ascii="Times New Roman" w:hAnsi="Times New Roman" w:eastAsia="Times New Roman" w:cs="Times New Roman"/>
        </w:rPr>
        <w:t xml:space="preserve"> (May 20</w:t>
      </w:r>
      <w:r w:rsidRPr="265E300C" w:rsidR="00E75926">
        <w:rPr>
          <w:rFonts w:ascii="Times New Roman" w:hAnsi="Times New Roman" w:eastAsia="Times New Roman" w:cs="Times New Roman"/>
        </w:rPr>
        <w:t xml:space="preserve">20 </w:t>
      </w:r>
      <w:r w:rsidRPr="265E300C" w:rsidR="00C44863">
        <w:rPr>
          <w:rFonts w:ascii="Times New Roman" w:hAnsi="Times New Roman" w:eastAsia="Times New Roman" w:cs="Times New Roman"/>
        </w:rPr>
        <w:t xml:space="preserve">data). </w:t>
      </w:r>
      <w:r w:rsidRPr="265E300C">
        <w:rPr>
          <w:rFonts w:ascii="Times New Roman" w:hAnsi="Times New Roman" w:eastAsia="Times New Roman" w:cs="Times New Roman"/>
        </w:rPr>
        <w:t xml:space="preserve">There are no direct costs to respondents associated with participation in this information collection. </w:t>
      </w:r>
      <w:r w:rsidRPr="265E300C" w:rsidR="00472B5D">
        <w:rPr>
          <w:rFonts w:ascii="Times New Roman" w:hAnsi="Times New Roman" w:eastAsia="Times New Roman" w:cs="Times New Roman"/>
        </w:rPr>
        <w:t>Marketing Workshop</w:t>
      </w:r>
      <w:r w:rsidRPr="265E300C" w:rsidR="0091733F">
        <w:rPr>
          <w:rFonts w:ascii="Times New Roman" w:hAnsi="Times New Roman" w:eastAsia="Times New Roman" w:cs="Times New Roman"/>
        </w:rPr>
        <w:t xml:space="preserve"> has conducted many smoking-related surveys of similar length among youth. </w:t>
      </w:r>
      <w:r w:rsidRPr="265E300C">
        <w:rPr>
          <w:rFonts w:ascii="Times New Roman" w:hAnsi="Times New Roman" w:eastAsia="Times New Roman" w:cs="Times New Roman"/>
        </w:rPr>
        <w:t xml:space="preserve">Thus, assuming an average hourly wage of $7.25 </w:t>
      </w:r>
      <w:r w:rsidRPr="265E300C" w:rsidR="009D1F0C">
        <w:rPr>
          <w:rFonts w:ascii="Times New Roman" w:hAnsi="Times New Roman" w:eastAsia="Times New Roman" w:cs="Times New Roman"/>
        </w:rPr>
        <w:t>for youth</w:t>
      </w:r>
      <w:r w:rsidRPr="265E300C" w:rsidR="004D16AC">
        <w:rPr>
          <w:rFonts w:ascii="Times New Roman" w:hAnsi="Times New Roman" w:eastAsia="Times New Roman" w:cs="Times New Roman"/>
        </w:rPr>
        <w:t xml:space="preserve"> </w:t>
      </w:r>
      <w:r w:rsidRPr="265E300C" w:rsidR="009D1F0C">
        <w:rPr>
          <w:rFonts w:ascii="Times New Roman" w:hAnsi="Times New Roman" w:eastAsia="Times New Roman" w:cs="Times New Roman"/>
        </w:rPr>
        <w:t xml:space="preserve">and $28.43 for parents of youth, </w:t>
      </w:r>
      <w:r w:rsidRPr="265E300C">
        <w:rPr>
          <w:rFonts w:ascii="Times New Roman" w:hAnsi="Times New Roman" w:eastAsia="Times New Roman" w:cs="Times New Roman"/>
        </w:rPr>
        <w:t xml:space="preserve">the estimated one-year annualized cost to participants will be </w:t>
      </w:r>
      <w:r w:rsidRPr="265E300C" w:rsidR="00E85BBE">
        <w:rPr>
          <w:rFonts w:ascii="Times New Roman" w:hAnsi="Times New Roman"/>
        </w:rPr>
        <w:t>$</w:t>
      </w:r>
      <w:r w:rsidR="008576E5">
        <w:rPr>
          <w:rFonts w:ascii="Times New Roman" w:hAnsi="Times New Roman" w:eastAsia="Times New Roman" w:cs="Times New Roman"/>
        </w:rPr>
        <w:t>2,222</w:t>
      </w:r>
      <w:r w:rsidRPr="265E300C" w:rsidR="009C687D">
        <w:rPr>
          <w:rFonts w:ascii="Times New Roman" w:hAnsi="Times New Roman" w:eastAsia="Times New Roman" w:cs="Times New Roman"/>
        </w:rPr>
        <w:t>.</w:t>
      </w:r>
      <w:r w:rsidRPr="265E300C">
        <w:rPr>
          <w:rFonts w:ascii="Times New Roman" w:hAnsi="Times New Roman" w:eastAsia="Times New Roman" w:cs="Times New Roman"/>
        </w:rPr>
        <w:t xml:space="preserve"> The estimated value of respondents’ time for participating in the information collection is summarized in Table 2.</w:t>
      </w:r>
    </w:p>
    <w:p w:rsidR="00807911" w:rsidP="00A627E6" w:rsidRDefault="00807911" w14:paraId="19F41208" w14:textId="15207880">
      <w:pPr>
        <w:autoSpaceDE w:val="0"/>
        <w:autoSpaceDN w:val="0"/>
        <w:adjustRightInd w:val="0"/>
        <w:rPr>
          <w:rFonts w:ascii="Times New Roman" w:hAnsi="Times New Roman" w:eastAsia="Times New Roman" w:cs="Times New Roman"/>
        </w:rPr>
      </w:pPr>
    </w:p>
    <w:p w:rsidRPr="007B4646" w:rsidR="00BE1FCB" w:rsidP="00032F12" w:rsidRDefault="00BE1FCB" w14:paraId="6825F20F" w14:textId="77777777">
      <w:pPr>
        <w:keepNext/>
        <w:keepLines/>
        <w:autoSpaceDE w:val="0"/>
        <w:autoSpaceDN w:val="0"/>
        <w:adjustRightInd w:val="0"/>
        <w:ind w:left="180"/>
        <w:jc w:val="center"/>
        <w:rPr>
          <w:rFonts w:ascii="Times New Roman" w:hAnsi="Times New Roman" w:eastAsia="Times New Roman" w:cs="Times New Roman"/>
          <w:b/>
          <w:szCs w:val="24"/>
        </w:rPr>
      </w:pPr>
      <w:r w:rsidRPr="007B4646">
        <w:rPr>
          <w:rFonts w:ascii="Times New Roman" w:hAnsi="Times New Roman" w:eastAsia="Times New Roman" w:cs="Times New Roman"/>
          <w:b/>
          <w:szCs w:val="24"/>
        </w:rPr>
        <w:t>Table 2. Estimated Annual Cost</w:t>
      </w:r>
    </w:p>
    <w:tbl>
      <w:tblPr>
        <w:tblW w:w="8280" w:type="dxa"/>
        <w:tblInd w:w="720" w:type="dxa"/>
        <w:tblBorders>
          <w:top w:val="single" w:color="auto" w:sz="12" w:space="0"/>
          <w:bottom w:val="single" w:color="auto" w:sz="12"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2070"/>
        <w:gridCol w:w="2402"/>
        <w:gridCol w:w="1350"/>
        <w:gridCol w:w="1080"/>
        <w:gridCol w:w="1378"/>
      </w:tblGrid>
      <w:tr w:rsidRPr="00753824" w:rsidR="00753824" w:rsidTr="265E300C" w14:paraId="7F676096" w14:textId="77777777">
        <w:trPr>
          <w:cantSplit/>
          <w:tblHeader/>
        </w:trPr>
        <w:tc>
          <w:tcPr>
            <w:tcW w:w="2070" w:type="dxa"/>
            <w:vAlign w:val="center"/>
          </w:tcPr>
          <w:p w:rsidRPr="00300721" w:rsidR="00BE1FCB" w:rsidP="00B30823" w:rsidRDefault="00BE1FCB" w14:paraId="12C415A6" w14:textId="77777777">
            <w:pPr>
              <w:keepNext/>
              <w:autoSpaceDE w:val="0"/>
              <w:autoSpaceDN w:val="0"/>
              <w:adjustRightInd w:val="0"/>
              <w:ind w:left="180"/>
              <w:jc w:val="center"/>
              <w:rPr>
                <w:rFonts w:ascii="Times New Roman" w:hAnsi="Times New Roman" w:eastAsia="Times New Roman" w:cs="Times New Roman"/>
                <w:b/>
                <w:sz w:val="18"/>
                <w:szCs w:val="24"/>
              </w:rPr>
            </w:pPr>
            <w:r w:rsidRPr="00300721">
              <w:rPr>
                <w:rFonts w:ascii="Times New Roman" w:hAnsi="Times New Roman" w:eastAsia="Times New Roman" w:cs="Times New Roman"/>
                <w:b/>
                <w:sz w:val="18"/>
                <w:szCs w:val="24"/>
              </w:rPr>
              <w:t>Type of Respondent</w:t>
            </w:r>
          </w:p>
        </w:tc>
        <w:tc>
          <w:tcPr>
            <w:tcW w:w="2402" w:type="dxa"/>
            <w:vAlign w:val="center"/>
          </w:tcPr>
          <w:p w:rsidRPr="00300721" w:rsidR="00BE1FCB" w:rsidP="00B30823" w:rsidRDefault="00BE1FCB" w14:paraId="077F3FE0" w14:textId="77777777">
            <w:pPr>
              <w:keepNext/>
              <w:autoSpaceDE w:val="0"/>
              <w:autoSpaceDN w:val="0"/>
              <w:adjustRightInd w:val="0"/>
              <w:ind w:left="180"/>
              <w:jc w:val="center"/>
              <w:rPr>
                <w:rFonts w:ascii="Times New Roman" w:hAnsi="Times New Roman" w:eastAsia="Times New Roman" w:cs="Times New Roman"/>
                <w:b/>
                <w:sz w:val="18"/>
                <w:szCs w:val="24"/>
              </w:rPr>
            </w:pPr>
            <w:r w:rsidRPr="00300721">
              <w:rPr>
                <w:rFonts w:ascii="Times New Roman" w:hAnsi="Times New Roman" w:eastAsia="Times New Roman" w:cs="Times New Roman"/>
                <w:b/>
                <w:sz w:val="18"/>
                <w:szCs w:val="24"/>
              </w:rPr>
              <w:t>Activity</w:t>
            </w:r>
          </w:p>
        </w:tc>
        <w:tc>
          <w:tcPr>
            <w:tcW w:w="1350" w:type="dxa"/>
            <w:vAlign w:val="center"/>
          </w:tcPr>
          <w:p w:rsidRPr="00300721" w:rsidR="00BE1FCB" w:rsidP="00B30823" w:rsidRDefault="00BE1FCB" w14:paraId="37C21B30" w14:textId="77777777">
            <w:pPr>
              <w:keepNext/>
              <w:autoSpaceDE w:val="0"/>
              <w:autoSpaceDN w:val="0"/>
              <w:adjustRightInd w:val="0"/>
              <w:ind w:left="180"/>
              <w:jc w:val="center"/>
              <w:rPr>
                <w:rFonts w:ascii="Times New Roman" w:hAnsi="Times New Roman" w:eastAsia="Times New Roman" w:cs="Times New Roman"/>
                <w:b/>
                <w:sz w:val="18"/>
                <w:szCs w:val="24"/>
              </w:rPr>
            </w:pPr>
            <w:r w:rsidRPr="00300721">
              <w:rPr>
                <w:rFonts w:ascii="Times New Roman" w:hAnsi="Times New Roman" w:eastAsia="Times New Roman" w:cs="Times New Roman"/>
                <w:b/>
                <w:sz w:val="18"/>
                <w:szCs w:val="24"/>
              </w:rPr>
              <w:t>Annual Burden Hours</w:t>
            </w:r>
          </w:p>
        </w:tc>
        <w:tc>
          <w:tcPr>
            <w:tcW w:w="1080" w:type="dxa"/>
            <w:vAlign w:val="center"/>
          </w:tcPr>
          <w:p w:rsidRPr="00300721" w:rsidR="00BE1FCB" w:rsidP="00B30823" w:rsidRDefault="00BE1FCB" w14:paraId="2C99DDBA" w14:textId="77777777">
            <w:pPr>
              <w:keepNext/>
              <w:autoSpaceDE w:val="0"/>
              <w:autoSpaceDN w:val="0"/>
              <w:adjustRightInd w:val="0"/>
              <w:ind w:left="180"/>
              <w:jc w:val="center"/>
              <w:rPr>
                <w:rFonts w:ascii="Times New Roman" w:hAnsi="Times New Roman" w:eastAsia="Times New Roman" w:cs="Times New Roman"/>
                <w:b/>
                <w:sz w:val="18"/>
                <w:szCs w:val="24"/>
              </w:rPr>
            </w:pPr>
            <w:r w:rsidRPr="00300721">
              <w:rPr>
                <w:rFonts w:ascii="Times New Roman" w:hAnsi="Times New Roman" w:eastAsia="Times New Roman" w:cs="Times New Roman"/>
                <w:b/>
                <w:sz w:val="18"/>
                <w:szCs w:val="24"/>
              </w:rPr>
              <w:t>Hourly Wage Rate</w:t>
            </w:r>
          </w:p>
        </w:tc>
        <w:tc>
          <w:tcPr>
            <w:tcW w:w="1378" w:type="dxa"/>
            <w:vAlign w:val="center"/>
          </w:tcPr>
          <w:p w:rsidRPr="00300721" w:rsidR="00BE1FCB" w:rsidP="00B30823" w:rsidRDefault="00BE1FCB" w14:paraId="25DBE185" w14:textId="77777777">
            <w:pPr>
              <w:keepNext/>
              <w:autoSpaceDE w:val="0"/>
              <w:autoSpaceDN w:val="0"/>
              <w:adjustRightInd w:val="0"/>
              <w:ind w:left="180"/>
              <w:jc w:val="center"/>
              <w:rPr>
                <w:rFonts w:ascii="Times New Roman" w:hAnsi="Times New Roman" w:eastAsia="Times New Roman" w:cs="Times New Roman"/>
                <w:b/>
                <w:sz w:val="18"/>
                <w:szCs w:val="24"/>
              </w:rPr>
            </w:pPr>
            <w:r w:rsidRPr="00300721">
              <w:rPr>
                <w:rFonts w:ascii="Times New Roman" w:hAnsi="Times New Roman" w:eastAsia="Times New Roman" w:cs="Times New Roman"/>
                <w:b/>
                <w:sz w:val="18"/>
                <w:szCs w:val="24"/>
              </w:rPr>
              <w:t>Total Cost</w:t>
            </w:r>
            <w:r w:rsidRPr="00300721">
              <w:rPr>
                <w:rFonts w:ascii="Times New Roman" w:hAnsi="Times New Roman" w:eastAsia="Times New Roman" w:cs="Times New Roman"/>
                <w:b/>
                <w:sz w:val="18"/>
                <w:szCs w:val="24"/>
                <w:vertAlign w:val="superscript"/>
              </w:rPr>
              <w:t>1</w:t>
            </w:r>
          </w:p>
        </w:tc>
      </w:tr>
      <w:tr w:rsidRPr="00753824" w:rsidR="00753824" w:rsidTr="265E300C" w14:paraId="68725C05" w14:textId="77777777">
        <w:trPr>
          <w:cantSplit/>
          <w:tblHeader/>
        </w:trPr>
        <w:tc>
          <w:tcPr>
            <w:tcW w:w="2070" w:type="dxa"/>
            <w:vAlign w:val="center"/>
          </w:tcPr>
          <w:p w:rsidRPr="00300721" w:rsidR="009D1F0C" w:rsidP="009D1F0C" w:rsidRDefault="009D1F0C" w14:paraId="7ABC69C4" w14:textId="6588E284">
            <w:pPr>
              <w:keepNext/>
              <w:autoSpaceDE w:val="0"/>
              <w:autoSpaceDN w:val="0"/>
              <w:adjustRightInd w:val="0"/>
              <w:ind w:left="180"/>
              <w:rPr>
                <w:rFonts w:ascii="Times New Roman" w:hAnsi="Times New Roman" w:eastAsia="Times New Roman" w:cs="Times New Roman"/>
                <w:sz w:val="18"/>
                <w:szCs w:val="24"/>
              </w:rPr>
            </w:pPr>
            <w:r w:rsidRPr="00300721">
              <w:rPr>
                <w:rFonts w:ascii="Times New Roman" w:hAnsi="Times New Roman" w:eastAsia="Times New Roman" w:cs="Times New Roman"/>
                <w:sz w:val="18"/>
                <w:szCs w:val="24"/>
              </w:rPr>
              <w:t>Parent of youth aged 13-17</w:t>
            </w:r>
          </w:p>
        </w:tc>
        <w:tc>
          <w:tcPr>
            <w:tcW w:w="2402" w:type="dxa"/>
            <w:vAlign w:val="center"/>
          </w:tcPr>
          <w:p w:rsidRPr="00300721" w:rsidR="009D1F0C" w:rsidP="009D1F0C" w:rsidRDefault="009D1F0C" w14:paraId="293283E2" w14:textId="33D3FAFB">
            <w:pPr>
              <w:keepNext/>
              <w:autoSpaceDE w:val="0"/>
              <w:autoSpaceDN w:val="0"/>
              <w:adjustRightInd w:val="0"/>
              <w:ind w:left="180"/>
              <w:rPr>
                <w:rFonts w:ascii="Times New Roman" w:hAnsi="Times New Roman" w:eastAsia="Times New Roman" w:cs="Times New Roman"/>
                <w:b/>
                <w:sz w:val="18"/>
                <w:szCs w:val="24"/>
              </w:rPr>
            </w:pPr>
            <w:r w:rsidRPr="00300721">
              <w:rPr>
                <w:rFonts w:ascii="Times New Roman" w:hAnsi="Times New Roman" w:eastAsia="Times New Roman" w:cs="Times New Roman"/>
                <w:sz w:val="16"/>
                <w:szCs w:val="24"/>
              </w:rPr>
              <w:t>Youth Recruiting</w:t>
            </w:r>
          </w:p>
        </w:tc>
        <w:tc>
          <w:tcPr>
            <w:tcW w:w="1350" w:type="dxa"/>
            <w:vAlign w:val="center"/>
          </w:tcPr>
          <w:p w:rsidRPr="00300721" w:rsidR="009D1F0C" w:rsidP="00B30823" w:rsidRDefault="00885EE5" w14:paraId="11FA3C5D" w14:textId="14AA8C5B">
            <w:pPr>
              <w:keepNext/>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50</w:t>
            </w:r>
          </w:p>
        </w:tc>
        <w:tc>
          <w:tcPr>
            <w:tcW w:w="1080" w:type="dxa"/>
            <w:vAlign w:val="center"/>
          </w:tcPr>
          <w:p w:rsidRPr="00300721" w:rsidR="009D1F0C" w:rsidP="00B30823" w:rsidRDefault="009D1F0C" w14:paraId="47EA654C" w14:textId="51F3CA1E">
            <w:pPr>
              <w:keepNext/>
              <w:autoSpaceDE w:val="0"/>
              <w:autoSpaceDN w:val="0"/>
              <w:adjustRightInd w:val="0"/>
              <w:ind w:left="180"/>
              <w:jc w:val="center"/>
              <w:rPr>
                <w:rFonts w:ascii="Times New Roman" w:hAnsi="Times New Roman" w:eastAsia="Times New Roman" w:cs="Times New Roman"/>
                <w:b/>
                <w:sz w:val="18"/>
                <w:szCs w:val="24"/>
              </w:rPr>
            </w:pPr>
            <w:r w:rsidRPr="00300721">
              <w:rPr>
                <w:rFonts w:ascii="Times New Roman" w:hAnsi="Times New Roman" w:eastAsia="Times New Roman" w:cs="Times New Roman"/>
                <w:sz w:val="18"/>
                <w:szCs w:val="18"/>
              </w:rPr>
              <w:t>$28.43</w:t>
            </w:r>
          </w:p>
        </w:tc>
        <w:tc>
          <w:tcPr>
            <w:tcW w:w="1378" w:type="dxa"/>
            <w:vAlign w:val="center"/>
          </w:tcPr>
          <w:p w:rsidRPr="00300721" w:rsidR="009D1F0C" w:rsidP="00B30823" w:rsidRDefault="009D1F0C" w14:paraId="063CE037" w14:textId="6DD73441">
            <w:pPr>
              <w:keepNext/>
              <w:autoSpaceDE w:val="0"/>
              <w:autoSpaceDN w:val="0"/>
              <w:adjustRightInd w:val="0"/>
              <w:ind w:left="180"/>
              <w:jc w:val="center"/>
              <w:rPr>
                <w:rFonts w:ascii="Times New Roman" w:hAnsi="Times New Roman" w:eastAsia="Times New Roman" w:cs="Times New Roman"/>
                <w:sz w:val="18"/>
                <w:szCs w:val="18"/>
              </w:rPr>
            </w:pPr>
            <w:r w:rsidRPr="265E300C">
              <w:rPr>
                <w:rFonts w:ascii="Times New Roman" w:hAnsi="Times New Roman" w:eastAsia="Times New Roman" w:cs="Times New Roman"/>
                <w:sz w:val="18"/>
                <w:szCs w:val="18"/>
              </w:rPr>
              <w:t>$</w:t>
            </w:r>
            <w:r w:rsidR="0068537C">
              <w:rPr>
                <w:rFonts w:ascii="Times New Roman" w:hAnsi="Times New Roman" w:eastAsia="Times New Roman" w:cs="Times New Roman"/>
                <w:sz w:val="18"/>
                <w:szCs w:val="18"/>
              </w:rPr>
              <w:t>1,</w:t>
            </w:r>
            <w:r w:rsidR="008A162B">
              <w:rPr>
                <w:rFonts w:ascii="Times New Roman" w:hAnsi="Times New Roman" w:eastAsia="Times New Roman" w:cs="Times New Roman"/>
                <w:sz w:val="18"/>
                <w:szCs w:val="18"/>
              </w:rPr>
              <w:t>422</w:t>
            </w:r>
          </w:p>
        </w:tc>
      </w:tr>
      <w:tr w:rsidRPr="00753824" w:rsidR="00807911" w:rsidTr="265E300C" w14:paraId="0E7ACC8E" w14:textId="77777777">
        <w:trPr>
          <w:cantSplit/>
        </w:trPr>
        <w:tc>
          <w:tcPr>
            <w:tcW w:w="2070" w:type="dxa"/>
            <w:vMerge w:val="restart"/>
            <w:vAlign w:val="center"/>
          </w:tcPr>
          <w:p w:rsidRPr="00300721" w:rsidR="00807911" w:rsidP="002F601D" w:rsidRDefault="00807911" w14:paraId="6766E7B1" w14:textId="77777777">
            <w:pPr>
              <w:autoSpaceDE w:val="0"/>
              <w:autoSpaceDN w:val="0"/>
              <w:adjustRightInd w:val="0"/>
              <w:ind w:left="180"/>
              <w:rPr>
                <w:rFonts w:ascii="Times New Roman" w:hAnsi="Times New Roman" w:eastAsia="Times New Roman" w:cs="Times New Roman"/>
                <w:sz w:val="16"/>
                <w:szCs w:val="24"/>
              </w:rPr>
            </w:pPr>
            <w:r w:rsidRPr="00300721">
              <w:rPr>
                <w:rFonts w:ascii="Times New Roman" w:hAnsi="Times New Roman" w:eastAsia="Times New Roman" w:cs="Times New Roman"/>
                <w:sz w:val="16"/>
                <w:szCs w:val="24"/>
              </w:rPr>
              <w:t xml:space="preserve">Youth aged </w:t>
            </w:r>
          </w:p>
          <w:p w:rsidRPr="00300721" w:rsidR="00807911" w:rsidP="002F601D" w:rsidRDefault="00807911" w14:paraId="3BF16051" w14:textId="3305BA7B">
            <w:pPr>
              <w:autoSpaceDE w:val="0"/>
              <w:autoSpaceDN w:val="0"/>
              <w:adjustRightInd w:val="0"/>
              <w:ind w:left="180"/>
              <w:rPr>
                <w:rFonts w:ascii="Times New Roman" w:hAnsi="Times New Roman" w:eastAsia="Times New Roman" w:cs="Times New Roman"/>
                <w:sz w:val="16"/>
                <w:szCs w:val="24"/>
              </w:rPr>
            </w:pPr>
            <w:r w:rsidRPr="00300721">
              <w:rPr>
                <w:rFonts w:ascii="Times New Roman" w:hAnsi="Times New Roman" w:eastAsia="Times New Roman" w:cs="Times New Roman"/>
                <w:sz w:val="16"/>
                <w:szCs w:val="24"/>
              </w:rPr>
              <w:t>13–17</w:t>
            </w:r>
          </w:p>
        </w:tc>
        <w:tc>
          <w:tcPr>
            <w:tcW w:w="2402" w:type="dxa"/>
          </w:tcPr>
          <w:p w:rsidRPr="00300721" w:rsidR="00807911" w:rsidP="002F601D" w:rsidRDefault="00807911" w14:paraId="3608C6CA" w14:textId="77777777">
            <w:pPr>
              <w:autoSpaceDE w:val="0"/>
              <w:autoSpaceDN w:val="0"/>
              <w:adjustRightInd w:val="0"/>
              <w:ind w:left="180"/>
              <w:rPr>
                <w:rFonts w:ascii="Times New Roman" w:hAnsi="Times New Roman" w:eastAsia="Times New Roman" w:cs="Times New Roman"/>
                <w:sz w:val="16"/>
                <w:szCs w:val="24"/>
              </w:rPr>
            </w:pPr>
          </w:p>
          <w:p w:rsidRPr="00300721" w:rsidR="00807911" w:rsidP="002F601D" w:rsidRDefault="00807911" w14:paraId="188740E2" w14:textId="77777777">
            <w:pPr>
              <w:autoSpaceDE w:val="0"/>
              <w:autoSpaceDN w:val="0"/>
              <w:adjustRightInd w:val="0"/>
              <w:ind w:left="180"/>
              <w:rPr>
                <w:rFonts w:ascii="Times New Roman" w:hAnsi="Times New Roman" w:eastAsia="Times New Roman" w:cs="Times New Roman"/>
                <w:sz w:val="16"/>
                <w:szCs w:val="24"/>
              </w:rPr>
            </w:pPr>
            <w:r w:rsidRPr="00300721">
              <w:rPr>
                <w:rFonts w:ascii="Times New Roman" w:hAnsi="Times New Roman" w:eastAsia="Times New Roman" w:cs="Times New Roman"/>
                <w:sz w:val="16"/>
                <w:szCs w:val="24"/>
              </w:rPr>
              <w:t>Youth Recruiting and Screening</w:t>
            </w:r>
          </w:p>
          <w:p w:rsidRPr="00300721" w:rsidR="00807911" w:rsidP="002F601D" w:rsidRDefault="00807911" w14:paraId="7D5D6410"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300721" w:rsidR="00807911" w:rsidDel="00FC63CA" w:rsidP="002F601D" w:rsidRDefault="00807911" w14:paraId="02D4B11A" w14:textId="50ADF479">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25</w:t>
            </w:r>
          </w:p>
        </w:tc>
        <w:tc>
          <w:tcPr>
            <w:tcW w:w="1080" w:type="dxa"/>
            <w:vAlign w:val="center"/>
          </w:tcPr>
          <w:p w:rsidRPr="00300721" w:rsidR="00807911" w:rsidP="002F601D" w:rsidRDefault="00807911" w14:paraId="349AEC84" w14:textId="6C8E4CBB">
            <w:pPr>
              <w:autoSpaceDE w:val="0"/>
              <w:autoSpaceDN w:val="0"/>
              <w:adjustRightInd w:val="0"/>
              <w:ind w:left="180"/>
              <w:jc w:val="center"/>
              <w:rPr>
                <w:rFonts w:ascii="Times New Roman" w:hAnsi="Times New Roman" w:eastAsia="Times New Roman" w:cs="Times New Roman"/>
                <w:sz w:val="18"/>
                <w:szCs w:val="24"/>
              </w:rPr>
            </w:pPr>
            <w:r w:rsidRPr="00300721">
              <w:rPr>
                <w:rFonts w:ascii="Times New Roman" w:hAnsi="Times New Roman" w:eastAsia="Times New Roman" w:cs="Times New Roman"/>
                <w:sz w:val="18"/>
                <w:szCs w:val="24"/>
              </w:rPr>
              <w:t>$7.25</w:t>
            </w:r>
          </w:p>
        </w:tc>
        <w:tc>
          <w:tcPr>
            <w:tcW w:w="1378" w:type="dxa"/>
            <w:vAlign w:val="center"/>
          </w:tcPr>
          <w:p w:rsidRPr="00300721" w:rsidR="00807911" w:rsidP="002F601D" w:rsidRDefault="00807911" w14:paraId="36705507" w14:textId="5E5B8DCC">
            <w:pPr>
              <w:autoSpaceDE w:val="0"/>
              <w:autoSpaceDN w:val="0"/>
              <w:adjustRightInd w:val="0"/>
              <w:ind w:left="180"/>
              <w:jc w:val="center"/>
              <w:rPr>
                <w:rFonts w:ascii="Times New Roman" w:hAnsi="Times New Roman" w:eastAsia="Times New Roman" w:cs="Times New Roman"/>
                <w:sz w:val="18"/>
                <w:szCs w:val="24"/>
              </w:rPr>
            </w:pPr>
            <w:r w:rsidRPr="00300721">
              <w:rPr>
                <w:rFonts w:ascii="Times New Roman" w:hAnsi="Times New Roman" w:eastAsia="Times New Roman" w:cs="Times New Roman"/>
                <w:sz w:val="18"/>
                <w:szCs w:val="24"/>
              </w:rPr>
              <w:t>$</w:t>
            </w:r>
            <w:r w:rsidR="007A06A5">
              <w:rPr>
                <w:rFonts w:ascii="Times New Roman" w:hAnsi="Times New Roman" w:eastAsia="Times New Roman" w:cs="Times New Roman"/>
                <w:sz w:val="18"/>
                <w:szCs w:val="24"/>
              </w:rPr>
              <w:t>182</w:t>
            </w:r>
          </w:p>
        </w:tc>
      </w:tr>
      <w:tr w:rsidRPr="00753824" w:rsidR="00807911" w:rsidTr="265E300C" w14:paraId="4FDF32FF" w14:textId="77777777">
        <w:trPr>
          <w:cantSplit/>
        </w:trPr>
        <w:tc>
          <w:tcPr>
            <w:tcW w:w="2070" w:type="dxa"/>
            <w:vMerge/>
            <w:vAlign w:val="center"/>
          </w:tcPr>
          <w:p w:rsidRPr="00300721" w:rsidR="00807911" w:rsidP="002F601D" w:rsidRDefault="00807911" w14:paraId="1806235A" w14:textId="77777777">
            <w:pPr>
              <w:autoSpaceDE w:val="0"/>
              <w:autoSpaceDN w:val="0"/>
              <w:adjustRightInd w:val="0"/>
              <w:ind w:left="180"/>
              <w:rPr>
                <w:rFonts w:ascii="Times New Roman" w:hAnsi="Times New Roman" w:eastAsia="Times New Roman" w:cs="Times New Roman"/>
                <w:sz w:val="16"/>
                <w:szCs w:val="24"/>
              </w:rPr>
            </w:pPr>
          </w:p>
        </w:tc>
        <w:tc>
          <w:tcPr>
            <w:tcW w:w="2402" w:type="dxa"/>
          </w:tcPr>
          <w:p w:rsidRPr="00300721" w:rsidR="00807911" w:rsidP="002F601D" w:rsidRDefault="00807911" w14:paraId="3E86FD46" w14:textId="77777777">
            <w:pPr>
              <w:autoSpaceDE w:val="0"/>
              <w:autoSpaceDN w:val="0"/>
              <w:adjustRightInd w:val="0"/>
              <w:ind w:left="180"/>
              <w:rPr>
                <w:rFonts w:ascii="Times New Roman" w:hAnsi="Times New Roman" w:eastAsia="Times New Roman" w:cs="Times New Roman"/>
                <w:sz w:val="16"/>
                <w:szCs w:val="24"/>
              </w:rPr>
            </w:pPr>
          </w:p>
          <w:p w:rsidRPr="00300721" w:rsidR="00807911" w:rsidP="002F601D" w:rsidRDefault="00807911" w14:paraId="5BAF4E81" w14:textId="40F2EBCE">
            <w:pPr>
              <w:autoSpaceDE w:val="0"/>
              <w:autoSpaceDN w:val="0"/>
              <w:adjustRightInd w:val="0"/>
              <w:ind w:left="180"/>
              <w:rPr>
                <w:rFonts w:ascii="Times New Roman" w:hAnsi="Times New Roman" w:eastAsia="Times New Roman" w:cs="Times New Roman"/>
                <w:sz w:val="16"/>
                <w:szCs w:val="24"/>
              </w:rPr>
            </w:pPr>
            <w:r w:rsidRPr="00300721">
              <w:rPr>
                <w:rFonts w:ascii="Times New Roman" w:hAnsi="Times New Roman" w:eastAsia="Times New Roman" w:cs="Times New Roman"/>
                <w:sz w:val="16"/>
                <w:szCs w:val="24"/>
              </w:rPr>
              <w:t>Youth Assent</w:t>
            </w:r>
          </w:p>
          <w:p w:rsidRPr="00300721" w:rsidR="00807911" w:rsidP="002F601D" w:rsidRDefault="00807911" w14:paraId="6F63902A"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300721" w:rsidR="00807911" w:rsidDel="00FC63CA" w:rsidP="002F601D" w:rsidRDefault="00807911" w14:paraId="599E8B46" w14:textId="0F3539B6">
            <w:pPr>
              <w:autoSpaceDE w:val="0"/>
              <w:autoSpaceDN w:val="0"/>
              <w:adjustRightInd w:val="0"/>
              <w:ind w:left="180"/>
              <w:jc w:val="center"/>
              <w:rPr>
                <w:rFonts w:ascii="Times New Roman" w:hAnsi="Times New Roman" w:eastAsia="Times New Roman" w:cs="Times New Roman"/>
                <w:sz w:val="18"/>
                <w:szCs w:val="24"/>
              </w:rPr>
            </w:pPr>
            <w:r w:rsidRPr="00F5749D">
              <w:rPr>
                <w:rFonts w:ascii="Times New Roman" w:hAnsi="Times New Roman" w:eastAsia="Times New Roman" w:cs="Times New Roman"/>
                <w:sz w:val="18"/>
                <w:szCs w:val="24"/>
              </w:rPr>
              <w:t>1</w:t>
            </w:r>
            <w:r w:rsidR="007A06A5">
              <w:rPr>
                <w:rFonts w:ascii="Times New Roman" w:hAnsi="Times New Roman" w:eastAsia="Times New Roman" w:cs="Times New Roman"/>
                <w:sz w:val="18"/>
                <w:szCs w:val="24"/>
              </w:rPr>
              <w:t>0</w:t>
            </w:r>
          </w:p>
        </w:tc>
        <w:tc>
          <w:tcPr>
            <w:tcW w:w="1080" w:type="dxa"/>
            <w:vAlign w:val="center"/>
          </w:tcPr>
          <w:p w:rsidRPr="00300721" w:rsidR="00807911" w:rsidP="002F601D" w:rsidRDefault="00807911" w14:paraId="3251EB8D" w14:textId="0013AD18">
            <w:pPr>
              <w:autoSpaceDE w:val="0"/>
              <w:autoSpaceDN w:val="0"/>
              <w:adjustRightInd w:val="0"/>
              <w:ind w:left="180"/>
              <w:jc w:val="center"/>
              <w:rPr>
                <w:rFonts w:ascii="Times New Roman" w:hAnsi="Times New Roman" w:eastAsia="Times New Roman" w:cs="Times New Roman"/>
                <w:sz w:val="18"/>
                <w:szCs w:val="24"/>
              </w:rPr>
            </w:pPr>
            <w:r w:rsidRPr="00300721">
              <w:rPr>
                <w:rFonts w:ascii="Times New Roman" w:hAnsi="Times New Roman" w:eastAsia="Times New Roman" w:cs="Times New Roman"/>
                <w:sz w:val="18"/>
                <w:szCs w:val="24"/>
              </w:rPr>
              <w:t>$7.25</w:t>
            </w:r>
          </w:p>
        </w:tc>
        <w:tc>
          <w:tcPr>
            <w:tcW w:w="1378" w:type="dxa"/>
            <w:vAlign w:val="center"/>
          </w:tcPr>
          <w:p w:rsidRPr="00300721" w:rsidR="00807911" w:rsidP="002F601D" w:rsidRDefault="00807911" w14:paraId="0BC64203" w14:textId="7CF407AB">
            <w:pPr>
              <w:autoSpaceDE w:val="0"/>
              <w:autoSpaceDN w:val="0"/>
              <w:adjustRightInd w:val="0"/>
              <w:ind w:left="180"/>
              <w:jc w:val="center"/>
              <w:rPr>
                <w:rFonts w:ascii="Times New Roman" w:hAnsi="Times New Roman" w:eastAsia="Times New Roman" w:cs="Times New Roman"/>
                <w:sz w:val="18"/>
                <w:szCs w:val="24"/>
              </w:rPr>
            </w:pPr>
            <w:r w:rsidRPr="00300721">
              <w:rPr>
                <w:rFonts w:ascii="Times New Roman" w:hAnsi="Times New Roman" w:eastAsia="Times New Roman" w:cs="Times New Roman"/>
                <w:sz w:val="18"/>
                <w:szCs w:val="24"/>
              </w:rPr>
              <w:t>$</w:t>
            </w:r>
            <w:r w:rsidR="007A06A5">
              <w:rPr>
                <w:rFonts w:ascii="Times New Roman" w:hAnsi="Times New Roman" w:eastAsia="Times New Roman" w:cs="Times New Roman"/>
                <w:sz w:val="18"/>
                <w:szCs w:val="24"/>
              </w:rPr>
              <w:t>73</w:t>
            </w:r>
          </w:p>
        </w:tc>
      </w:tr>
      <w:tr w:rsidRPr="00753824" w:rsidR="00807911" w:rsidTr="265E300C" w14:paraId="3BEC3BBA" w14:textId="77777777">
        <w:trPr>
          <w:cantSplit/>
          <w:trHeight w:val="417"/>
        </w:trPr>
        <w:tc>
          <w:tcPr>
            <w:tcW w:w="2070" w:type="dxa"/>
            <w:vMerge/>
            <w:vAlign w:val="center"/>
          </w:tcPr>
          <w:p w:rsidRPr="00300721" w:rsidR="00807911" w:rsidP="002F601D" w:rsidRDefault="00807911" w14:paraId="6F206C47"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807911" w:rsidR="00807911" w:rsidP="002F601D" w:rsidRDefault="00807911" w14:paraId="49E6E158" w14:textId="7AC9A522">
            <w:pPr>
              <w:autoSpaceDE w:val="0"/>
              <w:autoSpaceDN w:val="0"/>
              <w:adjustRightInd w:val="0"/>
              <w:ind w:left="180"/>
              <w:rPr>
                <w:rFonts w:ascii="Times New Roman" w:hAnsi="Times New Roman" w:eastAsia="Times New Roman" w:cs="Times New Roman"/>
                <w:sz w:val="16"/>
                <w:szCs w:val="24"/>
              </w:rPr>
            </w:pPr>
            <w:r w:rsidRPr="00807911">
              <w:rPr>
                <w:rFonts w:ascii="Times New Roman" w:hAnsi="Times New Roman" w:eastAsia="Times New Roman" w:cs="Times New Roman"/>
                <w:sz w:val="16"/>
                <w:szCs w:val="16"/>
              </w:rPr>
              <w:t>Self-administered online Survey (ad-view condition)</w:t>
            </w:r>
          </w:p>
        </w:tc>
        <w:tc>
          <w:tcPr>
            <w:tcW w:w="1350" w:type="dxa"/>
            <w:vAlign w:val="center"/>
          </w:tcPr>
          <w:p w:rsidRPr="00807911" w:rsidR="00807911" w:rsidP="002F601D" w:rsidRDefault="007A06A5" w14:paraId="395FC90E" w14:textId="66C672DB">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50</w:t>
            </w:r>
          </w:p>
        </w:tc>
        <w:tc>
          <w:tcPr>
            <w:tcW w:w="1080" w:type="dxa"/>
            <w:vAlign w:val="center"/>
          </w:tcPr>
          <w:p w:rsidRPr="00807911" w:rsidR="00807911" w:rsidP="002F601D" w:rsidRDefault="00807911" w14:paraId="2AB100FE" w14:textId="6EC32C9C">
            <w:pPr>
              <w:autoSpaceDE w:val="0"/>
              <w:autoSpaceDN w:val="0"/>
              <w:adjustRightInd w:val="0"/>
              <w:ind w:left="180"/>
              <w:jc w:val="center"/>
              <w:rPr>
                <w:rFonts w:ascii="Times New Roman" w:hAnsi="Times New Roman" w:eastAsia="Times New Roman" w:cs="Times New Roman"/>
                <w:sz w:val="18"/>
                <w:szCs w:val="24"/>
              </w:rPr>
            </w:pPr>
            <w:r w:rsidRPr="00807911">
              <w:rPr>
                <w:rFonts w:ascii="Times New Roman" w:hAnsi="Times New Roman" w:eastAsia="Times New Roman" w:cs="Times New Roman"/>
                <w:sz w:val="18"/>
                <w:szCs w:val="24"/>
              </w:rPr>
              <w:t>$7.25</w:t>
            </w:r>
          </w:p>
        </w:tc>
        <w:tc>
          <w:tcPr>
            <w:tcW w:w="1378" w:type="dxa"/>
            <w:vAlign w:val="center"/>
          </w:tcPr>
          <w:p w:rsidRPr="00807911" w:rsidR="00807911" w:rsidP="002F601D" w:rsidRDefault="00807911" w14:paraId="637FE11F" w14:textId="03D24EE9">
            <w:pPr>
              <w:autoSpaceDE w:val="0"/>
              <w:autoSpaceDN w:val="0"/>
              <w:adjustRightInd w:val="0"/>
              <w:ind w:left="180"/>
              <w:jc w:val="center"/>
              <w:rPr>
                <w:rFonts w:ascii="Times New Roman" w:hAnsi="Times New Roman" w:eastAsia="Times New Roman" w:cs="Times New Roman"/>
                <w:sz w:val="18"/>
                <w:szCs w:val="24"/>
              </w:rPr>
            </w:pPr>
            <w:r w:rsidRPr="00807911">
              <w:rPr>
                <w:rFonts w:ascii="Times New Roman" w:hAnsi="Times New Roman" w:eastAsia="Times New Roman" w:cs="Times New Roman"/>
                <w:sz w:val="18"/>
                <w:szCs w:val="24"/>
              </w:rPr>
              <w:t>$</w:t>
            </w:r>
            <w:r w:rsidR="007A06A5">
              <w:rPr>
                <w:rFonts w:ascii="Times New Roman" w:hAnsi="Times New Roman" w:eastAsia="Times New Roman" w:cs="Times New Roman"/>
                <w:sz w:val="18"/>
                <w:szCs w:val="24"/>
              </w:rPr>
              <w:t>363</w:t>
            </w:r>
          </w:p>
        </w:tc>
      </w:tr>
      <w:tr w:rsidRPr="00753824" w:rsidR="00807911" w:rsidTr="265E300C" w14:paraId="5A6FFC2D" w14:textId="77777777">
        <w:trPr>
          <w:cantSplit/>
          <w:trHeight w:val="417"/>
        </w:trPr>
        <w:tc>
          <w:tcPr>
            <w:tcW w:w="2070" w:type="dxa"/>
            <w:vMerge/>
            <w:vAlign w:val="center"/>
          </w:tcPr>
          <w:p w:rsidRPr="00300721" w:rsidR="00807911" w:rsidP="002F601D" w:rsidRDefault="00807911" w14:paraId="0E0C6C57"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5257CA" w:rsidR="00807911" w:rsidP="002F601D" w:rsidRDefault="00807911" w14:paraId="0DA50932" w14:textId="34A6AA7F">
            <w:pPr>
              <w:autoSpaceDE w:val="0"/>
              <w:autoSpaceDN w:val="0"/>
              <w:adjustRightInd w:val="0"/>
              <w:ind w:left="180"/>
              <w:rPr>
                <w:rFonts w:ascii="Times New Roman" w:hAnsi="Times New Roman" w:eastAsia="Times New Roman" w:cs="Times New Roman"/>
                <w:sz w:val="16"/>
                <w:szCs w:val="16"/>
              </w:rPr>
            </w:pPr>
            <w:r w:rsidRPr="005257CA">
              <w:rPr>
                <w:rFonts w:ascii="Times New Roman" w:hAnsi="Times New Roman" w:eastAsia="Calibri" w:cs="Times New Roman"/>
                <w:sz w:val="16"/>
                <w:szCs w:val="16"/>
              </w:rPr>
              <w:t>Self-administered online Survey (control condition)</w:t>
            </w:r>
          </w:p>
        </w:tc>
        <w:tc>
          <w:tcPr>
            <w:tcW w:w="1350" w:type="dxa"/>
            <w:vAlign w:val="center"/>
          </w:tcPr>
          <w:p w:rsidRPr="00F5749D" w:rsidR="00807911" w:rsidP="002F601D" w:rsidRDefault="007A06A5" w14:paraId="0F5E7080" w14:textId="71453B56">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25</w:t>
            </w:r>
          </w:p>
        </w:tc>
        <w:tc>
          <w:tcPr>
            <w:tcW w:w="1080" w:type="dxa"/>
            <w:vAlign w:val="center"/>
          </w:tcPr>
          <w:p w:rsidRPr="00300721" w:rsidR="00807911" w:rsidP="002F601D" w:rsidRDefault="007A06A5" w14:paraId="350E8DDB" w14:textId="6E52ACF0">
            <w:pPr>
              <w:autoSpaceDE w:val="0"/>
              <w:autoSpaceDN w:val="0"/>
              <w:adjustRightInd w:val="0"/>
              <w:ind w:left="180"/>
              <w:jc w:val="center"/>
              <w:rPr>
                <w:rFonts w:ascii="Times New Roman" w:hAnsi="Times New Roman" w:eastAsia="Times New Roman" w:cs="Times New Roman"/>
                <w:sz w:val="18"/>
                <w:szCs w:val="24"/>
              </w:rPr>
            </w:pPr>
            <w:r w:rsidRPr="00807911">
              <w:rPr>
                <w:rFonts w:ascii="Times New Roman" w:hAnsi="Times New Roman" w:eastAsia="Times New Roman" w:cs="Times New Roman"/>
                <w:sz w:val="18"/>
                <w:szCs w:val="24"/>
              </w:rPr>
              <w:t>$7.25</w:t>
            </w:r>
          </w:p>
        </w:tc>
        <w:tc>
          <w:tcPr>
            <w:tcW w:w="1378" w:type="dxa"/>
            <w:vAlign w:val="center"/>
          </w:tcPr>
          <w:p w:rsidRPr="00300721" w:rsidR="00807911" w:rsidP="002F601D" w:rsidRDefault="007A06A5" w14:paraId="0A64DC9C" w14:textId="39595602">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$182</w:t>
            </w:r>
          </w:p>
        </w:tc>
      </w:tr>
      <w:tr w:rsidRPr="00753824" w:rsidR="00753824" w:rsidTr="265E300C" w14:paraId="3BE2644A" w14:textId="77777777">
        <w:trPr>
          <w:cantSplit/>
          <w:trHeight w:val="426"/>
        </w:trPr>
        <w:tc>
          <w:tcPr>
            <w:tcW w:w="2070" w:type="dxa"/>
            <w:vAlign w:val="center"/>
          </w:tcPr>
          <w:p w:rsidRPr="00300721" w:rsidR="002F601D" w:rsidP="002F601D" w:rsidRDefault="002F601D" w14:paraId="45706442" w14:textId="77777777">
            <w:pPr>
              <w:autoSpaceDE w:val="0"/>
              <w:autoSpaceDN w:val="0"/>
              <w:adjustRightInd w:val="0"/>
              <w:ind w:left="180"/>
              <w:rPr>
                <w:rFonts w:ascii="Times New Roman" w:hAnsi="Times New Roman" w:eastAsia="Times New Roman" w:cs="Times New Roman"/>
                <w:sz w:val="18"/>
                <w:szCs w:val="24"/>
              </w:rPr>
            </w:pPr>
            <w:r w:rsidRPr="00300721">
              <w:rPr>
                <w:rFonts w:ascii="Times New Roman" w:hAnsi="Times New Roman" w:eastAsia="Times New Roman" w:cs="Times New Roman"/>
                <w:sz w:val="18"/>
                <w:szCs w:val="24"/>
              </w:rPr>
              <w:t>Total</w:t>
            </w:r>
          </w:p>
        </w:tc>
        <w:tc>
          <w:tcPr>
            <w:tcW w:w="2402" w:type="dxa"/>
          </w:tcPr>
          <w:p w:rsidRPr="00300721" w:rsidR="002F601D" w:rsidP="002F601D" w:rsidRDefault="002F601D" w14:paraId="03C319FD"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300721" w:rsidR="002F601D" w:rsidP="002F601D" w:rsidRDefault="002F601D" w14:paraId="6EC8A280" w14:textId="496115EF">
            <w:pPr>
              <w:autoSpaceDE w:val="0"/>
              <w:autoSpaceDN w:val="0"/>
              <w:adjustRightInd w:val="0"/>
              <w:ind w:left="180"/>
              <w:jc w:val="center"/>
              <w:rPr>
                <w:rFonts w:ascii="Times New Roman" w:hAnsi="Times New Roman" w:eastAsia="Times New Roman" w:cs="Times New Roman"/>
                <w:sz w:val="18"/>
                <w:szCs w:val="24"/>
              </w:rPr>
            </w:pPr>
          </w:p>
        </w:tc>
        <w:tc>
          <w:tcPr>
            <w:tcW w:w="1080" w:type="dxa"/>
            <w:vAlign w:val="center"/>
          </w:tcPr>
          <w:p w:rsidRPr="00300721" w:rsidR="002F601D" w:rsidP="002F601D" w:rsidRDefault="002F601D" w14:paraId="220EED0E" w14:textId="77777777">
            <w:pPr>
              <w:autoSpaceDE w:val="0"/>
              <w:autoSpaceDN w:val="0"/>
              <w:adjustRightInd w:val="0"/>
              <w:ind w:left="180"/>
              <w:jc w:val="center"/>
              <w:rPr>
                <w:rFonts w:ascii="Times New Roman" w:hAnsi="Times New Roman" w:eastAsia="Times New Roman" w:cs="Times New Roman"/>
                <w:sz w:val="18"/>
                <w:szCs w:val="24"/>
              </w:rPr>
            </w:pPr>
          </w:p>
        </w:tc>
        <w:tc>
          <w:tcPr>
            <w:tcW w:w="1378" w:type="dxa"/>
            <w:vAlign w:val="center"/>
          </w:tcPr>
          <w:p w:rsidRPr="00300721" w:rsidR="002F601D" w:rsidP="002F601D" w:rsidRDefault="002F601D" w14:paraId="31A902EF" w14:textId="3DA4E300">
            <w:pPr>
              <w:autoSpaceDE w:val="0"/>
              <w:autoSpaceDN w:val="0"/>
              <w:adjustRightInd w:val="0"/>
              <w:ind w:left="180"/>
              <w:jc w:val="center"/>
              <w:rPr>
                <w:rFonts w:ascii="Times New Roman" w:hAnsi="Times New Roman" w:eastAsia="Times New Roman" w:cs="Times New Roman"/>
                <w:sz w:val="18"/>
                <w:szCs w:val="24"/>
              </w:rPr>
            </w:pPr>
            <w:r w:rsidRPr="00300721">
              <w:rPr>
                <w:rFonts w:ascii="Times New Roman" w:hAnsi="Times New Roman" w:eastAsia="Times New Roman" w:cs="Times New Roman"/>
                <w:sz w:val="18"/>
                <w:szCs w:val="24"/>
              </w:rPr>
              <w:t>$</w:t>
            </w:r>
            <w:r w:rsidR="004B7F00">
              <w:rPr>
                <w:rFonts w:ascii="Times New Roman" w:hAnsi="Times New Roman" w:eastAsia="Times New Roman" w:cs="Times New Roman"/>
                <w:sz w:val="18"/>
                <w:szCs w:val="24"/>
              </w:rPr>
              <w:t>2,222</w:t>
            </w:r>
          </w:p>
        </w:tc>
      </w:tr>
    </w:tbl>
    <w:p w:rsidRPr="008265FC" w:rsidR="00BE1FCB" w:rsidP="00BE1FCB" w:rsidRDefault="00BE1FCB" w14:paraId="772E4013" w14:textId="77777777">
      <w:pPr>
        <w:autoSpaceDE w:val="0"/>
        <w:autoSpaceDN w:val="0"/>
        <w:adjustRightInd w:val="0"/>
        <w:ind w:left="180" w:firstLine="540"/>
        <w:rPr>
          <w:rFonts w:ascii="Times New Roman" w:hAnsi="Times New Roman" w:eastAsia="Times New Roman" w:cs="Times New Roman"/>
          <w:color w:val="000000"/>
          <w:sz w:val="16"/>
          <w:szCs w:val="24"/>
        </w:rPr>
      </w:pPr>
      <w:r w:rsidRPr="00DA7983">
        <w:rPr>
          <w:rFonts w:ascii="Times New Roman" w:hAnsi="Times New Roman" w:eastAsia="Times New Roman" w:cs="Times New Roman"/>
          <w:color w:val="000000"/>
          <w:sz w:val="16"/>
          <w:szCs w:val="24"/>
          <w:vertAlign w:val="superscript"/>
        </w:rPr>
        <w:t>1</w:t>
      </w:r>
      <w:r w:rsidRPr="00DA7983">
        <w:rPr>
          <w:rFonts w:ascii="Times New Roman" w:hAnsi="Times New Roman" w:eastAsia="Times New Roman" w:cs="Times New Roman"/>
          <w:sz w:val="12"/>
          <w:szCs w:val="20"/>
        </w:rPr>
        <w:t xml:space="preserve"> </w:t>
      </w:r>
      <w:r w:rsidRPr="00DA7983">
        <w:rPr>
          <w:rFonts w:ascii="Times New Roman" w:hAnsi="Times New Roman" w:eastAsia="Times New Roman" w:cs="Times New Roman"/>
          <w:color w:val="000000"/>
          <w:sz w:val="16"/>
          <w:szCs w:val="24"/>
        </w:rPr>
        <w:t>Cost was rounded up to the next dollar.</w:t>
      </w:r>
    </w:p>
    <w:p w:rsidRPr="008265FC" w:rsidR="00BE1FCB" w:rsidP="00BE1FCB" w:rsidRDefault="00BE1FCB" w14:paraId="445D06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p>
    <w:p w:rsidRPr="008265FC" w:rsidR="00BE1FCB" w:rsidP="00BE1FCB" w:rsidRDefault="00BE1FCB" w14:paraId="3FDE71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4" w:id="26"/>
      <w:r w:rsidRPr="008265FC">
        <w:rPr>
          <w:rFonts w:ascii="Times New Roman" w:hAnsi="Times New Roman" w:eastAsia="Times New Roman" w:cs="Times New Roman"/>
          <w:b/>
          <w:bCs/>
          <w:szCs w:val="24"/>
        </w:rPr>
        <w:t xml:space="preserve">13.  </w:t>
      </w:r>
      <w:r w:rsidRPr="008265FC">
        <w:rPr>
          <w:rFonts w:ascii="Times New Roman" w:hAnsi="Times New Roman" w:eastAsia="Times New Roman" w:cs="Times New Roman"/>
          <w:b/>
          <w:bCs/>
          <w:szCs w:val="24"/>
          <w:u w:val="single"/>
        </w:rPr>
        <w:t>Estimates of Other Total Annual Cost Burden to Respondents or Record Keepers</w:t>
      </w:r>
      <w:bookmarkEnd w:id="26"/>
    </w:p>
    <w:p w:rsidR="00BE1FCB" w:rsidP="00BE1FCB" w:rsidRDefault="00BE1FCB" w14:paraId="53C4AEA4" w14:textId="77777777">
      <w:pPr>
        <w:ind w:left="180"/>
        <w:contextualSpacing/>
        <w:rPr>
          <w:rFonts w:ascii="Times New Roman" w:hAnsi="Times New Roman" w:eastAsia="Times New Roman" w:cs="Times New Roman"/>
          <w:szCs w:val="24"/>
        </w:rPr>
      </w:pPr>
    </w:p>
    <w:p w:rsidRPr="008265FC" w:rsidR="00BE1FCB" w:rsidP="00BE1FCB" w:rsidRDefault="00BE1FCB" w14:paraId="3B6CAFDB" w14:textId="77777777">
      <w:pPr>
        <w:ind w:left="180"/>
        <w:contextualSpacing/>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There </w:t>
      </w:r>
      <w:proofErr w:type="gramStart"/>
      <w:r w:rsidRPr="008265FC">
        <w:rPr>
          <w:rFonts w:ascii="Times New Roman" w:hAnsi="Times New Roman" w:eastAsia="Times New Roman" w:cs="Times New Roman"/>
          <w:szCs w:val="24"/>
        </w:rPr>
        <w:t>are</w:t>
      </w:r>
      <w:proofErr w:type="gramEnd"/>
      <w:r w:rsidRPr="008265FC">
        <w:rPr>
          <w:rFonts w:ascii="Times New Roman" w:hAnsi="Times New Roman" w:eastAsia="Times New Roman" w:cs="Times New Roman"/>
          <w:szCs w:val="24"/>
        </w:rPr>
        <w:t xml:space="preserve"> no capital, start-up, operating, or maintenance costs associated with this </w:t>
      </w:r>
      <w:r>
        <w:rPr>
          <w:rFonts w:ascii="Times New Roman" w:hAnsi="Times New Roman" w:eastAsia="Times New Roman" w:cs="Times New Roman"/>
          <w:szCs w:val="24"/>
        </w:rPr>
        <w:t>data</w:t>
      </w:r>
      <w:r w:rsidRPr="008265FC">
        <w:rPr>
          <w:rFonts w:ascii="Times New Roman" w:hAnsi="Times New Roman" w:eastAsia="Times New Roman" w:cs="Times New Roman"/>
          <w:szCs w:val="24"/>
        </w:rPr>
        <w:t xml:space="preserve"> collection.</w:t>
      </w:r>
    </w:p>
    <w:p w:rsidRPr="00265644" w:rsidR="00BE1FCB" w:rsidP="00E85BBE" w:rsidRDefault="00BE1FCB" w14:paraId="13524828" w14:textId="05D958C3">
      <w:pPr>
        <w:pStyle w:val="ListParagraph"/>
        <w:numPr>
          <w:ilvl w:val="0"/>
          <w:numId w:val="16"/>
        </w:numPr>
        <w:spacing w:before="100" w:beforeAutospacing="1" w:after="100" w:afterAutospacing="1"/>
        <w:ind w:left="630" w:hanging="450"/>
        <w:rPr>
          <w:rFonts w:ascii="Times New Roman" w:hAnsi="Times New Roman" w:cs="Times New Roman"/>
          <w:b/>
          <w:u w:val="single"/>
        </w:rPr>
      </w:pPr>
      <w:bookmarkStart w:name="_Toc239649235" w:id="27"/>
      <w:r w:rsidRPr="00265644">
        <w:rPr>
          <w:rFonts w:ascii="Times New Roman" w:hAnsi="Times New Roman" w:cs="Times New Roman"/>
          <w:b/>
          <w:u w:val="single"/>
        </w:rPr>
        <w:t>Annualized Cost to the Federal Government</w:t>
      </w:r>
    </w:p>
    <w:p w:rsidR="00645FFC" w:rsidP="2C3933FF" w:rsidRDefault="00645FFC" w14:paraId="52F93849" w14:textId="0557F900">
      <w:pPr>
        <w:spacing w:before="100" w:beforeAutospacing="1" w:after="100" w:afterAutospacing="1"/>
        <w:ind w:left="270"/>
        <w:rPr>
          <w:rFonts w:ascii="Times New Roman" w:hAnsi="Times New Roman" w:cs="Times New Roman"/>
        </w:rPr>
      </w:pPr>
      <w:r w:rsidRPr="2C3933FF">
        <w:rPr>
          <w:rFonts w:ascii="Times New Roman" w:hAnsi="Times New Roman" w:cs="Times New Roman"/>
        </w:rPr>
        <w:t xml:space="preserve">This information collection is funded through a contract with </w:t>
      </w:r>
      <w:r w:rsidRPr="2C3933FF" w:rsidR="00802F40">
        <w:rPr>
          <w:rFonts w:ascii="Times New Roman" w:hAnsi="Times New Roman" w:cs="Times New Roman"/>
        </w:rPr>
        <w:t>FCB New York</w:t>
      </w:r>
      <w:r w:rsidRPr="2C3933FF">
        <w:rPr>
          <w:rFonts w:ascii="Times New Roman" w:hAnsi="Times New Roman" w:cs="Times New Roman"/>
        </w:rPr>
        <w:t xml:space="preserve">. The estimated costs attributable to this data </w:t>
      </w:r>
      <w:r w:rsidRPr="00D26895">
        <w:rPr>
          <w:rFonts w:ascii="Times New Roman" w:hAnsi="Times New Roman" w:cs="Times New Roman"/>
        </w:rPr>
        <w:t xml:space="preserve">collection are </w:t>
      </w:r>
      <w:r w:rsidRPr="006968E8" w:rsidR="00C12674">
        <w:rPr>
          <w:rFonts w:ascii="Times New Roman" w:hAnsi="Times New Roman" w:cs="Times New Roman"/>
        </w:rPr>
        <w:t>$</w:t>
      </w:r>
      <w:r w:rsidRPr="006968E8" w:rsidR="00E7300F">
        <w:rPr>
          <w:rFonts w:ascii="Times New Roman" w:hAnsi="Times New Roman" w:cs="Times New Roman"/>
        </w:rPr>
        <w:t>51,585</w:t>
      </w:r>
      <w:r w:rsidRPr="00D26895" w:rsidR="00DA7983">
        <w:rPr>
          <w:rFonts w:ascii="Times New Roman" w:hAnsi="Times New Roman" w:cs="Times New Roman"/>
        </w:rPr>
        <w:t xml:space="preserve"> per year</w:t>
      </w:r>
      <w:r w:rsidRPr="2C3933FF" w:rsidR="00C12674">
        <w:rPr>
          <w:rFonts w:ascii="Times New Roman" w:hAnsi="Times New Roman" w:cs="Times New Roman"/>
        </w:rPr>
        <w:t xml:space="preserve">. </w:t>
      </w:r>
      <w:r w:rsidRPr="2C3933FF">
        <w:rPr>
          <w:rFonts w:ascii="Times New Roman" w:hAnsi="Times New Roman" w:cs="Times New Roman"/>
        </w:rPr>
        <w:t>(</w:t>
      </w:r>
      <w:r w:rsidRPr="2C3933FF" w:rsidR="004D7181">
        <w:rPr>
          <w:rFonts w:ascii="Times New Roman" w:hAnsi="Times New Roman" w:cs="Times New Roman"/>
        </w:rPr>
        <w:t>Table 3</w:t>
      </w:r>
      <w:r w:rsidRPr="2C3933FF">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instrument development, reporting, </w:t>
      </w:r>
      <w:r w:rsidRPr="2C3933FF" w:rsidR="00802F40">
        <w:rPr>
          <w:rFonts w:ascii="Times New Roman" w:hAnsi="Times New Roman" w:cs="Times New Roman"/>
        </w:rPr>
        <w:t xml:space="preserve">KDH Research </w:t>
      </w:r>
      <w:r w:rsidRPr="2C3933FF" w:rsidR="00BB57F5">
        <w:rPr>
          <w:rFonts w:ascii="Times New Roman" w:hAnsi="Times New Roman" w:cs="Times New Roman"/>
        </w:rPr>
        <w:t>&amp;</w:t>
      </w:r>
      <w:r w:rsidRPr="2C3933FF" w:rsidR="00802F40">
        <w:rPr>
          <w:rFonts w:ascii="Times New Roman" w:hAnsi="Times New Roman" w:cs="Times New Roman"/>
        </w:rPr>
        <w:t xml:space="preserve"> Communication IRB</w:t>
      </w:r>
      <w:r w:rsidRPr="2C3933FF" w:rsidR="001124F6">
        <w:rPr>
          <w:rFonts w:ascii="Times New Roman" w:hAnsi="Times New Roman" w:cs="Times New Roman"/>
        </w:rPr>
        <w:t xml:space="preserve">, </w:t>
      </w:r>
      <w:r w:rsidRPr="2C3933FF">
        <w:rPr>
          <w:rFonts w:ascii="Times New Roman" w:hAnsi="Times New Roman" w:cs="Times New Roman"/>
        </w:rPr>
        <w:t>project management</w:t>
      </w:r>
      <w:r w:rsidRPr="2C3933FF" w:rsidR="001124F6">
        <w:rPr>
          <w:rFonts w:ascii="Times New Roman" w:hAnsi="Times New Roman" w:cs="Times New Roman"/>
        </w:rPr>
        <w:t xml:space="preserve"> and progress reporting</w:t>
      </w:r>
      <w:r w:rsidRPr="2C3933FF">
        <w:rPr>
          <w:rFonts w:ascii="Times New Roman" w:hAnsi="Times New Roman" w:cs="Times New Roman"/>
        </w:rPr>
        <w:t xml:space="preserve">. This information collection will occur </w:t>
      </w:r>
      <w:r w:rsidRPr="2C3933FF" w:rsidR="007C5333">
        <w:rPr>
          <w:rFonts w:ascii="Times New Roman" w:hAnsi="Times New Roman" w:cs="Times New Roman"/>
        </w:rPr>
        <w:t>for one year</w:t>
      </w:r>
      <w:r w:rsidRPr="2C3933FF">
        <w:rPr>
          <w:rFonts w:ascii="Times New Roman" w:hAnsi="Times New Roman" w:cs="Times New Roman"/>
        </w:rPr>
        <w:t>.</w:t>
      </w:r>
    </w:p>
    <w:p w:rsidRPr="0089610B" w:rsidR="00BE1FCB" w:rsidP="00BE1FCB" w:rsidRDefault="00BE1FCB" w14:paraId="56A6E28C" w14:textId="77777777">
      <w:pPr>
        <w:pStyle w:val="FigureTitle"/>
        <w:ind w:left="720"/>
      </w:pPr>
      <w:r w:rsidRPr="0089610B">
        <w:t>Table 3.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57"/>
        <w:gridCol w:w="1992"/>
        <w:gridCol w:w="2687"/>
        <w:gridCol w:w="1604"/>
      </w:tblGrid>
      <w:tr w:rsidRPr="0089610B" w:rsidR="004F2F3A" w:rsidTr="00B30823" w14:paraId="0AD30C32" w14:textId="77777777">
        <w:trPr>
          <w:trHeight w:val="107"/>
        </w:trPr>
        <w:tc>
          <w:tcPr>
            <w:tcW w:w="235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5B4E01A7" w14:textId="77777777">
            <w:pPr>
              <w:pStyle w:val="FigureTitle"/>
              <w:spacing w:before="0" w:after="120"/>
              <w:jc w:val="center"/>
            </w:pPr>
            <w:r w:rsidRPr="0089610B">
              <w:rPr>
                <w:sz w:val="22"/>
                <w:szCs w:val="22"/>
              </w:rPr>
              <w:t>Government Personnel</w:t>
            </w:r>
          </w:p>
        </w:tc>
        <w:tc>
          <w:tcPr>
            <w:tcW w:w="1992"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5AA259FA" w14:textId="77777777">
            <w:pPr>
              <w:pStyle w:val="FigureTitle"/>
              <w:spacing w:before="0" w:after="120"/>
              <w:jc w:val="center"/>
            </w:pPr>
            <w:r w:rsidRPr="0089610B">
              <w:rPr>
                <w:sz w:val="22"/>
                <w:szCs w:val="22"/>
              </w:rPr>
              <w:t>Time Commitment</w:t>
            </w:r>
          </w:p>
        </w:tc>
        <w:tc>
          <w:tcPr>
            <w:tcW w:w="268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2162C4C2" w14:textId="77777777">
            <w:pPr>
              <w:pStyle w:val="FigureTitle"/>
              <w:spacing w:before="0" w:after="120"/>
              <w:jc w:val="right"/>
            </w:pPr>
            <w:r w:rsidRPr="0089610B">
              <w:rPr>
                <w:sz w:val="22"/>
                <w:szCs w:val="22"/>
              </w:rPr>
              <w:t>Average Annual Salary</w:t>
            </w:r>
          </w:p>
        </w:tc>
        <w:tc>
          <w:tcPr>
            <w:tcW w:w="1604" w:type="dxa"/>
            <w:tcBorders>
              <w:top w:val="single" w:color="auto" w:sz="12" w:space="0"/>
              <w:left w:val="nil"/>
              <w:bottom w:val="single" w:color="auto" w:sz="8" w:space="0"/>
              <w:right w:val="nil"/>
            </w:tcBorders>
            <w:tcMar>
              <w:top w:w="0" w:type="dxa"/>
              <w:left w:w="108" w:type="dxa"/>
              <w:bottom w:w="0" w:type="dxa"/>
              <w:right w:w="108" w:type="dxa"/>
            </w:tcMar>
            <w:vAlign w:val="center"/>
            <w:hideMark/>
          </w:tcPr>
          <w:p w:rsidRPr="0089610B" w:rsidR="00BE1FCB" w:rsidP="00B30823" w:rsidRDefault="00BE1FCB" w14:paraId="65230065" w14:textId="77777777">
            <w:pPr>
              <w:pStyle w:val="FigureTitle"/>
              <w:spacing w:before="0" w:after="120"/>
              <w:jc w:val="center"/>
            </w:pPr>
            <w:r w:rsidRPr="0089610B">
              <w:rPr>
                <w:sz w:val="22"/>
                <w:szCs w:val="22"/>
              </w:rPr>
              <w:t>Total</w:t>
            </w:r>
            <w:r w:rsidRPr="0089610B">
              <w:rPr>
                <w:sz w:val="22"/>
                <w:szCs w:val="22"/>
                <w:vertAlign w:val="superscript"/>
              </w:rPr>
              <w:t>1</w:t>
            </w:r>
          </w:p>
        </w:tc>
      </w:tr>
      <w:tr w:rsidRPr="0089610B" w:rsidR="004F2F3A" w:rsidTr="00B30823" w14:paraId="1C103E5C" w14:textId="77777777">
        <w:trPr>
          <w:trHeight w:val="368"/>
        </w:trPr>
        <w:tc>
          <w:tcPr>
            <w:tcW w:w="235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5D87840C" w14:textId="77777777">
            <w:pPr>
              <w:pStyle w:val="FigureTitle"/>
              <w:spacing w:before="0" w:after="60"/>
              <w:jc w:val="center"/>
              <w:rPr>
                <w:b w:val="0"/>
                <w:sz w:val="22"/>
                <w:szCs w:val="22"/>
              </w:rPr>
            </w:pPr>
            <w:r w:rsidRPr="0089610B">
              <w:rPr>
                <w:b w:val="0"/>
                <w:bCs/>
                <w:sz w:val="22"/>
                <w:szCs w:val="22"/>
              </w:rPr>
              <w:t>GS-12</w:t>
            </w:r>
          </w:p>
        </w:tc>
        <w:tc>
          <w:tcPr>
            <w:tcW w:w="19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32E1AECE" w14:textId="77777777">
            <w:pPr>
              <w:pStyle w:val="FigureTitle"/>
              <w:spacing w:before="0" w:after="60"/>
              <w:jc w:val="center"/>
              <w:rPr>
                <w:b w:val="0"/>
                <w:sz w:val="22"/>
                <w:szCs w:val="22"/>
              </w:rPr>
            </w:pPr>
            <w:r w:rsidRPr="0089610B">
              <w:rPr>
                <w:b w:val="0"/>
                <w:bCs/>
                <w:sz w:val="22"/>
                <w:szCs w:val="22"/>
              </w:rPr>
              <w:t>5%</w:t>
            </w: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16FBE4A3" w14:textId="2437B2E4">
            <w:pPr>
              <w:pStyle w:val="FigureTitle"/>
              <w:spacing w:before="0" w:after="60"/>
              <w:jc w:val="right"/>
              <w:rPr>
                <w:b w:val="0"/>
                <w:sz w:val="22"/>
                <w:szCs w:val="22"/>
              </w:rPr>
            </w:pPr>
            <w:r w:rsidRPr="0089610B">
              <w:rPr>
                <w:b w:val="0"/>
                <w:bCs/>
                <w:sz w:val="22"/>
                <w:szCs w:val="22"/>
              </w:rPr>
              <w:t>$86,</w:t>
            </w:r>
            <w:r w:rsidRPr="0089610B" w:rsidR="008A74EB">
              <w:rPr>
                <w:b w:val="0"/>
                <w:bCs/>
                <w:sz w:val="22"/>
                <w:szCs w:val="22"/>
              </w:rPr>
              <w:t>335</w:t>
            </w:r>
          </w:p>
        </w:tc>
        <w:tc>
          <w:tcPr>
            <w:tcW w:w="1604" w:type="dxa"/>
            <w:tcBorders>
              <w:top w:val="nil"/>
              <w:left w:val="nil"/>
              <w:bottom w:val="single" w:color="auto" w:sz="8" w:space="0"/>
              <w:right w:val="nil"/>
            </w:tcBorders>
            <w:tcMar>
              <w:top w:w="0" w:type="dxa"/>
              <w:left w:w="108" w:type="dxa"/>
              <w:bottom w:w="0" w:type="dxa"/>
              <w:right w:w="108" w:type="dxa"/>
            </w:tcMar>
            <w:vAlign w:val="center"/>
            <w:hideMark/>
          </w:tcPr>
          <w:p w:rsidRPr="0089610B" w:rsidR="00BE1FCB" w:rsidP="00B30823" w:rsidRDefault="00BE1FCB" w14:paraId="587F05D9" w14:textId="0E6759BA">
            <w:pPr>
              <w:pStyle w:val="FigureTitle"/>
              <w:spacing w:before="0" w:after="60"/>
              <w:jc w:val="right"/>
              <w:rPr>
                <w:b w:val="0"/>
                <w:sz w:val="22"/>
                <w:szCs w:val="22"/>
              </w:rPr>
            </w:pPr>
            <w:r w:rsidRPr="0089610B">
              <w:rPr>
                <w:b w:val="0"/>
                <w:bCs/>
                <w:sz w:val="22"/>
                <w:szCs w:val="22"/>
              </w:rPr>
              <w:t>$4,3</w:t>
            </w:r>
            <w:r w:rsidRPr="0089610B" w:rsidR="008A74EB">
              <w:rPr>
                <w:b w:val="0"/>
                <w:bCs/>
                <w:sz w:val="22"/>
                <w:szCs w:val="22"/>
              </w:rPr>
              <w:t>17</w:t>
            </w:r>
          </w:p>
        </w:tc>
      </w:tr>
      <w:tr w:rsidRPr="0089610B" w:rsidR="004F2F3A" w:rsidTr="00B30823" w14:paraId="3C8DA0E7" w14:textId="77777777">
        <w:tc>
          <w:tcPr>
            <w:tcW w:w="235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363511CF" w14:textId="77777777">
            <w:pPr>
              <w:pStyle w:val="FigureTitle"/>
              <w:spacing w:before="0" w:after="60"/>
              <w:jc w:val="center"/>
              <w:rPr>
                <w:b w:val="0"/>
                <w:sz w:val="22"/>
                <w:szCs w:val="22"/>
              </w:rPr>
            </w:pPr>
            <w:r w:rsidRPr="0089610B">
              <w:rPr>
                <w:b w:val="0"/>
                <w:bCs/>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2CF9097E" w14:textId="77777777">
            <w:pPr>
              <w:pStyle w:val="FigureTitle"/>
              <w:spacing w:before="0" w:after="60"/>
              <w:jc w:val="center"/>
              <w:rPr>
                <w:b w:val="0"/>
                <w:sz w:val="22"/>
                <w:szCs w:val="22"/>
              </w:rPr>
            </w:pPr>
            <w:r w:rsidRPr="0089610B">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68EDF1B3" w14:textId="35998730">
            <w:pPr>
              <w:pStyle w:val="FigureTitle"/>
              <w:spacing w:before="0" w:after="60"/>
              <w:jc w:val="right"/>
              <w:rPr>
                <w:b w:val="0"/>
                <w:sz w:val="22"/>
                <w:szCs w:val="22"/>
              </w:rPr>
            </w:pPr>
            <w:r w:rsidRPr="0089610B">
              <w:rPr>
                <w:b w:val="0"/>
                <w:bCs/>
                <w:sz w:val="22"/>
                <w:szCs w:val="22"/>
              </w:rPr>
              <w:t>$</w:t>
            </w:r>
            <w:r w:rsidRPr="0089610B" w:rsidR="008A74EB">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vAlign w:val="center"/>
            <w:hideMark/>
          </w:tcPr>
          <w:p w:rsidRPr="0089610B" w:rsidR="00BE1FCB" w:rsidP="00B30823" w:rsidRDefault="00BE1FCB" w14:paraId="0B5E5272" w14:textId="26E4D334">
            <w:pPr>
              <w:pStyle w:val="FigureTitle"/>
              <w:spacing w:before="0" w:after="60"/>
              <w:jc w:val="right"/>
              <w:rPr>
                <w:b w:val="0"/>
                <w:sz w:val="22"/>
                <w:szCs w:val="22"/>
              </w:rPr>
            </w:pPr>
            <w:r w:rsidRPr="0089610B">
              <w:rPr>
                <w:b w:val="0"/>
                <w:bCs/>
                <w:sz w:val="22"/>
                <w:szCs w:val="22"/>
              </w:rPr>
              <w:t>$10,</w:t>
            </w:r>
            <w:r w:rsidRPr="0089610B" w:rsidR="008A74EB">
              <w:rPr>
                <w:b w:val="0"/>
                <w:bCs/>
                <w:sz w:val="22"/>
                <w:szCs w:val="22"/>
              </w:rPr>
              <w:t>266</w:t>
            </w:r>
          </w:p>
        </w:tc>
      </w:tr>
      <w:tr w:rsidRPr="0089610B" w:rsidR="004F2F3A" w:rsidTr="00B30823" w14:paraId="01FA2176"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89610B" w:rsidR="00BE1FCB" w:rsidP="00B30823" w:rsidRDefault="00BE1FCB" w14:paraId="20628E51" w14:textId="77777777">
            <w:pPr>
              <w:pStyle w:val="FigureTitle"/>
              <w:spacing w:before="0" w:after="60"/>
              <w:jc w:val="center"/>
              <w:rPr>
                <w:b w:val="0"/>
                <w:sz w:val="22"/>
                <w:szCs w:val="22"/>
              </w:rPr>
            </w:pPr>
            <w:r w:rsidRPr="0089610B">
              <w:rPr>
                <w:b w:val="0"/>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vAlign w:val="center"/>
          </w:tcPr>
          <w:p w:rsidRPr="0089610B" w:rsidR="00BE1FCB" w:rsidP="00B30823" w:rsidRDefault="00BE1FCB" w14:paraId="7FFA8F71" w14:textId="77777777">
            <w:pPr>
              <w:pStyle w:val="FigureTitle"/>
              <w:spacing w:before="0" w:after="60"/>
              <w:jc w:val="center"/>
              <w:rPr>
                <w:b w:val="0"/>
                <w:sz w:val="22"/>
                <w:szCs w:val="22"/>
              </w:rPr>
            </w:pPr>
            <w:r w:rsidRPr="0089610B">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tcPr>
          <w:p w:rsidRPr="0089610B" w:rsidR="00BE1FCB" w:rsidP="00B30823" w:rsidRDefault="00BE1FCB" w14:paraId="4A5DCFF8" w14:textId="3CBA5EBD">
            <w:pPr>
              <w:pStyle w:val="FigureTitle"/>
              <w:spacing w:before="0" w:after="60"/>
              <w:jc w:val="right"/>
              <w:rPr>
                <w:b w:val="0"/>
                <w:sz w:val="22"/>
                <w:szCs w:val="22"/>
              </w:rPr>
            </w:pPr>
            <w:r w:rsidRPr="0089610B">
              <w:rPr>
                <w:b w:val="0"/>
                <w:bCs/>
                <w:sz w:val="22"/>
                <w:szCs w:val="22"/>
              </w:rPr>
              <w:t>$</w:t>
            </w:r>
            <w:r w:rsidRPr="0089610B" w:rsidR="008A74EB">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vAlign w:val="center"/>
          </w:tcPr>
          <w:p w:rsidRPr="0089610B" w:rsidR="00BE1FCB" w:rsidP="00B30823" w:rsidRDefault="00BE1FCB" w14:paraId="0C0048EB" w14:textId="57186BC1">
            <w:pPr>
              <w:pStyle w:val="FigureTitle"/>
              <w:spacing w:before="0" w:after="60"/>
              <w:jc w:val="right"/>
              <w:rPr>
                <w:b w:val="0"/>
                <w:sz w:val="22"/>
                <w:szCs w:val="22"/>
              </w:rPr>
            </w:pPr>
            <w:r w:rsidRPr="0089610B">
              <w:rPr>
                <w:b w:val="0"/>
                <w:bCs/>
                <w:sz w:val="22"/>
                <w:szCs w:val="22"/>
              </w:rPr>
              <w:t>$10,</w:t>
            </w:r>
            <w:r w:rsidRPr="0089610B" w:rsidR="008A74EB">
              <w:rPr>
                <w:b w:val="0"/>
                <w:bCs/>
                <w:sz w:val="22"/>
                <w:szCs w:val="22"/>
              </w:rPr>
              <w:t>266</w:t>
            </w:r>
          </w:p>
        </w:tc>
      </w:tr>
      <w:tr w:rsidRPr="0089610B" w:rsidR="004F2F3A" w:rsidTr="00B30823" w14:paraId="12D12122"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89610B" w:rsidR="00BE1FCB" w:rsidP="00F3750D" w:rsidRDefault="00BE1FCB" w14:paraId="73E26748" w14:textId="77777777">
            <w:pPr>
              <w:pStyle w:val="FigureTitle"/>
              <w:spacing w:before="0" w:after="60"/>
              <w:jc w:val="center"/>
              <w:rPr>
                <w:b w:val="0"/>
                <w:sz w:val="22"/>
                <w:szCs w:val="22"/>
              </w:rPr>
            </w:pP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89610B" w:rsidR="00BE1FCB" w:rsidP="00F3750D" w:rsidRDefault="00BE1FCB" w14:paraId="4FA136EF" w14:textId="77777777">
            <w:pPr>
              <w:pStyle w:val="FigureTitle"/>
              <w:spacing w:before="0" w:after="60"/>
              <w:jc w:val="center"/>
              <w:rPr>
                <w:b w:val="0"/>
                <w:sz w:val="22"/>
                <w:szCs w:val="22"/>
              </w:rPr>
            </w:pPr>
          </w:p>
        </w:tc>
        <w:tc>
          <w:tcPr>
            <w:tcW w:w="268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9610B" w:rsidR="00BE1FCB" w:rsidP="00B30823" w:rsidRDefault="00BE1FCB" w14:paraId="76C55074" w14:textId="0B61BDC4">
            <w:pPr>
              <w:pStyle w:val="FigureTitle"/>
              <w:spacing w:before="0" w:after="60"/>
              <w:jc w:val="right"/>
              <w:rPr>
                <w:sz w:val="22"/>
                <w:szCs w:val="22"/>
              </w:rPr>
            </w:pPr>
            <w:r w:rsidRPr="0089610B">
              <w:rPr>
                <w:sz w:val="22"/>
                <w:szCs w:val="22"/>
              </w:rPr>
              <w:t>Total</w:t>
            </w:r>
            <w:r w:rsidRPr="0089610B" w:rsidR="00672B9A">
              <w:rPr>
                <w:sz w:val="22"/>
                <w:szCs w:val="22"/>
              </w:rPr>
              <w:t xml:space="preserve"> Annual</w:t>
            </w:r>
            <w:r w:rsidRPr="0089610B">
              <w:rPr>
                <w:sz w:val="22"/>
                <w:szCs w:val="22"/>
              </w:rPr>
              <w:t xml:space="preserve"> Salary Costs</w:t>
            </w:r>
          </w:p>
        </w:tc>
        <w:tc>
          <w:tcPr>
            <w:tcW w:w="1604" w:type="dxa"/>
            <w:tcBorders>
              <w:top w:val="nil"/>
              <w:left w:val="nil"/>
              <w:bottom w:val="single" w:color="auto" w:sz="8" w:space="0"/>
              <w:right w:val="nil"/>
            </w:tcBorders>
            <w:tcMar>
              <w:top w:w="0" w:type="dxa"/>
              <w:left w:w="108" w:type="dxa"/>
              <w:bottom w:w="0" w:type="dxa"/>
              <w:right w:w="108" w:type="dxa"/>
            </w:tcMar>
            <w:vAlign w:val="center"/>
            <w:hideMark/>
          </w:tcPr>
          <w:p w:rsidRPr="0089610B" w:rsidR="00BE1FCB" w:rsidP="00B30823" w:rsidRDefault="00BE1FCB" w14:paraId="0AAC65FC" w14:textId="5AE0C76E">
            <w:pPr>
              <w:pStyle w:val="FigureTitle"/>
              <w:spacing w:before="0" w:after="60"/>
              <w:jc w:val="right"/>
              <w:rPr>
                <w:b w:val="0"/>
                <w:sz w:val="22"/>
                <w:szCs w:val="22"/>
              </w:rPr>
            </w:pPr>
            <w:r w:rsidRPr="0089610B">
              <w:rPr>
                <w:b w:val="0"/>
                <w:bCs/>
                <w:sz w:val="22"/>
                <w:szCs w:val="22"/>
              </w:rPr>
              <w:t>$</w:t>
            </w:r>
            <w:r w:rsidRPr="0089610B" w:rsidR="008A74EB">
              <w:rPr>
                <w:b w:val="0"/>
                <w:bCs/>
                <w:sz w:val="22"/>
                <w:szCs w:val="22"/>
              </w:rPr>
              <w:t>24,849</w:t>
            </w:r>
          </w:p>
        </w:tc>
      </w:tr>
      <w:tr w:rsidRPr="0089610B" w:rsidR="004F2F3A" w:rsidTr="00B30823" w14:paraId="310CE124"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vAlign w:val="center"/>
            <w:hideMark/>
          </w:tcPr>
          <w:p w:rsidRPr="0089610B" w:rsidR="00BE1FCB" w:rsidP="00B30823" w:rsidRDefault="00672B9A" w14:paraId="7BF0CBBF" w14:textId="54187145">
            <w:pPr>
              <w:pStyle w:val="FigureTitle"/>
              <w:spacing w:before="0" w:after="60"/>
              <w:jc w:val="right"/>
              <w:rPr>
                <w:sz w:val="22"/>
                <w:szCs w:val="22"/>
              </w:rPr>
            </w:pPr>
            <w:r w:rsidRPr="0089610B">
              <w:rPr>
                <w:sz w:val="22"/>
                <w:szCs w:val="22"/>
              </w:rPr>
              <w:t xml:space="preserve">Annual </w:t>
            </w:r>
            <w:r w:rsidRPr="0089610B" w:rsidR="00BE1FCB">
              <w:rPr>
                <w:sz w:val="22"/>
                <w:szCs w:val="22"/>
              </w:rPr>
              <w:t>Contract Cost</w:t>
            </w:r>
          </w:p>
        </w:tc>
        <w:tc>
          <w:tcPr>
            <w:tcW w:w="1604" w:type="dxa"/>
            <w:tcBorders>
              <w:top w:val="nil"/>
              <w:left w:val="nil"/>
              <w:bottom w:val="single" w:color="auto" w:sz="12" w:space="0"/>
              <w:right w:val="nil"/>
            </w:tcBorders>
            <w:tcMar>
              <w:top w:w="0" w:type="dxa"/>
              <w:left w:w="108" w:type="dxa"/>
              <w:bottom w:w="0" w:type="dxa"/>
              <w:right w:w="108" w:type="dxa"/>
            </w:tcMar>
            <w:vAlign w:val="center"/>
          </w:tcPr>
          <w:p w:rsidRPr="0089610B" w:rsidR="00BE1FCB" w:rsidP="00B30823" w:rsidRDefault="00BE1FCB" w14:paraId="5FC559A4" w14:textId="5230B05A">
            <w:pPr>
              <w:pStyle w:val="FigureTitle"/>
              <w:spacing w:before="0" w:after="60"/>
              <w:jc w:val="right"/>
              <w:rPr>
                <w:b w:val="0"/>
                <w:sz w:val="22"/>
                <w:szCs w:val="22"/>
              </w:rPr>
            </w:pPr>
            <w:r w:rsidRPr="0089610B">
              <w:rPr>
                <w:b w:val="0"/>
                <w:sz w:val="22"/>
                <w:szCs w:val="22"/>
              </w:rPr>
              <w:t>$</w:t>
            </w:r>
            <w:r w:rsidRPr="0089610B" w:rsidR="00E7300F">
              <w:rPr>
                <w:b w:val="0"/>
                <w:sz w:val="22"/>
                <w:szCs w:val="22"/>
              </w:rPr>
              <w:t>51,585</w:t>
            </w:r>
          </w:p>
        </w:tc>
      </w:tr>
      <w:tr w:rsidRPr="004F2F3A" w:rsidR="004F2F3A" w:rsidTr="00B30823" w14:paraId="4DBA12D3"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vAlign w:val="center"/>
            <w:hideMark/>
          </w:tcPr>
          <w:p w:rsidRPr="0089610B" w:rsidR="00BE1FCB" w:rsidP="00B30823" w:rsidRDefault="00BE1FCB" w14:paraId="5625DF85" w14:textId="05983744">
            <w:pPr>
              <w:pStyle w:val="FigureTitle"/>
              <w:spacing w:before="0" w:after="60"/>
              <w:jc w:val="right"/>
              <w:rPr>
                <w:sz w:val="22"/>
                <w:szCs w:val="22"/>
              </w:rPr>
            </w:pPr>
            <w:r w:rsidRPr="0089610B">
              <w:rPr>
                <w:sz w:val="22"/>
                <w:szCs w:val="22"/>
              </w:rPr>
              <w:t>Total</w:t>
            </w:r>
            <w:r w:rsidRPr="0089610B" w:rsidR="00672B9A">
              <w:rPr>
                <w:sz w:val="22"/>
                <w:szCs w:val="22"/>
              </w:rPr>
              <w:t xml:space="preserve"> Annual Cost</w:t>
            </w:r>
          </w:p>
        </w:tc>
        <w:tc>
          <w:tcPr>
            <w:tcW w:w="1604" w:type="dxa"/>
            <w:tcBorders>
              <w:top w:val="nil"/>
              <w:left w:val="nil"/>
              <w:bottom w:val="single" w:color="auto" w:sz="12" w:space="0"/>
              <w:right w:val="nil"/>
            </w:tcBorders>
            <w:tcMar>
              <w:top w:w="0" w:type="dxa"/>
              <w:left w:w="108" w:type="dxa"/>
              <w:bottom w:w="0" w:type="dxa"/>
              <w:right w:w="108" w:type="dxa"/>
            </w:tcMar>
            <w:vAlign w:val="center"/>
            <w:hideMark/>
          </w:tcPr>
          <w:p w:rsidRPr="004F2F3A" w:rsidR="00BE1FCB" w:rsidP="00B30823" w:rsidRDefault="00BE1FCB" w14:paraId="05FCC910" w14:textId="30EA3FCB">
            <w:pPr>
              <w:pStyle w:val="FigureTitle"/>
              <w:spacing w:before="0" w:after="60"/>
              <w:jc w:val="right"/>
              <w:rPr>
                <w:sz w:val="22"/>
                <w:szCs w:val="22"/>
              </w:rPr>
            </w:pPr>
            <w:r w:rsidRPr="0089610B">
              <w:rPr>
                <w:sz w:val="22"/>
                <w:szCs w:val="22"/>
              </w:rPr>
              <w:t>$</w:t>
            </w:r>
            <w:r w:rsidRPr="0089610B" w:rsidR="00E7300F">
              <w:rPr>
                <w:sz w:val="22"/>
                <w:szCs w:val="22"/>
              </w:rPr>
              <w:t>105,600</w:t>
            </w:r>
          </w:p>
        </w:tc>
      </w:tr>
    </w:tbl>
    <w:p w:rsidR="00BE1FCB" w:rsidP="00BE1FCB" w:rsidRDefault="00BE1FCB" w14:paraId="76710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color w:val="000000"/>
          <w:sz w:val="16"/>
          <w:szCs w:val="24"/>
        </w:rPr>
      </w:pPr>
      <w:r>
        <w:rPr>
          <w:rFonts w:ascii="Times New Roman" w:hAnsi="Times New Roman" w:eastAsia="Times New Roman" w:cs="Times New Roman"/>
          <w:color w:val="000000"/>
          <w:sz w:val="16"/>
          <w:szCs w:val="24"/>
          <w:vertAlign w:val="superscript"/>
        </w:rPr>
        <w:t xml:space="preserve">                      </w:t>
      </w:r>
      <w:r w:rsidRPr="008265FC">
        <w:rPr>
          <w:rFonts w:ascii="Times New Roman" w:hAnsi="Times New Roman" w:eastAsia="Times New Roman" w:cs="Times New Roman"/>
          <w:color w:val="000000"/>
          <w:sz w:val="16"/>
          <w:szCs w:val="24"/>
          <w:vertAlign w:val="superscript"/>
        </w:rPr>
        <w:t>1</w:t>
      </w:r>
      <w:r w:rsidRPr="008265FC">
        <w:rPr>
          <w:rFonts w:ascii="Times New Roman" w:hAnsi="Times New Roman" w:eastAsia="Times New Roman" w:cs="Times New Roman"/>
          <w:sz w:val="12"/>
          <w:szCs w:val="20"/>
        </w:rPr>
        <w:t xml:space="preserve"> </w:t>
      </w:r>
      <w:r>
        <w:rPr>
          <w:rFonts w:ascii="Times New Roman" w:hAnsi="Times New Roman" w:eastAsia="Times New Roman" w:cs="Times New Roman"/>
          <w:color w:val="000000"/>
          <w:sz w:val="16"/>
          <w:szCs w:val="24"/>
        </w:rPr>
        <w:t>Cost was rounded up to the next dollar</w:t>
      </w:r>
      <w:r w:rsidRPr="008265FC">
        <w:rPr>
          <w:rFonts w:ascii="Times New Roman" w:hAnsi="Times New Roman" w:eastAsia="Times New Roman" w:cs="Times New Roman"/>
          <w:color w:val="000000"/>
          <w:sz w:val="16"/>
          <w:szCs w:val="24"/>
        </w:rPr>
        <w:t>.</w:t>
      </w:r>
    </w:p>
    <w:p w:rsidRPr="008265FC" w:rsidR="00BE1FCB" w:rsidP="00BE1FCB" w:rsidRDefault="00BE1FCB"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Pr="008265FC" w:rsidR="00BE1FCB" w:rsidP="00BE1FCB" w:rsidRDefault="00BE1FCB" w14:paraId="38DBB406" w14:textId="6EF6A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6" w:id="28"/>
      <w:bookmarkEnd w:id="27"/>
      <w:r>
        <w:rPr>
          <w:rFonts w:ascii="Times New Roman" w:hAnsi="Times New Roman" w:eastAsia="Times New Roman" w:cs="Times New Roman"/>
          <w:b/>
          <w:bCs/>
          <w:szCs w:val="24"/>
        </w:rPr>
        <w:t>1</w:t>
      </w:r>
      <w:r w:rsidR="00CF281F">
        <w:rPr>
          <w:rFonts w:ascii="Times New Roman" w:hAnsi="Times New Roman" w:eastAsia="Times New Roman" w:cs="Times New Roman"/>
          <w:b/>
          <w:bCs/>
          <w:szCs w:val="24"/>
        </w:rPr>
        <w:t>5</w:t>
      </w:r>
      <w:r w:rsidRPr="008265FC">
        <w:rPr>
          <w:rFonts w:ascii="Times New Roman" w:hAnsi="Times New Roman" w:eastAsia="Times New Roman" w:cs="Times New Roman"/>
          <w:b/>
          <w:bCs/>
          <w:szCs w:val="24"/>
        </w:rPr>
        <w:t>.</w:t>
      </w:r>
      <w:r w:rsidRPr="008265FC">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Explanation for Program Changes or Adjustments</w:t>
      </w:r>
      <w:bookmarkEnd w:id="28"/>
    </w:p>
    <w:p w:rsidRPr="008265FC" w:rsidR="00BE1FCB" w:rsidP="00BE1FCB" w:rsidRDefault="00BE1FCB"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265E300C" w:rsidRDefault="00BE1FCB" w14:paraId="1C165A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rPr>
      </w:pPr>
      <w:r w:rsidRPr="265E300C">
        <w:rPr>
          <w:rFonts w:ascii="Times New Roman" w:hAnsi="Times New Roman" w:eastAsia="Times New Roman" w:cs="Times New Roman"/>
        </w:rPr>
        <w:t>This is a new individual generic data collection.</w:t>
      </w:r>
    </w:p>
    <w:p w:rsidRPr="008265FC" w:rsidR="00BE1FCB" w:rsidP="00BE1FCB" w:rsidRDefault="00BE1FCB"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7" w:id="29"/>
      <w:r>
        <w:rPr>
          <w:rFonts w:ascii="Times New Roman" w:hAnsi="Times New Roman" w:eastAsia="Times New Roman" w:cs="Times New Roman"/>
          <w:b/>
          <w:bCs/>
          <w:szCs w:val="24"/>
        </w:rPr>
        <w:t>1</w:t>
      </w:r>
      <w:r w:rsidR="004B3D08">
        <w:rPr>
          <w:rFonts w:ascii="Times New Roman" w:hAnsi="Times New Roman" w:eastAsia="Times New Roman" w:cs="Times New Roman"/>
          <w:b/>
          <w:bCs/>
          <w:szCs w:val="24"/>
        </w:rPr>
        <w:t>6</w:t>
      </w:r>
      <w:r w:rsidRPr="008265FC">
        <w:rPr>
          <w:rFonts w:ascii="Times New Roman" w:hAnsi="Times New Roman" w:eastAsia="Times New Roman" w:cs="Times New Roman"/>
          <w:b/>
          <w:bCs/>
          <w:szCs w:val="24"/>
        </w:rPr>
        <w:t>.</w:t>
      </w:r>
      <w:r w:rsidRPr="008265FC">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 xml:space="preserve">Plans for </w:t>
      </w:r>
      <w:r>
        <w:rPr>
          <w:rFonts w:ascii="Times New Roman" w:hAnsi="Times New Roman" w:eastAsia="Times New Roman" w:cs="Times New Roman"/>
          <w:b/>
          <w:bCs/>
          <w:szCs w:val="24"/>
          <w:u w:val="single"/>
        </w:rPr>
        <w:t>Reporting</w:t>
      </w:r>
      <w:r w:rsidRPr="008265FC">
        <w:rPr>
          <w:rFonts w:ascii="Times New Roman" w:hAnsi="Times New Roman" w:eastAsia="Times New Roman" w:cs="Times New Roman"/>
          <w:b/>
          <w:bCs/>
          <w:szCs w:val="24"/>
          <w:u w:val="single"/>
        </w:rPr>
        <w:t xml:space="preserve"> and Project Time Schedule</w:t>
      </w:r>
      <w:bookmarkEnd w:id="29"/>
    </w:p>
    <w:p w:rsidRPr="008265FC" w:rsidR="00BE1FCB" w:rsidP="00BE1FCB" w:rsidRDefault="00BE1FCB"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40CA0" w:rsidR="00ED77A0" w:rsidP="00BE1FCB" w:rsidRDefault="003717C0" w14:paraId="0D15F6E4" w14:textId="01F5B903">
      <w:pPr>
        <w:ind w:left="180"/>
        <w:rPr>
          <w:rFonts w:ascii="Times New Roman" w:hAnsi="Times New Roman"/>
        </w:rPr>
      </w:pPr>
      <w:r w:rsidRPr="00840CA0">
        <w:rPr>
          <w:rFonts w:ascii="Times New Roman" w:hAnsi="Times New Roman" w:eastAsia="Times New Roman" w:cs="Times New Roman"/>
          <w:szCs w:val="20"/>
        </w:rPr>
        <w:t xml:space="preserve">Data from this information collection will </w:t>
      </w:r>
      <w:r w:rsidRPr="00840CA0" w:rsidR="000A5D80">
        <w:rPr>
          <w:rFonts w:ascii="Times New Roman" w:hAnsi="Times New Roman" w:eastAsia="Times New Roman" w:cs="Times New Roman"/>
          <w:iCs/>
          <w:szCs w:val="20"/>
        </w:rPr>
        <w:t xml:space="preserve">enable </w:t>
      </w:r>
      <w:r w:rsidRPr="00840CA0" w:rsidR="00C864D9">
        <w:rPr>
          <w:rFonts w:ascii="Times New Roman" w:hAnsi="Times New Roman" w:eastAsia="Times New Roman" w:cs="Times New Roman"/>
          <w:iCs/>
          <w:szCs w:val="20"/>
        </w:rPr>
        <w:t xml:space="preserve">the </w:t>
      </w:r>
      <w:r w:rsidRPr="00840CA0" w:rsidR="000A5D80">
        <w:rPr>
          <w:rFonts w:ascii="Times New Roman" w:hAnsi="Times New Roman" w:eastAsia="Times New Roman" w:cs="Times New Roman"/>
          <w:iCs/>
          <w:szCs w:val="20"/>
        </w:rPr>
        <w:t xml:space="preserve">FDA to </w:t>
      </w:r>
      <w:r w:rsidRPr="00840CA0" w:rsidR="00ED77A0">
        <w:rPr>
          <w:rFonts w:ascii="Times New Roman" w:hAnsi="Times New Roman"/>
        </w:rPr>
        <w:t xml:space="preserve">gain insight into youth perceptions of ENDS and cigarettes and reactions to draft advertising concepts. This activity will allow the FDA to develop and refine messaging related to preventing ENDS and cigarette use among youth aged 13 to 17 who are at risk of initiating or who have experimented with tobacco products. </w:t>
      </w:r>
      <w:r w:rsidRPr="00F5749D" w:rsidR="00ED77A0">
        <w:rPr>
          <w:rFonts w:ascii="Times New Roman" w:hAnsi="Times New Roman" w:eastAsia="Times New Roman" w:cs="Times New Roman"/>
          <w:szCs w:val="20"/>
        </w:rPr>
        <w:t>Findings from these analyses will be used to inform FDA CTP health communication strategy and messaging.</w:t>
      </w:r>
    </w:p>
    <w:p w:rsidRPr="008265FC" w:rsidR="00BE1FCB" w:rsidP="00F5749D" w:rsidRDefault="00BE1FCB" w14:paraId="5CF9C33F" w14:textId="77777777">
      <w:pPr>
        <w:rPr>
          <w:rFonts w:ascii="Times New Roman" w:hAnsi="Times New Roman" w:eastAsia="Times New Roman" w:cs="Times New Roman"/>
          <w:b/>
          <w:szCs w:val="20"/>
          <w:u w:val="single"/>
        </w:rPr>
      </w:pPr>
    </w:p>
    <w:p w:rsidR="00BE1FCB" w:rsidP="00BE1FCB" w:rsidRDefault="00BE1FCB" w14:paraId="74C43880" w14:textId="676E7A9C">
      <w:pPr>
        <w:ind w:left="180"/>
        <w:rPr>
          <w:rFonts w:ascii="Times New Roman" w:hAnsi="Times New Roman" w:eastAsia="Times New Roman" w:cs="Times New Roman"/>
          <w:szCs w:val="20"/>
          <w:u w:val="single"/>
        </w:rPr>
      </w:pPr>
      <w:r w:rsidRPr="008265FC">
        <w:rPr>
          <w:rFonts w:ascii="Times New Roman" w:hAnsi="Times New Roman" w:eastAsia="Times New Roman" w:cs="Times New Roman"/>
          <w:szCs w:val="20"/>
          <w:u w:val="single"/>
        </w:rPr>
        <w:t>Reporting</w:t>
      </w:r>
    </w:p>
    <w:p w:rsidRPr="008265FC" w:rsidR="00032F12" w:rsidP="00BE1FCB" w:rsidRDefault="00032F12" w14:paraId="1462991A" w14:textId="77777777">
      <w:pPr>
        <w:ind w:left="180"/>
        <w:rPr>
          <w:rFonts w:ascii="Times New Roman" w:hAnsi="Times New Roman" w:eastAsia="Times New Roman" w:cs="Times New Roman"/>
          <w:szCs w:val="20"/>
          <w:u w:val="single"/>
        </w:rPr>
      </w:pPr>
    </w:p>
    <w:p w:rsidRPr="008265FC" w:rsidR="00BE1FCB" w:rsidP="00BE1FCB" w:rsidRDefault="00A2736D" w14:paraId="26B886EE" w14:textId="6E721406">
      <w:pPr>
        <w:ind w:left="180"/>
        <w:rPr>
          <w:rFonts w:ascii="Times New Roman" w:hAnsi="Times New Roman" w:eastAsia="Times New Roman" w:cs="Times New Roman"/>
          <w:szCs w:val="20"/>
        </w:rPr>
      </w:pPr>
      <w:r w:rsidRPr="00A2736D">
        <w:rPr>
          <w:rFonts w:ascii="Times New Roman" w:hAnsi="Times New Roman" w:eastAsia="Times New Roman" w:cs="Times New Roman"/>
          <w:szCs w:val="20"/>
        </w:rPr>
        <w:t xml:space="preserve">At the end of the study, a final report containing background information on the project objectives, scope and methodology, and key findings and conclusions will be completed. The approximate dates for completing project tasks are listed in </w:t>
      </w:r>
      <w:r>
        <w:rPr>
          <w:rFonts w:ascii="Times New Roman" w:hAnsi="Times New Roman" w:eastAsia="Times New Roman" w:cs="Times New Roman"/>
          <w:szCs w:val="20"/>
        </w:rPr>
        <w:t xml:space="preserve">Table </w:t>
      </w:r>
      <w:r w:rsidR="004D7181">
        <w:rPr>
          <w:rFonts w:ascii="Times New Roman" w:hAnsi="Times New Roman" w:eastAsia="Times New Roman" w:cs="Times New Roman"/>
          <w:szCs w:val="20"/>
        </w:rPr>
        <w:t>4</w:t>
      </w:r>
      <w:r w:rsidRPr="008265FC">
        <w:rPr>
          <w:rFonts w:ascii="Times New Roman" w:hAnsi="Times New Roman" w:eastAsia="Times New Roman" w:cs="Times New Roman"/>
          <w:szCs w:val="20"/>
        </w:rPr>
        <w:t>.</w:t>
      </w:r>
    </w:p>
    <w:p w:rsidRPr="008265FC" w:rsidR="00BE1FCB" w:rsidP="00BE1FCB" w:rsidRDefault="00BE1FCB" w14:paraId="101D18D4" w14:textId="77777777">
      <w:pPr>
        <w:ind w:left="180"/>
        <w:rPr>
          <w:rFonts w:ascii="Times New Roman" w:hAnsi="Times New Roman" w:eastAsia="Times New Roman" w:cs="Times New Roman"/>
          <w:szCs w:val="20"/>
        </w:rPr>
      </w:pPr>
    </w:p>
    <w:p w:rsidRPr="00840CA0" w:rsidR="00BE1FCB" w:rsidP="265E300C" w:rsidRDefault="00BE1FCB" w14:paraId="474E319D" w14:textId="1179DD3E">
      <w:pPr>
        <w:keepNext/>
        <w:keepLines/>
        <w:ind w:left="180"/>
        <w:rPr>
          <w:rFonts w:ascii="Times New Roman" w:hAnsi="Times New Roman" w:eastAsia="Times New Roman" w:cs="Times New Roman"/>
          <w:b/>
          <w:bCs/>
        </w:rPr>
      </w:pPr>
      <w:bookmarkStart w:name="_Ref216592722" w:id="30"/>
      <w:bookmarkStart w:name="_Toc66689102" w:id="31"/>
      <w:bookmarkStart w:name="_Toc140476560" w:id="32"/>
      <w:bookmarkStart w:name="_Toc216595340" w:id="33"/>
      <w:bookmarkStart w:name="_Toc361824172" w:id="34"/>
      <w:r w:rsidRPr="265E300C">
        <w:rPr>
          <w:rFonts w:ascii="Times New Roman" w:hAnsi="Times New Roman" w:eastAsia="Times New Roman" w:cs="Times New Roman"/>
          <w:b/>
          <w:bCs/>
        </w:rPr>
        <w:t xml:space="preserve">Table </w:t>
      </w:r>
      <w:bookmarkEnd w:id="30"/>
      <w:r w:rsidRPr="265E300C" w:rsidR="004D7181">
        <w:rPr>
          <w:rFonts w:ascii="Times New Roman" w:hAnsi="Times New Roman" w:eastAsia="Times New Roman" w:cs="Times New Roman"/>
          <w:b/>
          <w:bCs/>
        </w:rPr>
        <w:t>4</w:t>
      </w:r>
      <w:r w:rsidRPr="265E300C">
        <w:rPr>
          <w:rFonts w:ascii="Times New Roman" w:hAnsi="Times New Roman" w:eastAsia="Times New Roman" w:cs="Times New Roman"/>
          <w:b/>
          <w:bCs/>
        </w:rPr>
        <w:t>.</w:t>
      </w:r>
      <w:bookmarkEnd w:id="31"/>
      <w:bookmarkEnd w:id="32"/>
      <w:bookmarkEnd w:id="33"/>
      <w:r w:rsidRPr="265E300C">
        <w:rPr>
          <w:rFonts w:ascii="Times New Roman" w:hAnsi="Times New Roman" w:eastAsia="Times New Roman" w:cs="Times New Roman"/>
          <w:b/>
          <w:bCs/>
        </w:rPr>
        <w:t xml:space="preserve"> Approximate Project Schedule</w:t>
      </w:r>
      <w:bookmarkEnd w:id="34"/>
    </w:p>
    <w:p w:rsidR="265E300C" w:rsidP="265E300C" w:rsidRDefault="265E300C" w14:paraId="4A193175" w14:textId="59C2F742">
      <w:pPr>
        <w:keepNext/>
        <w:ind w:left="180"/>
        <w:rPr>
          <w:rFonts w:eastAsia="Calibri"/>
          <w:b/>
          <w:bCs/>
          <w:szCs w:val="24"/>
        </w:rPr>
      </w:pPr>
    </w:p>
    <w:p w:rsidR="265E300C" w:rsidRDefault="265E300C" w14:paraId="291A096B" w14:textId="592BCC8D">
      <w:r w:rsidRPr="265E300C">
        <w:rPr>
          <w:rFonts w:ascii="Times New Roman" w:hAnsi="Times New Roman" w:eastAsia="Times New Roman" w:cs="Times New Roman"/>
          <w:szCs w:val="24"/>
        </w:rPr>
        <w:t xml:space="preserve">The project schedule is shown in Table 4. Future development </w:t>
      </w:r>
      <w:r w:rsidRPr="265E300C">
        <w:rPr>
          <w:rFonts w:ascii="Times New Roman" w:hAnsi="Times New Roman" w:eastAsia="Times New Roman" w:cs="Times New Roman"/>
          <w:color w:val="000000" w:themeColor="text1"/>
          <w:szCs w:val="24"/>
        </w:rPr>
        <w:t>and</w:t>
      </w:r>
      <w:r w:rsidRPr="265E300C">
        <w:rPr>
          <w:rFonts w:ascii="Times New Roman" w:hAnsi="Times New Roman" w:eastAsia="Times New Roman" w:cs="Times New Roman"/>
          <w:szCs w:val="24"/>
        </w:rPr>
        <w:t xml:space="preserve"> research activities are dependent on the timely completion of the present study.</w:t>
      </w:r>
    </w:p>
    <w:p w:rsidR="00BE1FCB" w:rsidP="00BE1FCB" w:rsidRDefault="00BE1FCB" w14:paraId="5D730BE3" w14:textId="5C0863F4">
      <w:pPr>
        <w:autoSpaceDE w:val="0"/>
        <w:autoSpaceDN w:val="0"/>
        <w:adjustRightInd w:val="0"/>
        <w:ind w:left="180"/>
        <w:rPr>
          <w:rFonts w:ascii="Courier 10cpi" w:hAnsi="Courier 10cpi" w:eastAsia="Times New Roman" w:cs="Times New Roman"/>
          <w:sz w:val="20"/>
          <w:szCs w:val="20"/>
        </w:rPr>
      </w:pPr>
    </w:p>
    <w:p w:rsidR="00A2736D" w:rsidP="00032F12" w:rsidRDefault="265E300C" w14:paraId="34D609B2" w14:textId="0BBDA55F">
      <w:pPr>
        <w:autoSpaceDE w:val="0"/>
        <w:autoSpaceDN w:val="0"/>
        <w:adjustRightInd w:val="0"/>
        <w:jc w:val="center"/>
      </w:pPr>
      <w:r w:rsidRPr="265E300C">
        <w:rPr>
          <w:rFonts w:ascii="Times New Roman" w:hAnsi="Times New Roman" w:eastAsia="Times New Roman" w:cs="Times New Roman"/>
          <w:b/>
          <w:bCs/>
          <w:szCs w:val="24"/>
        </w:rPr>
        <w:t>Table 4. Project Schedule</w:t>
      </w:r>
    </w:p>
    <w:tbl>
      <w:tblPr>
        <w:tblW w:w="0" w:type="auto"/>
        <w:tblLayout w:type="fixed"/>
        <w:tblLook w:val="06A0" w:firstRow="1" w:lastRow="0" w:firstColumn="1" w:lastColumn="0" w:noHBand="1" w:noVBand="1"/>
      </w:tblPr>
      <w:tblGrid>
        <w:gridCol w:w="4950"/>
        <w:gridCol w:w="3510"/>
      </w:tblGrid>
      <w:tr w:rsidR="265E300C" w:rsidTr="3F3C16F7" w14:paraId="13BE8ABD" w14:textId="77777777">
        <w:trPr>
          <w:trHeight w:val="405"/>
        </w:trPr>
        <w:tc>
          <w:tcPr>
            <w:tcW w:w="4950" w:type="dxa"/>
            <w:tcBorders>
              <w:top w:val="single" w:color="000000" w:themeColor="text1" w:sz="12" w:space="0"/>
              <w:left w:val="nil"/>
              <w:bottom w:val="single" w:color="000000" w:themeColor="text1" w:sz="8" w:space="0"/>
              <w:right w:val="nil"/>
            </w:tcBorders>
            <w:vAlign w:val="bottom"/>
          </w:tcPr>
          <w:p w:rsidR="265E300C" w:rsidP="265E300C" w:rsidRDefault="265E300C" w14:paraId="0E58A4BA" w14:textId="4B8693FC">
            <w:r w:rsidRPr="265E300C">
              <w:rPr>
                <w:rFonts w:ascii="Times New Roman" w:hAnsi="Times New Roman" w:eastAsia="Times New Roman" w:cs="Times New Roman"/>
                <w:b/>
                <w:bCs/>
                <w:sz w:val="22"/>
              </w:rPr>
              <w:t>Project Activity</w:t>
            </w:r>
          </w:p>
        </w:tc>
        <w:tc>
          <w:tcPr>
            <w:tcW w:w="3510" w:type="dxa"/>
            <w:tcBorders>
              <w:top w:val="single" w:color="000000" w:themeColor="text1" w:sz="12" w:space="0"/>
              <w:left w:val="nil"/>
              <w:bottom w:val="single" w:color="000000" w:themeColor="text1" w:sz="8" w:space="0"/>
              <w:right w:val="nil"/>
            </w:tcBorders>
          </w:tcPr>
          <w:p w:rsidR="265E300C" w:rsidP="265E300C" w:rsidRDefault="265E300C" w14:paraId="7EBC3AD2" w14:textId="2EF0F4AB">
            <w:r w:rsidRPr="265E300C">
              <w:rPr>
                <w:rFonts w:ascii="Times New Roman" w:hAnsi="Times New Roman" w:eastAsia="Times New Roman" w:cs="Times New Roman"/>
                <w:b/>
                <w:bCs/>
                <w:sz w:val="22"/>
              </w:rPr>
              <w:t>Approximate Date</w:t>
            </w:r>
          </w:p>
        </w:tc>
      </w:tr>
      <w:tr w:rsidR="265E300C" w:rsidTr="3F3C16F7" w14:paraId="42318D7E" w14:textId="77777777">
        <w:tc>
          <w:tcPr>
            <w:tcW w:w="4950" w:type="dxa"/>
            <w:tcBorders>
              <w:top w:val="single" w:color="000000" w:themeColor="text1" w:sz="8" w:space="0"/>
              <w:left w:val="nil"/>
              <w:bottom w:val="single" w:color="000000" w:themeColor="text1" w:sz="8" w:space="0"/>
              <w:right w:val="nil"/>
            </w:tcBorders>
            <w:vAlign w:val="center"/>
          </w:tcPr>
          <w:p w:rsidR="265E300C" w:rsidRDefault="265E300C" w14:paraId="22763E5E" w14:textId="1B6341D2">
            <w:r w:rsidRPr="265E300C">
              <w:rPr>
                <w:rFonts w:ascii="Times New Roman" w:hAnsi="Times New Roman" w:eastAsia="Times New Roman" w:cs="Times New Roman"/>
                <w:sz w:val="22"/>
              </w:rPr>
              <w:t xml:space="preserve">Data Collection </w:t>
            </w:r>
          </w:p>
        </w:tc>
        <w:tc>
          <w:tcPr>
            <w:tcW w:w="3510" w:type="dxa"/>
            <w:tcBorders>
              <w:top w:val="single" w:color="000000" w:themeColor="text1" w:sz="8" w:space="0"/>
              <w:left w:val="nil"/>
              <w:bottom w:val="single" w:color="000000" w:themeColor="text1" w:sz="8" w:space="0"/>
              <w:right w:val="nil"/>
            </w:tcBorders>
          </w:tcPr>
          <w:p w:rsidR="265E300C" w:rsidP="265E300C" w:rsidRDefault="265E300C" w14:paraId="4CE5001D" w14:textId="0DC88DDA">
            <w:pPr>
              <w:rPr>
                <w:rFonts w:ascii="Times New Roman" w:hAnsi="Times New Roman" w:eastAsia="Times New Roman" w:cs="Times New Roman"/>
                <w:sz w:val="22"/>
              </w:rPr>
            </w:pPr>
            <w:r w:rsidRPr="3F3C16F7">
              <w:rPr>
                <w:rFonts w:ascii="Times New Roman" w:hAnsi="Times New Roman" w:eastAsia="Times New Roman" w:cs="Times New Roman"/>
                <w:sz w:val="22"/>
              </w:rPr>
              <w:t>November 2022</w:t>
            </w:r>
          </w:p>
        </w:tc>
      </w:tr>
      <w:tr w:rsidR="265E300C" w:rsidTr="3F3C16F7" w14:paraId="2F1D0931" w14:textId="77777777">
        <w:tc>
          <w:tcPr>
            <w:tcW w:w="4950" w:type="dxa"/>
            <w:tcBorders>
              <w:top w:val="single" w:color="000000" w:themeColor="text1" w:sz="8" w:space="0"/>
              <w:left w:val="nil"/>
              <w:bottom w:val="single" w:color="000000" w:themeColor="text1" w:sz="8" w:space="0"/>
              <w:right w:val="nil"/>
            </w:tcBorders>
            <w:vAlign w:val="center"/>
          </w:tcPr>
          <w:p w:rsidR="265E300C" w:rsidRDefault="265E300C" w14:paraId="692F18CD" w14:textId="0BA461C4">
            <w:r w:rsidRPr="265E300C">
              <w:rPr>
                <w:rFonts w:ascii="Times New Roman" w:hAnsi="Times New Roman" w:eastAsia="Times New Roman" w:cs="Times New Roman"/>
                <w:sz w:val="22"/>
              </w:rPr>
              <w:t xml:space="preserve">Data Delivery </w:t>
            </w:r>
          </w:p>
        </w:tc>
        <w:tc>
          <w:tcPr>
            <w:tcW w:w="3510" w:type="dxa"/>
            <w:tcBorders>
              <w:top w:val="single" w:color="000000" w:themeColor="text1" w:sz="8" w:space="0"/>
              <w:left w:val="nil"/>
              <w:bottom w:val="single" w:color="000000" w:themeColor="text1" w:sz="8" w:space="0"/>
              <w:right w:val="nil"/>
            </w:tcBorders>
          </w:tcPr>
          <w:p w:rsidR="265E300C" w:rsidP="265E300C" w:rsidRDefault="265E300C" w14:paraId="5FAEBDD1" w14:textId="5402812B">
            <w:pPr>
              <w:rPr>
                <w:rFonts w:ascii="Times New Roman" w:hAnsi="Times New Roman" w:eastAsia="Times New Roman" w:cs="Times New Roman"/>
                <w:sz w:val="22"/>
              </w:rPr>
            </w:pPr>
            <w:r w:rsidRPr="265E300C">
              <w:rPr>
                <w:rFonts w:ascii="Times New Roman" w:hAnsi="Times New Roman" w:eastAsia="Times New Roman" w:cs="Times New Roman"/>
                <w:sz w:val="22"/>
              </w:rPr>
              <w:t>December 2022</w:t>
            </w:r>
          </w:p>
        </w:tc>
      </w:tr>
      <w:tr w:rsidR="265E300C" w:rsidTr="3F3C16F7" w14:paraId="423BDC5E" w14:textId="77777777">
        <w:tc>
          <w:tcPr>
            <w:tcW w:w="4950" w:type="dxa"/>
            <w:tcBorders>
              <w:top w:val="single" w:color="000000" w:themeColor="text1" w:sz="8" w:space="0"/>
              <w:left w:val="nil"/>
              <w:bottom w:val="single" w:color="000000" w:themeColor="text1" w:sz="8" w:space="0"/>
              <w:right w:val="nil"/>
            </w:tcBorders>
            <w:vAlign w:val="center"/>
          </w:tcPr>
          <w:p w:rsidR="265E300C" w:rsidRDefault="265E300C" w14:paraId="49857D94" w14:textId="213F59F5">
            <w:r w:rsidRPr="265E300C">
              <w:rPr>
                <w:rFonts w:ascii="Times New Roman" w:hAnsi="Times New Roman" w:eastAsia="Times New Roman" w:cs="Times New Roman"/>
                <w:sz w:val="22"/>
              </w:rPr>
              <w:t xml:space="preserve">Draft Reporting Deliverables </w:t>
            </w:r>
          </w:p>
        </w:tc>
        <w:tc>
          <w:tcPr>
            <w:tcW w:w="3510" w:type="dxa"/>
            <w:tcBorders>
              <w:top w:val="single" w:color="000000" w:themeColor="text1" w:sz="8" w:space="0"/>
              <w:left w:val="nil"/>
              <w:bottom w:val="single" w:color="000000" w:themeColor="text1" w:sz="8" w:space="0"/>
              <w:right w:val="nil"/>
            </w:tcBorders>
          </w:tcPr>
          <w:p w:rsidR="265E300C" w:rsidP="265E300C" w:rsidRDefault="265E300C" w14:paraId="44926701" w14:textId="3812C9F6">
            <w:pPr>
              <w:rPr>
                <w:rFonts w:ascii="Times New Roman" w:hAnsi="Times New Roman" w:eastAsia="Times New Roman" w:cs="Times New Roman"/>
                <w:sz w:val="22"/>
              </w:rPr>
            </w:pPr>
            <w:r w:rsidRPr="265E300C">
              <w:rPr>
                <w:rFonts w:ascii="Times New Roman" w:hAnsi="Times New Roman" w:eastAsia="Times New Roman" w:cs="Times New Roman"/>
                <w:sz w:val="22"/>
              </w:rPr>
              <w:t>January 2023</w:t>
            </w:r>
          </w:p>
        </w:tc>
      </w:tr>
      <w:tr w:rsidR="265E300C" w:rsidTr="3F3C16F7" w14:paraId="1E0A88E7" w14:textId="77777777">
        <w:tc>
          <w:tcPr>
            <w:tcW w:w="4950" w:type="dxa"/>
            <w:tcBorders>
              <w:top w:val="single" w:color="000000" w:themeColor="text1" w:sz="8" w:space="0"/>
              <w:left w:val="nil"/>
              <w:bottom w:val="single" w:color="000000" w:themeColor="text1" w:sz="12" w:space="0"/>
              <w:right w:val="nil"/>
            </w:tcBorders>
            <w:vAlign w:val="center"/>
          </w:tcPr>
          <w:p w:rsidR="265E300C" w:rsidRDefault="265E300C" w14:paraId="5AE8AD0E" w14:textId="3EEAC548">
            <w:r w:rsidRPr="265E300C">
              <w:rPr>
                <w:rFonts w:ascii="Times New Roman" w:hAnsi="Times New Roman" w:eastAsia="Times New Roman" w:cs="Times New Roman"/>
                <w:sz w:val="22"/>
              </w:rPr>
              <w:t>Final Reporting Deliverables</w:t>
            </w:r>
          </w:p>
        </w:tc>
        <w:tc>
          <w:tcPr>
            <w:tcW w:w="3510" w:type="dxa"/>
            <w:tcBorders>
              <w:top w:val="single" w:color="000000" w:themeColor="text1" w:sz="8" w:space="0"/>
              <w:left w:val="nil"/>
              <w:bottom w:val="single" w:color="000000" w:themeColor="text1" w:sz="12" w:space="0"/>
              <w:right w:val="nil"/>
            </w:tcBorders>
          </w:tcPr>
          <w:p w:rsidR="265E300C" w:rsidP="265E300C" w:rsidRDefault="265E300C" w14:paraId="2824A394" w14:textId="4909DC68">
            <w:pPr>
              <w:rPr>
                <w:rFonts w:ascii="Times New Roman" w:hAnsi="Times New Roman" w:eastAsia="Times New Roman" w:cs="Times New Roman"/>
                <w:sz w:val="22"/>
              </w:rPr>
            </w:pPr>
            <w:r w:rsidRPr="265E300C">
              <w:rPr>
                <w:rFonts w:ascii="Times New Roman" w:hAnsi="Times New Roman" w:eastAsia="Times New Roman" w:cs="Times New Roman"/>
                <w:sz w:val="22"/>
              </w:rPr>
              <w:t>February 2023</w:t>
            </w:r>
          </w:p>
        </w:tc>
      </w:tr>
    </w:tbl>
    <w:p w:rsidR="00A2736D" w:rsidP="00D26895" w:rsidRDefault="00A2736D" w14:paraId="1B064F28" w14:textId="15FD859F">
      <w:pPr>
        <w:autoSpaceDE w:val="0"/>
        <w:autoSpaceDN w:val="0"/>
        <w:adjustRightInd w:val="0"/>
        <w:ind w:left="187" w:hanging="187"/>
        <w:rPr>
          <w:rFonts w:ascii="Times New Roman" w:hAnsi="Times New Roman" w:eastAsia="Times New Roman" w:cs="Times New Roman"/>
          <w:sz w:val="20"/>
          <w:szCs w:val="20"/>
        </w:rPr>
      </w:pPr>
    </w:p>
    <w:p w:rsidRPr="008265FC" w:rsidR="00BE1FCB" w:rsidP="00BE1FCB" w:rsidRDefault="00BE1FCB" w14:paraId="219BDE21" w14:textId="61F1AF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u w:val="single"/>
        </w:rPr>
      </w:pPr>
      <w:bookmarkStart w:name="_Toc239649238" w:id="35"/>
      <w:r w:rsidRPr="008265FC">
        <w:rPr>
          <w:rFonts w:ascii="Times New Roman" w:hAnsi="Times New Roman" w:eastAsia="Times New Roman" w:cs="Times New Roman"/>
          <w:b/>
          <w:bCs/>
          <w:szCs w:val="24"/>
        </w:rPr>
        <w:t>1</w:t>
      </w:r>
      <w:r w:rsidR="004D7181">
        <w:rPr>
          <w:rFonts w:ascii="Times New Roman" w:hAnsi="Times New Roman" w:eastAsia="Times New Roman" w:cs="Times New Roman"/>
          <w:b/>
          <w:bCs/>
          <w:szCs w:val="24"/>
        </w:rPr>
        <w:t>7</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Reason(s) Display of OMB Expiration Date is Inappropriate</w:t>
      </w:r>
      <w:bookmarkEnd w:id="35"/>
    </w:p>
    <w:p w:rsidRPr="008265FC" w:rsidR="00BE1FCB" w:rsidP="00BE1FCB" w:rsidRDefault="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977DF3" w:rsidP="006968E8" w:rsidRDefault="265E300C" w14:paraId="61573C49" w14:textId="30567DBA">
      <w:pPr>
        <w:ind w:left="180"/>
        <w:rPr>
          <w:rFonts w:ascii="Times New Roman" w:hAnsi="Times New Roman" w:eastAsia="Times New Roman" w:cs="Times New Roman"/>
          <w:b/>
          <w:bCs/>
        </w:rPr>
      </w:pPr>
      <w:r w:rsidRPr="265E300C">
        <w:rPr>
          <w:rFonts w:ascii="Times New Roman" w:hAnsi="Times New Roman" w:eastAsia="Times New Roman" w:cs="Times New Roman"/>
          <w:szCs w:val="24"/>
        </w:rPr>
        <w:t xml:space="preserve"> FDA is not requesting an exemption for display of the OMB expiration date and is also not seeking OMB approval to exclude the expiration date for this information collection. The OMB approval and expiration date will be displayed on the relevant materials associated with the study.</w:t>
      </w:r>
    </w:p>
    <w:p w:rsidR="00BE1FCB" w:rsidP="00BE1FCB" w:rsidRDefault="00BE1FCB"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9" w:id="36"/>
    </w:p>
    <w:p w:rsidRPr="008265FC" w:rsidR="00BE1FCB" w:rsidP="00BE1FCB" w:rsidRDefault="00BE1FCB" w14:paraId="4695FE56" w14:textId="517275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8265FC">
        <w:rPr>
          <w:rFonts w:ascii="Times New Roman" w:hAnsi="Times New Roman" w:eastAsia="Times New Roman" w:cs="Times New Roman"/>
          <w:b/>
          <w:bCs/>
          <w:szCs w:val="24"/>
        </w:rPr>
        <w:t>1</w:t>
      </w:r>
      <w:r w:rsidR="004D7181">
        <w:rPr>
          <w:rFonts w:ascii="Times New Roman" w:hAnsi="Times New Roman" w:eastAsia="Times New Roman" w:cs="Times New Roman"/>
          <w:b/>
          <w:bCs/>
          <w:szCs w:val="24"/>
        </w:rPr>
        <w:t>8</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Exceptions to Certification for Paperwork Reduction Act Submissions</w:t>
      </w:r>
      <w:bookmarkEnd w:id="36"/>
    </w:p>
    <w:p w:rsidRPr="008265FC" w:rsidR="00BE1FCB" w:rsidP="00BE1FCB" w:rsidRDefault="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703DA8BD" w14:textId="25983989">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8265FC">
        <w:rPr>
          <w:rFonts w:ascii="Times New Roman" w:hAnsi="Times New Roman" w:eastAsia="Times New Roman" w:cs="Times New Roman"/>
          <w:szCs w:val="24"/>
        </w:rPr>
        <w:t>These information collection activities involve no exception to the Certification for Paperwork Reduction Act Submissions.</w:t>
      </w:r>
      <w:r w:rsidRPr="008265FC">
        <w:rPr>
          <w:rFonts w:ascii="Times New Roman" w:hAnsi="Times New Roman" w:eastAsia="Times New Roman" w:cs="Times New Roman"/>
          <w:b/>
          <w:bCs/>
          <w:szCs w:val="24"/>
        </w:rPr>
        <w:t xml:space="preserve"> </w:t>
      </w:r>
    </w:p>
    <w:p w:rsidR="00032F12" w:rsidP="00BE1FCB" w:rsidRDefault="00032F12" w14:paraId="5BE4145C" w14:textId="62EE269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p>
    <w:p w:rsidRPr="00533205" w:rsidR="00257DA1" w:rsidP="006968E8" w:rsidRDefault="00257DA1" w14:paraId="06B8E747"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color w:val="000000"/>
          <w:szCs w:val="24"/>
          <w:u w:color="000000"/>
          <w:bdr w:val="nil"/>
        </w:rPr>
      </w:pPr>
      <w:r w:rsidRPr="00533205">
        <w:rPr>
          <w:rFonts w:ascii="Times New Roman" w:hAnsi="Times New Roman" w:eastAsia="Times New Roman" w:cs="Times New Roman"/>
          <w:b/>
          <w:color w:val="000000"/>
          <w:szCs w:val="24"/>
          <w:u w:color="000000"/>
          <w:bdr w:val="nil"/>
        </w:rPr>
        <w:t>References</w:t>
      </w:r>
    </w:p>
    <w:p w:rsidRPr="00EB6281" w:rsidR="00257DA1" w:rsidP="00257DA1" w:rsidRDefault="00257DA1" w14:paraId="7E8D396C" w14:textId="77777777">
      <w:pPr>
        <w:rPr>
          <w:rFonts w:ascii="Times New Roman" w:hAnsi="Times New Roman" w:cs="Times New Roman"/>
        </w:rPr>
      </w:pPr>
    </w:p>
    <w:p w:rsidRPr="009D7398" w:rsidR="00257DA1" w:rsidP="00257DA1" w:rsidRDefault="00257DA1" w14:paraId="0AE0F201" w14:textId="77777777">
      <w:pPr>
        <w:pStyle w:val="Bibliography"/>
        <w:spacing w:after="120" w:line="240" w:lineRule="auto"/>
        <w:rPr>
          <w:rFonts w:ascii="Times New Roman" w:hAnsi="Times New Roman" w:cs="Times New Roman"/>
        </w:rPr>
      </w:pPr>
      <w:r>
        <w:rPr>
          <w:color w:val="2B579A"/>
          <w:shd w:val="clear" w:color="auto" w:fill="E6E6E6"/>
        </w:rPr>
        <w:fldChar w:fldCharType="begin"/>
      </w:r>
      <w:r>
        <w:instrText xml:space="preserve"> ADDIN ZOTERO_BIBL {"uncited":[],"omitted":[],"custom":[]} CSL_BIBLIOGRAPHY </w:instrText>
      </w:r>
      <w:r>
        <w:rPr>
          <w:color w:val="2B579A"/>
          <w:shd w:val="clear" w:color="auto" w:fill="E6E6E6"/>
        </w:rPr>
        <w:fldChar w:fldCharType="separate"/>
      </w:r>
      <w:r w:rsidRPr="009D7398">
        <w:rPr>
          <w:rFonts w:ascii="Times New Roman" w:hAnsi="Times New Roman" w:cs="Times New Roman"/>
        </w:rPr>
        <w:t xml:space="preserve">Booker, C., Harding, S., &amp; Benzeval, M. (2011). </w:t>
      </w:r>
      <w:r w:rsidRPr="009D7398">
        <w:rPr>
          <w:rFonts w:ascii="Times New Roman" w:hAnsi="Times New Roman" w:cs="Times New Roman"/>
          <w:i/>
          <w:iCs/>
        </w:rPr>
        <w:t>A systematic review of the effect of retention methods in population-based cohort studies | BMC Public Health | Full Text</w:t>
      </w:r>
      <w:r w:rsidRPr="009D7398">
        <w:rPr>
          <w:rFonts w:ascii="Times New Roman" w:hAnsi="Times New Roman" w:cs="Times New Roman"/>
        </w:rPr>
        <w:t>. https://bmcpublichealth.biomedcentral.com/articles/10.1186/1471-2458-11-249</w:t>
      </w:r>
    </w:p>
    <w:p w:rsidRPr="009D7398" w:rsidR="00257DA1" w:rsidP="00257DA1" w:rsidRDefault="00257DA1" w14:paraId="72B0B6F3" w14:textId="77777777">
      <w:pPr>
        <w:pStyle w:val="Bibliography"/>
        <w:spacing w:after="120" w:line="240" w:lineRule="auto"/>
        <w:rPr>
          <w:rFonts w:ascii="Times New Roman" w:hAnsi="Times New Roman" w:cs="Times New Roman"/>
        </w:rPr>
      </w:pPr>
      <w:r w:rsidRPr="009D7398">
        <w:rPr>
          <w:rFonts w:ascii="Times New Roman" w:hAnsi="Times New Roman" w:cs="Times New Roman"/>
        </w:rPr>
        <w:lastRenderedPageBreak/>
        <w:t xml:space="preserve">Caldwell, P., Hamilton, S., Tan, A., &amp; Craig, J. (2010). </w:t>
      </w:r>
      <w:r w:rsidRPr="009D7398">
        <w:rPr>
          <w:rFonts w:ascii="Times New Roman" w:hAnsi="Times New Roman" w:cs="Times New Roman"/>
          <w:i/>
          <w:iCs/>
        </w:rPr>
        <w:t>Strategies for Increasing Recruitment to Randomised Controlled Trials: Systematic Review</w:t>
      </w:r>
      <w:r w:rsidRPr="009D7398">
        <w:rPr>
          <w:rFonts w:ascii="Times New Roman" w:hAnsi="Times New Roman" w:cs="Times New Roman"/>
        </w:rPr>
        <w:t>. https://journals.plos.org/plosmedicine/article?id=10.1371/journal.pmed.1000368</w:t>
      </w:r>
    </w:p>
    <w:p w:rsidRPr="009D7398" w:rsidR="00257DA1" w:rsidP="00257DA1" w:rsidRDefault="00257DA1" w14:paraId="1C4DE6A4"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Creamer, M. R., Wang, T., Babb, S., &amp; Cullen, K. (2019). Tobacco Product Use and Cessation Indicators Among Adults—United States, 2018. </w:t>
      </w:r>
      <w:r w:rsidRPr="009D7398">
        <w:rPr>
          <w:rFonts w:ascii="Times New Roman" w:hAnsi="Times New Roman" w:cs="Times New Roman"/>
          <w:i/>
          <w:iCs/>
        </w:rPr>
        <w:t>MMWR. Morbidity and Mortality Weekly Report</w:t>
      </w:r>
      <w:r w:rsidRPr="009D7398">
        <w:rPr>
          <w:rFonts w:ascii="Times New Roman" w:hAnsi="Times New Roman" w:cs="Times New Roman"/>
        </w:rPr>
        <w:t xml:space="preserve">, </w:t>
      </w:r>
      <w:r w:rsidRPr="009D7398">
        <w:rPr>
          <w:rFonts w:ascii="Times New Roman" w:hAnsi="Times New Roman" w:cs="Times New Roman"/>
          <w:i/>
          <w:iCs/>
        </w:rPr>
        <w:t>68</w:t>
      </w:r>
      <w:r w:rsidRPr="009D7398">
        <w:rPr>
          <w:rFonts w:ascii="Times New Roman" w:hAnsi="Times New Roman" w:cs="Times New Roman"/>
        </w:rPr>
        <w:t>. https://doi.org/10.15585/mmwr.mm6845a2</w:t>
      </w:r>
    </w:p>
    <w:p w:rsidRPr="009D7398" w:rsidR="00257DA1" w:rsidP="00257DA1" w:rsidRDefault="00257DA1" w14:paraId="7395E3AA"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Hooven, C., Walsh, E., Willgerodt, M., &amp; Salazar, A. (2011). </w:t>
      </w:r>
      <w:r w:rsidRPr="009D7398">
        <w:rPr>
          <w:rFonts w:ascii="Times New Roman" w:hAnsi="Times New Roman" w:cs="Times New Roman"/>
          <w:i/>
          <w:iCs/>
        </w:rPr>
        <w:t>Increasing Participation in Prevention Research: Strategies for Youth, Parents and Schools</w:t>
      </w:r>
      <w:r w:rsidRPr="009D7398">
        <w:rPr>
          <w:rFonts w:ascii="Times New Roman" w:hAnsi="Times New Roman" w:cs="Times New Roman"/>
        </w:rPr>
        <w:t>. https://www.ncbi.nlm.nih.gov/pmc/articles/PMC3546549/</w:t>
      </w:r>
    </w:p>
    <w:p w:rsidRPr="009D7398" w:rsidR="00257DA1" w:rsidP="00257DA1" w:rsidRDefault="00257DA1" w14:paraId="584BE0ED"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Largent, E. A., &amp; Fernandez Lynch, H. (2017). Paying Research Participants: Regulatory Uncertainty, Conceptual Confusion, and a Path Forward. </w:t>
      </w:r>
      <w:r w:rsidRPr="009D7398">
        <w:rPr>
          <w:rFonts w:ascii="Times New Roman" w:hAnsi="Times New Roman" w:cs="Times New Roman"/>
          <w:i/>
          <w:iCs/>
        </w:rPr>
        <w:t>Yale Journal of Health Policy, Law, and Ethics</w:t>
      </w:r>
      <w:r w:rsidRPr="009D7398">
        <w:rPr>
          <w:rFonts w:ascii="Times New Roman" w:hAnsi="Times New Roman" w:cs="Times New Roman"/>
        </w:rPr>
        <w:t xml:space="preserve">, </w:t>
      </w:r>
      <w:r w:rsidRPr="009D7398">
        <w:rPr>
          <w:rFonts w:ascii="Times New Roman" w:hAnsi="Times New Roman" w:cs="Times New Roman"/>
          <w:i/>
          <w:iCs/>
        </w:rPr>
        <w:t>17</w:t>
      </w:r>
      <w:r w:rsidRPr="009D7398">
        <w:rPr>
          <w:rFonts w:ascii="Times New Roman" w:hAnsi="Times New Roman" w:cs="Times New Roman"/>
        </w:rPr>
        <w:t>(1), 61–141.</w:t>
      </w:r>
    </w:p>
    <w:p w:rsidRPr="009D7398" w:rsidR="00257DA1" w:rsidP="00257DA1" w:rsidRDefault="00257DA1" w14:paraId="210AB74B"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Martinson, B. C., Lazovich, D., Lando, H. A., Perry, C. L., McGovern, P. G., &amp; Boyle, R. G. (2000). Effectiveness of monetary incentives for recruiting adolescents to an intervention trial to reduce smoking. </w:t>
      </w:r>
      <w:r w:rsidRPr="009D7398">
        <w:rPr>
          <w:rFonts w:ascii="Times New Roman" w:hAnsi="Times New Roman" w:cs="Times New Roman"/>
          <w:i/>
          <w:iCs/>
        </w:rPr>
        <w:t>Preventive Medicine</w:t>
      </w:r>
      <w:r w:rsidRPr="009D7398">
        <w:rPr>
          <w:rFonts w:ascii="Times New Roman" w:hAnsi="Times New Roman" w:cs="Times New Roman"/>
        </w:rPr>
        <w:t xml:space="preserve">, </w:t>
      </w:r>
      <w:r w:rsidRPr="009D7398">
        <w:rPr>
          <w:rFonts w:ascii="Times New Roman" w:hAnsi="Times New Roman" w:cs="Times New Roman"/>
          <w:i/>
          <w:iCs/>
        </w:rPr>
        <w:t>31</w:t>
      </w:r>
      <w:r w:rsidRPr="009D7398">
        <w:rPr>
          <w:rFonts w:ascii="Times New Roman" w:hAnsi="Times New Roman" w:cs="Times New Roman"/>
        </w:rPr>
        <w:t>(6), 706–713. https://doi.org/10.1006/pmed.2000.0762</w:t>
      </w:r>
    </w:p>
    <w:p w:rsidRPr="009D7398" w:rsidR="00257DA1" w:rsidP="00257DA1" w:rsidRDefault="00257DA1" w14:paraId="33267EE8"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Murthy, V. H., Krumholz, H. M., &amp; Gross, C. P. (2004). Participation in cancer clinical trials: Race-, sex-, and age-based disparities. </w:t>
      </w:r>
      <w:r w:rsidRPr="009D7398">
        <w:rPr>
          <w:rFonts w:ascii="Times New Roman" w:hAnsi="Times New Roman" w:cs="Times New Roman"/>
          <w:i/>
          <w:iCs/>
        </w:rPr>
        <w:t>JAMA</w:t>
      </w:r>
      <w:r w:rsidRPr="009D7398">
        <w:rPr>
          <w:rFonts w:ascii="Times New Roman" w:hAnsi="Times New Roman" w:cs="Times New Roman"/>
        </w:rPr>
        <w:t xml:space="preserve">, </w:t>
      </w:r>
      <w:r w:rsidRPr="009D7398">
        <w:rPr>
          <w:rFonts w:ascii="Times New Roman" w:hAnsi="Times New Roman" w:cs="Times New Roman"/>
          <w:i/>
          <w:iCs/>
        </w:rPr>
        <w:t>291</w:t>
      </w:r>
      <w:r w:rsidRPr="009D7398">
        <w:rPr>
          <w:rFonts w:ascii="Times New Roman" w:hAnsi="Times New Roman" w:cs="Times New Roman"/>
        </w:rPr>
        <w:t>(22), 2720–2726. https://doi.org/10.1001/jama.291.22.2720</w:t>
      </w:r>
    </w:p>
    <w:p w:rsidRPr="009D7398" w:rsidR="00257DA1" w:rsidP="00257DA1" w:rsidRDefault="00257DA1" w14:paraId="66DF48C5"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Post, A., Gilljam, H., Bremberg, S., &amp; Galanti, M. R. (2012). Psychosocial determinants of attrition in a longitudinal study of tobacco use in youth. </w:t>
      </w:r>
      <w:r w:rsidRPr="009D7398">
        <w:rPr>
          <w:rFonts w:ascii="Times New Roman" w:hAnsi="Times New Roman" w:cs="Times New Roman"/>
          <w:i/>
          <w:iCs/>
        </w:rPr>
        <w:t>TheScientificWorldJournal</w:t>
      </w:r>
      <w:r w:rsidRPr="009D7398">
        <w:rPr>
          <w:rFonts w:ascii="Times New Roman" w:hAnsi="Times New Roman" w:cs="Times New Roman"/>
        </w:rPr>
        <w:t xml:space="preserve">, </w:t>
      </w:r>
      <w:r w:rsidRPr="009D7398">
        <w:rPr>
          <w:rFonts w:ascii="Times New Roman" w:hAnsi="Times New Roman" w:cs="Times New Roman"/>
          <w:i/>
          <w:iCs/>
        </w:rPr>
        <w:t>2012</w:t>
      </w:r>
      <w:r w:rsidRPr="009D7398">
        <w:rPr>
          <w:rFonts w:ascii="Times New Roman" w:hAnsi="Times New Roman" w:cs="Times New Roman"/>
        </w:rPr>
        <w:t>, 654030. https://doi.org/10.1100/2012/654030</w:t>
      </w:r>
    </w:p>
    <w:p w:rsidRPr="009D7398" w:rsidR="00257DA1" w:rsidP="00257DA1" w:rsidRDefault="00257DA1" w14:paraId="1EF79A24"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Resnik, D. B. (2015). Bioethical Issues in Providing Financial Incentives to Research Participants. </w:t>
      </w:r>
      <w:r w:rsidRPr="009D7398">
        <w:rPr>
          <w:rFonts w:ascii="Times New Roman" w:hAnsi="Times New Roman" w:cs="Times New Roman"/>
          <w:i/>
          <w:iCs/>
        </w:rPr>
        <w:t>Medicolegal and Bioethics</w:t>
      </w:r>
      <w:r w:rsidRPr="009D7398">
        <w:rPr>
          <w:rFonts w:ascii="Times New Roman" w:hAnsi="Times New Roman" w:cs="Times New Roman"/>
        </w:rPr>
        <w:t xml:space="preserve">, </w:t>
      </w:r>
      <w:r w:rsidRPr="009D7398">
        <w:rPr>
          <w:rFonts w:ascii="Times New Roman" w:hAnsi="Times New Roman" w:cs="Times New Roman"/>
          <w:i/>
          <w:iCs/>
        </w:rPr>
        <w:t>5</w:t>
      </w:r>
      <w:r w:rsidRPr="009D7398">
        <w:rPr>
          <w:rFonts w:ascii="Times New Roman" w:hAnsi="Times New Roman" w:cs="Times New Roman"/>
        </w:rPr>
        <w:t>, 35–41. https://doi.org/10.2147/MB.S70416</w:t>
      </w:r>
    </w:p>
    <w:p w:rsidRPr="009D7398" w:rsidR="00257DA1" w:rsidP="00257DA1" w:rsidRDefault="00257DA1" w14:paraId="1BE11220"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Siddiqui, O., Flay, B. R., &amp; Hu, F. B. (1996). Factors affecting attrition in a longitudinal smoking prevention study. </w:t>
      </w:r>
      <w:r w:rsidRPr="009D7398">
        <w:rPr>
          <w:rFonts w:ascii="Times New Roman" w:hAnsi="Times New Roman" w:cs="Times New Roman"/>
          <w:i/>
          <w:iCs/>
        </w:rPr>
        <w:t>Preventive Medicine: An International Journal Devoted to Practice and Theory</w:t>
      </w:r>
      <w:r w:rsidRPr="009D7398">
        <w:rPr>
          <w:rFonts w:ascii="Times New Roman" w:hAnsi="Times New Roman" w:cs="Times New Roman"/>
        </w:rPr>
        <w:t xml:space="preserve">, </w:t>
      </w:r>
      <w:r w:rsidRPr="009D7398">
        <w:rPr>
          <w:rFonts w:ascii="Times New Roman" w:hAnsi="Times New Roman" w:cs="Times New Roman"/>
          <w:i/>
          <w:iCs/>
        </w:rPr>
        <w:t>25</w:t>
      </w:r>
      <w:r w:rsidRPr="009D7398">
        <w:rPr>
          <w:rFonts w:ascii="Times New Roman" w:hAnsi="Times New Roman" w:cs="Times New Roman"/>
        </w:rPr>
        <w:t>(5), 554–560. https://doi.org/10.1006/pmed.1996.0089</w:t>
      </w:r>
    </w:p>
    <w:p w:rsidRPr="009D7398" w:rsidR="00257DA1" w:rsidP="00257DA1" w:rsidRDefault="00257DA1" w14:paraId="24810E33"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Singer, E. (2002). </w:t>
      </w:r>
      <w:r w:rsidRPr="009D7398">
        <w:rPr>
          <w:rFonts w:ascii="Times New Roman" w:hAnsi="Times New Roman" w:cs="Times New Roman"/>
          <w:i/>
          <w:iCs/>
        </w:rPr>
        <w:t>The use of incentives to reduce nonresponse household surveys—WebSM</w:t>
      </w:r>
      <w:r w:rsidRPr="009D7398">
        <w:rPr>
          <w:rFonts w:ascii="Times New Roman" w:hAnsi="Times New Roman" w:cs="Times New Roman"/>
        </w:rPr>
        <w:t>. http://www.websm.org/db/12/15616/Web%20Survey%20Bibliography/The_use_of_incentives_to_reduce_nonresponse_household_surveys/</w:t>
      </w:r>
    </w:p>
    <w:p w:rsidRPr="009D7398" w:rsidR="00257DA1" w:rsidP="00257DA1" w:rsidRDefault="00257DA1" w14:paraId="060A7354"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Walter, J. K., Burke, J. F., &amp; Davis, M. M. (2013). Research Participation by Low‐Income and Racial/Ethnic Minority Groups: How Payment May Change the Balance. </w:t>
      </w:r>
      <w:r w:rsidRPr="009D7398">
        <w:rPr>
          <w:rFonts w:ascii="Times New Roman" w:hAnsi="Times New Roman" w:cs="Times New Roman"/>
          <w:i/>
          <w:iCs/>
        </w:rPr>
        <w:t>Clinical and Translational Science</w:t>
      </w:r>
      <w:r w:rsidRPr="009D7398">
        <w:rPr>
          <w:rFonts w:ascii="Times New Roman" w:hAnsi="Times New Roman" w:cs="Times New Roman"/>
        </w:rPr>
        <w:t xml:space="preserve">, </w:t>
      </w:r>
      <w:r w:rsidRPr="009D7398">
        <w:rPr>
          <w:rFonts w:ascii="Times New Roman" w:hAnsi="Times New Roman" w:cs="Times New Roman"/>
          <w:i/>
          <w:iCs/>
        </w:rPr>
        <w:t>6</w:t>
      </w:r>
      <w:r w:rsidRPr="009D7398">
        <w:rPr>
          <w:rFonts w:ascii="Times New Roman" w:hAnsi="Times New Roman" w:cs="Times New Roman"/>
        </w:rPr>
        <w:t>(5), 363–371. https://doi.org/10.1111/cts.12084</w:t>
      </w:r>
    </w:p>
    <w:p w:rsidRPr="009D7398" w:rsidR="00257DA1" w:rsidP="00257DA1" w:rsidRDefault="00257DA1" w14:paraId="59F704DA"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Wang, T., Gentzke, A., Creamer, M., Cullen, K., Holder-Hayes, E., &amp; Sawdey, M. (2019). Tobacco Product Use and Associated Factors Among Middle and High School Students—United States, 2019. </w:t>
      </w:r>
      <w:r w:rsidRPr="009D7398">
        <w:rPr>
          <w:rFonts w:ascii="Times New Roman" w:hAnsi="Times New Roman" w:cs="Times New Roman"/>
          <w:i/>
          <w:iCs/>
        </w:rPr>
        <w:t>MMWR. Surveillance Summaries</w:t>
      </w:r>
      <w:r w:rsidRPr="009D7398">
        <w:rPr>
          <w:rFonts w:ascii="Times New Roman" w:hAnsi="Times New Roman" w:cs="Times New Roman"/>
        </w:rPr>
        <w:t xml:space="preserve">, </w:t>
      </w:r>
      <w:r w:rsidRPr="009D7398">
        <w:rPr>
          <w:rFonts w:ascii="Times New Roman" w:hAnsi="Times New Roman" w:cs="Times New Roman"/>
          <w:i/>
          <w:iCs/>
        </w:rPr>
        <w:t>68</w:t>
      </w:r>
      <w:r w:rsidRPr="009D7398">
        <w:rPr>
          <w:rFonts w:ascii="Times New Roman" w:hAnsi="Times New Roman" w:cs="Times New Roman"/>
        </w:rPr>
        <w:t>. https://doi.org/10.15585/mmwr.ss6812a1</w:t>
      </w:r>
    </w:p>
    <w:p w:rsidRPr="009D7398" w:rsidR="00257DA1" w:rsidP="00257DA1" w:rsidRDefault="00257DA1" w14:paraId="748206E5" w14:textId="77777777">
      <w:pPr>
        <w:pStyle w:val="Bibliography"/>
        <w:spacing w:after="120" w:line="240" w:lineRule="auto"/>
        <w:rPr>
          <w:rFonts w:ascii="Times New Roman" w:hAnsi="Times New Roman" w:cs="Times New Roman"/>
        </w:rPr>
      </w:pPr>
      <w:r w:rsidRPr="009D7398">
        <w:rPr>
          <w:rFonts w:ascii="Times New Roman" w:hAnsi="Times New Roman" w:cs="Times New Roman"/>
        </w:rPr>
        <w:t xml:space="preserve">Zand, D., Thomson, N., Budan, M., &amp; Braun, J. (2006). </w:t>
      </w:r>
      <w:r w:rsidRPr="009D7398">
        <w:rPr>
          <w:rFonts w:ascii="Times New Roman" w:hAnsi="Times New Roman" w:cs="Times New Roman"/>
          <w:i/>
          <w:iCs/>
        </w:rPr>
        <w:t>Predictors of Retention in an Alcohol, Tobacco, and Other Drug Prevention Study—Debra Zand, Nicole Renick Thomson, Mary Dugan, James A. Braun, Pat Holterman-Hommes, Patricia L. Hunter, 2006</w:t>
      </w:r>
      <w:r w:rsidRPr="009D7398">
        <w:rPr>
          <w:rFonts w:ascii="Times New Roman" w:hAnsi="Times New Roman" w:cs="Times New Roman"/>
        </w:rPr>
        <w:t>. https://journals.sagepub.com/doi/10.1177/0193841X05281160</w:t>
      </w:r>
    </w:p>
    <w:p w:rsidR="00F3750D" w:rsidP="00257DA1" w:rsidRDefault="00257DA1" w14:paraId="63235150" w14:textId="3B4F6804">
      <w:r>
        <w:rPr>
          <w:rFonts w:ascii="Times New Roman" w:hAnsi="Times New Roman" w:cs="Times New Roman"/>
          <w:color w:val="2B579A"/>
          <w:shd w:val="clear" w:color="auto" w:fill="E6E6E6"/>
        </w:rPr>
        <w:lastRenderedPageBreak/>
        <w:fldChar w:fldCharType="end"/>
      </w:r>
    </w:p>
    <w:sectPr w:rsidR="00F3750D" w:rsidSect="00F3750D">
      <w:footerReference w:type="default" r:id="rId11"/>
      <w:footerReference w:type="first" r:id="rId12"/>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02AE" w14:textId="77777777" w:rsidR="008F45B0" w:rsidRDefault="008F45B0" w:rsidP="00E9252F">
      <w:r>
        <w:separator/>
      </w:r>
    </w:p>
  </w:endnote>
  <w:endnote w:type="continuationSeparator" w:id="0">
    <w:p w14:paraId="311699ED" w14:textId="77777777" w:rsidR="008F45B0" w:rsidRDefault="008F45B0" w:rsidP="00E9252F">
      <w:r>
        <w:continuationSeparator/>
      </w:r>
    </w:p>
  </w:endnote>
  <w:endnote w:type="continuationNotice" w:id="1">
    <w:p w14:paraId="0B29A884" w14:textId="77777777" w:rsidR="008F45B0" w:rsidRDefault="008F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STFangsong">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142346"/>
      <w:docPartObj>
        <w:docPartGallery w:val="Page Numbers (Bottom of Page)"/>
        <w:docPartUnique/>
      </w:docPartObj>
    </w:sdtPr>
    <w:sdtEndPr>
      <w:rPr>
        <w:rFonts w:ascii="Times New Roman" w:hAnsi="Times New Roman" w:cs="Times New Roman"/>
        <w:noProof/>
      </w:rPr>
    </w:sdtEndPr>
    <w:sdtContent>
      <w:p w14:paraId="3121D505" w14:textId="6633EB9E" w:rsidR="00B24F13" w:rsidRPr="00B24F13" w:rsidRDefault="00B24F13">
        <w:pPr>
          <w:pStyle w:val="Footer"/>
          <w:jc w:val="right"/>
          <w:rPr>
            <w:rFonts w:ascii="Times New Roman" w:hAnsi="Times New Roman" w:cs="Times New Roman"/>
          </w:rPr>
        </w:pPr>
        <w:r w:rsidRPr="00B24F13">
          <w:rPr>
            <w:rFonts w:ascii="Times New Roman" w:hAnsi="Times New Roman" w:cs="Times New Roman"/>
          </w:rPr>
          <w:fldChar w:fldCharType="begin"/>
        </w:r>
        <w:r w:rsidRPr="00B24F13">
          <w:rPr>
            <w:rFonts w:ascii="Times New Roman" w:hAnsi="Times New Roman" w:cs="Times New Roman"/>
          </w:rPr>
          <w:instrText xml:space="preserve"> PAGE   \* MERGEFORMAT </w:instrText>
        </w:r>
        <w:r w:rsidRPr="00B24F13">
          <w:rPr>
            <w:rFonts w:ascii="Times New Roman" w:hAnsi="Times New Roman" w:cs="Times New Roman"/>
          </w:rPr>
          <w:fldChar w:fldCharType="separate"/>
        </w:r>
        <w:r w:rsidRPr="00B24F13">
          <w:rPr>
            <w:rFonts w:ascii="Times New Roman" w:hAnsi="Times New Roman" w:cs="Times New Roman"/>
            <w:noProof/>
          </w:rPr>
          <w:t>2</w:t>
        </w:r>
        <w:r w:rsidRPr="00B24F13">
          <w:rPr>
            <w:rFonts w:ascii="Times New Roman" w:hAnsi="Times New Roman" w:cs="Times New Roman"/>
            <w:noProof/>
          </w:rPr>
          <w:fldChar w:fldCharType="end"/>
        </w:r>
      </w:p>
    </w:sdtContent>
  </w:sdt>
  <w:p w14:paraId="4730C91B" w14:textId="77777777" w:rsidR="003A4C68" w:rsidRDefault="003A4C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7C9D" w14:textId="77777777" w:rsidR="003A4C68" w:rsidRPr="00B24F13" w:rsidRDefault="003A4C68">
    <w:pPr>
      <w:pStyle w:val="Footer"/>
      <w:jc w:val="right"/>
      <w:rPr>
        <w:rFonts w:ascii="Times New Roman" w:hAnsi="Times New Roman" w:cs="Times New Roman"/>
      </w:rPr>
    </w:pPr>
    <w:r w:rsidRPr="00B24F13">
      <w:rPr>
        <w:rFonts w:ascii="Times New Roman" w:hAnsi="Times New Roman" w:cs="Times New Roman"/>
        <w:shd w:val="clear" w:color="auto" w:fill="E6E6E6"/>
      </w:rPr>
      <w:fldChar w:fldCharType="begin"/>
    </w:r>
    <w:r w:rsidRPr="00B24F13">
      <w:rPr>
        <w:rFonts w:ascii="Times New Roman" w:hAnsi="Times New Roman" w:cs="Times New Roman"/>
      </w:rPr>
      <w:instrText xml:space="preserve"> PAGE   \* MERGEFORMAT </w:instrText>
    </w:r>
    <w:r w:rsidRPr="00B24F13">
      <w:rPr>
        <w:rFonts w:ascii="Times New Roman" w:hAnsi="Times New Roman" w:cs="Times New Roman"/>
        <w:shd w:val="clear" w:color="auto" w:fill="E6E6E6"/>
      </w:rPr>
      <w:fldChar w:fldCharType="separate"/>
    </w:r>
    <w:r w:rsidRPr="00B24F13">
      <w:rPr>
        <w:rFonts w:ascii="Times New Roman" w:hAnsi="Times New Roman" w:cs="Times New Roman"/>
        <w:noProof/>
      </w:rPr>
      <w:t>1</w:t>
    </w:r>
    <w:r w:rsidRPr="00B24F13">
      <w:rPr>
        <w:rFonts w:ascii="Times New Roman" w:hAnsi="Times New Roman" w:cs="Times New Roman"/>
        <w:noProof/>
        <w:shd w:val="clear" w:color="auto" w:fill="E6E6E6"/>
      </w:rPr>
      <w:fldChar w:fldCharType="end"/>
    </w:r>
  </w:p>
  <w:p w14:paraId="78E17664" w14:textId="77777777" w:rsidR="003A4C68" w:rsidRPr="00C361E3" w:rsidRDefault="003A4C68">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4E5B" w14:textId="77777777" w:rsidR="008F45B0" w:rsidRDefault="008F45B0" w:rsidP="00E9252F">
      <w:r>
        <w:separator/>
      </w:r>
    </w:p>
  </w:footnote>
  <w:footnote w:type="continuationSeparator" w:id="0">
    <w:p w14:paraId="021171F4" w14:textId="77777777" w:rsidR="008F45B0" w:rsidRDefault="008F45B0" w:rsidP="00E9252F">
      <w:r>
        <w:continuationSeparator/>
      </w:r>
    </w:p>
  </w:footnote>
  <w:footnote w:type="continuationNotice" w:id="1">
    <w:p w14:paraId="1BB1F7A0" w14:textId="77777777" w:rsidR="008F45B0" w:rsidRDefault="008F4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F66"/>
    <w:multiLevelType w:val="hybridMultilevel"/>
    <w:tmpl w:val="F26C9D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D0738"/>
    <w:multiLevelType w:val="hybridMultilevel"/>
    <w:tmpl w:val="4ED24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428CE"/>
    <w:multiLevelType w:val="hybridMultilevel"/>
    <w:tmpl w:val="FC366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54D6F"/>
    <w:multiLevelType w:val="hybridMultilevel"/>
    <w:tmpl w:val="D3A64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130B5"/>
    <w:multiLevelType w:val="hybridMultilevel"/>
    <w:tmpl w:val="92BA6E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61E2F2E"/>
    <w:multiLevelType w:val="hybridMultilevel"/>
    <w:tmpl w:val="43DE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B68CA"/>
    <w:multiLevelType w:val="hybridMultilevel"/>
    <w:tmpl w:val="A162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E6D8E"/>
    <w:multiLevelType w:val="hybridMultilevel"/>
    <w:tmpl w:val="472CEF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2ED0FCD"/>
    <w:multiLevelType w:val="hybridMultilevel"/>
    <w:tmpl w:val="C422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E1C64"/>
    <w:multiLevelType w:val="hybridMultilevel"/>
    <w:tmpl w:val="BD7E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80B57"/>
    <w:multiLevelType w:val="hybridMultilevel"/>
    <w:tmpl w:val="99607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4445C"/>
    <w:multiLevelType w:val="hybridMultilevel"/>
    <w:tmpl w:val="986E5B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AF3879"/>
    <w:multiLevelType w:val="hybridMultilevel"/>
    <w:tmpl w:val="4DAE7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99D09AB"/>
    <w:multiLevelType w:val="multilevel"/>
    <w:tmpl w:val="D548D0F8"/>
    <w:lvl w:ilvl="0">
      <w:start w:val="1"/>
      <w:numFmt w:val="decimal"/>
      <w:lvlText w:val="%1."/>
      <w:lvlJc w:val="left"/>
      <w:pPr>
        <w:tabs>
          <w:tab w:val="num" w:pos="360"/>
        </w:tabs>
        <w:ind w:left="36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503BF"/>
    <w:multiLevelType w:val="hybridMultilevel"/>
    <w:tmpl w:val="C99E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04860"/>
    <w:multiLevelType w:val="hybridMultilevel"/>
    <w:tmpl w:val="80DC1E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D157F59"/>
    <w:multiLevelType w:val="hybridMultilevel"/>
    <w:tmpl w:val="B7CCAC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B530A"/>
    <w:multiLevelType w:val="hybridMultilevel"/>
    <w:tmpl w:val="D20230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E0673B5"/>
    <w:multiLevelType w:val="hybridMultilevel"/>
    <w:tmpl w:val="603E92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F82002F"/>
    <w:multiLevelType w:val="hybridMultilevel"/>
    <w:tmpl w:val="703ABA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2E82A9C"/>
    <w:multiLevelType w:val="hybridMultilevel"/>
    <w:tmpl w:val="C6CE7E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F15C44"/>
    <w:multiLevelType w:val="hybridMultilevel"/>
    <w:tmpl w:val="B93255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0960B5C"/>
    <w:multiLevelType w:val="hybridMultilevel"/>
    <w:tmpl w:val="F75E6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13258B4"/>
    <w:multiLevelType w:val="hybridMultilevel"/>
    <w:tmpl w:val="90EEA7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7CE5904"/>
    <w:multiLevelType w:val="hybridMultilevel"/>
    <w:tmpl w:val="FFFC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C5A7D"/>
    <w:multiLevelType w:val="hybridMultilevel"/>
    <w:tmpl w:val="69488D10"/>
    <w:lvl w:ilvl="0" w:tplc="23364BD0">
      <w:start w:val="1"/>
      <w:numFmt w:val="bullet"/>
      <w:lvlText w:val=""/>
      <w:lvlJc w:val="left"/>
      <w:pPr>
        <w:ind w:left="720" w:hanging="360"/>
      </w:pPr>
      <w:rPr>
        <w:rFonts w:ascii="Symbol" w:hAnsi="Symbol" w:hint="default"/>
      </w:rPr>
    </w:lvl>
    <w:lvl w:ilvl="1" w:tplc="CDCEE74E">
      <w:start w:val="1"/>
      <w:numFmt w:val="bullet"/>
      <w:lvlText w:val="o"/>
      <w:lvlJc w:val="left"/>
      <w:pPr>
        <w:ind w:left="1440" w:hanging="360"/>
      </w:pPr>
      <w:rPr>
        <w:rFonts w:ascii="Courier New" w:hAnsi="Courier New" w:hint="default"/>
      </w:rPr>
    </w:lvl>
    <w:lvl w:ilvl="2" w:tplc="221AC33E">
      <w:start w:val="1"/>
      <w:numFmt w:val="bullet"/>
      <w:lvlText w:val=""/>
      <w:lvlJc w:val="left"/>
      <w:pPr>
        <w:ind w:left="2160" w:hanging="360"/>
      </w:pPr>
      <w:rPr>
        <w:rFonts w:ascii="Wingdings" w:hAnsi="Wingdings" w:hint="default"/>
      </w:rPr>
    </w:lvl>
    <w:lvl w:ilvl="3" w:tplc="A18C1B64">
      <w:start w:val="1"/>
      <w:numFmt w:val="bullet"/>
      <w:lvlText w:val=""/>
      <w:lvlJc w:val="left"/>
      <w:pPr>
        <w:ind w:left="2880" w:hanging="360"/>
      </w:pPr>
      <w:rPr>
        <w:rFonts w:ascii="Symbol" w:hAnsi="Symbol" w:hint="default"/>
      </w:rPr>
    </w:lvl>
    <w:lvl w:ilvl="4" w:tplc="4720E218">
      <w:start w:val="1"/>
      <w:numFmt w:val="bullet"/>
      <w:lvlText w:val="o"/>
      <w:lvlJc w:val="left"/>
      <w:pPr>
        <w:ind w:left="3600" w:hanging="360"/>
      </w:pPr>
      <w:rPr>
        <w:rFonts w:ascii="Courier New" w:hAnsi="Courier New" w:hint="default"/>
      </w:rPr>
    </w:lvl>
    <w:lvl w:ilvl="5" w:tplc="5472FD1E">
      <w:start w:val="1"/>
      <w:numFmt w:val="bullet"/>
      <w:lvlText w:val=""/>
      <w:lvlJc w:val="left"/>
      <w:pPr>
        <w:ind w:left="4320" w:hanging="360"/>
      </w:pPr>
      <w:rPr>
        <w:rFonts w:ascii="Wingdings" w:hAnsi="Wingdings" w:hint="default"/>
      </w:rPr>
    </w:lvl>
    <w:lvl w:ilvl="6" w:tplc="2FD8B6B4">
      <w:start w:val="1"/>
      <w:numFmt w:val="bullet"/>
      <w:lvlText w:val=""/>
      <w:lvlJc w:val="left"/>
      <w:pPr>
        <w:ind w:left="5040" w:hanging="360"/>
      </w:pPr>
      <w:rPr>
        <w:rFonts w:ascii="Symbol" w:hAnsi="Symbol" w:hint="default"/>
      </w:rPr>
    </w:lvl>
    <w:lvl w:ilvl="7" w:tplc="C1E40386">
      <w:start w:val="1"/>
      <w:numFmt w:val="bullet"/>
      <w:lvlText w:val="o"/>
      <w:lvlJc w:val="left"/>
      <w:pPr>
        <w:ind w:left="5760" w:hanging="360"/>
      </w:pPr>
      <w:rPr>
        <w:rFonts w:ascii="Courier New" w:hAnsi="Courier New" w:hint="default"/>
      </w:rPr>
    </w:lvl>
    <w:lvl w:ilvl="8" w:tplc="91FCE0D6">
      <w:start w:val="1"/>
      <w:numFmt w:val="bullet"/>
      <w:lvlText w:val=""/>
      <w:lvlJc w:val="left"/>
      <w:pPr>
        <w:ind w:left="6480" w:hanging="360"/>
      </w:pPr>
      <w:rPr>
        <w:rFonts w:ascii="Wingdings" w:hAnsi="Wingdings" w:hint="default"/>
      </w:rPr>
    </w:lvl>
  </w:abstractNum>
  <w:abstractNum w:abstractNumId="32" w15:restartNumberingAfterBreak="0">
    <w:nsid w:val="7E63028A"/>
    <w:multiLevelType w:val="hybridMultilevel"/>
    <w:tmpl w:val="388A9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1"/>
  </w:num>
  <w:num w:numId="2">
    <w:abstractNumId w:val="24"/>
  </w:num>
  <w:num w:numId="3">
    <w:abstractNumId w:val="15"/>
  </w:num>
  <w:num w:numId="4">
    <w:abstractNumId w:val="12"/>
  </w:num>
  <w:num w:numId="5">
    <w:abstractNumId w:val="5"/>
  </w:num>
  <w:num w:numId="6">
    <w:abstractNumId w:val="27"/>
  </w:num>
  <w:num w:numId="7">
    <w:abstractNumId w:val="28"/>
  </w:num>
  <w:num w:numId="8">
    <w:abstractNumId w:val="23"/>
  </w:num>
  <w:num w:numId="9">
    <w:abstractNumId w:val="32"/>
  </w:num>
  <w:num w:numId="10">
    <w:abstractNumId w:val="8"/>
  </w:num>
  <w:num w:numId="11">
    <w:abstractNumId w:val="4"/>
  </w:num>
  <w:num w:numId="12">
    <w:abstractNumId w:val="22"/>
  </w:num>
  <w:num w:numId="13">
    <w:abstractNumId w:val="0"/>
  </w:num>
  <w:num w:numId="14">
    <w:abstractNumId w:val="29"/>
  </w:num>
  <w:num w:numId="15">
    <w:abstractNumId w:val="16"/>
  </w:num>
  <w:num w:numId="16">
    <w:abstractNumId w:val="19"/>
  </w:num>
  <w:num w:numId="17">
    <w:abstractNumId w:val="11"/>
  </w:num>
  <w:num w:numId="18">
    <w:abstractNumId w:val="25"/>
  </w:num>
  <w:num w:numId="19">
    <w:abstractNumId w:val="14"/>
  </w:num>
  <w:num w:numId="20">
    <w:abstractNumId w:val="2"/>
  </w:num>
  <w:num w:numId="21">
    <w:abstractNumId w:val="18"/>
  </w:num>
  <w:num w:numId="22">
    <w:abstractNumId w:val="21"/>
  </w:num>
  <w:num w:numId="23">
    <w:abstractNumId w:val="13"/>
  </w:num>
  <w:num w:numId="24">
    <w:abstractNumId w:val="20"/>
  </w:num>
  <w:num w:numId="25">
    <w:abstractNumId w:val="1"/>
  </w:num>
  <w:num w:numId="26">
    <w:abstractNumId w:val="6"/>
  </w:num>
  <w:num w:numId="27">
    <w:abstractNumId w:val="10"/>
  </w:num>
  <w:num w:numId="28">
    <w:abstractNumId w:val="7"/>
  </w:num>
  <w:num w:numId="29">
    <w:abstractNumId w:val="9"/>
  </w:num>
  <w:num w:numId="30">
    <w:abstractNumId w:val="17"/>
  </w:num>
  <w:num w:numId="31">
    <w:abstractNumId w:val="30"/>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B"/>
    <w:rsid w:val="000013BE"/>
    <w:rsid w:val="00001B8E"/>
    <w:rsid w:val="000036E7"/>
    <w:rsid w:val="00011EE3"/>
    <w:rsid w:val="00012742"/>
    <w:rsid w:val="00015D0B"/>
    <w:rsid w:val="00020734"/>
    <w:rsid w:val="0002113E"/>
    <w:rsid w:val="00023491"/>
    <w:rsid w:val="00023F60"/>
    <w:rsid w:val="0002515C"/>
    <w:rsid w:val="00025BEE"/>
    <w:rsid w:val="00026F69"/>
    <w:rsid w:val="000278F8"/>
    <w:rsid w:val="0003283B"/>
    <w:rsid w:val="00032F12"/>
    <w:rsid w:val="00033C9F"/>
    <w:rsid w:val="00040679"/>
    <w:rsid w:val="00044764"/>
    <w:rsid w:val="0004643A"/>
    <w:rsid w:val="000474CE"/>
    <w:rsid w:val="00047F68"/>
    <w:rsid w:val="00060E16"/>
    <w:rsid w:val="00065C01"/>
    <w:rsid w:val="00066E34"/>
    <w:rsid w:val="000675C5"/>
    <w:rsid w:val="00070B99"/>
    <w:rsid w:val="00073B0B"/>
    <w:rsid w:val="00074DCB"/>
    <w:rsid w:val="00076094"/>
    <w:rsid w:val="00076A23"/>
    <w:rsid w:val="00077B16"/>
    <w:rsid w:val="000814A4"/>
    <w:rsid w:val="00082A84"/>
    <w:rsid w:val="00085333"/>
    <w:rsid w:val="000873AA"/>
    <w:rsid w:val="00091895"/>
    <w:rsid w:val="00092432"/>
    <w:rsid w:val="000941DC"/>
    <w:rsid w:val="00095051"/>
    <w:rsid w:val="000A054D"/>
    <w:rsid w:val="000A3256"/>
    <w:rsid w:val="000A5D80"/>
    <w:rsid w:val="000A7ECE"/>
    <w:rsid w:val="000B41AB"/>
    <w:rsid w:val="000B775D"/>
    <w:rsid w:val="000C0A66"/>
    <w:rsid w:val="000C2A9B"/>
    <w:rsid w:val="000C66CD"/>
    <w:rsid w:val="000C6961"/>
    <w:rsid w:val="000C6D42"/>
    <w:rsid w:val="000D2F57"/>
    <w:rsid w:val="000D411F"/>
    <w:rsid w:val="000D4771"/>
    <w:rsid w:val="000D4DC0"/>
    <w:rsid w:val="000E034C"/>
    <w:rsid w:val="000E3693"/>
    <w:rsid w:val="000E4CF3"/>
    <w:rsid w:val="000E56C9"/>
    <w:rsid w:val="000F0744"/>
    <w:rsid w:val="000F139F"/>
    <w:rsid w:val="000F704D"/>
    <w:rsid w:val="001007E4"/>
    <w:rsid w:val="00101059"/>
    <w:rsid w:val="00102729"/>
    <w:rsid w:val="00107953"/>
    <w:rsid w:val="0011078B"/>
    <w:rsid w:val="00111F91"/>
    <w:rsid w:val="001124F6"/>
    <w:rsid w:val="00120EDD"/>
    <w:rsid w:val="00122407"/>
    <w:rsid w:val="00127749"/>
    <w:rsid w:val="00132A7A"/>
    <w:rsid w:val="00134DCE"/>
    <w:rsid w:val="001363C9"/>
    <w:rsid w:val="00136E4C"/>
    <w:rsid w:val="00143B66"/>
    <w:rsid w:val="00145878"/>
    <w:rsid w:val="00150BF4"/>
    <w:rsid w:val="00151C53"/>
    <w:rsid w:val="00153FD0"/>
    <w:rsid w:val="00154907"/>
    <w:rsid w:val="00155112"/>
    <w:rsid w:val="00160C58"/>
    <w:rsid w:val="00162146"/>
    <w:rsid w:val="001657B5"/>
    <w:rsid w:val="00170D27"/>
    <w:rsid w:val="001710BE"/>
    <w:rsid w:val="001721E9"/>
    <w:rsid w:val="00175A31"/>
    <w:rsid w:val="0017609F"/>
    <w:rsid w:val="00181C0D"/>
    <w:rsid w:val="00182D04"/>
    <w:rsid w:val="00183DCD"/>
    <w:rsid w:val="00185DBE"/>
    <w:rsid w:val="0018754B"/>
    <w:rsid w:val="00193625"/>
    <w:rsid w:val="00193B32"/>
    <w:rsid w:val="0019469E"/>
    <w:rsid w:val="00196B69"/>
    <w:rsid w:val="001A0AC4"/>
    <w:rsid w:val="001A0AD7"/>
    <w:rsid w:val="001A0B37"/>
    <w:rsid w:val="001A1EB5"/>
    <w:rsid w:val="001A253C"/>
    <w:rsid w:val="001A30C1"/>
    <w:rsid w:val="001A3C31"/>
    <w:rsid w:val="001A4B9D"/>
    <w:rsid w:val="001A5D4F"/>
    <w:rsid w:val="001A6649"/>
    <w:rsid w:val="001A6C34"/>
    <w:rsid w:val="001A7059"/>
    <w:rsid w:val="001A741D"/>
    <w:rsid w:val="001B0020"/>
    <w:rsid w:val="001B1939"/>
    <w:rsid w:val="001B46DD"/>
    <w:rsid w:val="001C34F8"/>
    <w:rsid w:val="001C7AEF"/>
    <w:rsid w:val="001D0BA4"/>
    <w:rsid w:val="001D1FEA"/>
    <w:rsid w:val="001D3031"/>
    <w:rsid w:val="001D58E4"/>
    <w:rsid w:val="001D7888"/>
    <w:rsid w:val="001E403E"/>
    <w:rsid w:val="001E6213"/>
    <w:rsid w:val="001E65BF"/>
    <w:rsid w:val="001E72E4"/>
    <w:rsid w:val="001F0CF5"/>
    <w:rsid w:val="001F44E5"/>
    <w:rsid w:val="001F7840"/>
    <w:rsid w:val="00200BDF"/>
    <w:rsid w:val="00201680"/>
    <w:rsid w:val="0020465D"/>
    <w:rsid w:val="00205AAB"/>
    <w:rsid w:val="00215E19"/>
    <w:rsid w:val="0021652A"/>
    <w:rsid w:val="002234B4"/>
    <w:rsid w:val="00227B2B"/>
    <w:rsid w:val="0023052C"/>
    <w:rsid w:val="002329D0"/>
    <w:rsid w:val="00233374"/>
    <w:rsid w:val="00236C42"/>
    <w:rsid w:val="00240799"/>
    <w:rsid w:val="00240BE5"/>
    <w:rsid w:val="002462E5"/>
    <w:rsid w:val="0024771E"/>
    <w:rsid w:val="002479F7"/>
    <w:rsid w:val="00250FFD"/>
    <w:rsid w:val="00257AD0"/>
    <w:rsid w:val="00257DA1"/>
    <w:rsid w:val="0026002E"/>
    <w:rsid w:val="00265644"/>
    <w:rsid w:val="002672A9"/>
    <w:rsid w:val="00272CC1"/>
    <w:rsid w:val="002744F8"/>
    <w:rsid w:val="0027684E"/>
    <w:rsid w:val="00276E06"/>
    <w:rsid w:val="00282702"/>
    <w:rsid w:val="00283733"/>
    <w:rsid w:val="00283FAE"/>
    <w:rsid w:val="00286C05"/>
    <w:rsid w:val="0029136E"/>
    <w:rsid w:val="00292465"/>
    <w:rsid w:val="002952B6"/>
    <w:rsid w:val="002A1B8E"/>
    <w:rsid w:val="002A3C48"/>
    <w:rsid w:val="002A4557"/>
    <w:rsid w:val="002B1C96"/>
    <w:rsid w:val="002B30F3"/>
    <w:rsid w:val="002B5CD4"/>
    <w:rsid w:val="002B61A4"/>
    <w:rsid w:val="002C02BA"/>
    <w:rsid w:val="002C0894"/>
    <w:rsid w:val="002C29FE"/>
    <w:rsid w:val="002C7AAE"/>
    <w:rsid w:val="002D4674"/>
    <w:rsid w:val="002D6CA4"/>
    <w:rsid w:val="002E3246"/>
    <w:rsid w:val="002E41E7"/>
    <w:rsid w:val="002E4765"/>
    <w:rsid w:val="002E5C82"/>
    <w:rsid w:val="002F601D"/>
    <w:rsid w:val="002F75DD"/>
    <w:rsid w:val="00300721"/>
    <w:rsid w:val="00301FDC"/>
    <w:rsid w:val="00303157"/>
    <w:rsid w:val="0030529D"/>
    <w:rsid w:val="003054FA"/>
    <w:rsid w:val="003058AC"/>
    <w:rsid w:val="00305F2D"/>
    <w:rsid w:val="003075C0"/>
    <w:rsid w:val="00314892"/>
    <w:rsid w:val="0031719D"/>
    <w:rsid w:val="003236B4"/>
    <w:rsid w:val="00323D4B"/>
    <w:rsid w:val="003312D0"/>
    <w:rsid w:val="003328D5"/>
    <w:rsid w:val="00333524"/>
    <w:rsid w:val="0033506E"/>
    <w:rsid w:val="003360C6"/>
    <w:rsid w:val="00341429"/>
    <w:rsid w:val="00341BA6"/>
    <w:rsid w:val="0034447E"/>
    <w:rsid w:val="00347BFC"/>
    <w:rsid w:val="003527C3"/>
    <w:rsid w:val="003538DF"/>
    <w:rsid w:val="00354593"/>
    <w:rsid w:val="0035744F"/>
    <w:rsid w:val="00357480"/>
    <w:rsid w:val="00360E40"/>
    <w:rsid w:val="00361FC2"/>
    <w:rsid w:val="00362DBC"/>
    <w:rsid w:val="00364525"/>
    <w:rsid w:val="0037144B"/>
    <w:rsid w:val="003717C0"/>
    <w:rsid w:val="00372F3E"/>
    <w:rsid w:val="003779E4"/>
    <w:rsid w:val="00380681"/>
    <w:rsid w:val="0038070F"/>
    <w:rsid w:val="003807AB"/>
    <w:rsid w:val="00384655"/>
    <w:rsid w:val="00385330"/>
    <w:rsid w:val="00393B59"/>
    <w:rsid w:val="00394DE0"/>
    <w:rsid w:val="0039643B"/>
    <w:rsid w:val="003A0E8D"/>
    <w:rsid w:val="003A4C68"/>
    <w:rsid w:val="003A58ED"/>
    <w:rsid w:val="003A6106"/>
    <w:rsid w:val="003A6B65"/>
    <w:rsid w:val="003B05C1"/>
    <w:rsid w:val="003B0A99"/>
    <w:rsid w:val="003B0CEE"/>
    <w:rsid w:val="003B71DC"/>
    <w:rsid w:val="003B7D28"/>
    <w:rsid w:val="003D266E"/>
    <w:rsid w:val="003D43A4"/>
    <w:rsid w:val="003D6A14"/>
    <w:rsid w:val="003E33EF"/>
    <w:rsid w:val="003E3F65"/>
    <w:rsid w:val="003E41E6"/>
    <w:rsid w:val="003E5DB0"/>
    <w:rsid w:val="003F5122"/>
    <w:rsid w:val="003F6F63"/>
    <w:rsid w:val="00400D17"/>
    <w:rsid w:val="00401C86"/>
    <w:rsid w:val="004023E0"/>
    <w:rsid w:val="00403E9F"/>
    <w:rsid w:val="00410035"/>
    <w:rsid w:val="00410D99"/>
    <w:rsid w:val="00412248"/>
    <w:rsid w:val="0041685F"/>
    <w:rsid w:val="00417295"/>
    <w:rsid w:val="0042167C"/>
    <w:rsid w:val="004216DE"/>
    <w:rsid w:val="00423C78"/>
    <w:rsid w:val="00427FC4"/>
    <w:rsid w:val="004317CB"/>
    <w:rsid w:val="004324B6"/>
    <w:rsid w:val="00432E5D"/>
    <w:rsid w:val="00436A9C"/>
    <w:rsid w:val="004373A1"/>
    <w:rsid w:val="00437638"/>
    <w:rsid w:val="004412EF"/>
    <w:rsid w:val="00443BFB"/>
    <w:rsid w:val="00444550"/>
    <w:rsid w:val="00445E59"/>
    <w:rsid w:val="0045460B"/>
    <w:rsid w:val="00456F1C"/>
    <w:rsid w:val="0046052E"/>
    <w:rsid w:val="00460726"/>
    <w:rsid w:val="004613B8"/>
    <w:rsid w:val="00464A80"/>
    <w:rsid w:val="0046592D"/>
    <w:rsid w:val="0046667A"/>
    <w:rsid w:val="00467FBC"/>
    <w:rsid w:val="00472B5D"/>
    <w:rsid w:val="00474FAF"/>
    <w:rsid w:val="004756CB"/>
    <w:rsid w:val="00483A2D"/>
    <w:rsid w:val="004849E6"/>
    <w:rsid w:val="0048512E"/>
    <w:rsid w:val="00486726"/>
    <w:rsid w:val="00492BE6"/>
    <w:rsid w:val="00493C5D"/>
    <w:rsid w:val="0049573D"/>
    <w:rsid w:val="004978D1"/>
    <w:rsid w:val="004A062E"/>
    <w:rsid w:val="004A4D8F"/>
    <w:rsid w:val="004A4F73"/>
    <w:rsid w:val="004A65A2"/>
    <w:rsid w:val="004B2636"/>
    <w:rsid w:val="004B3D08"/>
    <w:rsid w:val="004B5416"/>
    <w:rsid w:val="004B7F00"/>
    <w:rsid w:val="004C0C3A"/>
    <w:rsid w:val="004C17B2"/>
    <w:rsid w:val="004C42D1"/>
    <w:rsid w:val="004C6D2E"/>
    <w:rsid w:val="004C78BE"/>
    <w:rsid w:val="004D16AC"/>
    <w:rsid w:val="004D229E"/>
    <w:rsid w:val="004D6182"/>
    <w:rsid w:val="004D7181"/>
    <w:rsid w:val="004E330B"/>
    <w:rsid w:val="004E4354"/>
    <w:rsid w:val="004E46EC"/>
    <w:rsid w:val="004E510C"/>
    <w:rsid w:val="004E70F3"/>
    <w:rsid w:val="004E73CC"/>
    <w:rsid w:val="004F02AA"/>
    <w:rsid w:val="004F055C"/>
    <w:rsid w:val="004F0C26"/>
    <w:rsid w:val="004F27E6"/>
    <w:rsid w:val="004F2F3A"/>
    <w:rsid w:val="00501404"/>
    <w:rsid w:val="00505214"/>
    <w:rsid w:val="005055A6"/>
    <w:rsid w:val="00505695"/>
    <w:rsid w:val="005125BA"/>
    <w:rsid w:val="00517103"/>
    <w:rsid w:val="005204E9"/>
    <w:rsid w:val="00525816"/>
    <w:rsid w:val="00532337"/>
    <w:rsid w:val="005325C9"/>
    <w:rsid w:val="0053280E"/>
    <w:rsid w:val="005356B5"/>
    <w:rsid w:val="00552C84"/>
    <w:rsid w:val="005533B0"/>
    <w:rsid w:val="00557C71"/>
    <w:rsid w:val="0056124C"/>
    <w:rsid w:val="00563799"/>
    <w:rsid w:val="00563927"/>
    <w:rsid w:val="00567357"/>
    <w:rsid w:val="00570B94"/>
    <w:rsid w:val="005773DC"/>
    <w:rsid w:val="005773E1"/>
    <w:rsid w:val="0058084A"/>
    <w:rsid w:val="005829C5"/>
    <w:rsid w:val="00583432"/>
    <w:rsid w:val="00584305"/>
    <w:rsid w:val="00584D19"/>
    <w:rsid w:val="0059232C"/>
    <w:rsid w:val="00592E5C"/>
    <w:rsid w:val="005B40E7"/>
    <w:rsid w:val="005B7C37"/>
    <w:rsid w:val="005C1646"/>
    <w:rsid w:val="005C4D7A"/>
    <w:rsid w:val="005C572C"/>
    <w:rsid w:val="005C7608"/>
    <w:rsid w:val="005C7F2F"/>
    <w:rsid w:val="005D16DF"/>
    <w:rsid w:val="005D4FAA"/>
    <w:rsid w:val="005D6D70"/>
    <w:rsid w:val="005E16AA"/>
    <w:rsid w:val="005E207A"/>
    <w:rsid w:val="005E3BBC"/>
    <w:rsid w:val="005E617B"/>
    <w:rsid w:val="005E7DBB"/>
    <w:rsid w:val="005F3EC5"/>
    <w:rsid w:val="005F4EA7"/>
    <w:rsid w:val="005F5ADF"/>
    <w:rsid w:val="005F68B2"/>
    <w:rsid w:val="0060049C"/>
    <w:rsid w:val="00600BBB"/>
    <w:rsid w:val="00601018"/>
    <w:rsid w:val="00607E62"/>
    <w:rsid w:val="00614BCC"/>
    <w:rsid w:val="00616090"/>
    <w:rsid w:val="0062037D"/>
    <w:rsid w:val="006224BD"/>
    <w:rsid w:val="00625AC6"/>
    <w:rsid w:val="00625F0E"/>
    <w:rsid w:val="006265B3"/>
    <w:rsid w:val="006266E8"/>
    <w:rsid w:val="00645FFC"/>
    <w:rsid w:val="006507C4"/>
    <w:rsid w:val="00652273"/>
    <w:rsid w:val="006529E0"/>
    <w:rsid w:val="00654EB1"/>
    <w:rsid w:val="00654F87"/>
    <w:rsid w:val="006568CE"/>
    <w:rsid w:val="00672B9A"/>
    <w:rsid w:val="00676E4D"/>
    <w:rsid w:val="0067727A"/>
    <w:rsid w:val="00680794"/>
    <w:rsid w:val="00681FF4"/>
    <w:rsid w:val="00683623"/>
    <w:rsid w:val="0068379E"/>
    <w:rsid w:val="00683EAC"/>
    <w:rsid w:val="00684019"/>
    <w:rsid w:val="00684BFD"/>
    <w:rsid w:val="0068537C"/>
    <w:rsid w:val="0068610A"/>
    <w:rsid w:val="00687A00"/>
    <w:rsid w:val="00690286"/>
    <w:rsid w:val="00693440"/>
    <w:rsid w:val="006968E8"/>
    <w:rsid w:val="006A01FE"/>
    <w:rsid w:val="006A1FB1"/>
    <w:rsid w:val="006A2999"/>
    <w:rsid w:val="006A2E5C"/>
    <w:rsid w:val="006A48BB"/>
    <w:rsid w:val="006A69C3"/>
    <w:rsid w:val="006A7086"/>
    <w:rsid w:val="006B4B28"/>
    <w:rsid w:val="006B57D7"/>
    <w:rsid w:val="006B6EC3"/>
    <w:rsid w:val="006C087E"/>
    <w:rsid w:val="006C3946"/>
    <w:rsid w:val="006C46E9"/>
    <w:rsid w:val="006C5666"/>
    <w:rsid w:val="006C7042"/>
    <w:rsid w:val="006C7B7F"/>
    <w:rsid w:val="006D2551"/>
    <w:rsid w:val="006D3602"/>
    <w:rsid w:val="006D742F"/>
    <w:rsid w:val="006D7C4C"/>
    <w:rsid w:val="006E1E40"/>
    <w:rsid w:val="006E4D52"/>
    <w:rsid w:val="006E57DC"/>
    <w:rsid w:val="006E5CDC"/>
    <w:rsid w:val="006F5F1D"/>
    <w:rsid w:val="006F6837"/>
    <w:rsid w:val="006F6CBD"/>
    <w:rsid w:val="0070031C"/>
    <w:rsid w:val="00705808"/>
    <w:rsid w:val="00705930"/>
    <w:rsid w:val="00710AB8"/>
    <w:rsid w:val="0071281F"/>
    <w:rsid w:val="00715B66"/>
    <w:rsid w:val="007171BB"/>
    <w:rsid w:val="007174B6"/>
    <w:rsid w:val="00717CFB"/>
    <w:rsid w:val="007207E8"/>
    <w:rsid w:val="0072135B"/>
    <w:rsid w:val="0072785F"/>
    <w:rsid w:val="00730B9E"/>
    <w:rsid w:val="00736009"/>
    <w:rsid w:val="00744A53"/>
    <w:rsid w:val="00746A82"/>
    <w:rsid w:val="007478CB"/>
    <w:rsid w:val="00750900"/>
    <w:rsid w:val="00751FA4"/>
    <w:rsid w:val="00752459"/>
    <w:rsid w:val="00753824"/>
    <w:rsid w:val="0075548A"/>
    <w:rsid w:val="00757FBF"/>
    <w:rsid w:val="00773E7C"/>
    <w:rsid w:val="00774C8F"/>
    <w:rsid w:val="007858D9"/>
    <w:rsid w:val="007951D6"/>
    <w:rsid w:val="007A04B7"/>
    <w:rsid w:val="007A06A5"/>
    <w:rsid w:val="007A40ED"/>
    <w:rsid w:val="007A5292"/>
    <w:rsid w:val="007A64F8"/>
    <w:rsid w:val="007A712C"/>
    <w:rsid w:val="007A7AC4"/>
    <w:rsid w:val="007B4646"/>
    <w:rsid w:val="007B4F97"/>
    <w:rsid w:val="007C3306"/>
    <w:rsid w:val="007C4DF6"/>
    <w:rsid w:val="007C50DB"/>
    <w:rsid w:val="007C5333"/>
    <w:rsid w:val="007C58D9"/>
    <w:rsid w:val="007C59B8"/>
    <w:rsid w:val="007C6FCD"/>
    <w:rsid w:val="007D167B"/>
    <w:rsid w:val="007D309A"/>
    <w:rsid w:val="007D5382"/>
    <w:rsid w:val="007E1BA4"/>
    <w:rsid w:val="007E22C9"/>
    <w:rsid w:val="007E58CF"/>
    <w:rsid w:val="007F33FB"/>
    <w:rsid w:val="007F36CF"/>
    <w:rsid w:val="007F40C7"/>
    <w:rsid w:val="007F4407"/>
    <w:rsid w:val="00800620"/>
    <w:rsid w:val="00801C98"/>
    <w:rsid w:val="00801EB0"/>
    <w:rsid w:val="00802228"/>
    <w:rsid w:val="00802F40"/>
    <w:rsid w:val="00803388"/>
    <w:rsid w:val="00804FE9"/>
    <w:rsid w:val="00807911"/>
    <w:rsid w:val="00810765"/>
    <w:rsid w:val="008152C6"/>
    <w:rsid w:val="00820C3A"/>
    <w:rsid w:val="00821CDF"/>
    <w:rsid w:val="00825693"/>
    <w:rsid w:val="00830D83"/>
    <w:rsid w:val="0083232D"/>
    <w:rsid w:val="00836FFE"/>
    <w:rsid w:val="00840CA0"/>
    <w:rsid w:val="00843B70"/>
    <w:rsid w:val="00844E5E"/>
    <w:rsid w:val="00846644"/>
    <w:rsid w:val="0084734C"/>
    <w:rsid w:val="00850225"/>
    <w:rsid w:val="008558A4"/>
    <w:rsid w:val="008576E5"/>
    <w:rsid w:val="00861364"/>
    <w:rsid w:val="00866ADF"/>
    <w:rsid w:val="0086777B"/>
    <w:rsid w:val="00870950"/>
    <w:rsid w:val="0088113C"/>
    <w:rsid w:val="00882F0C"/>
    <w:rsid w:val="00885EE5"/>
    <w:rsid w:val="00891787"/>
    <w:rsid w:val="008919D7"/>
    <w:rsid w:val="00893509"/>
    <w:rsid w:val="008956E6"/>
    <w:rsid w:val="00895BE2"/>
    <w:rsid w:val="0089610B"/>
    <w:rsid w:val="008A0924"/>
    <w:rsid w:val="008A0B4E"/>
    <w:rsid w:val="008A0F81"/>
    <w:rsid w:val="008A162B"/>
    <w:rsid w:val="008A41BB"/>
    <w:rsid w:val="008A4BB5"/>
    <w:rsid w:val="008A5E36"/>
    <w:rsid w:val="008A72B9"/>
    <w:rsid w:val="008A74EB"/>
    <w:rsid w:val="008A75C4"/>
    <w:rsid w:val="008B1D9E"/>
    <w:rsid w:val="008B25E9"/>
    <w:rsid w:val="008C261E"/>
    <w:rsid w:val="008D1F79"/>
    <w:rsid w:val="008D435F"/>
    <w:rsid w:val="008D6974"/>
    <w:rsid w:val="008D752E"/>
    <w:rsid w:val="008D7806"/>
    <w:rsid w:val="008D7E17"/>
    <w:rsid w:val="008E2694"/>
    <w:rsid w:val="008E3903"/>
    <w:rsid w:val="008F26BD"/>
    <w:rsid w:val="008F272E"/>
    <w:rsid w:val="008F3799"/>
    <w:rsid w:val="008F3E4C"/>
    <w:rsid w:val="008F45B0"/>
    <w:rsid w:val="00900C46"/>
    <w:rsid w:val="00904309"/>
    <w:rsid w:val="00907F3A"/>
    <w:rsid w:val="00911073"/>
    <w:rsid w:val="00912617"/>
    <w:rsid w:val="0091733F"/>
    <w:rsid w:val="009211B7"/>
    <w:rsid w:val="0092496A"/>
    <w:rsid w:val="00924B66"/>
    <w:rsid w:val="00926DFB"/>
    <w:rsid w:val="00927E99"/>
    <w:rsid w:val="009315A6"/>
    <w:rsid w:val="00931C96"/>
    <w:rsid w:val="009340CD"/>
    <w:rsid w:val="0093753B"/>
    <w:rsid w:val="00941862"/>
    <w:rsid w:val="00941C1B"/>
    <w:rsid w:val="00942E34"/>
    <w:rsid w:val="00946E19"/>
    <w:rsid w:val="00947D18"/>
    <w:rsid w:val="00950AA0"/>
    <w:rsid w:val="00952D8D"/>
    <w:rsid w:val="00960956"/>
    <w:rsid w:val="00972E0D"/>
    <w:rsid w:val="00973F7A"/>
    <w:rsid w:val="00976E50"/>
    <w:rsid w:val="00977DF3"/>
    <w:rsid w:val="009818A4"/>
    <w:rsid w:val="00981E22"/>
    <w:rsid w:val="00985187"/>
    <w:rsid w:val="00986466"/>
    <w:rsid w:val="00987F60"/>
    <w:rsid w:val="009A1891"/>
    <w:rsid w:val="009A2EE5"/>
    <w:rsid w:val="009A3753"/>
    <w:rsid w:val="009A3E89"/>
    <w:rsid w:val="009A3E90"/>
    <w:rsid w:val="009A4034"/>
    <w:rsid w:val="009A734D"/>
    <w:rsid w:val="009A799D"/>
    <w:rsid w:val="009B5CC3"/>
    <w:rsid w:val="009C131E"/>
    <w:rsid w:val="009C214D"/>
    <w:rsid w:val="009C48E7"/>
    <w:rsid w:val="009C687D"/>
    <w:rsid w:val="009C71F3"/>
    <w:rsid w:val="009C78E9"/>
    <w:rsid w:val="009D1F0C"/>
    <w:rsid w:val="009D3D66"/>
    <w:rsid w:val="009D41D1"/>
    <w:rsid w:val="009D4D51"/>
    <w:rsid w:val="009D7398"/>
    <w:rsid w:val="009E0BC7"/>
    <w:rsid w:val="009F1BF9"/>
    <w:rsid w:val="009F3A6F"/>
    <w:rsid w:val="009F46FB"/>
    <w:rsid w:val="00A023ED"/>
    <w:rsid w:val="00A0375E"/>
    <w:rsid w:val="00A10142"/>
    <w:rsid w:val="00A14486"/>
    <w:rsid w:val="00A16246"/>
    <w:rsid w:val="00A203E2"/>
    <w:rsid w:val="00A20853"/>
    <w:rsid w:val="00A209DE"/>
    <w:rsid w:val="00A20E5D"/>
    <w:rsid w:val="00A2736D"/>
    <w:rsid w:val="00A31D7A"/>
    <w:rsid w:val="00A31F92"/>
    <w:rsid w:val="00A33735"/>
    <w:rsid w:val="00A3458B"/>
    <w:rsid w:val="00A35C6D"/>
    <w:rsid w:val="00A374CA"/>
    <w:rsid w:val="00A47761"/>
    <w:rsid w:val="00A54475"/>
    <w:rsid w:val="00A555B5"/>
    <w:rsid w:val="00A627E6"/>
    <w:rsid w:val="00A63395"/>
    <w:rsid w:val="00A651CE"/>
    <w:rsid w:val="00A7002E"/>
    <w:rsid w:val="00A77484"/>
    <w:rsid w:val="00A8249C"/>
    <w:rsid w:val="00A82821"/>
    <w:rsid w:val="00A86CCD"/>
    <w:rsid w:val="00A9438F"/>
    <w:rsid w:val="00A95192"/>
    <w:rsid w:val="00A95AD8"/>
    <w:rsid w:val="00A97D25"/>
    <w:rsid w:val="00AA0109"/>
    <w:rsid w:val="00AA043D"/>
    <w:rsid w:val="00AA1E4D"/>
    <w:rsid w:val="00AB6C04"/>
    <w:rsid w:val="00AB755E"/>
    <w:rsid w:val="00AC0452"/>
    <w:rsid w:val="00AC1B13"/>
    <w:rsid w:val="00AC2A47"/>
    <w:rsid w:val="00AC40F8"/>
    <w:rsid w:val="00AC4E6C"/>
    <w:rsid w:val="00AC5368"/>
    <w:rsid w:val="00AC7B9C"/>
    <w:rsid w:val="00AD2CC2"/>
    <w:rsid w:val="00AE0255"/>
    <w:rsid w:val="00AE2534"/>
    <w:rsid w:val="00AE66F0"/>
    <w:rsid w:val="00AF3A72"/>
    <w:rsid w:val="00AF3B74"/>
    <w:rsid w:val="00AF4DA8"/>
    <w:rsid w:val="00AF62F5"/>
    <w:rsid w:val="00AF63EF"/>
    <w:rsid w:val="00AF69D5"/>
    <w:rsid w:val="00B00EFE"/>
    <w:rsid w:val="00B021E3"/>
    <w:rsid w:val="00B11B3A"/>
    <w:rsid w:val="00B16E5F"/>
    <w:rsid w:val="00B17C30"/>
    <w:rsid w:val="00B207D6"/>
    <w:rsid w:val="00B21D4C"/>
    <w:rsid w:val="00B21ED2"/>
    <w:rsid w:val="00B23954"/>
    <w:rsid w:val="00B24F13"/>
    <w:rsid w:val="00B27F52"/>
    <w:rsid w:val="00B30326"/>
    <w:rsid w:val="00B30823"/>
    <w:rsid w:val="00B37A56"/>
    <w:rsid w:val="00B430F4"/>
    <w:rsid w:val="00B4310B"/>
    <w:rsid w:val="00B456B2"/>
    <w:rsid w:val="00B4604B"/>
    <w:rsid w:val="00B462A4"/>
    <w:rsid w:val="00B4639C"/>
    <w:rsid w:val="00B47616"/>
    <w:rsid w:val="00B56A90"/>
    <w:rsid w:val="00B56F82"/>
    <w:rsid w:val="00B578EC"/>
    <w:rsid w:val="00B60118"/>
    <w:rsid w:val="00B665BA"/>
    <w:rsid w:val="00B725D9"/>
    <w:rsid w:val="00B741BE"/>
    <w:rsid w:val="00B755EB"/>
    <w:rsid w:val="00B76721"/>
    <w:rsid w:val="00B812FD"/>
    <w:rsid w:val="00B847F8"/>
    <w:rsid w:val="00B84874"/>
    <w:rsid w:val="00B91D68"/>
    <w:rsid w:val="00B941E0"/>
    <w:rsid w:val="00B96D95"/>
    <w:rsid w:val="00BA0560"/>
    <w:rsid w:val="00BA09CD"/>
    <w:rsid w:val="00BA2CBC"/>
    <w:rsid w:val="00BA442A"/>
    <w:rsid w:val="00BB068B"/>
    <w:rsid w:val="00BB3266"/>
    <w:rsid w:val="00BB57F5"/>
    <w:rsid w:val="00BB6739"/>
    <w:rsid w:val="00BC3EAC"/>
    <w:rsid w:val="00BC4D96"/>
    <w:rsid w:val="00BD12F9"/>
    <w:rsid w:val="00BD19F6"/>
    <w:rsid w:val="00BD2850"/>
    <w:rsid w:val="00BD5DA5"/>
    <w:rsid w:val="00BD64EC"/>
    <w:rsid w:val="00BD7937"/>
    <w:rsid w:val="00BE07B5"/>
    <w:rsid w:val="00BE1659"/>
    <w:rsid w:val="00BE16A8"/>
    <w:rsid w:val="00BE1FCB"/>
    <w:rsid w:val="00BE223A"/>
    <w:rsid w:val="00BE2685"/>
    <w:rsid w:val="00BE3024"/>
    <w:rsid w:val="00BE5517"/>
    <w:rsid w:val="00BF13BA"/>
    <w:rsid w:val="00BF562C"/>
    <w:rsid w:val="00C12674"/>
    <w:rsid w:val="00C13D4C"/>
    <w:rsid w:val="00C15756"/>
    <w:rsid w:val="00C157EB"/>
    <w:rsid w:val="00C270DE"/>
    <w:rsid w:val="00C31ECB"/>
    <w:rsid w:val="00C32C69"/>
    <w:rsid w:val="00C36616"/>
    <w:rsid w:val="00C426FA"/>
    <w:rsid w:val="00C44863"/>
    <w:rsid w:val="00C4552B"/>
    <w:rsid w:val="00C475F1"/>
    <w:rsid w:val="00C521AF"/>
    <w:rsid w:val="00C6714A"/>
    <w:rsid w:val="00C71481"/>
    <w:rsid w:val="00C7165B"/>
    <w:rsid w:val="00C716C7"/>
    <w:rsid w:val="00C717D9"/>
    <w:rsid w:val="00C74EAE"/>
    <w:rsid w:val="00C82E7D"/>
    <w:rsid w:val="00C83CEF"/>
    <w:rsid w:val="00C864D9"/>
    <w:rsid w:val="00C8712B"/>
    <w:rsid w:val="00C8741F"/>
    <w:rsid w:val="00C91DA0"/>
    <w:rsid w:val="00C9301C"/>
    <w:rsid w:val="00C954DA"/>
    <w:rsid w:val="00C95611"/>
    <w:rsid w:val="00C97B1D"/>
    <w:rsid w:val="00CA519A"/>
    <w:rsid w:val="00CB0868"/>
    <w:rsid w:val="00CB1188"/>
    <w:rsid w:val="00CB534D"/>
    <w:rsid w:val="00CB7F1B"/>
    <w:rsid w:val="00CC1C4C"/>
    <w:rsid w:val="00CC4610"/>
    <w:rsid w:val="00CC46B3"/>
    <w:rsid w:val="00CC74F6"/>
    <w:rsid w:val="00CD28F9"/>
    <w:rsid w:val="00CD415D"/>
    <w:rsid w:val="00CE3249"/>
    <w:rsid w:val="00CE3417"/>
    <w:rsid w:val="00CE3CBB"/>
    <w:rsid w:val="00CE514D"/>
    <w:rsid w:val="00CE5FFE"/>
    <w:rsid w:val="00CF2466"/>
    <w:rsid w:val="00CF281F"/>
    <w:rsid w:val="00CF5A7E"/>
    <w:rsid w:val="00CF7DDC"/>
    <w:rsid w:val="00D03B65"/>
    <w:rsid w:val="00D0437F"/>
    <w:rsid w:val="00D068AE"/>
    <w:rsid w:val="00D12416"/>
    <w:rsid w:val="00D16007"/>
    <w:rsid w:val="00D165E2"/>
    <w:rsid w:val="00D167B5"/>
    <w:rsid w:val="00D16FA6"/>
    <w:rsid w:val="00D244C6"/>
    <w:rsid w:val="00D2633C"/>
    <w:rsid w:val="00D26895"/>
    <w:rsid w:val="00D40586"/>
    <w:rsid w:val="00D42BF1"/>
    <w:rsid w:val="00D43F21"/>
    <w:rsid w:val="00D44433"/>
    <w:rsid w:val="00D44F75"/>
    <w:rsid w:val="00D5281F"/>
    <w:rsid w:val="00D54A74"/>
    <w:rsid w:val="00D55BA1"/>
    <w:rsid w:val="00D56539"/>
    <w:rsid w:val="00D61EFE"/>
    <w:rsid w:val="00D61FA9"/>
    <w:rsid w:val="00D62177"/>
    <w:rsid w:val="00D63FEC"/>
    <w:rsid w:val="00D64916"/>
    <w:rsid w:val="00D65633"/>
    <w:rsid w:val="00D662E2"/>
    <w:rsid w:val="00D71367"/>
    <w:rsid w:val="00D72313"/>
    <w:rsid w:val="00D727E6"/>
    <w:rsid w:val="00D81585"/>
    <w:rsid w:val="00D82B51"/>
    <w:rsid w:val="00D85B9C"/>
    <w:rsid w:val="00D90196"/>
    <w:rsid w:val="00D92EF5"/>
    <w:rsid w:val="00D93985"/>
    <w:rsid w:val="00D945F7"/>
    <w:rsid w:val="00D96299"/>
    <w:rsid w:val="00DA06B4"/>
    <w:rsid w:val="00DA45EA"/>
    <w:rsid w:val="00DA611C"/>
    <w:rsid w:val="00DA732E"/>
    <w:rsid w:val="00DA7983"/>
    <w:rsid w:val="00DB54E8"/>
    <w:rsid w:val="00DB7924"/>
    <w:rsid w:val="00DC48C0"/>
    <w:rsid w:val="00DC4D3C"/>
    <w:rsid w:val="00DC5121"/>
    <w:rsid w:val="00DC519F"/>
    <w:rsid w:val="00DC6FD5"/>
    <w:rsid w:val="00DC7512"/>
    <w:rsid w:val="00DC7E3B"/>
    <w:rsid w:val="00DD5A77"/>
    <w:rsid w:val="00DE0332"/>
    <w:rsid w:val="00DE03EC"/>
    <w:rsid w:val="00DE129E"/>
    <w:rsid w:val="00DE27F1"/>
    <w:rsid w:val="00DE3829"/>
    <w:rsid w:val="00DE506F"/>
    <w:rsid w:val="00DF6FEB"/>
    <w:rsid w:val="00E031B2"/>
    <w:rsid w:val="00E070C7"/>
    <w:rsid w:val="00E127BE"/>
    <w:rsid w:val="00E1391B"/>
    <w:rsid w:val="00E16A42"/>
    <w:rsid w:val="00E17514"/>
    <w:rsid w:val="00E2047F"/>
    <w:rsid w:val="00E21B08"/>
    <w:rsid w:val="00E2254F"/>
    <w:rsid w:val="00E25223"/>
    <w:rsid w:val="00E25DC1"/>
    <w:rsid w:val="00E31C65"/>
    <w:rsid w:val="00E4499E"/>
    <w:rsid w:val="00E52BE7"/>
    <w:rsid w:val="00E53B28"/>
    <w:rsid w:val="00E546DF"/>
    <w:rsid w:val="00E5593E"/>
    <w:rsid w:val="00E624F1"/>
    <w:rsid w:val="00E632E2"/>
    <w:rsid w:val="00E6485E"/>
    <w:rsid w:val="00E64E8B"/>
    <w:rsid w:val="00E7300F"/>
    <w:rsid w:val="00E744AF"/>
    <w:rsid w:val="00E74D31"/>
    <w:rsid w:val="00E75926"/>
    <w:rsid w:val="00E76E53"/>
    <w:rsid w:val="00E82EAA"/>
    <w:rsid w:val="00E85BBE"/>
    <w:rsid w:val="00E85E92"/>
    <w:rsid w:val="00E922DF"/>
    <w:rsid w:val="00E9252F"/>
    <w:rsid w:val="00E93353"/>
    <w:rsid w:val="00E95A0C"/>
    <w:rsid w:val="00EA0D40"/>
    <w:rsid w:val="00EB09DB"/>
    <w:rsid w:val="00EB45BE"/>
    <w:rsid w:val="00EB4780"/>
    <w:rsid w:val="00EB7875"/>
    <w:rsid w:val="00EC0713"/>
    <w:rsid w:val="00EC4B9E"/>
    <w:rsid w:val="00EC545C"/>
    <w:rsid w:val="00EC7A02"/>
    <w:rsid w:val="00ED74D1"/>
    <w:rsid w:val="00ED77A0"/>
    <w:rsid w:val="00EE15CA"/>
    <w:rsid w:val="00EE2829"/>
    <w:rsid w:val="00EE7CD6"/>
    <w:rsid w:val="00EF1267"/>
    <w:rsid w:val="00F0024A"/>
    <w:rsid w:val="00F01EEE"/>
    <w:rsid w:val="00F02EB0"/>
    <w:rsid w:val="00F055BE"/>
    <w:rsid w:val="00F0652B"/>
    <w:rsid w:val="00F07742"/>
    <w:rsid w:val="00F10971"/>
    <w:rsid w:val="00F117A3"/>
    <w:rsid w:val="00F126C2"/>
    <w:rsid w:val="00F1384C"/>
    <w:rsid w:val="00F206C7"/>
    <w:rsid w:val="00F20D3C"/>
    <w:rsid w:val="00F2286C"/>
    <w:rsid w:val="00F259D1"/>
    <w:rsid w:val="00F2670A"/>
    <w:rsid w:val="00F307BD"/>
    <w:rsid w:val="00F33969"/>
    <w:rsid w:val="00F3611A"/>
    <w:rsid w:val="00F3750D"/>
    <w:rsid w:val="00F402A8"/>
    <w:rsid w:val="00F475DC"/>
    <w:rsid w:val="00F54BCC"/>
    <w:rsid w:val="00F5749D"/>
    <w:rsid w:val="00F62E70"/>
    <w:rsid w:val="00F63D66"/>
    <w:rsid w:val="00F64C9F"/>
    <w:rsid w:val="00F677EB"/>
    <w:rsid w:val="00F710DD"/>
    <w:rsid w:val="00F734AC"/>
    <w:rsid w:val="00F745EF"/>
    <w:rsid w:val="00F746FA"/>
    <w:rsid w:val="00F80EED"/>
    <w:rsid w:val="00F818D0"/>
    <w:rsid w:val="00F857BB"/>
    <w:rsid w:val="00F85E49"/>
    <w:rsid w:val="00F90702"/>
    <w:rsid w:val="00FA0B84"/>
    <w:rsid w:val="00FA7CD2"/>
    <w:rsid w:val="00FB4597"/>
    <w:rsid w:val="00FB5372"/>
    <w:rsid w:val="00FB69CE"/>
    <w:rsid w:val="00FC610D"/>
    <w:rsid w:val="00FD1E65"/>
    <w:rsid w:val="00FD394B"/>
    <w:rsid w:val="00FE04A8"/>
    <w:rsid w:val="00FE3B15"/>
    <w:rsid w:val="00FE3F2C"/>
    <w:rsid w:val="00FE5973"/>
    <w:rsid w:val="00FE784E"/>
    <w:rsid w:val="00FE7BF0"/>
    <w:rsid w:val="00FF12C4"/>
    <w:rsid w:val="00FF13A5"/>
    <w:rsid w:val="00FF4201"/>
    <w:rsid w:val="025073E0"/>
    <w:rsid w:val="03BCB709"/>
    <w:rsid w:val="04A94E61"/>
    <w:rsid w:val="0CF65FA3"/>
    <w:rsid w:val="115744DD"/>
    <w:rsid w:val="11729206"/>
    <w:rsid w:val="13A06FA1"/>
    <w:rsid w:val="14739DC6"/>
    <w:rsid w:val="19470EE9"/>
    <w:rsid w:val="1A6CBBF9"/>
    <w:rsid w:val="1B004BEF"/>
    <w:rsid w:val="1FF02810"/>
    <w:rsid w:val="1FF47E2E"/>
    <w:rsid w:val="214F20DE"/>
    <w:rsid w:val="2486C1A0"/>
    <w:rsid w:val="260C6994"/>
    <w:rsid w:val="265E300C"/>
    <w:rsid w:val="27932505"/>
    <w:rsid w:val="27BE6262"/>
    <w:rsid w:val="29E6D936"/>
    <w:rsid w:val="2A0CF03E"/>
    <w:rsid w:val="2BE19C23"/>
    <w:rsid w:val="2C3933FF"/>
    <w:rsid w:val="2E926FF2"/>
    <w:rsid w:val="30E0E670"/>
    <w:rsid w:val="30FA0ECD"/>
    <w:rsid w:val="31D4A963"/>
    <w:rsid w:val="339D6CAE"/>
    <w:rsid w:val="3758157A"/>
    <w:rsid w:val="3BA1CB90"/>
    <w:rsid w:val="3C2843FC"/>
    <w:rsid w:val="3E104901"/>
    <w:rsid w:val="3E30D803"/>
    <w:rsid w:val="3F3C16F7"/>
    <w:rsid w:val="4384A550"/>
    <w:rsid w:val="43DE301A"/>
    <w:rsid w:val="44E8964C"/>
    <w:rsid w:val="47C5CBD0"/>
    <w:rsid w:val="48070EB1"/>
    <w:rsid w:val="482F1500"/>
    <w:rsid w:val="490A09A5"/>
    <w:rsid w:val="49619C31"/>
    <w:rsid w:val="4B09C566"/>
    <w:rsid w:val="4B856232"/>
    <w:rsid w:val="4B884355"/>
    <w:rsid w:val="4C28820A"/>
    <w:rsid w:val="4EBD02F4"/>
    <w:rsid w:val="52497F4E"/>
    <w:rsid w:val="53E54FAF"/>
    <w:rsid w:val="54B7FCBF"/>
    <w:rsid w:val="55958CAD"/>
    <w:rsid w:val="55D751D6"/>
    <w:rsid w:val="576B34B1"/>
    <w:rsid w:val="579AC1E9"/>
    <w:rsid w:val="585EF7A4"/>
    <w:rsid w:val="58CA2D7F"/>
    <w:rsid w:val="58CD2D6F"/>
    <w:rsid w:val="598B6DE2"/>
    <w:rsid w:val="5C46935A"/>
    <w:rsid w:val="5CDC9475"/>
    <w:rsid w:val="5D1E2E00"/>
    <w:rsid w:val="5DE263BB"/>
    <w:rsid w:val="5FB81657"/>
    <w:rsid w:val="606A0989"/>
    <w:rsid w:val="61E22AB4"/>
    <w:rsid w:val="62B5D4DE"/>
    <w:rsid w:val="64EA7AAC"/>
    <w:rsid w:val="6519CB76"/>
    <w:rsid w:val="69BDEBCF"/>
    <w:rsid w:val="6C8756C6"/>
    <w:rsid w:val="70F350B4"/>
    <w:rsid w:val="71DF4817"/>
    <w:rsid w:val="7364CE15"/>
    <w:rsid w:val="762E390C"/>
    <w:rsid w:val="7718163B"/>
    <w:rsid w:val="79A0AD90"/>
    <w:rsid w:val="7AA4E571"/>
    <w:rsid w:val="7AC30D2F"/>
    <w:rsid w:val="7AFFB1F1"/>
    <w:rsid w:val="7C561B29"/>
    <w:rsid w:val="7F18D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77C"/>
  <w15:chartTrackingRefBased/>
  <w15:docId w15:val="{9A284CB2-60C5-4A71-B6FC-299D5765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43D"/>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aliases w:val="List Paragraph1,List Paragraph11,Sect Header,QuestionNumber,Bullet List,FooterText,cS List Paragraph,CH Bullets (square),3,POCG Table Text,Bulleted List Level 1,DAI 2,3 heading,Call Out Bullets,List-Bullets,Normal Bullet,Bullets,lp1"/>
    <w:basedOn w:val="Normal"/>
    <w:link w:val="ListParagraphChar"/>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styleId="UnresolvedMention">
    <w:name w:val="Unresolved Mention"/>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styleId="Bibliography">
    <w:name w:val="Bibliography"/>
    <w:basedOn w:val="Normal"/>
    <w:next w:val="Normal"/>
    <w:uiPriority w:val="37"/>
    <w:unhideWhenUsed/>
    <w:rsid w:val="009D7398"/>
    <w:pPr>
      <w:spacing w:line="480" w:lineRule="auto"/>
      <w:ind w:left="720" w:hanging="720"/>
    </w:pPr>
  </w:style>
  <w:style w:type="character" w:customStyle="1" w:styleId="ListParagraphChar">
    <w:name w:val="List Paragraph Char"/>
    <w:aliases w:val="List Paragraph1 Char,List Paragraph11 Char,Sect Header Char,QuestionNumber Char,Bullet List Char,FooterText Char,cS List Paragraph Char,CH Bullets (square) Char,3 Char,POCG Table Text Char,Bulleted List Level 1 Char,DAI 2 Char"/>
    <w:basedOn w:val="DefaultParagraphFont"/>
    <w:link w:val="ListParagraph"/>
    <w:uiPriority w:val="34"/>
    <w:qFormat/>
    <w:locked/>
    <w:rsid w:val="00563799"/>
    <w:rPr>
      <w:rFonts w:ascii="Franklin Gothic Book" w:hAnsi="Franklin Gothic Book"/>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B30F3"/>
  </w:style>
  <w:style w:type="character" w:customStyle="1" w:styleId="eop">
    <w:name w:val="eop"/>
    <w:basedOn w:val="DefaultParagraphFont"/>
    <w:rsid w:val="002B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9088">
      <w:bodyDiv w:val="1"/>
      <w:marLeft w:val="0"/>
      <w:marRight w:val="0"/>
      <w:marTop w:val="0"/>
      <w:marBottom w:val="0"/>
      <w:divBdr>
        <w:top w:val="none" w:sz="0" w:space="0" w:color="auto"/>
        <w:left w:val="none" w:sz="0" w:space="0" w:color="auto"/>
        <w:bottom w:val="none" w:sz="0" w:space="0" w:color="auto"/>
        <w:right w:val="none" w:sz="0" w:space="0" w:color="auto"/>
      </w:divBdr>
    </w:div>
    <w:div w:id="820119654">
      <w:bodyDiv w:val="1"/>
      <w:marLeft w:val="0"/>
      <w:marRight w:val="0"/>
      <w:marTop w:val="0"/>
      <w:marBottom w:val="0"/>
      <w:divBdr>
        <w:top w:val="none" w:sz="0" w:space="0" w:color="auto"/>
        <w:left w:val="none" w:sz="0" w:space="0" w:color="auto"/>
        <w:bottom w:val="none" w:sz="0" w:space="0" w:color="auto"/>
        <w:right w:val="none" w:sz="0" w:space="0" w:color="auto"/>
      </w:divBdr>
    </w:div>
    <w:div w:id="934246553">
      <w:bodyDiv w:val="1"/>
      <w:marLeft w:val="0"/>
      <w:marRight w:val="0"/>
      <w:marTop w:val="0"/>
      <w:marBottom w:val="0"/>
      <w:divBdr>
        <w:top w:val="none" w:sz="0" w:space="0" w:color="auto"/>
        <w:left w:val="none" w:sz="0" w:space="0" w:color="auto"/>
        <w:bottom w:val="none" w:sz="0" w:space="0" w:color="auto"/>
        <w:right w:val="none" w:sz="0" w:space="0" w:color="auto"/>
      </w:divBdr>
    </w:div>
    <w:div w:id="964581888">
      <w:bodyDiv w:val="1"/>
      <w:marLeft w:val="0"/>
      <w:marRight w:val="0"/>
      <w:marTop w:val="0"/>
      <w:marBottom w:val="0"/>
      <w:divBdr>
        <w:top w:val="none" w:sz="0" w:space="0" w:color="auto"/>
        <w:left w:val="none" w:sz="0" w:space="0" w:color="auto"/>
        <w:bottom w:val="none" w:sz="0" w:space="0" w:color="auto"/>
        <w:right w:val="none" w:sz="0" w:space="0" w:color="auto"/>
      </w:divBdr>
    </w:div>
    <w:div w:id="1123575947">
      <w:bodyDiv w:val="1"/>
      <w:marLeft w:val="0"/>
      <w:marRight w:val="0"/>
      <w:marTop w:val="0"/>
      <w:marBottom w:val="0"/>
      <w:divBdr>
        <w:top w:val="none" w:sz="0" w:space="0" w:color="auto"/>
        <w:left w:val="none" w:sz="0" w:space="0" w:color="auto"/>
        <w:bottom w:val="none" w:sz="0" w:space="0" w:color="auto"/>
        <w:right w:val="none" w:sz="0" w:space="0" w:color="auto"/>
      </w:divBdr>
    </w:div>
    <w:div w:id="1370033409">
      <w:bodyDiv w:val="1"/>
      <w:marLeft w:val="0"/>
      <w:marRight w:val="0"/>
      <w:marTop w:val="0"/>
      <w:marBottom w:val="0"/>
      <w:divBdr>
        <w:top w:val="none" w:sz="0" w:space="0" w:color="auto"/>
        <w:left w:val="none" w:sz="0" w:space="0" w:color="auto"/>
        <w:bottom w:val="none" w:sz="0" w:space="0" w:color="auto"/>
        <w:right w:val="none" w:sz="0" w:space="0" w:color="auto"/>
      </w:divBdr>
    </w:div>
    <w:div w:id="1687516274">
      <w:bodyDiv w:val="1"/>
      <w:marLeft w:val="0"/>
      <w:marRight w:val="0"/>
      <w:marTop w:val="0"/>
      <w:marBottom w:val="0"/>
      <w:divBdr>
        <w:top w:val="none" w:sz="0" w:space="0" w:color="auto"/>
        <w:left w:val="none" w:sz="0" w:space="0" w:color="auto"/>
        <w:bottom w:val="none" w:sz="0" w:space="0" w:color="auto"/>
        <w:right w:val="none" w:sz="0" w:space="0" w:color="auto"/>
      </w:divBdr>
    </w:div>
    <w:div w:id="1900823478">
      <w:bodyDiv w:val="1"/>
      <w:marLeft w:val="0"/>
      <w:marRight w:val="0"/>
      <w:marTop w:val="0"/>
      <w:marBottom w:val="0"/>
      <w:divBdr>
        <w:top w:val="none" w:sz="0" w:space="0" w:color="auto"/>
        <w:left w:val="none" w:sz="0" w:space="0" w:color="auto"/>
        <w:bottom w:val="none" w:sz="0" w:space="0" w:color="auto"/>
        <w:right w:val="none" w:sz="0" w:space="0" w:color="auto"/>
      </w:divBdr>
    </w:div>
    <w:div w:id="1962878600">
      <w:bodyDiv w:val="1"/>
      <w:marLeft w:val="0"/>
      <w:marRight w:val="0"/>
      <w:marTop w:val="0"/>
      <w:marBottom w:val="0"/>
      <w:divBdr>
        <w:top w:val="none" w:sz="0" w:space="0" w:color="auto"/>
        <w:left w:val="none" w:sz="0" w:space="0" w:color="auto"/>
        <w:bottom w:val="none" w:sz="0" w:space="0" w:color="auto"/>
        <w:right w:val="none" w:sz="0" w:space="0" w:color="auto"/>
      </w:divBdr>
    </w:div>
    <w:div w:id="1964843101">
      <w:bodyDiv w:val="1"/>
      <w:marLeft w:val="0"/>
      <w:marRight w:val="0"/>
      <w:marTop w:val="0"/>
      <w:marBottom w:val="0"/>
      <w:divBdr>
        <w:top w:val="none" w:sz="0" w:space="0" w:color="auto"/>
        <w:left w:val="none" w:sz="0" w:space="0" w:color="auto"/>
        <w:bottom w:val="none" w:sz="0" w:space="0" w:color="auto"/>
        <w:right w:val="none" w:sz="0" w:space="0" w:color="auto"/>
      </w:divBdr>
    </w:div>
    <w:div w:id="1977907139">
      <w:bodyDiv w:val="1"/>
      <w:marLeft w:val="0"/>
      <w:marRight w:val="0"/>
      <w:marTop w:val="0"/>
      <w:marBottom w:val="0"/>
      <w:divBdr>
        <w:top w:val="none" w:sz="0" w:space="0" w:color="auto"/>
        <w:left w:val="none" w:sz="0" w:space="0" w:color="auto"/>
        <w:bottom w:val="none" w:sz="0" w:space="0" w:color="auto"/>
        <w:right w:val="none" w:sz="0" w:space="0" w:color="auto"/>
      </w:divBdr>
    </w:div>
    <w:div w:id="21327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0D3802B2A854688572645C39C764F" ma:contentTypeVersion="5" ma:contentTypeDescription="Create a new document." ma:contentTypeScope="" ma:versionID="b6fafabed54005c0b8c3c93f22c66f3c">
  <xsd:schema xmlns:xsd="http://www.w3.org/2001/XMLSchema" xmlns:xs="http://www.w3.org/2001/XMLSchema" xmlns:p="http://schemas.microsoft.com/office/2006/metadata/properties" xmlns:ns2="1678f18b-9527-4c5f-84c7-7fcedd3a4a7a" xmlns:ns3="c291c8b6-0c7a-4bff-b38f-93ee833b2dba" targetNamespace="http://schemas.microsoft.com/office/2006/metadata/properties" ma:root="true" ma:fieldsID="c89e6049398a5343a9c65d48d30558d5" ns2:_="" ns3:_="">
    <xsd:import namespace="1678f18b-9527-4c5f-84c7-7fcedd3a4a7a"/>
    <xsd:import namespace="c291c8b6-0c7a-4bff-b38f-93ee833b2dba"/>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8f18b-9527-4c5f-84c7-7fcedd3a4a7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Planning"/>
              <xsd:enumeration value="Meeting Agendas/Notes"/>
              <xsd:enumeration value="Deliverables"/>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678f18b-9527-4c5f-84c7-7fcedd3a4a7a" xsi:nil="true"/>
  </documentManagement>
</p:properties>
</file>

<file path=customXml/itemProps1.xml><?xml version="1.0" encoding="utf-8"?>
<ds:datastoreItem xmlns:ds="http://schemas.openxmlformats.org/officeDocument/2006/customXml" ds:itemID="{83E9404B-E57C-490C-9E18-731677105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8f18b-9527-4c5f-84c7-7fcedd3a4a7a"/>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A5C2C-5F63-48C9-8482-0E4F4628BB6F}">
  <ds:schemaRefs>
    <ds:schemaRef ds:uri="http://schemas.openxmlformats.org/officeDocument/2006/bibliography"/>
  </ds:schemaRefs>
</ds:datastoreItem>
</file>

<file path=customXml/itemProps3.xml><?xml version="1.0" encoding="utf-8"?>
<ds:datastoreItem xmlns:ds="http://schemas.openxmlformats.org/officeDocument/2006/customXml" ds:itemID="{0D9983D8-332D-4B64-8F44-4D08941FF9BA}">
  <ds:schemaRefs>
    <ds:schemaRef ds:uri="http://schemas.microsoft.com/sharepoint/v3/contenttype/forms"/>
  </ds:schemaRefs>
</ds:datastoreItem>
</file>

<file path=customXml/itemProps4.xml><?xml version="1.0" encoding="utf-8"?>
<ds:datastoreItem xmlns:ds="http://schemas.openxmlformats.org/officeDocument/2006/customXml" ds:itemID="{F39C0462-A1E2-4B0F-B76C-EB5FC9F1E802}">
  <ds:schemaRefs>
    <ds:schemaRef ds:uri="http://schemas.microsoft.com/office/2006/metadata/properties"/>
    <ds:schemaRef ds:uri="http://schemas.microsoft.com/office/infopath/2007/PartnerControls"/>
    <ds:schemaRef ds:uri="1678f18b-9527-4c5f-84c7-7fcedd3a4a7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7852</Words>
  <Characters>44763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Capezzuto, JonnaLynn</cp:lastModifiedBy>
  <cp:revision>4</cp:revision>
  <dcterms:created xsi:type="dcterms:W3CDTF">2022-08-16T17:15:00Z</dcterms:created>
  <dcterms:modified xsi:type="dcterms:W3CDTF">2022-08-16T17:17:00Z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0x010100B4F0D3802B2A854688572645C39C764F</vt:lpwstr>
  </property>
  <property fmtid="{D5CDD505-2E9C-101B-9397-08002B2CF9AE}" pid="3" name="ZOTERO_PREF_1">
    <vt:lpwstr>&lt;data data-version="3" zotero-version="5.0.96"&gt;&lt;session id="5fjyY29C"/&gt;&lt;style id="http://www.zotero.org/styles/apa" locale="en-US" hasBibliography="1" bibliographyStyleHasBeenSet="1"/&gt;&lt;prefs&gt;&lt;pref name="fieldType" value="Field"/&gt;&lt;/prefs&gt;&lt;/data&gt;</vt:lpwstr>
  </property>
</Properties>
</file>