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178BD" w14:paraId="34A8B969" w14:textId="6D7CE507">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A178BD" w14:paraId="47DDC789" w14:textId="77777777">
      <w:pPr>
        <w:jc w:val="center"/>
        <w:rPr>
          <w:rFonts w:eastAsia="Calibri"/>
        </w:rPr>
      </w:pPr>
    </w:p>
    <w:p w:rsidR="00357C8A" w:rsidP="00A178BD" w14:paraId="223CBD2B" w14:textId="77777777">
      <w:pPr>
        <w:jc w:val="center"/>
        <w:rPr>
          <w:rFonts w:eastAsia="Calibri"/>
        </w:rPr>
      </w:pPr>
      <w:r w:rsidRPr="006D1195">
        <w:rPr>
          <w:rFonts w:eastAsia="Calibri"/>
        </w:rPr>
        <w:t>Food Labeling Re</w:t>
      </w:r>
      <w:r w:rsidR="002C7F22">
        <w:rPr>
          <w:rFonts w:eastAsia="Calibri"/>
        </w:rPr>
        <w:t>quirements</w:t>
      </w:r>
    </w:p>
    <w:p w:rsidR="00357C8A" w:rsidP="00A178BD" w14:paraId="0F31F1C4" w14:textId="77777777">
      <w:pPr>
        <w:jc w:val="center"/>
        <w:rPr>
          <w:rFonts w:eastAsia="Calibri"/>
        </w:rPr>
      </w:pPr>
    </w:p>
    <w:p w:rsidR="00357C8A" w:rsidRPr="006125E6" w:rsidP="00A178BD" w14:paraId="0A14A933" w14:textId="721A566A">
      <w:pPr>
        <w:jc w:val="center"/>
        <w:rPr>
          <w:rFonts w:eastAsia="Calibri"/>
        </w:rPr>
      </w:pPr>
      <w:r w:rsidRPr="006125E6">
        <w:rPr>
          <w:rFonts w:eastAsia="Calibri"/>
          <w:u w:val="single"/>
        </w:rPr>
        <w:t>OMB Control No. 0910-</w:t>
      </w:r>
      <w:r w:rsidRPr="006125E6" w:rsidR="006D1195">
        <w:rPr>
          <w:rFonts w:eastAsia="Calibri"/>
          <w:u w:val="single"/>
        </w:rPr>
        <w:t>0381</w:t>
      </w:r>
      <w:r w:rsidR="006125E6">
        <w:rPr>
          <w:rFonts w:eastAsia="Calibri"/>
        </w:rPr>
        <w:t xml:space="preserve"> - Revision</w:t>
      </w:r>
    </w:p>
    <w:p w:rsidR="00357C8A" w:rsidP="00A178BD" w14:paraId="55ABB775" w14:textId="77777777">
      <w:pPr>
        <w:jc w:val="center"/>
        <w:rPr>
          <w:rFonts w:eastAsia="Calibri"/>
        </w:rPr>
      </w:pPr>
    </w:p>
    <w:p w:rsidR="00357C8A" w:rsidP="00A178BD" w14:paraId="37A9EA9B" w14:textId="77777777">
      <w:pPr>
        <w:jc w:val="center"/>
        <w:rPr>
          <w:rFonts w:eastAsia="Calibri"/>
        </w:rPr>
      </w:pPr>
      <w:r w:rsidRPr="00357C8A">
        <w:rPr>
          <w:rFonts w:eastAsia="Calibri"/>
        </w:rPr>
        <w:t>SUPPORTING STATEMENT</w:t>
      </w:r>
    </w:p>
    <w:p w:rsidR="009B4DF2" w:rsidP="00A178BD" w14:paraId="0C9A13C1" w14:textId="77777777">
      <w:pPr>
        <w:jc w:val="center"/>
        <w:rPr>
          <w:rFonts w:eastAsia="Calibri"/>
        </w:rPr>
      </w:pPr>
    </w:p>
    <w:p w:rsidR="009B4DF2" w:rsidRPr="00357C8A" w:rsidP="00A178BD" w14:paraId="0DF4859E" w14:textId="77777777">
      <w:pPr>
        <w:rPr>
          <w:rFonts w:eastAsia="Calibri"/>
        </w:rPr>
      </w:pPr>
      <w:r w:rsidRPr="009122AE">
        <w:rPr>
          <w:rFonts w:eastAsia="Calibri"/>
          <w:u w:val="single"/>
        </w:rPr>
        <w:t>Terms of Clearance</w:t>
      </w:r>
      <w:r>
        <w:rPr>
          <w:rFonts w:eastAsia="Calibri"/>
        </w:rPr>
        <w:t xml:space="preserve">: </w:t>
      </w:r>
      <w:r w:rsidR="00BA4C4C">
        <w:rPr>
          <w:rFonts w:eastAsia="Calibri"/>
        </w:rPr>
        <w:t xml:space="preserve"> </w:t>
      </w:r>
      <w:r w:rsidR="006D1195">
        <w:t xml:space="preserve">In accordance with terms of clearance established on </w:t>
      </w:r>
      <w:r w:rsidR="00AD6D59">
        <w:t xml:space="preserve">August </w:t>
      </w:r>
      <w:r w:rsidR="00376958">
        <w:t>17</w:t>
      </w:r>
      <w:r w:rsidR="00AD6D59">
        <w:t>, 2020</w:t>
      </w:r>
      <w:r w:rsidR="005A0DE8">
        <w:t>,</w:t>
      </w:r>
      <w:r w:rsidR="006D1195">
        <w:t xml:space="preserve"> upon OMB approval for this information collection, FDA has discontinued OMB control no. 0910-0813.</w:t>
      </w:r>
    </w:p>
    <w:p w:rsidR="00357C8A" w:rsidRPr="00357C8A" w:rsidP="00A178BD" w14:paraId="78B6C235" w14:textId="77777777">
      <w:pPr>
        <w:rPr>
          <w:rFonts w:eastAsia="Calibri"/>
          <w:b/>
        </w:rPr>
      </w:pPr>
    </w:p>
    <w:p w:rsidR="00357C8A" w:rsidP="00A178BD" w14:paraId="164553DB" w14:textId="77777777">
      <w:pPr>
        <w:rPr>
          <w:rFonts w:eastAsia="Calibri"/>
        </w:rPr>
      </w:pPr>
      <w:r w:rsidRPr="00357C8A">
        <w:rPr>
          <w:rFonts w:eastAsia="Calibri"/>
          <w:b/>
        </w:rPr>
        <w:t>Part A:  Justification</w:t>
      </w:r>
      <w:r w:rsidRPr="00357C8A">
        <w:rPr>
          <w:rFonts w:eastAsia="Calibri"/>
        </w:rPr>
        <w:t>:</w:t>
      </w:r>
    </w:p>
    <w:p w:rsidR="000D79CC" w:rsidRPr="00357C8A" w:rsidP="00A178BD" w14:paraId="7CAEC1E9" w14:textId="77777777">
      <w:pPr>
        <w:rPr>
          <w:rFonts w:eastAsia="Calibri"/>
        </w:rPr>
      </w:pPr>
    </w:p>
    <w:p w:rsidR="00357C8A" w:rsidRPr="00357C8A" w:rsidP="00A178BD" w14:paraId="5752012D" w14:textId="77777777">
      <w:pPr>
        <w:numPr>
          <w:ilvl w:val="0"/>
          <w:numId w:val="6"/>
        </w:numPr>
        <w:spacing w:line="276" w:lineRule="auto"/>
        <w:ind w:left="0"/>
        <w:rPr>
          <w:rFonts w:eastAsia="Calibri"/>
        </w:rPr>
      </w:pPr>
      <w:r w:rsidRPr="00357C8A">
        <w:rPr>
          <w:rFonts w:eastAsia="Calibri"/>
          <w:u w:val="single"/>
        </w:rPr>
        <w:t>Circumstances Making the Collection of Information Necessary</w:t>
      </w:r>
    </w:p>
    <w:p w:rsidR="006125E6" w:rsidP="00A178BD" w14:paraId="5BA8A635" w14:textId="77777777">
      <w:pPr>
        <w:rPr>
          <w:rFonts w:eastAsia="Calibri"/>
        </w:rPr>
      </w:pPr>
    </w:p>
    <w:p w:rsidR="00C14A20" w:rsidP="00A178BD" w14:paraId="00040D2B" w14:textId="18AFAB86">
      <w:pPr>
        <w:rPr>
          <w:rFonts w:eastAsia="Calibri"/>
        </w:rPr>
      </w:pPr>
      <w:r w:rsidRPr="006D1195">
        <w:rPr>
          <w:rFonts w:eastAsia="Calibri"/>
        </w:rPr>
        <w:t xml:space="preserve">This information collection supports </w:t>
      </w:r>
      <w:r w:rsidRPr="00AB25D9" w:rsidR="00AB25D9">
        <w:rPr>
          <w:rFonts w:eastAsia="Calibri"/>
        </w:rPr>
        <w:t>statutory and regulatory requirements</w:t>
      </w:r>
      <w:r w:rsidR="00AB25D9">
        <w:rPr>
          <w:rFonts w:eastAsia="Calibri"/>
        </w:rPr>
        <w:t xml:space="preserve"> </w:t>
      </w:r>
      <w:r w:rsidRPr="00AB25D9" w:rsidR="00AB25D9">
        <w:rPr>
          <w:rFonts w:eastAsia="Calibri"/>
        </w:rPr>
        <w:t>that govern food</w:t>
      </w:r>
      <w:r w:rsidR="00AB25D9">
        <w:rPr>
          <w:rFonts w:eastAsia="Calibri"/>
        </w:rPr>
        <w:t xml:space="preserve"> </w:t>
      </w:r>
      <w:r w:rsidRPr="00AB25D9" w:rsidR="00AB25D9">
        <w:rPr>
          <w:rFonts w:eastAsia="Calibri"/>
        </w:rPr>
        <w:t>labeling, and</w:t>
      </w:r>
      <w:r w:rsidR="00AB25D9">
        <w:rPr>
          <w:rFonts w:eastAsia="Calibri"/>
        </w:rPr>
        <w:t xml:space="preserve"> </w:t>
      </w:r>
      <w:r w:rsidRPr="00AB25D9" w:rsidR="00AB25D9">
        <w:rPr>
          <w:rFonts w:eastAsia="Calibri"/>
        </w:rPr>
        <w:t>information collection</w:t>
      </w:r>
      <w:r w:rsidR="00AB25D9">
        <w:rPr>
          <w:rFonts w:eastAsia="Calibri"/>
        </w:rPr>
        <w:t xml:space="preserve"> </w:t>
      </w:r>
      <w:r w:rsidRPr="00AB25D9" w:rsidR="00AB25D9">
        <w:rPr>
          <w:rFonts w:eastAsia="Calibri"/>
        </w:rPr>
        <w:t>recommendations discussed in</w:t>
      </w:r>
      <w:r w:rsidR="00AB25D9">
        <w:rPr>
          <w:rFonts w:eastAsia="Calibri"/>
        </w:rPr>
        <w:t xml:space="preserve"> </w:t>
      </w:r>
      <w:r w:rsidRPr="00AB25D9" w:rsidR="00AB25D9">
        <w:rPr>
          <w:rFonts w:eastAsia="Calibri"/>
        </w:rPr>
        <w:t xml:space="preserve">associated </w:t>
      </w:r>
      <w:r w:rsidR="005B47F5">
        <w:rPr>
          <w:rFonts w:eastAsia="Calibri"/>
        </w:rPr>
        <w:t>a</w:t>
      </w:r>
      <w:r w:rsidRPr="00AB25D9" w:rsidR="00AB25D9">
        <w:rPr>
          <w:rFonts w:eastAsia="Calibri"/>
        </w:rPr>
        <w:t>gency guidance</w:t>
      </w:r>
      <w:r w:rsidRPr="006D1195">
        <w:rPr>
          <w:rFonts w:eastAsia="Calibri"/>
        </w:rPr>
        <w:t>.</w:t>
      </w:r>
      <w:r w:rsidR="005B47F5">
        <w:rPr>
          <w:rFonts w:eastAsia="Calibri"/>
        </w:rPr>
        <w:t xml:space="preserve">  </w:t>
      </w:r>
      <w:r w:rsidRPr="00AB25D9" w:rsidR="00AB25D9">
        <w:rPr>
          <w:rFonts w:eastAsia="Calibri"/>
        </w:rPr>
        <w:t>Sections 4</w:t>
      </w:r>
      <w:r w:rsidR="00AB25D9">
        <w:rPr>
          <w:rFonts w:eastAsia="Calibri"/>
        </w:rPr>
        <w:t xml:space="preserve"> </w:t>
      </w:r>
      <w:r w:rsidRPr="00AB25D9" w:rsidR="00AB25D9">
        <w:rPr>
          <w:rFonts w:eastAsia="Calibri"/>
        </w:rPr>
        <w:t>5, and 6 of the Fair Packagin</w:t>
      </w:r>
      <w:r w:rsidR="00AB25D9">
        <w:rPr>
          <w:rFonts w:eastAsia="Calibri"/>
        </w:rPr>
        <w:t xml:space="preserve">g </w:t>
      </w:r>
      <w:r w:rsidRPr="00AB25D9" w:rsidR="00AB25D9">
        <w:rPr>
          <w:rFonts w:eastAsia="Calibri"/>
        </w:rPr>
        <w:t>Labeling Act (FPLA) (15 U.S.C. 1453,</w:t>
      </w:r>
      <w:r w:rsidR="00AB25D9">
        <w:rPr>
          <w:rFonts w:eastAsia="Calibri"/>
        </w:rPr>
        <w:t xml:space="preserve"> </w:t>
      </w:r>
      <w:r w:rsidRPr="00AB25D9" w:rsidR="00AB25D9">
        <w:rPr>
          <w:rFonts w:eastAsia="Calibri"/>
        </w:rPr>
        <w:t>1454, and 1455) and sections 201, 301,</w:t>
      </w:r>
      <w:r w:rsidR="00AB25D9">
        <w:rPr>
          <w:rFonts w:eastAsia="Calibri"/>
        </w:rPr>
        <w:t xml:space="preserve"> </w:t>
      </w:r>
      <w:r w:rsidRPr="00AB25D9" w:rsidR="00AB25D9">
        <w:rPr>
          <w:rFonts w:eastAsia="Calibri"/>
        </w:rPr>
        <w:t>402, 403, 409, 411, 701, and 721 of the</w:t>
      </w:r>
      <w:r w:rsidR="00AB25D9">
        <w:rPr>
          <w:rFonts w:eastAsia="Calibri"/>
        </w:rPr>
        <w:t xml:space="preserve"> </w:t>
      </w:r>
      <w:r w:rsidRPr="00AB25D9" w:rsidR="00AB25D9">
        <w:rPr>
          <w:rFonts w:eastAsia="Calibri"/>
        </w:rPr>
        <w:t>Federal Food, Drug, and Cosmetic Act (FD&amp;C Act) (21 U.S.C. 321, 331, 342,</w:t>
      </w:r>
      <w:r w:rsidR="00AB25D9">
        <w:rPr>
          <w:rFonts w:eastAsia="Calibri"/>
        </w:rPr>
        <w:t xml:space="preserve"> </w:t>
      </w:r>
      <w:r w:rsidRPr="00AB25D9" w:rsidR="00AB25D9">
        <w:rPr>
          <w:rFonts w:eastAsia="Calibri"/>
        </w:rPr>
        <w:t>343, 348, 350, 371, and 379e), establish</w:t>
      </w:r>
      <w:r w:rsidR="00AB25D9">
        <w:rPr>
          <w:rFonts w:eastAsia="Calibri"/>
        </w:rPr>
        <w:t xml:space="preserve"> </w:t>
      </w:r>
      <w:r w:rsidRPr="00AB25D9" w:rsidR="00AB25D9">
        <w:rPr>
          <w:rFonts w:eastAsia="Calibri"/>
        </w:rPr>
        <w:t>provisions under which a food product shall be deemed to be misbranded if, among other things, its label or labeling fails to bear certain required information concerning the food product, is false or</w:t>
      </w:r>
      <w:r w:rsidR="00AB25D9">
        <w:rPr>
          <w:rFonts w:eastAsia="Calibri"/>
        </w:rPr>
        <w:t xml:space="preserve"> </w:t>
      </w:r>
      <w:r w:rsidRPr="00AB25D9" w:rsidR="00AB25D9">
        <w:rPr>
          <w:rFonts w:eastAsia="Calibri"/>
        </w:rPr>
        <w:t>misleading in any particular, or bears certain types of unauthorized claims.</w:t>
      </w:r>
      <w:r w:rsidR="00AB25D9">
        <w:rPr>
          <w:rFonts w:eastAsia="Calibri"/>
        </w:rPr>
        <w:t xml:space="preserve">  </w:t>
      </w:r>
      <w:r w:rsidRPr="00AB25D9" w:rsidR="00AB25D9">
        <w:rPr>
          <w:rFonts w:eastAsia="Calibri"/>
        </w:rPr>
        <w:t>Implementing regulations are codified in parts 101, 102, 104, and 105 (21 CFR</w:t>
      </w:r>
      <w:r w:rsidR="00AB25D9">
        <w:rPr>
          <w:rFonts w:eastAsia="Calibri"/>
        </w:rPr>
        <w:t xml:space="preserve"> </w:t>
      </w:r>
      <w:r w:rsidRPr="00AB25D9" w:rsidR="00AB25D9">
        <w:rPr>
          <w:rFonts w:eastAsia="Calibri"/>
        </w:rPr>
        <w:t>parts 101, 102, 104, and 105).</w:t>
      </w:r>
      <w:r w:rsidR="00AB25D9">
        <w:rPr>
          <w:rFonts w:eastAsia="Calibri"/>
        </w:rPr>
        <w:t xml:space="preserve"> </w:t>
      </w:r>
      <w:r w:rsidRPr="00AB25D9" w:rsidR="00AB25D9">
        <w:rPr>
          <w:rFonts w:eastAsia="Calibri"/>
        </w:rPr>
        <w:t xml:space="preserve"> While regulations in part 101 sets forth general food labeling provisions, requirements pertaining to the common or usual name for non</w:t>
      </w:r>
      <w:r w:rsidR="00FD7B51">
        <w:rPr>
          <w:rFonts w:eastAsia="Calibri"/>
        </w:rPr>
        <w:t>-</w:t>
      </w:r>
      <w:r w:rsidRPr="00AB25D9" w:rsidR="00AB25D9">
        <w:rPr>
          <w:rFonts w:eastAsia="Calibri"/>
        </w:rPr>
        <w:t>standardized foods; guidelines for nutritional quality to prescribe the minimum level or range of nutrient composition appropriate for a given class of food; and requirements for foods for special dietary use are found in parts</w:t>
      </w:r>
      <w:r w:rsidR="00AB25D9">
        <w:rPr>
          <w:rFonts w:eastAsia="Calibri"/>
        </w:rPr>
        <w:t xml:space="preserve"> </w:t>
      </w:r>
      <w:r w:rsidRPr="00AB25D9" w:rsidR="00AB25D9">
        <w:rPr>
          <w:rFonts w:eastAsia="Calibri"/>
        </w:rPr>
        <w:t>102, 104, and 105, respectively</w:t>
      </w:r>
      <w:r w:rsidRPr="00B55B42" w:rsidR="00B55B42">
        <w:rPr>
          <w:rFonts w:eastAsia="Calibri"/>
        </w:rPr>
        <w:t>.</w:t>
      </w:r>
      <w:r w:rsidR="00AB25D9">
        <w:rPr>
          <w:rFonts w:eastAsia="Calibri"/>
        </w:rPr>
        <w:t xml:space="preserve">  </w:t>
      </w:r>
      <w:r w:rsidRPr="00C14A20">
        <w:rPr>
          <w:rFonts w:eastAsia="Calibri"/>
        </w:rPr>
        <w:t xml:space="preserve">The requirements are intended to ensure the safety of food products produced or sold in the United States and enable consumers to be knowledgeable about the foods they purchase and include corresponding information disclosure requirements, along with the reporting and recordkeeping provisions, subject to enforcement by </w:t>
      </w:r>
      <w:r w:rsidR="00AB25D9">
        <w:rPr>
          <w:rFonts w:eastAsia="Calibri"/>
        </w:rPr>
        <w:t>t</w:t>
      </w:r>
      <w:r w:rsidRPr="00AB25D9" w:rsidR="00AB25D9">
        <w:rPr>
          <w:rFonts w:eastAsia="Calibri"/>
        </w:rPr>
        <w:t>he Food and Drug Administration (FDA or Agency)</w:t>
      </w:r>
      <w:r w:rsidRPr="00C14A20">
        <w:rPr>
          <w:rFonts w:eastAsia="Calibri"/>
        </w:rPr>
        <w:t>.</w:t>
      </w:r>
    </w:p>
    <w:p w:rsidR="00984B58" w:rsidP="00A178BD" w14:paraId="24795BA4" w14:textId="77777777">
      <w:pPr>
        <w:rPr>
          <w:rFonts w:eastAsia="Calibri"/>
        </w:rPr>
      </w:pPr>
    </w:p>
    <w:p w:rsidR="006125E6" w:rsidP="00A178BD" w14:paraId="7129CEC1" w14:textId="77777777">
      <w:pPr>
        <w:rPr>
          <w:rFonts w:eastAsia="Calibri"/>
        </w:rPr>
      </w:pPr>
      <w:r w:rsidRPr="00C14A20">
        <w:rPr>
          <w:rFonts w:eastAsia="Calibri"/>
        </w:rPr>
        <w:t xml:space="preserve">We provide information resources regarding food labeling under the FD&amp;C Act and its amendments on our website at </w:t>
      </w:r>
      <w:hyperlink r:id="rId4" w:history="1">
        <w:r w:rsidRPr="00C14A20">
          <w:rPr>
            <w:rStyle w:val="Hyperlink"/>
            <w:rFonts w:eastAsia="Calibri"/>
          </w:rPr>
          <w:t>https://www.fda.gov/food/food-labeling-nutrition</w:t>
        </w:r>
      </w:hyperlink>
      <w:r w:rsidRPr="00C14A20">
        <w:rPr>
          <w:rFonts w:eastAsia="Calibri"/>
        </w:rPr>
        <w:t xml:space="preserve">.  Food labeling is required for most prepared foods, such as breads, cereals, canned and frozen foods, snacks, desserts, drinks, etc.  Nutrition labeling for raw produce (fruits and vegetables) and fish is voluntary.  We refer to these products as "conventional" foods.  For detailed information on dietary supplement labeling requirements visit our website at </w:t>
      </w:r>
      <w:hyperlink r:id="rId5" w:history="1">
        <w:r w:rsidRPr="00C14A20">
          <w:rPr>
            <w:rStyle w:val="Hyperlink"/>
            <w:rFonts w:eastAsia="Calibri"/>
          </w:rPr>
          <w:t>https://www.fda.gov/food/dietary-supplements</w:t>
        </w:r>
      </w:hyperlink>
      <w:r w:rsidRPr="00C14A20">
        <w:rPr>
          <w:rFonts w:eastAsia="Calibri"/>
        </w:rPr>
        <w:t xml:space="preserve">.  Nutrition labeling provides information for use by consumers in selecting a nutritious diet.  Other information enables consumers to comparison shop.  Ingredient information also enables consumers to avoid substances to which they may be sensitive.  Petitions or other requests submitted to us provide the basis for us to permit new labeling statements or to grant exemptions from certain labeling requirements.  Recordkeeping </w:t>
      </w:r>
      <w:r w:rsidRPr="00C14A20">
        <w:rPr>
          <w:rFonts w:eastAsia="Calibri"/>
        </w:rPr>
        <w:t xml:space="preserve">requirements enable us to monitor the basis upon which certain label statements are made for food products and whether those statements are in compliance with the requirements of the FD&amp;C Act or the FPLA.  Requirements include general content and format for the labeling of food packaging, including nutrition and ingredient information.  Additional regulations provide for nutrient content claims. </w:t>
      </w:r>
    </w:p>
    <w:p w:rsidR="00C14A20" w:rsidP="00A178BD" w14:paraId="3679DABA" w14:textId="77722607">
      <w:pPr>
        <w:rPr>
          <w:rFonts w:eastAsia="Calibri"/>
        </w:rPr>
      </w:pPr>
      <w:r w:rsidRPr="00C14A20">
        <w:rPr>
          <w:rFonts w:eastAsia="Calibri"/>
        </w:rPr>
        <w:t xml:space="preserve"> </w:t>
      </w:r>
    </w:p>
    <w:p w:rsidR="008F5726" w:rsidRPr="00C14A20" w:rsidP="00A178BD" w14:paraId="7BC8DC92" w14:textId="77777777">
      <w:pPr>
        <w:rPr>
          <w:rFonts w:eastAsia="Calibri"/>
        </w:rPr>
      </w:pPr>
      <w:r w:rsidRPr="008F5726">
        <w:rPr>
          <w:rFonts w:eastAsia="Calibri"/>
        </w:rPr>
        <w:t>The information collection includes</w:t>
      </w:r>
      <w:r>
        <w:rPr>
          <w:rFonts w:eastAsia="Calibri"/>
        </w:rPr>
        <w:t xml:space="preserve"> </w:t>
      </w:r>
      <w:r w:rsidRPr="006125E6">
        <w:rPr>
          <w:rFonts w:eastAsia="Calibri"/>
          <w:b/>
          <w:bCs/>
        </w:rPr>
        <w:t>Form FDA 3570</w:t>
      </w:r>
      <w:r w:rsidRPr="008F5726">
        <w:rPr>
          <w:rFonts w:eastAsia="Calibri"/>
        </w:rPr>
        <w:t xml:space="preserve"> entitled, </w:t>
      </w:r>
      <w:r>
        <w:rPr>
          <w:rFonts w:eastAsia="Calibri"/>
        </w:rPr>
        <w:t>“</w:t>
      </w:r>
      <w:r w:rsidRPr="006125E6">
        <w:rPr>
          <w:rFonts w:eastAsia="Calibri"/>
          <w:i/>
          <w:iCs/>
        </w:rPr>
        <w:t>Small Business Nutrition Labeling Exemption Notice</w:t>
      </w:r>
      <w:r w:rsidRPr="008F5726">
        <w:rPr>
          <w:rFonts w:eastAsia="Calibri"/>
        </w:rPr>
        <w:t>,</w:t>
      </w:r>
      <w:r>
        <w:rPr>
          <w:rFonts w:eastAsia="Calibri"/>
        </w:rPr>
        <w:t>”</w:t>
      </w:r>
      <w:r w:rsidRPr="008F5726">
        <w:rPr>
          <w:rFonts w:eastAsia="Calibri"/>
        </w:rPr>
        <w:t xml:space="preserve"> for use as applicable and</w:t>
      </w:r>
      <w:r>
        <w:rPr>
          <w:rFonts w:eastAsia="Calibri"/>
        </w:rPr>
        <w:t xml:space="preserve"> </w:t>
      </w:r>
      <w:r w:rsidRPr="008F5726">
        <w:rPr>
          <w:rFonts w:eastAsia="Calibri"/>
        </w:rPr>
        <w:t>available for download from our website</w:t>
      </w:r>
      <w:r>
        <w:rPr>
          <w:rFonts w:eastAsia="Calibri"/>
        </w:rPr>
        <w:t xml:space="preserve"> </w:t>
      </w:r>
      <w:r w:rsidRPr="008F5726">
        <w:rPr>
          <w:rFonts w:eastAsia="Calibri"/>
        </w:rPr>
        <w:t>at</w:t>
      </w:r>
      <w:r>
        <w:rPr>
          <w:rFonts w:eastAsia="Calibri"/>
        </w:rPr>
        <w:t xml:space="preserve"> </w:t>
      </w:r>
      <w:hyperlink r:id="rId6" w:history="1">
        <w:r w:rsidRPr="003F5D6A" w:rsidR="003F5D6A">
          <w:rPr>
            <w:rStyle w:val="Hyperlink"/>
            <w:rFonts w:eastAsia="Calibri"/>
          </w:rPr>
          <w:t>https://www.fda.gov/food/labeling-nutrition-guidance-documents-regulatory-information/small-business-nutrition-labeling-exemption-notice-model-form</w:t>
        </w:r>
      </w:hyperlink>
      <w:r w:rsidRPr="008F5726">
        <w:rPr>
          <w:rFonts w:eastAsia="Calibri"/>
        </w:rPr>
        <w:t>.</w:t>
      </w:r>
    </w:p>
    <w:p w:rsidR="006125E6" w:rsidP="00A178BD" w14:paraId="19B20148" w14:textId="77777777">
      <w:pPr>
        <w:rPr>
          <w:rFonts w:eastAsia="Calibri"/>
        </w:rPr>
      </w:pPr>
    </w:p>
    <w:p w:rsidR="00D145F1" w:rsidP="00A178BD" w14:paraId="4456C91D" w14:textId="3445D8D8">
      <w:pPr>
        <w:rPr>
          <w:rFonts w:eastAsia="Calibri"/>
        </w:rPr>
      </w:pPr>
      <w:r w:rsidRPr="00007CB8">
        <w:rPr>
          <w:rFonts w:eastAsia="Calibri"/>
        </w:rPr>
        <w:t>For operational efficiency</w:t>
      </w:r>
      <w:r>
        <w:rPr>
          <w:rFonts w:eastAsia="Calibri"/>
        </w:rPr>
        <w:t>, w</w:t>
      </w:r>
      <w:r w:rsidRPr="00EB1F28" w:rsidR="00EB1F28">
        <w:rPr>
          <w:rFonts w:eastAsia="Calibri"/>
        </w:rPr>
        <w:t xml:space="preserve">e are revising the information collection to </w:t>
      </w:r>
      <w:r w:rsidRPr="00007CB8">
        <w:rPr>
          <w:rFonts w:eastAsia="Calibri"/>
        </w:rPr>
        <w:t>account for burden</w:t>
      </w:r>
      <w:r>
        <w:rPr>
          <w:rFonts w:eastAsia="Calibri"/>
        </w:rPr>
        <w:t xml:space="preserve"> associated with the</w:t>
      </w:r>
      <w:r w:rsidRPr="00EB1F28" w:rsidR="00EB1F28">
        <w:rPr>
          <w:rFonts w:eastAsia="Calibri"/>
        </w:rPr>
        <w:t xml:space="preserve"> requirements for the labeling of certain beers</w:t>
      </w:r>
      <w:r>
        <w:rPr>
          <w:rFonts w:eastAsia="Calibri"/>
        </w:rPr>
        <w:t>,</w:t>
      </w:r>
      <w:r w:rsidRPr="00EB1F28" w:rsidR="00EB1F28">
        <w:rPr>
          <w:rFonts w:eastAsia="Calibri"/>
        </w:rPr>
        <w:t xml:space="preserve"> currently approved under OMB control number 0910-0728</w:t>
      </w:r>
      <w:r>
        <w:rPr>
          <w:rFonts w:eastAsia="Calibri"/>
        </w:rPr>
        <w:t>.</w:t>
      </w:r>
      <w:r w:rsidRPr="00EB1F28" w:rsidR="00EB1F28">
        <w:rPr>
          <w:rFonts w:eastAsia="Calibri"/>
        </w:rPr>
        <w:t xml:space="preserve"> </w:t>
      </w:r>
      <w:r>
        <w:rPr>
          <w:rFonts w:eastAsia="Calibri"/>
        </w:rPr>
        <w:t xml:space="preserve"> </w:t>
      </w:r>
      <w:r w:rsidRPr="00007CB8">
        <w:rPr>
          <w:rFonts w:eastAsia="Calibri"/>
        </w:rPr>
        <w:t xml:space="preserve">The Tobacco Tax and Trade Bureau </w:t>
      </w:r>
      <w:r w:rsidR="00CB191E">
        <w:rPr>
          <w:rFonts w:eastAsia="Calibri"/>
        </w:rPr>
        <w:t xml:space="preserve">(TTB) </w:t>
      </w:r>
      <w:r w:rsidRPr="00007CB8">
        <w:rPr>
          <w:rFonts w:eastAsia="Calibri"/>
        </w:rPr>
        <w:t>is responsible for the dissemination and enforcement of regulations with respect to the labeling of distilled spirits, certain wines, and malt beverages issued in the Federal Alcohol Administration Act</w:t>
      </w:r>
      <w:r w:rsidR="00CB191E">
        <w:rPr>
          <w:rFonts w:eastAsia="Calibri"/>
        </w:rPr>
        <w:t xml:space="preserve"> (FAA Act)</w:t>
      </w:r>
      <w:r w:rsidRPr="00007CB8">
        <w:rPr>
          <w:rFonts w:eastAsia="Calibri"/>
        </w:rPr>
        <w:t xml:space="preserve">.  However, and as discussed in </w:t>
      </w:r>
      <w:r>
        <w:rPr>
          <w:rFonts w:eastAsia="Calibri"/>
        </w:rPr>
        <w:t>the associated</w:t>
      </w:r>
      <w:r w:rsidRPr="00007CB8">
        <w:rPr>
          <w:rFonts w:eastAsia="Calibri"/>
        </w:rPr>
        <w:t xml:space="preserve"> guidance document, certain bottled or otherwise packaged beers are subject to section 403 of the FD&amp;C Act.</w:t>
      </w:r>
      <w:r w:rsidR="00A916BA">
        <w:rPr>
          <w:rFonts w:eastAsia="Calibri"/>
        </w:rPr>
        <w:t xml:space="preserve">  </w:t>
      </w:r>
      <w:r w:rsidRPr="00D145F1">
        <w:rPr>
          <w:rFonts w:eastAsia="Calibri"/>
        </w:rPr>
        <w:t>We are also revising the information collection to include requirements applicable to the</w:t>
      </w:r>
      <w:r>
        <w:rPr>
          <w:rFonts w:eastAsia="Calibri"/>
        </w:rPr>
        <w:t xml:space="preserve"> </w:t>
      </w:r>
      <w:r w:rsidRPr="00D145F1">
        <w:rPr>
          <w:rFonts w:eastAsia="Calibri"/>
        </w:rPr>
        <w:t xml:space="preserve">gluten-free labeling of </w:t>
      </w:r>
      <w:bookmarkStart w:id="0" w:name="_Hlk139280903"/>
      <w:r w:rsidRPr="00D145F1">
        <w:rPr>
          <w:rFonts w:eastAsia="Calibri"/>
        </w:rPr>
        <w:t>fermented or hydrolyzed foods</w:t>
      </w:r>
      <w:bookmarkEnd w:id="0"/>
      <w:r>
        <w:rPr>
          <w:rFonts w:eastAsia="Calibri"/>
        </w:rPr>
        <w:t xml:space="preserve"> </w:t>
      </w:r>
      <w:r w:rsidRPr="00D145F1">
        <w:rPr>
          <w:rFonts w:eastAsia="Calibri"/>
        </w:rPr>
        <w:t>established through rulemaking (RIN 0910</w:t>
      </w:r>
      <w:r>
        <w:rPr>
          <w:rFonts w:eastAsia="Calibri"/>
        </w:rPr>
        <w:t>-</w:t>
      </w:r>
      <w:r w:rsidRPr="00D145F1">
        <w:rPr>
          <w:rFonts w:eastAsia="Calibri"/>
        </w:rPr>
        <w:t xml:space="preserve">AH00) and approved </w:t>
      </w:r>
      <w:r>
        <w:rPr>
          <w:rFonts w:eastAsia="Calibri"/>
        </w:rPr>
        <w:t>under</w:t>
      </w:r>
      <w:r w:rsidRPr="00D145F1">
        <w:rPr>
          <w:rFonts w:eastAsia="Calibri"/>
        </w:rPr>
        <w:t xml:space="preserve"> OMB</w:t>
      </w:r>
      <w:r>
        <w:rPr>
          <w:rFonts w:eastAsia="Calibri"/>
        </w:rPr>
        <w:t xml:space="preserve"> </w:t>
      </w:r>
      <w:r w:rsidRPr="00D145F1">
        <w:rPr>
          <w:rFonts w:eastAsia="Calibri"/>
        </w:rPr>
        <w:t>control number 0910</w:t>
      </w:r>
      <w:r>
        <w:rPr>
          <w:rFonts w:eastAsia="Calibri"/>
        </w:rPr>
        <w:t>-</w:t>
      </w:r>
      <w:r w:rsidRPr="00D145F1">
        <w:rPr>
          <w:rFonts w:eastAsia="Calibri"/>
        </w:rPr>
        <w:t>0817.</w:t>
      </w:r>
    </w:p>
    <w:p w:rsidR="00A916BA" w:rsidP="00A178BD" w14:paraId="0FDAE44C" w14:textId="77777777">
      <w:pPr>
        <w:rPr>
          <w:rFonts w:eastAsia="Calibri"/>
        </w:rPr>
      </w:pPr>
    </w:p>
    <w:p w:rsidR="006D1195" w:rsidP="00A178BD" w14:paraId="2FB98AC3" w14:textId="1E612526">
      <w:pPr>
        <w:rPr>
          <w:rFonts w:eastAsia="Calibri"/>
        </w:rPr>
      </w:pPr>
      <w:r w:rsidRPr="006D1195">
        <w:rPr>
          <w:rFonts w:eastAsia="Calibri"/>
        </w:rPr>
        <w:t>To assist respondents with the information collection, we have developed the following agency</w:t>
      </w:r>
      <w:r w:rsidR="00EB1790">
        <w:rPr>
          <w:rFonts w:eastAsia="Calibri"/>
        </w:rPr>
        <w:t xml:space="preserve"> </w:t>
      </w:r>
      <w:r w:rsidRPr="006D1195">
        <w:rPr>
          <w:rFonts w:eastAsia="Calibri"/>
        </w:rPr>
        <w:t>guidance documents:</w:t>
      </w:r>
    </w:p>
    <w:p w:rsidR="00984B58" w:rsidP="00A178BD" w14:paraId="6E3CCB5A" w14:textId="77777777">
      <w:pPr>
        <w:rPr>
          <w:rFonts w:eastAsia="Calibri"/>
        </w:rPr>
      </w:pPr>
    </w:p>
    <w:p w:rsidR="006D1195" w:rsidP="00A178BD" w14:paraId="7C0D3533" w14:textId="77777777">
      <w:pPr>
        <w:autoSpaceDE w:val="0"/>
        <w:autoSpaceDN w:val="0"/>
        <w:adjustRightInd w:val="0"/>
        <w:rPr>
          <w:color w:val="000000"/>
        </w:rPr>
      </w:pPr>
      <w:r>
        <w:rPr>
          <w:i/>
          <w:iCs/>
          <w:color w:val="000000"/>
        </w:rPr>
        <w:t>Guidance for Industry: Notification of a Health Claim or Nutrient Content Claim Based on</w:t>
      </w:r>
      <w:r w:rsidR="00B91C25">
        <w:rPr>
          <w:i/>
          <w:iCs/>
          <w:color w:val="000000"/>
        </w:rPr>
        <w:t xml:space="preserve"> </w:t>
      </w:r>
      <w:r>
        <w:rPr>
          <w:i/>
          <w:iCs/>
          <w:color w:val="000000"/>
        </w:rPr>
        <w:t>an Authoritative Statement of a Scientific Body</w:t>
      </w:r>
      <w:r w:rsidR="00C14A20">
        <w:rPr>
          <w:i/>
          <w:iCs/>
          <w:color w:val="000000"/>
        </w:rPr>
        <w:t xml:space="preserve"> </w:t>
      </w:r>
      <w:r w:rsidR="00B55B42">
        <w:rPr>
          <w:color w:val="000000"/>
        </w:rPr>
        <w:t>(</w:t>
      </w:r>
      <w:r w:rsidR="00571CE2">
        <w:rPr>
          <w:color w:val="000000"/>
        </w:rPr>
        <w:t xml:space="preserve">June </w:t>
      </w:r>
      <w:r w:rsidR="00B55B42">
        <w:rPr>
          <w:color w:val="000000"/>
        </w:rPr>
        <w:t>1998)</w:t>
      </w:r>
      <w:r w:rsidR="00EB1F28">
        <w:rPr>
          <w:color w:val="000000"/>
        </w:rPr>
        <w:t xml:space="preserve"> (</w:t>
      </w:r>
      <w:hyperlink r:id="rId7" w:history="1">
        <w:r w:rsidRPr="006E7758" w:rsidR="00C14A20">
          <w:rPr>
            <w:rStyle w:val="Hyperlink"/>
          </w:rPr>
          <w:t>https://www.fda.gov/regulatory-information/search-fda-guidance-documents/guidance-industry-notification-health-claim-or-nutrient-content-claim-based-authoritative-statement</w:t>
        </w:r>
      </w:hyperlink>
      <w:r w:rsidR="00EB1F28">
        <w:rPr>
          <w:color w:val="000000"/>
        </w:rPr>
        <w:t>)</w:t>
      </w:r>
      <w:r w:rsidR="006E7758">
        <w:rPr>
          <w:color w:val="000000"/>
        </w:rPr>
        <w:t>;</w:t>
      </w:r>
    </w:p>
    <w:p w:rsidR="00B91C25" w:rsidP="00A178BD" w14:paraId="21BEE7FB" w14:textId="77777777">
      <w:pPr>
        <w:autoSpaceDE w:val="0"/>
        <w:autoSpaceDN w:val="0"/>
        <w:adjustRightInd w:val="0"/>
        <w:ind w:firstLine="720"/>
        <w:rPr>
          <w:color w:val="000000"/>
        </w:rPr>
      </w:pPr>
    </w:p>
    <w:p w:rsidR="006D1195" w:rsidP="00A178BD" w14:paraId="33D644CD" w14:textId="77777777">
      <w:pPr>
        <w:autoSpaceDE w:val="0"/>
        <w:autoSpaceDN w:val="0"/>
        <w:adjustRightInd w:val="0"/>
        <w:rPr>
          <w:color w:val="000000"/>
        </w:rPr>
      </w:pPr>
      <w:r>
        <w:rPr>
          <w:i/>
          <w:iCs/>
          <w:color w:val="000000"/>
        </w:rPr>
        <w:t>Guidance for Industry: Substantiation for Dietary Supplement Claims Made Under Section</w:t>
      </w:r>
      <w:r w:rsidR="00B91C25">
        <w:rPr>
          <w:i/>
          <w:iCs/>
          <w:color w:val="000000"/>
        </w:rPr>
        <w:t xml:space="preserve"> </w:t>
      </w:r>
      <w:r>
        <w:rPr>
          <w:i/>
          <w:iCs/>
          <w:color w:val="000000"/>
        </w:rPr>
        <w:t xml:space="preserve">403(r)(6) of the Federal Food, Drug, and Cosmetic Act </w:t>
      </w:r>
      <w:r w:rsidR="00B55B42">
        <w:rPr>
          <w:color w:val="000000"/>
        </w:rPr>
        <w:t>(</w:t>
      </w:r>
      <w:r w:rsidR="00571CE2">
        <w:rPr>
          <w:color w:val="000000"/>
        </w:rPr>
        <w:t xml:space="preserve">January </w:t>
      </w:r>
      <w:r w:rsidR="00B55B42">
        <w:rPr>
          <w:color w:val="000000"/>
        </w:rPr>
        <w:t>2009)</w:t>
      </w:r>
      <w:r w:rsidR="006E7758">
        <w:rPr>
          <w:color w:val="000000"/>
        </w:rPr>
        <w:t xml:space="preserve"> </w:t>
      </w:r>
      <w:r w:rsidR="00EB1F28">
        <w:rPr>
          <w:color w:val="000000"/>
        </w:rPr>
        <w:t>(</w:t>
      </w:r>
      <w:hyperlink r:id="rId8" w:history="1">
        <w:r w:rsidRPr="006E7758" w:rsidR="006E7758">
          <w:rPr>
            <w:rStyle w:val="Hyperlink"/>
          </w:rPr>
          <w:t>https://www.fda.gov/regulatory-information/search-fda-guidance-documents/guidance-industry-substantiation-dietary-supplement-claims-made-under-section-403r-6-federal-food</w:t>
        </w:r>
      </w:hyperlink>
      <w:r w:rsidR="00EB1F28">
        <w:rPr>
          <w:color w:val="000000"/>
        </w:rPr>
        <w:t>)</w:t>
      </w:r>
      <w:r>
        <w:rPr>
          <w:color w:val="000000"/>
        </w:rPr>
        <w:t>;</w:t>
      </w:r>
    </w:p>
    <w:p w:rsidR="006E7758" w:rsidP="00A178BD" w14:paraId="3E1A444A" w14:textId="77777777">
      <w:pPr>
        <w:autoSpaceDE w:val="0"/>
        <w:autoSpaceDN w:val="0"/>
        <w:adjustRightInd w:val="0"/>
        <w:rPr>
          <w:color w:val="000000"/>
        </w:rPr>
      </w:pPr>
    </w:p>
    <w:p w:rsidR="006D1195" w:rsidP="00A178BD" w14:paraId="10BAA03B" w14:textId="77777777">
      <w:pPr>
        <w:tabs>
          <w:tab w:val="left" w:pos="8265"/>
        </w:tabs>
        <w:autoSpaceDE w:val="0"/>
        <w:autoSpaceDN w:val="0"/>
        <w:adjustRightInd w:val="0"/>
        <w:rPr>
          <w:color w:val="000000"/>
        </w:rPr>
      </w:pPr>
      <w:r>
        <w:rPr>
          <w:i/>
          <w:iCs/>
          <w:color w:val="000000"/>
        </w:rPr>
        <w:t>Guidance for Industry: Questions and Answers Regarding the Labeling of Dietary</w:t>
      </w:r>
      <w:r w:rsidR="00B91C25">
        <w:rPr>
          <w:i/>
          <w:iCs/>
          <w:color w:val="000000"/>
        </w:rPr>
        <w:t xml:space="preserve"> </w:t>
      </w:r>
      <w:r>
        <w:rPr>
          <w:i/>
          <w:iCs/>
          <w:color w:val="000000"/>
        </w:rPr>
        <w:t>Supplements as Required by the Dietary Supplement and Nonprescription Drug Consumer</w:t>
      </w:r>
      <w:r w:rsidR="00B91C25">
        <w:rPr>
          <w:i/>
          <w:iCs/>
          <w:color w:val="000000"/>
        </w:rPr>
        <w:t xml:space="preserve"> </w:t>
      </w:r>
      <w:r>
        <w:rPr>
          <w:i/>
          <w:iCs/>
          <w:color w:val="000000"/>
        </w:rPr>
        <w:t xml:space="preserve">Protection Act </w:t>
      </w:r>
      <w:r w:rsidR="00B55B42">
        <w:rPr>
          <w:color w:val="000000"/>
        </w:rPr>
        <w:t>(</w:t>
      </w:r>
      <w:r w:rsidR="00571CE2">
        <w:rPr>
          <w:color w:val="000000"/>
        </w:rPr>
        <w:t xml:space="preserve">September </w:t>
      </w:r>
      <w:r w:rsidR="00B55B42">
        <w:rPr>
          <w:color w:val="000000"/>
        </w:rPr>
        <w:t xml:space="preserve">2009) </w:t>
      </w:r>
      <w:r w:rsidR="00EB1F28">
        <w:rPr>
          <w:color w:val="000000"/>
        </w:rPr>
        <w:t>(</w:t>
      </w:r>
      <w:hyperlink r:id="rId9" w:history="1">
        <w:r w:rsidRPr="006E7758" w:rsidR="006E7758">
          <w:rPr>
            <w:rStyle w:val="Hyperlink"/>
          </w:rPr>
          <w:t>https://www.fda.gov/regulatory-information/search-fda-guidance-documents/guidance-industry-questions-and-answers-regarding-labeling-dietary-supplements-required-dietary</w:t>
        </w:r>
      </w:hyperlink>
      <w:r w:rsidR="00EB1F28">
        <w:rPr>
          <w:color w:val="000000"/>
        </w:rPr>
        <w:t>); and</w:t>
      </w:r>
    </w:p>
    <w:p w:rsidR="00B91C25" w:rsidP="00A178BD" w14:paraId="62A1A6A3" w14:textId="77777777">
      <w:pPr>
        <w:autoSpaceDE w:val="0"/>
        <w:autoSpaceDN w:val="0"/>
        <w:adjustRightInd w:val="0"/>
        <w:rPr>
          <w:color w:val="000000"/>
        </w:rPr>
      </w:pPr>
    </w:p>
    <w:p w:rsidR="006E7758" w:rsidP="00A178BD" w14:paraId="6E82A5AF" w14:textId="5A6479C1">
      <w:pPr>
        <w:autoSpaceDE w:val="0"/>
        <w:autoSpaceDN w:val="0"/>
        <w:adjustRightInd w:val="0"/>
        <w:rPr>
          <w:color w:val="000000"/>
        </w:rPr>
      </w:pPr>
      <w:bookmarkStart w:id="1" w:name="_Hlk139452257"/>
      <w:r w:rsidRPr="005A0DE8">
        <w:rPr>
          <w:i/>
          <w:iCs/>
          <w:color w:val="000000"/>
        </w:rPr>
        <w:t>Labeling of Certain Beers Subject to the Labeling Jurisdiction of the Food and Drug Administration</w:t>
      </w:r>
      <w:r w:rsidRPr="006E7758">
        <w:rPr>
          <w:color w:val="000000"/>
        </w:rPr>
        <w:t xml:space="preserve"> (</w:t>
      </w:r>
      <w:r w:rsidR="00CA2294">
        <w:rPr>
          <w:color w:val="000000"/>
        </w:rPr>
        <w:t xml:space="preserve">issued December </w:t>
      </w:r>
      <w:r w:rsidR="006A5030">
        <w:rPr>
          <w:color w:val="000000"/>
        </w:rPr>
        <w:t xml:space="preserve">2014; updated </w:t>
      </w:r>
      <w:r w:rsidR="00EB1F28">
        <w:rPr>
          <w:color w:val="000000"/>
        </w:rPr>
        <w:t>April 2023</w:t>
      </w:r>
      <w:r w:rsidRPr="006A5030" w:rsidR="006A5030">
        <w:t xml:space="preserve"> </w:t>
      </w:r>
      <w:r w:rsidRPr="006A5030" w:rsidR="006A5030">
        <w:rPr>
          <w:color w:val="000000"/>
        </w:rPr>
        <w:t xml:space="preserve">to refer to 21 CFR part 117, to include </w:t>
      </w:r>
      <w:r w:rsidRPr="006A5030" w:rsidR="00AA4564">
        <w:rPr>
          <w:color w:val="000000"/>
        </w:rPr>
        <w:t>the allergen</w:t>
      </w:r>
      <w:r w:rsidRPr="006A5030" w:rsidR="006A5030">
        <w:rPr>
          <w:color w:val="000000"/>
        </w:rPr>
        <w:t xml:space="preserve"> sesame, to remove outdated enforcement discretion text, and to make other non-substantive formatting or editorial revisions</w:t>
      </w:r>
      <w:r w:rsidRPr="006E7758">
        <w:rPr>
          <w:color w:val="000000"/>
        </w:rPr>
        <w:t>)</w:t>
      </w:r>
      <w:r w:rsidR="00EB1F28">
        <w:rPr>
          <w:color w:val="000000"/>
        </w:rPr>
        <w:t xml:space="preserve"> </w:t>
      </w:r>
      <w:bookmarkEnd w:id="1"/>
      <w:r w:rsidR="00EB1F28">
        <w:rPr>
          <w:color w:val="000000"/>
        </w:rPr>
        <w:t>(</w:t>
      </w:r>
      <w:hyperlink r:id="rId10" w:history="1">
        <w:r w:rsidRPr="0054058E" w:rsidR="00EB1F28">
          <w:rPr>
            <w:rStyle w:val="Hyperlink"/>
          </w:rPr>
          <w:t>https://www.fda.gov/regulatory-information/search-fda-guidance-documents/guidance-industry-labeling-certain-beers-subject-labeling-jurisdiction-food-and-drug-administration</w:t>
        </w:r>
      </w:hyperlink>
      <w:r w:rsidR="00EB1F28">
        <w:rPr>
          <w:color w:val="000000"/>
        </w:rPr>
        <w:t>)</w:t>
      </w:r>
      <w:r w:rsidRPr="006E7758">
        <w:rPr>
          <w:color w:val="000000"/>
        </w:rPr>
        <w:t>.</w:t>
      </w:r>
    </w:p>
    <w:p w:rsidR="006E7758" w:rsidP="00A178BD" w14:paraId="251B2F0D" w14:textId="77777777">
      <w:pPr>
        <w:autoSpaceDE w:val="0"/>
        <w:autoSpaceDN w:val="0"/>
        <w:adjustRightInd w:val="0"/>
        <w:rPr>
          <w:color w:val="000000"/>
        </w:rPr>
      </w:pPr>
    </w:p>
    <w:p w:rsidR="006D1195" w:rsidP="00A178BD" w14:paraId="1EE8BE98" w14:textId="5ACB31B6">
      <w:pPr>
        <w:autoSpaceDE w:val="0"/>
        <w:autoSpaceDN w:val="0"/>
        <w:adjustRightInd w:val="0"/>
        <w:rPr>
          <w:color w:val="000000"/>
        </w:rPr>
      </w:pPr>
      <w:r>
        <w:rPr>
          <w:color w:val="000000"/>
        </w:rPr>
        <w:t>W</w:t>
      </w:r>
      <w:r>
        <w:rPr>
          <w:color w:val="000000"/>
        </w:rPr>
        <w:t xml:space="preserve">e </w:t>
      </w:r>
      <w:r>
        <w:rPr>
          <w:color w:val="000000"/>
        </w:rPr>
        <w:t xml:space="preserve">therefore </w:t>
      </w:r>
      <w:r>
        <w:rPr>
          <w:color w:val="000000"/>
        </w:rPr>
        <w:t>request OMB approval of the information collection provisions in 21</w:t>
      </w:r>
      <w:r w:rsidR="00B91C25">
        <w:rPr>
          <w:color w:val="000000"/>
        </w:rPr>
        <w:t xml:space="preserve"> </w:t>
      </w:r>
      <w:r>
        <w:rPr>
          <w:color w:val="000000"/>
        </w:rPr>
        <w:t>CFR parts 101, 102, 104, and 105; Form FDA 3570; and the agency guidance documents</w:t>
      </w:r>
      <w:r w:rsidR="00B91C25">
        <w:rPr>
          <w:color w:val="000000"/>
        </w:rPr>
        <w:t xml:space="preserve"> </w:t>
      </w:r>
      <w:r>
        <w:rPr>
          <w:color w:val="000000"/>
        </w:rPr>
        <w:t>identified and discussed in this supporting statement.</w:t>
      </w:r>
    </w:p>
    <w:p w:rsidR="00357C8A" w:rsidRPr="00A97A7E" w:rsidP="00A178BD" w14:paraId="61E4A1E3" w14:textId="77777777">
      <w:pPr>
        <w:autoSpaceDE w:val="0"/>
        <w:autoSpaceDN w:val="0"/>
        <w:adjustRightInd w:val="0"/>
        <w:rPr>
          <w:rFonts w:eastAsia="Calibri"/>
          <w:color w:val="000000"/>
        </w:rPr>
      </w:pPr>
    </w:p>
    <w:p w:rsidR="00357C8A" w:rsidRPr="00357C8A" w:rsidP="00A178BD" w14:paraId="1B23650C" w14:textId="77777777">
      <w:pPr>
        <w:numPr>
          <w:ilvl w:val="0"/>
          <w:numId w:val="6"/>
        </w:numPr>
        <w:spacing w:line="276" w:lineRule="auto"/>
        <w:ind w:left="0"/>
        <w:rPr>
          <w:rFonts w:eastAsia="Calibri"/>
          <w:u w:val="single"/>
        </w:rPr>
      </w:pPr>
      <w:r w:rsidRPr="00357C8A">
        <w:rPr>
          <w:rFonts w:eastAsia="Calibri"/>
          <w:u w:val="single"/>
        </w:rPr>
        <w:t xml:space="preserve">Purpose and Use of the Information Collection </w:t>
      </w:r>
    </w:p>
    <w:p w:rsidR="003C1F7F" w:rsidP="00A178BD" w14:paraId="1E1D99B8" w14:textId="77777777">
      <w:pPr>
        <w:rPr>
          <w:rFonts w:eastAsia="Calibri"/>
        </w:rPr>
      </w:pPr>
    </w:p>
    <w:p w:rsidR="006D1195" w:rsidP="00A178BD" w14:paraId="37E84032" w14:textId="3D3E67B7">
      <w:pPr>
        <w:rPr>
          <w:rFonts w:eastAsia="Calibri"/>
        </w:rPr>
      </w:pPr>
      <w:r w:rsidRPr="006D1195">
        <w:rPr>
          <w:rFonts w:eastAsia="Calibri"/>
        </w:rPr>
        <w:t>The purpose of our food labeling requirements</w:t>
      </w:r>
      <w:r w:rsidR="008E7E2F">
        <w:rPr>
          <w:rFonts w:eastAsia="Calibri"/>
        </w:rPr>
        <w:t xml:space="preserve">, including labeling of certain beers and gluten-free </w:t>
      </w:r>
      <w:r w:rsidRPr="00B63CA1" w:rsidR="00B63CA1">
        <w:rPr>
          <w:rFonts w:eastAsia="Calibri"/>
        </w:rPr>
        <w:t>fermented or hydrolyzed foods</w:t>
      </w:r>
      <w:r w:rsidR="008E7E2F">
        <w:rPr>
          <w:rFonts w:eastAsia="Calibri"/>
        </w:rPr>
        <w:t xml:space="preserve">, </w:t>
      </w:r>
      <w:r w:rsidRPr="006D1195">
        <w:rPr>
          <w:rFonts w:eastAsia="Calibri"/>
        </w:rPr>
        <w:t>is to ensure that products offered to consumers</w:t>
      </w:r>
      <w:r w:rsidR="00B91C25">
        <w:rPr>
          <w:rFonts w:eastAsia="Calibri"/>
        </w:rPr>
        <w:t xml:space="preserve"> </w:t>
      </w:r>
      <w:r w:rsidRPr="006D1195">
        <w:rPr>
          <w:rFonts w:eastAsia="Calibri"/>
        </w:rPr>
        <w:t xml:space="preserve">include specific disclosures and is not misbranded. </w:t>
      </w:r>
      <w:r w:rsidR="00B91C25">
        <w:rPr>
          <w:rFonts w:eastAsia="Calibri"/>
        </w:rPr>
        <w:t xml:space="preserve"> </w:t>
      </w:r>
      <w:r w:rsidRPr="006D1195">
        <w:rPr>
          <w:rFonts w:eastAsia="Calibri"/>
        </w:rPr>
        <w:t>Consumers need to be knowledgeable about</w:t>
      </w:r>
      <w:r w:rsidR="00B91C25">
        <w:rPr>
          <w:rFonts w:eastAsia="Calibri"/>
        </w:rPr>
        <w:t xml:space="preserve"> </w:t>
      </w:r>
      <w:r w:rsidRPr="006D1195">
        <w:rPr>
          <w:rFonts w:eastAsia="Calibri"/>
        </w:rPr>
        <w:t xml:space="preserve">foods they purchase. </w:t>
      </w:r>
      <w:r w:rsidR="00B91C25">
        <w:rPr>
          <w:rFonts w:eastAsia="Calibri"/>
        </w:rPr>
        <w:t xml:space="preserve"> </w:t>
      </w:r>
      <w:r w:rsidRPr="006D1195">
        <w:rPr>
          <w:rFonts w:eastAsia="Calibri"/>
        </w:rPr>
        <w:t>Nutrition labeling provides information for use by consumers in selecting a</w:t>
      </w:r>
      <w:r w:rsidR="00B91C25">
        <w:rPr>
          <w:rFonts w:eastAsia="Calibri"/>
        </w:rPr>
        <w:t xml:space="preserve"> </w:t>
      </w:r>
      <w:r w:rsidRPr="006D1195">
        <w:rPr>
          <w:rFonts w:eastAsia="Calibri"/>
        </w:rPr>
        <w:t xml:space="preserve">nutritious diet. </w:t>
      </w:r>
      <w:r w:rsidR="00B91C25">
        <w:rPr>
          <w:rFonts w:eastAsia="Calibri"/>
        </w:rPr>
        <w:t xml:space="preserve"> </w:t>
      </w:r>
      <w:r w:rsidRPr="006D1195">
        <w:rPr>
          <w:rFonts w:eastAsia="Calibri"/>
        </w:rPr>
        <w:t>Ingredient information also enables consumers to avoid substances to which they</w:t>
      </w:r>
      <w:r w:rsidR="00B91C25">
        <w:rPr>
          <w:rFonts w:eastAsia="Calibri"/>
        </w:rPr>
        <w:t xml:space="preserve"> </w:t>
      </w:r>
      <w:r w:rsidRPr="006D1195">
        <w:rPr>
          <w:rFonts w:eastAsia="Calibri"/>
        </w:rPr>
        <w:t xml:space="preserve">may be sensitive. </w:t>
      </w:r>
      <w:r w:rsidR="00B91C25">
        <w:rPr>
          <w:rFonts w:eastAsia="Calibri"/>
        </w:rPr>
        <w:t xml:space="preserve"> </w:t>
      </w:r>
      <w:r w:rsidRPr="006D1195">
        <w:rPr>
          <w:rFonts w:eastAsia="Calibri"/>
        </w:rPr>
        <w:t>Petitions or other requests submitted to us provide the basis for us to permit</w:t>
      </w:r>
      <w:r w:rsidR="00B91C25">
        <w:rPr>
          <w:rFonts w:eastAsia="Calibri"/>
        </w:rPr>
        <w:t xml:space="preserve"> </w:t>
      </w:r>
      <w:r w:rsidRPr="006D1195">
        <w:rPr>
          <w:rFonts w:eastAsia="Calibri"/>
        </w:rPr>
        <w:t>new labeling statements or to grant exemptions from certain labeling requirements.</w:t>
      </w:r>
      <w:r w:rsidR="00C20DF3">
        <w:rPr>
          <w:rFonts w:eastAsia="Calibri"/>
        </w:rPr>
        <w:t xml:space="preserve">  </w:t>
      </w:r>
      <w:r w:rsidRPr="006D1195">
        <w:rPr>
          <w:rFonts w:eastAsia="Calibri"/>
        </w:rPr>
        <w:t>Recordkeeping requirements enable us to monitor the basis upon which certain label statements</w:t>
      </w:r>
      <w:r w:rsidR="00B91C25">
        <w:rPr>
          <w:rFonts w:eastAsia="Calibri"/>
        </w:rPr>
        <w:t xml:space="preserve"> </w:t>
      </w:r>
      <w:r w:rsidRPr="006D1195">
        <w:rPr>
          <w:rFonts w:eastAsia="Calibri"/>
        </w:rPr>
        <w:t>are made for food products and whether those statements are in compliance with the</w:t>
      </w:r>
      <w:r w:rsidR="00B91C25">
        <w:rPr>
          <w:rFonts w:eastAsia="Calibri"/>
        </w:rPr>
        <w:t xml:space="preserve"> </w:t>
      </w:r>
      <w:r w:rsidRPr="006D1195">
        <w:rPr>
          <w:rFonts w:eastAsia="Calibri"/>
        </w:rPr>
        <w:t xml:space="preserve">requirements of the FD&amp;C Act or the FPLA. </w:t>
      </w:r>
      <w:r w:rsidR="00B91C25">
        <w:rPr>
          <w:rFonts w:eastAsia="Calibri"/>
        </w:rPr>
        <w:t xml:space="preserve"> </w:t>
      </w:r>
      <w:r w:rsidRPr="006D1195">
        <w:rPr>
          <w:rFonts w:eastAsia="Calibri"/>
        </w:rPr>
        <w:t>Products not in compliance with section 403 of the</w:t>
      </w:r>
      <w:r w:rsidR="00B91C25">
        <w:rPr>
          <w:rFonts w:eastAsia="Calibri"/>
        </w:rPr>
        <w:t xml:space="preserve"> </w:t>
      </w:r>
      <w:r w:rsidRPr="006D1195">
        <w:rPr>
          <w:rFonts w:eastAsia="Calibri"/>
        </w:rPr>
        <w:t>FD&amp;C Act and parts 101, 102, 104, and 105 of our implementing food labeling regulations may</w:t>
      </w:r>
      <w:r w:rsidR="00B91C25">
        <w:rPr>
          <w:rFonts w:eastAsia="Calibri"/>
        </w:rPr>
        <w:t xml:space="preserve"> </w:t>
      </w:r>
      <w:r w:rsidRPr="006D1195">
        <w:rPr>
          <w:rFonts w:eastAsia="Calibri"/>
        </w:rPr>
        <w:t>be rendered misbranded under the FD&amp;C Act and the manufacturer and the product subject to</w:t>
      </w:r>
      <w:r w:rsidR="00B91C25">
        <w:rPr>
          <w:rFonts w:eastAsia="Calibri"/>
        </w:rPr>
        <w:t xml:space="preserve"> </w:t>
      </w:r>
      <w:r w:rsidRPr="006D1195">
        <w:rPr>
          <w:rFonts w:eastAsia="Calibri"/>
        </w:rPr>
        <w:t xml:space="preserve">regulatory action. </w:t>
      </w:r>
      <w:r w:rsidR="00B91C25">
        <w:rPr>
          <w:rFonts w:eastAsia="Calibri"/>
        </w:rPr>
        <w:t xml:space="preserve"> </w:t>
      </w:r>
      <w:r w:rsidRPr="006D1195">
        <w:rPr>
          <w:rFonts w:eastAsia="Calibri"/>
        </w:rPr>
        <w:t>We use information submitted in nutrient content claim or health claim</w:t>
      </w:r>
      <w:r w:rsidR="00B91C25">
        <w:rPr>
          <w:rFonts w:eastAsia="Calibri"/>
        </w:rPr>
        <w:t xml:space="preserve"> </w:t>
      </w:r>
      <w:r w:rsidRPr="006D1195">
        <w:rPr>
          <w:rFonts w:eastAsia="Calibri"/>
        </w:rPr>
        <w:t xml:space="preserve">petitions to verify nutrient and health claims. </w:t>
      </w:r>
      <w:r w:rsidR="00B91C25">
        <w:rPr>
          <w:rFonts w:eastAsia="Calibri"/>
        </w:rPr>
        <w:t xml:space="preserve"> </w:t>
      </w:r>
      <w:r w:rsidRPr="006D1195">
        <w:rPr>
          <w:rFonts w:eastAsia="Calibri"/>
        </w:rPr>
        <w:t>The requirements in §§ 101.69 and 101.70 are</w:t>
      </w:r>
      <w:r w:rsidR="00B91C25">
        <w:rPr>
          <w:rFonts w:eastAsia="Calibri"/>
        </w:rPr>
        <w:t xml:space="preserve"> </w:t>
      </w:r>
      <w:r w:rsidRPr="006D1195">
        <w:rPr>
          <w:rFonts w:eastAsia="Calibri"/>
        </w:rPr>
        <w:t xml:space="preserve">those that we believe are necessary to fulfill the requirements of the FD&amp;C Act. </w:t>
      </w:r>
      <w:r w:rsidR="00B91C25">
        <w:rPr>
          <w:rFonts w:eastAsia="Calibri"/>
        </w:rPr>
        <w:t xml:space="preserve"> </w:t>
      </w:r>
      <w:r w:rsidRPr="006D1195">
        <w:rPr>
          <w:rFonts w:eastAsia="Calibri"/>
        </w:rPr>
        <w:t>We also use</w:t>
      </w:r>
      <w:r w:rsidR="00B91C25">
        <w:rPr>
          <w:rFonts w:eastAsia="Calibri"/>
        </w:rPr>
        <w:t xml:space="preserve"> </w:t>
      </w:r>
      <w:r w:rsidRPr="006D1195">
        <w:rPr>
          <w:rFonts w:eastAsia="Calibri"/>
        </w:rPr>
        <w:t>information submitted to verify that a Scientific Body of the United States Government or the</w:t>
      </w:r>
      <w:r w:rsidR="00B91C25">
        <w:rPr>
          <w:rFonts w:eastAsia="Calibri"/>
        </w:rPr>
        <w:t xml:space="preserve"> </w:t>
      </w:r>
      <w:r w:rsidRPr="006D1195">
        <w:rPr>
          <w:rFonts w:eastAsia="Calibri"/>
        </w:rPr>
        <w:t>National Academy of Sciences has published an authoritative statement which is currently in</w:t>
      </w:r>
      <w:r w:rsidR="00B91C25">
        <w:rPr>
          <w:rFonts w:eastAsia="Calibri"/>
        </w:rPr>
        <w:t xml:space="preserve"> </w:t>
      </w:r>
      <w:r w:rsidRPr="006D1195">
        <w:rPr>
          <w:rFonts w:eastAsia="Calibri"/>
        </w:rPr>
        <w:t>effect about the level of the nutrient to which the nutrient content claim refers, or about the</w:t>
      </w:r>
      <w:r w:rsidR="00B91C25">
        <w:rPr>
          <w:rFonts w:eastAsia="Calibri"/>
        </w:rPr>
        <w:t xml:space="preserve"> </w:t>
      </w:r>
      <w:r w:rsidRPr="006D1195">
        <w:rPr>
          <w:rFonts w:eastAsia="Calibri"/>
        </w:rPr>
        <w:t>relationship between the nutrient and the disease or health</w:t>
      </w:r>
      <w:r w:rsidR="00C20DF3">
        <w:rPr>
          <w:rFonts w:eastAsia="Calibri"/>
        </w:rPr>
        <w:t>-</w:t>
      </w:r>
      <w:r w:rsidRPr="006D1195">
        <w:rPr>
          <w:rFonts w:eastAsia="Calibri"/>
        </w:rPr>
        <w:t>related condition to which the health</w:t>
      </w:r>
      <w:r w:rsidR="00B91C25">
        <w:rPr>
          <w:rFonts w:eastAsia="Calibri"/>
        </w:rPr>
        <w:t xml:space="preserve"> </w:t>
      </w:r>
      <w:r w:rsidRPr="006D1195">
        <w:rPr>
          <w:rFonts w:eastAsia="Calibri"/>
        </w:rPr>
        <w:t>claim refers, and that the claim is an accurate representation of that statement.</w:t>
      </w:r>
      <w:r>
        <w:rPr>
          <w:rFonts w:eastAsia="Calibri"/>
        </w:rPr>
        <w:t xml:space="preserve">  </w:t>
      </w:r>
    </w:p>
    <w:p w:rsidR="003C1F7F" w:rsidP="00A178BD" w14:paraId="48762901" w14:textId="77777777">
      <w:pPr>
        <w:rPr>
          <w:rFonts w:eastAsia="Calibri"/>
        </w:rPr>
      </w:pPr>
    </w:p>
    <w:p w:rsidR="008630A0" w:rsidP="00A178BD" w14:paraId="63F398E6" w14:textId="2B85D62C">
      <w:pPr>
        <w:rPr>
          <w:rFonts w:eastAsia="Calibri"/>
        </w:rPr>
      </w:pPr>
      <w:r w:rsidRPr="006D1195">
        <w:rPr>
          <w:rFonts w:eastAsia="Calibri"/>
        </w:rPr>
        <w:t>We use information reported under the provisions of §§ 101.9(j)(18) and 101.36(h)(2) to</w:t>
      </w:r>
      <w:r w:rsidR="00B91C25">
        <w:rPr>
          <w:rFonts w:eastAsia="Calibri"/>
        </w:rPr>
        <w:t xml:space="preserve"> </w:t>
      </w:r>
      <w:r w:rsidRPr="006D1195">
        <w:rPr>
          <w:rFonts w:eastAsia="Calibri"/>
        </w:rPr>
        <w:t>determine whether and, if appropriate, to grant small businesses exemption requests regarding</w:t>
      </w:r>
      <w:r w:rsidR="00B91C25">
        <w:rPr>
          <w:rFonts w:eastAsia="Calibri"/>
        </w:rPr>
        <w:t xml:space="preserve"> </w:t>
      </w:r>
      <w:r w:rsidRPr="006D1195">
        <w:rPr>
          <w:rFonts w:eastAsia="Calibri"/>
        </w:rPr>
        <w:t xml:space="preserve">nutrition labeling for low-volume food products. </w:t>
      </w:r>
      <w:r w:rsidR="00B91C25">
        <w:rPr>
          <w:rFonts w:eastAsia="Calibri"/>
        </w:rPr>
        <w:t xml:space="preserve"> </w:t>
      </w:r>
      <w:r w:rsidRPr="006D1195">
        <w:rPr>
          <w:rFonts w:eastAsia="Calibri"/>
        </w:rPr>
        <w:t>Under section 403(q)(5)(E) of the FD&amp;C Act,</w:t>
      </w:r>
      <w:r w:rsidR="00B91C25">
        <w:rPr>
          <w:rFonts w:eastAsia="Calibri"/>
        </w:rPr>
        <w:t xml:space="preserve"> </w:t>
      </w:r>
      <w:r w:rsidRPr="006D1195">
        <w:rPr>
          <w:rFonts w:eastAsia="Calibri"/>
        </w:rPr>
        <w:t>a low-volume food product is exempt from the requirements for nutrition labeling if it is the</w:t>
      </w:r>
      <w:r w:rsidR="00B91C25">
        <w:rPr>
          <w:rFonts w:eastAsia="Calibri"/>
        </w:rPr>
        <w:t xml:space="preserve"> </w:t>
      </w:r>
      <w:r w:rsidRPr="006D1195">
        <w:rPr>
          <w:rFonts w:eastAsia="Calibri"/>
        </w:rPr>
        <w:t>subject of a notice from a small business claiming the exemption provided by the Nutrition</w:t>
      </w:r>
      <w:r w:rsidR="00B91C25">
        <w:rPr>
          <w:rFonts w:eastAsia="Calibri"/>
        </w:rPr>
        <w:t xml:space="preserve"> </w:t>
      </w:r>
      <w:r w:rsidRPr="006D1195">
        <w:rPr>
          <w:rFonts w:eastAsia="Calibri"/>
        </w:rPr>
        <w:t xml:space="preserve">Labeling and Education Act Amendments of 1993. </w:t>
      </w:r>
      <w:r w:rsidR="00B91C25">
        <w:rPr>
          <w:rFonts w:eastAsia="Calibri"/>
        </w:rPr>
        <w:t xml:space="preserve"> </w:t>
      </w:r>
      <w:r w:rsidRPr="006D1195">
        <w:rPr>
          <w:rFonts w:eastAsia="Calibri"/>
        </w:rPr>
        <w:t>Those food products that are not the subject</w:t>
      </w:r>
      <w:r w:rsidR="00B91C25">
        <w:rPr>
          <w:rFonts w:eastAsia="Calibri"/>
        </w:rPr>
        <w:t xml:space="preserve"> </w:t>
      </w:r>
      <w:r w:rsidRPr="006D1195">
        <w:rPr>
          <w:rFonts w:eastAsia="Calibri"/>
        </w:rPr>
        <w:t>of such a notice are not exempt from the mandatory nutrition labeling requirements of section</w:t>
      </w:r>
      <w:r w:rsidR="00B91C25">
        <w:rPr>
          <w:rFonts w:eastAsia="Calibri"/>
        </w:rPr>
        <w:t xml:space="preserve"> </w:t>
      </w:r>
      <w:r w:rsidRPr="006D1195">
        <w:rPr>
          <w:rFonts w:eastAsia="Calibri"/>
        </w:rPr>
        <w:t xml:space="preserve">403(q) of the FD&amp;C Act unless the food qualifies for another exemption. </w:t>
      </w:r>
      <w:r w:rsidR="00B91C25">
        <w:rPr>
          <w:rFonts w:eastAsia="Calibri"/>
        </w:rPr>
        <w:t xml:space="preserve"> </w:t>
      </w:r>
      <w:r w:rsidRPr="006D1195">
        <w:rPr>
          <w:rFonts w:eastAsia="Calibri"/>
        </w:rPr>
        <w:t>Section 403(q)(5)(E)</w:t>
      </w:r>
      <w:r w:rsidR="00B91C25">
        <w:rPr>
          <w:rFonts w:eastAsia="Calibri"/>
        </w:rPr>
        <w:t xml:space="preserve"> </w:t>
      </w:r>
      <w:r w:rsidRPr="006D1195">
        <w:rPr>
          <w:rFonts w:eastAsia="Calibri"/>
        </w:rPr>
        <w:t>of the FD&amp;C Act does not require that the information in a notice claiming exemption be</w:t>
      </w:r>
      <w:r w:rsidR="00B91C25">
        <w:rPr>
          <w:rFonts w:eastAsia="Calibri"/>
        </w:rPr>
        <w:t xml:space="preserve"> </w:t>
      </w:r>
      <w:r w:rsidRPr="006D1195">
        <w:rPr>
          <w:rFonts w:eastAsia="Calibri"/>
        </w:rPr>
        <w:t xml:space="preserve">reviewed by FDA for the exemption to be in effect. </w:t>
      </w:r>
      <w:r w:rsidR="00B91C25">
        <w:rPr>
          <w:rFonts w:eastAsia="Calibri"/>
        </w:rPr>
        <w:t xml:space="preserve"> </w:t>
      </w:r>
      <w:r w:rsidRPr="006D1195">
        <w:rPr>
          <w:rFonts w:eastAsia="Calibri"/>
        </w:rPr>
        <w:t>However, we do review the information in</w:t>
      </w:r>
      <w:r w:rsidR="00B91C25">
        <w:rPr>
          <w:rFonts w:eastAsia="Calibri"/>
        </w:rPr>
        <w:t xml:space="preserve"> </w:t>
      </w:r>
      <w:r w:rsidRPr="006D1195">
        <w:rPr>
          <w:rFonts w:eastAsia="Calibri"/>
        </w:rPr>
        <w:t>each notice to determine whether it meets the requirements for the notice established in section</w:t>
      </w:r>
      <w:r w:rsidR="00B91C25">
        <w:rPr>
          <w:rFonts w:eastAsia="Calibri"/>
        </w:rPr>
        <w:t xml:space="preserve"> </w:t>
      </w:r>
      <w:r w:rsidRPr="006D1195">
        <w:rPr>
          <w:rFonts w:eastAsia="Calibri"/>
        </w:rPr>
        <w:t xml:space="preserve">403(q)(5)(E)(iii) of the FD&amp;C Act. </w:t>
      </w:r>
      <w:r w:rsidR="00B91C25">
        <w:rPr>
          <w:rFonts w:eastAsia="Calibri"/>
        </w:rPr>
        <w:t xml:space="preserve"> </w:t>
      </w:r>
      <w:r w:rsidRPr="006D1195">
        <w:rPr>
          <w:rFonts w:eastAsia="Calibri"/>
        </w:rPr>
        <w:t>We provide the information on the identity of firms</w:t>
      </w:r>
      <w:r w:rsidR="00B91C25">
        <w:rPr>
          <w:rFonts w:eastAsia="Calibri"/>
        </w:rPr>
        <w:t xml:space="preserve"> </w:t>
      </w:r>
      <w:r w:rsidRPr="006D1195">
        <w:rPr>
          <w:rFonts w:eastAsia="Calibri"/>
        </w:rPr>
        <w:t>submitting notices claiming exemption to our field personnel and to State enforcement agencies</w:t>
      </w:r>
      <w:r w:rsidR="00B91C25">
        <w:rPr>
          <w:rFonts w:eastAsia="Calibri"/>
        </w:rPr>
        <w:t xml:space="preserve"> </w:t>
      </w:r>
      <w:r w:rsidRPr="006D1195">
        <w:rPr>
          <w:rFonts w:eastAsia="Calibri"/>
        </w:rPr>
        <w:t>by posting the names and addresses of the firms on a website maintained by the agency.</w:t>
      </w:r>
    </w:p>
    <w:p w:rsidR="003C1F7F" w:rsidP="00A178BD" w14:paraId="0446CF28" w14:textId="77777777">
      <w:pPr>
        <w:rPr>
          <w:rFonts w:eastAsia="Calibri"/>
        </w:rPr>
      </w:pPr>
    </w:p>
    <w:p w:rsidR="008630A0" w:rsidRPr="008630A0" w:rsidP="00A178BD" w14:paraId="133DAE7C" w14:textId="0EF9127C">
      <w:pPr>
        <w:rPr>
          <w:rFonts w:eastAsia="Calibri"/>
        </w:rPr>
      </w:pPr>
      <w:r w:rsidRPr="008630A0">
        <w:rPr>
          <w:rFonts w:eastAsia="Calibri"/>
        </w:rPr>
        <w:t>We use information in petitions submitted under the provisions of § 101.12(h) to determine</w:t>
      </w:r>
      <w:r w:rsidR="00B91C25">
        <w:rPr>
          <w:rFonts w:eastAsia="Calibri"/>
        </w:rPr>
        <w:t xml:space="preserve"> </w:t>
      </w:r>
      <w:r w:rsidRPr="008630A0">
        <w:rPr>
          <w:rFonts w:eastAsia="Calibri"/>
        </w:rPr>
        <w:t>whether a new reference amount should be established, or an existing reference amount should</w:t>
      </w:r>
      <w:r w:rsidR="00B91C25">
        <w:rPr>
          <w:rFonts w:eastAsia="Calibri"/>
        </w:rPr>
        <w:t xml:space="preserve"> </w:t>
      </w:r>
      <w:r w:rsidRPr="008630A0">
        <w:rPr>
          <w:rFonts w:eastAsia="Calibri"/>
        </w:rPr>
        <w:t>be amended.</w:t>
      </w:r>
      <w:r w:rsidR="00B91C25">
        <w:rPr>
          <w:rFonts w:eastAsia="Calibri"/>
        </w:rPr>
        <w:t xml:space="preserve"> </w:t>
      </w:r>
      <w:r w:rsidRPr="008630A0">
        <w:rPr>
          <w:rFonts w:eastAsia="Calibri"/>
        </w:rPr>
        <w:t xml:space="preserve"> The consequence of not having this information is that we would be restricted in</w:t>
      </w:r>
      <w:r w:rsidR="00B91C25">
        <w:rPr>
          <w:rFonts w:eastAsia="Calibri"/>
        </w:rPr>
        <w:t xml:space="preserve"> </w:t>
      </w:r>
      <w:r w:rsidRPr="008630A0">
        <w:rPr>
          <w:rFonts w:eastAsia="Calibri"/>
        </w:rPr>
        <w:t>obtaining the information necessary to amend or add to the regulation on reference amounts</w:t>
      </w:r>
      <w:r w:rsidR="00B91C25">
        <w:rPr>
          <w:rFonts w:eastAsia="Calibri"/>
        </w:rPr>
        <w:t xml:space="preserve"> </w:t>
      </w:r>
      <w:r w:rsidRPr="008630A0">
        <w:rPr>
          <w:rFonts w:eastAsia="Calibri"/>
        </w:rPr>
        <w:t>customarily consumed (RACCs).</w:t>
      </w:r>
    </w:p>
    <w:p w:rsidR="003C1F7F" w:rsidP="00A178BD" w14:paraId="1C9804B3" w14:textId="77777777">
      <w:pPr>
        <w:rPr>
          <w:rFonts w:eastAsia="Calibri"/>
        </w:rPr>
      </w:pPr>
    </w:p>
    <w:p w:rsidR="008630A0" w:rsidRPr="008630A0" w:rsidP="00A178BD" w14:paraId="405B9959" w14:textId="709EF132">
      <w:pPr>
        <w:rPr>
          <w:rFonts w:eastAsia="Calibri"/>
        </w:rPr>
      </w:pPr>
      <w:r w:rsidRPr="008630A0">
        <w:rPr>
          <w:rFonts w:eastAsia="Calibri"/>
        </w:rPr>
        <w:t>We use information submitted in response to the provisions for alternative approaches contained</w:t>
      </w:r>
      <w:r w:rsidR="00B91C25">
        <w:rPr>
          <w:rFonts w:eastAsia="Calibri"/>
        </w:rPr>
        <w:t xml:space="preserve"> </w:t>
      </w:r>
      <w:r w:rsidRPr="008630A0">
        <w:rPr>
          <w:rFonts w:eastAsia="Calibri"/>
        </w:rPr>
        <w:t>in §§ 101.9(g)(9) and 101.36(f)(2) to determine whether such alternative approaches would be</w:t>
      </w:r>
      <w:r w:rsidR="00B91C25">
        <w:rPr>
          <w:rFonts w:eastAsia="Calibri"/>
        </w:rPr>
        <w:t xml:space="preserve"> </w:t>
      </w:r>
      <w:r w:rsidRPr="008630A0">
        <w:rPr>
          <w:rFonts w:eastAsia="Calibri"/>
        </w:rPr>
        <w:t>consistent with the requirements for nutrition labeling in section 403(q) of the FD&amp;C Act.</w:t>
      </w:r>
      <w:r w:rsidR="00B91C25">
        <w:rPr>
          <w:rFonts w:eastAsia="Calibri"/>
        </w:rPr>
        <w:t xml:space="preserve"> </w:t>
      </w:r>
      <w:r w:rsidRPr="008630A0">
        <w:rPr>
          <w:rFonts w:eastAsia="Calibri"/>
        </w:rPr>
        <w:t xml:space="preserve"> The</w:t>
      </w:r>
      <w:r w:rsidR="00B91C25">
        <w:rPr>
          <w:rFonts w:eastAsia="Calibri"/>
        </w:rPr>
        <w:t xml:space="preserve"> </w:t>
      </w:r>
      <w:r w:rsidRPr="008630A0">
        <w:rPr>
          <w:rFonts w:eastAsia="Calibri"/>
        </w:rPr>
        <w:t>consequences of not having this information would be a reduced flexibility of the manufacturer</w:t>
      </w:r>
      <w:r w:rsidR="00B91C25">
        <w:rPr>
          <w:rFonts w:eastAsia="Calibri"/>
        </w:rPr>
        <w:t xml:space="preserve"> </w:t>
      </w:r>
      <w:r w:rsidRPr="008630A0">
        <w:rPr>
          <w:rFonts w:eastAsia="Calibri"/>
        </w:rPr>
        <w:t>to use alternative approaches for complying with the requirements of section 403(q) of the</w:t>
      </w:r>
      <w:r w:rsidR="00B91C25">
        <w:rPr>
          <w:rFonts w:eastAsia="Calibri"/>
        </w:rPr>
        <w:t xml:space="preserve"> </w:t>
      </w:r>
      <w:r w:rsidRPr="008630A0">
        <w:rPr>
          <w:rFonts w:eastAsia="Calibri"/>
        </w:rPr>
        <w:t>FD&amp;C Act for the nutrition labeling of food products.</w:t>
      </w:r>
    </w:p>
    <w:p w:rsidR="002972E3" w:rsidP="00A178BD" w14:paraId="68FE7998" w14:textId="77777777">
      <w:pPr>
        <w:rPr>
          <w:rFonts w:eastAsia="Calibri"/>
        </w:rPr>
      </w:pPr>
    </w:p>
    <w:p w:rsidR="008630A0" w:rsidP="00A178BD" w14:paraId="1516BE0E" w14:textId="2E64B848">
      <w:pPr>
        <w:rPr>
          <w:rFonts w:eastAsia="Calibri"/>
        </w:rPr>
      </w:pPr>
      <w:r w:rsidRPr="008630A0">
        <w:rPr>
          <w:rFonts w:eastAsia="Calibri"/>
        </w:rPr>
        <w:t>Data generated by the food labeling experiments permitted under § 101.108 may form the basis</w:t>
      </w:r>
      <w:r w:rsidR="00B91C25">
        <w:rPr>
          <w:rFonts w:eastAsia="Calibri"/>
        </w:rPr>
        <w:t xml:space="preserve"> </w:t>
      </w:r>
      <w:r w:rsidRPr="008630A0">
        <w:rPr>
          <w:rFonts w:eastAsia="Calibri"/>
        </w:rPr>
        <w:t xml:space="preserve">for a citizen’s petition to amend the existing food labeling regulations. </w:t>
      </w:r>
      <w:r w:rsidR="00B91C25">
        <w:rPr>
          <w:rFonts w:eastAsia="Calibri"/>
        </w:rPr>
        <w:t xml:space="preserve"> </w:t>
      </w:r>
      <w:r w:rsidRPr="008630A0">
        <w:rPr>
          <w:rFonts w:eastAsia="Calibri"/>
        </w:rPr>
        <w:t>The data could also be</w:t>
      </w:r>
      <w:r w:rsidR="00B91C25">
        <w:rPr>
          <w:rFonts w:eastAsia="Calibri"/>
        </w:rPr>
        <w:t xml:space="preserve"> </w:t>
      </w:r>
      <w:r w:rsidRPr="008630A0">
        <w:rPr>
          <w:rFonts w:eastAsia="Calibri"/>
        </w:rPr>
        <w:t>useful to FDA for evaluating whether changes in current food labeling requirements are</w:t>
      </w:r>
      <w:r w:rsidR="00B91C25">
        <w:rPr>
          <w:rFonts w:eastAsia="Calibri"/>
        </w:rPr>
        <w:t xml:space="preserve"> </w:t>
      </w:r>
      <w:r w:rsidRPr="008630A0">
        <w:rPr>
          <w:rFonts w:eastAsia="Calibri"/>
        </w:rPr>
        <w:t>warranted, and for developing alternative labeling formats that may be useful to consumers and</w:t>
      </w:r>
      <w:r w:rsidR="00B91C25">
        <w:rPr>
          <w:rFonts w:eastAsia="Calibri"/>
        </w:rPr>
        <w:t xml:space="preserve"> </w:t>
      </w:r>
      <w:r w:rsidRPr="008630A0">
        <w:rPr>
          <w:rFonts w:eastAsia="Calibri"/>
        </w:rPr>
        <w:t xml:space="preserve">manufacturers. </w:t>
      </w:r>
      <w:r w:rsidR="00B91C25">
        <w:rPr>
          <w:rFonts w:eastAsia="Calibri"/>
        </w:rPr>
        <w:t xml:space="preserve"> </w:t>
      </w:r>
      <w:r w:rsidRPr="008630A0">
        <w:rPr>
          <w:rFonts w:eastAsia="Calibri"/>
        </w:rPr>
        <w:t>The extent of the collection of information is determined by the firm proposing</w:t>
      </w:r>
      <w:r w:rsidR="00B91C25">
        <w:rPr>
          <w:rFonts w:eastAsia="Calibri"/>
        </w:rPr>
        <w:t xml:space="preserve"> </w:t>
      </w:r>
      <w:r w:rsidRPr="008630A0">
        <w:rPr>
          <w:rFonts w:eastAsia="Calibri"/>
        </w:rPr>
        <w:t xml:space="preserve">the labeling experiment and is of benefit to this firm. </w:t>
      </w:r>
      <w:r w:rsidR="00B91C25">
        <w:rPr>
          <w:rFonts w:eastAsia="Calibri"/>
        </w:rPr>
        <w:t xml:space="preserve"> </w:t>
      </w:r>
      <w:r w:rsidRPr="008630A0">
        <w:rPr>
          <w:rFonts w:eastAsia="Calibri"/>
        </w:rPr>
        <w:t>However, the labeling changes proposed</w:t>
      </w:r>
      <w:r w:rsidR="00B91C25">
        <w:rPr>
          <w:rFonts w:eastAsia="Calibri"/>
        </w:rPr>
        <w:t xml:space="preserve"> </w:t>
      </w:r>
      <w:r w:rsidRPr="008630A0">
        <w:rPr>
          <w:rFonts w:eastAsia="Calibri"/>
        </w:rPr>
        <w:t>by a firm could not be implemented without supporting information favoring the proposed</w:t>
      </w:r>
      <w:r w:rsidR="00B91C25">
        <w:rPr>
          <w:rFonts w:eastAsia="Calibri"/>
        </w:rPr>
        <w:t xml:space="preserve"> </w:t>
      </w:r>
      <w:r w:rsidRPr="008630A0">
        <w:rPr>
          <w:rFonts w:eastAsia="Calibri"/>
        </w:rPr>
        <w:t>changes.</w:t>
      </w:r>
    </w:p>
    <w:p w:rsidR="003C1F7F" w:rsidRPr="008630A0" w:rsidP="00A178BD" w14:paraId="07074713" w14:textId="77777777">
      <w:pPr>
        <w:rPr>
          <w:rFonts w:eastAsia="Calibri"/>
        </w:rPr>
      </w:pPr>
    </w:p>
    <w:p w:rsidR="00357C8A" w:rsidP="00A178BD" w14:paraId="2485E6F2" w14:textId="52951544">
      <w:pPr>
        <w:rPr>
          <w:rFonts w:eastAsia="Calibri"/>
        </w:rPr>
      </w:pPr>
      <w:r w:rsidRPr="00AF4C02">
        <w:rPr>
          <w:rFonts w:eastAsia="Calibri"/>
          <w:i/>
          <w:iCs/>
        </w:rPr>
        <w:t>Description of Respondents</w:t>
      </w:r>
      <w:r w:rsidRPr="008630A0">
        <w:rPr>
          <w:rFonts w:eastAsia="Calibri"/>
        </w:rPr>
        <w:t xml:space="preserve">: </w:t>
      </w:r>
      <w:r w:rsidR="00D9525B">
        <w:rPr>
          <w:rFonts w:eastAsia="Calibri"/>
        </w:rPr>
        <w:t xml:space="preserve"> </w:t>
      </w:r>
      <w:r w:rsidRPr="00B55B42" w:rsidR="00B55B42">
        <w:rPr>
          <w:rFonts w:eastAsia="Calibri"/>
        </w:rPr>
        <w:t>Respondents to this information collection are manufacturers, packers, and distributors of food products, as well as certain food retailers, such as supermarkets and restaurants</w:t>
      </w:r>
      <w:r w:rsidR="001A4F61">
        <w:rPr>
          <w:rFonts w:eastAsia="Calibri"/>
        </w:rPr>
        <w:t>, subject to statutory and regulatory food labeling requirements</w:t>
      </w:r>
      <w:r w:rsidRPr="00B55B42" w:rsidR="00B55B42">
        <w:rPr>
          <w:rFonts w:eastAsia="Calibri"/>
        </w:rPr>
        <w:t>.  Respondents are from the private sector (</w:t>
      </w:r>
      <w:r w:rsidR="00D9525B">
        <w:rPr>
          <w:rFonts w:eastAsia="Calibri"/>
        </w:rPr>
        <w:t xml:space="preserve">including </w:t>
      </w:r>
      <w:r w:rsidRPr="00B55B42" w:rsidR="00B55B42">
        <w:rPr>
          <w:rFonts w:eastAsia="Calibri"/>
        </w:rPr>
        <w:t>for-profit businesses</w:t>
      </w:r>
      <w:r w:rsidR="002C7F22">
        <w:rPr>
          <w:rFonts w:eastAsia="Calibri"/>
        </w:rPr>
        <w:t xml:space="preserve">, </w:t>
      </w:r>
      <w:r w:rsidRPr="008630A0">
        <w:rPr>
          <w:rFonts w:eastAsia="Calibri"/>
        </w:rPr>
        <w:t>not-for-profit institutions and farms</w:t>
      </w:r>
      <w:r w:rsidR="00D9525B">
        <w:rPr>
          <w:rFonts w:eastAsia="Calibri"/>
        </w:rPr>
        <w:t>)</w:t>
      </w:r>
      <w:r w:rsidRPr="008630A0">
        <w:rPr>
          <w:rFonts w:eastAsia="Calibri"/>
        </w:rPr>
        <w:t>.</w:t>
      </w:r>
    </w:p>
    <w:p w:rsidR="003C1F7F" w:rsidRPr="009F3CC6" w:rsidP="00A178BD" w14:paraId="3C5DA972" w14:textId="77777777">
      <w:pPr>
        <w:rPr>
          <w:rFonts w:eastAsia="Calibri"/>
          <w:color w:val="000000"/>
        </w:rPr>
      </w:pPr>
    </w:p>
    <w:p w:rsidR="00357C8A" w:rsidRPr="00357C8A" w:rsidP="00A178BD" w14:paraId="3FF98CCF" w14:textId="77777777">
      <w:pPr>
        <w:numPr>
          <w:ilvl w:val="0"/>
          <w:numId w:val="6"/>
        </w:numPr>
        <w:spacing w:line="276" w:lineRule="auto"/>
        <w:ind w:left="0"/>
        <w:rPr>
          <w:rFonts w:eastAsia="Calibri"/>
          <w:u w:val="single"/>
        </w:rPr>
      </w:pPr>
      <w:r w:rsidRPr="00357C8A">
        <w:rPr>
          <w:rFonts w:eastAsia="Calibri"/>
          <w:u w:val="single"/>
        </w:rPr>
        <w:t>Use of Improved Information Technology and Burden Reduction</w:t>
      </w:r>
    </w:p>
    <w:p w:rsidR="003C1F7F" w:rsidP="00A178BD" w14:paraId="72C033EE" w14:textId="77777777">
      <w:pPr>
        <w:rPr>
          <w:rFonts w:eastAsia="Calibri"/>
        </w:rPr>
      </w:pPr>
    </w:p>
    <w:p w:rsidR="008630A0" w:rsidRPr="008630A0" w:rsidP="00A178BD" w14:paraId="639BB232" w14:textId="2447D4EC">
      <w:pPr>
        <w:rPr>
          <w:rFonts w:eastAsia="Calibri"/>
        </w:rPr>
      </w:pPr>
      <w:r w:rsidRPr="008630A0">
        <w:rPr>
          <w:rFonts w:eastAsia="Calibri"/>
        </w:rPr>
        <w:t>The regulations in parts 101, 102, 104, and 105 do not specifically prescribe the use of</w:t>
      </w:r>
      <w:r w:rsidR="00620B46">
        <w:rPr>
          <w:rFonts w:eastAsia="Calibri"/>
        </w:rPr>
        <w:t xml:space="preserve"> </w:t>
      </w:r>
      <w:r w:rsidRPr="008630A0">
        <w:rPr>
          <w:rFonts w:eastAsia="Calibri"/>
        </w:rPr>
        <w:t>automated, electronic, mechanical, or other technological techniques or other forms of</w:t>
      </w:r>
      <w:r w:rsidR="00620B46">
        <w:rPr>
          <w:rFonts w:eastAsia="Calibri"/>
        </w:rPr>
        <w:t xml:space="preserve"> </w:t>
      </w:r>
      <w:r w:rsidRPr="008630A0">
        <w:rPr>
          <w:rFonts w:eastAsia="Calibri"/>
        </w:rPr>
        <w:t xml:space="preserve">information technology as necessary for use by firms. </w:t>
      </w:r>
      <w:r w:rsidR="00620B46">
        <w:rPr>
          <w:rFonts w:eastAsia="Calibri"/>
        </w:rPr>
        <w:t xml:space="preserve"> </w:t>
      </w:r>
      <w:r w:rsidRPr="008630A0">
        <w:rPr>
          <w:rFonts w:eastAsia="Calibri"/>
        </w:rPr>
        <w:t>Companies are free to use whatever forms</w:t>
      </w:r>
      <w:r w:rsidR="00620B46">
        <w:rPr>
          <w:rFonts w:eastAsia="Calibri"/>
        </w:rPr>
        <w:t xml:space="preserve"> </w:t>
      </w:r>
      <w:r w:rsidRPr="008630A0">
        <w:rPr>
          <w:rFonts w:eastAsia="Calibri"/>
        </w:rPr>
        <w:t>of information technology may best assist them in developing notifications or meeting labeling</w:t>
      </w:r>
      <w:r w:rsidR="00620B46">
        <w:rPr>
          <w:rFonts w:eastAsia="Calibri"/>
        </w:rPr>
        <w:t xml:space="preserve"> </w:t>
      </w:r>
      <w:r w:rsidRPr="008630A0">
        <w:rPr>
          <w:rFonts w:eastAsia="Calibri"/>
        </w:rPr>
        <w:t xml:space="preserve">requirements for food. </w:t>
      </w:r>
      <w:r w:rsidR="00620B46">
        <w:rPr>
          <w:rFonts w:eastAsia="Calibri"/>
        </w:rPr>
        <w:t xml:space="preserve"> </w:t>
      </w:r>
      <w:r w:rsidRPr="008630A0">
        <w:rPr>
          <w:rFonts w:eastAsia="Calibri"/>
        </w:rPr>
        <w:t>We have developed a web-based data entry system so small business may</w:t>
      </w:r>
      <w:r w:rsidR="00620B46">
        <w:rPr>
          <w:rFonts w:eastAsia="Calibri"/>
        </w:rPr>
        <w:t xml:space="preserve"> </w:t>
      </w:r>
      <w:r w:rsidRPr="008630A0">
        <w:rPr>
          <w:rFonts w:eastAsia="Calibri"/>
        </w:rPr>
        <w:t xml:space="preserve">electronically claim exemption from the requirements for nutrition labeling. </w:t>
      </w:r>
      <w:r w:rsidR="00620B46">
        <w:rPr>
          <w:rFonts w:eastAsia="Calibri"/>
        </w:rPr>
        <w:t xml:space="preserve"> </w:t>
      </w:r>
      <w:r w:rsidRPr="008630A0">
        <w:rPr>
          <w:rFonts w:eastAsia="Calibri"/>
        </w:rPr>
        <w:t>Information</w:t>
      </w:r>
      <w:r w:rsidR="00620B46">
        <w:rPr>
          <w:rFonts w:eastAsia="Calibri"/>
        </w:rPr>
        <w:t xml:space="preserve"> </w:t>
      </w:r>
      <w:r w:rsidRPr="008630A0">
        <w:rPr>
          <w:rFonts w:eastAsia="Calibri"/>
        </w:rPr>
        <w:t>regarding this system is available from our website at</w:t>
      </w:r>
      <w:r w:rsidR="00CB191E">
        <w:rPr>
          <w:rFonts w:eastAsia="Calibri"/>
        </w:rPr>
        <w:t xml:space="preserve"> </w:t>
      </w:r>
      <w:hyperlink r:id="rId11" w:history="1">
        <w:r w:rsidRPr="00621CEC" w:rsidR="00CB191E">
          <w:rPr>
            <w:rStyle w:val="Hyperlink"/>
            <w:rFonts w:eastAsia="Calibri"/>
          </w:rPr>
          <w:t>https://www.fda.gov/food/labeling-nutrition-guidance-documents-regulatory-information/small-business-nutrition-labeling-exemption</w:t>
        </w:r>
      </w:hyperlink>
      <w:r w:rsidR="00620B46">
        <w:rPr>
          <w:rFonts w:eastAsia="Calibri"/>
        </w:rPr>
        <w:t>.</w:t>
      </w:r>
    </w:p>
    <w:p w:rsidR="0005775D" w:rsidP="00A178BD" w14:paraId="1B38E0D2" w14:textId="77777777">
      <w:pPr>
        <w:rPr>
          <w:rFonts w:eastAsia="Calibri"/>
        </w:rPr>
      </w:pPr>
    </w:p>
    <w:p w:rsidR="00357C8A" w:rsidP="00A178BD" w14:paraId="67100F90" w14:textId="0FC532C1">
      <w:pPr>
        <w:rPr>
          <w:rFonts w:eastAsia="Calibri"/>
        </w:rPr>
      </w:pPr>
      <w:r w:rsidRPr="008630A0">
        <w:rPr>
          <w:rFonts w:eastAsia="Calibri"/>
        </w:rPr>
        <w:t>We estimate that ninety percent (</w:t>
      </w:r>
      <w:r w:rsidR="00CB191E">
        <w:rPr>
          <w:rFonts w:eastAsia="Calibri"/>
        </w:rPr>
        <w:t>9</w:t>
      </w:r>
      <w:r w:rsidR="005A0DE8">
        <w:rPr>
          <w:rFonts w:eastAsia="Calibri"/>
        </w:rPr>
        <w:t>0</w:t>
      </w:r>
      <w:r w:rsidRPr="008630A0">
        <w:rPr>
          <w:rFonts w:eastAsia="Calibri"/>
        </w:rPr>
        <w:t xml:space="preserve">%) of respondents will use </w:t>
      </w:r>
      <w:r w:rsidR="005A0DE8">
        <w:rPr>
          <w:rFonts w:eastAsia="Calibri"/>
        </w:rPr>
        <w:t>information technology (</w:t>
      </w:r>
      <w:r w:rsidRPr="008630A0">
        <w:rPr>
          <w:rFonts w:eastAsia="Calibri"/>
        </w:rPr>
        <w:t>electronic means</w:t>
      </w:r>
      <w:r w:rsidR="005A0DE8">
        <w:rPr>
          <w:rFonts w:eastAsia="Calibri"/>
        </w:rPr>
        <w:t>)</w:t>
      </w:r>
      <w:r w:rsidRPr="008630A0">
        <w:rPr>
          <w:rFonts w:eastAsia="Calibri"/>
        </w:rPr>
        <w:t xml:space="preserve"> to </w:t>
      </w:r>
      <w:r w:rsidR="005A0DE8">
        <w:rPr>
          <w:rFonts w:eastAsia="Calibri"/>
        </w:rPr>
        <w:t>meet</w:t>
      </w:r>
      <w:r w:rsidR="002C7F22">
        <w:rPr>
          <w:rFonts w:eastAsia="Calibri"/>
        </w:rPr>
        <w:t xml:space="preserve"> food labeling requirements or requests </w:t>
      </w:r>
      <w:r w:rsidRPr="008630A0">
        <w:rPr>
          <w:rFonts w:eastAsia="Calibri"/>
        </w:rPr>
        <w:t>for exemption.</w:t>
      </w:r>
    </w:p>
    <w:p w:rsidR="003C1F7F" w:rsidRPr="009F3CC6" w:rsidP="00A178BD" w14:paraId="7956A9C8" w14:textId="77777777">
      <w:pPr>
        <w:rPr>
          <w:rFonts w:eastAsia="Calibri"/>
          <w:color w:val="000000"/>
        </w:rPr>
      </w:pPr>
    </w:p>
    <w:p w:rsidR="00357C8A" w:rsidRPr="00357C8A" w:rsidP="00A178BD" w14:paraId="6E31FAA0" w14:textId="77777777">
      <w:pPr>
        <w:numPr>
          <w:ilvl w:val="0"/>
          <w:numId w:val="6"/>
        </w:numPr>
        <w:spacing w:line="276" w:lineRule="auto"/>
        <w:ind w:left="0"/>
        <w:rPr>
          <w:rFonts w:eastAsia="Calibri"/>
        </w:rPr>
      </w:pPr>
      <w:r w:rsidRPr="00357C8A">
        <w:rPr>
          <w:rFonts w:eastAsia="Calibri"/>
          <w:u w:val="single"/>
        </w:rPr>
        <w:t xml:space="preserve">Efforts to Identify Duplication and Use of Similar Information </w:t>
      </w:r>
    </w:p>
    <w:p w:rsidR="003C1F7F" w:rsidP="00A178BD" w14:paraId="32CE02A2" w14:textId="77777777"/>
    <w:p w:rsidR="000C1260" w:rsidP="00A178BD" w14:paraId="0E68BADF" w14:textId="0CBC6727">
      <w:r w:rsidRPr="008630A0">
        <w:t>We are unaware of duplicative information collection.</w:t>
      </w:r>
      <w:r w:rsidRPr="00CB191E" w:rsidR="00CB191E">
        <w:t xml:space="preserve"> </w:t>
      </w:r>
      <w:r w:rsidR="00CB191E">
        <w:t xml:space="preserve"> </w:t>
      </w:r>
      <w:r w:rsidRPr="00CB191E" w:rsidR="00CB191E">
        <w:t xml:space="preserve">Congress has authorized FDA to promulgate regulations pertaining to the labeling of foods, as opposed to the jurisdiction of the U.S. Department of Agriculture (meats and poultry) and the Federal Trade Commission (advertising).  In addition, as noted </w:t>
      </w:r>
      <w:r w:rsidR="000A4FC3">
        <w:t>in Item 1</w:t>
      </w:r>
      <w:r w:rsidRPr="00CB191E" w:rsidR="00CB191E">
        <w:t>, TTB is responsible for the promulgation and enforcement of regulations with respect to the labeling of distilled spirits, wines, and malt beverages pursuant to the FAA Act.</w:t>
      </w:r>
      <w:r w:rsidRPr="000A4FC3" w:rsidR="000A4FC3">
        <w:t xml:space="preserve"> </w:t>
      </w:r>
      <w:r w:rsidR="000A4FC3">
        <w:t xml:space="preserve"> </w:t>
      </w:r>
      <w:r w:rsidRPr="000A4FC3" w:rsidR="000A4FC3">
        <w:t xml:space="preserve">However, and as discussed in the associated guidance </w:t>
      </w:r>
      <w:r w:rsidR="000A4FC3">
        <w:t>“</w:t>
      </w:r>
      <w:r w:rsidRPr="006500E3" w:rsidR="000A4FC3">
        <w:rPr>
          <w:i/>
          <w:iCs/>
        </w:rPr>
        <w:t>Labeling of Certain Beers Subject to the Labeling Jurisdiction of the Food and Drug Administration</w:t>
      </w:r>
      <w:r w:rsidRPr="006500E3" w:rsidR="000A4FC3">
        <w:t>,</w:t>
      </w:r>
      <w:r w:rsidR="000A4FC3">
        <w:t>”</w:t>
      </w:r>
      <w:r w:rsidRPr="000A4FC3" w:rsidR="000A4FC3">
        <w:t xml:space="preserve"> certain bottled or otherwise packaged beers are subject to section 403 of the FD&amp;C Act</w:t>
      </w:r>
      <w:r w:rsidR="000A4FC3">
        <w:t>.</w:t>
      </w:r>
    </w:p>
    <w:p w:rsidR="003C1F7F" w:rsidRPr="009F3CC6" w:rsidP="00A178BD" w14:paraId="550EED3E" w14:textId="77777777">
      <w:pPr>
        <w:rPr>
          <w:rFonts w:eastAsia="Calibri"/>
          <w:color w:val="000000"/>
        </w:rPr>
      </w:pPr>
    </w:p>
    <w:p w:rsidR="00357C8A" w:rsidRPr="00357C8A" w:rsidP="00A178BD" w14:paraId="62D5C278" w14:textId="61CAA8A2">
      <w:pPr>
        <w:numPr>
          <w:ilvl w:val="0"/>
          <w:numId w:val="6"/>
        </w:numPr>
        <w:spacing w:line="276" w:lineRule="auto"/>
        <w:ind w:left="0"/>
        <w:rPr>
          <w:rFonts w:eastAsia="Calibri"/>
        </w:rPr>
      </w:pPr>
      <w:r w:rsidRPr="00357C8A">
        <w:rPr>
          <w:rFonts w:eastAsia="Calibri"/>
          <w:u w:val="single"/>
        </w:rPr>
        <w:t>Impact on Small Businesses or Other Small Entities</w:t>
      </w:r>
    </w:p>
    <w:p w:rsidR="003C1F7F" w:rsidP="00A178BD" w14:paraId="5E4FA1FC" w14:textId="77777777">
      <w:pPr>
        <w:rPr>
          <w:rFonts w:eastAsia="Calibri"/>
        </w:rPr>
      </w:pPr>
    </w:p>
    <w:p w:rsidR="00357C8A" w:rsidP="00A178BD" w14:paraId="3D925E0B" w14:textId="68D94D2D">
      <w:pPr>
        <w:rPr>
          <w:rFonts w:eastAsia="Calibri"/>
        </w:rPr>
      </w:pPr>
      <w:r w:rsidRPr="008630A0">
        <w:rPr>
          <w:rFonts w:eastAsia="Calibri"/>
        </w:rPr>
        <w:t>We estimate that approximately ten percent (10%) of the respondents are small businesses,</w:t>
      </w:r>
      <w:r w:rsidR="00620B46">
        <w:rPr>
          <w:rFonts w:eastAsia="Calibri"/>
        </w:rPr>
        <w:t xml:space="preserve"> </w:t>
      </w:r>
      <w:r w:rsidRPr="008630A0">
        <w:rPr>
          <w:rFonts w:eastAsia="Calibri"/>
        </w:rPr>
        <w:t xml:space="preserve">however we believe the information collection poses no undue burden on small entities. </w:t>
      </w:r>
      <w:r w:rsidR="00620B46">
        <w:rPr>
          <w:rFonts w:eastAsia="Calibri"/>
        </w:rPr>
        <w:t xml:space="preserve"> </w:t>
      </w:r>
      <w:r w:rsidRPr="008630A0">
        <w:rPr>
          <w:rFonts w:eastAsia="Calibri"/>
        </w:rPr>
        <w:t>The</w:t>
      </w:r>
      <w:r w:rsidR="00620B46">
        <w:rPr>
          <w:rFonts w:eastAsia="Calibri"/>
        </w:rPr>
        <w:t xml:space="preserve"> </w:t>
      </w:r>
      <w:r w:rsidRPr="008630A0">
        <w:rPr>
          <w:rFonts w:eastAsia="Calibri"/>
        </w:rPr>
        <w:t>requirements are the minimum requirements for complying with the provisions of the FD&amp;C</w:t>
      </w:r>
      <w:r w:rsidR="00620B46">
        <w:rPr>
          <w:rFonts w:eastAsia="Calibri"/>
        </w:rPr>
        <w:t xml:space="preserve"> </w:t>
      </w:r>
      <w:r w:rsidRPr="008630A0">
        <w:rPr>
          <w:rFonts w:eastAsia="Calibri"/>
        </w:rPr>
        <w:t xml:space="preserve">Act, however our regulations provide for certain exemptions. </w:t>
      </w:r>
      <w:r w:rsidR="00620B46">
        <w:rPr>
          <w:rFonts w:eastAsia="Calibri"/>
        </w:rPr>
        <w:t xml:space="preserve"> </w:t>
      </w:r>
      <w:r w:rsidRPr="008630A0">
        <w:rPr>
          <w:rFonts w:eastAsia="Calibri"/>
        </w:rPr>
        <w:t>In most cases, the information that</w:t>
      </w:r>
      <w:r w:rsidR="00620B46">
        <w:rPr>
          <w:rFonts w:eastAsia="Calibri"/>
        </w:rPr>
        <w:t xml:space="preserve"> </w:t>
      </w:r>
      <w:r w:rsidRPr="008630A0">
        <w:rPr>
          <w:rFonts w:eastAsia="Calibri"/>
        </w:rPr>
        <w:t>is required to be disclosed or submitted to the agency is information that is available to a firm,</w:t>
      </w:r>
      <w:r w:rsidR="00620B46">
        <w:rPr>
          <w:rFonts w:eastAsia="Calibri"/>
        </w:rPr>
        <w:t xml:space="preserve"> </w:t>
      </w:r>
      <w:r w:rsidRPr="008630A0">
        <w:rPr>
          <w:rFonts w:eastAsia="Calibri"/>
        </w:rPr>
        <w:t>including a small business, as a normal course of its doing business.</w:t>
      </w:r>
      <w:r w:rsidR="00620B46">
        <w:rPr>
          <w:rFonts w:eastAsia="Calibri"/>
        </w:rPr>
        <w:t xml:space="preserve"> </w:t>
      </w:r>
      <w:r w:rsidRPr="008630A0">
        <w:rPr>
          <w:rFonts w:eastAsia="Calibri"/>
        </w:rPr>
        <w:t xml:space="preserve"> Small businesses may claim</w:t>
      </w:r>
      <w:r w:rsidR="00620B46">
        <w:rPr>
          <w:rFonts w:eastAsia="Calibri"/>
        </w:rPr>
        <w:t xml:space="preserve"> </w:t>
      </w:r>
      <w:r w:rsidRPr="008630A0">
        <w:rPr>
          <w:rFonts w:eastAsia="Calibri"/>
        </w:rPr>
        <w:t>exemption from the requirements for nutrition labeling under the provisions of 21 CFR</w:t>
      </w:r>
      <w:r w:rsidR="00620B46">
        <w:rPr>
          <w:rFonts w:eastAsia="Calibri"/>
        </w:rPr>
        <w:t xml:space="preserve"> </w:t>
      </w:r>
      <w:r w:rsidRPr="008630A0">
        <w:rPr>
          <w:rFonts w:eastAsia="Calibri"/>
        </w:rPr>
        <w:t xml:space="preserve">101.9(j)(18) and 101.36(h)(2). </w:t>
      </w:r>
      <w:r w:rsidR="00620B46">
        <w:rPr>
          <w:rFonts w:eastAsia="Calibri"/>
        </w:rPr>
        <w:t xml:space="preserve"> </w:t>
      </w:r>
      <w:r w:rsidRPr="008630A0">
        <w:rPr>
          <w:rFonts w:eastAsia="Calibri"/>
        </w:rPr>
        <w:t>We aid small businesses in dealing with the requirements of the</w:t>
      </w:r>
      <w:r w:rsidR="00620B46">
        <w:rPr>
          <w:rFonts w:eastAsia="Calibri"/>
        </w:rPr>
        <w:t xml:space="preserve"> </w:t>
      </w:r>
      <w:r w:rsidRPr="008630A0">
        <w:rPr>
          <w:rFonts w:eastAsia="Calibri"/>
        </w:rPr>
        <w:t>FD&amp;C Act through the agency’s Regional Small Business Representatives and through the</w:t>
      </w:r>
      <w:r w:rsidR="00620B46">
        <w:rPr>
          <w:rFonts w:eastAsia="Calibri"/>
        </w:rPr>
        <w:t xml:space="preserve"> </w:t>
      </w:r>
      <w:r w:rsidRPr="008630A0">
        <w:rPr>
          <w:rFonts w:eastAsia="Calibri"/>
        </w:rPr>
        <w:t xml:space="preserve">scientific and administrative staffs within the agency. </w:t>
      </w:r>
      <w:r w:rsidR="00620B46">
        <w:rPr>
          <w:rFonts w:eastAsia="Calibri"/>
        </w:rPr>
        <w:t xml:space="preserve"> </w:t>
      </w:r>
      <w:r w:rsidRPr="008630A0">
        <w:rPr>
          <w:rFonts w:eastAsia="Calibri"/>
        </w:rPr>
        <w:t xml:space="preserve">We </w:t>
      </w:r>
      <w:r w:rsidRPr="001C4A63" w:rsidR="001C4A63">
        <w:rPr>
          <w:rFonts w:eastAsia="Calibri"/>
        </w:rPr>
        <w:t>also provide assistance via our Small Business Assistance webpage</w:t>
      </w:r>
      <w:r w:rsidRPr="008630A0">
        <w:rPr>
          <w:rFonts w:eastAsia="Calibri"/>
        </w:rPr>
        <w:t xml:space="preserve"> at </w:t>
      </w:r>
      <w:hyperlink r:id="rId12" w:history="1">
        <w:r w:rsidRPr="002C7F22">
          <w:rPr>
            <w:rStyle w:val="Hyperlink"/>
            <w:rFonts w:eastAsia="Calibri"/>
          </w:rPr>
          <w:t>https://www.fda.gov/industry/small-business-assistance</w:t>
        </w:r>
      </w:hyperlink>
      <w:r w:rsidRPr="008630A0">
        <w:rPr>
          <w:rFonts w:eastAsia="Calibri"/>
        </w:rPr>
        <w:t>.</w:t>
      </w:r>
    </w:p>
    <w:p w:rsidR="0005775D" w:rsidRPr="00357C8A" w:rsidP="00A178BD" w14:paraId="7372A231" w14:textId="77777777">
      <w:pPr>
        <w:rPr>
          <w:rFonts w:eastAsia="Calibri"/>
        </w:rPr>
      </w:pPr>
    </w:p>
    <w:p w:rsidR="00357C8A" w:rsidRPr="00357C8A" w:rsidP="00A178BD" w14:paraId="332EADC7" w14:textId="77777777">
      <w:pPr>
        <w:numPr>
          <w:ilvl w:val="0"/>
          <w:numId w:val="6"/>
        </w:numPr>
        <w:spacing w:line="276" w:lineRule="auto"/>
        <w:ind w:left="0"/>
        <w:rPr>
          <w:rFonts w:eastAsia="Calibri"/>
          <w:u w:val="single"/>
        </w:rPr>
      </w:pPr>
      <w:r w:rsidRPr="00357C8A">
        <w:rPr>
          <w:rFonts w:eastAsia="Calibri"/>
          <w:u w:val="single"/>
        </w:rPr>
        <w:t>Consequences of Collecting the Information Less Frequently</w:t>
      </w:r>
    </w:p>
    <w:p w:rsidR="009F33C4" w:rsidP="00A178BD" w14:paraId="3B5CEA2C" w14:textId="77777777">
      <w:pPr>
        <w:rPr>
          <w:rFonts w:eastAsia="Calibri"/>
        </w:rPr>
      </w:pPr>
    </w:p>
    <w:p w:rsidR="00357C8A" w:rsidP="00A178BD" w14:paraId="20CD86B5" w14:textId="652607A8">
      <w:pPr>
        <w:rPr>
          <w:rFonts w:eastAsia="Calibri"/>
        </w:rPr>
      </w:pPr>
      <w:r w:rsidRPr="008630A0">
        <w:rPr>
          <w:rFonts w:eastAsia="Calibri"/>
        </w:rPr>
        <w:t xml:space="preserve">Data collection is consistent with statutory and regulatory </w:t>
      </w:r>
      <w:r w:rsidRPr="008630A0" w:rsidR="00AF4C02">
        <w:rPr>
          <w:rFonts w:eastAsia="Calibri"/>
        </w:rPr>
        <w:t>requirements</w:t>
      </w:r>
      <w:r w:rsidRPr="008630A0">
        <w:rPr>
          <w:rFonts w:eastAsia="Calibri"/>
        </w:rPr>
        <w:t>.</w:t>
      </w:r>
    </w:p>
    <w:p w:rsidR="009F33C4" w:rsidRPr="009F3CC6" w:rsidP="00A178BD" w14:paraId="7F00ACD7" w14:textId="77777777">
      <w:pPr>
        <w:rPr>
          <w:rFonts w:eastAsia="Calibri"/>
          <w:color w:val="000000"/>
        </w:rPr>
      </w:pPr>
    </w:p>
    <w:p w:rsidR="00357C8A" w:rsidRPr="009F33C4" w:rsidP="009F33C4" w14:paraId="07B59850" w14:textId="76905D6B">
      <w:pPr>
        <w:numPr>
          <w:ilvl w:val="0"/>
          <w:numId w:val="6"/>
        </w:numPr>
        <w:spacing w:line="276" w:lineRule="auto"/>
        <w:ind w:left="0"/>
        <w:rPr>
          <w:rFonts w:eastAsia="Calibri"/>
        </w:rPr>
      </w:pPr>
      <w:r w:rsidRPr="009F33C4">
        <w:rPr>
          <w:rFonts w:eastAsia="Calibri"/>
          <w:u w:val="single"/>
        </w:rPr>
        <w:t>Special Circumstances Relating to the Guidelines of 5 CFR 1320.5</w:t>
      </w:r>
    </w:p>
    <w:p w:rsidR="00DC3088" w:rsidP="00A178BD" w14:paraId="44CCC146" w14:textId="77777777">
      <w:pPr>
        <w:rPr>
          <w:rFonts w:eastAsia="Calibri"/>
        </w:rPr>
      </w:pPr>
    </w:p>
    <w:p w:rsidR="00357C8A" w:rsidP="00A178BD" w14:paraId="5CA0DE46" w14:textId="328AF477">
      <w:pPr>
        <w:rPr>
          <w:rFonts w:eastAsia="Calibri"/>
        </w:rPr>
      </w:pPr>
      <w:r w:rsidRPr="008630A0">
        <w:rPr>
          <w:rFonts w:eastAsia="Calibri"/>
        </w:rPr>
        <w:t>There are no special circumstances associated with this collection of information.</w:t>
      </w:r>
    </w:p>
    <w:p w:rsidR="003C1F7F" w:rsidRPr="00357C8A" w:rsidP="00A178BD" w14:paraId="17D143C9" w14:textId="77777777">
      <w:pPr>
        <w:rPr>
          <w:rFonts w:eastAsia="Calibri"/>
        </w:rPr>
      </w:pPr>
    </w:p>
    <w:p w:rsidR="00357C8A" w:rsidRPr="00357C8A" w:rsidP="00A178BD" w14:paraId="227BF986" w14:textId="77777777">
      <w:pPr>
        <w:numPr>
          <w:ilvl w:val="0"/>
          <w:numId w:val="6"/>
        </w:numPr>
        <w:spacing w:line="276" w:lineRule="auto"/>
        <w:ind w:left="0"/>
        <w:rPr>
          <w:rFonts w:eastAsia="Calibri"/>
        </w:rPr>
      </w:pPr>
      <w:r w:rsidRPr="00357C8A">
        <w:rPr>
          <w:rFonts w:eastAsia="Calibri"/>
          <w:u w:val="single"/>
        </w:rPr>
        <w:t>Comments in Response to the Federal Register Notice and Efforts to Consult Outside the Agency</w:t>
      </w:r>
    </w:p>
    <w:p w:rsidR="00DC3088" w:rsidP="00A178BD" w14:paraId="17DBF6C8" w14:textId="77777777">
      <w:pPr>
        <w:rPr>
          <w:rFonts w:eastAsia="Calibri"/>
        </w:rPr>
      </w:pPr>
    </w:p>
    <w:p w:rsidR="00357C8A" w:rsidP="00A178BD" w14:paraId="09205835" w14:textId="79709857">
      <w:pPr>
        <w:rPr>
          <w:rFonts w:eastAsia="Calibri"/>
          <w:color w:val="000000"/>
        </w:rPr>
      </w:pPr>
      <w:r w:rsidRPr="008630A0">
        <w:rPr>
          <w:rFonts w:eastAsia="Calibri"/>
        </w:rPr>
        <w:t xml:space="preserve">We published a 60-day notice for public comment in the </w:t>
      </w:r>
      <w:r w:rsidRPr="006500E3">
        <w:rPr>
          <w:rFonts w:eastAsia="Calibri"/>
          <w:i/>
          <w:iCs/>
        </w:rPr>
        <w:t>Federal Register</w:t>
      </w:r>
      <w:r w:rsidRPr="008630A0">
        <w:rPr>
          <w:rFonts w:eastAsia="Calibri"/>
        </w:rPr>
        <w:t xml:space="preserve"> of </w:t>
      </w:r>
      <w:r w:rsidR="000B4873">
        <w:rPr>
          <w:rFonts w:eastAsia="Calibri"/>
        </w:rPr>
        <w:t>April 12</w:t>
      </w:r>
      <w:r w:rsidRPr="008630A0">
        <w:rPr>
          <w:rFonts w:eastAsia="Calibri"/>
        </w:rPr>
        <w:t>, 202</w:t>
      </w:r>
      <w:r w:rsidR="002C7F22">
        <w:rPr>
          <w:rFonts w:eastAsia="Calibri"/>
        </w:rPr>
        <w:t>3</w:t>
      </w:r>
      <w:r w:rsidR="007D4810">
        <w:rPr>
          <w:rFonts w:eastAsia="Calibri"/>
        </w:rPr>
        <w:t xml:space="preserve"> </w:t>
      </w:r>
      <w:r w:rsidRPr="008630A0">
        <w:rPr>
          <w:rFonts w:eastAsia="Calibri"/>
        </w:rPr>
        <w:t>(8</w:t>
      </w:r>
      <w:r w:rsidR="002C7F22">
        <w:rPr>
          <w:rFonts w:eastAsia="Calibri"/>
        </w:rPr>
        <w:t>8</w:t>
      </w:r>
      <w:r w:rsidRPr="008630A0">
        <w:rPr>
          <w:rFonts w:eastAsia="Calibri"/>
        </w:rPr>
        <w:t xml:space="preserve"> FR </w:t>
      </w:r>
      <w:r w:rsidR="000B4873">
        <w:rPr>
          <w:rFonts w:eastAsia="Calibri"/>
        </w:rPr>
        <w:t>22045</w:t>
      </w:r>
      <w:r w:rsidRPr="008630A0">
        <w:rPr>
          <w:rFonts w:eastAsia="Calibri"/>
        </w:rPr>
        <w:t xml:space="preserve">). </w:t>
      </w:r>
      <w:r w:rsidR="00AD6D59">
        <w:rPr>
          <w:rFonts w:eastAsia="Calibri"/>
        </w:rPr>
        <w:t xml:space="preserve"> </w:t>
      </w:r>
      <w:r w:rsidR="002C7F22">
        <w:rPr>
          <w:rFonts w:eastAsia="Calibri"/>
        </w:rPr>
        <w:t>No comments were received</w:t>
      </w:r>
      <w:r w:rsidRPr="009F3CC6" w:rsidR="002C7F22">
        <w:rPr>
          <w:rFonts w:eastAsia="Calibri"/>
          <w:color w:val="000000"/>
        </w:rPr>
        <w:t>.</w:t>
      </w:r>
    </w:p>
    <w:p w:rsidR="003C1F7F" w:rsidRPr="009F3CC6" w:rsidP="00A178BD" w14:paraId="6F914181" w14:textId="77777777">
      <w:pPr>
        <w:rPr>
          <w:rFonts w:eastAsia="Calibri"/>
          <w:color w:val="000000"/>
        </w:rPr>
      </w:pPr>
    </w:p>
    <w:p w:rsidR="00357C8A" w:rsidRPr="00357C8A" w:rsidP="00A178BD" w14:paraId="38E4AA84" w14:textId="77777777">
      <w:pPr>
        <w:numPr>
          <w:ilvl w:val="0"/>
          <w:numId w:val="6"/>
        </w:numPr>
        <w:spacing w:line="276" w:lineRule="auto"/>
        <w:ind w:left="0"/>
        <w:rPr>
          <w:rFonts w:eastAsia="Calibri"/>
        </w:rPr>
      </w:pPr>
      <w:r w:rsidRPr="00357C8A">
        <w:rPr>
          <w:rFonts w:eastAsia="Calibri"/>
          <w:u w:val="single"/>
        </w:rPr>
        <w:t>Explanation of Any Payment or Gift to Respondents</w:t>
      </w:r>
    </w:p>
    <w:p w:rsidR="00DC3088" w:rsidP="00A178BD" w14:paraId="7CE1E430" w14:textId="77777777">
      <w:pPr>
        <w:rPr>
          <w:rFonts w:eastAsia="Calibri"/>
        </w:rPr>
      </w:pPr>
    </w:p>
    <w:p w:rsidR="00357C8A" w:rsidP="00A178BD" w14:paraId="376E6BCF" w14:textId="7E93A57E">
      <w:pPr>
        <w:rPr>
          <w:rFonts w:eastAsia="Calibri"/>
        </w:rPr>
      </w:pPr>
      <w:r w:rsidRPr="008630A0">
        <w:rPr>
          <w:rFonts w:eastAsia="Calibri"/>
        </w:rPr>
        <w:t>This information collection does not provide for payments or gifts to respondents</w:t>
      </w:r>
      <w:r w:rsidR="007D4810">
        <w:rPr>
          <w:rFonts w:eastAsia="Calibri"/>
        </w:rPr>
        <w:t>.</w:t>
      </w:r>
    </w:p>
    <w:p w:rsidR="003C1F7F" w:rsidRPr="009F3CC6" w:rsidP="00A178BD" w14:paraId="0140BFA6" w14:textId="77777777">
      <w:pPr>
        <w:rPr>
          <w:rFonts w:eastAsia="Calibri"/>
          <w:color w:val="000000"/>
        </w:rPr>
      </w:pPr>
    </w:p>
    <w:p w:rsidR="00357C8A" w:rsidRPr="00357C8A" w:rsidP="00A178BD" w14:paraId="222AC695" w14:textId="77777777">
      <w:pPr>
        <w:numPr>
          <w:ilvl w:val="0"/>
          <w:numId w:val="6"/>
        </w:numPr>
        <w:spacing w:line="276" w:lineRule="auto"/>
        <w:ind w:left="0"/>
        <w:rPr>
          <w:rFonts w:eastAsia="Calibri"/>
        </w:rPr>
      </w:pPr>
      <w:r w:rsidRPr="00357C8A">
        <w:rPr>
          <w:rFonts w:eastAsia="Calibri"/>
          <w:u w:val="single"/>
        </w:rPr>
        <w:t>Assurance of Confidentiality Provided to Respondents</w:t>
      </w:r>
    </w:p>
    <w:p w:rsidR="00DC3088" w:rsidP="00A178BD" w14:paraId="5EE73C88" w14:textId="77777777">
      <w:pPr>
        <w:rPr>
          <w:rFonts w:eastAsia="Calibri"/>
        </w:rPr>
      </w:pPr>
    </w:p>
    <w:p w:rsidR="00571CE2" w:rsidRPr="00571CE2" w:rsidP="00A178BD" w14:paraId="618F62ED" w14:textId="369CB209">
      <w:pPr>
        <w:rPr>
          <w:rFonts w:eastAsia="Calibri"/>
        </w:rPr>
      </w:pPr>
      <w:r w:rsidRPr="00571CE2">
        <w:rPr>
          <w:rFonts w:eastAsia="Calibri"/>
        </w:rPr>
        <w:t xml:space="preserve">In preparing this </w:t>
      </w:r>
      <w:r w:rsidR="00142B6C">
        <w:rPr>
          <w:rFonts w:eastAsia="Calibri"/>
        </w:rPr>
        <w:t>s</w:t>
      </w:r>
      <w:r w:rsidRPr="00571CE2">
        <w:rPr>
          <w:rFonts w:eastAsia="Calibri"/>
        </w:rPr>
        <w:t xml:space="preserve">upporting </w:t>
      </w:r>
      <w:r w:rsidR="00142B6C">
        <w:rPr>
          <w:rFonts w:eastAsia="Calibri"/>
        </w:rPr>
        <w:t>s</w:t>
      </w:r>
      <w:r w:rsidRPr="00571CE2">
        <w:rPr>
          <w:rFonts w:eastAsia="Calibri"/>
        </w:rPr>
        <w:t>tatement, we consulted our Privacy Office to ensure appropriate identification and handling of information collected.</w:t>
      </w:r>
      <w:r w:rsidR="002743BE">
        <w:rPr>
          <w:rFonts w:eastAsia="Calibri"/>
        </w:rPr>
        <w:t xml:space="preserve">  </w:t>
      </w:r>
      <w:r w:rsidRPr="00571CE2">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3570 (Small Business Nutrition Label Exemption Notice) is point of contact name, work address, work phone number, work fax number, and work email. </w:t>
      </w:r>
      <w:r w:rsidR="001C4A63">
        <w:rPr>
          <w:rFonts w:eastAsia="Calibri"/>
        </w:rPr>
        <w:t xml:space="preserve"> </w:t>
      </w:r>
      <w:r w:rsidRPr="00571CE2">
        <w:rPr>
          <w:rFonts w:eastAsia="Calibri"/>
        </w:rPr>
        <w:t>FDA determined that although PII is collected, the collection is not subject to the Privacy Act of 1974</w:t>
      </w:r>
      <w:r w:rsidR="001C4A63">
        <w:rPr>
          <w:rFonts w:eastAsia="Calibri"/>
        </w:rPr>
        <w:t>,</w:t>
      </w:r>
      <w:r w:rsidRPr="00571CE2">
        <w:rPr>
          <w:rFonts w:eastAsia="Calibri"/>
        </w:rPr>
        <w:t xml:space="preserve"> and the particular notice and other requirements of the </w:t>
      </w:r>
      <w:r w:rsidR="00074B91">
        <w:rPr>
          <w:rFonts w:eastAsia="Calibri"/>
        </w:rPr>
        <w:t xml:space="preserve">Privacy </w:t>
      </w:r>
      <w:r w:rsidRPr="00571CE2">
        <w:rPr>
          <w:rFonts w:eastAsia="Calibri"/>
        </w:rPr>
        <w:t xml:space="preserve">Act do not apply. </w:t>
      </w:r>
      <w:r w:rsidR="001C4A63">
        <w:rPr>
          <w:rFonts w:eastAsia="Calibri"/>
        </w:rPr>
        <w:t xml:space="preserve"> </w:t>
      </w:r>
      <w:r w:rsidRPr="00571CE2">
        <w:rPr>
          <w:rFonts w:eastAsia="Calibri"/>
        </w:rPr>
        <w:t xml:space="preserve">Specifically, the contractor or FDA does not use name or any other personal identifier to retrieve records from the information collected. </w:t>
      </w:r>
      <w:r w:rsidR="001C4A63">
        <w:rPr>
          <w:rFonts w:eastAsia="Calibri"/>
        </w:rPr>
        <w:t xml:space="preserve"> </w:t>
      </w:r>
      <w:r w:rsidRPr="00571CE2">
        <w:rPr>
          <w:rFonts w:eastAsia="Calibri"/>
        </w:rPr>
        <w:t xml:space="preserve">Through appropriate form and webpage design, FDA </w:t>
      </w:r>
      <w:r w:rsidR="00074B91">
        <w:rPr>
          <w:rFonts w:eastAsia="Calibri"/>
        </w:rPr>
        <w:t xml:space="preserve">has </w:t>
      </w:r>
      <w:r w:rsidRPr="00571CE2">
        <w:rPr>
          <w:rFonts w:eastAsia="Calibri"/>
        </w:rPr>
        <w:t>limited submission fields and minimized the PII collected to protect the privacy of the individuals.</w:t>
      </w:r>
    </w:p>
    <w:p w:rsidR="00571CE2" w:rsidRPr="00571CE2" w:rsidP="00A178BD" w14:paraId="54D307AC" w14:textId="77777777">
      <w:pPr>
        <w:rPr>
          <w:rFonts w:eastAsia="Calibri"/>
        </w:rPr>
      </w:pPr>
    </w:p>
    <w:p w:rsidR="001A4F61" w:rsidRPr="008630A0" w:rsidP="00A178BD" w14:paraId="3EDA28B4" w14:textId="01ECCBC3">
      <w:pPr>
        <w:rPr>
          <w:rFonts w:eastAsia="Calibri"/>
        </w:rPr>
      </w:pPr>
      <w:r w:rsidRPr="00571CE2">
        <w:rPr>
          <w:rFonts w:eastAsia="Calibri"/>
        </w:rPr>
        <w:t xml:space="preserve">Under FOIA (5 U.S.C. 552), the public has broad access to government documents. </w:t>
      </w:r>
      <w:r w:rsidR="001C4A63">
        <w:rPr>
          <w:rFonts w:eastAsia="Calibri"/>
        </w:rPr>
        <w:t xml:space="preserve"> </w:t>
      </w:r>
      <w:r w:rsidRPr="00571CE2">
        <w:rPr>
          <w:rFonts w:eastAsia="Calibri"/>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142B6C">
        <w:t xml:space="preserve">  </w:t>
      </w:r>
      <w:r w:rsidRPr="00142B6C" w:rsidR="00142B6C">
        <w:rPr>
          <w:rFonts w:eastAsia="Calibri"/>
        </w:rPr>
        <w:t>Information submitted to FDA under the food labeling regulations may contain trade secret and commercial confidential information.  Only information that is releasable under the agency’s regulations in 21 CFR part 20 would be released to the public.  This information is also safeguarded by section 301(j) of the FD&amp;C Act and would be protected from disclosure under the Freedom of Information Act (FOIA) under sections 552(a) and (b) (5 U.S.C. 552(a) and (b)).</w:t>
      </w:r>
    </w:p>
    <w:p w:rsidR="001075D3" w:rsidRPr="001075D3" w:rsidP="00A178BD" w14:paraId="5258455A" w14:textId="77777777"/>
    <w:p w:rsidR="00357C8A" w:rsidRPr="00357C8A" w:rsidP="00A178BD" w14:paraId="1F695DDF" w14:textId="77777777">
      <w:pPr>
        <w:numPr>
          <w:ilvl w:val="0"/>
          <w:numId w:val="6"/>
        </w:numPr>
        <w:spacing w:line="276" w:lineRule="auto"/>
        <w:ind w:left="0"/>
        <w:rPr>
          <w:rFonts w:eastAsia="Calibri"/>
        </w:rPr>
      </w:pPr>
      <w:r w:rsidRPr="00357C8A">
        <w:rPr>
          <w:rFonts w:eastAsia="Calibri"/>
          <w:u w:val="single"/>
        </w:rPr>
        <w:t>Justification for Sensitive Questions</w:t>
      </w:r>
    </w:p>
    <w:p w:rsidR="009F33C4" w:rsidP="00A178BD" w14:paraId="3AE2D078" w14:textId="77777777">
      <w:pPr>
        <w:rPr>
          <w:rFonts w:eastAsia="Calibri"/>
        </w:rPr>
      </w:pPr>
    </w:p>
    <w:p w:rsidR="00357C8A" w:rsidP="00A178BD" w14:paraId="2842F520" w14:textId="2A64656F">
      <w:pPr>
        <w:rPr>
          <w:rFonts w:eastAsia="Calibri"/>
        </w:rPr>
      </w:pPr>
      <w:r w:rsidRPr="008630A0">
        <w:rPr>
          <w:rFonts w:eastAsia="Calibri"/>
        </w:rPr>
        <w:t>This information collection does not involve questions that are of a personally sensitive nature</w:t>
      </w:r>
      <w:r w:rsidR="007D4810">
        <w:rPr>
          <w:rFonts w:eastAsia="Calibri"/>
        </w:rPr>
        <w:t>.</w:t>
      </w:r>
    </w:p>
    <w:p w:rsidR="009F33C4" w:rsidRPr="009F3CC6" w:rsidP="00A178BD" w14:paraId="689424FE" w14:textId="77777777">
      <w:pPr>
        <w:rPr>
          <w:rFonts w:eastAsia="Calibri"/>
          <w:color w:val="000000"/>
        </w:rPr>
      </w:pPr>
    </w:p>
    <w:p w:rsidR="00357C8A" w:rsidRPr="00357C8A" w:rsidP="00A178BD" w14:paraId="2BC2A08C" w14:textId="48A626F1">
      <w:pPr>
        <w:numPr>
          <w:ilvl w:val="0"/>
          <w:numId w:val="6"/>
        </w:numPr>
        <w:spacing w:line="276" w:lineRule="auto"/>
        <w:ind w:left="0"/>
        <w:rPr>
          <w:rFonts w:eastAsia="Calibri"/>
          <w:u w:val="single"/>
        </w:rPr>
      </w:pPr>
      <w:r w:rsidRPr="00357C8A">
        <w:rPr>
          <w:rFonts w:eastAsia="Calibri"/>
          <w:u w:val="single"/>
        </w:rPr>
        <w:t>Estimates of Annualized Burden Hours and Cost</w:t>
      </w:r>
    </w:p>
    <w:p w:rsidR="009F33C4" w:rsidP="00A178BD" w14:paraId="67DEEEC4" w14:textId="77777777">
      <w:pPr>
        <w:rPr>
          <w:rFonts w:eastAsia="Calibri"/>
          <w:i/>
          <w:iCs/>
        </w:rPr>
      </w:pPr>
    </w:p>
    <w:p w:rsidR="006D117F" w:rsidP="009F33C4" w14:paraId="649D6DF1" w14:textId="39A850C0">
      <w:pPr>
        <w:rPr>
          <w:rFonts w:eastAsia="Calibri"/>
          <w:i/>
          <w:iCs/>
        </w:rPr>
      </w:pPr>
      <w:r w:rsidRPr="00F929BC">
        <w:rPr>
          <w:rFonts w:eastAsia="Calibri"/>
          <w:i/>
          <w:iCs/>
        </w:rPr>
        <w:t>12a.  Annualized Hour Burden Estimate</w:t>
      </w:r>
    </w:p>
    <w:p w:rsidR="009F33C4" w:rsidRPr="009F33C4" w:rsidP="009F33C4" w14:paraId="092E966B" w14:textId="77777777">
      <w:pPr>
        <w:rPr>
          <w:rFonts w:eastAsia="Calibri"/>
          <w:i/>
          <w:i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350"/>
        <w:gridCol w:w="1980"/>
        <w:gridCol w:w="1170"/>
        <w:gridCol w:w="1260"/>
        <w:gridCol w:w="828"/>
      </w:tblGrid>
      <w:tr w14:paraId="51F5A0B3" w14:textId="77777777" w:rsidTr="00074B91">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468" w:type="dxa"/>
            <w:gridSpan w:val="6"/>
            <w:tcBorders>
              <w:top w:val="nil"/>
              <w:left w:val="nil"/>
              <w:right w:val="nil"/>
            </w:tcBorders>
            <w:shd w:val="clear" w:color="auto" w:fill="D9D9D9" w:themeFill="background1" w:themeFillShade="D9"/>
          </w:tcPr>
          <w:p w:rsidR="006D117F" w:rsidRPr="009F33C4" w:rsidP="00A178BD" w14:paraId="068FB3E9" w14:textId="77777777">
            <w:pPr>
              <w:contextualSpacing/>
              <w:jc w:val="center"/>
            </w:pPr>
            <w:r w:rsidRPr="009F33C4">
              <w:t>Table 1.--Estimated Annual Reporting Burden</w:t>
            </w:r>
            <w:r w:rsidRPr="009F33C4">
              <w:rPr>
                <w:vertAlign w:val="superscript"/>
              </w:rPr>
              <w:t>1</w:t>
            </w:r>
          </w:p>
        </w:tc>
      </w:tr>
      <w:tr w14:paraId="1E3ABFB1" w14:textId="77777777" w:rsidTr="00074B91">
        <w:tblPrEx>
          <w:tblW w:w="9468" w:type="dxa"/>
          <w:tblLayout w:type="fixed"/>
          <w:tblLook w:val="0000"/>
        </w:tblPrEx>
        <w:tc>
          <w:tcPr>
            <w:tcW w:w="2880" w:type="dxa"/>
            <w:shd w:val="clear" w:color="auto" w:fill="FFFFFF"/>
          </w:tcPr>
          <w:p w:rsidR="006D117F" w:rsidRPr="005A0DE8" w:rsidP="00A178BD" w14:paraId="5722CF90" w14:textId="77777777">
            <w:pPr>
              <w:contextualSpacing/>
              <w:rPr>
                <w:sz w:val="20"/>
                <w:szCs w:val="20"/>
              </w:rPr>
            </w:pPr>
            <w:r w:rsidRPr="005A0DE8">
              <w:rPr>
                <w:sz w:val="20"/>
                <w:szCs w:val="20"/>
              </w:rPr>
              <w:t>21 CFR Section; Activity</w:t>
            </w:r>
          </w:p>
        </w:tc>
        <w:tc>
          <w:tcPr>
            <w:tcW w:w="1350" w:type="dxa"/>
            <w:shd w:val="clear" w:color="auto" w:fill="FFFFFF"/>
          </w:tcPr>
          <w:p w:rsidR="006D117F" w:rsidRPr="005A0DE8" w:rsidP="00A178BD" w14:paraId="6D81ADA9" w14:textId="77777777">
            <w:pPr>
              <w:contextualSpacing/>
              <w:jc w:val="center"/>
              <w:rPr>
                <w:sz w:val="20"/>
                <w:szCs w:val="20"/>
              </w:rPr>
            </w:pPr>
            <w:r w:rsidRPr="005A0DE8">
              <w:rPr>
                <w:sz w:val="20"/>
                <w:szCs w:val="20"/>
              </w:rPr>
              <w:t>No. of Respondents</w:t>
            </w:r>
          </w:p>
        </w:tc>
        <w:tc>
          <w:tcPr>
            <w:tcW w:w="1980" w:type="dxa"/>
            <w:shd w:val="clear" w:color="auto" w:fill="FFFFFF"/>
          </w:tcPr>
          <w:p w:rsidR="006D117F" w:rsidRPr="005A0DE8" w:rsidP="00A178BD" w14:paraId="22F0313F" w14:textId="77777777">
            <w:pPr>
              <w:contextualSpacing/>
              <w:jc w:val="center"/>
              <w:rPr>
                <w:sz w:val="20"/>
                <w:szCs w:val="20"/>
              </w:rPr>
            </w:pPr>
            <w:r w:rsidRPr="005A0DE8">
              <w:rPr>
                <w:sz w:val="20"/>
                <w:szCs w:val="20"/>
              </w:rPr>
              <w:t>No. of Responses per Respondent</w:t>
            </w:r>
          </w:p>
        </w:tc>
        <w:tc>
          <w:tcPr>
            <w:tcW w:w="1170" w:type="dxa"/>
            <w:shd w:val="clear" w:color="auto" w:fill="FFFFFF"/>
          </w:tcPr>
          <w:p w:rsidR="006D117F" w:rsidRPr="005A0DE8" w:rsidP="00A178BD" w14:paraId="739DF34F" w14:textId="77777777">
            <w:pPr>
              <w:contextualSpacing/>
              <w:jc w:val="center"/>
              <w:rPr>
                <w:sz w:val="20"/>
                <w:szCs w:val="20"/>
              </w:rPr>
            </w:pPr>
            <w:r w:rsidRPr="005A0DE8">
              <w:rPr>
                <w:sz w:val="20"/>
                <w:szCs w:val="20"/>
              </w:rPr>
              <w:t>Total Annual Responses</w:t>
            </w:r>
          </w:p>
        </w:tc>
        <w:tc>
          <w:tcPr>
            <w:tcW w:w="1260" w:type="dxa"/>
            <w:shd w:val="clear" w:color="auto" w:fill="FFFFFF"/>
          </w:tcPr>
          <w:p w:rsidR="006D117F" w:rsidRPr="005A0DE8" w:rsidP="00A178BD" w14:paraId="0D8C0B19" w14:textId="77777777">
            <w:pPr>
              <w:contextualSpacing/>
              <w:jc w:val="center"/>
              <w:rPr>
                <w:sz w:val="20"/>
                <w:szCs w:val="20"/>
              </w:rPr>
            </w:pPr>
            <w:r w:rsidRPr="005A0DE8">
              <w:rPr>
                <w:sz w:val="20"/>
                <w:szCs w:val="20"/>
              </w:rPr>
              <w:t>Average Burden per Response</w:t>
            </w:r>
          </w:p>
        </w:tc>
        <w:tc>
          <w:tcPr>
            <w:tcW w:w="828" w:type="dxa"/>
            <w:shd w:val="clear" w:color="auto" w:fill="FFFFFF"/>
          </w:tcPr>
          <w:p w:rsidR="006D117F" w:rsidRPr="005A0DE8" w:rsidP="00A178BD" w14:paraId="5092790D" w14:textId="77777777">
            <w:pPr>
              <w:contextualSpacing/>
              <w:jc w:val="center"/>
              <w:rPr>
                <w:sz w:val="20"/>
                <w:szCs w:val="20"/>
              </w:rPr>
            </w:pPr>
            <w:r w:rsidRPr="005A0DE8">
              <w:rPr>
                <w:sz w:val="20"/>
                <w:szCs w:val="20"/>
              </w:rPr>
              <w:t>Total Hours</w:t>
            </w:r>
          </w:p>
        </w:tc>
      </w:tr>
      <w:tr w14:paraId="79F59B23" w14:textId="77777777" w:rsidTr="00074B91">
        <w:tblPrEx>
          <w:tblW w:w="9468" w:type="dxa"/>
          <w:tblLayout w:type="fixed"/>
          <w:tblLook w:val="0000"/>
        </w:tblPrEx>
        <w:tc>
          <w:tcPr>
            <w:tcW w:w="2880" w:type="dxa"/>
            <w:tcBorders>
              <w:top w:val="single" w:sz="4" w:space="0" w:color="auto"/>
              <w:left w:val="single" w:sz="4" w:space="0" w:color="auto"/>
              <w:bottom w:val="single" w:sz="4" w:space="0" w:color="auto"/>
              <w:right w:val="single" w:sz="4" w:space="0" w:color="auto"/>
            </w:tcBorders>
            <w:shd w:val="clear" w:color="auto" w:fill="FFFFFF"/>
          </w:tcPr>
          <w:p w:rsidR="006D117F" w:rsidRPr="005A0DE8" w:rsidP="00A178BD" w14:paraId="4ED8A638" w14:textId="77777777">
            <w:pPr>
              <w:contextualSpacing/>
              <w:rPr>
                <w:sz w:val="20"/>
                <w:szCs w:val="20"/>
              </w:rPr>
            </w:pPr>
            <w:r w:rsidRPr="005A0DE8">
              <w:rPr>
                <w:sz w:val="20"/>
                <w:szCs w:val="20"/>
              </w:rPr>
              <w:t>101.9(c)(6)(i); dietary fiber</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6D117F" w:rsidRPr="005A0DE8" w:rsidP="00A178BD" w14:paraId="686D7FAB" w14:textId="77777777">
            <w:pPr>
              <w:contextualSpacing/>
              <w:jc w:val="right"/>
              <w:rPr>
                <w:sz w:val="20"/>
                <w:szCs w:val="20"/>
              </w:rPr>
            </w:pPr>
            <w:r w:rsidRPr="005A0DE8">
              <w:rPr>
                <w:sz w:val="20"/>
                <w:szCs w:val="20"/>
              </w:rPr>
              <w:t>28</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6D117F" w:rsidRPr="005A0DE8" w:rsidP="00A178BD" w14:paraId="4BC7AE58"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6D117F" w:rsidRPr="005A0DE8" w:rsidP="00A178BD" w14:paraId="46783D09" w14:textId="77777777">
            <w:pPr>
              <w:contextualSpacing/>
              <w:jc w:val="right"/>
              <w:rPr>
                <w:sz w:val="20"/>
                <w:szCs w:val="20"/>
              </w:rPr>
            </w:pPr>
            <w:r w:rsidRPr="005A0DE8">
              <w:rPr>
                <w:sz w:val="20"/>
                <w:szCs w:val="20"/>
              </w:rPr>
              <w:t>28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117F" w:rsidRPr="005A0DE8" w:rsidP="00A178BD" w14:paraId="0DCA5EA9" w14:textId="77777777">
            <w:pPr>
              <w:contextualSpacing/>
              <w:jc w:val="right"/>
              <w:rPr>
                <w:sz w:val="20"/>
                <w:szCs w:val="20"/>
              </w:rPr>
            </w:pPr>
            <w:r w:rsidRPr="005A0DE8">
              <w:rPr>
                <w:sz w:val="20"/>
                <w:szCs w:val="20"/>
              </w:rPr>
              <w:t>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6D117F" w:rsidRPr="005A0DE8" w:rsidP="00A178BD" w14:paraId="279E2B73" w14:textId="77777777">
            <w:pPr>
              <w:contextualSpacing/>
              <w:jc w:val="right"/>
              <w:rPr>
                <w:sz w:val="20"/>
                <w:szCs w:val="20"/>
              </w:rPr>
            </w:pPr>
            <w:r w:rsidRPr="005A0DE8">
              <w:rPr>
                <w:sz w:val="20"/>
                <w:szCs w:val="20"/>
              </w:rPr>
              <w:t>28</w:t>
            </w:r>
          </w:p>
        </w:tc>
      </w:tr>
      <w:tr w14:paraId="2ACF9C67" w14:textId="77777777" w:rsidTr="00074B91">
        <w:tblPrEx>
          <w:tblW w:w="9468" w:type="dxa"/>
          <w:tblLayout w:type="fixed"/>
          <w:tblLook w:val="0000"/>
        </w:tblPrEx>
        <w:tc>
          <w:tcPr>
            <w:tcW w:w="2880" w:type="dxa"/>
            <w:shd w:val="clear" w:color="auto" w:fill="auto"/>
          </w:tcPr>
          <w:p w:rsidR="006D117F" w:rsidRPr="005A0DE8" w:rsidP="00A178BD" w14:paraId="5E4D8F0A" w14:textId="77777777">
            <w:pPr>
              <w:contextualSpacing/>
              <w:rPr>
                <w:sz w:val="20"/>
                <w:szCs w:val="20"/>
              </w:rPr>
            </w:pPr>
            <w:r w:rsidRPr="005A0DE8">
              <w:rPr>
                <w:sz w:val="20"/>
                <w:szCs w:val="20"/>
              </w:rPr>
              <w:t>101.9(j)(18) and 101.36(h)(2); procedure for small business nutrition labeling exemption notice using Form FDA 3570</w:t>
            </w:r>
          </w:p>
        </w:tc>
        <w:tc>
          <w:tcPr>
            <w:tcW w:w="1350" w:type="dxa"/>
            <w:shd w:val="clear" w:color="auto" w:fill="auto"/>
          </w:tcPr>
          <w:p w:rsidR="006D117F" w:rsidRPr="005A0DE8" w:rsidP="00A178BD" w14:paraId="60756040" w14:textId="77777777">
            <w:pPr>
              <w:contextualSpacing/>
              <w:jc w:val="right"/>
              <w:rPr>
                <w:sz w:val="20"/>
                <w:szCs w:val="20"/>
              </w:rPr>
            </w:pPr>
            <w:r w:rsidRPr="005A0DE8">
              <w:rPr>
                <w:sz w:val="20"/>
                <w:szCs w:val="20"/>
              </w:rPr>
              <w:t>10,000</w:t>
            </w:r>
          </w:p>
        </w:tc>
        <w:tc>
          <w:tcPr>
            <w:tcW w:w="1980" w:type="dxa"/>
            <w:shd w:val="clear" w:color="auto" w:fill="auto"/>
          </w:tcPr>
          <w:p w:rsidR="006D117F" w:rsidRPr="005A0DE8" w:rsidP="00A178BD" w14:paraId="11FA6D7D"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4F472003" w14:textId="77777777">
            <w:pPr>
              <w:contextualSpacing/>
              <w:jc w:val="right"/>
              <w:rPr>
                <w:sz w:val="20"/>
                <w:szCs w:val="20"/>
              </w:rPr>
            </w:pPr>
            <w:r w:rsidRPr="005A0DE8">
              <w:rPr>
                <w:sz w:val="20"/>
                <w:szCs w:val="20"/>
              </w:rPr>
              <w:t>10,000</w:t>
            </w:r>
          </w:p>
        </w:tc>
        <w:tc>
          <w:tcPr>
            <w:tcW w:w="1260" w:type="dxa"/>
            <w:shd w:val="clear" w:color="auto" w:fill="auto"/>
          </w:tcPr>
          <w:p w:rsidR="006D117F" w:rsidRPr="005A0DE8" w:rsidP="00A178BD" w14:paraId="76A3F77E" w14:textId="77777777">
            <w:pPr>
              <w:contextualSpacing/>
              <w:jc w:val="right"/>
              <w:rPr>
                <w:sz w:val="20"/>
                <w:szCs w:val="20"/>
              </w:rPr>
            </w:pPr>
            <w:r w:rsidRPr="005A0DE8">
              <w:rPr>
                <w:sz w:val="20"/>
                <w:szCs w:val="20"/>
              </w:rPr>
              <w:t>8</w:t>
            </w:r>
          </w:p>
        </w:tc>
        <w:tc>
          <w:tcPr>
            <w:tcW w:w="828" w:type="dxa"/>
            <w:shd w:val="clear" w:color="auto" w:fill="auto"/>
          </w:tcPr>
          <w:p w:rsidR="006D117F" w:rsidRPr="005A0DE8" w:rsidP="00A178BD" w14:paraId="0B5A85E7" w14:textId="77777777">
            <w:pPr>
              <w:contextualSpacing/>
              <w:jc w:val="right"/>
              <w:rPr>
                <w:sz w:val="20"/>
                <w:szCs w:val="20"/>
              </w:rPr>
            </w:pPr>
            <w:r w:rsidRPr="005A0DE8">
              <w:rPr>
                <w:sz w:val="20"/>
                <w:szCs w:val="20"/>
              </w:rPr>
              <w:t>80,000</w:t>
            </w:r>
          </w:p>
        </w:tc>
      </w:tr>
      <w:tr w14:paraId="61508F37" w14:textId="77777777" w:rsidTr="00074B91">
        <w:tblPrEx>
          <w:tblW w:w="9468" w:type="dxa"/>
          <w:tblLayout w:type="fixed"/>
          <w:tblLook w:val="0000"/>
        </w:tblPrEx>
        <w:tc>
          <w:tcPr>
            <w:tcW w:w="2880" w:type="dxa"/>
            <w:shd w:val="clear" w:color="auto" w:fill="D9D9D9" w:themeFill="background1" w:themeFillShade="D9"/>
          </w:tcPr>
          <w:p w:rsidR="006D117F" w:rsidRPr="005A0DE8" w:rsidP="00A178BD" w14:paraId="79AFD8B5" w14:textId="77777777">
            <w:pPr>
              <w:contextualSpacing/>
              <w:rPr>
                <w:sz w:val="20"/>
                <w:szCs w:val="20"/>
              </w:rPr>
            </w:pPr>
            <w:r w:rsidRPr="005A0DE8">
              <w:rPr>
                <w:sz w:val="20"/>
                <w:szCs w:val="20"/>
              </w:rPr>
              <w:t>101.12(h); petitions to establish or amend referenced amounts customarily consumed (RACC)</w:t>
            </w:r>
          </w:p>
        </w:tc>
        <w:tc>
          <w:tcPr>
            <w:tcW w:w="1350" w:type="dxa"/>
            <w:shd w:val="clear" w:color="auto" w:fill="D9D9D9" w:themeFill="background1" w:themeFillShade="D9"/>
          </w:tcPr>
          <w:p w:rsidR="006D117F" w:rsidRPr="005A0DE8" w:rsidP="00A178BD" w14:paraId="6A1987EB" w14:textId="77777777">
            <w:pPr>
              <w:contextualSpacing/>
              <w:jc w:val="right"/>
              <w:rPr>
                <w:sz w:val="20"/>
                <w:szCs w:val="20"/>
              </w:rPr>
            </w:pPr>
            <w:r w:rsidRPr="005A0DE8">
              <w:rPr>
                <w:sz w:val="20"/>
                <w:szCs w:val="20"/>
              </w:rPr>
              <w:t>1</w:t>
            </w:r>
          </w:p>
        </w:tc>
        <w:tc>
          <w:tcPr>
            <w:tcW w:w="1980" w:type="dxa"/>
            <w:shd w:val="clear" w:color="auto" w:fill="D9D9D9" w:themeFill="background1" w:themeFillShade="D9"/>
          </w:tcPr>
          <w:p w:rsidR="006D117F" w:rsidRPr="005A0DE8" w:rsidP="00A178BD" w14:paraId="70803F6C" w14:textId="77777777">
            <w:pPr>
              <w:contextualSpacing/>
              <w:jc w:val="right"/>
              <w:rPr>
                <w:sz w:val="20"/>
                <w:szCs w:val="20"/>
              </w:rPr>
            </w:pPr>
            <w:r w:rsidRPr="005A0DE8">
              <w:rPr>
                <w:sz w:val="20"/>
                <w:szCs w:val="20"/>
              </w:rPr>
              <w:t>1</w:t>
            </w:r>
          </w:p>
        </w:tc>
        <w:tc>
          <w:tcPr>
            <w:tcW w:w="1170" w:type="dxa"/>
            <w:shd w:val="clear" w:color="auto" w:fill="D9D9D9" w:themeFill="background1" w:themeFillShade="D9"/>
          </w:tcPr>
          <w:p w:rsidR="006D117F" w:rsidRPr="005A0DE8" w:rsidP="00A178BD" w14:paraId="030E1883" w14:textId="77777777">
            <w:pPr>
              <w:contextualSpacing/>
              <w:jc w:val="right"/>
              <w:rPr>
                <w:sz w:val="20"/>
                <w:szCs w:val="20"/>
              </w:rPr>
            </w:pPr>
            <w:r w:rsidRPr="005A0DE8">
              <w:rPr>
                <w:sz w:val="20"/>
                <w:szCs w:val="20"/>
              </w:rPr>
              <w:t>1</w:t>
            </w:r>
          </w:p>
        </w:tc>
        <w:tc>
          <w:tcPr>
            <w:tcW w:w="1260" w:type="dxa"/>
            <w:shd w:val="clear" w:color="auto" w:fill="D9D9D9" w:themeFill="background1" w:themeFillShade="D9"/>
          </w:tcPr>
          <w:p w:rsidR="006D117F" w:rsidRPr="005A0DE8" w:rsidP="00A178BD" w14:paraId="4ECEF9E2" w14:textId="77777777">
            <w:pPr>
              <w:contextualSpacing/>
              <w:jc w:val="right"/>
              <w:rPr>
                <w:sz w:val="20"/>
                <w:szCs w:val="20"/>
              </w:rPr>
            </w:pPr>
            <w:r w:rsidRPr="005A0DE8">
              <w:rPr>
                <w:sz w:val="20"/>
                <w:szCs w:val="20"/>
              </w:rPr>
              <w:t>80</w:t>
            </w:r>
          </w:p>
        </w:tc>
        <w:tc>
          <w:tcPr>
            <w:tcW w:w="828" w:type="dxa"/>
            <w:shd w:val="clear" w:color="auto" w:fill="D9D9D9" w:themeFill="background1" w:themeFillShade="D9"/>
          </w:tcPr>
          <w:p w:rsidR="006D117F" w:rsidRPr="005A0DE8" w:rsidP="00A178BD" w14:paraId="755537F4" w14:textId="77777777">
            <w:pPr>
              <w:contextualSpacing/>
              <w:jc w:val="right"/>
              <w:rPr>
                <w:sz w:val="20"/>
                <w:szCs w:val="20"/>
              </w:rPr>
            </w:pPr>
            <w:r w:rsidRPr="005A0DE8">
              <w:rPr>
                <w:sz w:val="20"/>
                <w:szCs w:val="20"/>
              </w:rPr>
              <w:t>80</w:t>
            </w:r>
          </w:p>
        </w:tc>
      </w:tr>
      <w:tr w14:paraId="6674B3AA" w14:textId="77777777" w:rsidTr="00074B91">
        <w:tblPrEx>
          <w:tblW w:w="9468" w:type="dxa"/>
          <w:tblLayout w:type="fixed"/>
          <w:tblLook w:val="0000"/>
        </w:tblPrEx>
        <w:tc>
          <w:tcPr>
            <w:tcW w:w="2880" w:type="dxa"/>
            <w:shd w:val="clear" w:color="auto" w:fill="auto"/>
          </w:tcPr>
          <w:p w:rsidR="006D117F" w:rsidRPr="005A0DE8" w:rsidP="00A178BD" w14:paraId="6A930952" w14:textId="77777777">
            <w:pPr>
              <w:contextualSpacing/>
              <w:rPr>
                <w:sz w:val="20"/>
                <w:szCs w:val="20"/>
              </w:rPr>
            </w:pPr>
            <w:r w:rsidRPr="005A0DE8">
              <w:rPr>
                <w:sz w:val="20"/>
                <w:szCs w:val="20"/>
              </w:rPr>
              <w:t xml:space="preserve">101.69; petitions for nutrient content claims </w:t>
            </w:r>
          </w:p>
        </w:tc>
        <w:tc>
          <w:tcPr>
            <w:tcW w:w="1350" w:type="dxa"/>
            <w:shd w:val="clear" w:color="auto" w:fill="auto"/>
          </w:tcPr>
          <w:p w:rsidR="006D117F" w:rsidRPr="005A0DE8" w:rsidP="00A178BD" w14:paraId="25D96E8D" w14:textId="77777777">
            <w:pPr>
              <w:contextualSpacing/>
              <w:jc w:val="right"/>
              <w:rPr>
                <w:sz w:val="20"/>
                <w:szCs w:val="20"/>
              </w:rPr>
            </w:pPr>
            <w:r>
              <w:rPr>
                <w:sz w:val="20"/>
                <w:szCs w:val="20"/>
              </w:rPr>
              <w:t>3</w:t>
            </w:r>
          </w:p>
        </w:tc>
        <w:tc>
          <w:tcPr>
            <w:tcW w:w="1980" w:type="dxa"/>
            <w:shd w:val="clear" w:color="auto" w:fill="auto"/>
          </w:tcPr>
          <w:p w:rsidR="006D117F" w:rsidRPr="005A0DE8" w:rsidP="00A178BD" w14:paraId="2172CFF2"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4CA03DA5" w14:textId="77777777">
            <w:pPr>
              <w:contextualSpacing/>
              <w:jc w:val="right"/>
              <w:rPr>
                <w:sz w:val="20"/>
                <w:szCs w:val="20"/>
              </w:rPr>
            </w:pPr>
            <w:r>
              <w:rPr>
                <w:sz w:val="20"/>
                <w:szCs w:val="20"/>
              </w:rPr>
              <w:t>3</w:t>
            </w:r>
          </w:p>
        </w:tc>
        <w:tc>
          <w:tcPr>
            <w:tcW w:w="1260" w:type="dxa"/>
            <w:shd w:val="clear" w:color="auto" w:fill="auto"/>
          </w:tcPr>
          <w:p w:rsidR="006D117F" w:rsidRPr="005A0DE8" w:rsidP="00A178BD" w14:paraId="3A69CEC4" w14:textId="77777777">
            <w:pPr>
              <w:contextualSpacing/>
              <w:jc w:val="right"/>
              <w:rPr>
                <w:sz w:val="20"/>
                <w:szCs w:val="20"/>
              </w:rPr>
            </w:pPr>
            <w:r w:rsidRPr="005A0DE8">
              <w:rPr>
                <w:sz w:val="20"/>
                <w:szCs w:val="20"/>
              </w:rPr>
              <w:t>25</w:t>
            </w:r>
          </w:p>
        </w:tc>
        <w:tc>
          <w:tcPr>
            <w:tcW w:w="828" w:type="dxa"/>
            <w:shd w:val="clear" w:color="auto" w:fill="auto"/>
          </w:tcPr>
          <w:p w:rsidR="006D117F" w:rsidRPr="005A0DE8" w:rsidP="00A178BD" w14:paraId="082DF74B" w14:textId="77777777">
            <w:pPr>
              <w:contextualSpacing/>
              <w:jc w:val="right"/>
              <w:rPr>
                <w:sz w:val="20"/>
                <w:szCs w:val="20"/>
              </w:rPr>
            </w:pPr>
            <w:r>
              <w:rPr>
                <w:sz w:val="20"/>
                <w:szCs w:val="20"/>
              </w:rPr>
              <w:t>7</w:t>
            </w:r>
            <w:r w:rsidRPr="005A0DE8">
              <w:rPr>
                <w:sz w:val="20"/>
                <w:szCs w:val="20"/>
              </w:rPr>
              <w:t>5</w:t>
            </w:r>
          </w:p>
        </w:tc>
      </w:tr>
      <w:tr w14:paraId="547DF46E" w14:textId="77777777" w:rsidTr="00074B91">
        <w:tblPrEx>
          <w:tblW w:w="9468" w:type="dxa"/>
          <w:tblLayout w:type="fixed"/>
          <w:tblLook w:val="0000"/>
        </w:tblPrEx>
        <w:tc>
          <w:tcPr>
            <w:tcW w:w="2880" w:type="dxa"/>
            <w:shd w:val="clear" w:color="auto" w:fill="auto"/>
          </w:tcPr>
          <w:p w:rsidR="006D117F" w:rsidRPr="005A0DE8" w:rsidP="00A178BD" w14:paraId="261D5C2C" w14:textId="77777777">
            <w:pPr>
              <w:contextualSpacing/>
              <w:rPr>
                <w:sz w:val="20"/>
                <w:szCs w:val="20"/>
              </w:rPr>
            </w:pPr>
            <w:r w:rsidRPr="005A0DE8">
              <w:rPr>
                <w:sz w:val="20"/>
                <w:szCs w:val="20"/>
              </w:rPr>
              <w:t xml:space="preserve">101.70; petitions for health claims </w:t>
            </w:r>
          </w:p>
        </w:tc>
        <w:tc>
          <w:tcPr>
            <w:tcW w:w="1350" w:type="dxa"/>
            <w:shd w:val="clear" w:color="auto" w:fill="auto"/>
          </w:tcPr>
          <w:p w:rsidR="006D117F" w:rsidRPr="005A0DE8" w:rsidP="00A178BD" w14:paraId="4F65CE8A" w14:textId="77777777">
            <w:pPr>
              <w:contextualSpacing/>
              <w:jc w:val="right"/>
              <w:rPr>
                <w:sz w:val="20"/>
                <w:szCs w:val="20"/>
              </w:rPr>
            </w:pPr>
            <w:r>
              <w:rPr>
                <w:sz w:val="20"/>
                <w:szCs w:val="20"/>
              </w:rPr>
              <w:t>5</w:t>
            </w:r>
          </w:p>
        </w:tc>
        <w:tc>
          <w:tcPr>
            <w:tcW w:w="1980" w:type="dxa"/>
            <w:shd w:val="clear" w:color="auto" w:fill="auto"/>
          </w:tcPr>
          <w:p w:rsidR="006D117F" w:rsidRPr="005A0DE8" w:rsidP="00A178BD" w14:paraId="0FB153B6"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20E51CD9" w14:textId="77777777">
            <w:pPr>
              <w:contextualSpacing/>
              <w:jc w:val="right"/>
              <w:rPr>
                <w:sz w:val="20"/>
                <w:szCs w:val="20"/>
              </w:rPr>
            </w:pPr>
            <w:r>
              <w:rPr>
                <w:sz w:val="20"/>
                <w:szCs w:val="20"/>
              </w:rPr>
              <w:t>5</w:t>
            </w:r>
          </w:p>
        </w:tc>
        <w:tc>
          <w:tcPr>
            <w:tcW w:w="1260" w:type="dxa"/>
            <w:shd w:val="clear" w:color="auto" w:fill="auto"/>
          </w:tcPr>
          <w:p w:rsidR="006D117F" w:rsidRPr="005A0DE8" w:rsidP="00A178BD" w14:paraId="10907F5C" w14:textId="77777777">
            <w:pPr>
              <w:contextualSpacing/>
              <w:jc w:val="right"/>
              <w:rPr>
                <w:sz w:val="20"/>
                <w:szCs w:val="20"/>
              </w:rPr>
            </w:pPr>
            <w:r w:rsidRPr="005A0DE8">
              <w:rPr>
                <w:sz w:val="20"/>
                <w:szCs w:val="20"/>
              </w:rPr>
              <w:t>80</w:t>
            </w:r>
          </w:p>
        </w:tc>
        <w:tc>
          <w:tcPr>
            <w:tcW w:w="828" w:type="dxa"/>
            <w:shd w:val="clear" w:color="auto" w:fill="auto"/>
          </w:tcPr>
          <w:p w:rsidR="006D117F" w:rsidRPr="005A0DE8" w:rsidP="00A178BD" w14:paraId="1272ADB0" w14:textId="77777777">
            <w:pPr>
              <w:contextualSpacing/>
              <w:jc w:val="right"/>
              <w:rPr>
                <w:sz w:val="20"/>
                <w:szCs w:val="20"/>
              </w:rPr>
            </w:pPr>
            <w:r>
              <w:rPr>
                <w:sz w:val="20"/>
                <w:szCs w:val="20"/>
              </w:rPr>
              <w:t>400</w:t>
            </w:r>
          </w:p>
        </w:tc>
      </w:tr>
      <w:tr w14:paraId="32C68EE0" w14:textId="77777777" w:rsidTr="00074B91">
        <w:tblPrEx>
          <w:tblW w:w="9468" w:type="dxa"/>
          <w:tblLayout w:type="fixed"/>
          <w:tblLook w:val="0000"/>
        </w:tblPrEx>
        <w:tc>
          <w:tcPr>
            <w:tcW w:w="2880" w:type="dxa"/>
            <w:shd w:val="clear" w:color="auto" w:fill="auto"/>
          </w:tcPr>
          <w:p w:rsidR="006D117F" w:rsidRPr="005A0DE8" w:rsidP="00A178BD" w14:paraId="7F170257" w14:textId="77777777">
            <w:pPr>
              <w:contextualSpacing/>
              <w:rPr>
                <w:sz w:val="20"/>
                <w:szCs w:val="20"/>
              </w:rPr>
            </w:pPr>
            <w:r w:rsidRPr="005A0DE8">
              <w:rPr>
                <w:sz w:val="20"/>
                <w:szCs w:val="20"/>
              </w:rPr>
              <w:t>101.108; written proposal for requesting temporary exemptions from certain regulations for the purpose of conducting food labeling experiments</w:t>
            </w:r>
          </w:p>
        </w:tc>
        <w:tc>
          <w:tcPr>
            <w:tcW w:w="1350" w:type="dxa"/>
            <w:shd w:val="clear" w:color="auto" w:fill="auto"/>
          </w:tcPr>
          <w:p w:rsidR="006D117F" w:rsidRPr="005A0DE8" w:rsidP="00A178BD" w14:paraId="30C1B067" w14:textId="77777777">
            <w:pPr>
              <w:contextualSpacing/>
              <w:jc w:val="right"/>
              <w:rPr>
                <w:sz w:val="20"/>
                <w:szCs w:val="20"/>
              </w:rPr>
            </w:pPr>
            <w:r w:rsidRPr="005A0DE8">
              <w:rPr>
                <w:sz w:val="20"/>
                <w:szCs w:val="20"/>
              </w:rPr>
              <w:t>1</w:t>
            </w:r>
          </w:p>
        </w:tc>
        <w:tc>
          <w:tcPr>
            <w:tcW w:w="1980" w:type="dxa"/>
            <w:shd w:val="clear" w:color="auto" w:fill="auto"/>
          </w:tcPr>
          <w:p w:rsidR="006D117F" w:rsidRPr="005A0DE8" w:rsidP="00A178BD" w14:paraId="11992F5F"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3CBAFBB8" w14:textId="77777777">
            <w:pPr>
              <w:contextualSpacing/>
              <w:jc w:val="right"/>
              <w:rPr>
                <w:sz w:val="20"/>
                <w:szCs w:val="20"/>
              </w:rPr>
            </w:pPr>
            <w:r w:rsidRPr="005A0DE8">
              <w:rPr>
                <w:sz w:val="20"/>
                <w:szCs w:val="20"/>
              </w:rPr>
              <w:t>1</w:t>
            </w:r>
          </w:p>
        </w:tc>
        <w:tc>
          <w:tcPr>
            <w:tcW w:w="1260" w:type="dxa"/>
            <w:shd w:val="clear" w:color="auto" w:fill="auto"/>
          </w:tcPr>
          <w:p w:rsidR="006D117F" w:rsidRPr="005A0DE8" w:rsidP="00A178BD" w14:paraId="6C57A220" w14:textId="77777777">
            <w:pPr>
              <w:contextualSpacing/>
              <w:jc w:val="right"/>
              <w:rPr>
                <w:sz w:val="20"/>
                <w:szCs w:val="20"/>
              </w:rPr>
            </w:pPr>
            <w:r w:rsidRPr="005A0DE8">
              <w:rPr>
                <w:sz w:val="20"/>
                <w:szCs w:val="20"/>
              </w:rPr>
              <w:t>40</w:t>
            </w:r>
          </w:p>
        </w:tc>
        <w:tc>
          <w:tcPr>
            <w:tcW w:w="828" w:type="dxa"/>
            <w:shd w:val="clear" w:color="auto" w:fill="auto"/>
          </w:tcPr>
          <w:p w:rsidR="006D117F" w:rsidRPr="005A0DE8" w:rsidP="00A178BD" w14:paraId="78F38F1F" w14:textId="77777777">
            <w:pPr>
              <w:contextualSpacing/>
              <w:jc w:val="right"/>
              <w:rPr>
                <w:sz w:val="20"/>
                <w:szCs w:val="20"/>
              </w:rPr>
            </w:pPr>
            <w:r w:rsidRPr="005A0DE8">
              <w:rPr>
                <w:sz w:val="20"/>
                <w:szCs w:val="20"/>
              </w:rPr>
              <w:t>40</w:t>
            </w:r>
          </w:p>
        </w:tc>
      </w:tr>
      <w:tr w14:paraId="0CBEEE47" w14:textId="77777777" w:rsidTr="00074B91">
        <w:tblPrEx>
          <w:tblW w:w="9468" w:type="dxa"/>
          <w:tblLayout w:type="fixed"/>
          <w:tblLook w:val="0000"/>
        </w:tblPrEx>
        <w:tc>
          <w:tcPr>
            <w:tcW w:w="2880" w:type="dxa"/>
            <w:shd w:val="clear" w:color="auto" w:fill="auto"/>
          </w:tcPr>
          <w:p w:rsidR="006D117F" w:rsidRPr="005A0DE8" w:rsidP="00A178BD" w14:paraId="0663EF89" w14:textId="77777777">
            <w:pPr>
              <w:contextualSpacing/>
              <w:rPr>
                <w:sz w:val="20"/>
                <w:szCs w:val="20"/>
              </w:rPr>
            </w:pPr>
            <w:r w:rsidRPr="005A0DE8">
              <w:rPr>
                <w:sz w:val="20"/>
                <w:szCs w:val="20"/>
              </w:rPr>
              <w:t>Total</w:t>
            </w:r>
          </w:p>
        </w:tc>
        <w:tc>
          <w:tcPr>
            <w:tcW w:w="1350" w:type="dxa"/>
            <w:shd w:val="clear" w:color="auto" w:fill="auto"/>
          </w:tcPr>
          <w:p w:rsidR="006D117F" w:rsidRPr="005A0DE8" w:rsidP="00A178BD" w14:paraId="42E90B2C" w14:textId="77777777">
            <w:pPr>
              <w:contextualSpacing/>
              <w:jc w:val="right"/>
              <w:rPr>
                <w:sz w:val="20"/>
                <w:szCs w:val="20"/>
              </w:rPr>
            </w:pPr>
          </w:p>
        </w:tc>
        <w:tc>
          <w:tcPr>
            <w:tcW w:w="1980" w:type="dxa"/>
            <w:shd w:val="clear" w:color="auto" w:fill="auto"/>
          </w:tcPr>
          <w:p w:rsidR="006D117F" w:rsidRPr="005A0DE8" w:rsidP="00A178BD" w14:paraId="015E7DDD" w14:textId="77777777">
            <w:pPr>
              <w:contextualSpacing/>
              <w:jc w:val="right"/>
              <w:rPr>
                <w:sz w:val="20"/>
                <w:szCs w:val="20"/>
              </w:rPr>
            </w:pPr>
          </w:p>
        </w:tc>
        <w:tc>
          <w:tcPr>
            <w:tcW w:w="1170" w:type="dxa"/>
            <w:shd w:val="clear" w:color="auto" w:fill="auto"/>
          </w:tcPr>
          <w:p w:rsidR="006D117F" w:rsidRPr="005A0DE8" w:rsidP="00737804" w14:paraId="210F49D3" w14:textId="592993D9">
            <w:pPr>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10,038</w:t>
            </w:r>
            <w:r>
              <w:rPr>
                <w:sz w:val="20"/>
                <w:szCs w:val="20"/>
              </w:rPr>
              <w:fldChar w:fldCharType="end"/>
            </w:r>
          </w:p>
        </w:tc>
        <w:tc>
          <w:tcPr>
            <w:tcW w:w="1260" w:type="dxa"/>
            <w:shd w:val="clear" w:color="auto" w:fill="auto"/>
          </w:tcPr>
          <w:p w:rsidR="006D117F" w:rsidRPr="005A0DE8" w:rsidP="00A178BD" w14:paraId="628FE284" w14:textId="77777777">
            <w:pPr>
              <w:contextualSpacing/>
              <w:jc w:val="right"/>
              <w:rPr>
                <w:sz w:val="20"/>
                <w:szCs w:val="20"/>
              </w:rPr>
            </w:pPr>
          </w:p>
        </w:tc>
        <w:tc>
          <w:tcPr>
            <w:tcW w:w="828" w:type="dxa"/>
            <w:shd w:val="clear" w:color="auto" w:fill="auto"/>
          </w:tcPr>
          <w:p w:rsidR="006D117F" w:rsidRPr="005A0DE8" w:rsidP="00A178BD" w14:paraId="44F1D681" w14:textId="77777777">
            <w:pPr>
              <w:contextualSpacing/>
              <w:jc w:val="right"/>
              <w:rPr>
                <w:sz w:val="20"/>
                <w:szCs w:val="20"/>
              </w:rPr>
            </w:pPr>
            <w:r w:rsidRPr="005A0DE8">
              <w:rPr>
                <w:sz w:val="20"/>
                <w:szCs w:val="20"/>
              </w:rPr>
              <w:t>80,</w:t>
            </w:r>
            <w:r w:rsidR="001A4F61">
              <w:rPr>
                <w:sz w:val="20"/>
                <w:szCs w:val="20"/>
              </w:rPr>
              <w:t>623</w:t>
            </w:r>
          </w:p>
        </w:tc>
      </w:tr>
    </w:tbl>
    <w:p w:rsidR="006D117F" w:rsidRPr="008909C4" w:rsidP="00A178BD" w14:paraId="6D5A3C0C" w14:textId="670ACEAB">
      <w:pPr>
        <w:contextualSpacing/>
        <w:rPr>
          <w:sz w:val="18"/>
          <w:szCs w:val="18"/>
        </w:rPr>
      </w:pPr>
      <w:r w:rsidRPr="005A0DE8">
        <w:rPr>
          <w:sz w:val="18"/>
          <w:szCs w:val="18"/>
          <w:vertAlign w:val="superscript"/>
        </w:rPr>
        <w:t xml:space="preserve">   </w:t>
      </w:r>
      <w:r w:rsidR="00F929BC">
        <w:rPr>
          <w:sz w:val="18"/>
          <w:szCs w:val="18"/>
          <w:vertAlign w:val="superscript"/>
        </w:rPr>
        <w:t xml:space="preserve">  </w:t>
      </w:r>
      <w:r w:rsidRPr="005A0DE8">
        <w:rPr>
          <w:sz w:val="18"/>
          <w:szCs w:val="18"/>
          <w:vertAlign w:val="superscript"/>
        </w:rPr>
        <w:t xml:space="preserve">1 </w:t>
      </w:r>
      <w:r w:rsidRPr="005A0DE8">
        <w:rPr>
          <w:sz w:val="18"/>
          <w:szCs w:val="18"/>
        </w:rPr>
        <w:t>There are no capital costs or operating and maintenance costs associated with this collection of information.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00"/>
        <w:gridCol w:w="1350"/>
        <w:gridCol w:w="1080"/>
        <w:gridCol w:w="1530"/>
        <w:gridCol w:w="900"/>
      </w:tblGrid>
      <w:tr w14:paraId="3521A47A" w14:textId="77777777" w:rsidTr="008909C4">
        <w:tblPrEx>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450" w:type="dxa"/>
            <w:gridSpan w:val="6"/>
            <w:tcBorders>
              <w:top w:val="nil"/>
              <w:left w:val="nil"/>
              <w:right w:val="nil"/>
            </w:tcBorders>
            <w:shd w:val="clear" w:color="auto" w:fill="D9D9D9" w:themeFill="background1" w:themeFillShade="D9"/>
          </w:tcPr>
          <w:p w:rsidR="006D117F" w:rsidRPr="009F33C4" w:rsidP="00A178BD" w14:paraId="0C730F61" w14:textId="77777777">
            <w:pPr>
              <w:contextualSpacing/>
              <w:jc w:val="center"/>
            </w:pPr>
            <w:bookmarkStart w:id="2" w:name="_Hlk139274271"/>
            <w:r w:rsidRPr="009F33C4">
              <w:t>Table 2.--Estimated Annual Recordkeeping Burden</w:t>
            </w:r>
            <w:bookmarkEnd w:id="2"/>
            <w:r w:rsidRPr="009F33C4">
              <w:rPr>
                <w:vertAlign w:val="superscript"/>
              </w:rPr>
              <w:t>1</w:t>
            </w:r>
          </w:p>
        </w:tc>
      </w:tr>
      <w:tr w14:paraId="50D65E5B" w14:textId="77777777" w:rsidTr="008909C4">
        <w:tblPrEx>
          <w:tblW w:w="9450" w:type="dxa"/>
          <w:tblLayout w:type="fixed"/>
          <w:tblLook w:val="0000"/>
        </w:tblPrEx>
        <w:trPr>
          <w:trHeight w:val="998"/>
        </w:trPr>
        <w:tc>
          <w:tcPr>
            <w:tcW w:w="2790" w:type="dxa"/>
            <w:shd w:val="clear" w:color="auto" w:fill="FFFFFF"/>
          </w:tcPr>
          <w:p w:rsidR="006D117F" w:rsidRPr="005A0DE8" w:rsidP="00A178BD" w14:paraId="66AFA48D" w14:textId="77777777">
            <w:pPr>
              <w:contextualSpacing/>
              <w:jc w:val="center"/>
              <w:rPr>
                <w:sz w:val="20"/>
                <w:szCs w:val="20"/>
              </w:rPr>
            </w:pPr>
            <w:r w:rsidRPr="005A0DE8">
              <w:rPr>
                <w:sz w:val="20"/>
                <w:szCs w:val="20"/>
              </w:rPr>
              <w:t>21 CFR Section; Activity</w:t>
            </w:r>
          </w:p>
        </w:tc>
        <w:tc>
          <w:tcPr>
            <w:tcW w:w="1800" w:type="dxa"/>
            <w:shd w:val="clear" w:color="auto" w:fill="FFFFFF"/>
          </w:tcPr>
          <w:p w:rsidR="006D117F" w:rsidRPr="005A0DE8" w:rsidP="00A178BD" w14:paraId="7B4892F4" w14:textId="77777777">
            <w:pPr>
              <w:contextualSpacing/>
              <w:jc w:val="center"/>
              <w:rPr>
                <w:sz w:val="20"/>
                <w:szCs w:val="20"/>
              </w:rPr>
            </w:pPr>
            <w:r w:rsidRPr="005A0DE8">
              <w:rPr>
                <w:sz w:val="20"/>
                <w:szCs w:val="20"/>
              </w:rPr>
              <w:t>No. of Recordkeepers</w:t>
            </w:r>
          </w:p>
        </w:tc>
        <w:tc>
          <w:tcPr>
            <w:tcW w:w="1350" w:type="dxa"/>
            <w:shd w:val="clear" w:color="auto" w:fill="FFFFFF"/>
          </w:tcPr>
          <w:p w:rsidR="006D117F" w:rsidRPr="005A0DE8" w:rsidP="00A178BD" w14:paraId="2A3AA3C3" w14:textId="77777777">
            <w:pPr>
              <w:contextualSpacing/>
              <w:jc w:val="center"/>
              <w:rPr>
                <w:sz w:val="20"/>
                <w:szCs w:val="20"/>
              </w:rPr>
            </w:pPr>
            <w:r w:rsidRPr="005A0DE8">
              <w:rPr>
                <w:sz w:val="20"/>
                <w:szCs w:val="20"/>
              </w:rPr>
              <w:t>No. of Records per Recordkeeper</w:t>
            </w:r>
          </w:p>
        </w:tc>
        <w:tc>
          <w:tcPr>
            <w:tcW w:w="1080" w:type="dxa"/>
            <w:shd w:val="clear" w:color="auto" w:fill="FFFFFF"/>
          </w:tcPr>
          <w:p w:rsidR="006D117F" w:rsidRPr="005A0DE8" w:rsidP="00A178BD" w14:paraId="26A932E7" w14:textId="77777777">
            <w:pPr>
              <w:contextualSpacing/>
              <w:jc w:val="center"/>
              <w:rPr>
                <w:sz w:val="20"/>
                <w:szCs w:val="20"/>
              </w:rPr>
            </w:pPr>
            <w:r w:rsidRPr="005A0DE8">
              <w:rPr>
                <w:sz w:val="20"/>
                <w:szCs w:val="20"/>
              </w:rPr>
              <w:t>Total Annual Records</w:t>
            </w:r>
          </w:p>
        </w:tc>
        <w:tc>
          <w:tcPr>
            <w:tcW w:w="1530" w:type="dxa"/>
            <w:shd w:val="clear" w:color="auto" w:fill="FFFFFF"/>
          </w:tcPr>
          <w:p w:rsidR="006D117F" w:rsidRPr="005A0DE8" w:rsidP="00A178BD" w14:paraId="44129133" w14:textId="77777777">
            <w:pPr>
              <w:contextualSpacing/>
              <w:jc w:val="center"/>
              <w:rPr>
                <w:sz w:val="20"/>
                <w:szCs w:val="20"/>
              </w:rPr>
            </w:pPr>
            <w:r w:rsidRPr="005A0DE8">
              <w:rPr>
                <w:sz w:val="20"/>
                <w:szCs w:val="20"/>
              </w:rPr>
              <w:t>Average Burden per Recordkeeping</w:t>
            </w:r>
          </w:p>
        </w:tc>
        <w:tc>
          <w:tcPr>
            <w:tcW w:w="900" w:type="dxa"/>
            <w:shd w:val="clear" w:color="auto" w:fill="FFFFFF"/>
          </w:tcPr>
          <w:p w:rsidR="006D117F" w:rsidRPr="005A0DE8" w:rsidP="00A178BD" w14:paraId="17591DBB" w14:textId="77777777">
            <w:pPr>
              <w:contextualSpacing/>
              <w:jc w:val="center"/>
              <w:rPr>
                <w:sz w:val="20"/>
                <w:szCs w:val="20"/>
              </w:rPr>
            </w:pPr>
            <w:r w:rsidRPr="005A0DE8">
              <w:rPr>
                <w:sz w:val="20"/>
                <w:szCs w:val="20"/>
              </w:rPr>
              <w:t>Total Hours</w:t>
            </w:r>
          </w:p>
        </w:tc>
      </w:tr>
      <w:tr w14:paraId="7D58FB55"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AEEB794" w14:textId="77777777">
            <w:pPr>
              <w:contextualSpacing/>
              <w:rPr>
                <w:sz w:val="20"/>
                <w:szCs w:val="20"/>
              </w:rPr>
            </w:pPr>
            <w:r w:rsidRPr="005A0DE8">
              <w:rPr>
                <w:sz w:val="20"/>
                <w:szCs w:val="20"/>
              </w:rPr>
              <w:t>101.9(c)(6)(iii); added sugars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3057F88" w14:textId="77777777">
            <w:pPr>
              <w:contextualSpacing/>
              <w:jc w:val="right"/>
              <w:rPr>
                <w:sz w:val="20"/>
                <w:szCs w:val="20"/>
              </w:rPr>
            </w:pPr>
            <w:r w:rsidRPr="005A0DE8">
              <w:rPr>
                <w:sz w:val="20"/>
                <w:szCs w:val="20"/>
              </w:rPr>
              <w:t>31,283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4FA6B48"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5F2920E" w14:textId="77777777">
            <w:pPr>
              <w:contextualSpacing/>
              <w:jc w:val="right"/>
              <w:rPr>
                <w:sz w:val="20"/>
                <w:szCs w:val="20"/>
              </w:rPr>
            </w:pPr>
            <w:r w:rsidRPr="005A0DE8">
              <w:rPr>
                <w:sz w:val="20"/>
                <w:szCs w:val="20"/>
              </w:rPr>
              <w:t>31,283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5DA0850"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87DCE1D" w14:textId="77777777">
            <w:pPr>
              <w:contextualSpacing/>
              <w:jc w:val="right"/>
              <w:rPr>
                <w:sz w:val="20"/>
                <w:szCs w:val="20"/>
              </w:rPr>
            </w:pPr>
            <w:r w:rsidRPr="005A0DE8">
              <w:rPr>
                <w:sz w:val="20"/>
                <w:szCs w:val="20"/>
              </w:rPr>
              <w:t>31,283</w:t>
            </w:r>
          </w:p>
        </w:tc>
      </w:tr>
      <w:tr w14:paraId="28E519CF"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9AEF30C" w14:textId="77777777">
            <w:pPr>
              <w:contextualSpacing/>
              <w:rPr>
                <w:sz w:val="20"/>
                <w:szCs w:val="20"/>
              </w:rPr>
            </w:pPr>
            <w:r w:rsidRPr="005A0DE8">
              <w:rPr>
                <w:sz w:val="20"/>
                <w:szCs w:val="20"/>
              </w:rPr>
              <w:t>101.9(c)(6)(i); dietary fiber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7AF0746" w14:textId="77777777">
            <w:pPr>
              <w:contextualSpacing/>
              <w:jc w:val="right"/>
              <w:rPr>
                <w:sz w:val="20"/>
                <w:szCs w:val="20"/>
              </w:rPr>
            </w:pPr>
            <w:r w:rsidRPr="005A0DE8">
              <w:rPr>
                <w:sz w:val="20"/>
                <w:szCs w:val="20"/>
              </w:rPr>
              <w:t>31,283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0B6E233"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31062DF" w14:textId="77777777">
            <w:pPr>
              <w:contextualSpacing/>
              <w:jc w:val="right"/>
              <w:rPr>
                <w:sz w:val="20"/>
                <w:szCs w:val="20"/>
              </w:rPr>
            </w:pPr>
            <w:r w:rsidRPr="005A0DE8">
              <w:rPr>
                <w:sz w:val="20"/>
                <w:szCs w:val="20"/>
              </w:rPr>
              <w:t>31,283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6ADBC29"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2184A3E" w14:textId="77777777">
            <w:pPr>
              <w:contextualSpacing/>
              <w:jc w:val="right"/>
              <w:rPr>
                <w:sz w:val="20"/>
                <w:szCs w:val="20"/>
              </w:rPr>
            </w:pPr>
            <w:r w:rsidRPr="005A0DE8">
              <w:rPr>
                <w:sz w:val="20"/>
                <w:szCs w:val="20"/>
              </w:rPr>
              <w:t>31,283</w:t>
            </w:r>
          </w:p>
        </w:tc>
      </w:tr>
      <w:tr w14:paraId="04334FD1"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81BDE02" w14:textId="77777777">
            <w:pPr>
              <w:contextualSpacing/>
              <w:rPr>
                <w:sz w:val="20"/>
                <w:szCs w:val="20"/>
              </w:rPr>
            </w:pPr>
            <w:r w:rsidRPr="005A0DE8">
              <w:rPr>
                <w:sz w:val="20"/>
                <w:szCs w:val="20"/>
              </w:rPr>
              <w:t>101.9(c)(6)(i)(A); soluble fiber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020DB53" w14:textId="77777777">
            <w:pPr>
              <w:contextualSpacing/>
              <w:jc w:val="right"/>
              <w:rPr>
                <w:sz w:val="20"/>
                <w:szCs w:val="20"/>
              </w:rPr>
            </w:pPr>
            <w:r w:rsidRPr="005A0DE8">
              <w:rPr>
                <w:sz w:val="20"/>
                <w:szCs w:val="20"/>
              </w:rPr>
              <w:t>31,283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78AEEDE"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7FAB42E" w14:textId="77777777">
            <w:pPr>
              <w:contextualSpacing/>
              <w:jc w:val="right"/>
              <w:rPr>
                <w:sz w:val="20"/>
                <w:szCs w:val="20"/>
              </w:rPr>
            </w:pPr>
            <w:r w:rsidRPr="005A0DE8">
              <w:rPr>
                <w:sz w:val="20"/>
                <w:szCs w:val="20"/>
              </w:rPr>
              <w:t>31,283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7DF3A61"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9CF63C5" w14:textId="77777777">
            <w:pPr>
              <w:contextualSpacing/>
              <w:jc w:val="right"/>
              <w:rPr>
                <w:sz w:val="20"/>
                <w:szCs w:val="20"/>
              </w:rPr>
            </w:pPr>
            <w:r w:rsidRPr="005A0DE8">
              <w:rPr>
                <w:sz w:val="20"/>
                <w:szCs w:val="20"/>
              </w:rPr>
              <w:t>31,283</w:t>
            </w:r>
          </w:p>
        </w:tc>
      </w:tr>
      <w:tr w14:paraId="06B35499"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F89B0D6" w14:textId="77777777">
            <w:pPr>
              <w:contextualSpacing/>
              <w:rPr>
                <w:sz w:val="20"/>
                <w:szCs w:val="20"/>
              </w:rPr>
            </w:pPr>
            <w:r w:rsidRPr="005A0DE8">
              <w:rPr>
                <w:sz w:val="20"/>
                <w:szCs w:val="20"/>
              </w:rPr>
              <w:t>101.9(c)(6)(i)(B); insoluble fiber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051C627" w14:textId="77777777">
            <w:pPr>
              <w:contextualSpacing/>
              <w:jc w:val="right"/>
              <w:rPr>
                <w:sz w:val="20"/>
                <w:szCs w:val="20"/>
              </w:rPr>
            </w:pPr>
            <w:r w:rsidRPr="005A0DE8">
              <w:rPr>
                <w:sz w:val="20"/>
                <w:szCs w:val="20"/>
              </w:rPr>
              <w:t>31,283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C2B99C9"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FB7A922" w14:textId="77777777">
            <w:pPr>
              <w:contextualSpacing/>
              <w:jc w:val="right"/>
              <w:rPr>
                <w:sz w:val="20"/>
                <w:szCs w:val="20"/>
              </w:rPr>
            </w:pPr>
            <w:r w:rsidRPr="005A0DE8">
              <w:rPr>
                <w:sz w:val="20"/>
                <w:szCs w:val="20"/>
              </w:rPr>
              <w:t>31,283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3E05398"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FF3CAAE" w14:textId="77777777">
            <w:pPr>
              <w:contextualSpacing/>
              <w:jc w:val="right"/>
              <w:rPr>
                <w:sz w:val="20"/>
                <w:szCs w:val="20"/>
              </w:rPr>
            </w:pPr>
            <w:r w:rsidRPr="005A0DE8">
              <w:rPr>
                <w:sz w:val="20"/>
                <w:szCs w:val="20"/>
              </w:rPr>
              <w:t>31,283</w:t>
            </w:r>
          </w:p>
        </w:tc>
      </w:tr>
      <w:tr w14:paraId="0A12A8C9"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8C12DD3" w14:textId="77777777">
            <w:pPr>
              <w:contextualSpacing/>
              <w:rPr>
                <w:sz w:val="20"/>
                <w:szCs w:val="20"/>
              </w:rPr>
            </w:pPr>
            <w:r w:rsidRPr="005A0DE8">
              <w:rPr>
                <w:sz w:val="20"/>
                <w:szCs w:val="20"/>
              </w:rPr>
              <w:t>101.9(c)(8); vitamin 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1607D2FE" w14:textId="77777777">
            <w:pPr>
              <w:contextualSpacing/>
              <w:jc w:val="right"/>
              <w:rPr>
                <w:sz w:val="20"/>
                <w:szCs w:val="20"/>
              </w:rPr>
            </w:pPr>
            <w:r w:rsidRPr="005A0DE8">
              <w:rPr>
                <w:sz w:val="20"/>
                <w:szCs w:val="20"/>
              </w:rPr>
              <w:t>31,283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5361DDC"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824549E" w14:textId="77777777">
            <w:pPr>
              <w:contextualSpacing/>
              <w:jc w:val="right"/>
              <w:rPr>
                <w:sz w:val="20"/>
                <w:szCs w:val="20"/>
              </w:rPr>
            </w:pPr>
            <w:r w:rsidRPr="005A0DE8">
              <w:rPr>
                <w:sz w:val="20"/>
                <w:szCs w:val="20"/>
              </w:rPr>
              <w:t>31,283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4CF071E"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550DBF3" w14:textId="77777777">
            <w:pPr>
              <w:contextualSpacing/>
              <w:jc w:val="right"/>
              <w:rPr>
                <w:sz w:val="20"/>
                <w:szCs w:val="20"/>
              </w:rPr>
            </w:pPr>
            <w:r w:rsidRPr="005A0DE8">
              <w:rPr>
                <w:sz w:val="20"/>
                <w:szCs w:val="20"/>
              </w:rPr>
              <w:t>31,283</w:t>
            </w:r>
          </w:p>
        </w:tc>
      </w:tr>
      <w:tr w14:paraId="30091B51"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8E1E0A5" w14:textId="77777777">
            <w:pPr>
              <w:contextualSpacing/>
              <w:rPr>
                <w:sz w:val="20"/>
                <w:szCs w:val="20"/>
              </w:rPr>
            </w:pPr>
            <w:r w:rsidRPr="005A0DE8">
              <w:rPr>
                <w:sz w:val="20"/>
                <w:szCs w:val="20"/>
              </w:rPr>
              <w:t>101.9(c)(8); folate/folic acid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C73C134" w14:textId="77777777">
            <w:pPr>
              <w:contextualSpacing/>
              <w:jc w:val="right"/>
              <w:rPr>
                <w:sz w:val="20"/>
                <w:szCs w:val="20"/>
              </w:rPr>
            </w:pPr>
            <w:r w:rsidRPr="005A0DE8">
              <w:rPr>
                <w:sz w:val="20"/>
                <w:szCs w:val="20"/>
              </w:rPr>
              <w:t>31,283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FC7C89F"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E6868B6" w14:textId="77777777">
            <w:pPr>
              <w:contextualSpacing/>
              <w:jc w:val="right"/>
              <w:rPr>
                <w:sz w:val="20"/>
                <w:szCs w:val="20"/>
              </w:rPr>
            </w:pPr>
            <w:r w:rsidRPr="005A0DE8">
              <w:rPr>
                <w:sz w:val="20"/>
                <w:szCs w:val="20"/>
              </w:rPr>
              <w:t>31,283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685C5A3"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4FBEEE8" w14:textId="77777777">
            <w:pPr>
              <w:contextualSpacing/>
              <w:jc w:val="right"/>
              <w:rPr>
                <w:sz w:val="20"/>
                <w:szCs w:val="20"/>
              </w:rPr>
            </w:pPr>
            <w:r w:rsidRPr="005A0DE8">
              <w:rPr>
                <w:sz w:val="20"/>
                <w:szCs w:val="20"/>
              </w:rPr>
              <w:t>31,283</w:t>
            </w:r>
          </w:p>
        </w:tc>
      </w:tr>
      <w:tr w14:paraId="444AFD4F" w14:textId="77777777" w:rsidTr="008909C4">
        <w:tblPrEx>
          <w:tblW w:w="9450" w:type="dxa"/>
          <w:tblLayout w:type="fixed"/>
          <w:tblLook w:val="000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869AE84" w14:textId="77777777">
            <w:pPr>
              <w:contextualSpacing/>
              <w:rPr>
                <w:sz w:val="20"/>
                <w:szCs w:val="20"/>
              </w:rPr>
            </w:pPr>
            <w:r w:rsidRPr="005A0DE8">
              <w:rPr>
                <w:sz w:val="20"/>
                <w:szCs w:val="20"/>
              </w:rPr>
              <w:t>New Products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958F1B8" w14:textId="77777777">
            <w:pPr>
              <w:contextualSpacing/>
              <w:jc w:val="right"/>
              <w:rPr>
                <w:sz w:val="20"/>
                <w:szCs w:val="20"/>
              </w:rPr>
            </w:pPr>
            <w:r w:rsidRPr="005A0DE8">
              <w:rPr>
                <w:sz w:val="20"/>
                <w:szCs w:val="20"/>
              </w:rPr>
              <w:t>216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43DEBAC"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686F86D" w14:textId="77777777">
            <w:pPr>
              <w:contextualSpacing/>
              <w:jc w:val="right"/>
              <w:rPr>
                <w:sz w:val="20"/>
                <w:szCs w:val="20"/>
              </w:rPr>
            </w:pPr>
            <w:r w:rsidRPr="005A0DE8">
              <w:rPr>
                <w:sz w:val="20"/>
                <w:szCs w:val="20"/>
              </w:rPr>
              <w:t>216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2F570B9" w14:textId="77777777">
            <w:pPr>
              <w:contextualSpacing/>
              <w:jc w:val="right"/>
              <w:rPr>
                <w:sz w:val="20"/>
                <w:szCs w:val="20"/>
              </w:rPr>
            </w:pPr>
            <w:r w:rsidRPr="005A0DE8">
              <w:rPr>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CF23E41" w14:textId="77777777">
            <w:pPr>
              <w:contextualSpacing/>
              <w:jc w:val="right"/>
              <w:rPr>
                <w:sz w:val="20"/>
                <w:szCs w:val="20"/>
              </w:rPr>
            </w:pPr>
            <w:r w:rsidRPr="005A0DE8">
              <w:rPr>
                <w:sz w:val="20"/>
                <w:szCs w:val="20"/>
              </w:rPr>
              <w:t>216</w:t>
            </w:r>
          </w:p>
        </w:tc>
      </w:tr>
      <w:tr w14:paraId="26EB9BE9" w14:textId="77777777" w:rsidTr="008909C4">
        <w:tblPrEx>
          <w:tblW w:w="9450" w:type="dxa"/>
          <w:tblLayout w:type="fixed"/>
          <w:tblLook w:val="0000"/>
        </w:tblPrEx>
        <w:tc>
          <w:tcPr>
            <w:tcW w:w="2790" w:type="dxa"/>
            <w:shd w:val="clear" w:color="auto" w:fill="auto"/>
          </w:tcPr>
          <w:p w:rsidR="006D117F" w:rsidRPr="005A0DE8" w:rsidP="00A178BD" w14:paraId="0BE4944C" w14:textId="77777777">
            <w:pPr>
              <w:contextualSpacing/>
              <w:rPr>
                <w:sz w:val="20"/>
                <w:szCs w:val="20"/>
              </w:rPr>
            </w:pPr>
            <w:r w:rsidRPr="005A0DE8">
              <w:rPr>
                <w:sz w:val="20"/>
                <w:szCs w:val="20"/>
              </w:rPr>
              <w:t xml:space="preserve">101.12(e); recordkeeping to document the basis for </w:t>
            </w:r>
            <w:r w:rsidRPr="006D117F">
              <w:rPr>
                <w:sz w:val="20"/>
                <w:szCs w:val="20"/>
              </w:rPr>
              <w:t>density adjusted</w:t>
            </w:r>
            <w:r w:rsidRPr="005A0DE8">
              <w:rPr>
                <w:sz w:val="20"/>
                <w:szCs w:val="20"/>
              </w:rPr>
              <w:t xml:space="preserve"> RACC</w:t>
            </w:r>
          </w:p>
        </w:tc>
        <w:tc>
          <w:tcPr>
            <w:tcW w:w="1800" w:type="dxa"/>
            <w:shd w:val="clear" w:color="auto" w:fill="auto"/>
          </w:tcPr>
          <w:p w:rsidR="006D117F" w:rsidRPr="005A0DE8" w:rsidP="00A178BD" w14:paraId="5B19DDDB" w14:textId="77777777">
            <w:pPr>
              <w:contextualSpacing/>
              <w:jc w:val="right"/>
              <w:rPr>
                <w:sz w:val="20"/>
                <w:szCs w:val="20"/>
              </w:rPr>
            </w:pPr>
            <w:r w:rsidRPr="005A0DE8">
              <w:rPr>
                <w:sz w:val="20"/>
                <w:szCs w:val="20"/>
              </w:rPr>
              <w:t>25</w:t>
            </w:r>
          </w:p>
        </w:tc>
        <w:tc>
          <w:tcPr>
            <w:tcW w:w="1350" w:type="dxa"/>
            <w:shd w:val="clear" w:color="auto" w:fill="auto"/>
          </w:tcPr>
          <w:p w:rsidR="006D117F" w:rsidRPr="005A0DE8" w:rsidP="00A178BD" w14:paraId="0A6107E2"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47781D1A" w14:textId="77777777">
            <w:pPr>
              <w:contextualSpacing/>
              <w:jc w:val="right"/>
              <w:rPr>
                <w:sz w:val="20"/>
                <w:szCs w:val="20"/>
              </w:rPr>
            </w:pPr>
            <w:r w:rsidRPr="005A0DE8">
              <w:rPr>
                <w:sz w:val="20"/>
                <w:szCs w:val="20"/>
              </w:rPr>
              <w:t>25</w:t>
            </w:r>
          </w:p>
        </w:tc>
        <w:tc>
          <w:tcPr>
            <w:tcW w:w="1530" w:type="dxa"/>
            <w:shd w:val="clear" w:color="auto" w:fill="auto"/>
          </w:tcPr>
          <w:p w:rsidR="006D117F" w:rsidRPr="005A0DE8" w:rsidP="00A178BD" w14:paraId="66014A88" w14:textId="77777777">
            <w:pPr>
              <w:contextualSpacing/>
              <w:jc w:val="right"/>
              <w:rPr>
                <w:sz w:val="20"/>
                <w:szCs w:val="20"/>
              </w:rPr>
            </w:pPr>
            <w:r w:rsidRPr="005A0DE8">
              <w:rPr>
                <w:sz w:val="20"/>
                <w:szCs w:val="20"/>
              </w:rPr>
              <w:t>1</w:t>
            </w:r>
          </w:p>
        </w:tc>
        <w:tc>
          <w:tcPr>
            <w:tcW w:w="900" w:type="dxa"/>
            <w:shd w:val="clear" w:color="auto" w:fill="auto"/>
          </w:tcPr>
          <w:p w:rsidR="006D117F" w:rsidRPr="005A0DE8" w:rsidP="00A178BD" w14:paraId="5A95264F" w14:textId="77777777">
            <w:pPr>
              <w:contextualSpacing/>
              <w:jc w:val="right"/>
              <w:rPr>
                <w:sz w:val="20"/>
                <w:szCs w:val="20"/>
              </w:rPr>
            </w:pPr>
            <w:r w:rsidRPr="005A0DE8">
              <w:rPr>
                <w:sz w:val="20"/>
                <w:szCs w:val="20"/>
              </w:rPr>
              <w:t>25</w:t>
            </w:r>
          </w:p>
        </w:tc>
      </w:tr>
      <w:tr w14:paraId="064EEE96" w14:textId="77777777" w:rsidTr="008909C4">
        <w:tblPrEx>
          <w:tblW w:w="9450" w:type="dxa"/>
          <w:tblLayout w:type="fixed"/>
          <w:tblLook w:val="0000"/>
        </w:tblPrEx>
        <w:tc>
          <w:tcPr>
            <w:tcW w:w="2790" w:type="dxa"/>
            <w:shd w:val="clear" w:color="auto" w:fill="auto"/>
          </w:tcPr>
          <w:p w:rsidR="006D117F" w:rsidRPr="005A0DE8" w:rsidP="00A178BD" w14:paraId="37C9131C" w14:textId="77777777">
            <w:pPr>
              <w:contextualSpacing/>
              <w:rPr>
                <w:sz w:val="20"/>
                <w:szCs w:val="20"/>
              </w:rPr>
            </w:pPr>
            <w:r w:rsidRPr="005A0DE8">
              <w:rPr>
                <w:sz w:val="20"/>
                <w:szCs w:val="20"/>
              </w:rPr>
              <w:t xml:space="preserve">101.13(q)(5); recordkeeping to document the basis for nutrient content claims </w:t>
            </w:r>
          </w:p>
        </w:tc>
        <w:tc>
          <w:tcPr>
            <w:tcW w:w="1800" w:type="dxa"/>
            <w:shd w:val="clear" w:color="auto" w:fill="auto"/>
          </w:tcPr>
          <w:p w:rsidR="006D117F" w:rsidRPr="005A0DE8" w:rsidP="00A178BD" w14:paraId="37EEEE5E" w14:textId="77777777">
            <w:pPr>
              <w:contextualSpacing/>
              <w:jc w:val="right"/>
              <w:rPr>
                <w:sz w:val="20"/>
                <w:szCs w:val="20"/>
              </w:rPr>
            </w:pPr>
            <w:r w:rsidRPr="005A0DE8">
              <w:rPr>
                <w:sz w:val="20"/>
                <w:szCs w:val="20"/>
              </w:rPr>
              <w:t>300,000</w:t>
            </w:r>
          </w:p>
        </w:tc>
        <w:tc>
          <w:tcPr>
            <w:tcW w:w="1350" w:type="dxa"/>
            <w:shd w:val="clear" w:color="auto" w:fill="auto"/>
          </w:tcPr>
          <w:p w:rsidR="006D117F" w:rsidRPr="005A0DE8" w:rsidP="00A178BD" w14:paraId="643B53C7" w14:textId="77777777">
            <w:pPr>
              <w:contextualSpacing/>
              <w:jc w:val="right"/>
              <w:rPr>
                <w:sz w:val="20"/>
                <w:szCs w:val="20"/>
              </w:rPr>
            </w:pPr>
            <w:r w:rsidRPr="005A0DE8">
              <w:rPr>
                <w:sz w:val="20"/>
                <w:szCs w:val="20"/>
              </w:rPr>
              <w:t>1.5</w:t>
            </w:r>
          </w:p>
        </w:tc>
        <w:tc>
          <w:tcPr>
            <w:tcW w:w="1080" w:type="dxa"/>
            <w:shd w:val="clear" w:color="auto" w:fill="auto"/>
          </w:tcPr>
          <w:p w:rsidR="006D117F" w:rsidRPr="005A0DE8" w:rsidP="00A178BD" w14:paraId="5309EC02" w14:textId="77777777">
            <w:pPr>
              <w:contextualSpacing/>
              <w:jc w:val="right"/>
              <w:rPr>
                <w:sz w:val="20"/>
                <w:szCs w:val="20"/>
              </w:rPr>
            </w:pPr>
            <w:r w:rsidRPr="005A0DE8">
              <w:rPr>
                <w:sz w:val="20"/>
                <w:szCs w:val="20"/>
              </w:rPr>
              <w:t>450,000</w:t>
            </w:r>
          </w:p>
        </w:tc>
        <w:tc>
          <w:tcPr>
            <w:tcW w:w="1530" w:type="dxa"/>
            <w:shd w:val="clear" w:color="auto" w:fill="auto"/>
          </w:tcPr>
          <w:p w:rsidR="006D117F" w:rsidRPr="005A0DE8" w:rsidP="00A178BD" w14:paraId="3EAFE616" w14:textId="77777777">
            <w:pPr>
              <w:contextualSpacing/>
              <w:jc w:val="right"/>
              <w:rPr>
                <w:sz w:val="20"/>
                <w:szCs w:val="20"/>
              </w:rPr>
            </w:pPr>
            <w:r w:rsidRPr="005A0DE8">
              <w:rPr>
                <w:sz w:val="20"/>
                <w:szCs w:val="20"/>
              </w:rPr>
              <w:t>0.75</w:t>
            </w:r>
          </w:p>
        </w:tc>
        <w:tc>
          <w:tcPr>
            <w:tcW w:w="900" w:type="dxa"/>
            <w:shd w:val="clear" w:color="auto" w:fill="auto"/>
          </w:tcPr>
          <w:p w:rsidR="006D117F" w:rsidRPr="005A0DE8" w:rsidP="00A178BD" w14:paraId="7D1AC044" w14:textId="77777777">
            <w:pPr>
              <w:contextualSpacing/>
              <w:jc w:val="right"/>
              <w:rPr>
                <w:sz w:val="20"/>
                <w:szCs w:val="20"/>
              </w:rPr>
            </w:pPr>
            <w:r w:rsidRPr="005A0DE8">
              <w:rPr>
                <w:sz w:val="20"/>
                <w:szCs w:val="20"/>
              </w:rPr>
              <w:t>337,500</w:t>
            </w:r>
          </w:p>
        </w:tc>
      </w:tr>
      <w:tr w14:paraId="4327E806" w14:textId="77777777" w:rsidTr="008909C4">
        <w:tblPrEx>
          <w:tblW w:w="9450" w:type="dxa"/>
          <w:tblLayout w:type="fixed"/>
          <w:tblLook w:val="0000"/>
        </w:tblPrEx>
        <w:tc>
          <w:tcPr>
            <w:tcW w:w="2790" w:type="dxa"/>
            <w:shd w:val="clear" w:color="auto" w:fill="auto"/>
          </w:tcPr>
          <w:p w:rsidR="006D117F" w:rsidRPr="005A0DE8" w:rsidP="00A178BD" w14:paraId="1D23A9F7" w14:textId="77777777">
            <w:pPr>
              <w:contextualSpacing/>
              <w:rPr>
                <w:sz w:val="20"/>
                <w:szCs w:val="20"/>
              </w:rPr>
            </w:pPr>
            <w:r w:rsidRPr="005A0DE8">
              <w:rPr>
                <w:sz w:val="20"/>
                <w:szCs w:val="20"/>
              </w:rPr>
              <w:t>101.14(d)(2); recordkeeping to document nutrition information related to health claims for food products</w:t>
            </w:r>
          </w:p>
        </w:tc>
        <w:tc>
          <w:tcPr>
            <w:tcW w:w="1800" w:type="dxa"/>
            <w:shd w:val="clear" w:color="auto" w:fill="auto"/>
          </w:tcPr>
          <w:p w:rsidR="006D117F" w:rsidRPr="005A0DE8" w:rsidP="00A178BD" w14:paraId="7C3C286B" w14:textId="77777777">
            <w:pPr>
              <w:contextualSpacing/>
              <w:jc w:val="right"/>
              <w:rPr>
                <w:sz w:val="20"/>
                <w:szCs w:val="20"/>
              </w:rPr>
            </w:pPr>
            <w:r w:rsidRPr="005A0DE8">
              <w:rPr>
                <w:sz w:val="20"/>
                <w:szCs w:val="20"/>
              </w:rPr>
              <w:t>300,000</w:t>
            </w:r>
          </w:p>
        </w:tc>
        <w:tc>
          <w:tcPr>
            <w:tcW w:w="1350" w:type="dxa"/>
            <w:shd w:val="clear" w:color="auto" w:fill="auto"/>
          </w:tcPr>
          <w:p w:rsidR="006D117F" w:rsidRPr="005A0DE8" w:rsidP="00A178BD" w14:paraId="2AE779D9" w14:textId="77777777">
            <w:pPr>
              <w:contextualSpacing/>
              <w:jc w:val="right"/>
              <w:rPr>
                <w:sz w:val="20"/>
                <w:szCs w:val="20"/>
              </w:rPr>
            </w:pPr>
            <w:r w:rsidRPr="005A0DE8">
              <w:rPr>
                <w:sz w:val="20"/>
                <w:szCs w:val="20"/>
              </w:rPr>
              <w:t>1.5</w:t>
            </w:r>
          </w:p>
        </w:tc>
        <w:tc>
          <w:tcPr>
            <w:tcW w:w="1080" w:type="dxa"/>
            <w:shd w:val="clear" w:color="auto" w:fill="auto"/>
          </w:tcPr>
          <w:p w:rsidR="006D117F" w:rsidRPr="005A0DE8" w:rsidP="00A178BD" w14:paraId="0D3A3FBE" w14:textId="77777777">
            <w:pPr>
              <w:contextualSpacing/>
              <w:jc w:val="right"/>
              <w:rPr>
                <w:sz w:val="20"/>
                <w:szCs w:val="20"/>
              </w:rPr>
            </w:pPr>
            <w:r w:rsidRPr="005A0DE8">
              <w:rPr>
                <w:sz w:val="20"/>
                <w:szCs w:val="20"/>
              </w:rPr>
              <w:t>450,000</w:t>
            </w:r>
          </w:p>
        </w:tc>
        <w:tc>
          <w:tcPr>
            <w:tcW w:w="1530" w:type="dxa"/>
            <w:shd w:val="clear" w:color="auto" w:fill="auto"/>
          </w:tcPr>
          <w:p w:rsidR="006D117F" w:rsidRPr="005A0DE8" w:rsidP="00A178BD" w14:paraId="0EAC218F" w14:textId="77777777">
            <w:pPr>
              <w:contextualSpacing/>
              <w:jc w:val="right"/>
              <w:rPr>
                <w:sz w:val="20"/>
                <w:szCs w:val="20"/>
              </w:rPr>
            </w:pPr>
            <w:r w:rsidRPr="005A0DE8">
              <w:rPr>
                <w:sz w:val="20"/>
                <w:szCs w:val="20"/>
              </w:rPr>
              <w:t>0.75</w:t>
            </w:r>
          </w:p>
        </w:tc>
        <w:tc>
          <w:tcPr>
            <w:tcW w:w="900" w:type="dxa"/>
            <w:shd w:val="clear" w:color="auto" w:fill="auto"/>
          </w:tcPr>
          <w:p w:rsidR="006D117F" w:rsidRPr="005A0DE8" w:rsidP="00A178BD" w14:paraId="7C903400" w14:textId="77777777">
            <w:pPr>
              <w:contextualSpacing/>
              <w:jc w:val="right"/>
              <w:rPr>
                <w:sz w:val="20"/>
                <w:szCs w:val="20"/>
              </w:rPr>
            </w:pPr>
            <w:r w:rsidRPr="005A0DE8">
              <w:rPr>
                <w:sz w:val="20"/>
                <w:szCs w:val="20"/>
              </w:rPr>
              <w:t>337,500</w:t>
            </w:r>
          </w:p>
        </w:tc>
      </w:tr>
      <w:tr w14:paraId="112C93CD" w14:textId="77777777" w:rsidTr="008909C4">
        <w:tblPrEx>
          <w:tblW w:w="9450" w:type="dxa"/>
          <w:tblLayout w:type="fixed"/>
          <w:tblLook w:val="0000"/>
        </w:tblPrEx>
        <w:tc>
          <w:tcPr>
            <w:tcW w:w="2790" w:type="dxa"/>
            <w:shd w:val="clear" w:color="auto" w:fill="auto"/>
          </w:tcPr>
          <w:p w:rsidR="006D117F" w:rsidRPr="005A0DE8" w:rsidP="00A178BD" w14:paraId="6CFD0A1D" w14:textId="77777777">
            <w:pPr>
              <w:contextualSpacing/>
              <w:rPr>
                <w:sz w:val="20"/>
                <w:szCs w:val="20"/>
              </w:rPr>
            </w:pPr>
            <w:r w:rsidRPr="005A0DE8">
              <w:rPr>
                <w:sz w:val="20"/>
                <w:szCs w:val="20"/>
              </w:rPr>
              <w:t>101.22(i)(4); recordkeeping to document supplier certifications for flavors designated as containing no artificial flavors</w:t>
            </w:r>
          </w:p>
        </w:tc>
        <w:tc>
          <w:tcPr>
            <w:tcW w:w="1800" w:type="dxa"/>
            <w:shd w:val="clear" w:color="auto" w:fill="auto"/>
          </w:tcPr>
          <w:p w:rsidR="006D117F" w:rsidRPr="005A0DE8" w:rsidP="00A178BD" w14:paraId="4279F5DE" w14:textId="77777777">
            <w:pPr>
              <w:contextualSpacing/>
              <w:jc w:val="right"/>
              <w:rPr>
                <w:sz w:val="20"/>
                <w:szCs w:val="20"/>
              </w:rPr>
            </w:pPr>
            <w:r w:rsidRPr="005A0DE8">
              <w:rPr>
                <w:sz w:val="20"/>
                <w:szCs w:val="20"/>
              </w:rPr>
              <w:t>25</w:t>
            </w:r>
          </w:p>
        </w:tc>
        <w:tc>
          <w:tcPr>
            <w:tcW w:w="1350" w:type="dxa"/>
            <w:shd w:val="clear" w:color="auto" w:fill="auto"/>
          </w:tcPr>
          <w:p w:rsidR="006D117F" w:rsidRPr="005A0DE8" w:rsidP="00A178BD" w14:paraId="5BDA1EE3"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59DFD11E" w14:textId="77777777">
            <w:pPr>
              <w:contextualSpacing/>
              <w:jc w:val="right"/>
              <w:rPr>
                <w:sz w:val="20"/>
                <w:szCs w:val="20"/>
              </w:rPr>
            </w:pPr>
            <w:r w:rsidRPr="005A0DE8">
              <w:rPr>
                <w:sz w:val="20"/>
                <w:szCs w:val="20"/>
              </w:rPr>
              <w:t>25</w:t>
            </w:r>
          </w:p>
        </w:tc>
        <w:tc>
          <w:tcPr>
            <w:tcW w:w="1530" w:type="dxa"/>
            <w:shd w:val="clear" w:color="auto" w:fill="auto"/>
          </w:tcPr>
          <w:p w:rsidR="006D117F" w:rsidRPr="005A0DE8" w:rsidP="00A178BD" w14:paraId="7A663FE4" w14:textId="77777777">
            <w:pPr>
              <w:contextualSpacing/>
              <w:jc w:val="right"/>
              <w:rPr>
                <w:sz w:val="20"/>
                <w:szCs w:val="20"/>
              </w:rPr>
            </w:pPr>
            <w:r w:rsidRPr="005A0DE8">
              <w:rPr>
                <w:sz w:val="20"/>
                <w:szCs w:val="20"/>
              </w:rPr>
              <w:t>1</w:t>
            </w:r>
          </w:p>
        </w:tc>
        <w:tc>
          <w:tcPr>
            <w:tcW w:w="900" w:type="dxa"/>
            <w:shd w:val="clear" w:color="auto" w:fill="auto"/>
          </w:tcPr>
          <w:p w:rsidR="006D117F" w:rsidRPr="005A0DE8" w:rsidP="00A178BD" w14:paraId="3FADFF6B" w14:textId="77777777">
            <w:pPr>
              <w:contextualSpacing/>
              <w:jc w:val="right"/>
              <w:rPr>
                <w:sz w:val="20"/>
                <w:szCs w:val="20"/>
              </w:rPr>
            </w:pPr>
            <w:r w:rsidRPr="005A0DE8">
              <w:rPr>
                <w:sz w:val="20"/>
                <w:szCs w:val="20"/>
              </w:rPr>
              <w:t>25</w:t>
            </w:r>
          </w:p>
        </w:tc>
      </w:tr>
      <w:tr w14:paraId="2A4A7474" w14:textId="77777777" w:rsidTr="008909C4">
        <w:tblPrEx>
          <w:tblW w:w="9450" w:type="dxa"/>
          <w:tblLayout w:type="fixed"/>
          <w:tblLook w:val="0000"/>
        </w:tblPrEx>
        <w:tc>
          <w:tcPr>
            <w:tcW w:w="2790" w:type="dxa"/>
            <w:shd w:val="clear" w:color="auto" w:fill="auto"/>
          </w:tcPr>
          <w:p w:rsidR="006D117F" w:rsidRPr="005A0DE8" w:rsidP="00A178BD" w14:paraId="762ED079" w14:textId="77777777">
            <w:pPr>
              <w:contextualSpacing/>
              <w:rPr>
                <w:sz w:val="20"/>
                <w:szCs w:val="20"/>
              </w:rPr>
            </w:pPr>
            <w:r w:rsidRPr="005A0DE8">
              <w:rPr>
                <w:sz w:val="20"/>
                <w:szCs w:val="20"/>
              </w:rPr>
              <w:t xml:space="preserve">101.100(d)(2); recordkeeping pertaining to agreements that form the basis for an exemption from the labeling requirements of section 403(c), (e), (g), (h), (i), (k), and (q) of the FD&amp;C Act </w:t>
            </w:r>
          </w:p>
        </w:tc>
        <w:tc>
          <w:tcPr>
            <w:tcW w:w="1800" w:type="dxa"/>
            <w:shd w:val="clear" w:color="auto" w:fill="auto"/>
          </w:tcPr>
          <w:p w:rsidR="006D117F" w:rsidRPr="005A0DE8" w:rsidP="00A178BD" w14:paraId="7D00AA37" w14:textId="77777777">
            <w:pPr>
              <w:contextualSpacing/>
              <w:jc w:val="right"/>
              <w:rPr>
                <w:sz w:val="20"/>
                <w:szCs w:val="20"/>
              </w:rPr>
            </w:pPr>
            <w:r w:rsidRPr="005A0DE8">
              <w:rPr>
                <w:sz w:val="20"/>
                <w:szCs w:val="20"/>
              </w:rPr>
              <w:t>1,000</w:t>
            </w:r>
          </w:p>
        </w:tc>
        <w:tc>
          <w:tcPr>
            <w:tcW w:w="1350" w:type="dxa"/>
            <w:shd w:val="clear" w:color="auto" w:fill="auto"/>
          </w:tcPr>
          <w:p w:rsidR="006D117F" w:rsidRPr="005A0DE8" w:rsidP="00A178BD" w14:paraId="1D8EEE5A"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0F5ABB9B" w14:textId="77777777">
            <w:pPr>
              <w:contextualSpacing/>
              <w:jc w:val="right"/>
              <w:rPr>
                <w:sz w:val="20"/>
                <w:szCs w:val="20"/>
              </w:rPr>
            </w:pPr>
            <w:r w:rsidRPr="005A0DE8">
              <w:rPr>
                <w:sz w:val="20"/>
                <w:szCs w:val="20"/>
              </w:rPr>
              <w:t>1,000</w:t>
            </w:r>
          </w:p>
        </w:tc>
        <w:tc>
          <w:tcPr>
            <w:tcW w:w="1530" w:type="dxa"/>
            <w:shd w:val="clear" w:color="auto" w:fill="auto"/>
          </w:tcPr>
          <w:p w:rsidR="006D117F" w:rsidRPr="005A0DE8" w:rsidP="00A178BD" w14:paraId="26DBD2AC" w14:textId="77777777">
            <w:pPr>
              <w:contextualSpacing/>
              <w:jc w:val="right"/>
              <w:rPr>
                <w:sz w:val="20"/>
                <w:szCs w:val="20"/>
              </w:rPr>
            </w:pPr>
            <w:r w:rsidRPr="005A0DE8">
              <w:rPr>
                <w:sz w:val="20"/>
                <w:szCs w:val="20"/>
              </w:rPr>
              <w:t>1</w:t>
            </w:r>
          </w:p>
        </w:tc>
        <w:tc>
          <w:tcPr>
            <w:tcW w:w="900" w:type="dxa"/>
            <w:shd w:val="clear" w:color="auto" w:fill="auto"/>
          </w:tcPr>
          <w:p w:rsidR="006D117F" w:rsidRPr="005A0DE8" w:rsidP="00A178BD" w14:paraId="5A2DCE26" w14:textId="77777777">
            <w:pPr>
              <w:contextualSpacing/>
              <w:jc w:val="right"/>
              <w:rPr>
                <w:sz w:val="20"/>
                <w:szCs w:val="20"/>
              </w:rPr>
            </w:pPr>
            <w:r w:rsidRPr="005A0DE8">
              <w:rPr>
                <w:sz w:val="20"/>
                <w:szCs w:val="20"/>
              </w:rPr>
              <w:t>1,000</w:t>
            </w:r>
          </w:p>
        </w:tc>
      </w:tr>
      <w:tr w14:paraId="1E0AA6A4" w14:textId="77777777" w:rsidTr="008909C4">
        <w:tblPrEx>
          <w:tblW w:w="9450" w:type="dxa"/>
          <w:tblLayout w:type="fixed"/>
          <w:tblLook w:val="0000"/>
        </w:tblPrEx>
        <w:tc>
          <w:tcPr>
            <w:tcW w:w="2790" w:type="dxa"/>
            <w:shd w:val="clear" w:color="auto" w:fill="auto"/>
          </w:tcPr>
          <w:p w:rsidR="006D117F" w:rsidRPr="005A0DE8" w:rsidP="00A178BD" w14:paraId="05624828" w14:textId="77777777">
            <w:pPr>
              <w:contextualSpacing/>
              <w:rPr>
                <w:sz w:val="20"/>
                <w:szCs w:val="20"/>
              </w:rPr>
            </w:pPr>
            <w:r w:rsidRPr="005A0DE8">
              <w:rPr>
                <w:sz w:val="20"/>
                <w:szCs w:val="20"/>
              </w:rPr>
              <w:t>101.7(t); recordkeeping pertaining to disclosure requirements for food not accurately labeled for quality of contents</w:t>
            </w:r>
          </w:p>
        </w:tc>
        <w:tc>
          <w:tcPr>
            <w:tcW w:w="1800" w:type="dxa"/>
            <w:shd w:val="clear" w:color="auto" w:fill="auto"/>
          </w:tcPr>
          <w:p w:rsidR="006D117F" w:rsidRPr="005A0DE8" w:rsidP="00A178BD" w14:paraId="2676DAFC" w14:textId="77777777">
            <w:pPr>
              <w:contextualSpacing/>
              <w:jc w:val="right"/>
              <w:rPr>
                <w:sz w:val="20"/>
                <w:szCs w:val="20"/>
              </w:rPr>
            </w:pPr>
            <w:r w:rsidRPr="005A0DE8">
              <w:rPr>
                <w:sz w:val="20"/>
                <w:szCs w:val="20"/>
              </w:rPr>
              <w:t>100</w:t>
            </w:r>
          </w:p>
        </w:tc>
        <w:tc>
          <w:tcPr>
            <w:tcW w:w="1350" w:type="dxa"/>
            <w:shd w:val="clear" w:color="auto" w:fill="auto"/>
          </w:tcPr>
          <w:p w:rsidR="006D117F" w:rsidRPr="005A0DE8" w:rsidP="00A178BD" w14:paraId="38BBAEB8"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132A9307" w14:textId="77777777">
            <w:pPr>
              <w:contextualSpacing/>
              <w:jc w:val="right"/>
              <w:rPr>
                <w:sz w:val="20"/>
                <w:szCs w:val="20"/>
              </w:rPr>
            </w:pPr>
            <w:r w:rsidRPr="005A0DE8">
              <w:rPr>
                <w:sz w:val="20"/>
                <w:szCs w:val="20"/>
              </w:rPr>
              <w:t>100</w:t>
            </w:r>
          </w:p>
        </w:tc>
        <w:tc>
          <w:tcPr>
            <w:tcW w:w="1530" w:type="dxa"/>
            <w:shd w:val="clear" w:color="auto" w:fill="auto"/>
          </w:tcPr>
          <w:p w:rsidR="006D117F" w:rsidRPr="005A0DE8" w:rsidP="00A178BD" w14:paraId="63572046" w14:textId="77777777">
            <w:pPr>
              <w:contextualSpacing/>
              <w:jc w:val="right"/>
              <w:rPr>
                <w:sz w:val="20"/>
                <w:szCs w:val="20"/>
              </w:rPr>
            </w:pPr>
            <w:r w:rsidRPr="005A0DE8">
              <w:rPr>
                <w:sz w:val="20"/>
                <w:szCs w:val="20"/>
              </w:rPr>
              <w:t>1</w:t>
            </w:r>
          </w:p>
        </w:tc>
        <w:tc>
          <w:tcPr>
            <w:tcW w:w="900" w:type="dxa"/>
            <w:shd w:val="clear" w:color="auto" w:fill="auto"/>
          </w:tcPr>
          <w:p w:rsidR="006D117F" w:rsidRPr="005A0DE8" w:rsidP="00A178BD" w14:paraId="207E0821" w14:textId="77777777">
            <w:pPr>
              <w:contextualSpacing/>
              <w:jc w:val="right"/>
              <w:rPr>
                <w:sz w:val="20"/>
                <w:szCs w:val="20"/>
              </w:rPr>
            </w:pPr>
            <w:r w:rsidRPr="005A0DE8">
              <w:rPr>
                <w:sz w:val="20"/>
                <w:szCs w:val="20"/>
              </w:rPr>
              <w:t>100</w:t>
            </w:r>
          </w:p>
        </w:tc>
      </w:tr>
      <w:tr w14:paraId="4B56C056" w14:textId="77777777" w:rsidTr="00564EFA">
        <w:tblPrEx>
          <w:tblW w:w="9450" w:type="dxa"/>
          <w:tblLayout w:type="fixed"/>
          <w:tblLook w:val="04A0"/>
        </w:tblPrEx>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19A7B474" w14:textId="77777777">
            <w:pPr>
              <w:rPr>
                <w:sz w:val="20"/>
                <w:szCs w:val="20"/>
              </w:rPr>
            </w:pPr>
            <w:r w:rsidRPr="005A0DE8">
              <w:rPr>
                <w:sz w:val="20"/>
                <w:szCs w:val="20"/>
              </w:rPr>
              <w:t xml:space="preserve">101.91; </w:t>
            </w:r>
            <w:r w:rsidR="004B697E">
              <w:rPr>
                <w:sz w:val="20"/>
                <w:szCs w:val="20"/>
              </w:rPr>
              <w:t>d</w:t>
            </w:r>
            <w:r w:rsidRPr="005A0DE8">
              <w:rPr>
                <w:sz w:val="20"/>
                <w:szCs w:val="20"/>
              </w:rPr>
              <w:t>ocumentation necessary to verify compliance with gluten</w:t>
            </w:r>
            <w:r w:rsidR="00D10DA2">
              <w:rPr>
                <w:sz w:val="20"/>
                <w:szCs w:val="20"/>
              </w:rPr>
              <w:t>-</w:t>
            </w:r>
            <w:r w:rsidRPr="005A0DE8">
              <w:rPr>
                <w:sz w:val="20"/>
                <w:szCs w:val="20"/>
              </w:rPr>
              <w:t>free labeling</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51C27592" w14:textId="77777777">
            <w:pPr>
              <w:ind w:hanging="29"/>
              <w:jc w:val="right"/>
              <w:rPr>
                <w:sz w:val="20"/>
                <w:szCs w:val="20"/>
              </w:rPr>
            </w:pPr>
            <w:r w:rsidRPr="005A0DE8">
              <w:rPr>
                <w:sz w:val="20"/>
                <w:szCs w:val="20"/>
              </w:rPr>
              <w:t>5,000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2C253B0E" w14:textId="77777777">
            <w:pPr>
              <w:ind w:hanging="29"/>
              <w:jc w:val="right"/>
              <w:rPr>
                <w:sz w:val="20"/>
                <w:szCs w:val="20"/>
              </w:rPr>
            </w:pPr>
            <w:r w:rsidRPr="005A0DE8">
              <w:rPr>
                <w:sz w:val="20"/>
                <w:szCs w:val="20"/>
              </w:rPr>
              <w:t>56</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2B5759D6" w14:textId="77777777">
            <w:pPr>
              <w:ind w:hanging="29"/>
              <w:jc w:val="right"/>
              <w:rPr>
                <w:sz w:val="20"/>
                <w:szCs w:val="20"/>
              </w:rPr>
            </w:pPr>
            <w:r w:rsidRPr="005A0DE8">
              <w:rPr>
                <w:sz w:val="20"/>
                <w:szCs w:val="20"/>
              </w:rPr>
              <w:t>280,000</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511E20BC" w14:textId="77777777">
            <w:pPr>
              <w:ind w:hanging="29"/>
              <w:jc w:val="right"/>
              <w:rPr>
                <w:sz w:val="20"/>
                <w:szCs w:val="20"/>
              </w:rPr>
            </w:pPr>
            <w:r w:rsidRPr="005A0DE8">
              <w:rPr>
                <w:sz w:val="20"/>
                <w:szCs w:val="20"/>
              </w:rPr>
              <w:t>0.45</w:t>
            </w:r>
          </w:p>
          <w:p w:rsidR="006D117F" w:rsidRPr="005A0DE8" w:rsidP="00A178BD" w14:paraId="0BDABCC5" w14:textId="77777777">
            <w:pPr>
              <w:ind w:hanging="29"/>
              <w:jc w:val="right"/>
              <w:rPr>
                <w:sz w:val="20"/>
                <w:szCs w:val="20"/>
              </w:rPr>
            </w:pPr>
            <w:r w:rsidRPr="005A0DE8">
              <w:rPr>
                <w:sz w:val="20"/>
                <w:szCs w:val="20"/>
              </w:rPr>
              <w:t>(~27 minutes)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61887754" w14:textId="77777777">
            <w:pPr>
              <w:ind w:hanging="29"/>
              <w:jc w:val="right"/>
              <w:rPr>
                <w:sz w:val="20"/>
                <w:szCs w:val="20"/>
              </w:rPr>
            </w:pPr>
            <w:r w:rsidRPr="005A0DE8">
              <w:rPr>
                <w:sz w:val="20"/>
                <w:szCs w:val="20"/>
              </w:rPr>
              <w:t>126,000</w:t>
            </w:r>
          </w:p>
        </w:tc>
      </w:tr>
      <w:tr w14:paraId="20927358" w14:textId="77777777" w:rsidTr="008909C4">
        <w:tblPrEx>
          <w:tblW w:w="9450" w:type="dxa"/>
          <w:tblLayout w:type="fixed"/>
          <w:tblLook w:val="0000"/>
        </w:tblPrEx>
        <w:tc>
          <w:tcPr>
            <w:tcW w:w="2790" w:type="dxa"/>
            <w:shd w:val="clear" w:color="auto" w:fill="auto"/>
          </w:tcPr>
          <w:p w:rsidR="006D117F" w:rsidRPr="005A0DE8" w:rsidP="00A178BD" w14:paraId="5A1D6F85" w14:textId="77777777">
            <w:pPr>
              <w:contextualSpacing/>
              <w:rPr>
                <w:sz w:val="20"/>
                <w:szCs w:val="20"/>
              </w:rPr>
            </w:pPr>
            <w:r w:rsidRPr="005A0DE8">
              <w:rPr>
                <w:sz w:val="20"/>
                <w:szCs w:val="20"/>
              </w:rPr>
              <w:t>Total</w:t>
            </w:r>
          </w:p>
        </w:tc>
        <w:tc>
          <w:tcPr>
            <w:tcW w:w="1800" w:type="dxa"/>
            <w:shd w:val="clear" w:color="auto" w:fill="auto"/>
          </w:tcPr>
          <w:p w:rsidR="006D117F" w:rsidRPr="005A0DE8" w:rsidP="00A178BD" w14:paraId="364C17B6" w14:textId="77777777">
            <w:pPr>
              <w:contextualSpacing/>
              <w:jc w:val="right"/>
              <w:rPr>
                <w:sz w:val="20"/>
                <w:szCs w:val="20"/>
              </w:rPr>
            </w:pPr>
          </w:p>
        </w:tc>
        <w:tc>
          <w:tcPr>
            <w:tcW w:w="1350" w:type="dxa"/>
            <w:shd w:val="clear" w:color="auto" w:fill="auto"/>
          </w:tcPr>
          <w:p w:rsidR="006D117F" w:rsidRPr="005A0DE8" w:rsidP="00A178BD" w14:paraId="20366528" w14:textId="77777777">
            <w:pPr>
              <w:contextualSpacing/>
              <w:jc w:val="right"/>
              <w:rPr>
                <w:sz w:val="20"/>
                <w:szCs w:val="20"/>
              </w:rPr>
            </w:pPr>
          </w:p>
        </w:tc>
        <w:tc>
          <w:tcPr>
            <w:tcW w:w="1080" w:type="dxa"/>
            <w:shd w:val="clear" w:color="auto" w:fill="auto"/>
          </w:tcPr>
          <w:p w:rsidR="006D117F" w:rsidRPr="005A0DE8" w:rsidP="00A178BD" w14:paraId="61D3604F" w14:textId="77777777">
            <w:pPr>
              <w:contextualSpacing/>
              <w:jc w:val="right"/>
              <w:rPr>
                <w:sz w:val="20"/>
                <w:szCs w:val="20"/>
              </w:rPr>
            </w:pPr>
            <w:r w:rsidRPr="005A0DE8">
              <w:rPr>
                <w:sz w:val="20"/>
                <w:szCs w:val="20"/>
              </w:rPr>
              <w:t>1,369,064</w:t>
            </w:r>
          </w:p>
        </w:tc>
        <w:tc>
          <w:tcPr>
            <w:tcW w:w="1530" w:type="dxa"/>
            <w:shd w:val="clear" w:color="auto" w:fill="auto"/>
          </w:tcPr>
          <w:p w:rsidR="006D117F" w:rsidRPr="005A0DE8" w:rsidP="00A178BD" w14:paraId="05229A0F" w14:textId="77777777">
            <w:pPr>
              <w:contextualSpacing/>
              <w:jc w:val="right"/>
              <w:rPr>
                <w:sz w:val="20"/>
                <w:szCs w:val="20"/>
              </w:rPr>
            </w:pPr>
          </w:p>
        </w:tc>
        <w:tc>
          <w:tcPr>
            <w:tcW w:w="900" w:type="dxa"/>
            <w:shd w:val="clear" w:color="auto" w:fill="auto"/>
          </w:tcPr>
          <w:p w:rsidR="006D117F" w:rsidRPr="005A0DE8" w:rsidP="00A178BD" w14:paraId="1B7CDF62" w14:textId="5BDDD8F6">
            <w:pPr>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990,064</w:t>
            </w:r>
            <w:r>
              <w:rPr>
                <w:sz w:val="20"/>
                <w:szCs w:val="20"/>
              </w:rPr>
              <w:fldChar w:fldCharType="end"/>
            </w:r>
          </w:p>
        </w:tc>
      </w:tr>
    </w:tbl>
    <w:p w:rsidR="006D117F" w:rsidRPr="006500E3" w:rsidP="00A178BD" w14:paraId="2D5FA80C" w14:textId="0CF1CDB8">
      <w:pPr>
        <w:rPr>
          <w:sz w:val="20"/>
          <w:szCs w:val="20"/>
        </w:rPr>
      </w:pPr>
      <w:r>
        <w:rPr>
          <w:sz w:val="20"/>
          <w:szCs w:val="20"/>
          <w:vertAlign w:val="superscript"/>
        </w:rPr>
        <w:t xml:space="preserve">    </w:t>
      </w:r>
      <w:r w:rsidRPr="006500E3">
        <w:rPr>
          <w:sz w:val="20"/>
          <w:szCs w:val="20"/>
          <w:vertAlign w:val="superscript"/>
        </w:rPr>
        <w:t xml:space="preserve">1 </w:t>
      </w:r>
      <w:r w:rsidRPr="006500E3">
        <w:rPr>
          <w:sz w:val="20"/>
          <w:szCs w:val="20"/>
        </w:rPr>
        <w:t>There are no capital costs or operating and maintenance costs associated with this collection of information.</w:t>
      </w:r>
    </w:p>
    <w:p w:rsidR="006D117F" w:rsidP="00A178BD" w14:paraId="49BEAD39" w14:textId="77777777"/>
    <w:p w:rsidR="001A4F61" w:rsidP="00A178BD" w14:paraId="33084DE2" w14:textId="77777777">
      <w:r>
        <w:t>Our estimate reflects the cumulative average burden we attribute to the reporting and recordkeeping requirements found in the applicable regulations; individual collection activities may not be evenly distributed among respondents and/or the corresponding requirements.</w:t>
      </w:r>
    </w:p>
    <w:p w:rsidR="001A4F61" w:rsidP="00A178BD" w14:paraId="60A09956" w14:textId="77777777"/>
    <w:p w:rsidR="00A178BD" w:rsidP="00A178BD" w14:paraId="4E56E96F" w14:textId="085916E1"/>
    <w:tbl>
      <w:tblPr>
        <w:tblW w:w="94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150"/>
        <w:gridCol w:w="1350"/>
        <w:gridCol w:w="1350"/>
        <w:gridCol w:w="1170"/>
        <w:gridCol w:w="1350"/>
        <w:gridCol w:w="1080"/>
      </w:tblGrid>
      <w:tr w14:paraId="5ECC1B89" w14:textId="77777777" w:rsidTr="009F33C4">
        <w:tblPrEx>
          <w:tblW w:w="94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c>
          <w:tcPr>
            <w:tcW w:w="9450" w:type="dxa"/>
            <w:gridSpan w:val="6"/>
            <w:tcBorders>
              <w:top w:val="nil"/>
              <w:left w:val="nil"/>
              <w:right w:val="nil"/>
            </w:tcBorders>
            <w:shd w:val="clear" w:color="auto" w:fill="D9D9D9" w:themeFill="background1" w:themeFillShade="D9"/>
          </w:tcPr>
          <w:p w:rsidR="006D117F" w:rsidRPr="009F33C4" w:rsidP="00A178BD" w14:paraId="0C2767F7" w14:textId="4814503C">
            <w:pPr>
              <w:contextualSpacing/>
              <w:jc w:val="center"/>
            </w:pPr>
            <w:r w:rsidRPr="009F33C4">
              <w:t>Table 3.--Estimated Annual Third-Party Disclosure Burden</w:t>
            </w:r>
            <w:r w:rsidRPr="009F33C4">
              <w:rPr>
                <w:vertAlign w:val="superscript"/>
              </w:rPr>
              <w:t>1</w:t>
            </w:r>
          </w:p>
        </w:tc>
      </w:tr>
      <w:tr w14:paraId="1E4A389A" w14:textId="77777777" w:rsidTr="00D23314">
        <w:tblPrEx>
          <w:tblW w:w="9450" w:type="dxa"/>
          <w:tblInd w:w="90" w:type="dxa"/>
          <w:tblLayout w:type="fixed"/>
          <w:tblLook w:val="0020"/>
        </w:tblPrEx>
        <w:trPr>
          <w:tblHeader/>
        </w:trPr>
        <w:tc>
          <w:tcPr>
            <w:tcW w:w="3150" w:type="dxa"/>
            <w:shd w:val="clear" w:color="auto" w:fill="auto"/>
          </w:tcPr>
          <w:p w:rsidR="006D117F" w:rsidRPr="005A0DE8" w:rsidP="00A178BD" w14:paraId="5749486F" w14:textId="77777777">
            <w:pPr>
              <w:contextualSpacing/>
              <w:jc w:val="center"/>
              <w:rPr>
                <w:sz w:val="20"/>
                <w:szCs w:val="20"/>
              </w:rPr>
            </w:pPr>
            <w:r w:rsidRPr="005A0DE8">
              <w:rPr>
                <w:sz w:val="20"/>
                <w:szCs w:val="20"/>
              </w:rPr>
              <w:t>21 CFR Section; Activity</w:t>
            </w:r>
          </w:p>
        </w:tc>
        <w:tc>
          <w:tcPr>
            <w:tcW w:w="1350" w:type="dxa"/>
            <w:shd w:val="clear" w:color="auto" w:fill="auto"/>
          </w:tcPr>
          <w:p w:rsidR="006D117F" w:rsidRPr="005A0DE8" w:rsidP="00A178BD" w14:paraId="316CB938" w14:textId="77777777">
            <w:pPr>
              <w:contextualSpacing/>
              <w:jc w:val="center"/>
              <w:rPr>
                <w:sz w:val="20"/>
                <w:szCs w:val="20"/>
              </w:rPr>
            </w:pPr>
            <w:r w:rsidRPr="005A0DE8">
              <w:rPr>
                <w:sz w:val="20"/>
                <w:szCs w:val="20"/>
              </w:rPr>
              <w:t>No. of Respondents</w:t>
            </w:r>
          </w:p>
        </w:tc>
        <w:tc>
          <w:tcPr>
            <w:tcW w:w="1350" w:type="dxa"/>
            <w:shd w:val="clear" w:color="auto" w:fill="auto"/>
          </w:tcPr>
          <w:p w:rsidR="006D117F" w:rsidRPr="005A0DE8" w:rsidP="00A178BD" w14:paraId="330A6C97" w14:textId="77777777">
            <w:pPr>
              <w:contextualSpacing/>
              <w:jc w:val="center"/>
              <w:rPr>
                <w:sz w:val="20"/>
                <w:szCs w:val="20"/>
              </w:rPr>
            </w:pPr>
            <w:r w:rsidRPr="005A0DE8">
              <w:rPr>
                <w:sz w:val="20"/>
                <w:szCs w:val="20"/>
              </w:rPr>
              <w:t>No. of Disclosures per Respondent</w:t>
            </w:r>
          </w:p>
        </w:tc>
        <w:tc>
          <w:tcPr>
            <w:tcW w:w="1170" w:type="dxa"/>
            <w:shd w:val="clear" w:color="auto" w:fill="auto"/>
          </w:tcPr>
          <w:p w:rsidR="006D117F" w:rsidRPr="005A0DE8" w:rsidP="00A178BD" w14:paraId="31F4AF21" w14:textId="77777777">
            <w:pPr>
              <w:contextualSpacing/>
              <w:jc w:val="center"/>
              <w:rPr>
                <w:sz w:val="20"/>
                <w:szCs w:val="20"/>
              </w:rPr>
            </w:pPr>
            <w:r w:rsidRPr="005A0DE8">
              <w:rPr>
                <w:sz w:val="20"/>
                <w:szCs w:val="20"/>
              </w:rPr>
              <w:t>Total Annual Disclosures</w:t>
            </w:r>
          </w:p>
        </w:tc>
        <w:tc>
          <w:tcPr>
            <w:tcW w:w="1350" w:type="dxa"/>
            <w:shd w:val="clear" w:color="auto" w:fill="auto"/>
          </w:tcPr>
          <w:p w:rsidR="006D117F" w:rsidRPr="005A0DE8" w:rsidP="00A178BD" w14:paraId="12EF4967" w14:textId="77777777">
            <w:pPr>
              <w:contextualSpacing/>
              <w:jc w:val="center"/>
              <w:rPr>
                <w:sz w:val="20"/>
                <w:szCs w:val="20"/>
              </w:rPr>
            </w:pPr>
            <w:r w:rsidRPr="005A0DE8">
              <w:rPr>
                <w:sz w:val="20"/>
                <w:szCs w:val="20"/>
              </w:rPr>
              <w:t>Average Burden per Disclosure</w:t>
            </w:r>
          </w:p>
        </w:tc>
        <w:tc>
          <w:tcPr>
            <w:tcW w:w="1080" w:type="dxa"/>
            <w:shd w:val="clear" w:color="auto" w:fill="auto"/>
          </w:tcPr>
          <w:p w:rsidR="006D117F" w:rsidRPr="005A0DE8" w:rsidP="00A178BD" w14:paraId="00DFA1AE" w14:textId="77777777">
            <w:pPr>
              <w:contextualSpacing/>
              <w:jc w:val="center"/>
              <w:rPr>
                <w:sz w:val="20"/>
                <w:szCs w:val="20"/>
              </w:rPr>
            </w:pPr>
            <w:r w:rsidRPr="005A0DE8">
              <w:rPr>
                <w:sz w:val="20"/>
                <w:szCs w:val="20"/>
              </w:rPr>
              <w:t>Total Hours</w:t>
            </w:r>
          </w:p>
        </w:tc>
      </w:tr>
      <w:tr w14:paraId="4D2AC06E" w14:textId="77777777" w:rsidTr="00D23314">
        <w:tblPrEx>
          <w:tblW w:w="9450" w:type="dxa"/>
          <w:tblInd w:w="90" w:type="dxa"/>
          <w:tblLayout w:type="fixed"/>
          <w:tblLook w:val="0020"/>
        </w:tblPrEx>
        <w:tc>
          <w:tcPr>
            <w:tcW w:w="3150" w:type="dxa"/>
            <w:shd w:val="clear" w:color="auto" w:fill="auto"/>
          </w:tcPr>
          <w:p w:rsidR="006D117F" w:rsidRPr="005A0DE8" w:rsidP="00A178BD" w14:paraId="206A1BC1" w14:textId="77777777">
            <w:pPr>
              <w:contextualSpacing/>
              <w:rPr>
                <w:sz w:val="20"/>
                <w:szCs w:val="20"/>
              </w:rPr>
            </w:pPr>
            <w:r w:rsidRPr="005A0DE8">
              <w:rPr>
                <w:sz w:val="20"/>
                <w:szCs w:val="20"/>
              </w:rPr>
              <w:t>101.3, 101.22, parts 102 and 104; statement of identity labeling requirements</w:t>
            </w:r>
          </w:p>
        </w:tc>
        <w:tc>
          <w:tcPr>
            <w:tcW w:w="1350" w:type="dxa"/>
            <w:shd w:val="clear" w:color="auto" w:fill="auto"/>
          </w:tcPr>
          <w:p w:rsidR="006D117F" w:rsidRPr="005A0DE8" w:rsidP="00A178BD" w14:paraId="21B775BF" w14:textId="77777777">
            <w:pPr>
              <w:contextualSpacing/>
              <w:jc w:val="right"/>
              <w:rPr>
                <w:sz w:val="20"/>
                <w:szCs w:val="20"/>
              </w:rPr>
            </w:pPr>
            <w:r w:rsidRPr="005A0DE8">
              <w:rPr>
                <w:sz w:val="20"/>
                <w:szCs w:val="20"/>
              </w:rPr>
              <w:t>25,000</w:t>
            </w:r>
          </w:p>
        </w:tc>
        <w:tc>
          <w:tcPr>
            <w:tcW w:w="1350" w:type="dxa"/>
            <w:shd w:val="clear" w:color="auto" w:fill="auto"/>
          </w:tcPr>
          <w:p w:rsidR="006D117F" w:rsidRPr="005A0DE8" w:rsidP="00A178BD" w14:paraId="162CEC2E" w14:textId="77777777">
            <w:pPr>
              <w:contextualSpacing/>
              <w:jc w:val="right"/>
              <w:rPr>
                <w:sz w:val="20"/>
                <w:szCs w:val="20"/>
              </w:rPr>
            </w:pPr>
            <w:r w:rsidRPr="005A0DE8">
              <w:rPr>
                <w:sz w:val="20"/>
                <w:szCs w:val="20"/>
              </w:rPr>
              <w:t>1.03</w:t>
            </w:r>
          </w:p>
        </w:tc>
        <w:tc>
          <w:tcPr>
            <w:tcW w:w="1170" w:type="dxa"/>
            <w:shd w:val="clear" w:color="auto" w:fill="auto"/>
          </w:tcPr>
          <w:p w:rsidR="006D117F" w:rsidRPr="005A0DE8" w:rsidP="00A178BD" w14:paraId="546D5CFD" w14:textId="77777777">
            <w:pPr>
              <w:contextualSpacing/>
              <w:jc w:val="right"/>
              <w:rPr>
                <w:sz w:val="20"/>
                <w:szCs w:val="20"/>
              </w:rPr>
            </w:pPr>
            <w:r w:rsidRPr="005A0DE8">
              <w:rPr>
                <w:sz w:val="20"/>
                <w:szCs w:val="20"/>
              </w:rPr>
              <w:t>25,750</w:t>
            </w:r>
          </w:p>
        </w:tc>
        <w:tc>
          <w:tcPr>
            <w:tcW w:w="1350" w:type="dxa"/>
            <w:shd w:val="clear" w:color="auto" w:fill="auto"/>
          </w:tcPr>
          <w:p w:rsidR="006D117F" w:rsidRPr="005A0DE8" w:rsidP="00A178BD" w14:paraId="029547EB" w14:textId="77777777">
            <w:pPr>
              <w:contextualSpacing/>
              <w:jc w:val="right"/>
              <w:rPr>
                <w:sz w:val="20"/>
                <w:szCs w:val="20"/>
              </w:rPr>
            </w:pPr>
            <w:r w:rsidRPr="005A0DE8">
              <w:rPr>
                <w:sz w:val="20"/>
                <w:szCs w:val="20"/>
              </w:rPr>
              <w:t>0.5</w:t>
            </w:r>
          </w:p>
        </w:tc>
        <w:tc>
          <w:tcPr>
            <w:tcW w:w="1080" w:type="dxa"/>
            <w:shd w:val="clear" w:color="auto" w:fill="auto"/>
          </w:tcPr>
          <w:p w:rsidR="006D117F" w:rsidRPr="005A0DE8" w:rsidP="00A178BD" w14:paraId="33F4B0AE" w14:textId="77777777">
            <w:pPr>
              <w:contextualSpacing/>
              <w:jc w:val="right"/>
              <w:rPr>
                <w:sz w:val="20"/>
                <w:szCs w:val="20"/>
              </w:rPr>
            </w:pPr>
            <w:r w:rsidRPr="005A0DE8">
              <w:rPr>
                <w:sz w:val="20"/>
                <w:szCs w:val="20"/>
              </w:rPr>
              <w:t>12,875</w:t>
            </w:r>
          </w:p>
        </w:tc>
      </w:tr>
      <w:tr w14:paraId="06783BCA" w14:textId="77777777" w:rsidTr="00D23314">
        <w:tblPrEx>
          <w:tblW w:w="9450" w:type="dxa"/>
          <w:tblInd w:w="90" w:type="dxa"/>
          <w:tblLayout w:type="fixed"/>
          <w:tblLook w:val="0020"/>
        </w:tblPrEx>
        <w:tc>
          <w:tcPr>
            <w:tcW w:w="3150" w:type="dxa"/>
            <w:shd w:val="clear" w:color="auto" w:fill="auto"/>
          </w:tcPr>
          <w:p w:rsidR="006D117F" w:rsidRPr="005A0DE8" w:rsidP="00A178BD" w14:paraId="7C2515CC" w14:textId="77777777">
            <w:pPr>
              <w:contextualSpacing/>
              <w:rPr>
                <w:sz w:val="20"/>
                <w:szCs w:val="20"/>
              </w:rPr>
            </w:pPr>
            <w:r w:rsidRPr="005A0DE8">
              <w:rPr>
                <w:sz w:val="20"/>
                <w:szCs w:val="20"/>
              </w:rPr>
              <w:t>101.4, 101.22, 101.100, parts 102, 104 and 105; ingredient labeling requirements</w:t>
            </w:r>
          </w:p>
        </w:tc>
        <w:tc>
          <w:tcPr>
            <w:tcW w:w="1350" w:type="dxa"/>
            <w:shd w:val="clear" w:color="auto" w:fill="auto"/>
          </w:tcPr>
          <w:p w:rsidR="006D117F" w:rsidRPr="005A0DE8" w:rsidP="00A178BD" w14:paraId="35C22B25" w14:textId="77777777">
            <w:pPr>
              <w:contextualSpacing/>
              <w:jc w:val="right"/>
              <w:rPr>
                <w:sz w:val="20"/>
                <w:szCs w:val="20"/>
              </w:rPr>
            </w:pPr>
            <w:r w:rsidRPr="005A0DE8">
              <w:rPr>
                <w:sz w:val="20"/>
                <w:szCs w:val="20"/>
              </w:rPr>
              <w:t>25,000</w:t>
            </w:r>
          </w:p>
        </w:tc>
        <w:tc>
          <w:tcPr>
            <w:tcW w:w="1350" w:type="dxa"/>
            <w:shd w:val="clear" w:color="auto" w:fill="auto"/>
          </w:tcPr>
          <w:p w:rsidR="006D117F" w:rsidRPr="005A0DE8" w:rsidP="00A178BD" w14:paraId="74FE03FA" w14:textId="77777777">
            <w:pPr>
              <w:contextualSpacing/>
              <w:jc w:val="right"/>
              <w:rPr>
                <w:sz w:val="20"/>
                <w:szCs w:val="20"/>
              </w:rPr>
            </w:pPr>
            <w:r w:rsidRPr="005A0DE8">
              <w:rPr>
                <w:sz w:val="20"/>
                <w:szCs w:val="20"/>
              </w:rPr>
              <w:t>1.03</w:t>
            </w:r>
          </w:p>
        </w:tc>
        <w:tc>
          <w:tcPr>
            <w:tcW w:w="1170" w:type="dxa"/>
            <w:shd w:val="clear" w:color="auto" w:fill="auto"/>
          </w:tcPr>
          <w:p w:rsidR="006D117F" w:rsidRPr="005A0DE8" w:rsidP="00A178BD" w14:paraId="4FEB9058" w14:textId="77777777">
            <w:pPr>
              <w:contextualSpacing/>
              <w:jc w:val="right"/>
              <w:rPr>
                <w:sz w:val="20"/>
                <w:szCs w:val="20"/>
              </w:rPr>
            </w:pPr>
            <w:r w:rsidRPr="005A0DE8">
              <w:rPr>
                <w:sz w:val="20"/>
                <w:szCs w:val="20"/>
              </w:rPr>
              <w:t>25,750</w:t>
            </w:r>
          </w:p>
        </w:tc>
        <w:tc>
          <w:tcPr>
            <w:tcW w:w="1350" w:type="dxa"/>
            <w:shd w:val="clear" w:color="auto" w:fill="auto"/>
          </w:tcPr>
          <w:p w:rsidR="006D117F" w:rsidRPr="005A0DE8" w:rsidP="00A178BD" w14:paraId="1B0D69FF"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6CA80FEF" w14:textId="77777777">
            <w:pPr>
              <w:contextualSpacing/>
              <w:jc w:val="right"/>
              <w:rPr>
                <w:sz w:val="20"/>
                <w:szCs w:val="20"/>
              </w:rPr>
            </w:pPr>
            <w:r w:rsidRPr="005A0DE8">
              <w:rPr>
                <w:sz w:val="20"/>
                <w:szCs w:val="20"/>
              </w:rPr>
              <w:t>25,750</w:t>
            </w:r>
          </w:p>
        </w:tc>
      </w:tr>
      <w:tr w14:paraId="5BA45D97" w14:textId="77777777" w:rsidTr="00D23314">
        <w:tblPrEx>
          <w:tblW w:w="9450" w:type="dxa"/>
          <w:tblInd w:w="90" w:type="dxa"/>
          <w:tblLayout w:type="fixed"/>
          <w:tblLook w:val="0020"/>
        </w:tblPrEx>
        <w:tc>
          <w:tcPr>
            <w:tcW w:w="3150" w:type="dxa"/>
            <w:shd w:val="clear" w:color="auto" w:fill="auto"/>
          </w:tcPr>
          <w:p w:rsidR="006D117F" w:rsidRPr="005A0DE8" w:rsidP="00A178BD" w14:paraId="4D9A6084" w14:textId="77777777">
            <w:pPr>
              <w:contextualSpacing/>
              <w:rPr>
                <w:sz w:val="20"/>
                <w:szCs w:val="20"/>
              </w:rPr>
            </w:pPr>
            <w:r w:rsidRPr="005A0DE8">
              <w:rPr>
                <w:sz w:val="20"/>
                <w:szCs w:val="20"/>
              </w:rPr>
              <w:t>101.5; requirement to specify the name and place of business of the manufacturer, packer, or distributor and, if the food producer is not the manufacturer of the food product, its connection with the food product</w:t>
            </w:r>
          </w:p>
        </w:tc>
        <w:tc>
          <w:tcPr>
            <w:tcW w:w="1350" w:type="dxa"/>
            <w:shd w:val="clear" w:color="auto" w:fill="auto"/>
          </w:tcPr>
          <w:p w:rsidR="006D117F" w:rsidRPr="005A0DE8" w:rsidP="00A178BD" w14:paraId="36758145" w14:textId="77777777">
            <w:pPr>
              <w:contextualSpacing/>
              <w:jc w:val="right"/>
              <w:rPr>
                <w:sz w:val="20"/>
                <w:szCs w:val="20"/>
              </w:rPr>
            </w:pPr>
            <w:r w:rsidRPr="005A0DE8">
              <w:rPr>
                <w:sz w:val="20"/>
                <w:szCs w:val="20"/>
              </w:rPr>
              <w:t>25,000</w:t>
            </w:r>
          </w:p>
        </w:tc>
        <w:tc>
          <w:tcPr>
            <w:tcW w:w="1350" w:type="dxa"/>
            <w:shd w:val="clear" w:color="auto" w:fill="auto"/>
          </w:tcPr>
          <w:p w:rsidR="006D117F" w:rsidRPr="005A0DE8" w:rsidP="00A178BD" w14:paraId="54ECFB52" w14:textId="77777777">
            <w:pPr>
              <w:contextualSpacing/>
              <w:jc w:val="right"/>
              <w:rPr>
                <w:sz w:val="20"/>
                <w:szCs w:val="20"/>
              </w:rPr>
            </w:pPr>
            <w:r w:rsidRPr="005A0DE8">
              <w:rPr>
                <w:sz w:val="20"/>
                <w:szCs w:val="20"/>
              </w:rPr>
              <w:t>1.03</w:t>
            </w:r>
          </w:p>
        </w:tc>
        <w:tc>
          <w:tcPr>
            <w:tcW w:w="1170" w:type="dxa"/>
            <w:shd w:val="clear" w:color="auto" w:fill="auto"/>
          </w:tcPr>
          <w:p w:rsidR="006D117F" w:rsidRPr="005A0DE8" w:rsidP="00A178BD" w14:paraId="22726F07" w14:textId="77777777">
            <w:pPr>
              <w:contextualSpacing/>
              <w:jc w:val="right"/>
              <w:rPr>
                <w:sz w:val="20"/>
                <w:szCs w:val="20"/>
              </w:rPr>
            </w:pPr>
            <w:r w:rsidRPr="005A0DE8">
              <w:rPr>
                <w:sz w:val="20"/>
                <w:szCs w:val="20"/>
              </w:rPr>
              <w:t>25,750</w:t>
            </w:r>
          </w:p>
        </w:tc>
        <w:tc>
          <w:tcPr>
            <w:tcW w:w="1350" w:type="dxa"/>
            <w:shd w:val="clear" w:color="auto" w:fill="auto"/>
          </w:tcPr>
          <w:p w:rsidR="006D117F" w:rsidRPr="005A0DE8" w:rsidP="00A178BD" w14:paraId="1B1A2B26" w14:textId="77777777">
            <w:pPr>
              <w:contextualSpacing/>
              <w:jc w:val="right"/>
              <w:rPr>
                <w:sz w:val="20"/>
                <w:szCs w:val="20"/>
              </w:rPr>
            </w:pPr>
            <w:r w:rsidRPr="005A0DE8">
              <w:rPr>
                <w:sz w:val="20"/>
                <w:szCs w:val="20"/>
              </w:rPr>
              <w:t>0.25</w:t>
            </w:r>
          </w:p>
        </w:tc>
        <w:tc>
          <w:tcPr>
            <w:tcW w:w="1080" w:type="dxa"/>
            <w:shd w:val="clear" w:color="auto" w:fill="auto"/>
          </w:tcPr>
          <w:p w:rsidR="006D117F" w:rsidRPr="005A0DE8" w:rsidP="00A178BD" w14:paraId="55F60ED8" w14:textId="77777777">
            <w:pPr>
              <w:contextualSpacing/>
              <w:jc w:val="right"/>
              <w:rPr>
                <w:sz w:val="20"/>
                <w:szCs w:val="20"/>
              </w:rPr>
            </w:pPr>
            <w:r w:rsidRPr="005A0DE8">
              <w:rPr>
                <w:sz w:val="20"/>
                <w:szCs w:val="20"/>
              </w:rPr>
              <w:t>6,438</w:t>
            </w:r>
          </w:p>
        </w:tc>
      </w:tr>
      <w:tr w14:paraId="3192C733" w14:textId="77777777" w:rsidTr="00D23314">
        <w:tblPrEx>
          <w:tblW w:w="9450" w:type="dxa"/>
          <w:tblInd w:w="90" w:type="dxa"/>
          <w:tblLayout w:type="fixed"/>
          <w:tblLook w:val="0020"/>
        </w:tblPrEx>
        <w:tc>
          <w:tcPr>
            <w:tcW w:w="3150" w:type="dxa"/>
            <w:shd w:val="clear" w:color="auto" w:fill="auto"/>
          </w:tcPr>
          <w:p w:rsidR="006D117F" w:rsidRPr="005A0DE8" w:rsidP="00A178BD" w14:paraId="4BA763FD" w14:textId="77777777">
            <w:pPr>
              <w:contextualSpacing/>
              <w:rPr>
                <w:sz w:val="20"/>
                <w:szCs w:val="20"/>
              </w:rPr>
            </w:pPr>
            <w:r w:rsidRPr="005A0DE8">
              <w:rPr>
                <w:sz w:val="20"/>
                <w:szCs w:val="20"/>
              </w:rPr>
              <w:t>101.9, 101.13(n), 101.14(d)(3), 101.62, and part 104; labeling requirements for disclosure of nutrition information</w:t>
            </w:r>
          </w:p>
        </w:tc>
        <w:tc>
          <w:tcPr>
            <w:tcW w:w="1350" w:type="dxa"/>
            <w:shd w:val="clear" w:color="auto" w:fill="auto"/>
          </w:tcPr>
          <w:p w:rsidR="006D117F" w:rsidRPr="005A0DE8" w:rsidP="00A178BD" w14:paraId="6FB3BD98" w14:textId="77777777">
            <w:pPr>
              <w:contextualSpacing/>
              <w:jc w:val="right"/>
              <w:rPr>
                <w:sz w:val="20"/>
                <w:szCs w:val="20"/>
              </w:rPr>
            </w:pPr>
            <w:r w:rsidRPr="005A0DE8">
              <w:rPr>
                <w:sz w:val="20"/>
                <w:szCs w:val="20"/>
              </w:rPr>
              <w:t>25,000</w:t>
            </w:r>
          </w:p>
        </w:tc>
        <w:tc>
          <w:tcPr>
            <w:tcW w:w="1350" w:type="dxa"/>
            <w:shd w:val="clear" w:color="auto" w:fill="auto"/>
          </w:tcPr>
          <w:p w:rsidR="006D117F" w:rsidRPr="005A0DE8" w:rsidP="00A178BD" w14:paraId="5D7D6482" w14:textId="77777777">
            <w:pPr>
              <w:contextualSpacing/>
              <w:jc w:val="right"/>
              <w:rPr>
                <w:sz w:val="20"/>
                <w:szCs w:val="20"/>
              </w:rPr>
            </w:pPr>
            <w:r w:rsidRPr="005A0DE8">
              <w:rPr>
                <w:sz w:val="20"/>
                <w:szCs w:val="20"/>
              </w:rPr>
              <w:t>1.03</w:t>
            </w:r>
          </w:p>
        </w:tc>
        <w:tc>
          <w:tcPr>
            <w:tcW w:w="1170" w:type="dxa"/>
            <w:shd w:val="clear" w:color="auto" w:fill="auto"/>
          </w:tcPr>
          <w:p w:rsidR="006D117F" w:rsidRPr="005A0DE8" w:rsidP="00A178BD" w14:paraId="2E85A578" w14:textId="77777777">
            <w:pPr>
              <w:contextualSpacing/>
              <w:jc w:val="right"/>
              <w:rPr>
                <w:sz w:val="20"/>
                <w:szCs w:val="20"/>
              </w:rPr>
            </w:pPr>
            <w:r w:rsidRPr="005A0DE8">
              <w:rPr>
                <w:sz w:val="20"/>
                <w:szCs w:val="20"/>
              </w:rPr>
              <w:t>25,750</w:t>
            </w:r>
          </w:p>
        </w:tc>
        <w:tc>
          <w:tcPr>
            <w:tcW w:w="1350" w:type="dxa"/>
            <w:shd w:val="clear" w:color="auto" w:fill="auto"/>
          </w:tcPr>
          <w:p w:rsidR="006D117F" w:rsidRPr="005A0DE8" w:rsidP="00A178BD" w14:paraId="5829C90E" w14:textId="77777777">
            <w:pPr>
              <w:contextualSpacing/>
              <w:jc w:val="right"/>
              <w:rPr>
                <w:sz w:val="20"/>
                <w:szCs w:val="20"/>
              </w:rPr>
            </w:pPr>
            <w:r w:rsidRPr="005A0DE8">
              <w:rPr>
                <w:sz w:val="20"/>
                <w:szCs w:val="20"/>
              </w:rPr>
              <w:t>4</w:t>
            </w:r>
          </w:p>
        </w:tc>
        <w:tc>
          <w:tcPr>
            <w:tcW w:w="1080" w:type="dxa"/>
            <w:shd w:val="clear" w:color="auto" w:fill="auto"/>
          </w:tcPr>
          <w:p w:rsidR="006D117F" w:rsidRPr="005A0DE8" w:rsidP="00A178BD" w14:paraId="5612FD78" w14:textId="77777777">
            <w:pPr>
              <w:contextualSpacing/>
              <w:jc w:val="right"/>
              <w:rPr>
                <w:sz w:val="20"/>
                <w:szCs w:val="20"/>
              </w:rPr>
            </w:pPr>
            <w:r w:rsidRPr="005A0DE8">
              <w:rPr>
                <w:sz w:val="20"/>
                <w:szCs w:val="20"/>
              </w:rPr>
              <w:t>103,000</w:t>
            </w:r>
          </w:p>
        </w:tc>
      </w:tr>
      <w:tr w14:paraId="00681585" w14:textId="77777777" w:rsidTr="00D23314">
        <w:tblPrEx>
          <w:tblW w:w="9450" w:type="dxa"/>
          <w:tblInd w:w="90" w:type="dxa"/>
          <w:tblLayout w:type="fixed"/>
          <w:tblLook w:val="0020"/>
        </w:tblPrEx>
        <w:tc>
          <w:tcPr>
            <w:tcW w:w="3150" w:type="dxa"/>
            <w:shd w:val="clear" w:color="auto" w:fill="auto"/>
          </w:tcPr>
          <w:p w:rsidR="006D117F" w:rsidRPr="005A0DE8" w:rsidP="00A178BD" w14:paraId="66F0CADD" w14:textId="77777777">
            <w:pPr>
              <w:contextualSpacing/>
              <w:rPr>
                <w:sz w:val="20"/>
                <w:szCs w:val="20"/>
              </w:rPr>
            </w:pPr>
            <w:r w:rsidRPr="005A0DE8">
              <w:rPr>
                <w:sz w:val="20"/>
                <w:szCs w:val="20"/>
              </w:rPr>
              <w:t>101.9(g)(9) and 101.36(f)(2); alternative means of compliance permitted</w:t>
            </w:r>
          </w:p>
        </w:tc>
        <w:tc>
          <w:tcPr>
            <w:tcW w:w="1350" w:type="dxa"/>
            <w:shd w:val="clear" w:color="auto" w:fill="auto"/>
          </w:tcPr>
          <w:p w:rsidR="006D117F" w:rsidRPr="005A0DE8" w:rsidP="00A178BD" w14:paraId="3EA36A3C" w14:textId="77777777">
            <w:pPr>
              <w:contextualSpacing/>
              <w:jc w:val="right"/>
              <w:rPr>
                <w:sz w:val="20"/>
                <w:szCs w:val="20"/>
              </w:rPr>
            </w:pPr>
            <w:r w:rsidRPr="005A0DE8">
              <w:rPr>
                <w:sz w:val="20"/>
                <w:szCs w:val="20"/>
              </w:rPr>
              <w:t>12</w:t>
            </w:r>
          </w:p>
        </w:tc>
        <w:tc>
          <w:tcPr>
            <w:tcW w:w="1350" w:type="dxa"/>
            <w:shd w:val="clear" w:color="auto" w:fill="auto"/>
          </w:tcPr>
          <w:p w:rsidR="006D117F" w:rsidRPr="005A0DE8" w:rsidP="00A178BD" w14:paraId="1E2F537F"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18A2DE7E" w14:textId="77777777">
            <w:pPr>
              <w:contextualSpacing/>
              <w:jc w:val="right"/>
              <w:rPr>
                <w:sz w:val="20"/>
                <w:szCs w:val="20"/>
              </w:rPr>
            </w:pPr>
            <w:r w:rsidRPr="005A0DE8">
              <w:rPr>
                <w:sz w:val="20"/>
                <w:szCs w:val="20"/>
              </w:rPr>
              <w:t>12</w:t>
            </w:r>
          </w:p>
        </w:tc>
        <w:tc>
          <w:tcPr>
            <w:tcW w:w="1350" w:type="dxa"/>
            <w:shd w:val="clear" w:color="auto" w:fill="auto"/>
          </w:tcPr>
          <w:p w:rsidR="006D117F" w:rsidRPr="005A0DE8" w:rsidP="00A178BD" w14:paraId="3B3E59D2" w14:textId="77777777">
            <w:pPr>
              <w:contextualSpacing/>
              <w:jc w:val="right"/>
              <w:rPr>
                <w:sz w:val="20"/>
                <w:szCs w:val="20"/>
              </w:rPr>
            </w:pPr>
            <w:r w:rsidRPr="005A0DE8">
              <w:rPr>
                <w:sz w:val="20"/>
                <w:szCs w:val="20"/>
              </w:rPr>
              <w:t>4</w:t>
            </w:r>
          </w:p>
        </w:tc>
        <w:tc>
          <w:tcPr>
            <w:tcW w:w="1080" w:type="dxa"/>
            <w:shd w:val="clear" w:color="auto" w:fill="auto"/>
          </w:tcPr>
          <w:p w:rsidR="006D117F" w:rsidRPr="005A0DE8" w:rsidP="00A178BD" w14:paraId="6208A328" w14:textId="77777777">
            <w:pPr>
              <w:contextualSpacing/>
              <w:jc w:val="right"/>
              <w:rPr>
                <w:sz w:val="20"/>
                <w:szCs w:val="20"/>
              </w:rPr>
            </w:pPr>
            <w:r w:rsidRPr="005A0DE8">
              <w:rPr>
                <w:sz w:val="20"/>
                <w:szCs w:val="20"/>
              </w:rPr>
              <w:t>48</w:t>
            </w:r>
          </w:p>
        </w:tc>
      </w:tr>
      <w:tr w14:paraId="695EABBD" w14:textId="77777777" w:rsidTr="00D23314">
        <w:tblPrEx>
          <w:tblW w:w="9450" w:type="dxa"/>
          <w:tblInd w:w="90" w:type="dxa"/>
          <w:tblLayout w:type="fixed"/>
          <w:tblLook w:val="0020"/>
        </w:tblPrEx>
        <w:tc>
          <w:tcPr>
            <w:tcW w:w="3150" w:type="dxa"/>
            <w:shd w:val="clear" w:color="auto" w:fill="auto"/>
          </w:tcPr>
          <w:p w:rsidR="006D117F" w:rsidRPr="005A0DE8" w:rsidP="00A178BD" w14:paraId="340E3694" w14:textId="77777777">
            <w:pPr>
              <w:contextualSpacing/>
              <w:rPr>
                <w:sz w:val="20"/>
                <w:szCs w:val="20"/>
              </w:rPr>
            </w:pPr>
            <w:r w:rsidRPr="005A0DE8">
              <w:rPr>
                <w:sz w:val="20"/>
                <w:szCs w:val="20"/>
              </w:rPr>
              <w:t>101.10; requirements for nutrition labeling of restaurant foods</w:t>
            </w:r>
          </w:p>
        </w:tc>
        <w:tc>
          <w:tcPr>
            <w:tcW w:w="1350" w:type="dxa"/>
            <w:shd w:val="clear" w:color="auto" w:fill="auto"/>
          </w:tcPr>
          <w:p w:rsidR="006D117F" w:rsidRPr="005A0DE8" w:rsidP="00A178BD" w14:paraId="2050AC80" w14:textId="77777777">
            <w:pPr>
              <w:contextualSpacing/>
              <w:jc w:val="right"/>
              <w:rPr>
                <w:sz w:val="20"/>
                <w:szCs w:val="20"/>
              </w:rPr>
            </w:pPr>
            <w:r w:rsidRPr="005A0DE8">
              <w:rPr>
                <w:sz w:val="20"/>
                <w:szCs w:val="20"/>
              </w:rPr>
              <w:t>300,000</w:t>
            </w:r>
          </w:p>
        </w:tc>
        <w:tc>
          <w:tcPr>
            <w:tcW w:w="1350" w:type="dxa"/>
            <w:shd w:val="clear" w:color="auto" w:fill="auto"/>
          </w:tcPr>
          <w:p w:rsidR="006D117F" w:rsidRPr="005A0DE8" w:rsidP="00A178BD" w14:paraId="51F67F78" w14:textId="77777777">
            <w:pPr>
              <w:contextualSpacing/>
              <w:jc w:val="right"/>
              <w:rPr>
                <w:sz w:val="20"/>
                <w:szCs w:val="20"/>
              </w:rPr>
            </w:pPr>
            <w:r w:rsidRPr="005A0DE8">
              <w:rPr>
                <w:sz w:val="20"/>
                <w:szCs w:val="20"/>
              </w:rPr>
              <w:t>1.5</w:t>
            </w:r>
          </w:p>
        </w:tc>
        <w:tc>
          <w:tcPr>
            <w:tcW w:w="1170" w:type="dxa"/>
            <w:shd w:val="clear" w:color="auto" w:fill="auto"/>
          </w:tcPr>
          <w:p w:rsidR="006D117F" w:rsidRPr="005A0DE8" w:rsidP="00A178BD" w14:paraId="7884F7AE" w14:textId="77777777">
            <w:pPr>
              <w:contextualSpacing/>
              <w:jc w:val="right"/>
              <w:rPr>
                <w:sz w:val="20"/>
                <w:szCs w:val="20"/>
              </w:rPr>
            </w:pPr>
            <w:r w:rsidRPr="005A0DE8">
              <w:rPr>
                <w:sz w:val="20"/>
                <w:szCs w:val="20"/>
              </w:rPr>
              <w:t>450,000</w:t>
            </w:r>
          </w:p>
        </w:tc>
        <w:tc>
          <w:tcPr>
            <w:tcW w:w="1350" w:type="dxa"/>
            <w:shd w:val="clear" w:color="auto" w:fill="auto"/>
          </w:tcPr>
          <w:p w:rsidR="006D117F" w:rsidRPr="005A0DE8" w:rsidP="00A178BD" w14:paraId="201ECD4B" w14:textId="77777777">
            <w:pPr>
              <w:contextualSpacing/>
              <w:jc w:val="right"/>
              <w:rPr>
                <w:sz w:val="20"/>
                <w:szCs w:val="20"/>
              </w:rPr>
            </w:pPr>
            <w:r w:rsidRPr="005A0DE8">
              <w:rPr>
                <w:sz w:val="20"/>
                <w:szCs w:val="20"/>
              </w:rPr>
              <w:t>0.25</w:t>
            </w:r>
          </w:p>
        </w:tc>
        <w:tc>
          <w:tcPr>
            <w:tcW w:w="1080" w:type="dxa"/>
            <w:shd w:val="clear" w:color="auto" w:fill="auto"/>
          </w:tcPr>
          <w:p w:rsidR="006D117F" w:rsidRPr="005A0DE8" w:rsidP="00A178BD" w14:paraId="58B66C1E" w14:textId="77777777">
            <w:pPr>
              <w:contextualSpacing/>
              <w:jc w:val="right"/>
              <w:rPr>
                <w:sz w:val="20"/>
                <w:szCs w:val="20"/>
              </w:rPr>
            </w:pPr>
            <w:r w:rsidRPr="005A0DE8">
              <w:rPr>
                <w:sz w:val="20"/>
                <w:szCs w:val="20"/>
              </w:rPr>
              <w:t>112,500</w:t>
            </w:r>
          </w:p>
        </w:tc>
      </w:tr>
      <w:tr w14:paraId="55E5134D" w14:textId="77777777" w:rsidTr="00D23314">
        <w:tblPrEx>
          <w:tblW w:w="9450" w:type="dxa"/>
          <w:tblInd w:w="90" w:type="dxa"/>
          <w:tblLayout w:type="fixed"/>
          <w:tblLook w:val="0020"/>
        </w:tblPrEx>
        <w:tc>
          <w:tcPr>
            <w:tcW w:w="3150" w:type="dxa"/>
            <w:shd w:val="clear" w:color="auto" w:fill="auto"/>
          </w:tcPr>
          <w:p w:rsidR="006D117F" w:rsidRPr="005A0DE8" w:rsidP="00A178BD" w14:paraId="6FEF60A0" w14:textId="77777777">
            <w:pPr>
              <w:autoSpaceDE w:val="0"/>
              <w:autoSpaceDN w:val="0"/>
              <w:adjustRightInd w:val="0"/>
              <w:contextualSpacing/>
              <w:rPr>
                <w:sz w:val="20"/>
                <w:szCs w:val="20"/>
              </w:rPr>
            </w:pPr>
            <w:r w:rsidRPr="005A0DE8">
              <w:rPr>
                <w:sz w:val="20"/>
                <w:szCs w:val="20"/>
              </w:rPr>
              <w:t xml:space="preserve">101.12(b); RACC for baking powder, baking soda, and pectin </w:t>
            </w:r>
          </w:p>
        </w:tc>
        <w:tc>
          <w:tcPr>
            <w:tcW w:w="1350" w:type="dxa"/>
            <w:shd w:val="clear" w:color="auto" w:fill="auto"/>
          </w:tcPr>
          <w:p w:rsidR="006D117F" w:rsidRPr="005A0DE8" w:rsidP="00A178BD" w14:paraId="4D5ADAB4" w14:textId="77777777">
            <w:pPr>
              <w:contextualSpacing/>
              <w:jc w:val="right"/>
              <w:rPr>
                <w:sz w:val="20"/>
                <w:szCs w:val="20"/>
              </w:rPr>
            </w:pPr>
            <w:r w:rsidRPr="005A0DE8">
              <w:rPr>
                <w:sz w:val="20"/>
                <w:szCs w:val="20"/>
              </w:rPr>
              <w:t>29</w:t>
            </w:r>
          </w:p>
        </w:tc>
        <w:tc>
          <w:tcPr>
            <w:tcW w:w="1350" w:type="dxa"/>
            <w:shd w:val="clear" w:color="auto" w:fill="auto"/>
          </w:tcPr>
          <w:p w:rsidR="006D117F" w:rsidRPr="005A0DE8" w:rsidP="00A178BD" w14:paraId="3184F98B" w14:textId="77777777">
            <w:pPr>
              <w:contextualSpacing/>
              <w:jc w:val="right"/>
              <w:rPr>
                <w:sz w:val="20"/>
                <w:szCs w:val="20"/>
              </w:rPr>
            </w:pPr>
            <w:r w:rsidRPr="005A0DE8">
              <w:rPr>
                <w:sz w:val="20"/>
                <w:szCs w:val="20"/>
              </w:rPr>
              <w:t>2.3</w:t>
            </w:r>
          </w:p>
        </w:tc>
        <w:tc>
          <w:tcPr>
            <w:tcW w:w="1170" w:type="dxa"/>
            <w:shd w:val="clear" w:color="auto" w:fill="auto"/>
          </w:tcPr>
          <w:p w:rsidR="006D117F" w:rsidRPr="005A0DE8" w:rsidP="00A178BD" w14:paraId="55660E47" w14:textId="77777777">
            <w:pPr>
              <w:contextualSpacing/>
              <w:jc w:val="right"/>
              <w:rPr>
                <w:sz w:val="20"/>
                <w:szCs w:val="20"/>
              </w:rPr>
            </w:pPr>
            <w:r w:rsidRPr="005A0DE8">
              <w:rPr>
                <w:sz w:val="20"/>
                <w:szCs w:val="20"/>
              </w:rPr>
              <w:t>67</w:t>
            </w:r>
          </w:p>
        </w:tc>
        <w:tc>
          <w:tcPr>
            <w:tcW w:w="1350" w:type="dxa"/>
            <w:shd w:val="clear" w:color="auto" w:fill="auto"/>
          </w:tcPr>
          <w:p w:rsidR="006D117F" w:rsidRPr="005A0DE8" w:rsidP="00A178BD" w14:paraId="473EB041"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4AFC8E1F" w14:textId="77777777">
            <w:pPr>
              <w:contextualSpacing/>
              <w:jc w:val="right"/>
              <w:rPr>
                <w:sz w:val="20"/>
                <w:szCs w:val="20"/>
              </w:rPr>
            </w:pPr>
            <w:r w:rsidRPr="005A0DE8">
              <w:rPr>
                <w:sz w:val="20"/>
                <w:szCs w:val="20"/>
              </w:rPr>
              <w:t>67</w:t>
            </w:r>
          </w:p>
        </w:tc>
      </w:tr>
      <w:tr w14:paraId="44CB7820" w14:textId="77777777" w:rsidTr="00D23314">
        <w:tblPrEx>
          <w:tblW w:w="9450" w:type="dxa"/>
          <w:tblInd w:w="90" w:type="dxa"/>
          <w:tblLayout w:type="fixed"/>
          <w:tblLook w:val="0020"/>
        </w:tblPrEx>
        <w:tc>
          <w:tcPr>
            <w:tcW w:w="3150" w:type="dxa"/>
            <w:shd w:val="clear" w:color="auto" w:fill="auto"/>
          </w:tcPr>
          <w:p w:rsidR="006D117F" w:rsidRPr="005A0DE8" w:rsidP="00A178BD" w14:paraId="50225B38" w14:textId="77777777">
            <w:pPr>
              <w:contextualSpacing/>
              <w:rPr>
                <w:sz w:val="20"/>
                <w:szCs w:val="20"/>
              </w:rPr>
            </w:pPr>
            <w:r w:rsidRPr="005A0DE8">
              <w:rPr>
                <w:sz w:val="20"/>
                <w:szCs w:val="20"/>
              </w:rPr>
              <w:t>101.12(e); adjustment to the RACC of an aerated food permitted</w:t>
            </w:r>
          </w:p>
        </w:tc>
        <w:tc>
          <w:tcPr>
            <w:tcW w:w="1350" w:type="dxa"/>
            <w:shd w:val="clear" w:color="auto" w:fill="auto"/>
          </w:tcPr>
          <w:p w:rsidR="006D117F" w:rsidRPr="005A0DE8" w:rsidP="00A178BD" w14:paraId="511262E9" w14:textId="77777777">
            <w:pPr>
              <w:contextualSpacing/>
              <w:jc w:val="right"/>
              <w:rPr>
                <w:sz w:val="20"/>
                <w:szCs w:val="20"/>
              </w:rPr>
            </w:pPr>
            <w:r w:rsidRPr="005A0DE8">
              <w:rPr>
                <w:sz w:val="20"/>
                <w:szCs w:val="20"/>
              </w:rPr>
              <w:t>25</w:t>
            </w:r>
          </w:p>
        </w:tc>
        <w:tc>
          <w:tcPr>
            <w:tcW w:w="1350" w:type="dxa"/>
            <w:shd w:val="clear" w:color="auto" w:fill="auto"/>
          </w:tcPr>
          <w:p w:rsidR="006D117F" w:rsidRPr="005A0DE8" w:rsidP="00A178BD" w14:paraId="4969703E"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6D03CE11" w14:textId="77777777">
            <w:pPr>
              <w:contextualSpacing/>
              <w:jc w:val="right"/>
              <w:rPr>
                <w:sz w:val="20"/>
                <w:szCs w:val="20"/>
              </w:rPr>
            </w:pPr>
            <w:r w:rsidRPr="005A0DE8">
              <w:rPr>
                <w:sz w:val="20"/>
                <w:szCs w:val="20"/>
              </w:rPr>
              <w:t>25</w:t>
            </w:r>
          </w:p>
        </w:tc>
        <w:tc>
          <w:tcPr>
            <w:tcW w:w="1350" w:type="dxa"/>
            <w:shd w:val="clear" w:color="auto" w:fill="auto"/>
          </w:tcPr>
          <w:p w:rsidR="006D117F" w:rsidRPr="005A0DE8" w:rsidP="00A178BD" w14:paraId="46055052"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54E7343A" w14:textId="77777777">
            <w:pPr>
              <w:contextualSpacing/>
              <w:jc w:val="right"/>
              <w:rPr>
                <w:sz w:val="20"/>
                <w:szCs w:val="20"/>
              </w:rPr>
            </w:pPr>
            <w:r w:rsidRPr="005A0DE8">
              <w:rPr>
                <w:sz w:val="20"/>
                <w:szCs w:val="20"/>
              </w:rPr>
              <w:t>25</w:t>
            </w:r>
          </w:p>
        </w:tc>
      </w:tr>
      <w:tr w14:paraId="1BE522EF" w14:textId="77777777" w:rsidTr="00D23314">
        <w:tblPrEx>
          <w:tblW w:w="9450" w:type="dxa"/>
          <w:tblInd w:w="90" w:type="dxa"/>
          <w:tblLayout w:type="fixed"/>
          <w:tblLook w:val="0020"/>
        </w:tblPrEx>
        <w:tc>
          <w:tcPr>
            <w:tcW w:w="3150" w:type="dxa"/>
            <w:shd w:val="clear" w:color="auto" w:fill="auto"/>
          </w:tcPr>
          <w:p w:rsidR="006D117F" w:rsidRPr="005A0DE8" w:rsidP="00A178BD" w14:paraId="4CCC4269" w14:textId="77777777">
            <w:pPr>
              <w:contextualSpacing/>
              <w:rPr>
                <w:sz w:val="20"/>
                <w:szCs w:val="20"/>
              </w:rPr>
            </w:pPr>
            <w:r w:rsidRPr="005A0DE8">
              <w:rPr>
                <w:sz w:val="20"/>
                <w:szCs w:val="20"/>
              </w:rPr>
              <w:t>101.12(g); requirement to disclose the serving size that is the basis for a claim made for the product if the serving size on which the claim is based differs from the RACC</w:t>
            </w:r>
          </w:p>
        </w:tc>
        <w:tc>
          <w:tcPr>
            <w:tcW w:w="1350" w:type="dxa"/>
            <w:shd w:val="clear" w:color="auto" w:fill="auto"/>
          </w:tcPr>
          <w:p w:rsidR="006D117F" w:rsidRPr="005A0DE8" w:rsidP="00A178BD" w14:paraId="531C875E" w14:textId="77777777">
            <w:pPr>
              <w:contextualSpacing/>
              <w:jc w:val="right"/>
              <w:rPr>
                <w:sz w:val="20"/>
                <w:szCs w:val="20"/>
              </w:rPr>
            </w:pPr>
            <w:r w:rsidRPr="005A0DE8">
              <w:rPr>
                <w:sz w:val="20"/>
                <w:szCs w:val="20"/>
              </w:rPr>
              <w:t>5,000</w:t>
            </w:r>
          </w:p>
        </w:tc>
        <w:tc>
          <w:tcPr>
            <w:tcW w:w="1350" w:type="dxa"/>
            <w:shd w:val="clear" w:color="auto" w:fill="auto"/>
          </w:tcPr>
          <w:p w:rsidR="006D117F" w:rsidRPr="005A0DE8" w:rsidP="00A178BD" w14:paraId="0881F718"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7CF1144E" w14:textId="77777777">
            <w:pPr>
              <w:contextualSpacing/>
              <w:jc w:val="right"/>
              <w:rPr>
                <w:sz w:val="20"/>
                <w:szCs w:val="20"/>
              </w:rPr>
            </w:pPr>
            <w:r w:rsidRPr="005A0DE8">
              <w:rPr>
                <w:sz w:val="20"/>
                <w:szCs w:val="20"/>
              </w:rPr>
              <w:t>5,000</w:t>
            </w:r>
          </w:p>
        </w:tc>
        <w:tc>
          <w:tcPr>
            <w:tcW w:w="1350" w:type="dxa"/>
            <w:shd w:val="clear" w:color="auto" w:fill="auto"/>
          </w:tcPr>
          <w:p w:rsidR="006D117F" w:rsidRPr="005A0DE8" w:rsidP="00A178BD" w14:paraId="47A4E434"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1BD38013" w14:textId="77777777">
            <w:pPr>
              <w:contextualSpacing/>
              <w:jc w:val="right"/>
              <w:rPr>
                <w:sz w:val="20"/>
                <w:szCs w:val="20"/>
              </w:rPr>
            </w:pPr>
            <w:r w:rsidRPr="005A0DE8">
              <w:rPr>
                <w:sz w:val="20"/>
                <w:szCs w:val="20"/>
              </w:rPr>
              <w:t>5,000</w:t>
            </w:r>
          </w:p>
        </w:tc>
      </w:tr>
      <w:tr w14:paraId="4D7A7237"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079EFFC" w14:textId="77777777">
            <w:pPr>
              <w:contextualSpacing/>
              <w:rPr>
                <w:sz w:val="20"/>
                <w:szCs w:val="20"/>
              </w:rPr>
            </w:pPr>
            <w:r w:rsidRPr="005A0DE8">
              <w:rPr>
                <w:sz w:val="20"/>
                <w:szCs w:val="20"/>
              </w:rPr>
              <w:t xml:space="preserve">101.13(d)(1) and 101.67; requirements to disclose nutrition information for any food product for which a nutrient content claim is made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0F86320" w14:textId="77777777">
            <w:pPr>
              <w:contextualSpacing/>
              <w:jc w:val="right"/>
              <w:rPr>
                <w:sz w:val="20"/>
                <w:szCs w:val="20"/>
              </w:rPr>
            </w:pPr>
            <w:r w:rsidRPr="005A0DE8">
              <w:rPr>
                <w:sz w:val="20"/>
                <w:szCs w:val="2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3FF8E86"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E0BAAF5" w14:textId="77777777">
            <w:pPr>
              <w:contextualSpacing/>
              <w:jc w:val="right"/>
              <w:rPr>
                <w:sz w:val="20"/>
                <w:szCs w:val="20"/>
              </w:rPr>
            </w:pPr>
            <w:r w:rsidRPr="005A0DE8">
              <w:rPr>
                <w:sz w:val="20"/>
                <w:szCs w:val="2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10AA51A6"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10AFC35" w14:textId="77777777">
            <w:pPr>
              <w:contextualSpacing/>
              <w:jc w:val="right"/>
              <w:rPr>
                <w:sz w:val="20"/>
                <w:szCs w:val="20"/>
              </w:rPr>
            </w:pPr>
            <w:r w:rsidRPr="005A0DE8">
              <w:rPr>
                <w:sz w:val="20"/>
                <w:szCs w:val="20"/>
              </w:rPr>
              <w:t>200</w:t>
            </w:r>
          </w:p>
        </w:tc>
      </w:tr>
      <w:tr w14:paraId="55A5D479"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D7C96A6" w14:textId="77777777">
            <w:pPr>
              <w:contextualSpacing/>
              <w:rPr>
                <w:sz w:val="20"/>
                <w:szCs w:val="20"/>
              </w:rPr>
            </w:pPr>
            <w:r w:rsidRPr="005A0DE8">
              <w:rPr>
                <w:sz w:val="20"/>
                <w:szCs w:val="20"/>
              </w:rPr>
              <w:t>101.13(j)(2) and (k), 101.54, 101.56, 101.60, 101.61, and 101.62; additional disclosure required if the nutrient content claim compares the level of a nutrient in one food with the level of the same nutrient in another food.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FAC4302" w14:textId="77777777">
            <w:pPr>
              <w:contextualSpacing/>
              <w:jc w:val="right"/>
              <w:rPr>
                <w:sz w:val="20"/>
                <w:szCs w:val="20"/>
              </w:rPr>
            </w:pPr>
            <w:r w:rsidRPr="005A0DE8">
              <w:rPr>
                <w:sz w:val="20"/>
                <w:szCs w:val="20"/>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E93825C"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BFCED13" w14:textId="77777777">
            <w:pPr>
              <w:contextualSpacing/>
              <w:jc w:val="right"/>
              <w:rPr>
                <w:sz w:val="20"/>
                <w:szCs w:val="20"/>
              </w:rPr>
            </w:pPr>
            <w:r w:rsidRPr="005A0DE8">
              <w:rPr>
                <w:sz w:val="20"/>
                <w:szCs w:val="20"/>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11FA9E0"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6C4C426" w14:textId="77777777">
            <w:pPr>
              <w:contextualSpacing/>
              <w:jc w:val="right"/>
              <w:rPr>
                <w:sz w:val="20"/>
                <w:szCs w:val="20"/>
              </w:rPr>
            </w:pPr>
            <w:r w:rsidRPr="005A0DE8">
              <w:rPr>
                <w:sz w:val="20"/>
                <w:szCs w:val="20"/>
              </w:rPr>
              <w:t>5,000</w:t>
            </w:r>
          </w:p>
        </w:tc>
      </w:tr>
      <w:tr w14:paraId="49329990" w14:textId="77777777" w:rsidTr="00D23314">
        <w:tblPrEx>
          <w:tblW w:w="9450" w:type="dxa"/>
          <w:tblInd w:w="90" w:type="dxa"/>
          <w:tblLayout w:type="fixed"/>
          <w:tblLook w:val="0020"/>
        </w:tblPrEx>
        <w:tc>
          <w:tcPr>
            <w:tcW w:w="3150" w:type="dxa"/>
            <w:shd w:val="clear" w:color="auto" w:fill="auto"/>
          </w:tcPr>
          <w:p w:rsidR="006D117F" w:rsidRPr="005A0DE8" w:rsidP="00A178BD" w14:paraId="55D50AA9" w14:textId="77777777">
            <w:pPr>
              <w:contextualSpacing/>
              <w:rPr>
                <w:sz w:val="20"/>
                <w:szCs w:val="20"/>
              </w:rPr>
            </w:pPr>
            <w:r w:rsidRPr="005A0DE8">
              <w:rPr>
                <w:sz w:val="20"/>
                <w:szCs w:val="20"/>
              </w:rPr>
              <w:t>101.13(q)(5); requirement that restaurants disclose the basis for nutrient content claims made for their food</w:t>
            </w:r>
          </w:p>
        </w:tc>
        <w:tc>
          <w:tcPr>
            <w:tcW w:w="1350" w:type="dxa"/>
            <w:shd w:val="clear" w:color="auto" w:fill="auto"/>
          </w:tcPr>
          <w:p w:rsidR="006D117F" w:rsidRPr="005A0DE8" w:rsidP="00A178BD" w14:paraId="6906D407" w14:textId="77777777">
            <w:pPr>
              <w:contextualSpacing/>
              <w:jc w:val="right"/>
              <w:rPr>
                <w:sz w:val="20"/>
                <w:szCs w:val="20"/>
              </w:rPr>
            </w:pPr>
            <w:r w:rsidRPr="005A0DE8">
              <w:rPr>
                <w:sz w:val="20"/>
                <w:szCs w:val="20"/>
              </w:rPr>
              <w:t>300,000</w:t>
            </w:r>
          </w:p>
        </w:tc>
        <w:tc>
          <w:tcPr>
            <w:tcW w:w="1350" w:type="dxa"/>
            <w:shd w:val="clear" w:color="auto" w:fill="auto"/>
          </w:tcPr>
          <w:p w:rsidR="006D117F" w:rsidRPr="005A0DE8" w:rsidP="00A178BD" w14:paraId="4600FA31" w14:textId="77777777">
            <w:pPr>
              <w:contextualSpacing/>
              <w:jc w:val="right"/>
              <w:rPr>
                <w:sz w:val="20"/>
                <w:szCs w:val="20"/>
              </w:rPr>
            </w:pPr>
            <w:r w:rsidRPr="005A0DE8">
              <w:rPr>
                <w:sz w:val="20"/>
                <w:szCs w:val="20"/>
              </w:rPr>
              <w:t>1.5</w:t>
            </w:r>
          </w:p>
        </w:tc>
        <w:tc>
          <w:tcPr>
            <w:tcW w:w="1170" w:type="dxa"/>
            <w:shd w:val="clear" w:color="auto" w:fill="auto"/>
          </w:tcPr>
          <w:p w:rsidR="006D117F" w:rsidRPr="005A0DE8" w:rsidP="00A178BD" w14:paraId="2E8B07FD" w14:textId="77777777">
            <w:pPr>
              <w:contextualSpacing/>
              <w:jc w:val="right"/>
              <w:rPr>
                <w:sz w:val="20"/>
                <w:szCs w:val="20"/>
              </w:rPr>
            </w:pPr>
            <w:r w:rsidRPr="005A0DE8">
              <w:rPr>
                <w:sz w:val="20"/>
                <w:szCs w:val="20"/>
              </w:rPr>
              <w:t>450,000</w:t>
            </w:r>
          </w:p>
        </w:tc>
        <w:tc>
          <w:tcPr>
            <w:tcW w:w="1350" w:type="dxa"/>
            <w:shd w:val="clear" w:color="auto" w:fill="auto"/>
          </w:tcPr>
          <w:p w:rsidR="006D117F" w:rsidRPr="005A0DE8" w:rsidP="00A178BD" w14:paraId="26BE34C0" w14:textId="77777777">
            <w:pPr>
              <w:contextualSpacing/>
              <w:jc w:val="right"/>
              <w:rPr>
                <w:sz w:val="20"/>
                <w:szCs w:val="20"/>
              </w:rPr>
            </w:pPr>
            <w:r w:rsidRPr="005A0DE8">
              <w:rPr>
                <w:sz w:val="20"/>
                <w:szCs w:val="20"/>
              </w:rPr>
              <w:t>0.75</w:t>
            </w:r>
          </w:p>
        </w:tc>
        <w:tc>
          <w:tcPr>
            <w:tcW w:w="1080" w:type="dxa"/>
            <w:shd w:val="clear" w:color="auto" w:fill="auto"/>
          </w:tcPr>
          <w:p w:rsidR="006D117F" w:rsidRPr="005A0DE8" w:rsidP="00A178BD" w14:paraId="69FA7A4C" w14:textId="77777777">
            <w:pPr>
              <w:contextualSpacing/>
              <w:jc w:val="right"/>
              <w:rPr>
                <w:sz w:val="20"/>
                <w:szCs w:val="20"/>
              </w:rPr>
            </w:pPr>
            <w:r w:rsidRPr="005A0DE8">
              <w:rPr>
                <w:sz w:val="20"/>
                <w:szCs w:val="20"/>
              </w:rPr>
              <w:t>337,500</w:t>
            </w:r>
          </w:p>
        </w:tc>
      </w:tr>
      <w:tr w14:paraId="2F1E9F76" w14:textId="77777777" w:rsidTr="00D23314">
        <w:tblPrEx>
          <w:tblW w:w="9450" w:type="dxa"/>
          <w:tblInd w:w="90" w:type="dxa"/>
          <w:tblLayout w:type="fixed"/>
          <w:tblLook w:val="0020"/>
        </w:tblPrEx>
        <w:tc>
          <w:tcPr>
            <w:tcW w:w="3150" w:type="dxa"/>
            <w:shd w:val="clear" w:color="auto" w:fill="auto"/>
          </w:tcPr>
          <w:p w:rsidR="006D117F" w:rsidRPr="005A0DE8" w:rsidP="00A178BD" w14:paraId="353A0EFE" w14:textId="77777777">
            <w:pPr>
              <w:contextualSpacing/>
              <w:rPr>
                <w:sz w:val="20"/>
                <w:szCs w:val="20"/>
              </w:rPr>
            </w:pPr>
            <w:r w:rsidRPr="005A0DE8">
              <w:rPr>
                <w:sz w:val="20"/>
                <w:szCs w:val="20"/>
              </w:rPr>
              <w:t>101.14(d)(2); general requirements for disclosure of nutrition information related to health claims for food products</w:t>
            </w:r>
          </w:p>
        </w:tc>
        <w:tc>
          <w:tcPr>
            <w:tcW w:w="1350" w:type="dxa"/>
            <w:shd w:val="clear" w:color="auto" w:fill="auto"/>
          </w:tcPr>
          <w:p w:rsidR="006D117F" w:rsidRPr="005A0DE8" w:rsidP="00A178BD" w14:paraId="0F5DEC69" w14:textId="77777777">
            <w:pPr>
              <w:contextualSpacing/>
              <w:jc w:val="right"/>
              <w:rPr>
                <w:sz w:val="20"/>
                <w:szCs w:val="20"/>
              </w:rPr>
            </w:pPr>
            <w:r w:rsidRPr="005A0DE8">
              <w:rPr>
                <w:sz w:val="20"/>
                <w:szCs w:val="20"/>
              </w:rPr>
              <w:t>300,000</w:t>
            </w:r>
          </w:p>
        </w:tc>
        <w:tc>
          <w:tcPr>
            <w:tcW w:w="1350" w:type="dxa"/>
            <w:shd w:val="clear" w:color="auto" w:fill="auto"/>
          </w:tcPr>
          <w:p w:rsidR="006D117F" w:rsidRPr="005A0DE8" w:rsidP="00A178BD" w14:paraId="21432C39" w14:textId="77777777">
            <w:pPr>
              <w:contextualSpacing/>
              <w:jc w:val="right"/>
              <w:rPr>
                <w:sz w:val="20"/>
                <w:szCs w:val="20"/>
              </w:rPr>
            </w:pPr>
            <w:r w:rsidRPr="005A0DE8">
              <w:rPr>
                <w:sz w:val="20"/>
                <w:szCs w:val="20"/>
              </w:rPr>
              <w:t>1.5</w:t>
            </w:r>
          </w:p>
        </w:tc>
        <w:tc>
          <w:tcPr>
            <w:tcW w:w="1170" w:type="dxa"/>
            <w:shd w:val="clear" w:color="auto" w:fill="auto"/>
          </w:tcPr>
          <w:p w:rsidR="006D117F" w:rsidRPr="005A0DE8" w:rsidP="00A178BD" w14:paraId="29044367" w14:textId="77777777">
            <w:pPr>
              <w:contextualSpacing/>
              <w:jc w:val="right"/>
              <w:rPr>
                <w:sz w:val="20"/>
                <w:szCs w:val="20"/>
              </w:rPr>
            </w:pPr>
            <w:r w:rsidRPr="005A0DE8">
              <w:rPr>
                <w:sz w:val="20"/>
                <w:szCs w:val="20"/>
              </w:rPr>
              <w:t>450,000</w:t>
            </w:r>
          </w:p>
        </w:tc>
        <w:tc>
          <w:tcPr>
            <w:tcW w:w="1350" w:type="dxa"/>
            <w:shd w:val="clear" w:color="auto" w:fill="auto"/>
          </w:tcPr>
          <w:p w:rsidR="006D117F" w:rsidRPr="005A0DE8" w:rsidP="00A178BD" w14:paraId="239A7ED7" w14:textId="77777777">
            <w:pPr>
              <w:contextualSpacing/>
              <w:jc w:val="right"/>
              <w:rPr>
                <w:sz w:val="20"/>
                <w:szCs w:val="20"/>
              </w:rPr>
            </w:pPr>
            <w:r w:rsidRPr="005A0DE8">
              <w:rPr>
                <w:sz w:val="20"/>
                <w:szCs w:val="20"/>
              </w:rPr>
              <w:t>0.75</w:t>
            </w:r>
          </w:p>
        </w:tc>
        <w:tc>
          <w:tcPr>
            <w:tcW w:w="1080" w:type="dxa"/>
            <w:shd w:val="clear" w:color="auto" w:fill="auto"/>
          </w:tcPr>
          <w:p w:rsidR="006D117F" w:rsidRPr="005A0DE8" w:rsidP="00A178BD" w14:paraId="7900CF53" w14:textId="77777777">
            <w:pPr>
              <w:contextualSpacing/>
              <w:jc w:val="right"/>
              <w:rPr>
                <w:sz w:val="20"/>
                <w:szCs w:val="20"/>
              </w:rPr>
            </w:pPr>
            <w:r w:rsidRPr="005A0DE8">
              <w:rPr>
                <w:sz w:val="20"/>
                <w:szCs w:val="20"/>
              </w:rPr>
              <w:t>337,500</w:t>
            </w:r>
          </w:p>
        </w:tc>
      </w:tr>
      <w:tr w14:paraId="2842492D" w14:textId="77777777" w:rsidTr="00D23314">
        <w:tblPrEx>
          <w:tblW w:w="9450" w:type="dxa"/>
          <w:tblInd w:w="90" w:type="dxa"/>
          <w:tblLayout w:type="fixed"/>
          <w:tblLook w:val="0020"/>
        </w:tblPrEx>
        <w:tc>
          <w:tcPr>
            <w:tcW w:w="3150" w:type="dxa"/>
            <w:shd w:val="clear" w:color="auto" w:fill="auto"/>
          </w:tcPr>
          <w:p w:rsidR="006D117F" w:rsidRPr="005A0DE8" w:rsidP="00A178BD" w14:paraId="44D83288" w14:textId="77777777">
            <w:pPr>
              <w:contextualSpacing/>
              <w:rPr>
                <w:sz w:val="20"/>
                <w:szCs w:val="20"/>
              </w:rPr>
            </w:pPr>
            <w:r w:rsidRPr="005A0DE8">
              <w:rPr>
                <w:sz w:val="20"/>
                <w:szCs w:val="20"/>
              </w:rPr>
              <w:t>101.15; requirements pertaining to prominence of required statements and use of foreign language</w:t>
            </w:r>
          </w:p>
        </w:tc>
        <w:tc>
          <w:tcPr>
            <w:tcW w:w="1350" w:type="dxa"/>
            <w:shd w:val="clear" w:color="auto" w:fill="auto"/>
          </w:tcPr>
          <w:p w:rsidR="006D117F" w:rsidRPr="005A0DE8" w:rsidP="00A178BD" w14:paraId="35175BE1" w14:textId="77777777">
            <w:pPr>
              <w:contextualSpacing/>
              <w:jc w:val="right"/>
              <w:rPr>
                <w:sz w:val="20"/>
                <w:szCs w:val="20"/>
              </w:rPr>
            </w:pPr>
            <w:r w:rsidRPr="005A0DE8">
              <w:rPr>
                <w:sz w:val="20"/>
                <w:szCs w:val="20"/>
              </w:rPr>
              <w:t>160</w:t>
            </w:r>
          </w:p>
        </w:tc>
        <w:tc>
          <w:tcPr>
            <w:tcW w:w="1350" w:type="dxa"/>
            <w:shd w:val="clear" w:color="auto" w:fill="auto"/>
          </w:tcPr>
          <w:p w:rsidR="006D117F" w:rsidRPr="005A0DE8" w:rsidP="00A178BD" w14:paraId="5C2CA3B9" w14:textId="77777777">
            <w:pPr>
              <w:contextualSpacing/>
              <w:jc w:val="right"/>
              <w:rPr>
                <w:sz w:val="20"/>
                <w:szCs w:val="20"/>
              </w:rPr>
            </w:pPr>
            <w:r w:rsidRPr="005A0DE8">
              <w:rPr>
                <w:sz w:val="20"/>
                <w:szCs w:val="20"/>
              </w:rPr>
              <w:t>10</w:t>
            </w:r>
          </w:p>
        </w:tc>
        <w:tc>
          <w:tcPr>
            <w:tcW w:w="1170" w:type="dxa"/>
            <w:shd w:val="clear" w:color="auto" w:fill="auto"/>
          </w:tcPr>
          <w:p w:rsidR="006D117F" w:rsidRPr="005A0DE8" w:rsidP="00A178BD" w14:paraId="3791DA02" w14:textId="77777777">
            <w:pPr>
              <w:contextualSpacing/>
              <w:jc w:val="right"/>
              <w:rPr>
                <w:sz w:val="20"/>
                <w:szCs w:val="20"/>
              </w:rPr>
            </w:pPr>
            <w:r w:rsidRPr="005A0DE8">
              <w:rPr>
                <w:sz w:val="20"/>
                <w:szCs w:val="20"/>
              </w:rPr>
              <w:t>1,600</w:t>
            </w:r>
          </w:p>
        </w:tc>
        <w:tc>
          <w:tcPr>
            <w:tcW w:w="1350" w:type="dxa"/>
            <w:shd w:val="clear" w:color="auto" w:fill="auto"/>
          </w:tcPr>
          <w:p w:rsidR="006D117F" w:rsidRPr="005A0DE8" w:rsidP="00A178BD" w14:paraId="7165447B" w14:textId="77777777">
            <w:pPr>
              <w:contextualSpacing/>
              <w:jc w:val="right"/>
              <w:rPr>
                <w:sz w:val="20"/>
                <w:szCs w:val="20"/>
              </w:rPr>
            </w:pPr>
            <w:r w:rsidRPr="005A0DE8">
              <w:rPr>
                <w:sz w:val="20"/>
                <w:szCs w:val="20"/>
              </w:rPr>
              <w:t>8</w:t>
            </w:r>
          </w:p>
        </w:tc>
        <w:tc>
          <w:tcPr>
            <w:tcW w:w="1080" w:type="dxa"/>
            <w:shd w:val="clear" w:color="auto" w:fill="auto"/>
          </w:tcPr>
          <w:p w:rsidR="006D117F" w:rsidRPr="005A0DE8" w:rsidP="00A178BD" w14:paraId="55012702" w14:textId="77777777">
            <w:pPr>
              <w:contextualSpacing/>
              <w:jc w:val="right"/>
              <w:rPr>
                <w:sz w:val="20"/>
                <w:szCs w:val="20"/>
              </w:rPr>
            </w:pPr>
            <w:r w:rsidRPr="005A0DE8">
              <w:rPr>
                <w:sz w:val="20"/>
                <w:szCs w:val="20"/>
              </w:rPr>
              <w:t>12,800</w:t>
            </w:r>
          </w:p>
        </w:tc>
      </w:tr>
      <w:tr w14:paraId="4930F5FD" w14:textId="77777777" w:rsidTr="00D23314">
        <w:tblPrEx>
          <w:tblW w:w="9450" w:type="dxa"/>
          <w:tblInd w:w="90" w:type="dxa"/>
          <w:tblLayout w:type="fixed"/>
          <w:tblLook w:val="0020"/>
        </w:tblPrEx>
        <w:tc>
          <w:tcPr>
            <w:tcW w:w="3150" w:type="dxa"/>
            <w:shd w:val="clear" w:color="auto" w:fill="auto"/>
          </w:tcPr>
          <w:p w:rsidR="006D117F" w:rsidRPr="005A0DE8" w:rsidP="00A178BD" w14:paraId="11FE07D6" w14:textId="77777777">
            <w:pPr>
              <w:contextualSpacing/>
              <w:rPr>
                <w:sz w:val="20"/>
                <w:szCs w:val="20"/>
              </w:rPr>
            </w:pPr>
            <w:r w:rsidRPr="005A0DE8">
              <w:rPr>
                <w:sz w:val="20"/>
                <w:szCs w:val="20"/>
              </w:rPr>
              <w:t>101.22(i)(4); supplier certifications for flavors designated as containing no artificial flavors</w:t>
            </w:r>
          </w:p>
        </w:tc>
        <w:tc>
          <w:tcPr>
            <w:tcW w:w="1350" w:type="dxa"/>
            <w:shd w:val="clear" w:color="auto" w:fill="auto"/>
          </w:tcPr>
          <w:p w:rsidR="006D117F" w:rsidRPr="005A0DE8" w:rsidP="00A178BD" w14:paraId="597F50F7" w14:textId="77777777">
            <w:pPr>
              <w:contextualSpacing/>
              <w:jc w:val="right"/>
              <w:rPr>
                <w:sz w:val="20"/>
                <w:szCs w:val="20"/>
              </w:rPr>
            </w:pPr>
            <w:r w:rsidRPr="005A0DE8">
              <w:rPr>
                <w:sz w:val="20"/>
                <w:szCs w:val="20"/>
              </w:rPr>
              <w:t>25</w:t>
            </w:r>
          </w:p>
        </w:tc>
        <w:tc>
          <w:tcPr>
            <w:tcW w:w="1350" w:type="dxa"/>
            <w:shd w:val="clear" w:color="auto" w:fill="auto"/>
          </w:tcPr>
          <w:p w:rsidR="006D117F" w:rsidRPr="005A0DE8" w:rsidP="00A178BD" w14:paraId="045204BA"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598C03BF" w14:textId="77777777">
            <w:pPr>
              <w:contextualSpacing/>
              <w:jc w:val="right"/>
              <w:rPr>
                <w:sz w:val="20"/>
                <w:szCs w:val="20"/>
              </w:rPr>
            </w:pPr>
            <w:r w:rsidRPr="005A0DE8">
              <w:rPr>
                <w:sz w:val="20"/>
                <w:szCs w:val="20"/>
              </w:rPr>
              <w:t>25</w:t>
            </w:r>
          </w:p>
        </w:tc>
        <w:tc>
          <w:tcPr>
            <w:tcW w:w="1350" w:type="dxa"/>
            <w:shd w:val="clear" w:color="auto" w:fill="auto"/>
          </w:tcPr>
          <w:p w:rsidR="006D117F" w:rsidRPr="005A0DE8" w:rsidP="00A178BD" w14:paraId="6B78AEB8"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0FD3BE1C" w14:textId="77777777">
            <w:pPr>
              <w:contextualSpacing/>
              <w:jc w:val="right"/>
              <w:rPr>
                <w:sz w:val="20"/>
                <w:szCs w:val="20"/>
              </w:rPr>
            </w:pPr>
            <w:r w:rsidRPr="005A0DE8">
              <w:rPr>
                <w:sz w:val="20"/>
                <w:szCs w:val="20"/>
              </w:rPr>
              <w:t>25</w:t>
            </w:r>
          </w:p>
        </w:tc>
      </w:tr>
      <w:tr w14:paraId="5D11DAB9" w14:textId="77777777" w:rsidTr="00D23314">
        <w:tblPrEx>
          <w:tblW w:w="9450" w:type="dxa"/>
          <w:tblInd w:w="90" w:type="dxa"/>
          <w:tblLayout w:type="fixed"/>
          <w:tblLook w:val="0020"/>
        </w:tblPrEx>
        <w:tc>
          <w:tcPr>
            <w:tcW w:w="3150" w:type="dxa"/>
            <w:shd w:val="clear" w:color="auto" w:fill="auto"/>
          </w:tcPr>
          <w:p w:rsidR="006D117F" w:rsidRPr="005A0DE8" w:rsidP="00A178BD" w14:paraId="7659BF20" w14:textId="77777777">
            <w:pPr>
              <w:contextualSpacing/>
              <w:rPr>
                <w:sz w:val="20"/>
                <w:szCs w:val="20"/>
              </w:rPr>
            </w:pPr>
            <w:r w:rsidRPr="005A0DE8">
              <w:rPr>
                <w:sz w:val="20"/>
                <w:szCs w:val="20"/>
              </w:rPr>
              <w:t>101.30 and 102.33; labeling requirements for fruit or vegetable juice beverages</w:t>
            </w:r>
          </w:p>
        </w:tc>
        <w:tc>
          <w:tcPr>
            <w:tcW w:w="1350" w:type="dxa"/>
            <w:shd w:val="clear" w:color="auto" w:fill="auto"/>
          </w:tcPr>
          <w:p w:rsidR="006D117F" w:rsidRPr="005A0DE8" w:rsidP="00A178BD" w14:paraId="6C06351E" w14:textId="77777777">
            <w:pPr>
              <w:contextualSpacing/>
              <w:jc w:val="right"/>
              <w:rPr>
                <w:sz w:val="20"/>
                <w:szCs w:val="20"/>
              </w:rPr>
            </w:pPr>
            <w:r w:rsidRPr="005A0DE8">
              <w:rPr>
                <w:sz w:val="20"/>
                <w:szCs w:val="20"/>
              </w:rPr>
              <w:t>1,500</w:t>
            </w:r>
          </w:p>
        </w:tc>
        <w:tc>
          <w:tcPr>
            <w:tcW w:w="1350" w:type="dxa"/>
            <w:shd w:val="clear" w:color="auto" w:fill="auto"/>
          </w:tcPr>
          <w:p w:rsidR="006D117F" w:rsidRPr="005A0DE8" w:rsidP="00A178BD" w14:paraId="4530C1E6" w14:textId="77777777">
            <w:pPr>
              <w:contextualSpacing/>
              <w:jc w:val="right"/>
              <w:rPr>
                <w:sz w:val="20"/>
                <w:szCs w:val="20"/>
              </w:rPr>
            </w:pPr>
            <w:r w:rsidRPr="005A0DE8">
              <w:rPr>
                <w:sz w:val="20"/>
                <w:szCs w:val="20"/>
              </w:rPr>
              <w:t>5</w:t>
            </w:r>
          </w:p>
        </w:tc>
        <w:tc>
          <w:tcPr>
            <w:tcW w:w="1170" w:type="dxa"/>
            <w:shd w:val="clear" w:color="auto" w:fill="auto"/>
          </w:tcPr>
          <w:p w:rsidR="006D117F" w:rsidRPr="005A0DE8" w:rsidP="00A178BD" w14:paraId="7A8B7416" w14:textId="77777777">
            <w:pPr>
              <w:contextualSpacing/>
              <w:jc w:val="right"/>
              <w:rPr>
                <w:sz w:val="20"/>
                <w:szCs w:val="20"/>
              </w:rPr>
            </w:pPr>
            <w:r w:rsidRPr="005A0DE8">
              <w:rPr>
                <w:sz w:val="20"/>
                <w:szCs w:val="20"/>
              </w:rPr>
              <w:t>7,500</w:t>
            </w:r>
          </w:p>
        </w:tc>
        <w:tc>
          <w:tcPr>
            <w:tcW w:w="1350" w:type="dxa"/>
            <w:shd w:val="clear" w:color="auto" w:fill="auto"/>
          </w:tcPr>
          <w:p w:rsidR="006D117F" w:rsidRPr="005A0DE8" w:rsidP="00A178BD" w14:paraId="52F16089" w14:textId="77777777">
            <w:pPr>
              <w:contextualSpacing/>
              <w:jc w:val="right"/>
              <w:rPr>
                <w:sz w:val="20"/>
                <w:szCs w:val="20"/>
              </w:rPr>
            </w:pPr>
            <w:r w:rsidRPr="005A0DE8">
              <w:rPr>
                <w:sz w:val="20"/>
                <w:szCs w:val="20"/>
              </w:rPr>
              <w:t>1</w:t>
            </w:r>
          </w:p>
        </w:tc>
        <w:tc>
          <w:tcPr>
            <w:tcW w:w="1080" w:type="dxa"/>
            <w:shd w:val="clear" w:color="auto" w:fill="auto"/>
          </w:tcPr>
          <w:p w:rsidR="006D117F" w:rsidRPr="005A0DE8" w:rsidP="00A178BD" w14:paraId="11113B05" w14:textId="77777777">
            <w:pPr>
              <w:contextualSpacing/>
              <w:jc w:val="right"/>
              <w:rPr>
                <w:sz w:val="20"/>
                <w:szCs w:val="20"/>
              </w:rPr>
            </w:pPr>
            <w:r w:rsidRPr="005A0DE8">
              <w:rPr>
                <w:sz w:val="20"/>
                <w:szCs w:val="20"/>
              </w:rPr>
              <w:t>7,500</w:t>
            </w:r>
          </w:p>
        </w:tc>
      </w:tr>
      <w:tr w14:paraId="0C8DA954" w14:textId="77777777" w:rsidTr="00D23314">
        <w:tblPrEx>
          <w:tblW w:w="9450" w:type="dxa"/>
          <w:tblInd w:w="90" w:type="dxa"/>
          <w:tblLayout w:type="fixed"/>
          <w:tblLook w:val="0020"/>
        </w:tblPrEx>
        <w:tc>
          <w:tcPr>
            <w:tcW w:w="3150" w:type="dxa"/>
            <w:shd w:val="clear" w:color="auto" w:fill="auto"/>
          </w:tcPr>
          <w:p w:rsidR="006D117F" w:rsidRPr="005A0DE8" w:rsidP="00A178BD" w14:paraId="1100D5FC" w14:textId="77777777">
            <w:pPr>
              <w:contextualSpacing/>
              <w:rPr>
                <w:sz w:val="20"/>
                <w:szCs w:val="20"/>
              </w:rPr>
            </w:pPr>
            <w:r w:rsidRPr="005A0DE8">
              <w:rPr>
                <w:sz w:val="20"/>
                <w:szCs w:val="20"/>
              </w:rPr>
              <w:t>101.36; nutrition labeling of dietary supplements</w:t>
            </w:r>
          </w:p>
        </w:tc>
        <w:tc>
          <w:tcPr>
            <w:tcW w:w="1350" w:type="dxa"/>
            <w:shd w:val="clear" w:color="auto" w:fill="auto"/>
          </w:tcPr>
          <w:p w:rsidR="006D117F" w:rsidRPr="005A0DE8" w:rsidP="00A178BD" w14:paraId="681DD1CD" w14:textId="77777777">
            <w:pPr>
              <w:contextualSpacing/>
              <w:jc w:val="right"/>
              <w:rPr>
                <w:sz w:val="20"/>
                <w:szCs w:val="20"/>
              </w:rPr>
            </w:pPr>
            <w:r w:rsidRPr="005A0DE8">
              <w:rPr>
                <w:sz w:val="20"/>
                <w:szCs w:val="20"/>
              </w:rPr>
              <w:t>300</w:t>
            </w:r>
          </w:p>
        </w:tc>
        <w:tc>
          <w:tcPr>
            <w:tcW w:w="1350" w:type="dxa"/>
            <w:shd w:val="clear" w:color="auto" w:fill="auto"/>
          </w:tcPr>
          <w:p w:rsidR="006D117F" w:rsidRPr="005A0DE8" w:rsidP="00A178BD" w14:paraId="5B069A96" w14:textId="77777777">
            <w:pPr>
              <w:contextualSpacing/>
              <w:jc w:val="right"/>
              <w:rPr>
                <w:sz w:val="20"/>
                <w:szCs w:val="20"/>
              </w:rPr>
            </w:pPr>
            <w:r w:rsidRPr="005A0DE8">
              <w:rPr>
                <w:sz w:val="20"/>
                <w:szCs w:val="20"/>
              </w:rPr>
              <w:t>40</w:t>
            </w:r>
          </w:p>
        </w:tc>
        <w:tc>
          <w:tcPr>
            <w:tcW w:w="1170" w:type="dxa"/>
            <w:shd w:val="clear" w:color="auto" w:fill="auto"/>
          </w:tcPr>
          <w:p w:rsidR="006D117F" w:rsidRPr="005A0DE8" w:rsidP="00A178BD" w14:paraId="276542A9" w14:textId="77777777">
            <w:pPr>
              <w:contextualSpacing/>
              <w:jc w:val="right"/>
              <w:rPr>
                <w:sz w:val="20"/>
                <w:szCs w:val="20"/>
              </w:rPr>
            </w:pPr>
            <w:r w:rsidRPr="005A0DE8">
              <w:rPr>
                <w:sz w:val="20"/>
                <w:szCs w:val="20"/>
              </w:rPr>
              <w:t>12,000</w:t>
            </w:r>
          </w:p>
        </w:tc>
        <w:tc>
          <w:tcPr>
            <w:tcW w:w="1350" w:type="dxa"/>
            <w:shd w:val="clear" w:color="auto" w:fill="auto"/>
          </w:tcPr>
          <w:p w:rsidR="006D117F" w:rsidRPr="005A0DE8" w:rsidP="00A178BD" w14:paraId="72BB22E3" w14:textId="77777777">
            <w:pPr>
              <w:contextualSpacing/>
              <w:jc w:val="right"/>
              <w:rPr>
                <w:sz w:val="20"/>
                <w:szCs w:val="20"/>
              </w:rPr>
            </w:pPr>
            <w:r w:rsidRPr="005A0DE8">
              <w:rPr>
                <w:sz w:val="20"/>
                <w:szCs w:val="20"/>
              </w:rPr>
              <w:t>4.025</w:t>
            </w:r>
          </w:p>
        </w:tc>
        <w:tc>
          <w:tcPr>
            <w:tcW w:w="1080" w:type="dxa"/>
            <w:shd w:val="clear" w:color="auto" w:fill="auto"/>
          </w:tcPr>
          <w:p w:rsidR="006D117F" w:rsidRPr="005A0DE8" w:rsidP="00A178BD" w14:paraId="103641F9" w14:textId="77777777">
            <w:pPr>
              <w:contextualSpacing/>
              <w:jc w:val="right"/>
              <w:rPr>
                <w:sz w:val="20"/>
                <w:szCs w:val="20"/>
              </w:rPr>
            </w:pPr>
            <w:r w:rsidRPr="005A0DE8">
              <w:rPr>
                <w:sz w:val="20"/>
                <w:szCs w:val="20"/>
              </w:rPr>
              <w:t>48,300</w:t>
            </w:r>
          </w:p>
        </w:tc>
      </w:tr>
      <w:tr w14:paraId="2B93C967" w14:textId="77777777" w:rsidTr="00D23314">
        <w:tblPrEx>
          <w:tblW w:w="9450" w:type="dxa"/>
          <w:tblInd w:w="90" w:type="dxa"/>
          <w:tblLayout w:type="fixed"/>
          <w:tblLook w:val="0020"/>
        </w:tblPrEx>
        <w:tc>
          <w:tcPr>
            <w:tcW w:w="3150" w:type="dxa"/>
            <w:shd w:val="clear" w:color="auto" w:fill="auto"/>
          </w:tcPr>
          <w:p w:rsidR="006D117F" w:rsidRPr="005A0DE8" w:rsidP="00A178BD" w14:paraId="31A5B403" w14:textId="77777777">
            <w:pPr>
              <w:contextualSpacing/>
              <w:rPr>
                <w:sz w:val="20"/>
                <w:szCs w:val="20"/>
              </w:rPr>
            </w:pPr>
            <w:r w:rsidRPr="005A0DE8">
              <w:rPr>
                <w:sz w:val="20"/>
                <w:szCs w:val="20"/>
              </w:rPr>
              <w:t>101.42 and 101.45; nutrition labeling of raw fruits, vegetables, and fish</w:t>
            </w:r>
          </w:p>
        </w:tc>
        <w:tc>
          <w:tcPr>
            <w:tcW w:w="1350" w:type="dxa"/>
            <w:shd w:val="clear" w:color="auto" w:fill="auto"/>
          </w:tcPr>
          <w:p w:rsidR="006D117F" w:rsidRPr="005A0DE8" w:rsidP="00A178BD" w14:paraId="3CF7AF48" w14:textId="77777777">
            <w:pPr>
              <w:contextualSpacing/>
              <w:jc w:val="right"/>
              <w:rPr>
                <w:sz w:val="20"/>
                <w:szCs w:val="20"/>
              </w:rPr>
            </w:pPr>
            <w:r w:rsidRPr="005A0DE8">
              <w:rPr>
                <w:sz w:val="20"/>
                <w:szCs w:val="20"/>
              </w:rPr>
              <w:t>1,000</w:t>
            </w:r>
          </w:p>
        </w:tc>
        <w:tc>
          <w:tcPr>
            <w:tcW w:w="1350" w:type="dxa"/>
            <w:shd w:val="clear" w:color="auto" w:fill="auto"/>
          </w:tcPr>
          <w:p w:rsidR="006D117F" w:rsidRPr="005A0DE8" w:rsidP="00A178BD" w14:paraId="050C2EFB"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3F731426" w14:textId="77777777">
            <w:pPr>
              <w:contextualSpacing/>
              <w:jc w:val="right"/>
              <w:rPr>
                <w:sz w:val="20"/>
                <w:szCs w:val="20"/>
              </w:rPr>
            </w:pPr>
            <w:r w:rsidRPr="005A0DE8">
              <w:rPr>
                <w:sz w:val="20"/>
                <w:szCs w:val="20"/>
              </w:rPr>
              <w:t>1,000</w:t>
            </w:r>
          </w:p>
        </w:tc>
        <w:tc>
          <w:tcPr>
            <w:tcW w:w="1350" w:type="dxa"/>
            <w:shd w:val="clear" w:color="auto" w:fill="auto"/>
          </w:tcPr>
          <w:p w:rsidR="006D117F" w:rsidRPr="005A0DE8" w:rsidP="00A178BD" w14:paraId="3CD8BBCA" w14:textId="77777777">
            <w:pPr>
              <w:contextualSpacing/>
              <w:jc w:val="right"/>
              <w:rPr>
                <w:sz w:val="20"/>
                <w:szCs w:val="20"/>
              </w:rPr>
            </w:pPr>
            <w:r w:rsidRPr="005A0DE8">
              <w:rPr>
                <w:sz w:val="20"/>
                <w:szCs w:val="20"/>
              </w:rPr>
              <w:t>0.5</w:t>
            </w:r>
          </w:p>
        </w:tc>
        <w:tc>
          <w:tcPr>
            <w:tcW w:w="1080" w:type="dxa"/>
            <w:shd w:val="clear" w:color="auto" w:fill="auto"/>
          </w:tcPr>
          <w:p w:rsidR="006D117F" w:rsidRPr="005A0DE8" w:rsidP="00A178BD" w14:paraId="61A900E2" w14:textId="77777777">
            <w:pPr>
              <w:contextualSpacing/>
              <w:jc w:val="right"/>
              <w:rPr>
                <w:sz w:val="20"/>
                <w:szCs w:val="20"/>
              </w:rPr>
            </w:pPr>
            <w:r w:rsidRPr="005A0DE8">
              <w:rPr>
                <w:sz w:val="20"/>
                <w:szCs w:val="20"/>
              </w:rPr>
              <w:t>500</w:t>
            </w:r>
          </w:p>
        </w:tc>
      </w:tr>
      <w:tr w14:paraId="5728C05A" w14:textId="77777777" w:rsidTr="00D23314">
        <w:tblPrEx>
          <w:tblW w:w="9450" w:type="dxa"/>
          <w:tblInd w:w="90" w:type="dxa"/>
          <w:tblLayout w:type="fixed"/>
          <w:tblLook w:val="0020"/>
        </w:tblPrEx>
        <w:tc>
          <w:tcPr>
            <w:tcW w:w="3150" w:type="dxa"/>
            <w:shd w:val="clear" w:color="auto" w:fill="auto"/>
          </w:tcPr>
          <w:p w:rsidR="006D117F" w:rsidRPr="005A0DE8" w:rsidP="00A178BD" w14:paraId="5FA22C17" w14:textId="77777777">
            <w:pPr>
              <w:contextualSpacing/>
              <w:rPr>
                <w:sz w:val="20"/>
                <w:szCs w:val="20"/>
              </w:rPr>
            </w:pPr>
            <w:r w:rsidRPr="005A0DE8">
              <w:rPr>
                <w:sz w:val="20"/>
                <w:szCs w:val="20"/>
              </w:rPr>
              <w:t>101.45(c); databases of nutrient values for raw fruits, vegetables, and fish</w:t>
            </w:r>
          </w:p>
        </w:tc>
        <w:tc>
          <w:tcPr>
            <w:tcW w:w="1350" w:type="dxa"/>
            <w:shd w:val="clear" w:color="auto" w:fill="auto"/>
          </w:tcPr>
          <w:p w:rsidR="006D117F" w:rsidRPr="005A0DE8" w:rsidP="00A178BD" w14:paraId="6B82469E" w14:textId="77777777">
            <w:pPr>
              <w:contextualSpacing/>
              <w:jc w:val="right"/>
              <w:rPr>
                <w:sz w:val="20"/>
                <w:szCs w:val="20"/>
              </w:rPr>
            </w:pPr>
            <w:r w:rsidRPr="005A0DE8">
              <w:rPr>
                <w:sz w:val="20"/>
                <w:szCs w:val="20"/>
              </w:rPr>
              <w:t>5</w:t>
            </w:r>
          </w:p>
        </w:tc>
        <w:tc>
          <w:tcPr>
            <w:tcW w:w="1350" w:type="dxa"/>
            <w:shd w:val="clear" w:color="auto" w:fill="auto"/>
          </w:tcPr>
          <w:p w:rsidR="006D117F" w:rsidRPr="005A0DE8" w:rsidP="00A178BD" w14:paraId="7FDC1A8C" w14:textId="77777777">
            <w:pPr>
              <w:contextualSpacing/>
              <w:jc w:val="right"/>
              <w:rPr>
                <w:sz w:val="20"/>
                <w:szCs w:val="20"/>
              </w:rPr>
            </w:pPr>
            <w:r w:rsidRPr="005A0DE8">
              <w:rPr>
                <w:sz w:val="20"/>
                <w:szCs w:val="20"/>
              </w:rPr>
              <w:t>4</w:t>
            </w:r>
          </w:p>
        </w:tc>
        <w:tc>
          <w:tcPr>
            <w:tcW w:w="1170" w:type="dxa"/>
            <w:shd w:val="clear" w:color="auto" w:fill="auto"/>
          </w:tcPr>
          <w:p w:rsidR="006D117F" w:rsidRPr="005A0DE8" w:rsidP="00A178BD" w14:paraId="39F37681" w14:textId="77777777">
            <w:pPr>
              <w:contextualSpacing/>
              <w:jc w:val="right"/>
              <w:rPr>
                <w:sz w:val="20"/>
                <w:szCs w:val="20"/>
              </w:rPr>
            </w:pPr>
            <w:r w:rsidRPr="005A0DE8">
              <w:rPr>
                <w:sz w:val="20"/>
                <w:szCs w:val="20"/>
              </w:rPr>
              <w:t>20</w:t>
            </w:r>
          </w:p>
        </w:tc>
        <w:tc>
          <w:tcPr>
            <w:tcW w:w="1350" w:type="dxa"/>
            <w:shd w:val="clear" w:color="auto" w:fill="auto"/>
          </w:tcPr>
          <w:p w:rsidR="006D117F" w:rsidRPr="005A0DE8" w:rsidP="00A178BD" w14:paraId="4C160044" w14:textId="77777777">
            <w:pPr>
              <w:contextualSpacing/>
              <w:jc w:val="right"/>
              <w:rPr>
                <w:sz w:val="20"/>
                <w:szCs w:val="20"/>
              </w:rPr>
            </w:pPr>
            <w:r w:rsidRPr="005A0DE8">
              <w:rPr>
                <w:sz w:val="20"/>
                <w:szCs w:val="20"/>
              </w:rPr>
              <w:t>4</w:t>
            </w:r>
          </w:p>
        </w:tc>
        <w:tc>
          <w:tcPr>
            <w:tcW w:w="1080" w:type="dxa"/>
            <w:shd w:val="clear" w:color="auto" w:fill="auto"/>
          </w:tcPr>
          <w:p w:rsidR="006D117F" w:rsidRPr="005A0DE8" w:rsidP="00A178BD" w14:paraId="0314FC89" w14:textId="77777777">
            <w:pPr>
              <w:contextualSpacing/>
              <w:jc w:val="right"/>
              <w:rPr>
                <w:sz w:val="20"/>
                <w:szCs w:val="20"/>
              </w:rPr>
            </w:pPr>
            <w:r w:rsidRPr="005A0DE8">
              <w:rPr>
                <w:sz w:val="20"/>
                <w:szCs w:val="20"/>
              </w:rPr>
              <w:t>80</w:t>
            </w:r>
          </w:p>
        </w:tc>
      </w:tr>
      <w:tr w14:paraId="2547EDCC" w14:textId="77777777" w:rsidTr="00D23314">
        <w:tblPrEx>
          <w:tblW w:w="9450" w:type="dxa"/>
          <w:tblInd w:w="90" w:type="dxa"/>
          <w:tblLayout w:type="fixed"/>
          <w:tblLook w:val="0020"/>
        </w:tblPrEx>
        <w:tc>
          <w:tcPr>
            <w:tcW w:w="3150" w:type="dxa"/>
            <w:shd w:val="clear" w:color="auto" w:fill="auto"/>
          </w:tcPr>
          <w:p w:rsidR="006D117F" w:rsidRPr="005A0DE8" w:rsidP="00A178BD" w14:paraId="51681975" w14:textId="77777777">
            <w:pPr>
              <w:contextualSpacing/>
              <w:rPr>
                <w:sz w:val="20"/>
                <w:szCs w:val="20"/>
              </w:rPr>
            </w:pPr>
            <w:r w:rsidRPr="005A0DE8">
              <w:rPr>
                <w:sz w:val="20"/>
                <w:szCs w:val="20"/>
              </w:rPr>
              <w:t>101.79(c)(2)(i)(D); disclosure requirements for food labels that contain a folate/neural tube defect health claim</w:t>
            </w:r>
          </w:p>
        </w:tc>
        <w:tc>
          <w:tcPr>
            <w:tcW w:w="1350" w:type="dxa"/>
            <w:shd w:val="clear" w:color="auto" w:fill="auto"/>
          </w:tcPr>
          <w:p w:rsidR="006D117F" w:rsidRPr="005A0DE8" w:rsidP="00A178BD" w14:paraId="21A58967" w14:textId="77777777">
            <w:pPr>
              <w:contextualSpacing/>
              <w:jc w:val="right"/>
              <w:rPr>
                <w:sz w:val="20"/>
                <w:szCs w:val="20"/>
              </w:rPr>
            </w:pPr>
            <w:r w:rsidRPr="005A0DE8">
              <w:rPr>
                <w:sz w:val="20"/>
                <w:szCs w:val="20"/>
              </w:rPr>
              <w:t>1,000</w:t>
            </w:r>
          </w:p>
        </w:tc>
        <w:tc>
          <w:tcPr>
            <w:tcW w:w="1350" w:type="dxa"/>
            <w:shd w:val="clear" w:color="auto" w:fill="auto"/>
          </w:tcPr>
          <w:p w:rsidR="006D117F" w:rsidRPr="005A0DE8" w:rsidP="00A178BD" w14:paraId="6694FD79" w14:textId="77777777">
            <w:pPr>
              <w:contextualSpacing/>
              <w:jc w:val="right"/>
              <w:rPr>
                <w:sz w:val="20"/>
                <w:szCs w:val="20"/>
              </w:rPr>
            </w:pPr>
            <w:r w:rsidRPr="005A0DE8">
              <w:rPr>
                <w:sz w:val="20"/>
                <w:szCs w:val="20"/>
              </w:rPr>
              <w:t>1</w:t>
            </w:r>
          </w:p>
        </w:tc>
        <w:tc>
          <w:tcPr>
            <w:tcW w:w="1170" w:type="dxa"/>
            <w:shd w:val="clear" w:color="auto" w:fill="auto"/>
          </w:tcPr>
          <w:p w:rsidR="006D117F" w:rsidRPr="005A0DE8" w:rsidP="00A178BD" w14:paraId="7CCCE89D" w14:textId="77777777">
            <w:pPr>
              <w:contextualSpacing/>
              <w:jc w:val="right"/>
              <w:rPr>
                <w:sz w:val="20"/>
                <w:szCs w:val="20"/>
              </w:rPr>
            </w:pPr>
            <w:r w:rsidRPr="005A0DE8">
              <w:rPr>
                <w:sz w:val="20"/>
                <w:szCs w:val="20"/>
              </w:rPr>
              <w:t>1,000</w:t>
            </w:r>
          </w:p>
        </w:tc>
        <w:tc>
          <w:tcPr>
            <w:tcW w:w="1350" w:type="dxa"/>
            <w:shd w:val="clear" w:color="auto" w:fill="auto"/>
          </w:tcPr>
          <w:p w:rsidR="006D117F" w:rsidRPr="005A0DE8" w:rsidP="00A178BD" w14:paraId="5C04D12F" w14:textId="77777777">
            <w:pPr>
              <w:contextualSpacing/>
              <w:jc w:val="right"/>
              <w:rPr>
                <w:sz w:val="20"/>
                <w:szCs w:val="20"/>
              </w:rPr>
            </w:pPr>
            <w:r w:rsidRPr="005A0DE8">
              <w:rPr>
                <w:sz w:val="20"/>
                <w:szCs w:val="20"/>
              </w:rPr>
              <w:t>0.25</w:t>
            </w:r>
          </w:p>
        </w:tc>
        <w:tc>
          <w:tcPr>
            <w:tcW w:w="1080" w:type="dxa"/>
            <w:shd w:val="clear" w:color="auto" w:fill="auto"/>
          </w:tcPr>
          <w:p w:rsidR="006D117F" w:rsidRPr="005A0DE8" w:rsidP="00A178BD" w14:paraId="3FD9E58B" w14:textId="77777777">
            <w:pPr>
              <w:contextualSpacing/>
              <w:jc w:val="right"/>
              <w:rPr>
                <w:sz w:val="20"/>
                <w:szCs w:val="20"/>
              </w:rPr>
            </w:pPr>
            <w:r w:rsidRPr="005A0DE8">
              <w:rPr>
                <w:sz w:val="20"/>
                <w:szCs w:val="20"/>
              </w:rPr>
              <w:t>250</w:t>
            </w:r>
          </w:p>
        </w:tc>
      </w:tr>
      <w:tr w14:paraId="1E92679F"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37A7EF4" w14:textId="77777777">
            <w:pPr>
              <w:contextualSpacing/>
              <w:rPr>
                <w:sz w:val="20"/>
                <w:szCs w:val="20"/>
              </w:rPr>
            </w:pPr>
            <w:r w:rsidRPr="005A0DE8">
              <w:rPr>
                <w:sz w:val="20"/>
                <w:szCs w:val="20"/>
              </w:rPr>
              <w:t>101.79(c)(2)(iv); disclosure of amount of folate for food labels that contain a folate/neural tube defect health claim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1D653A4C" w14:textId="77777777">
            <w:pPr>
              <w:contextualSpacing/>
              <w:jc w:val="right"/>
              <w:rPr>
                <w:sz w:val="20"/>
                <w:szCs w:val="20"/>
              </w:rPr>
            </w:pPr>
            <w:r w:rsidRPr="005A0DE8">
              <w:rPr>
                <w:sz w:val="20"/>
                <w:szCs w:val="20"/>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F7A3F6A"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1FDF9C21" w14:textId="77777777">
            <w:pPr>
              <w:contextualSpacing/>
              <w:jc w:val="right"/>
              <w:rPr>
                <w:sz w:val="20"/>
                <w:szCs w:val="20"/>
              </w:rPr>
            </w:pPr>
            <w:r w:rsidRPr="005A0DE8">
              <w:rPr>
                <w:sz w:val="20"/>
                <w:szCs w:val="20"/>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0755090" w14:textId="77777777">
            <w:pPr>
              <w:contextualSpacing/>
              <w:jc w:val="right"/>
              <w:rPr>
                <w:sz w:val="20"/>
                <w:szCs w:val="20"/>
              </w:rPr>
            </w:pPr>
            <w:r w:rsidRPr="005A0DE8">
              <w:rPr>
                <w:sz w:val="20"/>
                <w:szCs w:val="20"/>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FA09575" w14:textId="77777777">
            <w:pPr>
              <w:contextualSpacing/>
              <w:jc w:val="right"/>
              <w:rPr>
                <w:sz w:val="20"/>
                <w:szCs w:val="20"/>
              </w:rPr>
            </w:pPr>
            <w:r w:rsidRPr="005A0DE8">
              <w:rPr>
                <w:sz w:val="20"/>
                <w:szCs w:val="20"/>
              </w:rPr>
              <w:t>25</w:t>
            </w:r>
          </w:p>
        </w:tc>
      </w:tr>
      <w:tr w14:paraId="63E87DBE"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19E087D" w14:textId="77777777">
            <w:pPr>
              <w:contextualSpacing/>
              <w:rPr>
                <w:sz w:val="20"/>
                <w:szCs w:val="20"/>
              </w:rPr>
            </w:pPr>
            <w:r w:rsidRPr="005A0DE8">
              <w:rPr>
                <w:sz w:val="20"/>
                <w:szCs w:val="20"/>
              </w:rPr>
              <w:t>101.100(d); disclosure of agreements that form the basis for exemption from the labeling requirements of section 403(c), (e), (g), (h), (i), (k), and (q) of the FD&amp;C Act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56B8996C" w14:textId="77777777">
            <w:pPr>
              <w:contextualSpacing/>
              <w:jc w:val="right"/>
              <w:rPr>
                <w:sz w:val="20"/>
                <w:szCs w:val="20"/>
              </w:rPr>
            </w:pPr>
            <w:r w:rsidRPr="005A0DE8">
              <w:rPr>
                <w:sz w:val="20"/>
                <w:szCs w:val="20"/>
              </w:rPr>
              <w:t>1,000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2E2A160"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B558AE2" w14:textId="77777777">
            <w:pPr>
              <w:contextualSpacing/>
              <w:jc w:val="right"/>
              <w:rPr>
                <w:sz w:val="20"/>
                <w:szCs w:val="20"/>
              </w:rPr>
            </w:pPr>
            <w:r w:rsidRPr="005A0DE8">
              <w:rPr>
                <w:sz w:val="20"/>
                <w:szCs w:val="20"/>
              </w:rPr>
              <w:t>1,000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BBDE3FC"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2EE009E6" w14:textId="77777777">
            <w:pPr>
              <w:contextualSpacing/>
              <w:jc w:val="right"/>
              <w:rPr>
                <w:sz w:val="20"/>
                <w:szCs w:val="20"/>
              </w:rPr>
            </w:pPr>
            <w:r w:rsidRPr="005A0DE8">
              <w:rPr>
                <w:sz w:val="20"/>
                <w:szCs w:val="20"/>
              </w:rPr>
              <w:t>1,000</w:t>
            </w:r>
          </w:p>
        </w:tc>
      </w:tr>
      <w:tr w14:paraId="2C5B2D3C"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92CBCE9" w14:textId="77777777">
            <w:pPr>
              <w:contextualSpacing/>
              <w:rPr>
                <w:sz w:val="20"/>
                <w:szCs w:val="20"/>
              </w:rPr>
            </w:pPr>
            <w:r w:rsidRPr="005A0DE8">
              <w:rPr>
                <w:sz w:val="20"/>
                <w:szCs w:val="20"/>
              </w:rPr>
              <w:t>101.7 and 101.100(h); disclosure requirements for food not accurately labeled for quantity of contents and for claiming certain labeling exemptions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4581D25" w14:textId="77777777">
            <w:pPr>
              <w:contextualSpacing/>
              <w:jc w:val="right"/>
              <w:rPr>
                <w:sz w:val="20"/>
                <w:szCs w:val="20"/>
              </w:rPr>
            </w:pPr>
            <w:r w:rsidRPr="005A0DE8">
              <w:rPr>
                <w:sz w:val="20"/>
                <w:szCs w:val="20"/>
              </w:rPr>
              <w:t>25,000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36300DC" w14:textId="77777777">
            <w:pPr>
              <w:contextualSpacing/>
              <w:jc w:val="right"/>
              <w:rPr>
                <w:sz w:val="20"/>
                <w:szCs w:val="20"/>
              </w:rPr>
            </w:pPr>
            <w:r w:rsidRPr="005A0DE8">
              <w:rPr>
                <w:sz w:val="20"/>
                <w:szCs w:val="20"/>
              </w:rPr>
              <w:t>1.03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824F1D5" w14:textId="77777777">
            <w:pPr>
              <w:contextualSpacing/>
              <w:jc w:val="right"/>
              <w:rPr>
                <w:sz w:val="20"/>
                <w:szCs w:val="20"/>
              </w:rPr>
            </w:pPr>
            <w:r w:rsidRPr="005A0DE8">
              <w:rPr>
                <w:sz w:val="20"/>
                <w:szCs w:val="20"/>
              </w:rPr>
              <w:t>25,750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C5E403B" w14:textId="77777777">
            <w:pPr>
              <w:contextualSpacing/>
              <w:jc w:val="right"/>
              <w:rPr>
                <w:sz w:val="20"/>
                <w:szCs w:val="20"/>
              </w:rPr>
            </w:pPr>
            <w:r w:rsidRPr="005A0DE8">
              <w:rPr>
                <w:sz w:val="20"/>
                <w:szCs w:val="20"/>
              </w:rPr>
              <w:t>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6D31F0E" w14:textId="77777777">
            <w:pPr>
              <w:contextualSpacing/>
              <w:jc w:val="right"/>
              <w:rPr>
                <w:sz w:val="20"/>
                <w:szCs w:val="20"/>
              </w:rPr>
            </w:pPr>
            <w:r w:rsidRPr="005A0DE8">
              <w:rPr>
                <w:sz w:val="20"/>
                <w:szCs w:val="20"/>
              </w:rPr>
              <w:t>12,875</w:t>
            </w:r>
          </w:p>
        </w:tc>
      </w:tr>
      <w:tr w14:paraId="0B7B2196"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40E325C6" w14:textId="77777777">
            <w:pPr>
              <w:contextualSpacing/>
              <w:rPr>
                <w:sz w:val="20"/>
                <w:szCs w:val="20"/>
              </w:rPr>
            </w:pPr>
            <w:r w:rsidRPr="005A0DE8">
              <w:rPr>
                <w:sz w:val="20"/>
                <w:szCs w:val="20"/>
              </w:rPr>
              <w:t>Nutritional labeling for new products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52CE1A3" w14:textId="77777777">
            <w:pPr>
              <w:contextualSpacing/>
              <w:jc w:val="right"/>
              <w:rPr>
                <w:sz w:val="20"/>
                <w:szCs w:val="20"/>
              </w:rPr>
            </w:pPr>
            <w:r w:rsidRPr="005A0DE8">
              <w:rPr>
                <w:sz w:val="20"/>
                <w:szCs w:val="20"/>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5D919B6"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74BC1961" w14:textId="77777777">
            <w:pPr>
              <w:contextualSpacing/>
              <w:jc w:val="right"/>
              <w:rPr>
                <w:sz w:val="20"/>
                <w:szCs w:val="20"/>
              </w:rPr>
            </w:pPr>
            <w:r w:rsidRPr="005A0DE8">
              <w:rPr>
                <w:sz w:val="20"/>
                <w:szCs w:val="20"/>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F269C44" w14:textId="77777777">
            <w:pPr>
              <w:contextualSpacing/>
              <w:jc w:val="right"/>
              <w:rPr>
                <w:sz w:val="20"/>
                <w:szCs w:val="20"/>
              </w:rPr>
            </w:pPr>
            <w:r w:rsidRPr="005A0DE8">
              <w:rPr>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3745CAA0" w14:textId="77777777">
            <w:pPr>
              <w:contextualSpacing/>
              <w:jc w:val="right"/>
              <w:rPr>
                <w:sz w:val="20"/>
                <w:szCs w:val="20"/>
              </w:rPr>
            </w:pPr>
            <w:r w:rsidRPr="005A0DE8">
              <w:rPr>
                <w:sz w:val="20"/>
                <w:szCs w:val="20"/>
              </w:rPr>
              <w:t>1,000</w:t>
            </w:r>
          </w:p>
        </w:tc>
      </w:tr>
      <w:tr w14:paraId="1A8B18A9" w14:textId="77777777" w:rsidTr="009E0EC3">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0DC43995" w14:textId="5BE0CE6C">
            <w:pPr>
              <w:contextualSpacing/>
              <w:rPr>
                <w:sz w:val="20"/>
                <w:szCs w:val="20"/>
              </w:rPr>
            </w:pPr>
            <w:r w:rsidRPr="005A0DE8">
              <w:rPr>
                <w:sz w:val="20"/>
                <w:szCs w:val="20"/>
              </w:rPr>
              <w:t>Guidance</w:t>
            </w:r>
            <w:r w:rsidR="001E5FB5">
              <w:rPr>
                <w:sz w:val="20"/>
                <w:szCs w:val="20"/>
              </w:rPr>
              <w:t xml:space="preserve"> recommendations</w:t>
            </w:r>
            <w:r w:rsidRPr="005A0DE8">
              <w:rPr>
                <w:sz w:val="20"/>
                <w:szCs w:val="20"/>
              </w:rPr>
              <w:t>: “</w:t>
            </w:r>
            <w:r w:rsidRPr="006661A6">
              <w:rPr>
                <w:i/>
                <w:iCs/>
                <w:sz w:val="20"/>
                <w:szCs w:val="20"/>
              </w:rPr>
              <w:t>Labeling of Certain Beers Subject to the Labeling Jurisdiction of the Food and Drug Administration</w:t>
            </w:r>
            <w:r w:rsidRPr="005A0DE8">
              <w:rPr>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3BE1C48C" w14:textId="77777777">
            <w:pPr>
              <w:contextualSpacing/>
              <w:jc w:val="right"/>
              <w:rPr>
                <w:sz w:val="20"/>
                <w:szCs w:val="20"/>
              </w:rPr>
            </w:pPr>
            <w:r w:rsidRPr="005A0DE8">
              <w:rPr>
                <w:sz w:val="20"/>
                <w:szCs w:val="20"/>
              </w:rPr>
              <w:t>12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5F3E0A45" w14:textId="77777777">
            <w:pPr>
              <w:contextualSpacing/>
              <w:jc w:val="right"/>
              <w:rPr>
                <w:sz w:val="20"/>
                <w:szCs w:val="20"/>
              </w:rPr>
            </w:pPr>
            <w:r w:rsidRPr="005A0DE8">
              <w:rPr>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6A1CE9FB" w14:textId="77777777">
            <w:pPr>
              <w:contextualSpacing/>
              <w:jc w:val="right"/>
              <w:rPr>
                <w:sz w:val="20"/>
                <w:szCs w:val="20"/>
              </w:rPr>
            </w:pPr>
            <w:r w:rsidRPr="005A0DE8">
              <w:rPr>
                <w:sz w:val="20"/>
                <w:szCs w:val="20"/>
              </w:rPr>
              <w:t>12</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7249381E" w14:textId="77777777">
            <w:pPr>
              <w:contextualSpacing/>
              <w:jc w:val="right"/>
              <w:rPr>
                <w:sz w:val="20"/>
                <w:szCs w:val="20"/>
              </w:rPr>
            </w:pPr>
            <w:r w:rsidRPr="005A0DE8">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17F" w:rsidRPr="005A0DE8" w:rsidP="00A178BD" w14:paraId="7DFAD35A" w14:textId="77777777">
            <w:pPr>
              <w:contextualSpacing/>
              <w:jc w:val="right"/>
              <w:rPr>
                <w:sz w:val="20"/>
                <w:szCs w:val="20"/>
              </w:rPr>
            </w:pPr>
            <w:r w:rsidRPr="005A0DE8">
              <w:rPr>
                <w:sz w:val="20"/>
                <w:szCs w:val="20"/>
              </w:rPr>
              <w:t>12</w:t>
            </w:r>
          </w:p>
        </w:tc>
      </w:tr>
      <w:tr w14:paraId="1CE05ABF" w14:textId="77777777" w:rsidTr="00D23314">
        <w:tblPrEx>
          <w:tblW w:w="9450" w:type="dxa"/>
          <w:tblInd w:w="90" w:type="dxa"/>
          <w:tblLayout w:type="fixed"/>
          <w:tblLook w:val="002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53DD3B3" w14:textId="77777777">
            <w:pPr>
              <w:contextualSpacing/>
              <w:rPr>
                <w:sz w:val="20"/>
                <w:szCs w:val="20"/>
              </w:rPr>
            </w:pPr>
            <w:r w:rsidRPr="005A0DE8">
              <w:rPr>
                <w:sz w:val="20"/>
                <w:szCs w:val="20"/>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FEF5EBC" w14:textId="77777777">
            <w:pPr>
              <w:contextualSpacing/>
              <w:jc w:val="right"/>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D120A91" w14:textId="77777777">
            <w:pPr>
              <w:contextualSpacing/>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0349E9" w14:paraId="682C4653" w14:textId="54A7957A">
            <w:pPr>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1,513,811</w:t>
            </w:r>
            <w:r>
              <w:rPr>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0592BC7E" w14:textId="77777777">
            <w:pPr>
              <w:contextualSpacing/>
              <w:jc w:val="right"/>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117F" w:rsidRPr="005A0DE8" w:rsidP="00A178BD" w14:paraId="6955D52F" w14:textId="63D84653">
            <w:pPr>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1,030,270</w:t>
            </w:r>
            <w:r>
              <w:rPr>
                <w:sz w:val="20"/>
                <w:szCs w:val="20"/>
              </w:rPr>
              <w:fldChar w:fldCharType="end"/>
            </w:r>
          </w:p>
        </w:tc>
      </w:tr>
    </w:tbl>
    <w:p w:rsidR="006D117F" w:rsidRPr="006500E3" w:rsidP="00A178BD" w14:paraId="66060FBA" w14:textId="43505B64">
      <w:pPr>
        <w:contextualSpacing/>
        <w:rPr>
          <w:sz w:val="20"/>
          <w:szCs w:val="20"/>
        </w:rPr>
      </w:pPr>
      <w:r>
        <w:rPr>
          <w:sz w:val="20"/>
          <w:szCs w:val="20"/>
          <w:vertAlign w:val="superscript"/>
        </w:rPr>
        <w:t xml:space="preserve">    </w:t>
      </w:r>
      <w:r w:rsidRPr="006500E3">
        <w:rPr>
          <w:sz w:val="20"/>
          <w:szCs w:val="20"/>
          <w:vertAlign w:val="superscript"/>
        </w:rPr>
        <w:t xml:space="preserve">1 </w:t>
      </w:r>
      <w:r w:rsidRPr="006500E3">
        <w:rPr>
          <w:sz w:val="20"/>
          <w:szCs w:val="20"/>
        </w:rPr>
        <w:t>There are no capital costs or operating and maintenance costs associated with this collection of information.</w:t>
      </w:r>
    </w:p>
    <w:p w:rsidR="006D117F" w:rsidP="00A178BD" w14:paraId="11963135" w14:textId="77777777">
      <w:pPr>
        <w:ind w:firstLine="720"/>
      </w:pPr>
    </w:p>
    <w:p w:rsidR="0005775D" w:rsidP="00A178BD" w14:paraId="71DE95CE" w14:textId="0325ED63">
      <w:bookmarkStart w:id="3" w:name="_Hlk129850529"/>
      <w:r w:rsidRPr="0016318E">
        <w:t xml:space="preserve">These estimates </w:t>
      </w:r>
      <w:r>
        <w:t>reflect</w:t>
      </w:r>
      <w:r w:rsidRPr="0016318E">
        <w:t xml:space="preserve"> our </w:t>
      </w:r>
      <w:r>
        <w:t xml:space="preserve">continued </w:t>
      </w:r>
      <w:r w:rsidRPr="0016318E">
        <w:t xml:space="preserve">experience with </w:t>
      </w:r>
      <w:r>
        <w:t>the information collection</w:t>
      </w:r>
      <w:r w:rsidRPr="0016318E">
        <w:t xml:space="preserve">, related </w:t>
      </w:r>
      <w:r>
        <w:t xml:space="preserve">petition </w:t>
      </w:r>
      <w:r w:rsidRPr="0016318E">
        <w:t>submissions</w:t>
      </w:r>
      <w:r>
        <w:t>,</w:t>
      </w:r>
      <w:r w:rsidRPr="0016318E">
        <w:t xml:space="preserve"> and informal communications with industry.</w:t>
      </w:r>
      <w:r>
        <w:t xml:space="preserve"> </w:t>
      </w:r>
    </w:p>
    <w:p w:rsidR="006D117F" w:rsidRPr="00B6557F" w:rsidP="00A178BD" w14:paraId="44786951" w14:textId="080639A8">
      <w:pPr>
        <w:rPr>
          <w:bCs/>
        </w:rPr>
      </w:pPr>
      <w:r>
        <w:t xml:space="preserve"> </w:t>
      </w:r>
      <w:bookmarkEnd w:id="3"/>
    </w:p>
    <w:p w:rsidR="00357C8A" w:rsidRPr="00A178BD" w:rsidP="00A178BD" w14:paraId="5A6D2EA0" w14:textId="77777777">
      <w:pPr>
        <w:rPr>
          <w:rFonts w:eastAsia="Calibri"/>
          <w:i/>
          <w:iCs/>
        </w:rPr>
      </w:pPr>
      <w:r w:rsidRPr="00A178BD">
        <w:rPr>
          <w:rFonts w:eastAsia="Calibri"/>
          <w:i/>
          <w:iCs/>
        </w:rPr>
        <w:t>12b.  Annualized Cost Burden Estimate</w:t>
      </w:r>
    </w:p>
    <w:p w:rsidR="00A833FE" w:rsidP="00A178BD" w14:paraId="3497359A" w14:textId="77777777">
      <w:pPr>
        <w:rPr>
          <w:rFonts w:eastAsia="Calibri"/>
        </w:rPr>
      </w:pPr>
    </w:p>
    <w:p w:rsidR="00357C8A" w:rsidP="00A178BD" w14:paraId="29A2A70A" w14:textId="60EE64A0">
      <w:pPr>
        <w:rPr>
          <w:rFonts w:eastAsia="Calibri"/>
        </w:rPr>
      </w:pPr>
      <w:r w:rsidRPr="00BA2C03">
        <w:rPr>
          <w:rFonts w:eastAsia="Calibri"/>
        </w:rPr>
        <w:t>We estimate that the total annualized cost burden to respondents associated with the</w:t>
      </w:r>
      <w:r w:rsidR="000C1E75">
        <w:rPr>
          <w:rFonts w:eastAsia="Calibri"/>
        </w:rPr>
        <w:t xml:space="preserve"> </w:t>
      </w:r>
      <w:r w:rsidRPr="00BA2C03">
        <w:rPr>
          <w:rFonts w:eastAsia="Calibri"/>
        </w:rPr>
        <w:t>requirements of part</w:t>
      </w:r>
      <w:r w:rsidR="00D10DA2">
        <w:rPr>
          <w:rFonts w:eastAsia="Calibri"/>
        </w:rPr>
        <w:t>s</w:t>
      </w:r>
      <w:r w:rsidRPr="00BA2C03">
        <w:rPr>
          <w:rFonts w:eastAsia="Calibri"/>
        </w:rPr>
        <w:t xml:space="preserve"> 101</w:t>
      </w:r>
      <w:r w:rsidR="00D10DA2">
        <w:rPr>
          <w:rFonts w:eastAsia="Calibri"/>
        </w:rPr>
        <w:t>, 102, 104, and 105</w:t>
      </w:r>
      <w:r w:rsidRPr="00BA2C03">
        <w:rPr>
          <w:rFonts w:eastAsia="Calibri"/>
        </w:rPr>
        <w:t xml:space="preserve"> of the regulations to be approximately $</w:t>
      </w:r>
      <w:r w:rsidRPr="00915F3B" w:rsidR="00915F3B">
        <w:rPr>
          <w:rFonts w:eastAsia="Calibri"/>
        </w:rPr>
        <w:t>225,516,725</w:t>
      </w:r>
      <w:bookmarkStart w:id="4" w:name="_Hlk129849714"/>
      <w:r w:rsidRPr="00BA2C03">
        <w:rPr>
          <w:rFonts w:eastAsia="Calibri"/>
        </w:rPr>
        <w:t xml:space="preserve">. </w:t>
      </w:r>
      <w:r w:rsidR="000C1E75">
        <w:rPr>
          <w:rFonts w:eastAsia="Calibri"/>
        </w:rPr>
        <w:t xml:space="preserve"> </w:t>
      </w:r>
      <w:r w:rsidRPr="00BA2C03">
        <w:rPr>
          <w:rFonts w:eastAsia="Calibri"/>
        </w:rPr>
        <w:t>We</w:t>
      </w:r>
      <w:r w:rsidR="000C1E75">
        <w:rPr>
          <w:rFonts w:eastAsia="Calibri"/>
        </w:rPr>
        <w:t xml:space="preserve"> </w:t>
      </w:r>
      <w:r w:rsidRPr="00BA2C03">
        <w:rPr>
          <w:rFonts w:eastAsia="Calibri"/>
        </w:rPr>
        <w:t xml:space="preserve">estimate a respondent’s average wage to be commensurate to that of a </w:t>
      </w:r>
      <w:r w:rsidRPr="00BA2C03" w:rsidR="000C1E75">
        <w:rPr>
          <w:rFonts w:eastAsia="Calibri"/>
        </w:rPr>
        <w:t>federal</w:t>
      </w:r>
      <w:r w:rsidR="000C1E75">
        <w:rPr>
          <w:rFonts w:eastAsia="Calibri"/>
        </w:rPr>
        <w:t xml:space="preserve"> </w:t>
      </w:r>
      <w:r w:rsidRPr="00BA2C03">
        <w:rPr>
          <w:rFonts w:eastAsia="Calibri"/>
        </w:rPr>
        <w:t>government employee at the GS-13/Step-1 rate for the Washington-Baltimore locality</w:t>
      </w:r>
      <w:r w:rsidR="000C1E75">
        <w:rPr>
          <w:rFonts w:eastAsia="Calibri"/>
        </w:rPr>
        <w:t xml:space="preserve"> </w:t>
      </w:r>
      <w:r w:rsidRPr="00BA2C03">
        <w:rPr>
          <w:rFonts w:eastAsia="Calibri"/>
        </w:rPr>
        <w:t>pay area for the year 202</w:t>
      </w:r>
      <w:r w:rsidR="006D117F">
        <w:rPr>
          <w:rFonts w:eastAsia="Calibri"/>
        </w:rPr>
        <w:t>3</w:t>
      </w:r>
      <w:r w:rsidRPr="00BA2C03">
        <w:rPr>
          <w:rFonts w:eastAsia="Calibri"/>
        </w:rPr>
        <w:t>, $</w:t>
      </w:r>
      <w:r w:rsidR="006D117F">
        <w:rPr>
          <w:rFonts w:eastAsia="Calibri"/>
        </w:rPr>
        <w:t>53</w:t>
      </w:r>
      <w:r w:rsidRPr="00BA2C03">
        <w:rPr>
          <w:rFonts w:eastAsia="Calibri"/>
        </w:rPr>
        <w:t>.</w:t>
      </w:r>
      <w:r w:rsidR="006D117F">
        <w:rPr>
          <w:rFonts w:eastAsia="Calibri"/>
        </w:rPr>
        <w:t>67</w:t>
      </w:r>
      <w:r w:rsidRPr="00BA2C03">
        <w:rPr>
          <w:rFonts w:eastAsia="Calibri"/>
        </w:rPr>
        <w:t xml:space="preserve"> per hour. </w:t>
      </w:r>
      <w:r w:rsidR="000C1E75">
        <w:rPr>
          <w:rFonts w:eastAsia="Calibri"/>
        </w:rPr>
        <w:t xml:space="preserve"> </w:t>
      </w:r>
      <w:r w:rsidRPr="00BA2C03">
        <w:rPr>
          <w:rFonts w:eastAsia="Calibri"/>
        </w:rPr>
        <w:t>To account for overhead, this cost is</w:t>
      </w:r>
      <w:r w:rsidR="000C1E75">
        <w:rPr>
          <w:rFonts w:eastAsia="Calibri"/>
        </w:rPr>
        <w:t xml:space="preserve"> </w:t>
      </w:r>
      <w:r w:rsidRPr="00BA2C03">
        <w:rPr>
          <w:rFonts w:eastAsia="Calibri"/>
        </w:rPr>
        <w:t>increased by 100 percent, making the estimated cost burden to the respondent $</w:t>
      </w:r>
      <w:r w:rsidR="006D117F">
        <w:rPr>
          <w:rFonts w:eastAsia="Calibri"/>
        </w:rPr>
        <w:t>107.3</w:t>
      </w:r>
      <w:r w:rsidR="00F8770A">
        <w:rPr>
          <w:rFonts w:eastAsia="Calibri"/>
        </w:rPr>
        <w:t>4</w:t>
      </w:r>
      <w:r w:rsidRPr="00BA2C03">
        <w:rPr>
          <w:rFonts w:eastAsia="Calibri"/>
        </w:rPr>
        <w:t xml:space="preserve"> per</w:t>
      </w:r>
      <w:r w:rsidR="000C1E75">
        <w:rPr>
          <w:rFonts w:eastAsia="Calibri"/>
        </w:rPr>
        <w:t xml:space="preserve"> </w:t>
      </w:r>
      <w:r w:rsidRPr="00BA2C03">
        <w:rPr>
          <w:rFonts w:eastAsia="Calibri"/>
        </w:rPr>
        <w:t xml:space="preserve">hour. </w:t>
      </w:r>
      <w:bookmarkEnd w:id="4"/>
      <w:r w:rsidR="000C1E75">
        <w:rPr>
          <w:rFonts w:eastAsia="Calibri"/>
        </w:rPr>
        <w:t xml:space="preserve"> </w:t>
      </w:r>
      <w:r w:rsidRPr="00BA2C03">
        <w:rPr>
          <w:rFonts w:eastAsia="Calibri"/>
        </w:rPr>
        <w:t xml:space="preserve">Using these figures, the agency </w:t>
      </w:r>
      <w:r w:rsidR="00F8770A">
        <w:rPr>
          <w:rFonts w:eastAsia="Calibri"/>
        </w:rPr>
        <w:t>calculates</w:t>
      </w:r>
      <w:r w:rsidRPr="00BA2C03" w:rsidR="00F8770A">
        <w:rPr>
          <w:rFonts w:eastAsia="Calibri"/>
        </w:rPr>
        <w:t xml:space="preserve"> </w:t>
      </w:r>
      <w:r w:rsidRPr="00BA2C03">
        <w:rPr>
          <w:rFonts w:eastAsia="Calibri"/>
        </w:rPr>
        <w:t>the cost burden for reporting to be</w:t>
      </w:r>
      <w:r w:rsidR="000C1E75">
        <w:rPr>
          <w:rFonts w:eastAsia="Calibri"/>
        </w:rPr>
        <w:t xml:space="preserve"> </w:t>
      </w:r>
      <w:r w:rsidRPr="00BA2C03">
        <w:rPr>
          <w:rFonts w:eastAsia="Calibri"/>
        </w:rPr>
        <w:t>$</w:t>
      </w:r>
      <w:r w:rsidR="00F8770A">
        <w:rPr>
          <w:rFonts w:eastAsia="Calibri"/>
        </w:rPr>
        <w:t>8,654,073</w:t>
      </w:r>
      <w:r w:rsidRPr="00BA2C03">
        <w:rPr>
          <w:rFonts w:eastAsia="Calibri"/>
        </w:rPr>
        <w:t xml:space="preserve"> (80,</w:t>
      </w:r>
      <w:r w:rsidR="00F8770A">
        <w:rPr>
          <w:rFonts w:eastAsia="Calibri"/>
        </w:rPr>
        <w:t>623</w:t>
      </w:r>
      <w:r w:rsidRPr="00BA2C03">
        <w:rPr>
          <w:rFonts w:eastAsia="Calibri"/>
        </w:rPr>
        <w:t xml:space="preserve"> hours x $</w:t>
      </w:r>
      <w:r w:rsidR="00E30E01">
        <w:rPr>
          <w:rFonts w:eastAsia="Calibri"/>
        </w:rPr>
        <w:t>107.34</w:t>
      </w:r>
      <w:r w:rsidRPr="00BA2C03">
        <w:rPr>
          <w:rFonts w:eastAsia="Calibri"/>
        </w:rPr>
        <w:t xml:space="preserve"> per hour), the burden hour cost for recordkeeping</w:t>
      </w:r>
      <w:r w:rsidR="000C1E75">
        <w:rPr>
          <w:rFonts w:eastAsia="Calibri"/>
        </w:rPr>
        <w:t xml:space="preserve"> </w:t>
      </w:r>
      <w:r w:rsidRPr="00BA2C03">
        <w:rPr>
          <w:rFonts w:eastAsia="Calibri"/>
        </w:rPr>
        <w:t>to be $</w:t>
      </w:r>
      <w:r w:rsidR="00E30E01">
        <w:rPr>
          <w:rFonts w:eastAsia="Calibri"/>
        </w:rPr>
        <w:t>106</w:t>
      </w:r>
      <w:r w:rsidRPr="00BA2C03">
        <w:rPr>
          <w:rFonts w:eastAsia="Calibri"/>
        </w:rPr>
        <w:t>,</w:t>
      </w:r>
      <w:r w:rsidR="00E30E01">
        <w:rPr>
          <w:rFonts w:eastAsia="Calibri"/>
        </w:rPr>
        <w:t>273</w:t>
      </w:r>
      <w:r w:rsidRPr="00BA2C03">
        <w:rPr>
          <w:rFonts w:eastAsia="Calibri"/>
        </w:rPr>
        <w:t>,</w:t>
      </w:r>
      <w:r w:rsidR="00E30E01">
        <w:rPr>
          <w:rFonts w:eastAsia="Calibri"/>
        </w:rPr>
        <w:t>470</w:t>
      </w:r>
      <w:r w:rsidRPr="00BA2C03">
        <w:rPr>
          <w:rFonts w:eastAsia="Calibri"/>
        </w:rPr>
        <w:t xml:space="preserve"> (</w:t>
      </w:r>
      <w:r w:rsidR="00E30E01">
        <w:rPr>
          <w:rFonts w:eastAsia="Calibri"/>
        </w:rPr>
        <w:t>990</w:t>
      </w:r>
      <w:r w:rsidRPr="00BA2C03">
        <w:rPr>
          <w:rFonts w:eastAsia="Calibri"/>
        </w:rPr>
        <w:t>,064 hours x $</w:t>
      </w:r>
      <w:r w:rsidR="00E30E01">
        <w:rPr>
          <w:rFonts w:eastAsia="Calibri"/>
        </w:rPr>
        <w:t>107.34</w:t>
      </w:r>
      <w:r w:rsidRPr="00BA2C03">
        <w:rPr>
          <w:rFonts w:eastAsia="Calibri"/>
        </w:rPr>
        <w:t xml:space="preserve"> per hour)</w:t>
      </w:r>
      <w:r w:rsidR="00F8770A">
        <w:rPr>
          <w:rFonts w:eastAsia="Calibri"/>
        </w:rPr>
        <w:t>,</w:t>
      </w:r>
      <w:r w:rsidRPr="00BA2C03">
        <w:rPr>
          <w:rFonts w:eastAsia="Calibri"/>
        </w:rPr>
        <w:t xml:space="preserve"> and, the cost burden for third</w:t>
      </w:r>
      <w:r w:rsidR="000C1E75">
        <w:rPr>
          <w:rFonts w:eastAsia="Calibri"/>
        </w:rPr>
        <w:t>-</w:t>
      </w:r>
      <w:r w:rsidRPr="00BA2C03">
        <w:rPr>
          <w:rFonts w:eastAsia="Calibri"/>
        </w:rPr>
        <w:t>party</w:t>
      </w:r>
      <w:r w:rsidR="000C1E75">
        <w:rPr>
          <w:rFonts w:eastAsia="Calibri"/>
        </w:rPr>
        <w:t xml:space="preserve"> </w:t>
      </w:r>
      <w:r w:rsidRPr="00BA2C03">
        <w:rPr>
          <w:rFonts w:eastAsia="Calibri"/>
        </w:rPr>
        <w:t>disclosure to be $1</w:t>
      </w:r>
      <w:r w:rsidR="00E30E01">
        <w:rPr>
          <w:rFonts w:eastAsia="Calibri"/>
        </w:rPr>
        <w:t>10</w:t>
      </w:r>
      <w:r w:rsidRPr="00BA2C03">
        <w:rPr>
          <w:rFonts w:eastAsia="Calibri"/>
        </w:rPr>
        <w:t>,</w:t>
      </w:r>
      <w:r w:rsidR="00E30E01">
        <w:rPr>
          <w:rFonts w:eastAsia="Calibri"/>
        </w:rPr>
        <w:t>5</w:t>
      </w:r>
      <w:r w:rsidR="0064145C">
        <w:rPr>
          <w:rFonts w:eastAsia="Calibri"/>
        </w:rPr>
        <w:t>89</w:t>
      </w:r>
      <w:r w:rsidRPr="00BA2C03">
        <w:rPr>
          <w:rFonts w:eastAsia="Calibri"/>
        </w:rPr>
        <w:t>,</w:t>
      </w:r>
      <w:r w:rsidR="0064145C">
        <w:rPr>
          <w:rFonts w:eastAsia="Calibri"/>
        </w:rPr>
        <w:t>182</w:t>
      </w:r>
      <w:r w:rsidRPr="00BA2C03">
        <w:rPr>
          <w:rFonts w:eastAsia="Calibri"/>
        </w:rPr>
        <w:t xml:space="preserve"> (1,030,2</w:t>
      </w:r>
      <w:r w:rsidR="0064145C">
        <w:rPr>
          <w:rFonts w:eastAsia="Calibri"/>
        </w:rPr>
        <w:t>70</w:t>
      </w:r>
      <w:r w:rsidRPr="00BA2C03">
        <w:rPr>
          <w:rFonts w:eastAsia="Calibri"/>
        </w:rPr>
        <w:t xml:space="preserve"> hours x $</w:t>
      </w:r>
      <w:r w:rsidR="00D05437">
        <w:rPr>
          <w:rFonts w:eastAsia="Calibri"/>
        </w:rPr>
        <w:t>107</w:t>
      </w:r>
      <w:r w:rsidRPr="00BA2C03">
        <w:rPr>
          <w:rFonts w:eastAsia="Calibri"/>
        </w:rPr>
        <w:t>.3</w:t>
      </w:r>
      <w:r w:rsidR="00D05437">
        <w:rPr>
          <w:rFonts w:eastAsia="Calibri"/>
        </w:rPr>
        <w:t>4</w:t>
      </w:r>
      <w:r w:rsidRPr="00BA2C03">
        <w:rPr>
          <w:rFonts w:eastAsia="Calibri"/>
        </w:rPr>
        <w:t xml:space="preserve"> per hour), for a total</w:t>
      </w:r>
      <w:r w:rsidR="000C1E75">
        <w:rPr>
          <w:rFonts w:eastAsia="Calibri"/>
        </w:rPr>
        <w:t xml:space="preserve"> </w:t>
      </w:r>
      <w:r w:rsidRPr="00BA2C03">
        <w:rPr>
          <w:rFonts w:eastAsia="Calibri"/>
        </w:rPr>
        <w:t>annualized burden hour cost of $</w:t>
      </w:r>
      <w:r w:rsidRPr="00915F3B" w:rsidR="00915F3B">
        <w:rPr>
          <w:rFonts w:eastAsia="Calibri"/>
        </w:rPr>
        <w:t>225,516,725</w:t>
      </w:r>
      <w:r w:rsidRPr="00BA2C03">
        <w:rPr>
          <w:rFonts w:eastAsia="Calibri"/>
        </w:rPr>
        <w:t>.</w:t>
      </w:r>
    </w:p>
    <w:p w:rsidR="00A707CC" w:rsidP="00A178BD" w14:paraId="5FEEE839" w14:textId="77777777">
      <w:pPr>
        <w:rPr>
          <w:rFonts w:eastAsia="Calibri"/>
        </w:rPr>
      </w:pPr>
    </w:p>
    <w:p w:rsidR="00AD6D59" w:rsidRPr="006500E3" w:rsidP="00A178BD" w14:paraId="6B4FB862" w14:textId="77777777">
      <w:pPr>
        <w:jc w:val="center"/>
        <w:rPr>
          <w:rFonts w:eastAsia="Calibri"/>
          <w:sz w:val="20"/>
          <w:szCs w:val="20"/>
        </w:rPr>
      </w:pPr>
      <w:r w:rsidRPr="006500E3">
        <w:rPr>
          <w:rFonts w:eastAsia="Calibri"/>
          <w:sz w:val="20"/>
          <w:szCs w:val="20"/>
        </w:rPr>
        <w:t>Table 4.--Estimated Annual</w:t>
      </w:r>
      <w:r w:rsidR="00AF7BB8">
        <w:rPr>
          <w:rFonts w:eastAsia="Calibri"/>
          <w:sz w:val="20"/>
          <w:szCs w:val="20"/>
        </w:rPr>
        <w:t xml:space="preserve"> Cost</w:t>
      </w:r>
      <w:r w:rsidRPr="006500E3">
        <w:rPr>
          <w:rFonts w:eastAsia="Calibri"/>
          <w:sz w:val="20"/>
          <w:szCs w:val="20"/>
        </w:rPr>
        <w:t xml:space="preserve"> Burden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250"/>
        <w:gridCol w:w="1890"/>
        <w:gridCol w:w="2183"/>
      </w:tblGrid>
      <w:tr w14:paraId="296417AB" w14:textId="77777777" w:rsidTr="00AD0B98">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90" w:type="dxa"/>
            <w:shd w:val="clear" w:color="auto" w:fill="auto"/>
          </w:tcPr>
          <w:p w:rsidR="00A707CC" w:rsidRPr="006500E3" w:rsidP="00A178BD" w14:paraId="6C617418" w14:textId="77777777">
            <w:pPr>
              <w:rPr>
                <w:sz w:val="20"/>
                <w:szCs w:val="20"/>
              </w:rPr>
            </w:pPr>
            <w:r w:rsidRPr="006500E3">
              <w:rPr>
                <w:sz w:val="20"/>
                <w:szCs w:val="20"/>
              </w:rPr>
              <w:t>Activit</w:t>
            </w:r>
            <w:r w:rsidRPr="006500E3" w:rsidR="00A1060C">
              <w:rPr>
                <w:sz w:val="20"/>
                <w:szCs w:val="20"/>
              </w:rPr>
              <w:t>y</w:t>
            </w:r>
          </w:p>
        </w:tc>
        <w:tc>
          <w:tcPr>
            <w:tcW w:w="2250" w:type="dxa"/>
            <w:shd w:val="clear" w:color="auto" w:fill="auto"/>
          </w:tcPr>
          <w:p w:rsidR="00A707CC" w:rsidRPr="006500E3" w:rsidP="00A178BD" w14:paraId="71AFBD85" w14:textId="77777777">
            <w:pPr>
              <w:jc w:val="center"/>
              <w:rPr>
                <w:sz w:val="20"/>
                <w:szCs w:val="20"/>
              </w:rPr>
            </w:pPr>
            <w:r w:rsidRPr="006500E3">
              <w:rPr>
                <w:sz w:val="20"/>
                <w:szCs w:val="20"/>
              </w:rPr>
              <w:t>Total Burden Hours</w:t>
            </w:r>
          </w:p>
        </w:tc>
        <w:tc>
          <w:tcPr>
            <w:tcW w:w="1890" w:type="dxa"/>
            <w:shd w:val="clear" w:color="auto" w:fill="auto"/>
          </w:tcPr>
          <w:p w:rsidR="00A707CC" w:rsidRPr="006500E3" w:rsidP="00A178BD" w14:paraId="7E067A71" w14:textId="77777777">
            <w:pPr>
              <w:jc w:val="center"/>
              <w:rPr>
                <w:sz w:val="20"/>
                <w:szCs w:val="20"/>
              </w:rPr>
            </w:pPr>
            <w:r w:rsidRPr="006500E3">
              <w:rPr>
                <w:sz w:val="20"/>
                <w:szCs w:val="20"/>
              </w:rPr>
              <w:t>Hourly Wage Rate</w:t>
            </w:r>
          </w:p>
        </w:tc>
        <w:tc>
          <w:tcPr>
            <w:tcW w:w="2183" w:type="dxa"/>
            <w:shd w:val="clear" w:color="auto" w:fill="auto"/>
          </w:tcPr>
          <w:p w:rsidR="00A707CC" w:rsidRPr="006500E3" w:rsidP="00A178BD" w14:paraId="59944D3E" w14:textId="77777777">
            <w:pPr>
              <w:jc w:val="center"/>
              <w:rPr>
                <w:sz w:val="20"/>
                <w:szCs w:val="20"/>
              </w:rPr>
            </w:pPr>
            <w:r w:rsidRPr="006500E3">
              <w:rPr>
                <w:sz w:val="20"/>
                <w:szCs w:val="20"/>
              </w:rPr>
              <w:t>Total Respondent Costs</w:t>
            </w:r>
          </w:p>
        </w:tc>
      </w:tr>
      <w:tr w14:paraId="36BBFD1B" w14:textId="77777777" w:rsidTr="00AD0B98">
        <w:tblPrEx>
          <w:tblW w:w="0" w:type="auto"/>
          <w:tblInd w:w="-5" w:type="dxa"/>
          <w:tblLook w:val="01E0"/>
        </w:tblPrEx>
        <w:tc>
          <w:tcPr>
            <w:tcW w:w="2790" w:type="dxa"/>
            <w:shd w:val="clear" w:color="auto" w:fill="auto"/>
          </w:tcPr>
          <w:p w:rsidR="00A707CC" w:rsidRPr="006500E3" w:rsidP="00A178BD" w14:paraId="7FECD448" w14:textId="77777777">
            <w:pPr>
              <w:rPr>
                <w:sz w:val="20"/>
                <w:szCs w:val="20"/>
              </w:rPr>
            </w:pPr>
            <w:r w:rsidRPr="006500E3">
              <w:rPr>
                <w:sz w:val="20"/>
                <w:szCs w:val="20"/>
              </w:rPr>
              <w:t>Reporting</w:t>
            </w:r>
          </w:p>
        </w:tc>
        <w:tc>
          <w:tcPr>
            <w:tcW w:w="2250" w:type="dxa"/>
            <w:shd w:val="clear" w:color="auto" w:fill="auto"/>
          </w:tcPr>
          <w:p w:rsidR="00A707CC" w:rsidRPr="006500E3" w:rsidP="00A178BD" w14:paraId="3B98D434" w14:textId="77777777">
            <w:pPr>
              <w:jc w:val="right"/>
              <w:rPr>
                <w:sz w:val="20"/>
                <w:szCs w:val="20"/>
              </w:rPr>
            </w:pPr>
            <w:r w:rsidRPr="006500E3">
              <w:rPr>
                <w:sz w:val="20"/>
                <w:szCs w:val="20"/>
              </w:rPr>
              <w:t>80,</w:t>
            </w:r>
            <w:r w:rsidR="00915F3B">
              <w:rPr>
                <w:sz w:val="20"/>
                <w:szCs w:val="20"/>
              </w:rPr>
              <w:t>623</w:t>
            </w:r>
          </w:p>
        </w:tc>
        <w:tc>
          <w:tcPr>
            <w:tcW w:w="1890" w:type="dxa"/>
            <w:shd w:val="clear" w:color="auto" w:fill="auto"/>
          </w:tcPr>
          <w:p w:rsidR="00A707CC" w:rsidRPr="006500E3" w:rsidP="00A178BD" w14:paraId="7111A714" w14:textId="77777777">
            <w:pPr>
              <w:jc w:val="right"/>
              <w:rPr>
                <w:sz w:val="20"/>
                <w:szCs w:val="20"/>
              </w:rPr>
            </w:pPr>
            <w:r w:rsidRPr="006500E3">
              <w:rPr>
                <w:sz w:val="20"/>
                <w:szCs w:val="20"/>
              </w:rPr>
              <w:t>$</w:t>
            </w:r>
            <w:r w:rsidRPr="006500E3" w:rsidR="00D05437">
              <w:rPr>
                <w:sz w:val="20"/>
                <w:szCs w:val="20"/>
              </w:rPr>
              <w:t>107</w:t>
            </w:r>
            <w:r w:rsidRPr="006500E3">
              <w:rPr>
                <w:sz w:val="20"/>
                <w:szCs w:val="20"/>
              </w:rPr>
              <w:t>.3</w:t>
            </w:r>
            <w:r w:rsidRPr="006500E3" w:rsidR="00D05437">
              <w:rPr>
                <w:sz w:val="20"/>
                <w:szCs w:val="20"/>
              </w:rPr>
              <w:t>4</w:t>
            </w:r>
          </w:p>
        </w:tc>
        <w:tc>
          <w:tcPr>
            <w:tcW w:w="2183" w:type="dxa"/>
            <w:shd w:val="clear" w:color="auto" w:fill="auto"/>
          </w:tcPr>
          <w:p w:rsidR="00A707CC" w:rsidRPr="006500E3" w:rsidP="00A178BD" w14:paraId="4D43A273" w14:textId="77777777">
            <w:pPr>
              <w:jc w:val="right"/>
              <w:rPr>
                <w:sz w:val="20"/>
                <w:szCs w:val="20"/>
              </w:rPr>
            </w:pPr>
            <w:r w:rsidRPr="006500E3">
              <w:rPr>
                <w:sz w:val="20"/>
                <w:szCs w:val="20"/>
              </w:rPr>
              <w:t>$</w:t>
            </w:r>
            <w:r w:rsidR="00F8770A">
              <w:rPr>
                <w:sz w:val="20"/>
                <w:szCs w:val="20"/>
              </w:rPr>
              <w:t>8,654,073</w:t>
            </w:r>
          </w:p>
        </w:tc>
      </w:tr>
      <w:tr w14:paraId="709BDD82" w14:textId="77777777" w:rsidTr="00AD0B98">
        <w:tblPrEx>
          <w:tblW w:w="0" w:type="auto"/>
          <w:tblInd w:w="-5" w:type="dxa"/>
          <w:tblLook w:val="01E0"/>
        </w:tblPrEx>
        <w:tc>
          <w:tcPr>
            <w:tcW w:w="2790" w:type="dxa"/>
            <w:shd w:val="clear" w:color="auto" w:fill="auto"/>
          </w:tcPr>
          <w:p w:rsidR="00BA2C03" w:rsidRPr="006500E3" w:rsidP="00A178BD" w14:paraId="64E9BACA" w14:textId="77777777">
            <w:pPr>
              <w:rPr>
                <w:sz w:val="20"/>
                <w:szCs w:val="20"/>
              </w:rPr>
            </w:pPr>
            <w:r w:rsidRPr="006500E3">
              <w:rPr>
                <w:sz w:val="20"/>
                <w:szCs w:val="20"/>
              </w:rPr>
              <w:t>Recordkeeping</w:t>
            </w:r>
          </w:p>
        </w:tc>
        <w:tc>
          <w:tcPr>
            <w:tcW w:w="2250" w:type="dxa"/>
            <w:shd w:val="clear" w:color="auto" w:fill="auto"/>
          </w:tcPr>
          <w:p w:rsidR="00BA2C03" w:rsidRPr="006500E3" w:rsidP="00A178BD" w14:paraId="75AFCA3F" w14:textId="77777777">
            <w:pPr>
              <w:jc w:val="right"/>
              <w:rPr>
                <w:sz w:val="20"/>
                <w:szCs w:val="20"/>
              </w:rPr>
            </w:pPr>
            <w:r w:rsidRPr="006500E3">
              <w:rPr>
                <w:sz w:val="20"/>
                <w:szCs w:val="20"/>
              </w:rPr>
              <w:t>990</w:t>
            </w:r>
            <w:r w:rsidRPr="006500E3">
              <w:rPr>
                <w:sz w:val="20"/>
                <w:szCs w:val="20"/>
              </w:rPr>
              <w:t>,064</w:t>
            </w:r>
          </w:p>
        </w:tc>
        <w:tc>
          <w:tcPr>
            <w:tcW w:w="1890" w:type="dxa"/>
            <w:shd w:val="clear" w:color="auto" w:fill="auto"/>
          </w:tcPr>
          <w:p w:rsidR="00BA2C03" w:rsidRPr="006500E3" w:rsidP="00A178BD" w14:paraId="73EEBE2E" w14:textId="77777777">
            <w:pPr>
              <w:jc w:val="right"/>
              <w:rPr>
                <w:sz w:val="20"/>
                <w:szCs w:val="20"/>
              </w:rPr>
            </w:pPr>
            <w:r w:rsidRPr="006500E3">
              <w:rPr>
                <w:sz w:val="20"/>
                <w:szCs w:val="20"/>
              </w:rPr>
              <w:t>$</w:t>
            </w:r>
            <w:r w:rsidRPr="006500E3" w:rsidR="00D05437">
              <w:rPr>
                <w:sz w:val="20"/>
                <w:szCs w:val="20"/>
              </w:rPr>
              <w:t>107</w:t>
            </w:r>
            <w:r w:rsidRPr="006500E3">
              <w:rPr>
                <w:sz w:val="20"/>
                <w:szCs w:val="20"/>
              </w:rPr>
              <w:t>.3</w:t>
            </w:r>
            <w:r w:rsidRPr="006500E3" w:rsidR="00D05437">
              <w:rPr>
                <w:sz w:val="20"/>
                <w:szCs w:val="20"/>
              </w:rPr>
              <w:t>4</w:t>
            </w:r>
          </w:p>
        </w:tc>
        <w:tc>
          <w:tcPr>
            <w:tcW w:w="2183" w:type="dxa"/>
            <w:shd w:val="clear" w:color="auto" w:fill="auto"/>
          </w:tcPr>
          <w:p w:rsidR="00BA2C03" w:rsidRPr="006500E3" w:rsidP="00A178BD" w14:paraId="2902EF1C" w14:textId="77777777">
            <w:pPr>
              <w:jc w:val="right"/>
              <w:rPr>
                <w:sz w:val="20"/>
                <w:szCs w:val="20"/>
              </w:rPr>
            </w:pPr>
            <w:r w:rsidRPr="006500E3">
              <w:rPr>
                <w:sz w:val="20"/>
                <w:szCs w:val="20"/>
              </w:rPr>
              <w:t>$</w:t>
            </w:r>
            <w:r w:rsidRPr="006500E3" w:rsidR="00D05437">
              <w:rPr>
                <w:sz w:val="20"/>
                <w:szCs w:val="20"/>
              </w:rPr>
              <w:t>106</w:t>
            </w:r>
            <w:r w:rsidRPr="006500E3">
              <w:rPr>
                <w:sz w:val="20"/>
                <w:szCs w:val="20"/>
              </w:rPr>
              <w:t>,</w:t>
            </w:r>
            <w:r w:rsidRPr="006500E3" w:rsidR="00D05437">
              <w:rPr>
                <w:sz w:val="20"/>
                <w:szCs w:val="20"/>
              </w:rPr>
              <w:t>273</w:t>
            </w:r>
            <w:r w:rsidRPr="006500E3">
              <w:rPr>
                <w:sz w:val="20"/>
                <w:szCs w:val="20"/>
              </w:rPr>
              <w:t>,</w:t>
            </w:r>
            <w:r w:rsidRPr="006500E3" w:rsidR="00D05437">
              <w:rPr>
                <w:sz w:val="20"/>
                <w:szCs w:val="20"/>
              </w:rPr>
              <w:t>470</w:t>
            </w:r>
          </w:p>
        </w:tc>
      </w:tr>
      <w:tr w14:paraId="4B15050F" w14:textId="77777777" w:rsidTr="00AD0B98">
        <w:tblPrEx>
          <w:tblW w:w="0" w:type="auto"/>
          <w:tblInd w:w="-5" w:type="dxa"/>
          <w:tblLook w:val="01E0"/>
        </w:tblPrEx>
        <w:tc>
          <w:tcPr>
            <w:tcW w:w="2790" w:type="dxa"/>
            <w:shd w:val="clear" w:color="auto" w:fill="auto"/>
          </w:tcPr>
          <w:p w:rsidR="00BA2C03" w:rsidRPr="006500E3" w:rsidP="00A178BD" w14:paraId="268DCA5A" w14:textId="77777777">
            <w:pPr>
              <w:rPr>
                <w:sz w:val="20"/>
                <w:szCs w:val="20"/>
              </w:rPr>
            </w:pPr>
            <w:r w:rsidRPr="006500E3">
              <w:rPr>
                <w:sz w:val="20"/>
                <w:szCs w:val="20"/>
              </w:rPr>
              <w:t>Third-Party Disclosure</w:t>
            </w:r>
          </w:p>
        </w:tc>
        <w:tc>
          <w:tcPr>
            <w:tcW w:w="2250" w:type="dxa"/>
            <w:shd w:val="clear" w:color="auto" w:fill="auto"/>
          </w:tcPr>
          <w:p w:rsidR="00BA2C03" w:rsidRPr="006500E3" w:rsidP="00A178BD" w14:paraId="28989791" w14:textId="77777777">
            <w:pPr>
              <w:jc w:val="right"/>
              <w:rPr>
                <w:sz w:val="20"/>
                <w:szCs w:val="20"/>
              </w:rPr>
            </w:pPr>
            <w:r w:rsidRPr="006500E3">
              <w:rPr>
                <w:sz w:val="20"/>
                <w:szCs w:val="20"/>
              </w:rPr>
              <w:t>1,030,</w:t>
            </w:r>
            <w:r w:rsidRPr="006500E3" w:rsidR="00D05437">
              <w:rPr>
                <w:sz w:val="20"/>
                <w:szCs w:val="20"/>
              </w:rPr>
              <w:t>2</w:t>
            </w:r>
            <w:r w:rsidRPr="006500E3" w:rsidR="0064145C">
              <w:rPr>
                <w:sz w:val="20"/>
                <w:szCs w:val="20"/>
              </w:rPr>
              <w:t>70</w:t>
            </w:r>
          </w:p>
        </w:tc>
        <w:tc>
          <w:tcPr>
            <w:tcW w:w="1890" w:type="dxa"/>
            <w:shd w:val="clear" w:color="auto" w:fill="auto"/>
          </w:tcPr>
          <w:p w:rsidR="00BA2C03" w:rsidRPr="006500E3" w:rsidP="00A178BD" w14:paraId="00FB6A59" w14:textId="77777777">
            <w:pPr>
              <w:jc w:val="right"/>
              <w:rPr>
                <w:sz w:val="20"/>
                <w:szCs w:val="20"/>
              </w:rPr>
            </w:pPr>
            <w:r w:rsidRPr="006500E3">
              <w:rPr>
                <w:sz w:val="20"/>
                <w:szCs w:val="20"/>
              </w:rPr>
              <w:t>$</w:t>
            </w:r>
            <w:r w:rsidRPr="006500E3" w:rsidR="00D05437">
              <w:rPr>
                <w:sz w:val="20"/>
                <w:szCs w:val="20"/>
              </w:rPr>
              <w:t>107</w:t>
            </w:r>
            <w:r w:rsidRPr="006500E3">
              <w:rPr>
                <w:sz w:val="20"/>
                <w:szCs w:val="20"/>
              </w:rPr>
              <w:t>.3</w:t>
            </w:r>
            <w:r w:rsidRPr="006500E3" w:rsidR="00D05437">
              <w:rPr>
                <w:sz w:val="20"/>
                <w:szCs w:val="20"/>
              </w:rPr>
              <w:t>4</w:t>
            </w:r>
          </w:p>
        </w:tc>
        <w:tc>
          <w:tcPr>
            <w:tcW w:w="2183" w:type="dxa"/>
            <w:shd w:val="clear" w:color="auto" w:fill="auto"/>
          </w:tcPr>
          <w:p w:rsidR="00BA2C03" w:rsidRPr="006500E3" w:rsidP="00A178BD" w14:paraId="482B958C" w14:textId="77777777">
            <w:pPr>
              <w:jc w:val="right"/>
              <w:rPr>
                <w:sz w:val="20"/>
                <w:szCs w:val="20"/>
              </w:rPr>
            </w:pPr>
            <w:r w:rsidRPr="006500E3">
              <w:rPr>
                <w:sz w:val="20"/>
                <w:szCs w:val="20"/>
              </w:rPr>
              <w:t>$</w:t>
            </w:r>
            <w:r w:rsidRPr="006500E3" w:rsidR="00D05437">
              <w:rPr>
                <w:sz w:val="20"/>
                <w:szCs w:val="20"/>
              </w:rPr>
              <w:t>110</w:t>
            </w:r>
            <w:r w:rsidRPr="006500E3">
              <w:rPr>
                <w:sz w:val="20"/>
                <w:szCs w:val="20"/>
              </w:rPr>
              <w:t>,</w:t>
            </w:r>
            <w:r w:rsidRPr="006500E3" w:rsidR="00D05437">
              <w:rPr>
                <w:sz w:val="20"/>
                <w:szCs w:val="20"/>
              </w:rPr>
              <w:t>5</w:t>
            </w:r>
            <w:r w:rsidRPr="006500E3" w:rsidR="0064145C">
              <w:rPr>
                <w:sz w:val="20"/>
                <w:szCs w:val="20"/>
              </w:rPr>
              <w:t>89</w:t>
            </w:r>
            <w:r w:rsidR="00915F3B">
              <w:rPr>
                <w:sz w:val="20"/>
                <w:szCs w:val="20"/>
              </w:rPr>
              <w:t>,</w:t>
            </w:r>
            <w:r w:rsidRPr="006500E3" w:rsidR="0064145C">
              <w:rPr>
                <w:sz w:val="20"/>
                <w:szCs w:val="20"/>
              </w:rPr>
              <w:t>182</w:t>
            </w:r>
          </w:p>
        </w:tc>
      </w:tr>
      <w:tr w14:paraId="204462F0" w14:textId="77777777" w:rsidTr="00AD0B98">
        <w:tblPrEx>
          <w:tblW w:w="0" w:type="auto"/>
          <w:tblInd w:w="-5" w:type="dxa"/>
          <w:tblLook w:val="01E0"/>
        </w:tblPrEx>
        <w:tc>
          <w:tcPr>
            <w:tcW w:w="6930" w:type="dxa"/>
            <w:gridSpan w:val="3"/>
            <w:shd w:val="clear" w:color="auto" w:fill="auto"/>
          </w:tcPr>
          <w:p w:rsidR="00A707CC" w:rsidRPr="006500E3" w:rsidP="00A178BD" w14:paraId="006FF6A8" w14:textId="77777777">
            <w:pPr>
              <w:rPr>
                <w:sz w:val="20"/>
                <w:szCs w:val="20"/>
              </w:rPr>
            </w:pPr>
            <w:r w:rsidRPr="006500E3">
              <w:rPr>
                <w:sz w:val="20"/>
                <w:szCs w:val="20"/>
              </w:rPr>
              <w:t>Total</w:t>
            </w:r>
          </w:p>
        </w:tc>
        <w:tc>
          <w:tcPr>
            <w:tcW w:w="2183" w:type="dxa"/>
            <w:shd w:val="clear" w:color="auto" w:fill="auto"/>
          </w:tcPr>
          <w:p w:rsidR="00A707CC" w:rsidRPr="006500E3" w:rsidP="00A178BD" w14:paraId="62563537" w14:textId="77777777">
            <w:pPr>
              <w:jc w:val="right"/>
              <w:rPr>
                <w:sz w:val="20"/>
                <w:szCs w:val="20"/>
              </w:rPr>
            </w:pPr>
            <w:r w:rsidRPr="006500E3">
              <w:rPr>
                <w:sz w:val="20"/>
                <w:szCs w:val="20"/>
              </w:rPr>
              <w:t>$</w:t>
            </w:r>
            <w:bookmarkStart w:id="5" w:name="_Hlk139552583"/>
            <w:r w:rsidR="00915F3B">
              <w:rPr>
                <w:sz w:val="20"/>
                <w:szCs w:val="20"/>
              </w:rPr>
              <w:t>225,516,725</w:t>
            </w:r>
            <w:bookmarkEnd w:id="5"/>
          </w:p>
        </w:tc>
      </w:tr>
    </w:tbl>
    <w:p w:rsidR="00357C8A" w:rsidRPr="00357C8A" w:rsidP="00A178BD" w14:paraId="7A945BF6" w14:textId="77777777">
      <w:pPr>
        <w:rPr>
          <w:rFonts w:eastAsia="Calibri"/>
        </w:rPr>
      </w:pPr>
    </w:p>
    <w:p w:rsidR="00357C8A" w:rsidRPr="00357C8A" w:rsidP="00A178BD" w14:paraId="2898F736" w14:textId="77777777">
      <w:pPr>
        <w:numPr>
          <w:ilvl w:val="0"/>
          <w:numId w:val="6"/>
        </w:numPr>
        <w:spacing w:line="276" w:lineRule="auto"/>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9C2D5C" w:rsidP="00A178BD" w14:paraId="6E252646" w14:textId="77777777">
      <w:pPr>
        <w:rPr>
          <w:rFonts w:eastAsia="Calibri"/>
        </w:rPr>
      </w:pPr>
    </w:p>
    <w:p w:rsidR="009C2D5C" w:rsidP="00A178BD" w14:paraId="2EF07492" w14:textId="77777777">
      <w:pPr>
        <w:rPr>
          <w:rFonts w:eastAsia="Calibri"/>
        </w:rPr>
      </w:pPr>
      <w:r w:rsidRPr="000C1E75">
        <w:rPr>
          <w:rFonts w:eastAsia="Calibri"/>
        </w:rPr>
        <w:t>There are no capital, start-up, operating, or maintenance costs associated with this collection.</w:t>
      </w:r>
    </w:p>
    <w:p w:rsidR="0022425B" w:rsidP="00A178BD" w14:paraId="0F509C6D" w14:textId="223A3ADA">
      <w:pPr>
        <w:rPr>
          <w:rFonts w:eastAsia="Calibri"/>
          <w:u w:val="single"/>
        </w:rPr>
      </w:pPr>
      <w:r w:rsidRPr="000C1E75">
        <w:rPr>
          <w:rFonts w:eastAsia="Calibri"/>
        </w:rPr>
        <w:t xml:space="preserve"> </w:t>
      </w:r>
    </w:p>
    <w:p w:rsidR="00357C8A" w:rsidRPr="00357C8A" w:rsidP="00A178BD" w14:paraId="228DB1DB" w14:textId="77777777">
      <w:pPr>
        <w:numPr>
          <w:ilvl w:val="0"/>
          <w:numId w:val="6"/>
        </w:numPr>
        <w:spacing w:line="276" w:lineRule="auto"/>
        <w:ind w:left="0"/>
        <w:rPr>
          <w:rFonts w:eastAsia="Calibri"/>
          <w:u w:val="single"/>
        </w:rPr>
      </w:pPr>
      <w:r w:rsidRPr="00357C8A">
        <w:rPr>
          <w:rFonts w:eastAsia="Calibri"/>
          <w:u w:val="single"/>
        </w:rPr>
        <w:t>Annualized Cost to the Federal Government</w:t>
      </w:r>
    </w:p>
    <w:p w:rsidR="009C2D5C" w:rsidP="00A178BD" w14:paraId="066D823D" w14:textId="77777777">
      <w:pPr>
        <w:rPr>
          <w:rFonts w:eastAsia="Calibri"/>
        </w:rPr>
      </w:pPr>
    </w:p>
    <w:p w:rsidR="00357C8A" w:rsidP="00A178BD" w14:paraId="30ECD123" w14:textId="59B4C16E">
      <w:pPr>
        <w:rPr>
          <w:rFonts w:eastAsia="Calibri"/>
        </w:rPr>
      </w:pPr>
      <w:r w:rsidRPr="00CD51B6">
        <w:rPr>
          <w:rFonts w:eastAsia="Calibri"/>
        </w:rPr>
        <w:t>Our total cost to the Federal government estimate is $</w:t>
      </w:r>
      <w:r w:rsidR="00691A59">
        <w:rPr>
          <w:rFonts w:eastAsia="Calibri"/>
        </w:rPr>
        <w:t>6</w:t>
      </w:r>
      <w:r w:rsidRPr="00CD51B6">
        <w:rPr>
          <w:rFonts w:eastAsia="Calibri"/>
        </w:rPr>
        <w:t>,</w:t>
      </w:r>
      <w:r w:rsidR="00691A59">
        <w:rPr>
          <w:rFonts w:eastAsia="Calibri"/>
        </w:rPr>
        <w:t>5</w:t>
      </w:r>
      <w:r w:rsidR="003569B5">
        <w:rPr>
          <w:rFonts w:eastAsia="Calibri"/>
        </w:rPr>
        <w:t>42,114</w:t>
      </w:r>
      <w:r w:rsidRPr="00CD51B6">
        <w:rPr>
          <w:rFonts w:eastAsia="Calibri"/>
        </w:rPr>
        <w:t xml:space="preserve">. </w:t>
      </w:r>
      <w:r>
        <w:rPr>
          <w:rFonts w:eastAsia="Calibri"/>
        </w:rPr>
        <w:t xml:space="preserve"> </w:t>
      </w:r>
      <w:r w:rsidRPr="00CD51B6">
        <w:rPr>
          <w:rFonts w:eastAsia="Calibri"/>
        </w:rPr>
        <w:t>We assume collecting and</w:t>
      </w:r>
      <w:r>
        <w:rPr>
          <w:rFonts w:eastAsia="Calibri"/>
        </w:rPr>
        <w:t xml:space="preserve"> </w:t>
      </w:r>
      <w:r w:rsidRPr="00CD51B6">
        <w:rPr>
          <w:rFonts w:eastAsia="Calibri"/>
        </w:rPr>
        <w:t>analyzing samples to determine compliance with requirements for dietary supplements to require</w:t>
      </w:r>
      <w:r>
        <w:rPr>
          <w:rFonts w:eastAsia="Calibri"/>
        </w:rPr>
        <w:t xml:space="preserve"> </w:t>
      </w:r>
      <w:r w:rsidRPr="00CD51B6">
        <w:rPr>
          <w:rFonts w:eastAsia="Calibri"/>
        </w:rPr>
        <w:t xml:space="preserve">14.2 FTEs annually. </w:t>
      </w:r>
      <w:r>
        <w:rPr>
          <w:rFonts w:eastAsia="Calibri"/>
        </w:rPr>
        <w:t xml:space="preserve"> </w:t>
      </w:r>
      <w:r w:rsidRPr="00CD51B6">
        <w:rPr>
          <w:rFonts w:eastAsia="Calibri"/>
        </w:rPr>
        <w:t xml:space="preserve">Using </w:t>
      </w:r>
      <w:r w:rsidR="00D05437">
        <w:rPr>
          <w:rFonts w:eastAsia="Calibri"/>
        </w:rPr>
        <w:t>this</w:t>
      </w:r>
      <w:r w:rsidRPr="00CD51B6">
        <w:rPr>
          <w:rFonts w:eastAsia="Calibri"/>
        </w:rPr>
        <w:t xml:space="preserve"> </w:t>
      </w:r>
      <w:r w:rsidRPr="00CD51B6" w:rsidR="000D43CC">
        <w:rPr>
          <w:rFonts w:eastAsia="Calibri"/>
        </w:rPr>
        <w:t>fully loaded</w:t>
      </w:r>
      <w:r w:rsidRPr="00CD51B6">
        <w:rPr>
          <w:rFonts w:eastAsia="Calibri"/>
        </w:rPr>
        <w:t xml:space="preserve"> salary cost of $</w:t>
      </w:r>
      <w:r w:rsidR="00D05437">
        <w:rPr>
          <w:rFonts w:eastAsia="Calibri"/>
        </w:rPr>
        <w:t>200</w:t>
      </w:r>
      <w:r w:rsidRPr="00CD51B6">
        <w:rPr>
          <w:rFonts w:eastAsia="Calibri"/>
        </w:rPr>
        <w:t>,</w:t>
      </w:r>
      <w:r w:rsidR="003569B5">
        <w:rPr>
          <w:rFonts w:eastAsia="Calibri"/>
        </w:rPr>
        <w:t>000</w:t>
      </w:r>
      <w:r w:rsidRPr="00CD51B6">
        <w:rPr>
          <w:rFonts w:eastAsia="Calibri"/>
        </w:rPr>
        <w:t xml:space="preserve"> annually, we calculate that</w:t>
      </w:r>
      <w:r>
        <w:rPr>
          <w:rFonts w:eastAsia="Calibri"/>
        </w:rPr>
        <w:t xml:space="preserve"> </w:t>
      </w:r>
      <w:r w:rsidRPr="00CD51B6">
        <w:rPr>
          <w:rFonts w:eastAsia="Calibri"/>
        </w:rPr>
        <w:t>$2,</w:t>
      </w:r>
      <w:r w:rsidR="00691A59">
        <w:rPr>
          <w:rFonts w:eastAsia="Calibri"/>
        </w:rPr>
        <w:t>8</w:t>
      </w:r>
      <w:r w:rsidR="003569B5">
        <w:rPr>
          <w:rFonts w:eastAsia="Calibri"/>
        </w:rPr>
        <w:t xml:space="preserve">40,000 </w:t>
      </w:r>
      <w:r w:rsidRPr="00CD51B6">
        <w:rPr>
          <w:rFonts w:eastAsia="Calibri"/>
        </w:rPr>
        <w:t xml:space="preserve">will be allocated for this activity. </w:t>
      </w:r>
      <w:r>
        <w:rPr>
          <w:rFonts w:eastAsia="Calibri"/>
        </w:rPr>
        <w:t xml:space="preserve"> </w:t>
      </w:r>
      <w:r w:rsidRPr="00CD51B6">
        <w:rPr>
          <w:rFonts w:eastAsia="Calibri"/>
        </w:rPr>
        <w:t>Based on our experience, we also estimate that we</w:t>
      </w:r>
      <w:r>
        <w:rPr>
          <w:rFonts w:eastAsia="Calibri"/>
        </w:rPr>
        <w:t xml:space="preserve"> </w:t>
      </w:r>
      <w:r w:rsidRPr="00CD51B6">
        <w:rPr>
          <w:rFonts w:eastAsia="Calibri"/>
        </w:rPr>
        <w:t>will utilize annually 14.7 FTEs to inspect firms and collect and analyze samples of conventional</w:t>
      </w:r>
      <w:r>
        <w:rPr>
          <w:rFonts w:eastAsia="Calibri"/>
        </w:rPr>
        <w:t xml:space="preserve"> </w:t>
      </w:r>
      <w:r w:rsidRPr="00CD51B6">
        <w:rPr>
          <w:rFonts w:eastAsia="Calibri"/>
        </w:rPr>
        <w:t xml:space="preserve">foods to determine compliance with the various food labeling provisions. </w:t>
      </w:r>
      <w:r>
        <w:rPr>
          <w:rFonts w:eastAsia="Calibri"/>
        </w:rPr>
        <w:t xml:space="preserve"> </w:t>
      </w:r>
      <w:r w:rsidRPr="00CD51B6">
        <w:rPr>
          <w:rFonts w:eastAsia="Calibri"/>
        </w:rPr>
        <w:t>Similarly, we use a</w:t>
      </w:r>
      <w:r>
        <w:rPr>
          <w:rFonts w:eastAsia="Calibri"/>
        </w:rPr>
        <w:t xml:space="preserve"> </w:t>
      </w:r>
      <w:r w:rsidRPr="00CD51B6" w:rsidR="000D43CC">
        <w:rPr>
          <w:rFonts w:eastAsia="Calibri"/>
        </w:rPr>
        <w:t>fully loaded</w:t>
      </w:r>
      <w:r w:rsidRPr="00CD51B6">
        <w:rPr>
          <w:rFonts w:eastAsia="Calibri"/>
        </w:rPr>
        <w:t xml:space="preserve"> salary cost of $</w:t>
      </w:r>
      <w:r w:rsidR="00691A59">
        <w:rPr>
          <w:rFonts w:eastAsia="Calibri"/>
        </w:rPr>
        <w:t>200</w:t>
      </w:r>
      <w:r w:rsidRPr="00CD51B6">
        <w:rPr>
          <w:rFonts w:eastAsia="Calibri"/>
        </w:rPr>
        <w:t>,</w:t>
      </w:r>
      <w:r w:rsidR="003569B5">
        <w:rPr>
          <w:rFonts w:eastAsia="Calibri"/>
        </w:rPr>
        <w:t>000</w:t>
      </w:r>
      <w:r w:rsidRPr="00CD51B6" w:rsidR="00691A59">
        <w:rPr>
          <w:rFonts w:eastAsia="Calibri"/>
        </w:rPr>
        <w:t xml:space="preserve"> </w:t>
      </w:r>
      <w:r w:rsidRPr="00CD51B6">
        <w:rPr>
          <w:rFonts w:eastAsia="Calibri"/>
        </w:rPr>
        <w:t>annually to calculate a cost of $2,</w:t>
      </w:r>
      <w:r w:rsidR="00691A59">
        <w:rPr>
          <w:rFonts w:eastAsia="Calibri"/>
        </w:rPr>
        <w:t>9</w:t>
      </w:r>
      <w:r w:rsidR="003569B5">
        <w:rPr>
          <w:rFonts w:eastAsia="Calibri"/>
        </w:rPr>
        <w:t>40,000</w:t>
      </w:r>
      <w:r w:rsidRPr="00CD51B6">
        <w:rPr>
          <w:rFonts w:eastAsia="Calibri"/>
        </w:rPr>
        <w:t xml:space="preserve">per year. </w:t>
      </w:r>
      <w:r>
        <w:rPr>
          <w:rFonts w:eastAsia="Calibri"/>
        </w:rPr>
        <w:t xml:space="preserve"> </w:t>
      </w:r>
      <w:r w:rsidRPr="00CD51B6">
        <w:rPr>
          <w:rFonts w:eastAsia="Calibri"/>
        </w:rPr>
        <w:t>Finally,</w:t>
      </w:r>
      <w:r>
        <w:rPr>
          <w:rFonts w:eastAsia="Calibri"/>
        </w:rPr>
        <w:t xml:space="preserve"> </w:t>
      </w:r>
      <w:r w:rsidRPr="00CD51B6">
        <w:rPr>
          <w:rFonts w:eastAsia="Calibri"/>
        </w:rPr>
        <w:t>we estimate that 7,100 hours is expended in the review of petition and notice submissions.</w:t>
      </w:r>
      <w:r>
        <w:rPr>
          <w:rFonts w:eastAsia="Calibri"/>
        </w:rPr>
        <w:t xml:space="preserve">  </w:t>
      </w:r>
      <w:r w:rsidRPr="00CD51B6">
        <w:rPr>
          <w:rFonts w:eastAsia="Calibri"/>
        </w:rPr>
        <w:t>Assuming agency FTEs at a wage rate for a GS-13, Step 1 in the Washington-Baltimore area will</w:t>
      </w:r>
      <w:r>
        <w:rPr>
          <w:rFonts w:eastAsia="Calibri"/>
        </w:rPr>
        <w:t xml:space="preserve"> </w:t>
      </w:r>
      <w:r w:rsidRPr="00CD51B6">
        <w:rPr>
          <w:rFonts w:eastAsia="Calibri"/>
        </w:rPr>
        <w:t xml:space="preserve">review and evaluate the submissions at a </w:t>
      </w:r>
      <w:r w:rsidR="00691A59">
        <w:rPr>
          <w:rFonts w:eastAsia="Calibri"/>
        </w:rPr>
        <w:t xml:space="preserve">fully loaded </w:t>
      </w:r>
      <w:r w:rsidRPr="00CD51B6">
        <w:rPr>
          <w:rFonts w:eastAsia="Calibri"/>
        </w:rPr>
        <w:t>rate of $</w:t>
      </w:r>
      <w:r w:rsidR="00691A59">
        <w:rPr>
          <w:rFonts w:eastAsia="Calibri"/>
        </w:rPr>
        <w:t>107</w:t>
      </w:r>
      <w:r w:rsidRPr="00CD51B6">
        <w:rPr>
          <w:rFonts w:eastAsia="Calibri"/>
        </w:rPr>
        <w:t>.</w:t>
      </w:r>
      <w:r w:rsidR="00691A59">
        <w:rPr>
          <w:rFonts w:eastAsia="Calibri"/>
        </w:rPr>
        <w:t>34</w:t>
      </w:r>
      <w:r w:rsidRPr="00CD51B6" w:rsidR="00691A59">
        <w:rPr>
          <w:rFonts w:eastAsia="Calibri"/>
        </w:rPr>
        <w:t xml:space="preserve"> </w:t>
      </w:r>
      <w:r w:rsidRPr="00CD51B6">
        <w:rPr>
          <w:rFonts w:eastAsia="Calibri"/>
        </w:rPr>
        <w:t>per hour, we calculate a cost of</w:t>
      </w:r>
      <w:r>
        <w:rPr>
          <w:rFonts w:eastAsia="Calibri"/>
        </w:rPr>
        <w:t xml:space="preserve"> </w:t>
      </w:r>
      <w:r w:rsidRPr="00CD51B6">
        <w:rPr>
          <w:rFonts w:eastAsia="Calibri"/>
        </w:rPr>
        <w:t>$</w:t>
      </w:r>
      <w:r w:rsidR="00691A59">
        <w:rPr>
          <w:rFonts w:eastAsia="Calibri"/>
        </w:rPr>
        <w:t>762</w:t>
      </w:r>
      <w:r w:rsidRPr="00CD51B6">
        <w:rPr>
          <w:rFonts w:eastAsia="Calibri"/>
        </w:rPr>
        <w:t>,</w:t>
      </w:r>
      <w:r w:rsidR="00691A59">
        <w:rPr>
          <w:rFonts w:eastAsia="Calibri"/>
        </w:rPr>
        <w:t>114</w:t>
      </w:r>
      <w:r w:rsidRPr="00CD51B6" w:rsidR="00691A59">
        <w:rPr>
          <w:rFonts w:eastAsia="Calibri"/>
        </w:rPr>
        <w:t xml:space="preserve"> </w:t>
      </w:r>
      <w:r w:rsidRPr="00CD51B6">
        <w:rPr>
          <w:rFonts w:eastAsia="Calibri"/>
        </w:rPr>
        <w:t>annually.</w:t>
      </w:r>
    </w:p>
    <w:p w:rsidR="00A178BD" w:rsidRPr="00357C8A" w:rsidP="00A178BD" w14:paraId="54193BE7" w14:textId="77777777">
      <w:pPr>
        <w:rPr>
          <w:rFonts w:eastAsia="Calibri"/>
        </w:rPr>
      </w:pPr>
    </w:p>
    <w:p w:rsidR="009C2D5C" w:rsidP="00A178BD" w14:paraId="14213E4F" w14:textId="432AB860">
      <w:pPr>
        <w:numPr>
          <w:ilvl w:val="0"/>
          <w:numId w:val="6"/>
        </w:numPr>
        <w:spacing w:line="276" w:lineRule="auto"/>
        <w:ind w:left="0"/>
        <w:rPr>
          <w:rFonts w:eastAsia="Calibri"/>
          <w:u w:val="single"/>
        </w:rPr>
      </w:pPr>
      <w:r w:rsidRPr="00357C8A">
        <w:rPr>
          <w:rFonts w:eastAsia="Calibri"/>
          <w:u w:val="single"/>
        </w:rPr>
        <w:t>Explanation for Program Changes or Adjustments</w:t>
      </w:r>
    </w:p>
    <w:p w:rsidR="009E0EC3" w:rsidRPr="009E0EC3" w:rsidP="009E0EC3" w14:paraId="58F0220D" w14:textId="77777777">
      <w:pPr>
        <w:spacing w:line="276" w:lineRule="auto"/>
        <w:rPr>
          <w:rFonts w:eastAsia="Calibri"/>
          <w:u w:val="single"/>
        </w:rPr>
      </w:pPr>
    </w:p>
    <w:p w:rsidR="00357C8A" w:rsidP="006125E6" w14:paraId="4D402440" w14:textId="0B55CF68">
      <w:pPr>
        <w:rPr>
          <w:rFonts w:eastAsia="Calibri"/>
        </w:rPr>
      </w:pPr>
      <w:r w:rsidRPr="00CD51B6">
        <w:rPr>
          <w:rFonts w:eastAsia="Calibri"/>
        </w:rPr>
        <w:t xml:space="preserve">The information collection reflects </w:t>
      </w:r>
      <w:r w:rsidR="00DB0BEE">
        <w:rPr>
          <w:rFonts w:eastAsia="Calibri"/>
        </w:rPr>
        <w:t xml:space="preserve">changes and </w:t>
      </w:r>
      <w:r w:rsidRPr="00CD51B6">
        <w:rPr>
          <w:rFonts w:eastAsia="Calibri"/>
        </w:rPr>
        <w:t>adjustment</w:t>
      </w:r>
      <w:r w:rsidR="009865FD">
        <w:rPr>
          <w:rFonts w:eastAsia="Calibri"/>
        </w:rPr>
        <w:t>s</w:t>
      </w:r>
      <w:r w:rsidR="00691A59">
        <w:rPr>
          <w:rFonts w:eastAsia="Calibri"/>
        </w:rPr>
        <w:t xml:space="preserve"> since last approv</w:t>
      </w:r>
      <w:r w:rsidR="00220351">
        <w:rPr>
          <w:rFonts w:eastAsia="Calibri"/>
        </w:rPr>
        <w:t xml:space="preserve">ed </w:t>
      </w:r>
      <w:r w:rsidR="00691A59">
        <w:rPr>
          <w:rFonts w:eastAsia="Calibri"/>
        </w:rPr>
        <w:t>by OMB</w:t>
      </w:r>
      <w:r w:rsidRPr="00CD51B6">
        <w:rPr>
          <w:rFonts w:eastAsia="Calibri"/>
        </w:rPr>
        <w:t xml:space="preserve">. </w:t>
      </w:r>
      <w:r>
        <w:rPr>
          <w:rFonts w:eastAsia="Calibri"/>
        </w:rPr>
        <w:t xml:space="preserve"> </w:t>
      </w:r>
      <w:r w:rsidRPr="00691A59" w:rsidR="00691A59">
        <w:rPr>
          <w:rFonts w:eastAsia="Calibri"/>
        </w:rPr>
        <w:t xml:space="preserve">We </w:t>
      </w:r>
      <w:r w:rsidR="009865FD">
        <w:rPr>
          <w:rFonts w:eastAsia="Calibri"/>
        </w:rPr>
        <w:t xml:space="preserve">have modified </w:t>
      </w:r>
      <w:r w:rsidR="001B4E78">
        <w:rPr>
          <w:rFonts w:eastAsia="Calibri"/>
        </w:rPr>
        <w:t xml:space="preserve">burden </w:t>
      </w:r>
      <w:r w:rsidR="009865FD">
        <w:rPr>
          <w:rFonts w:eastAsia="Calibri"/>
        </w:rPr>
        <w:t xml:space="preserve">estimates </w:t>
      </w:r>
      <w:r w:rsidR="001B4E78">
        <w:rPr>
          <w:rFonts w:eastAsia="Calibri"/>
        </w:rPr>
        <w:t xml:space="preserve">associated with </w:t>
      </w:r>
      <w:r w:rsidR="00220351">
        <w:rPr>
          <w:rFonts w:eastAsia="Calibri"/>
        </w:rPr>
        <w:t>reporting</w:t>
      </w:r>
      <w:r w:rsidR="001B4E78">
        <w:rPr>
          <w:rFonts w:eastAsia="Calibri"/>
        </w:rPr>
        <w:t>, recordkeeping, and disclosure</w:t>
      </w:r>
      <w:r w:rsidR="001A055F">
        <w:rPr>
          <w:rFonts w:eastAsia="Calibri"/>
        </w:rPr>
        <w:t xml:space="preserve"> activities</w:t>
      </w:r>
      <w:r w:rsidR="00A077FC">
        <w:rPr>
          <w:rFonts w:eastAsia="Calibri"/>
        </w:rPr>
        <w:t xml:space="preserve"> </w:t>
      </w:r>
      <w:r w:rsidR="009865FD">
        <w:rPr>
          <w:rFonts w:eastAsia="Calibri"/>
        </w:rPr>
        <w:t xml:space="preserve">as reflected in the highlighted </w:t>
      </w:r>
      <w:r w:rsidR="00A077FC">
        <w:rPr>
          <w:rFonts w:eastAsia="Calibri"/>
        </w:rPr>
        <w:t xml:space="preserve">IC elements </w:t>
      </w:r>
      <w:r w:rsidR="009865FD">
        <w:rPr>
          <w:rFonts w:eastAsia="Calibri"/>
        </w:rPr>
        <w:t>a</w:t>
      </w:r>
      <w:r w:rsidR="002A4C66">
        <w:rPr>
          <w:rFonts w:eastAsia="Calibri"/>
        </w:rPr>
        <w:t>t Q-12 of this supporting statement.  Specifically</w:t>
      </w:r>
      <w:r w:rsidR="00B51BCB">
        <w:rPr>
          <w:rFonts w:eastAsia="Calibri"/>
        </w:rPr>
        <w:t>,</w:t>
      </w:r>
      <w:r w:rsidR="002A4C66">
        <w:rPr>
          <w:rFonts w:eastAsia="Calibri"/>
        </w:rPr>
        <w:t xml:space="preserve"> we </w:t>
      </w:r>
      <w:r w:rsidR="00C47E89">
        <w:rPr>
          <w:rFonts w:eastAsia="Calibri"/>
        </w:rPr>
        <w:t xml:space="preserve">have </w:t>
      </w:r>
      <w:r w:rsidR="002A4C66">
        <w:rPr>
          <w:rFonts w:eastAsia="Calibri"/>
        </w:rPr>
        <w:t xml:space="preserve">reduced </w:t>
      </w:r>
      <w:r w:rsidR="00AA136A">
        <w:rPr>
          <w:rFonts w:eastAsia="Calibri"/>
        </w:rPr>
        <w:t xml:space="preserve">our estimate of </w:t>
      </w:r>
      <w:r w:rsidR="00EA00F6">
        <w:rPr>
          <w:rFonts w:eastAsia="Calibri"/>
        </w:rPr>
        <w:t xml:space="preserve">the number of </w:t>
      </w:r>
      <w:r w:rsidR="00A077FC">
        <w:rPr>
          <w:rFonts w:eastAsia="Calibri"/>
        </w:rPr>
        <w:t>report</w:t>
      </w:r>
      <w:r w:rsidR="00EA00F6">
        <w:rPr>
          <w:rFonts w:eastAsia="Calibri"/>
        </w:rPr>
        <w:t>s</w:t>
      </w:r>
      <w:r w:rsidR="001C1365">
        <w:rPr>
          <w:rFonts w:eastAsia="Calibri"/>
        </w:rPr>
        <w:t xml:space="preserve"> submitted</w:t>
      </w:r>
      <w:r w:rsidR="00A077FC">
        <w:rPr>
          <w:rFonts w:eastAsia="Calibri"/>
        </w:rPr>
        <w:t xml:space="preserve"> under 101.12</w:t>
      </w:r>
      <w:r w:rsidR="008B0DDC">
        <w:rPr>
          <w:rFonts w:eastAsia="Calibri"/>
        </w:rPr>
        <w:t xml:space="preserve"> (RACC)</w:t>
      </w:r>
      <w:r w:rsidR="00790CA2">
        <w:rPr>
          <w:rFonts w:eastAsia="Calibri"/>
        </w:rPr>
        <w:t xml:space="preserve">; </w:t>
      </w:r>
      <w:r w:rsidR="00EA00F6">
        <w:rPr>
          <w:rFonts w:eastAsia="Calibri"/>
        </w:rPr>
        <w:t xml:space="preserve">we </w:t>
      </w:r>
      <w:r w:rsidR="00AA136A">
        <w:rPr>
          <w:rFonts w:eastAsia="Calibri"/>
        </w:rPr>
        <w:t>have</w:t>
      </w:r>
      <w:r w:rsidR="001A055F">
        <w:rPr>
          <w:rFonts w:eastAsia="Calibri"/>
        </w:rPr>
        <w:t xml:space="preserve"> increased our estimate</w:t>
      </w:r>
      <w:r w:rsidR="00EA00F6">
        <w:rPr>
          <w:rFonts w:eastAsia="Calibri"/>
        </w:rPr>
        <w:t xml:space="preserve"> </w:t>
      </w:r>
      <w:r w:rsidR="00B97C8A">
        <w:rPr>
          <w:rFonts w:eastAsia="Calibri"/>
        </w:rPr>
        <w:t xml:space="preserve">for </w:t>
      </w:r>
      <w:r w:rsidR="00A077FC">
        <w:rPr>
          <w:rFonts w:eastAsia="Calibri"/>
        </w:rPr>
        <w:t xml:space="preserve">recordkeeping </w:t>
      </w:r>
      <w:r w:rsidR="00265FE7">
        <w:rPr>
          <w:rFonts w:eastAsia="Calibri"/>
        </w:rPr>
        <w:t xml:space="preserve">to account for newly added </w:t>
      </w:r>
      <w:r w:rsidR="008B0DDC">
        <w:rPr>
          <w:rFonts w:eastAsia="Calibri"/>
        </w:rPr>
        <w:t>101.91 (gluten)</w:t>
      </w:r>
      <w:r w:rsidR="00790CA2">
        <w:rPr>
          <w:rFonts w:eastAsia="Calibri"/>
        </w:rPr>
        <w:t>; and w</w:t>
      </w:r>
      <w:r w:rsidR="009F7FDB">
        <w:rPr>
          <w:rFonts w:eastAsia="Calibri"/>
        </w:rPr>
        <w:t>e have</w:t>
      </w:r>
      <w:r w:rsidR="000A4272">
        <w:rPr>
          <w:rFonts w:eastAsia="Calibri"/>
        </w:rPr>
        <w:t xml:space="preserve"> </w:t>
      </w:r>
      <w:r w:rsidR="006D3B63">
        <w:rPr>
          <w:rFonts w:eastAsia="Calibri"/>
        </w:rPr>
        <w:t xml:space="preserve">increased our estimated disclosure </w:t>
      </w:r>
      <w:r w:rsidR="000A4272">
        <w:rPr>
          <w:rFonts w:eastAsia="Calibri"/>
        </w:rPr>
        <w:t xml:space="preserve">burden to account </w:t>
      </w:r>
      <w:r w:rsidR="00B97C8A">
        <w:rPr>
          <w:rFonts w:eastAsia="Calibri"/>
        </w:rPr>
        <w:t xml:space="preserve">for </w:t>
      </w:r>
      <w:r w:rsidR="00514B60">
        <w:rPr>
          <w:rFonts w:eastAsia="Calibri"/>
        </w:rPr>
        <w:t xml:space="preserve">labeling recommendations </w:t>
      </w:r>
      <w:r w:rsidR="008B0DDC">
        <w:rPr>
          <w:rFonts w:eastAsia="Calibri"/>
        </w:rPr>
        <w:t>for bee</w:t>
      </w:r>
      <w:r w:rsidR="003A61B3">
        <w:rPr>
          <w:rFonts w:eastAsia="Calibri"/>
        </w:rPr>
        <w:t xml:space="preserve">r subject to FDA jurisdiction as </w:t>
      </w:r>
      <w:r w:rsidR="001C1365">
        <w:rPr>
          <w:rFonts w:eastAsia="Calibri"/>
        </w:rPr>
        <w:t xml:space="preserve">discussed </w:t>
      </w:r>
      <w:r w:rsidR="003A61B3">
        <w:rPr>
          <w:rFonts w:eastAsia="Calibri"/>
        </w:rPr>
        <w:t>in the referenced agency guidance</w:t>
      </w:r>
      <w:r w:rsidR="00790CA2">
        <w:rPr>
          <w:rFonts w:eastAsia="Calibri"/>
        </w:rPr>
        <w:t>.</w:t>
      </w:r>
      <w:r w:rsidR="00E13096">
        <w:rPr>
          <w:rFonts w:eastAsia="Calibri"/>
        </w:rPr>
        <w:t xml:space="preserve">  U</w:t>
      </w:r>
      <w:r w:rsidR="006C6B0C">
        <w:rPr>
          <w:rFonts w:eastAsia="Calibri"/>
        </w:rPr>
        <w:t xml:space="preserve">pon </w:t>
      </w:r>
      <w:r w:rsidR="00E13096">
        <w:rPr>
          <w:rFonts w:eastAsia="Calibri"/>
        </w:rPr>
        <w:t>this last entry</w:t>
      </w:r>
      <w:r w:rsidR="00854EAC">
        <w:rPr>
          <w:rFonts w:eastAsia="Calibri"/>
        </w:rPr>
        <w:t xml:space="preserve">, </w:t>
      </w:r>
      <w:r w:rsidR="00191ABA">
        <w:rPr>
          <w:rFonts w:eastAsia="Calibri"/>
        </w:rPr>
        <w:t xml:space="preserve">we </w:t>
      </w:r>
      <w:r w:rsidR="00854EAC">
        <w:rPr>
          <w:rFonts w:eastAsia="Calibri"/>
        </w:rPr>
        <w:t xml:space="preserve">noticed and </w:t>
      </w:r>
      <w:r w:rsidR="002C377B">
        <w:rPr>
          <w:rFonts w:eastAsia="Calibri"/>
        </w:rPr>
        <w:t xml:space="preserve">have </w:t>
      </w:r>
      <w:r w:rsidR="00191ABA">
        <w:rPr>
          <w:rFonts w:eastAsia="Calibri"/>
        </w:rPr>
        <w:t xml:space="preserve">corrected </w:t>
      </w:r>
      <w:r w:rsidR="00DF686E">
        <w:rPr>
          <w:rFonts w:eastAsia="Calibri"/>
        </w:rPr>
        <w:t>a</w:t>
      </w:r>
      <w:r w:rsidR="002C377B">
        <w:rPr>
          <w:rFonts w:eastAsia="Calibri"/>
        </w:rPr>
        <w:t>n</w:t>
      </w:r>
      <w:r w:rsidR="00DF686E">
        <w:rPr>
          <w:rFonts w:eastAsia="Calibri"/>
        </w:rPr>
        <w:t xml:space="preserve"> error</w:t>
      </w:r>
      <w:r w:rsidR="002C377B">
        <w:rPr>
          <w:rFonts w:eastAsia="Calibri"/>
        </w:rPr>
        <w:t xml:space="preserve"> previously overlooked</w:t>
      </w:r>
      <w:r w:rsidR="00DF686E">
        <w:rPr>
          <w:rFonts w:eastAsia="Calibri"/>
        </w:rPr>
        <w:t xml:space="preserve">.  </w:t>
      </w:r>
      <w:r w:rsidR="007116D2">
        <w:rPr>
          <w:rFonts w:eastAsia="Calibri"/>
        </w:rPr>
        <w:t>I</w:t>
      </w:r>
      <w:r w:rsidR="00DF686E">
        <w:rPr>
          <w:rFonts w:eastAsia="Calibri"/>
        </w:rPr>
        <w:t xml:space="preserve">n our last </w:t>
      </w:r>
      <w:r w:rsidR="00854EAC">
        <w:rPr>
          <w:rFonts w:eastAsia="Calibri"/>
        </w:rPr>
        <w:t xml:space="preserve">supporting statement </w:t>
      </w:r>
      <w:r w:rsidR="00DF686E">
        <w:rPr>
          <w:rFonts w:eastAsia="Calibri"/>
        </w:rPr>
        <w:t xml:space="preserve">we reported a </w:t>
      </w:r>
      <w:r w:rsidR="000B6698">
        <w:rPr>
          <w:rFonts w:eastAsia="Calibri"/>
        </w:rPr>
        <w:t xml:space="preserve">total disclosure burden </w:t>
      </w:r>
      <w:r w:rsidR="00E13096">
        <w:rPr>
          <w:rFonts w:eastAsia="Calibri"/>
        </w:rPr>
        <w:t xml:space="preserve">of </w:t>
      </w:r>
      <w:r w:rsidR="000B6698">
        <w:rPr>
          <w:rFonts w:eastAsia="Calibri"/>
        </w:rPr>
        <w:t>1</w:t>
      </w:r>
      <w:r w:rsidR="00283346">
        <w:rPr>
          <w:rFonts w:eastAsia="Calibri"/>
        </w:rPr>
        <w:t>,</w:t>
      </w:r>
      <w:r w:rsidR="000B6698">
        <w:rPr>
          <w:rFonts w:eastAsia="Calibri"/>
        </w:rPr>
        <w:t>030</w:t>
      </w:r>
      <w:r w:rsidR="00283346">
        <w:rPr>
          <w:rFonts w:eastAsia="Calibri"/>
        </w:rPr>
        <w:t>,</w:t>
      </w:r>
      <w:r w:rsidR="000B6698">
        <w:rPr>
          <w:rFonts w:eastAsia="Calibri"/>
        </w:rPr>
        <w:t>258</w:t>
      </w:r>
      <w:r w:rsidR="00E13096">
        <w:rPr>
          <w:rFonts w:eastAsia="Calibri"/>
        </w:rPr>
        <w:t xml:space="preserve"> but </w:t>
      </w:r>
      <w:r w:rsidR="00B623DD">
        <w:rPr>
          <w:rFonts w:eastAsia="Calibri"/>
        </w:rPr>
        <w:t xml:space="preserve">inadvertently recorded </w:t>
      </w:r>
      <w:r w:rsidR="00E13096">
        <w:rPr>
          <w:rFonts w:eastAsia="Calibri"/>
        </w:rPr>
        <w:t xml:space="preserve">the </w:t>
      </w:r>
      <w:r w:rsidR="008142DD">
        <w:rPr>
          <w:rFonts w:eastAsia="Calibri"/>
        </w:rPr>
        <w:t xml:space="preserve">figure </w:t>
      </w:r>
      <w:r w:rsidRPr="00733E81" w:rsidR="00733E81">
        <w:rPr>
          <w:rFonts w:eastAsia="Calibri"/>
        </w:rPr>
        <w:t>1</w:t>
      </w:r>
      <w:r w:rsidR="00B623DD">
        <w:rPr>
          <w:rFonts w:eastAsia="Calibri"/>
        </w:rPr>
        <w:t>,</w:t>
      </w:r>
      <w:r w:rsidRPr="00733E81" w:rsidR="00733E81">
        <w:rPr>
          <w:rFonts w:eastAsia="Calibri"/>
        </w:rPr>
        <w:t>029</w:t>
      </w:r>
      <w:r w:rsidR="00B623DD">
        <w:rPr>
          <w:rFonts w:eastAsia="Calibri"/>
        </w:rPr>
        <w:t>,</w:t>
      </w:r>
      <w:r w:rsidRPr="00733E81" w:rsidR="00733E81">
        <w:rPr>
          <w:rFonts w:eastAsia="Calibri"/>
        </w:rPr>
        <w:t>598</w:t>
      </w:r>
      <w:r w:rsidR="002C377B">
        <w:rPr>
          <w:rFonts w:eastAsia="Calibri"/>
        </w:rPr>
        <w:t xml:space="preserve"> (-660)</w:t>
      </w:r>
      <w:r w:rsidR="008142DD">
        <w:rPr>
          <w:rFonts w:eastAsia="Calibri"/>
        </w:rPr>
        <w:t xml:space="preserve"> and we have corrected this error</w:t>
      </w:r>
      <w:r w:rsidR="002C377B">
        <w:rPr>
          <w:rFonts w:eastAsia="Calibri"/>
        </w:rPr>
        <w:t xml:space="preserve">.  </w:t>
      </w:r>
      <w:r w:rsidR="00283346">
        <w:rPr>
          <w:rFonts w:eastAsia="Calibri"/>
        </w:rPr>
        <w:t xml:space="preserve"> </w:t>
      </w:r>
      <w:r w:rsidR="00B97C8A">
        <w:rPr>
          <w:rFonts w:eastAsia="Calibri"/>
        </w:rPr>
        <w:t xml:space="preserve">Cumulatively </w:t>
      </w:r>
      <w:r w:rsidR="00BE1AB4">
        <w:rPr>
          <w:rFonts w:eastAsia="Calibri"/>
        </w:rPr>
        <w:t>the</w:t>
      </w:r>
      <w:r w:rsidR="007F0066">
        <w:rPr>
          <w:rFonts w:eastAsia="Calibri"/>
        </w:rPr>
        <w:t>se changes and</w:t>
      </w:r>
      <w:r w:rsidR="00BE1AB4">
        <w:rPr>
          <w:rFonts w:eastAsia="Calibri"/>
        </w:rPr>
        <w:t xml:space="preserve"> adjustments result in an increase of </w:t>
      </w:r>
      <w:r w:rsidR="003A61B3">
        <w:rPr>
          <w:rFonts w:eastAsia="Calibri"/>
        </w:rPr>
        <w:t xml:space="preserve"> </w:t>
      </w:r>
      <w:r w:rsidR="00AA136A">
        <w:rPr>
          <w:rFonts w:eastAsia="Calibri"/>
        </w:rPr>
        <w:t>298,008</w:t>
      </w:r>
      <w:r w:rsidR="00A70E2D">
        <w:rPr>
          <w:rFonts w:eastAsia="Calibri"/>
        </w:rPr>
        <w:t xml:space="preserve"> responses and 126,352 hours annually.  Upon OMB approval of the ICR, we intend to discontinue control nos. </w:t>
      </w:r>
      <w:r w:rsidRPr="00691A59" w:rsidR="00691A59">
        <w:rPr>
          <w:rFonts w:eastAsia="Calibri"/>
        </w:rPr>
        <w:t>0910-0728</w:t>
      </w:r>
      <w:r w:rsidR="002E7686">
        <w:rPr>
          <w:rFonts w:eastAsia="Calibri"/>
        </w:rPr>
        <w:t xml:space="preserve"> and</w:t>
      </w:r>
      <w:r w:rsidRPr="00691A59" w:rsidR="00691A59">
        <w:rPr>
          <w:rFonts w:eastAsia="Calibri"/>
        </w:rPr>
        <w:t xml:space="preserve"> 0910-0817.</w:t>
      </w:r>
    </w:p>
    <w:p w:rsidR="00A83C62" w:rsidRPr="005A0DE8" w:rsidP="00A178BD" w14:paraId="12EDD626" w14:textId="77777777">
      <w:pPr>
        <w:spacing w:line="276" w:lineRule="auto"/>
        <w:rPr>
          <w:rFonts w:eastAsia="Calibri"/>
        </w:rPr>
      </w:pPr>
    </w:p>
    <w:p w:rsidR="00357C8A" w:rsidRPr="00357C8A" w:rsidP="00A178BD" w14:paraId="30BB9B58" w14:textId="77777777">
      <w:pPr>
        <w:numPr>
          <w:ilvl w:val="0"/>
          <w:numId w:val="6"/>
        </w:numPr>
        <w:spacing w:line="276" w:lineRule="auto"/>
        <w:ind w:left="0"/>
        <w:rPr>
          <w:rFonts w:eastAsia="Calibri"/>
          <w:u w:val="single"/>
        </w:rPr>
      </w:pPr>
      <w:r w:rsidRPr="00357C8A">
        <w:rPr>
          <w:rFonts w:eastAsia="Calibri"/>
          <w:u w:val="single"/>
        </w:rPr>
        <w:t>Plans for Tabulation and Publication and Project Time Schedule</w:t>
      </w:r>
    </w:p>
    <w:p w:rsidR="00A83C62" w:rsidP="00A178BD" w14:paraId="4D874466" w14:textId="77777777">
      <w:pPr>
        <w:pStyle w:val="Default"/>
      </w:pPr>
    </w:p>
    <w:p w:rsidR="00CD51B6" w:rsidRPr="004A5323" w:rsidP="00A178BD" w14:paraId="28434E9F" w14:textId="493D3E2E">
      <w:pPr>
        <w:pStyle w:val="Default"/>
      </w:pPr>
      <w:r w:rsidRPr="00CD51B6">
        <w:t>The information from this collection will not be published.</w:t>
      </w:r>
      <w:r w:rsidRPr="004A5323" w:rsidR="00A506DE">
        <w:t xml:space="preserve"> </w:t>
      </w:r>
    </w:p>
    <w:p w:rsidR="00357C8A" w:rsidRPr="00357C8A" w:rsidP="00A178BD" w14:paraId="392BE076" w14:textId="77777777">
      <w:pPr>
        <w:pStyle w:val="Default"/>
        <w:rPr>
          <w:rFonts w:eastAsia="Calibri"/>
        </w:rPr>
      </w:pPr>
    </w:p>
    <w:p w:rsidR="00357C8A" w:rsidRPr="00357C8A" w:rsidP="00A178BD" w14:paraId="634ED945" w14:textId="77777777">
      <w:pPr>
        <w:numPr>
          <w:ilvl w:val="0"/>
          <w:numId w:val="6"/>
        </w:numPr>
        <w:spacing w:line="276" w:lineRule="auto"/>
        <w:ind w:left="0"/>
        <w:rPr>
          <w:rFonts w:eastAsia="Calibri"/>
          <w:u w:val="single"/>
        </w:rPr>
      </w:pPr>
      <w:r w:rsidRPr="00357C8A">
        <w:rPr>
          <w:rFonts w:eastAsia="Calibri"/>
          <w:u w:val="single"/>
        </w:rPr>
        <w:t>Reason(s) Display of OMB Expiration Date is Inappropriate</w:t>
      </w:r>
    </w:p>
    <w:p w:rsidR="00A83C62" w:rsidP="00A178BD" w14:paraId="1C4BA4CD" w14:textId="77777777">
      <w:pPr>
        <w:rPr>
          <w:rFonts w:eastAsia="Calibri"/>
        </w:rPr>
      </w:pPr>
    </w:p>
    <w:p w:rsidR="00357C8A" w:rsidP="00A178BD" w14:paraId="62F21411" w14:textId="1CFE19F3">
      <w:pPr>
        <w:rPr>
          <w:rFonts w:eastAsia="Calibri"/>
        </w:rPr>
      </w:pPr>
      <w:r w:rsidRPr="00FD17B4">
        <w:rPr>
          <w:rFonts w:eastAsia="Calibri"/>
        </w:rPr>
        <w:t xml:space="preserve">Consistent with established practice, FDA will publish a </w:t>
      </w:r>
      <w:r w:rsidRPr="00FD17B4">
        <w:rPr>
          <w:rFonts w:eastAsia="Calibri"/>
          <w:i/>
          <w:iCs/>
        </w:rPr>
        <w:t>Federal Register</w:t>
      </w:r>
      <w:r w:rsidRPr="00FD17B4">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t>
      </w:r>
      <w:hyperlink r:id="rId13" w:history="1">
        <w:r w:rsidRPr="00FD17B4">
          <w:rPr>
            <w:rStyle w:val="Hyperlink"/>
            <w:rFonts w:eastAsia="Calibri"/>
          </w:rPr>
          <w:t>www.reginfo.gov</w:t>
        </w:r>
      </w:hyperlink>
      <w:r w:rsidRPr="00FD17B4">
        <w:rPr>
          <w:rFonts w:eastAsia="Calibri"/>
        </w:rPr>
        <w:t xml:space="preserve"> to identify the current expiration date</w:t>
      </w:r>
      <w:r w:rsidRPr="00CD51B6" w:rsidR="00CD51B6">
        <w:rPr>
          <w:rFonts w:eastAsia="Calibri"/>
        </w:rPr>
        <w:t>.</w:t>
      </w:r>
    </w:p>
    <w:p w:rsidR="00A83C62" w:rsidRPr="009F3CC6" w:rsidP="00A178BD" w14:paraId="5B365212" w14:textId="77777777">
      <w:pPr>
        <w:rPr>
          <w:rFonts w:eastAsia="Calibri"/>
          <w:color w:val="000000"/>
        </w:rPr>
      </w:pPr>
    </w:p>
    <w:p w:rsidR="00357C8A" w:rsidRPr="00357C8A" w:rsidP="00A178BD" w14:paraId="7BF8AE82" w14:textId="77777777">
      <w:pPr>
        <w:numPr>
          <w:ilvl w:val="0"/>
          <w:numId w:val="6"/>
        </w:numPr>
        <w:spacing w:line="276" w:lineRule="auto"/>
        <w:ind w:left="0"/>
        <w:rPr>
          <w:rFonts w:eastAsia="Calibri"/>
          <w:u w:val="single"/>
        </w:rPr>
      </w:pPr>
      <w:r w:rsidRPr="00357C8A">
        <w:rPr>
          <w:rFonts w:eastAsia="Calibri"/>
          <w:u w:val="single"/>
        </w:rPr>
        <w:t>Exceptions to Certification for Paperwork Reduction Act Submissions</w:t>
      </w:r>
    </w:p>
    <w:p w:rsidR="00A83C62" w:rsidP="00A178BD" w14:paraId="28D2C9B5" w14:textId="77777777">
      <w:pPr>
        <w:rPr>
          <w:rFonts w:eastAsia="Calibri"/>
        </w:rPr>
      </w:pPr>
    </w:p>
    <w:p w:rsidR="00544138" w:rsidRPr="00C20690" w:rsidP="00A178BD" w14:paraId="0E4BA55E" w14:textId="4DF771BA">
      <w:pPr>
        <w:rPr>
          <w:rFonts w:eastAsia="Calibri"/>
        </w:rPr>
      </w:pPr>
      <w:r w:rsidRPr="00CD51B6">
        <w:rPr>
          <w:rFonts w:eastAsia="Calibri"/>
        </w:rPr>
        <w:t>There are no exceptions to the certification.</w:t>
      </w:r>
    </w:p>
    <w:sectPr w:rsidSect="005905C4">
      <w:footerReference w:type="even" r:id="rId14"/>
      <w:footerReference w:type="default" r:id="rId1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E257A70" w14:textId="1A1F4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905C4">
      <w:rPr>
        <w:rStyle w:val="PageNumber"/>
      </w:rPr>
      <w:fldChar w:fldCharType="separate"/>
    </w:r>
    <w:r w:rsidR="005905C4">
      <w:rPr>
        <w:rStyle w:val="PageNumber"/>
        <w:noProof/>
      </w:rPr>
      <w:t>2</w:t>
    </w:r>
    <w:r>
      <w:rPr>
        <w:rStyle w:val="PageNumber"/>
      </w:rPr>
      <w:fldChar w:fldCharType="end"/>
    </w:r>
  </w:p>
  <w:p w:rsidR="00E63DE5" w14:paraId="2ED719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6215D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8FBA33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26221497">
    <w:abstractNumId w:val="5"/>
  </w:num>
  <w:num w:numId="2" w16cid:durableId="1473134844">
    <w:abstractNumId w:val="1"/>
  </w:num>
  <w:num w:numId="3" w16cid:durableId="1335262758">
    <w:abstractNumId w:val="6"/>
  </w:num>
  <w:num w:numId="4" w16cid:durableId="1518959936">
    <w:abstractNumId w:val="3"/>
  </w:num>
  <w:num w:numId="5" w16cid:durableId="1684164477">
    <w:abstractNumId w:val="7"/>
  </w:num>
  <w:num w:numId="6" w16cid:durableId="1056321729">
    <w:abstractNumId w:val="0"/>
  </w:num>
  <w:num w:numId="7" w16cid:durableId="650596415">
    <w:abstractNumId w:val="2"/>
  </w:num>
  <w:num w:numId="8" w16cid:durableId="13634819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048"/>
    <w:rsid w:val="00007CB8"/>
    <w:rsid w:val="00031A2C"/>
    <w:rsid w:val="000349E9"/>
    <w:rsid w:val="00035A9D"/>
    <w:rsid w:val="00041893"/>
    <w:rsid w:val="00042B93"/>
    <w:rsid w:val="00043C7F"/>
    <w:rsid w:val="000467A8"/>
    <w:rsid w:val="0005775D"/>
    <w:rsid w:val="000624E9"/>
    <w:rsid w:val="0006570F"/>
    <w:rsid w:val="00074B91"/>
    <w:rsid w:val="00075DE8"/>
    <w:rsid w:val="00080D02"/>
    <w:rsid w:val="00087439"/>
    <w:rsid w:val="00095D90"/>
    <w:rsid w:val="000A2006"/>
    <w:rsid w:val="000A4272"/>
    <w:rsid w:val="000A4FC3"/>
    <w:rsid w:val="000B4873"/>
    <w:rsid w:val="000B6698"/>
    <w:rsid w:val="000C1260"/>
    <w:rsid w:val="000C1E75"/>
    <w:rsid w:val="000C560C"/>
    <w:rsid w:val="000D080B"/>
    <w:rsid w:val="000D43CC"/>
    <w:rsid w:val="000D48FD"/>
    <w:rsid w:val="000D79CC"/>
    <w:rsid w:val="000E1C64"/>
    <w:rsid w:val="000F5936"/>
    <w:rsid w:val="000F7119"/>
    <w:rsid w:val="00100739"/>
    <w:rsid w:val="00103F0D"/>
    <w:rsid w:val="0010493E"/>
    <w:rsid w:val="001075D3"/>
    <w:rsid w:val="00107885"/>
    <w:rsid w:val="00114FC4"/>
    <w:rsid w:val="0012329C"/>
    <w:rsid w:val="00134FA7"/>
    <w:rsid w:val="00137950"/>
    <w:rsid w:val="00142B6C"/>
    <w:rsid w:val="00150952"/>
    <w:rsid w:val="00152F29"/>
    <w:rsid w:val="0016318E"/>
    <w:rsid w:val="00174D54"/>
    <w:rsid w:val="0017702C"/>
    <w:rsid w:val="00185270"/>
    <w:rsid w:val="00191ABA"/>
    <w:rsid w:val="001A055F"/>
    <w:rsid w:val="001A3B5A"/>
    <w:rsid w:val="001A458C"/>
    <w:rsid w:val="001A4F61"/>
    <w:rsid w:val="001B4E78"/>
    <w:rsid w:val="001B7CE9"/>
    <w:rsid w:val="001C1365"/>
    <w:rsid w:val="001C4A63"/>
    <w:rsid w:val="001D495A"/>
    <w:rsid w:val="001E244C"/>
    <w:rsid w:val="001E5FB5"/>
    <w:rsid w:val="001F1437"/>
    <w:rsid w:val="001F1E02"/>
    <w:rsid w:val="001F452D"/>
    <w:rsid w:val="002061EC"/>
    <w:rsid w:val="00206799"/>
    <w:rsid w:val="002074FE"/>
    <w:rsid w:val="00220351"/>
    <w:rsid w:val="0022425B"/>
    <w:rsid w:val="002259EF"/>
    <w:rsid w:val="00234C08"/>
    <w:rsid w:val="00242ED1"/>
    <w:rsid w:val="002444BB"/>
    <w:rsid w:val="00254069"/>
    <w:rsid w:val="00255B1D"/>
    <w:rsid w:val="00264C01"/>
    <w:rsid w:val="00265FE7"/>
    <w:rsid w:val="00270748"/>
    <w:rsid w:val="002734E5"/>
    <w:rsid w:val="002743BE"/>
    <w:rsid w:val="002746DB"/>
    <w:rsid w:val="00280CAF"/>
    <w:rsid w:val="00282F09"/>
    <w:rsid w:val="00283346"/>
    <w:rsid w:val="00291810"/>
    <w:rsid w:val="00294D62"/>
    <w:rsid w:val="002972E3"/>
    <w:rsid w:val="00297532"/>
    <w:rsid w:val="00297FFD"/>
    <w:rsid w:val="002A1210"/>
    <w:rsid w:val="002A47D2"/>
    <w:rsid w:val="002A4C66"/>
    <w:rsid w:val="002A7FB5"/>
    <w:rsid w:val="002B2074"/>
    <w:rsid w:val="002C377B"/>
    <w:rsid w:val="002C7F22"/>
    <w:rsid w:val="002D14D8"/>
    <w:rsid w:val="002D4799"/>
    <w:rsid w:val="002D5779"/>
    <w:rsid w:val="002E3FA4"/>
    <w:rsid w:val="002E53A5"/>
    <w:rsid w:val="002E64B8"/>
    <w:rsid w:val="002E6834"/>
    <w:rsid w:val="002E7686"/>
    <w:rsid w:val="002F490D"/>
    <w:rsid w:val="00303422"/>
    <w:rsid w:val="003113FF"/>
    <w:rsid w:val="00312622"/>
    <w:rsid w:val="0032277F"/>
    <w:rsid w:val="00336B69"/>
    <w:rsid w:val="0034302B"/>
    <w:rsid w:val="00350523"/>
    <w:rsid w:val="0035189D"/>
    <w:rsid w:val="00355B62"/>
    <w:rsid w:val="003569B5"/>
    <w:rsid w:val="00357C8A"/>
    <w:rsid w:val="003740BC"/>
    <w:rsid w:val="0037456B"/>
    <w:rsid w:val="00376958"/>
    <w:rsid w:val="00377BE4"/>
    <w:rsid w:val="003801A3"/>
    <w:rsid w:val="00383D90"/>
    <w:rsid w:val="003870AE"/>
    <w:rsid w:val="003A1A27"/>
    <w:rsid w:val="003A50CC"/>
    <w:rsid w:val="003A61B3"/>
    <w:rsid w:val="003B42B3"/>
    <w:rsid w:val="003B6384"/>
    <w:rsid w:val="003C0FE2"/>
    <w:rsid w:val="003C1F7F"/>
    <w:rsid w:val="003C4EBB"/>
    <w:rsid w:val="003D1531"/>
    <w:rsid w:val="003E4EC6"/>
    <w:rsid w:val="003E527E"/>
    <w:rsid w:val="003E553E"/>
    <w:rsid w:val="003E7078"/>
    <w:rsid w:val="003F3DF5"/>
    <w:rsid w:val="003F5D6A"/>
    <w:rsid w:val="003F73B8"/>
    <w:rsid w:val="0040297E"/>
    <w:rsid w:val="00411D11"/>
    <w:rsid w:val="00414494"/>
    <w:rsid w:val="00415E23"/>
    <w:rsid w:val="0041670D"/>
    <w:rsid w:val="00423272"/>
    <w:rsid w:val="00424061"/>
    <w:rsid w:val="00432A54"/>
    <w:rsid w:val="00442A3C"/>
    <w:rsid w:val="00443969"/>
    <w:rsid w:val="00447D74"/>
    <w:rsid w:val="00450A74"/>
    <w:rsid w:val="004546BF"/>
    <w:rsid w:val="00465350"/>
    <w:rsid w:val="00476B91"/>
    <w:rsid w:val="00482716"/>
    <w:rsid w:val="004846BF"/>
    <w:rsid w:val="00494912"/>
    <w:rsid w:val="004A5323"/>
    <w:rsid w:val="004A5A99"/>
    <w:rsid w:val="004B00C6"/>
    <w:rsid w:val="004B697E"/>
    <w:rsid w:val="004C6979"/>
    <w:rsid w:val="004D13A2"/>
    <w:rsid w:val="004D3E7A"/>
    <w:rsid w:val="004F594B"/>
    <w:rsid w:val="004F61E1"/>
    <w:rsid w:val="00514B60"/>
    <w:rsid w:val="0053380B"/>
    <w:rsid w:val="0054058E"/>
    <w:rsid w:val="00543194"/>
    <w:rsid w:val="00544138"/>
    <w:rsid w:val="00554E34"/>
    <w:rsid w:val="0055603D"/>
    <w:rsid w:val="00564EFA"/>
    <w:rsid w:val="00571CE2"/>
    <w:rsid w:val="00576A42"/>
    <w:rsid w:val="00584583"/>
    <w:rsid w:val="005905C4"/>
    <w:rsid w:val="00590E90"/>
    <w:rsid w:val="00590EEB"/>
    <w:rsid w:val="0059238B"/>
    <w:rsid w:val="005A0DE8"/>
    <w:rsid w:val="005A3C8E"/>
    <w:rsid w:val="005A4099"/>
    <w:rsid w:val="005B47F5"/>
    <w:rsid w:val="005C1E2E"/>
    <w:rsid w:val="005C38B2"/>
    <w:rsid w:val="005C5029"/>
    <w:rsid w:val="005C55C2"/>
    <w:rsid w:val="005C71CA"/>
    <w:rsid w:val="005C745C"/>
    <w:rsid w:val="005D4DF5"/>
    <w:rsid w:val="005E42BA"/>
    <w:rsid w:val="00611D6B"/>
    <w:rsid w:val="00612378"/>
    <w:rsid w:val="006125E6"/>
    <w:rsid w:val="00620B46"/>
    <w:rsid w:val="00621CEC"/>
    <w:rsid w:val="00625CFD"/>
    <w:rsid w:val="0063112E"/>
    <w:rsid w:val="006326EC"/>
    <w:rsid w:val="0064145C"/>
    <w:rsid w:val="0064305D"/>
    <w:rsid w:val="006500E3"/>
    <w:rsid w:val="00663A42"/>
    <w:rsid w:val="006641C7"/>
    <w:rsid w:val="006661A6"/>
    <w:rsid w:val="006705EA"/>
    <w:rsid w:val="00670BE2"/>
    <w:rsid w:val="006916D9"/>
    <w:rsid w:val="00691A59"/>
    <w:rsid w:val="006A0E05"/>
    <w:rsid w:val="006A26C6"/>
    <w:rsid w:val="006A465A"/>
    <w:rsid w:val="006A5030"/>
    <w:rsid w:val="006A7D5D"/>
    <w:rsid w:val="006C2775"/>
    <w:rsid w:val="006C6B0C"/>
    <w:rsid w:val="006D0C12"/>
    <w:rsid w:val="006D117F"/>
    <w:rsid w:val="006D1195"/>
    <w:rsid w:val="006D3B63"/>
    <w:rsid w:val="006D5D57"/>
    <w:rsid w:val="006E2538"/>
    <w:rsid w:val="006E302F"/>
    <w:rsid w:val="006E7758"/>
    <w:rsid w:val="006F4D6D"/>
    <w:rsid w:val="00700E35"/>
    <w:rsid w:val="00704774"/>
    <w:rsid w:val="00705086"/>
    <w:rsid w:val="007116D2"/>
    <w:rsid w:val="00722001"/>
    <w:rsid w:val="00733E81"/>
    <w:rsid w:val="00737804"/>
    <w:rsid w:val="00744525"/>
    <w:rsid w:val="00751E66"/>
    <w:rsid w:val="00754497"/>
    <w:rsid w:val="00773201"/>
    <w:rsid w:val="00773C67"/>
    <w:rsid w:val="00787C39"/>
    <w:rsid w:val="00790CA2"/>
    <w:rsid w:val="00792947"/>
    <w:rsid w:val="00795DF3"/>
    <w:rsid w:val="007A1042"/>
    <w:rsid w:val="007A373C"/>
    <w:rsid w:val="007B225C"/>
    <w:rsid w:val="007C53E7"/>
    <w:rsid w:val="007C75B1"/>
    <w:rsid w:val="007D3DFC"/>
    <w:rsid w:val="007D4810"/>
    <w:rsid w:val="007E2F07"/>
    <w:rsid w:val="007E59A8"/>
    <w:rsid w:val="007F0066"/>
    <w:rsid w:val="007F5306"/>
    <w:rsid w:val="0080776D"/>
    <w:rsid w:val="00810145"/>
    <w:rsid w:val="008108FA"/>
    <w:rsid w:val="00810FF1"/>
    <w:rsid w:val="008142DD"/>
    <w:rsid w:val="00822336"/>
    <w:rsid w:val="00823DFA"/>
    <w:rsid w:val="00842DB7"/>
    <w:rsid w:val="00843752"/>
    <w:rsid w:val="0084479F"/>
    <w:rsid w:val="00854D82"/>
    <w:rsid w:val="00854EAC"/>
    <w:rsid w:val="0085725E"/>
    <w:rsid w:val="008630A0"/>
    <w:rsid w:val="00873D4F"/>
    <w:rsid w:val="0087509F"/>
    <w:rsid w:val="00885B09"/>
    <w:rsid w:val="008909C4"/>
    <w:rsid w:val="00892400"/>
    <w:rsid w:val="008A209D"/>
    <w:rsid w:val="008A22BB"/>
    <w:rsid w:val="008B035D"/>
    <w:rsid w:val="008B0DDC"/>
    <w:rsid w:val="008B0E29"/>
    <w:rsid w:val="008B0EFA"/>
    <w:rsid w:val="008B30AB"/>
    <w:rsid w:val="008C3BB8"/>
    <w:rsid w:val="008C4B65"/>
    <w:rsid w:val="008E5F55"/>
    <w:rsid w:val="008E7E2F"/>
    <w:rsid w:val="008F5726"/>
    <w:rsid w:val="009009E7"/>
    <w:rsid w:val="00905DEF"/>
    <w:rsid w:val="00906056"/>
    <w:rsid w:val="009122AE"/>
    <w:rsid w:val="00913B43"/>
    <w:rsid w:val="00915F3B"/>
    <w:rsid w:val="00930203"/>
    <w:rsid w:val="009311D2"/>
    <w:rsid w:val="009311E6"/>
    <w:rsid w:val="00931275"/>
    <w:rsid w:val="00936AC7"/>
    <w:rsid w:val="00953B64"/>
    <w:rsid w:val="009646A7"/>
    <w:rsid w:val="00970A88"/>
    <w:rsid w:val="009818A1"/>
    <w:rsid w:val="00984B58"/>
    <w:rsid w:val="00985273"/>
    <w:rsid w:val="009865FD"/>
    <w:rsid w:val="00994BE7"/>
    <w:rsid w:val="009A1674"/>
    <w:rsid w:val="009A2D53"/>
    <w:rsid w:val="009B38BE"/>
    <w:rsid w:val="009B4DF2"/>
    <w:rsid w:val="009C2D5C"/>
    <w:rsid w:val="009C684F"/>
    <w:rsid w:val="009D074C"/>
    <w:rsid w:val="009D6E73"/>
    <w:rsid w:val="009E0EC3"/>
    <w:rsid w:val="009F1F1D"/>
    <w:rsid w:val="009F2B4F"/>
    <w:rsid w:val="009F33C4"/>
    <w:rsid w:val="009F3C63"/>
    <w:rsid w:val="009F3CC6"/>
    <w:rsid w:val="009F66B5"/>
    <w:rsid w:val="009F7FDB"/>
    <w:rsid w:val="00A02F10"/>
    <w:rsid w:val="00A03B9D"/>
    <w:rsid w:val="00A077FC"/>
    <w:rsid w:val="00A1060C"/>
    <w:rsid w:val="00A16221"/>
    <w:rsid w:val="00A178BD"/>
    <w:rsid w:val="00A20A7D"/>
    <w:rsid w:val="00A314DD"/>
    <w:rsid w:val="00A35D42"/>
    <w:rsid w:val="00A46CCF"/>
    <w:rsid w:val="00A506DE"/>
    <w:rsid w:val="00A53451"/>
    <w:rsid w:val="00A61053"/>
    <w:rsid w:val="00A70426"/>
    <w:rsid w:val="00A707CC"/>
    <w:rsid w:val="00A70E2D"/>
    <w:rsid w:val="00A71410"/>
    <w:rsid w:val="00A74B63"/>
    <w:rsid w:val="00A833FE"/>
    <w:rsid w:val="00A83C62"/>
    <w:rsid w:val="00A86F2E"/>
    <w:rsid w:val="00A916BA"/>
    <w:rsid w:val="00A91E9A"/>
    <w:rsid w:val="00A93ED9"/>
    <w:rsid w:val="00A96221"/>
    <w:rsid w:val="00A97A7E"/>
    <w:rsid w:val="00AA136A"/>
    <w:rsid w:val="00AA4564"/>
    <w:rsid w:val="00AB25D9"/>
    <w:rsid w:val="00AC2DBB"/>
    <w:rsid w:val="00AC6A99"/>
    <w:rsid w:val="00AD0B98"/>
    <w:rsid w:val="00AD6048"/>
    <w:rsid w:val="00AD6D59"/>
    <w:rsid w:val="00AF4C02"/>
    <w:rsid w:val="00AF7BB8"/>
    <w:rsid w:val="00B055EF"/>
    <w:rsid w:val="00B06B5B"/>
    <w:rsid w:val="00B232D2"/>
    <w:rsid w:val="00B23769"/>
    <w:rsid w:val="00B41789"/>
    <w:rsid w:val="00B51BCB"/>
    <w:rsid w:val="00B55B42"/>
    <w:rsid w:val="00B623DD"/>
    <w:rsid w:val="00B63CA1"/>
    <w:rsid w:val="00B6557F"/>
    <w:rsid w:val="00B81808"/>
    <w:rsid w:val="00B86DFA"/>
    <w:rsid w:val="00B91C25"/>
    <w:rsid w:val="00B936D0"/>
    <w:rsid w:val="00B97C8A"/>
    <w:rsid w:val="00BA2C03"/>
    <w:rsid w:val="00BA4C4C"/>
    <w:rsid w:val="00BB15FB"/>
    <w:rsid w:val="00BB17EC"/>
    <w:rsid w:val="00BD3D5B"/>
    <w:rsid w:val="00BE1AB4"/>
    <w:rsid w:val="00BE3600"/>
    <w:rsid w:val="00BE7CA6"/>
    <w:rsid w:val="00C01F6F"/>
    <w:rsid w:val="00C02107"/>
    <w:rsid w:val="00C041EA"/>
    <w:rsid w:val="00C13BBD"/>
    <w:rsid w:val="00C149AB"/>
    <w:rsid w:val="00C14A20"/>
    <w:rsid w:val="00C16929"/>
    <w:rsid w:val="00C20690"/>
    <w:rsid w:val="00C206FD"/>
    <w:rsid w:val="00C20DF3"/>
    <w:rsid w:val="00C36020"/>
    <w:rsid w:val="00C40694"/>
    <w:rsid w:val="00C413A4"/>
    <w:rsid w:val="00C479BF"/>
    <w:rsid w:val="00C47E89"/>
    <w:rsid w:val="00C5124B"/>
    <w:rsid w:val="00C70542"/>
    <w:rsid w:val="00C73EFA"/>
    <w:rsid w:val="00C75CBF"/>
    <w:rsid w:val="00CA2294"/>
    <w:rsid w:val="00CB191E"/>
    <w:rsid w:val="00CC2894"/>
    <w:rsid w:val="00CD31F2"/>
    <w:rsid w:val="00CD51B6"/>
    <w:rsid w:val="00CD77C3"/>
    <w:rsid w:val="00CE112C"/>
    <w:rsid w:val="00CF55D4"/>
    <w:rsid w:val="00D03EC0"/>
    <w:rsid w:val="00D05437"/>
    <w:rsid w:val="00D10DA2"/>
    <w:rsid w:val="00D145F1"/>
    <w:rsid w:val="00D23314"/>
    <w:rsid w:val="00D608DA"/>
    <w:rsid w:val="00D730BF"/>
    <w:rsid w:val="00D852F4"/>
    <w:rsid w:val="00D9525B"/>
    <w:rsid w:val="00DA0158"/>
    <w:rsid w:val="00DA6DC3"/>
    <w:rsid w:val="00DB0BEE"/>
    <w:rsid w:val="00DB1110"/>
    <w:rsid w:val="00DB3730"/>
    <w:rsid w:val="00DC3088"/>
    <w:rsid w:val="00DC371B"/>
    <w:rsid w:val="00DC3788"/>
    <w:rsid w:val="00DC76C7"/>
    <w:rsid w:val="00DD09F5"/>
    <w:rsid w:val="00DD0E02"/>
    <w:rsid w:val="00DD4201"/>
    <w:rsid w:val="00DD5E9F"/>
    <w:rsid w:val="00DE5711"/>
    <w:rsid w:val="00DF686E"/>
    <w:rsid w:val="00E00EA0"/>
    <w:rsid w:val="00E021CB"/>
    <w:rsid w:val="00E13096"/>
    <w:rsid w:val="00E138F1"/>
    <w:rsid w:val="00E2309D"/>
    <w:rsid w:val="00E26758"/>
    <w:rsid w:val="00E30E01"/>
    <w:rsid w:val="00E36695"/>
    <w:rsid w:val="00E37DEA"/>
    <w:rsid w:val="00E420E0"/>
    <w:rsid w:val="00E4357B"/>
    <w:rsid w:val="00E443A7"/>
    <w:rsid w:val="00E45904"/>
    <w:rsid w:val="00E5116A"/>
    <w:rsid w:val="00E61989"/>
    <w:rsid w:val="00E63DE5"/>
    <w:rsid w:val="00E647AF"/>
    <w:rsid w:val="00E647C7"/>
    <w:rsid w:val="00E65A37"/>
    <w:rsid w:val="00E65EF7"/>
    <w:rsid w:val="00E77B48"/>
    <w:rsid w:val="00E857FB"/>
    <w:rsid w:val="00E91799"/>
    <w:rsid w:val="00E97DF8"/>
    <w:rsid w:val="00EA00F6"/>
    <w:rsid w:val="00EA21FE"/>
    <w:rsid w:val="00EA34E3"/>
    <w:rsid w:val="00EB1790"/>
    <w:rsid w:val="00EB1F28"/>
    <w:rsid w:val="00EB7538"/>
    <w:rsid w:val="00EC1868"/>
    <w:rsid w:val="00EE2A16"/>
    <w:rsid w:val="00EE6468"/>
    <w:rsid w:val="00F06FB1"/>
    <w:rsid w:val="00F1299B"/>
    <w:rsid w:val="00F207A4"/>
    <w:rsid w:val="00F25173"/>
    <w:rsid w:val="00F355AC"/>
    <w:rsid w:val="00F40CF7"/>
    <w:rsid w:val="00F44194"/>
    <w:rsid w:val="00F63FCF"/>
    <w:rsid w:val="00F71A5A"/>
    <w:rsid w:val="00F73A1A"/>
    <w:rsid w:val="00F769E0"/>
    <w:rsid w:val="00F8770A"/>
    <w:rsid w:val="00F929BC"/>
    <w:rsid w:val="00FA4A46"/>
    <w:rsid w:val="00FA75FE"/>
    <w:rsid w:val="00FB1032"/>
    <w:rsid w:val="00FB39BC"/>
    <w:rsid w:val="00FB6A53"/>
    <w:rsid w:val="00FC11CA"/>
    <w:rsid w:val="00FC6BDE"/>
    <w:rsid w:val="00FD17B4"/>
    <w:rsid w:val="00FD7B51"/>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3F7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691A59"/>
    <w:rPr>
      <w:sz w:val="24"/>
      <w:szCs w:val="24"/>
    </w:rPr>
  </w:style>
  <w:style w:type="character" w:styleId="CommentReference">
    <w:name w:val="annotation reference"/>
    <w:rsid w:val="00AD6D59"/>
    <w:rPr>
      <w:sz w:val="16"/>
      <w:szCs w:val="16"/>
    </w:rPr>
  </w:style>
  <w:style w:type="paragraph" w:styleId="CommentText">
    <w:name w:val="annotation text"/>
    <w:basedOn w:val="Normal"/>
    <w:link w:val="CommentTextChar"/>
    <w:rsid w:val="00AD6D59"/>
    <w:rPr>
      <w:sz w:val="20"/>
      <w:szCs w:val="20"/>
    </w:rPr>
  </w:style>
  <w:style w:type="character" w:customStyle="1" w:styleId="CommentTextChar">
    <w:name w:val="Comment Text Char"/>
    <w:basedOn w:val="DefaultParagraphFont"/>
    <w:link w:val="CommentText"/>
    <w:rsid w:val="00AD6D59"/>
  </w:style>
  <w:style w:type="paragraph" w:styleId="CommentSubject">
    <w:name w:val="annotation subject"/>
    <w:basedOn w:val="CommentText"/>
    <w:next w:val="CommentText"/>
    <w:link w:val="CommentSubjectChar"/>
    <w:rsid w:val="00AD6D59"/>
    <w:rPr>
      <w:b/>
      <w:bCs/>
    </w:rPr>
  </w:style>
  <w:style w:type="character" w:customStyle="1" w:styleId="CommentSubjectChar">
    <w:name w:val="Comment Subject Char"/>
    <w:link w:val="CommentSubject"/>
    <w:rsid w:val="00AD6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regulatory-information/search-fda-guidance-documents/guidance-industry-labeling-certain-beers-subject-labeling-jurisdiction-food-and-drug-administration" TargetMode="External" /><Relationship Id="rId11" Type="http://schemas.openxmlformats.org/officeDocument/2006/relationships/hyperlink" Target="https://www.fda.gov/food/labeling-nutrition-guidance-documents-regulatory-information/small-business-nutrition-labeling-exemption" TargetMode="External" /><Relationship Id="rId12" Type="http://schemas.openxmlformats.org/officeDocument/2006/relationships/hyperlink" Target="https://www.fda.gov/industry/small-business-assistance" TargetMode="External" /><Relationship Id="rId13" Type="http://schemas.openxmlformats.org/officeDocument/2006/relationships/hyperlink" Target="http://www.reginfo.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food-labeling-nutrition" TargetMode="External" /><Relationship Id="rId5" Type="http://schemas.openxmlformats.org/officeDocument/2006/relationships/hyperlink" Target="https://www.fda.gov/food/dietary-supplements" TargetMode="External" /><Relationship Id="rId6" Type="http://schemas.openxmlformats.org/officeDocument/2006/relationships/hyperlink" Target="https://www.fda.gov/food/labeling-nutrition-guidance-documents-regulatory-information/small-business-nutrition-labeling-exemption-notice-model-form" TargetMode="External" /><Relationship Id="rId7" Type="http://schemas.openxmlformats.org/officeDocument/2006/relationships/hyperlink" Target="https://www.fda.gov/regulatory-information/search-fda-guidance-documents/guidance-industry-notification-health-claim-or-nutrient-content-claim-based-authoritative-statement" TargetMode="External" /><Relationship Id="rId8" Type="http://schemas.openxmlformats.org/officeDocument/2006/relationships/hyperlink" Target="https://www.fda.gov/regulatory-information/search-fda-guidance-documents/guidance-industry-substantiation-dietary-supplement-claims-made-under-section-403r-6-federal-food" TargetMode="External" /><Relationship Id="rId9" Type="http://schemas.openxmlformats.org/officeDocument/2006/relationships/hyperlink" Target="https://www.fda.gov/regulatory-information/search-fda-guidance-documents/guidance-industry-questions-and-answers-regarding-labeling-dietary-supplements-required-diet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4425</Words>
  <Characters>25224</Characters>
  <Application>Microsoft Office Word</Application>
  <DocSecurity>0</DocSecurity>
  <Lines>210</Lines>
  <Paragraphs>59</Paragraphs>
  <ScaleCrop>false</ScaleCrop>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2023-08-16T18:04:00Z</dcterms:created>
  <dcterms:modified xsi:type="dcterms:W3CDTF">2023-08-16T22:08:00Z</dcterms:modified>
</cp:coreProperties>
</file>