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7C8A" w:rsidP="00BA2D37" w:rsidRDefault="00343BDD" w14:paraId="08EEDD9F" w14:textId="5FD87649">
      <w:pPr>
        <w:jc w:val="center"/>
        <w:rPr>
          <w:rFonts w:eastAsia="Calibri"/>
        </w:rPr>
      </w:pPr>
      <w:r>
        <w:rPr>
          <w:rFonts w:eastAsia="Calibri"/>
        </w:rPr>
        <w:t>UNITED STATES FOOD &amp; DRUG ADMINISTRATION</w:t>
      </w:r>
    </w:p>
    <w:p w:rsidR="00357C8A" w:rsidP="00357C8A" w:rsidRDefault="00357C8A" w14:paraId="4EB8CFDD" w14:textId="77777777">
      <w:pPr>
        <w:jc w:val="center"/>
        <w:rPr>
          <w:rFonts w:eastAsia="Calibri"/>
        </w:rPr>
      </w:pPr>
    </w:p>
    <w:p w:rsidRPr="008F0589" w:rsidR="008F0589" w:rsidP="008F0589" w:rsidRDefault="008F0589" w14:paraId="230B267B" w14:textId="77777777">
      <w:pPr>
        <w:jc w:val="center"/>
        <w:rPr>
          <w:rFonts w:eastAsia="Calibri"/>
        </w:rPr>
      </w:pPr>
      <w:r w:rsidRPr="008F0589">
        <w:rPr>
          <w:rFonts w:eastAsia="Calibri"/>
        </w:rPr>
        <w:t>Standards for the Growing, Harvesting, Packaging, and</w:t>
      </w:r>
    </w:p>
    <w:p w:rsidR="00357C8A" w:rsidP="00357C8A" w:rsidRDefault="008F0589" w14:paraId="7DD00450" w14:textId="77777777">
      <w:pPr>
        <w:jc w:val="center"/>
        <w:rPr>
          <w:rFonts w:eastAsia="Calibri"/>
        </w:rPr>
      </w:pPr>
      <w:r w:rsidRPr="008F0589">
        <w:rPr>
          <w:rFonts w:eastAsia="Calibri"/>
        </w:rPr>
        <w:t>Holding of Produce for Human Consumption</w:t>
      </w:r>
    </w:p>
    <w:p w:rsidR="00BF707A" w:rsidP="00357C8A" w:rsidRDefault="00BF707A" w14:paraId="304263C7" w14:textId="77777777">
      <w:pPr>
        <w:jc w:val="center"/>
        <w:rPr>
          <w:rFonts w:eastAsia="Calibri"/>
        </w:rPr>
      </w:pPr>
    </w:p>
    <w:p w:rsidRPr="00343BDD" w:rsidR="00357C8A" w:rsidP="00357C8A" w:rsidRDefault="00357C8A" w14:paraId="7DFAA6BA" w14:textId="77777777">
      <w:pPr>
        <w:jc w:val="center"/>
        <w:rPr>
          <w:rFonts w:eastAsia="Calibri"/>
          <w:u w:val="single"/>
        </w:rPr>
      </w:pPr>
      <w:r w:rsidRPr="00343BDD">
        <w:rPr>
          <w:rFonts w:eastAsia="Calibri"/>
          <w:u w:val="single"/>
        </w:rPr>
        <w:t>OMB Control No. 0910</w:t>
      </w:r>
      <w:r w:rsidRPr="00343BDD" w:rsidR="00BF707A">
        <w:rPr>
          <w:rFonts w:eastAsia="Calibri"/>
          <w:u w:val="single"/>
        </w:rPr>
        <w:t>-</w:t>
      </w:r>
      <w:r w:rsidRPr="00343BDD" w:rsidR="008F0589">
        <w:rPr>
          <w:rFonts w:eastAsia="Calibri"/>
          <w:u w:val="single"/>
        </w:rPr>
        <w:t>0816</w:t>
      </w:r>
    </w:p>
    <w:p w:rsidR="00EB518D" w:rsidP="00357C8A" w:rsidRDefault="00EB518D" w14:paraId="27A5A3DB" w14:textId="77777777">
      <w:pPr>
        <w:jc w:val="center"/>
        <w:rPr>
          <w:rFonts w:eastAsia="Calibri"/>
        </w:rPr>
      </w:pPr>
    </w:p>
    <w:p w:rsidR="00357C8A" w:rsidP="000D79CC" w:rsidRDefault="00357C8A" w14:paraId="118B60F4" w14:textId="6018CB1F">
      <w:pPr>
        <w:rPr>
          <w:rFonts w:eastAsia="Calibri"/>
        </w:rPr>
      </w:pPr>
      <w:r w:rsidRPr="00357C8A">
        <w:rPr>
          <w:rFonts w:eastAsia="Calibri"/>
        </w:rPr>
        <w:t>SUPPORTING STATEMENT</w:t>
      </w:r>
      <w:r w:rsidR="00EB518D">
        <w:rPr>
          <w:rFonts w:eastAsia="Calibri"/>
        </w:rPr>
        <w:t xml:space="preserve"> – </w:t>
      </w:r>
      <w:r w:rsidRPr="00357C8A">
        <w:rPr>
          <w:rFonts w:eastAsia="Calibri"/>
          <w:b/>
        </w:rPr>
        <w:t>Part A:  Justification</w:t>
      </w:r>
      <w:r w:rsidRPr="00357C8A">
        <w:rPr>
          <w:rFonts w:eastAsia="Calibri"/>
        </w:rPr>
        <w:t>:</w:t>
      </w:r>
    </w:p>
    <w:p w:rsidRPr="00357C8A" w:rsidR="000D79CC" w:rsidP="000D79CC" w:rsidRDefault="000D79CC" w14:paraId="2B131F66" w14:textId="77777777">
      <w:pPr>
        <w:rPr>
          <w:rFonts w:eastAsia="Calibri"/>
        </w:rPr>
      </w:pPr>
    </w:p>
    <w:p w:rsidRPr="00357C8A" w:rsidR="00357C8A" w:rsidP="006705EA" w:rsidRDefault="00357C8A" w14:paraId="17A84CB8"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FC77AE" w:rsidP="00FC77AE" w:rsidRDefault="008F0589" w14:paraId="7AA3562D" w14:textId="77777777">
      <w:pPr>
        <w:rPr>
          <w:rFonts w:eastAsia="Calibri"/>
        </w:rPr>
      </w:pPr>
      <w:r w:rsidRPr="008F0589">
        <w:rPr>
          <w:rFonts w:eastAsia="Calibri"/>
        </w:rPr>
        <w:t xml:space="preserve">This information collection supports agency regulations and associated guidance. </w:t>
      </w:r>
      <w:r w:rsidR="00A8519E">
        <w:rPr>
          <w:rFonts w:eastAsia="Calibri"/>
        </w:rPr>
        <w:t xml:space="preserve"> </w:t>
      </w:r>
      <w:r w:rsidRPr="008F0589">
        <w:rPr>
          <w:rFonts w:eastAsia="Calibri"/>
        </w:rPr>
        <w:t>To</w:t>
      </w:r>
      <w:r w:rsidR="00A8519E">
        <w:rPr>
          <w:rFonts w:eastAsia="Calibri"/>
        </w:rPr>
        <w:t xml:space="preserve"> </w:t>
      </w:r>
      <w:r w:rsidRPr="008F0589">
        <w:rPr>
          <w:rFonts w:eastAsia="Calibri"/>
        </w:rPr>
        <w:t>minimize the risk of serious adverse health consequences or death from consumption</w:t>
      </w:r>
      <w:r w:rsidR="00A8519E">
        <w:rPr>
          <w:rFonts w:eastAsia="Calibri"/>
        </w:rPr>
        <w:t xml:space="preserve"> </w:t>
      </w:r>
      <w:r w:rsidRPr="008F0589">
        <w:rPr>
          <w:rFonts w:eastAsia="Calibri"/>
        </w:rPr>
        <w:t>of contaminated produce, the Food and Drug Administration (FDA or we) has</w:t>
      </w:r>
      <w:r w:rsidR="00A8519E">
        <w:rPr>
          <w:rFonts w:eastAsia="Calibri"/>
        </w:rPr>
        <w:t xml:space="preserve"> </w:t>
      </w:r>
      <w:r w:rsidRPr="008F0589">
        <w:rPr>
          <w:rFonts w:eastAsia="Calibri"/>
        </w:rPr>
        <w:t>established science-based minimum standards for the safe growing, harvesting,</w:t>
      </w:r>
      <w:r w:rsidR="00A8519E">
        <w:rPr>
          <w:rFonts w:eastAsia="Calibri"/>
        </w:rPr>
        <w:t xml:space="preserve"> </w:t>
      </w:r>
      <w:r w:rsidRPr="008F0589">
        <w:rPr>
          <w:rFonts w:eastAsia="Calibri"/>
        </w:rPr>
        <w:t>packing, and holding of produce, meaning fruits and vegetables grown for human</w:t>
      </w:r>
      <w:r w:rsidR="00A8519E">
        <w:rPr>
          <w:rFonts w:eastAsia="Calibri"/>
        </w:rPr>
        <w:t xml:space="preserve"> </w:t>
      </w:r>
      <w:r w:rsidRPr="008F0589">
        <w:rPr>
          <w:rFonts w:eastAsia="Calibri"/>
        </w:rPr>
        <w:t>consumption.</w:t>
      </w:r>
      <w:r w:rsidR="00F63897">
        <w:rPr>
          <w:rFonts w:eastAsia="Calibri"/>
        </w:rPr>
        <w:t xml:space="preserve">  </w:t>
      </w:r>
      <w:r w:rsidR="00343BDD">
        <w:rPr>
          <w:rFonts w:eastAsia="Calibri"/>
        </w:rPr>
        <w:t xml:space="preserve">Implementing regulations are found in 21 CFR part 112, </w:t>
      </w:r>
      <w:r w:rsidR="00D24431">
        <w:rPr>
          <w:rFonts w:eastAsia="Calibri"/>
        </w:rPr>
        <w:t xml:space="preserve">and establish </w:t>
      </w:r>
      <w:r w:rsidRPr="00D24431" w:rsidR="00D24431">
        <w:rPr>
          <w:rFonts w:eastAsia="Calibri"/>
        </w:rPr>
        <w:t>procedures, processes, and practices</w:t>
      </w:r>
      <w:r w:rsidR="00D24431">
        <w:rPr>
          <w:rFonts w:eastAsia="Calibri"/>
        </w:rPr>
        <w:t xml:space="preserve"> intended to</w:t>
      </w:r>
      <w:r w:rsidRPr="00D24431" w:rsidR="00D24431">
        <w:rPr>
          <w:rFonts w:eastAsia="Calibri"/>
        </w:rPr>
        <w:t xml:space="preserve"> minimize the risk of serious adverse health consequences or death, including those reasonably necessary to prevent the introduction of known or reasonably foreseeable biological hazards into or onto produce</w:t>
      </w:r>
      <w:r w:rsidR="00D24431">
        <w:rPr>
          <w:rFonts w:eastAsia="Calibri"/>
        </w:rPr>
        <w:t>,</w:t>
      </w:r>
      <w:r w:rsidRPr="00D24431" w:rsidR="00D24431">
        <w:rPr>
          <w:rFonts w:eastAsia="Calibri"/>
        </w:rPr>
        <w:t xml:space="preserve"> and to provide reasonable assurances that the produce is not adulterated because of such hazards.</w:t>
      </w:r>
      <w:r w:rsidR="00D24431">
        <w:rPr>
          <w:rFonts w:eastAsia="Calibri"/>
        </w:rPr>
        <w:t xml:space="preserve">  The requirements </w:t>
      </w:r>
      <w:r w:rsidRPr="008F0589">
        <w:rPr>
          <w:rFonts w:eastAsia="Calibri"/>
        </w:rPr>
        <w:t>do not apply to produce that is rarely consumed raw,</w:t>
      </w:r>
      <w:r w:rsidR="00A8519E">
        <w:rPr>
          <w:rFonts w:eastAsia="Calibri"/>
        </w:rPr>
        <w:t xml:space="preserve"> </w:t>
      </w:r>
      <w:r w:rsidRPr="008F0589">
        <w:rPr>
          <w:rFonts w:eastAsia="Calibri"/>
        </w:rPr>
        <w:t>produce for personal or on-farm consumption, or produce that is not a raw</w:t>
      </w:r>
      <w:r w:rsidR="00A8519E">
        <w:rPr>
          <w:rFonts w:eastAsia="Calibri"/>
        </w:rPr>
        <w:t xml:space="preserve"> </w:t>
      </w:r>
      <w:r w:rsidRPr="008F0589">
        <w:rPr>
          <w:rFonts w:eastAsia="Calibri"/>
        </w:rPr>
        <w:t>agricultural commodity</w:t>
      </w:r>
      <w:r w:rsidR="00D24431">
        <w:rPr>
          <w:rFonts w:eastAsia="Calibri"/>
        </w:rPr>
        <w:t xml:space="preserve"> (RAC)</w:t>
      </w:r>
      <w:r w:rsidRPr="008F0589">
        <w:rPr>
          <w:rFonts w:eastAsia="Calibri"/>
        </w:rPr>
        <w:t xml:space="preserve">. </w:t>
      </w:r>
      <w:r w:rsidR="00A8519E">
        <w:rPr>
          <w:rFonts w:eastAsia="Calibri"/>
        </w:rPr>
        <w:t xml:space="preserve"> </w:t>
      </w:r>
      <w:r w:rsidRPr="008F0589">
        <w:rPr>
          <w:rFonts w:eastAsia="Calibri"/>
        </w:rPr>
        <w:t>In addition, produce that receives commercial processing</w:t>
      </w:r>
      <w:r w:rsidR="00A8519E">
        <w:rPr>
          <w:rFonts w:eastAsia="Calibri"/>
        </w:rPr>
        <w:t xml:space="preserve"> </w:t>
      </w:r>
      <w:r w:rsidRPr="008F0589">
        <w:rPr>
          <w:rFonts w:eastAsia="Calibri"/>
        </w:rPr>
        <w:t>that adequately reduces the presence of microorganisms of public health significance</w:t>
      </w:r>
      <w:r w:rsidR="00A8519E">
        <w:rPr>
          <w:rFonts w:eastAsia="Calibri"/>
        </w:rPr>
        <w:t xml:space="preserve"> </w:t>
      </w:r>
      <w:r w:rsidRPr="008F0589">
        <w:rPr>
          <w:rFonts w:eastAsia="Calibri"/>
        </w:rPr>
        <w:t>is eligible for exemption from the requirements of 21 CFR part 112.</w:t>
      </w:r>
    </w:p>
    <w:p w:rsidR="00FC77AE" w:rsidP="00FC77AE" w:rsidRDefault="00FC77AE" w14:paraId="68EB4E3A" w14:textId="77777777">
      <w:pPr>
        <w:rPr>
          <w:rFonts w:eastAsia="Calibri"/>
        </w:rPr>
      </w:pPr>
    </w:p>
    <w:p w:rsidR="008F0589" w:rsidP="008F0589" w:rsidRDefault="003C67A6" w14:paraId="3FA7DCF2" w14:textId="47CE5457">
      <w:pPr>
        <w:rPr>
          <w:rFonts w:eastAsia="Calibri"/>
        </w:rPr>
      </w:pPr>
      <w:r>
        <w:rPr>
          <w:rFonts w:eastAsia="Calibri"/>
        </w:rPr>
        <w:t xml:space="preserve">The information collection </w:t>
      </w:r>
      <w:r w:rsidR="00D24431">
        <w:rPr>
          <w:rFonts w:eastAsia="Calibri"/>
        </w:rPr>
        <w:t xml:space="preserve">also includes recommendations found in the following </w:t>
      </w:r>
      <w:r w:rsidRPr="008F0589" w:rsidR="008F0589">
        <w:rPr>
          <w:rFonts w:eastAsia="Calibri"/>
        </w:rPr>
        <w:t>guidance document</w:t>
      </w:r>
      <w:r w:rsidR="00CC5908">
        <w:rPr>
          <w:rFonts w:eastAsia="Calibri"/>
        </w:rPr>
        <w:t>s</w:t>
      </w:r>
      <w:r w:rsidR="00FC77AE">
        <w:rPr>
          <w:rFonts w:eastAsia="Calibri"/>
        </w:rPr>
        <w:t>, a</w:t>
      </w:r>
      <w:r w:rsidRPr="008F0589" w:rsidR="00FC77AE">
        <w:rPr>
          <w:rFonts w:eastAsia="Calibri"/>
        </w:rPr>
        <w:t>vailable at</w:t>
      </w:r>
      <w:r w:rsidR="00FC77AE">
        <w:rPr>
          <w:rFonts w:eastAsia="Calibri"/>
        </w:rPr>
        <w:t xml:space="preserve"> </w:t>
      </w:r>
      <w:hyperlink w:history="1" r:id="rId7">
        <w:r w:rsidRPr="004953C2" w:rsidR="00FC77AE">
          <w:rPr>
            <w:color w:val="0000FF"/>
            <w:u w:val="single"/>
          </w:rPr>
          <w:t>https://www.fda.gov/Food/GuidanceRegulation/GuidanceDocumentsRegulatoryInformation/default.htm</w:t>
        </w:r>
      </w:hyperlink>
      <w:r w:rsidR="00FC77AE">
        <w:rPr>
          <w:rFonts w:eastAsia="Calibri"/>
        </w:rPr>
        <w:t>:</w:t>
      </w:r>
    </w:p>
    <w:p w:rsidRPr="008F0589" w:rsidR="004953C2" w:rsidP="004953C2" w:rsidRDefault="004953C2" w14:paraId="25D3F5AD" w14:textId="77777777">
      <w:pPr>
        <w:rPr>
          <w:rFonts w:eastAsia="Calibri"/>
        </w:rPr>
      </w:pPr>
    </w:p>
    <w:p w:rsidR="004953C2" w:rsidP="004953C2" w:rsidRDefault="008F0589" w14:paraId="4F84A572" w14:textId="41B23A41">
      <w:pPr>
        <w:numPr>
          <w:ilvl w:val="0"/>
          <w:numId w:val="11"/>
        </w:numPr>
        <w:ind w:left="720"/>
        <w:rPr>
          <w:rFonts w:eastAsia="Calibri"/>
        </w:rPr>
      </w:pPr>
      <w:r w:rsidRPr="008F0589">
        <w:rPr>
          <w:rFonts w:eastAsia="Calibri"/>
        </w:rPr>
        <w:t>“</w:t>
      </w:r>
      <w:r w:rsidRPr="008F0589">
        <w:rPr>
          <w:rFonts w:eastAsia="Calibri"/>
          <w:i/>
          <w:iCs/>
        </w:rPr>
        <w:t>Standards for the Growing, Harvesting, Packing, and Holding of Produce</w:t>
      </w:r>
      <w:r w:rsidR="00A8519E">
        <w:rPr>
          <w:rFonts w:eastAsia="Calibri"/>
          <w:i/>
          <w:iCs/>
        </w:rPr>
        <w:t xml:space="preserve"> </w:t>
      </w:r>
      <w:r w:rsidRPr="008F0589">
        <w:rPr>
          <w:rFonts w:eastAsia="Calibri"/>
          <w:i/>
          <w:iCs/>
        </w:rPr>
        <w:t>for Human Consumption</w:t>
      </w:r>
      <w:r w:rsidRPr="008F0589">
        <w:rPr>
          <w:rFonts w:eastAsia="Calibri"/>
        </w:rPr>
        <w:t>”</w:t>
      </w:r>
    </w:p>
    <w:p w:rsidR="006715D9" w:rsidP="006715D9" w:rsidRDefault="006715D9" w14:paraId="15982A2E" w14:textId="77777777">
      <w:pPr>
        <w:ind w:left="720"/>
        <w:rPr>
          <w:rFonts w:eastAsia="Calibri"/>
        </w:rPr>
      </w:pPr>
    </w:p>
    <w:p w:rsidRPr="00CB1CBD" w:rsidR="00DE0F97" w:rsidP="00DE0F97" w:rsidRDefault="008F0589" w14:paraId="29717811" w14:textId="0A99F01A">
      <w:pPr>
        <w:numPr>
          <w:ilvl w:val="0"/>
          <w:numId w:val="11"/>
        </w:numPr>
        <w:ind w:left="720"/>
        <w:rPr>
          <w:rFonts w:eastAsia="Calibri"/>
        </w:rPr>
      </w:pPr>
      <w:r w:rsidRPr="008F0589">
        <w:rPr>
          <w:rFonts w:eastAsia="Calibri"/>
        </w:rPr>
        <w:t>“</w:t>
      </w:r>
      <w:r w:rsidRPr="008F0589">
        <w:rPr>
          <w:rFonts w:eastAsia="Calibri"/>
          <w:i/>
          <w:iCs/>
        </w:rPr>
        <w:t>Compliance with and Recommendations for Implementation of the</w:t>
      </w:r>
      <w:r w:rsidR="00A8519E">
        <w:rPr>
          <w:rFonts w:eastAsia="Calibri"/>
          <w:i/>
          <w:iCs/>
        </w:rPr>
        <w:t xml:space="preserve"> </w:t>
      </w:r>
      <w:r w:rsidRPr="008F0589">
        <w:rPr>
          <w:rFonts w:eastAsia="Calibri"/>
          <w:i/>
          <w:iCs/>
        </w:rPr>
        <w:t>Standards for the Growing, Harvesting, Packing, and Holding of Produce for</w:t>
      </w:r>
      <w:r w:rsidR="00A8519E">
        <w:rPr>
          <w:rFonts w:eastAsia="Calibri"/>
          <w:i/>
          <w:iCs/>
        </w:rPr>
        <w:t xml:space="preserve"> </w:t>
      </w:r>
      <w:r w:rsidRPr="008F0589">
        <w:rPr>
          <w:rFonts w:eastAsia="Calibri"/>
          <w:i/>
          <w:iCs/>
        </w:rPr>
        <w:t>Human Consumption for Sprout Operations</w:t>
      </w:r>
      <w:r w:rsidRPr="008F0589">
        <w:rPr>
          <w:rFonts w:eastAsia="Calibri"/>
        </w:rPr>
        <w:t xml:space="preserve">” </w:t>
      </w:r>
    </w:p>
    <w:p w:rsidR="00A8519E" w:rsidP="00AC4BAD" w:rsidRDefault="00A8519E" w14:paraId="5D1F3E07" w14:textId="77777777">
      <w:pPr>
        <w:ind w:left="720"/>
        <w:rPr>
          <w:rFonts w:eastAsia="Calibri"/>
        </w:rPr>
      </w:pPr>
    </w:p>
    <w:p w:rsidR="008F0589" w:rsidP="008F0589" w:rsidRDefault="008F0589" w14:paraId="2900A2B3" w14:textId="3EF38567">
      <w:pPr>
        <w:rPr>
          <w:rFonts w:eastAsia="Calibri"/>
        </w:rPr>
      </w:pPr>
      <w:r w:rsidRPr="008F0589">
        <w:rPr>
          <w:rFonts w:eastAsia="Calibri"/>
        </w:rPr>
        <w:t>While we anticipate finalizing both of the guidance documents, we are currently</w:t>
      </w:r>
      <w:r w:rsidR="00A8519E">
        <w:rPr>
          <w:rFonts w:eastAsia="Calibri"/>
        </w:rPr>
        <w:t xml:space="preserve"> </w:t>
      </w:r>
      <w:r w:rsidRPr="008F0589">
        <w:rPr>
          <w:rFonts w:eastAsia="Calibri"/>
        </w:rPr>
        <w:t>continuing to review and consider public comment consistent with our Good</w:t>
      </w:r>
      <w:r w:rsidR="00A8519E">
        <w:rPr>
          <w:rFonts w:eastAsia="Calibri"/>
        </w:rPr>
        <w:t xml:space="preserve"> </w:t>
      </w:r>
      <w:r w:rsidRPr="008F0589">
        <w:rPr>
          <w:rFonts w:eastAsia="Calibri"/>
        </w:rPr>
        <w:t>Guidance Practice Regulations at 21 CFR part 10.115, and we continue to realize</w:t>
      </w:r>
      <w:r w:rsidR="00A8519E">
        <w:rPr>
          <w:rFonts w:eastAsia="Calibri"/>
        </w:rPr>
        <w:t xml:space="preserve"> </w:t>
      </w:r>
      <w:r w:rsidRPr="008F0589">
        <w:rPr>
          <w:rFonts w:eastAsia="Calibri"/>
        </w:rPr>
        <w:t>certain compliance dates associated with</w:t>
      </w:r>
      <w:r w:rsidR="00D24431">
        <w:rPr>
          <w:rFonts w:eastAsia="Calibri"/>
        </w:rPr>
        <w:t xml:space="preserve"> FSMA</w:t>
      </w:r>
      <w:r w:rsidRPr="008F0589">
        <w:rPr>
          <w:rFonts w:eastAsia="Calibri"/>
        </w:rPr>
        <w:t>.</w:t>
      </w:r>
      <w:r w:rsidR="006715D9">
        <w:rPr>
          <w:rFonts w:eastAsia="Calibri"/>
        </w:rPr>
        <w:t xml:space="preserve">  </w:t>
      </w:r>
      <w:r w:rsidRPr="008F0589">
        <w:rPr>
          <w:rFonts w:eastAsia="Calibri"/>
        </w:rPr>
        <w:t>The first guidance document was developed to help covered farms comply with</w:t>
      </w:r>
      <w:r w:rsidR="00A8519E">
        <w:rPr>
          <w:rFonts w:eastAsia="Calibri"/>
        </w:rPr>
        <w:t xml:space="preserve"> </w:t>
      </w:r>
      <w:r w:rsidRPr="008F0589">
        <w:rPr>
          <w:rFonts w:eastAsia="Calibri"/>
        </w:rPr>
        <w:t xml:space="preserve">certain requirements. </w:t>
      </w:r>
      <w:r w:rsidR="00A8519E">
        <w:rPr>
          <w:rFonts w:eastAsia="Calibri"/>
        </w:rPr>
        <w:t xml:space="preserve"> </w:t>
      </w:r>
      <w:r w:rsidRPr="008F0589">
        <w:rPr>
          <w:rFonts w:eastAsia="Calibri"/>
        </w:rPr>
        <w:t>It provides a broad range of recommendations on how to meet</w:t>
      </w:r>
      <w:r w:rsidR="00A8519E">
        <w:rPr>
          <w:rFonts w:eastAsia="Calibri"/>
        </w:rPr>
        <w:t xml:space="preserve"> </w:t>
      </w:r>
      <w:r w:rsidRPr="008F0589">
        <w:rPr>
          <w:rFonts w:eastAsia="Calibri"/>
        </w:rPr>
        <w:t>the requirements for most subparts of the Produce Safety regulation, and also outlines</w:t>
      </w:r>
      <w:r w:rsidR="00A8519E">
        <w:rPr>
          <w:rFonts w:eastAsia="Calibri"/>
        </w:rPr>
        <w:t xml:space="preserve"> </w:t>
      </w:r>
      <w:r w:rsidRPr="008F0589">
        <w:rPr>
          <w:rFonts w:eastAsia="Calibri"/>
        </w:rPr>
        <w:t xml:space="preserve">how to determine whether produce or farms may be eligible for exemptions. </w:t>
      </w:r>
      <w:r w:rsidR="00A8519E">
        <w:rPr>
          <w:rFonts w:eastAsia="Calibri"/>
        </w:rPr>
        <w:t xml:space="preserve"> </w:t>
      </w:r>
      <w:r w:rsidRPr="008F0589">
        <w:rPr>
          <w:rFonts w:eastAsia="Calibri"/>
        </w:rPr>
        <w:t>The</w:t>
      </w:r>
      <w:r w:rsidR="00A8519E">
        <w:rPr>
          <w:rFonts w:eastAsia="Calibri"/>
        </w:rPr>
        <w:t xml:space="preserve"> </w:t>
      </w:r>
      <w:r w:rsidRPr="008F0589">
        <w:rPr>
          <w:rFonts w:eastAsia="Calibri"/>
        </w:rPr>
        <w:t xml:space="preserve">latter guidance (the </w:t>
      </w:r>
      <w:r w:rsidRPr="008F0589">
        <w:rPr>
          <w:rFonts w:eastAsia="Calibri"/>
          <w:i/>
          <w:iCs/>
        </w:rPr>
        <w:t>Sprouts Guidance</w:t>
      </w:r>
      <w:r w:rsidRPr="008F0589">
        <w:rPr>
          <w:rFonts w:eastAsia="Calibri"/>
        </w:rPr>
        <w:t>) was developed to assist sprout operations also</w:t>
      </w:r>
      <w:r w:rsidR="004953C2">
        <w:rPr>
          <w:rFonts w:eastAsia="Calibri"/>
        </w:rPr>
        <w:t xml:space="preserve"> </w:t>
      </w:r>
      <w:r w:rsidRPr="008F0589">
        <w:rPr>
          <w:rFonts w:eastAsia="Calibri"/>
        </w:rPr>
        <w:t xml:space="preserve">subject to the Produce Safety regulation. </w:t>
      </w:r>
      <w:r w:rsidR="004953C2">
        <w:rPr>
          <w:rFonts w:eastAsia="Calibri"/>
        </w:rPr>
        <w:t xml:space="preserve"> </w:t>
      </w:r>
      <w:r w:rsidRPr="008F0589">
        <w:rPr>
          <w:rFonts w:eastAsia="Calibri"/>
        </w:rPr>
        <w:t xml:space="preserve">Sprouts </w:t>
      </w:r>
      <w:r w:rsidRPr="008F0589">
        <w:rPr>
          <w:rFonts w:eastAsia="Calibri"/>
        </w:rPr>
        <w:lastRenderedPageBreak/>
        <w:t>represent a special food safety</w:t>
      </w:r>
      <w:r w:rsidR="004953C2">
        <w:rPr>
          <w:rFonts w:eastAsia="Calibri"/>
        </w:rPr>
        <w:t xml:space="preserve"> </w:t>
      </w:r>
      <w:r w:rsidRPr="008F0589">
        <w:rPr>
          <w:rFonts w:eastAsia="Calibri"/>
        </w:rPr>
        <w:t>concern because the conditions under which they are produced (time, temperature,</w:t>
      </w:r>
      <w:r w:rsidR="004953C2">
        <w:rPr>
          <w:rFonts w:eastAsia="Calibri"/>
        </w:rPr>
        <w:t xml:space="preserve"> </w:t>
      </w:r>
      <w:r w:rsidRPr="008F0589">
        <w:rPr>
          <w:rFonts w:eastAsia="Calibri"/>
        </w:rPr>
        <w:t>water activity, pH, and available nutrients) are ideal for the growth of pathogens, if</w:t>
      </w:r>
      <w:r w:rsidR="004953C2">
        <w:rPr>
          <w:rFonts w:eastAsia="Calibri"/>
        </w:rPr>
        <w:t xml:space="preserve"> </w:t>
      </w:r>
      <w:r w:rsidRPr="008F0589">
        <w:rPr>
          <w:rFonts w:eastAsia="Calibri"/>
        </w:rPr>
        <w:t>present.</w:t>
      </w:r>
      <w:r w:rsidR="004953C2">
        <w:rPr>
          <w:rFonts w:eastAsia="Calibri"/>
        </w:rPr>
        <w:t xml:space="preserve"> </w:t>
      </w:r>
      <w:r w:rsidRPr="008F0589">
        <w:rPr>
          <w:rFonts w:eastAsia="Calibri"/>
        </w:rPr>
        <w:t xml:space="preserve"> Similarly, the Sprouts draft guidance is intended to assist sprout producers</w:t>
      </w:r>
      <w:r w:rsidR="004953C2">
        <w:rPr>
          <w:rFonts w:eastAsia="Calibri"/>
        </w:rPr>
        <w:t xml:space="preserve"> </w:t>
      </w:r>
      <w:r w:rsidRPr="008F0589">
        <w:rPr>
          <w:rFonts w:eastAsia="Calibri"/>
        </w:rPr>
        <w:t>subject to the regulations in part 112 in complying with the sprout-specific</w:t>
      </w:r>
      <w:r w:rsidR="004953C2">
        <w:rPr>
          <w:rFonts w:eastAsia="Calibri"/>
        </w:rPr>
        <w:t xml:space="preserve"> </w:t>
      </w:r>
      <w:r w:rsidRPr="008F0589">
        <w:rPr>
          <w:rFonts w:eastAsia="Calibri"/>
        </w:rPr>
        <w:t>requirements in subpart M of the regulations.</w:t>
      </w:r>
    </w:p>
    <w:p w:rsidRPr="008F0589" w:rsidR="004953C2" w:rsidP="008F0589" w:rsidRDefault="004953C2" w14:paraId="186E81ED" w14:textId="77777777">
      <w:pPr>
        <w:rPr>
          <w:rFonts w:eastAsia="Calibri"/>
        </w:rPr>
      </w:pPr>
    </w:p>
    <w:p w:rsidR="008F0589" w:rsidP="008F0589" w:rsidRDefault="008F0589" w14:paraId="627B0CDB" w14:textId="3CBDC7CF">
      <w:pPr>
        <w:rPr>
          <w:rFonts w:eastAsia="Calibri"/>
        </w:rPr>
      </w:pPr>
      <w:r w:rsidRPr="008F0589">
        <w:rPr>
          <w:rFonts w:eastAsia="Calibri"/>
        </w:rPr>
        <w:t>Accordingly, we request extension of OMB approval for the information collection</w:t>
      </w:r>
      <w:r w:rsidR="004953C2">
        <w:rPr>
          <w:rFonts w:eastAsia="Calibri"/>
        </w:rPr>
        <w:t xml:space="preserve"> </w:t>
      </w:r>
      <w:r w:rsidRPr="008F0589">
        <w:rPr>
          <w:rFonts w:eastAsia="Calibri"/>
        </w:rPr>
        <w:t>provisions found in 21 CFR part 112 (</w:t>
      </w:r>
      <w:r w:rsidRPr="008F0589">
        <w:rPr>
          <w:rFonts w:eastAsia="Calibri"/>
          <w:i/>
          <w:iCs/>
        </w:rPr>
        <w:t>Standards for the Growing, Harvesting,</w:t>
      </w:r>
      <w:r w:rsidR="004953C2">
        <w:rPr>
          <w:rFonts w:eastAsia="Calibri"/>
          <w:i/>
          <w:iCs/>
        </w:rPr>
        <w:t xml:space="preserve"> </w:t>
      </w:r>
      <w:r w:rsidRPr="008F0589">
        <w:rPr>
          <w:rFonts w:eastAsia="Calibri"/>
          <w:i/>
          <w:iCs/>
        </w:rPr>
        <w:t>Packing, and Holding of Produce for Human Consumption</w:t>
      </w:r>
      <w:r w:rsidRPr="008F0589">
        <w:rPr>
          <w:rFonts w:eastAsia="Calibri"/>
        </w:rPr>
        <w:t xml:space="preserve">), </w:t>
      </w:r>
      <w:r w:rsidR="00D01376">
        <w:rPr>
          <w:rFonts w:eastAsia="Calibri"/>
        </w:rPr>
        <w:t xml:space="preserve">and </w:t>
      </w:r>
      <w:r w:rsidR="000D3397">
        <w:rPr>
          <w:rFonts w:eastAsia="Calibri"/>
        </w:rPr>
        <w:t xml:space="preserve">included in </w:t>
      </w:r>
      <w:r w:rsidR="00D01376">
        <w:rPr>
          <w:rFonts w:eastAsia="Calibri"/>
        </w:rPr>
        <w:t xml:space="preserve">the associated guidance documents, </w:t>
      </w:r>
      <w:r w:rsidRPr="008F0589">
        <w:rPr>
          <w:rFonts w:eastAsia="Calibri"/>
        </w:rPr>
        <w:t>a</w:t>
      </w:r>
      <w:r w:rsidR="003C67A6">
        <w:rPr>
          <w:rFonts w:eastAsia="Calibri"/>
        </w:rPr>
        <w:t>s</w:t>
      </w:r>
      <w:r w:rsidRPr="008F0589">
        <w:rPr>
          <w:rFonts w:eastAsia="Calibri"/>
        </w:rPr>
        <w:t xml:space="preserve"> discussed in this</w:t>
      </w:r>
      <w:r w:rsidR="00BF707A">
        <w:rPr>
          <w:rFonts w:eastAsia="Calibri"/>
        </w:rPr>
        <w:t xml:space="preserve"> </w:t>
      </w:r>
      <w:r w:rsidRPr="008F0589">
        <w:rPr>
          <w:rFonts w:eastAsia="Calibri"/>
        </w:rPr>
        <w:t>supporting statement.</w:t>
      </w:r>
    </w:p>
    <w:p w:rsidRPr="004E71B9" w:rsidR="00357C8A" w:rsidP="004953C2" w:rsidRDefault="00357C8A" w14:paraId="25A90A66" w14:textId="77777777">
      <w:pPr>
        <w:rPr>
          <w:rFonts w:eastAsia="Calibri"/>
          <w:color w:val="000000"/>
        </w:rPr>
      </w:pPr>
    </w:p>
    <w:p w:rsidRPr="00357C8A" w:rsidR="00357C8A" w:rsidP="006705EA" w:rsidRDefault="00357C8A" w14:paraId="6100A08D"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8F0589" w:rsidP="008F0589" w:rsidRDefault="008F0589" w14:paraId="701C3595" w14:textId="77777777">
      <w:pPr>
        <w:autoSpaceDE w:val="0"/>
        <w:autoSpaceDN w:val="0"/>
        <w:adjustRightInd w:val="0"/>
        <w:rPr>
          <w:rFonts w:ascii="TimesNewRomanPSMT" w:hAnsi="TimesNewRomanPSMT" w:cs="TimesNewRomanPSMT"/>
        </w:rPr>
      </w:pPr>
      <w:r>
        <w:rPr>
          <w:rFonts w:ascii="TimesNewRomanPSMT" w:hAnsi="TimesNewRomanPSMT" w:cs="TimesNewRomanPSMT"/>
        </w:rPr>
        <w:t>Part 112 (21 CFR part 112) establishes procedures, processes, and practices including</w:t>
      </w:r>
      <w:r w:rsidR="00BF707A">
        <w:rPr>
          <w:rFonts w:ascii="TimesNewRomanPSMT" w:hAnsi="TimesNewRomanPSMT" w:cs="TimesNewRomanPSMT"/>
        </w:rPr>
        <w:t xml:space="preserve"> </w:t>
      </w:r>
      <w:r>
        <w:rPr>
          <w:rFonts w:ascii="TimesNewRomanPSMT" w:hAnsi="TimesNewRomanPSMT" w:cs="TimesNewRomanPSMT"/>
        </w:rPr>
        <w:t>setting forth monitoring and sampling plans, documenting data and training, and</w:t>
      </w:r>
      <w:r w:rsidR="00BF707A">
        <w:rPr>
          <w:rFonts w:ascii="TimesNewRomanPSMT" w:hAnsi="TimesNewRomanPSMT" w:cs="TimesNewRomanPSMT"/>
        </w:rPr>
        <w:t xml:space="preserve"> </w:t>
      </w:r>
      <w:r>
        <w:rPr>
          <w:rFonts w:ascii="TimesNewRomanPSMT" w:hAnsi="TimesNewRomanPSMT" w:cs="TimesNewRomanPSMT"/>
        </w:rPr>
        <w:t>ensuring disclosure that produce for human consumption meets these requirements.</w:t>
      </w:r>
      <w:r w:rsidR="00BF707A">
        <w:rPr>
          <w:rFonts w:ascii="TimesNewRomanPSMT" w:hAnsi="TimesNewRomanPSMT" w:cs="TimesNewRomanPSMT"/>
        </w:rPr>
        <w:t xml:space="preserve">  </w:t>
      </w:r>
      <w:r>
        <w:rPr>
          <w:rFonts w:ascii="TimesNewRomanPSMT" w:hAnsi="TimesNewRomanPSMT" w:cs="TimesNewRomanPSMT"/>
        </w:rPr>
        <w:t>Part 112 also provides for certain exemptions and variances to qualified respondents.</w:t>
      </w:r>
      <w:r w:rsidR="00BF707A">
        <w:rPr>
          <w:rFonts w:ascii="TimesNewRomanPSMT" w:hAnsi="TimesNewRomanPSMT" w:cs="TimesNewRomanPSMT"/>
        </w:rPr>
        <w:t xml:space="preserve">  </w:t>
      </w:r>
      <w:r>
        <w:rPr>
          <w:rFonts w:ascii="TimesNewRomanPSMT" w:hAnsi="TimesNewRomanPSMT" w:cs="TimesNewRomanPSMT"/>
        </w:rPr>
        <w:t>We use the information collected to verify that the standards are followed such that</w:t>
      </w:r>
      <w:r w:rsidR="00BF707A">
        <w:rPr>
          <w:rFonts w:ascii="TimesNewRomanPSMT" w:hAnsi="TimesNewRomanPSMT" w:cs="TimesNewRomanPSMT"/>
        </w:rPr>
        <w:t xml:space="preserve"> </w:t>
      </w:r>
      <w:r>
        <w:rPr>
          <w:rFonts w:ascii="TimesNewRomanPSMT" w:hAnsi="TimesNewRomanPSMT" w:cs="TimesNewRomanPSMT"/>
        </w:rPr>
        <w:t>produce entering the marketplace is reasonably unlikely to be associated with</w:t>
      </w:r>
      <w:r w:rsidR="00BF707A">
        <w:rPr>
          <w:rFonts w:ascii="TimesNewRomanPSMT" w:hAnsi="TimesNewRomanPSMT" w:cs="TimesNewRomanPSMT"/>
        </w:rPr>
        <w:t xml:space="preserve"> </w:t>
      </w:r>
      <w:r>
        <w:rPr>
          <w:rFonts w:ascii="TimesNewRomanPSMT" w:hAnsi="TimesNewRomanPSMT" w:cs="TimesNewRomanPSMT"/>
        </w:rPr>
        <w:t>foodborne illness.</w:t>
      </w:r>
    </w:p>
    <w:p w:rsidR="00BF707A" w:rsidP="008F0589" w:rsidRDefault="00BF707A" w14:paraId="054098B5" w14:textId="77777777">
      <w:pPr>
        <w:autoSpaceDE w:val="0"/>
        <w:autoSpaceDN w:val="0"/>
        <w:adjustRightInd w:val="0"/>
        <w:rPr>
          <w:i/>
          <w:iCs/>
        </w:rPr>
      </w:pPr>
    </w:p>
    <w:p w:rsidRPr="004E71B9" w:rsidR="00357C8A" w:rsidP="00AC4BAD" w:rsidRDefault="008F0589" w14:paraId="1A2F09BC" w14:textId="77777777">
      <w:pPr>
        <w:autoSpaceDE w:val="0"/>
        <w:autoSpaceDN w:val="0"/>
        <w:adjustRightInd w:val="0"/>
        <w:rPr>
          <w:rFonts w:eastAsia="Calibri"/>
          <w:color w:val="000000"/>
        </w:rPr>
      </w:pPr>
      <w:r>
        <w:rPr>
          <w:i/>
          <w:iCs/>
        </w:rPr>
        <w:t>Description of Respondents</w:t>
      </w:r>
      <w:r w:rsidRPr="008A1A45">
        <w:t>:</w:t>
      </w:r>
      <w:r>
        <w:rPr>
          <w:i/>
          <w:iCs/>
        </w:rPr>
        <w:t xml:space="preserve"> </w:t>
      </w:r>
      <w:r>
        <w:rPr>
          <w:rFonts w:ascii="TimesNewRomanPSMT" w:hAnsi="TimesNewRomanPSMT" w:cs="TimesNewRomanPSMT"/>
        </w:rPr>
        <w:t>Respondents to this collection of information include farms</w:t>
      </w:r>
      <w:r w:rsidR="00BF707A">
        <w:rPr>
          <w:rFonts w:ascii="TimesNewRomanPSMT" w:hAnsi="TimesNewRomanPSMT" w:cs="TimesNewRomanPSMT"/>
        </w:rPr>
        <w:t xml:space="preserve"> </w:t>
      </w:r>
      <w:r>
        <w:rPr>
          <w:rFonts w:ascii="TimesNewRomanPSMT" w:hAnsi="TimesNewRomanPSMT" w:cs="TimesNewRomanPSMT"/>
        </w:rPr>
        <w:t>that grow, harvest, pack, or hold produce for human consumption, meaning fruits and</w:t>
      </w:r>
      <w:r w:rsidR="00BF707A">
        <w:rPr>
          <w:rFonts w:ascii="TimesNewRomanPSMT" w:hAnsi="TimesNewRomanPSMT" w:cs="TimesNewRomanPSMT"/>
        </w:rPr>
        <w:t xml:space="preserve"> </w:t>
      </w:r>
      <w:r>
        <w:rPr>
          <w:rFonts w:ascii="TimesNewRomanPSMT" w:hAnsi="TimesNewRomanPSMT" w:cs="TimesNewRomanPSMT"/>
        </w:rPr>
        <w:t xml:space="preserve">vegetables such as berries, tree nuts, herbs, and sprouts. </w:t>
      </w:r>
      <w:r w:rsidR="00BF707A">
        <w:rPr>
          <w:rFonts w:ascii="TimesNewRomanPSMT" w:hAnsi="TimesNewRomanPSMT" w:cs="TimesNewRomanPSMT"/>
        </w:rPr>
        <w:t xml:space="preserve"> </w:t>
      </w:r>
      <w:r>
        <w:rPr>
          <w:rFonts w:ascii="TimesNewRomanPSMT" w:hAnsi="TimesNewRomanPSMT" w:cs="TimesNewRomanPSMT"/>
        </w:rPr>
        <w:t>Respondents are from the</w:t>
      </w:r>
      <w:r w:rsidR="00BF707A">
        <w:rPr>
          <w:rFonts w:ascii="TimesNewRomanPSMT" w:hAnsi="TimesNewRomanPSMT" w:cs="TimesNewRomanPSMT"/>
        </w:rPr>
        <w:t xml:space="preserve"> </w:t>
      </w:r>
      <w:r>
        <w:rPr>
          <w:rFonts w:ascii="TimesNewRomanPSMT" w:hAnsi="TimesNewRomanPSMT" w:cs="TimesNewRomanPSMT"/>
        </w:rPr>
        <w:t>private sector (for-profit businesses).</w:t>
      </w:r>
    </w:p>
    <w:p w:rsidRPr="004E71B9" w:rsidR="00BF707A" w:rsidP="00BF707A" w:rsidRDefault="00BF707A" w14:paraId="19952AB2" w14:textId="77777777">
      <w:pPr>
        <w:autoSpaceDE w:val="0"/>
        <w:autoSpaceDN w:val="0"/>
        <w:adjustRightInd w:val="0"/>
        <w:rPr>
          <w:rFonts w:eastAsia="Calibri"/>
          <w:color w:val="000000"/>
        </w:rPr>
      </w:pPr>
    </w:p>
    <w:p w:rsidRPr="00357C8A" w:rsidR="00357C8A" w:rsidP="006705EA" w:rsidRDefault="00357C8A" w14:paraId="0A93A763"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Pr="004E71B9" w:rsidR="00357C8A" w:rsidP="00AC4BAD" w:rsidRDefault="008F0589" w14:paraId="5D8947B2" w14:textId="2741C4D2">
      <w:pPr>
        <w:autoSpaceDE w:val="0"/>
        <w:autoSpaceDN w:val="0"/>
        <w:adjustRightInd w:val="0"/>
        <w:rPr>
          <w:rFonts w:eastAsia="Calibri"/>
          <w:color w:val="000000"/>
        </w:rPr>
      </w:pPr>
      <w:r>
        <w:rPr>
          <w:rFonts w:ascii="TimesNewRomanPSMT" w:hAnsi="TimesNewRomanPSMT" w:cs="TimesNewRomanPSMT"/>
        </w:rPr>
        <w:t xml:space="preserve">We believe this information collection imposes minimum burden. </w:t>
      </w:r>
      <w:r w:rsidR="00BF707A">
        <w:rPr>
          <w:rFonts w:ascii="TimesNewRomanPSMT" w:hAnsi="TimesNewRomanPSMT" w:cs="TimesNewRomanPSMT"/>
        </w:rPr>
        <w:t xml:space="preserve"> </w:t>
      </w:r>
      <w:r>
        <w:rPr>
          <w:rFonts w:ascii="TimesNewRomanPSMT" w:hAnsi="TimesNewRomanPSMT" w:cs="TimesNewRomanPSMT"/>
        </w:rPr>
        <w:t>While it does not</w:t>
      </w:r>
      <w:r w:rsidR="00BF707A">
        <w:rPr>
          <w:rFonts w:ascii="TimesNewRomanPSMT" w:hAnsi="TimesNewRomanPSMT" w:cs="TimesNewRomanPSMT"/>
        </w:rPr>
        <w:t xml:space="preserve"> </w:t>
      </w:r>
      <w:r>
        <w:rPr>
          <w:rFonts w:ascii="TimesNewRomanPSMT" w:hAnsi="TimesNewRomanPSMT" w:cs="TimesNewRomanPSMT"/>
        </w:rPr>
        <w:t>so require, we believe 100% of respondents affected by this collection will rely on</w:t>
      </w:r>
      <w:r w:rsidR="00BF707A">
        <w:rPr>
          <w:rFonts w:ascii="TimesNewRomanPSMT" w:hAnsi="TimesNewRomanPSMT" w:cs="TimesNewRomanPSMT"/>
        </w:rPr>
        <w:t xml:space="preserve"> </w:t>
      </w:r>
      <w:r>
        <w:rPr>
          <w:rFonts w:ascii="TimesNewRomanPSMT" w:hAnsi="TimesNewRomanPSMT" w:cs="TimesNewRomanPSMT"/>
        </w:rPr>
        <w:t>information technology to store, retrieve, and otherwise comply with data collection</w:t>
      </w:r>
      <w:r w:rsidR="00BF707A">
        <w:rPr>
          <w:rFonts w:ascii="TimesNewRomanPSMT" w:hAnsi="TimesNewRomanPSMT" w:cs="TimesNewRomanPSMT"/>
        </w:rPr>
        <w:t xml:space="preserve"> </w:t>
      </w:r>
      <w:r>
        <w:rPr>
          <w:rFonts w:ascii="TimesNewRomanPSMT" w:hAnsi="TimesNewRomanPSMT" w:cs="TimesNewRomanPSMT"/>
        </w:rPr>
        <w:t>requirements</w:t>
      </w:r>
      <w:r w:rsidR="00043370">
        <w:rPr>
          <w:rFonts w:ascii="TimesNewRomanPSMT" w:hAnsi="TimesNewRomanPSMT" w:cs="TimesNewRomanPSMT"/>
        </w:rPr>
        <w:t>.  Additionally, FDA is currently exercising enforcement discretion</w:t>
      </w:r>
      <w:r w:rsidR="00550D52">
        <w:rPr>
          <w:rFonts w:ascii="TimesNewRomanPSMT" w:hAnsi="TimesNewRomanPSMT" w:cs="TimesNewRomanPSMT"/>
        </w:rPr>
        <w:t xml:space="preserve">, as </w:t>
      </w:r>
      <w:r w:rsidRPr="006A6996" w:rsidR="00F0187F">
        <w:t xml:space="preserve">communicated on our website at  </w:t>
      </w:r>
      <w:hyperlink w:history="1" r:id="rId8">
        <w:r w:rsidRPr="006A6996" w:rsidR="00F0187F">
          <w:rPr>
            <w:rStyle w:val="Hyperlink"/>
          </w:rPr>
          <w:t>https://www.fda.gov/food/food-safety-modernization-act-fsma/fsma-proposed-rule-agricultural-water</w:t>
        </w:r>
      </w:hyperlink>
      <w:r w:rsidRPr="006A6996" w:rsidR="00F0187F">
        <w:t xml:space="preserve">, </w:t>
      </w:r>
      <w:r w:rsidR="00550D52">
        <w:t xml:space="preserve">with regard to </w:t>
      </w:r>
      <w:r w:rsidRPr="006A6996" w:rsidR="00F0187F">
        <w:t xml:space="preserve">the testing of agricultural water </w:t>
      </w:r>
      <w:r w:rsidR="00550D52">
        <w:t xml:space="preserve">and </w:t>
      </w:r>
      <w:r w:rsidR="00585BDF">
        <w:t xml:space="preserve">pending rulemaking; and </w:t>
      </w:r>
      <w:r w:rsidR="00550D52">
        <w:t>we therefore expect</w:t>
      </w:r>
      <w:r w:rsidR="008517A5">
        <w:t xml:space="preserve"> any attendant burden to be minimal</w:t>
      </w:r>
      <w:r w:rsidRPr="006A6996" w:rsidR="00F0187F">
        <w:t>.</w:t>
      </w:r>
      <w:r w:rsidR="00F0187F">
        <w:t xml:space="preserve"> </w:t>
      </w:r>
      <w:r w:rsidR="00F67065">
        <w:rPr>
          <w:rFonts w:ascii="TimesNewRomanPSMT" w:hAnsi="TimesNewRomanPSMT" w:cs="TimesNewRomanPSMT"/>
        </w:rPr>
        <w:t xml:space="preserve"> </w:t>
      </w:r>
    </w:p>
    <w:p w:rsidRPr="004E71B9" w:rsidR="00BF707A" w:rsidP="00BF707A" w:rsidRDefault="00BF707A" w14:paraId="7690637C" w14:textId="77777777">
      <w:pPr>
        <w:autoSpaceDE w:val="0"/>
        <w:autoSpaceDN w:val="0"/>
        <w:adjustRightInd w:val="0"/>
        <w:rPr>
          <w:rFonts w:eastAsia="Calibri"/>
          <w:color w:val="000000"/>
        </w:rPr>
      </w:pPr>
    </w:p>
    <w:p w:rsidRPr="00357C8A" w:rsidR="00357C8A" w:rsidP="006705EA" w:rsidRDefault="00357C8A" w14:paraId="1C457480"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Pr="004E71B9" w:rsidR="000C1260" w:rsidP="00AC4BAD" w:rsidRDefault="008F0589" w14:paraId="2F930E12" w14:textId="1110BE81">
      <w:pPr>
        <w:autoSpaceDE w:val="0"/>
        <w:autoSpaceDN w:val="0"/>
        <w:adjustRightInd w:val="0"/>
        <w:rPr>
          <w:color w:val="000000"/>
        </w:rPr>
      </w:pPr>
      <w:r>
        <w:rPr>
          <w:rFonts w:ascii="TimesNewRomanPSMT" w:hAnsi="TimesNewRomanPSMT" w:cs="TimesNewRomanPSMT"/>
        </w:rPr>
        <w:t>We are unaware of duplicat</w:t>
      </w:r>
      <w:r w:rsidR="00EA1D0B">
        <w:rPr>
          <w:rFonts w:ascii="TimesNewRomanPSMT" w:hAnsi="TimesNewRomanPSMT" w:cs="TimesNewRomanPSMT"/>
        </w:rPr>
        <w:t>ive</w:t>
      </w:r>
      <w:r>
        <w:rPr>
          <w:rFonts w:ascii="TimesNewRomanPSMT" w:hAnsi="TimesNewRomanPSMT" w:cs="TimesNewRomanPSMT"/>
        </w:rPr>
        <w:t xml:space="preserve"> information</w:t>
      </w:r>
      <w:r w:rsidR="00BF707A">
        <w:rPr>
          <w:rFonts w:ascii="TimesNewRomanPSMT" w:hAnsi="TimesNewRomanPSMT" w:cs="TimesNewRomanPSMT"/>
        </w:rPr>
        <w:t xml:space="preserve"> </w:t>
      </w:r>
      <w:r>
        <w:rPr>
          <w:rFonts w:ascii="TimesNewRomanPSMT" w:hAnsi="TimesNewRomanPSMT" w:cs="TimesNewRomanPSMT"/>
        </w:rPr>
        <w:t>collection.</w:t>
      </w:r>
    </w:p>
    <w:p w:rsidRPr="004E71B9" w:rsidR="00BF707A" w:rsidP="00BF707A" w:rsidRDefault="00BF707A" w14:paraId="378F8B87" w14:textId="77777777">
      <w:pPr>
        <w:autoSpaceDE w:val="0"/>
        <w:autoSpaceDN w:val="0"/>
        <w:adjustRightInd w:val="0"/>
        <w:rPr>
          <w:rFonts w:eastAsia="Calibri"/>
          <w:color w:val="000000"/>
        </w:rPr>
      </w:pPr>
    </w:p>
    <w:p w:rsidRPr="00357C8A" w:rsidR="00357C8A" w:rsidP="006705EA" w:rsidRDefault="00357C8A" w14:paraId="18E87C5B"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BF707A" w:rsidP="00BF707A" w:rsidRDefault="00FE26F4" w14:paraId="29F77F62" w14:textId="03E446D8">
      <w:pPr>
        <w:autoSpaceDE w:val="0"/>
        <w:autoSpaceDN w:val="0"/>
        <w:adjustRightInd w:val="0"/>
        <w:rPr>
          <w:rFonts w:eastAsia="Calibri"/>
        </w:rPr>
      </w:pPr>
      <w:r>
        <w:rPr>
          <w:rFonts w:ascii="TimesNewRomanPSMT" w:hAnsi="TimesNewRomanPSMT" w:cs="TimesNewRomanPSMT"/>
        </w:rPr>
        <w:t xml:space="preserve">The information collection does not impose undue burden on small entities.  At the same time, the regulations in 21 CFR </w:t>
      </w:r>
      <w:r w:rsidR="008F0589">
        <w:rPr>
          <w:rFonts w:ascii="TimesNewRomanPSMT" w:hAnsi="TimesNewRomanPSMT" w:cs="TimesNewRomanPSMT"/>
        </w:rPr>
        <w:t>part 112 provide for exemptions for produce that</w:t>
      </w:r>
      <w:r w:rsidR="00BF707A">
        <w:rPr>
          <w:rFonts w:ascii="TimesNewRomanPSMT" w:hAnsi="TimesNewRomanPSMT" w:cs="TimesNewRomanPSMT"/>
        </w:rPr>
        <w:t xml:space="preserve"> </w:t>
      </w:r>
      <w:r w:rsidR="008F0589">
        <w:rPr>
          <w:rFonts w:ascii="TimesNewRomanPSMT" w:hAnsi="TimesNewRomanPSMT" w:cs="TimesNewRomanPSMT"/>
        </w:rPr>
        <w:t>receives commercial processing th</w:t>
      </w:r>
      <w:r>
        <w:rPr>
          <w:rFonts w:ascii="TimesNewRomanPSMT" w:hAnsi="TimesNewRomanPSMT" w:cs="TimesNewRomanPSMT"/>
        </w:rPr>
        <w:t xml:space="preserve">at </w:t>
      </w:r>
      <w:r w:rsidR="008F0589">
        <w:rPr>
          <w:rFonts w:ascii="TimesNewRomanPSMT" w:hAnsi="TimesNewRomanPSMT" w:cs="TimesNewRomanPSMT"/>
        </w:rPr>
        <w:t>adequately reduc</w:t>
      </w:r>
      <w:r>
        <w:rPr>
          <w:rFonts w:ascii="TimesNewRomanPSMT" w:hAnsi="TimesNewRomanPSMT" w:cs="TimesNewRomanPSMT"/>
        </w:rPr>
        <w:t>es</w:t>
      </w:r>
      <w:r w:rsidR="008F0589">
        <w:rPr>
          <w:rFonts w:ascii="TimesNewRomanPSMT" w:hAnsi="TimesNewRomanPSMT" w:cs="TimesNewRomanPSMT"/>
        </w:rPr>
        <w:t xml:space="preserve"> the presence of</w:t>
      </w:r>
      <w:r w:rsidR="00BF707A">
        <w:rPr>
          <w:rFonts w:ascii="TimesNewRomanPSMT" w:hAnsi="TimesNewRomanPSMT" w:cs="TimesNewRomanPSMT"/>
        </w:rPr>
        <w:t xml:space="preserve"> </w:t>
      </w:r>
      <w:r w:rsidR="008F0589">
        <w:rPr>
          <w:rFonts w:ascii="TimesNewRomanPSMT" w:hAnsi="TimesNewRomanPSMT" w:cs="TimesNewRomanPSMT"/>
        </w:rPr>
        <w:t>microorganisms of public health significance</w:t>
      </w:r>
      <w:r>
        <w:rPr>
          <w:rFonts w:ascii="TimesNewRomanPSMT" w:hAnsi="TimesNewRomanPSMT" w:cs="TimesNewRomanPSMT"/>
        </w:rPr>
        <w:t xml:space="preserve">, and </w:t>
      </w:r>
      <w:r w:rsidR="008F0589">
        <w:rPr>
          <w:rFonts w:ascii="TimesNewRomanPSMT" w:hAnsi="TimesNewRomanPSMT" w:cs="TimesNewRomanPSMT"/>
        </w:rPr>
        <w:t>provide for modified requirements for farms meeting specific</w:t>
      </w:r>
      <w:r w:rsidR="00BF707A">
        <w:rPr>
          <w:rFonts w:ascii="TimesNewRomanPSMT" w:hAnsi="TimesNewRomanPSMT" w:cs="TimesNewRomanPSMT"/>
        </w:rPr>
        <w:t xml:space="preserve"> </w:t>
      </w:r>
      <w:r w:rsidR="008F0589">
        <w:rPr>
          <w:rFonts w:ascii="TimesNewRomanPSMT" w:hAnsi="TimesNewRomanPSMT" w:cs="TimesNewRomanPSMT"/>
        </w:rPr>
        <w:t>criteria.</w:t>
      </w:r>
    </w:p>
    <w:p w:rsidRPr="00357C8A" w:rsidR="00BF707A" w:rsidP="00BF707A" w:rsidRDefault="00BF707A" w14:paraId="16DEA1A7" w14:textId="77777777">
      <w:pPr>
        <w:autoSpaceDE w:val="0"/>
        <w:autoSpaceDN w:val="0"/>
        <w:adjustRightInd w:val="0"/>
        <w:rPr>
          <w:rFonts w:eastAsia="Calibri"/>
        </w:rPr>
      </w:pPr>
    </w:p>
    <w:p w:rsidR="00EA1D0B" w:rsidRDefault="00EA1D0B" w14:paraId="3AC27801" w14:textId="77777777">
      <w:pPr>
        <w:rPr>
          <w:rFonts w:eastAsia="Calibri"/>
          <w:u w:val="single"/>
        </w:rPr>
      </w:pPr>
      <w:r>
        <w:rPr>
          <w:rFonts w:eastAsia="Calibri"/>
          <w:u w:val="single"/>
        </w:rPr>
        <w:br w:type="page"/>
      </w:r>
    </w:p>
    <w:p w:rsidRPr="00357C8A" w:rsidR="00357C8A" w:rsidP="006705EA" w:rsidRDefault="00357C8A" w14:paraId="75EC4F58" w14:textId="4A690A71">
      <w:pPr>
        <w:numPr>
          <w:ilvl w:val="0"/>
          <w:numId w:val="6"/>
        </w:numPr>
        <w:spacing w:after="200" w:line="276" w:lineRule="auto"/>
        <w:rPr>
          <w:rFonts w:eastAsia="Calibri"/>
          <w:u w:val="single"/>
        </w:rPr>
      </w:pPr>
      <w:r w:rsidRPr="00357C8A">
        <w:rPr>
          <w:rFonts w:eastAsia="Calibri"/>
          <w:u w:val="single"/>
        </w:rPr>
        <w:lastRenderedPageBreak/>
        <w:t>Consequences of Collecting the Information Less Frequently</w:t>
      </w:r>
    </w:p>
    <w:p w:rsidRPr="004E71B9" w:rsidR="00357C8A" w:rsidP="00AC4BAD" w:rsidRDefault="00FE26F4" w14:paraId="05ACCE58" w14:textId="31FA6070">
      <w:pPr>
        <w:autoSpaceDE w:val="0"/>
        <w:autoSpaceDN w:val="0"/>
        <w:adjustRightInd w:val="0"/>
        <w:rPr>
          <w:rFonts w:eastAsia="Calibri"/>
          <w:color w:val="000000"/>
        </w:rPr>
      </w:pPr>
      <w:r>
        <w:rPr>
          <w:rFonts w:ascii="TimesNewRomanPSMT" w:hAnsi="TimesNewRomanPSMT" w:cs="TimesNewRomanPSMT"/>
        </w:rPr>
        <w:t xml:space="preserve">The information collection </w:t>
      </w:r>
      <w:r w:rsidR="00484D9F">
        <w:rPr>
          <w:rFonts w:ascii="TimesNewRomanPSMT" w:hAnsi="TimesNewRomanPSMT" w:cs="TimesNewRomanPSMT"/>
        </w:rPr>
        <w:t>is consistent with statutory and regulatory requirements</w:t>
      </w:r>
      <w:r w:rsidR="008F0589">
        <w:rPr>
          <w:rFonts w:ascii="TimesNewRomanPSMT" w:hAnsi="TimesNewRomanPSMT" w:cs="TimesNewRomanPSMT"/>
        </w:rPr>
        <w:t>.</w:t>
      </w:r>
    </w:p>
    <w:p w:rsidRPr="004E71B9" w:rsidR="00BF707A" w:rsidP="00BF707A" w:rsidRDefault="00BF707A" w14:paraId="5174C4AF" w14:textId="77777777">
      <w:pPr>
        <w:autoSpaceDE w:val="0"/>
        <w:autoSpaceDN w:val="0"/>
        <w:adjustRightInd w:val="0"/>
        <w:rPr>
          <w:rFonts w:eastAsia="Calibri"/>
          <w:color w:val="000000"/>
        </w:rPr>
      </w:pPr>
    </w:p>
    <w:p w:rsidRPr="00357C8A" w:rsidR="00357C8A" w:rsidP="006705EA" w:rsidRDefault="00357C8A" w14:paraId="07AA48B1"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Pr="00357C8A" w:rsidR="00357C8A" w:rsidP="0022425B" w:rsidRDefault="00BF707A" w14:paraId="2AB35CFC" w14:textId="77777777">
      <w:pPr>
        <w:spacing w:after="200"/>
        <w:rPr>
          <w:rFonts w:eastAsia="Calibri"/>
        </w:rPr>
      </w:pPr>
      <w:r w:rsidRPr="00BF707A">
        <w:rPr>
          <w:rFonts w:eastAsia="Calibri"/>
        </w:rPr>
        <w:t>There are no special circumstances for this collection of information.</w:t>
      </w:r>
    </w:p>
    <w:p w:rsidRPr="00357C8A" w:rsidR="00357C8A" w:rsidP="006705EA" w:rsidRDefault="00357C8A" w14:paraId="3E02E93E"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EB1DC3" w:rsidP="00EB1DC3" w:rsidRDefault="00EB1DC3" w14:paraId="10BAC41F" w14:textId="77777777">
      <w:pPr>
        <w:autoSpaceDE w:val="0"/>
        <w:autoSpaceDN w:val="0"/>
        <w:adjustRightInd w:val="0"/>
        <w:rPr>
          <w:rFonts w:ascii="TimesNewRomanPSMT" w:hAnsi="TimesNewRomanPSMT" w:cs="TimesNewRomanPSMT"/>
        </w:rPr>
      </w:pPr>
      <w:r>
        <w:rPr>
          <w:rFonts w:ascii="TimesNewRomanPSMT" w:hAnsi="TimesNewRomanPSMT" w:cs="TimesNewRomanPSMT"/>
        </w:rPr>
        <w:t>In accordance with 5 CFR 1320.8(d), we published a 60-day notice for public comment</w:t>
      </w:r>
    </w:p>
    <w:p w:rsidRPr="004E71B9" w:rsidR="00357C8A" w:rsidP="00357C8A" w:rsidRDefault="00EB1DC3" w14:paraId="68028F82" w14:textId="7B4E7B6A">
      <w:pPr>
        <w:spacing w:after="200"/>
        <w:rPr>
          <w:rFonts w:eastAsia="Calibri"/>
          <w:color w:val="000000"/>
        </w:rPr>
      </w:pPr>
      <w:r>
        <w:rPr>
          <w:rFonts w:ascii="TimesNewRomanPSMT" w:hAnsi="TimesNewRomanPSMT" w:cs="TimesNewRomanPSMT"/>
        </w:rPr>
        <w:t xml:space="preserve">in the </w:t>
      </w:r>
      <w:r w:rsidRPr="00D24431">
        <w:rPr>
          <w:rFonts w:ascii="TimesNewRomanPSMT" w:hAnsi="TimesNewRomanPSMT" w:cs="TimesNewRomanPSMT"/>
          <w:u w:val="single"/>
        </w:rPr>
        <w:t>Federal Register</w:t>
      </w:r>
      <w:r>
        <w:rPr>
          <w:rFonts w:ascii="TimesNewRomanPSMT" w:hAnsi="TimesNewRomanPSMT" w:cs="TimesNewRomanPSMT"/>
        </w:rPr>
        <w:t xml:space="preserve"> of </w:t>
      </w:r>
      <w:r w:rsidR="00893FF8">
        <w:rPr>
          <w:rFonts w:ascii="TimesNewRomanPSMT" w:hAnsi="TimesNewRomanPSMT" w:cs="TimesNewRomanPSMT"/>
        </w:rPr>
        <w:t>December 3</w:t>
      </w:r>
      <w:r>
        <w:rPr>
          <w:rFonts w:ascii="TimesNewRomanPSMT" w:hAnsi="TimesNewRomanPSMT" w:cs="TimesNewRomanPSMT"/>
        </w:rPr>
        <w:t>, 20</w:t>
      </w:r>
      <w:r w:rsidR="00893FF8">
        <w:rPr>
          <w:rFonts w:ascii="TimesNewRomanPSMT" w:hAnsi="TimesNewRomanPSMT" w:cs="TimesNewRomanPSMT"/>
        </w:rPr>
        <w:t>2</w:t>
      </w:r>
      <w:r>
        <w:rPr>
          <w:rFonts w:ascii="TimesNewRomanPSMT" w:hAnsi="TimesNewRomanPSMT" w:cs="TimesNewRomanPSMT"/>
        </w:rPr>
        <w:t>1 (8</w:t>
      </w:r>
      <w:r w:rsidR="00893FF8">
        <w:rPr>
          <w:rFonts w:ascii="TimesNewRomanPSMT" w:hAnsi="TimesNewRomanPSMT" w:cs="TimesNewRomanPSMT"/>
        </w:rPr>
        <w:t>6</w:t>
      </w:r>
      <w:r>
        <w:rPr>
          <w:rFonts w:ascii="TimesNewRomanPSMT" w:hAnsi="TimesNewRomanPSMT" w:cs="TimesNewRomanPSMT"/>
        </w:rPr>
        <w:t xml:space="preserve"> FR 6</w:t>
      </w:r>
      <w:r w:rsidR="00893FF8">
        <w:rPr>
          <w:rFonts w:ascii="TimesNewRomanPSMT" w:hAnsi="TimesNewRomanPSMT" w:cs="TimesNewRomanPSMT"/>
        </w:rPr>
        <w:t>8673</w:t>
      </w:r>
      <w:r>
        <w:rPr>
          <w:rFonts w:ascii="TimesNewRomanPSMT" w:hAnsi="TimesNewRomanPSMT" w:cs="TimesNewRomanPSMT"/>
        </w:rPr>
        <w:t>).</w:t>
      </w:r>
      <w:r w:rsidR="008E087E">
        <w:rPr>
          <w:rFonts w:ascii="TimesNewRomanPSMT" w:hAnsi="TimesNewRomanPSMT" w:cs="TimesNewRomanPSMT"/>
        </w:rPr>
        <w:t xml:space="preserve">  </w:t>
      </w:r>
      <w:r w:rsidRPr="00F63897" w:rsidR="00F63897">
        <w:rPr>
          <w:rFonts w:ascii="TimesNewRomanPSMT" w:hAnsi="TimesNewRomanPSMT" w:cs="TimesNewRomanPSMT"/>
        </w:rPr>
        <w:t>One comment was received and appears to pertain to rulemaking that has already concluded, rather than to this</w:t>
      </w:r>
      <w:r w:rsidR="00F63897">
        <w:rPr>
          <w:rFonts w:ascii="TimesNewRomanPSMT" w:hAnsi="TimesNewRomanPSMT" w:cs="TimesNewRomanPSMT"/>
        </w:rPr>
        <w:t xml:space="preserve"> extension request</w:t>
      </w:r>
      <w:r w:rsidRPr="00F63897" w:rsidR="00F63897">
        <w:rPr>
          <w:rFonts w:ascii="TimesNewRomanPSMT" w:hAnsi="TimesNewRomanPSMT" w:cs="TimesNewRomanPSMT"/>
        </w:rPr>
        <w:t xml:space="preserve">.  Significantly, </w:t>
      </w:r>
      <w:r w:rsidR="00F63897">
        <w:rPr>
          <w:rFonts w:ascii="TimesNewRomanPSMT" w:hAnsi="TimesNewRomanPSMT" w:cs="TimesNewRomanPSMT"/>
        </w:rPr>
        <w:t xml:space="preserve">the </w:t>
      </w:r>
      <w:r w:rsidRPr="00F63897" w:rsidR="00F63897">
        <w:rPr>
          <w:rFonts w:ascii="TimesNewRomanPSMT" w:hAnsi="TimesNewRomanPSMT" w:cs="TimesNewRomanPSMT"/>
        </w:rPr>
        <w:t>comment did not suggest that we revise the currently approved estimate.  To the extent that the comment relates to ongoing rulemaking, we have posted the comment to the docket at FDA-2021-N-0471 and will ensure it is considered and addressed appropriately.</w:t>
      </w:r>
    </w:p>
    <w:p w:rsidRPr="00357C8A" w:rsidR="00357C8A" w:rsidP="006705EA" w:rsidRDefault="00357C8A" w14:paraId="45485B8C"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4E71B9" w:rsidR="00357C8A" w:rsidP="00357C8A" w:rsidRDefault="00792947" w14:paraId="03ECE43A" w14:textId="77777777">
      <w:pPr>
        <w:spacing w:after="200"/>
        <w:rPr>
          <w:rFonts w:eastAsia="Calibri"/>
          <w:color w:val="000000"/>
        </w:rPr>
      </w:pPr>
      <w:r w:rsidRPr="002074FE">
        <w:rPr>
          <w:rFonts w:eastAsia="Calibri"/>
        </w:rPr>
        <w:t>There are no incentives, payments or gifts associated with this information collection.</w:t>
      </w:r>
    </w:p>
    <w:p w:rsidRPr="00357C8A" w:rsidR="00357C8A" w:rsidP="006705EA" w:rsidRDefault="00357C8A" w14:paraId="31FC3ACC"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Pr="009F0836" w:rsidR="009F0836" w:rsidP="009F0836" w:rsidRDefault="009F0836" w14:paraId="6A9D1C6A" w14:textId="4FE28040">
      <w:pPr>
        <w:autoSpaceDE w:val="0"/>
        <w:autoSpaceDN w:val="0"/>
        <w:adjustRightInd w:val="0"/>
        <w:rPr>
          <w:rFonts w:ascii="TimesNewRomanPSMT" w:hAnsi="TimesNewRomanPSMT" w:cs="TimesNewRomanPSMT"/>
        </w:rPr>
      </w:pPr>
      <w:r w:rsidRPr="009F0836">
        <w:rPr>
          <w:rFonts w:ascii="TimesNewRomanPSMT" w:hAnsi="TimesNewRomanPSMT" w:cs="TimesNewRomanPSMT"/>
        </w:rPr>
        <w:t xml:space="preserve">In preparing this </w:t>
      </w:r>
      <w:r>
        <w:rPr>
          <w:rFonts w:ascii="TimesNewRomanPSMT" w:hAnsi="TimesNewRomanPSMT" w:cs="TimesNewRomanPSMT"/>
        </w:rPr>
        <w:t>s</w:t>
      </w:r>
      <w:r w:rsidRPr="009F0836">
        <w:rPr>
          <w:rFonts w:ascii="TimesNewRomanPSMT" w:hAnsi="TimesNewRomanPSMT" w:cs="TimesNewRomanPSMT"/>
        </w:rPr>
        <w:t xml:space="preserve">upporting </w:t>
      </w:r>
      <w:r>
        <w:rPr>
          <w:rFonts w:ascii="TimesNewRomanPSMT" w:hAnsi="TimesNewRomanPSMT" w:cs="TimesNewRomanPSMT"/>
        </w:rPr>
        <w:t>s</w:t>
      </w:r>
      <w:r w:rsidRPr="009F0836">
        <w:rPr>
          <w:rFonts w:ascii="TimesNewRomanPSMT" w:hAnsi="TimesNewRomanPSMT" w:cs="TimesNewRomanPSMT"/>
        </w:rPr>
        <w:t>tatement, we consulted our Privacy Office to ensure appropriate identification and handling of information collected.</w:t>
      </w:r>
      <w:r w:rsidR="00D24431">
        <w:rPr>
          <w:rFonts w:ascii="TimesNewRomanPSMT" w:hAnsi="TimesNewRomanPSMT" w:cs="TimesNewRomanPSMT"/>
        </w:rPr>
        <w:t xml:space="preserve">  Although this </w:t>
      </w:r>
      <w:r w:rsidRPr="009F0836">
        <w:rPr>
          <w:rFonts w:ascii="TimesNewRomanPSMT" w:hAnsi="TimesNewRomanPSMT" w:cs="TimesNewRomanPSMT"/>
        </w:rPr>
        <w:t>ICR collects personally identifiable information (PII)</w:t>
      </w:r>
      <w:r w:rsidR="00D24431">
        <w:rPr>
          <w:rFonts w:ascii="TimesNewRomanPSMT" w:hAnsi="TimesNewRomanPSMT" w:cs="TimesNewRomanPSMT"/>
        </w:rPr>
        <w:t xml:space="preserve">, it </w:t>
      </w:r>
      <w:r w:rsidRPr="009F0836">
        <w:rPr>
          <w:rFonts w:ascii="TimesNewRomanPSMT" w:hAnsi="TimesNewRomanPSMT" w:cs="TimesNewRomanPSMT"/>
        </w:rPr>
        <w:t>is collected in the context of the subject individuals’ professional capacity and the FDA-related work perform</w:t>
      </w:r>
      <w:r w:rsidR="00D24431">
        <w:rPr>
          <w:rFonts w:ascii="TimesNewRomanPSMT" w:hAnsi="TimesNewRomanPSMT" w:cs="TimesNewRomanPSMT"/>
        </w:rPr>
        <w:t>ed</w:t>
      </w:r>
      <w:r w:rsidRPr="009F0836">
        <w:rPr>
          <w:rFonts w:ascii="TimesNewRomanPSMT" w:hAnsi="TimesNewRomanPSMT" w:cs="TimesNewRomanPSMT"/>
        </w:rPr>
        <w:t xml:space="preserve"> for their employer (e.g., point of contact at a regulated entity).  The PII submitted via Form FDA 482 (Notice of Inspection) is name.</w:t>
      </w:r>
      <w:r w:rsidR="00D24431">
        <w:rPr>
          <w:rFonts w:ascii="TimesNewRomanPSMT" w:hAnsi="TimesNewRomanPSMT" w:cs="TimesNewRomanPSMT"/>
        </w:rPr>
        <w:t xml:space="preserve">  We have</w:t>
      </w:r>
      <w:r w:rsidRPr="009F0836">
        <w:rPr>
          <w:rFonts w:ascii="TimesNewRomanPSMT" w:hAnsi="TimesNewRomanPSMT" w:cs="TimesNewRomanPSMT"/>
        </w:rPr>
        <w:t xml:space="preserve"> determined that although PII is collected, the </w:t>
      </w:r>
      <w:r w:rsidR="00D24431">
        <w:rPr>
          <w:rFonts w:ascii="TimesNewRomanPSMT" w:hAnsi="TimesNewRomanPSMT" w:cs="TimesNewRomanPSMT"/>
        </w:rPr>
        <w:t xml:space="preserve">information </w:t>
      </w:r>
      <w:r w:rsidRPr="009F0836">
        <w:rPr>
          <w:rFonts w:ascii="TimesNewRomanPSMT" w:hAnsi="TimesNewRomanPSMT" w:cs="TimesNewRomanPSMT"/>
        </w:rPr>
        <w:t>collection is not subject to the Privacy Act of 1974</w:t>
      </w:r>
      <w:r>
        <w:rPr>
          <w:rFonts w:ascii="TimesNewRomanPSMT" w:hAnsi="TimesNewRomanPSMT" w:cs="TimesNewRomanPSMT"/>
        </w:rPr>
        <w:t>,</w:t>
      </w:r>
      <w:r w:rsidRPr="009F0836">
        <w:rPr>
          <w:rFonts w:ascii="TimesNewRomanPSMT" w:hAnsi="TimesNewRomanPSMT" w:cs="TimesNewRomanPSMT"/>
        </w:rPr>
        <w:t xml:space="preserve"> and the particular notice and other requirements of the </w:t>
      </w:r>
      <w:r w:rsidR="00D24431">
        <w:rPr>
          <w:rFonts w:ascii="TimesNewRomanPSMT" w:hAnsi="TimesNewRomanPSMT" w:cs="TimesNewRomanPSMT"/>
        </w:rPr>
        <w:t xml:space="preserve">Privacy </w:t>
      </w:r>
      <w:r w:rsidRPr="009F0836">
        <w:rPr>
          <w:rFonts w:ascii="TimesNewRomanPSMT" w:hAnsi="TimesNewRomanPSMT" w:cs="TimesNewRomanPSMT"/>
        </w:rPr>
        <w:t xml:space="preserve">Act do not apply. </w:t>
      </w:r>
      <w:r>
        <w:rPr>
          <w:rFonts w:ascii="TimesNewRomanPSMT" w:hAnsi="TimesNewRomanPSMT" w:cs="TimesNewRomanPSMT"/>
        </w:rPr>
        <w:t xml:space="preserve"> </w:t>
      </w:r>
      <w:r w:rsidRPr="009F0836">
        <w:rPr>
          <w:rFonts w:ascii="TimesNewRomanPSMT" w:hAnsi="TimesNewRomanPSMT" w:cs="TimesNewRomanPSMT"/>
        </w:rPr>
        <w:t xml:space="preserve">Specifically, FDA does not use name or any other personal identifier to retrieve records from the information collected. </w:t>
      </w:r>
      <w:r>
        <w:rPr>
          <w:rFonts w:ascii="TimesNewRomanPSMT" w:hAnsi="TimesNewRomanPSMT" w:cs="TimesNewRomanPSMT"/>
        </w:rPr>
        <w:t xml:space="preserve"> </w:t>
      </w:r>
      <w:r w:rsidRPr="009F0836">
        <w:rPr>
          <w:rFonts w:ascii="TimesNewRomanPSMT" w:hAnsi="TimesNewRomanPSMT" w:cs="TimesNewRomanPSMT"/>
        </w:rPr>
        <w:t>Through appropriate form design, FDA limited submission fields and minimized the PII collected to protect the privacy of the individuals.</w:t>
      </w:r>
    </w:p>
    <w:p w:rsidRPr="009F0836" w:rsidR="009F0836" w:rsidP="009F0836" w:rsidRDefault="009F0836" w14:paraId="28580A11" w14:textId="77777777">
      <w:pPr>
        <w:autoSpaceDE w:val="0"/>
        <w:autoSpaceDN w:val="0"/>
        <w:adjustRightInd w:val="0"/>
        <w:rPr>
          <w:rFonts w:ascii="TimesNewRomanPSMT" w:hAnsi="TimesNewRomanPSMT" w:cs="TimesNewRomanPSMT"/>
        </w:rPr>
      </w:pPr>
    </w:p>
    <w:p w:rsidRPr="004E71B9" w:rsidR="00357C8A" w:rsidP="009F0836" w:rsidRDefault="009F0836" w14:paraId="5486F5CE" w14:textId="77777777">
      <w:pPr>
        <w:autoSpaceDE w:val="0"/>
        <w:autoSpaceDN w:val="0"/>
        <w:adjustRightInd w:val="0"/>
        <w:rPr>
          <w:rFonts w:eastAsia="Calibri"/>
          <w:color w:val="000000"/>
        </w:rPr>
      </w:pPr>
      <w:r w:rsidRPr="009F0836">
        <w:rPr>
          <w:rFonts w:ascii="TimesNewRomanPSMT" w:hAnsi="TimesNewRomanPSMT" w:cs="TimesNewRomanPSMT"/>
        </w:rPr>
        <w:t xml:space="preserve">Under the Freedom of Information Act (FOIA) (5 U.S.C. 552), the public has broad access to government documents. </w:t>
      </w:r>
      <w:r>
        <w:rPr>
          <w:rFonts w:ascii="TimesNewRomanPSMT" w:hAnsi="TimesNewRomanPSMT" w:cs="TimesNewRomanPSMT"/>
        </w:rPr>
        <w:t xml:space="preserve"> </w:t>
      </w:r>
      <w:r w:rsidRPr="009F0836">
        <w:rPr>
          <w:rFonts w:ascii="TimesNewRomanPSMT" w:hAnsi="TimesNewRomanPSMT" w:cs="TimesNewRomanPSMT"/>
        </w:rPr>
        <w:t>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Pr="001075D3" w:rsidR="001075D3" w:rsidP="001075D3" w:rsidRDefault="001075D3" w14:paraId="5890D28D" w14:textId="77777777">
      <w:pPr>
        <w:ind w:left="720"/>
      </w:pPr>
    </w:p>
    <w:p w:rsidRPr="00357C8A" w:rsidR="00357C8A" w:rsidP="006705EA" w:rsidRDefault="00357C8A" w14:paraId="46EA4895" w14:textId="77777777">
      <w:pPr>
        <w:numPr>
          <w:ilvl w:val="0"/>
          <w:numId w:val="6"/>
        </w:numPr>
        <w:spacing w:after="200" w:line="276" w:lineRule="auto"/>
        <w:rPr>
          <w:rFonts w:eastAsia="Calibri"/>
        </w:rPr>
      </w:pPr>
      <w:r w:rsidRPr="00357C8A">
        <w:rPr>
          <w:rFonts w:eastAsia="Calibri"/>
          <w:u w:val="single"/>
        </w:rPr>
        <w:t>Justification for Sensitive Questions</w:t>
      </w:r>
    </w:p>
    <w:p w:rsidRPr="004E71B9" w:rsidR="00357C8A" w:rsidP="0022425B" w:rsidRDefault="00EB1DC3" w14:paraId="24EF6268" w14:textId="77777777">
      <w:pPr>
        <w:spacing w:after="200"/>
        <w:rPr>
          <w:rFonts w:eastAsia="Calibri"/>
          <w:color w:val="000000"/>
        </w:rPr>
      </w:pPr>
      <w:r w:rsidRPr="00EB1DC3">
        <w:rPr>
          <w:rFonts w:eastAsia="Calibri"/>
        </w:rPr>
        <w:t>This information collection does not contain questions of a sensitive nature.</w:t>
      </w:r>
    </w:p>
    <w:p w:rsidRPr="00357C8A" w:rsidR="00357C8A" w:rsidP="006705EA" w:rsidRDefault="00484D9F" w14:paraId="0E9F074D" w14:textId="6A9D0F74">
      <w:pPr>
        <w:numPr>
          <w:ilvl w:val="0"/>
          <w:numId w:val="6"/>
        </w:numPr>
        <w:spacing w:after="200" w:line="276" w:lineRule="auto"/>
        <w:rPr>
          <w:rFonts w:eastAsia="Calibri"/>
          <w:u w:val="single"/>
        </w:rPr>
      </w:pPr>
      <w:r>
        <w:rPr>
          <w:rFonts w:eastAsia="Calibri"/>
        </w:rPr>
        <w:br w:type="page"/>
      </w:r>
      <w:r w:rsidRPr="00357C8A" w:rsidR="00357C8A">
        <w:rPr>
          <w:rFonts w:eastAsia="Calibri"/>
          <w:u w:val="single"/>
        </w:rPr>
        <w:lastRenderedPageBreak/>
        <w:t>Estimates of Annualized Burden Hours and Cost</w:t>
      </w:r>
    </w:p>
    <w:p w:rsidRPr="00D24431" w:rsidR="00357C8A" w:rsidP="0022425B" w:rsidRDefault="00357C8A" w14:paraId="05E7CE72" w14:textId="77777777">
      <w:pPr>
        <w:spacing w:after="200"/>
        <w:ind w:left="360"/>
        <w:rPr>
          <w:rFonts w:eastAsia="Calibri"/>
          <w:i/>
          <w:iCs/>
        </w:rPr>
      </w:pPr>
      <w:r w:rsidRPr="00D24431">
        <w:rPr>
          <w:rFonts w:eastAsia="Calibri"/>
          <w:i/>
          <w:iCs/>
        </w:rPr>
        <w:t>12a.  Annualized Hour Burden Estimate</w:t>
      </w:r>
    </w:p>
    <w:p w:rsidRPr="00EB1DC3" w:rsidR="00EB1DC3" w:rsidP="00EB1DC3" w:rsidRDefault="00EB1DC3" w14:paraId="1D43E3FD" w14:textId="77777777">
      <w:pPr>
        <w:autoSpaceDE w:val="0"/>
        <w:autoSpaceDN w:val="0"/>
        <w:adjustRightInd w:val="0"/>
        <w:jc w:val="center"/>
      </w:pPr>
      <w:r w:rsidRPr="00EB1DC3">
        <w:rPr>
          <w:sz w:val="20"/>
          <w:szCs w:val="20"/>
        </w:rPr>
        <w:t xml:space="preserve">Table </w:t>
      </w:r>
      <w:r w:rsidRPr="00EB1DC3" w:rsidR="00893FF8">
        <w:rPr>
          <w:sz w:val="20"/>
          <w:szCs w:val="20"/>
        </w:rPr>
        <w:t>1.--</w:t>
      </w:r>
      <w:r w:rsidRPr="00EB1DC3">
        <w:rPr>
          <w:sz w:val="20"/>
          <w:szCs w:val="20"/>
        </w:rPr>
        <w:t>Estimated Annual Recordkeeping Burden</w:t>
      </w:r>
      <w:r w:rsidRPr="00EB1DC3">
        <w:rPr>
          <w:sz w:val="20"/>
          <w:szCs w:val="20"/>
          <w:vertAlign w:val="superscript"/>
        </w:rPr>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08"/>
        <w:gridCol w:w="1405"/>
        <w:gridCol w:w="1392"/>
        <w:gridCol w:w="1016"/>
        <w:gridCol w:w="1214"/>
        <w:gridCol w:w="1115"/>
      </w:tblGrid>
      <w:tr w:rsidRPr="00EB1DC3" w:rsidR="00F258A9" w:rsidTr="00662749" w14:paraId="3DD04EB5" w14:textId="77777777">
        <w:trPr>
          <w:cantSplit/>
          <w:trHeight w:val="20"/>
        </w:trPr>
        <w:tc>
          <w:tcPr>
            <w:tcW w:w="1716" w:type="pct"/>
            <w:tcBorders>
              <w:top w:val="single" w:color="auto" w:sz="4" w:space="0"/>
              <w:left w:val="single" w:color="auto" w:sz="4" w:space="0"/>
              <w:bottom w:val="single" w:color="auto" w:sz="4" w:space="0"/>
              <w:right w:val="single" w:color="auto" w:sz="4" w:space="0"/>
            </w:tcBorders>
            <w:hideMark/>
          </w:tcPr>
          <w:p w:rsidRPr="00EB1DC3" w:rsidR="00EB1DC3" w:rsidP="00EB1DC3" w:rsidRDefault="00EB1DC3" w14:paraId="508E17D5" w14:textId="77777777">
            <w:pPr>
              <w:jc w:val="center"/>
              <w:rPr>
                <w:sz w:val="20"/>
                <w:szCs w:val="20"/>
              </w:rPr>
            </w:pPr>
            <w:r w:rsidRPr="00EB1DC3">
              <w:rPr>
                <w:sz w:val="20"/>
                <w:szCs w:val="20"/>
              </w:rPr>
              <w:t>Activity</w:t>
            </w:r>
            <w:r w:rsidR="00F62FED">
              <w:rPr>
                <w:sz w:val="20"/>
                <w:szCs w:val="20"/>
              </w:rPr>
              <w:t>;</w:t>
            </w:r>
            <w:r w:rsidRPr="00EB1DC3">
              <w:rPr>
                <w:sz w:val="20"/>
                <w:szCs w:val="20"/>
              </w:rPr>
              <w:t xml:space="preserve"> </w:t>
            </w:r>
          </w:p>
          <w:p w:rsidRPr="00EB1DC3" w:rsidR="00EB1DC3" w:rsidP="00EB1DC3" w:rsidRDefault="00EB1DC3" w14:paraId="763525AF" w14:textId="77777777">
            <w:pPr>
              <w:jc w:val="center"/>
              <w:rPr>
                <w:sz w:val="20"/>
                <w:szCs w:val="20"/>
              </w:rPr>
            </w:pPr>
            <w:r w:rsidRPr="00EB1DC3">
              <w:rPr>
                <w:sz w:val="20"/>
                <w:szCs w:val="20"/>
              </w:rPr>
              <w:t xml:space="preserve">21 CFR </w:t>
            </w:r>
            <w:r w:rsidR="00F62FED">
              <w:rPr>
                <w:sz w:val="20"/>
                <w:szCs w:val="20"/>
              </w:rPr>
              <w:t>section</w:t>
            </w:r>
            <w:r w:rsidRPr="00EB1DC3">
              <w:rPr>
                <w:sz w:val="20"/>
                <w:szCs w:val="20"/>
              </w:rPr>
              <w:t xml:space="preserve"> </w:t>
            </w:r>
          </w:p>
          <w:p w:rsidRPr="00EB1DC3" w:rsidR="00EB1DC3" w:rsidP="00EB1DC3" w:rsidRDefault="00EB1DC3" w14:paraId="6FF3AC92" w14:textId="77777777">
            <w:pPr>
              <w:jc w:val="center"/>
              <w:rPr>
                <w:sz w:val="20"/>
                <w:szCs w:val="20"/>
              </w:rPr>
            </w:pPr>
          </w:p>
        </w:tc>
        <w:tc>
          <w:tcPr>
            <w:tcW w:w="751" w:type="pct"/>
            <w:tcBorders>
              <w:top w:val="single" w:color="auto" w:sz="4" w:space="0"/>
              <w:left w:val="single" w:color="auto" w:sz="4" w:space="0"/>
              <w:bottom w:val="single" w:color="auto" w:sz="4" w:space="0"/>
              <w:right w:val="single" w:color="auto" w:sz="4" w:space="0"/>
            </w:tcBorders>
            <w:hideMark/>
          </w:tcPr>
          <w:p w:rsidRPr="00EB1DC3" w:rsidR="00EB1DC3" w:rsidP="00EB1DC3" w:rsidRDefault="00EB1DC3" w14:paraId="723062EF" w14:textId="77777777">
            <w:pPr>
              <w:jc w:val="center"/>
              <w:rPr>
                <w:sz w:val="20"/>
                <w:szCs w:val="20"/>
              </w:rPr>
            </w:pPr>
            <w:r w:rsidRPr="00EB1DC3">
              <w:rPr>
                <w:sz w:val="20"/>
                <w:szCs w:val="20"/>
              </w:rPr>
              <w:t>No. of Recordkeepers</w:t>
            </w:r>
          </w:p>
        </w:tc>
        <w:tc>
          <w:tcPr>
            <w:tcW w:w="744" w:type="pct"/>
            <w:tcBorders>
              <w:top w:val="single" w:color="auto" w:sz="4" w:space="0"/>
              <w:left w:val="single" w:color="auto" w:sz="4" w:space="0"/>
              <w:bottom w:val="single" w:color="auto" w:sz="4" w:space="0"/>
              <w:right w:val="single" w:color="auto" w:sz="4" w:space="0"/>
            </w:tcBorders>
            <w:hideMark/>
          </w:tcPr>
          <w:p w:rsidRPr="00EB1DC3" w:rsidR="00EB1DC3" w:rsidP="00EB1DC3" w:rsidRDefault="00EB1DC3" w14:paraId="45505B71" w14:textId="77777777">
            <w:pPr>
              <w:jc w:val="center"/>
              <w:rPr>
                <w:bCs/>
                <w:sz w:val="20"/>
                <w:szCs w:val="20"/>
              </w:rPr>
            </w:pPr>
            <w:r w:rsidRPr="00EB1DC3">
              <w:rPr>
                <w:bCs/>
                <w:sz w:val="20"/>
                <w:szCs w:val="20"/>
              </w:rPr>
              <w:t xml:space="preserve">No. of Records per </w:t>
            </w:r>
          </w:p>
          <w:p w:rsidRPr="00EB1DC3" w:rsidR="00EB1DC3" w:rsidP="00EB1DC3" w:rsidRDefault="00EB1DC3" w14:paraId="36D0D831" w14:textId="77777777">
            <w:pPr>
              <w:jc w:val="center"/>
              <w:rPr>
                <w:bCs/>
                <w:sz w:val="20"/>
                <w:szCs w:val="20"/>
              </w:rPr>
            </w:pPr>
            <w:r w:rsidRPr="00EB1DC3">
              <w:rPr>
                <w:bCs/>
                <w:sz w:val="20"/>
                <w:szCs w:val="20"/>
              </w:rPr>
              <w:t>Recordkeeper</w:t>
            </w:r>
            <w:r w:rsidRPr="00EB1DC3">
              <w:rPr>
                <w:bCs/>
                <w:sz w:val="20"/>
                <w:szCs w:val="20"/>
                <w:vertAlign w:val="superscript"/>
              </w:rPr>
              <w:t>2</w:t>
            </w:r>
          </w:p>
          <w:p w:rsidRPr="00EB1DC3" w:rsidR="00EB1DC3" w:rsidP="00EB1DC3" w:rsidRDefault="00EB1DC3" w14:paraId="050296FD" w14:textId="77777777">
            <w:pPr>
              <w:jc w:val="center"/>
              <w:rPr>
                <w:sz w:val="20"/>
                <w:szCs w:val="20"/>
              </w:rPr>
            </w:pPr>
          </w:p>
        </w:tc>
        <w:tc>
          <w:tcPr>
            <w:tcW w:w="543" w:type="pct"/>
            <w:tcBorders>
              <w:top w:val="single" w:color="auto" w:sz="4" w:space="0"/>
              <w:left w:val="single" w:color="auto" w:sz="4" w:space="0"/>
              <w:bottom w:val="single" w:color="auto" w:sz="4" w:space="0"/>
              <w:right w:val="single" w:color="auto" w:sz="4" w:space="0"/>
            </w:tcBorders>
            <w:hideMark/>
          </w:tcPr>
          <w:p w:rsidRPr="00EB1DC3" w:rsidR="00EB1DC3" w:rsidP="00EB1DC3" w:rsidRDefault="00EB1DC3" w14:paraId="4F670A74" w14:textId="77777777">
            <w:pPr>
              <w:jc w:val="center"/>
              <w:rPr>
                <w:sz w:val="20"/>
                <w:szCs w:val="20"/>
              </w:rPr>
            </w:pPr>
            <w:r w:rsidRPr="00EB1DC3">
              <w:rPr>
                <w:sz w:val="20"/>
                <w:szCs w:val="20"/>
              </w:rPr>
              <w:t>Total Annual Records</w:t>
            </w:r>
          </w:p>
        </w:tc>
        <w:tc>
          <w:tcPr>
            <w:tcW w:w="649" w:type="pct"/>
            <w:tcBorders>
              <w:top w:val="single" w:color="auto" w:sz="4" w:space="0"/>
              <w:left w:val="single" w:color="auto" w:sz="4" w:space="0"/>
              <w:bottom w:val="single" w:color="auto" w:sz="4" w:space="0"/>
              <w:right w:val="single" w:color="auto" w:sz="4" w:space="0"/>
            </w:tcBorders>
            <w:hideMark/>
          </w:tcPr>
          <w:p w:rsidRPr="00EB1DC3" w:rsidR="00EB1DC3" w:rsidP="00EB1DC3" w:rsidRDefault="00EB1DC3" w14:paraId="3F08D3DD" w14:textId="38CE1161">
            <w:pPr>
              <w:jc w:val="center"/>
              <w:rPr>
                <w:sz w:val="20"/>
                <w:szCs w:val="20"/>
              </w:rPr>
            </w:pPr>
            <w:r w:rsidRPr="00EB1DC3">
              <w:rPr>
                <w:bCs/>
                <w:sz w:val="20"/>
                <w:szCs w:val="20"/>
              </w:rPr>
              <w:t>A</w:t>
            </w:r>
            <w:r w:rsidR="00F66A7F">
              <w:rPr>
                <w:bCs/>
                <w:sz w:val="20"/>
                <w:szCs w:val="20"/>
              </w:rPr>
              <w:t xml:space="preserve">vg. </w:t>
            </w:r>
            <w:r w:rsidRPr="00EB1DC3">
              <w:rPr>
                <w:bCs/>
                <w:sz w:val="20"/>
                <w:szCs w:val="20"/>
              </w:rPr>
              <w:t>Burden per Record</w:t>
            </w:r>
          </w:p>
        </w:tc>
        <w:tc>
          <w:tcPr>
            <w:tcW w:w="596" w:type="pct"/>
            <w:tcBorders>
              <w:top w:val="single" w:color="auto" w:sz="4" w:space="0"/>
              <w:left w:val="single" w:color="auto" w:sz="4" w:space="0"/>
              <w:bottom w:val="single" w:color="auto" w:sz="4" w:space="0"/>
              <w:right w:val="single" w:color="auto" w:sz="4" w:space="0"/>
            </w:tcBorders>
            <w:hideMark/>
          </w:tcPr>
          <w:p w:rsidRPr="00EB1DC3" w:rsidR="00EB1DC3" w:rsidP="00EB1DC3" w:rsidRDefault="00EB1DC3" w14:paraId="50B4A950" w14:textId="77777777">
            <w:pPr>
              <w:jc w:val="center"/>
              <w:rPr>
                <w:sz w:val="20"/>
                <w:szCs w:val="20"/>
              </w:rPr>
            </w:pPr>
            <w:r w:rsidRPr="00EB1DC3">
              <w:rPr>
                <w:sz w:val="20"/>
                <w:szCs w:val="20"/>
              </w:rPr>
              <w:t>Total Hours</w:t>
            </w:r>
          </w:p>
        </w:tc>
      </w:tr>
      <w:tr w:rsidRPr="00EB1DC3" w:rsidR="00F258A9" w:rsidTr="00662749" w14:paraId="670A1B1B" w14:textId="77777777">
        <w:trPr>
          <w:cantSplit/>
          <w:trHeight w:val="323"/>
        </w:trPr>
        <w:tc>
          <w:tcPr>
            <w:tcW w:w="1716" w:type="pct"/>
            <w:tcBorders>
              <w:top w:val="single" w:color="auto" w:sz="4" w:space="0"/>
              <w:left w:val="single" w:color="auto" w:sz="4" w:space="0"/>
              <w:bottom w:val="single" w:color="auto" w:sz="4" w:space="0"/>
              <w:right w:val="single" w:color="auto" w:sz="4" w:space="0"/>
            </w:tcBorders>
            <w:hideMark/>
          </w:tcPr>
          <w:p w:rsidRPr="00EB1DC3" w:rsidR="00EB1DC3" w:rsidP="00EB1DC3" w:rsidRDefault="00EB1DC3" w14:paraId="6DEFF2CD" w14:textId="3BF9C8D5">
            <w:pPr>
              <w:rPr>
                <w:sz w:val="20"/>
                <w:szCs w:val="20"/>
              </w:rPr>
            </w:pPr>
            <w:r w:rsidRPr="00EB1DC3">
              <w:rPr>
                <w:sz w:val="20"/>
                <w:szCs w:val="20"/>
              </w:rPr>
              <w:t>Exemptions under § 112.7</w:t>
            </w:r>
          </w:p>
        </w:tc>
        <w:tc>
          <w:tcPr>
            <w:tcW w:w="751" w:type="pct"/>
            <w:tcBorders>
              <w:top w:val="single" w:color="auto" w:sz="4" w:space="0"/>
              <w:left w:val="single" w:color="auto" w:sz="4" w:space="0"/>
              <w:bottom w:val="single" w:color="auto" w:sz="4" w:space="0"/>
              <w:right w:val="single" w:color="auto" w:sz="4" w:space="0"/>
            </w:tcBorders>
            <w:hideMark/>
          </w:tcPr>
          <w:p w:rsidRPr="00EB1DC3" w:rsidR="00EB1DC3" w:rsidP="00EB1DC3" w:rsidRDefault="00EB1DC3" w14:paraId="29428202" w14:textId="77777777">
            <w:pPr>
              <w:jc w:val="right"/>
              <w:rPr>
                <w:sz w:val="20"/>
                <w:szCs w:val="20"/>
              </w:rPr>
            </w:pPr>
            <w:r w:rsidRPr="00EB1DC3">
              <w:rPr>
                <w:sz w:val="20"/>
                <w:szCs w:val="20"/>
              </w:rPr>
              <w:t>3,285</w:t>
            </w:r>
          </w:p>
        </w:tc>
        <w:tc>
          <w:tcPr>
            <w:tcW w:w="744" w:type="pct"/>
            <w:tcBorders>
              <w:top w:val="single" w:color="auto" w:sz="4" w:space="0"/>
              <w:left w:val="single" w:color="auto" w:sz="4" w:space="0"/>
              <w:bottom w:val="single" w:color="auto" w:sz="4" w:space="0"/>
              <w:right w:val="single" w:color="auto" w:sz="4" w:space="0"/>
            </w:tcBorders>
            <w:hideMark/>
          </w:tcPr>
          <w:p w:rsidRPr="00EB1DC3" w:rsidR="00EB1DC3" w:rsidP="00EB1DC3" w:rsidRDefault="00EB1DC3" w14:paraId="778250FA" w14:textId="77777777">
            <w:pPr>
              <w:jc w:val="right"/>
              <w:rPr>
                <w:sz w:val="20"/>
                <w:szCs w:val="20"/>
              </w:rPr>
            </w:pPr>
            <w:r w:rsidRPr="00EB1DC3">
              <w:rPr>
                <w:sz w:val="20"/>
                <w:szCs w:val="20"/>
              </w:rPr>
              <w:t>1</w:t>
            </w:r>
          </w:p>
        </w:tc>
        <w:tc>
          <w:tcPr>
            <w:tcW w:w="543" w:type="pct"/>
            <w:tcBorders>
              <w:top w:val="single" w:color="auto" w:sz="4" w:space="0"/>
              <w:left w:val="single" w:color="auto" w:sz="4" w:space="0"/>
              <w:bottom w:val="single" w:color="auto" w:sz="4" w:space="0"/>
              <w:right w:val="single" w:color="auto" w:sz="4" w:space="0"/>
            </w:tcBorders>
            <w:hideMark/>
          </w:tcPr>
          <w:p w:rsidRPr="00EB1DC3" w:rsidR="00EB1DC3" w:rsidP="00EB1DC3" w:rsidRDefault="00EB1DC3" w14:paraId="5D69873F" w14:textId="77777777">
            <w:pPr>
              <w:jc w:val="right"/>
              <w:rPr>
                <w:sz w:val="20"/>
                <w:szCs w:val="20"/>
              </w:rPr>
            </w:pPr>
            <w:r w:rsidRPr="00EB1DC3">
              <w:rPr>
                <w:sz w:val="20"/>
                <w:szCs w:val="20"/>
              </w:rPr>
              <w:t>3,285</w:t>
            </w:r>
          </w:p>
        </w:tc>
        <w:tc>
          <w:tcPr>
            <w:tcW w:w="649" w:type="pct"/>
            <w:tcBorders>
              <w:top w:val="single" w:color="auto" w:sz="4" w:space="0"/>
              <w:left w:val="single" w:color="auto" w:sz="4" w:space="0"/>
              <w:bottom w:val="single" w:color="auto" w:sz="4" w:space="0"/>
              <w:right w:val="single" w:color="auto" w:sz="4" w:space="0"/>
            </w:tcBorders>
            <w:hideMark/>
          </w:tcPr>
          <w:p w:rsidRPr="00EB1DC3" w:rsidR="00EB1DC3" w:rsidP="00EB1DC3" w:rsidRDefault="00EB1DC3" w14:paraId="3476629D" w14:textId="77777777">
            <w:pPr>
              <w:jc w:val="right"/>
              <w:rPr>
                <w:sz w:val="20"/>
                <w:szCs w:val="20"/>
              </w:rPr>
            </w:pPr>
            <w:r w:rsidRPr="00EB1DC3">
              <w:rPr>
                <w:sz w:val="20"/>
                <w:szCs w:val="20"/>
              </w:rPr>
              <w:t>0.5</w:t>
            </w:r>
          </w:p>
          <w:p w:rsidRPr="00EB1DC3" w:rsidR="00EB1DC3" w:rsidP="00EB1DC3" w:rsidRDefault="00EB1DC3" w14:paraId="3CB1FC00" w14:textId="58C86C5B">
            <w:pPr>
              <w:jc w:val="right"/>
              <w:rPr>
                <w:sz w:val="20"/>
                <w:szCs w:val="20"/>
              </w:rPr>
            </w:pPr>
            <w:r w:rsidRPr="00EB1DC3">
              <w:rPr>
                <w:sz w:val="20"/>
                <w:szCs w:val="20"/>
              </w:rPr>
              <w:t xml:space="preserve">(30 </w:t>
            </w:r>
            <w:r w:rsidR="00F66A7F">
              <w:rPr>
                <w:sz w:val="20"/>
                <w:szCs w:val="20"/>
              </w:rPr>
              <w:t>mins.</w:t>
            </w:r>
            <w:r w:rsidRPr="00EB1DC3">
              <w:rPr>
                <w:sz w:val="20"/>
                <w:szCs w:val="20"/>
              </w:rPr>
              <w:t>)</w:t>
            </w:r>
          </w:p>
        </w:tc>
        <w:tc>
          <w:tcPr>
            <w:tcW w:w="596" w:type="pct"/>
            <w:tcBorders>
              <w:top w:val="single" w:color="auto" w:sz="4" w:space="0"/>
              <w:left w:val="single" w:color="auto" w:sz="4" w:space="0"/>
              <w:bottom w:val="single" w:color="auto" w:sz="4" w:space="0"/>
              <w:right w:val="single" w:color="auto" w:sz="4" w:space="0"/>
            </w:tcBorders>
            <w:hideMark/>
          </w:tcPr>
          <w:p w:rsidRPr="00EB1DC3" w:rsidR="00EB1DC3" w:rsidP="00EB1DC3" w:rsidRDefault="00EB1DC3" w14:paraId="131D531C" w14:textId="77777777">
            <w:pPr>
              <w:jc w:val="right"/>
              <w:rPr>
                <w:sz w:val="20"/>
                <w:szCs w:val="20"/>
              </w:rPr>
            </w:pPr>
            <w:r w:rsidRPr="00EB1DC3">
              <w:rPr>
                <w:sz w:val="20"/>
                <w:szCs w:val="20"/>
              </w:rPr>
              <w:t>1,643</w:t>
            </w:r>
          </w:p>
        </w:tc>
      </w:tr>
      <w:tr w:rsidRPr="00EB1DC3" w:rsidR="00F258A9" w:rsidTr="00662749" w14:paraId="1A6BBF1F" w14:textId="77777777">
        <w:trPr>
          <w:cantSplit/>
          <w:trHeight w:val="323"/>
        </w:trPr>
        <w:tc>
          <w:tcPr>
            <w:tcW w:w="1716"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78FEDE1B" w14:textId="497C471C">
            <w:pPr>
              <w:rPr>
                <w:sz w:val="20"/>
                <w:szCs w:val="20"/>
              </w:rPr>
            </w:pPr>
            <w:r w:rsidRPr="00EB1DC3">
              <w:rPr>
                <w:sz w:val="20"/>
                <w:szCs w:val="20"/>
              </w:rPr>
              <w:t>Training under § 112.30</w:t>
            </w:r>
          </w:p>
        </w:tc>
        <w:tc>
          <w:tcPr>
            <w:tcW w:w="751"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649BA1F9" w14:textId="77777777">
            <w:pPr>
              <w:jc w:val="right"/>
              <w:rPr>
                <w:sz w:val="20"/>
                <w:szCs w:val="20"/>
              </w:rPr>
            </w:pPr>
            <w:r w:rsidRPr="00EB1DC3">
              <w:rPr>
                <w:color w:val="000000"/>
                <w:sz w:val="20"/>
                <w:szCs w:val="20"/>
              </w:rPr>
              <w:t>24,420</w:t>
            </w:r>
          </w:p>
        </w:tc>
        <w:tc>
          <w:tcPr>
            <w:tcW w:w="744"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41A1CA83" w14:textId="77777777">
            <w:pPr>
              <w:jc w:val="right"/>
              <w:rPr>
                <w:sz w:val="20"/>
                <w:szCs w:val="20"/>
              </w:rPr>
            </w:pPr>
            <w:r w:rsidRPr="00EB1DC3">
              <w:rPr>
                <w:sz w:val="20"/>
                <w:szCs w:val="20"/>
              </w:rPr>
              <w:t>1</w:t>
            </w:r>
          </w:p>
        </w:tc>
        <w:tc>
          <w:tcPr>
            <w:tcW w:w="543"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76E2E37F" w14:textId="77777777">
            <w:pPr>
              <w:jc w:val="right"/>
              <w:rPr>
                <w:sz w:val="20"/>
                <w:szCs w:val="20"/>
              </w:rPr>
            </w:pPr>
            <w:r w:rsidRPr="00EB1DC3">
              <w:rPr>
                <w:color w:val="000000"/>
                <w:sz w:val="20"/>
                <w:szCs w:val="20"/>
              </w:rPr>
              <w:t>24,420</w:t>
            </w:r>
          </w:p>
        </w:tc>
        <w:tc>
          <w:tcPr>
            <w:tcW w:w="649"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793E6C27" w14:textId="77777777">
            <w:pPr>
              <w:jc w:val="right"/>
              <w:rPr>
                <w:sz w:val="20"/>
                <w:szCs w:val="20"/>
              </w:rPr>
            </w:pPr>
            <w:r w:rsidRPr="00EB1DC3">
              <w:rPr>
                <w:sz w:val="20"/>
                <w:szCs w:val="20"/>
              </w:rPr>
              <w:t>7.25</w:t>
            </w:r>
          </w:p>
        </w:tc>
        <w:tc>
          <w:tcPr>
            <w:tcW w:w="596"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6AC81F75" w14:textId="77777777">
            <w:pPr>
              <w:jc w:val="right"/>
              <w:rPr>
                <w:sz w:val="20"/>
                <w:szCs w:val="20"/>
              </w:rPr>
            </w:pPr>
            <w:r w:rsidRPr="00EB1DC3">
              <w:rPr>
                <w:sz w:val="20"/>
                <w:szCs w:val="20"/>
              </w:rPr>
              <w:t>177,045</w:t>
            </w:r>
          </w:p>
        </w:tc>
      </w:tr>
      <w:tr w:rsidRPr="00EB1DC3" w:rsidR="00F258A9" w:rsidTr="00662749" w14:paraId="0ABC7826" w14:textId="77777777">
        <w:trPr>
          <w:cantSplit/>
          <w:trHeight w:val="503"/>
        </w:trPr>
        <w:tc>
          <w:tcPr>
            <w:tcW w:w="1716"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328FC63B" w14:textId="77777777">
            <w:pPr>
              <w:rPr>
                <w:sz w:val="20"/>
                <w:szCs w:val="20"/>
              </w:rPr>
            </w:pPr>
            <w:r w:rsidRPr="00EB1DC3">
              <w:rPr>
                <w:sz w:val="20"/>
                <w:szCs w:val="20"/>
              </w:rPr>
              <w:t>Testing requirements for agricultural water under §§ 112.44 and 112.45</w:t>
            </w:r>
          </w:p>
        </w:tc>
        <w:tc>
          <w:tcPr>
            <w:tcW w:w="751"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50B4813A" w14:textId="77777777">
            <w:pPr>
              <w:jc w:val="right"/>
              <w:rPr>
                <w:sz w:val="20"/>
                <w:szCs w:val="20"/>
              </w:rPr>
            </w:pPr>
            <w:r w:rsidRPr="00EB1DC3">
              <w:rPr>
                <w:color w:val="000000"/>
                <w:sz w:val="20"/>
                <w:szCs w:val="20"/>
              </w:rPr>
              <w:t>48,361</w:t>
            </w:r>
          </w:p>
        </w:tc>
        <w:tc>
          <w:tcPr>
            <w:tcW w:w="744"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37CE65F6" w14:textId="77777777">
            <w:pPr>
              <w:jc w:val="right"/>
              <w:rPr>
                <w:sz w:val="20"/>
                <w:szCs w:val="20"/>
              </w:rPr>
            </w:pPr>
            <w:r w:rsidRPr="00EB1DC3">
              <w:rPr>
                <w:color w:val="000000"/>
                <w:sz w:val="20"/>
                <w:szCs w:val="20"/>
              </w:rPr>
              <w:t>2.990</w:t>
            </w:r>
          </w:p>
        </w:tc>
        <w:tc>
          <w:tcPr>
            <w:tcW w:w="543"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042A6AAF" w14:textId="77777777">
            <w:pPr>
              <w:jc w:val="right"/>
              <w:rPr>
                <w:sz w:val="20"/>
                <w:szCs w:val="20"/>
              </w:rPr>
            </w:pPr>
            <w:r w:rsidRPr="00EB1DC3">
              <w:rPr>
                <w:sz w:val="20"/>
                <w:szCs w:val="20"/>
              </w:rPr>
              <w:t>144,599</w:t>
            </w:r>
          </w:p>
        </w:tc>
        <w:tc>
          <w:tcPr>
            <w:tcW w:w="649"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6A4B66A8" w14:textId="77777777">
            <w:pPr>
              <w:jc w:val="right"/>
              <w:rPr>
                <w:sz w:val="20"/>
                <w:szCs w:val="20"/>
              </w:rPr>
            </w:pPr>
            <w:r w:rsidRPr="00EB1DC3">
              <w:rPr>
                <w:sz w:val="20"/>
                <w:szCs w:val="20"/>
              </w:rPr>
              <w:t>0.825</w:t>
            </w:r>
          </w:p>
          <w:p w:rsidRPr="00EB1DC3" w:rsidR="00EB1DC3" w:rsidP="00EB1DC3" w:rsidRDefault="00EB1DC3" w14:paraId="69AE25E0" w14:textId="29DE81F7">
            <w:pPr>
              <w:jc w:val="right"/>
              <w:rPr>
                <w:sz w:val="20"/>
                <w:szCs w:val="20"/>
              </w:rPr>
            </w:pPr>
            <w:r w:rsidRPr="00EB1DC3">
              <w:rPr>
                <w:sz w:val="20"/>
                <w:szCs w:val="20"/>
              </w:rPr>
              <w:t xml:space="preserve">(50 </w:t>
            </w:r>
            <w:r w:rsidR="00F66A7F">
              <w:rPr>
                <w:sz w:val="20"/>
                <w:szCs w:val="20"/>
              </w:rPr>
              <w:t>mins.</w:t>
            </w:r>
            <w:r w:rsidRPr="00EB1DC3">
              <w:rPr>
                <w:sz w:val="20"/>
                <w:szCs w:val="20"/>
              </w:rPr>
              <w:t>)</w:t>
            </w:r>
          </w:p>
        </w:tc>
        <w:tc>
          <w:tcPr>
            <w:tcW w:w="596"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58F00353" w14:textId="77777777">
            <w:pPr>
              <w:jc w:val="right"/>
              <w:rPr>
                <w:sz w:val="20"/>
                <w:szCs w:val="20"/>
              </w:rPr>
            </w:pPr>
            <w:r w:rsidRPr="00EB1DC3">
              <w:rPr>
                <w:color w:val="000000"/>
                <w:sz w:val="20"/>
                <w:szCs w:val="20"/>
              </w:rPr>
              <w:t>119,294</w:t>
            </w:r>
          </w:p>
        </w:tc>
      </w:tr>
      <w:tr w:rsidRPr="00EB1DC3" w:rsidR="00F258A9" w:rsidTr="00662749" w14:paraId="317FEC38" w14:textId="77777777">
        <w:trPr>
          <w:cantSplit/>
          <w:trHeight w:val="20"/>
        </w:trPr>
        <w:tc>
          <w:tcPr>
            <w:tcW w:w="1716"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7B59F9FB" w14:textId="77777777">
            <w:pPr>
              <w:rPr>
                <w:sz w:val="20"/>
                <w:szCs w:val="20"/>
              </w:rPr>
            </w:pPr>
            <w:r w:rsidRPr="00EB1DC3">
              <w:rPr>
                <w:sz w:val="20"/>
                <w:szCs w:val="20"/>
              </w:rPr>
              <w:t>Records related to agricultural water</w:t>
            </w:r>
            <w:r w:rsidR="002D5817">
              <w:rPr>
                <w:sz w:val="20"/>
                <w:szCs w:val="20"/>
              </w:rPr>
              <w:t xml:space="preserve"> under </w:t>
            </w:r>
            <w:r w:rsidRPr="00EB1DC3" w:rsidR="002D5817">
              <w:rPr>
                <w:sz w:val="20"/>
                <w:szCs w:val="20"/>
              </w:rPr>
              <w:t>§</w:t>
            </w:r>
            <w:r w:rsidR="002D5817">
              <w:rPr>
                <w:sz w:val="20"/>
                <w:szCs w:val="20"/>
              </w:rPr>
              <w:t xml:space="preserve"> 112.50</w:t>
            </w:r>
          </w:p>
        </w:tc>
        <w:tc>
          <w:tcPr>
            <w:tcW w:w="751"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45D80A85" w14:textId="77777777">
            <w:pPr>
              <w:jc w:val="right"/>
              <w:rPr>
                <w:sz w:val="20"/>
                <w:szCs w:val="20"/>
              </w:rPr>
            </w:pPr>
            <w:r w:rsidRPr="00EB1DC3">
              <w:rPr>
                <w:sz w:val="20"/>
                <w:szCs w:val="20"/>
              </w:rPr>
              <w:t>160,605</w:t>
            </w:r>
          </w:p>
        </w:tc>
        <w:tc>
          <w:tcPr>
            <w:tcW w:w="744"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0C185F5F" w14:textId="77777777">
            <w:pPr>
              <w:jc w:val="right"/>
              <w:rPr>
                <w:sz w:val="20"/>
                <w:szCs w:val="20"/>
              </w:rPr>
            </w:pPr>
            <w:r w:rsidRPr="00EB1DC3">
              <w:rPr>
                <w:sz w:val="20"/>
                <w:szCs w:val="20"/>
              </w:rPr>
              <w:t>2.242</w:t>
            </w:r>
          </w:p>
        </w:tc>
        <w:tc>
          <w:tcPr>
            <w:tcW w:w="543"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1E0F64D4" w14:textId="77777777">
            <w:pPr>
              <w:jc w:val="right"/>
              <w:rPr>
                <w:sz w:val="20"/>
                <w:szCs w:val="20"/>
              </w:rPr>
            </w:pPr>
            <w:r w:rsidRPr="00EB1DC3">
              <w:rPr>
                <w:sz w:val="20"/>
                <w:szCs w:val="20"/>
              </w:rPr>
              <w:t>360,076</w:t>
            </w:r>
          </w:p>
        </w:tc>
        <w:tc>
          <w:tcPr>
            <w:tcW w:w="649"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4F9BDE06" w14:textId="77777777">
            <w:pPr>
              <w:jc w:val="right"/>
              <w:rPr>
                <w:sz w:val="20"/>
                <w:szCs w:val="20"/>
              </w:rPr>
            </w:pPr>
            <w:r w:rsidRPr="00EB1DC3">
              <w:rPr>
                <w:sz w:val="20"/>
                <w:szCs w:val="20"/>
              </w:rPr>
              <w:t>2.160</w:t>
            </w:r>
          </w:p>
        </w:tc>
        <w:tc>
          <w:tcPr>
            <w:tcW w:w="596"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29A1712F" w14:textId="77777777">
            <w:pPr>
              <w:jc w:val="right"/>
              <w:rPr>
                <w:sz w:val="20"/>
                <w:szCs w:val="20"/>
              </w:rPr>
            </w:pPr>
            <w:r w:rsidRPr="00EB1DC3">
              <w:rPr>
                <w:sz w:val="20"/>
                <w:szCs w:val="20"/>
              </w:rPr>
              <w:t>777,765</w:t>
            </w:r>
          </w:p>
        </w:tc>
      </w:tr>
      <w:tr w:rsidRPr="00EB1DC3" w:rsidR="00F258A9" w:rsidTr="00662749" w14:paraId="3867FFD3" w14:textId="77777777">
        <w:trPr>
          <w:cantSplit/>
          <w:trHeight w:val="800"/>
        </w:trPr>
        <w:tc>
          <w:tcPr>
            <w:tcW w:w="1716"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1395F983" w14:textId="77777777">
            <w:pPr>
              <w:rPr>
                <w:sz w:val="20"/>
                <w:szCs w:val="20"/>
              </w:rPr>
            </w:pPr>
            <w:r w:rsidRPr="00EB1DC3">
              <w:rPr>
                <w:sz w:val="20"/>
                <w:szCs w:val="20"/>
              </w:rPr>
              <w:t xml:space="preserve">Testing requirements for sprouts under </w:t>
            </w:r>
            <w:r w:rsidRPr="00EB1DC3">
              <w:rPr>
                <w:color w:val="000000"/>
                <w:sz w:val="20"/>
                <w:szCs w:val="20"/>
              </w:rPr>
              <w:t>§§ 112.144, 112.145, and 112.147</w:t>
            </w:r>
          </w:p>
        </w:tc>
        <w:tc>
          <w:tcPr>
            <w:tcW w:w="751"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7B91CFE8" w14:textId="77777777">
            <w:pPr>
              <w:jc w:val="right"/>
              <w:rPr>
                <w:sz w:val="20"/>
                <w:szCs w:val="20"/>
              </w:rPr>
            </w:pPr>
            <w:r w:rsidRPr="00EB1DC3">
              <w:rPr>
                <w:sz w:val="20"/>
                <w:szCs w:val="20"/>
              </w:rPr>
              <w:t>126</w:t>
            </w:r>
          </w:p>
        </w:tc>
        <w:tc>
          <w:tcPr>
            <w:tcW w:w="744"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23E1F5C3" w14:textId="77777777">
            <w:pPr>
              <w:jc w:val="right"/>
              <w:rPr>
                <w:sz w:val="20"/>
                <w:szCs w:val="20"/>
              </w:rPr>
            </w:pPr>
            <w:r w:rsidRPr="00EB1DC3">
              <w:rPr>
                <w:sz w:val="20"/>
                <w:szCs w:val="20"/>
              </w:rPr>
              <w:t>245.660</w:t>
            </w:r>
          </w:p>
        </w:tc>
        <w:tc>
          <w:tcPr>
            <w:tcW w:w="543"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2E9E04B2" w14:textId="77777777">
            <w:pPr>
              <w:jc w:val="right"/>
              <w:rPr>
                <w:sz w:val="20"/>
                <w:szCs w:val="20"/>
              </w:rPr>
            </w:pPr>
            <w:r w:rsidRPr="00EB1DC3">
              <w:rPr>
                <w:sz w:val="20"/>
                <w:szCs w:val="20"/>
              </w:rPr>
              <w:t>30,953.16</w:t>
            </w:r>
          </w:p>
        </w:tc>
        <w:tc>
          <w:tcPr>
            <w:tcW w:w="649"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7F26E5BF" w14:textId="77777777">
            <w:pPr>
              <w:jc w:val="right"/>
              <w:rPr>
                <w:sz w:val="20"/>
                <w:szCs w:val="20"/>
              </w:rPr>
            </w:pPr>
            <w:r w:rsidRPr="00EB1DC3">
              <w:rPr>
                <w:sz w:val="20"/>
                <w:szCs w:val="20"/>
              </w:rPr>
              <w:t xml:space="preserve">0.825 </w:t>
            </w:r>
          </w:p>
          <w:p w:rsidRPr="00EB1DC3" w:rsidR="00EB1DC3" w:rsidP="00EB1DC3" w:rsidRDefault="00EB1DC3" w14:paraId="1248BC5D" w14:textId="714392F8">
            <w:pPr>
              <w:jc w:val="right"/>
              <w:rPr>
                <w:sz w:val="20"/>
                <w:szCs w:val="20"/>
              </w:rPr>
            </w:pPr>
            <w:r w:rsidRPr="00EB1DC3">
              <w:rPr>
                <w:sz w:val="20"/>
                <w:szCs w:val="20"/>
              </w:rPr>
              <w:t xml:space="preserve">(50 </w:t>
            </w:r>
            <w:r w:rsidR="00F66A7F">
              <w:rPr>
                <w:sz w:val="20"/>
                <w:szCs w:val="20"/>
              </w:rPr>
              <w:t>mins.</w:t>
            </w:r>
            <w:r w:rsidRPr="00EB1DC3">
              <w:rPr>
                <w:sz w:val="20"/>
                <w:szCs w:val="20"/>
              </w:rPr>
              <w:t>)</w:t>
            </w:r>
          </w:p>
        </w:tc>
        <w:tc>
          <w:tcPr>
            <w:tcW w:w="596"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0B6EE586" w14:textId="77777777">
            <w:pPr>
              <w:jc w:val="right"/>
              <w:rPr>
                <w:sz w:val="20"/>
                <w:szCs w:val="20"/>
              </w:rPr>
            </w:pPr>
            <w:r w:rsidRPr="00EB1DC3">
              <w:rPr>
                <w:sz w:val="20"/>
                <w:szCs w:val="20"/>
              </w:rPr>
              <w:t>25,536</w:t>
            </w:r>
          </w:p>
        </w:tc>
      </w:tr>
      <w:tr w:rsidRPr="00EB1DC3" w:rsidR="00F258A9" w:rsidTr="00662749" w14:paraId="10DC1A97" w14:textId="77777777">
        <w:trPr>
          <w:cantSplit/>
          <w:trHeight w:val="530"/>
        </w:trPr>
        <w:tc>
          <w:tcPr>
            <w:tcW w:w="1716"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08CE19B2" w14:textId="4A01E25A">
            <w:pPr>
              <w:rPr>
                <w:sz w:val="20"/>
                <w:szCs w:val="20"/>
              </w:rPr>
            </w:pPr>
            <w:r w:rsidRPr="00EB1DC3">
              <w:rPr>
                <w:sz w:val="20"/>
                <w:szCs w:val="20"/>
              </w:rPr>
              <w:t>Records related to sprouts</w:t>
            </w:r>
            <w:r w:rsidR="002D5817">
              <w:rPr>
                <w:sz w:val="20"/>
                <w:szCs w:val="20"/>
              </w:rPr>
              <w:t xml:space="preserve"> under </w:t>
            </w:r>
            <w:r w:rsidRPr="00EB1DC3" w:rsidR="002D5817">
              <w:rPr>
                <w:sz w:val="20"/>
                <w:szCs w:val="20"/>
              </w:rPr>
              <w:t>§</w:t>
            </w:r>
            <w:r w:rsidR="00F258A9">
              <w:rPr>
                <w:sz w:val="20"/>
                <w:szCs w:val="20"/>
              </w:rPr>
              <w:t> </w:t>
            </w:r>
            <w:r w:rsidR="002D5817">
              <w:rPr>
                <w:sz w:val="20"/>
                <w:szCs w:val="20"/>
              </w:rPr>
              <w:t>112.150</w:t>
            </w:r>
          </w:p>
        </w:tc>
        <w:tc>
          <w:tcPr>
            <w:tcW w:w="751"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65BC858C" w14:textId="77777777">
            <w:pPr>
              <w:jc w:val="right"/>
              <w:rPr>
                <w:sz w:val="20"/>
                <w:szCs w:val="20"/>
              </w:rPr>
            </w:pPr>
            <w:r w:rsidRPr="00EB1DC3">
              <w:rPr>
                <w:sz w:val="20"/>
                <w:szCs w:val="20"/>
              </w:rPr>
              <w:t>126</w:t>
            </w:r>
          </w:p>
        </w:tc>
        <w:tc>
          <w:tcPr>
            <w:tcW w:w="744"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0C5C3B6E" w14:textId="77777777">
            <w:pPr>
              <w:jc w:val="right"/>
              <w:rPr>
                <w:sz w:val="20"/>
                <w:szCs w:val="20"/>
              </w:rPr>
            </w:pPr>
            <w:r w:rsidRPr="00EB1DC3">
              <w:rPr>
                <w:sz w:val="20"/>
                <w:szCs w:val="20"/>
              </w:rPr>
              <w:t>62.061</w:t>
            </w:r>
          </w:p>
        </w:tc>
        <w:tc>
          <w:tcPr>
            <w:tcW w:w="543"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4960B032" w14:textId="77777777">
            <w:pPr>
              <w:jc w:val="right"/>
              <w:rPr>
                <w:sz w:val="20"/>
                <w:szCs w:val="20"/>
              </w:rPr>
            </w:pPr>
            <w:r w:rsidRPr="00EB1DC3">
              <w:rPr>
                <w:sz w:val="20"/>
                <w:szCs w:val="20"/>
              </w:rPr>
              <w:t>7,819.686</w:t>
            </w:r>
          </w:p>
        </w:tc>
        <w:tc>
          <w:tcPr>
            <w:tcW w:w="649"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1D5441B6" w14:textId="77777777">
            <w:pPr>
              <w:jc w:val="right"/>
              <w:rPr>
                <w:sz w:val="20"/>
                <w:szCs w:val="20"/>
              </w:rPr>
            </w:pPr>
            <w:r w:rsidRPr="00EB1DC3">
              <w:rPr>
                <w:sz w:val="20"/>
                <w:szCs w:val="20"/>
              </w:rPr>
              <w:t xml:space="preserve">1.412 </w:t>
            </w:r>
          </w:p>
          <w:p w:rsidRPr="00EB1DC3" w:rsidR="00EB1DC3" w:rsidP="00EB1DC3" w:rsidRDefault="00EB1DC3" w14:paraId="4469AAE6" w14:textId="4CA491F1">
            <w:pPr>
              <w:jc w:val="right"/>
              <w:rPr>
                <w:sz w:val="20"/>
                <w:szCs w:val="20"/>
              </w:rPr>
            </w:pPr>
            <w:r w:rsidRPr="00EB1DC3">
              <w:rPr>
                <w:sz w:val="20"/>
                <w:szCs w:val="20"/>
              </w:rPr>
              <w:t xml:space="preserve">(85 </w:t>
            </w:r>
            <w:r w:rsidR="00F66A7F">
              <w:rPr>
                <w:sz w:val="20"/>
                <w:szCs w:val="20"/>
              </w:rPr>
              <w:t>mins.</w:t>
            </w:r>
            <w:r w:rsidRPr="00EB1DC3">
              <w:rPr>
                <w:sz w:val="20"/>
                <w:szCs w:val="20"/>
              </w:rPr>
              <w:t>)</w:t>
            </w:r>
          </w:p>
        </w:tc>
        <w:tc>
          <w:tcPr>
            <w:tcW w:w="596"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24CE13D8" w14:textId="77777777">
            <w:pPr>
              <w:jc w:val="right"/>
              <w:rPr>
                <w:sz w:val="20"/>
                <w:szCs w:val="20"/>
              </w:rPr>
            </w:pPr>
            <w:r w:rsidRPr="00EB1DC3">
              <w:rPr>
                <w:sz w:val="20"/>
                <w:szCs w:val="20"/>
              </w:rPr>
              <w:t>11,041</w:t>
            </w:r>
          </w:p>
        </w:tc>
      </w:tr>
      <w:tr w:rsidRPr="00EB1DC3" w:rsidR="00F258A9" w:rsidTr="00662749" w14:paraId="33BE344D" w14:textId="77777777">
        <w:trPr>
          <w:cantSplit/>
          <w:trHeight w:val="755"/>
        </w:trPr>
        <w:tc>
          <w:tcPr>
            <w:tcW w:w="1716" w:type="pct"/>
            <w:tcBorders>
              <w:top w:val="single" w:color="auto" w:sz="4" w:space="0"/>
              <w:left w:val="single" w:color="auto" w:sz="4" w:space="0"/>
              <w:bottom w:val="single" w:color="auto" w:sz="4" w:space="0"/>
              <w:right w:val="single" w:color="auto" w:sz="4" w:space="0"/>
            </w:tcBorders>
          </w:tcPr>
          <w:p w:rsidRPr="00F01743" w:rsidR="00F01743" w:rsidP="00F01743" w:rsidRDefault="00F01743" w14:paraId="596365CA" w14:textId="52554A9C">
            <w:pPr>
              <w:rPr>
                <w:sz w:val="20"/>
                <w:szCs w:val="20"/>
              </w:rPr>
            </w:pPr>
            <w:r w:rsidRPr="00F01743">
              <w:rPr>
                <w:sz w:val="20"/>
                <w:szCs w:val="20"/>
              </w:rPr>
              <w:t>Recommended</w:t>
            </w:r>
            <w:r>
              <w:rPr>
                <w:sz w:val="20"/>
                <w:szCs w:val="20"/>
              </w:rPr>
              <w:t xml:space="preserve"> </w:t>
            </w:r>
            <w:r w:rsidRPr="00F01743">
              <w:rPr>
                <w:sz w:val="20"/>
                <w:szCs w:val="20"/>
              </w:rPr>
              <w:t>measures found in</w:t>
            </w:r>
            <w:r>
              <w:rPr>
                <w:sz w:val="20"/>
                <w:szCs w:val="20"/>
              </w:rPr>
              <w:t xml:space="preserve"> </w:t>
            </w:r>
            <w:r w:rsidRPr="00F01743">
              <w:rPr>
                <w:sz w:val="20"/>
                <w:szCs w:val="20"/>
              </w:rPr>
              <w:t>agency GFI</w:t>
            </w:r>
            <w:r w:rsidR="00662749">
              <w:rPr>
                <w:sz w:val="20"/>
                <w:szCs w:val="20"/>
              </w:rPr>
              <w:t xml:space="preserve"> </w:t>
            </w:r>
            <w:r w:rsidRPr="00F01743">
              <w:rPr>
                <w:sz w:val="20"/>
                <w:szCs w:val="20"/>
              </w:rPr>
              <w:t>(</w:t>
            </w:r>
            <w:r w:rsidRPr="008A1A45">
              <w:rPr>
                <w:i/>
                <w:iCs/>
                <w:sz w:val="20"/>
                <w:szCs w:val="20"/>
              </w:rPr>
              <w:t>Sprouts Guidance</w:t>
            </w:r>
            <w:r w:rsidRPr="00F01743">
              <w:rPr>
                <w:sz w:val="20"/>
                <w:szCs w:val="20"/>
              </w:rPr>
              <w:t>)</w:t>
            </w:r>
          </w:p>
          <w:p w:rsidRPr="00EB1DC3" w:rsidR="00EB1DC3" w:rsidP="00F01743" w:rsidRDefault="00F01743" w14:paraId="5544D35E" w14:textId="77777777">
            <w:pPr>
              <w:rPr>
                <w:sz w:val="20"/>
                <w:szCs w:val="20"/>
              </w:rPr>
            </w:pPr>
            <w:r w:rsidRPr="00F01743">
              <w:rPr>
                <w:sz w:val="20"/>
                <w:szCs w:val="20"/>
              </w:rPr>
              <w:t>pertaining to</w:t>
            </w:r>
            <w:r w:rsidRPr="00EB1DC3" w:rsidR="00EB1DC3">
              <w:rPr>
                <w:color w:val="000000"/>
                <w:sz w:val="20"/>
                <w:szCs w:val="20"/>
              </w:rPr>
              <w:t xml:space="preserve"> </w:t>
            </w:r>
            <w:r>
              <w:rPr>
                <w:color w:val="000000"/>
                <w:sz w:val="20"/>
                <w:szCs w:val="20"/>
              </w:rPr>
              <w:t>s</w:t>
            </w:r>
            <w:r w:rsidRPr="00EB1DC3" w:rsidR="00EB1DC3">
              <w:rPr>
                <w:color w:val="000000"/>
                <w:sz w:val="20"/>
                <w:szCs w:val="20"/>
              </w:rPr>
              <w:t>prout</w:t>
            </w:r>
            <w:r>
              <w:rPr>
                <w:color w:val="000000"/>
                <w:sz w:val="20"/>
                <w:szCs w:val="20"/>
              </w:rPr>
              <w:t xml:space="preserve"> o</w:t>
            </w:r>
            <w:r w:rsidRPr="00EB1DC3" w:rsidR="00EB1DC3">
              <w:rPr>
                <w:color w:val="000000"/>
                <w:sz w:val="20"/>
                <w:szCs w:val="20"/>
              </w:rPr>
              <w:t>perations</w:t>
            </w:r>
          </w:p>
        </w:tc>
        <w:tc>
          <w:tcPr>
            <w:tcW w:w="751"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4C6DA6F2" w14:textId="77777777">
            <w:pPr>
              <w:jc w:val="right"/>
              <w:rPr>
                <w:sz w:val="20"/>
                <w:szCs w:val="20"/>
              </w:rPr>
            </w:pPr>
            <w:r w:rsidRPr="00EB1DC3">
              <w:rPr>
                <w:sz w:val="20"/>
                <w:szCs w:val="20"/>
              </w:rPr>
              <w:t>126</w:t>
            </w:r>
          </w:p>
        </w:tc>
        <w:tc>
          <w:tcPr>
            <w:tcW w:w="744"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25AA7E0A" w14:textId="77777777">
            <w:pPr>
              <w:jc w:val="right"/>
              <w:rPr>
                <w:sz w:val="20"/>
                <w:szCs w:val="20"/>
              </w:rPr>
            </w:pPr>
            <w:r w:rsidRPr="00EB1DC3">
              <w:rPr>
                <w:sz w:val="20"/>
                <w:szCs w:val="20"/>
              </w:rPr>
              <w:t>233</w:t>
            </w:r>
          </w:p>
        </w:tc>
        <w:tc>
          <w:tcPr>
            <w:tcW w:w="543"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18B1FD3B" w14:textId="77777777">
            <w:pPr>
              <w:jc w:val="right"/>
              <w:rPr>
                <w:sz w:val="20"/>
                <w:szCs w:val="20"/>
              </w:rPr>
            </w:pPr>
            <w:r w:rsidRPr="00EB1DC3">
              <w:rPr>
                <w:sz w:val="20"/>
                <w:szCs w:val="20"/>
              </w:rPr>
              <w:t>29,358</w:t>
            </w:r>
          </w:p>
        </w:tc>
        <w:tc>
          <w:tcPr>
            <w:tcW w:w="649"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7F4C91BA" w14:textId="77777777">
            <w:pPr>
              <w:jc w:val="right"/>
              <w:rPr>
                <w:sz w:val="20"/>
                <w:szCs w:val="20"/>
              </w:rPr>
            </w:pPr>
            <w:r w:rsidRPr="00EB1DC3">
              <w:rPr>
                <w:sz w:val="20"/>
                <w:szCs w:val="20"/>
              </w:rPr>
              <w:t>1</w:t>
            </w:r>
          </w:p>
        </w:tc>
        <w:tc>
          <w:tcPr>
            <w:tcW w:w="596"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377F8FD8" w14:textId="77777777">
            <w:pPr>
              <w:jc w:val="right"/>
              <w:rPr>
                <w:sz w:val="20"/>
                <w:szCs w:val="20"/>
              </w:rPr>
            </w:pPr>
            <w:r w:rsidRPr="00EB1DC3">
              <w:rPr>
                <w:sz w:val="20"/>
                <w:szCs w:val="20"/>
              </w:rPr>
              <w:t>29,358</w:t>
            </w:r>
          </w:p>
        </w:tc>
      </w:tr>
      <w:tr w:rsidRPr="00EB1DC3" w:rsidR="00F258A9" w:rsidTr="00662749" w14:paraId="54BE34A1" w14:textId="77777777">
        <w:trPr>
          <w:cantSplit/>
          <w:trHeight w:val="530"/>
        </w:trPr>
        <w:tc>
          <w:tcPr>
            <w:tcW w:w="1716"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22E937DB" w14:textId="77777777">
            <w:pPr>
              <w:rPr>
                <w:sz w:val="20"/>
                <w:szCs w:val="20"/>
              </w:rPr>
            </w:pPr>
            <w:r w:rsidRPr="00EB1DC3">
              <w:rPr>
                <w:sz w:val="20"/>
                <w:szCs w:val="20"/>
              </w:rPr>
              <w:t>Documentation supporting compliance with § 112.2</w:t>
            </w:r>
          </w:p>
        </w:tc>
        <w:tc>
          <w:tcPr>
            <w:tcW w:w="751"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681083C7" w14:textId="77777777">
            <w:pPr>
              <w:jc w:val="right"/>
              <w:rPr>
                <w:sz w:val="20"/>
                <w:szCs w:val="20"/>
              </w:rPr>
            </w:pPr>
            <w:r w:rsidRPr="00EB1DC3">
              <w:rPr>
                <w:color w:val="000000"/>
                <w:sz w:val="20"/>
                <w:szCs w:val="20"/>
              </w:rPr>
              <w:t>4,568</w:t>
            </w:r>
          </w:p>
        </w:tc>
        <w:tc>
          <w:tcPr>
            <w:tcW w:w="744"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5C9C6479" w14:textId="77777777">
            <w:pPr>
              <w:jc w:val="right"/>
              <w:rPr>
                <w:sz w:val="20"/>
                <w:szCs w:val="20"/>
              </w:rPr>
            </w:pPr>
            <w:r w:rsidRPr="00EB1DC3">
              <w:rPr>
                <w:sz w:val="20"/>
                <w:szCs w:val="20"/>
              </w:rPr>
              <w:t>1</w:t>
            </w:r>
          </w:p>
        </w:tc>
        <w:tc>
          <w:tcPr>
            <w:tcW w:w="543"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76C76778" w14:textId="77777777">
            <w:pPr>
              <w:jc w:val="right"/>
              <w:rPr>
                <w:sz w:val="20"/>
                <w:szCs w:val="20"/>
              </w:rPr>
            </w:pPr>
            <w:r w:rsidRPr="00EB1DC3">
              <w:rPr>
                <w:sz w:val="20"/>
                <w:szCs w:val="20"/>
              </w:rPr>
              <w:t>4,568</w:t>
            </w:r>
          </w:p>
        </w:tc>
        <w:tc>
          <w:tcPr>
            <w:tcW w:w="649"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5AD96DEA" w14:textId="77777777">
            <w:pPr>
              <w:jc w:val="right"/>
              <w:rPr>
                <w:sz w:val="20"/>
                <w:szCs w:val="20"/>
              </w:rPr>
            </w:pPr>
            <w:r w:rsidRPr="00EB1DC3">
              <w:rPr>
                <w:sz w:val="20"/>
                <w:szCs w:val="20"/>
              </w:rPr>
              <w:t>0.079</w:t>
            </w:r>
          </w:p>
          <w:p w:rsidRPr="00EB1DC3" w:rsidR="00EB1DC3" w:rsidP="00EB1DC3" w:rsidRDefault="00F66A7F" w14:paraId="625A85A5" w14:textId="76F0F61C">
            <w:pPr>
              <w:jc w:val="right"/>
              <w:rPr>
                <w:sz w:val="20"/>
                <w:szCs w:val="20"/>
              </w:rPr>
            </w:pPr>
            <w:r>
              <w:rPr>
                <w:sz w:val="20"/>
                <w:szCs w:val="20"/>
              </w:rPr>
              <w:t>(</w:t>
            </w:r>
            <w:r w:rsidRPr="00EB1DC3" w:rsidR="00EB1DC3">
              <w:rPr>
                <w:sz w:val="20"/>
                <w:szCs w:val="20"/>
              </w:rPr>
              <w:t xml:space="preserve">5 </w:t>
            </w:r>
            <w:r>
              <w:rPr>
                <w:sz w:val="20"/>
                <w:szCs w:val="20"/>
              </w:rPr>
              <w:t>mins.</w:t>
            </w:r>
            <w:r w:rsidRPr="00EB1DC3" w:rsidR="00EB1DC3">
              <w:rPr>
                <w:sz w:val="20"/>
                <w:szCs w:val="20"/>
              </w:rPr>
              <w:t>)</w:t>
            </w:r>
          </w:p>
        </w:tc>
        <w:tc>
          <w:tcPr>
            <w:tcW w:w="596" w:type="pct"/>
            <w:tcBorders>
              <w:top w:val="single" w:color="auto" w:sz="4" w:space="0"/>
              <w:left w:val="single" w:color="auto" w:sz="4" w:space="0"/>
              <w:bottom w:val="single" w:color="auto" w:sz="4" w:space="0"/>
              <w:right w:val="single" w:color="auto" w:sz="4" w:space="0"/>
            </w:tcBorders>
          </w:tcPr>
          <w:p w:rsidRPr="00EB1DC3" w:rsidR="00EB1DC3" w:rsidP="00EB1DC3" w:rsidRDefault="00EB1DC3" w14:paraId="45C5EA66" w14:textId="77777777">
            <w:pPr>
              <w:jc w:val="right"/>
              <w:rPr>
                <w:sz w:val="20"/>
                <w:szCs w:val="20"/>
              </w:rPr>
            </w:pPr>
            <w:r w:rsidRPr="00EB1DC3">
              <w:rPr>
                <w:sz w:val="20"/>
                <w:szCs w:val="20"/>
              </w:rPr>
              <w:t>361</w:t>
            </w:r>
          </w:p>
        </w:tc>
      </w:tr>
      <w:tr w:rsidRPr="00EB1DC3" w:rsidR="00662749" w:rsidTr="00662749" w14:paraId="2D47B90B" w14:textId="77777777">
        <w:trPr>
          <w:cantSplit/>
          <w:trHeight w:val="350"/>
        </w:trPr>
        <w:tc>
          <w:tcPr>
            <w:tcW w:w="3211" w:type="pct"/>
            <w:gridSpan w:val="3"/>
            <w:tcBorders>
              <w:top w:val="single" w:color="auto" w:sz="4" w:space="0"/>
              <w:left w:val="single" w:color="auto" w:sz="4" w:space="0"/>
              <w:bottom w:val="single" w:color="auto" w:sz="4" w:space="0"/>
              <w:right w:val="single" w:color="auto" w:sz="4" w:space="0"/>
            </w:tcBorders>
          </w:tcPr>
          <w:p w:rsidRPr="00EB1DC3" w:rsidR="00662749" w:rsidP="00662749" w:rsidRDefault="00662749" w14:paraId="640FA6A7" w14:textId="39170E38">
            <w:pPr>
              <w:rPr>
                <w:sz w:val="20"/>
                <w:szCs w:val="20"/>
              </w:rPr>
            </w:pPr>
            <w:r w:rsidRPr="00EB1DC3">
              <w:rPr>
                <w:sz w:val="20"/>
                <w:szCs w:val="20"/>
              </w:rPr>
              <w:t>T</w:t>
            </w:r>
            <w:r>
              <w:rPr>
                <w:sz w:val="20"/>
                <w:szCs w:val="20"/>
              </w:rPr>
              <w:t>OTAL</w:t>
            </w:r>
          </w:p>
        </w:tc>
        <w:tc>
          <w:tcPr>
            <w:tcW w:w="543" w:type="pct"/>
            <w:tcBorders>
              <w:top w:val="single" w:color="auto" w:sz="4" w:space="0"/>
              <w:left w:val="single" w:color="auto" w:sz="4" w:space="0"/>
              <w:bottom w:val="single" w:color="auto" w:sz="4" w:space="0"/>
              <w:right w:val="single" w:color="auto" w:sz="4" w:space="0"/>
            </w:tcBorders>
          </w:tcPr>
          <w:p w:rsidRPr="00EB1DC3" w:rsidR="00662749" w:rsidP="00EB1DC3" w:rsidRDefault="00662749" w14:paraId="47793C25" w14:textId="77777777">
            <w:pPr>
              <w:jc w:val="right"/>
              <w:rPr>
                <w:sz w:val="20"/>
                <w:szCs w:val="20"/>
              </w:rPr>
            </w:pPr>
            <w:r w:rsidRPr="00EB1DC3">
              <w:rPr>
                <w:sz w:val="20"/>
                <w:szCs w:val="20"/>
              </w:rPr>
              <w:t>605,079</w:t>
            </w:r>
          </w:p>
        </w:tc>
        <w:tc>
          <w:tcPr>
            <w:tcW w:w="649" w:type="pct"/>
            <w:tcBorders>
              <w:top w:val="single" w:color="auto" w:sz="4" w:space="0"/>
              <w:left w:val="single" w:color="auto" w:sz="4" w:space="0"/>
              <w:bottom w:val="single" w:color="auto" w:sz="4" w:space="0"/>
              <w:right w:val="single" w:color="auto" w:sz="4" w:space="0"/>
            </w:tcBorders>
          </w:tcPr>
          <w:p w:rsidRPr="00EB1DC3" w:rsidR="00662749" w:rsidP="00EB1DC3" w:rsidRDefault="00662749" w14:paraId="11052B5D" w14:textId="77777777">
            <w:pPr>
              <w:jc w:val="right"/>
              <w:rPr>
                <w:sz w:val="20"/>
                <w:szCs w:val="20"/>
              </w:rPr>
            </w:pPr>
          </w:p>
        </w:tc>
        <w:tc>
          <w:tcPr>
            <w:tcW w:w="596" w:type="pct"/>
            <w:tcBorders>
              <w:top w:val="single" w:color="auto" w:sz="4" w:space="0"/>
              <w:left w:val="single" w:color="auto" w:sz="4" w:space="0"/>
              <w:bottom w:val="single" w:color="auto" w:sz="4" w:space="0"/>
              <w:right w:val="single" w:color="auto" w:sz="4" w:space="0"/>
            </w:tcBorders>
          </w:tcPr>
          <w:p w:rsidRPr="00EB1DC3" w:rsidR="00662749" w:rsidP="00EB1DC3" w:rsidRDefault="00662749" w14:paraId="0E5D530C" w14:textId="77777777">
            <w:pPr>
              <w:jc w:val="right"/>
              <w:rPr>
                <w:sz w:val="20"/>
                <w:szCs w:val="20"/>
              </w:rPr>
            </w:pPr>
            <w:r w:rsidRPr="00EB1DC3">
              <w:rPr>
                <w:sz w:val="20"/>
                <w:szCs w:val="20"/>
              </w:rPr>
              <w:t>1,142,043</w:t>
            </w:r>
          </w:p>
        </w:tc>
      </w:tr>
    </w:tbl>
    <w:p w:rsidRPr="00EB1DC3" w:rsidR="00EB1DC3" w:rsidP="00EB1DC3" w:rsidRDefault="00EB1DC3" w14:paraId="3392B1FD" w14:textId="77777777">
      <w:pPr>
        <w:autoSpaceDE w:val="0"/>
        <w:autoSpaceDN w:val="0"/>
        <w:adjustRightInd w:val="0"/>
        <w:rPr>
          <w:color w:val="000000"/>
          <w:sz w:val="20"/>
          <w:szCs w:val="20"/>
        </w:rPr>
      </w:pPr>
      <w:r w:rsidRPr="00EB1DC3">
        <w:rPr>
          <w:color w:val="000000"/>
          <w:sz w:val="20"/>
          <w:szCs w:val="20"/>
          <w:vertAlign w:val="superscript"/>
        </w:rPr>
        <w:t>1</w:t>
      </w:r>
      <w:r w:rsidRPr="00EB1DC3">
        <w:rPr>
          <w:color w:val="000000"/>
          <w:sz w:val="20"/>
          <w:szCs w:val="20"/>
        </w:rPr>
        <w:t xml:space="preserve"> There are no capital costs or operating and maintenance costs associated with this collection of information.</w:t>
      </w:r>
    </w:p>
    <w:p w:rsidRPr="00EB1DC3" w:rsidR="00EB1DC3" w:rsidP="00EB1DC3" w:rsidRDefault="00EB1DC3" w14:paraId="1DC30C55" w14:textId="77777777">
      <w:pPr>
        <w:autoSpaceDE w:val="0"/>
        <w:autoSpaceDN w:val="0"/>
        <w:adjustRightInd w:val="0"/>
        <w:rPr>
          <w:color w:val="000000"/>
          <w:sz w:val="20"/>
          <w:szCs w:val="20"/>
        </w:rPr>
      </w:pPr>
      <w:r w:rsidRPr="00EB1DC3">
        <w:rPr>
          <w:color w:val="000000"/>
          <w:sz w:val="20"/>
          <w:szCs w:val="20"/>
          <w:vertAlign w:val="superscript"/>
        </w:rPr>
        <w:t>2</w:t>
      </w:r>
      <w:r w:rsidRPr="00EB1DC3">
        <w:rPr>
          <w:color w:val="000000"/>
          <w:sz w:val="20"/>
          <w:szCs w:val="20"/>
        </w:rPr>
        <w:t xml:space="preserve"> Numbers rounded to nearest 1/1,000.</w:t>
      </w:r>
    </w:p>
    <w:p w:rsidRPr="00EB1DC3" w:rsidR="00EB1DC3" w:rsidP="00EB1DC3" w:rsidRDefault="00EB1DC3" w14:paraId="5EBCCF0D" w14:textId="77777777">
      <w:pPr>
        <w:autoSpaceDE w:val="0"/>
        <w:autoSpaceDN w:val="0"/>
        <w:adjustRightInd w:val="0"/>
      </w:pPr>
    </w:p>
    <w:p w:rsidRPr="00EB1DC3" w:rsidR="00EB1DC3" w:rsidP="00EB1DC3" w:rsidRDefault="00EB1DC3" w14:paraId="0C600C14" w14:textId="77777777">
      <w:pPr>
        <w:jc w:val="center"/>
        <w:rPr>
          <w:sz w:val="20"/>
          <w:szCs w:val="20"/>
        </w:rPr>
      </w:pPr>
      <w:bookmarkStart w:name="_Hlk96421545" w:id="0"/>
      <w:r w:rsidRPr="00EB1DC3">
        <w:rPr>
          <w:sz w:val="20"/>
          <w:szCs w:val="20"/>
        </w:rPr>
        <w:t xml:space="preserve">Table </w:t>
      </w:r>
      <w:r w:rsidRPr="00EB1DC3" w:rsidR="00893FF8">
        <w:rPr>
          <w:sz w:val="20"/>
          <w:szCs w:val="20"/>
        </w:rPr>
        <w:t>2.--</w:t>
      </w:r>
      <w:r w:rsidRPr="00EB1DC3">
        <w:rPr>
          <w:sz w:val="20"/>
          <w:szCs w:val="20"/>
        </w:rPr>
        <w:t>Esti</w:t>
      </w:r>
      <w:r w:rsidRPr="00EB1DC3">
        <w:rPr>
          <w:spacing w:val="-2"/>
          <w:sz w:val="20"/>
          <w:szCs w:val="20"/>
        </w:rPr>
        <w:t>m</w:t>
      </w:r>
      <w:r w:rsidRPr="00EB1DC3">
        <w:rPr>
          <w:sz w:val="20"/>
          <w:szCs w:val="20"/>
        </w:rPr>
        <w:t xml:space="preserve">ated Annual Third-Party Disclosure </w:t>
      </w:r>
      <w:r w:rsidRPr="00EB1DC3">
        <w:rPr>
          <w:w w:val="95"/>
          <w:sz w:val="20"/>
          <w:szCs w:val="20"/>
        </w:rPr>
        <w:t>Burde</w:t>
      </w:r>
      <w:r w:rsidRPr="00EB1DC3">
        <w:rPr>
          <w:spacing w:val="-1"/>
          <w:w w:val="95"/>
          <w:sz w:val="20"/>
          <w:szCs w:val="20"/>
        </w:rPr>
        <w:t>n</w:t>
      </w:r>
      <w:r w:rsidRPr="00EB1DC3">
        <w:rPr>
          <w:spacing w:val="-1"/>
          <w:w w:val="95"/>
          <w:sz w:val="20"/>
          <w:szCs w:val="20"/>
          <w:vertAlign w:val="superscript"/>
        </w:rPr>
        <w:t>1</w:t>
      </w:r>
    </w:p>
    <w:tbl>
      <w:tblPr>
        <w:tblW w:w="9619" w:type="dxa"/>
        <w:tblInd w:w="-85" w:type="dxa"/>
        <w:tblLayout w:type="fixed"/>
        <w:tblCellMar>
          <w:left w:w="0" w:type="dxa"/>
          <w:right w:w="0" w:type="dxa"/>
        </w:tblCellMar>
        <w:tblLook w:val="04A0" w:firstRow="1" w:lastRow="0" w:firstColumn="1" w:lastColumn="0" w:noHBand="0" w:noVBand="1"/>
      </w:tblPr>
      <w:tblGrid>
        <w:gridCol w:w="3140"/>
        <w:gridCol w:w="1260"/>
        <w:gridCol w:w="1530"/>
        <w:gridCol w:w="1350"/>
        <w:gridCol w:w="1350"/>
        <w:gridCol w:w="989"/>
      </w:tblGrid>
      <w:tr w:rsidRPr="00EB1DC3" w:rsidR="00EB1DC3" w:rsidTr="00662749" w14:paraId="63B5E639" w14:textId="77777777">
        <w:trPr>
          <w:trHeight w:val="766" w:hRule="exact"/>
        </w:trPr>
        <w:tc>
          <w:tcPr>
            <w:tcW w:w="3140" w:type="dxa"/>
            <w:tcBorders>
              <w:top w:val="single" w:color="000000" w:sz="4" w:space="0"/>
              <w:left w:val="single" w:color="000000" w:sz="4" w:space="0"/>
              <w:bottom w:val="single" w:color="000000" w:sz="4" w:space="0"/>
              <w:right w:val="single" w:color="000000" w:sz="4" w:space="0"/>
            </w:tcBorders>
            <w:shd w:val="clear" w:color="auto" w:fill="FFFFFF"/>
            <w:hideMark/>
          </w:tcPr>
          <w:bookmarkEnd w:id="0"/>
          <w:p w:rsidR="00F37EDA" w:rsidP="008A1A45" w:rsidRDefault="00F37EDA" w14:paraId="5BBC1363" w14:textId="77777777">
            <w:pPr>
              <w:kinsoku w:val="0"/>
              <w:overflowPunct w:val="0"/>
              <w:autoSpaceDE w:val="0"/>
              <w:autoSpaceDN w:val="0"/>
              <w:adjustRightInd w:val="0"/>
              <w:ind w:left="102"/>
              <w:contextualSpacing/>
              <w:jc w:val="center"/>
              <w:rPr>
                <w:sz w:val="20"/>
                <w:szCs w:val="20"/>
              </w:rPr>
            </w:pPr>
            <w:r>
              <w:rPr>
                <w:sz w:val="20"/>
                <w:szCs w:val="20"/>
              </w:rPr>
              <w:t>Activity;</w:t>
            </w:r>
          </w:p>
          <w:p w:rsidRPr="00EB1DC3" w:rsidR="00EB1DC3" w:rsidP="008A1A45" w:rsidRDefault="00EB1DC3" w14:paraId="594098AD" w14:textId="77777777">
            <w:pPr>
              <w:kinsoku w:val="0"/>
              <w:overflowPunct w:val="0"/>
              <w:autoSpaceDE w:val="0"/>
              <w:autoSpaceDN w:val="0"/>
              <w:adjustRightInd w:val="0"/>
              <w:ind w:left="102"/>
              <w:contextualSpacing/>
              <w:jc w:val="center"/>
              <w:rPr>
                <w:sz w:val="20"/>
                <w:szCs w:val="20"/>
              </w:rPr>
            </w:pPr>
            <w:r w:rsidRPr="00EB1DC3">
              <w:rPr>
                <w:sz w:val="20"/>
                <w:szCs w:val="20"/>
              </w:rPr>
              <w:t>21</w:t>
            </w:r>
            <w:r w:rsidRPr="00EB1DC3">
              <w:rPr>
                <w:spacing w:val="-5"/>
                <w:sz w:val="20"/>
                <w:szCs w:val="20"/>
              </w:rPr>
              <w:t xml:space="preserve"> </w:t>
            </w:r>
            <w:r w:rsidRPr="00EB1DC3">
              <w:rPr>
                <w:sz w:val="20"/>
                <w:szCs w:val="20"/>
              </w:rPr>
              <w:t>CFR</w:t>
            </w:r>
            <w:r w:rsidRPr="00EB1DC3">
              <w:rPr>
                <w:spacing w:val="-4"/>
                <w:sz w:val="20"/>
                <w:szCs w:val="20"/>
              </w:rPr>
              <w:t xml:space="preserve"> </w:t>
            </w:r>
            <w:r w:rsidR="00F37EDA">
              <w:rPr>
                <w:sz w:val="20"/>
                <w:szCs w:val="20"/>
              </w:rPr>
              <w:t>section</w:t>
            </w:r>
          </w:p>
        </w:tc>
        <w:tc>
          <w:tcPr>
            <w:tcW w:w="1260" w:type="dxa"/>
            <w:tcBorders>
              <w:top w:val="single" w:color="000000" w:sz="4" w:space="0"/>
              <w:left w:val="single" w:color="000000" w:sz="4" w:space="0"/>
              <w:bottom w:val="single" w:color="000000" w:sz="4" w:space="0"/>
              <w:right w:val="single" w:color="000000" w:sz="4" w:space="0"/>
            </w:tcBorders>
            <w:shd w:val="clear" w:color="auto" w:fill="FFFFFF"/>
            <w:hideMark/>
          </w:tcPr>
          <w:p w:rsidRPr="00EB1DC3" w:rsidR="00EB1DC3" w:rsidP="008A1A45" w:rsidRDefault="00EB1DC3" w14:paraId="1E2E0B47" w14:textId="77777777">
            <w:pPr>
              <w:kinsoku w:val="0"/>
              <w:overflowPunct w:val="0"/>
              <w:autoSpaceDE w:val="0"/>
              <w:autoSpaceDN w:val="0"/>
              <w:adjustRightInd w:val="0"/>
              <w:ind w:left="102"/>
              <w:contextualSpacing/>
              <w:jc w:val="center"/>
              <w:rPr>
                <w:sz w:val="20"/>
                <w:szCs w:val="20"/>
              </w:rPr>
            </w:pPr>
            <w:r w:rsidRPr="00EB1DC3">
              <w:rPr>
                <w:sz w:val="20"/>
                <w:szCs w:val="20"/>
              </w:rPr>
              <w:t>No.</w:t>
            </w:r>
            <w:r w:rsidRPr="00EB1DC3">
              <w:rPr>
                <w:spacing w:val="-6"/>
                <w:sz w:val="20"/>
                <w:szCs w:val="20"/>
              </w:rPr>
              <w:t xml:space="preserve"> </w:t>
            </w:r>
            <w:r w:rsidRPr="00EB1DC3">
              <w:rPr>
                <w:sz w:val="20"/>
                <w:szCs w:val="20"/>
              </w:rPr>
              <w:t>of Respondents</w:t>
            </w:r>
          </w:p>
        </w:tc>
        <w:tc>
          <w:tcPr>
            <w:tcW w:w="1530" w:type="dxa"/>
            <w:tcBorders>
              <w:top w:val="single" w:color="000000" w:sz="4" w:space="0"/>
              <w:left w:val="single" w:color="000000" w:sz="4" w:space="0"/>
              <w:bottom w:val="single" w:color="000000" w:sz="4" w:space="0"/>
              <w:right w:val="single" w:color="000000" w:sz="4" w:space="0"/>
            </w:tcBorders>
            <w:shd w:val="clear" w:color="auto" w:fill="FFFFFF"/>
            <w:hideMark/>
          </w:tcPr>
          <w:p w:rsidRPr="00EB1DC3" w:rsidR="00EB1DC3" w:rsidP="008A1A45" w:rsidRDefault="00EB1DC3" w14:paraId="677361E1" w14:textId="77777777">
            <w:pPr>
              <w:kinsoku w:val="0"/>
              <w:overflowPunct w:val="0"/>
              <w:autoSpaceDE w:val="0"/>
              <w:autoSpaceDN w:val="0"/>
              <w:adjustRightInd w:val="0"/>
              <w:ind w:left="102"/>
              <w:contextualSpacing/>
              <w:jc w:val="center"/>
              <w:rPr>
                <w:sz w:val="20"/>
                <w:szCs w:val="20"/>
              </w:rPr>
            </w:pPr>
            <w:r w:rsidRPr="00EB1DC3">
              <w:rPr>
                <w:sz w:val="20"/>
                <w:szCs w:val="20"/>
              </w:rPr>
              <w:t>No.</w:t>
            </w:r>
            <w:r w:rsidRPr="00EB1DC3">
              <w:rPr>
                <w:spacing w:val="-6"/>
                <w:sz w:val="20"/>
                <w:szCs w:val="20"/>
              </w:rPr>
              <w:t xml:space="preserve"> </w:t>
            </w:r>
            <w:r w:rsidRPr="00EB1DC3">
              <w:rPr>
                <w:sz w:val="20"/>
                <w:szCs w:val="20"/>
              </w:rPr>
              <w:t>of Disclosures</w:t>
            </w:r>
            <w:r w:rsidRPr="00EB1DC3">
              <w:rPr>
                <w:spacing w:val="-14"/>
                <w:sz w:val="20"/>
                <w:szCs w:val="20"/>
              </w:rPr>
              <w:t xml:space="preserve"> </w:t>
            </w:r>
            <w:r w:rsidRPr="00EB1DC3">
              <w:rPr>
                <w:spacing w:val="1"/>
                <w:sz w:val="20"/>
                <w:szCs w:val="20"/>
              </w:rPr>
              <w:t>p</w:t>
            </w:r>
            <w:r w:rsidRPr="00EB1DC3">
              <w:rPr>
                <w:spacing w:val="-1"/>
                <w:sz w:val="20"/>
                <w:szCs w:val="20"/>
              </w:rPr>
              <w:t>e</w:t>
            </w:r>
            <w:r w:rsidRPr="00EB1DC3">
              <w:rPr>
                <w:sz w:val="20"/>
                <w:szCs w:val="20"/>
              </w:rPr>
              <w:t>r</w:t>
            </w:r>
            <w:r w:rsidRPr="00EB1DC3">
              <w:rPr>
                <w:w w:val="99"/>
                <w:sz w:val="20"/>
                <w:szCs w:val="20"/>
              </w:rPr>
              <w:t xml:space="preserve"> </w:t>
            </w:r>
            <w:r w:rsidRPr="00EB1DC3">
              <w:rPr>
                <w:sz w:val="20"/>
                <w:szCs w:val="20"/>
              </w:rPr>
              <w:t>Respondent</w:t>
            </w:r>
          </w:p>
        </w:tc>
        <w:tc>
          <w:tcPr>
            <w:tcW w:w="1350" w:type="dxa"/>
            <w:tcBorders>
              <w:top w:val="single" w:color="000000" w:sz="4" w:space="0"/>
              <w:left w:val="single" w:color="000000" w:sz="4" w:space="0"/>
              <w:bottom w:val="single" w:color="000000" w:sz="4" w:space="0"/>
              <w:right w:val="single" w:color="000000" w:sz="4" w:space="0"/>
            </w:tcBorders>
            <w:shd w:val="clear" w:color="auto" w:fill="FFFFFF"/>
            <w:hideMark/>
          </w:tcPr>
          <w:p w:rsidRPr="00EB1DC3" w:rsidR="00EB1DC3" w:rsidP="008A1A45" w:rsidRDefault="00EB1DC3" w14:paraId="507EF2B1" w14:textId="77777777">
            <w:pPr>
              <w:kinsoku w:val="0"/>
              <w:overflowPunct w:val="0"/>
              <w:autoSpaceDE w:val="0"/>
              <w:autoSpaceDN w:val="0"/>
              <w:adjustRightInd w:val="0"/>
              <w:ind w:left="102"/>
              <w:contextualSpacing/>
              <w:jc w:val="center"/>
              <w:rPr>
                <w:sz w:val="20"/>
                <w:szCs w:val="20"/>
              </w:rPr>
            </w:pPr>
            <w:r w:rsidRPr="00EB1DC3">
              <w:rPr>
                <w:sz w:val="20"/>
                <w:szCs w:val="20"/>
              </w:rPr>
              <w:t>Total</w:t>
            </w:r>
            <w:r w:rsidRPr="00EB1DC3">
              <w:rPr>
                <w:spacing w:val="-13"/>
                <w:sz w:val="20"/>
                <w:szCs w:val="20"/>
              </w:rPr>
              <w:t xml:space="preserve"> </w:t>
            </w:r>
            <w:r w:rsidR="00B47613">
              <w:rPr>
                <w:spacing w:val="-13"/>
                <w:sz w:val="20"/>
                <w:szCs w:val="20"/>
              </w:rPr>
              <w:t xml:space="preserve">Annual </w:t>
            </w:r>
            <w:r w:rsidRPr="00EB1DC3">
              <w:rPr>
                <w:sz w:val="20"/>
                <w:szCs w:val="20"/>
              </w:rPr>
              <w:t>Disclosures</w:t>
            </w:r>
          </w:p>
        </w:tc>
        <w:tc>
          <w:tcPr>
            <w:tcW w:w="1350" w:type="dxa"/>
            <w:tcBorders>
              <w:top w:val="single" w:color="000000" w:sz="4" w:space="0"/>
              <w:left w:val="single" w:color="000000" w:sz="4" w:space="0"/>
              <w:bottom w:val="single" w:color="000000" w:sz="4" w:space="0"/>
              <w:right w:val="single" w:color="000000" w:sz="4" w:space="0"/>
            </w:tcBorders>
            <w:shd w:val="clear" w:color="auto" w:fill="FFFFFF"/>
            <w:hideMark/>
          </w:tcPr>
          <w:p w:rsidRPr="00EB1DC3" w:rsidR="00EB1DC3" w:rsidP="008A1A45" w:rsidRDefault="00EB1DC3" w14:paraId="3131571B" w14:textId="378C92DE">
            <w:pPr>
              <w:kinsoku w:val="0"/>
              <w:overflowPunct w:val="0"/>
              <w:autoSpaceDE w:val="0"/>
              <w:autoSpaceDN w:val="0"/>
              <w:adjustRightInd w:val="0"/>
              <w:ind w:left="102"/>
              <w:contextualSpacing/>
              <w:jc w:val="center"/>
              <w:rPr>
                <w:sz w:val="20"/>
                <w:szCs w:val="20"/>
              </w:rPr>
            </w:pPr>
            <w:r w:rsidRPr="00EB1DC3">
              <w:rPr>
                <w:sz w:val="20"/>
                <w:szCs w:val="20"/>
              </w:rPr>
              <w:t>Av</w:t>
            </w:r>
            <w:r w:rsidR="00F66A7F">
              <w:rPr>
                <w:sz w:val="20"/>
                <w:szCs w:val="20"/>
              </w:rPr>
              <w:t xml:space="preserve">g. </w:t>
            </w:r>
            <w:r w:rsidRPr="00EB1DC3">
              <w:rPr>
                <w:spacing w:val="-11"/>
                <w:sz w:val="20"/>
                <w:szCs w:val="20"/>
              </w:rPr>
              <w:t xml:space="preserve"> </w:t>
            </w:r>
            <w:r w:rsidRPr="00EB1DC3">
              <w:rPr>
                <w:sz w:val="20"/>
                <w:szCs w:val="20"/>
              </w:rPr>
              <w:t>Burden per</w:t>
            </w:r>
            <w:r w:rsidRPr="00EB1DC3">
              <w:rPr>
                <w:w w:val="99"/>
                <w:sz w:val="20"/>
                <w:szCs w:val="20"/>
              </w:rPr>
              <w:t xml:space="preserve"> </w:t>
            </w:r>
            <w:r w:rsidRPr="00EB1DC3">
              <w:rPr>
                <w:w w:val="95"/>
                <w:sz w:val="20"/>
                <w:szCs w:val="20"/>
              </w:rPr>
              <w:t>Disclosure</w:t>
            </w:r>
          </w:p>
        </w:tc>
        <w:tc>
          <w:tcPr>
            <w:tcW w:w="989" w:type="dxa"/>
            <w:tcBorders>
              <w:top w:val="single" w:color="000000" w:sz="4" w:space="0"/>
              <w:left w:val="single" w:color="000000" w:sz="4" w:space="0"/>
              <w:bottom w:val="single" w:color="000000" w:sz="4" w:space="0"/>
              <w:right w:val="single" w:color="000000" w:sz="4" w:space="0"/>
            </w:tcBorders>
            <w:shd w:val="clear" w:color="auto" w:fill="FFFFFF"/>
            <w:hideMark/>
          </w:tcPr>
          <w:p w:rsidRPr="00EB1DC3" w:rsidR="00EB1DC3" w:rsidP="008A1A45" w:rsidRDefault="00EB1DC3" w14:paraId="4CE76260" w14:textId="77777777">
            <w:pPr>
              <w:kinsoku w:val="0"/>
              <w:overflowPunct w:val="0"/>
              <w:autoSpaceDE w:val="0"/>
              <w:autoSpaceDN w:val="0"/>
              <w:adjustRightInd w:val="0"/>
              <w:ind w:left="102"/>
              <w:contextualSpacing/>
              <w:jc w:val="center"/>
              <w:rPr>
                <w:sz w:val="20"/>
                <w:szCs w:val="20"/>
              </w:rPr>
            </w:pPr>
            <w:r w:rsidRPr="00EB1DC3">
              <w:rPr>
                <w:sz w:val="20"/>
                <w:szCs w:val="20"/>
              </w:rPr>
              <w:t>Total Hours</w:t>
            </w:r>
          </w:p>
        </w:tc>
      </w:tr>
      <w:tr w:rsidRPr="00EB1DC3" w:rsidR="00EB1DC3" w:rsidTr="00F66A7F" w14:paraId="124E05AB" w14:textId="77777777">
        <w:trPr>
          <w:trHeight w:val="631" w:hRule="exact"/>
        </w:trPr>
        <w:tc>
          <w:tcPr>
            <w:tcW w:w="3140" w:type="dxa"/>
            <w:tcBorders>
              <w:top w:val="single" w:color="000000" w:sz="4" w:space="0"/>
              <w:left w:val="single" w:color="000000" w:sz="4" w:space="0"/>
              <w:bottom w:val="single" w:color="auto" w:sz="4" w:space="0"/>
              <w:right w:val="single" w:color="000000" w:sz="4" w:space="0"/>
            </w:tcBorders>
            <w:hideMark/>
          </w:tcPr>
          <w:p w:rsidRPr="00EB1DC3" w:rsidR="00EB1DC3" w:rsidP="00EB1DC3" w:rsidRDefault="00EB1DC3" w14:paraId="544E0162" w14:textId="77777777">
            <w:pPr>
              <w:kinsoku w:val="0"/>
              <w:overflowPunct w:val="0"/>
              <w:autoSpaceDE w:val="0"/>
              <w:autoSpaceDN w:val="0"/>
              <w:adjustRightInd w:val="0"/>
              <w:ind w:left="102"/>
              <w:contextualSpacing/>
              <w:rPr>
                <w:sz w:val="20"/>
                <w:szCs w:val="20"/>
              </w:rPr>
            </w:pPr>
            <w:r w:rsidRPr="00EB1DC3">
              <w:rPr>
                <w:sz w:val="20"/>
                <w:szCs w:val="20"/>
              </w:rPr>
              <w:t>Disclosure</w:t>
            </w:r>
            <w:r w:rsidRPr="00EB1DC3">
              <w:rPr>
                <w:spacing w:val="-15"/>
                <w:sz w:val="20"/>
                <w:szCs w:val="20"/>
              </w:rPr>
              <w:t xml:space="preserve"> </w:t>
            </w:r>
            <w:r w:rsidRPr="00EB1DC3">
              <w:rPr>
                <w:sz w:val="20"/>
                <w:szCs w:val="20"/>
              </w:rPr>
              <w:t>under §§ 112.2, 11</w:t>
            </w:r>
            <w:r w:rsidRPr="00EB1DC3">
              <w:rPr>
                <w:spacing w:val="-1"/>
                <w:sz w:val="20"/>
                <w:szCs w:val="20"/>
              </w:rPr>
              <w:t>2</w:t>
            </w:r>
            <w:r w:rsidRPr="00EB1DC3">
              <w:rPr>
                <w:sz w:val="20"/>
                <w:szCs w:val="20"/>
              </w:rPr>
              <w:t>.6, 112.31, 112.33, and 112.142</w:t>
            </w:r>
          </w:p>
        </w:tc>
        <w:tc>
          <w:tcPr>
            <w:tcW w:w="1260" w:type="dxa"/>
            <w:tcBorders>
              <w:top w:val="single" w:color="000000" w:sz="4" w:space="0"/>
              <w:left w:val="single" w:color="000000" w:sz="4" w:space="0"/>
              <w:bottom w:val="single" w:color="auto" w:sz="4" w:space="0"/>
              <w:right w:val="single" w:color="000000" w:sz="4" w:space="0"/>
            </w:tcBorders>
            <w:hideMark/>
          </w:tcPr>
          <w:p w:rsidRPr="00EB1DC3" w:rsidR="00EB1DC3" w:rsidP="00EB1DC3" w:rsidRDefault="00EB1DC3" w14:paraId="4F97DCED" w14:textId="77777777">
            <w:pPr>
              <w:kinsoku w:val="0"/>
              <w:overflowPunct w:val="0"/>
              <w:autoSpaceDE w:val="0"/>
              <w:autoSpaceDN w:val="0"/>
              <w:adjustRightInd w:val="0"/>
              <w:ind w:left="1191" w:hanging="1191"/>
              <w:contextualSpacing/>
              <w:jc w:val="right"/>
              <w:rPr>
                <w:sz w:val="20"/>
                <w:szCs w:val="20"/>
              </w:rPr>
            </w:pPr>
            <w:r w:rsidRPr="00EB1DC3">
              <w:rPr>
                <w:sz w:val="20"/>
                <w:szCs w:val="20"/>
              </w:rPr>
              <w:t>77,165</w:t>
            </w:r>
          </w:p>
        </w:tc>
        <w:tc>
          <w:tcPr>
            <w:tcW w:w="1530" w:type="dxa"/>
            <w:tcBorders>
              <w:top w:val="single" w:color="000000" w:sz="4" w:space="0"/>
              <w:left w:val="single" w:color="000000" w:sz="4" w:space="0"/>
              <w:bottom w:val="single" w:color="auto" w:sz="4" w:space="0"/>
              <w:right w:val="single" w:color="000000" w:sz="4" w:space="0"/>
            </w:tcBorders>
            <w:hideMark/>
          </w:tcPr>
          <w:p w:rsidRPr="00EB1DC3" w:rsidR="00EB1DC3" w:rsidP="00EB1DC3" w:rsidRDefault="00EB1DC3" w14:paraId="10033F26" w14:textId="77777777">
            <w:pPr>
              <w:kinsoku w:val="0"/>
              <w:overflowPunct w:val="0"/>
              <w:autoSpaceDE w:val="0"/>
              <w:autoSpaceDN w:val="0"/>
              <w:adjustRightInd w:val="0"/>
              <w:ind w:right="102"/>
              <w:contextualSpacing/>
              <w:jc w:val="right"/>
              <w:rPr>
                <w:sz w:val="20"/>
                <w:szCs w:val="20"/>
              </w:rPr>
            </w:pPr>
            <w:r w:rsidRPr="00EB1DC3">
              <w:rPr>
                <w:w w:val="95"/>
                <w:sz w:val="20"/>
                <w:szCs w:val="20"/>
              </w:rPr>
              <w:t>3.459</w:t>
            </w:r>
          </w:p>
        </w:tc>
        <w:tc>
          <w:tcPr>
            <w:tcW w:w="1350" w:type="dxa"/>
            <w:tcBorders>
              <w:top w:val="single" w:color="000000" w:sz="4" w:space="0"/>
              <w:left w:val="single" w:color="000000" w:sz="4" w:space="0"/>
              <w:bottom w:val="single" w:color="auto" w:sz="4" w:space="0"/>
              <w:right w:val="single" w:color="000000" w:sz="4" w:space="0"/>
            </w:tcBorders>
            <w:hideMark/>
          </w:tcPr>
          <w:p w:rsidRPr="00EB1DC3" w:rsidR="00EB1DC3" w:rsidP="00EB1DC3" w:rsidRDefault="00EB1DC3" w14:paraId="679A607B" w14:textId="77777777">
            <w:pPr>
              <w:kinsoku w:val="0"/>
              <w:overflowPunct w:val="0"/>
              <w:autoSpaceDE w:val="0"/>
              <w:autoSpaceDN w:val="0"/>
              <w:adjustRightInd w:val="0"/>
              <w:ind w:left="1011" w:hanging="1011"/>
              <w:contextualSpacing/>
              <w:jc w:val="right"/>
              <w:rPr>
                <w:sz w:val="20"/>
                <w:szCs w:val="20"/>
              </w:rPr>
            </w:pPr>
            <w:r w:rsidRPr="00EB1DC3">
              <w:rPr>
                <w:sz w:val="20"/>
                <w:szCs w:val="20"/>
              </w:rPr>
              <w:t>266,914</w:t>
            </w:r>
          </w:p>
        </w:tc>
        <w:tc>
          <w:tcPr>
            <w:tcW w:w="1350" w:type="dxa"/>
            <w:tcBorders>
              <w:top w:val="single" w:color="000000" w:sz="4" w:space="0"/>
              <w:left w:val="single" w:color="000000" w:sz="4" w:space="0"/>
              <w:bottom w:val="single" w:color="auto" w:sz="4" w:space="0"/>
              <w:right w:val="single" w:color="000000" w:sz="4" w:space="0"/>
            </w:tcBorders>
            <w:hideMark/>
          </w:tcPr>
          <w:p w:rsidRPr="00EB1DC3" w:rsidR="00EB1DC3" w:rsidP="00EB1DC3" w:rsidRDefault="00EB1DC3" w14:paraId="28743A0F" w14:textId="77777777">
            <w:pPr>
              <w:kinsoku w:val="0"/>
              <w:overflowPunct w:val="0"/>
              <w:autoSpaceDE w:val="0"/>
              <w:autoSpaceDN w:val="0"/>
              <w:adjustRightInd w:val="0"/>
              <w:jc w:val="right"/>
              <w:rPr>
                <w:sz w:val="20"/>
                <w:szCs w:val="20"/>
              </w:rPr>
            </w:pPr>
            <w:r w:rsidRPr="00EB1DC3">
              <w:rPr>
                <w:sz w:val="20"/>
                <w:szCs w:val="20"/>
              </w:rPr>
              <w:t>1.422</w:t>
            </w:r>
          </w:p>
          <w:p w:rsidRPr="00EB1DC3" w:rsidR="00EB1DC3" w:rsidP="00EB1DC3" w:rsidRDefault="00EB1DC3" w14:paraId="0DE41018" w14:textId="1A0F164F">
            <w:pPr>
              <w:kinsoku w:val="0"/>
              <w:overflowPunct w:val="0"/>
              <w:autoSpaceDE w:val="0"/>
              <w:autoSpaceDN w:val="0"/>
              <w:adjustRightInd w:val="0"/>
              <w:jc w:val="right"/>
              <w:rPr>
                <w:sz w:val="20"/>
                <w:szCs w:val="20"/>
              </w:rPr>
            </w:pPr>
            <w:r w:rsidRPr="00EB1DC3">
              <w:rPr>
                <w:sz w:val="20"/>
                <w:szCs w:val="20"/>
              </w:rPr>
              <w:t xml:space="preserve">(85 </w:t>
            </w:r>
            <w:r w:rsidR="00F66A7F">
              <w:rPr>
                <w:sz w:val="20"/>
                <w:szCs w:val="20"/>
              </w:rPr>
              <w:t>mins.</w:t>
            </w:r>
            <w:r w:rsidRPr="00EB1DC3">
              <w:rPr>
                <w:sz w:val="20"/>
                <w:szCs w:val="20"/>
              </w:rPr>
              <w:t>)</w:t>
            </w:r>
          </w:p>
        </w:tc>
        <w:tc>
          <w:tcPr>
            <w:tcW w:w="989" w:type="dxa"/>
            <w:tcBorders>
              <w:top w:val="single" w:color="000000" w:sz="4" w:space="0"/>
              <w:left w:val="single" w:color="000000" w:sz="4" w:space="0"/>
              <w:bottom w:val="single" w:color="auto" w:sz="4" w:space="0"/>
              <w:right w:val="single" w:color="000000" w:sz="4" w:space="0"/>
            </w:tcBorders>
            <w:hideMark/>
          </w:tcPr>
          <w:p w:rsidRPr="00EB1DC3" w:rsidR="00EB1DC3" w:rsidP="00EB1DC3" w:rsidRDefault="00EB1DC3" w14:paraId="014A1681" w14:textId="77777777">
            <w:pPr>
              <w:kinsoku w:val="0"/>
              <w:overflowPunct w:val="0"/>
              <w:autoSpaceDE w:val="0"/>
              <w:autoSpaceDN w:val="0"/>
              <w:adjustRightInd w:val="0"/>
              <w:ind w:left="474" w:hanging="474"/>
              <w:contextualSpacing/>
              <w:jc w:val="right"/>
              <w:rPr>
                <w:sz w:val="20"/>
                <w:szCs w:val="20"/>
              </w:rPr>
            </w:pPr>
            <w:r w:rsidRPr="00EB1DC3">
              <w:rPr>
                <w:sz w:val="20"/>
                <w:szCs w:val="20"/>
              </w:rPr>
              <w:t>379,551</w:t>
            </w:r>
          </w:p>
        </w:tc>
      </w:tr>
    </w:tbl>
    <w:p w:rsidR="00F01743" w:rsidP="00EB1DC3" w:rsidRDefault="00EB1DC3" w14:paraId="563C2A71" w14:textId="0E96376D">
      <w:pPr>
        <w:rPr>
          <w:sz w:val="20"/>
          <w:szCs w:val="20"/>
        </w:rPr>
      </w:pPr>
      <w:r w:rsidRPr="00EB1DC3">
        <w:rPr>
          <w:sz w:val="20"/>
          <w:szCs w:val="20"/>
          <w:vertAlign w:val="superscript"/>
        </w:rPr>
        <w:t>1</w:t>
      </w:r>
      <w:r w:rsidRPr="00EB1DC3">
        <w:rPr>
          <w:sz w:val="20"/>
          <w:szCs w:val="20"/>
        </w:rPr>
        <w:t xml:space="preserve"> There are no capital costs or operating or maintenance costs associated with this collection of information.</w:t>
      </w:r>
    </w:p>
    <w:p w:rsidR="00484D9F" w:rsidP="00EB1DC3" w:rsidRDefault="00484D9F" w14:paraId="33D91515" w14:textId="79A190C0"/>
    <w:p w:rsidRPr="00186171" w:rsidR="00186171" w:rsidP="00EB1DC3" w:rsidRDefault="00186171" w14:paraId="463B1F3E" w14:textId="4170C638">
      <w:r w:rsidRPr="006A6996">
        <w:t>As respondents to the collection continue to implement the regulatory requirements and compliance schedules continue to be realized, we retain our current burden estimates.</w:t>
      </w:r>
    </w:p>
    <w:p w:rsidR="00893FF8" w:rsidP="008A1A45" w:rsidRDefault="00893FF8" w14:paraId="5D3514AB" w14:textId="77777777">
      <w:pPr>
        <w:rPr>
          <w:rFonts w:eastAsia="Calibri"/>
        </w:rPr>
      </w:pPr>
    </w:p>
    <w:p w:rsidR="002C11C0" w:rsidRDefault="002C11C0" w14:paraId="44787EB0" w14:textId="77777777">
      <w:pPr>
        <w:rPr>
          <w:rFonts w:eastAsia="Calibri"/>
        </w:rPr>
      </w:pPr>
      <w:r>
        <w:rPr>
          <w:rFonts w:eastAsia="Calibri"/>
        </w:rPr>
        <w:br w:type="page"/>
      </w:r>
    </w:p>
    <w:p w:rsidRPr="00484D9F" w:rsidR="00B47613" w:rsidP="00484D9F" w:rsidRDefault="00484D9F" w14:paraId="79E83F91" w14:textId="3137CB21">
      <w:pPr>
        <w:spacing w:after="200"/>
        <w:rPr>
          <w:rFonts w:eastAsia="Calibri"/>
          <w:i/>
          <w:iCs/>
        </w:rPr>
      </w:pPr>
      <w:r>
        <w:rPr>
          <w:rFonts w:eastAsia="Calibri"/>
          <w:i/>
          <w:iCs/>
        </w:rPr>
        <w:lastRenderedPageBreak/>
        <w:tab/>
      </w:r>
      <w:r w:rsidRPr="00484D9F" w:rsidR="00357C8A">
        <w:rPr>
          <w:rFonts w:eastAsia="Calibri"/>
          <w:i/>
          <w:iCs/>
        </w:rPr>
        <w:t>12b.  Annualized Cost Burden Estimate</w:t>
      </w:r>
    </w:p>
    <w:p w:rsidRPr="008A1A45" w:rsidR="00EB1DC3" w:rsidP="00A8519E" w:rsidRDefault="00EB1DC3" w14:paraId="5DDB9064" w14:textId="77777777">
      <w:pPr>
        <w:jc w:val="center"/>
        <w:rPr>
          <w:rFonts w:eastAsia="Calibri"/>
          <w:sz w:val="20"/>
          <w:szCs w:val="20"/>
        </w:rPr>
      </w:pPr>
      <w:r w:rsidRPr="008A1A45">
        <w:rPr>
          <w:rFonts w:eastAsia="Calibri"/>
          <w:sz w:val="20"/>
          <w:szCs w:val="20"/>
        </w:rPr>
        <w:t xml:space="preserve">Table 3.--Estimated Annual Cost </w:t>
      </w:r>
      <w:r w:rsidRPr="00B47613" w:rsidR="00B47613">
        <w:rPr>
          <w:rFonts w:eastAsia="Calibri"/>
          <w:sz w:val="20"/>
          <w:szCs w:val="20"/>
        </w:rPr>
        <w:t>Burden</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86"/>
        <w:gridCol w:w="1573"/>
        <w:gridCol w:w="1590"/>
        <w:gridCol w:w="1417"/>
        <w:gridCol w:w="1689"/>
      </w:tblGrid>
      <w:tr w:rsidRPr="008A1A45" w:rsidR="00EB1DC3" w:rsidTr="00662749" w14:paraId="56406A52" w14:textId="77777777">
        <w:tc>
          <w:tcPr>
            <w:tcW w:w="3086" w:type="dxa"/>
            <w:shd w:val="clear" w:color="auto" w:fill="auto"/>
          </w:tcPr>
          <w:p w:rsidRPr="008A1A45" w:rsidR="00EB1DC3" w:rsidP="00312622" w:rsidRDefault="00EB1DC3" w14:paraId="4B3F29C3" w14:textId="77777777">
            <w:pPr>
              <w:jc w:val="center"/>
              <w:rPr>
                <w:sz w:val="20"/>
                <w:szCs w:val="20"/>
              </w:rPr>
            </w:pPr>
            <w:r w:rsidRPr="008A1A45">
              <w:rPr>
                <w:sz w:val="20"/>
                <w:szCs w:val="20"/>
              </w:rPr>
              <w:t>Recording Activity</w:t>
            </w:r>
          </w:p>
        </w:tc>
        <w:tc>
          <w:tcPr>
            <w:tcW w:w="1573" w:type="dxa"/>
            <w:shd w:val="clear" w:color="auto" w:fill="auto"/>
          </w:tcPr>
          <w:p w:rsidRPr="008A1A45" w:rsidR="00EB1DC3" w:rsidP="00312622" w:rsidRDefault="00EB1DC3" w14:paraId="51320B16" w14:textId="77777777">
            <w:pPr>
              <w:jc w:val="center"/>
              <w:rPr>
                <w:sz w:val="20"/>
                <w:szCs w:val="20"/>
              </w:rPr>
            </w:pPr>
            <w:r w:rsidRPr="008A1A45">
              <w:rPr>
                <w:sz w:val="20"/>
                <w:szCs w:val="20"/>
              </w:rPr>
              <w:t>Very Small</w:t>
            </w:r>
          </w:p>
        </w:tc>
        <w:tc>
          <w:tcPr>
            <w:tcW w:w="1590" w:type="dxa"/>
            <w:shd w:val="clear" w:color="auto" w:fill="auto"/>
          </w:tcPr>
          <w:p w:rsidRPr="008A1A45" w:rsidR="00EB1DC3" w:rsidP="00312622" w:rsidRDefault="00EB1DC3" w14:paraId="07E01E64" w14:textId="77777777">
            <w:pPr>
              <w:jc w:val="center"/>
              <w:rPr>
                <w:sz w:val="20"/>
                <w:szCs w:val="20"/>
              </w:rPr>
            </w:pPr>
            <w:r w:rsidRPr="008A1A45">
              <w:rPr>
                <w:sz w:val="20"/>
                <w:szCs w:val="20"/>
              </w:rPr>
              <w:t>Small</w:t>
            </w:r>
          </w:p>
        </w:tc>
        <w:tc>
          <w:tcPr>
            <w:tcW w:w="1417" w:type="dxa"/>
          </w:tcPr>
          <w:p w:rsidRPr="008A1A45" w:rsidR="00EB1DC3" w:rsidP="00312622" w:rsidRDefault="00EB1DC3" w14:paraId="3BFA9C2C" w14:textId="77777777">
            <w:pPr>
              <w:jc w:val="center"/>
              <w:rPr>
                <w:sz w:val="20"/>
                <w:szCs w:val="20"/>
              </w:rPr>
            </w:pPr>
            <w:r w:rsidRPr="008A1A45">
              <w:rPr>
                <w:sz w:val="20"/>
                <w:szCs w:val="20"/>
              </w:rPr>
              <w:t>Large</w:t>
            </w:r>
          </w:p>
        </w:tc>
        <w:tc>
          <w:tcPr>
            <w:tcW w:w="1689" w:type="dxa"/>
            <w:shd w:val="clear" w:color="auto" w:fill="auto"/>
          </w:tcPr>
          <w:p w:rsidRPr="008A1A45" w:rsidR="00EB1DC3" w:rsidP="00312622" w:rsidRDefault="00EB1DC3" w14:paraId="18462685" w14:textId="77777777">
            <w:pPr>
              <w:jc w:val="center"/>
              <w:rPr>
                <w:sz w:val="20"/>
                <w:szCs w:val="20"/>
              </w:rPr>
            </w:pPr>
            <w:r w:rsidRPr="008A1A45">
              <w:rPr>
                <w:sz w:val="20"/>
                <w:szCs w:val="20"/>
              </w:rPr>
              <w:t>Total</w:t>
            </w:r>
          </w:p>
        </w:tc>
      </w:tr>
      <w:tr w:rsidRPr="008A1A45" w:rsidR="00EB1DC3" w:rsidTr="00662749" w14:paraId="292D5978" w14:textId="77777777">
        <w:tc>
          <w:tcPr>
            <w:tcW w:w="3086" w:type="dxa"/>
            <w:shd w:val="clear" w:color="auto" w:fill="auto"/>
          </w:tcPr>
          <w:p w:rsidRPr="008A1A45" w:rsidR="00EB1DC3" w:rsidP="00EB1DC3" w:rsidRDefault="00EB1DC3" w14:paraId="0E56003F" w14:textId="2C5C8A80">
            <w:pPr>
              <w:rPr>
                <w:sz w:val="20"/>
                <w:szCs w:val="20"/>
              </w:rPr>
            </w:pPr>
            <w:r w:rsidRPr="008A1A45">
              <w:rPr>
                <w:sz w:val="20"/>
                <w:szCs w:val="20"/>
              </w:rPr>
              <w:t>Qualified exempt farms labeling and</w:t>
            </w:r>
            <w:r w:rsidR="008C70FA">
              <w:rPr>
                <w:sz w:val="20"/>
                <w:szCs w:val="20"/>
              </w:rPr>
              <w:t xml:space="preserve"> </w:t>
            </w:r>
            <w:r w:rsidRPr="008A1A45">
              <w:rPr>
                <w:sz w:val="20"/>
                <w:szCs w:val="20"/>
              </w:rPr>
              <w:t>documentation</w:t>
            </w:r>
          </w:p>
        </w:tc>
        <w:tc>
          <w:tcPr>
            <w:tcW w:w="1573" w:type="dxa"/>
            <w:shd w:val="clear" w:color="auto" w:fill="auto"/>
          </w:tcPr>
          <w:p w:rsidRPr="008A1A45" w:rsidR="00EB1DC3" w:rsidP="008A1A45" w:rsidRDefault="00AE7197" w14:paraId="145423C4" w14:textId="77777777">
            <w:pPr>
              <w:jc w:val="right"/>
              <w:rPr>
                <w:sz w:val="20"/>
                <w:szCs w:val="20"/>
              </w:rPr>
            </w:pPr>
            <w:r w:rsidRPr="008A1A45">
              <w:rPr>
                <w:sz w:val="20"/>
                <w:szCs w:val="20"/>
              </w:rPr>
              <w:t>$5,239</w:t>
            </w:r>
          </w:p>
        </w:tc>
        <w:tc>
          <w:tcPr>
            <w:tcW w:w="1590" w:type="dxa"/>
            <w:shd w:val="clear" w:color="auto" w:fill="auto"/>
          </w:tcPr>
          <w:p w:rsidRPr="008A1A45" w:rsidR="00EB1DC3" w:rsidP="008A1A45" w:rsidRDefault="00AE7197" w14:paraId="7AECE4DB" w14:textId="77777777">
            <w:pPr>
              <w:jc w:val="right"/>
              <w:rPr>
                <w:sz w:val="20"/>
                <w:szCs w:val="20"/>
              </w:rPr>
            </w:pPr>
            <w:r w:rsidRPr="008A1A45">
              <w:rPr>
                <w:sz w:val="20"/>
                <w:szCs w:val="20"/>
              </w:rPr>
              <w:t>$469</w:t>
            </w:r>
          </w:p>
        </w:tc>
        <w:tc>
          <w:tcPr>
            <w:tcW w:w="1417" w:type="dxa"/>
          </w:tcPr>
          <w:p w:rsidRPr="008A1A45" w:rsidR="00EB1DC3" w:rsidP="008A1A45" w:rsidRDefault="00AE7197" w14:paraId="6D14A2F8" w14:textId="77777777">
            <w:pPr>
              <w:jc w:val="right"/>
              <w:rPr>
                <w:sz w:val="20"/>
                <w:szCs w:val="20"/>
              </w:rPr>
            </w:pPr>
            <w:r w:rsidRPr="008A1A45">
              <w:rPr>
                <w:sz w:val="20"/>
                <w:szCs w:val="20"/>
              </w:rPr>
              <w:t>$0</w:t>
            </w:r>
          </w:p>
        </w:tc>
        <w:tc>
          <w:tcPr>
            <w:tcW w:w="1689" w:type="dxa"/>
            <w:shd w:val="clear" w:color="auto" w:fill="auto"/>
          </w:tcPr>
          <w:p w:rsidRPr="008A1A45" w:rsidR="00EB1DC3" w:rsidP="008A1A45" w:rsidRDefault="00AE7197" w14:paraId="4BBCE86C" w14:textId="77777777">
            <w:pPr>
              <w:jc w:val="right"/>
              <w:rPr>
                <w:sz w:val="20"/>
                <w:szCs w:val="20"/>
              </w:rPr>
            </w:pPr>
            <w:r w:rsidRPr="008A1A45">
              <w:rPr>
                <w:sz w:val="20"/>
                <w:szCs w:val="20"/>
              </w:rPr>
              <w:t>$5</w:t>
            </w:r>
            <w:r w:rsidRPr="00B47613" w:rsidR="00B47613">
              <w:rPr>
                <w:sz w:val="20"/>
                <w:szCs w:val="20"/>
              </w:rPr>
              <w:t>,</w:t>
            </w:r>
            <w:r w:rsidRPr="008A1A45">
              <w:rPr>
                <w:sz w:val="20"/>
                <w:szCs w:val="20"/>
              </w:rPr>
              <w:t>70</w:t>
            </w:r>
            <w:r w:rsidRPr="008A1A45" w:rsidR="00F13A9D">
              <w:rPr>
                <w:sz w:val="20"/>
                <w:szCs w:val="20"/>
              </w:rPr>
              <w:t>8</w:t>
            </w:r>
          </w:p>
        </w:tc>
      </w:tr>
      <w:tr w:rsidRPr="008A1A45" w:rsidR="00AE7197" w:rsidTr="00662749" w14:paraId="2208585B" w14:textId="77777777">
        <w:tc>
          <w:tcPr>
            <w:tcW w:w="3086" w:type="dxa"/>
            <w:shd w:val="clear" w:color="auto" w:fill="auto"/>
          </w:tcPr>
          <w:p w:rsidRPr="008A1A45" w:rsidR="00AE7197" w:rsidP="00686A0C" w:rsidRDefault="00AE7197" w14:paraId="3A3F8F8C" w14:textId="770EF5CE">
            <w:pPr>
              <w:autoSpaceDE w:val="0"/>
              <w:autoSpaceDN w:val="0"/>
              <w:adjustRightInd w:val="0"/>
              <w:rPr>
                <w:sz w:val="20"/>
                <w:szCs w:val="20"/>
              </w:rPr>
            </w:pPr>
            <w:r w:rsidRPr="008A1A45">
              <w:rPr>
                <w:sz w:val="20"/>
                <w:szCs w:val="20"/>
              </w:rPr>
              <w:t>Agricultural water</w:t>
            </w:r>
            <w:r w:rsidR="00686A0C">
              <w:rPr>
                <w:sz w:val="20"/>
                <w:szCs w:val="20"/>
              </w:rPr>
              <w:t xml:space="preserve">; </w:t>
            </w:r>
            <w:r w:rsidRPr="008A1A45">
              <w:rPr>
                <w:sz w:val="20"/>
                <w:szCs w:val="20"/>
              </w:rPr>
              <w:t>§ 112.50</w:t>
            </w:r>
          </w:p>
        </w:tc>
        <w:tc>
          <w:tcPr>
            <w:tcW w:w="1573" w:type="dxa"/>
            <w:shd w:val="clear" w:color="auto" w:fill="auto"/>
          </w:tcPr>
          <w:p w:rsidRPr="008A1A45" w:rsidR="00AE7197" w:rsidP="008A1A45" w:rsidRDefault="00AE7197" w14:paraId="3372BFAF" w14:textId="77777777">
            <w:pPr>
              <w:jc w:val="right"/>
              <w:rPr>
                <w:sz w:val="20"/>
                <w:szCs w:val="20"/>
              </w:rPr>
            </w:pPr>
            <w:r w:rsidRPr="008A1A45">
              <w:rPr>
                <w:sz w:val="20"/>
                <w:szCs w:val="20"/>
              </w:rPr>
              <w:t>$4,510</w:t>
            </w:r>
          </w:p>
        </w:tc>
        <w:tc>
          <w:tcPr>
            <w:tcW w:w="1590" w:type="dxa"/>
            <w:shd w:val="clear" w:color="auto" w:fill="auto"/>
          </w:tcPr>
          <w:p w:rsidRPr="008A1A45" w:rsidR="00AE7197" w:rsidP="008A1A45" w:rsidRDefault="00AE7197" w14:paraId="54305D89" w14:textId="77777777">
            <w:pPr>
              <w:jc w:val="right"/>
              <w:rPr>
                <w:sz w:val="20"/>
                <w:szCs w:val="20"/>
              </w:rPr>
            </w:pPr>
            <w:r w:rsidRPr="008A1A45">
              <w:rPr>
                <w:sz w:val="20"/>
                <w:szCs w:val="20"/>
              </w:rPr>
              <w:t>$829</w:t>
            </w:r>
          </w:p>
        </w:tc>
        <w:tc>
          <w:tcPr>
            <w:tcW w:w="1417" w:type="dxa"/>
          </w:tcPr>
          <w:p w:rsidRPr="008A1A45" w:rsidR="00AE7197" w:rsidP="008A1A45" w:rsidRDefault="00AE7197" w14:paraId="5E813D1D" w14:textId="77777777">
            <w:pPr>
              <w:jc w:val="right"/>
              <w:rPr>
                <w:sz w:val="20"/>
                <w:szCs w:val="20"/>
              </w:rPr>
            </w:pPr>
            <w:r w:rsidRPr="008A1A45">
              <w:rPr>
                <w:sz w:val="20"/>
                <w:szCs w:val="20"/>
              </w:rPr>
              <w:t>$1,043</w:t>
            </w:r>
          </w:p>
        </w:tc>
        <w:tc>
          <w:tcPr>
            <w:tcW w:w="1689" w:type="dxa"/>
            <w:shd w:val="clear" w:color="auto" w:fill="auto"/>
          </w:tcPr>
          <w:p w:rsidRPr="008A1A45" w:rsidR="00AE7197" w:rsidP="008A1A45" w:rsidRDefault="00AE7197" w14:paraId="1F127467" w14:textId="77777777">
            <w:pPr>
              <w:jc w:val="right"/>
              <w:rPr>
                <w:sz w:val="20"/>
                <w:szCs w:val="20"/>
              </w:rPr>
            </w:pPr>
            <w:r w:rsidRPr="008A1A45">
              <w:rPr>
                <w:sz w:val="20"/>
                <w:szCs w:val="20"/>
              </w:rPr>
              <w:t>$6,382</w:t>
            </w:r>
          </w:p>
        </w:tc>
      </w:tr>
      <w:tr w:rsidRPr="008A1A45" w:rsidR="00AE7197" w:rsidTr="00662749" w14:paraId="23430C47" w14:textId="77777777">
        <w:tc>
          <w:tcPr>
            <w:tcW w:w="3086" w:type="dxa"/>
            <w:shd w:val="clear" w:color="auto" w:fill="auto"/>
          </w:tcPr>
          <w:p w:rsidRPr="008A1A45" w:rsidR="00AE7197" w:rsidP="00893FF8" w:rsidRDefault="00893FF8" w14:paraId="669CA832" w14:textId="23B4CDB4">
            <w:pPr>
              <w:rPr>
                <w:sz w:val="20"/>
                <w:szCs w:val="20"/>
              </w:rPr>
            </w:pPr>
            <w:r w:rsidRPr="008A1A45">
              <w:rPr>
                <w:sz w:val="20"/>
                <w:szCs w:val="20"/>
              </w:rPr>
              <w:t>Biological soil amendments of animal origin</w:t>
            </w:r>
            <w:r w:rsidR="00686A0C">
              <w:rPr>
                <w:sz w:val="20"/>
                <w:szCs w:val="20"/>
              </w:rPr>
              <w:t xml:space="preserve">; </w:t>
            </w:r>
            <w:r w:rsidRPr="008A1A45">
              <w:rPr>
                <w:sz w:val="20"/>
                <w:szCs w:val="20"/>
              </w:rPr>
              <w:t>§ 112.60</w:t>
            </w:r>
          </w:p>
        </w:tc>
        <w:tc>
          <w:tcPr>
            <w:tcW w:w="1573" w:type="dxa"/>
            <w:shd w:val="clear" w:color="auto" w:fill="auto"/>
          </w:tcPr>
          <w:p w:rsidRPr="008A1A45" w:rsidR="00AE7197" w:rsidP="008A1A45" w:rsidRDefault="00F13A9D" w14:paraId="22ED8552" w14:textId="77777777">
            <w:pPr>
              <w:jc w:val="right"/>
              <w:rPr>
                <w:sz w:val="20"/>
                <w:szCs w:val="20"/>
              </w:rPr>
            </w:pPr>
            <w:r w:rsidRPr="008A1A45">
              <w:rPr>
                <w:sz w:val="20"/>
                <w:szCs w:val="20"/>
              </w:rPr>
              <w:t>$184</w:t>
            </w:r>
          </w:p>
        </w:tc>
        <w:tc>
          <w:tcPr>
            <w:tcW w:w="1590" w:type="dxa"/>
            <w:shd w:val="clear" w:color="auto" w:fill="auto"/>
          </w:tcPr>
          <w:p w:rsidRPr="008A1A45" w:rsidR="00AE7197" w:rsidP="008A1A45" w:rsidRDefault="00F13A9D" w14:paraId="0D2057A2" w14:textId="77777777">
            <w:pPr>
              <w:jc w:val="right"/>
              <w:rPr>
                <w:sz w:val="20"/>
                <w:szCs w:val="20"/>
              </w:rPr>
            </w:pPr>
            <w:r w:rsidRPr="008A1A45">
              <w:rPr>
                <w:sz w:val="20"/>
                <w:szCs w:val="20"/>
              </w:rPr>
              <w:t>$32</w:t>
            </w:r>
          </w:p>
        </w:tc>
        <w:tc>
          <w:tcPr>
            <w:tcW w:w="1417" w:type="dxa"/>
          </w:tcPr>
          <w:p w:rsidRPr="008A1A45" w:rsidR="00AE7197" w:rsidP="008A1A45" w:rsidRDefault="00AE7197" w14:paraId="2CCEA836" w14:textId="77777777">
            <w:pPr>
              <w:jc w:val="right"/>
              <w:rPr>
                <w:sz w:val="20"/>
                <w:szCs w:val="20"/>
              </w:rPr>
            </w:pPr>
            <w:r w:rsidRPr="008A1A45">
              <w:rPr>
                <w:sz w:val="20"/>
                <w:szCs w:val="20"/>
              </w:rPr>
              <w:t>$40</w:t>
            </w:r>
          </w:p>
        </w:tc>
        <w:tc>
          <w:tcPr>
            <w:tcW w:w="1689" w:type="dxa"/>
            <w:shd w:val="clear" w:color="auto" w:fill="auto"/>
          </w:tcPr>
          <w:p w:rsidRPr="008A1A45" w:rsidR="00AE7197" w:rsidP="008A1A45" w:rsidRDefault="00AE7197" w14:paraId="0F17E89A" w14:textId="77777777">
            <w:pPr>
              <w:jc w:val="right"/>
              <w:rPr>
                <w:sz w:val="20"/>
                <w:szCs w:val="20"/>
              </w:rPr>
            </w:pPr>
            <w:r w:rsidRPr="008A1A45">
              <w:rPr>
                <w:sz w:val="20"/>
                <w:szCs w:val="20"/>
              </w:rPr>
              <w:t>$256</w:t>
            </w:r>
          </w:p>
        </w:tc>
      </w:tr>
      <w:tr w:rsidRPr="008A1A45" w:rsidR="00AE7197" w:rsidTr="00662749" w14:paraId="21A0667F" w14:textId="77777777">
        <w:tc>
          <w:tcPr>
            <w:tcW w:w="3086" w:type="dxa"/>
            <w:shd w:val="clear" w:color="auto" w:fill="auto"/>
          </w:tcPr>
          <w:p w:rsidRPr="008A1A45" w:rsidR="00AE7197" w:rsidP="00893FF8" w:rsidRDefault="00893FF8" w14:paraId="0DE50544" w14:textId="1470C67C">
            <w:pPr>
              <w:rPr>
                <w:sz w:val="20"/>
                <w:szCs w:val="20"/>
              </w:rPr>
            </w:pPr>
            <w:r w:rsidRPr="008A1A45">
              <w:rPr>
                <w:sz w:val="20"/>
                <w:szCs w:val="20"/>
              </w:rPr>
              <w:t>Equipment, tools, buildings, and sanitation</w:t>
            </w:r>
            <w:r w:rsidR="00686A0C">
              <w:rPr>
                <w:sz w:val="20"/>
                <w:szCs w:val="20"/>
              </w:rPr>
              <w:t xml:space="preserve">; </w:t>
            </w:r>
            <w:r w:rsidRPr="008A1A45">
              <w:rPr>
                <w:sz w:val="20"/>
                <w:szCs w:val="20"/>
              </w:rPr>
              <w:t>§ 112.140</w:t>
            </w:r>
          </w:p>
        </w:tc>
        <w:tc>
          <w:tcPr>
            <w:tcW w:w="1573" w:type="dxa"/>
            <w:shd w:val="clear" w:color="auto" w:fill="auto"/>
          </w:tcPr>
          <w:p w:rsidRPr="008A1A45" w:rsidR="00AE7197" w:rsidP="008A1A45" w:rsidRDefault="00F13A9D" w14:paraId="2607C032" w14:textId="77777777">
            <w:pPr>
              <w:jc w:val="right"/>
              <w:rPr>
                <w:sz w:val="20"/>
                <w:szCs w:val="20"/>
              </w:rPr>
            </w:pPr>
            <w:r w:rsidRPr="008A1A45">
              <w:rPr>
                <w:sz w:val="20"/>
                <w:szCs w:val="20"/>
              </w:rPr>
              <w:t>$4,829</w:t>
            </w:r>
          </w:p>
        </w:tc>
        <w:tc>
          <w:tcPr>
            <w:tcW w:w="1590" w:type="dxa"/>
            <w:shd w:val="clear" w:color="auto" w:fill="auto"/>
          </w:tcPr>
          <w:p w:rsidRPr="008A1A45" w:rsidR="00AE7197" w:rsidP="008A1A45" w:rsidRDefault="00F13A9D" w14:paraId="12650460" w14:textId="77777777">
            <w:pPr>
              <w:jc w:val="right"/>
              <w:rPr>
                <w:sz w:val="20"/>
                <w:szCs w:val="20"/>
              </w:rPr>
            </w:pPr>
            <w:r w:rsidRPr="008A1A45">
              <w:rPr>
                <w:sz w:val="20"/>
                <w:szCs w:val="20"/>
              </w:rPr>
              <w:t>$2,620</w:t>
            </w:r>
          </w:p>
        </w:tc>
        <w:tc>
          <w:tcPr>
            <w:tcW w:w="1417" w:type="dxa"/>
          </w:tcPr>
          <w:p w:rsidRPr="008A1A45" w:rsidR="00AE7197" w:rsidP="008A1A45" w:rsidRDefault="00AE7197" w14:paraId="486591EB" w14:textId="77777777">
            <w:pPr>
              <w:jc w:val="right"/>
              <w:rPr>
                <w:sz w:val="20"/>
                <w:szCs w:val="20"/>
              </w:rPr>
            </w:pPr>
            <w:r w:rsidRPr="008A1A45">
              <w:rPr>
                <w:sz w:val="20"/>
                <w:szCs w:val="20"/>
              </w:rPr>
              <w:t>$5,492</w:t>
            </w:r>
          </w:p>
        </w:tc>
        <w:tc>
          <w:tcPr>
            <w:tcW w:w="1689" w:type="dxa"/>
            <w:shd w:val="clear" w:color="auto" w:fill="auto"/>
          </w:tcPr>
          <w:p w:rsidRPr="008A1A45" w:rsidR="00AE7197" w:rsidP="008A1A45" w:rsidRDefault="00AE7197" w14:paraId="7B9BC34D" w14:textId="77777777">
            <w:pPr>
              <w:jc w:val="right"/>
              <w:rPr>
                <w:sz w:val="20"/>
                <w:szCs w:val="20"/>
              </w:rPr>
            </w:pPr>
            <w:r w:rsidRPr="008A1A45">
              <w:rPr>
                <w:sz w:val="20"/>
                <w:szCs w:val="20"/>
              </w:rPr>
              <w:t>$12,941</w:t>
            </w:r>
          </w:p>
        </w:tc>
      </w:tr>
      <w:tr w:rsidRPr="008A1A45" w:rsidR="00AE7197" w:rsidTr="00662749" w14:paraId="2D1A5ED2" w14:textId="77777777">
        <w:tc>
          <w:tcPr>
            <w:tcW w:w="3086" w:type="dxa"/>
            <w:shd w:val="clear" w:color="auto" w:fill="auto"/>
          </w:tcPr>
          <w:p w:rsidRPr="008A1A45" w:rsidR="00AE7197" w:rsidP="00893FF8" w:rsidRDefault="00893FF8" w14:paraId="1B9F3030" w14:textId="65CFE6EB">
            <w:pPr>
              <w:rPr>
                <w:sz w:val="20"/>
                <w:szCs w:val="20"/>
              </w:rPr>
            </w:pPr>
            <w:r w:rsidRPr="008A1A45">
              <w:rPr>
                <w:sz w:val="20"/>
                <w:szCs w:val="20"/>
              </w:rPr>
              <w:t>Sprouting operations</w:t>
            </w:r>
            <w:r w:rsidR="00686A0C">
              <w:rPr>
                <w:sz w:val="20"/>
                <w:szCs w:val="20"/>
              </w:rPr>
              <w:t xml:space="preserve">; </w:t>
            </w:r>
            <w:r w:rsidRPr="008A1A45">
              <w:rPr>
                <w:sz w:val="20"/>
                <w:szCs w:val="20"/>
              </w:rPr>
              <w:t>§ 112.150</w:t>
            </w:r>
          </w:p>
        </w:tc>
        <w:tc>
          <w:tcPr>
            <w:tcW w:w="1573" w:type="dxa"/>
            <w:shd w:val="clear" w:color="auto" w:fill="auto"/>
          </w:tcPr>
          <w:p w:rsidRPr="008A1A45" w:rsidR="00AE7197" w:rsidP="008A1A45" w:rsidRDefault="00F13A9D" w14:paraId="45085BA8" w14:textId="77777777">
            <w:pPr>
              <w:jc w:val="right"/>
              <w:rPr>
                <w:sz w:val="20"/>
                <w:szCs w:val="20"/>
              </w:rPr>
            </w:pPr>
            <w:r w:rsidRPr="008A1A45">
              <w:rPr>
                <w:sz w:val="20"/>
                <w:szCs w:val="20"/>
              </w:rPr>
              <w:t>$108</w:t>
            </w:r>
          </w:p>
        </w:tc>
        <w:tc>
          <w:tcPr>
            <w:tcW w:w="1590" w:type="dxa"/>
            <w:shd w:val="clear" w:color="auto" w:fill="auto"/>
          </w:tcPr>
          <w:p w:rsidRPr="008A1A45" w:rsidR="00AE7197" w:rsidP="008A1A45" w:rsidRDefault="00F13A9D" w14:paraId="6CB11B0A" w14:textId="77777777">
            <w:pPr>
              <w:jc w:val="right"/>
              <w:rPr>
                <w:sz w:val="20"/>
                <w:szCs w:val="20"/>
              </w:rPr>
            </w:pPr>
            <w:r w:rsidRPr="008A1A45">
              <w:rPr>
                <w:sz w:val="20"/>
                <w:szCs w:val="20"/>
              </w:rPr>
              <w:t>$109</w:t>
            </w:r>
          </w:p>
        </w:tc>
        <w:tc>
          <w:tcPr>
            <w:tcW w:w="1417" w:type="dxa"/>
          </w:tcPr>
          <w:p w:rsidRPr="008A1A45" w:rsidR="00AE7197" w:rsidP="008A1A45" w:rsidRDefault="00AE7197" w14:paraId="616734C2" w14:textId="77777777">
            <w:pPr>
              <w:jc w:val="right"/>
              <w:rPr>
                <w:sz w:val="20"/>
                <w:szCs w:val="20"/>
              </w:rPr>
            </w:pPr>
            <w:r w:rsidRPr="008A1A45">
              <w:rPr>
                <w:sz w:val="20"/>
                <w:szCs w:val="20"/>
              </w:rPr>
              <w:t>$484</w:t>
            </w:r>
          </w:p>
        </w:tc>
        <w:tc>
          <w:tcPr>
            <w:tcW w:w="1689" w:type="dxa"/>
            <w:shd w:val="clear" w:color="auto" w:fill="auto"/>
          </w:tcPr>
          <w:p w:rsidRPr="008A1A45" w:rsidR="00AE7197" w:rsidP="008A1A45" w:rsidRDefault="00AE7197" w14:paraId="4F5FE67E" w14:textId="77777777">
            <w:pPr>
              <w:jc w:val="right"/>
              <w:rPr>
                <w:sz w:val="20"/>
                <w:szCs w:val="20"/>
              </w:rPr>
            </w:pPr>
            <w:r w:rsidRPr="008A1A45">
              <w:rPr>
                <w:sz w:val="20"/>
                <w:szCs w:val="20"/>
              </w:rPr>
              <w:t>$70</w:t>
            </w:r>
            <w:r w:rsidR="00AD4E90">
              <w:rPr>
                <w:sz w:val="20"/>
                <w:szCs w:val="20"/>
              </w:rPr>
              <w:t>1</w:t>
            </w:r>
          </w:p>
        </w:tc>
      </w:tr>
      <w:tr w:rsidRPr="008A1A45" w:rsidR="00AE7197" w:rsidTr="00662749" w14:paraId="7430A74D" w14:textId="77777777">
        <w:tc>
          <w:tcPr>
            <w:tcW w:w="3086" w:type="dxa"/>
            <w:shd w:val="clear" w:color="auto" w:fill="auto"/>
          </w:tcPr>
          <w:p w:rsidRPr="008A1A45" w:rsidR="00AE7197" w:rsidP="00893FF8" w:rsidRDefault="00893FF8" w14:paraId="0CCB5134" w14:textId="70CD07FB">
            <w:pPr>
              <w:rPr>
                <w:sz w:val="20"/>
                <w:szCs w:val="20"/>
              </w:rPr>
            </w:pPr>
            <w:r w:rsidRPr="008A1A45">
              <w:rPr>
                <w:sz w:val="20"/>
                <w:szCs w:val="20"/>
              </w:rPr>
              <w:t>Training</w:t>
            </w:r>
            <w:r w:rsidR="00686A0C">
              <w:rPr>
                <w:sz w:val="20"/>
                <w:szCs w:val="20"/>
              </w:rPr>
              <w:t xml:space="preserve">; </w:t>
            </w:r>
            <w:r w:rsidRPr="008A1A45">
              <w:rPr>
                <w:sz w:val="20"/>
                <w:szCs w:val="20"/>
              </w:rPr>
              <w:t>§ 112.30</w:t>
            </w:r>
          </w:p>
        </w:tc>
        <w:tc>
          <w:tcPr>
            <w:tcW w:w="1573" w:type="dxa"/>
            <w:shd w:val="clear" w:color="auto" w:fill="auto"/>
          </w:tcPr>
          <w:p w:rsidRPr="008A1A45" w:rsidR="00AE7197" w:rsidP="008A1A45" w:rsidRDefault="00F13A9D" w14:paraId="6EF6FD0C" w14:textId="77777777">
            <w:pPr>
              <w:jc w:val="right"/>
              <w:rPr>
                <w:sz w:val="20"/>
                <w:szCs w:val="20"/>
              </w:rPr>
            </w:pPr>
            <w:r w:rsidRPr="008A1A45">
              <w:rPr>
                <w:sz w:val="20"/>
                <w:szCs w:val="20"/>
              </w:rPr>
              <w:t>$1,069</w:t>
            </w:r>
          </w:p>
        </w:tc>
        <w:tc>
          <w:tcPr>
            <w:tcW w:w="1590" w:type="dxa"/>
            <w:shd w:val="clear" w:color="auto" w:fill="auto"/>
          </w:tcPr>
          <w:p w:rsidRPr="008A1A45" w:rsidR="00AE7197" w:rsidP="008A1A45" w:rsidRDefault="00F13A9D" w14:paraId="1456A84D" w14:textId="77777777">
            <w:pPr>
              <w:jc w:val="right"/>
              <w:rPr>
                <w:sz w:val="20"/>
                <w:szCs w:val="20"/>
              </w:rPr>
            </w:pPr>
            <w:r w:rsidRPr="008A1A45">
              <w:rPr>
                <w:sz w:val="20"/>
                <w:szCs w:val="20"/>
              </w:rPr>
              <w:t>$186</w:t>
            </w:r>
          </w:p>
        </w:tc>
        <w:tc>
          <w:tcPr>
            <w:tcW w:w="1417" w:type="dxa"/>
          </w:tcPr>
          <w:p w:rsidRPr="008A1A45" w:rsidR="00AE7197" w:rsidP="008A1A45" w:rsidRDefault="00AE7197" w14:paraId="5B835E06" w14:textId="77777777">
            <w:pPr>
              <w:jc w:val="right"/>
              <w:rPr>
                <w:sz w:val="20"/>
                <w:szCs w:val="20"/>
              </w:rPr>
            </w:pPr>
            <w:r w:rsidRPr="008A1A45">
              <w:rPr>
                <w:sz w:val="20"/>
                <w:szCs w:val="20"/>
              </w:rPr>
              <w:t>$227</w:t>
            </w:r>
          </w:p>
        </w:tc>
        <w:tc>
          <w:tcPr>
            <w:tcW w:w="1689" w:type="dxa"/>
            <w:shd w:val="clear" w:color="auto" w:fill="auto"/>
          </w:tcPr>
          <w:p w:rsidRPr="008A1A45" w:rsidR="00AE7197" w:rsidP="008A1A45" w:rsidRDefault="00AE7197" w14:paraId="59BAF407" w14:textId="77777777">
            <w:pPr>
              <w:jc w:val="right"/>
              <w:rPr>
                <w:sz w:val="20"/>
                <w:szCs w:val="20"/>
              </w:rPr>
            </w:pPr>
            <w:r w:rsidRPr="008A1A45">
              <w:rPr>
                <w:sz w:val="20"/>
                <w:szCs w:val="20"/>
              </w:rPr>
              <w:t>$1,482</w:t>
            </w:r>
          </w:p>
        </w:tc>
      </w:tr>
      <w:tr w:rsidRPr="008A1A45" w:rsidR="00AE7197" w:rsidTr="00662749" w14:paraId="6D4281C3" w14:textId="77777777">
        <w:tc>
          <w:tcPr>
            <w:tcW w:w="3086" w:type="dxa"/>
            <w:shd w:val="clear" w:color="auto" w:fill="auto"/>
          </w:tcPr>
          <w:p w:rsidRPr="008A1A45" w:rsidR="00AE7197" w:rsidP="00893FF8" w:rsidRDefault="00893FF8" w14:paraId="5565379D" w14:textId="3C066D22">
            <w:pPr>
              <w:rPr>
                <w:sz w:val="20"/>
                <w:szCs w:val="20"/>
              </w:rPr>
            </w:pPr>
            <w:r w:rsidRPr="008A1A45">
              <w:rPr>
                <w:sz w:val="20"/>
                <w:szCs w:val="20"/>
              </w:rPr>
              <w:t>Documentation relating to commercial</w:t>
            </w:r>
            <w:r w:rsidR="00686A0C">
              <w:rPr>
                <w:sz w:val="20"/>
                <w:szCs w:val="20"/>
              </w:rPr>
              <w:t xml:space="preserve"> </w:t>
            </w:r>
            <w:r w:rsidRPr="008A1A45">
              <w:rPr>
                <w:sz w:val="20"/>
                <w:szCs w:val="20"/>
              </w:rPr>
              <w:t>processing</w:t>
            </w:r>
          </w:p>
        </w:tc>
        <w:tc>
          <w:tcPr>
            <w:tcW w:w="1573" w:type="dxa"/>
            <w:shd w:val="clear" w:color="auto" w:fill="auto"/>
          </w:tcPr>
          <w:p w:rsidRPr="008A1A45" w:rsidR="00AE7197" w:rsidP="008A1A45" w:rsidRDefault="00F13A9D" w14:paraId="27136DC9" w14:textId="77777777">
            <w:pPr>
              <w:jc w:val="right"/>
              <w:rPr>
                <w:sz w:val="20"/>
                <w:szCs w:val="20"/>
              </w:rPr>
            </w:pPr>
            <w:r w:rsidRPr="008A1A45">
              <w:rPr>
                <w:sz w:val="20"/>
                <w:szCs w:val="20"/>
              </w:rPr>
              <w:t>$13</w:t>
            </w:r>
          </w:p>
        </w:tc>
        <w:tc>
          <w:tcPr>
            <w:tcW w:w="1590" w:type="dxa"/>
            <w:shd w:val="clear" w:color="auto" w:fill="auto"/>
          </w:tcPr>
          <w:p w:rsidRPr="008A1A45" w:rsidR="00AE7197" w:rsidP="008A1A45" w:rsidRDefault="00F13A9D" w14:paraId="2F677324" w14:textId="77777777">
            <w:pPr>
              <w:jc w:val="right"/>
              <w:rPr>
                <w:sz w:val="20"/>
                <w:szCs w:val="20"/>
              </w:rPr>
            </w:pPr>
            <w:r w:rsidRPr="008A1A45">
              <w:rPr>
                <w:sz w:val="20"/>
                <w:szCs w:val="20"/>
              </w:rPr>
              <w:t>$3</w:t>
            </w:r>
          </w:p>
        </w:tc>
        <w:tc>
          <w:tcPr>
            <w:tcW w:w="1417" w:type="dxa"/>
          </w:tcPr>
          <w:p w:rsidRPr="008A1A45" w:rsidR="00AE7197" w:rsidP="008A1A45" w:rsidRDefault="00AE7197" w14:paraId="2EB8EB9E" w14:textId="77777777">
            <w:pPr>
              <w:jc w:val="right"/>
              <w:rPr>
                <w:sz w:val="20"/>
                <w:szCs w:val="20"/>
              </w:rPr>
            </w:pPr>
            <w:r w:rsidRPr="008A1A45">
              <w:rPr>
                <w:sz w:val="20"/>
                <w:szCs w:val="20"/>
              </w:rPr>
              <w:t>$3</w:t>
            </w:r>
          </w:p>
        </w:tc>
        <w:tc>
          <w:tcPr>
            <w:tcW w:w="1689" w:type="dxa"/>
            <w:shd w:val="clear" w:color="auto" w:fill="auto"/>
          </w:tcPr>
          <w:p w:rsidRPr="008A1A45" w:rsidR="00AE7197" w:rsidP="008A1A45" w:rsidRDefault="00AE7197" w14:paraId="0733E771" w14:textId="77777777">
            <w:pPr>
              <w:jc w:val="right"/>
              <w:rPr>
                <w:sz w:val="20"/>
                <w:szCs w:val="20"/>
              </w:rPr>
            </w:pPr>
            <w:r w:rsidRPr="008A1A45">
              <w:rPr>
                <w:sz w:val="20"/>
                <w:szCs w:val="20"/>
              </w:rPr>
              <w:t>$1</w:t>
            </w:r>
            <w:r w:rsidR="007B6DB5">
              <w:rPr>
                <w:sz w:val="20"/>
                <w:szCs w:val="20"/>
              </w:rPr>
              <w:t>9</w:t>
            </w:r>
          </w:p>
        </w:tc>
      </w:tr>
      <w:tr w:rsidRPr="008A1A45" w:rsidR="00AE7197" w:rsidTr="00662749" w14:paraId="105D696C" w14:textId="77777777">
        <w:tc>
          <w:tcPr>
            <w:tcW w:w="3086" w:type="dxa"/>
            <w:shd w:val="clear" w:color="auto" w:fill="auto"/>
          </w:tcPr>
          <w:p w:rsidRPr="008A1A45" w:rsidR="00AE7197" w:rsidP="00AE7197" w:rsidRDefault="00AE7197" w14:paraId="2B78FA05" w14:textId="3A22683B">
            <w:pPr>
              <w:rPr>
                <w:sz w:val="20"/>
                <w:szCs w:val="20"/>
              </w:rPr>
            </w:pPr>
            <w:r w:rsidRPr="008A1A45">
              <w:rPr>
                <w:sz w:val="20"/>
                <w:szCs w:val="20"/>
              </w:rPr>
              <w:t>T</w:t>
            </w:r>
            <w:r w:rsidR="00686A0C">
              <w:rPr>
                <w:sz w:val="20"/>
                <w:szCs w:val="20"/>
              </w:rPr>
              <w:t>OTAL</w:t>
            </w:r>
          </w:p>
        </w:tc>
        <w:tc>
          <w:tcPr>
            <w:tcW w:w="1573" w:type="dxa"/>
            <w:shd w:val="clear" w:color="auto" w:fill="auto"/>
          </w:tcPr>
          <w:p w:rsidRPr="008A1A45" w:rsidR="00AE7197" w:rsidP="008A1A45" w:rsidRDefault="00AE7197" w14:paraId="5B1C661C" w14:textId="77777777">
            <w:pPr>
              <w:jc w:val="right"/>
              <w:rPr>
                <w:sz w:val="20"/>
                <w:szCs w:val="20"/>
              </w:rPr>
            </w:pPr>
            <w:r w:rsidRPr="008A1A45">
              <w:rPr>
                <w:sz w:val="20"/>
                <w:szCs w:val="20"/>
              </w:rPr>
              <w:t>$15,</w:t>
            </w:r>
            <w:r w:rsidRPr="008A1A45" w:rsidR="00F13A9D">
              <w:rPr>
                <w:sz w:val="20"/>
                <w:szCs w:val="20"/>
              </w:rPr>
              <w:t>952</w:t>
            </w:r>
          </w:p>
        </w:tc>
        <w:tc>
          <w:tcPr>
            <w:tcW w:w="1590" w:type="dxa"/>
            <w:shd w:val="clear" w:color="auto" w:fill="auto"/>
          </w:tcPr>
          <w:p w:rsidRPr="008A1A45" w:rsidR="00AE7197" w:rsidP="008A1A45" w:rsidRDefault="00AE7197" w14:paraId="6B862745" w14:textId="77777777">
            <w:pPr>
              <w:jc w:val="right"/>
              <w:rPr>
                <w:sz w:val="20"/>
                <w:szCs w:val="20"/>
              </w:rPr>
            </w:pPr>
            <w:r w:rsidRPr="008A1A45">
              <w:rPr>
                <w:sz w:val="20"/>
                <w:szCs w:val="20"/>
              </w:rPr>
              <w:t>$4,24</w:t>
            </w:r>
            <w:r w:rsidRPr="008A1A45" w:rsidR="00F13A9D">
              <w:rPr>
                <w:sz w:val="20"/>
                <w:szCs w:val="20"/>
              </w:rPr>
              <w:t>8</w:t>
            </w:r>
          </w:p>
        </w:tc>
        <w:tc>
          <w:tcPr>
            <w:tcW w:w="1417" w:type="dxa"/>
          </w:tcPr>
          <w:p w:rsidRPr="008A1A45" w:rsidR="00AE7197" w:rsidP="008A1A45" w:rsidRDefault="00AE7197" w14:paraId="149D7FE0" w14:textId="77777777">
            <w:pPr>
              <w:jc w:val="right"/>
              <w:rPr>
                <w:sz w:val="20"/>
                <w:szCs w:val="20"/>
              </w:rPr>
            </w:pPr>
            <w:r w:rsidRPr="008A1A45">
              <w:rPr>
                <w:sz w:val="20"/>
                <w:szCs w:val="20"/>
              </w:rPr>
              <w:t>$7,2</w:t>
            </w:r>
            <w:r w:rsidRPr="008A1A45" w:rsidR="00F13A9D">
              <w:rPr>
                <w:sz w:val="20"/>
                <w:szCs w:val="20"/>
              </w:rPr>
              <w:t>89</w:t>
            </w:r>
          </w:p>
        </w:tc>
        <w:tc>
          <w:tcPr>
            <w:tcW w:w="1689" w:type="dxa"/>
            <w:shd w:val="clear" w:color="auto" w:fill="auto"/>
          </w:tcPr>
          <w:p w:rsidRPr="008A1A45" w:rsidR="00AE7197" w:rsidP="008A1A45" w:rsidRDefault="00AE7197" w14:paraId="793F66F3" w14:textId="77777777">
            <w:pPr>
              <w:jc w:val="right"/>
              <w:rPr>
                <w:sz w:val="20"/>
                <w:szCs w:val="20"/>
              </w:rPr>
            </w:pPr>
            <w:r w:rsidRPr="008A1A45">
              <w:rPr>
                <w:sz w:val="20"/>
                <w:szCs w:val="20"/>
              </w:rPr>
              <w:t>$27,4</w:t>
            </w:r>
            <w:r w:rsidRPr="008A1A45" w:rsidR="00F13A9D">
              <w:rPr>
                <w:sz w:val="20"/>
                <w:szCs w:val="20"/>
              </w:rPr>
              <w:t>89</w:t>
            </w:r>
          </w:p>
        </w:tc>
      </w:tr>
    </w:tbl>
    <w:p w:rsidRPr="00357C8A" w:rsidR="00357C8A" w:rsidP="00357C8A" w:rsidRDefault="00357C8A" w14:paraId="6AA2127F" w14:textId="77777777">
      <w:pPr>
        <w:rPr>
          <w:rFonts w:eastAsia="Calibri"/>
        </w:rPr>
      </w:pPr>
    </w:p>
    <w:p w:rsidRPr="00357C8A" w:rsidR="00357C8A" w:rsidP="006705EA" w:rsidRDefault="00357C8A" w14:paraId="66AC902A"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57956" w:rsidRDefault="00F13A9D" w14:paraId="05238908" w14:textId="7EA4AEF3">
      <w:pPr>
        <w:rPr>
          <w:rFonts w:eastAsia="Calibri"/>
        </w:rPr>
      </w:pPr>
      <w:r w:rsidRPr="00F13A9D">
        <w:rPr>
          <w:rFonts w:eastAsia="Calibri"/>
        </w:rPr>
        <w:t>There are no other costs associated with the information collection.</w:t>
      </w:r>
    </w:p>
    <w:p w:rsidR="00257956" w:rsidP="00257956" w:rsidRDefault="00257956" w14:paraId="3F4CAF5B" w14:textId="77777777">
      <w:pPr>
        <w:rPr>
          <w:rFonts w:eastAsia="Calibri"/>
          <w:u w:val="single"/>
        </w:rPr>
      </w:pPr>
    </w:p>
    <w:p w:rsidRPr="00357C8A" w:rsidR="00357C8A" w:rsidP="006705EA" w:rsidRDefault="00357C8A" w14:paraId="7BEFF96A"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P="00AC4BAD" w:rsidRDefault="00484D9F" w14:paraId="40406306" w14:textId="53317855">
      <w:pPr>
        <w:autoSpaceDE w:val="0"/>
        <w:autoSpaceDN w:val="0"/>
        <w:adjustRightInd w:val="0"/>
      </w:pPr>
      <w:r>
        <w:t xml:space="preserve">The information collection is administered through </w:t>
      </w:r>
      <w:r w:rsidRPr="008A1A45" w:rsidR="00F13A9D">
        <w:t xml:space="preserve">existing resource allocations. </w:t>
      </w:r>
      <w:r w:rsidRPr="008A1A45" w:rsidR="00257956">
        <w:t xml:space="preserve"> </w:t>
      </w:r>
      <w:r w:rsidRPr="008A1A45" w:rsidR="00F13A9D">
        <w:t>Therefore, we estimate</w:t>
      </w:r>
      <w:r w:rsidR="009516AC">
        <w:t xml:space="preserve"> </w:t>
      </w:r>
      <w:r w:rsidRPr="008A1A45" w:rsidR="00F13A9D">
        <w:t xml:space="preserve">no </w:t>
      </w:r>
      <w:r w:rsidR="00DA7216">
        <w:t xml:space="preserve">annualized </w:t>
      </w:r>
      <w:r w:rsidRPr="008A1A45" w:rsidR="00F13A9D">
        <w:t>cost to the Federal government</w:t>
      </w:r>
      <w:r>
        <w:t>.</w:t>
      </w:r>
    </w:p>
    <w:p w:rsidRPr="00357C8A" w:rsidR="009516AC" w:rsidP="008A1A45" w:rsidRDefault="009516AC" w14:paraId="0123BF6A" w14:textId="77777777">
      <w:pPr>
        <w:autoSpaceDE w:val="0"/>
        <w:autoSpaceDN w:val="0"/>
        <w:adjustRightInd w:val="0"/>
        <w:rPr>
          <w:rFonts w:eastAsia="Calibri"/>
        </w:rPr>
      </w:pPr>
    </w:p>
    <w:p w:rsidR="00357C8A" w:rsidP="006705EA" w:rsidRDefault="00357C8A" w14:paraId="5372FE01"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4E71B9" w:rsidR="00357C8A" w:rsidP="00257956" w:rsidRDefault="00257956" w14:paraId="7D87448D" w14:textId="772ACC69">
      <w:pPr>
        <w:rPr>
          <w:rFonts w:eastAsia="Calibri"/>
          <w:color w:val="000000"/>
        </w:rPr>
      </w:pPr>
      <w:r w:rsidRPr="00AC3FEA">
        <w:rPr>
          <w:rFonts w:eastAsia="Calibri"/>
        </w:rPr>
        <w:t xml:space="preserve">Based on </w:t>
      </w:r>
      <w:r w:rsidR="00A77FB9">
        <w:rPr>
          <w:rFonts w:eastAsia="Calibri"/>
        </w:rPr>
        <w:t xml:space="preserve">our evaluation of the information collection since </w:t>
      </w:r>
      <w:r w:rsidR="00EB1712">
        <w:rPr>
          <w:rFonts w:eastAsia="Calibri"/>
        </w:rPr>
        <w:t xml:space="preserve">OMB’s last review and approval, we </w:t>
      </w:r>
      <w:r w:rsidRPr="00AC3FEA">
        <w:rPr>
          <w:rFonts w:eastAsia="Calibri"/>
        </w:rPr>
        <w:t>have made no adjustment</w:t>
      </w:r>
      <w:r w:rsidR="00EB1712">
        <w:rPr>
          <w:rFonts w:eastAsia="Calibri"/>
        </w:rPr>
        <w:t xml:space="preserve"> to the currently approved </w:t>
      </w:r>
      <w:r w:rsidR="0068545D">
        <w:rPr>
          <w:rFonts w:eastAsia="Calibri"/>
        </w:rPr>
        <w:t xml:space="preserve">burden </w:t>
      </w:r>
      <w:r w:rsidRPr="00AC3FEA">
        <w:rPr>
          <w:rFonts w:eastAsia="Calibri"/>
        </w:rPr>
        <w:t>estimate.</w:t>
      </w:r>
      <w:r w:rsidR="00E723B3">
        <w:rPr>
          <w:rFonts w:eastAsia="Calibri"/>
        </w:rPr>
        <w:t xml:space="preserve">  We have removed costs</w:t>
      </w:r>
      <w:r w:rsidR="00E82F4B">
        <w:rPr>
          <w:rFonts w:eastAsia="Calibri"/>
        </w:rPr>
        <w:t xml:space="preserve"> previously </w:t>
      </w:r>
      <w:r w:rsidR="003B0F58">
        <w:rPr>
          <w:rFonts w:eastAsia="Calibri"/>
        </w:rPr>
        <w:t xml:space="preserve">reflected in our last submission </w:t>
      </w:r>
      <w:r w:rsidR="00780CA0">
        <w:rPr>
          <w:rFonts w:eastAsia="Calibri"/>
        </w:rPr>
        <w:t xml:space="preserve">under </w:t>
      </w:r>
      <w:r w:rsidR="003B0F58">
        <w:rPr>
          <w:rFonts w:eastAsia="Calibri"/>
        </w:rPr>
        <w:t>Question 12.a</w:t>
      </w:r>
      <w:r w:rsidR="00E723B3">
        <w:rPr>
          <w:rFonts w:eastAsia="Calibri"/>
        </w:rPr>
        <w:t xml:space="preserve">, </w:t>
      </w:r>
      <w:r w:rsidR="00780CA0">
        <w:rPr>
          <w:rFonts w:eastAsia="Calibri"/>
        </w:rPr>
        <w:t xml:space="preserve">as we </w:t>
      </w:r>
      <w:r w:rsidR="00E723B3">
        <w:rPr>
          <w:rFonts w:eastAsia="Calibri"/>
        </w:rPr>
        <w:t xml:space="preserve">account for </w:t>
      </w:r>
      <w:r w:rsidR="00780CA0">
        <w:rPr>
          <w:rFonts w:eastAsia="Calibri"/>
        </w:rPr>
        <w:t xml:space="preserve">annualized costs </w:t>
      </w:r>
      <w:r w:rsidR="00E723B3">
        <w:rPr>
          <w:rFonts w:eastAsia="Calibri"/>
        </w:rPr>
        <w:t>under</w:t>
      </w:r>
      <w:r w:rsidR="00E82F4B">
        <w:rPr>
          <w:rFonts w:eastAsia="Calibri"/>
        </w:rPr>
        <w:t xml:space="preserve"> Question 12.b.</w:t>
      </w:r>
    </w:p>
    <w:p w:rsidRPr="004E71B9" w:rsidR="00257956" w:rsidP="00257956" w:rsidRDefault="00257956" w14:paraId="495DD8DF" w14:textId="77777777">
      <w:pPr>
        <w:rPr>
          <w:rFonts w:eastAsia="Calibri"/>
          <w:color w:val="000000"/>
        </w:rPr>
      </w:pPr>
    </w:p>
    <w:p w:rsidRPr="00357C8A" w:rsidR="00357C8A" w:rsidP="006705EA" w:rsidRDefault="00357C8A" w14:paraId="3055C266"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Pr="004E71B9" w:rsidR="00357C8A" w:rsidP="00357C8A" w:rsidRDefault="0050163C" w14:paraId="650F7F4C" w14:textId="77777777">
      <w:pPr>
        <w:spacing w:after="200"/>
        <w:rPr>
          <w:rFonts w:eastAsia="Calibri"/>
          <w:color w:val="000000"/>
        </w:rPr>
      </w:pPr>
      <w:r w:rsidRPr="0050163C">
        <w:t>No tabulation of data resulting from this information collection is planned or anticipated.</w:t>
      </w:r>
    </w:p>
    <w:p w:rsidRPr="00357C8A" w:rsidR="00357C8A" w:rsidP="006705EA" w:rsidRDefault="00357C8A" w14:paraId="1E9361F3" w14:textId="30E8CD3D">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Pr="004E71B9" w:rsidR="00357C8A" w:rsidP="00357C8A" w:rsidRDefault="00AE0D9E" w14:paraId="17216ADE" w14:textId="3C3B5DEE">
      <w:pPr>
        <w:spacing w:after="200"/>
        <w:rPr>
          <w:rFonts w:eastAsia="Calibri"/>
          <w:color w:val="000000"/>
        </w:rPr>
      </w:pPr>
      <w:r w:rsidRPr="00744525">
        <w:rPr>
          <w:rFonts w:eastAsia="Calibri"/>
        </w:rPr>
        <w:t>Consistent with established practice</w:t>
      </w:r>
      <w:r>
        <w:rPr>
          <w:rFonts w:eastAsia="Calibri"/>
        </w:rPr>
        <w:t>,</w:t>
      </w:r>
      <w:r w:rsidRPr="00744525">
        <w:rPr>
          <w:rFonts w:eastAsia="Calibri"/>
        </w:rPr>
        <w:t xml:space="preserve"> </w:t>
      </w:r>
      <w:r>
        <w:rPr>
          <w:rFonts w:eastAsia="Calibri"/>
        </w:rPr>
        <w:t xml:space="preserve">once these draft guidance documents are finalized, </w:t>
      </w:r>
      <w:r w:rsidRPr="00744525">
        <w:rPr>
          <w:rFonts w:eastAsia="Calibri"/>
        </w:rPr>
        <w:t xml:space="preserve">FDA will publish a </w:t>
      </w:r>
      <w:r w:rsidRPr="00744525">
        <w:rPr>
          <w:rFonts w:eastAsia="Calibri"/>
          <w:i/>
          <w:iCs/>
        </w:rPr>
        <w:t>Federal Register</w:t>
      </w:r>
      <w:r w:rsidRPr="00744525">
        <w:rPr>
          <w:rFonts w:eastAsia="Calibri"/>
        </w:rPr>
        <w:t xml:space="preserve"> notice announcing OMB approval of the information collection associated with </w:t>
      </w:r>
      <w:r>
        <w:rPr>
          <w:rFonts w:eastAsia="Calibri"/>
        </w:rPr>
        <w:t>the finalized</w:t>
      </w:r>
      <w:r w:rsidRPr="00744525">
        <w:rPr>
          <w:rFonts w:eastAsia="Calibri"/>
        </w:rPr>
        <w:t xml:space="preserve"> guidance document</w:t>
      </w:r>
      <w:r>
        <w:rPr>
          <w:rFonts w:eastAsia="Calibri"/>
        </w:rPr>
        <w:t>s</w:t>
      </w:r>
      <w:r w:rsidRPr="00744525">
        <w:rPr>
          <w:rFonts w:eastAsia="Calibri"/>
        </w:rPr>
        <w:t xml:space="preserve"> and will display in that notice both the OMB control number and its current expiration date. </w:t>
      </w:r>
      <w:r>
        <w:rPr>
          <w:rFonts w:eastAsia="Calibri"/>
        </w:rPr>
        <w:t xml:space="preserve"> </w:t>
      </w:r>
      <w:r w:rsidRPr="00744525">
        <w:rPr>
          <w:rFonts w:eastAsia="Calibri"/>
        </w:rPr>
        <w:t xml:space="preserve">In addition, the OMB control number will be displayed on </w:t>
      </w:r>
      <w:r>
        <w:rPr>
          <w:rFonts w:eastAsia="Calibri"/>
        </w:rPr>
        <w:t>each</w:t>
      </w:r>
      <w:r w:rsidRPr="00744525">
        <w:rPr>
          <w:rFonts w:eastAsia="Calibri"/>
        </w:rPr>
        <w:t xml:space="preserve"> </w:t>
      </w:r>
      <w:r>
        <w:rPr>
          <w:rFonts w:eastAsia="Calibri"/>
        </w:rPr>
        <w:t xml:space="preserve">finalized </w:t>
      </w:r>
      <w:r w:rsidRPr="00744525">
        <w:rPr>
          <w:rFonts w:eastAsia="Calibri"/>
        </w:rPr>
        <w:t xml:space="preserve">guidance document cover page and include a link to </w:t>
      </w:r>
      <w:hyperlink w:history="1" r:id="rId9">
        <w:r w:rsidRPr="00257956">
          <w:rPr>
            <w:rStyle w:val="Hyperlink"/>
            <w:rFonts w:eastAsia="Calibri"/>
          </w:rPr>
          <w:t>www.reginfo.gov</w:t>
        </w:r>
      </w:hyperlink>
      <w:r w:rsidRPr="00744525">
        <w:rPr>
          <w:rFonts w:eastAsia="Calibri"/>
        </w:rPr>
        <w:t xml:space="preserve"> to identify the current expiration date.</w:t>
      </w:r>
    </w:p>
    <w:p w:rsidRPr="00357C8A" w:rsidR="00357C8A" w:rsidP="006705EA" w:rsidRDefault="00357C8A" w14:paraId="780D73FA"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C20690" w:rsidR="00544138" w:rsidP="00A8519E" w:rsidRDefault="00A8519E" w14:paraId="372739E7" w14:textId="77777777">
      <w:pPr>
        <w:spacing w:after="200"/>
        <w:rPr>
          <w:rFonts w:eastAsia="Calibri"/>
        </w:rPr>
      </w:pPr>
      <w:r w:rsidRPr="00A8519E">
        <w:rPr>
          <w:rFonts w:eastAsia="Calibri"/>
        </w:rPr>
        <w:t>There are no exceptions to the certification.</w:t>
      </w:r>
    </w:p>
    <w:sectPr w:rsidRPr="00C20690" w:rsidR="00544138" w:rsidSect="00D24431">
      <w:footerReference w:type="even" r:id="rId10"/>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52B2F" w14:textId="77777777" w:rsidR="00C301A1" w:rsidRDefault="00C301A1">
      <w:r>
        <w:separator/>
      </w:r>
    </w:p>
  </w:endnote>
  <w:endnote w:type="continuationSeparator" w:id="0">
    <w:p w14:paraId="33047253" w14:textId="77777777" w:rsidR="00C301A1" w:rsidRDefault="00C301A1">
      <w:r>
        <w:continuationSeparator/>
      </w:r>
    </w:p>
  </w:endnote>
  <w:endnote w:type="continuationNotice" w:id="1">
    <w:p w14:paraId="1919665D" w14:textId="77777777" w:rsidR="00C301A1" w:rsidRDefault="00C301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BFC5"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42A7CF"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92159"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174126A8"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14725" w14:textId="77777777" w:rsidR="00C301A1" w:rsidRDefault="00C301A1">
      <w:r>
        <w:separator/>
      </w:r>
    </w:p>
  </w:footnote>
  <w:footnote w:type="continuationSeparator" w:id="0">
    <w:p w14:paraId="68F14C1D" w14:textId="77777777" w:rsidR="00C301A1" w:rsidRDefault="00C301A1">
      <w:r>
        <w:continuationSeparator/>
      </w:r>
    </w:p>
  </w:footnote>
  <w:footnote w:type="continuationNotice" w:id="1">
    <w:p w14:paraId="3CC445A2" w14:textId="77777777" w:rsidR="00C301A1" w:rsidRDefault="00C301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48E9"/>
    <w:multiLevelType w:val="hybridMultilevel"/>
    <w:tmpl w:val="7B26CDDE"/>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284303D"/>
    <w:multiLevelType w:val="hybridMultilevel"/>
    <w:tmpl w:val="8696C6C4"/>
    <w:lvl w:ilvl="0" w:tplc="D5DAA564">
      <w:numFmt w:val="bullet"/>
      <w:lvlText w:val=""/>
      <w:lvlJc w:val="left"/>
      <w:pPr>
        <w:ind w:left="720" w:hanging="360"/>
      </w:pPr>
      <w:rPr>
        <w:rFonts w:ascii="MS Mincho" w:eastAsia="MS Mincho" w:hAnsi="MS Mincho" w:cs="Times New Roman" w:hint="eastAsia"/>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AE38AF"/>
    <w:multiLevelType w:val="hybridMultilevel"/>
    <w:tmpl w:val="B4607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2"/>
  </w:num>
  <w:num w:numId="3">
    <w:abstractNumId w:val="9"/>
  </w:num>
  <w:num w:numId="4">
    <w:abstractNumId w:val="5"/>
  </w:num>
  <w:num w:numId="5">
    <w:abstractNumId w:val="10"/>
  </w:num>
  <w:num w:numId="6">
    <w:abstractNumId w:val="1"/>
  </w:num>
  <w:num w:numId="7">
    <w:abstractNumId w:val="3"/>
  </w:num>
  <w:num w:numId="8">
    <w:abstractNumId w:val="6"/>
  </w:num>
  <w:num w:numId="9">
    <w:abstractNumId w:val="7"/>
  </w:num>
  <w:num w:numId="10">
    <w:abstractNumId w:val="4"/>
  </w:num>
  <w:num w:numId="1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22843"/>
    <w:rsid w:val="00031A2C"/>
    <w:rsid w:val="00042AAE"/>
    <w:rsid w:val="00042B93"/>
    <w:rsid w:val="00043370"/>
    <w:rsid w:val="00043C7F"/>
    <w:rsid w:val="000467A8"/>
    <w:rsid w:val="00061DCB"/>
    <w:rsid w:val="0006570F"/>
    <w:rsid w:val="00075DE8"/>
    <w:rsid w:val="00087439"/>
    <w:rsid w:val="000C1260"/>
    <w:rsid w:val="000C560C"/>
    <w:rsid w:val="000D080B"/>
    <w:rsid w:val="000D3397"/>
    <w:rsid w:val="000D48FD"/>
    <w:rsid w:val="000D79CC"/>
    <w:rsid w:val="000E1C64"/>
    <w:rsid w:val="000F7119"/>
    <w:rsid w:val="00100739"/>
    <w:rsid w:val="0010493E"/>
    <w:rsid w:val="001075D3"/>
    <w:rsid w:val="00107885"/>
    <w:rsid w:val="00114FC4"/>
    <w:rsid w:val="0012329C"/>
    <w:rsid w:val="0012367C"/>
    <w:rsid w:val="00134FA7"/>
    <w:rsid w:val="00137950"/>
    <w:rsid w:val="00152F29"/>
    <w:rsid w:val="00156DBF"/>
    <w:rsid w:val="00171ED7"/>
    <w:rsid w:val="00174D54"/>
    <w:rsid w:val="0017702C"/>
    <w:rsid w:val="00185270"/>
    <w:rsid w:val="00186171"/>
    <w:rsid w:val="001A3B5A"/>
    <w:rsid w:val="001A458C"/>
    <w:rsid w:val="001B7CE9"/>
    <w:rsid w:val="001D495A"/>
    <w:rsid w:val="001E244C"/>
    <w:rsid w:val="001F1437"/>
    <w:rsid w:val="00206799"/>
    <w:rsid w:val="002074FE"/>
    <w:rsid w:val="0022425B"/>
    <w:rsid w:val="002259EF"/>
    <w:rsid w:val="00242ED1"/>
    <w:rsid w:val="002444BB"/>
    <w:rsid w:val="00254069"/>
    <w:rsid w:val="00257956"/>
    <w:rsid w:val="00270748"/>
    <w:rsid w:val="002734E5"/>
    <w:rsid w:val="002746DB"/>
    <w:rsid w:val="00280CAF"/>
    <w:rsid w:val="00282F09"/>
    <w:rsid w:val="00291810"/>
    <w:rsid w:val="00294D62"/>
    <w:rsid w:val="00297532"/>
    <w:rsid w:val="00297FFD"/>
    <w:rsid w:val="002A1210"/>
    <w:rsid w:val="002A47D2"/>
    <w:rsid w:val="002A7FB5"/>
    <w:rsid w:val="002B2074"/>
    <w:rsid w:val="002C11C0"/>
    <w:rsid w:val="002D14D8"/>
    <w:rsid w:val="002D4799"/>
    <w:rsid w:val="002D5817"/>
    <w:rsid w:val="002E3FA4"/>
    <w:rsid w:val="002E53A5"/>
    <w:rsid w:val="002E64B8"/>
    <w:rsid w:val="002E6834"/>
    <w:rsid w:val="003113FF"/>
    <w:rsid w:val="00312622"/>
    <w:rsid w:val="0032277F"/>
    <w:rsid w:val="00336B69"/>
    <w:rsid w:val="0034121F"/>
    <w:rsid w:val="0034302B"/>
    <w:rsid w:val="00343BDD"/>
    <w:rsid w:val="00347402"/>
    <w:rsid w:val="00350523"/>
    <w:rsid w:val="0035189D"/>
    <w:rsid w:val="00355B62"/>
    <w:rsid w:val="00357C8A"/>
    <w:rsid w:val="00372C9A"/>
    <w:rsid w:val="003740BC"/>
    <w:rsid w:val="0037456B"/>
    <w:rsid w:val="003801A3"/>
    <w:rsid w:val="00383D90"/>
    <w:rsid w:val="003870AE"/>
    <w:rsid w:val="003A1A27"/>
    <w:rsid w:val="003A50CC"/>
    <w:rsid w:val="003A6235"/>
    <w:rsid w:val="003B0F58"/>
    <w:rsid w:val="003B42B3"/>
    <w:rsid w:val="003B6384"/>
    <w:rsid w:val="003C0FE2"/>
    <w:rsid w:val="003C4EBB"/>
    <w:rsid w:val="003C67A6"/>
    <w:rsid w:val="003D1531"/>
    <w:rsid w:val="003D1759"/>
    <w:rsid w:val="003E4EC6"/>
    <w:rsid w:val="003E527E"/>
    <w:rsid w:val="003E553E"/>
    <w:rsid w:val="003E7078"/>
    <w:rsid w:val="003F3DF5"/>
    <w:rsid w:val="003F73B8"/>
    <w:rsid w:val="0040297E"/>
    <w:rsid w:val="00411D11"/>
    <w:rsid w:val="00414494"/>
    <w:rsid w:val="00415E23"/>
    <w:rsid w:val="0041670D"/>
    <w:rsid w:val="00423272"/>
    <w:rsid w:val="00424061"/>
    <w:rsid w:val="00442A3C"/>
    <w:rsid w:val="00443969"/>
    <w:rsid w:val="00447D74"/>
    <w:rsid w:val="00450A74"/>
    <w:rsid w:val="004546BF"/>
    <w:rsid w:val="00465350"/>
    <w:rsid w:val="00476B91"/>
    <w:rsid w:val="004846BF"/>
    <w:rsid w:val="00484D9F"/>
    <w:rsid w:val="00494912"/>
    <w:rsid w:val="004953C2"/>
    <w:rsid w:val="004A5323"/>
    <w:rsid w:val="004A5A99"/>
    <w:rsid w:val="004C6979"/>
    <w:rsid w:val="004D13A2"/>
    <w:rsid w:val="004D3E7A"/>
    <w:rsid w:val="004E71B9"/>
    <w:rsid w:val="004F594B"/>
    <w:rsid w:val="004F61E1"/>
    <w:rsid w:val="0050163C"/>
    <w:rsid w:val="00516BFA"/>
    <w:rsid w:val="0053380B"/>
    <w:rsid w:val="00543194"/>
    <w:rsid w:val="00544138"/>
    <w:rsid w:val="00550D52"/>
    <w:rsid w:val="00554E34"/>
    <w:rsid w:val="00580163"/>
    <w:rsid w:val="00584583"/>
    <w:rsid w:val="00585BDF"/>
    <w:rsid w:val="00590E90"/>
    <w:rsid w:val="00590EEB"/>
    <w:rsid w:val="005A4099"/>
    <w:rsid w:val="005B77C3"/>
    <w:rsid w:val="005C38B2"/>
    <w:rsid w:val="005C5029"/>
    <w:rsid w:val="005C55C2"/>
    <w:rsid w:val="005C71CA"/>
    <w:rsid w:val="005C745C"/>
    <w:rsid w:val="005D4DF5"/>
    <w:rsid w:val="005E42BA"/>
    <w:rsid w:val="005F1541"/>
    <w:rsid w:val="00611D6B"/>
    <w:rsid w:val="00625CFD"/>
    <w:rsid w:val="006326EC"/>
    <w:rsid w:val="00662749"/>
    <w:rsid w:val="00663A42"/>
    <w:rsid w:val="006641C7"/>
    <w:rsid w:val="00670027"/>
    <w:rsid w:val="006705EA"/>
    <w:rsid w:val="00670BE2"/>
    <w:rsid w:val="006715D9"/>
    <w:rsid w:val="0068545D"/>
    <w:rsid w:val="00686A0C"/>
    <w:rsid w:val="006916D9"/>
    <w:rsid w:val="006A0E05"/>
    <w:rsid w:val="006A26C6"/>
    <w:rsid w:val="006A465A"/>
    <w:rsid w:val="006A6996"/>
    <w:rsid w:val="006A7D5D"/>
    <w:rsid w:val="006D0C12"/>
    <w:rsid w:val="006D5D57"/>
    <w:rsid w:val="006E2538"/>
    <w:rsid w:val="006E302F"/>
    <w:rsid w:val="006F4D6D"/>
    <w:rsid w:val="00705086"/>
    <w:rsid w:val="00722001"/>
    <w:rsid w:val="00744525"/>
    <w:rsid w:val="00751E66"/>
    <w:rsid w:val="00754497"/>
    <w:rsid w:val="00773201"/>
    <w:rsid w:val="00780CA0"/>
    <w:rsid w:val="00787C39"/>
    <w:rsid w:val="00792947"/>
    <w:rsid w:val="00795DF3"/>
    <w:rsid w:val="007A373C"/>
    <w:rsid w:val="007B225C"/>
    <w:rsid w:val="007B6DB5"/>
    <w:rsid w:val="007C75B1"/>
    <w:rsid w:val="007D3DFC"/>
    <w:rsid w:val="007D7772"/>
    <w:rsid w:val="007E2F07"/>
    <w:rsid w:val="007E59A8"/>
    <w:rsid w:val="0080776D"/>
    <w:rsid w:val="00810145"/>
    <w:rsid w:val="008108FA"/>
    <w:rsid w:val="00810FF1"/>
    <w:rsid w:val="00822336"/>
    <w:rsid w:val="00823DFA"/>
    <w:rsid w:val="00842DB7"/>
    <w:rsid w:val="00843752"/>
    <w:rsid w:val="0084479F"/>
    <w:rsid w:val="008517A5"/>
    <w:rsid w:val="0085725E"/>
    <w:rsid w:val="00873D4F"/>
    <w:rsid w:val="0087509F"/>
    <w:rsid w:val="00885B09"/>
    <w:rsid w:val="00892400"/>
    <w:rsid w:val="00893FF8"/>
    <w:rsid w:val="008A1A45"/>
    <w:rsid w:val="008A209D"/>
    <w:rsid w:val="008A22BB"/>
    <w:rsid w:val="008B035D"/>
    <w:rsid w:val="008B0E29"/>
    <w:rsid w:val="008B0EFA"/>
    <w:rsid w:val="008B30AB"/>
    <w:rsid w:val="008C3BB8"/>
    <w:rsid w:val="008C4B65"/>
    <w:rsid w:val="008C70FA"/>
    <w:rsid w:val="008E087E"/>
    <w:rsid w:val="008E5F55"/>
    <w:rsid w:val="008F0589"/>
    <w:rsid w:val="009009E7"/>
    <w:rsid w:val="00905DEF"/>
    <w:rsid w:val="00906056"/>
    <w:rsid w:val="009122AE"/>
    <w:rsid w:val="00913B43"/>
    <w:rsid w:val="00930203"/>
    <w:rsid w:val="009311D2"/>
    <w:rsid w:val="009311E6"/>
    <w:rsid w:val="00931275"/>
    <w:rsid w:val="00936AC7"/>
    <w:rsid w:val="009516AC"/>
    <w:rsid w:val="00953B64"/>
    <w:rsid w:val="009646A7"/>
    <w:rsid w:val="00970A88"/>
    <w:rsid w:val="009818A1"/>
    <w:rsid w:val="009A1674"/>
    <w:rsid w:val="009B38BE"/>
    <w:rsid w:val="009B4DF2"/>
    <w:rsid w:val="009C684F"/>
    <w:rsid w:val="009D074C"/>
    <w:rsid w:val="009D6E73"/>
    <w:rsid w:val="009F0836"/>
    <w:rsid w:val="009F1F1D"/>
    <w:rsid w:val="009F2B4F"/>
    <w:rsid w:val="009F3C63"/>
    <w:rsid w:val="009F66B5"/>
    <w:rsid w:val="00A02F10"/>
    <w:rsid w:val="00A1060C"/>
    <w:rsid w:val="00A16221"/>
    <w:rsid w:val="00A20A7D"/>
    <w:rsid w:val="00A35D42"/>
    <w:rsid w:val="00A46CCF"/>
    <w:rsid w:val="00A506DE"/>
    <w:rsid w:val="00A53451"/>
    <w:rsid w:val="00A70426"/>
    <w:rsid w:val="00A707CC"/>
    <w:rsid w:val="00A71410"/>
    <w:rsid w:val="00A73587"/>
    <w:rsid w:val="00A77FB9"/>
    <w:rsid w:val="00A8519E"/>
    <w:rsid w:val="00A91E9A"/>
    <w:rsid w:val="00A93ED9"/>
    <w:rsid w:val="00A96221"/>
    <w:rsid w:val="00AC2DBB"/>
    <w:rsid w:val="00AC4BAD"/>
    <w:rsid w:val="00AC6A99"/>
    <w:rsid w:val="00AD4E90"/>
    <w:rsid w:val="00AD6048"/>
    <w:rsid w:val="00AE0D9E"/>
    <w:rsid w:val="00AE7197"/>
    <w:rsid w:val="00B055EF"/>
    <w:rsid w:val="00B06B5B"/>
    <w:rsid w:val="00B23769"/>
    <w:rsid w:val="00B41789"/>
    <w:rsid w:val="00B47613"/>
    <w:rsid w:val="00B81808"/>
    <w:rsid w:val="00B839BF"/>
    <w:rsid w:val="00B86DFA"/>
    <w:rsid w:val="00B936D0"/>
    <w:rsid w:val="00BA2D37"/>
    <w:rsid w:val="00BB15FB"/>
    <w:rsid w:val="00BD3D5B"/>
    <w:rsid w:val="00BE3600"/>
    <w:rsid w:val="00BF707A"/>
    <w:rsid w:val="00C01F6F"/>
    <w:rsid w:val="00C041EA"/>
    <w:rsid w:val="00C13BBD"/>
    <w:rsid w:val="00C149AB"/>
    <w:rsid w:val="00C16929"/>
    <w:rsid w:val="00C20690"/>
    <w:rsid w:val="00C301A1"/>
    <w:rsid w:val="00C36020"/>
    <w:rsid w:val="00C37F9C"/>
    <w:rsid w:val="00C40694"/>
    <w:rsid w:val="00C479BF"/>
    <w:rsid w:val="00C5124B"/>
    <w:rsid w:val="00C52341"/>
    <w:rsid w:val="00C56B81"/>
    <w:rsid w:val="00C70542"/>
    <w:rsid w:val="00C75CBF"/>
    <w:rsid w:val="00CB1CBD"/>
    <w:rsid w:val="00CC2894"/>
    <w:rsid w:val="00CC5908"/>
    <w:rsid w:val="00CD77C3"/>
    <w:rsid w:val="00CE112C"/>
    <w:rsid w:val="00CF0BE6"/>
    <w:rsid w:val="00CF55D4"/>
    <w:rsid w:val="00D01376"/>
    <w:rsid w:val="00D24431"/>
    <w:rsid w:val="00D608DA"/>
    <w:rsid w:val="00D730BF"/>
    <w:rsid w:val="00D852F4"/>
    <w:rsid w:val="00D931FA"/>
    <w:rsid w:val="00DA7216"/>
    <w:rsid w:val="00DB1110"/>
    <w:rsid w:val="00DB3730"/>
    <w:rsid w:val="00DC371B"/>
    <w:rsid w:val="00DC3788"/>
    <w:rsid w:val="00DC76C7"/>
    <w:rsid w:val="00DD09F5"/>
    <w:rsid w:val="00DD0E02"/>
    <w:rsid w:val="00DD4201"/>
    <w:rsid w:val="00DD5E9F"/>
    <w:rsid w:val="00DE0F97"/>
    <w:rsid w:val="00DE5711"/>
    <w:rsid w:val="00E00EA0"/>
    <w:rsid w:val="00E021CB"/>
    <w:rsid w:val="00E138F1"/>
    <w:rsid w:val="00E2309D"/>
    <w:rsid w:val="00E26758"/>
    <w:rsid w:val="00E4357B"/>
    <w:rsid w:val="00E443A7"/>
    <w:rsid w:val="00E45904"/>
    <w:rsid w:val="00E608EC"/>
    <w:rsid w:val="00E63DE5"/>
    <w:rsid w:val="00E647AF"/>
    <w:rsid w:val="00E647C7"/>
    <w:rsid w:val="00E65A37"/>
    <w:rsid w:val="00E65EF7"/>
    <w:rsid w:val="00E723B3"/>
    <w:rsid w:val="00E73182"/>
    <w:rsid w:val="00E77B48"/>
    <w:rsid w:val="00E82F4B"/>
    <w:rsid w:val="00E857FB"/>
    <w:rsid w:val="00E91799"/>
    <w:rsid w:val="00E97DF8"/>
    <w:rsid w:val="00EA1D0B"/>
    <w:rsid w:val="00EA21FE"/>
    <w:rsid w:val="00EA34E3"/>
    <w:rsid w:val="00EB1712"/>
    <w:rsid w:val="00EB1DC3"/>
    <w:rsid w:val="00EB518D"/>
    <w:rsid w:val="00EB7538"/>
    <w:rsid w:val="00EC1868"/>
    <w:rsid w:val="00EE6468"/>
    <w:rsid w:val="00F01743"/>
    <w:rsid w:val="00F0187F"/>
    <w:rsid w:val="00F1299B"/>
    <w:rsid w:val="00F13A9D"/>
    <w:rsid w:val="00F207A4"/>
    <w:rsid w:val="00F25173"/>
    <w:rsid w:val="00F258A9"/>
    <w:rsid w:val="00F355AC"/>
    <w:rsid w:val="00F37EDA"/>
    <w:rsid w:val="00F40CF7"/>
    <w:rsid w:val="00F44194"/>
    <w:rsid w:val="00F62FED"/>
    <w:rsid w:val="00F63897"/>
    <w:rsid w:val="00F66A7F"/>
    <w:rsid w:val="00F67065"/>
    <w:rsid w:val="00F67B5B"/>
    <w:rsid w:val="00F71A5A"/>
    <w:rsid w:val="00F73A1A"/>
    <w:rsid w:val="00F769E0"/>
    <w:rsid w:val="00FA4A46"/>
    <w:rsid w:val="00FA75FE"/>
    <w:rsid w:val="00FB1032"/>
    <w:rsid w:val="00FB39BC"/>
    <w:rsid w:val="00FB6A53"/>
    <w:rsid w:val="00FC11CA"/>
    <w:rsid w:val="00FC6BDE"/>
    <w:rsid w:val="00FC77AE"/>
    <w:rsid w:val="00FD7318"/>
    <w:rsid w:val="00FE26F4"/>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DB2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022843"/>
    <w:rPr>
      <w:sz w:val="16"/>
      <w:szCs w:val="16"/>
    </w:rPr>
  </w:style>
  <w:style w:type="paragraph" w:styleId="CommentText">
    <w:name w:val="annotation text"/>
    <w:basedOn w:val="Normal"/>
    <w:link w:val="CommentTextChar"/>
    <w:rsid w:val="00022843"/>
    <w:rPr>
      <w:sz w:val="20"/>
      <w:szCs w:val="20"/>
    </w:rPr>
  </w:style>
  <w:style w:type="character" w:customStyle="1" w:styleId="CommentTextChar">
    <w:name w:val="Comment Text Char"/>
    <w:basedOn w:val="DefaultParagraphFont"/>
    <w:link w:val="CommentText"/>
    <w:rsid w:val="00022843"/>
  </w:style>
  <w:style w:type="paragraph" w:styleId="CommentSubject">
    <w:name w:val="annotation subject"/>
    <w:basedOn w:val="CommentText"/>
    <w:next w:val="CommentText"/>
    <w:link w:val="CommentSubjectChar"/>
    <w:rsid w:val="00022843"/>
    <w:rPr>
      <w:b/>
      <w:bCs/>
    </w:rPr>
  </w:style>
  <w:style w:type="character" w:customStyle="1" w:styleId="CommentSubjectChar">
    <w:name w:val="Comment Subject Char"/>
    <w:link w:val="CommentSubject"/>
    <w:rsid w:val="000228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a.gov/food/food-safety-modernization-act-fsma/fsma-proposed-rule-agricultural-water%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da.gov/Food/GuidanceRegulation/GuidanceDocumentsRegulatoryInformation/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SBrooks\AppData\Local\Microsoft\Windows\INetCache\Content.Outlook\JAAMSI4Z\www.reginf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1855</Words>
  <Characters>10576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12407</CharactersWithSpaces>
  <SharedDoc>false</SharedDoc>
  <HLinks>
    <vt:vector size="18" baseType="variant">
      <vt:variant>
        <vt:i4>6946863</vt:i4>
      </vt:variant>
      <vt:variant>
        <vt:i4>6</vt:i4>
      </vt:variant>
      <vt:variant>
        <vt:i4>0</vt:i4>
      </vt:variant>
      <vt:variant>
        <vt:i4>5</vt:i4>
      </vt:variant>
      <vt:variant>
        <vt:lpwstr>../../../SBrooks/AppData/Local/Microsoft/Windows/INetCache/Content.Outlook/JAAMSI4Z/www.reginfo.gov</vt:lpwstr>
      </vt:variant>
      <vt:variant>
        <vt:lpwstr/>
      </vt:variant>
      <vt:variant>
        <vt:i4>5111889</vt:i4>
      </vt:variant>
      <vt:variant>
        <vt:i4>3</vt:i4>
      </vt:variant>
      <vt:variant>
        <vt:i4>0</vt:i4>
      </vt:variant>
      <vt:variant>
        <vt:i4>5</vt:i4>
      </vt:variant>
      <vt:variant>
        <vt:lpwstr>https://www.fda.gov/food/food-safety-modernization-act-fsma/fsma-proposed-rule-agricultural-water</vt:lpwstr>
      </vt:variant>
      <vt:variant>
        <vt:lpwstr/>
      </vt:variant>
      <vt:variant>
        <vt:i4>8061034</vt:i4>
      </vt:variant>
      <vt:variant>
        <vt:i4>0</vt:i4>
      </vt:variant>
      <vt:variant>
        <vt:i4>0</vt:i4>
      </vt:variant>
      <vt:variant>
        <vt:i4>5</vt:i4>
      </vt:variant>
      <vt:variant>
        <vt:lpwstr>https://www.fda.gov/Food/GuidanceRegulation/GuidanceDocumentsRegulatoryInformation/default.htm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2022-07-21T18:17:00Z</dcterms:created>
  <dcterms:modified xsi:type="dcterms:W3CDTF">2022-07-21T19:18:00Z</dcterms:modified>
</cp:coreProperties>
</file>