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5329B" w:rsidRPr="008B63A9" w:rsidP="00BA3546" w14:paraId="34F0DD2B" w14:textId="2CB0F387">
      <w:pPr>
        <w:pStyle w:val="HHS508GuidanceTitle"/>
      </w:pPr>
      <w:r w:rsidRPr="008B63A9">
        <w:t>Guidance for Industry</w:t>
      </w:r>
      <w:r w:rsidR="00CA1540">
        <w:t>:</w:t>
      </w:r>
      <w:r w:rsidRPr="008B63A9">
        <w:t xml:space="preserve"> </w:t>
      </w:r>
      <w:r w:rsidRPr="008B63A9">
        <w:t xml:space="preserve">Standards for the Growing, Harvesting, Packing, and Holding of </w:t>
      </w:r>
      <w:r w:rsidR="002B4637">
        <w:t>Sprouts</w:t>
      </w:r>
      <w:r w:rsidRPr="008B63A9">
        <w:t xml:space="preserve"> for Human Consumption </w:t>
      </w:r>
    </w:p>
    <w:p w:rsidR="00191DF8" w:rsidRPr="008E4355" w:rsidP="00E47C04" w14:paraId="455EFC90" w14:textId="7CDA0AA0">
      <w:pPr>
        <w:pStyle w:val="GuidanceParagraph"/>
      </w:pPr>
      <w:r>
        <w:t>You may s</w:t>
      </w:r>
      <w:r>
        <w:t xml:space="preserve">ubmit electronic </w:t>
      </w:r>
      <w:r>
        <w:t xml:space="preserve">or written </w:t>
      </w:r>
      <w:r w:rsidR="009F6D98">
        <w:t xml:space="preserve">comments regarding this guidance at any time. Submit electronic </w:t>
      </w:r>
      <w:r>
        <w:t xml:space="preserve">comments to </w:t>
      </w:r>
      <w:hyperlink r:id="rId9">
        <w:r w:rsidRPr="7F3B65DE">
          <w:rPr>
            <w:rStyle w:val="Hyperlink"/>
          </w:rPr>
          <w:t>https://www.regulations.gov</w:t>
        </w:r>
      </w:hyperlink>
      <w:r w:rsidRPr="7F3B65DE">
        <w:rPr>
          <w:i/>
          <w:iCs/>
        </w:rPr>
        <w:t xml:space="preserve">. </w:t>
      </w:r>
      <w:r>
        <w:t xml:space="preserve">Submit written comments to </w:t>
      </w:r>
      <w:r w:rsidR="00DC56D5">
        <w:t xml:space="preserve">the </w:t>
      </w:r>
      <w:r>
        <w:t xml:space="preserve">Dockets Management Staff (HFA-305), Food and Drug Administration, 5630 Fishers Lane, rm. 1061, Rockville, MD 20852. All comments should be identified with </w:t>
      </w:r>
      <w:r w:rsidR="00DC56D5">
        <w:t xml:space="preserve">Docket No. </w:t>
      </w:r>
      <w:r w:rsidR="00252125">
        <w:t>FDA-2017-D-0175</w:t>
      </w:r>
      <w:r w:rsidR="00AE0A85">
        <w:t>17</w:t>
      </w:r>
      <w:r w:rsidR="00DC56D5">
        <w:t>.</w:t>
      </w:r>
      <w:r>
        <w:t xml:space="preserve"> </w:t>
      </w:r>
    </w:p>
    <w:p w:rsidR="00191DF8" w:rsidRPr="008E4355" w:rsidP="00E47C04" w14:paraId="680C0A7C" w14:textId="53D69163">
      <w:pPr>
        <w:pStyle w:val="GuidanceParagraph"/>
      </w:pPr>
      <w:r w:rsidRPr="008E4355">
        <w:t xml:space="preserve">For questions regarding this document contact FDA’s Technical Assistance Network by submitting your question at </w:t>
      </w:r>
      <w:hyperlink r:id="rId10" w:history="1">
        <w:r w:rsidRPr="002B5B33" w:rsidR="004E0015">
          <w:rPr>
            <w:rStyle w:val="Hyperlink"/>
          </w:rPr>
          <w:t>https://www.fda.gov/food/food-safety-modernization-act-fsma/fsma-technical-assistance-network-tan</w:t>
        </w:r>
      </w:hyperlink>
      <w:r w:rsidR="004E0015">
        <w:t>.</w:t>
      </w:r>
    </w:p>
    <w:p w:rsidR="00191DF8" w:rsidRPr="0003081C" w:rsidP="00191DF8" w14:paraId="30FB1FA6" w14:textId="77777777">
      <w:pPr>
        <w:jc w:val="center"/>
        <w:rPr>
          <w:szCs w:val="24"/>
        </w:rPr>
      </w:pPr>
    </w:p>
    <w:p w:rsidR="00191DF8" w:rsidRPr="00454C25" w:rsidP="00191DF8" w14:paraId="2CF9ECA9" w14:textId="77777777">
      <w:pPr>
        <w:jc w:val="center"/>
        <w:rPr>
          <w:rFonts w:ascii="Times New Roman" w:hAnsi="Times New Roman" w:cs="Times New Roman"/>
          <w:b/>
          <w:sz w:val="24"/>
          <w:szCs w:val="24"/>
        </w:rPr>
      </w:pPr>
      <w:r w:rsidRPr="00454C25">
        <w:rPr>
          <w:rFonts w:ascii="Times New Roman" w:hAnsi="Times New Roman" w:cs="Times New Roman"/>
          <w:b/>
          <w:sz w:val="24"/>
          <w:szCs w:val="24"/>
        </w:rPr>
        <w:t>U.S. Department of Health and Human Services</w:t>
      </w:r>
    </w:p>
    <w:p w:rsidR="00191DF8" w:rsidRPr="00454C25" w:rsidP="00191DF8" w14:paraId="0AF8E292" w14:textId="77777777">
      <w:pPr>
        <w:jc w:val="center"/>
        <w:rPr>
          <w:rFonts w:ascii="Times New Roman" w:hAnsi="Times New Roman" w:cs="Times New Roman"/>
          <w:b/>
          <w:sz w:val="24"/>
          <w:szCs w:val="24"/>
        </w:rPr>
      </w:pPr>
      <w:r w:rsidRPr="00454C25">
        <w:rPr>
          <w:rFonts w:ascii="Times New Roman" w:hAnsi="Times New Roman" w:cs="Times New Roman"/>
          <w:b/>
          <w:sz w:val="24"/>
          <w:szCs w:val="24"/>
        </w:rPr>
        <w:t>Food and Drug Administration</w:t>
      </w:r>
    </w:p>
    <w:p w:rsidR="00191DF8" w:rsidRPr="00454C25" w:rsidP="00191DF8" w14:paraId="09189FFB" w14:textId="77777777">
      <w:pPr>
        <w:jc w:val="center"/>
        <w:rPr>
          <w:rFonts w:ascii="Times New Roman" w:hAnsi="Times New Roman" w:cs="Times New Roman"/>
          <w:b/>
          <w:sz w:val="24"/>
          <w:szCs w:val="24"/>
        </w:rPr>
      </w:pPr>
      <w:r w:rsidRPr="00454C25">
        <w:rPr>
          <w:rFonts w:ascii="Times New Roman" w:hAnsi="Times New Roman" w:cs="Times New Roman"/>
          <w:b/>
          <w:sz w:val="24"/>
          <w:szCs w:val="24"/>
        </w:rPr>
        <w:t xml:space="preserve">Center for Food Safety and Applied Nutrition </w:t>
      </w:r>
    </w:p>
    <w:p w:rsidR="00191DF8" w:rsidRPr="00454C25" w:rsidP="00191DF8" w14:paraId="10BE28B8" w14:textId="77777777">
      <w:pPr>
        <w:jc w:val="center"/>
        <w:rPr>
          <w:rFonts w:ascii="Times New Roman" w:hAnsi="Times New Roman" w:cs="Times New Roman"/>
          <w:b/>
          <w:sz w:val="24"/>
          <w:szCs w:val="24"/>
        </w:rPr>
      </w:pPr>
    </w:p>
    <w:p w:rsidR="009462FE" w:rsidP="007520E3" w14:paraId="7F1337C6" w14:textId="1AE19C06">
      <w:pPr>
        <w:jc w:val="center"/>
        <w:rPr>
          <w:rFonts w:ascii="Times New Roman" w:hAnsi="Times New Roman" w:cs="Times New Roman"/>
          <w:b/>
          <w:sz w:val="24"/>
          <w:szCs w:val="24"/>
        </w:rPr>
      </w:pPr>
      <w:r>
        <w:rPr>
          <w:rFonts w:ascii="Times New Roman" w:hAnsi="Times New Roman" w:cs="Times New Roman"/>
          <w:b/>
          <w:sz w:val="24"/>
          <w:szCs w:val="24"/>
        </w:rPr>
        <w:t>Month and Year of Publication</w:t>
      </w:r>
    </w:p>
    <w:p w:rsidR="00D42765" w:rsidP="007520E3" w14:paraId="5C2B4940" w14:textId="641423ED">
      <w:pPr>
        <w:jc w:val="center"/>
        <w:rPr>
          <w:rFonts w:ascii="Times New Roman" w:hAnsi="Times New Roman" w:cs="Times New Roman"/>
          <w:b/>
          <w:sz w:val="24"/>
          <w:szCs w:val="24"/>
        </w:rPr>
      </w:pPr>
    </w:p>
    <w:p w:rsidR="00996991" w:rsidP="007520E3" w14:paraId="73B32B1D" w14:textId="77777777">
      <w:pPr>
        <w:jc w:val="center"/>
        <w:rPr>
          <w:rFonts w:ascii="Times New Roman" w:hAnsi="Times New Roman" w:cs="Times New Roman"/>
          <w:b/>
          <w:sz w:val="24"/>
          <w:szCs w:val="24"/>
        </w:rPr>
      </w:pPr>
    </w:p>
    <w:p w:rsidR="00711A94" w:rsidP="00E47C04" w14:paraId="7071CBBA" w14:textId="77777777">
      <w:pPr>
        <w:pStyle w:val="GuidanceParagraph"/>
      </w:pPr>
    </w:p>
    <w:p w:rsidR="00711A94" w:rsidP="00E47C04" w14:paraId="47587183" w14:textId="77777777">
      <w:pPr>
        <w:pStyle w:val="GuidanceParagraph"/>
      </w:pPr>
    </w:p>
    <w:p w:rsidR="008970AC" w14:paraId="67BECD7C" w14:textId="24A386A1">
      <w:pPr>
        <w:widowControl/>
        <w:spacing w:after="200" w:line="276" w:lineRule="auto"/>
        <w:rPr>
          <w:rFonts w:ascii="Times New Roman" w:eastAsia="Times New Roman" w:hAnsi="Times New Roman" w:cs="Times New Roman"/>
          <w:bCs/>
          <w:sz w:val="24"/>
          <w:szCs w:val="24"/>
        </w:rPr>
      </w:pPr>
      <w:r>
        <w:br w:type="page"/>
      </w:r>
    </w:p>
    <w:p w:rsidR="00BB682D" w:rsidP="00BB682D" w14:paraId="589605A1" w14:textId="77777777">
      <w:pPr>
        <w:pStyle w:val="TOCHeading"/>
        <w:rPr>
          <w:rFonts w:ascii="Times New Roman" w:hAnsi="Times New Roman" w:cs="Times New Roman"/>
          <w:b/>
          <w:bCs/>
          <w:color w:val="auto"/>
          <w:sz w:val="36"/>
          <w:szCs w:val="36"/>
        </w:rPr>
      </w:pPr>
      <w:r w:rsidRPr="009A79A6">
        <w:rPr>
          <w:rFonts w:ascii="Times New Roman" w:hAnsi="Times New Roman" w:cs="Times New Roman"/>
          <w:b/>
          <w:bCs/>
          <w:color w:val="auto"/>
          <w:sz w:val="36"/>
          <w:szCs w:val="36"/>
        </w:rPr>
        <w:t>Table of Contents</w:t>
      </w:r>
    </w:p>
    <w:p w:rsidR="006E7E5E" w:rsidRPr="00EC3F45" w:rsidP="006E7E5E" w14:paraId="261150DE" w14:textId="77777777">
      <w:pPr>
        <w:rPr>
          <w:rFonts w:ascii="Times New Roman" w:hAnsi="Times New Roman" w:cs="Times New Roman"/>
          <w:sz w:val="36"/>
          <w:szCs w:val="36"/>
        </w:rPr>
      </w:pPr>
    </w:p>
    <w:p w:rsidR="006620C8" w:rsidRPr="004E29CD" w:rsidP="00A16344" w14:paraId="35574AFA" w14:textId="4600D5AD">
      <w:pPr>
        <w:pStyle w:val="TOC1"/>
        <w:rPr>
          <w:rFonts w:eastAsiaTheme="minorEastAsia"/>
          <w:noProof/>
          <w:sz w:val="28"/>
          <w:szCs w:val="28"/>
        </w:rPr>
      </w:pPr>
      <w:r w:rsidRPr="00D41570">
        <w:fldChar w:fldCharType="begin"/>
      </w:r>
      <w:r w:rsidRPr="00D41570">
        <w:instrText xml:space="preserve"> TOC \n \h \z \t "Heading 1,1,Heading 2,2,Heading 3,3,HHS 508 Guidance Outline 1,1,HHS 508 Guidance Outline 2,2,HHS 508 Guidance Outline 3,3" </w:instrText>
      </w:r>
      <w:r w:rsidRPr="00D41570">
        <w:fldChar w:fldCharType="separate"/>
      </w:r>
      <w:hyperlink w:anchor="_Toc106094915" w:history="1">
        <w:r w:rsidRPr="004E29CD">
          <w:rPr>
            <w:rStyle w:val="Hyperlink"/>
            <w:rFonts w:ascii="Times New Roman" w:hAnsi="Times New Roman" w:cs="Times New Roman"/>
            <w:b w:val="0"/>
            <w:bCs w:val="0"/>
            <w:i w:val="0"/>
            <w:iCs w:val="0"/>
            <w:noProof/>
            <w:sz w:val="28"/>
            <w:szCs w:val="28"/>
          </w:rPr>
          <w:t>I.</w:t>
        </w:r>
        <w:r w:rsidRPr="004E29CD">
          <w:rPr>
            <w:rFonts w:eastAsiaTheme="minorEastAsia"/>
            <w:noProof/>
            <w:sz w:val="28"/>
            <w:szCs w:val="28"/>
          </w:rPr>
          <w:tab/>
        </w:r>
        <w:r w:rsidRPr="004E29CD">
          <w:rPr>
            <w:rStyle w:val="Hyperlink"/>
            <w:rFonts w:ascii="Times New Roman" w:hAnsi="Times New Roman" w:cs="Times New Roman"/>
            <w:b w:val="0"/>
            <w:bCs w:val="0"/>
            <w:i w:val="0"/>
            <w:iCs w:val="0"/>
            <w:noProof/>
            <w:sz w:val="28"/>
            <w:szCs w:val="28"/>
          </w:rPr>
          <w:t>Introduction</w:t>
        </w:r>
      </w:hyperlink>
    </w:p>
    <w:p w:rsidR="006620C8" w:rsidRPr="004E29CD" w:rsidP="00A16344" w14:paraId="70E41C1A" w14:textId="02145258">
      <w:pPr>
        <w:pStyle w:val="TOC1"/>
        <w:rPr>
          <w:rFonts w:ascii="Times New Roman" w:hAnsi="Times New Roman" w:eastAsiaTheme="minorEastAsia" w:cs="Times New Roman"/>
          <w:noProof/>
          <w:sz w:val="28"/>
          <w:szCs w:val="28"/>
        </w:rPr>
      </w:pPr>
      <w:hyperlink w:anchor="_Toc106094916" w:history="1">
        <w:r w:rsidRPr="004E29CD">
          <w:rPr>
            <w:rStyle w:val="Hyperlink"/>
            <w:rFonts w:ascii="Times New Roman" w:hAnsi="Times New Roman" w:cs="Times New Roman"/>
            <w:b w:val="0"/>
            <w:bCs w:val="0"/>
            <w:i w:val="0"/>
            <w:iCs w:val="0"/>
            <w:noProof/>
            <w:sz w:val="28"/>
            <w:szCs w:val="28"/>
          </w:rPr>
          <w:t>II.</w:t>
        </w:r>
        <w:r w:rsidRPr="004E29CD">
          <w:rPr>
            <w:rFonts w:ascii="Times New Roman" w:hAnsi="Times New Roman" w:eastAsiaTheme="minorEastAsia" w:cs="Times New Roman"/>
            <w:noProof/>
            <w:sz w:val="28"/>
            <w:szCs w:val="28"/>
          </w:rPr>
          <w:tab/>
        </w:r>
        <w:r w:rsidRPr="004E29CD">
          <w:rPr>
            <w:rStyle w:val="Hyperlink"/>
            <w:rFonts w:ascii="Times New Roman" w:hAnsi="Times New Roman" w:cs="Times New Roman"/>
            <w:b w:val="0"/>
            <w:bCs w:val="0"/>
            <w:i w:val="0"/>
            <w:iCs w:val="0"/>
            <w:noProof/>
            <w:sz w:val="28"/>
            <w:szCs w:val="28"/>
          </w:rPr>
          <w:t>Background</w:t>
        </w:r>
      </w:hyperlink>
    </w:p>
    <w:p w:rsidR="006620C8" w:rsidRPr="00D41570" w14:paraId="7A1715FE" w14:textId="40953927">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17" w:history="1">
        <w:r w:rsidRPr="00D41570">
          <w:rPr>
            <w:rStyle w:val="Hyperlink"/>
            <w:rFonts w:ascii="Times New Roman" w:hAnsi="Times New Roman" w:cs="Times New Roman"/>
            <w:b w:val="0"/>
            <w:bCs w:val="0"/>
            <w:noProof/>
            <w:sz w:val="24"/>
            <w:szCs w:val="24"/>
          </w:rPr>
          <w:t>A.</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Other</w:t>
        </w:r>
        <w:r w:rsidRPr="00D41570">
          <w:rPr>
            <w:rStyle w:val="Hyperlink"/>
            <w:rFonts w:ascii="Times New Roman" w:hAnsi="Times New Roman" w:cs="Times New Roman"/>
            <w:b w:val="0"/>
            <w:bCs w:val="0"/>
            <w:noProof/>
            <w:spacing w:val="1"/>
            <w:sz w:val="24"/>
            <w:szCs w:val="24"/>
          </w:rPr>
          <w:t xml:space="preserve"> </w:t>
        </w:r>
        <w:r w:rsidRPr="00D41570">
          <w:rPr>
            <w:rStyle w:val="Hyperlink"/>
            <w:rFonts w:ascii="Times New Roman" w:hAnsi="Times New Roman" w:cs="Times New Roman"/>
            <w:b w:val="0"/>
            <w:bCs w:val="0"/>
            <w:noProof/>
            <w:spacing w:val="-2"/>
            <w:sz w:val="24"/>
            <w:szCs w:val="24"/>
          </w:rPr>
          <w:t>FDA</w:t>
        </w:r>
        <w:r w:rsidRPr="00D41570">
          <w:rPr>
            <w:rStyle w:val="Hyperlink"/>
            <w:rFonts w:ascii="Times New Roman" w:hAnsi="Times New Roman" w:cs="Times New Roman"/>
            <w:b w:val="0"/>
            <w:bCs w:val="0"/>
            <w:noProof/>
            <w:sz w:val="24"/>
            <w:szCs w:val="24"/>
          </w:rPr>
          <w:t xml:space="preserve"> Efforts Related to Sprouts</w:t>
        </w:r>
      </w:hyperlink>
    </w:p>
    <w:p w:rsidR="006620C8" w:rsidRPr="00D41570" w14:paraId="62B3978C" w14:textId="1F79BE47">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18" w:history="1">
        <w:r w:rsidRPr="00D41570">
          <w:rPr>
            <w:rStyle w:val="Hyperlink"/>
            <w:rFonts w:ascii="Times New Roman" w:hAnsi="Times New Roman" w:cs="Times New Roman"/>
            <w:b w:val="0"/>
            <w:bCs w:val="0"/>
            <w:noProof/>
            <w:sz w:val="24"/>
            <w:szCs w:val="24"/>
          </w:rPr>
          <w:t>B.</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Coverage of the Produce Safety Rule</w:t>
        </w:r>
      </w:hyperlink>
    </w:p>
    <w:p w:rsidR="006620C8" w:rsidRPr="00D41570" w14:paraId="1EC9D3D1" w14:textId="47A7C014">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19" w:history="1">
        <w:r w:rsidRPr="00D41570">
          <w:rPr>
            <w:rStyle w:val="Hyperlink"/>
            <w:rFonts w:ascii="Times New Roman" w:hAnsi="Times New Roman" w:cs="Times New Roman"/>
            <w:b w:val="0"/>
            <w:bCs w:val="0"/>
            <w:noProof/>
            <w:sz w:val="24"/>
            <w:szCs w:val="24"/>
          </w:rPr>
          <w:t>C.</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Coverage of</w:t>
        </w:r>
        <w:r w:rsidRPr="00D41570">
          <w:rPr>
            <w:rStyle w:val="Hyperlink"/>
            <w:rFonts w:ascii="Times New Roman" w:hAnsi="Times New Roman" w:cs="Times New Roman"/>
            <w:b w:val="0"/>
            <w:bCs w:val="0"/>
            <w:noProof/>
            <w:spacing w:val="1"/>
            <w:sz w:val="24"/>
            <w:szCs w:val="24"/>
          </w:rPr>
          <w:t xml:space="preserve"> </w:t>
        </w:r>
        <w:r w:rsidRPr="00D41570">
          <w:rPr>
            <w:rStyle w:val="Hyperlink"/>
            <w:rFonts w:ascii="Times New Roman" w:hAnsi="Times New Roman" w:cs="Times New Roman"/>
            <w:b w:val="0"/>
            <w:bCs w:val="0"/>
            <w:noProof/>
            <w:sz w:val="24"/>
            <w:szCs w:val="24"/>
          </w:rPr>
          <w:t>Subpart M</w:t>
        </w:r>
      </w:hyperlink>
    </w:p>
    <w:p w:rsidR="006620C8" w:rsidRPr="00D41570" w14:paraId="3FCFB95D" w14:textId="23FD43D0">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20" w:history="1">
        <w:r w:rsidRPr="00D41570">
          <w:rPr>
            <w:rStyle w:val="Hyperlink"/>
            <w:rFonts w:ascii="Times New Roman" w:hAnsi="Times New Roman" w:cs="Times New Roman"/>
            <w:b w:val="0"/>
            <w:bCs w:val="0"/>
            <w:noProof/>
            <w:sz w:val="24"/>
            <w:szCs w:val="24"/>
          </w:rPr>
          <w:t>D.</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Compliance Dates for Sprouts</w:t>
        </w:r>
      </w:hyperlink>
    </w:p>
    <w:p w:rsidR="006620C8" w:rsidRPr="00D41570" w14:paraId="1F0706B8" w14:textId="389C55F5">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21" w:history="1">
        <w:r w:rsidRPr="00D41570">
          <w:rPr>
            <w:rStyle w:val="Hyperlink"/>
            <w:rFonts w:ascii="Times New Roman" w:hAnsi="Times New Roman" w:cs="Times New Roman"/>
            <w:b w:val="0"/>
            <w:bCs w:val="0"/>
            <w:noProof/>
            <w:sz w:val="24"/>
            <w:szCs w:val="24"/>
          </w:rPr>
          <w:t>E.</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General Sprout Production</w:t>
        </w:r>
      </w:hyperlink>
    </w:p>
    <w:p w:rsidR="006620C8" w:rsidRPr="004E29CD" w:rsidP="00A16344" w14:paraId="6B9983D4" w14:textId="1FAC818A">
      <w:pPr>
        <w:pStyle w:val="TOC1"/>
        <w:rPr>
          <w:rFonts w:ascii="Times New Roman" w:hAnsi="Times New Roman" w:eastAsiaTheme="minorEastAsia" w:cs="Times New Roman"/>
          <w:noProof/>
          <w:sz w:val="28"/>
          <w:szCs w:val="28"/>
        </w:rPr>
      </w:pPr>
      <w:hyperlink w:anchor="_Toc106094922" w:history="1">
        <w:r w:rsidRPr="004E29CD">
          <w:rPr>
            <w:rStyle w:val="Hyperlink"/>
            <w:rFonts w:ascii="Times New Roman" w:hAnsi="Times New Roman" w:cs="Times New Roman"/>
            <w:b w:val="0"/>
            <w:bCs w:val="0"/>
            <w:i w:val="0"/>
            <w:iCs w:val="0"/>
            <w:noProof/>
            <w:sz w:val="28"/>
            <w:szCs w:val="28"/>
          </w:rPr>
          <w:t>III.</w:t>
        </w:r>
        <w:r w:rsidRPr="004E29CD">
          <w:rPr>
            <w:rFonts w:ascii="Times New Roman" w:hAnsi="Times New Roman" w:eastAsiaTheme="minorEastAsia" w:cs="Times New Roman"/>
            <w:noProof/>
            <w:sz w:val="28"/>
            <w:szCs w:val="28"/>
          </w:rPr>
          <w:tab/>
        </w:r>
        <w:r w:rsidRPr="004E29CD">
          <w:rPr>
            <w:rStyle w:val="Hyperlink"/>
            <w:rFonts w:ascii="Times New Roman" w:hAnsi="Times New Roman" w:cs="Times New Roman"/>
            <w:b w:val="0"/>
            <w:bCs w:val="0"/>
            <w:i w:val="0"/>
            <w:iCs w:val="0"/>
            <w:noProof/>
            <w:sz w:val="28"/>
            <w:szCs w:val="28"/>
          </w:rPr>
          <w:t>Cleaning and Sanitizing</w:t>
        </w:r>
      </w:hyperlink>
    </w:p>
    <w:p w:rsidR="006620C8" w:rsidRPr="00D41570" w14:paraId="7B6344B0" w14:textId="67078DEC">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23" w:history="1">
        <w:r w:rsidRPr="00D41570">
          <w:rPr>
            <w:rStyle w:val="Hyperlink"/>
            <w:rFonts w:ascii="Times New Roman" w:hAnsi="Times New Roman" w:cs="Times New Roman"/>
            <w:b w:val="0"/>
            <w:bCs w:val="0"/>
            <w:noProof/>
            <w:sz w:val="24"/>
            <w:szCs w:val="24"/>
          </w:rPr>
          <w:t>A.</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Frequency of</w:t>
        </w:r>
        <w:r w:rsidRPr="00D41570">
          <w:rPr>
            <w:rStyle w:val="Hyperlink"/>
            <w:rFonts w:ascii="Times New Roman" w:hAnsi="Times New Roman" w:cs="Times New Roman"/>
            <w:b w:val="0"/>
            <w:bCs w:val="0"/>
            <w:noProof/>
            <w:spacing w:val="1"/>
            <w:sz w:val="24"/>
            <w:szCs w:val="24"/>
          </w:rPr>
          <w:t xml:space="preserve"> </w:t>
        </w:r>
        <w:r w:rsidRPr="00D41570">
          <w:rPr>
            <w:rStyle w:val="Hyperlink"/>
            <w:rFonts w:ascii="Times New Roman" w:hAnsi="Times New Roman" w:cs="Times New Roman"/>
            <w:b w:val="0"/>
            <w:bCs w:val="0"/>
            <w:noProof/>
            <w:sz w:val="24"/>
            <w:szCs w:val="24"/>
          </w:rPr>
          <w:t>Cleaning</w:t>
        </w:r>
        <w:r w:rsidRPr="00D41570">
          <w:rPr>
            <w:rStyle w:val="Hyperlink"/>
            <w:rFonts w:ascii="Times New Roman" w:hAnsi="Times New Roman" w:cs="Times New Roman"/>
            <w:b w:val="0"/>
            <w:bCs w:val="0"/>
            <w:noProof/>
            <w:spacing w:val="-3"/>
            <w:sz w:val="24"/>
            <w:szCs w:val="24"/>
          </w:rPr>
          <w:t xml:space="preserve"> </w:t>
        </w:r>
        <w:r w:rsidRPr="00D41570">
          <w:rPr>
            <w:rStyle w:val="Hyperlink"/>
            <w:rFonts w:ascii="Times New Roman" w:hAnsi="Times New Roman" w:cs="Times New Roman"/>
            <w:b w:val="0"/>
            <w:bCs w:val="0"/>
            <w:noProof/>
            <w:sz w:val="24"/>
            <w:szCs w:val="24"/>
          </w:rPr>
          <w:t>and Sanitizing</w:t>
        </w:r>
      </w:hyperlink>
    </w:p>
    <w:p w:rsidR="006620C8" w:rsidRPr="00D41570" w14:paraId="2A4F0AB3" w14:textId="532D1727">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24" w:history="1">
        <w:r w:rsidRPr="00D41570">
          <w:rPr>
            <w:rStyle w:val="Hyperlink"/>
            <w:rFonts w:ascii="Times New Roman" w:hAnsi="Times New Roman" w:cs="Times New Roman"/>
            <w:b w:val="0"/>
            <w:bCs w:val="0"/>
            <w:noProof/>
            <w:sz w:val="24"/>
            <w:szCs w:val="24"/>
          </w:rPr>
          <w:t>B.</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Cleaning and Sanitizing Policies and Recordkeeping</w:t>
        </w:r>
      </w:hyperlink>
    </w:p>
    <w:p w:rsidR="006620C8" w:rsidRPr="00D41570" w14:paraId="355A4B1F" w14:textId="7BA834BC">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25" w:history="1">
        <w:r w:rsidRPr="00D41570">
          <w:rPr>
            <w:rStyle w:val="Hyperlink"/>
            <w:rFonts w:ascii="Times New Roman" w:hAnsi="Times New Roman" w:cs="Times New Roman"/>
            <w:b w:val="0"/>
            <w:bCs w:val="0"/>
            <w:noProof/>
            <w:sz w:val="24"/>
            <w:szCs w:val="24"/>
          </w:rPr>
          <w:t>C.</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Cleaning</w:t>
        </w:r>
      </w:hyperlink>
    </w:p>
    <w:p w:rsidR="006620C8" w:rsidRPr="00D41570" w14:paraId="6400B2C9" w14:textId="2837030F">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26" w:history="1">
        <w:r w:rsidRPr="00D41570">
          <w:rPr>
            <w:rStyle w:val="Hyperlink"/>
            <w:rFonts w:ascii="Times New Roman" w:hAnsi="Times New Roman" w:cs="Times New Roman"/>
            <w:b w:val="0"/>
            <w:bCs w:val="0"/>
            <w:noProof/>
            <w:sz w:val="24"/>
            <w:szCs w:val="24"/>
          </w:rPr>
          <w:t>D.</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Sanitizing</w:t>
        </w:r>
      </w:hyperlink>
    </w:p>
    <w:p w:rsidR="006620C8" w:rsidRPr="00D41570" w14:paraId="09D7B0A6" w14:textId="162ECC8C">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27" w:history="1">
        <w:r w:rsidRPr="00D41570">
          <w:rPr>
            <w:rStyle w:val="Hyperlink"/>
            <w:rFonts w:ascii="Times New Roman" w:hAnsi="Times New Roman" w:cs="Times New Roman"/>
            <w:b w:val="0"/>
            <w:bCs w:val="0"/>
            <w:noProof/>
            <w:sz w:val="24"/>
            <w:szCs w:val="24"/>
          </w:rPr>
          <w:t>E.</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Verification of</w:t>
        </w:r>
        <w:r w:rsidRPr="00D41570">
          <w:rPr>
            <w:rStyle w:val="Hyperlink"/>
            <w:rFonts w:ascii="Times New Roman" w:hAnsi="Times New Roman" w:cs="Times New Roman"/>
            <w:b w:val="0"/>
            <w:bCs w:val="0"/>
            <w:noProof/>
            <w:spacing w:val="1"/>
            <w:sz w:val="24"/>
            <w:szCs w:val="24"/>
          </w:rPr>
          <w:t xml:space="preserve"> </w:t>
        </w:r>
        <w:r w:rsidRPr="00D41570">
          <w:rPr>
            <w:rStyle w:val="Hyperlink"/>
            <w:rFonts w:ascii="Times New Roman" w:hAnsi="Times New Roman" w:cs="Times New Roman"/>
            <w:b w:val="0"/>
            <w:bCs w:val="0"/>
            <w:noProof/>
            <w:sz w:val="24"/>
            <w:szCs w:val="24"/>
          </w:rPr>
          <w:t>Cleaning and Sanitizing</w:t>
        </w:r>
      </w:hyperlink>
    </w:p>
    <w:p w:rsidR="006620C8" w:rsidRPr="00D41570" w14:paraId="32A08BCD" w14:textId="22810B89">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28" w:history="1">
        <w:r w:rsidRPr="00D41570">
          <w:rPr>
            <w:rStyle w:val="Hyperlink"/>
            <w:rFonts w:ascii="Times New Roman" w:hAnsi="Times New Roman" w:cs="Times New Roman"/>
            <w:b w:val="0"/>
            <w:bCs w:val="0"/>
            <w:noProof/>
            <w:sz w:val="24"/>
            <w:szCs w:val="24"/>
          </w:rPr>
          <w:t>F.</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Cleaning and</w:t>
        </w:r>
        <w:r w:rsidRPr="00D41570">
          <w:rPr>
            <w:rStyle w:val="Hyperlink"/>
            <w:rFonts w:ascii="Times New Roman" w:hAnsi="Times New Roman" w:cs="Times New Roman"/>
            <w:b w:val="0"/>
            <w:bCs w:val="0"/>
            <w:noProof/>
            <w:spacing w:val="-2"/>
            <w:sz w:val="24"/>
            <w:szCs w:val="24"/>
          </w:rPr>
          <w:t xml:space="preserve"> </w:t>
        </w:r>
        <w:r w:rsidRPr="00D41570">
          <w:rPr>
            <w:rStyle w:val="Hyperlink"/>
            <w:rFonts w:ascii="Times New Roman" w:hAnsi="Times New Roman" w:cs="Times New Roman"/>
            <w:b w:val="0"/>
            <w:bCs w:val="0"/>
            <w:noProof/>
            <w:sz w:val="24"/>
            <w:szCs w:val="24"/>
          </w:rPr>
          <w:t>Sanitizing</w:t>
        </w:r>
        <w:r w:rsidRPr="00D41570">
          <w:rPr>
            <w:rStyle w:val="Hyperlink"/>
            <w:rFonts w:ascii="Times New Roman" w:hAnsi="Times New Roman" w:cs="Times New Roman"/>
            <w:b w:val="0"/>
            <w:bCs w:val="0"/>
            <w:noProof/>
            <w:spacing w:val="-3"/>
            <w:sz w:val="24"/>
            <w:szCs w:val="24"/>
          </w:rPr>
          <w:t xml:space="preserve"> </w:t>
        </w:r>
        <w:r w:rsidRPr="00D41570">
          <w:rPr>
            <w:rStyle w:val="Hyperlink"/>
            <w:rFonts w:ascii="Times New Roman" w:hAnsi="Times New Roman" w:cs="Times New Roman"/>
            <w:b w:val="0"/>
            <w:bCs w:val="0"/>
            <w:noProof/>
            <w:sz w:val="24"/>
            <w:szCs w:val="24"/>
          </w:rPr>
          <w:t>Conducted in Response to Suspected or</w:t>
        </w:r>
        <w:r w:rsidRPr="00D41570">
          <w:rPr>
            <w:rStyle w:val="Hyperlink"/>
            <w:rFonts w:ascii="Times New Roman" w:hAnsi="Times New Roman" w:cs="Times New Roman"/>
            <w:b w:val="0"/>
            <w:bCs w:val="0"/>
            <w:noProof/>
            <w:spacing w:val="1"/>
            <w:sz w:val="24"/>
            <w:szCs w:val="24"/>
          </w:rPr>
          <w:t xml:space="preserve"> </w:t>
        </w:r>
        <w:r w:rsidRPr="00D41570">
          <w:rPr>
            <w:rStyle w:val="Hyperlink"/>
            <w:rFonts w:ascii="Times New Roman" w:hAnsi="Times New Roman" w:cs="Times New Roman"/>
            <w:b w:val="0"/>
            <w:bCs w:val="0"/>
            <w:noProof/>
            <w:sz w:val="24"/>
            <w:szCs w:val="24"/>
          </w:rPr>
          <w:t>Known</w:t>
        </w:r>
        <w:r w:rsidRPr="00D41570">
          <w:rPr>
            <w:rStyle w:val="Hyperlink"/>
            <w:rFonts w:ascii="Times New Roman" w:hAnsi="Times New Roman" w:cs="Times New Roman"/>
            <w:b w:val="0"/>
            <w:bCs w:val="0"/>
            <w:noProof/>
            <w:spacing w:val="65"/>
            <w:sz w:val="24"/>
            <w:szCs w:val="24"/>
          </w:rPr>
          <w:t xml:space="preserve"> </w:t>
        </w:r>
        <w:r w:rsidRPr="00D41570">
          <w:rPr>
            <w:rStyle w:val="Hyperlink"/>
            <w:rFonts w:ascii="Times New Roman" w:hAnsi="Times New Roman" w:cs="Times New Roman"/>
            <w:b w:val="0"/>
            <w:bCs w:val="0"/>
            <w:noProof/>
            <w:sz w:val="24"/>
            <w:szCs w:val="24"/>
          </w:rPr>
          <w:t>Contamination</w:t>
        </w:r>
      </w:hyperlink>
    </w:p>
    <w:p w:rsidR="006620C8" w:rsidRPr="004E29CD" w:rsidP="00A16344" w14:paraId="541FF37D" w14:textId="796EF11F">
      <w:pPr>
        <w:pStyle w:val="TOC1"/>
        <w:rPr>
          <w:rFonts w:eastAsiaTheme="minorEastAsia"/>
          <w:noProof/>
        </w:rPr>
      </w:pPr>
      <w:hyperlink w:anchor="_Toc106094929" w:history="1">
        <w:r w:rsidRPr="004E29CD">
          <w:rPr>
            <w:rStyle w:val="Hyperlink"/>
            <w:rFonts w:ascii="Times New Roman" w:hAnsi="Times New Roman" w:cs="Times New Roman"/>
            <w:b w:val="0"/>
            <w:bCs w:val="0"/>
            <w:i w:val="0"/>
            <w:iCs w:val="0"/>
            <w:noProof/>
            <w:sz w:val="28"/>
            <w:szCs w:val="28"/>
          </w:rPr>
          <w:t>IV.</w:t>
        </w:r>
        <w:r w:rsidRPr="004E29CD">
          <w:rPr>
            <w:rFonts w:eastAsiaTheme="minorEastAsia"/>
            <w:noProof/>
          </w:rPr>
          <w:tab/>
        </w:r>
        <w:r w:rsidRPr="004E29CD">
          <w:rPr>
            <w:rStyle w:val="Hyperlink"/>
            <w:rFonts w:ascii="Times New Roman" w:hAnsi="Times New Roman" w:cs="Times New Roman"/>
            <w:b w:val="0"/>
            <w:bCs w:val="0"/>
            <w:i w:val="0"/>
            <w:iCs w:val="0"/>
            <w:noProof/>
            <w:sz w:val="28"/>
            <w:szCs w:val="28"/>
          </w:rPr>
          <w:t>Agricultural</w:t>
        </w:r>
        <w:r w:rsidRPr="004E29CD">
          <w:rPr>
            <w:rStyle w:val="Hyperlink"/>
            <w:rFonts w:ascii="Times New Roman" w:hAnsi="Times New Roman" w:cs="Times New Roman"/>
            <w:b w:val="0"/>
            <w:bCs w:val="0"/>
            <w:i w:val="0"/>
            <w:iCs w:val="0"/>
            <w:noProof/>
            <w:spacing w:val="-13"/>
            <w:sz w:val="28"/>
            <w:szCs w:val="28"/>
          </w:rPr>
          <w:t xml:space="preserve"> </w:t>
        </w:r>
        <w:r w:rsidRPr="004E29CD">
          <w:rPr>
            <w:rStyle w:val="Hyperlink"/>
            <w:rFonts w:ascii="Times New Roman" w:hAnsi="Times New Roman" w:cs="Times New Roman"/>
            <w:b w:val="0"/>
            <w:bCs w:val="0"/>
            <w:i w:val="0"/>
            <w:iCs w:val="0"/>
            <w:noProof/>
            <w:sz w:val="28"/>
            <w:szCs w:val="28"/>
          </w:rPr>
          <w:t>Water</w:t>
        </w:r>
        <w:r w:rsidRPr="004E29CD">
          <w:rPr>
            <w:rStyle w:val="Hyperlink"/>
            <w:rFonts w:ascii="Times New Roman" w:hAnsi="Times New Roman" w:cs="Times New Roman"/>
            <w:b w:val="0"/>
            <w:bCs w:val="0"/>
            <w:i w:val="0"/>
            <w:iCs w:val="0"/>
            <w:noProof/>
            <w:spacing w:val="-14"/>
            <w:sz w:val="28"/>
            <w:szCs w:val="28"/>
          </w:rPr>
          <w:t xml:space="preserve"> </w:t>
        </w:r>
        <w:r w:rsidRPr="004E29CD">
          <w:rPr>
            <w:rStyle w:val="Hyperlink"/>
            <w:rFonts w:ascii="Times New Roman" w:hAnsi="Times New Roman" w:cs="Times New Roman"/>
            <w:b w:val="0"/>
            <w:bCs w:val="0"/>
            <w:i w:val="0"/>
            <w:iCs w:val="0"/>
            <w:noProof/>
            <w:sz w:val="28"/>
            <w:szCs w:val="28"/>
          </w:rPr>
          <w:t>in</w:t>
        </w:r>
        <w:r w:rsidRPr="004E29CD">
          <w:rPr>
            <w:rStyle w:val="Hyperlink"/>
            <w:rFonts w:ascii="Times New Roman" w:hAnsi="Times New Roman" w:cs="Times New Roman"/>
            <w:b w:val="0"/>
            <w:bCs w:val="0"/>
            <w:i w:val="0"/>
            <w:iCs w:val="0"/>
            <w:noProof/>
            <w:spacing w:val="-14"/>
            <w:sz w:val="28"/>
            <w:szCs w:val="28"/>
          </w:rPr>
          <w:t xml:space="preserve"> </w:t>
        </w:r>
        <w:r w:rsidRPr="004E29CD">
          <w:rPr>
            <w:rStyle w:val="Hyperlink"/>
            <w:rFonts w:ascii="Times New Roman" w:hAnsi="Times New Roman" w:cs="Times New Roman"/>
            <w:b w:val="0"/>
            <w:bCs w:val="0"/>
            <w:i w:val="0"/>
            <w:iCs w:val="0"/>
            <w:noProof/>
            <w:sz w:val="28"/>
            <w:szCs w:val="28"/>
          </w:rPr>
          <w:t>Sprout</w:t>
        </w:r>
        <w:r w:rsidRPr="004E29CD">
          <w:rPr>
            <w:rStyle w:val="Hyperlink"/>
            <w:rFonts w:ascii="Times New Roman" w:hAnsi="Times New Roman" w:cs="Times New Roman"/>
            <w:b w:val="0"/>
            <w:bCs w:val="0"/>
            <w:i w:val="0"/>
            <w:iCs w:val="0"/>
            <w:noProof/>
            <w:spacing w:val="-13"/>
            <w:sz w:val="28"/>
            <w:szCs w:val="28"/>
          </w:rPr>
          <w:t xml:space="preserve"> </w:t>
        </w:r>
        <w:r w:rsidRPr="004E29CD">
          <w:rPr>
            <w:rStyle w:val="Hyperlink"/>
            <w:rFonts w:ascii="Times New Roman" w:hAnsi="Times New Roman" w:cs="Times New Roman"/>
            <w:b w:val="0"/>
            <w:bCs w:val="0"/>
            <w:i w:val="0"/>
            <w:iCs w:val="0"/>
            <w:noProof/>
            <w:sz w:val="28"/>
            <w:szCs w:val="28"/>
          </w:rPr>
          <w:t>Operations</w:t>
        </w:r>
      </w:hyperlink>
    </w:p>
    <w:p w:rsidR="006620C8" w:rsidRPr="00D41570" w:rsidP="00BB7D41" w14:paraId="68CCEF34" w14:textId="1B7E6E77">
      <w:pPr>
        <w:pStyle w:val="TOC2"/>
        <w:tabs>
          <w:tab w:val="left" w:pos="660"/>
          <w:tab w:val="right" w:leader="underscore" w:pos="9350"/>
        </w:tabs>
        <w:ind w:left="720" w:hanging="540"/>
        <w:rPr>
          <w:rFonts w:ascii="Times New Roman" w:hAnsi="Times New Roman" w:eastAsiaTheme="minorEastAsia" w:cs="Times New Roman"/>
          <w:b w:val="0"/>
          <w:bCs w:val="0"/>
          <w:noProof/>
          <w:sz w:val="24"/>
          <w:szCs w:val="24"/>
        </w:rPr>
      </w:pPr>
      <w:hyperlink w:anchor="_Toc106094930" w:history="1">
        <w:r w:rsidRPr="00D41570">
          <w:rPr>
            <w:rStyle w:val="Hyperlink"/>
            <w:rFonts w:ascii="Times New Roman" w:hAnsi="Times New Roman" w:cs="Times New Roman"/>
            <w:b w:val="0"/>
            <w:bCs w:val="0"/>
            <w:noProof/>
            <w:sz w:val="24"/>
            <w:szCs w:val="24"/>
          </w:rPr>
          <w:t>A.</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Numerical Microbial Quality Criterion for Agricultural Water Used in a</w:t>
        </w:r>
        <w:r w:rsidRPr="00D41570">
          <w:rPr>
            <w:rStyle w:val="Hyperlink"/>
            <w:rFonts w:ascii="Times New Roman" w:hAnsi="Times New Roman" w:cs="Times New Roman"/>
            <w:b w:val="0"/>
            <w:bCs w:val="0"/>
            <w:noProof/>
            <w:spacing w:val="73"/>
            <w:sz w:val="24"/>
            <w:szCs w:val="24"/>
          </w:rPr>
          <w:t xml:space="preserve"> </w:t>
        </w:r>
        <w:r w:rsidRPr="00D41570">
          <w:rPr>
            <w:rStyle w:val="Hyperlink"/>
            <w:rFonts w:ascii="Times New Roman" w:hAnsi="Times New Roman" w:cs="Times New Roman"/>
            <w:b w:val="0"/>
            <w:bCs w:val="0"/>
            <w:noProof/>
            <w:sz w:val="24"/>
            <w:szCs w:val="24"/>
          </w:rPr>
          <w:t>Sprouting Operation (§ 112.44(a))</w:t>
        </w:r>
      </w:hyperlink>
    </w:p>
    <w:p w:rsidR="006620C8" w:rsidRPr="00D41570" w14:paraId="19019435" w14:textId="00B82B97">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31" w:history="1">
        <w:r w:rsidRPr="00D41570">
          <w:rPr>
            <w:rStyle w:val="Hyperlink"/>
            <w:rFonts w:ascii="Times New Roman" w:hAnsi="Times New Roman" w:cs="Times New Roman"/>
            <w:b w:val="0"/>
            <w:bCs w:val="0"/>
            <w:noProof/>
            <w:sz w:val="24"/>
            <w:szCs w:val="24"/>
          </w:rPr>
          <w:t>B.</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Agricultural Water Source Type and Treatment</w:t>
        </w:r>
        <w:r w:rsidRPr="00D41570">
          <w:rPr>
            <w:rStyle w:val="Hyperlink"/>
            <w:rFonts w:ascii="Times New Roman" w:hAnsi="Times New Roman" w:cs="Times New Roman"/>
            <w:b w:val="0"/>
            <w:bCs w:val="0"/>
            <w:noProof/>
            <w:spacing w:val="1"/>
            <w:sz w:val="24"/>
            <w:szCs w:val="24"/>
          </w:rPr>
          <w:t xml:space="preserve"> </w:t>
        </w:r>
        <w:r w:rsidRPr="00D41570">
          <w:rPr>
            <w:rStyle w:val="Hyperlink"/>
            <w:rFonts w:ascii="Times New Roman" w:hAnsi="Times New Roman" w:cs="Times New Roman"/>
            <w:b w:val="0"/>
            <w:bCs w:val="0"/>
            <w:noProof/>
            <w:sz w:val="24"/>
            <w:szCs w:val="24"/>
          </w:rPr>
          <w:t>Status</w:t>
        </w:r>
      </w:hyperlink>
    </w:p>
    <w:p w:rsidR="006620C8" w:rsidRPr="00D41570" w14:paraId="6C9F6176" w14:textId="504A51E0">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32" w:history="1">
        <w:r w:rsidRPr="00D41570">
          <w:rPr>
            <w:rStyle w:val="Hyperlink"/>
            <w:rFonts w:ascii="Times New Roman" w:hAnsi="Times New Roman" w:cs="Times New Roman"/>
            <w:b w:val="0"/>
            <w:bCs w:val="0"/>
            <w:noProof/>
            <w:sz w:val="24"/>
            <w:szCs w:val="24"/>
          </w:rPr>
          <w:t>C.</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 xml:space="preserve">Safe and </w:t>
        </w:r>
        <w:r w:rsidRPr="00D41570">
          <w:rPr>
            <w:rStyle w:val="Hyperlink"/>
            <w:rFonts w:ascii="Times New Roman" w:hAnsi="Times New Roman" w:cs="Times New Roman"/>
            <w:b w:val="0"/>
            <w:bCs w:val="0"/>
            <w:noProof/>
            <w:spacing w:val="-2"/>
            <w:sz w:val="24"/>
            <w:szCs w:val="24"/>
          </w:rPr>
          <w:t>of</w:t>
        </w:r>
        <w:r w:rsidRPr="00D41570">
          <w:rPr>
            <w:rStyle w:val="Hyperlink"/>
            <w:rFonts w:ascii="Times New Roman" w:hAnsi="Times New Roman" w:cs="Times New Roman"/>
            <w:b w:val="0"/>
            <w:bCs w:val="0"/>
            <w:noProof/>
            <w:spacing w:val="1"/>
            <w:sz w:val="24"/>
            <w:szCs w:val="24"/>
          </w:rPr>
          <w:t xml:space="preserve"> </w:t>
        </w:r>
        <w:r w:rsidRPr="00D41570">
          <w:rPr>
            <w:rStyle w:val="Hyperlink"/>
            <w:rFonts w:ascii="Times New Roman" w:hAnsi="Times New Roman" w:cs="Times New Roman"/>
            <w:b w:val="0"/>
            <w:bCs w:val="0"/>
            <w:noProof/>
            <w:sz w:val="24"/>
            <w:szCs w:val="24"/>
          </w:rPr>
          <w:t>Adequate Sanitary Quality for Its Intended Use (§ 112.41)</w:t>
        </w:r>
      </w:hyperlink>
    </w:p>
    <w:p w:rsidR="006620C8" w:rsidRPr="00D41570" w14:paraId="396ACC27" w14:textId="34E803F7">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33" w:history="1">
        <w:r w:rsidRPr="00D41570">
          <w:rPr>
            <w:rStyle w:val="Hyperlink"/>
            <w:rFonts w:ascii="Times New Roman" w:hAnsi="Times New Roman" w:cs="Times New Roman"/>
            <w:b w:val="0"/>
            <w:bCs w:val="0"/>
            <w:noProof/>
            <w:sz w:val="24"/>
            <w:szCs w:val="24"/>
          </w:rPr>
          <w:t>D.</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Reuse of</w:t>
        </w:r>
        <w:r w:rsidRPr="00D41570">
          <w:rPr>
            <w:rStyle w:val="Hyperlink"/>
            <w:rFonts w:ascii="Times New Roman" w:hAnsi="Times New Roman" w:cs="Times New Roman"/>
            <w:b w:val="0"/>
            <w:bCs w:val="0"/>
            <w:noProof/>
            <w:spacing w:val="1"/>
            <w:sz w:val="24"/>
            <w:szCs w:val="24"/>
          </w:rPr>
          <w:t xml:space="preserve"> </w:t>
        </w:r>
        <w:r w:rsidRPr="00D41570">
          <w:rPr>
            <w:rStyle w:val="Hyperlink"/>
            <w:rFonts w:ascii="Times New Roman" w:hAnsi="Times New Roman" w:cs="Times New Roman"/>
            <w:b w:val="0"/>
            <w:bCs w:val="0"/>
            <w:noProof/>
            <w:sz w:val="24"/>
            <w:szCs w:val="24"/>
          </w:rPr>
          <w:t>Sprout Irrigation Water</w:t>
        </w:r>
      </w:hyperlink>
    </w:p>
    <w:p w:rsidR="006620C8" w:rsidRPr="00D41570" w14:paraId="5126B761" w14:textId="75554C5D">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34" w:history="1">
        <w:r w:rsidRPr="00D41570">
          <w:rPr>
            <w:rStyle w:val="Hyperlink"/>
            <w:rFonts w:ascii="Times New Roman" w:hAnsi="Times New Roman" w:cs="Times New Roman"/>
            <w:b w:val="0"/>
            <w:bCs w:val="0"/>
            <w:noProof/>
            <w:sz w:val="24"/>
            <w:szCs w:val="24"/>
          </w:rPr>
          <w:t>E.</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Agricultural Water Testing Frequency, Sampling, and Test Methods</w:t>
        </w:r>
      </w:hyperlink>
    </w:p>
    <w:p w:rsidR="006620C8" w:rsidRPr="00D41570" w14:paraId="5555DB74" w14:textId="3D0F22C0">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35" w:history="1">
        <w:r w:rsidRPr="00D41570">
          <w:rPr>
            <w:rStyle w:val="Hyperlink"/>
            <w:rFonts w:ascii="Times New Roman" w:hAnsi="Times New Roman" w:cs="Times New Roman"/>
            <w:b w:val="0"/>
            <w:bCs w:val="0"/>
            <w:noProof/>
            <w:sz w:val="24"/>
            <w:szCs w:val="24"/>
          </w:rPr>
          <w:t>F.</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Post-Harvest Water Management</w:t>
        </w:r>
      </w:hyperlink>
    </w:p>
    <w:p w:rsidR="006620C8" w:rsidRPr="004E29CD" w:rsidP="00A16344" w14:paraId="59D0DB76" w14:textId="1ECCEA94">
      <w:pPr>
        <w:pStyle w:val="TOC1"/>
        <w:rPr>
          <w:rFonts w:ascii="Times New Roman" w:hAnsi="Times New Roman" w:eastAsiaTheme="minorEastAsia" w:cs="Times New Roman"/>
          <w:noProof/>
          <w:sz w:val="28"/>
          <w:szCs w:val="28"/>
        </w:rPr>
      </w:pPr>
      <w:hyperlink w:anchor="_Toc106094936" w:history="1">
        <w:r w:rsidRPr="004E29CD">
          <w:rPr>
            <w:rStyle w:val="Hyperlink"/>
            <w:rFonts w:ascii="Times New Roman" w:hAnsi="Times New Roman" w:cs="Times New Roman"/>
            <w:b w:val="0"/>
            <w:bCs w:val="0"/>
            <w:i w:val="0"/>
            <w:iCs w:val="0"/>
            <w:noProof/>
            <w:sz w:val="28"/>
            <w:szCs w:val="28"/>
          </w:rPr>
          <w:t>V.</w:t>
        </w:r>
        <w:r w:rsidRPr="004E29CD">
          <w:rPr>
            <w:rFonts w:ascii="Times New Roman" w:hAnsi="Times New Roman" w:eastAsiaTheme="minorEastAsia" w:cs="Times New Roman"/>
            <w:noProof/>
            <w:sz w:val="28"/>
            <w:szCs w:val="28"/>
          </w:rPr>
          <w:tab/>
        </w:r>
        <w:r w:rsidRPr="004E29CD">
          <w:rPr>
            <w:rStyle w:val="Hyperlink"/>
            <w:rFonts w:ascii="Times New Roman" w:hAnsi="Times New Roman" w:cs="Times New Roman"/>
            <w:b w:val="0"/>
            <w:bCs w:val="0"/>
            <w:i w:val="0"/>
            <w:iCs w:val="0"/>
            <w:noProof/>
            <w:sz w:val="28"/>
            <w:szCs w:val="28"/>
          </w:rPr>
          <w:t>Seeds for Sprouting</w:t>
        </w:r>
      </w:hyperlink>
    </w:p>
    <w:p w:rsidR="006620C8" w:rsidRPr="00D41570" w14:paraId="3C803467" w14:textId="32602C9A">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37" w:history="1">
        <w:r w:rsidRPr="00D41570">
          <w:rPr>
            <w:rStyle w:val="Hyperlink"/>
            <w:rFonts w:ascii="Times New Roman" w:hAnsi="Times New Roman" w:cs="Times New Roman"/>
            <w:b w:val="0"/>
            <w:bCs w:val="0"/>
            <w:noProof/>
            <w:sz w:val="24"/>
            <w:szCs w:val="24"/>
          </w:rPr>
          <w:t>A.</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Seed Sourcing, Receiving, Handling and Storage</w:t>
        </w:r>
      </w:hyperlink>
    </w:p>
    <w:p w:rsidR="006620C8" w:rsidRPr="005D0833" w14:paraId="1D673AE5" w14:textId="2B931627">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38"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1.</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Seed Sourcing</w:t>
        </w:r>
      </w:hyperlink>
    </w:p>
    <w:p w:rsidR="006620C8" w:rsidRPr="005D0833" w14:paraId="1C4B371D" w14:textId="6EB631A1">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39"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2.</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Seed receiving</w:t>
        </w:r>
      </w:hyperlink>
    </w:p>
    <w:p w:rsidR="006620C8" w:rsidRPr="005D0833" w14:paraId="0C8E17CC" w14:textId="76BD6691">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40"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3.</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Visual inspection of seeds and their packaging</w:t>
        </w:r>
      </w:hyperlink>
    </w:p>
    <w:p w:rsidR="006620C8" w:rsidRPr="005D0833" w14:paraId="4233B2CB" w14:textId="4700D658">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41"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4.</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Seed testing</w:t>
        </w:r>
      </w:hyperlink>
    </w:p>
    <w:p w:rsidR="006620C8" w:rsidRPr="005D0833" w14:paraId="545EECBD" w14:textId="5A7D2C46">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42"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5.</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Seed storage</w:t>
        </w:r>
      </w:hyperlink>
    </w:p>
    <w:p w:rsidR="006620C8" w:rsidRPr="00D41570" w14:paraId="58ACE414" w14:textId="33872C82">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43" w:history="1">
        <w:r w:rsidRPr="00D41570">
          <w:rPr>
            <w:rStyle w:val="Hyperlink"/>
            <w:rFonts w:ascii="Times New Roman" w:hAnsi="Times New Roman" w:cs="Times New Roman"/>
            <w:b w:val="0"/>
            <w:bCs w:val="0"/>
            <w:noProof/>
            <w:sz w:val="24"/>
            <w:szCs w:val="24"/>
          </w:rPr>
          <w:t>B.</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Seed Treatment</w:t>
        </w:r>
      </w:hyperlink>
    </w:p>
    <w:p w:rsidR="006620C8" w:rsidRPr="005D0833" w14:paraId="7BB6AFCC" w14:textId="53079904">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44"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1.</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Choosing a seed treatment</w:t>
        </w:r>
      </w:hyperlink>
    </w:p>
    <w:p w:rsidR="006620C8" w:rsidRPr="005D0833" w14:paraId="2A8331D4" w14:textId="63EA408B">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45"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2.</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Seed treatment efficacy</w:t>
        </w:r>
      </w:hyperlink>
    </w:p>
    <w:p w:rsidR="006620C8" w:rsidRPr="005D0833" w14:paraId="061B4A4A" w14:textId="1CA93025">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46"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3.</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Using pre-treated seeds</w:t>
        </w:r>
      </w:hyperlink>
    </w:p>
    <w:p w:rsidR="006620C8" w:rsidRPr="005D0833" w14:paraId="5FFDBC2B" w14:textId="639DED40">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47"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4.</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Additional considerations for treating seeds for sprouting</w:t>
        </w:r>
      </w:hyperlink>
    </w:p>
    <w:p w:rsidR="006620C8" w:rsidRPr="00D41570" w14:paraId="24289BCF" w14:textId="6C95DC41">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48" w:history="1">
        <w:r w:rsidRPr="00D41570">
          <w:rPr>
            <w:rStyle w:val="Hyperlink"/>
            <w:rFonts w:ascii="Times New Roman" w:hAnsi="Times New Roman" w:cs="Times New Roman"/>
            <w:b w:val="0"/>
            <w:bCs w:val="0"/>
            <w:noProof/>
            <w:sz w:val="24"/>
            <w:szCs w:val="24"/>
          </w:rPr>
          <w:t>C.</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Corrective Actions for Seeds That May Be Contaminated with a Pathogen</w:t>
        </w:r>
      </w:hyperlink>
    </w:p>
    <w:p w:rsidR="006620C8" w:rsidRPr="006256E4" w:rsidP="00A16344" w14:paraId="44EE140A" w14:textId="577F178B">
      <w:pPr>
        <w:pStyle w:val="TOC1"/>
        <w:rPr>
          <w:rFonts w:ascii="Times New Roman" w:hAnsi="Times New Roman" w:eastAsiaTheme="minorEastAsia" w:cs="Times New Roman"/>
          <w:noProof/>
          <w:sz w:val="28"/>
          <w:szCs w:val="28"/>
        </w:rPr>
      </w:pPr>
      <w:hyperlink w:anchor="_Toc106094949" w:history="1">
        <w:r w:rsidRPr="006256E4">
          <w:rPr>
            <w:rStyle w:val="Hyperlink"/>
            <w:rFonts w:ascii="Times New Roman" w:hAnsi="Times New Roman" w:cs="Times New Roman"/>
            <w:b w:val="0"/>
            <w:bCs w:val="0"/>
            <w:i w:val="0"/>
            <w:iCs w:val="0"/>
            <w:noProof/>
            <w:sz w:val="28"/>
            <w:szCs w:val="28"/>
          </w:rPr>
          <w:t>VI.</w:t>
        </w:r>
        <w:r w:rsidRPr="006256E4">
          <w:rPr>
            <w:rFonts w:ascii="Times New Roman" w:hAnsi="Times New Roman" w:eastAsiaTheme="minorEastAsia" w:cs="Times New Roman"/>
            <w:noProof/>
            <w:sz w:val="28"/>
            <w:szCs w:val="28"/>
          </w:rPr>
          <w:tab/>
        </w:r>
        <w:r w:rsidRPr="006256E4">
          <w:rPr>
            <w:rStyle w:val="Hyperlink"/>
            <w:rFonts w:ascii="Times New Roman" w:hAnsi="Times New Roman" w:cs="Times New Roman"/>
            <w:b w:val="0"/>
            <w:bCs w:val="0"/>
            <w:i w:val="0"/>
            <w:iCs w:val="0"/>
            <w:noProof/>
            <w:sz w:val="28"/>
            <w:szCs w:val="28"/>
          </w:rPr>
          <w:t>Environmental Monitoring</w:t>
        </w:r>
      </w:hyperlink>
    </w:p>
    <w:p w:rsidR="006620C8" w:rsidRPr="00D41570" w14:paraId="7C83942D" w14:textId="25D41B14">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50" w:history="1">
        <w:r w:rsidRPr="00D41570">
          <w:rPr>
            <w:rStyle w:val="Hyperlink"/>
            <w:rFonts w:ascii="Times New Roman" w:hAnsi="Times New Roman" w:cs="Times New Roman"/>
            <w:b w:val="0"/>
            <w:bCs w:val="0"/>
            <w:noProof/>
            <w:sz w:val="24"/>
            <w:szCs w:val="24"/>
          </w:rPr>
          <w:t>A.</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Principles for Developing an Environmental Monitoring Plan</w:t>
        </w:r>
      </w:hyperlink>
    </w:p>
    <w:p w:rsidR="006620C8" w:rsidRPr="00D41570" w14:paraId="5ED88CAA" w14:textId="3A3EC875">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51" w:history="1">
        <w:r w:rsidRPr="00D41570">
          <w:rPr>
            <w:rStyle w:val="Hyperlink"/>
            <w:rFonts w:ascii="Times New Roman" w:hAnsi="Times New Roman" w:cs="Times New Roman"/>
            <w:b w:val="0"/>
            <w:bCs w:val="0"/>
            <w:noProof/>
            <w:sz w:val="24"/>
            <w:szCs w:val="24"/>
          </w:rPr>
          <w:t>B.</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The Written Environmental Monitoring Plan</w:t>
        </w:r>
      </w:hyperlink>
    </w:p>
    <w:p w:rsidR="006620C8" w:rsidRPr="00D41570" w14:paraId="34993B96" w14:textId="41866777">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52" w:history="1">
        <w:r w:rsidRPr="00D41570">
          <w:rPr>
            <w:rStyle w:val="Hyperlink"/>
            <w:rFonts w:ascii="Times New Roman" w:hAnsi="Times New Roman" w:cs="Times New Roman"/>
            <w:b w:val="0"/>
            <w:bCs w:val="0"/>
            <w:noProof/>
            <w:sz w:val="24"/>
            <w:szCs w:val="24"/>
          </w:rPr>
          <w:t>C.</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Developing a Sampling Plan</w:t>
        </w:r>
      </w:hyperlink>
    </w:p>
    <w:p w:rsidR="006620C8" w:rsidRPr="00D41570" w14:paraId="758FBD8F" w14:textId="07486728">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53" w:history="1">
        <w:r w:rsidRPr="00D41570">
          <w:rPr>
            <w:rStyle w:val="Hyperlink"/>
            <w:rFonts w:ascii="Times New Roman" w:hAnsi="Times New Roman" w:cs="Times New Roman"/>
            <w:b w:val="0"/>
            <w:bCs w:val="0"/>
            <w:noProof/>
            <w:sz w:val="24"/>
            <w:szCs w:val="24"/>
          </w:rPr>
          <w:t>D.</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Testing for Listeria spp. or L. monocytogenes</w:t>
        </w:r>
      </w:hyperlink>
    </w:p>
    <w:p w:rsidR="006620C8" w:rsidRPr="00D41570" w14:paraId="26680F83" w14:textId="3C80C364">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54" w:history="1">
        <w:r w:rsidRPr="00D41570">
          <w:rPr>
            <w:rStyle w:val="Hyperlink"/>
            <w:rFonts w:ascii="Times New Roman" w:hAnsi="Times New Roman" w:cs="Times New Roman"/>
            <w:b w:val="0"/>
            <w:bCs w:val="0"/>
            <w:noProof/>
            <w:sz w:val="24"/>
            <w:szCs w:val="24"/>
          </w:rPr>
          <w:t>E.</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Person(s) Collecting Samples</w:t>
        </w:r>
      </w:hyperlink>
    </w:p>
    <w:p w:rsidR="006620C8" w:rsidRPr="00D41570" w14:paraId="0127D21C" w14:textId="220FF2CC">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55" w:history="1">
        <w:r w:rsidRPr="00D41570">
          <w:rPr>
            <w:rStyle w:val="Hyperlink"/>
            <w:rFonts w:ascii="Times New Roman" w:hAnsi="Times New Roman" w:cs="Times New Roman"/>
            <w:b w:val="0"/>
            <w:bCs w:val="0"/>
            <w:noProof/>
            <w:sz w:val="24"/>
            <w:szCs w:val="24"/>
          </w:rPr>
          <w:t>F.</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Establishing Sample Collection Locations and Frequency</w:t>
        </w:r>
      </w:hyperlink>
    </w:p>
    <w:p w:rsidR="006620C8" w:rsidRPr="005D0833" w14:paraId="6FB43484" w14:textId="7C30B228">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56"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1.</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Identifying sample collection locations</w:t>
        </w:r>
      </w:hyperlink>
    </w:p>
    <w:p w:rsidR="006620C8" w:rsidRPr="005D0833" w:rsidP="006256E4" w14:paraId="6F4F9C92" w14:textId="0424602C">
      <w:pPr>
        <w:pStyle w:val="TOC3"/>
        <w:tabs>
          <w:tab w:val="left" w:pos="880"/>
          <w:tab w:val="right" w:leader="underscore" w:pos="9350"/>
        </w:tabs>
        <w:ind w:left="900" w:hanging="460"/>
        <w:rPr>
          <w:rFonts w:ascii="Times New Roman" w:hAnsi="Times New Roman" w:eastAsiaTheme="minorEastAsia" w:cs="Times New Roman"/>
          <w:i/>
          <w:iCs/>
          <w:noProof/>
          <w:sz w:val="22"/>
          <w:szCs w:val="22"/>
        </w:rPr>
      </w:pPr>
      <w:hyperlink w:anchor="_Toc106094957"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2.</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Deciding on the number of food contact surface and non-food contact surface sampling sites</w:t>
        </w:r>
      </w:hyperlink>
    </w:p>
    <w:p w:rsidR="006620C8" w:rsidRPr="005D0833" w14:paraId="5C3672B7" w14:textId="08F46814">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58"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3.</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Identifying sampling frequency</w:t>
        </w:r>
      </w:hyperlink>
    </w:p>
    <w:p w:rsidR="006620C8" w:rsidRPr="00D41570" w14:paraId="2FDBC30E" w14:textId="5569AE84">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59" w:history="1">
        <w:r w:rsidRPr="00D41570">
          <w:rPr>
            <w:rStyle w:val="Hyperlink"/>
            <w:rFonts w:ascii="Times New Roman" w:hAnsi="Times New Roman" w:cs="Times New Roman"/>
            <w:b w:val="0"/>
            <w:bCs w:val="0"/>
            <w:noProof/>
            <w:sz w:val="24"/>
            <w:szCs w:val="24"/>
          </w:rPr>
          <w:t>G.</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Timing of Sample Collection</w:t>
        </w:r>
      </w:hyperlink>
    </w:p>
    <w:p w:rsidR="006620C8" w:rsidRPr="00D41570" w14:paraId="1CD6AB22" w14:textId="35B024A4">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60" w:history="1">
        <w:r w:rsidRPr="00D41570">
          <w:rPr>
            <w:rStyle w:val="Hyperlink"/>
            <w:rFonts w:ascii="Times New Roman" w:hAnsi="Times New Roman" w:cs="Times New Roman"/>
            <w:b w:val="0"/>
            <w:bCs w:val="0"/>
            <w:noProof/>
            <w:sz w:val="24"/>
            <w:szCs w:val="24"/>
          </w:rPr>
          <w:t>H.</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Sample Collection and Shipping</w:t>
        </w:r>
      </w:hyperlink>
    </w:p>
    <w:p w:rsidR="006620C8" w:rsidRPr="00D41570" w14:paraId="726FEFEB" w14:textId="133F7D7F">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61" w:history="1">
        <w:r w:rsidRPr="00D41570">
          <w:rPr>
            <w:rStyle w:val="Hyperlink"/>
            <w:rFonts w:ascii="Times New Roman" w:hAnsi="Times New Roman" w:cs="Times New Roman"/>
            <w:b w:val="0"/>
            <w:bCs w:val="0"/>
            <w:noProof/>
            <w:sz w:val="24"/>
            <w:szCs w:val="24"/>
          </w:rPr>
          <w:t>I.</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Choosing a Laboratory</w:t>
        </w:r>
      </w:hyperlink>
    </w:p>
    <w:p w:rsidR="006620C8" w:rsidRPr="00D41570" w14:paraId="4B540FE5" w14:textId="6A27F15C">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62" w:history="1">
        <w:r w:rsidRPr="00D41570">
          <w:rPr>
            <w:rStyle w:val="Hyperlink"/>
            <w:rFonts w:ascii="Times New Roman" w:hAnsi="Times New Roman" w:cs="Times New Roman"/>
            <w:b w:val="0"/>
            <w:bCs w:val="0"/>
            <w:noProof/>
            <w:sz w:val="24"/>
            <w:szCs w:val="24"/>
          </w:rPr>
          <w:t>J.</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Choosing a Test Method for Listeria spp. or L. monocytogenes</w:t>
        </w:r>
      </w:hyperlink>
    </w:p>
    <w:p w:rsidR="006620C8" w:rsidRPr="00D41570" w14:paraId="72F2920A" w14:textId="122A535F">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63" w:history="1">
        <w:r w:rsidRPr="00D41570">
          <w:rPr>
            <w:rStyle w:val="Hyperlink"/>
            <w:rFonts w:ascii="Times New Roman" w:hAnsi="Times New Roman" w:cs="Times New Roman"/>
            <w:b w:val="0"/>
            <w:bCs w:val="0"/>
            <w:noProof/>
            <w:sz w:val="24"/>
            <w:szCs w:val="24"/>
          </w:rPr>
          <w:t>K.</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Documenting and Interpreting Test Results</w:t>
        </w:r>
      </w:hyperlink>
    </w:p>
    <w:p w:rsidR="006620C8" w:rsidRPr="005D0833" w14:paraId="5ED97F45" w14:textId="629BBDB8">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64"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1.</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Sampling plan that specifies testing for Listeria spp. (recommended approach)</w:t>
        </w:r>
      </w:hyperlink>
    </w:p>
    <w:p w:rsidR="006620C8" w:rsidRPr="005D0833" w14:paraId="58F45ACC" w14:textId="65270FCB">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65"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2.</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Sampling plan that includes testing for L. monocytogenes</w:t>
        </w:r>
      </w:hyperlink>
    </w:p>
    <w:p w:rsidR="006620C8" w:rsidRPr="00D41570" w14:paraId="314C310E" w14:textId="5AE24CA0">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66" w:history="1">
        <w:r w:rsidRPr="00D41570">
          <w:rPr>
            <w:rStyle w:val="Hyperlink"/>
            <w:rFonts w:ascii="Times New Roman" w:hAnsi="Times New Roman" w:cs="Times New Roman"/>
            <w:b w:val="0"/>
            <w:bCs w:val="0"/>
            <w:noProof/>
            <w:sz w:val="24"/>
            <w:szCs w:val="24"/>
          </w:rPr>
          <w:t>L.</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Developing a Corrective Action Plan and Taking Corrective Actions</w:t>
        </w:r>
      </w:hyperlink>
    </w:p>
    <w:p w:rsidR="006620C8" w:rsidRPr="005D0833" w14:paraId="5302C3F8" w14:textId="13320B70">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67"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1.</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Corrective action plan</w:t>
        </w:r>
      </w:hyperlink>
    </w:p>
    <w:p w:rsidR="006620C8" w:rsidRPr="005D0833" w14:paraId="2C24F1CA" w14:textId="0E2D90D9">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68"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2.</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Implementing corrective actions</w:t>
        </w:r>
      </w:hyperlink>
    </w:p>
    <w:p w:rsidR="006620C8" w:rsidRPr="005D0833" w14:paraId="205C8D0E" w14:textId="6653A2B7">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69"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3.</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Corrective actions if you detect Listeria spp. on a food contact surface</w:t>
        </w:r>
      </w:hyperlink>
    </w:p>
    <w:p w:rsidR="006620C8" w:rsidRPr="005D0833" w:rsidP="006256E4" w14:paraId="199C0E2E" w14:textId="6C78E0E0">
      <w:pPr>
        <w:pStyle w:val="TOC3"/>
        <w:tabs>
          <w:tab w:val="left" w:pos="880"/>
          <w:tab w:val="right" w:leader="underscore" w:pos="9350"/>
        </w:tabs>
        <w:ind w:left="900" w:hanging="450"/>
        <w:rPr>
          <w:rFonts w:ascii="Times New Roman" w:hAnsi="Times New Roman" w:eastAsiaTheme="minorEastAsia" w:cs="Times New Roman"/>
          <w:i/>
          <w:iCs/>
          <w:noProof/>
          <w:sz w:val="22"/>
          <w:szCs w:val="22"/>
        </w:rPr>
      </w:pPr>
      <w:hyperlink w:anchor="_Toc106094970"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4.</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Corrective actions if you detect Listeria monocytogenes on a food contact surface or non-food contact surface</w:t>
        </w:r>
      </w:hyperlink>
    </w:p>
    <w:p w:rsidR="006620C8" w:rsidRPr="005D0833" w14:paraId="12D8C81D" w14:textId="68FBD934">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71"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5.</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Corrective actions if you detect Listeria spp. on a non-food contact surface</w:t>
        </w:r>
      </w:hyperlink>
    </w:p>
    <w:p w:rsidR="006620C8" w:rsidRPr="00D41570" w14:paraId="2181CC5D" w14:textId="48543130">
      <w:pPr>
        <w:pStyle w:val="TOC2"/>
        <w:tabs>
          <w:tab w:val="left" w:pos="880"/>
          <w:tab w:val="right" w:leader="underscore" w:pos="9350"/>
        </w:tabs>
        <w:rPr>
          <w:rFonts w:ascii="Times New Roman" w:hAnsi="Times New Roman" w:eastAsiaTheme="minorEastAsia" w:cs="Times New Roman"/>
          <w:b w:val="0"/>
          <w:bCs w:val="0"/>
          <w:noProof/>
          <w:sz w:val="24"/>
          <w:szCs w:val="24"/>
        </w:rPr>
      </w:pPr>
      <w:hyperlink w:anchor="_Toc106094972" w:history="1">
        <w:r w:rsidRPr="00D41570">
          <w:rPr>
            <w:rStyle w:val="Hyperlink"/>
            <w:rFonts w:ascii="Times New Roman" w:hAnsi="Times New Roman" w:cs="Times New Roman"/>
            <w:b w:val="0"/>
            <w:bCs w:val="0"/>
            <w:noProof/>
            <w:sz w:val="24"/>
            <w:szCs w:val="24"/>
          </w:rPr>
          <w:t>M.</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Analysis of Data for Trends</w:t>
        </w:r>
      </w:hyperlink>
    </w:p>
    <w:p w:rsidR="006620C8" w:rsidRPr="006256E4" w:rsidP="00A16344" w14:paraId="0B89DEBC" w14:textId="6D851F3D">
      <w:pPr>
        <w:pStyle w:val="TOC1"/>
        <w:rPr>
          <w:rFonts w:ascii="Times New Roman" w:hAnsi="Times New Roman" w:eastAsiaTheme="minorEastAsia" w:cs="Times New Roman"/>
          <w:noProof/>
          <w:sz w:val="28"/>
          <w:szCs w:val="28"/>
        </w:rPr>
      </w:pPr>
      <w:hyperlink w:anchor="_Toc106094973" w:history="1">
        <w:r w:rsidRPr="006256E4">
          <w:rPr>
            <w:rStyle w:val="Hyperlink"/>
            <w:rFonts w:ascii="Times New Roman" w:hAnsi="Times New Roman" w:cs="Times New Roman"/>
            <w:b w:val="0"/>
            <w:bCs w:val="0"/>
            <w:i w:val="0"/>
            <w:iCs w:val="0"/>
            <w:noProof/>
            <w:sz w:val="28"/>
            <w:szCs w:val="28"/>
          </w:rPr>
          <w:t>VII.</w:t>
        </w:r>
        <w:r w:rsidRPr="006256E4">
          <w:rPr>
            <w:rFonts w:ascii="Times New Roman" w:hAnsi="Times New Roman" w:eastAsiaTheme="minorEastAsia" w:cs="Times New Roman"/>
            <w:noProof/>
            <w:sz w:val="28"/>
            <w:szCs w:val="28"/>
          </w:rPr>
          <w:tab/>
        </w:r>
        <w:r w:rsidRPr="006256E4">
          <w:rPr>
            <w:rStyle w:val="Hyperlink"/>
            <w:rFonts w:ascii="Times New Roman" w:hAnsi="Times New Roman" w:cs="Times New Roman"/>
            <w:b w:val="0"/>
            <w:bCs w:val="0"/>
            <w:i w:val="0"/>
            <w:iCs w:val="0"/>
            <w:noProof/>
            <w:sz w:val="28"/>
            <w:szCs w:val="28"/>
          </w:rPr>
          <w:t>Recordkeeping</w:t>
        </w:r>
      </w:hyperlink>
    </w:p>
    <w:p w:rsidR="006620C8" w:rsidRPr="00D41570" w14:paraId="433288B2" w14:textId="1D23635E">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74" w:history="1">
        <w:r w:rsidRPr="00D41570">
          <w:rPr>
            <w:rStyle w:val="Hyperlink"/>
            <w:rFonts w:ascii="Times New Roman" w:hAnsi="Times New Roman" w:cs="Times New Roman"/>
            <w:b w:val="0"/>
            <w:bCs w:val="0"/>
            <w:noProof/>
            <w:sz w:val="24"/>
            <w:szCs w:val="24"/>
          </w:rPr>
          <w:t>A.</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Recordkeeping Overview</w:t>
        </w:r>
      </w:hyperlink>
    </w:p>
    <w:p w:rsidR="006620C8" w:rsidRPr="005D0833" w14:paraId="04B2E990" w14:textId="4FB47C55">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75"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1.</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General requirements</w:t>
        </w:r>
      </w:hyperlink>
    </w:p>
    <w:p w:rsidR="006620C8" w:rsidRPr="005D0833" w14:paraId="5EB6E512" w14:textId="1B3AD903">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76"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2.</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Duplication not required</w:t>
        </w:r>
      </w:hyperlink>
    </w:p>
    <w:p w:rsidR="006620C8" w:rsidRPr="005D0833" w14:paraId="297EC060" w14:textId="21C50400">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77"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3.</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Record retention and availability</w:t>
        </w:r>
      </w:hyperlink>
    </w:p>
    <w:p w:rsidR="006620C8" w:rsidRPr="005D0833" w14:paraId="7EA6FEBC" w14:textId="45038437">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78"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4.</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Format</w:t>
        </w:r>
      </w:hyperlink>
    </w:p>
    <w:p w:rsidR="006620C8" w:rsidRPr="00D41570" w14:paraId="678766A9" w14:textId="59703233">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79" w:history="1">
        <w:r w:rsidRPr="00D41570">
          <w:rPr>
            <w:rStyle w:val="Hyperlink"/>
            <w:rFonts w:ascii="Times New Roman" w:hAnsi="Times New Roman" w:cs="Times New Roman"/>
            <w:b w:val="0"/>
            <w:bCs w:val="0"/>
            <w:noProof/>
            <w:sz w:val="24"/>
            <w:szCs w:val="24"/>
          </w:rPr>
          <w:t>B.</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Supervisory Review</w:t>
        </w:r>
        <w:r w:rsidRPr="00D41570">
          <w:rPr>
            <w:rStyle w:val="Hyperlink"/>
            <w:rFonts w:ascii="Times New Roman" w:hAnsi="Times New Roman" w:cs="Times New Roman"/>
            <w:b w:val="0"/>
            <w:bCs w:val="0"/>
            <w:noProof/>
            <w:spacing w:val="1"/>
            <w:sz w:val="24"/>
            <w:szCs w:val="24"/>
          </w:rPr>
          <w:t xml:space="preserve"> </w:t>
        </w:r>
        <w:r w:rsidRPr="00D41570">
          <w:rPr>
            <w:rStyle w:val="Hyperlink"/>
            <w:rFonts w:ascii="Times New Roman" w:hAnsi="Times New Roman" w:cs="Times New Roman"/>
            <w:b w:val="0"/>
            <w:bCs w:val="0"/>
            <w:noProof/>
            <w:sz w:val="24"/>
            <w:szCs w:val="24"/>
          </w:rPr>
          <w:t>of Records</w:t>
        </w:r>
      </w:hyperlink>
    </w:p>
    <w:p w:rsidR="006620C8" w:rsidRPr="00D41570" w14:paraId="507A3EAE" w14:textId="58BAAA63">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80" w:history="1">
        <w:r w:rsidRPr="00D41570">
          <w:rPr>
            <w:rStyle w:val="Hyperlink"/>
            <w:rFonts w:ascii="Times New Roman" w:hAnsi="Times New Roman" w:cs="Times New Roman"/>
            <w:b w:val="0"/>
            <w:bCs w:val="0"/>
            <w:noProof/>
            <w:sz w:val="24"/>
            <w:szCs w:val="24"/>
          </w:rPr>
          <w:t>C.</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z w:val="24"/>
            <w:szCs w:val="24"/>
          </w:rPr>
          <w:t>Sprouts-Specific Record Requirements and Recommendations</w:t>
        </w:r>
      </w:hyperlink>
    </w:p>
    <w:p w:rsidR="006620C8" w:rsidRPr="005D0833" w:rsidP="006256E4" w14:paraId="7CC37884" w14:textId="63031DF3">
      <w:pPr>
        <w:pStyle w:val="TOC3"/>
        <w:tabs>
          <w:tab w:val="left" w:pos="880"/>
          <w:tab w:val="right" w:leader="underscore" w:pos="9350"/>
        </w:tabs>
        <w:ind w:left="900" w:hanging="460"/>
        <w:rPr>
          <w:rFonts w:ascii="Times New Roman" w:hAnsi="Times New Roman" w:eastAsiaTheme="minorEastAsia" w:cs="Times New Roman"/>
          <w:i/>
          <w:iCs/>
          <w:noProof/>
          <w:sz w:val="22"/>
          <w:szCs w:val="22"/>
        </w:rPr>
      </w:pPr>
      <w:hyperlink w:anchor="_Toc106094981"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1.</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Enforcement Discretion for Requirements of Subpart M (applies to soil or substrate grown sprout types that are harvested by the customer before use)</w:t>
        </w:r>
      </w:hyperlink>
    </w:p>
    <w:p w:rsidR="006620C8" w:rsidRPr="005D0833" w14:paraId="71F361F3" w14:textId="7D61D618">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82"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2.</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Records for Seeds for Sprouting</w:t>
        </w:r>
      </w:hyperlink>
    </w:p>
    <w:p w:rsidR="006620C8" w:rsidRPr="005D0833" w14:paraId="2101AD2D" w14:textId="3EEF5DF6">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83"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3.</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Required Records for Spent Sprout Irrigation Water</w:t>
        </w:r>
      </w:hyperlink>
    </w:p>
    <w:p w:rsidR="006620C8" w:rsidRPr="005D0833" w14:paraId="585D619A" w14:textId="6382506E">
      <w:pPr>
        <w:pStyle w:val="TOC3"/>
        <w:tabs>
          <w:tab w:val="left" w:pos="880"/>
          <w:tab w:val="right" w:leader="underscore" w:pos="9350"/>
        </w:tabs>
        <w:rPr>
          <w:rFonts w:ascii="Times New Roman" w:hAnsi="Times New Roman" w:eastAsiaTheme="minorEastAsia" w:cs="Times New Roman"/>
          <w:i/>
          <w:iCs/>
          <w:noProof/>
          <w:sz w:val="22"/>
          <w:szCs w:val="22"/>
        </w:rPr>
      </w:pPr>
      <w:hyperlink w:anchor="_Toc106094984" w:history="1">
        <w:r w:rsidRPr="005D0833">
          <w:rPr>
            <w:rStyle w:val="Hyperlink"/>
            <w:rFonts w:ascii="Times New Roman" w:hAnsi="Times New Roman" w:cs="Times New Roman"/>
            <w:i/>
            <w:iCs/>
            <w:noProof/>
            <w:sz w:val="22"/>
            <w:szCs w:val="22"/>
            <w14:scene3d>
              <w14:camera w14:prst="orthographicFront"/>
              <w14:lightRig w14:rig="threePt" w14:dir="t">
                <w14:rot w14:lat="0" w14:lon="0" w14:rev="0"/>
              </w14:lightRig>
            </w14:scene3d>
          </w:rPr>
          <w:t>4.</w:t>
        </w:r>
        <w:r w:rsidRPr="005D0833">
          <w:rPr>
            <w:rFonts w:ascii="Times New Roman" w:hAnsi="Times New Roman" w:eastAsiaTheme="minorEastAsia" w:cs="Times New Roman"/>
            <w:i/>
            <w:iCs/>
            <w:noProof/>
            <w:sz w:val="22"/>
            <w:szCs w:val="22"/>
          </w:rPr>
          <w:tab/>
        </w:r>
        <w:r w:rsidRPr="005D0833">
          <w:rPr>
            <w:rStyle w:val="Hyperlink"/>
            <w:rFonts w:ascii="Times New Roman" w:hAnsi="Times New Roman" w:cs="Times New Roman"/>
            <w:i/>
            <w:iCs/>
            <w:noProof/>
            <w:sz w:val="22"/>
            <w:szCs w:val="22"/>
          </w:rPr>
          <w:t>Required records for environmental monitoring</w:t>
        </w:r>
      </w:hyperlink>
    </w:p>
    <w:p w:rsidR="006620C8" w:rsidRPr="00D41570" w14:paraId="11762B03" w14:textId="596FD180">
      <w:pPr>
        <w:pStyle w:val="TOC2"/>
        <w:tabs>
          <w:tab w:val="left" w:pos="660"/>
          <w:tab w:val="right" w:leader="underscore" w:pos="9350"/>
        </w:tabs>
        <w:rPr>
          <w:rFonts w:ascii="Times New Roman" w:hAnsi="Times New Roman" w:eastAsiaTheme="minorEastAsia" w:cs="Times New Roman"/>
          <w:b w:val="0"/>
          <w:bCs w:val="0"/>
          <w:noProof/>
          <w:sz w:val="24"/>
          <w:szCs w:val="24"/>
        </w:rPr>
      </w:pPr>
      <w:hyperlink w:anchor="_Toc106094985" w:history="1">
        <w:r w:rsidRPr="00D41570">
          <w:rPr>
            <w:rStyle w:val="Hyperlink"/>
            <w:rFonts w:ascii="Times New Roman" w:hAnsi="Times New Roman" w:cs="Times New Roman"/>
            <w:b w:val="0"/>
            <w:bCs w:val="0"/>
            <w:noProof/>
            <w:sz w:val="24"/>
            <w:szCs w:val="24"/>
          </w:rPr>
          <w:t>D.</w:t>
        </w:r>
        <w:r w:rsidRPr="00D41570">
          <w:rPr>
            <w:rFonts w:ascii="Times New Roman" w:hAnsi="Times New Roman" w:eastAsiaTheme="minorEastAsia" w:cs="Times New Roman"/>
            <w:b w:val="0"/>
            <w:bCs w:val="0"/>
            <w:noProof/>
            <w:sz w:val="24"/>
            <w:szCs w:val="24"/>
          </w:rPr>
          <w:tab/>
        </w:r>
        <w:r w:rsidRPr="00D41570">
          <w:rPr>
            <w:rStyle w:val="Hyperlink"/>
            <w:rFonts w:ascii="Times New Roman" w:hAnsi="Times New Roman" w:cs="Times New Roman"/>
            <w:b w:val="0"/>
            <w:bCs w:val="0"/>
            <w:noProof/>
            <w:spacing w:val="-1"/>
            <w:sz w:val="24"/>
            <w:szCs w:val="24"/>
          </w:rPr>
          <w:t>Records Required</w:t>
        </w:r>
        <w:r w:rsidRPr="00D41570">
          <w:rPr>
            <w:rStyle w:val="Hyperlink"/>
            <w:rFonts w:ascii="Times New Roman" w:hAnsi="Times New Roman" w:cs="Times New Roman"/>
            <w:b w:val="0"/>
            <w:bCs w:val="0"/>
            <w:noProof/>
            <w:sz w:val="24"/>
            <w:szCs w:val="24"/>
          </w:rPr>
          <w:t xml:space="preserve"> by Provisions Other Than Subpart M</w:t>
        </w:r>
      </w:hyperlink>
    </w:p>
    <w:p w:rsidR="006620C8" w:rsidRPr="006256E4" w:rsidP="00A16344" w14:paraId="7D5CD24D" w14:textId="6E4F41E4">
      <w:pPr>
        <w:pStyle w:val="TOC1"/>
        <w:rPr>
          <w:rFonts w:ascii="Times New Roman" w:hAnsi="Times New Roman" w:eastAsiaTheme="minorEastAsia" w:cs="Times New Roman"/>
          <w:noProof/>
          <w:sz w:val="28"/>
          <w:szCs w:val="28"/>
        </w:rPr>
      </w:pPr>
      <w:hyperlink w:anchor="_Toc106094986" w:history="1">
        <w:r w:rsidRPr="006256E4">
          <w:rPr>
            <w:rStyle w:val="Hyperlink"/>
            <w:rFonts w:ascii="Times New Roman" w:hAnsi="Times New Roman" w:cs="Times New Roman"/>
            <w:b w:val="0"/>
            <w:bCs w:val="0"/>
            <w:i w:val="0"/>
            <w:iCs w:val="0"/>
            <w:noProof/>
            <w:sz w:val="28"/>
            <w:szCs w:val="28"/>
            <w:lang w:bidi="en-US"/>
          </w:rPr>
          <w:t>VIII.</w:t>
        </w:r>
        <w:r w:rsidRPr="006256E4">
          <w:rPr>
            <w:rFonts w:ascii="Times New Roman" w:hAnsi="Times New Roman" w:eastAsiaTheme="minorEastAsia" w:cs="Times New Roman"/>
            <w:noProof/>
            <w:sz w:val="28"/>
            <w:szCs w:val="28"/>
          </w:rPr>
          <w:tab/>
        </w:r>
        <w:r w:rsidRPr="006256E4">
          <w:rPr>
            <w:rStyle w:val="Hyperlink"/>
            <w:rFonts w:ascii="Times New Roman" w:hAnsi="Times New Roman" w:cs="Times New Roman"/>
            <w:b w:val="0"/>
            <w:bCs w:val="0"/>
            <w:i w:val="0"/>
            <w:iCs w:val="0"/>
            <w:noProof/>
            <w:sz w:val="28"/>
            <w:szCs w:val="28"/>
            <w:lang w:bidi="en-US"/>
          </w:rPr>
          <w:t>Appendices</w:t>
        </w:r>
      </w:hyperlink>
    </w:p>
    <w:p w:rsidR="006620C8" w:rsidRPr="006256E4" w:rsidP="00A16344" w14:paraId="6CFCC75C" w14:textId="1A36E7BE">
      <w:pPr>
        <w:pStyle w:val="TOC1"/>
        <w:rPr>
          <w:rFonts w:ascii="Times New Roman" w:hAnsi="Times New Roman" w:eastAsiaTheme="minorEastAsia" w:cs="Times New Roman"/>
          <w:noProof/>
          <w:sz w:val="28"/>
          <w:szCs w:val="28"/>
        </w:rPr>
      </w:pPr>
      <w:hyperlink w:anchor="_Toc106094987" w:history="1">
        <w:r w:rsidRPr="006256E4">
          <w:rPr>
            <w:rStyle w:val="Hyperlink"/>
            <w:rFonts w:ascii="Times New Roman" w:hAnsi="Times New Roman" w:cs="Times New Roman"/>
            <w:b w:val="0"/>
            <w:bCs w:val="0"/>
            <w:i w:val="0"/>
            <w:iCs w:val="0"/>
            <w:noProof/>
            <w:sz w:val="28"/>
            <w:szCs w:val="28"/>
          </w:rPr>
          <w:t>IX.</w:t>
        </w:r>
        <w:r w:rsidRPr="006256E4">
          <w:rPr>
            <w:rFonts w:ascii="Times New Roman" w:hAnsi="Times New Roman" w:eastAsiaTheme="minorEastAsia" w:cs="Times New Roman"/>
            <w:noProof/>
            <w:sz w:val="28"/>
            <w:szCs w:val="28"/>
          </w:rPr>
          <w:tab/>
        </w:r>
        <w:r w:rsidRPr="006256E4">
          <w:rPr>
            <w:rStyle w:val="Hyperlink"/>
            <w:rFonts w:ascii="Times New Roman" w:hAnsi="Times New Roman" w:cs="Times New Roman"/>
            <w:b w:val="0"/>
            <w:bCs w:val="0"/>
            <w:i w:val="0"/>
            <w:iCs w:val="0"/>
            <w:noProof/>
            <w:sz w:val="28"/>
            <w:szCs w:val="28"/>
          </w:rPr>
          <w:t>References</w:t>
        </w:r>
      </w:hyperlink>
    </w:p>
    <w:p w:rsidR="000041C5" w:rsidRPr="00D41570" w:rsidP="000041C5" w14:paraId="3D55652D" w14:textId="38790A23">
      <w:pPr>
        <w:rPr>
          <w:rFonts w:ascii="Times New Roman" w:hAnsi="Times New Roman" w:cs="Times New Roman"/>
          <w:sz w:val="24"/>
          <w:szCs w:val="24"/>
        </w:rPr>
      </w:pPr>
      <w:r w:rsidRPr="00D41570">
        <w:rPr>
          <w:rFonts w:ascii="Times New Roman" w:hAnsi="Times New Roman" w:cs="Times New Roman"/>
          <w:sz w:val="24"/>
          <w:szCs w:val="24"/>
        </w:rPr>
        <w:fldChar w:fldCharType="end"/>
      </w:r>
    </w:p>
    <w:p w:rsidR="008B48CF" w:rsidRPr="00903EC8" w:rsidP="000041C5" w14:paraId="7682C0A5" w14:textId="77777777">
      <w:pPr>
        <w:rPr>
          <w:rFonts w:ascii="Times New Roman" w:hAnsi="Times New Roman" w:cs="Times New Roman"/>
        </w:rPr>
      </w:pPr>
    </w:p>
    <w:p w:rsidR="000041C5" w:rsidRPr="00903EC8" w:rsidP="000041C5" w14:paraId="678DB18C" w14:textId="06BD886E"/>
    <w:p w:rsidR="0077068D" w:rsidRPr="00903EC8" w:rsidP="000041C5" w14:paraId="30278C46" w14:textId="783D28A0"/>
    <w:p w:rsidR="0077068D" w:rsidRPr="00903EC8" w:rsidP="000041C5" w14:paraId="5D4C821A" w14:textId="5B280293"/>
    <w:p w:rsidR="0077068D" w:rsidRPr="00903EC8" w:rsidP="000041C5" w14:paraId="28F7A728" w14:textId="3FD476A2"/>
    <w:p w:rsidR="00A07870" w:rsidRPr="00903EC8" w14:paraId="0165A898" w14:textId="77777777">
      <w:pPr>
        <w:widowControl/>
        <w:spacing w:after="200" w:line="276" w:lineRule="auto"/>
        <w:rPr>
          <w:rFonts w:ascii="Times New Roman" w:eastAsia="Times New Roman" w:hAnsi="Times New Roman" w:cs="Times New Roman"/>
          <w:spacing w:val="-1"/>
          <w:kern w:val="32"/>
          <w:sz w:val="52"/>
          <w:szCs w:val="52"/>
        </w:rPr>
      </w:pPr>
      <w:r w:rsidRPr="00903EC8">
        <w:br w:type="page"/>
      </w:r>
    </w:p>
    <w:p w:rsidR="0065329B" w:rsidRPr="008B63A9" w:rsidP="00BA3546" w14:paraId="09AF252D" w14:textId="0079C6D4">
      <w:pPr>
        <w:pStyle w:val="HHS508GuidanceTitle"/>
      </w:pPr>
      <w:r w:rsidRPr="008B63A9">
        <w:t>Guidance for Industry</w:t>
      </w:r>
      <w:r>
        <w:t>:</w:t>
      </w:r>
      <w:r w:rsidRPr="008B63A9">
        <w:t xml:space="preserve"> </w:t>
      </w:r>
      <w:r w:rsidRPr="008B63A9">
        <w:t xml:space="preserve">Standards for the Growing, Harvesting, Packing, and Holding of </w:t>
      </w:r>
      <w:r w:rsidR="00E70F71">
        <w:t>Sprouts</w:t>
      </w:r>
      <w:r w:rsidRPr="008B63A9">
        <w:t xml:space="preserve"> for Human Consumption</w:t>
      </w:r>
    </w:p>
    <w:p w:rsidR="00686A9E" w:rsidRPr="0003081C" w:rsidP="00686A9E" w14:paraId="11AA16C4" w14:textId="4322F9BA">
      <w:pPr>
        <w:pStyle w:val="box"/>
        <w:spacing w:after="240"/>
      </w:pPr>
      <w:r w:rsidRPr="0003081C">
        <w:t>This guidance represent</w:t>
      </w:r>
      <w:r w:rsidR="001D0C08">
        <w:t>s</w:t>
      </w:r>
      <w:r w:rsidRPr="0003081C">
        <w:t xml:space="preserve"> the current thinking of the Food and Drug Administration</w:t>
      </w:r>
      <w:r w:rsidR="005E7113">
        <w:t>’s</w:t>
      </w:r>
      <w:r w:rsidRPr="0003081C">
        <w:t xml:space="preserve"> (FDA or we) on this topic. It does not establish any rights for any person and is not binding on FDA or the public. You can use an alternative approach if it satisfies the requirements of the applicable statutes and regulations. To discuss an alternative approach, contact </w:t>
      </w:r>
      <w:r w:rsidRPr="0003081C">
        <w:rPr>
          <w:rFonts w:eastAsia="Calibri"/>
          <w:color w:val="auto"/>
        </w:rPr>
        <w:t xml:space="preserve">FDA’s Technical Assistance Network by submitting your question at </w:t>
      </w:r>
      <w:hyperlink r:id="rId10" w:history="1">
        <w:r w:rsidRPr="00AF256A" w:rsidR="00AC09CB">
          <w:rPr>
            <w:rStyle w:val="Hyperlink"/>
          </w:rPr>
          <w:t>https://www.fda.gov/food/food-safety-modernization-act-fsma/fsma-technical-assistance-network-tan</w:t>
        </w:r>
      </w:hyperlink>
      <w:r w:rsidRPr="0003081C">
        <w:rPr>
          <w:rFonts w:eastAsia="Calibri"/>
          <w:color w:val="auto"/>
        </w:rPr>
        <w:t>.</w:t>
      </w:r>
    </w:p>
    <w:p w:rsidR="00C87330" w:rsidP="00A16344" w14:paraId="2B1F54A0" w14:textId="77777777">
      <w:pPr>
        <w:pStyle w:val="HHS508GuidanceOutline1"/>
        <w:numPr>
          <w:ilvl w:val="0"/>
          <w:numId w:val="0"/>
        </w:numPr>
      </w:pPr>
      <w:bookmarkStart w:id="0" w:name="_Toc526937798"/>
      <w:bookmarkStart w:id="1" w:name="_Toc106094915"/>
    </w:p>
    <w:p w:rsidR="00996991" w:rsidRPr="003A4C64" w:rsidP="00A16344" w14:paraId="657C93E7" w14:textId="6B50F109">
      <w:pPr>
        <w:pStyle w:val="HHS508GuidanceOutline1"/>
      </w:pPr>
      <w:r w:rsidRPr="003A4C64">
        <w:t>Introduction</w:t>
      </w:r>
      <w:bookmarkEnd w:id="0"/>
      <w:bookmarkEnd w:id="1"/>
    </w:p>
    <w:p w:rsidR="00191DF8" w:rsidRPr="001D3F5F" w:rsidP="00E47C04" w14:paraId="60B84891" w14:textId="2295E7FF">
      <w:pPr>
        <w:pStyle w:val="GuidanceParagraph"/>
      </w:pPr>
      <w:r>
        <w:t xml:space="preserve">This guidance is intended for those persons (“you”) who grow, harvest, pack and/or hold sprouts covered by Subpart M of our final rule, published in the </w:t>
      </w:r>
      <w:r w:rsidRPr="06E95844">
        <w:rPr>
          <w:i/>
          <w:iCs/>
        </w:rPr>
        <w:t>Federal Register</w:t>
      </w:r>
      <w:r>
        <w:t xml:space="preserve"> (80 FR 74353) on November 27, 2015, entitled, “Standards for the Growing, Harvesting, Packing, and Holding of Produce for Human Consumption” (the Produce Safety Rule or the Rule).</w:t>
      </w:r>
    </w:p>
    <w:p w:rsidR="00191DF8" w:rsidRPr="001D3F5F" w:rsidP="00E47C04" w14:paraId="4EBA7A0A" w14:textId="769EDF34">
      <w:pPr>
        <w:pStyle w:val="GuidanceParagraph"/>
      </w:pPr>
      <w:r w:rsidRPr="001D3F5F">
        <w:t xml:space="preserve">The Produce Safety Rule established for the first time U.S. Federal requirements for the growing, harvesting, packing, and holding of produce for human consumption, including sprouts (Title 21 Code of Federal Regulations </w:t>
      </w:r>
      <w:r w:rsidR="00B45312">
        <w:t>p</w:t>
      </w:r>
      <w:r w:rsidRPr="001D3F5F">
        <w:t xml:space="preserve">art 112 (21 CFR </w:t>
      </w:r>
      <w:r w:rsidR="00B45312">
        <w:t>p</w:t>
      </w:r>
      <w:r w:rsidRPr="001D3F5F">
        <w:t>art 112)). The Rule focuses on certain conditions and practices identified as common routes of contamination of produce (</w:t>
      </w:r>
      <w:r w:rsidRPr="001D3F5F">
        <w:t>similar to</w:t>
      </w:r>
      <w:r w:rsidRPr="001D3F5F">
        <w:t xml:space="preserve"> the areas covered by the 1998 Guidance, “Guide to Minimize Microbial Food Safety Hazards for Fresh Fruits and Vegetables”</w:t>
      </w:r>
      <w:r w:rsidR="00FA30C6">
        <w:t xml:space="preserve"> </w:t>
      </w:r>
      <w:r w:rsidRPr="001D3F5F">
        <w:t>(GAPs Guide)) (</w:t>
      </w:r>
      <w:r w:rsidR="00AC422F">
        <w:fldChar w:fldCharType="begin"/>
      </w:r>
      <w:r w:rsidR="00AC422F">
        <w:instrText xml:space="preserve"> REF _Ref51086090 \h </w:instrText>
      </w:r>
      <w:r w:rsidR="004B2A15">
        <w:instrText xml:space="preserve"> \* MERGEFORMAT </w:instrText>
      </w:r>
      <w:r w:rsidR="00AC422F">
        <w:fldChar w:fldCharType="separate"/>
      </w:r>
      <w:r w:rsidRPr="006E43DC" w:rsidR="00574301">
        <w:t xml:space="preserve">Ref. </w:t>
      </w:r>
      <w:r w:rsidR="00574301">
        <w:rPr>
          <w:noProof/>
        </w:rPr>
        <w:t>1</w:t>
      </w:r>
      <w:r w:rsidR="00AC422F">
        <w:fldChar w:fldCharType="end"/>
      </w:r>
      <w:r w:rsidRPr="001D3F5F">
        <w:t xml:space="preserve">). The Rule establishes requirements addressing common routes of </w:t>
      </w:r>
      <w:r w:rsidR="001A7CB9">
        <w:t xml:space="preserve">microbial </w:t>
      </w:r>
      <w:r w:rsidRPr="001D3F5F">
        <w:t xml:space="preserve">contamination, including: agricultural water; biological soil amendments of animal origin; worker health and hygiene; equipment, tools, buildings and sanitation; and domesticated and wild animals. </w:t>
      </w:r>
    </w:p>
    <w:p w:rsidR="00191DF8" w:rsidRPr="00C20876" w:rsidP="00E47C04" w14:paraId="167F4AAC" w14:textId="1D403083">
      <w:pPr>
        <w:pStyle w:val="GuidanceParagraph"/>
      </w:pPr>
      <w:r w:rsidRPr="00C20876">
        <w:t>Sprouts represent a</w:t>
      </w:r>
      <w:r w:rsidRPr="00C20876">
        <w:rPr>
          <w:spacing w:val="1"/>
        </w:rPr>
        <w:t xml:space="preserve"> </w:t>
      </w:r>
      <w:r w:rsidR="009516C2">
        <w:rPr>
          <w:spacing w:val="-2"/>
        </w:rPr>
        <w:t>distinct</w:t>
      </w:r>
      <w:r w:rsidRPr="00C20876" w:rsidR="009516C2">
        <w:rPr>
          <w:spacing w:val="-2"/>
        </w:rPr>
        <w:t xml:space="preserve"> </w:t>
      </w:r>
      <w:r w:rsidRPr="00C20876">
        <w:t>food safety</w:t>
      </w:r>
      <w:r w:rsidRPr="00C20876">
        <w:rPr>
          <w:spacing w:val="-5"/>
        </w:rPr>
        <w:t xml:space="preserve"> </w:t>
      </w:r>
      <w:r w:rsidRPr="00C20876">
        <w:t>concern because</w:t>
      </w:r>
      <w:r w:rsidRPr="00C20876">
        <w:rPr>
          <w:spacing w:val="1"/>
        </w:rPr>
        <w:t xml:space="preserve"> </w:t>
      </w:r>
      <w:r w:rsidRPr="00C20876">
        <w:t>the</w:t>
      </w:r>
      <w:r w:rsidRPr="00C20876">
        <w:rPr>
          <w:spacing w:val="-2"/>
        </w:rPr>
        <w:t xml:space="preserve"> </w:t>
      </w:r>
      <w:r w:rsidRPr="00C20876">
        <w:t>conditions under</w:t>
      </w:r>
      <w:r w:rsidRPr="00C20876">
        <w:rPr>
          <w:spacing w:val="-3"/>
        </w:rPr>
        <w:t xml:space="preserve"> </w:t>
      </w:r>
      <w:r w:rsidRPr="00C20876">
        <w:t>which sprouts are</w:t>
      </w:r>
      <w:r w:rsidRPr="00C20876">
        <w:rPr>
          <w:spacing w:val="95"/>
        </w:rPr>
        <w:t xml:space="preserve"> </w:t>
      </w:r>
      <w:r w:rsidRPr="00C20876">
        <w:t>produced</w:t>
      </w:r>
      <w:r w:rsidRPr="00C20876">
        <w:rPr>
          <w:spacing w:val="-3"/>
        </w:rPr>
        <w:t xml:space="preserve"> </w:t>
      </w:r>
      <w:r w:rsidRPr="00C20876">
        <w:t xml:space="preserve">(i.e., temperature, water </w:t>
      </w:r>
      <w:r w:rsidRPr="00C20876">
        <w:rPr>
          <w:spacing w:val="-2"/>
        </w:rPr>
        <w:t>activity,</w:t>
      </w:r>
      <w:r w:rsidRPr="00C20876">
        <w:t xml:space="preserve"> </w:t>
      </w:r>
      <w:r w:rsidRPr="00C20876">
        <w:t>pH</w:t>
      </w:r>
      <w:r w:rsidRPr="00C20876">
        <w:t xml:space="preserve"> and available</w:t>
      </w:r>
      <w:r w:rsidRPr="00C20876">
        <w:rPr>
          <w:spacing w:val="1"/>
        </w:rPr>
        <w:t xml:space="preserve"> </w:t>
      </w:r>
      <w:r w:rsidRPr="00C20876">
        <w:t>nutrients) are</w:t>
      </w:r>
      <w:r w:rsidRPr="00C20876">
        <w:rPr>
          <w:spacing w:val="1"/>
        </w:rPr>
        <w:t xml:space="preserve"> </w:t>
      </w:r>
      <w:r w:rsidRPr="00C20876">
        <w:t>also ideal for the</w:t>
      </w:r>
      <w:r w:rsidRPr="00C20876">
        <w:rPr>
          <w:spacing w:val="1"/>
        </w:rPr>
        <w:t xml:space="preserve"> </w:t>
      </w:r>
      <w:r w:rsidRPr="00C20876">
        <w:t>growth</w:t>
      </w:r>
      <w:r w:rsidR="004C54B2">
        <w:t xml:space="preserve"> </w:t>
      </w:r>
      <w:r w:rsidRPr="00C20876">
        <w:t>of</w:t>
      </w:r>
      <w:r w:rsidRPr="00C20876">
        <w:rPr>
          <w:spacing w:val="-3"/>
        </w:rPr>
        <w:t xml:space="preserve"> </w:t>
      </w:r>
      <w:r w:rsidRPr="00C20876">
        <w:t>pathogens, if</w:t>
      </w:r>
      <w:r w:rsidRPr="00C20876">
        <w:rPr>
          <w:spacing w:val="-3"/>
        </w:rPr>
        <w:t xml:space="preserve"> </w:t>
      </w:r>
      <w:r w:rsidRPr="00C20876">
        <w:t xml:space="preserve">present </w:t>
      </w:r>
      <w:r w:rsidRPr="00C20876">
        <w:rPr>
          <w:spacing w:val="-2"/>
        </w:rPr>
        <w:t>(</w:t>
      </w:r>
      <w:r w:rsidR="00837920">
        <w:rPr>
          <w:spacing w:val="-2"/>
        </w:rPr>
        <w:fldChar w:fldCharType="begin"/>
      </w:r>
      <w:r w:rsidR="00837920">
        <w:rPr>
          <w:spacing w:val="-2"/>
        </w:rPr>
        <w:instrText xml:space="preserve"> REF _Ref51086174 \h </w:instrText>
      </w:r>
      <w:r w:rsidR="004B2A15">
        <w:rPr>
          <w:spacing w:val="-2"/>
        </w:rPr>
        <w:instrText xml:space="preserve"> \* MERGEFORMAT </w:instrText>
      </w:r>
      <w:r w:rsidR="00837920">
        <w:rPr>
          <w:spacing w:val="-2"/>
        </w:rPr>
        <w:fldChar w:fldCharType="separate"/>
      </w:r>
      <w:r w:rsidRPr="006E43DC" w:rsidR="00574301">
        <w:t xml:space="preserve">Ref. </w:t>
      </w:r>
      <w:r w:rsidR="00574301">
        <w:rPr>
          <w:noProof/>
        </w:rPr>
        <w:t>2</w:t>
      </w:r>
      <w:r w:rsidR="00837920">
        <w:rPr>
          <w:spacing w:val="-2"/>
        </w:rPr>
        <w:fldChar w:fldCharType="end"/>
      </w:r>
      <w:r w:rsidRPr="00C20876">
        <w:t xml:space="preserve">). </w:t>
      </w:r>
      <w:r w:rsidR="00F82386">
        <w:t>Between 1996 and</w:t>
      </w:r>
      <w:r w:rsidR="00F82386">
        <w:rPr>
          <w:spacing w:val="-3"/>
        </w:rPr>
        <w:t xml:space="preserve"> </w:t>
      </w:r>
      <w:r w:rsidR="00F82386">
        <w:t>2020 in the</w:t>
      </w:r>
      <w:r w:rsidR="00F82386">
        <w:rPr>
          <w:spacing w:val="1"/>
        </w:rPr>
        <w:t xml:space="preserve"> </w:t>
      </w:r>
      <w:r w:rsidR="00F82386">
        <w:t>United States, FDA observed 52 reported outbreaks of foodborne illness associated</w:t>
      </w:r>
      <w:r w:rsidR="00F82386">
        <w:rPr>
          <w:spacing w:val="-3"/>
        </w:rPr>
        <w:t xml:space="preserve"> </w:t>
      </w:r>
      <w:r w:rsidR="00F82386">
        <w:t>with sprouts. Together, it is estimated that these outbreaks resulted in at least 2700 cases of illness, 200 hospitalizations, and</w:t>
      </w:r>
      <w:r w:rsidR="00F82386">
        <w:rPr>
          <w:spacing w:val="-3"/>
        </w:rPr>
        <w:t xml:space="preserve"> </w:t>
      </w:r>
      <w:r w:rsidR="00F82386">
        <w:t>three</w:t>
      </w:r>
      <w:r w:rsidR="00F82386">
        <w:rPr>
          <w:spacing w:val="-2"/>
        </w:rPr>
        <w:t xml:space="preserve"> </w:t>
      </w:r>
      <w:r w:rsidR="00F82386">
        <w:t>deaths</w:t>
      </w:r>
      <w:r w:rsidRPr="00007303" w:rsidR="002A634E">
        <w:rPr>
          <w:i/>
        </w:rPr>
        <w:t xml:space="preserve"> </w:t>
      </w:r>
      <w:r w:rsidRPr="00007303">
        <w:t>(</w:t>
      </w:r>
      <w:r w:rsidRPr="00007303" w:rsidR="00837920">
        <w:fldChar w:fldCharType="begin"/>
      </w:r>
      <w:r w:rsidRPr="00007303" w:rsidR="00837920">
        <w:instrText xml:space="preserve"> REF _Ref51086226 \h </w:instrText>
      </w:r>
      <w:r w:rsidR="00007303">
        <w:instrText xml:space="preserve"> \* MERGEFORMAT </w:instrText>
      </w:r>
      <w:r w:rsidRPr="00007303" w:rsidR="00837920">
        <w:fldChar w:fldCharType="separate"/>
      </w:r>
      <w:r w:rsidRPr="006E43DC" w:rsidR="00574301">
        <w:t xml:space="preserve">Ref. </w:t>
      </w:r>
      <w:r w:rsidR="00574301">
        <w:rPr>
          <w:noProof/>
        </w:rPr>
        <w:t>3</w:t>
      </w:r>
      <w:r w:rsidRPr="00007303" w:rsidR="00837920">
        <w:fldChar w:fldCharType="end"/>
      </w:r>
      <w:r w:rsidRPr="00007303">
        <w:t>,</w:t>
      </w:r>
      <w:r w:rsidRPr="00007303" w:rsidR="00577792">
        <w:t xml:space="preserve"> </w:t>
      </w:r>
      <w:r w:rsidRPr="00007303" w:rsidR="006C3546">
        <w:fldChar w:fldCharType="begin"/>
      </w:r>
      <w:r w:rsidRPr="00007303" w:rsidR="006C3546">
        <w:instrText xml:space="preserve"> REF _Ref51247654 \h </w:instrText>
      </w:r>
      <w:r w:rsidR="00007303">
        <w:instrText xml:space="preserve"> \* MERGEFORMAT </w:instrText>
      </w:r>
      <w:r w:rsidRPr="00007303" w:rsidR="006C3546">
        <w:fldChar w:fldCharType="separate"/>
      </w:r>
      <w:r w:rsidRPr="006E43DC" w:rsidR="00574301">
        <w:t xml:space="preserve">Ref. </w:t>
      </w:r>
      <w:r w:rsidR="00574301">
        <w:rPr>
          <w:noProof/>
        </w:rPr>
        <w:t>4</w:t>
      </w:r>
      <w:r w:rsidRPr="00007303" w:rsidR="006C3546">
        <w:fldChar w:fldCharType="end"/>
      </w:r>
      <w:r w:rsidRPr="00007303" w:rsidR="006C3546">
        <w:t xml:space="preserve">, </w:t>
      </w:r>
      <w:r w:rsidRPr="00007303" w:rsidR="006C3546">
        <w:fldChar w:fldCharType="begin"/>
      </w:r>
      <w:r w:rsidRPr="00007303" w:rsidR="006C3546">
        <w:instrText xml:space="preserve"> REF _Ref51086318 \h </w:instrText>
      </w:r>
      <w:r w:rsidR="00007303">
        <w:instrText xml:space="preserve"> \* MERGEFORMAT </w:instrText>
      </w:r>
      <w:r w:rsidRPr="00007303" w:rsidR="006C3546">
        <w:fldChar w:fldCharType="separate"/>
      </w:r>
      <w:r w:rsidRPr="006E43DC" w:rsidR="00574301">
        <w:t xml:space="preserve">Ref. </w:t>
      </w:r>
      <w:r w:rsidR="00574301">
        <w:rPr>
          <w:noProof/>
        </w:rPr>
        <w:t>5</w:t>
      </w:r>
      <w:r w:rsidRPr="00007303" w:rsidR="006C3546">
        <w:fldChar w:fldCharType="end"/>
      </w:r>
      <w:r w:rsidRPr="00007303" w:rsidR="006C3546">
        <w:t xml:space="preserve">, </w:t>
      </w:r>
      <w:r w:rsidR="00ED278A">
        <w:fldChar w:fldCharType="begin"/>
      </w:r>
      <w:r w:rsidR="00ED278A">
        <w:instrText xml:space="preserve"> REF _Ref85024199 \h </w:instrText>
      </w:r>
      <w:r w:rsidR="004B2A15">
        <w:instrText xml:space="preserve"> \* MERGEFORMAT </w:instrText>
      </w:r>
      <w:r w:rsidR="00ED278A">
        <w:fldChar w:fldCharType="separate"/>
      </w:r>
      <w:r w:rsidRPr="006E43DC" w:rsidR="00574301">
        <w:t xml:space="preserve">Ref. </w:t>
      </w:r>
      <w:r w:rsidR="00574301">
        <w:rPr>
          <w:noProof/>
        </w:rPr>
        <w:t>6</w:t>
      </w:r>
      <w:r w:rsidR="00ED278A">
        <w:fldChar w:fldCharType="end"/>
      </w:r>
      <w:r w:rsidR="005F020A">
        <w:t xml:space="preserve">, </w:t>
      </w:r>
      <w:r w:rsidR="00ED278A">
        <w:fldChar w:fldCharType="begin"/>
      </w:r>
      <w:r w:rsidR="00ED278A">
        <w:instrText xml:space="preserve"> REF _Ref85023399 \h </w:instrText>
      </w:r>
      <w:r w:rsidR="004B2A15">
        <w:instrText xml:space="preserve"> \* MERGEFORMAT </w:instrText>
      </w:r>
      <w:r w:rsidR="00ED278A">
        <w:fldChar w:fldCharType="separate"/>
      </w:r>
      <w:r w:rsidRPr="006E43DC" w:rsidR="00574301">
        <w:t xml:space="preserve">Ref. </w:t>
      </w:r>
      <w:r w:rsidR="00574301">
        <w:rPr>
          <w:noProof/>
        </w:rPr>
        <w:t>7</w:t>
      </w:r>
      <w:r w:rsidR="00ED278A">
        <w:fldChar w:fldCharType="end"/>
      </w:r>
      <w:r w:rsidR="00ED278A">
        <w:t xml:space="preserve">, and </w:t>
      </w:r>
      <w:r w:rsidRPr="00ED278A" w:rsidR="00ED278A">
        <w:fldChar w:fldCharType="begin"/>
      </w:r>
      <w:r w:rsidRPr="00ED278A" w:rsidR="00ED278A">
        <w:instrText xml:space="preserve"> REF _Ref85023424 \h  \* MERGEFORMAT </w:instrText>
      </w:r>
      <w:r w:rsidRPr="00ED278A" w:rsidR="00ED278A">
        <w:fldChar w:fldCharType="separate"/>
      </w:r>
      <w:r w:rsidRPr="00574301" w:rsidR="00574301">
        <w:t xml:space="preserve">Ref. </w:t>
      </w:r>
      <w:r w:rsidRPr="00574301" w:rsidR="00574301">
        <w:rPr>
          <w:noProof/>
        </w:rPr>
        <w:t>8</w:t>
      </w:r>
      <w:r w:rsidRPr="00ED278A" w:rsidR="00ED278A">
        <w:fldChar w:fldCharType="end"/>
      </w:r>
      <w:r w:rsidR="00ED278A">
        <w:t>)</w:t>
      </w:r>
      <w:r w:rsidR="009A7F34">
        <w:t>.</w:t>
      </w:r>
      <w:r w:rsidRPr="00007303">
        <w:t xml:space="preserve"> </w:t>
      </w:r>
      <w:r w:rsidR="00986DED">
        <w:rPr>
          <w:spacing w:val="-3"/>
        </w:rPr>
        <w:t>During this timeframe, sprouts have been associated with outbreaks</w:t>
      </w:r>
      <w:r w:rsidR="002879FB">
        <w:rPr>
          <w:spacing w:val="-3"/>
        </w:rPr>
        <w:t xml:space="preserve"> </w:t>
      </w:r>
      <w:r w:rsidR="00986DED">
        <w:t xml:space="preserve">of </w:t>
      </w:r>
      <w:r w:rsidR="00986DED">
        <w:rPr>
          <w:spacing w:val="-3"/>
        </w:rPr>
        <w:t>several different pathogen</w:t>
      </w:r>
      <w:r w:rsidRPr="00464D17" w:rsidR="00986DED">
        <w:rPr>
          <w:spacing w:val="-3"/>
        </w:rPr>
        <w:t>s</w:t>
      </w:r>
      <w:r w:rsidR="00986DED">
        <w:rPr>
          <w:spacing w:val="-3"/>
        </w:rPr>
        <w:t xml:space="preserve">, </w:t>
      </w:r>
      <w:r w:rsidR="00986DED">
        <w:t>including</w:t>
      </w:r>
      <w:r w:rsidR="00986DED">
        <w:rPr>
          <w:spacing w:val="-3"/>
        </w:rPr>
        <w:t xml:space="preserve"> </w:t>
      </w:r>
      <w:r w:rsidR="00986DED">
        <w:rPr>
          <w:i/>
          <w:iCs/>
          <w:spacing w:val="-3"/>
        </w:rPr>
        <w:t>Salmonella</w:t>
      </w:r>
      <w:r w:rsidR="00986DED">
        <w:rPr>
          <w:spacing w:val="-3"/>
        </w:rPr>
        <w:t xml:space="preserve"> spp., </w:t>
      </w:r>
      <w:r w:rsidR="00986DED">
        <w:rPr>
          <w:i/>
          <w:iCs/>
          <w:spacing w:val="-3"/>
        </w:rPr>
        <w:t xml:space="preserve">Listeria monocytogenes, E. coli </w:t>
      </w:r>
      <w:r w:rsidR="00986DED">
        <w:rPr>
          <w:spacing w:val="-3"/>
        </w:rPr>
        <w:t xml:space="preserve">O157:H7, and several types of non-O157:H7 pathogenic </w:t>
      </w:r>
      <w:r w:rsidR="00986DED">
        <w:rPr>
          <w:i/>
          <w:iCs/>
          <w:spacing w:val="-3"/>
        </w:rPr>
        <w:t>E. coli</w:t>
      </w:r>
      <w:r w:rsidR="00986DED">
        <w:rPr>
          <w:spacing w:val="-3"/>
        </w:rPr>
        <w:t xml:space="preserve"> (</w:t>
      </w:r>
      <w:r w:rsidRPr="009362CA" w:rsidR="00986DED">
        <w:rPr>
          <w:i/>
          <w:iCs/>
          <w:spacing w:val="-3"/>
        </w:rPr>
        <w:t>i.e.,</w:t>
      </w:r>
      <w:r w:rsidRPr="009362CA" w:rsidR="00986DED">
        <w:rPr>
          <w:spacing w:val="-3"/>
        </w:rPr>
        <w:t xml:space="preserve"> </w:t>
      </w:r>
      <w:r w:rsidR="00986DED">
        <w:rPr>
          <w:i/>
          <w:iCs/>
          <w:spacing w:val="-3"/>
        </w:rPr>
        <w:t xml:space="preserve">E. coli </w:t>
      </w:r>
      <w:r w:rsidR="00986DED">
        <w:rPr>
          <w:spacing w:val="-3"/>
        </w:rPr>
        <w:t xml:space="preserve">O157:NM (H-), </w:t>
      </w:r>
      <w:r w:rsidR="00986DED">
        <w:rPr>
          <w:i/>
          <w:iCs/>
          <w:spacing w:val="-3"/>
        </w:rPr>
        <w:t xml:space="preserve">E. coli </w:t>
      </w:r>
      <w:r w:rsidR="00986DED">
        <w:rPr>
          <w:spacing w:val="-3"/>
        </w:rPr>
        <w:t xml:space="preserve">O104:H4, </w:t>
      </w:r>
      <w:r w:rsidR="00986DED">
        <w:rPr>
          <w:i/>
          <w:iCs/>
          <w:spacing w:val="-3"/>
        </w:rPr>
        <w:t xml:space="preserve">E. coli </w:t>
      </w:r>
      <w:r w:rsidR="00986DED">
        <w:rPr>
          <w:spacing w:val="-3"/>
        </w:rPr>
        <w:t xml:space="preserve">O26, </w:t>
      </w:r>
      <w:r w:rsidR="00986DED">
        <w:rPr>
          <w:i/>
          <w:iCs/>
          <w:spacing w:val="-3"/>
        </w:rPr>
        <w:t xml:space="preserve">E. coli </w:t>
      </w:r>
      <w:r w:rsidR="00986DED">
        <w:rPr>
          <w:spacing w:val="-3"/>
        </w:rPr>
        <w:t xml:space="preserve">O121, </w:t>
      </w:r>
      <w:r w:rsidR="00986DED">
        <w:rPr>
          <w:i/>
          <w:iCs/>
          <w:spacing w:val="-3"/>
        </w:rPr>
        <w:t xml:space="preserve">E. coli </w:t>
      </w:r>
      <w:r w:rsidR="00986DED">
        <w:rPr>
          <w:spacing w:val="-3"/>
        </w:rPr>
        <w:t>O103)</w:t>
      </w:r>
      <w:r w:rsidR="00E658AD">
        <w:rPr>
          <w:spacing w:val="-3"/>
        </w:rPr>
        <w:t xml:space="preserve"> (</w:t>
      </w:r>
      <w:r w:rsidRPr="00771579" w:rsidR="00F37F67">
        <w:rPr>
          <w:spacing w:val="-3"/>
        </w:rPr>
        <w:fldChar w:fldCharType="begin"/>
      </w:r>
      <w:r w:rsidRPr="00771579" w:rsidR="00F37F67">
        <w:rPr>
          <w:spacing w:val="-3"/>
        </w:rPr>
        <w:instrText xml:space="preserve"> REF _Ref85023503 \h </w:instrText>
      </w:r>
      <w:r w:rsidRPr="00771579" w:rsidR="00771579">
        <w:rPr>
          <w:spacing w:val="-3"/>
        </w:rPr>
        <w:instrText xml:space="preserve"> \* MERGEFORMAT </w:instrText>
      </w:r>
      <w:r w:rsidRPr="00771579" w:rsidR="00F37F67">
        <w:rPr>
          <w:spacing w:val="-3"/>
        </w:rPr>
        <w:fldChar w:fldCharType="separate"/>
      </w:r>
      <w:r w:rsidRPr="00574301" w:rsidR="00574301">
        <w:t xml:space="preserve">Ref. </w:t>
      </w:r>
      <w:r w:rsidRPr="00574301" w:rsidR="00574301">
        <w:rPr>
          <w:noProof/>
        </w:rPr>
        <w:t>9</w:t>
      </w:r>
      <w:r w:rsidRPr="00771579" w:rsidR="00F37F67">
        <w:rPr>
          <w:spacing w:val="-3"/>
        </w:rPr>
        <w:fldChar w:fldCharType="end"/>
      </w:r>
      <w:r w:rsidRPr="00771579" w:rsidR="00890936">
        <w:rPr>
          <w:spacing w:val="-3"/>
        </w:rPr>
        <w:t xml:space="preserve"> and </w:t>
      </w:r>
      <w:r w:rsidRPr="00771579" w:rsidR="00890936">
        <w:rPr>
          <w:spacing w:val="-3"/>
        </w:rPr>
        <w:fldChar w:fldCharType="begin"/>
      </w:r>
      <w:r w:rsidRPr="00771579" w:rsidR="00890936">
        <w:rPr>
          <w:spacing w:val="-3"/>
        </w:rPr>
        <w:instrText xml:space="preserve"> REF _Ref85023515 \h </w:instrText>
      </w:r>
      <w:r w:rsidRPr="00771579" w:rsidR="00771579">
        <w:rPr>
          <w:spacing w:val="-3"/>
        </w:rPr>
        <w:instrText xml:space="preserve"> \* MERGEFORMAT </w:instrText>
      </w:r>
      <w:r w:rsidRPr="00771579" w:rsidR="00890936">
        <w:rPr>
          <w:spacing w:val="-3"/>
        </w:rPr>
        <w:fldChar w:fldCharType="separate"/>
      </w:r>
      <w:r w:rsidRPr="00574301" w:rsidR="00574301">
        <w:t xml:space="preserve">Ref. </w:t>
      </w:r>
      <w:r w:rsidRPr="00574301" w:rsidR="00574301">
        <w:rPr>
          <w:noProof/>
        </w:rPr>
        <w:t>10</w:t>
      </w:r>
      <w:r w:rsidRPr="00771579" w:rsidR="00890936">
        <w:rPr>
          <w:spacing w:val="-3"/>
        </w:rPr>
        <w:fldChar w:fldCharType="end"/>
      </w:r>
      <w:r w:rsidR="001A496C">
        <w:rPr>
          <w:spacing w:val="-3"/>
        </w:rPr>
        <w:t>)</w:t>
      </w:r>
      <w:r w:rsidR="00986DED">
        <w:rPr>
          <w:spacing w:val="-3"/>
        </w:rPr>
        <w:t xml:space="preserve">. </w:t>
      </w:r>
      <w:r w:rsidRPr="00007303">
        <w:rPr>
          <w:spacing w:val="-2"/>
        </w:rPr>
        <w:t>In</w:t>
      </w:r>
      <w:r w:rsidRPr="00007303">
        <w:rPr>
          <w:spacing w:val="2"/>
        </w:rPr>
        <w:t xml:space="preserve"> </w:t>
      </w:r>
      <w:r w:rsidRPr="00007303">
        <w:t>foodborne</w:t>
      </w:r>
      <w:r w:rsidRPr="00007303">
        <w:rPr>
          <w:spacing w:val="1"/>
        </w:rPr>
        <w:t xml:space="preserve"> </w:t>
      </w:r>
      <w:r w:rsidRPr="00007303">
        <w:t>illness outbreaks associated with sprouts</w:t>
      </w:r>
      <w:r w:rsidR="001D733E">
        <w:t xml:space="preserve"> where the s</w:t>
      </w:r>
      <w:r w:rsidR="00635F23">
        <w:t>ource of contamination was identified</w:t>
      </w:r>
      <w:r w:rsidRPr="00007303">
        <w:t>,</w:t>
      </w:r>
      <w:r w:rsidRPr="00007303">
        <w:rPr>
          <w:spacing w:val="-3"/>
        </w:rPr>
        <w:t xml:space="preserve"> </w:t>
      </w:r>
      <w:r w:rsidRPr="00007303">
        <w:t>epidemiological</w:t>
      </w:r>
      <w:r w:rsidRPr="00007303" w:rsidR="00AB59B8">
        <w:t xml:space="preserve"> </w:t>
      </w:r>
      <w:r w:rsidRPr="00007303">
        <w:t>investigations often identify</w:t>
      </w:r>
      <w:r w:rsidRPr="00007303">
        <w:rPr>
          <w:spacing w:val="-3"/>
        </w:rPr>
        <w:t xml:space="preserve"> </w:t>
      </w:r>
      <w:r w:rsidRPr="00007303">
        <w:t>the</w:t>
      </w:r>
      <w:r w:rsidRPr="00007303">
        <w:rPr>
          <w:spacing w:val="1"/>
        </w:rPr>
        <w:t xml:space="preserve"> </w:t>
      </w:r>
      <w:r w:rsidRPr="00007303">
        <w:t>most likely</w:t>
      </w:r>
      <w:r w:rsidRPr="00007303">
        <w:rPr>
          <w:spacing w:val="-5"/>
        </w:rPr>
        <w:t xml:space="preserve"> </w:t>
      </w:r>
      <w:r w:rsidRPr="00007303">
        <w:t>source</w:t>
      </w:r>
      <w:r w:rsidRPr="00007303">
        <w:rPr>
          <w:spacing w:val="1"/>
        </w:rPr>
        <w:t xml:space="preserve"> </w:t>
      </w:r>
      <w:r w:rsidRPr="00007303">
        <w:rPr>
          <w:spacing w:val="-2"/>
        </w:rPr>
        <w:t>of</w:t>
      </w:r>
      <w:r w:rsidRPr="00007303">
        <w:rPr>
          <w:spacing w:val="-3"/>
        </w:rPr>
        <w:t xml:space="preserve"> </w:t>
      </w:r>
      <w:r w:rsidRPr="00007303">
        <w:t>contamination as seeds used for sprouting</w:t>
      </w:r>
      <w:r w:rsidRPr="00007303">
        <w:rPr>
          <w:spacing w:val="-3"/>
        </w:rPr>
        <w:t xml:space="preserve"> </w:t>
      </w:r>
      <w:r w:rsidRPr="00007303">
        <w:t>(</w:t>
      </w:r>
      <w:r w:rsidRPr="00007303" w:rsidR="00837920">
        <w:fldChar w:fldCharType="begin"/>
      </w:r>
      <w:r w:rsidRPr="00007303" w:rsidR="00837920">
        <w:instrText xml:space="preserve"> REF _Ref51086174 \h </w:instrText>
      </w:r>
      <w:r w:rsidR="00007303">
        <w:instrText xml:space="preserve"> \* MERGEFORMAT </w:instrText>
      </w:r>
      <w:r w:rsidRPr="00007303" w:rsidR="00837920">
        <w:fldChar w:fldCharType="separate"/>
      </w:r>
      <w:r w:rsidRPr="006E43DC" w:rsidR="00574301">
        <w:t xml:space="preserve">Ref. </w:t>
      </w:r>
      <w:r w:rsidR="00574301">
        <w:rPr>
          <w:noProof/>
        </w:rPr>
        <w:t>2</w:t>
      </w:r>
      <w:r w:rsidRPr="00007303" w:rsidR="00837920">
        <w:fldChar w:fldCharType="end"/>
      </w:r>
      <w:r w:rsidRPr="00007303" w:rsidR="00323A39">
        <w:t xml:space="preserve"> and</w:t>
      </w:r>
      <w:r w:rsidR="00400BAF">
        <w:t xml:space="preserve"> </w:t>
      </w:r>
      <w:r w:rsidR="00E71BF0">
        <w:fldChar w:fldCharType="begin"/>
      </w:r>
      <w:r w:rsidR="00E71BF0">
        <w:instrText xml:space="preserve"> REF _Ref85024627 \h </w:instrText>
      </w:r>
      <w:r w:rsidR="004B2A15">
        <w:instrText xml:space="preserve"> \* MERGEFORMAT </w:instrText>
      </w:r>
      <w:r w:rsidR="00E71BF0">
        <w:fldChar w:fldCharType="separate"/>
      </w:r>
      <w:r w:rsidRPr="006E43DC" w:rsidR="00574301">
        <w:t xml:space="preserve">Ref. </w:t>
      </w:r>
      <w:r w:rsidR="00574301">
        <w:rPr>
          <w:noProof/>
        </w:rPr>
        <w:t>11</w:t>
      </w:r>
      <w:r w:rsidR="00E71BF0">
        <w:fldChar w:fldCharType="end"/>
      </w:r>
      <w:r w:rsidRPr="00007303">
        <w:t>). However, poor sanitation and unhygienic</w:t>
      </w:r>
      <w:r w:rsidRPr="00007303">
        <w:rPr>
          <w:spacing w:val="1"/>
        </w:rPr>
        <w:t xml:space="preserve"> </w:t>
      </w:r>
      <w:r w:rsidRPr="00007303">
        <w:t>practices at the</w:t>
      </w:r>
      <w:r w:rsidRPr="00007303">
        <w:rPr>
          <w:spacing w:val="1"/>
        </w:rPr>
        <w:t xml:space="preserve"> </w:t>
      </w:r>
      <w:r w:rsidRPr="00007303">
        <w:t>sprout</w:t>
      </w:r>
      <w:r w:rsidRPr="00007303">
        <w:rPr>
          <w:spacing w:val="-2"/>
        </w:rPr>
        <w:t xml:space="preserve"> </w:t>
      </w:r>
      <w:r w:rsidRPr="00007303">
        <w:t>operation</w:t>
      </w:r>
      <w:r w:rsidRPr="00007303">
        <w:rPr>
          <w:spacing w:val="-3"/>
        </w:rPr>
        <w:t xml:space="preserve"> </w:t>
      </w:r>
      <w:r w:rsidRPr="00007303">
        <w:t>have</w:t>
      </w:r>
      <w:r w:rsidRPr="00007303">
        <w:rPr>
          <w:spacing w:val="-3"/>
        </w:rPr>
        <w:t xml:space="preserve"> </w:t>
      </w:r>
      <w:r w:rsidRPr="00007303">
        <w:t>also contributed</w:t>
      </w:r>
      <w:r w:rsidRPr="00007303">
        <w:rPr>
          <w:spacing w:val="-2"/>
        </w:rPr>
        <w:t xml:space="preserve"> </w:t>
      </w:r>
      <w:r w:rsidRPr="00007303">
        <w:t>to</w:t>
      </w:r>
      <w:r w:rsidR="0042599F">
        <w:t xml:space="preserve"> </w:t>
      </w:r>
      <w:r w:rsidRPr="00007303">
        <w:t>the</w:t>
      </w:r>
      <w:r w:rsidRPr="00007303">
        <w:rPr>
          <w:spacing w:val="1"/>
        </w:rPr>
        <w:t xml:space="preserve"> </w:t>
      </w:r>
      <w:r w:rsidRPr="00007303">
        <w:t>contamination of</w:t>
      </w:r>
      <w:r w:rsidRPr="00007303">
        <w:rPr>
          <w:spacing w:val="-3"/>
        </w:rPr>
        <w:t xml:space="preserve"> </w:t>
      </w:r>
      <w:r w:rsidRPr="00007303">
        <w:t>sprouts (</w:t>
      </w:r>
      <w:r w:rsidR="00555CD6">
        <w:fldChar w:fldCharType="begin"/>
      </w:r>
      <w:r w:rsidR="00555CD6">
        <w:instrText xml:space="preserve"> REF _Ref51086174 \h </w:instrText>
      </w:r>
      <w:r w:rsidR="004B2A15">
        <w:instrText xml:space="preserve"> \* MERGEFORMAT </w:instrText>
      </w:r>
      <w:r w:rsidR="00555CD6">
        <w:fldChar w:fldCharType="separate"/>
      </w:r>
      <w:r w:rsidRPr="006E43DC" w:rsidR="00574301">
        <w:t xml:space="preserve">Ref. </w:t>
      </w:r>
      <w:r w:rsidR="00574301">
        <w:rPr>
          <w:noProof/>
        </w:rPr>
        <w:t>2</w:t>
      </w:r>
      <w:r w:rsidR="00555CD6">
        <w:fldChar w:fldCharType="end"/>
      </w:r>
      <w:r w:rsidR="00E34FE8">
        <w:t>,</w:t>
      </w:r>
      <w:r w:rsidR="00555CD6">
        <w:t xml:space="preserve"> </w:t>
      </w:r>
      <w:r w:rsidR="00555CD6">
        <w:fldChar w:fldCharType="begin"/>
      </w:r>
      <w:r w:rsidR="00555CD6">
        <w:instrText xml:space="preserve"> REF _Ref85024199 \h </w:instrText>
      </w:r>
      <w:r w:rsidR="004B2A15">
        <w:instrText xml:space="preserve"> \* MERGEFORMAT </w:instrText>
      </w:r>
      <w:r w:rsidR="00555CD6">
        <w:fldChar w:fldCharType="separate"/>
      </w:r>
      <w:r w:rsidRPr="006E43DC" w:rsidR="00574301">
        <w:t xml:space="preserve">Ref. </w:t>
      </w:r>
      <w:r w:rsidR="00574301">
        <w:rPr>
          <w:noProof/>
        </w:rPr>
        <w:t>6</w:t>
      </w:r>
      <w:r w:rsidR="00555CD6">
        <w:fldChar w:fldCharType="end"/>
      </w:r>
      <w:r w:rsidR="000F72D5">
        <w:t xml:space="preserve">, </w:t>
      </w:r>
      <w:r w:rsidR="000F72D5">
        <w:fldChar w:fldCharType="begin"/>
      </w:r>
      <w:r w:rsidR="000F72D5">
        <w:instrText xml:space="preserve"> REF _Ref85119778 \h </w:instrText>
      </w:r>
      <w:r w:rsidR="004B2A15">
        <w:instrText xml:space="preserve"> \* MERGEFORMAT </w:instrText>
      </w:r>
      <w:r w:rsidR="000F72D5">
        <w:fldChar w:fldCharType="separate"/>
      </w:r>
      <w:r w:rsidR="00574301">
        <w:t xml:space="preserve">Ref. </w:t>
      </w:r>
      <w:r w:rsidR="00574301">
        <w:rPr>
          <w:noProof/>
        </w:rPr>
        <w:t>12</w:t>
      </w:r>
      <w:r w:rsidR="000F72D5">
        <w:fldChar w:fldCharType="end"/>
      </w:r>
      <w:r w:rsidR="000F72D5">
        <w:t xml:space="preserve">, </w:t>
      </w:r>
      <w:r w:rsidR="000F72D5">
        <w:fldChar w:fldCharType="begin"/>
      </w:r>
      <w:r w:rsidR="000F72D5">
        <w:instrText xml:space="preserve"> REF _Ref85119790 \h </w:instrText>
      </w:r>
      <w:r w:rsidR="004B2A15">
        <w:instrText xml:space="preserve"> \* MERGEFORMAT </w:instrText>
      </w:r>
      <w:r w:rsidR="000F72D5">
        <w:fldChar w:fldCharType="separate"/>
      </w:r>
      <w:r w:rsidR="00574301">
        <w:t xml:space="preserve">Ref. </w:t>
      </w:r>
      <w:r w:rsidR="00574301">
        <w:rPr>
          <w:noProof/>
        </w:rPr>
        <w:t>13</w:t>
      </w:r>
      <w:r w:rsidR="000F72D5">
        <w:fldChar w:fldCharType="end"/>
      </w:r>
      <w:r w:rsidR="000F72D5">
        <w:t xml:space="preserve">, and </w:t>
      </w:r>
      <w:r w:rsidR="000F72D5">
        <w:fldChar w:fldCharType="begin"/>
      </w:r>
      <w:r w:rsidR="000F72D5">
        <w:instrText xml:space="preserve"> REF _Ref85119799 \h </w:instrText>
      </w:r>
      <w:r w:rsidR="004B2A15">
        <w:instrText xml:space="preserve"> \* MERGEFORMAT </w:instrText>
      </w:r>
      <w:r w:rsidR="000F72D5">
        <w:fldChar w:fldCharType="separate"/>
      </w:r>
      <w:r w:rsidR="00574301">
        <w:t xml:space="preserve">Ref. </w:t>
      </w:r>
      <w:r w:rsidR="00574301">
        <w:rPr>
          <w:noProof/>
        </w:rPr>
        <w:t>14</w:t>
      </w:r>
      <w:r w:rsidR="000F72D5">
        <w:fldChar w:fldCharType="end"/>
      </w:r>
      <w:r w:rsidR="00555CD6">
        <w:t>)</w:t>
      </w:r>
      <w:r w:rsidRPr="00007303">
        <w:t>.</w:t>
      </w:r>
    </w:p>
    <w:p w:rsidR="00DE7D9A" w:rsidRPr="001D3F5F" w:rsidP="00E47C04" w14:paraId="3174E6F1" w14:textId="4109D2EE">
      <w:pPr>
        <w:pStyle w:val="GuidanceParagraph"/>
      </w:pPr>
      <w:r>
        <w:t xml:space="preserve">Because the distinctive practices and conditions for growing sprouts present unique risks, we established sprout-specific requirements in Subpart M (Sprouts) of the Produce Safety Rule. Subpart M of the Rule </w:t>
      </w:r>
      <w:r w:rsidR="00632E53">
        <w:t>builds</w:t>
      </w:r>
      <w:r>
        <w:t xml:space="preserve"> on sprout production practices </w:t>
      </w:r>
      <w:r>
        <w:t>similar to</w:t>
      </w:r>
      <w:r>
        <w:t xml:space="preserve"> areas covered in our 1999 Sprout Guidances (</w:t>
      </w:r>
      <w:r w:rsidR="00F33DAC">
        <w:t xml:space="preserve">discussed further below, </w:t>
      </w:r>
      <w:r>
        <w:t>now withdrawn). Sprout operations subject to the Produce Safety Rule must comply with all applicable requirements in the Rule, including, but not limited to, all applicable requirements in Subpart M.</w:t>
      </w:r>
    </w:p>
    <w:p w:rsidR="00191DF8" w:rsidRPr="001D3F5F" w:rsidP="00E47C04" w14:paraId="755C521D" w14:textId="5E28BD8B">
      <w:pPr>
        <w:pStyle w:val="GuidanceParagraph"/>
      </w:pPr>
      <w:r w:rsidRPr="001D3F5F">
        <w:t xml:space="preserve">The requirements in the Produce Safety Rule are directed specifically to covered farms (as that term is defined in the Rule) that grow, harvest, pack or hold covered produce, including sprouts.  Covered farms that grow, harvest, pack or hold sprouts are referred to in this guidance as “sprout operations,” or “you.” Produce that is covered by the Rule is referred to as “covered produce.” </w:t>
      </w:r>
    </w:p>
    <w:p w:rsidR="00C04979" w:rsidP="00E47C04" w14:paraId="150747D6" w14:textId="04C5443F">
      <w:pPr>
        <w:pStyle w:val="GuidanceParagraph"/>
        <w:rPr>
          <w:rStyle w:val="GuidanceParagraphChar"/>
        </w:rPr>
      </w:pPr>
      <w:r w:rsidRPr="126284A4">
        <w:rPr>
          <w:rStyle w:val="GuidanceParagraphChar"/>
          <w:rFonts w:eastAsiaTheme="minorEastAsia"/>
        </w:rPr>
        <w:t>Neither the Produce Safety Rule nor this guidance document is directed to growing,</w:t>
      </w:r>
      <w:r w:rsidRPr="126284A4">
        <w:rPr>
          <w:rStyle w:val="GuidanceParagraphChar"/>
          <w:rFonts w:eastAsiaTheme="minorEastAsia"/>
        </w:rPr>
        <w:t xml:space="preserve"> </w:t>
      </w:r>
      <w:r w:rsidRPr="126284A4">
        <w:rPr>
          <w:rStyle w:val="GuidanceParagraphChar"/>
          <w:rFonts w:eastAsiaTheme="minorEastAsia"/>
        </w:rPr>
        <w:t xml:space="preserve">conditioning, or distributing seed for sprouting or to </w:t>
      </w:r>
      <w:r w:rsidR="005246ED">
        <w:rPr>
          <w:rStyle w:val="GuidanceParagraphChar"/>
          <w:rFonts w:eastAsiaTheme="minorEastAsia"/>
        </w:rPr>
        <w:t xml:space="preserve">the </w:t>
      </w:r>
      <w:r w:rsidRPr="126284A4">
        <w:rPr>
          <w:rStyle w:val="GuidanceParagraphChar"/>
          <w:rFonts w:eastAsiaTheme="minorEastAsia"/>
        </w:rPr>
        <w:t xml:space="preserve">handling of sprouts at a retail food establishment. However, as noted in our prior </w:t>
      </w:r>
      <w:r w:rsidR="00DD5819">
        <w:rPr>
          <w:rStyle w:val="GuidanceParagraphChar"/>
          <w:rFonts w:eastAsiaTheme="minorEastAsia"/>
        </w:rPr>
        <w:t>S</w:t>
      </w:r>
      <w:r w:rsidRPr="126284A4">
        <w:rPr>
          <w:rStyle w:val="GuidanceParagraphChar"/>
          <w:rFonts w:eastAsiaTheme="minorEastAsia"/>
        </w:rPr>
        <w:t xml:space="preserve">prout </w:t>
      </w:r>
      <w:r w:rsidR="00DD5819">
        <w:rPr>
          <w:rStyle w:val="GuidanceParagraphChar"/>
          <w:rFonts w:eastAsiaTheme="minorEastAsia"/>
        </w:rPr>
        <w:t>G</w:t>
      </w:r>
      <w:r w:rsidRPr="126284A4">
        <w:rPr>
          <w:rStyle w:val="GuidanceParagraphChar"/>
          <w:rFonts w:eastAsiaTheme="minorEastAsia"/>
        </w:rPr>
        <w:t>uidances and our May 2009 letter to suppliers and distributors of seed for sprouting and sprout operations</w:t>
      </w:r>
      <w:r w:rsidRPr="126284A4" w:rsidR="00E273E0">
        <w:rPr>
          <w:rStyle w:val="GuidanceParagraphChar"/>
          <w:rFonts w:eastAsiaTheme="minorEastAsia"/>
        </w:rPr>
        <w:t xml:space="preserve"> (</w:t>
      </w:r>
      <w:r w:rsidRPr="126284A4" w:rsidR="00E273E0">
        <w:rPr>
          <w:rStyle w:val="GuidanceParagraphChar"/>
          <w:rFonts w:eastAsiaTheme="minorEastAsia"/>
        </w:rPr>
        <w:fldChar w:fldCharType="begin"/>
      </w:r>
      <w:r w:rsidRPr="126284A4" w:rsidR="00E273E0">
        <w:rPr>
          <w:rStyle w:val="GuidanceParagraphChar"/>
          <w:rFonts w:eastAsiaTheme="minorEastAsia"/>
        </w:rPr>
        <w:instrText xml:space="preserve"> REF _Ref106021180 \h </w:instrText>
      </w:r>
      <w:r w:rsidRPr="126284A4" w:rsidR="004B2A15">
        <w:rPr>
          <w:rStyle w:val="GuidanceParagraphChar"/>
          <w:rFonts w:eastAsiaTheme="minorEastAsia"/>
        </w:rPr>
        <w:instrText xml:space="preserve"> \* MERGEFORMAT </w:instrText>
      </w:r>
      <w:r w:rsidRPr="126284A4" w:rsidR="00E273E0">
        <w:rPr>
          <w:rStyle w:val="GuidanceParagraphChar"/>
          <w:rFonts w:eastAsiaTheme="minorEastAsia"/>
        </w:rPr>
        <w:fldChar w:fldCharType="separate"/>
      </w:r>
      <w:r w:rsidRPr="007F1836" w:rsidR="00574301">
        <w:t xml:space="preserve">Ref. </w:t>
      </w:r>
      <w:r w:rsidRPr="007F1836" w:rsidR="00574301">
        <w:rPr>
          <w:noProof/>
        </w:rPr>
        <w:t>15</w:t>
      </w:r>
      <w:r w:rsidRPr="126284A4" w:rsidR="00E273E0">
        <w:rPr>
          <w:rStyle w:val="GuidanceParagraphChar"/>
          <w:rFonts w:eastAsiaTheme="minorEastAsia"/>
        </w:rPr>
        <w:fldChar w:fldCharType="end"/>
      </w:r>
      <w:r w:rsidRPr="126284A4" w:rsidR="00E273E0">
        <w:rPr>
          <w:rStyle w:val="GuidanceParagraphChar"/>
          <w:rFonts w:eastAsiaTheme="minorEastAsia"/>
        </w:rPr>
        <w:t xml:space="preserve"> and </w:t>
      </w:r>
      <w:r w:rsidRPr="126284A4" w:rsidR="00E273E0">
        <w:rPr>
          <w:rStyle w:val="GuidanceParagraphChar"/>
          <w:rFonts w:eastAsiaTheme="minorEastAsia"/>
        </w:rPr>
        <w:fldChar w:fldCharType="begin"/>
      </w:r>
      <w:r w:rsidRPr="126284A4" w:rsidR="00E273E0">
        <w:rPr>
          <w:rStyle w:val="GuidanceParagraphChar"/>
          <w:rFonts w:eastAsiaTheme="minorEastAsia"/>
        </w:rPr>
        <w:instrText xml:space="preserve"> REF _Ref106021184 \h </w:instrText>
      </w:r>
      <w:r w:rsidRPr="126284A4" w:rsidR="004B2A15">
        <w:rPr>
          <w:rStyle w:val="GuidanceParagraphChar"/>
          <w:rFonts w:eastAsiaTheme="minorEastAsia"/>
        </w:rPr>
        <w:instrText xml:space="preserve"> \* MERGEFORMAT </w:instrText>
      </w:r>
      <w:r w:rsidRPr="126284A4" w:rsidR="00E273E0">
        <w:rPr>
          <w:rStyle w:val="GuidanceParagraphChar"/>
          <w:rFonts w:eastAsiaTheme="minorEastAsia"/>
        </w:rPr>
        <w:fldChar w:fldCharType="separate"/>
      </w:r>
      <w:r w:rsidRPr="007F1836" w:rsidR="00574301">
        <w:t xml:space="preserve">Ref. </w:t>
      </w:r>
      <w:r w:rsidRPr="007F1836" w:rsidR="00574301">
        <w:rPr>
          <w:noProof/>
        </w:rPr>
        <w:t>16</w:t>
      </w:r>
      <w:r w:rsidRPr="126284A4" w:rsidR="00E273E0">
        <w:rPr>
          <w:rStyle w:val="GuidanceParagraphChar"/>
          <w:rFonts w:eastAsiaTheme="minorEastAsia"/>
        </w:rPr>
        <w:fldChar w:fldCharType="end"/>
      </w:r>
      <w:r w:rsidRPr="126284A4" w:rsidR="00E273E0">
        <w:rPr>
          <w:rStyle w:val="GuidanceParagraphChar"/>
          <w:rFonts w:eastAsiaTheme="minorEastAsia"/>
        </w:rPr>
        <w:t>)</w:t>
      </w:r>
      <w:r w:rsidRPr="126284A4">
        <w:rPr>
          <w:rStyle w:val="GuidanceParagraphChar"/>
          <w:rFonts w:eastAsiaTheme="minorEastAsia"/>
        </w:rPr>
        <w:t xml:space="preserve">, everyone in the sprout supply chain has a responsibility </w:t>
      </w:r>
      <w:r w:rsidRPr="126284A4" w:rsidR="4FE480CD">
        <w:rPr>
          <w:rStyle w:val="GuidanceParagraphChar"/>
          <w:rFonts w:eastAsiaTheme="minorEastAsia"/>
        </w:rPr>
        <w:t xml:space="preserve">to </w:t>
      </w:r>
      <w:r w:rsidR="004E6479">
        <w:rPr>
          <w:rStyle w:val="GuidanceParagraphChar"/>
          <w:rFonts w:eastAsiaTheme="minorEastAsia"/>
        </w:rPr>
        <w:t xml:space="preserve">help </w:t>
      </w:r>
      <w:r w:rsidRPr="126284A4" w:rsidR="4FE480CD">
        <w:rPr>
          <w:rStyle w:val="GuidanceParagraphChar"/>
          <w:rFonts w:eastAsiaTheme="minorEastAsia"/>
        </w:rPr>
        <w:t>ensure</w:t>
      </w:r>
      <w:r w:rsidRPr="126284A4">
        <w:rPr>
          <w:rStyle w:val="GuidanceParagraphChar"/>
          <w:rFonts w:eastAsiaTheme="minorEastAsia"/>
        </w:rPr>
        <w:t xml:space="preserve"> food safety. FDA has also issued the final guidance document regarding good agricultural practices for seed for sprouting, entitled “Reducing Microbial Food Safety Hazards in the Production of Seed for Sprouting: Guidance for Industry” </w:t>
      </w:r>
      <w:r w:rsidR="00C769FC">
        <w:rPr>
          <w:rStyle w:val="GuidanceParagraphChar"/>
          <w:rFonts w:eastAsiaTheme="minorEastAsia"/>
        </w:rPr>
        <w:t>(</w:t>
      </w:r>
      <w:r w:rsidR="00C769FC">
        <w:rPr>
          <w:rStyle w:val="GuidanceParagraphChar"/>
          <w:rFonts w:eastAsiaTheme="minorEastAsia"/>
        </w:rPr>
        <w:fldChar w:fldCharType="begin"/>
      </w:r>
      <w:r w:rsidR="00C769FC">
        <w:rPr>
          <w:rStyle w:val="GuidanceParagraphChar"/>
          <w:rFonts w:eastAsiaTheme="minorEastAsia"/>
        </w:rPr>
        <w:instrText xml:space="preserve"> REF _Ref117782908 \h </w:instrText>
      </w:r>
      <w:r w:rsidR="00C769FC">
        <w:rPr>
          <w:rStyle w:val="GuidanceParagraphChar"/>
          <w:rFonts w:eastAsiaTheme="minorEastAsia"/>
        </w:rPr>
        <w:fldChar w:fldCharType="separate"/>
      </w:r>
      <w:r w:rsidR="00C769FC">
        <w:t xml:space="preserve">Ref. </w:t>
      </w:r>
      <w:r w:rsidR="00C769FC">
        <w:rPr>
          <w:noProof/>
        </w:rPr>
        <w:t>17</w:t>
      </w:r>
      <w:r w:rsidR="00C769FC">
        <w:rPr>
          <w:rStyle w:val="GuidanceParagraphChar"/>
          <w:rFonts w:eastAsiaTheme="minorEastAsia"/>
        </w:rPr>
        <w:fldChar w:fldCharType="end"/>
      </w:r>
      <w:r w:rsidR="00C769FC">
        <w:rPr>
          <w:rStyle w:val="GuidanceParagraphChar"/>
          <w:rFonts w:eastAsiaTheme="minorEastAsia"/>
        </w:rPr>
        <w:t>)</w:t>
      </w:r>
      <w:r w:rsidRPr="126284A4">
        <w:rPr>
          <w:rStyle w:val="GuidanceParagraphChar"/>
          <w:rFonts w:eastAsiaTheme="minorEastAsia"/>
        </w:rPr>
        <w:t xml:space="preserve">. </w:t>
      </w:r>
      <w:r w:rsidRPr="126284A4" w:rsidR="002F0957">
        <w:rPr>
          <w:rStyle w:val="GuidanceParagraphChar"/>
          <w:rFonts w:eastAsiaTheme="minorEastAsia"/>
        </w:rPr>
        <w:t>T</w:t>
      </w:r>
      <w:r w:rsidRPr="126284A4" w:rsidR="00191DF8">
        <w:rPr>
          <w:rStyle w:val="GuidanceParagraphChar"/>
          <w:rFonts w:eastAsiaTheme="minorEastAsia"/>
        </w:rPr>
        <w:t>he Produce Safety Rule does not address chemical or physical hazards. However, you have a responsibility to ensure that your sprouts are not adulterated or misbranded under the Federal Food, Drug, and Cosmetic Act (FD&amp;C Act) (21 U.S.C. §§ 301</w:t>
      </w:r>
      <w:r w:rsidRPr="00F85F71" w:rsidR="00191DF8">
        <w:rPr>
          <w:rStyle w:val="GuidanceParagraphChar"/>
          <w:rFonts w:eastAsiaTheme="minorEastAsia"/>
          <w:i/>
          <w:iCs/>
        </w:rPr>
        <w:t xml:space="preserve"> et seq.</w:t>
      </w:r>
      <w:r w:rsidRPr="126284A4" w:rsidR="00191DF8">
        <w:rPr>
          <w:rStyle w:val="GuidanceParagraphChar"/>
          <w:rFonts w:eastAsiaTheme="minorEastAsia"/>
        </w:rPr>
        <w:t>) and are produced in compliance with all applicable laws</w:t>
      </w:r>
      <w:r w:rsidRPr="126284A4" w:rsidR="001B2B67">
        <w:rPr>
          <w:rStyle w:val="GuidanceParagraphChar"/>
          <w:rFonts w:eastAsiaTheme="minorEastAsia"/>
        </w:rPr>
        <w:t xml:space="preserve"> and regulations</w:t>
      </w:r>
      <w:r w:rsidRPr="126284A4" w:rsidR="00191DF8">
        <w:rPr>
          <w:rStyle w:val="GuidanceParagraphChar"/>
          <w:rFonts w:eastAsiaTheme="minorEastAsia"/>
        </w:rPr>
        <w:t>.</w:t>
      </w:r>
      <w:r w:rsidRPr="126284A4" w:rsidR="00E26750">
        <w:rPr>
          <w:rStyle w:val="GuidanceParagraphChar"/>
          <w:rFonts w:eastAsiaTheme="minorEastAsia"/>
        </w:rPr>
        <w:t xml:space="preserve"> </w:t>
      </w:r>
      <w:r w:rsidRPr="0025090E" w:rsidR="00740FAB">
        <w:t>Under section 402(a)(1) of the FD&amp;C Act, a food is adulterated if it bears or contains any added poisonous or deleterious substance which may render it injurious to health, and such substances may include or otherwise result from physical and chemical (including radiological) contamination.</w:t>
      </w:r>
      <w:bookmarkStart w:id="2" w:name="_Hlk41460878"/>
    </w:p>
    <w:p w:rsidR="00191DF8" w:rsidRPr="00C20876" w:rsidP="00E47C04" w14:paraId="20F9BF36" w14:textId="0AA99A73">
      <w:pPr>
        <w:pStyle w:val="GuidanceParagraph"/>
      </w:pPr>
      <w:r w:rsidRPr="00E26750">
        <w:rPr>
          <w:rStyle w:val="GuidanceParagraphChar"/>
        </w:rPr>
        <w:t xml:space="preserve">This guidance provides our current thinking and recommendations to assist sprout operations subject to the Produce Safety Rule primarily in complying with the sprout-specific requirements in Subpart M. </w:t>
      </w:r>
      <w:r w:rsidRPr="00E26750" w:rsidR="00D351A3">
        <w:rPr>
          <w:rStyle w:val="GuidanceParagraphChar"/>
        </w:rPr>
        <w:t xml:space="preserve">This guidance also briefly discusses </w:t>
      </w:r>
      <w:r w:rsidRPr="00E26750" w:rsidR="003F076D">
        <w:rPr>
          <w:rStyle w:val="GuidanceParagraphChar"/>
        </w:rPr>
        <w:t>certain requirements</w:t>
      </w:r>
      <w:r w:rsidRPr="00E26750" w:rsidR="00550005">
        <w:rPr>
          <w:rStyle w:val="GuidanceParagraphChar"/>
        </w:rPr>
        <w:t xml:space="preserve"> </w:t>
      </w:r>
      <w:r>
        <w:t xml:space="preserve">(in Subparts E and </w:t>
      </w:r>
      <w:r w:rsidR="00E45E44">
        <w:t>O</w:t>
      </w:r>
      <w:r>
        <w:t xml:space="preserve"> of the Rule relating to Agricultural Water and Records)</w:t>
      </w:r>
      <w:r w:rsidR="00C8566E">
        <w:t xml:space="preserve"> </w:t>
      </w:r>
      <w:r w:rsidR="00902FD7">
        <w:t xml:space="preserve">of </w:t>
      </w:r>
      <w:r w:rsidR="00902FD7">
        <w:t>particular relevance</w:t>
      </w:r>
      <w:r w:rsidR="00902FD7">
        <w:t xml:space="preserve"> to </w:t>
      </w:r>
      <w:r w:rsidR="00C8566E">
        <w:t>a sprout operation</w:t>
      </w:r>
      <w:r>
        <w:t xml:space="preserve">. </w:t>
      </w:r>
      <w:r w:rsidR="003505F8">
        <w:t xml:space="preserve">Some requirements of Subpart M and other subparts to which sprouts are subject (e.g., Subpart M, §112.147, </w:t>
      </w:r>
      <w:r w:rsidR="00F01428">
        <w:t xml:space="preserve">related </w:t>
      </w:r>
      <w:r w:rsidR="003505F8">
        <w:t>to spent sprout irrigation water</w:t>
      </w:r>
      <w:r w:rsidR="00F01428">
        <w:t>;</w:t>
      </w:r>
      <w:r w:rsidR="003505F8">
        <w:t xml:space="preserve"> Subpart C, </w:t>
      </w:r>
      <w:r w:rsidR="00F01428">
        <w:t xml:space="preserve">related </w:t>
      </w:r>
      <w:r w:rsidR="003505F8">
        <w:t>to training</w:t>
      </w:r>
      <w:r w:rsidR="00F01428">
        <w:t>;</w:t>
      </w:r>
      <w:r w:rsidR="003505F8">
        <w:t xml:space="preserve"> and </w:t>
      </w:r>
      <w:r w:rsidR="00F01428">
        <w:t>S</w:t>
      </w:r>
      <w:r w:rsidR="003505F8">
        <w:t xml:space="preserve">ubpart L, </w:t>
      </w:r>
      <w:r w:rsidR="00F01428">
        <w:t xml:space="preserve">related </w:t>
      </w:r>
      <w:r w:rsidR="003505F8">
        <w:t xml:space="preserve">to equipment, tools, and buildings) are </w:t>
      </w:r>
      <w:r w:rsidRPr="00BC4A92" w:rsidR="003505F8">
        <w:t>covered in the draft reissued sections (</w:t>
      </w:r>
      <w:r w:rsidRPr="00BC4A92" w:rsidR="005410EC">
        <w:fldChar w:fldCharType="begin"/>
      </w:r>
      <w:r w:rsidRPr="00BC4A92" w:rsidR="005410EC">
        <w:instrText xml:space="preserve"> REF _Ref126308691 \h </w:instrText>
      </w:r>
      <w:r w:rsidRPr="00BC4A92" w:rsidR="003F0241">
        <w:instrText xml:space="preserve"> \* MERGEFORMAT </w:instrText>
      </w:r>
      <w:r w:rsidRPr="00BC4A92" w:rsidR="005410EC">
        <w:fldChar w:fldCharType="separate"/>
      </w:r>
      <w:r w:rsidRPr="00BC4A92" w:rsidR="005410EC">
        <w:t xml:space="preserve">Ref. </w:t>
      </w:r>
      <w:r w:rsidRPr="00BC4A92" w:rsidR="005410EC">
        <w:rPr>
          <w:noProof/>
        </w:rPr>
        <w:t>18</w:t>
      </w:r>
      <w:r w:rsidRPr="00BC4A92" w:rsidR="005410EC">
        <w:fldChar w:fldCharType="end"/>
      </w:r>
      <w:r w:rsidRPr="00BC4A92" w:rsidR="003F0241">
        <w:t>)</w:t>
      </w:r>
      <w:r w:rsidRPr="00BC4A92" w:rsidR="003735FC">
        <w:t xml:space="preserve">. </w:t>
      </w:r>
      <w:r w:rsidRPr="00BC4A92" w:rsidR="00404585">
        <w:t>In addition, this guidance may also be useful to sprout operations that are not subject to the Produce Safety Rule that voluntarily choose to follow the standards</w:t>
      </w:r>
      <w:r w:rsidR="00404585">
        <w:t xml:space="preserve"> established in the Rule. </w:t>
      </w:r>
      <w:r>
        <w:t xml:space="preserve">In the development of this guidance, we particularly considered </w:t>
      </w:r>
      <w:r w:rsidR="00A93502">
        <w:t xml:space="preserve">industry and </w:t>
      </w:r>
      <w:r w:rsidR="00A731D2">
        <w:t>i</w:t>
      </w:r>
      <w:r w:rsidR="00A93502">
        <w:t xml:space="preserve">nternational </w:t>
      </w:r>
      <w:r>
        <w:t>documents related to food safety and hygienic production of sprouts</w:t>
      </w:r>
      <w:r w:rsidR="00AB5258">
        <w:t xml:space="preserve"> (</w:t>
      </w:r>
      <w:r w:rsidR="00207CAF">
        <w:fldChar w:fldCharType="begin"/>
      </w:r>
      <w:r w:rsidR="00207CAF">
        <w:instrText xml:space="preserve"> REF _Ref126308883 \h </w:instrText>
      </w:r>
      <w:r w:rsidR="00207CAF">
        <w:fldChar w:fldCharType="separate"/>
      </w:r>
      <w:r w:rsidRPr="00CE014D" w:rsidR="00207CAF">
        <w:t xml:space="preserve">Ref. </w:t>
      </w:r>
      <w:r w:rsidR="00207CAF">
        <w:rPr>
          <w:noProof/>
        </w:rPr>
        <w:t>19</w:t>
      </w:r>
      <w:r w:rsidR="00207CAF">
        <w:fldChar w:fldCharType="end"/>
      </w:r>
      <w:r w:rsidR="00D52255">
        <w:t xml:space="preserve">, </w:t>
      </w:r>
      <w:r w:rsidR="00D52255">
        <w:fldChar w:fldCharType="begin"/>
      </w:r>
      <w:r w:rsidR="00D52255">
        <w:instrText xml:space="preserve"> REF _Ref85027697 \h </w:instrText>
      </w:r>
      <w:r w:rsidR="00D52255">
        <w:fldChar w:fldCharType="separate"/>
      </w:r>
      <w:r w:rsidRPr="006E43DC" w:rsidR="00B531B4">
        <w:t xml:space="preserve">Ref. </w:t>
      </w:r>
      <w:r w:rsidR="00B531B4">
        <w:rPr>
          <w:noProof/>
        </w:rPr>
        <w:t>20</w:t>
      </w:r>
      <w:r w:rsidR="00D52255">
        <w:fldChar w:fldCharType="end"/>
      </w:r>
      <w:r w:rsidR="00D52255">
        <w:t xml:space="preserve">, and </w:t>
      </w:r>
      <w:r w:rsidRPr="005157AE" w:rsidR="00D52255">
        <w:fldChar w:fldCharType="begin"/>
      </w:r>
      <w:r w:rsidRPr="005157AE" w:rsidR="00D52255">
        <w:instrText xml:space="preserve"> REF _Ref117783376 \h </w:instrText>
      </w:r>
      <w:r w:rsidRPr="005157AE" w:rsidR="005157AE">
        <w:instrText xml:space="preserve"> \* MERGEFORMAT </w:instrText>
      </w:r>
      <w:r w:rsidRPr="005157AE" w:rsidR="00D52255">
        <w:fldChar w:fldCharType="separate"/>
      </w:r>
      <w:r w:rsidRPr="006E43DC" w:rsidR="00B531B4">
        <w:t xml:space="preserve">Ref. </w:t>
      </w:r>
      <w:r w:rsidRPr="00B531B4" w:rsidR="00B531B4">
        <w:rPr>
          <w:noProof/>
        </w:rPr>
        <w:t>21</w:t>
      </w:r>
      <w:r w:rsidRPr="005157AE" w:rsidR="00D52255">
        <w:fldChar w:fldCharType="end"/>
      </w:r>
      <w:r w:rsidRPr="005157AE" w:rsidR="00D52255">
        <w:t>)</w:t>
      </w:r>
      <w:r w:rsidRPr="005157AE" w:rsidR="0076316A">
        <w:t>.</w:t>
      </w:r>
      <w:r w:rsidR="00430B0C">
        <w:t xml:space="preserve"> </w:t>
      </w:r>
      <w:r w:rsidRPr="001E6159">
        <w:t>We have</w:t>
      </w:r>
      <w:r>
        <w:t xml:space="preserve"> incorporated aspects of these documents that are consistent with our laws</w:t>
      </w:r>
      <w:r w:rsidR="00A41539">
        <w:t>,</w:t>
      </w:r>
      <w:r>
        <w:t xml:space="preserve"> regulations</w:t>
      </w:r>
      <w:r w:rsidR="00A41539">
        <w:t>,</w:t>
      </w:r>
      <w:r>
        <w:t xml:space="preserve"> and existing policies.</w:t>
      </w:r>
    </w:p>
    <w:p w:rsidR="00191DF8" w:rsidRPr="00C20876" w:rsidP="00E47C04" w14:paraId="52D9725A" w14:textId="108A2D89">
      <w:pPr>
        <w:pStyle w:val="GuidanceParagraph"/>
      </w:pPr>
      <w:r>
        <w:t>Some</w:t>
      </w:r>
      <w:r>
        <w:t xml:space="preserve"> of the material in this guidance relates to regulatory requirements of the Produce Safety Rule that are also covered in the draft “Standards for the Growing, Harvesting, Packing, and Holding of Produce for Human Consumption: Guidance for Industry” (general produce compliance and implementation </w:t>
      </w:r>
      <w:r w:rsidR="009926BD">
        <w:t xml:space="preserve">draft </w:t>
      </w:r>
      <w:r>
        <w:t xml:space="preserve">guidance (83 FR 53196) </w:t>
      </w:r>
      <w:r w:rsidR="00122D52">
        <w:t>issued</w:t>
      </w:r>
      <w:r>
        <w:t xml:space="preserve"> in October 2018</w:t>
      </w:r>
      <w:r w:rsidR="00E30617">
        <w:t>)</w:t>
      </w:r>
      <w:r w:rsidR="00667EF2">
        <w:t xml:space="preserve"> </w:t>
      </w:r>
      <w:r w:rsidRPr="00156882" w:rsidR="005157AE">
        <w:t>(</w:t>
      </w:r>
      <w:r w:rsidRPr="00F50C8B" w:rsidR="005157AE">
        <w:fldChar w:fldCharType="begin"/>
      </w:r>
      <w:r w:rsidRPr="00156882" w:rsidR="005157AE">
        <w:instrText xml:space="preserve"> REF _Ref117783436 \h </w:instrText>
      </w:r>
      <w:r w:rsidR="00156882">
        <w:instrText xml:space="preserve"> \* MERGEFORMAT </w:instrText>
      </w:r>
      <w:r w:rsidRPr="00F50C8B" w:rsidR="005157AE">
        <w:fldChar w:fldCharType="separate"/>
      </w:r>
      <w:r w:rsidRPr="006E43DC" w:rsidR="001771FA">
        <w:t xml:space="preserve">Ref. </w:t>
      </w:r>
      <w:r w:rsidR="001771FA">
        <w:rPr>
          <w:noProof/>
        </w:rPr>
        <w:t>22</w:t>
      </w:r>
      <w:r w:rsidRPr="00F50C8B" w:rsidR="005157AE">
        <w:fldChar w:fldCharType="end"/>
      </w:r>
      <w:r w:rsidRPr="00156882" w:rsidR="005157AE">
        <w:t>)</w:t>
      </w:r>
      <w:r w:rsidRPr="00156882">
        <w:t>.</w:t>
      </w:r>
      <w:r>
        <w:t xml:space="preserve"> At the present time, the material on these overlapping topics </w:t>
      </w:r>
      <w:r w:rsidR="00C46FA0">
        <w:t xml:space="preserve">(e.g., records, </w:t>
      </w:r>
      <w:r w:rsidR="00D86402">
        <w:t>cleaning</w:t>
      </w:r>
      <w:r w:rsidR="00D86402">
        <w:t xml:space="preserve"> and sanitizing) </w:t>
      </w:r>
      <w:r w:rsidR="00C13797">
        <w:t>is consistent between the two guidance document</w:t>
      </w:r>
      <w:r w:rsidR="00E47C04">
        <w:t xml:space="preserve">s. This final guidance </w:t>
      </w:r>
      <w:r>
        <w:t xml:space="preserve">focuses </w:t>
      </w:r>
      <w:r w:rsidR="00E47C04">
        <w:t xml:space="preserve">specifically </w:t>
      </w:r>
      <w:r>
        <w:t>on insights drawn from FDA’s experience with sprout operations, such as from inspections and sprout-associated foodborne illness outbreak investigations</w:t>
      </w:r>
      <w:r w:rsidR="00E47C04">
        <w:t xml:space="preserve"> and elaborates on how the broader records</w:t>
      </w:r>
      <w:r w:rsidR="00AB5D3E">
        <w:t xml:space="preserve"> and</w:t>
      </w:r>
      <w:r w:rsidR="00E47C04">
        <w:t xml:space="preserve"> cleaning and sanitizing</w:t>
      </w:r>
      <w:r w:rsidR="00AB5D3E">
        <w:t xml:space="preserve"> standards in part 112 could apply to and be implemented in a sprout operation</w:t>
      </w:r>
      <w:r>
        <w:t>.</w:t>
      </w:r>
      <w:r w:rsidR="00FB3046">
        <w:t xml:space="preserve"> </w:t>
      </w:r>
    </w:p>
    <w:bookmarkEnd w:id="2"/>
    <w:p w:rsidR="0005550A" w:rsidRPr="0005550A" w:rsidP="0005550A" w14:paraId="4F101B48" w14:textId="194193CE">
      <w:pPr>
        <w:pStyle w:val="CommentText"/>
        <w:rPr>
          <w:rFonts w:ascii="Times New Roman" w:hAnsi="Times New Roman" w:cs="Times New Roman"/>
          <w:sz w:val="24"/>
          <w:szCs w:val="24"/>
        </w:rPr>
      </w:pPr>
      <w:r>
        <w:rPr>
          <w:rFonts w:ascii="Times New Roman" w:hAnsi="Times New Roman" w:cs="Times New Roman"/>
          <w:sz w:val="24"/>
          <w:szCs w:val="24"/>
        </w:rPr>
        <w:t>In general, FDA’s guidance documents do not establish legally enforceable responsibilities. Instead, guidances describe the Agency’s current thinking on a topic and should be viewed only as recommendations, unless specific regulatory or statutory requirements are cited. The use of the word should in Agency guidances means that something is suggested or recommended, but not required.</w:t>
      </w:r>
    </w:p>
    <w:p w:rsidR="00191DF8" w:rsidRPr="00B14015" w:rsidP="00A16344" w14:paraId="04DB99ED" w14:textId="382D33E5">
      <w:pPr>
        <w:pStyle w:val="HHS508GuidanceOutline1"/>
      </w:pPr>
      <w:bookmarkStart w:id="3" w:name="_Toc106094916"/>
      <w:r w:rsidRPr="00B14015">
        <w:t>Background</w:t>
      </w:r>
      <w:bookmarkEnd w:id="3"/>
    </w:p>
    <w:p w:rsidR="00191DF8" w:rsidRPr="00B14015" w:rsidP="00F756C4" w14:paraId="77ACC826" w14:textId="4B07D9A7">
      <w:pPr>
        <w:pStyle w:val="HHS508GuidanceOutline2"/>
      </w:pPr>
      <w:bookmarkStart w:id="4" w:name="_Toc106094917"/>
      <w:r w:rsidRPr="00B14015">
        <w:t>Other</w:t>
      </w:r>
      <w:r w:rsidRPr="00B14015">
        <w:rPr>
          <w:spacing w:val="1"/>
        </w:rPr>
        <w:t xml:space="preserve"> </w:t>
      </w:r>
      <w:r w:rsidRPr="00B14015">
        <w:rPr>
          <w:spacing w:val="-2"/>
        </w:rPr>
        <w:t>FDA</w:t>
      </w:r>
      <w:r w:rsidRPr="00B14015">
        <w:t xml:space="preserve"> Efforts Related to Sprouts</w:t>
      </w:r>
      <w:bookmarkEnd w:id="4"/>
    </w:p>
    <w:p w:rsidR="00191DF8" w:rsidP="00E47C04" w14:paraId="3A875CB4" w14:textId="1809376C">
      <w:pPr>
        <w:pStyle w:val="GuidanceParagraph"/>
      </w:pPr>
      <w:r w:rsidRPr="00B77103">
        <w:t>On October 27,</w:t>
      </w:r>
      <w:r w:rsidRPr="00B77103">
        <w:rPr>
          <w:spacing w:val="-3"/>
        </w:rPr>
        <w:t xml:space="preserve"> </w:t>
      </w:r>
      <w:r w:rsidRPr="00B77103">
        <w:t>1999, we</w:t>
      </w:r>
      <w:r w:rsidRPr="00B77103">
        <w:rPr>
          <w:spacing w:val="-2"/>
        </w:rPr>
        <w:t xml:space="preserve"> </w:t>
      </w:r>
      <w:r w:rsidRPr="00B77103">
        <w:t>published</w:t>
      </w:r>
      <w:r w:rsidRPr="00B77103">
        <w:rPr>
          <w:spacing w:val="-3"/>
        </w:rPr>
        <w:t xml:space="preserve"> </w:t>
      </w:r>
      <w:r w:rsidRPr="00B77103">
        <w:t>a</w:t>
      </w:r>
      <w:r w:rsidRPr="00B77103">
        <w:rPr>
          <w:spacing w:val="1"/>
        </w:rPr>
        <w:t xml:space="preserve"> </w:t>
      </w:r>
      <w:r w:rsidRPr="00B77103">
        <w:t>notice</w:t>
      </w:r>
      <w:r w:rsidRPr="00B77103">
        <w:rPr>
          <w:spacing w:val="1"/>
        </w:rPr>
        <w:t xml:space="preserve"> </w:t>
      </w:r>
      <w:r w:rsidRPr="00B77103">
        <w:t>of</w:t>
      </w:r>
      <w:r w:rsidRPr="00B77103">
        <w:rPr>
          <w:spacing w:val="-3"/>
        </w:rPr>
        <w:t xml:space="preserve"> </w:t>
      </w:r>
      <w:r w:rsidRPr="00B77103">
        <w:t>availability</w:t>
      </w:r>
      <w:r w:rsidRPr="00B77103">
        <w:rPr>
          <w:spacing w:val="-5"/>
        </w:rPr>
        <w:t xml:space="preserve"> </w:t>
      </w:r>
      <w:r w:rsidRPr="00B77103">
        <w:t>in the</w:t>
      </w:r>
      <w:r w:rsidRPr="00B77103">
        <w:rPr>
          <w:spacing w:val="1"/>
        </w:rPr>
        <w:t xml:space="preserve"> </w:t>
      </w:r>
      <w:r w:rsidRPr="7128B7BF">
        <w:rPr>
          <w:i/>
          <w:iCs/>
        </w:rPr>
        <w:t>Federal Register</w:t>
      </w:r>
      <w:r w:rsidRPr="00B77103">
        <w:t xml:space="preserve"> (64 </w:t>
      </w:r>
      <w:r w:rsidRPr="00B77103">
        <w:rPr>
          <w:spacing w:val="-2"/>
        </w:rPr>
        <w:t>FR</w:t>
      </w:r>
      <w:r w:rsidRPr="00B77103">
        <w:t xml:space="preserve"> 57893) for</w:t>
      </w:r>
      <w:r w:rsidR="002A0F24">
        <w:t xml:space="preserve"> </w:t>
      </w:r>
      <w:r w:rsidRPr="00B77103">
        <w:t>two guidance</w:t>
      </w:r>
      <w:r w:rsidRPr="00B77103">
        <w:rPr>
          <w:spacing w:val="1"/>
        </w:rPr>
        <w:t xml:space="preserve"> </w:t>
      </w:r>
      <w:r w:rsidRPr="00B77103">
        <w:t>documents</w:t>
      </w:r>
      <w:r w:rsidRPr="00B77103">
        <w:rPr>
          <w:spacing w:val="-4"/>
        </w:rPr>
        <w:t xml:space="preserve"> </w:t>
      </w:r>
      <w:r w:rsidRPr="00B77103">
        <w:t>to inform all parties</w:t>
      </w:r>
      <w:r w:rsidRPr="00B77103">
        <w:rPr>
          <w:spacing w:val="-4"/>
        </w:rPr>
        <w:t xml:space="preserve"> </w:t>
      </w:r>
      <w:r w:rsidRPr="00B77103">
        <w:t>involved in the</w:t>
      </w:r>
      <w:r w:rsidRPr="00B77103">
        <w:rPr>
          <w:spacing w:val="1"/>
        </w:rPr>
        <w:t xml:space="preserve"> </w:t>
      </w:r>
      <w:r w:rsidRPr="00B77103">
        <w:t>production of</w:t>
      </w:r>
      <w:r w:rsidRPr="00B77103">
        <w:rPr>
          <w:spacing w:val="-3"/>
        </w:rPr>
        <w:t xml:space="preserve"> </w:t>
      </w:r>
      <w:r w:rsidRPr="00B77103">
        <w:t>sprouts (i.e., producers,</w:t>
      </w:r>
      <w:r w:rsidR="002A0F24">
        <w:t xml:space="preserve"> </w:t>
      </w:r>
      <w:r w:rsidRPr="00B77103">
        <w:t>conditioners, and distributors of</w:t>
      </w:r>
      <w:r w:rsidRPr="00B77103">
        <w:rPr>
          <w:spacing w:val="-3"/>
        </w:rPr>
        <w:t xml:space="preserve"> </w:t>
      </w:r>
      <w:r w:rsidRPr="00B77103">
        <w:t xml:space="preserve">seeds used for sprouting, and sprout </w:t>
      </w:r>
      <w:r w:rsidR="00BD587B">
        <w:t>operations</w:t>
      </w:r>
      <w:r w:rsidRPr="00B77103">
        <w:t>)</w:t>
      </w:r>
      <w:r w:rsidR="002A0F24">
        <w:t xml:space="preserve"> </w:t>
      </w:r>
      <w:r w:rsidRPr="00B77103">
        <w:t>that sprouts ha</w:t>
      </w:r>
      <w:r w:rsidR="00BB6F7A">
        <w:t>d</w:t>
      </w:r>
      <w:r w:rsidR="002A0F24">
        <w:t xml:space="preserve"> </w:t>
      </w:r>
      <w:r w:rsidRPr="00B77103">
        <w:t>been recognized as an important</w:t>
      </w:r>
      <w:r w:rsidRPr="00B77103">
        <w:rPr>
          <w:spacing w:val="-2"/>
        </w:rPr>
        <w:t xml:space="preserve"> </w:t>
      </w:r>
      <w:r w:rsidRPr="00B77103">
        <w:t>cause</w:t>
      </w:r>
      <w:r w:rsidRPr="00B77103">
        <w:rPr>
          <w:spacing w:val="1"/>
        </w:rPr>
        <w:t xml:space="preserve"> </w:t>
      </w:r>
      <w:r w:rsidRPr="00B77103">
        <w:t>of</w:t>
      </w:r>
      <w:r w:rsidRPr="00B77103">
        <w:rPr>
          <w:spacing w:val="-3"/>
        </w:rPr>
        <w:t xml:space="preserve"> </w:t>
      </w:r>
      <w:r w:rsidRPr="00B77103">
        <w:t>foodborne</w:t>
      </w:r>
      <w:r w:rsidRPr="00B77103">
        <w:rPr>
          <w:spacing w:val="1"/>
        </w:rPr>
        <w:t xml:space="preserve"> </w:t>
      </w:r>
      <w:r w:rsidRPr="00B77103">
        <w:t>illness and to provide</w:t>
      </w:r>
      <w:r w:rsidR="0034483D">
        <w:t xml:space="preserve"> </w:t>
      </w:r>
      <w:r w:rsidRPr="00B77103">
        <w:t>recommendations for</w:t>
      </w:r>
      <w:r w:rsidR="0034483D">
        <w:t xml:space="preserve"> </w:t>
      </w:r>
      <w:r w:rsidRPr="00B77103">
        <w:t>preventive</w:t>
      </w:r>
      <w:r w:rsidRPr="00B77103">
        <w:rPr>
          <w:spacing w:val="1"/>
        </w:rPr>
        <w:t xml:space="preserve"> </w:t>
      </w:r>
      <w:r w:rsidRPr="00B77103">
        <w:t xml:space="preserve">controls that </w:t>
      </w:r>
      <w:r w:rsidRPr="00B77103">
        <w:rPr>
          <w:spacing w:val="-2"/>
        </w:rPr>
        <w:t>we</w:t>
      </w:r>
      <w:r w:rsidRPr="00B77103">
        <w:rPr>
          <w:spacing w:val="1"/>
        </w:rPr>
        <w:t xml:space="preserve"> </w:t>
      </w:r>
      <w:r w:rsidRPr="00B77103">
        <w:t xml:space="preserve">believed should </w:t>
      </w:r>
      <w:r w:rsidRPr="00B77103">
        <w:rPr>
          <w:spacing w:val="-2"/>
        </w:rPr>
        <w:t>be</w:t>
      </w:r>
      <w:r w:rsidRPr="00B77103">
        <w:rPr>
          <w:spacing w:val="1"/>
        </w:rPr>
        <w:t xml:space="preserve"> </w:t>
      </w:r>
      <w:r w:rsidRPr="00B77103">
        <w:t>taken</w:t>
      </w:r>
      <w:r w:rsidRPr="00B77103">
        <w:rPr>
          <w:spacing w:val="-3"/>
        </w:rPr>
        <w:t xml:space="preserve"> </w:t>
      </w:r>
      <w:r w:rsidRPr="00B77103">
        <w:t>immediately</w:t>
      </w:r>
      <w:r w:rsidRPr="00B77103">
        <w:rPr>
          <w:spacing w:val="-5"/>
        </w:rPr>
        <w:t xml:space="preserve"> </w:t>
      </w:r>
      <w:r w:rsidRPr="00B77103">
        <w:t>to reduce</w:t>
      </w:r>
      <w:r w:rsidRPr="00B77103">
        <w:rPr>
          <w:spacing w:val="-2"/>
        </w:rPr>
        <w:t xml:space="preserve"> </w:t>
      </w:r>
      <w:r w:rsidRPr="00B77103">
        <w:t>the</w:t>
      </w:r>
      <w:r w:rsidRPr="00B77103">
        <w:rPr>
          <w:spacing w:val="-2"/>
        </w:rPr>
        <w:t xml:space="preserve"> </w:t>
      </w:r>
      <w:r w:rsidRPr="00B77103">
        <w:t>likelihood</w:t>
      </w:r>
      <w:r w:rsidRPr="00B77103">
        <w:rPr>
          <w:spacing w:val="-3"/>
        </w:rPr>
        <w:t xml:space="preserve"> </w:t>
      </w:r>
      <w:r w:rsidRPr="00B77103">
        <w:t>of</w:t>
      </w:r>
      <w:r w:rsidRPr="00B77103">
        <w:rPr>
          <w:spacing w:val="-3"/>
        </w:rPr>
        <w:t xml:space="preserve"> </w:t>
      </w:r>
      <w:r w:rsidRPr="00B77103">
        <w:t>sprouts</w:t>
      </w:r>
      <w:r w:rsidR="0034483D">
        <w:t xml:space="preserve"> </w:t>
      </w:r>
      <w:r w:rsidRPr="00B77103">
        <w:t>serving</w:t>
      </w:r>
      <w:r w:rsidRPr="00B77103">
        <w:rPr>
          <w:spacing w:val="-3"/>
        </w:rPr>
        <w:t xml:space="preserve"> </w:t>
      </w:r>
      <w:r w:rsidRPr="00B77103">
        <w:t>as a</w:t>
      </w:r>
      <w:r w:rsidRPr="00B77103">
        <w:rPr>
          <w:spacing w:val="1"/>
        </w:rPr>
        <w:t xml:space="preserve"> </w:t>
      </w:r>
      <w:r w:rsidRPr="00B77103">
        <w:t>vehicle</w:t>
      </w:r>
      <w:r w:rsidRPr="00B77103">
        <w:rPr>
          <w:spacing w:val="1"/>
        </w:rPr>
        <w:t xml:space="preserve"> </w:t>
      </w:r>
      <w:r w:rsidRPr="00B77103">
        <w:t>for foodborne</w:t>
      </w:r>
      <w:r w:rsidRPr="00B77103">
        <w:rPr>
          <w:spacing w:val="1"/>
        </w:rPr>
        <w:t xml:space="preserve"> </w:t>
      </w:r>
      <w:r w:rsidRPr="00B77103">
        <w:t>illness.</w:t>
      </w:r>
      <w:r w:rsidR="0034483D">
        <w:t xml:space="preserve"> </w:t>
      </w:r>
      <w:r w:rsidRPr="00B77103">
        <w:rPr>
          <w:spacing w:val="-2"/>
        </w:rPr>
        <w:t>We</w:t>
      </w:r>
      <w:r w:rsidRPr="00B77103">
        <w:rPr>
          <w:spacing w:val="1"/>
        </w:rPr>
        <w:t xml:space="preserve"> </w:t>
      </w:r>
      <w:r w:rsidRPr="00B77103">
        <w:t>refer</w:t>
      </w:r>
      <w:r w:rsidRPr="00B77103">
        <w:rPr>
          <w:spacing w:val="2"/>
        </w:rPr>
        <w:t xml:space="preserve"> </w:t>
      </w:r>
      <w:r w:rsidRPr="00B77103">
        <w:t>to these</w:t>
      </w:r>
      <w:r w:rsidRPr="00B77103">
        <w:rPr>
          <w:spacing w:val="1"/>
        </w:rPr>
        <w:t xml:space="preserve"> </w:t>
      </w:r>
      <w:r w:rsidRPr="00B77103">
        <w:t>prior (now withdrawn) guidance</w:t>
      </w:r>
      <w:r w:rsidR="00E57033">
        <w:t xml:space="preserve"> </w:t>
      </w:r>
      <w:r w:rsidRPr="00B77103">
        <w:t>documents collectively</w:t>
      </w:r>
      <w:r w:rsidRPr="00B77103">
        <w:rPr>
          <w:spacing w:val="-5"/>
        </w:rPr>
        <w:t xml:space="preserve"> </w:t>
      </w:r>
      <w:r w:rsidRPr="00B77103">
        <w:t>as</w:t>
      </w:r>
      <w:r w:rsidRPr="00B77103">
        <w:rPr>
          <w:spacing w:val="1"/>
        </w:rPr>
        <w:t xml:space="preserve"> </w:t>
      </w:r>
      <w:r w:rsidRPr="00B77103">
        <w:t>the</w:t>
      </w:r>
      <w:r w:rsidRPr="00B77103">
        <w:rPr>
          <w:spacing w:val="1"/>
        </w:rPr>
        <w:t xml:space="preserve"> </w:t>
      </w:r>
      <w:r w:rsidRPr="00B77103">
        <w:t>1999 Sprout Guidances.</w:t>
      </w:r>
    </w:p>
    <w:p w:rsidR="00191DF8" w:rsidRPr="00B77103" w:rsidP="00E47C04" w14:paraId="6AF57660" w14:textId="189D6B00">
      <w:pPr>
        <w:pStyle w:val="GuidanceParagraph"/>
      </w:pPr>
      <w:r w:rsidRPr="00B77103">
        <w:t>FDA and our food safety</w:t>
      </w:r>
      <w:r w:rsidRPr="00B77103">
        <w:rPr>
          <w:spacing w:val="-3"/>
        </w:rPr>
        <w:t xml:space="preserve"> </w:t>
      </w:r>
      <w:r w:rsidRPr="00B77103">
        <w:t>partners in the</w:t>
      </w:r>
      <w:r w:rsidRPr="00B77103">
        <w:rPr>
          <w:spacing w:val="1"/>
        </w:rPr>
        <w:t xml:space="preserve"> </w:t>
      </w:r>
      <w:r w:rsidRPr="00B77103">
        <w:t>public</w:t>
      </w:r>
      <w:r w:rsidRPr="00B77103">
        <w:rPr>
          <w:spacing w:val="-2"/>
        </w:rPr>
        <w:t xml:space="preserve"> </w:t>
      </w:r>
      <w:r w:rsidRPr="00B77103">
        <w:t>and</w:t>
      </w:r>
      <w:r w:rsidRPr="00B77103">
        <w:rPr>
          <w:spacing w:val="-3"/>
        </w:rPr>
        <w:t xml:space="preserve"> </w:t>
      </w:r>
      <w:r w:rsidRPr="00B77103">
        <w:t>private</w:t>
      </w:r>
      <w:r w:rsidRPr="00B77103">
        <w:rPr>
          <w:spacing w:val="1"/>
        </w:rPr>
        <w:t xml:space="preserve"> </w:t>
      </w:r>
      <w:r w:rsidRPr="00B77103">
        <w:t>sectors have</w:t>
      </w:r>
      <w:r w:rsidRPr="00B77103">
        <w:rPr>
          <w:spacing w:val="1"/>
        </w:rPr>
        <w:t xml:space="preserve"> </w:t>
      </w:r>
      <w:r w:rsidRPr="00B77103">
        <w:t>engaged in</w:t>
      </w:r>
      <w:r w:rsidRPr="00B77103">
        <w:rPr>
          <w:spacing w:val="-3"/>
        </w:rPr>
        <w:t xml:space="preserve"> </w:t>
      </w:r>
      <w:r w:rsidRPr="00B77103">
        <w:t xml:space="preserve">education </w:t>
      </w:r>
      <w:r w:rsidRPr="00B77103" w:rsidR="1E9B47E8">
        <w:t>and</w:t>
      </w:r>
      <w:r w:rsidRPr="00B77103" w:rsidR="65B70FBF">
        <w:t xml:space="preserve"> </w:t>
      </w:r>
      <w:r w:rsidRPr="00B77103" w:rsidR="1E9B47E8">
        <w:t>outreach</w:t>
      </w:r>
      <w:r w:rsidRPr="00B77103">
        <w:t xml:space="preserve"> to the sprout industry</w:t>
      </w:r>
      <w:r w:rsidRPr="00B77103">
        <w:rPr>
          <w:spacing w:val="-5"/>
        </w:rPr>
        <w:t xml:space="preserve"> </w:t>
      </w:r>
      <w:r w:rsidRPr="00B77103">
        <w:t>to promote</w:t>
      </w:r>
      <w:r w:rsidRPr="00B77103">
        <w:rPr>
          <w:spacing w:val="-2"/>
        </w:rPr>
        <w:t xml:space="preserve"> </w:t>
      </w:r>
      <w:r w:rsidRPr="00B77103">
        <w:t>adoption of</w:t>
      </w:r>
      <w:r w:rsidRPr="00B77103">
        <w:rPr>
          <w:spacing w:val="-3"/>
        </w:rPr>
        <w:t xml:space="preserve"> </w:t>
      </w:r>
      <w:r w:rsidRPr="00B77103">
        <w:t xml:space="preserve">our recommendations. </w:t>
      </w:r>
      <w:r w:rsidRPr="00B77103">
        <w:rPr>
          <w:spacing w:val="-2"/>
        </w:rPr>
        <w:t>We</w:t>
      </w:r>
      <w:r w:rsidRPr="00B77103">
        <w:rPr>
          <w:spacing w:val="1"/>
        </w:rPr>
        <w:t xml:space="preserve"> </w:t>
      </w:r>
      <w:r w:rsidRPr="00B77103">
        <w:t>have</w:t>
      </w:r>
      <w:r w:rsidRPr="00B77103">
        <w:rPr>
          <w:spacing w:val="1"/>
        </w:rPr>
        <w:t xml:space="preserve"> </w:t>
      </w:r>
      <w:r w:rsidRPr="00B77103">
        <w:t>also worked with the</w:t>
      </w:r>
      <w:r w:rsidR="00736038">
        <w:t xml:space="preserve"> </w:t>
      </w:r>
      <w:r w:rsidRPr="00B77103">
        <w:t>sprout industry</w:t>
      </w:r>
      <w:r w:rsidRPr="00B77103">
        <w:rPr>
          <w:spacing w:val="-5"/>
        </w:rPr>
        <w:t xml:space="preserve"> </w:t>
      </w:r>
      <w:r w:rsidRPr="00B77103">
        <w:t>to advance</w:t>
      </w:r>
      <w:r w:rsidRPr="00B77103">
        <w:rPr>
          <w:spacing w:val="-2"/>
        </w:rPr>
        <w:t xml:space="preserve"> </w:t>
      </w:r>
      <w:r w:rsidRPr="00B77103">
        <w:t>the</w:t>
      </w:r>
      <w:r w:rsidRPr="00B77103">
        <w:rPr>
          <w:spacing w:val="1"/>
        </w:rPr>
        <w:t xml:space="preserve"> </w:t>
      </w:r>
      <w:r w:rsidRPr="00B77103">
        <w:t>scientific</w:t>
      </w:r>
      <w:r w:rsidRPr="00B77103">
        <w:rPr>
          <w:spacing w:val="1"/>
        </w:rPr>
        <w:t xml:space="preserve"> </w:t>
      </w:r>
      <w:r w:rsidRPr="00B77103">
        <w:t>knowledge</w:t>
      </w:r>
      <w:r w:rsidRPr="00B77103">
        <w:rPr>
          <w:spacing w:val="1"/>
        </w:rPr>
        <w:t xml:space="preserve"> </w:t>
      </w:r>
      <w:r w:rsidRPr="00B77103">
        <w:t>applicable</w:t>
      </w:r>
      <w:r w:rsidRPr="00B77103">
        <w:rPr>
          <w:spacing w:val="-2"/>
        </w:rPr>
        <w:t xml:space="preserve"> </w:t>
      </w:r>
      <w:r w:rsidRPr="00B77103">
        <w:t>to enhancing</w:t>
      </w:r>
      <w:r w:rsidRPr="00B77103">
        <w:rPr>
          <w:spacing w:val="-3"/>
        </w:rPr>
        <w:t xml:space="preserve"> </w:t>
      </w:r>
      <w:r w:rsidRPr="00B77103">
        <w:t>the</w:t>
      </w:r>
      <w:r w:rsidRPr="00B77103">
        <w:rPr>
          <w:spacing w:val="1"/>
        </w:rPr>
        <w:t xml:space="preserve"> </w:t>
      </w:r>
      <w:r w:rsidRPr="00B77103">
        <w:t>safety</w:t>
      </w:r>
      <w:r w:rsidRPr="00B77103">
        <w:rPr>
          <w:spacing w:val="-5"/>
        </w:rPr>
        <w:t xml:space="preserve"> </w:t>
      </w:r>
      <w:r w:rsidRPr="00B77103">
        <w:rPr>
          <w:spacing w:val="1"/>
        </w:rPr>
        <w:t>of</w:t>
      </w:r>
      <w:r w:rsidRPr="00B77103">
        <w:rPr>
          <w:spacing w:val="-3"/>
        </w:rPr>
        <w:t xml:space="preserve"> </w:t>
      </w:r>
      <w:r w:rsidRPr="00B77103">
        <w:t>sprouts.</w:t>
      </w:r>
      <w:r w:rsidR="000A780E">
        <w:t xml:space="preserve"> </w:t>
      </w:r>
      <w:r w:rsidRPr="00B77103">
        <w:rPr>
          <w:spacing w:val="-2"/>
        </w:rPr>
        <w:t>For</w:t>
      </w:r>
      <w:r w:rsidRPr="00B77103">
        <w:t xml:space="preserve"> example,</w:t>
      </w:r>
      <w:r w:rsidRPr="00B77103">
        <w:rPr>
          <w:spacing w:val="-3"/>
        </w:rPr>
        <w:t xml:space="preserve"> </w:t>
      </w:r>
      <w:r w:rsidRPr="00B77103">
        <w:t>in 2000, we</w:t>
      </w:r>
      <w:r w:rsidRPr="00B77103">
        <w:rPr>
          <w:spacing w:val="-4"/>
        </w:rPr>
        <w:t xml:space="preserve"> </w:t>
      </w:r>
      <w:r w:rsidRPr="00B77103">
        <w:t>collaborated with the</w:t>
      </w:r>
      <w:r w:rsidRPr="00B77103">
        <w:rPr>
          <w:spacing w:val="1"/>
        </w:rPr>
        <w:t xml:space="preserve"> </w:t>
      </w:r>
      <w:r w:rsidRPr="00B77103">
        <w:t>California</w:t>
      </w:r>
      <w:r w:rsidRPr="00B77103">
        <w:rPr>
          <w:spacing w:val="1"/>
        </w:rPr>
        <w:t xml:space="preserve"> </w:t>
      </w:r>
      <w:r w:rsidRPr="00B77103">
        <w:t>Department of</w:t>
      </w:r>
      <w:r w:rsidRPr="00B77103">
        <w:rPr>
          <w:spacing w:val="-3"/>
        </w:rPr>
        <w:t xml:space="preserve"> </w:t>
      </w:r>
      <w:r w:rsidRPr="00B77103">
        <w:t>Public</w:t>
      </w:r>
      <w:r w:rsidRPr="00B77103">
        <w:rPr>
          <w:spacing w:val="1"/>
        </w:rPr>
        <w:t xml:space="preserve"> </w:t>
      </w:r>
      <w:r w:rsidRPr="00B77103">
        <w:t>Health,</w:t>
      </w:r>
      <w:r w:rsidRPr="00B77103">
        <w:rPr>
          <w:spacing w:val="-3"/>
        </w:rPr>
        <w:t xml:space="preserve"> </w:t>
      </w:r>
      <w:r w:rsidRPr="00B77103">
        <w:t>in</w:t>
      </w:r>
      <w:r w:rsidR="00736038">
        <w:t xml:space="preserve"> </w:t>
      </w:r>
      <w:r w:rsidRPr="00B77103">
        <w:t>cooperation with</w:t>
      </w:r>
      <w:r w:rsidRPr="00B77103">
        <w:rPr>
          <w:spacing w:val="-3"/>
        </w:rPr>
        <w:t xml:space="preserve"> </w:t>
      </w:r>
      <w:r w:rsidRPr="00B77103">
        <w:t>the</w:t>
      </w:r>
      <w:r w:rsidRPr="00B77103">
        <w:rPr>
          <w:spacing w:val="-2"/>
        </w:rPr>
        <w:t xml:space="preserve"> sprout </w:t>
      </w:r>
      <w:r w:rsidRPr="00B77103">
        <w:t>industry</w:t>
      </w:r>
      <w:r w:rsidRPr="00B77103">
        <w:rPr>
          <w:spacing w:val="-5"/>
        </w:rPr>
        <w:t xml:space="preserve"> </w:t>
      </w:r>
      <w:r w:rsidRPr="00B77103">
        <w:t>and academia,</w:t>
      </w:r>
      <w:r w:rsidRPr="00B77103">
        <w:rPr>
          <w:spacing w:val="-3"/>
        </w:rPr>
        <w:t xml:space="preserve"> </w:t>
      </w:r>
      <w:r w:rsidRPr="00B77103">
        <w:t>to develop an educational video</w:t>
      </w:r>
      <w:r w:rsidRPr="00B77103">
        <w:rPr>
          <w:spacing w:val="-3"/>
        </w:rPr>
        <w:t xml:space="preserve"> </w:t>
      </w:r>
      <w:r w:rsidR="00423565">
        <w:rPr>
          <w:spacing w:val="-3"/>
        </w:rPr>
        <w:t xml:space="preserve">series </w:t>
      </w:r>
      <w:r w:rsidRPr="00B77103">
        <w:t xml:space="preserve">entitled, </w:t>
      </w:r>
      <w:r w:rsidRPr="00B77103">
        <w:rPr>
          <w:spacing w:val="-2"/>
        </w:rPr>
        <w:t>“</w:t>
      </w:r>
      <w:r w:rsidRPr="00B77103">
        <w:t>Safer</w:t>
      </w:r>
      <w:r w:rsidR="00736038">
        <w:t xml:space="preserve"> </w:t>
      </w:r>
      <w:r w:rsidR="00FD7E66">
        <w:t>Processing</w:t>
      </w:r>
      <w:r w:rsidRPr="00B77103" w:rsidR="00FD7E66">
        <w:rPr>
          <w:spacing w:val="-3"/>
        </w:rPr>
        <w:t xml:space="preserve"> </w:t>
      </w:r>
      <w:r w:rsidRPr="00B77103">
        <w:t>of</w:t>
      </w:r>
      <w:r w:rsidRPr="00B77103">
        <w:rPr>
          <w:spacing w:val="-3"/>
        </w:rPr>
        <w:t xml:space="preserve"> </w:t>
      </w:r>
      <w:r w:rsidRPr="00B77103">
        <w:t>Sprouts”</w:t>
      </w:r>
      <w:r w:rsidR="00736038">
        <w:t xml:space="preserve"> </w:t>
      </w:r>
      <w:r w:rsidRPr="00B77103">
        <w:t>(</w:t>
      </w:r>
      <w:r w:rsidR="00A068D5">
        <w:fldChar w:fldCharType="begin"/>
      </w:r>
      <w:r w:rsidR="00A068D5">
        <w:instrText xml:space="preserve"> REF _Ref117862571 \h </w:instrText>
      </w:r>
      <w:r w:rsidR="00A068D5">
        <w:fldChar w:fldCharType="separate"/>
      </w:r>
      <w:r w:rsidRPr="006E43DC" w:rsidR="001771FA">
        <w:t xml:space="preserve">Ref. </w:t>
      </w:r>
      <w:r w:rsidR="001771FA">
        <w:rPr>
          <w:noProof/>
        </w:rPr>
        <w:t>23</w:t>
      </w:r>
      <w:r w:rsidR="00A068D5">
        <w:fldChar w:fldCharType="end"/>
      </w:r>
      <w:r w:rsidRPr="00B77103">
        <w:t xml:space="preserve">). </w:t>
      </w:r>
      <w:r w:rsidRPr="00B77103">
        <w:rPr>
          <w:spacing w:val="2"/>
        </w:rPr>
        <w:t xml:space="preserve">In addition, </w:t>
      </w:r>
      <w:r w:rsidRPr="00B77103">
        <w:rPr>
          <w:spacing w:val="-2"/>
        </w:rPr>
        <w:t>we</w:t>
      </w:r>
      <w:r w:rsidRPr="00B77103">
        <w:rPr>
          <w:spacing w:val="1"/>
        </w:rPr>
        <w:t xml:space="preserve"> </w:t>
      </w:r>
      <w:r w:rsidRPr="00B77103">
        <w:t>have</w:t>
      </w:r>
      <w:r w:rsidRPr="00B77103">
        <w:rPr>
          <w:spacing w:val="1"/>
        </w:rPr>
        <w:t xml:space="preserve"> </w:t>
      </w:r>
      <w:r w:rsidRPr="00B77103">
        <w:t>provided technical assistance</w:t>
      </w:r>
      <w:r w:rsidRPr="00B77103">
        <w:rPr>
          <w:spacing w:val="1"/>
        </w:rPr>
        <w:t xml:space="preserve"> </w:t>
      </w:r>
      <w:r w:rsidRPr="00B77103">
        <w:t>to</w:t>
      </w:r>
      <w:r w:rsidRPr="00B77103">
        <w:rPr>
          <w:spacing w:val="-3"/>
        </w:rPr>
        <w:t xml:space="preserve"> </w:t>
      </w:r>
      <w:r w:rsidRPr="00B77103">
        <w:t>the</w:t>
      </w:r>
      <w:r w:rsidRPr="00B77103">
        <w:rPr>
          <w:spacing w:val="1"/>
        </w:rPr>
        <w:t xml:space="preserve"> </w:t>
      </w:r>
      <w:r w:rsidRPr="00B77103">
        <w:t>Illinois Institute</w:t>
      </w:r>
      <w:r w:rsidR="00FC10CD">
        <w:t xml:space="preserve"> </w:t>
      </w:r>
      <w:r w:rsidRPr="00B77103">
        <w:t>of</w:t>
      </w:r>
      <w:r w:rsidRPr="00B77103">
        <w:rPr>
          <w:spacing w:val="-3"/>
        </w:rPr>
        <w:t xml:space="preserve"> </w:t>
      </w:r>
      <w:r w:rsidRPr="00B77103">
        <w:t>Technology’s</w:t>
      </w:r>
      <w:r w:rsidRPr="00B77103">
        <w:rPr>
          <w:spacing w:val="1"/>
        </w:rPr>
        <w:t xml:space="preserve"> </w:t>
      </w:r>
      <w:r w:rsidRPr="00B77103">
        <w:t>Institute</w:t>
      </w:r>
      <w:r w:rsidRPr="00B77103">
        <w:rPr>
          <w:spacing w:val="-2"/>
        </w:rPr>
        <w:t xml:space="preserve"> </w:t>
      </w:r>
      <w:r w:rsidRPr="00B77103">
        <w:t>for</w:t>
      </w:r>
      <w:r w:rsidRPr="00B77103">
        <w:rPr>
          <w:spacing w:val="2"/>
        </w:rPr>
        <w:t xml:space="preserve"> </w:t>
      </w:r>
      <w:r w:rsidRPr="00B77103">
        <w:t>Food Safety</w:t>
      </w:r>
      <w:r w:rsidRPr="00B77103">
        <w:rPr>
          <w:spacing w:val="-3"/>
        </w:rPr>
        <w:t xml:space="preserve"> </w:t>
      </w:r>
      <w:r w:rsidRPr="00B77103">
        <w:t>and Health (IIT IFSH) Sprout Safety</w:t>
      </w:r>
      <w:r w:rsidRPr="00B77103">
        <w:rPr>
          <w:spacing w:val="-3"/>
        </w:rPr>
        <w:t xml:space="preserve"> </w:t>
      </w:r>
      <w:r w:rsidRPr="00B77103">
        <w:t>Taskforce</w:t>
      </w:r>
      <w:r w:rsidRPr="00B77103">
        <w:rPr>
          <w:spacing w:val="1"/>
        </w:rPr>
        <w:t xml:space="preserve"> </w:t>
      </w:r>
      <w:r w:rsidRPr="00B77103">
        <w:t>in</w:t>
      </w:r>
      <w:r w:rsidRPr="00B77103">
        <w:rPr>
          <w:spacing w:val="67"/>
        </w:rPr>
        <w:t xml:space="preserve"> </w:t>
      </w:r>
      <w:r w:rsidRPr="00B77103">
        <w:t>developing</w:t>
      </w:r>
      <w:r w:rsidRPr="00B77103">
        <w:rPr>
          <w:spacing w:val="-3"/>
        </w:rPr>
        <w:t xml:space="preserve"> </w:t>
      </w:r>
      <w:r w:rsidRPr="00B77103">
        <w:t xml:space="preserve">their </w:t>
      </w:r>
      <w:r w:rsidR="00046FD3">
        <w:t>“</w:t>
      </w:r>
      <w:r w:rsidRPr="00B77103">
        <w:t xml:space="preserve">US Sprout Industry Production Best </w:t>
      </w:r>
      <w:r w:rsidRPr="000438ED">
        <w:t>Practices</w:t>
      </w:r>
      <w:r w:rsidR="00046FD3">
        <w:t>”</w:t>
      </w:r>
      <w:r w:rsidRPr="000438ED">
        <w:t xml:space="preserve"> </w:t>
      </w:r>
      <w:r w:rsidRPr="000438ED">
        <w:rPr>
          <w:spacing w:val="-2"/>
        </w:rPr>
        <w:t>(</w:t>
      </w:r>
      <w:r w:rsidR="00472614">
        <w:rPr>
          <w:spacing w:val="-2"/>
        </w:rPr>
        <w:fldChar w:fldCharType="begin"/>
      </w:r>
      <w:r w:rsidR="00472614">
        <w:rPr>
          <w:spacing w:val="-2"/>
        </w:rPr>
        <w:instrText xml:space="preserve"> REF _Ref85027697 \h </w:instrText>
      </w:r>
      <w:r w:rsidR="00472614">
        <w:rPr>
          <w:spacing w:val="-2"/>
        </w:rPr>
        <w:fldChar w:fldCharType="separate"/>
      </w:r>
      <w:r w:rsidRPr="006E43DC" w:rsidR="00472614">
        <w:t xml:space="preserve">Ref. </w:t>
      </w:r>
      <w:r w:rsidR="00472614">
        <w:rPr>
          <w:noProof/>
        </w:rPr>
        <w:t>20</w:t>
      </w:r>
      <w:r w:rsidR="00472614">
        <w:rPr>
          <w:spacing w:val="-2"/>
        </w:rPr>
        <w:fldChar w:fldCharType="end"/>
      </w:r>
      <w:r w:rsidRPr="000438ED">
        <w:t>).</w:t>
      </w:r>
    </w:p>
    <w:p w:rsidR="00191DF8" w:rsidRPr="00B77103" w:rsidP="00E47C04" w14:paraId="413BF1A2" w14:textId="13C08A06">
      <w:pPr>
        <w:pStyle w:val="GuidanceParagraph"/>
      </w:pPr>
      <w:r w:rsidRPr="00B77103">
        <w:rPr>
          <w:spacing w:val="-2"/>
        </w:rPr>
        <w:t>We</w:t>
      </w:r>
      <w:r w:rsidRPr="00B77103">
        <w:rPr>
          <w:spacing w:val="1"/>
        </w:rPr>
        <w:t xml:space="preserve"> </w:t>
      </w:r>
      <w:r w:rsidRPr="00B77103">
        <w:t>also have been working</w:t>
      </w:r>
      <w:r w:rsidRPr="00B77103">
        <w:rPr>
          <w:spacing w:val="-3"/>
        </w:rPr>
        <w:t xml:space="preserve"> </w:t>
      </w:r>
      <w:r w:rsidRPr="00B77103">
        <w:t>with</w:t>
      </w:r>
      <w:r w:rsidRPr="00B77103">
        <w:rPr>
          <w:spacing w:val="-3"/>
        </w:rPr>
        <w:t xml:space="preserve"> </w:t>
      </w:r>
      <w:r w:rsidRPr="00B77103">
        <w:t>the</w:t>
      </w:r>
      <w:r w:rsidRPr="00B77103">
        <w:rPr>
          <w:spacing w:val="1"/>
        </w:rPr>
        <w:t xml:space="preserve"> </w:t>
      </w:r>
      <w:r w:rsidRPr="00B77103">
        <w:t xml:space="preserve">Sprout </w:t>
      </w:r>
      <w:r w:rsidRPr="00B77103">
        <w:rPr>
          <w:spacing w:val="-2"/>
        </w:rPr>
        <w:t>Safety</w:t>
      </w:r>
      <w:r w:rsidRPr="00B77103">
        <w:rPr>
          <w:spacing w:val="-3"/>
        </w:rPr>
        <w:t xml:space="preserve"> </w:t>
      </w:r>
      <w:r w:rsidRPr="00B77103">
        <w:t>Alliance</w:t>
      </w:r>
      <w:r w:rsidRPr="00B77103">
        <w:rPr>
          <w:spacing w:val="-2"/>
        </w:rPr>
        <w:t xml:space="preserve"> </w:t>
      </w:r>
      <w:r w:rsidRPr="00B77103">
        <w:t>(SSA), a public-private partnership, since 2012 to develop a standardized</w:t>
      </w:r>
      <w:r w:rsidRPr="00B77103">
        <w:rPr>
          <w:spacing w:val="-2"/>
        </w:rPr>
        <w:t xml:space="preserve"> </w:t>
      </w:r>
      <w:r w:rsidRPr="00B77103">
        <w:t>curriculum</w:t>
      </w:r>
      <w:r w:rsidRPr="00B77103">
        <w:rPr>
          <w:spacing w:val="-2"/>
        </w:rPr>
        <w:t xml:space="preserve"> </w:t>
      </w:r>
      <w:r w:rsidRPr="00B77103">
        <w:t>and training</w:t>
      </w:r>
      <w:r w:rsidRPr="00B77103">
        <w:rPr>
          <w:spacing w:val="-3"/>
        </w:rPr>
        <w:t xml:space="preserve"> </w:t>
      </w:r>
      <w:r w:rsidRPr="00B77103">
        <w:t>and outreach</w:t>
      </w:r>
      <w:r w:rsidRPr="00B77103">
        <w:rPr>
          <w:spacing w:val="-3"/>
        </w:rPr>
        <w:t xml:space="preserve"> </w:t>
      </w:r>
      <w:r w:rsidRPr="00B77103">
        <w:t>programs for</w:t>
      </w:r>
      <w:r w:rsidRPr="00B77103">
        <w:rPr>
          <w:spacing w:val="51"/>
        </w:rPr>
        <w:t xml:space="preserve"> </w:t>
      </w:r>
      <w:r w:rsidRPr="00B77103">
        <w:t>stakeholders in</w:t>
      </w:r>
      <w:r w:rsidRPr="00B77103">
        <w:rPr>
          <w:spacing w:val="-3"/>
        </w:rPr>
        <w:t xml:space="preserve"> </w:t>
      </w:r>
      <w:r w:rsidRPr="00B77103">
        <w:t>the</w:t>
      </w:r>
      <w:r w:rsidRPr="00B77103">
        <w:rPr>
          <w:spacing w:val="1"/>
        </w:rPr>
        <w:t xml:space="preserve"> </w:t>
      </w:r>
      <w:r w:rsidRPr="00B77103">
        <w:t>sprout</w:t>
      </w:r>
      <w:r w:rsidRPr="00B77103">
        <w:rPr>
          <w:spacing w:val="-2"/>
        </w:rPr>
        <w:t xml:space="preserve"> </w:t>
      </w:r>
      <w:r w:rsidRPr="00B77103">
        <w:t>industry to enhance the industry</w:t>
      </w:r>
      <w:r w:rsidR="00246468">
        <w:t>’</w:t>
      </w:r>
      <w:r w:rsidRPr="00B77103">
        <w:t>s understanding and implementation of the requirements of the Produce Safety Rule, and of best practices for improving sprout safety (</w:t>
      </w:r>
      <w:r w:rsidR="000E290D">
        <w:fldChar w:fldCharType="begin"/>
      </w:r>
      <w:r w:rsidR="000E290D">
        <w:instrText xml:space="preserve"> REF _Ref127276455 \h </w:instrText>
      </w:r>
      <w:r w:rsidR="000E290D">
        <w:fldChar w:fldCharType="separate"/>
      </w:r>
      <w:r w:rsidR="000E290D">
        <w:t xml:space="preserve">Ref. </w:t>
      </w:r>
      <w:r w:rsidR="000E290D">
        <w:rPr>
          <w:noProof/>
        </w:rPr>
        <w:t>24</w:t>
      </w:r>
      <w:r w:rsidR="000E290D">
        <w:fldChar w:fldCharType="end"/>
      </w:r>
      <w:r w:rsidR="00C5617E">
        <w:t>,</w:t>
      </w:r>
      <w:r w:rsidR="00286DBA">
        <w:t xml:space="preserve"> </w:t>
      </w:r>
      <w:r w:rsidR="00286DBA">
        <w:fldChar w:fldCharType="begin"/>
      </w:r>
      <w:r w:rsidR="00286DBA">
        <w:instrText xml:space="preserve"> REF _Ref85120014 \h </w:instrText>
      </w:r>
      <w:r w:rsidR="004B2A15">
        <w:instrText xml:space="preserve"> \* MERGEFORMAT </w:instrText>
      </w:r>
      <w:r w:rsidR="00286DBA">
        <w:fldChar w:fldCharType="separate"/>
      </w:r>
      <w:r w:rsidRPr="006E43DC" w:rsidR="000E290D">
        <w:t xml:space="preserve">Ref. </w:t>
      </w:r>
      <w:r w:rsidR="000E290D">
        <w:rPr>
          <w:noProof/>
        </w:rPr>
        <w:t>25</w:t>
      </w:r>
      <w:r w:rsidR="00286DBA">
        <w:fldChar w:fldCharType="end"/>
      </w:r>
      <w:r w:rsidR="00286DBA">
        <w:t>,</w:t>
      </w:r>
      <w:r w:rsidR="003301CA">
        <w:t xml:space="preserve"> and </w:t>
      </w:r>
      <w:r w:rsidR="00565A37">
        <w:fldChar w:fldCharType="begin"/>
      </w:r>
      <w:r w:rsidR="00565A37">
        <w:instrText xml:space="preserve"> REF _Ref51087097 \h </w:instrText>
      </w:r>
      <w:r w:rsidR="004B2A15">
        <w:instrText xml:space="preserve"> \* MERGEFORMAT </w:instrText>
      </w:r>
      <w:r w:rsidR="00565A37">
        <w:fldChar w:fldCharType="separate"/>
      </w:r>
      <w:r w:rsidRPr="006E43DC" w:rsidR="000E290D">
        <w:t xml:space="preserve">Ref. </w:t>
      </w:r>
      <w:r w:rsidR="000E290D">
        <w:rPr>
          <w:noProof/>
        </w:rPr>
        <w:t>26</w:t>
      </w:r>
      <w:r w:rsidR="00565A37">
        <w:fldChar w:fldCharType="end"/>
      </w:r>
      <w:r w:rsidRPr="00B77103">
        <w:t>)</w:t>
      </w:r>
      <w:r w:rsidRPr="00B77103">
        <w:rPr>
          <w:spacing w:val="-2"/>
        </w:rPr>
        <w:t>.</w:t>
      </w:r>
      <w:r w:rsidRPr="00B77103">
        <w:t xml:space="preserve"> </w:t>
      </w:r>
      <w:r w:rsidR="00D77330">
        <w:t>Additionally, in 202</w:t>
      </w:r>
      <w:r w:rsidR="00D0086C">
        <w:t>3</w:t>
      </w:r>
      <w:r w:rsidR="00D77330">
        <w:t>, the SSA developed a series of educational videos entitled, “</w:t>
      </w:r>
      <w:r w:rsidR="00823342">
        <w:t>Food Safety Best Practices for Sprout Production</w:t>
      </w:r>
      <w:r w:rsidR="00D77330">
        <w:t xml:space="preserve">”. These videos focus on demonstrating key sprout safety components of the Produce Safety Rule (cleaning and sanitizing; environmental sampling; seed treatment; and sampling and testing spent sprout irrigation water) </w:t>
      </w:r>
      <w:r w:rsidR="00D77330">
        <w:t>within a sprout operation (</w:t>
      </w:r>
      <w:r w:rsidR="00996A29">
        <w:fldChar w:fldCharType="begin"/>
      </w:r>
      <w:r w:rsidR="00996A29">
        <w:instrText xml:space="preserve"> REF _Ref117862780 \h </w:instrText>
      </w:r>
      <w:r w:rsidR="00996A29">
        <w:fldChar w:fldCharType="separate"/>
      </w:r>
      <w:r w:rsidR="000E290D">
        <w:t xml:space="preserve">Ref. </w:t>
      </w:r>
      <w:r w:rsidR="000E290D">
        <w:rPr>
          <w:noProof/>
        </w:rPr>
        <w:t>27</w:t>
      </w:r>
      <w:r w:rsidR="00996A29">
        <w:fldChar w:fldCharType="end"/>
      </w:r>
      <w:r w:rsidR="00D77330">
        <w:t xml:space="preserve">). </w:t>
      </w:r>
      <w:r w:rsidRPr="00B77103">
        <w:t>The</w:t>
      </w:r>
      <w:r w:rsidRPr="00B77103">
        <w:rPr>
          <w:spacing w:val="1"/>
        </w:rPr>
        <w:t xml:space="preserve"> </w:t>
      </w:r>
      <w:r w:rsidRPr="00B77103">
        <w:t>SSA is composed of</w:t>
      </w:r>
      <w:r w:rsidRPr="00B77103">
        <w:rPr>
          <w:spacing w:val="-3"/>
        </w:rPr>
        <w:t xml:space="preserve"> representatives </w:t>
      </w:r>
      <w:r w:rsidR="00246468">
        <w:rPr>
          <w:spacing w:val="-3"/>
        </w:rPr>
        <w:t>from</w:t>
      </w:r>
      <w:r w:rsidRPr="00B77103" w:rsidR="00246468">
        <w:rPr>
          <w:spacing w:val="-3"/>
        </w:rPr>
        <w:t xml:space="preserve"> </w:t>
      </w:r>
      <w:r w:rsidRPr="00B77103">
        <w:t>the</w:t>
      </w:r>
      <w:r w:rsidRPr="00B77103">
        <w:rPr>
          <w:spacing w:val="1"/>
        </w:rPr>
        <w:t xml:space="preserve"> </w:t>
      </w:r>
      <w:r w:rsidRPr="00B77103">
        <w:t>sprout industry, retailers,</w:t>
      </w:r>
      <w:r w:rsidR="00C60752">
        <w:t xml:space="preserve"> </w:t>
      </w:r>
      <w:r w:rsidRPr="00B77103">
        <w:t>academia,</w:t>
      </w:r>
      <w:r w:rsidRPr="00B77103">
        <w:rPr>
          <w:spacing w:val="-3"/>
        </w:rPr>
        <w:t xml:space="preserve"> </w:t>
      </w:r>
      <w:r w:rsidRPr="00B77103">
        <w:t>and federal, state,</w:t>
      </w:r>
      <w:r w:rsidRPr="00B77103">
        <w:rPr>
          <w:spacing w:val="-3"/>
        </w:rPr>
        <w:t xml:space="preserve"> </w:t>
      </w:r>
      <w:r w:rsidRPr="00B77103">
        <w:t>and local food safety</w:t>
      </w:r>
      <w:r w:rsidRPr="00B77103">
        <w:rPr>
          <w:spacing w:val="-3"/>
        </w:rPr>
        <w:t xml:space="preserve"> </w:t>
      </w:r>
      <w:r w:rsidRPr="00B77103">
        <w:t>agencies.</w:t>
      </w:r>
      <w:r w:rsidR="00BF5795">
        <w:t xml:space="preserve"> </w:t>
      </w:r>
      <w:r w:rsidRPr="00B77103">
        <w:t>The</w:t>
      </w:r>
      <w:r w:rsidRPr="00B77103">
        <w:rPr>
          <w:spacing w:val="1"/>
        </w:rPr>
        <w:t xml:space="preserve"> </w:t>
      </w:r>
      <w:r w:rsidRPr="00B77103">
        <w:t>SSA is funded</w:t>
      </w:r>
      <w:r w:rsidR="0042599F">
        <w:rPr>
          <w:spacing w:val="59"/>
        </w:rPr>
        <w:t xml:space="preserve"> </w:t>
      </w:r>
      <w:r w:rsidRPr="00B77103">
        <w:rPr>
          <w:spacing w:val="1"/>
        </w:rPr>
        <w:t>by</w:t>
      </w:r>
      <w:r w:rsidRPr="00B77103">
        <w:rPr>
          <w:spacing w:val="-5"/>
        </w:rPr>
        <w:t xml:space="preserve"> </w:t>
      </w:r>
      <w:r w:rsidRPr="00B77103">
        <w:t>a</w:t>
      </w:r>
      <w:r w:rsidRPr="00B77103">
        <w:rPr>
          <w:spacing w:val="1"/>
        </w:rPr>
        <w:t xml:space="preserve"> </w:t>
      </w:r>
      <w:r w:rsidRPr="00B77103">
        <w:t>grant from</w:t>
      </w:r>
      <w:r w:rsidRPr="00B77103">
        <w:rPr>
          <w:spacing w:val="3"/>
        </w:rPr>
        <w:t xml:space="preserve"> </w:t>
      </w:r>
      <w:r w:rsidRPr="00B77103">
        <w:rPr>
          <w:spacing w:val="-2"/>
        </w:rPr>
        <w:t>FDA</w:t>
      </w:r>
      <w:r w:rsidRPr="00B77103">
        <w:t xml:space="preserve"> to</w:t>
      </w:r>
      <w:r w:rsidRPr="00B77103">
        <w:rPr>
          <w:spacing w:val="2"/>
        </w:rPr>
        <w:t xml:space="preserve"> </w:t>
      </w:r>
      <w:r w:rsidRPr="00B77103">
        <w:t xml:space="preserve">IIT </w:t>
      </w:r>
      <w:r w:rsidRPr="00B77103">
        <w:rPr>
          <w:spacing w:val="-2"/>
        </w:rPr>
        <w:t>IFSH.</w:t>
      </w:r>
    </w:p>
    <w:p w:rsidR="00191DF8" w:rsidRPr="00B77436" w:rsidP="00F756C4" w14:paraId="4366C534" w14:textId="68B13717">
      <w:pPr>
        <w:pStyle w:val="HHS508GuidanceOutline2"/>
      </w:pPr>
      <w:bookmarkStart w:id="5" w:name="_Toc106094918"/>
      <w:r w:rsidRPr="00B77436">
        <w:t>Coverage of the Produce Safety Rule</w:t>
      </w:r>
      <w:bookmarkEnd w:id="5"/>
    </w:p>
    <w:p w:rsidR="004A2074" w:rsidRPr="00B77103" w:rsidP="00E47C04" w14:paraId="332AB252" w14:textId="679DF3C0">
      <w:pPr>
        <w:pStyle w:val="GuidanceParagraph"/>
      </w:pPr>
      <w:r w:rsidRPr="00B77103">
        <w:t>Under § 112.1 of</w:t>
      </w:r>
      <w:r w:rsidRPr="00B77103">
        <w:rPr>
          <w:spacing w:val="-3"/>
        </w:rPr>
        <w:t xml:space="preserve"> </w:t>
      </w:r>
      <w:r w:rsidRPr="00B77103">
        <w:t>the</w:t>
      </w:r>
      <w:r w:rsidRPr="00B77103">
        <w:rPr>
          <w:spacing w:val="1"/>
        </w:rPr>
        <w:t xml:space="preserve"> </w:t>
      </w:r>
      <w:r w:rsidRPr="00B77103">
        <w:t>Produce</w:t>
      </w:r>
      <w:r w:rsidRPr="00B77103">
        <w:rPr>
          <w:spacing w:val="1"/>
        </w:rPr>
        <w:t xml:space="preserve"> </w:t>
      </w:r>
      <w:r w:rsidRPr="00B77103">
        <w:t>Safety</w:t>
      </w:r>
      <w:r w:rsidRPr="00B77103">
        <w:rPr>
          <w:spacing w:val="-5"/>
        </w:rPr>
        <w:t xml:space="preserve"> </w:t>
      </w:r>
      <w:r w:rsidRPr="00B77103">
        <w:t>Rule, unless specifically</w:t>
      </w:r>
      <w:r w:rsidRPr="00B77103">
        <w:rPr>
          <w:spacing w:val="-5"/>
        </w:rPr>
        <w:t xml:space="preserve"> </w:t>
      </w:r>
      <w:r w:rsidRPr="00B77103">
        <w:t>excluded under</w:t>
      </w:r>
      <w:r w:rsidRPr="00B77103">
        <w:rPr>
          <w:spacing w:val="-3"/>
        </w:rPr>
        <w:t xml:space="preserve"> </w:t>
      </w:r>
      <w:r w:rsidRPr="00B77103">
        <w:t>§ 112.2, food that</w:t>
      </w:r>
      <w:r w:rsidRPr="00B77103">
        <w:rPr>
          <w:spacing w:val="-2"/>
        </w:rPr>
        <w:t xml:space="preserve"> </w:t>
      </w:r>
      <w:r w:rsidRPr="00B77103">
        <w:t>is</w:t>
      </w:r>
      <w:r w:rsidR="00A572BA">
        <w:t xml:space="preserve"> </w:t>
      </w:r>
      <w:r w:rsidRPr="00B77103">
        <w:t>produce</w:t>
      </w:r>
      <w:r w:rsidRPr="00B77103">
        <w:rPr>
          <w:spacing w:val="1"/>
        </w:rPr>
        <w:t xml:space="preserve"> </w:t>
      </w:r>
      <w:r w:rsidRPr="00B77103">
        <w:t>(as that term</w:t>
      </w:r>
      <w:r w:rsidRPr="00B77103">
        <w:rPr>
          <w:spacing w:val="-2"/>
        </w:rPr>
        <w:t xml:space="preserve"> </w:t>
      </w:r>
      <w:r w:rsidRPr="00B77103">
        <w:t>is defined in the</w:t>
      </w:r>
      <w:r w:rsidRPr="00B77103">
        <w:rPr>
          <w:spacing w:val="1"/>
        </w:rPr>
        <w:t xml:space="preserve"> </w:t>
      </w:r>
      <w:r w:rsidRPr="00B77103">
        <w:t>Rule), and</w:t>
      </w:r>
      <w:r w:rsidRPr="00B77103">
        <w:rPr>
          <w:spacing w:val="-3"/>
        </w:rPr>
        <w:t xml:space="preserve"> </w:t>
      </w:r>
      <w:r w:rsidRPr="00B77103">
        <w:t>that is a</w:t>
      </w:r>
      <w:r w:rsidRPr="00B77103">
        <w:rPr>
          <w:spacing w:val="1"/>
        </w:rPr>
        <w:t xml:space="preserve"> </w:t>
      </w:r>
      <w:r w:rsidRPr="00B77103">
        <w:t>raw agricultural commodity</w:t>
      </w:r>
      <w:r w:rsidRPr="00B77103">
        <w:rPr>
          <w:spacing w:val="-5"/>
        </w:rPr>
        <w:t xml:space="preserve"> </w:t>
      </w:r>
      <w:r w:rsidRPr="00B77103">
        <w:t>(RAC), is</w:t>
      </w:r>
      <w:r w:rsidRPr="00B77103">
        <w:rPr>
          <w:spacing w:val="51"/>
        </w:rPr>
        <w:t xml:space="preserve"> </w:t>
      </w:r>
      <w:r w:rsidRPr="00B77103">
        <w:t>covered by</w:t>
      </w:r>
      <w:r w:rsidRPr="00B77103">
        <w:rPr>
          <w:spacing w:val="-5"/>
        </w:rPr>
        <w:t xml:space="preserve"> </w:t>
      </w:r>
      <w:r w:rsidRPr="00B77103">
        <w:t>the</w:t>
      </w:r>
      <w:r w:rsidRPr="00B77103">
        <w:rPr>
          <w:spacing w:val="1"/>
        </w:rPr>
        <w:t xml:space="preserve"> </w:t>
      </w:r>
      <w:r w:rsidRPr="00B77103">
        <w:t>Rule.</w:t>
      </w:r>
      <w:r w:rsidR="00637608">
        <w:t xml:space="preserve"> </w:t>
      </w:r>
      <w:r w:rsidRPr="00B77103">
        <w:t>This</w:t>
      </w:r>
      <w:r w:rsidRPr="00B77103">
        <w:rPr>
          <w:spacing w:val="-4"/>
        </w:rPr>
        <w:t xml:space="preserve"> </w:t>
      </w:r>
      <w:r w:rsidRPr="00B77103">
        <w:t>includes a</w:t>
      </w:r>
      <w:r w:rsidRPr="00B77103">
        <w:rPr>
          <w:spacing w:val="1"/>
        </w:rPr>
        <w:t xml:space="preserve"> </w:t>
      </w:r>
      <w:r w:rsidRPr="00B77103">
        <w:t>produce</w:t>
      </w:r>
      <w:r w:rsidRPr="00B77103">
        <w:rPr>
          <w:spacing w:val="1"/>
        </w:rPr>
        <w:t xml:space="preserve"> </w:t>
      </w:r>
      <w:r w:rsidRPr="00B77103">
        <w:t>RAC that is grown domestically</w:t>
      </w:r>
      <w:r w:rsidRPr="00B77103">
        <w:rPr>
          <w:spacing w:val="-5"/>
        </w:rPr>
        <w:t xml:space="preserve"> </w:t>
      </w:r>
      <w:r w:rsidRPr="00B77103">
        <w:t>and a</w:t>
      </w:r>
      <w:r w:rsidRPr="00B77103">
        <w:rPr>
          <w:spacing w:val="1"/>
        </w:rPr>
        <w:t xml:space="preserve"> </w:t>
      </w:r>
      <w:r w:rsidRPr="00B77103">
        <w:t>produce</w:t>
      </w:r>
      <w:r w:rsidRPr="00B77103">
        <w:rPr>
          <w:spacing w:val="-2"/>
        </w:rPr>
        <w:t xml:space="preserve"> </w:t>
      </w:r>
      <w:r w:rsidRPr="00B77103">
        <w:t>RAC</w:t>
      </w:r>
      <w:r w:rsidR="00F5794E">
        <w:t xml:space="preserve"> </w:t>
      </w:r>
      <w:r w:rsidRPr="00B77103">
        <w:t xml:space="preserve">that will </w:t>
      </w:r>
      <w:r w:rsidRPr="00B77103">
        <w:rPr>
          <w:spacing w:val="-2"/>
        </w:rPr>
        <w:t>be</w:t>
      </w:r>
      <w:r w:rsidRPr="00B77103">
        <w:rPr>
          <w:spacing w:val="1"/>
        </w:rPr>
        <w:t xml:space="preserve"> </w:t>
      </w:r>
      <w:r w:rsidRPr="00B77103">
        <w:t>imported or offered for import in</w:t>
      </w:r>
      <w:r w:rsidR="00EA5127">
        <w:t>to</w:t>
      </w:r>
      <w:r w:rsidRPr="00B77103">
        <w:rPr>
          <w:spacing w:val="-3"/>
        </w:rPr>
        <w:t xml:space="preserve"> </w:t>
      </w:r>
      <w:r w:rsidRPr="00B77103">
        <w:t>any</w:t>
      </w:r>
      <w:r w:rsidRPr="00B77103">
        <w:rPr>
          <w:spacing w:val="-5"/>
        </w:rPr>
        <w:t xml:space="preserve"> </w:t>
      </w:r>
      <w:r w:rsidRPr="00B77103">
        <w:t>State</w:t>
      </w:r>
      <w:r w:rsidRPr="00B77103">
        <w:rPr>
          <w:spacing w:val="1"/>
        </w:rPr>
        <w:t xml:space="preserve"> </w:t>
      </w:r>
      <w:r w:rsidRPr="00B77103">
        <w:t>or territory</w:t>
      </w:r>
      <w:r w:rsidRPr="00B77103">
        <w:rPr>
          <w:spacing w:val="-5"/>
        </w:rPr>
        <w:t xml:space="preserve"> </w:t>
      </w:r>
      <w:r w:rsidRPr="00B77103">
        <w:rPr>
          <w:spacing w:val="1"/>
        </w:rPr>
        <w:t>of</w:t>
      </w:r>
      <w:r w:rsidRPr="00B77103">
        <w:rPr>
          <w:spacing w:val="-3"/>
        </w:rPr>
        <w:t xml:space="preserve"> </w:t>
      </w:r>
      <w:r w:rsidRPr="00B77103">
        <w:t>the</w:t>
      </w:r>
      <w:r w:rsidRPr="00B77103">
        <w:rPr>
          <w:spacing w:val="1"/>
        </w:rPr>
        <w:t xml:space="preserve"> </w:t>
      </w:r>
      <w:r w:rsidRPr="00B77103">
        <w:t>United States,</w:t>
      </w:r>
      <w:r w:rsidRPr="00B77103">
        <w:rPr>
          <w:spacing w:val="-3"/>
        </w:rPr>
        <w:t xml:space="preserve"> </w:t>
      </w:r>
      <w:r w:rsidRPr="00B77103">
        <w:t>the</w:t>
      </w:r>
      <w:r w:rsidRPr="00B77103">
        <w:rPr>
          <w:spacing w:val="1"/>
        </w:rPr>
        <w:t xml:space="preserve"> </w:t>
      </w:r>
      <w:r w:rsidRPr="00B77103">
        <w:t>District</w:t>
      </w:r>
      <w:r w:rsidRPr="00B77103">
        <w:rPr>
          <w:spacing w:val="53"/>
        </w:rPr>
        <w:t xml:space="preserve"> </w:t>
      </w:r>
      <w:r w:rsidRPr="00B77103">
        <w:t>of</w:t>
      </w:r>
      <w:r w:rsidRPr="00B77103">
        <w:rPr>
          <w:spacing w:val="-3"/>
        </w:rPr>
        <w:t xml:space="preserve"> </w:t>
      </w:r>
      <w:r w:rsidRPr="00B77103">
        <w:t>Columbia, or</w:t>
      </w:r>
      <w:r w:rsidRPr="00B77103">
        <w:rPr>
          <w:spacing w:val="-3"/>
        </w:rPr>
        <w:t xml:space="preserve"> </w:t>
      </w:r>
      <w:r w:rsidRPr="00B77103">
        <w:t>the</w:t>
      </w:r>
      <w:r w:rsidRPr="00B77103">
        <w:rPr>
          <w:spacing w:val="1"/>
        </w:rPr>
        <w:t xml:space="preserve"> </w:t>
      </w:r>
      <w:r w:rsidRPr="00B77103">
        <w:t>Commonwealth of</w:t>
      </w:r>
      <w:r w:rsidRPr="00B77103">
        <w:rPr>
          <w:spacing w:val="-3"/>
        </w:rPr>
        <w:t xml:space="preserve"> </w:t>
      </w:r>
      <w:r w:rsidRPr="00B77103">
        <w:t xml:space="preserve">Puerto </w:t>
      </w:r>
      <w:r w:rsidRPr="00B77103">
        <w:rPr>
          <w:spacing w:val="-2"/>
        </w:rPr>
        <w:t>Rico.</w:t>
      </w:r>
      <w:r w:rsidR="00637608">
        <w:rPr>
          <w:spacing w:val="-2"/>
        </w:rPr>
        <w:t xml:space="preserve"> </w:t>
      </w:r>
      <w:r w:rsidRPr="00B77103">
        <w:t>Covered farms</w:t>
      </w:r>
      <w:r w:rsidR="00C4075B">
        <w:t xml:space="preserve"> (i.e., those subject to the Produce Safety Rule) </w:t>
      </w:r>
      <w:r w:rsidRPr="00B77103">
        <w:t>must comply</w:t>
      </w:r>
      <w:r w:rsidRPr="00B77103">
        <w:rPr>
          <w:spacing w:val="-5"/>
        </w:rPr>
        <w:t xml:space="preserve"> </w:t>
      </w:r>
      <w:r w:rsidRPr="00B77103">
        <w:t>with all</w:t>
      </w:r>
      <w:r w:rsidRPr="00B77103">
        <w:rPr>
          <w:spacing w:val="-2"/>
        </w:rPr>
        <w:t xml:space="preserve"> </w:t>
      </w:r>
      <w:r w:rsidRPr="00B77103">
        <w:t>applicable</w:t>
      </w:r>
      <w:r w:rsidRPr="00B77103">
        <w:rPr>
          <w:spacing w:val="1"/>
        </w:rPr>
        <w:t xml:space="preserve"> </w:t>
      </w:r>
      <w:r w:rsidRPr="00B77103">
        <w:t xml:space="preserve">requirements </w:t>
      </w:r>
      <w:r w:rsidRPr="00B77103">
        <w:rPr>
          <w:spacing w:val="-2"/>
        </w:rPr>
        <w:t>of</w:t>
      </w:r>
      <w:r w:rsidRPr="00B77103">
        <w:rPr>
          <w:spacing w:val="-3"/>
        </w:rPr>
        <w:t xml:space="preserve"> </w:t>
      </w:r>
      <w:r w:rsidRPr="00B77103">
        <w:t>the</w:t>
      </w:r>
      <w:r w:rsidRPr="00B77103">
        <w:rPr>
          <w:spacing w:val="1"/>
        </w:rPr>
        <w:t xml:space="preserve"> </w:t>
      </w:r>
      <w:r w:rsidRPr="00B77103">
        <w:t>Rule</w:t>
      </w:r>
      <w:r w:rsidRPr="00B77103">
        <w:rPr>
          <w:spacing w:val="1"/>
        </w:rPr>
        <w:t xml:space="preserve"> </w:t>
      </w:r>
      <w:r w:rsidRPr="00B77103">
        <w:t>when conducting</w:t>
      </w:r>
      <w:r w:rsidRPr="00B77103">
        <w:rPr>
          <w:spacing w:val="-3"/>
        </w:rPr>
        <w:t xml:space="preserve"> </w:t>
      </w:r>
      <w:r w:rsidRPr="00B77103">
        <w:t>a</w:t>
      </w:r>
      <w:r w:rsidRPr="00B77103">
        <w:rPr>
          <w:spacing w:val="1"/>
        </w:rPr>
        <w:t xml:space="preserve"> </w:t>
      </w:r>
      <w:r w:rsidRPr="00B77103">
        <w:t>covered activity</w:t>
      </w:r>
      <w:r w:rsidR="005719B9">
        <w:t xml:space="preserve"> </w:t>
      </w:r>
      <w:r w:rsidRPr="00B77103">
        <w:t>on covered produce</w:t>
      </w:r>
      <w:r w:rsidRPr="00B77103">
        <w:rPr>
          <w:spacing w:val="1"/>
        </w:rPr>
        <w:t xml:space="preserve"> </w:t>
      </w:r>
      <w:r w:rsidRPr="00B77103">
        <w:t>(see</w:t>
      </w:r>
      <w:r w:rsidRPr="00B77103">
        <w:rPr>
          <w:spacing w:val="1"/>
        </w:rPr>
        <w:t xml:space="preserve"> </w:t>
      </w:r>
      <w:r w:rsidRPr="00B77103">
        <w:t>§</w:t>
      </w:r>
      <w:r w:rsidRPr="00B77103">
        <w:rPr>
          <w:spacing w:val="-3"/>
        </w:rPr>
        <w:t xml:space="preserve"> </w:t>
      </w:r>
      <w:r w:rsidRPr="00B77103">
        <w:t>112.4).</w:t>
      </w:r>
      <w:r w:rsidR="00A31C1C">
        <w:t xml:space="preserve"> </w:t>
      </w:r>
      <w:r w:rsidRPr="00B77103">
        <w:t>There</w:t>
      </w:r>
      <w:r w:rsidRPr="00B77103">
        <w:rPr>
          <w:spacing w:val="-2"/>
        </w:rPr>
        <w:t xml:space="preserve"> </w:t>
      </w:r>
      <w:r w:rsidRPr="00B77103">
        <w:t>are</w:t>
      </w:r>
      <w:r w:rsidRPr="00B77103">
        <w:rPr>
          <w:spacing w:val="-2"/>
        </w:rPr>
        <w:t xml:space="preserve"> </w:t>
      </w:r>
      <w:r w:rsidRPr="00B77103">
        <w:t xml:space="preserve">certain </w:t>
      </w:r>
      <w:r>
        <w:t xml:space="preserve">exclusions, </w:t>
      </w:r>
      <w:r w:rsidRPr="00B77103">
        <w:t>exemptions</w:t>
      </w:r>
      <w:r w:rsidRPr="00B77103">
        <w:rPr>
          <w:spacing w:val="-4"/>
        </w:rPr>
        <w:t xml:space="preserve"> </w:t>
      </w:r>
      <w:r w:rsidRPr="00B77103">
        <w:t>and limitations on which farms are</w:t>
      </w:r>
      <w:r w:rsidR="005719B9">
        <w:t xml:space="preserve"> </w:t>
      </w:r>
      <w:r w:rsidRPr="00B77103">
        <w:t>“covered farms”</w:t>
      </w:r>
      <w:r w:rsidRPr="00B77103">
        <w:rPr>
          <w:spacing w:val="1"/>
        </w:rPr>
        <w:t xml:space="preserve"> </w:t>
      </w:r>
      <w:r w:rsidRPr="00B77103">
        <w:t>(see</w:t>
      </w:r>
      <w:r w:rsidRPr="00B77103">
        <w:rPr>
          <w:spacing w:val="1"/>
        </w:rPr>
        <w:t xml:space="preserve"> </w:t>
      </w:r>
      <w:r w:rsidRPr="00B77103">
        <w:t>§ 112.4).</w:t>
      </w:r>
      <w:r w:rsidR="00A31C1C">
        <w:t xml:space="preserve"> </w:t>
      </w:r>
      <w:r w:rsidR="008775EA">
        <w:t>For example</w:t>
      </w:r>
      <w:r w:rsidR="00643370">
        <w:t>, s</w:t>
      </w:r>
      <w:r w:rsidRPr="00B77103">
        <w:t>prout operations for which, on a rolling basis, the average annual monetary value of produce sold during the previous 3-year period, adjusted for inflation, is less than</w:t>
      </w:r>
      <w:r w:rsidR="00994053">
        <w:t xml:space="preserve"> or equal to</w:t>
      </w:r>
      <w:r w:rsidR="006D00A7">
        <w:t xml:space="preserve"> </w:t>
      </w:r>
      <w:r w:rsidRPr="00B77103">
        <w:t>$25,000</w:t>
      </w:r>
      <w:r w:rsidR="00EA3381">
        <w:t>,</w:t>
      </w:r>
      <w:r w:rsidRPr="00B77103">
        <w:t xml:space="preserve"> are not covered by this regulation (§ 112.4(a)).</w:t>
      </w:r>
      <w:r w:rsidR="003E05D2">
        <w:t xml:space="preserve"> </w:t>
      </w:r>
      <w:r w:rsidRPr="00B77103">
        <w:t xml:space="preserve">See </w:t>
      </w:r>
      <w:hyperlink r:id="rId11" w:history="1">
        <w:r w:rsidRPr="00B77103">
          <w:rPr>
            <w:rStyle w:val="Hyperlink"/>
          </w:rPr>
          <w:t>https://www.fda.gov/food/food-safety-modernization-act-fsma/fsma-inflation-adjusted-cut-offs</w:t>
        </w:r>
      </w:hyperlink>
      <w:r w:rsidRPr="00B77103">
        <w:t xml:space="preserve"> for information on </w:t>
      </w:r>
      <w:r>
        <w:t>FDA Food Safety Modernization Act (</w:t>
      </w:r>
      <w:r w:rsidRPr="00B77103">
        <w:t>FSMA</w:t>
      </w:r>
      <w:r>
        <w:t>)</w:t>
      </w:r>
      <w:r w:rsidRPr="00B77103">
        <w:t xml:space="preserve"> inflation adjusted cut-offs.</w:t>
      </w:r>
      <w:r w:rsidR="00695CEE">
        <w:t xml:space="preserve"> </w:t>
      </w:r>
      <w:r>
        <w:t>See</w:t>
      </w:r>
      <w:r w:rsidR="003A2848">
        <w:t xml:space="preserve"> also</w:t>
      </w:r>
      <w:r w:rsidR="00091759">
        <w:t xml:space="preserve"> “Standards for Produce Safety, Coverage and Exemptions/Exclusions for 21 Part 112”</w:t>
      </w:r>
      <w:r w:rsidR="009844FB">
        <w:t>, available at</w:t>
      </w:r>
      <w:r>
        <w:t xml:space="preserve"> </w:t>
      </w:r>
      <w:hyperlink r:id="rId12">
        <w:r w:rsidRPr="1580741C">
          <w:rPr>
            <w:rStyle w:val="Hyperlink"/>
          </w:rPr>
          <w:t>https://www.fda.gov/media/94332/download</w:t>
        </w:r>
      </w:hyperlink>
      <w:r w:rsidRPr="1580741C">
        <w:rPr>
          <w:rStyle w:val="Hyperlink"/>
        </w:rPr>
        <w:t xml:space="preserve"> </w:t>
      </w:r>
      <w:r>
        <w:t>to assist you in determining which provisions of the Produce Safety Rule, if any, apply to you.</w:t>
      </w:r>
    </w:p>
    <w:p w:rsidR="00191DF8" w:rsidRPr="00B77103" w:rsidP="00E47C04" w14:paraId="4C2F83ED" w14:textId="7AA24849">
      <w:pPr>
        <w:pStyle w:val="GuidanceParagraph"/>
      </w:pPr>
      <w:r w:rsidRPr="00B77103">
        <w:t>Sprouts are</w:t>
      </w:r>
      <w:r w:rsidRPr="00B77103">
        <w:rPr>
          <w:spacing w:val="1"/>
        </w:rPr>
        <w:t xml:space="preserve"> </w:t>
      </w:r>
      <w:r w:rsidRPr="00B77103">
        <w:t>produce</w:t>
      </w:r>
      <w:r w:rsidRPr="00B77103">
        <w:rPr>
          <w:spacing w:val="1"/>
        </w:rPr>
        <w:t xml:space="preserve"> </w:t>
      </w:r>
      <w:r w:rsidRPr="00B77103">
        <w:t>as we</w:t>
      </w:r>
      <w:r w:rsidRPr="00B77103">
        <w:rPr>
          <w:spacing w:val="-2"/>
        </w:rPr>
        <w:t xml:space="preserve"> </w:t>
      </w:r>
      <w:r w:rsidRPr="00B77103">
        <w:t>defined that term</w:t>
      </w:r>
      <w:r w:rsidRPr="00B77103">
        <w:rPr>
          <w:spacing w:val="-2"/>
        </w:rPr>
        <w:t xml:space="preserve"> </w:t>
      </w:r>
      <w:r w:rsidRPr="00B77103">
        <w:t>in the</w:t>
      </w:r>
      <w:r w:rsidRPr="00B77103">
        <w:rPr>
          <w:spacing w:val="1"/>
        </w:rPr>
        <w:t xml:space="preserve"> </w:t>
      </w:r>
      <w:r w:rsidRPr="00B77103">
        <w:t>Produce</w:t>
      </w:r>
      <w:r w:rsidRPr="00B77103">
        <w:rPr>
          <w:spacing w:val="1"/>
        </w:rPr>
        <w:t xml:space="preserve"> </w:t>
      </w:r>
      <w:r w:rsidRPr="00B77103">
        <w:t>Safety</w:t>
      </w:r>
      <w:r w:rsidRPr="00B77103">
        <w:rPr>
          <w:spacing w:val="-5"/>
        </w:rPr>
        <w:t xml:space="preserve"> </w:t>
      </w:r>
      <w:r w:rsidRPr="00B77103">
        <w:t>Rule</w:t>
      </w:r>
      <w:r w:rsidRPr="00B77103">
        <w:rPr>
          <w:spacing w:val="1"/>
        </w:rPr>
        <w:t xml:space="preserve"> </w:t>
      </w:r>
      <w:r w:rsidRPr="00B77103">
        <w:t>(see</w:t>
      </w:r>
      <w:r w:rsidRPr="00B77103">
        <w:rPr>
          <w:spacing w:val="1"/>
        </w:rPr>
        <w:t xml:space="preserve"> </w:t>
      </w:r>
      <w:r w:rsidRPr="00B77103">
        <w:t>§</w:t>
      </w:r>
      <w:r w:rsidRPr="00B77103">
        <w:rPr>
          <w:spacing w:val="-3"/>
        </w:rPr>
        <w:t xml:space="preserve"> </w:t>
      </w:r>
      <w:r w:rsidRPr="00B77103">
        <w:t>112.3).</w:t>
      </w:r>
      <w:r w:rsidR="007D1838">
        <w:t xml:space="preserve"> </w:t>
      </w:r>
      <w:r w:rsidRPr="00B77103">
        <w:t>Sprouts are</w:t>
      </w:r>
      <w:r w:rsidRPr="00B77103">
        <w:rPr>
          <w:spacing w:val="-2"/>
        </w:rPr>
        <w:t xml:space="preserve"> </w:t>
      </w:r>
      <w:r w:rsidRPr="00B77103">
        <w:t>also RACs when they</w:t>
      </w:r>
      <w:r w:rsidRPr="00B77103">
        <w:rPr>
          <w:spacing w:val="-5"/>
        </w:rPr>
        <w:t xml:space="preserve"> </w:t>
      </w:r>
      <w:r w:rsidRPr="00B77103">
        <w:t>are</w:t>
      </w:r>
      <w:r w:rsidRPr="00B77103">
        <w:rPr>
          <w:spacing w:val="1"/>
        </w:rPr>
        <w:t xml:space="preserve"> </w:t>
      </w:r>
      <w:r w:rsidRPr="00B77103">
        <w:t>in</w:t>
      </w:r>
      <w:r w:rsidRPr="00B77103">
        <w:rPr>
          <w:spacing w:val="-3"/>
        </w:rPr>
        <w:t xml:space="preserve"> </w:t>
      </w:r>
      <w:r w:rsidRPr="00B77103">
        <w:t>their raw or</w:t>
      </w:r>
      <w:r w:rsidRPr="00B77103">
        <w:rPr>
          <w:spacing w:val="-3"/>
        </w:rPr>
        <w:t xml:space="preserve"> </w:t>
      </w:r>
      <w:r w:rsidRPr="00B77103">
        <w:t>natural state</w:t>
      </w:r>
      <w:r w:rsidRPr="00B77103">
        <w:rPr>
          <w:spacing w:val="1"/>
        </w:rPr>
        <w:t xml:space="preserve"> </w:t>
      </w:r>
      <w:r w:rsidRPr="00B77103">
        <w:t>(see</w:t>
      </w:r>
      <w:r w:rsidRPr="00B77103">
        <w:rPr>
          <w:spacing w:val="1"/>
        </w:rPr>
        <w:t xml:space="preserve"> </w:t>
      </w:r>
      <w:r w:rsidRPr="00B77103" w:rsidR="00172639">
        <w:t>§</w:t>
      </w:r>
      <w:r w:rsidR="00172639">
        <w:t xml:space="preserve"> </w:t>
      </w:r>
      <w:r w:rsidRPr="00B77103">
        <w:t>112.3</w:t>
      </w:r>
      <w:r w:rsidR="00172639">
        <w:t xml:space="preserve"> and </w:t>
      </w:r>
      <w:r w:rsidR="004A55AF">
        <w:t xml:space="preserve">section </w:t>
      </w:r>
      <w:r w:rsidR="00172639">
        <w:t>201(r)</w:t>
      </w:r>
      <w:r w:rsidR="004A55AF">
        <w:t xml:space="preserve"> of the FD&amp;C Act</w:t>
      </w:r>
      <w:r w:rsidRPr="00B77103">
        <w:t>,</w:t>
      </w:r>
      <w:r w:rsidRPr="00B77103">
        <w:rPr>
          <w:spacing w:val="-3"/>
        </w:rPr>
        <w:t xml:space="preserve"> </w:t>
      </w:r>
      <w:r w:rsidRPr="00B77103">
        <w:t>defining</w:t>
      </w:r>
      <w:r w:rsidRPr="00B77103">
        <w:rPr>
          <w:spacing w:val="-3"/>
        </w:rPr>
        <w:t xml:space="preserve"> </w:t>
      </w:r>
      <w:r w:rsidRPr="00B77103">
        <w:t>“</w:t>
      </w:r>
      <w:r w:rsidR="00F83ED9">
        <w:t>r</w:t>
      </w:r>
      <w:r w:rsidRPr="00B77103">
        <w:t>aw</w:t>
      </w:r>
      <w:r w:rsidR="00F36A1D">
        <w:t xml:space="preserve"> </w:t>
      </w:r>
      <w:r w:rsidRPr="00B77103">
        <w:t>agricultural</w:t>
      </w:r>
      <w:r w:rsidRPr="00B77103">
        <w:rPr>
          <w:spacing w:val="-2"/>
        </w:rPr>
        <w:t xml:space="preserve"> </w:t>
      </w:r>
      <w:r w:rsidRPr="00B77103">
        <w:t>commodity</w:t>
      </w:r>
      <w:r w:rsidR="00994053">
        <w:t>”</w:t>
      </w:r>
      <w:r w:rsidRPr="00B77103">
        <w:rPr>
          <w:spacing w:val="-5"/>
        </w:rPr>
        <w:t xml:space="preserve"> </w:t>
      </w:r>
      <w:r w:rsidRPr="00B77103">
        <w:t>as “any</w:t>
      </w:r>
      <w:r w:rsidRPr="00B77103">
        <w:rPr>
          <w:spacing w:val="-3"/>
        </w:rPr>
        <w:t xml:space="preserve"> </w:t>
      </w:r>
      <w:r w:rsidRPr="00B77103">
        <w:t>food in its raw or natural state,</w:t>
      </w:r>
      <w:r w:rsidRPr="00B77103">
        <w:rPr>
          <w:spacing w:val="-3"/>
        </w:rPr>
        <w:t xml:space="preserve"> </w:t>
      </w:r>
      <w:r w:rsidRPr="00B77103">
        <w:t>including</w:t>
      </w:r>
      <w:r w:rsidRPr="00B77103">
        <w:rPr>
          <w:spacing w:val="-3"/>
        </w:rPr>
        <w:t xml:space="preserve"> </w:t>
      </w:r>
      <w:r w:rsidRPr="00B77103">
        <w:t>all fruits that</w:t>
      </w:r>
      <w:r w:rsidRPr="00B77103">
        <w:rPr>
          <w:spacing w:val="-2"/>
        </w:rPr>
        <w:t xml:space="preserve"> </w:t>
      </w:r>
      <w:r w:rsidRPr="00B77103">
        <w:t>are</w:t>
      </w:r>
      <w:r w:rsidRPr="00B77103">
        <w:rPr>
          <w:spacing w:val="1"/>
        </w:rPr>
        <w:t xml:space="preserve"> </w:t>
      </w:r>
      <w:r w:rsidRPr="00B77103">
        <w:t>washed, colored, or</w:t>
      </w:r>
      <w:r w:rsidR="00F36A1D">
        <w:t xml:space="preserve"> </w:t>
      </w:r>
      <w:r w:rsidRPr="00B77103">
        <w:t>otherwise</w:t>
      </w:r>
      <w:r w:rsidRPr="00B77103">
        <w:rPr>
          <w:spacing w:val="-2"/>
        </w:rPr>
        <w:t xml:space="preserve"> </w:t>
      </w:r>
      <w:r w:rsidRPr="00B77103">
        <w:t>treated in</w:t>
      </w:r>
      <w:r w:rsidRPr="00B77103">
        <w:rPr>
          <w:spacing w:val="-3"/>
        </w:rPr>
        <w:t xml:space="preserve"> </w:t>
      </w:r>
      <w:r w:rsidRPr="00B77103">
        <w:t>their</w:t>
      </w:r>
      <w:r w:rsidRPr="00B77103">
        <w:rPr>
          <w:spacing w:val="-3"/>
        </w:rPr>
        <w:t xml:space="preserve"> </w:t>
      </w:r>
      <w:r w:rsidRPr="00B77103">
        <w:t>unpeeled natural form prior to marketing.”).</w:t>
      </w:r>
      <w:r w:rsidR="008D2799">
        <w:t xml:space="preserve"> </w:t>
      </w:r>
      <w:r w:rsidRPr="00B77103">
        <w:t>Therefore, sprouts in</w:t>
      </w:r>
      <w:r w:rsidRPr="00B77103">
        <w:rPr>
          <w:spacing w:val="-3"/>
        </w:rPr>
        <w:t xml:space="preserve"> </w:t>
      </w:r>
      <w:r w:rsidRPr="00B77103">
        <w:t>their raw</w:t>
      </w:r>
      <w:r w:rsidR="003E05D2">
        <w:t xml:space="preserve"> </w:t>
      </w:r>
      <w:r w:rsidRPr="00B77103">
        <w:t>or natural state</w:t>
      </w:r>
      <w:r w:rsidRPr="00B77103">
        <w:rPr>
          <w:spacing w:val="1"/>
        </w:rPr>
        <w:t xml:space="preserve"> </w:t>
      </w:r>
      <w:r w:rsidRPr="00B77103">
        <w:t>are</w:t>
      </w:r>
      <w:r w:rsidRPr="00B77103">
        <w:rPr>
          <w:spacing w:val="1"/>
        </w:rPr>
        <w:t xml:space="preserve"> </w:t>
      </w:r>
      <w:r w:rsidRPr="00B77103">
        <w:t>covered produce,</w:t>
      </w:r>
      <w:r w:rsidRPr="00B77103">
        <w:rPr>
          <w:spacing w:val="-3"/>
        </w:rPr>
        <w:t xml:space="preserve"> </w:t>
      </w:r>
      <w:r w:rsidRPr="00B77103">
        <w:t>except</w:t>
      </w:r>
      <w:r w:rsidRPr="00B77103">
        <w:rPr>
          <w:spacing w:val="-2"/>
        </w:rPr>
        <w:t xml:space="preserve"> </w:t>
      </w:r>
      <w:r w:rsidRPr="00B77103">
        <w:t>as otherwise</w:t>
      </w:r>
      <w:r w:rsidRPr="00B77103">
        <w:rPr>
          <w:spacing w:val="1"/>
        </w:rPr>
        <w:t xml:space="preserve"> </w:t>
      </w:r>
      <w:r w:rsidR="004D1DDC">
        <w:t>provided</w:t>
      </w:r>
      <w:r w:rsidRPr="00B77103" w:rsidR="004D1DDC">
        <w:t xml:space="preserve"> </w:t>
      </w:r>
      <w:r w:rsidRPr="00B77103">
        <w:t>in § 112.2.</w:t>
      </w:r>
    </w:p>
    <w:p w:rsidR="00191DF8" w:rsidRPr="00B77103" w:rsidP="00E47C04" w14:paraId="4E7DEB5D" w14:textId="44AF2C56">
      <w:pPr>
        <w:pStyle w:val="GuidanceParagraph"/>
      </w:pPr>
      <w:r w:rsidRPr="00B77103">
        <w:t>If</w:t>
      </w:r>
      <w:r w:rsidRPr="00B77103">
        <w:rPr>
          <w:spacing w:val="-3"/>
        </w:rPr>
        <w:t xml:space="preserve"> </w:t>
      </w:r>
      <w:r w:rsidRPr="00B77103">
        <w:t>sprouts are</w:t>
      </w:r>
      <w:r w:rsidRPr="00B77103">
        <w:rPr>
          <w:spacing w:val="1"/>
        </w:rPr>
        <w:t xml:space="preserve"> </w:t>
      </w:r>
      <w:r w:rsidRPr="00B77103">
        <w:t>made</w:t>
      </w:r>
      <w:r w:rsidRPr="00B77103">
        <w:rPr>
          <w:spacing w:val="1"/>
        </w:rPr>
        <w:t xml:space="preserve"> </w:t>
      </w:r>
      <w:r w:rsidRPr="00B77103">
        <w:t>into processed food(s), those</w:t>
      </w:r>
      <w:r w:rsidRPr="00B77103">
        <w:rPr>
          <w:spacing w:val="1"/>
        </w:rPr>
        <w:t xml:space="preserve"> </w:t>
      </w:r>
      <w:r w:rsidRPr="00B77103">
        <w:t>processed foods are</w:t>
      </w:r>
      <w:r w:rsidRPr="00B77103">
        <w:rPr>
          <w:spacing w:val="1"/>
        </w:rPr>
        <w:t xml:space="preserve"> </w:t>
      </w:r>
      <w:r w:rsidRPr="00B77103">
        <w:t>not covered by</w:t>
      </w:r>
      <w:r w:rsidRPr="00B77103">
        <w:rPr>
          <w:spacing w:val="-5"/>
        </w:rPr>
        <w:t xml:space="preserve"> </w:t>
      </w:r>
      <w:r w:rsidRPr="00B77103">
        <w:t>the</w:t>
      </w:r>
      <w:r w:rsidRPr="00B77103">
        <w:rPr>
          <w:spacing w:val="1"/>
        </w:rPr>
        <w:t xml:space="preserve"> </w:t>
      </w:r>
      <w:r w:rsidRPr="00B77103">
        <w:t>Produce</w:t>
      </w:r>
      <w:r w:rsidRPr="00B77103">
        <w:rPr>
          <w:spacing w:val="67"/>
        </w:rPr>
        <w:t xml:space="preserve"> </w:t>
      </w:r>
      <w:r w:rsidRPr="00B77103">
        <w:t>Safety</w:t>
      </w:r>
      <w:r w:rsidRPr="00B77103">
        <w:rPr>
          <w:spacing w:val="-5"/>
        </w:rPr>
        <w:t xml:space="preserve"> </w:t>
      </w:r>
      <w:r w:rsidRPr="00B77103">
        <w:t>Rule</w:t>
      </w:r>
      <w:r w:rsidRPr="00B77103">
        <w:rPr>
          <w:spacing w:val="1"/>
        </w:rPr>
        <w:t xml:space="preserve"> </w:t>
      </w:r>
      <w:r w:rsidRPr="00B77103">
        <w:t>(see</w:t>
      </w:r>
      <w:r w:rsidRPr="00B77103">
        <w:rPr>
          <w:spacing w:val="1"/>
        </w:rPr>
        <w:t xml:space="preserve"> </w:t>
      </w:r>
      <w:r w:rsidRPr="00B77103">
        <w:t>§ 112.2(a)(3)).</w:t>
      </w:r>
      <w:r w:rsidR="00B27CC6">
        <w:t xml:space="preserve"> </w:t>
      </w:r>
      <w:r w:rsidRPr="00B77103">
        <w:t>An</w:t>
      </w:r>
      <w:r w:rsidR="00B27CC6">
        <w:t xml:space="preserve"> </w:t>
      </w:r>
      <w:r w:rsidRPr="00B77103">
        <w:t>example</w:t>
      </w:r>
      <w:r w:rsidRPr="00B77103">
        <w:rPr>
          <w:spacing w:val="1"/>
        </w:rPr>
        <w:t xml:space="preserve"> </w:t>
      </w:r>
      <w:r w:rsidRPr="00B77103">
        <w:t>of</w:t>
      </w:r>
      <w:r w:rsidRPr="00B77103">
        <w:rPr>
          <w:spacing w:val="-3"/>
        </w:rPr>
        <w:t xml:space="preserve"> </w:t>
      </w:r>
      <w:r w:rsidRPr="00B77103">
        <w:t>a</w:t>
      </w:r>
      <w:r w:rsidRPr="00B77103">
        <w:rPr>
          <w:spacing w:val="1"/>
        </w:rPr>
        <w:t xml:space="preserve"> </w:t>
      </w:r>
      <w:r w:rsidRPr="00B77103">
        <w:t>processed food made</w:t>
      </w:r>
      <w:r w:rsidRPr="00B77103">
        <w:rPr>
          <w:spacing w:val="1"/>
        </w:rPr>
        <w:t xml:space="preserve"> </w:t>
      </w:r>
      <w:r w:rsidRPr="00B77103">
        <w:t>using</w:t>
      </w:r>
      <w:r w:rsidRPr="00B77103">
        <w:rPr>
          <w:spacing w:val="-3"/>
        </w:rPr>
        <w:t xml:space="preserve"> </w:t>
      </w:r>
      <w:r w:rsidRPr="00B77103">
        <w:t xml:space="preserve">sprouts is sprouted seed butter. This does </w:t>
      </w:r>
      <w:r w:rsidRPr="00B77103">
        <w:rPr>
          <w:u w:val="single" w:color="000000"/>
        </w:rPr>
        <w:t>not</w:t>
      </w:r>
      <w:r w:rsidRPr="00A97AED">
        <w:rPr>
          <w:spacing w:val="-2"/>
        </w:rPr>
        <w:t xml:space="preserve"> </w:t>
      </w:r>
      <w:r w:rsidRPr="00B77103">
        <w:t>mean that sprout</w:t>
      </w:r>
      <w:r w:rsidRPr="00B77103">
        <w:rPr>
          <w:spacing w:val="1"/>
        </w:rPr>
        <w:t xml:space="preserve"> </w:t>
      </w:r>
      <w:r w:rsidRPr="00B77103">
        <w:t>RACs that</w:t>
      </w:r>
      <w:r w:rsidRPr="00B77103">
        <w:rPr>
          <w:spacing w:val="-2"/>
        </w:rPr>
        <w:t xml:space="preserve"> </w:t>
      </w:r>
      <w:r w:rsidRPr="00B77103">
        <w:t>will be</w:t>
      </w:r>
      <w:r w:rsidRPr="00B77103">
        <w:rPr>
          <w:spacing w:val="-2"/>
        </w:rPr>
        <w:t xml:space="preserve"> </w:t>
      </w:r>
      <w:r w:rsidRPr="00B77103">
        <w:t>made</w:t>
      </w:r>
      <w:r w:rsidRPr="00B77103">
        <w:rPr>
          <w:spacing w:val="1"/>
        </w:rPr>
        <w:t xml:space="preserve"> </w:t>
      </w:r>
      <w:r w:rsidRPr="00B77103">
        <w:t>into processed food are</w:t>
      </w:r>
      <w:r w:rsidRPr="00B77103">
        <w:rPr>
          <w:spacing w:val="1"/>
        </w:rPr>
        <w:t xml:space="preserve"> </w:t>
      </w:r>
      <w:r w:rsidRPr="00B77103">
        <w:t>themselves</w:t>
      </w:r>
      <w:r w:rsidR="008050E9">
        <w:t xml:space="preserve"> </w:t>
      </w:r>
      <w:r w:rsidRPr="00B77103">
        <w:t>exempt from the</w:t>
      </w:r>
      <w:r w:rsidRPr="00B77103">
        <w:rPr>
          <w:spacing w:val="1"/>
        </w:rPr>
        <w:t xml:space="preserve"> </w:t>
      </w:r>
      <w:r w:rsidRPr="00B77103">
        <w:t>Produce</w:t>
      </w:r>
      <w:r w:rsidRPr="00B77103">
        <w:rPr>
          <w:spacing w:val="-2"/>
        </w:rPr>
        <w:t xml:space="preserve"> </w:t>
      </w:r>
      <w:r w:rsidRPr="00B77103">
        <w:t>Safety</w:t>
      </w:r>
      <w:r w:rsidRPr="00B77103">
        <w:rPr>
          <w:spacing w:val="-5"/>
        </w:rPr>
        <w:t xml:space="preserve"> </w:t>
      </w:r>
      <w:r w:rsidRPr="00B77103">
        <w:t>Rule</w:t>
      </w:r>
      <w:r w:rsidRPr="00B77103">
        <w:rPr>
          <w:spacing w:val="1"/>
        </w:rPr>
        <w:t xml:space="preserve"> </w:t>
      </w:r>
      <w:r w:rsidRPr="00B77103">
        <w:t>simply</w:t>
      </w:r>
      <w:r w:rsidRPr="00B77103">
        <w:rPr>
          <w:spacing w:val="-5"/>
        </w:rPr>
        <w:t xml:space="preserve"> </w:t>
      </w:r>
      <w:r w:rsidRPr="00B77103">
        <w:t>because</w:t>
      </w:r>
      <w:r w:rsidRPr="00B77103">
        <w:rPr>
          <w:spacing w:val="1"/>
        </w:rPr>
        <w:t xml:space="preserve"> </w:t>
      </w:r>
      <w:r w:rsidRPr="00B77103">
        <w:t>those</w:t>
      </w:r>
      <w:r w:rsidRPr="00B77103">
        <w:rPr>
          <w:spacing w:val="1"/>
        </w:rPr>
        <w:t xml:space="preserve"> </w:t>
      </w:r>
      <w:r w:rsidRPr="00B77103">
        <w:t>RACs will later be</w:t>
      </w:r>
      <w:r w:rsidRPr="00B77103">
        <w:rPr>
          <w:spacing w:val="-2"/>
        </w:rPr>
        <w:t xml:space="preserve"> </w:t>
      </w:r>
      <w:r w:rsidRPr="00B77103">
        <w:t>transformed into</w:t>
      </w:r>
      <w:r w:rsidR="00DF0AFC">
        <w:t xml:space="preserve"> </w:t>
      </w:r>
      <w:r w:rsidRPr="00B77103">
        <w:t xml:space="preserve">processed food. Rather, </w:t>
      </w:r>
      <w:r w:rsidRPr="00B77103">
        <w:rPr>
          <w:spacing w:val="-2"/>
        </w:rPr>
        <w:t>it</w:t>
      </w:r>
      <w:r w:rsidRPr="00B77103">
        <w:t xml:space="preserve"> means that the</w:t>
      </w:r>
      <w:r w:rsidRPr="00B77103">
        <w:rPr>
          <w:spacing w:val="1"/>
        </w:rPr>
        <w:t xml:space="preserve"> </w:t>
      </w:r>
      <w:r w:rsidRPr="00B77103">
        <w:t>Produce</w:t>
      </w:r>
      <w:r w:rsidRPr="00B77103">
        <w:rPr>
          <w:spacing w:val="1"/>
        </w:rPr>
        <w:t xml:space="preserve"> </w:t>
      </w:r>
      <w:r w:rsidRPr="00B77103">
        <w:t>Safety</w:t>
      </w:r>
      <w:r w:rsidRPr="00B77103">
        <w:rPr>
          <w:spacing w:val="-5"/>
        </w:rPr>
        <w:t xml:space="preserve"> </w:t>
      </w:r>
      <w:r w:rsidRPr="00B77103">
        <w:t>Rule</w:t>
      </w:r>
      <w:r w:rsidRPr="00B77103">
        <w:rPr>
          <w:spacing w:val="1"/>
        </w:rPr>
        <w:t xml:space="preserve"> </w:t>
      </w:r>
      <w:r w:rsidRPr="00B77103">
        <w:t>only</w:t>
      </w:r>
      <w:r w:rsidRPr="00B77103">
        <w:rPr>
          <w:spacing w:val="-5"/>
        </w:rPr>
        <w:t xml:space="preserve"> </w:t>
      </w:r>
      <w:r w:rsidRPr="00B77103">
        <w:t>applies during</w:t>
      </w:r>
      <w:r w:rsidRPr="00B77103">
        <w:rPr>
          <w:spacing w:val="-3"/>
        </w:rPr>
        <w:t xml:space="preserve"> </w:t>
      </w:r>
      <w:r w:rsidRPr="00B77103">
        <w:t>the</w:t>
      </w:r>
      <w:r w:rsidRPr="00B77103">
        <w:rPr>
          <w:spacing w:val="1"/>
        </w:rPr>
        <w:t xml:space="preserve"> </w:t>
      </w:r>
      <w:r w:rsidRPr="00B77103">
        <w:t>time</w:t>
      </w:r>
      <w:r w:rsidRPr="00B77103">
        <w:rPr>
          <w:spacing w:val="1"/>
        </w:rPr>
        <w:t xml:space="preserve"> </w:t>
      </w:r>
      <w:r w:rsidRPr="00B77103">
        <w:t>that the</w:t>
      </w:r>
      <w:r w:rsidR="00006856">
        <w:t xml:space="preserve"> </w:t>
      </w:r>
      <w:r w:rsidRPr="00B77103">
        <w:t>sprouts are</w:t>
      </w:r>
      <w:r w:rsidRPr="00B77103">
        <w:rPr>
          <w:spacing w:val="1"/>
        </w:rPr>
        <w:t xml:space="preserve"> </w:t>
      </w:r>
      <w:r w:rsidRPr="00B77103">
        <w:t xml:space="preserve">RACs. </w:t>
      </w:r>
      <w:r w:rsidRPr="00B77103" w:rsidR="6B6CBA38">
        <w:t>Other</w:t>
      </w:r>
      <w:r w:rsidRPr="00B77103">
        <w:t xml:space="preserve"> requirements</w:t>
      </w:r>
      <w:r w:rsidRPr="00B77103" w:rsidR="6B6CBA38">
        <w:t>,</w:t>
      </w:r>
      <w:r w:rsidRPr="00B77103">
        <w:t xml:space="preserve"> such</w:t>
      </w:r>
      <w:r w:rsidRPr="00B77103">
        <w:rPr>
          <w:spacing w:val="-3"/>
        </w:rPr>
        <w:t xml:space="preserve"> </w:t>
      </w:r>
      <w:r w:rsidRPr="00B77103">
        <w:t>as those</w:t>
      </w:r>
      <w:r w:rsidR="00006856">
        <w:t xml:space="preserve"> </w:t>
      </w:r>
      <w:r w:rsidRPr="00B77103">
        <w:t xml:space="preserve">in 21 </w:t>
      </w:r>
      <w:r w:rsidRPr="00B77103">
        <w:rPr>
          <w:spacing w:val="-2"/>
        </w:rPr>
        <w:t>CFR</w:t>
      </w:r>
      <w:r w:rsidRPr="00B77103">
        <w:t xml:space="preserve"> Part 117</w:t>
      </w:r>
      <w:r w:rsidRPr="00B77103" w:rsidR="6B6CBA38">
        <w:t>,</w:t>
      </w:r>
      <w:r w:rsidRPr="00B77103">
        <w:t xml:space="preserve"> may</w:t>
      </w:r>
      <w:r w:rsidRPr="00B77103">
        <w:rPr>
          <w:spacing w:val="-3"/>
        </w:rPr>
        <w:t xml:space="preserve"> </w:t>
      </w:r>
      <w:r w:rsidRPr="00B77103">
        <w:t>apply</w:t>
      </w:r>
      <w:r w:rsidRPr="00B77103" w:rsidR="6B6CBA38">
        <w:t xml:space="preserve"> to any manufacturing/processing of the sprout RACs into processed food</w:t>
      </w:r>
      <w:r w:rsidRPr="00B77103">
        <w:t>, depending</w:t>
      </w:r>
      <w:r w:rsidRPr="00B77103">
        <w:rPr>
          <w:spacing w:val="-3"/>
        </w:rPr>
        <w:t xml:space="preserve"> </w:t>
      </w:r>
      <w:r w:rsidRPr="00B77103">
        <w:t>on the</w:t>
      </w:r>
      <w:r w:rsidRPr="00B77103">
        <w:rPr>
          <w:spacing w:val="-2"/>
        </w:rPr>
        <w:t xml:space="preserve"> </w:t>
      </w:r>
      <w:r w:rsidRPr="00B77103">
        <w:t>circumstances.</w:t>
      </w:r>
    </w:p>
    <w:p w:rsidR="00191DF8" w:rsidRPr="00B77103" w:rsidP="00E47C04" w14:paraId="5B06A8CE" w14:textId="5931EC36">
      <w:pPr>
        <w:pStyle w:val="GuidanceParagraph"/>
      </w:pPr>
      <w:r w:rsidRPr="00B77103">
        <w:t>Sprouts do not qualify</w:t>
      </w:r>
      <w:r w:rsidRPr="00B77103">
        <w:rPr>
          <w:spacing w:val="-5"/>
        </w:rPr>
        <w:t xml:space="preserve"> </w:t>
      </w:r>
      <w:r w:rsidRPr="00B77103">
        <w:t>for</w:t>
      </w:r>
      <w:r w:rsidRPr="00B77103">
        <w:rPr>
          <w:spacing w:val="2"/>
        </w:rPr>
        <w:t xml:space="preserve"> </w:t>
      </w:r>
      <w:r w:rsidRPr="00B77103">
        <w:t>the</w:t>
      </w:r>
      <w:r w:rsidRPr="00B77103">
        <w:rPr>
          <w:spacing w:val="1"/>
        </w:rPr>
        <w:t xml:space="preserve"> </w:t>
      </w:r>
      <w:r w:rsidRPr="00B77103">
        <w:t>exemption</w:t>
      </w:r>
      <w:r w:rsidRPr="00B77103">
        <w:rPr>
          <w:spacing w:val="-3"/>
        </w:rPr>
        <w:t xml:space="preserve"> from the Produce Safety Rule </w:t>
      </w:r>
      <w:r w:rsidRPr="00B77103">
        <w:t>in § 112.2(a)(1) for produce</w:t>
      </w:r>
      <w:r w:rsidRPr="00B77103">
        <w:rPr>
          <w:spacing w:val="-2"/>
        </w:rPr>
        <w:t xml:space="preserve"> </w:t>
      </w:r>
      <w:r w:rsidRPr="00B77103">
        <w:t>that is rarely</w:t>
      </w:r>
      <w:r w:rsidRPr="00B77103">
        <w:rPr>
          <w:spacing w:val="-5"/>
        </w:rPr>
        <w:t xml:space="preserve"> </w:t>
      </w:r>
      <w:r w:rsidRPr="00B77103">
        <w:t>consumed raw.</w:t>
      </w:r>
      <w:r w:rsidR="00986191">
        <w:t xml:space="preserve"> T</w:t>
      </w:r>
      <w:r w:rsidRPr="00B77103">
        <w:t>his provision contains a</w:t>
      </w:r>
      <w:r w:rsidRPr="00B77103">
        <w:rPr>
          <w:spacing w:val="-3"/>
        </w:rPr>
        <w:t xml:space="preserve"> </w:t>
      </w:r>
      <w:r w:rsidRPr="00B77103">
        <w:t>list of</w:t>
      </w:r>
      <w:r w:rsidRPr="00B77103">
        <w:rPr>
          <w:spacing w:val="-3"/>
        </w:rPr>
        <w:t xml:space="preserve"> </w:t>
      </w:r>
      <w:r w:rsidRPr="00B77103">
        <w:t>produce</w:t>
      </w:r>
      <w:r w:rsidRPr="00B77103">
        <w:rPr>
          <w:spacing w:val="-2"/>
        </w:rPr>
        <w:t xml:space="preserve"> </w:t>
      </w:r>
      <w:r w:rsidRPr="00B77103">
        <w:t>commodities (such as potatoes)</w:t>
      </w:r>
      <w:r w:rsidR="005719B9">
        <w:t xml:space="preserve"> </w:t>
      </w:r>
      <w:r w:rsidR="75F72B44">
        <w:t xml:space="preserve">for which we have </w:t>
      </w:r>
      <w:r w:rsidR="6B6CBA38">
        <w:t>analyzed</w:t>
      </w:r>
      <w:r w:rsidRPr="00B77103">
        <w:rPr>
          <w:spacing w:val="-3"/>
        </w:rPr>
        <w:t xml:space="preserve"> </w:t>
      </w:r>
      <w:r w:rsidRPr="00B77103">
        <w:t>dietary</w:t>
      </w:r>
      <w:r w:rsidRPr="00B77103">
        <w:rPr>
          <w:spacing w:val="-5"/>
        </w:rPr>
        <w:t xml:space="preserve"> </w:t>
      </w:r>
      <w:r w:rsidRPr="00B77103">
        <w:t>consumption patterns</w:t>
      </w:r>
      <w:r w:rsidRPr="00B77103" w:rsidR="6B6CBA38">
        <w:t xml:space="preserve"> and determined such commodities </w:t>
      </w:r>
      <w:r w:rsidRPr="00B77103">
        <w:t>are</w:t>
      </w:r>
      <w:r w:rsidRPr="00B77103">
        <w:rPr>
          <w:spacing w:val="1"/>
        </w:rPr>
        <w:t xml:space="preserve"> </w:t>
      </w:r>
      <w:r w:rsidRPr="00B77103">
        <w:t>rarely</w:t>
      </w:r>
      <w:r w:rsidRPr="00B77103">
        <w:rPr>
          <w:spacing w:val="-5"/>
        </w:rPr>
        <w:t xml:space="preserve"> </w:t>
      </w:r>
      <w:r w:rsidRPr="00B77103">
        <w:t>consumed raw.</w:t>
      </w:r>
      <w:r w:rsidR="00986191">
        <w:t xml:space="preserve"> </w:t>
      </w:r>
      <w:r w:rsidRPr="00B77103">
        <w:t>This</w:t>
      </w:r>
      <w:r w:rsidR="003E05D2">
        <w:t xml:space="preserve"> </w:t>
      </w:r>
      <w:r w:rsidRPr="00B77103">
        <w:t>exemption</w:t>
      </w:r>
      <w:r w:rsidRPr="00B77103">
        <w:rPr>
          <w:spacing w:val="-3"/>
        </w:rPr>
        <w:t xml:space="preserve"> </w:t>
      </w:r>
      <w:r w:rsidRPr="00B77103">
        <w:t>applies only</w:t>
      </w:r>
      <w:r w:rsidRPr="00B77103">
        <w:rPr>
          <w:spacing w:val="-5"/>
        </w:rPr>
        <w:t xml:space="preserve"> </w:t>
      </w:r>
      <w:r w:rsidRPr="00B77103">
        <w:t>to</w:t>
      </w:r>
      <w:r w:rsidRPr="00B77103">
        <w:rPr>
          <w:spacing w:val="2"/>
        </w:rPr>
        <w:t xml:space="preserve"> </w:t>
      </w:r>
      <w:r w:rsidRPr="00B77103">
        <w:t>the</w:t>
      </w:r>
      <w:r w:rsidRPr="00B77103">
        <w:rPr>
          <w:spacing w:val="1"/>
        </w:rPr>
        <w:t xml:space="preserve"> </w:t>
      </w:r>
      <w:r w:rsidRPr="00B77103">
        <w:t>commodities identified in § 112.2(a)(1), none</w:t>
      </w:r>
      <w:r w:rsidRPr="00B77103">
        <w:rPr>
          <w:spacing w:val="1"/>
        </w:rPr>
        <w:t xml:space="preserve"> </w:t>
      </w:r>
      <w:r w:rsidRPr="00B77103">
        <w:t>of</w:t>
      </w:r>
      <w:r w:rsidRPr="00B77103">
        <w:rPr>
          <w:spacing w:val="-3"/>
        </w:rPr>
        <w:t xml:space="preserve"> </w:t>
      </w:r>
      <w:r w:rsidRPr="00B77103">
        <w:t>which are</w:t>
      </w:r>
      <w:r w:rsidRPr="00B77103">
        <w:rPr>
          <w:spacing w:val="1"/>
        </w:rPr>
        <w:t xml:space="preserve"> </w:t>
      </w:r>
      <w:r w:rsidRPr="00B77103">
        <w:t>sprouts.</w:t>
      </w:r>
    </w:p>
    <w:p w:rsidR="00191DF8" w:rsidRPr="00B77103" w:rsidP="00E47C04" w14:paraId="30C8A7F6" w14:textId="418A3ED3">
      <w:pPr>
        <w:pStyle w:val="GuidanceParagraph"/>
      </w:pPr>
      <w:r w:rsidRPr="00B77103">
        <w:t>Some</w:t>
      </w:r>
      <w:r w:rsidRPr="00B77103">
        <w:rPr>
          <w:spacing w:val="1"/>
        </w:rPr>
        <w:t xml:space="preserve"> </w:t>
      </w:r>
      <w:r w:rsidRPr="00B77103">
        <w:t>sprouts may</w:t>
      </w:r>
      <w:r w:rsidRPr="00B77103">
        <w:rPr>
          <w:spacing w:val="-5"/>
        </w:rPr>
        <w:t xml:space="preserve"> </w:t>
      </w:r>
      <w:r w:rsidRPr="00B77103">
        <w:t>be</w:t>
      </w:r>
      <w:r w:rsidRPr="00B77103">
        <w:rPr>
          <w:spacing w:val="1"/>
        </w:rPr>
        <w:t xml:space="preserve"> </w:t>
      </w:r>
      <w:r w:rsidRPr="00B77103">
        <w:t>eligible</w:t>
      </w:r>
      <w:r w:rsidRPr="00B77103">
        <w:rPr>
          <w:spacing w:val="1"/>
        </w:rPr>
        <w:t xml:space="preserve"> </w:t>
      </w:r>
      <w:r w:rsidRPr="00B77103">
        <w:t>for exemption from the</w:t>
      </w:r>
      <w:r w:rsidRPr="00B77103">
        <w:rPr>
          <w:spacing w:val="1"/>
        </w:rPr>
        <w:t xml:space="preserve"> </w:t>
      </w:r>
      <w:r w:rsidRPr="00B77103">
        <w:t>Produce</w:t>
      </w:r>
      <w:r w:rsidRPr="00B77103">
        <w:rPr>
          <w:spacing w:val="1"/>
        </w:rPr>
        <w:t xml:space="preserve"> </w:t>
      </w:r>
      <w:r w:rsidRPr="00B77103">
        <w:rPr>
          <w:spacing w:val="-2"/>
        </w:rPr>
        <w:t>Safety</w:t>
      </w:r>
      <w:r w:rsidRPr="00B77103">
        <w:rPr>
          <w:spacing w:val="-5"/>
        </w:rPr>
        <w:t xml:space="preserve"> </w:t>
      </w:r>
      <w:r w:rsidRPr="00B77103">
        <w:t>Rule</w:t>
      </w:r>
      <w:r w:rsidRPr="00B77103">
        <w:rPr>
          <w:spacing w:val="1"/>
        </w:rPr>
        <w:t xml:space="preserve"> </w:t>
      </w:r>
      <w:r w:rsidRPr="00B77103">
        <w:t>under § 112.2(b), if they will receive commercial processing</w:t>
      </w:r>
      <w:r w:rsidRPr="00B77103">
        <w:rPr>
          <w:spacing w:val="-3"/>
        </w:rPr>
        <w:t xml:space="preserve"> </w:t>
      </w:r>
      <w:r w:rsidRPr="00B77103">
        <w:t>that</w:t>
      </w:r>
      <w:r w:rsidRPr="00B77103">
        <w:rPr>
          <w:spacing w:val="-2"/>
        </w:rPr>
        <w:t xml:space="preserve"> </w:t>
      </w:r>
      <w:r w:rsidRPr="00B77103">
        <w:t>adequately</w:t>
      </w:r>
      <w:r w:rsidRPr="00B77103">
        <w:rPr>
          <w:spacing w:val="-5"/>
        </w:rPr>
        <w:t xml:space="preserve"> </w:t>
      </w:r>
      <w:r w:rsidRPr="00B77103">
        <w:t>reduces the</w:t>
      </w:r>
      <w:r w:rsidRPr="00B77103">
        <w:rPr>
          <w:spacing w:val="1"/>
        </w:rPr>
        <w:t xml:space="preserve"> </w:t>
      </w:r>
      <w:r w:rsidRPr="00B77103">
        <w:t>presence</w:t>
      </w:r>
      <w:r w:rsidRPr="00B77103">
        <w:rPr>
          <w:spacing w:val="1"/>
        </w:rPr>
        <w:t xml:space="preserve"> </w:t>
      </w:r>
      <w:r w:rsidRPr="00B77103">
        <w:t>of</w:t>
      </w:r>
      <w:r w:rsidRPr="00B77103">
        <w:rPr>
          <w:spacing w:val="-3"/>
        </w:rPr>
        <w:t xml:space="preserve"> </w:t>
      </w:r>
      <w:r w:rsidRPr="00B77103">
        <w:t>microorganisms</w:t>
      </w:r>
      <w:r w:rsidRPr="00B77103">
        <w:rPr>
          <w:spacing w:val="57"/>
        </w:rPr>
        <w:t xml:space="preserve"> </w:t>
      </w:r>
      <w:r w:rsidRPr="00B77103">
        <w:t>of</w:t>
      </w:r>
      <w:r w:rsidRPr="00B77103">
        <w:rPr>
          <w:spacing w:val="-3"/>
        </w:rPr>
        <w:t xml:space="preserve"> </w:t>
      </w:r>
      <w:r w:rsidRPr="00B77103">
        <w:t>public</w:t>
      </w:r>
      <w:r w:rsidRPr="00B77103">
        <w:rPr>
          <w:spacing w:val="1"/>
        </w:rPr>
        <w:t xml:space="preserve"> </w:t>
      </w:r>
      <w:r w:rsidRPr="00B77103">
        <w:t>health significance.</w:t>
      </w:r>
      <w:r w:rsidR="003E05D2">
        <w:t xml:space="preserve"> </w:t>
      </w:r>
      <w:r w:rsidRPr="00B77103">
        <w:t>Examples of</w:t>
      </w:r>
      <w:r w:rsidRPr="00B77103">
        <w:rPr>
          <w:spacing w:val="-3"/>
        </w:rPr>
        <w:t xml:space="preserve"> </w:t>
      </w:r>
      <w:r w:rsidRPr="00B77103">
        <w:t>commercial processing</w:t>
      </w:r>
      <w:r w:rsidRPr="00B77103">
        <w:rPr>
          <w:spacing w:val="-3"/>
        </w:rPr>
        <w:t xml:space="preserve"> </w:t>
      </w:r>
      <w:r w:rsidRPr="00B77103">
        <w:t>that adequately</w:t>
      </w:r>
      <w:r w:rsidRPr="00B77103">
        <w:rPr>
          <w:spacing w:val="-5"/>
        </w:rPr>
        <w:t xml:space="preserve"> </w:t>
      </w:r>
      <w:r w:rsidRPr="00B77103">
        <w:t>reduces the</w:t>
      </w:r>
      <w:r w:rsidRPr="00B77103">
        <w:rPr>
          <w:spacing w:val="45"/>
        </w:rPr>
        <w:t xml:space="preserve"> </w:t>
      </w:r>
      <w:r w:rsidRPr="00B77103">
        <w:t>presence</w:t>
      </w:r>
      <w:r w:rsidRPr="00B77103">
        <w:rPr>
          <w:spacing w:val="1"/>
        </w:rPr>
        <w:t xml:space="preserve"> </w:t>
      </w:r>
      <w:r w:rsidRPr="00B77103">
        <w:t>of</w:t>
      </w:r>
      <w:r w:rsidRPr="00B77103">
        <w:rPr>
          <w:spacing w:val="-3"/>
        </w:rPr>
        <w:t xml:space="preserve"> </w:t>
      </w:r>
      <w:r w:rsidRPr="00B77103">
        <w:t>microorganisms of</w:t>
      </w:r>
      <w:r w:rsidRPr="00B77103">
        <w:rPr>
          <w:spacing w:val="-3"/>
        </w:rPr>
        <w:t xml:space="preserve"> </w:t>
      </w:r>
      <w:r w:rsidRPr="00B77103">
        <w:t>public</w:t>
      </w:r>
      <w:r w:rsidRPr="00B77103">
        <w:rPr>
          <w:spacing w:val="1"/>
        </w:rPr>
        <w:t xml:space="preserve"> </w:t>
      </w:r>
      <w:r w:rsidRPr="00B77103">
        <w:t>health significance</w:t>
      </w:r>
      <w:r w:rsidRPr="00B77103">
        <w:rPr>
          <w:spacing w:val="1"/>
        </w:rPr>
        <w:t xml:space="preserve"> </w:t>
      </w:r>
      <w:r w:rsidRPr="00B77103">
        <w:t xml:space="preserve">appear in § 112.2(b)(1). </w:t>
      </w:r>
      <w:bookmarkStart w:id="6" w:name="_Hlk93783357"/>
      <w:r w:rsidRPr="00B77103">
        <w:t>This exemption</w:t>
      </w:r>
      <w:r w:rsidR="005719B9">
        <w:t xml:space="preserve"> </w:t>
      </w:r>
      <w:r w:rsidRPr="00B77103">
        <w:t xml:space="preserve">requires </w:t>
      </w:r>
      <w:r w:rsidR="009C5D87">
        <w:t xml:space="preserve">covered farms to establish and maintain </w:t>
      </w:r>
      <w:r w:rsidRPr="00B77103">
        <w:t>certain documentation and</w:t>
      </w:r>
      <w:r w:rsidRPr="00B77103">
        <w:rPr>
          <w:spacing w:val="-3"/>
        </w:rPr>
        <w:t xml:space="preserve"> </w:t>
      </w:r>
      <w:r w:rsidRPr="00B77103">
        <w:t>disclosures</w:t>
      </w:r>
      <w:r w:rsidRPr="00B77103">
        <w:rPr>
          <w:spacing w:val="-4"/>
        </w:rPr>
        <w:t xml:space="preserve"> </w:t>
      </w:r>
      <w:r w:rsidRPr="00B77103">
        <w:t>set forth in § 112.2(b)(2)</w:t>
      </w:r>
      <w:r w:rsidR="00821365">
        <w:t>-(3)</w:t>
      </w:r>
      <w:r w:rsidRPr="00B77103">
        <w:t>: 1) disclosures to customers; and 2) annual written assurances obtained from customers.</w:t>
      </w:r>
      <w:bookmarkEnd w:id="6"/>
      <w:r w:rsidR="006D1F1E">
        <w:t xml:space="preserve"> </w:t>
      </w:r>
      <w:r w:rsidRPr="00B77103">
        <w:t>Sprouts that</w:t>
      </w:r>
      <w:r w:rsidRPr="00B77103">
        <w:rPr>
          <w:spacing w:val="-2"/>
        </w:rPr>
        <w:t xml:space="preserve"> </w:t>
      </w:r>
      <w:r w:rsidRPr="00B77103">
        <w:t>receive</w:t>
      </w:r>
      <w:r w:rsidR="00462283">
        <w:t xml:space="preserve"> </w:t>
      </w:r>
      <w:r w:rsidRPr="00B77103">
        <w:t>commercial processing</w:t>
      </w:r>
      <w:r w:rsidRPr="00B77103">
        <w:rPr>
          <w:spacing w:val="-3"/>
        </w:rPr>
        <w:t xml:space="preserve"> </w:t>
      </w:r>
      <w:r w:rsidRPr="00B77103">
        <w:t>(e.g.,</w:t>
      </w:r>
      <w:r w:rsidR="00256D91">
        <w:t xml:space="preserve"> </w:t>
      </w:r>
      <w:r w:rsidRPr="00B77103">
        <w:t>canned, shelf-stable</w:t>
      </w:r>
      <w:r w:rsidRPr="00B77103">
        <w:rPr>
          <w:spacing w:val="-2"/>
        </w:rPr>
        <w:t xml:space="preserve"> </w:t>
      </w:r>
      <w:r w:rsidRPr="00B77103">
        <w:t>mung</w:t>
      </w:r>
      <w:r w:rsidRPr="00B77103">
        <w:rPr>
          <w:spacing w:val="-3"/>
        </w:rPr>
        <w:t xml:space="preserve"> </w:t>
      </w:r>
      <w:r w:rsidRPr="00B77103">
        <w:t>bean</w:t>
      </w:r>
      <w:r w:rsidR="00076584">
        <w:t xml:space="preserve"> </w:t>
      </w:r>
      <w:r w:rsidRPr="00B77103">
        <w:t>sprouts) could</w:t>
      </w:r>
      <w:r w:rsidR="00462283">
        <w:t xml:space="preserve"> </w:t>
      </w:r>
      <w:r w:rsidRPr="00B77103">
        <w:t>potentially</w:t>
      </w:r>
      <w:r w:rsidRPr="00B77103">
        <w:rPr>
          <w:spacing w:val="-5"/>
        </w:rPr>
        <w:t xml:space="preserve"> </w:t>
      </w:r>
      <w:r w:rsidRPr="00B77103">
        <w:t>qualify</w:t>
      </w:r>
      <w:r w:rsidRPr="00B77103">
        <w:rPr>
          <w:spacing w:val="-3"/>
        </w:rPr>
        <w:t xml:space="preserve"> </w:t>
      </w:r>
      <w:r w:rsidRPr="00B77103">
        <w:t>for this exemption</w:t>
      </w:r>
      <w:r w:rsidRPr="00B77103">
        <w:rPr>
          <w:spacing w:val="-3"/>
        </w:rPr>
        <w:t xml:space="preserve"> </w:t>
      </w:r>
      <w:r w:rsidRPr="00B77103">
        <w:t>from the</w:t>
      </w:r>
      <w:r w:rsidRPr="00B77103">
        <w:rPr>
          <w:spacing w:val="1"/>
        </w:rPr>
        <w:t xml:space="preserve"> </w:t>
      </w:r>
      <w:r w:rsidRPr="00B77103">
        <w:t>Produce</w:t>
      </w:r>
      <w:r w:rsidRPr="00B77103">
        <w:rPr>
          <w:spacing w:val="1"/>
        </w:rPr>
        <w:t xml:space="preserve"> </w:t>
      </w:r>
      <w:r w:rsidRPr="00B77103">
        <w:t>Safety</w:t>
      </w:r>
      <w:r w:rsidRPr="00B77103">
        <w:rPr>
          <w:spacing w:val="-5"/>
        </w:rPr>
        <w:t xml:space="preserve"> </w:t>
      </w:r>
      <w:r w:rsidRPr="00B77103">
        <w:t>Rule, but only</w:t>
      </w:r>
      <w:r w:rsidRPr="00B77103">
        <w:rPr>
          <w:spacing w:val="-5"/>
        </w:rPr>
        <w:t xml:space="preserve"> </w:t>
      </w:r>
      <w:r w:rsidRPr="00B77103">
        <w:t>if</w:t>
      </w:r>
      <w:r w:rsidRPr="00B77103">
        <w:rPr>
          <w:spacing w:val="-3"/>
        </w:rPr>
        <w:t xml:space="preserve"> </w:t>
      </w:r>
      <w:r w:rsidRPr="00B77103">
        <w:t>the</w:t>
      </w:r>
      <w:r w:rsidRPr="00B77103">
        <w:rPr>
          <w:spacing w:val="1"/>
        </w:rPr>
        <w:t xml:space="preserve"> </w:t>
      </w:r>
      <w:r w:rsidRPr="00B77103">
        <w:t>commercial</w:t>
      </w:r>
      <w:r w:rsidRPr="00B77103">
        <w:rPr>
          <w:spacing w:val="49"/>
        </w:rPr>
        <w:t xml:space="preserve"> </w:t>
      </w:r>
      <w:r w:rsidRPr="00B77103">
        <w:t>processing</w:t>
      </w:r>
      <w:r w:rsidRPr="00B77103">
        <w:rPr>
          <w:spacing w:val="-3"/>
        </w:rPr>
        <w:t xml:space="preserve"> </w:t>
      </w:r>
      <w:r w:rsidRPr="00B77103">
        <w:t>adequately</w:t>
      </w:r>
      <w:r w:rsidRPr="00B77103">
        <w:rPr>
          <w:spacing w:val="-5"/>
        </w:rPr>
        <w:t xml:space="preserve"> </w:t>
      </w:r>
      <w:r w:rsidRPr="00B77103">
        <w:t>reduces the</w:t>
      </w:r>
      <w:r w:rsidRPr="00B77103">
        <w:rPr>
          <w:spacing w:val="1"/>
        </w:rPr>
        <w:t xml:space="preserve"> </w:t>
      </w:r>
      <w:r w:rsidRPr="00B77103">
        <w:t>presence</w:t>
      </w:r>
      <w:r w:rsidRPr="00B77103">
        <w:rPr>
          <w:spacing w:val="-2"/>
        </w:rPr>
        <w:t xml:space="preserve"> </w:t>
      </w:r>
      <w:r w:rsidRPr="00B77103">
        <w:t>of</w:t>
      </w:r>
      <w:r w:rsidRPr="00B77103">
        <w:rPr>
          <w:spacing w:val="-3"/>
        </w:rPr>
        <w:t xml:space="preserve"> </w:t>
      </w:r>
      <w:r w:rsidRPr="00B77103">
        <w:t>microorganisms of</w:t>
      </w:r>
      <w:r w:rsidRPr="00B77103">
        <w:rPr>
          <w:spacing w:val="-3"/>
        </w:rPr>
        <w:t xml:space="preserve"> </w:t>
      </w:r>
      <w:r w:rsidRPr="00B77103">
        <w:t>public</w:t>
      </w:r>
      <w:r w:rsidRPr="00B77103">
        <w:rPr>
          <w:spacing w:val="1"/>
        </w:rPr>
        <w:t xml:space="preserve"> </w:t>
      </w:r>
      <w:r w:rsidRPr="00B77103">
        <w:t>health</w:t>
      </w:r>
      <w:r w:rsidRPr="00B77103">
        <w:rPr>
          <w:spacing w:val="-3"/>
        </w:rPr>
        <w:t xml:space="preserve"> </w:t>
      </w:r>
      <w:r w:rsidRPr="00B77103">
        <w:t>significance</w:t>
      </w:r>
      <w:r w:rsidRPr="00B77103">
        <w:rPr>
          <w:spacing w:val="-2"/>
        </w:rPr>
        <w:t xml:space="preserve"> </w:t>
      </w:r>
      <w:r w:rsidRPr="00B77103">
        <w:t>and all</w:t>
      </w:r>
      <w:r>
        <w:t xml:space="preserve"> </w:t>
      </w:r>
      <w:r w:rsidRPr="00B77103">
        <w:t>documentation</w:t>
      </w:r>
      <w:r w:rsidRPr="00B77103">
        <w:rPr>
          <w:spacing w:val="-3"/>
        </w:rPr>
        <w:t xml:space="preserve"> </w:t>
      </w:r>
      <w:r w:rsidRPr="00B77103">
        <w:t>and disclosure</w:t>
      </w:r>
      <w:r w:rsidRPr="00B77103">
        <w:rPr>
          <w:spacing w:val="1"/>
        </w:rPr>
        <w:t xml:space="preserve"> </w:t>
      </w:r>
      <w:r w:rsidRPr="00B77103">
        <w:t>requirements are</w:t>
      </w:r>
      <w:r w:rsidRPr="00B77103">
        <w:rPr>
          <w:spacing w:val="-2"/>
        </w:rPr>
        <w:t xml:space="preserve"> </w:t>
      </w:r>
      <w:r w:rsidRPr="00B77103">
        <w:t>met.</w:t>
      </w:r>
      <w:bookmarkStart w:id="7" w:name="_Ref106027994"/>
      <w:r>
        <w:rPr>
          <w:rStyle w:val="FootnoteReference"/>
        </w:rPr>
        <w:footnoteReference w:id="3"/>
      </w:r>
      <w:bookmarkEnd w:id="7"/>
      <w:r w:rsidR="002C5255">
        <w:t xml:space="preserve"> </w:t>
      </w:r>
      <w:r w:rsidRPr="00B77103">
        <w:rPr>
          <w:spacing w:val="-2"/>
        </w:rPr>
        <w:t>We</w:t>
      </w:r>
      <w:r w:rsidRPr="00B77103">
        <w:rPr>
          <w:spacing w:val="1"/>
        </w:rPr>
        <w:t xml:space="preserve"> </w:t>
      </w:r>
      <w:r w:rsidRPr="00B77103">
        <w:t>note</w:t>
      </w:r>
      <w:r w:rsidRPr="00B77103">
        <w:rPr>
          <w:spacing w:val="1"/>
        </w:rPr>
        <w:t xml:space="preserve"> </w:t>
      </w:r>
      <w:r w:rsidRPr="00B77103">
        <w:t>that simply</w:t>
      </w:r>
      <w:r w:rsidRPr="00B77103">
        <w:rPr>
          <w:spacing w:val="-5"/>
        </w:rPr>
        <w:t xml:space="preserve"> </w:t>
      </w:r>
      <w:r w:rsidRPr="00B77103">
        <w:t>drying/dehydrating</w:t>
      </w:r>
      <w:r w:rsidRPr="00B77103">
        <w:rPr>
          <w:spacing w:val="-3"/>
        </w:rPr>
        <w:t xml:space="preserve"> </w:t>
      </w:r>
      <w:r w:rsidRPr="00B77103">
        <w:t>sprouts</w:t>
      </w:r>
      <w:r w:rsidR="00BC00CB">
        <w:t xml:space="preserve"> </w:t>
      </w:r>
      <w:r w:rsidRPr="00B77103">
        <w:t>may</w:t>
      </w:r>
      <w:r w:rsidRPr="00B77103">
        <w:rPr>
          <w:spacing w:val="-5"/>
        </w:rPr>
        <w:t xml:space="preserve"> </w:t>
      </w:r>
      <w:r w:rsidRPr="00B77103">
        <w:t>not adequately</w:t>
      </w:r>
      <w:r w:rsidRPr="00B77103">
        <w:rPr>
          <w:spacing w:val="-5"/>
        </w:rPr>
        <w:t xml:space="preserve"> </w:t>
      </w:r>
      <w:r w:rsidRPr="00B77103">
        <w:t>reduce</w:t>
      </w:r>
      <w:r w:rsidRPr="00B77103">
        <w:rPr>
          <w:spacing w:val="1"/>
        </w:rPr>
        <w:t xml:space="preserve"> </w:t>
      </w:r>
      <w:r w:rsidRPr="00B77103">
        <w:t>the</w:t>
      </w:r>
      <w:r w:rsidRPr="00B77103">
        <w:rPr>
          <w:spacing w:val="-2"/>
        </w:rPr>
        <w:t xml:space="preserve"> </w:t>
      </w:r>
      <w:r w:rsidRPr="00B77103">
        <w:t>presence</w:t>
      </w:r>
      <w:r w:rsidRPr="00B77103">
        <w:rPr>
          <w:spacing w:val="1"/>
        </w:rPr>
        <w:t xml:space="preserve"> </w:t>
      </w:r>
      <w:r w:rsidRPr="00B77103">
        <w:t>of</w:t>
      </w:r>
      <w:r w:rsidRPr="00B77103">
        <w:rPr>
          <w:spacing w:val="-3"/>
        </w:rPr>
        <w:t xml:space="preserve"> </w:t>
      </w:r>
      <w:r w:rsidRPr="00B77103">
        <w:t>microorganisms of</w:t>
      </w:r>
      <w:r w:rsidRPr="00B77103">
        <w:rPr>
          <w:spacing w:val="-3"/>
        </w:rPr>
        <w:t xml:space="preserve"> </w:t>
      </w:r>
      <w:r w:rsidRPr="00B77103">
        <w:t>public</w:t>
      </w:r>
      <w:r w:rsidRPr="00B77103">
        <w:rPr>
          <w:spacing w:val="-2"/>
        </w:rPr>
        <w:t xml:space="preserve"> </w:t>
      </w:r>
      <w:r w:rsidRPr="00B77103">
        <w:t>health significance</w:t>
      </w:r>
      <w:r w:rsidRPr="00B77103">
        <w:rPr>
          <w:spacing w:val="1"/>
        </w:rPr>
        <w:t xml:space="preserve"> </w:t>
      </w:r>
      <w:r w:rsidRPr="00F4721D">
        <w:rPr>
          <w:spacing w:val="-2"/>
        </w:rPr>
        <w:t>(</w:t>
      </w:r>
      <w:r w:rsidR="000F1375">
        <w:rPr>
          <w:spacing w:val="-2"/>
        </w:rPr>
        <w:fldChar w:fldCharType="begin"/>
      </w:r>
      <w:r w:rsidR="000F1375">
        <w:rPr>
          <w:spacing w:val="-2"/>
        </w:rPr>
        <w:instrText xml:space="preserve"> REF _Ref117862905 \h </w:instrText>
      </w:r>
      <w:r w:rsidR="000F1375">
        <w:rPr>
          <w:spacing w:val="-2"/>
        </w:rPr>
        <w:fldChar w:fldCharType="separate"/>
      </w:r>
      <w:r w:rsidRPr="006E43DC" w:rsidR="000E290D">
        <w:t xml:space="preserve">Ref. </w:t>
      </w:r>
      <w:r w:rsidR="000E290D">
        <w:rPr>
          <w:noProof/>
        </w:rPr>
        <w:t>28</w:t>
      </w:r>
      <w:r w:rsidR="000F1375">
        <w:rPr>
          <w:spacing w:val="-2"/>
        </w:rPr>
        <w:fldChar w:fldCharType="end"/>
      </w:r>
      <w:r w:rsidR="000F1375">
        <w:rPr>
          <w:spacing w:val="-2"/>
        </w:rPr>
        <w:t xml:space="preserve"> and </w:t>
      </w:r>
      <w:r w:rsidR="000F1375">
        <w:rPr>
          <w:spacing w:val="-2"/>
        </w:rPr>
        <w:fldChar w:fldCharType="begin"/>
      </w:r>
      <w:r w:rsidR="000F1375">
        <w:rPr>
          <w:spacing w:val="-2"/>
        </w:rPr>
        <w:instrText xml:space="preserve"> REF _Ref51087138 \h </w:instrText>
      </w:r>
      <w:r w:rsidR="000F1375">
        <w:rPr>
          <w:spacing w:val="-2"/>
        </w:rPr>
        <w:fldChar w:fldCharType="separate"/>
      </w:r>
      <w:r w:rsidRPr="006E43DC" w:rsidR="000E290D">
        <w:t xml:space="preserve">Ref. </w:t>
      </w:r>
      <w:r w:rsidR="000E290D">
        <w:rPr>
          <w:noProof/>
        </w:rPr>
        <w:t>29</w:t>
      </w:r>
      <w:r w:rsidR="000F1375">
        <w:rPr>
          <w:spacing w:val="-2"/>
        </w:rPr>
        <w:fldChar w:fldCharType="end"/>
      </w:r>
      <w:r w:rsidR="000F1375">
        <w:rPr>
          <w:spacing w:val="-2"/>
        </w:rPr>
        <w:t>)</w:t>
      </w:r>
      <w:r w:rsidRPr="00F4721D">
        <w:t xml:space="preserve"> and therefore</w:t>
      </w:r>
      <w:r w:rsidRPr="00B77103">
        <w:t xml:space="preserve"> would not make them eligible to receive the commercial processing exemption from the Rule.</w:t>
      </w:r>
    </w:p>
    <w:p w:rsidR="00191DF8" w:rsidRPr="00B77103" w:rsidP="00E47C04" w14:paraId="662A482D" w14:textId="790C3645">
      <w:pPr>
        <w:pStyle w:val="GuidanceParagraph"/>
      </w:pPr>
      <w:r>
        <w:t>Some sprout operations may be eligible for a qualified exemption and associated modified requirements</w:t>
      </w:r>
      <w:r w:rsidR="00A72C63">
        <w:t xml:space="preserve"> </w:t>
      </w:r>
      <w:r>
        <w:t xml:space="preserve">in a calendar year if, during the previous 3-year period preceding the applicable calendar year, the average annual monetary value of the food (as defined in § 112.3) the sprout operation sold directly to qualified end-users (as defined in § 112.3) during such period exceeded the average annual monetary value of the food the sprout operation sold to all other buyers during that period; and the average annual monetary value of all food (as defined in § 112.3) the sprout operation sold during the 3-year period preceding the applicable calendar year was less than $500,000, adjusted for inflation. </w:t>
      </w:r>
      <w:r w:rsidR="00BB39D9">
        <w:t xml:space="preserve">(FDA makes available the updated inflation-adjusted figures at </w:t>
      </w:r>
      <w:hyperlink r:id="rId11" w:history="1">
        <w:r w:rsidRPr="54B37D72" w:rsidR="00BB39D9">
          <w:rPr>
            <w:rStyle w:val="Hyperlink"/>
          </w:rPr>
          <w:t>https://www.fda.gov/food/food-safety-modernization-act-fsma/fsma-inflation-adjusted-cut-offs</w:t>
        </w:r>
      </w:hyperlink>
      <w:r w:rsidR="00BB39D9">
        <w:t xml:space="preserve">.)  </w:t>
      </w:r>
      <w:r>
        <w:t xml:space="preserve">Section 112.6(b) describes the modified requirements </w:t>
      </w:r>
      <w:r w:rsidR="00AD24BE">
        <w:t xml:space="preserve">applicable </w:t>
      </w:r>
      <w:r>
        <w:t>to a qualified exempt operation (e.g., labeling). Section 112.7 requires the sprout operation eligible for the qualified exemption, provided for in § 112.5, to establish and keep adequate records necessary to demonstrate that the sprout operation satisfies the criteria for a qualified exemption (e.g., dated sales receipts), including a written record reflecting that the owner, operator, or agent in charge of the sprout operation has performed an annual review and verification of the sprout operation’s continued eligibility for the qualified exemption.</w:t>
      </w:r>
    </w:p>
    <w:p w:rsidR="00191DF8" w:rsidRPr="00D26298" w:rsidP="00F756C4" w14:paraId="02084D00" w14:textId="681E8F58">
      <w:pPr>
        <w:pStyle w:val="HHS508GuidanceOutline2"/>
      </w:pPr>
      <w:bookmarkStart w:id="8" w:name="_Toc106094919"/>
      <w:r w:rsidRPr="00D26298">
        <w:t>Coverage of</w:t>
      </w:r>
      <w:r w:rsidRPr="00D26298">
        <w:rPr>
          <w:spacing w:val="1"/>
        </w:rPr>
        <w:t xml:space="preserve"> </w:t>
      </w:r>
      <w:r w:rsidRPr="00D26298">
        <w:t>Subpart M</w:t>
      </w:r>
      <w:bookmarkEnd w:id="8"/>
    </w:p>
    <w:p w:rsidR="00191DF8" w:rsidRPr="00B77103" w:rsidP="00E47C04" w14:paraId="137E9DF1" w14:textId="39CA01D7">
      <w:pPr>
        <w:pStyle w:val="GuidanceParagraph"/>
      </w:pPr>
      <w:r w:rsidRPr="00B77103">
        <w:t>The</w:t>
      </w:r>
      <w:r w:rsidRPr="00B77103">
        <w:rPr>
          <w:spacing w:val="1"/>
        </w:rPr>
        <w:t xml:space="preserve"> </w:t>
      </w:r>
      <w:r w:rsidRPr="00B77103">
        <w:t>requirements in 21</w:t>
      </w:r>
      <w:r w:rsidRPr="00B77103">
        <w:rPr>
          <w:spacing w:val="-3"/>
        </w:rPr>
        <w:t xml:space="preserve"> CFR</w:t>
      </w:r>
      <w:r w:rsidRPr="00B77103">
        <w:t xml:space="preserve"> </w:t>
      </w:r>
      <w:r w:rsidR="00644D3E">
        <w:t>p</w:t>
      </w:r>
      <w:r w:rsidRPr="00B77103">
        <w:t>art 112, Subpart M apply</w:t>
      </w:r>
      <w:r w:rsidRPr="00B77103">
        <w:rPr>
          <w:spacing w:val="-5"/>
        </w:rPr>
        <w:t xml:space="preserve"> </w:t>
      </w:r>
      <w:r w:rsidRPr="00B77103">
        <w:t>to the</w:t>
      </w:r>
      <w:r w:rsidRPr="00B77103">
        <w:rPr>
          <w:spacing w:val="1"/>
        </w:rPr>
        <w:t xml:space="preserve"> </w:t>
      </w:r>
      <w:r w:rsidRPr="00B77103">
        <w:t xml:space="preserve">growing, harvesting, </w:t>
      </w:r>
      <w:r w:rsidRPr="00B77103">
        <w:t>packing</w:t>
      </w:r>
      <w:r w:rsidRPr="00B77103">
        <w:rPr>
          <w:spacing w:val="-3"/>
        </w:rPr>
        <w:t xml:space="preserve"> </w:t>
      </w:r>
      <w:r w:rsidRPr="00B77103">
        <w:t>and</w:t>
      </w:r>
      <w:r w:rsidRPr="00B77103">
        <w:rPr>
          <w:spacing w:val="51"/>
        </w:rPr>
        <w:t xml:space="preserve"> </w:t>
      </w:r>
      <w:r w:rsidRPr="00B77103">
        <w:t>holding</w:t>
      </w:r>
      <w:r w:rsidRPr="00B77103">
        <w:rPr>
          <w:spacing w:val="-3"/>
        </w:rPr>
        <w:t xml:space="preserve"> </w:t>
      </w:r>
      <w:r w:rsidRPr="00B77103">
        <w:t>of</w:t>
      </w:r>
      <w:r w:rsidRPr="00B77103">
        <w:rPr>
          <w:spacing w:val="-3"/>
        </w:rPr>
        <w:t xml:space="preserve"> </w:t>
      </w:r>
      <w:r w:rsidRPr="00B77103">
        <w:t>all sprouts except sprouts that are</w:t>
      </w:r>
      <w:r w:rsidRPr="00B77103">
        <w:rPr>
          <w:spacing w:val="1"/>
        </w:rPr>
        <w:t xml:space="preserve"> </w:t>
      </w:r>
      <w:r w:rsidRPr="00B77103">
        <w:t xml:space="preserve">grown in soil or non-soil substrates (e.g., mats, </w:t>
      </w:r>
      <w:r w:rsidRPr="00B77103">
        <w:t>perlite</w:t>
      </w:r>
      <w:r w:rsidRPr="00B77103">
        <w:rPr>
          <w:spacing w:val="1"/>
        </w:rPr>
        <w:t xml:space="preserve"> </w:t>
      </w:r>
      <w:r w:rsidRPr="00B77103">
        <w:t>or</w:t>
      </w:r>
      <w:r w:rsidR="0088035C">
        <w:t xml:space="preserve"> </w:t>
      </w:r>
      <w:r w:rsidRPr="00B77103">
        <w:t>other growth media) and</w:t>
      </w:r>
      <w:r w:rsidRPr="00B77103">
        <w:rPr>
          <w:spacing w:val="-3"/>
        </w:rPr>
        <w:t xml:space="preserve"> </w:t>
      </w:r>
      <w:r w:rsidRPr="00B77103">
        <w:t>that are</w:t>
      </w:r>
      <w:r w:rsidRPr="00B77103">
        <w:rPr>
          <w:spacing w:val="1"/>
        </w:rPr>
        <w:t xml:space="preserve"> </w:t>
      </w:r>
      <w:r w:rsidRPr="00B77103">
        <w:t>harvested above</w:t>
      </w:r>
      <w:r w:rsidRPr="00B77103">
        <w:rPr>
          <w:spacing w:val="1"/>
        </w:rPr>
        <w:t xml:space="preserve"> </w:t>
      </w:r>
      <w:r w:rsidRPr="00B77103">
        <w:t>the</w:t>
      </w:r>
      <w:r w:rsidRPr="00B77103">
        <w:rPr>
          <w:spacing w:val="1"/>
        </w:rPr>
        <w:t xml:space="preserve"> </w:t>
      </w:r>
      <w:r w:rsidRPr="00B77103">
        <w:t>soil or substrate</w:t>
      </w:r>
      <w:r w:rsidRPr="00B77103">
        <w:rPr>
          <w:spacing w:val="1"/>
        </w:rPr>
        <w:t xml:space="preserve"> </w:t>
      </w:r>
      <w:r w:rsidRPr="00B77103">
        <w:t>line</w:t>
      </w:r>
      <w:r w:rsidRPr="00B77103">
        <w:rPr>
          <w:spacing w:val="1"/>
        </w:rPr>
        <w:t xml:space="preserve"> </w:t>
      </w:r>
      <w:r w:rsidRPr="00B77103">
        <w:t>without their roots (</w:t>
      </w:r>
      <w:r w:rsidR="007908AB">
        <w:t>s</w:t>
      </w:r>
      <w:r w:rsidRPr="00B77103">
        <w:t>ee</w:t>
      </w:r>
      <w:r w:rsidRPr="00B77103">
        <w:rPr>
          <w:spacing w:val="1"/>
        </w:rPr>
        <w:t xml:space="preserve"> </w:t>
      </w:r>
      <w:r w:rsidRPr="00B77103">
        <w:t xml:space="preserve">§ 112.141). </w:t>
      </w:r>
      <w:r w:rsidRPr="00B77103">
        <w:rPr>
          <w:spacing w:val="-2"/>
        </w:rPr>
        <w:t>We</w:t>
      </w:r>
      <w:r w:rsidRPr="00B77103">
        <w:rPr>
          <w:spacing w:val="1"/>
        </w:rPr>
        <w:t xml:space="preserve"> </w:t>
      </w:r>
      <w:r w:rsidRPr="00B77103">
        <w:t>determined that soil- or substrate-grown sprouts that are</w:t>
      </w:r>
      <w:r w:rsidRPr="00B77103">
        <w:rPr>
          <w:spacing w:val="1"/>
        </w:rPr>
        <w:t xml:space="preserve"> </w:t>
      </w:r>
      <w:r w:rsidRPr="00B77103">
        <w:t>harvested above</w:t>
      </w:r>
      <w:r w:rsidRPr="00B77103">
        <w:rPr>
          <w:spacing w:val="1"/>
        </w:rPr>
        <w:t xml:space="preserve"> </w:t>
      </w:r>
      <w:r w:rsidRPr="00B77103">
        <w:t>the</w:t>
      </w:r>
      <w:r w:rsidRPr="00B77103">
        <w:rPr>
          <w:spacing w:val="1"/>
        </w:rPr>
        <w:t xml:space="preserve"> </w:t>
      </w:r>
      <w:r w:rsidRPr="00B77103">
        <w:t>soil or</w:t>
      </w:r>
      <w:r w:rsidRPr="00B77103">
        <w:rPr>
          <w:spacing w:val="49"/>
        </w:rPr>
        <w:t xml:space="preserve"> </w:t>
      </w:r>
      <w:r w:rsidRPr="00B77103">
        <w:t>substrate</w:t>
      </w:r>
      <w:r w:rsidRPr="00B77103">
        <w:rPr>
          <w:spacing w:val="-2"/>
        </w:rPr>
        <w:t xml:space="preserve"> </w:t>
      </w:r>
      <w:r w:rsidRPr="00B77103">
        <w:t>line, such that</w:t>
      </w:r>
      <w:r w:rsidRPr="00B77103">
        <w:rPr>
          <w:spacing w:val="-2"/>
        </w:rPr>
        <w:t xml:space="preserve"> </w:t>
      </w:r>
      <w:r w:rsidRPr="00B77103">
        <w:t>their roots are</w:t>
      </w:r>
      <w:r w:rsidRPr="00B77103">
        <w:rPr>
          <w:spacing w:val="1"/>
        </w:rPr>
        <w:t xml:space="preserve"> </w:t>
      </w:r>
      <w:r w:rsidRPr="00B77103">
        <w:t>not harvested</w:t>
      </w:r>
      <w:r w:rsidRPr="00B77103">
        <w:rPr>
          <w:spacing w:val="-3"/>
        </w:rPr>
        <w:t xml:space="preserve"> </w:t>
      </w:r>
      <w:r w:rsidRPr="00B77103">
        <w:t xml:space="preserve">for human consumption, </w:t>
      </w:r>
      <w:r w:rsidRPr="00B77103">
        <w:rPr>
          <w:spacing w:val="-2"/>
        </w:rPr>
        <w:t>do</w:t>
      </w:r>
      <w:r w:rsidRPr="00B77103">
        <w:t xml:space="preserve"> not present the</w:t>
      </w:r>
      <w:r w:rsidRPr="00B77103">
        <w:rPr>
          <w:spacing w:val="1"/>
        </w:rPr>
        <w:t xml:space="preserve"> </w:t>
      </w:r>
      <w:r w:rsidRPr="00B77103">
        <w:t>same</w:t>
      </w:r>
      <w:r w:rsidR="00D30FF7">
        <w:t xml:space="preserve"> </w:t>
      </w:r>
      <w:r w:rsidRPr="00B77103">
        <w:t>risks as other</w:t>
      </w:r>
      <w:r w:rsidRPr="00B77103">
        <w:rPr>
          <w:spacing w:val="-3"/>
        </w:rPr>
        <w:t xml:space="preserve"> </w:t>
      </w:r>
      <w:r w:rsidRPr="00B77103">
        <w:t xml:space="preserve">types </w:t>
      </w:r>
      <w:r w:rsidRPr="00B77103">
        <w:rPr>
          <w:spacing w:val="1"/>
        </w:rPr>
        <w:t>of</w:t>
      </w:r>
      <w:r w:rsidRPr="00B77103">
        <w:rPr>
          <w:spacing w:val="-3"/>
        </w:rPr>
        <w:t xml:space="preserve"> </w:t>
      </w:r>
      <w:r w:rsidRPr="00B77103">
        <w:t>sprouts and, therefore, we</w:t>
      </w:r>
      <w:r w:rsidRPr="00B77103">
        <w:rPr>
          <w:spacing w:val="-2"/>
        </w:rPr>
        <w:t xml:space="preserve"> </w:t>
      </w:r>
      <w:r w:rsidRPr="00B77103">
        <w:t>excluded them from the</w:t>
      </w:r>
      <w:r w:rsidRPr="00B77103">
        <w:rPr>
          <w:spacing w:val="1"/>
        </w:rPr>
        <w:t xml:space="preserve"> </w:t>
      </w:r>
      <w:r w:rsidRPr="00B77103">
        <w:t>sprout-specific requirements</w:t>
      </w:r>
      <w:r w:rsidR="0009317B">
        <w:t xml:space="preserve"> </w:t>
      </w:r>
      <w:r w:rsidRPr="00B77103">
        <w:t xml:space="preserve">in </w:t>
      </w:r>
      <w:r w:rsidR="00AD24BE">
        <w:t>S</w:t>
      </w:r>
      <w:r w:rsidRPr="00B77103">
        <w:t>ubpart M</w:t>
      </w:r>
      <w:r w:rsidRPr="00B77103">
        <w:rPr>
          <w:spacing w:val="-4"/>
        </w:rPr>
        <w:t xml:space="preserve"> </w:t>
      </w:r>
      <w:r w:rsidRPr="00B77103">
        <w:t xml:space="preserve">(80 </w:t>
      </w:r>
      <w:r w:rsidRPr="00B77103">
        <w:rPr>
          <w:spacing w:val="-2"/>
        </w:rPr>
        <w:t>FR</w:t>
      </w:r>
      <w:r w:rsidRPr="00B77103">
        <w:t xml:space="preserve"> 74353 at 74497).</w:t>
      </w:r>
      <w:r w:rsidR="007A3A62">
        <w:t xml:space="preserve"> </w:t>
      </w:r>
      <w:r w:rsidRPr="00B77103">
        <w:t>However, the</w:t>
      </w:r>
      <w:r w:rsidRPr="00B77103">
        <w:rPr>
          <w:spacing w:val="1"/>
        </w:rPr>
        <w:t xml:space="preserve"> </w:t>
      </w:r>
      <w:r w:rsidRPr="00B77103">
        <w:t>requirements of</w:t>
      </w:r>
      <w:r w:rsidRPr="00B77103">
        <w:rPr>
          <w:spacing w:val="-3"/>
        </w:rPr>
        <w:t xml:space="preserve"> </w:t>
      </w:r>
      <w:r w:rsidR="00AD24BE">
        <w:t>S</w:t>
      </w:r>
      <w:r w:rsidRPr="00B77103" w:rsidR="00AD24BE">
        <w:t xml:space="preserve">ubpart </w:t>
      </w:r>
      <w:r w:rsidRPr="00B77103">
        <w:t>M do apply</w:t>
      </w:r>
      <w:r w:rsidRPr="00B77103">
        <w:rPr>
          <w:spacing w:val="-5"/>
        </w:rPr>
        <w:t xml:space="preserve"> </w:t>
      </w:r>
      <w:r w:rsidRPr="00B77103">
        <w:t>to soil- or substrate-grown sprouts that are</w:t>
      </w:r>
      <w:r w:rsidRPr="00B77103">
        <w:rPr>
          <w:spacing w:val="1"/>
        </w:rPr>
        <w:t xml:space="preserve"> </w:t>
      </w:r>
      <w:r w:rsidRPr="00B77103">
        <w:t>harvested with the</w:t>
      </w:r>
      <w:r w:rsidRPr="00B77103">
        <w:rPr>
          <w:spacing w:val="1"/>
        </w:rPr>
        <w:t xml:space="preserve"> </w:t>
      </w:r>
      <w:r w:rsidRPr="00B77103">
        <w:t xml:space="preserve">roots. </w:t>
      </w:r>
      <w:r w:rsidRPr="00B77103">
        <w:rPr>
          <w:spacing w:val="-2"/>
        </w:rPr>
        <w:t>If</w:t>
      </w:r>
      <w:r w:rsidRPr="00B77103">
        <w:t xml:space="preserve"> you use</w:t>
      </w:r>
      <w:r w:rsidRPr="00B77103">
        <w:rPr>
          <w:spacing w:val="1"/>
        </w:rPr>
        <w:t xml:space="preserve"> </w:t>
      </w:r>
      <w:r w:rsidRPr="00B77103">
        <w:t>soil or substrate as</w:t>
      </w:r>
      <w:r w:rsidR="007A3A62">
        <w:t xml:space="preserve"> </w:t>
      </w:r>
      <w:r w:rsidR="0088035C">
        <w:t>a</w:t>
      </w:r>
      <w:r w:rsidR="00693B5C">
        <w:t xml:space="preserve"> </w:t>
      </w:r>
      <w:r w:rsidRPr="00B77103">
        <w:t>growth medi</w:t>
      </w:r>
      <w:r w:rsidR="00693B5C">
        <w:t>um</w:t>
      </w:r>
      <w:r w:rsidRPr="00B77103">
        <w:rPr>
          <w:spacing w:val="1"/>
        </w:rPr>
        <w:t xml:space="preserve"> </w:t>
      </w:r>
      <w:r w:rsidRPr="00B77103">
        <w:t xml:space="preserve">in </w:t>
      </w:r>
      <w:r w:rsidRPr="00B77103">
        <w:rPr>
          <w:spacing w:val="-2"/>
        </w:rPr>
        <w:t>your</w:t>
      </w:r>
      <w:r w:rsidRPr="00B77103">
        <w:t xml:space="preserve"> operation, </w:t>
      </w:r>
      <w:r w:rsidR="005D2DBE">
        <w:t xml:space="preserve">in addition to all other relevant requirements of the Produce Safety Rule, </w:t>
      </w:r>
      <w:r w:rsidRPr="00B77103">
        <w:rPr>
          <w:spacing w:val="-2"/>
        </w:rPr>
        <w:t>you</w:t>
      </w:r>
      <w:r w:rsidRPr="00B77103">
        <w:t xml:space="preserve"> must comply</w:t>
      </w:r>
      <w:r w:rsidRPr="00B77103">
        <w:rPr>
          <w:spacing w:val="-3"/>
        </w:rPr>
        <w:t xml:space="preserve"> </w:t>
      </w:r>
      <w:r w:rsidRPr="00B77103">
        <w:t>with the</w:t>
      </w:r>
      <w:r w:rsidRPr="00B77103">
        <w:rPr>
          <w:spacing w:val="1"/>
        </w:rPr>
        <w:t xml:space="preserve"> </w:t>
      </w:r>
      <w:r w:rsidRPr="00B77103">
        <w:t>applicable</w:t>
      </w:r>
      <w:r w:rsidRPr="00B77103">
        <w:rPr>
          <w:spacing w:val="1"/>
        </w:rPr>
        <w:t xml:space="preserve"> </w:t>
      </w:r>
      <w:r w:rsidRPr="00B77103">
        <w:t xml:space="preserve">requirements in 21 </w:t>
      </w:r>
      <w:r w:rsidRPr="00B77103">
        <w:rPr>
          <w:spacing w:val="-2"/>
        </w:rPr>
        <w:t>CFR</w:t>
      </w:r>
      <w:r w:rsidRPr="00B77103">
        <w:t xml:space="preserve"> </w:t>
      </w:r>
      <w:r w:rsidR="009B4384">
        <w:t>p</w:t>
      </w:r>
      <w:r w:rsidRPr="00B77103">
        <w:t>art 112, Subpart F</w:t>
      </w:r>
      <w:r w:rsidRPr="00B77103">
        <w:rPr>
          <w:spacing w:val="-4"/>
        </w:rPr>
        <w:t xml:space="preserve"> </w:t>
      </w:r>
      <w:r w:rsidRPr="00B77103">
        <w:t>(Biological Soil Amendments of Animal Origin and Human Waste).</w:t>
      </w:r>
      <w:r w:rsidR="000C19FA">
        <w:t xml:space="preserve"> </w:t>
      </w:r>
      <w:r w:rsidR="004307D1">
        <w:t xml:space="preserve"> </w:t>
      </w:r>
      <w:r w:rsidRPr="00B77103">
        <w:rPr>
          <w:spacing w:val="-2"/>
        </w:rPr>
        <w:t>We</w:t>
      </w:r>
      <w:r w:rsidRPr="00B77103">
        <w:rPr>
          <w:spacing w:val="1"/>
        </w:rPr>
        <w:t xml:space="preserve"> </w:t>
      </w:r>
      <w:r w:rsidRPr="00B77103">
        <w:t>discuss</w:t>
      </w:r>
      <w:r w:rsidRPr="00B77103">
        <w:rPr>
          <w:spacing w:val="-3"/>
        </w:rPr>
        <w:t xml:space="preserve"> </w:t>
      </w:r>
      <w:r w:rsidRPr="00B77103">
        <w:t>the</w:t>
      </w:r>
      <w:r w:rsidRPr="00B77103">
        <w:rPr>
          <w:spacing w:val="1"/>
        </w:rPr>
        <w:t xml:space="preserve"> </w:t>
      </w:r>
      <w:r w:rsidRPr="00B77103">
        <w:t>requirements of</w:t>
      </w:r>
      <w:r w:rsidRPr="00B77103">
        <w:rPr>
          <w:spacing w:val="-3"/>
        </w:rPr>
        <w:t xml:space="preserve"> </w:t>
      </w:r>
      <w:r w:rsidRPr="00B77103">
        <w:t>Subpart F</w:t>
      </w:r>
      <w:r w:rsidRPr="00B77103">
        <w:rPr>
          <w:spacing w:val="-4"/>
        </w:rPr>
        <w:t xml:space="preserve"> </w:t>
      </w:r>
      <w:r w:rsidRPr="00B77103">
        <w:t>in th</w:t>
      </w:r>
      <w:r w:rsidR="000A18BE">
        <w:t xml:space="preserve">e draft </w:t>
      </w:r>
      <w:r w:rsidR="00A311CC">
        <w:t xml:space="preserve">compliance and implementation </w:t>
      </w:r>
      <w:r w:rsidR="006117B0">
        <w:t>guidance</w:t>
      </w:r>
      <w:r w:rsidR="00A311CC">
        <w:t xml:space="preserve"> </w:t>
      </w:r>
      <w:r w:rsidRPr="00DB4477" w:rsidR="00094140">
        <w:t>(</w:t>
      </w:r>
      <w:r w:rsidRPr="00DB4477" w:rsidR="00094140">
        <w:fldChar w:fldCharType="begin"/>
      </w:r>
      <w:r w:rsidRPr="00DB4477" w:rsidR="00094140">
        <w:instrText xml:space="preserve"> REF _Ref117783436 \h </w:instrText>
      </w:r>
      <w:r w:rsidR="00DB4477">
        <w:instrText xml:space="preserve"> \* MERGEFORMAT </w:instrText>
      </w:r>
      <w:r w:rsidRPr="00DB4477" w:rsidR="00094140">
        <w:fldChar w:fldCharType="separate"/>
      </w:r>
      <w:r w:rsidRPr="006E43DC" w:rsidR="000E290D">
        <w:t xml:space="preserve">Ref. </w:t>
      </w:r>
      <w:r w:rsidR="000E290D">
        <w:rPr>
          <w:noProof/>
        </w:rPr>
        <w:t>22</w:t>
      </w:r>
      <w:r w:rsidRPr="00DB4477" w:rsidR="00094140">
        <w:fldChar w:fldCharType="end"/>
      </w:r>
      <w:r w:rsidRPr="00DB4477" w:rsidR="00094140">
        <w:t>)</w:t>
      </w:r>
      <w:r w:rsidRPr="00DB4477" w:rsidR="000D25BE">
        <w:t>.</w:t>
      </w:r>
      <w:r w:rsidR="00A311CC">
        <w:t xml:space="preserve"> </w:t>
      </w:r>
    </w:p>
    <w:p w:rsidR="00191DF8" w:rsidRPr="00B77103" w:rsidP="00E47C04" w14:paraId="2949E2E1" w14:textId="3698CFFF">
      <w:pPr>
        <w:pStyle w:val="GuidanceParagraph"/>
      </w:pPr>
      <w:r w:rsidRPr="00B77103">
        <w:rPr>
          <w:spacing w:val="-2"/>
        </w:rPr>
        <w:t>We</w:t>
      </w:r>
      <w:r w:rsidRPr="00B77103">
        <w:rPr>
          <w:spacing w:val="1"/>
        </w:rPr>
        <w:t xml:space="preserve"> </w:t>
      </w:r>
      <w:r w:rsidRPr="00B77103">
        <w:t>recognize</w:t>
      </w:r>
      <w:r w:rsidRPr="00B77103">
        <w:rPr>
          <w:spacing w:val="1"/>
        </w:rPr>
        <w:t xml:space="preserve"> </w:t>
      </w:r>
      <w:r w:rsidRPr="00B77103">
        <w:t xml:space="preserve">that </w:t>
      </w:r>
      <w:r w:rsidR="00257CF0">
        <w:t xml:space="preserve">sprout </w:t>
      </w:r>
      <w:r w:rsidR="00134431">
        <w:t xml:space="preserve">operations may sell </w:t>
      </w:r>
      <w:r w:rsidRPr="00B77103">
        <w:t>certain</w:t>
      </w:r>
      <w:r w:rsidRPr="00B77103">
        <w:rPr>
          <w:spacing w:val="-3"/>
        </w:rPr>
        <w:t xml:space="preserve"> </w:t>
      </w:r>
      <w:r w:rsidRPr="00B77103">
        <w:t>soil- or substrate</w:t>
      </w:r>
      <w:r w:rsidRPr="00B77103">
        <w:rPr>
          <w:spacing w:val="1"/>
        </w:rPr>
        <w:t>-</w:t>
      </w:r>
      <w:r w:rsidRPr="00B77103">
        <w:t xml:space="preserve">grown sprout types, such as wheatgrass, </w:t>
      </w:r>
      <w:r w:rsidR="00893E46">
        <w:t>in a tray used for growing, with the soil/substrate and root intact,</w:t>
      </w:r>
      <w:r w:rsidR="002C5818">
        <w:t xml:space="preserve"> to </w:t>
      </w:r>
      <w:r w:rsidR="00C372BE">
        <w:t>commercial</w:t>
      </w:r>
      <w:r w:rsidR="0055529B">
        <w:t xml:space="preserve"> entities, </w:t>
      </w:r>
      <w:r w:rsidR="003757C0">
        <w:t>including facilities</w:t>
      </w:r>
      <w:bookmarkStart w:id="9" w:name="_Hlk101281788"/>
      <w:r w:rsidRPr="2402FD25" w:rsidR="00CA39AE">
        <w:rPr>
          <w:rStyle w:val="normaltextrun"/>
          <w:color w:val="000000" w:themeColor="text1"/>
        </w:rPr>
        <w:t xml:space="preserve"> that are required to register</w:t>
      </w:r>
      <w:r w:rsidR="00F61705">
        <w:rPr>
          <w:rStyle w:val="normaltextrun"/>
          <w:color w:val="000000" w:themeColor="text1"/>
        </w:rPr>
        <w:t xml:space="preserve"> with FDA under section 415 of the FD&amp;C Act</w:t>
      </w:r>
      <w:r w:rsidRPr="2402FD25" w:rsidR="00CA39AE">
        <w:rPr>
          <w:rStyle w:val="normaltextrun"/>
          <w:color w:val="000000" w:themeColor="text1"/>
        </w:rPr>
        <w:t>, restaurants, retail food establishments, and non-profit food establishments</w:t>
      </w:r>
      <w:bookmarkEnd w:id="9"/>
      <w:r w:rsidRPr="00B77103">
        <w:t xml:space="preserve">. </w:t>
      </w:r>
      <w:r w:rsidRPr="00B77103">
        <w:rPr>
          <w:spacing w:val="-2"/>
        </w:rPr>
        <w:t>In</w:t>
      </w:r>
      <w:r w:rsidRPr="00B77103">
        <w:t xml:space="preserve"> such cases,</w:t>
      </w:r>
      <w:r w:rsidRPr="00B77103">
        <w:rPr>
          <w:spacing w:val="-3"/>
        </w:rPr>
        <w:t xml:space="preserve"> </w:t>
      </w:r>
      <w:r w:rsidRPr="00B77103">
        <w:t>the</w:t>
      </w:r>
      <w:r w:rsidRPr="00B77103">
        <w:rPr>
          <w:spacing w:val="1"/>
        </w:rPr>
        <w:t xml:space="preserve"> </w:t>
      </w:r>
      <w:r w:rsidRPr="00B77103">
        <w:rPr>
          <w:spacing w:val="-2"/>
        </w:rPr>
        <w:t>operation</w:t>
      </w:r>
      <w:r w:rsidRPr="00B77103">
        <w:t xml:space="preserve"> </w:t>
      </w:r>
      <w:r>
        <w:t xml:space="preserve">that </w:t>
      </w:r>
      <w:r w:rsidRPr="00B77103">
        <w:t>has harvested the</w:t>
      </w:r>
      <w:r w:rsidRPr="00B77103">
        <w:rPr>
          <w:spacing w:val="1"/>
        </w:rPr>
        <w:t xml:space="preserve"> </w:t>
      </w:r>
      <w:r w:rsidRPr="00B77103">
        <w:t>sprouts with the</w:t>
      </w:r>
      <w:r w:rsidRPr="00B77103">
        <w:rPr>
          <w:spacing w:val="1"/>
        </w:rPr>
        <w:t xml:space="preserve"> </w:t>
      </w:r>
      <w:r w:rsidRPr="00B77103">
        <w:t>roots</w:t>
      </w:r>
      <w:r w:rsidRPr="00B77103">
        <w:rPr>
          <w:spacing w:val="-4"/>
        </w:rPr>
        <w:t xml:space="preserve"> </w:t>
      </w:r>
      <w:r w:rsidRPr="00B77103">
        <w:t>and</w:t>
      </w:r>
      <w:r w:rsidR="00135386">
        <w:t xml:space="preserve"> </w:t>
      </w:r>
      <w:r w:rsidRPr="00B77103">
        <w:t>these sprouts</w:t>
      </w:r>
      <w:r w:rsidRPr="00B77103">
        <w:rPr>
          <w:spacing w:val="-5"/>
        </w:rPr>
        <w:t xml:space="preserve"> </w:t>
      </w:r>
      <w:r w:rsidRPr="00B77103">
        <w:t>are</w:t>
      </w:r>
      <w:r w:rsidRPr="00B77103">
        <w:rPr>
          <w:spacing w:val="1"/>
        </w:rPr>
        <w:t xml:space="preserve"> ordinarily </w:t>
      </w:r>
      <w:r w:rsidRPr="00B77103">
        <w:t>subject to Subpart</w:t>
      </w:r>
      <w:r w:rsidRPr="00B77103">
        <w:rPr>
          <w:spacing w:val="-2"/>
        </w:rPr>
        <w:t xml:space="preserve"> </w:t>
      </w:r>
      <w:r w:rsidRPr="00B77103">
        <w:t>M (see</w:t>
      </w:r>
      <w:r w:rsidRPr="00B77103">
        <w:rPr>
          <w:spacing w:val="1"/>
        </w:rPr>
        <w:t xml:space="preserve"> </w:t>
      </w:r>
      <w:r w:rsidRPr="00B77103">
        <w:t>§ 112.141). However, we</w:t>
      </w:r>
      <w:r w:rsidRPr="00B77103">
        <w:rPr>
          <w:spacing w:val="1"/>
        </w:rPr>
        <w:t xml:space="preserve"> </w:t>
      </w:r>
      <w:r w:rsidRPr="00B77103">
        <w:t>understand that, in some cases, such sprouts may</w:t>
      </w:r>
      <w:r w:rsidRPr="00B77103">
        <w:rPr>
          <w:spacing w:val="-5"/>
        </w:rPr>
        <w:t xml:space="preserve"> </w:t>
      </w:r>
      <w:r w:rsidRPr="00B77103">
        <w:t>then</w:t>
      </w:r>
      <w:r w:rsidR="00271E68">
        <w:t xml:space="preserve"> </w:t>
      </w:r>
      <w:r w:rsidRPr="00B77103">
        <w:t>be</w:t>
      </w:r>
      <w:r w:rsidRPr="00B77103">
        <w:rPr>
          <w:spacing w:val="1"/>
        </w:rPr>
        <w:t xml:space="preserve"> </w:t>
      </w:r>
      <w:r w:rsidRPr="00B77103">
        <w:t>cut</w:t>
      </w:r>
      <w:r w:rsidRPr="00B77103">
        <w:rPr>
          <w:spacing w:val="-2"/>
        </w:rPr>
        <w:t xml:space="preserve"> </w:t>
      </w:r>
      <w:r w:rsidRPr="00B77103">
        <w:t>above</w:t>
      </w:r>
      <w:r w:rsidRPr="00B77103">
        <w:rPr>
          <w:spacing w:val="1"/>
        </w:rPr>
        <w:t xml:space="preserve"> </w:t>
      </w:r>
      <w:r w:rsidRPr="00B77103">
        <w:t>the</w:t>
      </w:r>
      <w:r w:rsidRPr="00B77103">
        <w:rPr>
          <w:spacing w:val="1"/>
        </w:rPr>
        <w:t xml:space="preserve"> </w:t>
      </w:r>
      <w:r w:rsidRPr="00B77103">
        <w:t>soil</w:t>
      </w:r>
      <w:r w:rsidRPr="00B77103">
        <w:rPr>
          <w:spacing w:val="-2"/>
        </w:rPr>
        <w:t xml:space="preserve"> </w:t>
      </w:r>
      <w:r w:rsidRPr="00B77103">
        <w:t>and/or substrate</w:t>
      </w:r>
      <w:r w:rsidRPr="00B77103">
        <w:rPr>
          <w:spacing w:val="1"/>
        </w:rPr>
        <w:t xml:space="preserve"> </w:t>
      </w:r>
      <w:r w:rsidRPr="00B77103">
        <w:t>line</w:t>
      </w:r>
      <w:r w:rsidRPr="00B77103">
        <w:rPr>
          <w:spacing w:val="1"/>
        </w:rPr>
        <w:t xml:space="preserve"> </w:t>
      </w:r>
      <w:r w:rsidRPr="00B77103">
        <w:t>at the</w:t>
      </w:r>
      <w:r>
        <w:t xml:space="preserve"> </w:t>
      </w:r>
      <w:r w:rsidR="00884E66">
        <w:t>commercial entity</w:t>
      </w:r>
      <w:r w:rsidRPr="00B77103">
        <w:rPr>
          <w:spacing w:val="1"/>
        </w:rPr>
        <w:t xml:space="preserve"> </w:t>
      </w:r>
      <w:r w:rsidRPr="00B77103">
        <w:t>immediately</w:t>
      </w:r>
      <w:r w:rsidRPr="00B77103">
        <w:rPr>
          <w:spacing w:val="-5"/>
        </w:rPr>
        <w:t xml:space="preserve"> </w:t>
      </w:r>
      <w:r w:rsidRPr="00B77103">
        <w:t>before</w:t>
      </w:r>
      <w:r w:rsidRPr="00B77103">
        <w:rPr>
          <w:spacing w:val="1"/>
        </w:rPr>
        <w:t xml:space="preserve"> </w:t>
      </w:r>
      <w:r w:rsidRPr="00B77103">
        <w:t>use or sale to the consumer.</w:t>
      </w:r>
      <w:r w:rsidRPr="00B77103">
        <w:rPr>
          <w:spacing w:val="2"/>
        </w:rPr>
        <w:t xml:space="preserve"> </w:t>
      </w:r>
      <w:r w:rsidRPr="00B77103">
        <w:t>When a</w:t>
      </w:r>
      <w:r w:rsidRPr="00B77103">
        <w:rPr>
          <w:spacing w:val="61"/>
        </w:rPr>
        <w:t xml:space="preserve"> </w:t>
      </w:r>
      <w:r w:rsidRPr="00B77103">
        <w:t>sprout operation sells sprouts with the</w:t>
      </w:r>
      <w:r w:rsidRPr="00B77103">
        <w:rPr>
          <w:spacing w:val="1"/>
        </w:rPr>
        <w:t xml:space="preserve"> </w:t>
      </w:r>
      <w:r w:rsidRPr="00B77103">
        <w:t>roots</w:t>
      </w:r>
      <w:r w:rsidRPr="00B77103">
        <w:rPr>
          <w:spacing w:val="-4"/>
        </w:rPr>
        <w:t xml:space="preserve"> </w:t>
      </w:r>
      <w:r w:rsidRPr="00B77103">
        <w:t>intact</w:t>
      </w:r>
      <w:r w:rsidRPr="00B77103">
        <w:rPr>
          <w:spacing w:val="-2"/>
        </w:rPr>
        <w:t xml:space="preserve"> </w:t>
      </w:r>
      <w:r w:rsidRPr="00B77103">
        <w:t>in</w:t>
      </w:r>
      <w:r w:rsidRPr="00B77103">
        <w:rPr>
          <w:spacing w:val="-3"/>
        </w:rPr>
        <w:t xml:space="preserve"> </w:t>
      </w:r>
      <w:r w:rsidRPr="00B77103">
        <w:t>soil or substrate,</w:t>
      </w:r>
      <w:r w:rsidRPr="00B77103">
        <w:rPr>
          <w:spacing w:val="-3"/>
        </w:rPr>
        <w:t xml:space="preserve"> </w:t>
      </w:r>
      <w:r w:rsidRPr="00B77103">
        <w:t>and the</w:t>
      </w:r>
      <w:r w:rsidRPr="00B77103">
        <w:rPr>
          <w:spacing w:val="1"/>
        </w:rPr>
        <w:t xml:space="preserve"> </w:t>
      </w:r>
      <w:r w:rsidR="00276743">
        <w:t xml:space="preserve">commercial entity </w:t>
      </w:r>
      <w:r w:rsidR="007672A6">
        <w:t xml:space="preserve">that receives them </w:t>
      </w:r>
      <w:r w:rsidRPr="00B77103">
        <w:t>will</w:t>
      </w:r>
      <w:r w:rsidRPr="00B77103">
        <w:rPr>
          <w:spacing w:val="-2"/>
        </w:rPr>
        <w:t xml:space="preserve"> </w:t>
      </w:r>
      <w:r w:rsidRPr="00B77103">
        <w:t>cut</w:t>
      </w:r>
      <w:r w:rsidRPr="00B77103">
        <w:rPr>
          <w:spacing w:val="-2"/>
        </w:rPr>
        <w:t xml:space="preserve"> </w:t>
      </w:r>
      <w:r w:rsidRPr="00B77103">
        <w:t>the</w:t>
      </w:r>
      <w:r w:rsidRPr="00B77103">
        <w:rPr>
          <w:spacing w:val="75"/>
        </w:rPr>
        <w:t xml:space="preserve"> </w:t>
      </w:r>
      <w:r w:rsidRPr="00B77103">
        <w:t>sprouts above</w:t>
      </w:r>
      <w:r w:rsidRPr="00B77103">
        <w:rPr>
          <w:spacing w:val="1"/>
        </w:rPr>
        <w:t xml:space="preserve"> </w:t>
      </w:r>
      <w:r w:rsidRPr="00B77103">
        <w:t>the</w:t>
      </w:r>
      <w:r w:rsidRPr="00B77103">
        <w:rPr>
          <w:spacing w:val="1"/>
        </w:rPr>
        <w:t xml:space="preserve"> </w:t>
      </w:r>
      <w:r w:rsidRPr="00B77103">
        <w:t>soil or substrate</w:t>
      </w:r>
      <w:r w:rsidRPr="00B77103">
        <w:rPr>
          <w:spacing w:val="1"/>
        </w:rPr>
        <w:t xml:space="preserve"> </w:t>
      </w:r>
      <w:r w:rsidRPr="00B77103">
        <w:t>line</w:t>
      </w:r>
      <w:r w:rsidRPr="00B77103">
        <w:rPr>
          <w:spacing w:val="1"/>
        </w:rPr>
        <w:t xml:space="preserve"> </w:t>
      </w:r>
      <w:r w:rsidRPr="00B77103">
        <w:t>before</w:t>
      </w:r>
      <w:r w:rsidRPr="00B77103">
        <w:rPr>
          <w:spacing w:val="1"/>
        </w:rPr>
        <w:t xml:space="preserve"> </w:t>
      </w:r>
      <w:r w:rsidRPr="00B77103">
        <w:t>use, we</w:t>
      </w:r>
      <w:r w:rsidRPr="00B77103">
        <w:rPr>
          <w:spacing w:val="1"/>
        </w:rPr>
        <w:t xml:space="preserve"> </w:t>
      </w:r>
      <w:r w:rsidRPr="00B77103">
        <w:t>intend to</w:t>
      </w:r>
      <w:r w:rsidRPr="00B77103">
        <w:rPr>
          <w:spacing w:val="-3"/>
        </w:rPr>
        <w:t xml:space="preserve"> </w:t>
      </w:r>
      <w:r w:rsidRPr="00B77103">
        <w:t>exercise</w:t>
      </w:r>
      <w:r w:rsidRPr="00B77103">
        <w:rPr>
          <w:spacing w:val="1"/>
        </w:rPr>
        <w:t xml:space="preserve"> </w:t>
      </w:r>
      <w:r w:rsidRPr="00B77103">
        <w:t>enforcement discretion for</w:t>
      </w:r>
      <w:r w:rsidR="00EC504B">
        <w:t xml:space="preserve"> </w:t>
      </w:r>
      <w:r w:rsidRPr="00B77103">
        <w:t>the</w:t>
      </w:r>
      <w:r w:rsidRPr="00B77103">
        <w:rPr>
          <w:spacing w:val="1"/>
        </w:rPr>
        <w:t xml:space="preserve"> </w:t>
      </w:r>
      <w:r w:rsidRPr="00B77103">
        <w:t>requirements of</w:t>
      </w:r>
      <w:r w:rsidRPr="00B77103">
        <w:rPr>
          <w:spacing w:val="-3"/>
        </w:rPr>
        <w:t xml:space="preserve"> </w:t>
      </w:r>
      <w:r w:rsidRPr="00B77103">
        <w:t>Subpart M if</w:t>
      </w:r>
      <w:r w:rsidRPr="00B77103">
        <w:rPr>
          <w:spacing w:val="-3"/>
        </w:rPr>
        <w:t xml:space="preserve"> </w:t>
      </w:r>
      <w:r w:rsidRPr="00B77103">
        <w:t>the</w:t>
      </w:r>
      <w:r w:rsidRPr="00B77103">
        <w:rPr>
          <w:spacing w:val="1"/>
        </w:rPr>
        <w:t xml:space="preserve"> </w:t>
      </w:r>
      <w:r w:rsidRPr="00B77103">
        <w:t>sprout</w:t>
      </w:r>
      <w:r w:rsidRPr="00B77103">
        <w:rPr>
          <w:spacing w:val="1"/>
        </w:rPr>
        <w:t xml:space="preserve"> </w:t>
      </w:r>
      <w:r w:rsidRPr="00B77103">
        <w:t>operation annually</w:t>
      </w:r>
      <w:r w:rsidRPr="00B77103">
        <w:rPr>
          <w:spacing w:val="-5"/>
        </w:rPr>
        <w:t xml:space="preserve"> </w:t>
      </w:r>
      <w:r w:rsidRPr="00B77103">
        <w:t>collects written</w:t>
      </w:r>
      <w:r w:rsidRPr="00B77103">
        <w:rPr>
          <w:spacing w:val="-3"/>
        </w:rPr>
        <w:t xml:space="preserve"> </w:t>
      </w:r>
      <w:r w:rsidRPr="00B77103">
        <w:t>assurances from the</w:t>
      </w:r>
      <w:r w:rsidR="00B933B6">
        <w:t xml:space="preserve"> </w:t>
      </w:r>
      <w:r w:rsidR="00276743">
        <w:t>commercial entity</w:t>
      </w:r>
      <w:r w:rsidRPr="00B77103" w:rsidR="00276743">
        <w:t xml:space="preserve"> </w:t>
      </w:r>
      <w:r w:rsidRPr="00B77103">
        <w:t>stating</w:t>
      </w:r>
      <w:r w:rsidRPr="00B77103">
        <w:rPr>
          <w:spacing w:val="-3"/>
        </w:rPr>
        <w:t xml:space="preserve"> </w:t>
      </w:r>
      <w:r w:rsidRPr="00B77103">
        <w:t>that</w:t>
      </w:r>
      <w:r w:rsidRPr="00B77103">
        <w:rPr>
          <w:spacing w:val="-2"/>
        </w:rPr>
        <w:t xml:space="preserve"> </w:t>
      </w:r>
      <w:r w:rsidRPr="00B77103">
        <w:t>the</w:t>
      </w:r>
      <w:r w:rsidRPr="00B77103">
        <w:rPr>
          <w:spacing w:val="1"/>
        </w:rPr>
        <w:t xml:space="preserve"> </w:t>
      </w:r>
      <w:r w:rsidRPr="00B77103">
        <w:t xml:space="preserve">sprouts will </w:t>
      </w:r>
      <w:r w:rsidRPr="00B77103">
        <w:rPr>
          <w:spacing w:val="-2"/>
        </w:rPr>
        <w:t>be</w:t>
      </w:r>
      <w:r w:rsidRPr="00B77103">
        <w:rPr>
          <w:spacing w:val="1"/>
        </w:rPr>
        <w:t xml:space="preserve"> </w:t>
      </w:r>
      <w:r w:rsidRPr="00B77103">
        <w:t xml:space="preserve">cut </w:t>
      </w:r>
      <w:r w:rsidRPr="00B77103">
        <w:rPr>
          <w:spacing w:val="-2"/>
        </w:rPr>
        <w:t>above</w:t>
      </w:r>
      <w:r w:rsidRPr="00B77103">
        <w:rPr>
          <w:spacing w:val="1"/>
        </w:rPr>
        <w:t xml:space="preserve"> </w:t>
      </w:r>
      <w:r w:rsidRPr="00B77103">
        <w:t>the</w:t>
      </w:r>
      <w:r w:rsidRPr="00B77103">
        <w:rPr>
          <w:spacing w:val="1"/>
        </w:rPr>
        <w:t xml:space="preserve"> </w:t>
      </w:r>
      <w:r w:rsidRPr="00B77103">
        <w:t>soil or substrate</w:t>
      </w:r>
      <w:r w:rsidRPr="00B77103">
        <w:rPr>
          <w:spacing w:val="1"/>
        </w:rPr>
        <w:t xml:space="preserve"> </w:t>
      </w:r>
      <w:r w:rsidRPr="00B77103">
        <w:t>line</w:t>
      </w:r>
      <w:r w:rsidRPr="00B77103">
        <w:rPr>
          <w:spacing w:val="1"/>
        </w:rPr>
        <w:t xml:space="preserve"> </w:t>
      </w:r>
      <w:r w:rsidRPr="00B77103">
        <w:t>before</w:t>
      </w:r>
      <w:r w:rsidRPr="00B77103">
        <w:rPr>
          <w:spacing w:val="1"/>
        </w:rPr>
        <w:t xml:space="preserve"> </w:t>
      </w:r>
      <w:r w:rsidRPr="00B77103">
        <w:t>use</w:t>
      </w:r>
      <w:r w:rsidR="00072132">
        <w:t xml:space="preserve"> (see also Section VII.C.1)</w:t>
      </w:r>
      <w:r w:rsidR="002D76D1">
        <w:t>.</w:t>
      </w:r>
      <w:r w:rsidRPr="00B77103" w:rsidR="00CF6FCB">
        <w:t xml:space="preserve"> </w:t>
      </w:r>
    </w:p>
    <w:p w:rsidR="00191DF8" w:rsidRPr="00B77103" w:rsidP="00E47C04" w14:paraId="76F7BAE3" w14:textId="5BD3B10B">
      <w:pPr>
        <w:pStyle w:val="GuidanceParagraph"/>
      </w:pPr>
      <w:r w:rsidRPr="00B77103">
        <w:t>Note</w:t>
      </w:r>
      <w:r w:rsidRPr="00B77103">
        <w:rPr>
          <w:spacing w:val="1"/>
        </w:rPr>
        <w:t xml:space="preserve"> </w:t>
      </w:r>
      <w:r w:rsidRPr="00B77103">
        <w:t>that soil- or substrate-grown sprouts harvested above</w:t>
      </w:r>
      <w:r w:rsidRPr="00B77103">
        <w:rPr>
          <w:spacing w:val="1"/>
        </w:rPr>
        <w:t xml:space="preserve"> </w:t>
      </w:r>
      <w:r w:rsidRPr="00B77103">
        <w:t>the</w:t>
      </w:r>
      <w:r w:rsidRPr="00B77103">
        <w:rPr>
          <w:spacing w:val="1"/>
        </w:rPr>
        <w:t xml:space="preserve"> </w:t>
      </w:r>
      <w:r w:rsidRPr="00B77103">
        <w:t>soil line</w:t>
      </w:r>
      <w:r w:rsidRPr="00B77103">
        <w:rPr>
          <w:spacing w:val="-2"/>
        </w:rPr>
        <w:t xml:space="preserve"> </w:t>
      </w:r>
      <w:r w:rsidRPr="00B77103">
        <w:t>are</w:t>
      </w:r>
      <w:r w:rsidRPr="00B77103">
        <w:rPr>
          <w:spacing w:val="1"/>
        </w:rPr>
        <w:t xml:space="preserve"> </w:t>
      </w:r>
      <w:r w:rsidRPr="00B77103">
        <w:t>still</w:t>
      </w:r>
      <w:r w:rsidRPr="00B77103">
        <w:rPr>
          <w:spacing w:val="-2"/>
        </w:rPr>
        <w:t xml:space="preserve"> </w:t>
      </w:r>
      <w:r w:rsidRPr="00B77103">
        <w:t>considered covered</w:t>
      </w:r>
      <w:r w:rsidR="006052C4">
        <w:t xml:space="preserve"> </w:t>
      </w:r>
      <w:r w:rsidRPr="00B77103">
        <w:t>produce</w:t>
      </w:r>
      <w:r w:rsidRPr="00B77103">
        <w:rPr>
          <w:spacing w:val="-2"/>
        </w:rPr>
        <w:t xml:space="preserve"> </w:t>
      </w:r>
      <w:r w:rsidRPr="00B77103">
        <w:t>and, unless exempt or excluded under the</w:t>
      </w:r>
      <w:r w:rsidRPr="00B77103">
        <w:rPr>
          <w:spacing w:val="1"/>
        </w:rPr>
        <w:t xml:space="preserve"> </w:t>
      </w:r>
      <w:r w:rsidRPr="00B77103">
        <w:t>provisions of</w:t>
      </w:r>
      <w:r w:rsidRPr="00B77103">
        <w:rPr>
          <w:spacing w:val="-2"/>
        </w:rPr>
        <w:t xml:space="preserve"> </w:t>
      </w:r>
      <w:r w:rsidRPr="00B77103">
        <w:t xml:space="preserve">21 CFR </w:t>
      </w:r>
      <w:r w:rsidR="00644D3E">
        <w:t>p</w:t>
      </w:r>
      <w:r w:rsidRPr="00B77103">
        <w:t>art 112,</w:t>
      </w:r>
      <w:r w:rsidRPr="00B77103">
        <w:rPr>
          <w:spacing w:val="57"/>
        </w:rPr>
        <w:t xml:space="preserve"> </w:t>
      </w:r>
      <w:r w:rsidRPr="00B77103">
        <w:t>Subpart A,</w:t>
      </w:r>
      <w:r w:rsidRPr="00B77103">
        <w:rPr>
          <w:spacing w:val="-3"/>
        </w:rPr>
        <w:t xml:space="preserve"> </w:t>
      </w:r>
      <w:r w:rsidRPr="00B77103">
        <w:t>are</w:t>
      </w:r>
      <w:r w:rsidRPr="00B77103">
        <w:rPr>
          <w:spacing w:val="43"/>
        </w:rPr>
        <w:t xml:space="preserve"> </w:t>
      </w:r>
      <w:r w:rsidRPr="00B77103">
        <w:t>subject to</w:t>
      </w:r>
      <w:r w:rsidRPr="00B77103">
        <w:rPr>
          <w:spacing w:val="-3"/>
        </w:rPr>
        <w:t xml:space="preserve"> </w:t>
      </w:r>
      <w:r w:rsidRPr="00B77103">
        <w:t>all other</w:t>
      </w:r>
      <w:r w:rsidRPr="00B77103">
        <w:rPr>
          <w:spacing w:val="-3"/>
        </w:rPr>
        <w:t xml:space="preserve"> </w:t>
      </w:r>
      <w:r w:rsidRPr="00B77103">
        <w:t>applicable</w:t>
      </w:r>
      <w:r w:rsidRPr="00B77103">
        <w:rPr>
          <w:spacing w:val="1"/>
        </w:rPr>
        <w:t xml:space="preserve"> </w:t>
      </w:r>
      <w:r w:rsidRPr="00B77103">
        <w:t>requirements of</w:t>
      </w:r>
      <w:r w:rsidRPr="00B77103">
        <w:rPr>
          <w:spacing w:val="-3"/>
        </w:rPr>
        <w:t xml:space="preserve"> </w:t>
      </w:r>
      <w:r w:rsidRPr="00B77103">
        <w:t>the</w:t>
      </w:r>
      <w:r w:rsidRPr="00B77103">
        <w:rPr>
          <w:spacing w:val="1"/>
        </w:rPr>
        <w:t xml:space="preserve"> </w:t>
      </w:r>
      <w:r w:rsidRPr="00B77103">
        <w:t>Produce</w:t>
      </w:r>
      <w:r w:rsidRPr="00B77103">
        <w:rPr>
          <w:spacing w:val="1"/>
        </w:rPr>
        <w:t xml:space="preserve"> </w:t>
      </w:r>
      <w:r w:rsidRPr="00B77103">
        <w:t>Safety</w:t>
      </w:r>
      <w:r w:rsidRPr="00B77103">
        <w:rPr>
          <w:spacing w:val="-5"/>
        </w:rPr>
        <w:t xml:space="preserve"> </w:t>
      </w:r>
      <w:r w:rsidRPr="00B77103">
        <w:t>Rule. The standards in Subpart M may</w:t>
      </w:r>
      <w:r w:rsidR="00DF0AFA">
        <w:t xml:space="preserve"> </w:t>
      </w:r>
      <w:r w:rsidRPr="00B77103">
        <w:t>be</w:t>
      </w:r>
      <w:r w:rsidRPr="00B77103">
        <w:rPr>
          <w:spacing w:val="1"/>
        </w:rPr>
        <w:t xml:space="preserve"> </w:t>
      </w:r>
      <w:r w:rsidRPr="00B77103">
        <w:t>useful to sprout operations that produce soil- or substrate-grown sprouts that</w:t>
      </w:r>
      <w:r w:rsidRPr="00B77103">
        <w:rPr>
          <w:spacing w:val="-2"/>
        </w:rPr>
        <w:t xml:space="preserve"> </w:t>
      </w:r>
      <w:r w:rsidRPr="00B77103">
        <w:t>are</w:t>
      </w:r>
      <w:r w:rsidRPr="00B77103">
        <w:rPr>
          <w:spacing w:val="1"/>
        </w:rPr>
        <w:t xml:space="preserve"> </w:t>
      </w:r>
      <w:r w:rsidRPr="00B77103">
        <w:t>harvested</w:t>
      </w:r>
      <w:r w:rsidRPr="00B77103">
        <w:rPr>
          <w:spacing w:val="-3"/>
        </w:rPr>
        <w:t xml:space="preserve"> </w:t>
      </w:r>
      <w:r w:rsidRPr="00B77103">
        <w:t>above</w:t>
      </w:r>
      <w:r w:rsidRPr="00B77103">
        <w:rPr>
          <w:spacing w:val="1"/>
        </w:rPr>
        <w:t xml:space="preserve"> </w:t>
      </w:r>
      <w:r w:rsidRPr="00B77103">
        <w:t>the</w:t>
      </w:r>
      <w:r w:rsidRPr="00B77103">
        <w:rPr>
          <w:spacing w:val="1"/>
        </w:rPr>
        <w:t xml:space="preserve"> </w:t>
      </w:r>
      <w:r w:rsidRPr="00B77103">
        <w:t>soil</w:t>
      </w:r>
      <w:r w:rsidRPr="00B77103">
        <w:rPr>
          <w:spacing w:val="-2"/>
        </w:rPr>
        <w:t xml:space="preserve"> </w:t>
      </w:r>
      <w:r w:rsidRPr="00B77103">
        <w:t>or substrate</w:t>
      </w:r>
      <w:r w:rsidRPr="00B77103">
        <w:rPr>
          <w:spacing w:val="1"/>
        </w:rPr>
        <w:t xml:space="preserve"> </w:t>
      </w:r>
      <w:r w:rsidRPr="00B77103">
        <w:t>line</w:t>
      </w:r>
      <w:r w:rsidRPr="00B77103">
        <w:rPr>
          <w:spacing w:val="1"/>
        </w:rPr>
        <w:t xml:space="preserve"> </w:t>
      </w:r>
      <w:r w:rsidRPr="00B77103">
        <w:t>that voluntarily</w:t>
      </w:r>
      <w:r w:rsidR="006052C4">
        <w:t xml:space="preserve"> </w:t>
      </w:r>
      <w:r w:rsidRPr="00B77103">
        <w:t>choose</w:t>
      </w:r>
      <w:r w:rsidRPr="00B77103">
        <w:rPr>
          <w:spacing w:val="1"/>
        </w:rPr>
        <w:t xml:space="preserve"> </w:t>
      </w:r>
      <w:r w:rsidRPr="00B77103">
        <w:t>to follow</w:t>
      </w:r>
      <w:r w:rsidR="00594978">
        <w:t xml:space="preserve"> the</w:t>
      </w:r>
      <w:r w:rsidR="00382ABF">
        <w:t>se</w:t>
      </w:r>
      <w:r w:rsidR="00594978">
        <w:t xml:space="preserve"> standards</w:t>
      </w:r>
      <w:r w:rsidRPr="00B77103">
        <w:rPr>
          <w:spacing w:val="-2"/>
        </w:rPr>
        <w:t>,</w:t>
      </w:r>
      <w:r w:rsidRPr="00B77103">
        <w:t xml:space="preserve"> in addition</w:t>
      </w:r>
      <w:r w:rsidRPr="00B77103">
        <w:rPr>
          <w:spacing w:val="-3"/>
        </w:rPr>
        <w:t xml:space="preserve"> </w:t>
      </w:r>
      <w:r w:rsidRPr="00B77103">
        <w:t>to complying with the</w:t>
      </w:r>
      <w:r w:rsidRPr="00B77103">
        <w:rPr>
          <w:spacing w:val="1"/>
        </w:rPr>
        <w:t xml:space="preserve"> </w:t>
      </w:r>
      <w:r w:rsidRPr="00B77103">
        <w:t>required</w:t>
      </w:r>
      <w:r w:rsidR="006052C4">
        <w:t xml:space="preserve"> </w:t>
      </w:r>
      <w:r w:rsidRPr="00B77103">
        <w:t>provisions of</w:t>
      </w:r>
      <w:r w:rsidRPr="00B77103">
        <w:rPr>
          <w:spacing w:val="-3"/>
        </w:rPr>
        <w:t xml:space="preserve"> </w:t>
      </w:r>
      <w:r w:rsidRPr="00B77103">
        <w:t>all other subparts in</w:t>
      </w:r>
      <w:r w:rsidRPr="00B77103">
        <w:rPr>
          <w:spacing w:val="-2"/>
        </w:rPr>
        <w:t xml:space="preserve"> </w:t>
      </w:r>
      <w:r w:rsidRPr="00B77103">
        <w:t>the</w:t>
      </w:r>
      <w:r w:rsidRPr="00B77103">
        <w:rPr>
          <w:spacing w:val="1"/>
        </w:rPr>
        <w:t xml:space="preserve"> </w:t>
      </w:r>
      <w:r w:rsidRPr="00B77103">
        <w:t>Produce</w:t>
      </w:r>
      <w:r w:rsidRPr="00B77103">
        <w:rPr>
          <w:spacing w:val="1"/>
        </w:rPr>
        <w:t xml:space="preserve"> </w:t>
      </w:r>
      <w:r w:rsidRPr="00B77103">
        <w:t>Safety</w:t>
      </w:r>
      <w:r w:rsidRPr="00B77103">
        <w:rPr>
          <w:spacing w:val="-3"/>
        </w:rPr>
        <w:t xml:space="preserve"> </w:t>
      </w:r>
      <w:r w:rsidRPr="00B77103">
        <w:t>Rule.</w:t>
      </w:r>
    </w:p>
    <w:p w:rsidR="00191DF8" w:rsidRPr="00B77103" w:rsidP="00E47C04" w14:paraId="067848F6" w14:textId="4F19FD49">
      <w:pPr>
        <w:pStyle w:val="GuidanceParagraph"/>
      </w:pPr>
      <w:r w:rsidRPr="00B77103">
        <w:t>We are aware that certain sprouts are grown hydroponically in trays, and then harvested without the root at either the sprout operation or by the customer. As we previously stated in the preamble to the final rule (</w:t>
      </w:r>
      <w:r w:rsidRPr="002C2AF6" w:rsidR="009A3091">
        <w:t>80 FR 74353 at</w:t>
      </w:r>
      <w:r w:rsidRPr="002C2AF6" w:rsidR="009A3091">
        <w:rPr>
          <w:spacing w:val="-2"/>
        </w:rPr>
        <w:t xml:space="preserve"> </w:t>
      </w:r>
      <w:r w:rsidRPr="002C2AF6" w:rsidR="009A3091">
        <w:t>74497</w:t>
      </w:r>
      <w:r w:rsidR="009A3091">
        <w:t xml:space="preserve">, </w:t>
      </w:r>
      <w:r w:rsidRPr="002C2AF6" w:rsidR="000C19FA">
        <w:t>comment/response</w:t>
      </w:r>
      <w:r w:rsidRPr="002C2AF6" w:rsidR="000C19FA">
        <w:rPr>
          <w:spacing w:val="-2"/>
        </w:rPr>
        <w:t xml:space="preserve"> </w:t>
      </w:r>
      <w:r w:rsidRPr="00B77103">
        <w:t>364), all hydroponically grown sprouts are subject to the requirements of Subpart M. Under typical conditions for growing hydroponic sprouts, water circulates between sprouts in the same growing unit, such that any pathogens present in the seed or introduced during sprouting can spread throughout the production lot of sprouts (</w:t>
      </w:r>
      <w:r w:rsidR="006F3F8D">
        <w:fldChar w:fldCharType="begin"/>
      </w:r>
      <w:r w:rsidR="006F3F8D">
        <w:instrText xml:space="preserve"> REF _Ref51086174 \h </w:instrText>
      </w:r>
      <w:r w:rsidR="004B2A15">
        <w:instrText xml:space="preserve"> \* MERGEFORMAT </w:instrText>
      </w:r>
      <w:r w:rsidR="006F3F8D">
        <w:fldChar w:fldCharType="separate"/>
      </w:r>
      <w:r w:rsidRPr="006E43DC" w:rsidR="000E290D">
        <w:t xml:space="preserve">Ref. </w:t>
      </w:r>
      <w:r w:rsidR="000E290D">
        <w:rPr>
          <w:noProof/>
        </w:rPr>
        <w:t>2</w:t>
      </w:r>
      <w:r w:rsidR="006F3F8D">
        <w:fldChar w:fldCharType="end"/>
      </w:r>
      <w:r w:rsidR="006F3F8D">
        <w:t xml:space="preserve">, </w:t>
      </w:r>
      <w:r w:rsidR="003C062F">
        <w:fldChar w:fldCharType="begin"/>
      </w:r>
      <w:r w:rsidR="003C062F">
        <w:instrText xml:space="preserve"> REF _Ref51087235 \h </w:instrText>
      </w:r>
      <w:r w:rsidR="004B2A15">
        <w:instrText xml:space="preserve"> \* MERGEFORMAT </w:instrText>
      </w:r>
      <w:r w:rsidR="003C062F">
        <w:fldChar w:fldCharType="separate"/>
      </w:r>
      <w:r w:rsidRPr="006E43DC" w:rsidR="000E290D">
        <w:t xml:space="preserve">Ref. </w:t>
      </w:r>
      <w:r w:rsidR="000E290D">
        <w:rPr>
          <w:noProof/>
        </w:rPr>
        <w:t>30</w:t>
      </w:r>
      <w:r w:rsidR="003C062F">
        <w:fldChar w:fldCharType="end"/>
      </w:r>
      <w:r w:rsidR="003C062F">
        <w:t xml:space="preserve">, and </w:t>
      </w:r>
      <w:r w:rsidR="006761EE">
        <w:fldChar w:fldCharType="begin"/>
      </w:r>
      <w:r w:rsidR="006761EE">
        <w:instrText xml:space="preserve"> REF _Ref51087250 \h </w:instrText>
      </w:r>
      <w:r w:rsidR="004B2A15">
        <w:instrText xml:space="preserve"> \* MERGEFORMAT </w:instrText>
      </w:r>
      <w:r w:rsidR="006761EE">
        <w:fldChar w:fldCharType="separate"/>
      </w:r>
      <w:r w:rsidRPr="006E43DC" w:rsidR="000E290D">
        <w:t xml:space="preserve">Ref. </w:t>
      </w:r>
      <w:r w:rsidR="000E290D">
        <w:rPr>
          <w:noProof/>
        </w:rPr>
        <w:t>31</w:t>
      </w:r>
      <w:r w:rsidR="006761EE">
        <w:fldChar w:fldCharType="end"/>
      </w:r>
      <w:r w:rsidRPr="00B77103">
        <w:t xml:space="preserve">). </w:t>
      </w:r>
    </w:p>
    <w:p w:rsidR="00F66AD0" w:rsidP="00E47C04" w14:paraId="01E63EFD" w14:textId="67B6DD71">
      <w:pPr>
        <w:pStyle w:val="GuidanceParagraph"/>
      </w:pPr>
      <w:r>
        <w:t>W</w:t>
      </w:r>
      <w:r w:rsidRPr="002C2AF6">
        <w:t>e</w:t>
      </w:r>
      <w:r w:rsidRPr="002C2AF6">
        <w:rPr>
          <w:spacing w:val="-2"/>
        </w:rPr>
        <w:t xml:space="preserve"> </w:t>
      </w:r>
      <w:r w:rsidRPr="002C2AF6">
        <w:t>note</w:t>
      </w:r>
      <w:r w:rsidRPr="002C2AF6">
        <w:rPr>
          <w:spacing w:val="-2"/>
        </w:rPr>
        <w:t xml:space="preserve"> </w:t>
      </w:r>
      <w:r w:rsidRPr="002C2AF6">
        <w:t>that</w:t>
      </w:r>
      <w:r w:rsidRPr="002C2AF6">
        <w:rPr>
          <w:spacing w:val="-2"/>
        </w:rPr>
        <w:t xml:space="preserve"> </w:t>
      </w:r>
      <w:r w:rsidRPr="002C2AF6">
        <w:t>microgreens and sprouts</w:t>
      </w:r>
      <w:r w:rsidRPr="002C2AF6">
        <w:rPr>
          <w:spacing w:val="-4"/>
        </w:rPr>
        <w:t xml:space="preserve"> </w:t>
      </w:r>
      <w:r w:rsidRPr="002C2AF6">
        <w:t>are</w:t>
      </w:r>
      <w:r w:rsidRPr="002C2AF6">
        <w:rPr>
          <w:spacing w:val="1"/>
        </w:rPr>
        <w:t xml:space="preserve"> </w:t>
      </w:r>
      <w:r w:rsidRPr="002C2AF6">
        <w:t xml:space="preserve">different products. </w:t>
      </w:r>
      <w:r w:rsidRPr="002C2AF6">
        <w:rPr>
          <w:spacing w:val="-2"/>
        </w:rPr>
        <w:t>This</w:t>
      </w:r>
      <w:r w:rsidRPr="002C2AF6">
        <w:t xml:space="preserve"> interpretation</w:t>
      </w:r>
      <w:r w:rsidRPr="002C2AF6">
        <w:rPr>
          <w:spacing w:val="-3"/>
        </w:rPr>
        <w:t xml:space="preserve"> </w:t>
      </w:r>
      <w:r w:rsidRPr="002C2AF6">
        <w:t>is</w:t>
      </w:r>
      <w:r>
        <w:t xml:space="preserve"> </w:t>
      </w:r>
      <w:r w:rsidRPr="002C2AF6">
        <w:t xml:space="preserve">consistent with our prior </w:t>
      </w:r>
      <w:r w:rsidR="00DD5819">
        <w:t>S</w:t>
      </w:r>
      <w:r w:rsidRPr="002C2AF6">
        <w:t xml:space="preserve">prout </w:t>
      </w:r>
      <w:r w:rsidR="00DD5819">
        <w:t>G</w:t>
      </w:r>
      <w:r w:rsidRPr="002C2AF6">
        <w:t>uidances and with</w:t>
      </w:r>
      <w:r w:rsidRPr="002C2AF6">
        <w:rPr>
          <w:spacing w:val="-2"/>
        </w:rPr>
        <w:t xml:space="preserve"> </w:t>
      </w:r>
      <w:r w:rsidRPr="002C2AF6">
        <w:t>other public</w:t>
      </w:r>
      <w:r w:rsidRPr="002C2AF6">
        <w:rPr>
          <w:spacing w:val="1"/>
        </w:rPr>
        <w:t xml:space="preserve"> </w:t>
      </w:r>
      <w:r w:rsidRPr="002C2AF6">
        <w:t>and private</w:t>
      </w:r>
      <w:r w:rsidRPr="002C2AF6">
        <w:rPr>
          <w:spacing w:val="1"/>
        </w:rPr>
        <w:t xml:space="preserve"> </w:t>
      </w:r>
      <w:r w:rsidRPr="002C2AF6">
        <w:t xml:space="preserve">standards (e.g., </w:t>
      </w:r>
      <w:r w:rsidR="00A918B5">
        <w:t>I</w:t>
      </w:r>
      <w:r w:rsidR="00B2596B">
        <w:t>I</w:t>
      </w:r>
      <w:r w:rsidR="00A918B5">
        <w:t xml:space="preserve">T </w:t>
      </w:r>
      <w:r w:rsidRPr="002C2AF6">
        <w:rPr>
          <w:spacing w:val="-2"/>
        </w:rPr>
        <w:t>IFSH</w:t>
      </w:r>
      <w:r w:rsidRPr="002C2AF6">
        <w:rPr>
          <w:spacing w:val="53"/>
        </w:rPr>
        <w:t xml:space="preserve"> </w:t>
      </w:r>
      <w:r w:rsidRPr="002C2AF6">
        <w:t>Sprout Taskforce</w:t>
      </w:r>
      <w:r w:rsidRPr="002C2AF6">
        <w:rPr>
          <w:spacing w:val="1"/>
        </w:rPr>
        <w:t xml:space="preserve"> </w:t>
      </w:r>
      <w:r w:rsidRPr="002C2AF6">
        <w:t xml:space="preserve">US Sprout Industry Production Best Practices document </w:t>
      </w:r>
      <w:r w:rsidRPr="002C2AF6">
        <w:rPr>
          <w:spacing w:val="-2"/>
        </w:rPr>
        <w:t>(</w:t>
      </w:r>
      <w:r w:rsidR="00834FDF">
        <w:rPr>
          <w:spacing w:val="-2"/>
        </w:rPr>
        <w:fldChar w:fldCharType="begin"/>
      </w:r>
      <w:r w:rsidR="00834FDF">
        <w:rPr>
          <w:spacing w:val="-2"/>
        </w:rPr>
        <w:instrText xml:space="preserve"> REF _Ref85027697 \h </w:instrText>
      </w:r>
      <w:r w:rsidR="00834FDF">
        <w:rPr>
          <w:spacing w:val="-2"/>
        </w:rPr>
        <w:fldChar w:fldCharType="separate"/>
      </w:r>
      <w:r w:rsidRPr="006E43DC" w:rsidR="000E290D">
        <w:t xml:space="preserve">Ref. </w:t>
      </w:r>
      <w:r w:rsidR="000E290D">
        <w:rPr>
          <w:noProof/>
        </w:rPr>
        <w:t>20</w:t>
      </w:r>
      <w:r w:rsidR="00834FDF">
        <w:rPr>
          <w:spacing w:val="-2"/>
        </w:rPr>
        <w:fldChar w:fldCharType="end"/>
      </w:r>
      <w:r w:rsidRPr="000438ED">
        <w:t>), Food</w:t>
      </w:r>
      <w:r w:rsidRPr="002C2AF6">
        <w:t xml:space="preserve"> Safety</w:t>
      </w:r>
      <w:r w:rsidRPr="002C2AF6">
        <w:rPr>
          <w:spacing w:val="-3"/>
        </w:rPr>
        <w:t xml:space="preserve"> </w:t>
      </w:r>
      <w:r w:rsidRPr="002C2AF6">
        <w:t>Australia</w:t>
      </w:r>
      <w:r w:rsidRPr="002C2AF6">
        <w:rPr>
          <w:spacing w:val="1"/>
        </w:rPr>
        <w:t xml:space="preserve"> </w:t>
      </w:r>
      <w:r w:rsidRPr="002C2AF6">
        <w:t>New Zealand</w:t>
      </w:r>
      <w:r>
        <w:t xml:space="preserve"> </w:t>
      </w:r>
      <w:r w:rsidRPr="002C2AF6">
        <w:t>(FSANZ)</w:t>
      </w:r>
      <w:r w:rsidRPr="002C2AF6">
        <w:rPr>
          <w:spacing w:val="2"/>
        </w:rPr>
        <w:t xml:space="preserve"> </w:t>
      </w:r>
      <w:r w:rsidRPr="002C2AF6">
        <w:t>standards for sprouts (</w:t>
      </w:r>
      <w:r>
        <w:fldChar w:fldCharType="begin"/>
      </w:r>
      <w:r>
        <w:instrText xml:space="preserve"> REF _Ref85095774 \h </w:instrText>
      </w:r>
      <w:r w:rsidR="004B2A15">
        <w:instrText xml:space="preserve"> \* MERGEFORMAT </w:instrText>
      </w:r>
      <w:r>
        <w:fldChar w:fldCharType="separate"/>
      </w:r>
      <w:r w:rsidRPr="006E43DC" w:rsidR="000E290D">
        <w:t xml:space="preserve">Ref. </w:t>
      </w:r>
      <w:r w:rsidR="000E290D">
        <w:rPr>
          <w:noProof/>
        </w:rPr>
        <w:t>32</w:t>
      </w:r>
      <w:r>
        <w:fldChar w:fldCharType="end"/>
      </w:r>
      <w:r>
        <w:t>))</w:t>
      </w:r>
      <w:r w:rsidRPr="002C2AF6">
        <w:t>. Historically, the</w:t>
      </w:r>
      <w:r w:rsidRPr="002C2AF6">
        <w:rPr>
          <w:spacing w:val="1"/>
        </w:rPr>
        <w:t xml:space="preserve"> </w:t>
      </w:r>
      <w:r w:rsidRPr="002C2AF6">
        <w:t>primary</w:t>
      </w:r>
      <w:r w:rsidRPr="002C2AF6">
        <w:rPr>
          <w:spacing w:val="-5"/>
        </w:rPr>
        <w:t xml:space="preserve"> </w:t>
      </w:r>
      <w:r w:rsidRPr="002C2AF6">
        <w:t>criterion we</w:t>
      </w:r>
      <w:r w:rsidRPr="002C2AF6">
        <w:rPr>
          <w:spacing w:val="1"/>
        </w:rPr>
        <w:t xml:space="preserve"> </w:t>
      </w:r>
      <w:r w:rsidRPr="002C2AF6">
        <w:t>have</w:t>
      </w:r>
      <w:r w:rsidRPr="002C2AF6">
        <w:rPr>
          <w:spacing w:val="1"/>
        </w:rPr>
        <w:t xml:space="preserve"> </w:t>
      </w:r>
      <w:r w:rsidRPr="002C2AF6">
        <w:t>used to</w:t>
      </w:r>
      <w:r>
        <w:t xml:space="preserve"> </w:t>
      </w:r>
      <w:r w:rsidRPr="002C2AF6">
        <w:t>distinguish between the</w:t>
      </w:r>
      <w:r w:rsidRPr="002C2AF6">
        <w:rPr>
          <w:spacing w:val="1"/>
        </w:rPr>
        <w:t xml:space="preserve"> </w:t>
      </w:r>
      <w:r w:rsidRPr="002C2AF6">
        <w:t>two product</w:t>
      </w:r>
      <w:r w:rsidRPr="002C2AF6">
        <w:rPr>
          <w:spacing w:val="-2"/>
        </w:rPr>
        <w:t xml:space="preserve"> </w:t>
      </w:r>
      <w:r w:rsidRPr="002C2AF6">
        <w:t>categories has</w:t>
      </w:r>
      <w:r w:rsidRPr="002C2AF6">
        <w:rPr>
          <w:spacing w:val="-4"/>
        </w:rPr>
        <w:t xml:space="preserve"> </w:t>
      </w:r>
      <w:r w:rsidRPr="002C2AF6">
        <w:t>been the</w:t>
      </w:r>
      <w:r w:rsidRPr="002C2AF6">
        <w:rPr>
          <w:spacing w:val="1"/>
        </w:rPr>
        <w:t xml:space="preserve"> </w:t>
      </w:r>
      <w:r w:rsidRPr="002C2AF6">
        <w:t xml:space="preserve">growth </w:t>
      </w:r>
      <w:r w:rsidRPr="002C2AF6">
        <w:t>stage</w:t>
      </w:r>
      <w:r w:rsidRPr="002C2AF6">
        <w:rPr>
          <w:spacing w:val="1"/>
        </w:rPr>
        <w:t xml:space="preserve"> </w:t>
      </w:r>
      <w:r w:rsidRPr="002C2AF6">
        <w:t>of</w:t>
      </w:r>
      <w:r w:rsidRPr="002C2AF6">
        <w:rPr>
          <w:spacing w:val="-3"/>
        </w:rPr>
        <w:t xml:space="preserve"> </w:t>
      </w:r>
      <w:r w:rsidRPr="002C2AF6">
        <w:t>the</w:t>
      </w:r>
      <w:r w:rsidRPr="002C2AF6">
        <w:rPr>
          <w:spacing w:val="1"/>
        </w:rPr>
        <w:t xml:space="preserve"> </w:t>
      </w:r>
      <w:r w:rsidRPr="002C2AF6">
        <w:t>leaves. Sprouts are</w:t>
      </w:r>
      <w:r w:rsidRPr="002C2AF6">
        <w:rPr>
          <w:spacing w:val="55"/>
        </w:rPr>
        <w:t xml:space="preserve"> </w:t>
      </w:r>
      <w:r w:rsidRPr="002C2AF6">
        <w:t>usually</w:t>
      </w:r>
      <w:r w:rsidRPr="002C2AF6">
        <w:rPr>
          <w:spacing w:val="-5"/>
        </w:rPr>
        <w:t xml:space="preserve"> </w:t>
      </w:r>
      <w:r w:rsidRPr="002C2AF6">
        <w:t>harvested when the</w:t>
      </w:r>
      <w:r w:rsidRPr="002C2AF6">
        <w:rPr>
          <w:spacing w:val="1"/>
        </w:rPr>
        <w:t xml:space="preserve"> </w:t>
      </w:r>
      <w:r w:rsidRPr="002C2AF6">
        <w:t>cotyledons (i.e., seed</w:t>
      </w:r>
      <w:r w:rsidRPr="002C2AF6">
        <w:rPr>
          <w:spacing w:val="-3"/>
        </w:rPr>
        <w:t xml:space="preserve"> </w:t>
      </w:r>
      <w:r w:rsidRPr="002C2AF6">
        <w:t>leaves) are</w:t>
      </w:r>
      <w:r w:rsidRPr="002C2AF6">
        <w:rPr>
          <w:spacing w:val="1"/>
        </w:rPr>
        <w:t xml:space="preserve"> </w:t>
      </w:r>
      <w:r w:rsidRPr="002C2AF6">
        <w:t>still un- or under-developed</w:t>
      </w:r>
      <w:r w:rsidRPr="002C2AF6">
        <w:rPr>
          <w:spacing w:val="-3"/>
        </w:rPr>
        <w:t xml:space="preserve"> </w:t>
      </w:r>
      <w:r w:rsidRPr="002C2AF6">
        <w:t>and true</w:t>
      </w:r>
      <w:r>
        <w:t xml:space="preserve"> </w:t>
      </w:r>
      <w:r w:rsidRPr="002C2AF6">
        <w:t>leaves have</w:t>
      </w:r>
      <w:r w:rsidRPr="002C2AF6">
        <w:rPr>
          <w:spacing w:val="1"/>
        </w:rPr>
        <w:t xml:space="preserve"> </w:t>
      </w:r>
      <w:r w:rsidRPr="002C2AF6">
        <w:t xml:space="preserve">not </w:t>
      </w:r>
      <w:r w:rsidRPr="002C2AF6">
        <w:rPr>
          <w:spacing w:val="-2"/>
        </w:rPr>
        <w:t>begun</w:t>
      </w:r>
      <w:r w:rsidRPr="002C2AF6">
        <w:t xml:space="preserve"> to emerge.</w:t>
      </w:r>
      <w:r>
        <w:t xml:space="preserve"> </w:t>
      </w:r>
      <w:r w:rsidRPr="002C2AF6">
        <w:rPr>
          <w:spacing w:val="-2"/>
        </w:rPr>
        <w:t>In</w:t>
      </w:r>
      <w:r w:rsidRPr="002C2AF6">
        <w:t xml:space="preserve"> contrast, microgreens reach</w:t>
      </w:r>
      <w:r w:rsidRPr="002C2AF6">
        <w:rPr>
          <w:spacing w:val="-3"/>
        </w:rPr>
        <w:t xml:space="preserve"> </w:t>
      </w:r>
      <w:r w:rsidRPr="002C2AF6">
        <w:t>a</w:t>
      </w:r>
      <w:r w:rsidRPr="002C2AF6">
        <w:rPr>
          <w:spacing w:val="1"/>
        </w:rPr>
        <w:t xml:space="preserve"> </w:t>
      </w:r>
      <w:r w:rsidRPr="002C2AF6">
        <w:t>later stage</w:t>
      </w:r>
      <w:r w:rsidRPr="002C2AF6">
        <w:rPr>
          <w:spacing w:val="-2"/>
        </w:rPr>
        <w:t xml:space="preserve"> </w:t>
      </w:r>
      <w:r w:rsidRPr="002C2AF6">
        <w:t>of growth, typically</w:t>
      </w:r>
      <w:r>
        <w:t xml:space="preserve"> </w:t>
      </w:r>
      <w:r w:rsidRPr="002C2AF6">
        <w:t>associated with the</w:t>
      </w:r>
      <w:r w:rsidRPr="002C2AF6">
        <w:rPr>
          <w:spacing w:val="1"/>
        </w:rPr>
        <w:t xml:space="preserve"> </w:t>
      </w:r>
      <w:r w:rsidRPr="002C2AF6">
        <w:t>emergence</w:t>
      </w:r>
      <w:r w:rsidRPr="002C2AF6">
        <w:rPr>
          <w:spacing w:val="-2"/>
        </w:rPr>
        <w:t xml:space="preserve"> </w:t>
      </w:r>
      <w:r w:rsidRPr="002C2AF6">
        <w:t>of</w:t>
      </w:r>
      <w:r w:rsidRPr="002C2AF6">
        <w:rPr>
          <w:spacing w:val="-3"/>
        </w:rPr>
        <w:t xml:space="preserve"> </w:t>
      </w:r>
      <w:r w:rsidRPr="002C2AF6">
        <w:t>“true”</w:t>
      </w:r>
      <w:r w:rsidRPr="002C2AF6">
        <w:rPr>
          <w:spacing w:val="1"/>
        </w:rPr>
        <w:t xml:space="preserve"> </w:t>
      </w:r>
      <w:r w:rsidRPr="002C2AF6">
        <w:t>leaves. Unlike sprouts covered by Subpart M, microgreens are</w:t>
      </w:r>
      <w:r w:rsidRPr="002C2AF6">
        <w:rPr>
          <w:spacing w:val="1"/>
        </w:rPr>
        <w:t xml:space="preserve"> </w:t>
      </w:r>
      <w:r w:rsidRPr="002C2AF6">
        <w:t>typically grown in soil or</w:t>
      </w:r>
      <w:r>
        <w:t xml:space="preserve"> </w:t>
      </w:r>
      <w:r w:rsidRPr="002C2AF6">
        <w:t>substrate</w:t>
      </w:r>
      <w:r w:rsidRPr="002C2AF6">
        <w:rPr>
          <w:spacing w:val="-2"/>
        </w:rPr>
        <w:t xml:space="preserve"> </w:t>
      </w:r>
      <w:r w:rsidRPr="002C2AF6">
        <w:t xml:space="preserve">and harvested </w:t>
      </w:r>
      <w:r w:rsidRPr="002C2AF6">
        <w:rPr>
          <w:spacing w:val="-2"/>
        </w:rPr>
        <w:t>above</w:t>
      </w:r>
      <w:r w:rsidRPr="002C2AF6">
        <w:rPr>
          <w:spacing w:val="1"/>
        </w:rPr>
        <w:t xml:space="preserve"> </w:t>
      </w:r>
      <w:r w:rsidRPr="002C2AF6">
        <w:t>the</w:t>
      </w:r>
      <w:r w:rsidRPr="002C2AF6">
        <w:rPr>
          <w:spacing w:val="1"/>
        </w:rPr>
        <w:t xml:space="preserve"> </w:t>
      </w:r>
      <w:r w:rsidRPr="002C2AF6">
        <w:t>soil or substrate</w:t>
      </w:r>
      <w:r w:rsidRPr="002C2AF6">
        <w:rPr>
          <w:spacing w:val="1"/>
        </w:rPr>
        <w:t xml:space="preserve"> </w:t>
      </w:r>
      <w:r w:rsidRPr="002C2AF6">
        <w:t>line. Because</w:t>
      </w:r>
      <w:r w:rsidRPr="002C2AF6">
        <w:rPr>
          <w:spacing w:val="-2"/>
        </w:rPr>
        <w:t xml:space="preserve"> </w:t>
      </w:r>
      <w:r w:rsidRPr="002C2AF6">
        <w:t>microgreens</w:t>
      </w:r>
      <w:r w:rsidRPr="002C2AF6">
        <w:rPr>
          <w:spacing w:val="-4"/>
        </w:rPr>
        <w:t xml:space="preserve"> </w:t>
      </w:r>
      <w:r w:rsidRPr="002C2AF6">
        <w:t>are</w:t>
      </w:r>
      <w:r w:rsidRPr="002C2AF6">
        <w:rPr>
          <w:spacing w:val="1"/>
        </w:rPr>
        <w:t xml:space="preserve"> </w:t>
      </w:r>
      <w:r w:rsidRPr="002C2AF6">
        <w:t>not sprouts, they</w:t>
      </w:r>
      <w:r>
        <w:t xml:space="preserve"> </w:t>
      </w:r>
      <w:r w:rsidRPr="002C2AF6">
        <w:t>are</w:t>
      </w:r>
      <w:r w:rsidRPr="002C2AF6">
        <w:rPr>
          <w:spacing w:val="1"/>
        </w:rPr>
        <w:t xml:space="preserve"> </w:t>
      </w:r>
      <w:r w:rsidRPr="002C2AF6">
        <w:t>not subject</w:t>
      </w:r>
      <w:r w:rsidRPr="002C2AF6">
        <w:rPr>
          <w:spacing w:val="-2"/>
        </w:rPr>
        <w:t xml:space="preserve"> </w:t>
      </w:r>
      <w:r w:rsidRPr="002C2AF6">
        <w:t>to the</w:t>
      </w:r>
      <w:r w:rsidRPr="002C2AF6">
        <w:rPr>
          <w:spacing w:val="1"/>
        </w:rPr>
        <w:t xml:space="preserve"> </w:t>
      </w:r>
      <w:r w:rsidRPr="002C2AF6">
        <w:t>requirements in Subpart M (</w:t>
      </w:r>
      <w:r>
        <w:fldChar w:fldCharType="begin"/>
      </w:r>
      <w:r>
        <w:instrText xml:space="preserve"> REF _Ref51087560 \h </w:instrText>
      </w:r>
      <w:r w:rsidR="004B2A15">
        <w:instrText xml:space="preserve"> \* MERGEFORMAT </w:instrText>
      </w:r>
      <w:r>
        <w:fldChar w:fldCharType="separate"/>
      </w:r>
      <w:r w:rsidRPr="006E43DC" w:rsidR="000E290D">
        <w:t xml:space="preserve">Ref. </w:t>
      </w:r>
      <w:r w:rsidR="000E290D">
        <w:rPr>
          <w:noProof/>
        </w:rPr>
        <w:t>33</w:t>
      </w:r>
      <w:r>
        <w:fldChar w:fldCharType="end"/>
      </w:r>
      <w:r w:rsidRPr="002C2AF6">
        <w:t>).</w:t>
      </w:r>
      <w:r>
        <w:t xml:space="preserve"> </w:t>
      </w:r>
      <w:r w:rsidRPr="002C2AF6">
        <w:t>However, microgreens are</w:t>
      </w:r>
      <w:r w:rsidRPr="002C2AF6">
        <w:rPr>
          <w:spacing w:val="-2"/>
        </w:rPr>
        <w:t xml:space="preserve"> </w:t>
      </w:r>
      <w:r w:rsidRPr="002C2AF6">
        <w:t>considered</w:t>
      </w:r>
      <w:r>
        <w:t xml:space="preserve"> </w:t>
      </w:r>
      <w:r w:rsidRPr="002C2AF6">
        <w:t>covered produce</w:t>
      </w:r>
      <w:r w:rsidRPr="002C2AF6">
        <w:rPr>
          <w:spacing w:val="1"/>
        </w:rPr>
        <w:t xml:space="preserve"> </w:t>
      </w:r>
      <w:r w:rsidRPr="002C2AF6">
        <w:t>for the</w:t>
      </w:r>
      <w:r w:rsidRPr="002C2AF6">
        <w:rPr>
          <w:spacing w:val="1"/>
        </w:rPr>
        <w:t xml:space="preserve"> </w:t>
      </w:r>
      <w:r w:rsidRPr="002C2AF6">
        <w:t>purposes of</w:t>
      </w:r>
      <w:r w:rsidRPr="002C2AF6">
        <w:rPr>
          <w:spacing w:val="-3"/>
        </w:rPr>
        <w:t xml:space="preserve"> </w:t>
      </w:r>
      <w:r w:rsidRPr="002C2AF6">
        <w:t>the</w:t>
      </w:r>
      <w:r w:rsidRPr="002C2AF6">
        <w:rPr>
          <w:spacing w:val="1"/>
        </w:rPr>
        <w:t xml:space="preserve"> </w:t>
      </w:r>
      <w:r w:rsidRPr="002C2AF6">
        <w:t>Produce</w:t>
      </w:r>
      <w:r w:rsidRPr="002C2AF6">
        <w:rPr>
          <w:spacing w:val="1"/>
        </w:rPr>
        <w:t xml:space="preserve"> </w:t>
      </w:r>
      <w:r w:rsidRPr="002C2AF6">
        <w:t>Safety</w:t>
      </w:r>
      <w:r w:rsidRPr="002C2AF6">
        <w:rPr>
          <w:spacing w:val="-5"/>
        </w:rPr>
        <w:t xml:space="preserve"> </w:t>
      </w:r>
      <w:r w:rsidRPr="002C2AF6">
        <w:t>Rule</w:t>
      </w:r>
      <w:r w:rsidRPr="002C2AF6">
        <w:rPr>
          <w:spacing w:val="1"/>
        </w:rPr>
        <w:t xml:space="preserve"> </w:t>
      </w:r>
      <w:r w:rsidRPr="002C2AF6">
        <w:t>and, unless exempt or</w:t>
      </w:r>
      <w:r w:rsidRPr="002C2AF6">
        <w:rPr>
          <w:spacing w:val="-3"/>
        </w:rPr>
        <w:t xml:space="preserve"> </w:t>
      </w:r>
      <w:r w:rsidRPr="002C2AF6">
        <w:t>excluded under the</w:t>
      </w:r>
      <w:r w:rsidRPr="002C2AF6">
        <w:rPr>
          <w:spacing w:val="1"/>
        </w:rPr>
        <w:t xml:space="preserve"> </w:t>
      </w:r>
      <w:r w:rsidRPr="002C2AF6">
        <w:t>provisions in Subpart</w:t>
      </w:r>
      <w:r w:rsidRPr="002C2AF6">
        <w:rPr>
          <w:spacing w:val="-2"/>
        </w:rPr>
        <w:t xml:space="preserve"> </w:t>
      </w:r>
      <w:r w:rsidRPr="002C2AF6">
        <w:t>A, microgreens</w:t>
      </w:r>
      <w:r w:rsidRPr="002C2AF6">
        <w:rPr>
          <w:spacing w:val="-4"/>
        </w:rPr>
        <w:t xml:space="preserve"> </w:t>
      </w:r>
      <w:r w:rsidRPr="002C2AF6">
        <w:t>are</w:t>
      </w:r>
      <w:r w:rsidRPr="002C2AF6">
        <w:rPr>
          <w:spacing w:val="1"/>
        </w:rPr>
        <w:t xml:space="preserve"> </w:t>
      </w:r>
      <w:r w:rsidRPr="002C2AF6">
        <w:t>subject to</w:t>
      </w:r>
      <w:r w:rsidRPr="002C2AF6">
        <w:rPr>
          <w:spacing w:val="-3"/>
        </w:rPr>
        <w:t xml:space="preserve"> </w:t>
      </w:r>
      <w:r w:rsidRPr="002C2AF6">
        <w:t>the other subparts of</w:t>
      </w:r>
      <w:r w:rsidRPr="002C2AF6">
        <w:rPr>
          <w:spacing w:val="-3"/>
        </w:rPr>
        <w:t xml:space="preserve"> </w:t>
      </w:r>
      <w:r w:rsidRPr="002C2AF6">
        <w:t>the</w:t>
      </w:r>
      <w:r>
        <w:rPr>
          <w:spacing w:val="63"/>
        </w:rPr>
        <w:t xml:space="preserve"> </w:t>
      </w:r>
      <w:r w:rsidRPr="002C2AF6">
        <w:t>Produce</w:t>
      </w:r>
      <w:r w:rsidRPr="002C2AF6">
        <w:rPr>
          <w:spacing w:val="1"/>
        </w:rPr>
        <w:t xml:space="preserve"> </w:t>
      </w:r>
      <w:r w:rsidRPr="002C2AF6">
        <w:t>Safety</w:t>
      </w:r>
      <w:r w:rsidRPr="002C2AF6">
        <w:rPr>
          <w:spacing w:val="-5"/>
        </w:rPr>
        <w:t xml:space="preserve"> </w:t>
      </w:r>
      <w:r w:rsidRPr="002C2AF6">
        <w:t>Rule</w:t>
      </w:r>
      <w:r w:rsidRPr="002C2AF6">
        <w:rPr>
          <w:spacing w:val="1"/>
        </w:rPr>
        <w:t xml:space="preserve"> </w:t>
      </w:r>
      <w:r w:rsidRPr="002C2AF6">
        <w:t>(80 FR 74353 at</w:t>
      </w:r>
      <w:r w:rsidRPr="002C2AF6">
        <w:rPr>
          <w:spacing w:val="-2"/>
        </w:rPr>
        <w:t xml:space="preserve"> </w:t>
      </w:r>
      <w:r w:rsidRPr="002C2AF6">
        <w:t>74497, comment/response</w:t>
      </w:r>
      <w:r w:rsidRPr="002C2AF6">
        <w:rPr>
          <w:spacing w:val="-2"/>
        </w:rPr>
        <w:t xml:space="preserve"> </w:t>
      </w:r>
      <w:r w:rsidRPr="002C2AF6">
        <w:t>363).</w:t>
      </w:r>
    </w:p>
    <w:p w:rsidR="00191DF8" w:rsidRPr="00B77103" w:rsidP="00E47C04" w14:paraId="56FE28FB" w14:textId="62F47578">
      <w:pPr>
        <w:pStyle w:val="GuidanceParagraph"/>
      </w:pPr>
      <w:r w:rsidRPr="00B77103">
        <w:t xml:space="preserve">The following </w:t>
      </w:r>
      <w:r w:rsidR="007F248F">
        <w:t>figure</w:t>
      </w:r>
      <w:r w:rsidRPr="00B77103">
        <w:t xml:space="preserve"> provides factors to consider when determining whether sprouts are subject to the sprout-specific requirements of Subpart M of the Produce Safety Rule. </w:t>
      </w:r>
    </w:p>
    <w:p w:rsidR="00191DF8" w:rsidP="006431A0" w14:paraId="4638D749" w14:textId="29268797">
      <w:pPr>
        <w:rPr>
          <w:rFonts w:ascii="Times New Roman" w:hAnsi="Times New Roman" w:cs="Times New Roman"/>
          <w:b/>
          <w:bCs/>
          <w:sz w:val="24"/>
          <w:szCs w:val="24"/>
        </w:rPr>
      </w:pPr>
      <w:r w:rsidRPr="006431A0">
        <w:rPr>
          <w:rFonts w:ascii="Times New Roman" w:hAnsi="Times New Roman" w:cs="Times New Roman"/>
          <w:b/>
          <w:bCs/>
          <w:sz w:val="24"/>
          <w:szCs w:val="24"/>
        </w:rPr>
        <w:t>Figure</w:t>
      </w:r>
      <w:r w:rsidRPr="006431A0">
        <w:rPr>
          <w:rFonts w:ascii="Times New Roman" w:hAnsi="Times New Roman" w:cs="Times New Roman"/>
          <w:b/>
          <w:bCs/>
          <w:sz w:val="24"/>
          <w:szCs w:val="24"/>
        </w:rPr>
        <w:t xml:space="preserve"> 1. Determining Coverage under Subpart M of the Produce Safety Rule</w:t>
      </w:r>
    </w:p>
    <w:p w:rsidR="006431A0" w:rsidRPr="006431A0" w:rsidP="006431A0" w14:paraId="513F61FF" w14:textId="77777777">
      <w:pPr>
        <w:rPr>
          <w:rFonts w:ascii="Times New Roman" w:hAnsi="Times New Roman" w:cs="Times New Roman"/>
          <w:b/>
          <w:bCs/>
          <w:sz w:val="24"/>
          <w:szCs w:val="24"/>
        </w:rPr>
      </w:pPr>
    </w:p>
    <w:p w:rsidR="00191DF8" w:rsidP="002A2F14" w14:paraId="7FABEE58" w14:textId="77777777">
      <w:pPr>
        <w:spacing w:before="6" w:after="240"/>
        <w:rPr>
          <w:rFonts w:ascii="Times New Roman" w:eastAsia="Times New Roman" w:hAnsi="Times New Roman" w:cs="Times New Roman"/>
          <w:sz w:val="17"/>
          <w:szCs w:val="17"/>
        </w:rPr>
      </w:pPr>
      <w:r>
        <w:rPr>
          <w:noProof/>
        </w:rPr>
        <w:drawing>
          <wp:inline distT="0" distB="0" distL="0" distR="0">
            <wp:extent cx="4785360" cy="563127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rcRect l="6730" t="4321" r="11859"/>
                    <a:stretch>
                      <a:fillRect/>
                    </a:stretch>
                  </pic:blipFill>
                  <pic:spPr bwMode="auto">
                    <a:xfrm>
                      <a:off x="0" y="0"/>
                      <a:ext cx="4785360" cy="563127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191DF8" w:rsidRPr="002C2AF6" w:rsidP="00E47C04" w14:paraId="08E9788E" w14:textId="0BC8490F">
      <w:pPr>
        <w:pStyle w:val="GuidanceParagraph"/>
      </w:pPr>
      <w:r w:rsidRPr="002C2AF6">
        <w:t>Note</w:t>
      </w:r>
      <w:r w:rsidRPr="002C2AF6">
        <w:rPr>
          <w:spacing w:val="1"/>
        </w:rPr>
        <w:t xml:space="preserve"> </w:t>
      </w:r>
      <w:r w:rsidRPr="002C2AF6">
        <w:t>that throughout this</w:t>
      </w:r>
      <w:r w:rsidRPr="002C2AF6">
        <w:rPr>
          <w:spacing w:val="-4"/>
        </w:rPr>
        <w:t xml:space="preserve"> </w:t>
      </w:r>
      <w:r w:rsidRPr="002C2AF6">
        <w:t>guidance, for the</w:t>
      </w:r>
      <w:r w:rsidRPr="002C2AF6">
        <w:rPr>
          <w:spacing w:val="-2"/>
        </w:rPr>
        <w:t xml:space="preserve"> </w:t>
      </w:r>
      <w:r w:rsidRPr="002C2AF6">
        <w:t>ease</w:t>
      </w:r>
      <w:r w:rsidRPr="002C2AF6">
        <w:rPr>
          <w:spacing w:val="-2"/>
        </w:rPr>
        <w:t xml:space="preserve"> </w:t>
      </w:r>
      <w:r w:rsidRPr="002C2AF6">
        <w:t>of</w:t>
      </w:r>
      <w:r w:rsidRPr="002C2AF6">
        <w:rPr>
          <w:spacing w:val="-3"/>
        </w:rPr>
        <w:t xml:space="preserve"> </w:t>
      </w:r>
      <w:r w:rsidRPr="002C2AF6">
        <w:t>the</w:t>
      </w:r>
      <w:r w:rsidRPr="002C2AF6">
        <w:rPr>
          <w:spacing w:val="1"/>
        </w:rPr>
        <w:t xml:space="preserve"> </w:t>
      </w:r>
      <w:r w:rsidRPr="002C2AF6">
        <w:t xml:space="preserve">reader, </w:t>
      </w:r>
      <w:r w:rsidRPr="002C2AF6">
        <w:rPr>
          <w:spacing w:val="-2"/>
        </w:rPr>
        <w:t>we</w:t>
      </w:r>
      <w:r w:rsidRPr="002C2AF6">
        <w:rPr>
          <w:spacing w:val="1"/>
        </w:rPr>
        <w:t xml:space="preserve"> </w:t>
      </w:r>
      <w:r w:rsidRPr="002C2AF6">
        <w:t>often refer collectively</w:t>
      </w:r>
      <w:r w:rsidRPr="002C2AF6">
        <w:rPr>
          <w:spacing w:val="-5"/>
        </w:rPr>
        <w:t xml:space="preserve"> </w:t>
      </w:r>
      <w:r w:rsidRPr="002C2AF6">
        <w:t>to</w:t>
      </w:r>
      <w:r w:rsidRPr="002C2AF6">
        <w:rPr>
          <w:spacing w:val="67"/>
        </w:rPr>
        <w:t xml:space="preserve"> </w:t>
      </w:r>
      <w:r w:rsidRPr="002C2AF6">
        <w:t>everything, including beans,</w:t>
      </w:r>
      <w:r w:rsidRPr="002C2AF6">
        <w:rPr>
          <w:spacing w:val="-3"/>
        </w:rPr>
        <w:t xml:space="preserve"> </w:t>
      </w:r>
      <w:r w:rsidRPr="002C2AF6">
        <w:t>sprouted to produce</w:t>
      </w:r>
      <w:r w:rsidRPr="002C2AF6">
        <w:rPr>
          <w:spacing w:val="1"/>
        </w:rPr>
        <w:t xml:space="preserve"> </w:t>
      </w:r>
      <w:r w:rsidRPr="002C2AF6">
        <w:t>sprouts for human consumption simply</w:t>
      </w:r>
      <w:r w:rsidRPr="002C2AF6">
        <w:rPr>
          <w:spacing w:val="-5"/>
        </w:rPr>
        <w:t xml:space="preserve"> </w:t>
      </w:r>
      <w:r w:rsidRPr="002C2AF6">
        <w:t>as “seeds.”</w:t>
      </w:r>
      <w:r w:rsidR="0079423E">
        <w:t xml:space="preserve"> </w:t>
      </w:r>
      <w:r w:rsidRPr="002C2AF6">
        <w:rPr>
          <w:spacing w:val="-2"/>
        </w:rPr>
        <w:t>In</w:t>
      </w:r>
      <w:r w:rsidRPr="002C2AF6">
        <w:t xml:space="preserve"> the</w:t>
      </w:r>
      <w:r w:rsidRPr="002C2AF6">
        <w:rPr>
          <w:spacing w:val="1"/>
        </w:rPr>
        <w:t xml:space="preserve"> </w:t>
      </w:r>
      <w:r w:rsidRPr="002C2AF6">
        <w:t>Rule, we</w:t>
      </w:r>
      <w:r w:rsidRPr="002C2AF6">
        <w:rPr>
          <w:spacing w:val="-2"/>
        </w:rPr>
        <w:t xml:space="preserve"> </w:t>
      </w:r>
      <w:r w:rsidRPr="002C2AF6">
        <w:t>used the</w:t>
      </w:r>
      <w:r w:rsidRPr="002C2AF6">
        <w:rPr>
          <w:spacing w:val="1"/>
        </w:rPr>
        <w:t xml:space="preserve"> </w:t>
      </w:r>
      <w:r w:rsidRPr="002C2AF6">
        <w:t>phrase</w:t>
      </w:r>
      <w:r w:rsidRPr="002C2AF6">
        <w:rPr>
          <w:spacing w:val="1"/>
        </w:rPr>
        <w:t xml:space="preserve"> </w:t>
      </w:r>
      <w:r w:rsidRPr="002C2AF6">
        <w:t>“seeds or beans”</w:t>
      </w:r>
      <w:r w:rsidRPr="002C2AF6">
        <w:rPr>
          <w:spacing w:val="-2"/>
        </w:rPr>
        <w:t xml:space="preserve"> </w:t>
      </w:r>
      <w:r w:rsidRPr="002C2AF6">
        <w:t>to remove</w:t>
      </w:r>
      <w:r w:rsidRPr="002C2AF6">
        <w:rPr>
          <w:spacing w:val="1"/>
        </w:rPr>
        <w:t xml:space="preserve"> </w:t>
      </w:r>
      <w:r w:rsidRPr="002C2AF6">
        <w:t>any</w:t>
      </w:r>
      <w:r w:rsidRPr="002C2AF6">
        <w:rPr>
          <w:spacing w:val="-5"/>
        </w:rPr>
        <w:t xml:space="preserve"> </w:t>
      </w:r>
      <w:r w:rsidRPr="002C2AF6">
        <w:t>potential confusion as to whether</w:t>
      </w:r>
      <w:r w:rsidR="00F82BD3">
        <w:t xml:space="preserve"> </w:t>
      </w:r>
      <w:r w:rsidRPr="002C2AF6">
        <w:t>beans for sprouting</w:t>
      </w:r>
      <w:r w:rsidRPr="002C2AF6">
        <w:rPr>
          <w:spacing w:val="-3"/>
        </w:rPr>
        <w:t xml:space="preserve"> </w:t>
      </w:r>
      <w:r w:rsidRPr="002C2AF6">
        <w:t>were</w:t>
      </w:r>
      <w:r w:rsidRPr="002C2AF6">
        <w:rPr>
          <w:spacing w:val="1"/>
        </w:rPr>
        <w:t xml:space="preserve"> </w:t>
      </w:r>
      <w:r w:rsidRPr="002C2AF6">
        <w:t>included.</w:t>
      </w:r>
      <w:r w:rsidR="004B0CE8">
        <w:t xml:space="preserve"> </w:t>
      </w:r>
      <w:r w:rsidRPr="002C2AF6">
        <w:t>References to “seeds”</w:t>
      </w:r>
      <w:r w:rsidRPr="002C2AF6">
        <w:rPr>
          <w:spacing w:val="-2"/>
        </w:rPr>
        <w:t xml:space="preserve"> </w:t>
      </w:r>
      <w:r w:rsidRPr="002C2AF6">
        <w:t>in this guidance</w:t>
      </w:r>
      <w:r w:rsidRPr="002C2AF6">
        <w:rPr>
          <w:spacing w:val="1"/>
        </w:rPr>
        <w:t xml:space="preserve"> </w:t>
      </w:r>
      <w:r w:rsidRPr="002C2AF6">
        <w:t xml:space="preserve">should </w:t>
      </w:r>
      <w:r w:rsidRPr="002C2AF6">
        <w:rPr>
          <w:spacing w:val="-2"/>
        </w:rPr>
        <w:t>be</w:t>
      </w:r>
      <w:r w:rsidRPr="002C2AF6">
        <w:rPr>
          <w:spacing w:val="1"/>
        </w:rPr>
        <w:t xml:space="preserve"> </w:t>
      </w:r>
      <w:r w:rsidRPr="002C2AF6">
        <w:t>read to</w:t>
      </w:r>
      <w:r w:rsidR="00F82BD3">
        <w:t xml:space="preserve"> </w:t>
      </w:r>
      <w:r w:rsidRPr="002C2AF6">
        <w:t>include</w:t>
      </w:r>
      <w:r w:rsidRPr="002C2AF6">
        <w:rPr>
          <w:spacing w:val="1"/>
        </w:rPr>
        <w:t xml:space="preserve"> </w:t>
      </w:r>
      <w:r w:rsidRPr="002C2AF6">
        <w:t>things other than seeds that</w:t>
      </w:r>
      <w:r w:rsidRPr="002C2AF6">
        <w:rPr>
          <w:spacing w:val="-2"/>
        </w:rPr>
        <w:t xml:space="preserve"> </w:t>
      </w:r>
      <w:r w:rsidRPr="002C2AF6">
        <w:t>are</w:t>
      </w:r>
      <w:r w:rsidRPr="002C2AF6">
        <w:rPr>
          <w:spacing w:val="1"/>
        </w:rPr>
        <w:t xml:space="preserve"> </w:t>
      </w:r>
      <w:r w:rsidRPr="002C2AF6">
        <w:t>sprouted to produce</w:t>
      </w:r>
      <w:r w:rsidRPr="002C2AF6">
        <w:rPr>
          <w:spacing w:val="1"/>
        </w:rPr>
        <w:t xml:space="preserve"> </w:t>
      </w:r>
      <w:r w:rsidRPr="002C2AF6">
        <w:t xml:space="preserve">sprouts for human consumption, such as beans. </w:t>
      </w:r>
    </w:p>
    <w:p w:rsidR="00191DF8" w:rsidRPr="002C2AF6" w:rsidP="00E47C04" w14:paraId="67A49211" w14:textId="3D402C8F">
      <w:pPr>
        <w:pStyle w:val="GuidanceParagraph"/>
      </w:pPr>
      <w:r w:rsidRPr="002C2AF6">
        <w:t>In addition, the definition of</w:t>
      </w:r>
      <w:r w:rsidRPr="002C2AF6">
        <w:rPr>
          <w:i/>
          <w:iCs/>
        </w:rPr>
        <w:t xml:space="preserve"> </w:t>
      </w:r>
      <w:r w:rsidR="00BC2F20">
        <w:t>“</w:t>
      </w:r>
      <w:r w:rsidRPr="0085170C">
        <w:t>produce</w:t>
      </w:r>
      <w:r w:rsidR="00BC2F20">
        <w:t>”</w:t>
      </w:r>
      <w:r w:rsidRPr="002C2AF6">
        <w:rPr>
          <w:i/>
          <w:iCs/>
        </w:rPr>
        <w:t xml:space="preserve"> </w:t>
      </w:r>
      <w:r w:rsidRPr="002C2AF6">
        <w:t xml:space="preserve">includes sprouts irrespective of seed source (see § 112.3). We consider sprouts to be a distinct category of produce that includes many different varieties (e.g., alfalfa, mung). Sprouts (i.e., alfalfa, </w:t>
      </w:r>
      <w:r w:rsidRPr="002C2AF6">
        <w:t>mung</w:t>
      </w:r>
      <w:r w:rsidRPr="002C2AF6">
        <w:t xml:space="preserve"> and soybean sprouts) were evaluated to determine whether they are rarely consumed raw, and therefore exempt from the Produce Safety Rule (see </w:t>
      </w:r>
      <w:r w:rsidRPr="002C2AF6" w:rsidR="007C3CDD">
        <w:t>80 FR 74353 at</w:t>
      </w:r>
      <w:r w:rsidRPr="002C2AF6" w:rsidR="007C3CDD">
        <w:rPr>
          <w:spacing w:val="-2"/>
        </w:rPr>
        <w:t xml:space="preserve"> </w:t>
      </w:r>
      <w:r w:rsidR="007C3CDD">
        <w:rPr>
          <w:spacing w:val="-2"/>
        </w:rPr>
        <w:t>74392, comment</w:t>
      </w:r>
      <w:r w:rsidR="007C3CDD">
        <w:rPr>
          <w:spacing w:val="-1"/>
        </w:rPr>
        <w:t>/response</w:t>
      </w:r>
      <w:r w:rsidRPr="002C2AF6" w:rsidR="007C3CDD">
        <w:t xml:space="preserve"> </w:t>
      </w:r>
      <w:r w:rsidRPr="002C2AF6">
        <w:t xml:space="preserve">68). Sprouts did not meet the threshold criteria for the rarely consumed raw exemption and are therefore considered covered produce. The mature plant </w:t>
      </w:r>
      <w:r w:rsidR="005E72F8">
        <w:t xml:space="preserve">and/or the </w:t>
      </w:r>
      <w:r w:rsidRPr="002C2AF6" w:rsidR="005E72F8">
        <w:t xml:space="preserve">seeds used to grow sprouts </w:t>
      </w:r>
      <w:r w:rsidRPr="002C2AF6">
        <w:t xml:space="preserve">may or may not fall under the definition of </w:t>
      </w:r>
      <w:r w:rsidR="00BC2F20">
        <w:t>“</w:t>
      </w:r>
      <w:r w:rsidRPr="002C2AF6">
        <w:t>produce</w:t>
      </w:r>
      <w:r w:rsidR="006031BD">
        <w:t>.</w:t>
      </w:r>
      <w:r w:rsidR="00BC2F20">
        <w:t>”</w:t>
      </w:r>
      <w:r w:rsidRPr="002C2AF6">
        <w:t xml:space="preserve"> For example, wheatgrass sprouts and soybean sprouts have long been considered sprouts by the food industry and FDA and are covered produce under the Produce Safety Rule. However, for both wheat and soybeans, the mature crop</w:t>
      </w:r>
      <w:r w:rsidR="00F01CD1">
        <w:t>s</w:t>
      </w:r>
      <w:r w:rsidRPr="002C2AF6">
        <w:t xml:space="preserve"> </w:t>
      </w:r>
      <w:r w:rsidR="00F01CD1">
        <w:t>are</w:t>
      </w:r>
      <w:r w:rsidRPr="002C2AF6">
        <w:t xml:space="preserve"> considered food grains, </w:t>
      </w:r>
      <w:r w:rsidR="00576607">
        <w:t xml:space="preserve">which </w:t>
      </w:r>
      <w:r w:rsidRPr="002C2AF6">
        <w:t xml:space="preserve">do not fall under the definition of </w:t>
      </w:r>
      <w:r w:rsidR="00BC2F20">
        <w:t>“</w:t>
      </w:r>
      <w:r w:rsidRPr="002C2AF6">
        <w:t>produce</w:t>
      </w:r>
      <w:r w:rsidR="00955D79">
        <w:t>” and</w:t>
      </w:r>
      <w:r w:rsidRPr="002C2AF6">
        <w:t xml:space="preserve"> are not subject to the Produce Safety Rule. Sprouts may also be produced from seeds of produce that </w:t>
      </w:r>
      <w:r w:rsidRPr="002C2AF6">
        <w:t>is considered to be</w:t>
      </w:r>
      <w:r w:rsidRPr="002C2AF6">
        <w:t xml:space="preserve"> rarely consumed raw, such as beet or pumpkin sprouts. While the mature produce may be rarely consumed raw, and therefore exempt from the Produce Safety Rule, the sprouts produced from the seeds of these crops are still covered produce under the Produce Safety Rule because we consider sprouts to be a distinct commodity from the mature form, and sprouts have not met the threshold criteria for the rarely consumed raw exemption. </w:t>
      </w:r>
    </w:p>
    <w:p w:rsidR="00191DF8" w:rsidRPr="00D26298" w:rsidP="00F756C4" w14:paraId="0AB26E20" w14:textId="1DEB9DF0">
      <w:pPr>
        <w:pStyle w:val="HHS508GuidanceOutline2"/>
      </w:pPr>
      <w:bookmarkStart w:id="10" w:name="_Toc106094920"/>
      <w:r w:rsidRPr="00D26298">
        <w:t>Compliance Dates for Sprouts</w:t>
      </w:r>
      <w:bookmarkEnd w:id="10"/>
    </w:p>
    <w:p w:rsidR="00191DF8" w:rsidRPr="002C2AF6" w:rsidP="00E47C04" w14:paraId="7A3765F6" w14:textId="6A94AC38">
      <w:pPr>
        <w:pStyle w:val="GuidanceParagraph"/>
      </w:pPr>
      <w:r w:rsidRPr="002C2AF6">
        <w:t>Sprout operations covered by the Produce Safety Rule and subject to</w:t>
      </w:r>
      <w:r w:rsidRPr="002C2AF6">
        <w:rPr>
          <w:spacing w:val="-3"/>
        </w:rPr>
        <w:t xml:space="preserve"> </w:t>
      </w:r>
      <w:r w:rsidRPr="002C2AF6">
        <w:t xml:space="preserve">Subpart M must </w:t>
      </w:r>
      <w:r w:rsidRPr="002C2AF6">
        <w:rPr>
          <w:spacing w:val="-2"/>
        </w:rPr>
        <w:t>be</w:t>
      </w:r>
      <w:r w:rsidRPr="002C2AF6">
        <w:rPr>
          <w:spacing w:val="1"/>
        </w:rPr>
        <w:t xml:space="preserve"> </w:t>
      </w:r>
      <w:r w:rsidRPr="002C2AF6">
        <w:t>in</w:t>
      </w:r>
      <w:r w:rsidRPr="002C2AF6">
        <w:rPr>
          <w:spacing w:val="-3"/>
        </w:rPr>
        <w:t xml:space="preserve"> </w:t>
      </w:r>
      <w:r w:rsidRPr="002C2AF6">
        <w:t>compliance</w:t>
      </w:r>
      <w:r w:rsidRPr="002C2AF6">
        <w:rPr>
          <w:spacing w:val="1"/>
        </w:rPr>
        <w:t xml:space="preserve"> </w:t>
      </w:r>
      <w:r w:rsidRPr="002C2AF6">
        <w:t>with</w:t>
      </w:r>
      <w:r w:rsidRPr="002C2AF6">
        <w:rPr>
          <w:spacing w:val="-3"/>
        </w:rPr>
        <w:t xml:space="preserve"> </w:t>
      </w:r>
      <w:r w:rsidRPr="002C2AF6">
        <w:rPr>
          <w:spacing w:val="-2"/>
        </w:rPr>
        <w:t>all</w:t>
      </w:r>
      <w:r w:rsidR="0026447D">
        <w:rPr>
          <w:spacing w:val="-2"/>
        </w:rPr>
        <w:t xml:space="preserve"> </w:t>
      </w:r>
      <w:r w:rsidRPr="002C2AF6">
        <w:t>applicable</w:t>
      </w:r>
      <w:r w:rsidRPr="002C2AF6">
        <w:rPr>
          <w:spacing w:val="1"/>
        </w:rPr>
        <w:t xml:space="preserve"> </w:t>
      </w:r>
      <w:r w:rsidRPr="002C2AF6">
        <w:t>provisions of</w:t>
      </w:r>
      <w:r w:rsidRPr="002C2AF6">
        <w:rPr>
          <w:spacing w:val="-3"/>
        </w:rPr>
        <w:t xml:space="preserve"> </w:t>
      </w:r>
      <w:r w:rsidRPr="002C2AF6">
        <w:t>the</w:t>
      </w:r>
      <w:r w:rsidRPr="002C2AF6">
        <w:rPr>
          <w:spacing w:val="1"/>
        </w:rPr>
        <w:t xml:space="preserve"> </w:t>
      </w:r>
      <w:r w:rsidRPr="002C2AF6">
        <w:t>Produce</w:t>
      </w:r>
      <w:r w:rsidRPr="002C2AF6">
        <w:rPr>
          <w:spacing w:val="1"/>
        </w:rPr>
        <w:t xml:space="preserve"> </w:t>
      </w:r>
      <w:r w:rsidRPr="002C2AF6">
        <w:rPr>
          <w:spacing w:val="-2"/>
        </w:rPr>
        <w:t>Safety</w:t>
      </w:r>
      <w:r w:rsidRPr="002C2AF6">
        <w:rPr>
          <w:spacing w:val="-5"/>
        </w:rPr>
        <w:t xml:space="preserve"> </w:t>
      </w:r>
      <w:r w:rsidRPr="002C2AF6">
        <w:t>Rule at this time. The</w:t>
      </w:r>
      <w:r w:rsidRPr="002C2AF6">
        <w:rPr>
          <w:spacing w:val="1"/>
        </w:rPr>
        <w:t xml:space="preserve"> </w:t>
      </w:r>
      <w:r w:rsidRPr="002C2AF6">
        <w:t>extended compliance</w:t>
      </w:r>
      <w:r w:rsidRPr="002C2AF6">
        <w:rPr>
          <w:spacing w:val="1"/>
        </w:rPr>
        <w:t xml:space="preserve"> </w:t>
      </w:r>
      <w:r w:rsidRPr="002C2AF6">
        <w:t>dates provided for covered</w:t>
      </w:r>
      <w:r w:rsidRPr="002C2AF6">
        <w:rPr>
          <w:spacing w:val="1"/>
        </w:rPr>
        <w:t xml:space="preserve"> </w:t>
      </w:r>
      <w:r w:rsidRPr="002C2AF6">
        <w:t>farms producing other produce commodities to</w:t>
      </w:r>
      <w:r w:rsidR="00873415">
        <w:t xml:space="preserve"> </w:t>
      </w:r>
      <w:r w:rsidRPr="002C2AF6">
        <w:t>comply</w:t>
      </w:r>
      <w:r w:rsidRPr="002C2AF6">
        <w:rPr>
          <w:spacing w:val="-5"/>
        </w:rPr>
        <w:t xml:space="preserve"> </w:t>
      </w:r>
      <w:r w:rsidRPr="002C2AF6">
        <w:t>with the agricultural water requirements of Subpart E do not</w:t>
      </w:r>
      <w:r w:rsidRPr="002C2AF6">
        <w:rPr>
          <w:spacing w:val="-2"/>
        </w:rPr>
        <w:t xml:space="preserve"> </w:t>
      </w:r>
      <w:r w:rsidRPr="002C2AF6">
        <w:t>apply</w:t>
      </w:r>
      <w:r w:rsidRPr="002C2AF6">
        <w:rPr>
          <w:spacing w:val="-5"/>
        </w:rPr>
        <w:t xml:space="preserve"> </w:t>
      </w:r>
      <w:r w:rsidRPr="002C2AF6">
        <w:t>to the production of sprout</w:t>
      </w:r>
      <w:r w:rsidR="00576607">
        <w:t>s</w:t>
      </w:r>
      <w:r w:rsidRPr="002C2AF6">
        <w:t xml:space="preserve"> subject</w:t>
      </w:r>
      <w:r w:rsidR="00126C5B">
        <w:t xml:space="preserve"> </w:t>
      </w:r>
      <w:r w:rsidRPr="002C2AF6">
        <w:t>to Subpart M.</w:t>
      </w:r>
      <w:r w:rsidR="0000292B">
        <w:t xml:space="preserve"> </w:t>
      </w:r>
      <w:r w:rsidRPr="002C2AF6">
        <w:t>Sprout operations eligible</w:t>
      </w:r>
      <w:r w:rsidRPr="002C2AF6">
        <w:rPr>
          <w:spacing w:val="1"/>
        </w:rPr>
        <w:t xml:space="preserve"> </w:t>
      </w:r>
      <w:r w:rsidRPr="002C2AF6">
        <w:t>for the</w:t>
      </w:r>
      <w:r w:rsidRPr="002C2AF6">
        <w:rPr>
          <w:spacing w:val="1"/>
        </w:rPr>
        <w:t xml:space="preserve"> </w:t>
      </w:r>
      <w:r w:rsidRPr="002C2AF6">
        <w:t>qualified exemption from the</w:t>
      </w:r>
      <w:r w:rsidRPr="002C2AF6">
        <w:rPr>
          <w:spacing w:val="1"/>
        </w:rPr>
        <w:t xml:space="preserve"> </w:t>
      </w:r>
      <w:r w:rsidRPr="002C2AF6">
        <w:t>Produce</w:t>
      </w:r>
      <w:r w:rsidRPr="002C2AF6">
        <w:rPr>
          <w:spacing w:val="1"/>
        </w:rPr>
        <w:t xml:space="preserve"> </w:t>
      </w:r>
      <w:r w:rsidRPr="002C2AF6">
        <w:t>Safety</w:t>
      </w:r>
      <w:r w:rsidRPr="002C2AF6">
        <w:rPr>
          <w:spacing w:val="-5"/>
        </w:rPr>
        <w:t xml:space="preserve"> </w:t>
      </w:r>
      <w:r w:rsidRPr="002C2AF6">
        <w:t>Rule</w:t>
      </w:r>
      <w:r w:rsidRPr="002C2AF6">
        <w:rPr>
          <w:spacing w:val="1"/>
        </w:rPr>
        <w:t xml:space="preserve"> </w:t>
      </w:r>
      <w:r w:rsidRPr="002C2AF6">
        <w:t xml:space="preserve">are also expected to </w:t>
      </w:r>
      <w:r w:rsidRPr="002C2AF6">
        <w:t>be in compliance with</w:t>
      </w:r>
      <w:r w:rsidRPr="002C2AF6">
        <w:t xml:space="preserve"> the applicable</w:t>
      </w:r>
      <w:r w:rsidRPr="002C2AF6">
        <w:rPr>
          <w:spacing w:val="-3"/>
        </w:rPr>
        <w:t xml:space="preserve"> </w:t>
      </w:r>
      <w:r w:rsidRPr="002C2AF6">
        <w:t>modified</w:t>
      </w:r>
      <w:r w:rsidRPr="002C2AF6">
        <w:rPr>
          <w:spacing w:val="-3"/>
        </w:rPr>
        <w:t xml:space="preserve"> </w:t>
      </w:r>
      <w:r w:rsidRPr="002C2AF6">
        <w:t>requirements at this time.</w:t>
      </w:r>
      <w:r w:rsidR="0000292B">
        <w:t xml:space="preserve"> </w:t>
      </w:r>
    </w:p>
    <w:p w:rsidR="00191DF8" w:rsidRPr="002C2AF6" w:rsidP="00E47C04" w14:paraId="19AA2260" w14:textId="6329BE84">
      <w:pPr>
        <w:pStyle w:val="GuidanceParagraph"/>
      </w:pPr>
      <w:r w:rsidRPr="002C2AF6">
        <w:t>The</w:t>
      </w:r>
      <w:r w:rsidRPr="002C2AF6">
        <w:rPr>
          <w:spacing w:val="1"/>
        </w:rPr>
        <w:t xml:space="preserve"> </w:t>
      </w:r>
      <w:r w:rsidRPr="002C2AF6">
        <w:t>same</w:t>
      </w:r>
      <w:r w:rsidRPr="002C2AF6">
        <w:rPr>
          <w:spacing w:val="-2"/>
        </w:rPr>
        <w:t xml:space="preserve"> </w:t>
      </w:r>
      <w:r w:rsidRPr="002C2AF6">
        <w:t>compliance</w:t>
      </w:r>
      <w:r w:rsidRPr="002C2AF6">
        <w:rPr>
          <w:spacing w:val="-2"/>
        </w:rPr>
        <w:t xml:space="preserve"> </w:t>
      </w:r>
      <w:r w:rsidRPr="002C2AF6">
        <w:t>dates</w:t>
      </w:r>
      <w:r w:rsidRPr="002C2AF6">
        <w:rPr>
          <w:spacing w:val="-2"/>
        </w:rPr>
        <w:t xml:space="preserve"> </w:t>
      </w:r>
      <w:r w:rsidRPr="002C2AF6">
        <w:t>that</w:t>
      </w:r>
      <w:r w:rsidRPr="002C2AF6">
        <w:rPr>
          <w:spacing w:val="-2"/>
        </w:rPr>
        <w:t xml:space="preserve"> </w:t>
      </w:r>
      <w:r w:rsidRPr="002C2AF6">
        <w:t>apply</w:t>
      </w:r>
      <w:r w:rsidRPr="002C2AF6">
        <w:rPr>
          <w:spacing w:val="-5"/>
        </w:rPr>
        <w:t xml:space="preserve"> </w:t>
      </w:r>
      <w:r w:rsidRPr="002C2AF6">
        <w:t xml:space="preserve">to all other </w:t>
      </w:r>
      <w:r w:rsidRPr="002C2AF6">
        <w:rPr>
          <w:spacing w:val="-2"/>
        </w:rPr>
        <w:t>covered</w:t>
      </w:r>
      <w:r w:rsidRPr="002C2AF6">
        <w:t xml:space="preserve"> produce</w:t>
      </w:r>
      <w:r w:rsidRPr="002C2AF6">
        <w:rPr>
          <w:spacing w:val="1"/>
        </w:rPr>
        <w:t xml:space="preserve"> </w:t>
      </w:r>
      <w:r w:rsidRPr="002C2AF6">
        <w:t>apply</w:t>
      </w:r>
      <w:r w:rsidRPr="002C2AF6">
        <w:rPr>
          <w:spacing w:val="-5"/>
        </w:rPr>
        <w:t xml:space="preserve"> </w:t>
      </w:r>
      <w:r w:rsidRPr="002C2AF6">
        <w:t>to sprouts that are</w:t>
      </w:r>
      <w:r w:rsidRPr="002C2AF6">
        <w:rPr>
          <w:spacing w:val="1"/>
        </w:rPr>
        <w:t xml:space="preserve"> </w:t>
      </w:r>
      <w:r w:rsidRPr="002C2AF6">
        <w:t>not</w:t>
      </w:r>
      <w:r w:rsidRPr="002C2AF6">
        <w:rPr>
          <w:spacing w:val="51"/>
        </w:rPr>
        <w:t xml:space="preserve"> </w:t>
      </w:r>
      <w:r w:rsidRPr="002C2AF6">
        <w:t xml:space="preserve">subject to </w:t>
      </w:r>
      <w:r w:rsidR="00AD24BE">
        <w:t>S</w:t>
      </w:r>
      <w:r w:rsidRPr="002C2AF6" w:rsidR="00AD24BE">
        <w:t xml:space="preserve">ubpart </w:t>
      </w:r>
      <w:r w:rsidRPr="002C2AF6">
        <w:t>M but are otherwise subject to the Produce Safety Rule (i.e.,</w:t>
      </w:r>
      <w:r w:rsidRPr="002C2AF6">
        <w:rPr>
          <w:spacing w:val="-3"/>
        </w:rPr>
        <w:t xml:space="preserve"> </w:t>
      </w:r>
      <w:r w:rsidRPr="002C2AF6">
        <w:t>soil- or substrate-grown sprouts harvested without</w:t>
      </w:r>
      <w:r w:rsidRPr="002C2AF6">
        <w:rPr>
          <w:spacing w:val="-2"/>
        </w:rPr>
        <w:t xml:space="preserve"> </w:t>
      </w:r>
      <w:r w:rsidRPr="002C2AF6">
        <w:t>their roots).</w:t>
      </w:r>
    </w:p>
    <w:p w:rsidR="00191DF8" w:rsidRPr="00A11EAC" w:rsidP="00F756C4" w14:paraId="1D0E6E64" w14:textId="0AFCBA02">
      <w:pPr>
        <w:pStyle w:val="HHS508GuidanceOutline2"/>
      </w:pPr>
      <w:bookmarkStart w:id="11" w:name="_Toc106094921"/>
      <w:r w:rsidRPr="00A11EAC">
        <w:t>General Sprout Production</w:t>
      </w:r>
      <w:bookmarkEnd w:id="11"/>
    </w:p>
    <w:p w:rsidR="00566E50" w:rsidP="00E47C04" w14:paraId="1D9BFE94" w14:textId="0D246C9F">
      <w:pPr>
        <w:pStyle w:val="GuidanceParagraph"/>
      </w:pPr>
      <w:r>
        <w:t>This section discusses</w:t>
      </w:r>
      <w:r w:rsidRPr="00174B26" w:rsidR="00191DF8">
        <w:t xml:space="preserve"> common production practices for growing, harvesting, packing, </w:t>
      </w:r>
      <w:r w:rsidRPr="00174B26" w:rsidR="00191DF8">
        <w:t>packaging</w:t>
      </w:r>
      <w:r w:rsidRPr="00174B26" w:rsidR="00191DF8">
        <w:t xml:space="preserve"> and holding of sprouted seeds. Later </w:t>
      </w:r>
      <w:r w:rsidR="00101131">
        <w:t>sections</w:t>
      </w:r>
      <w:r w:rsidRPr="00174B26" w:rsidR="00191DF8">
        <w:t xml:space="preserve"> of this guidance describe the requirements of the Produce Safety Rule and provide recommendations for </w:t>
      </w:r>
      <w:r>
        <w:t xml:space="preserve">sprouts operations in conducting </w:t>
      </w:r>
      <w:r w:rsidRPr="00174B26" w:rsidR="00191DF8">
        <w:t xml:space="preserve">the different steps in sprout production. </w:t>
      </w:r>
    </w:p>
    <w:p w:rsidR="00191DF8" w:rsidRPr="00174B26" w:rsidP="00E47C04" w14:paraId="1A84F896" w14:textId="2EB7A362">
      <w:pPr>
        <w:pStyle w:val="GuidanceParagraph"/>
      </w:pPr>
      <w:r w:rsidRPr="00174B26">
        <w:t xml:space="preserve">Typically, sprout production consists broadly of the steps depicted in Figure </w:t>
      </w:r>
      <w:r w:rsidR="0000292B">
        <w:t>2</w:t>
      </w:r>
      <w:r w:rsidRPr="00174B26">
        <w:t xml:space="preserve">. Your operation may add to or omit some of these practices (or do them in a different order) depending on </w:t>
      </w:r>
      <w:r w:rsidRPr="00174B26">
        <w:t>a number of</w:t>
      </w:r>
      <w:r w:rsidRPr="00174B26">
        <w:t xml:space="preserve"> factors, including: the type of seeds you sprout; whether the required seed treatment is applied by you, your seed supplier, or both; and the size and resources of your operation. </w:t>
      </w:r>
    </w:p>
    <w:p w:rsidR="00191DF8" w:rsidRPr="007D1CD0" w:rsidP="007D1CD0" w14:paraId="3876069E" w14:textId="4447F528">
      <w:pPr>
        <w:rPr>
          <w:rFonts w:ascii="Times New Roman" w:hAnsi="Times New Roman" w:cs="Times New Roman"/>
          <w:b/>
          <w:bCs/>
          <w:sz w:val="24"/>
          <w:szCs w:val="24"/>
        </w:rPr>
      </w:pPr>
      <w:r w:rsidRPr="007D1CD0">
        <w:rPr>
          <w:rFonts w:ascii="Times New Roman" w:hAnsi="Times New Roman" w:cs="Times New Roman"/>
          <w:b/>
          <w:bCs/>
          <w:sz w:val="24"/>
          <w:szCs w:val="24"/>
        </w:rPr>
        <w:t xml:space="preserve">Figure </w:t>
      </w:r>
      <w:r w:rsidRPr="007D1CD0" w:rsidR="00C526DD">
        <w:rPr>
          <w:rFonts w:ascii="Times New Roman" w:hAnsi="Times New Roman" w:cs="Times New Roman"/>
          <w:b/>
          <w:bCs/>
          <w:sz w:val="24"/>
          <w:szCs w:val="24"/>
        </w:rPr>
        <w:t>2</w:t>
      </w:r>
      <w:r w:rsidRPr="007D1CD0">
        <w:rPr>
          <w:rFonts w:ascii="Times New Roman" w:hAnsi="Times New Roman" w:cs="Times New Roman"/>
          <w:b/>
          <w:bCs/>
          <w:sz w:val="24"/>
          <w:szCs w:val="24"/>
        </w:rPr>
        <w:t xml:space="preserve">. Typical Sprout Production Processes (Adapted from </w:t>
      </w:r>
      <w:r w:rsidRPr="007D1CD0" w:rsidR="00177662">
        <w:rPr>
          <w:rFonts w:ascii="Times New Roman" w:hAnsi="Times New Roman" w:cs="Times New Roman"/>
          <w:b/>
          <w:bCs/>
          <w:sz w:val="24"/>
          <w:szCs w:val="24"/>
        </w:rPr>
        <w:fldChar w:fldCharType="begin"/>
      </w:r>
      <w:r w:rsidRPr="007D1CD0" w:rsidR="00177662">
        <w:rPr>
          <w:rFonts w:ascii="Times New Roman" w:hAnsi="Times New Roman" w:cs="Times New Roman"/>
          <w:b/>
          <w:bCs/>
          <w:sz w:val="24"/>
          <w:szCs w:val="24"/>
        </w:rPr>
        <w:instrText xml:space="preserve"> REF _Ref51086174 \h </w:instrText>
      </w:r>
      <w:r w:rsidRPr="007D1CD0" w:rsidR="004B2A15">
        <w:rPr>
          <w:rFonts w:ascii="Times New Roman" w:hAnsi="Times New Roman" w:cs="Times New Roman"/>
          <w:b/>
          <w:bCs/>
          <w:sz w:val="24"/>
          <w:szCs w:val="24"/>
        </w:rPr>
        <w:instrText xml:space="preserve"> \* MERGEFORMAT </w:instrText>
      </w:r>
      <w:r w:rsidRPr="007D1CD0" w:rsidR="00177662">
        <w:rPr>
          <w:rFonts w:ascii="Times New Roman" w:hAnsi="Times New Roman" w:cs="Times New Roman"/>
          <w:b/>
          <w:bCs/>
          <w:sz w:val="24"/>
          <w:szCs w:val="24"/>
        </w:rPr>
        <w:fldChar w:fldCharType="separate"/>
      </w:r>
      <w:r w:rsidRPr="007D1CD0" w:rsidR="00574301">
        <w:rPr>
          <w:rFonts w:ascii="Times New Roman" w:hAnsi="Times New Roman" w:cs="Times New Roman"/>
          <w:b/>
          <w:bCs/>
          <w:sz w:val="24"/>
          <w:szCs w:val="24"/>
        </w:rPr>
        <w:t xml:space="preserve">Ref. </w:t>
      </w:r>
      <w:r w:rsidRPr="007D1CD0" w:rsidR="00574301">
        <w:rPr>
          <w:rFonts w:ascii="Times New Roman" w:hAnsi="Times New Roman" w:cs="Times New Roman"/>
          <w:b/>
          <w:bCs/>
          <w:noProof/>
          <w:sz w:val="24"/>
          <w:szCs w:val="24"/>
        </w:rPr>
        <w:t>2</w:t>
      </w:r>
      <w:r w:rsidRPr="007D1CD0" w:rsidR="00177662">
        <w:rPr>
          <w:rFonts w:ascii="Times New Roman" w:hAnsi="Times New Roman" w:cs="Times New Roman"/>
          <w:b/>
          <w:bCs/>
          <w:sz w:val="24"/>
          <w:szCs w:val="24"/>
        </w:rPr>
        <w:fldChar w:fldCharType="end"/>
      </w:r>
      <w:r w:rsidRPr="007D1CD0">
        <w:rPr>
          <w:rFonts w:ascii="Times New Roman" w:hAnsi="Times New Roman" w:cs="Times New Roman"/>
          <w:b/>
          <w:bCs/>
          <w:sz w:val="24"/>
          <w:szCs w:val="24"/>
        </w:rPr>
        <w:t>)</w:t>
      </w:r>
    </w:p>
    <w:p w:rsidR="00571595" w:rsidRPr="00192B70" w:rsidP="002A2F14" w14:paraId="7616FA40" w14:textId="3C2351B8">
      <w:pPr>
        <w:spacing w:before="196" w:after="240"/>
        <w:ind w:right="249"/>
        <w:rPr>
          <w:rFonts w:ascii="Times New Roman" w:hAnsi="Times New Roman" w:cs="Times New Roman"/>
          <w:sz w:val="24"/>
          <w:szCs w:val="24"/>
        </w:rPr>
      </w:pPr>
      <w:r w:rsidRPr="00192B70">
        <w:rPr>
          <w:rFonts w:ascii="Times New Roman" w:eastAsia="Times New Roman" w:hAnsi="Times New Roman"/>
          <w:spacing w:val="-1"/>
          <w:sz w:val="24"/>
          <w:szCs w:val="24"/>
        </w:rPr>
        <w:t>Seed</w:t>
      </w:r>
      <w:r w:rsidRPr="00192B70">
        <w:rPr>
          <w:rFonts w:ascii="Times New Roman" w:eastAsia="Times New Roman" w:hAnsi="Times New Roman"/>
          <w:sz w:val="24"/>
          <w:szCs w:val="24"/>
        </w:rPr>
        <w:t xml:space="preserve"> </w:t>
      </w:r>
      <w:r w:rsidRPr="00192B70">
        <w:rPr>
          <w:rFonts w:ascii="Times New Roman" w:eastAsia="Times New Roman" w:hAnsi="Times New Roman"/>
          <w:spacing w:val="-1"/>
          <w:sz w:val="24"/>
          <w:szCs w:val="24"/>
        </w:rPr>
        <w:t>Receipt</w:t>
      </w:r>
      <w:r w:rsidRPr="00192B70">
        <w:rPr>
          <w:rFonts w:ascii="Times New Roman" w:eastAsia="Times New Roman" w:hAnsi="Times New Roman"/>
          <w:sz w:val="24"/>
          <w:szCs w:val="24"/>
        </w:rPr>
        <w:t xml:space="preserve"> </w:t>
      </w:r>
      <w:r w:rsidRPr="00192B70">
        <w:rPr>
          <w:rFonts w:ascii="Wingdings" w:eastAsia="Wingdings" w:hAnsi="Wingdings" w:cs="Wingdings"/>
          <w:sz w:val="24"/>
          <w:szCs w:val="24"/>
        </w:rPr>
        <w:sym w:font="Wingdings" w:char="F0E0"/>
      </w:r>
      <w:r w:rsidRPr="00192B70">
        <w:rPr>
          <w:rFonts w:ascii="Wingdings" w:eastAsia="Wingdings" w:hAnsi="Wingdings" w:cs="Wingdings"/>
          <w:spacing w:val="-173"/>
          <w:sz w:val="24"/>
          <w:szCs w:val="24"/>
        </w:rPr>
        <w:sym w:font="Wingdings" w:char="F020"/>
      </w:r>
      <w:r w:rsidRPr="00192B70">
        <w:rPr>
          <w:rFonts w:ascii="Times New Roman" w:eastAsia="Times New Roman" w:hAnsi="Times New Roman"/>
          <w:spacing w:val="-1"/>
          <w:sz w:val="24"/>
          <w:szCs w:val="24"/>
        </w:rPr>
        <w:t>Seed</w:t>
      </w:r>
      <w:r w:rsidRPr="00192B70">
        <w:rPr>
          <w:rFonts w:ascii="Times New Roman" w:eastAsia="Times New Roman" w:hAnsi="Times New Roman"/>
          <w:sz w:val="24"/>
          <w:szCs w:val="24"/>
        </w:rPr>
        <w:t xml:space="preserve"> </w:t>
      </w:r>
      <w:r w:rsidRPr="00192B70">
        <w:rPr>
          <w:rFonts w:ascii="Times New Roman" w:eastAsia="Times New Roman" w:hAnsi="Times New Roman"/>
          <w:spacing w:val="-1"/>
          <w:sz w:val="24"/>
          <w:szCs w:val="24"/>
        </w:rPr>
        <w:t>Storage</w:t>
      </w:r>
      <w:r w:rsidRPr="00192B70">
        <w:rPr>
          <w:rFonts w:ascii="Times New Roman" w:eastAsia="Times New Roman" w:hAnsi="Times New Roman"/>
          <w:spacing w:val="1"/>
          <w:sz w:val="24"/>
          <w:szCs w:val="24"/>
        </w:rPr>
        <w:t xml:space="preserve"> </w:t>
      </w:r>
      <w:r w:rsidRPr="00192B70">
        <w:rPr>
          <w:rFonts w:ascii="Wingdings" w:eastAsia="Wingdings" w:hAnsi="Wingdings" w:cs="Wingdings"/>
          <w:sz w:val="24"/>
          <w:szCs w:val="24"/>
        </w:rPr>
        <w:sym w:font="Wingdings" w:char="F0E0"/>
      </w:r>
      <w:r w:rsidRPr="00192B70">
        <w:rPr>
          <w:rFonts w:ascii="Wingdings" w:eastAsia="Wingdings" w:hAnsi="Wingdings" w:cs="Wingdings"/>
          <w:spacing w:val="-172"/>
          <w:sz w:val="24"/>
          <w:szCs w:val="24"/>
        </w:rPr>
        <w:sym w:font="Wingdings" w:char="F020"/>
      </w:r>
      <w:r w:rsidRPr="00192B70">
        <w:rPr>
          <w:rFonts w:ascii="Times New Roman" w:eastAsia="Times New Roman" w:hAnsi="Times New Roman"/>
          <w:spacing w:val="-1"/>
          <w:sz w:val="24"/>
          <w:szCs w:val="24"/>
        </w:rPr>
        <w:t>Initial</w:t>
      </w:r>
      <w:r w:rsidRPr="00192B70">
        <w:rPr>
          <w:rFonts w:ascii="Times New Roman" w:eastAsia="Times New Roman" w:hAnsi="Times New Roman"/>
          <w:sz w:val="24"/>
          <w:szCs w:val="24"/>
        </w:rPr>
        <w:t xml:space="preserve"> </w:t>
      </w:r>
      <w:r w:rsidRPr="00192B70">
        <w:rPr>
          <w:rFonts w:ascii="Times New Roman" w:eastAsia="Times New Roman" w:hAnsi="Times New Roman"/>
          <w:spacing w:val="-1"/>
          <w:sz w:val="24"/>
          <w:szCs w:val="24"/>
        </w:rPr>
        <w:t>Seed</w:t>
      </w:r>
      <w:r w:rsidRPr="00192B70">
        <w:rPr>
          <w:rFonts w:ascii="Times New Roman" w:eastAsia="Times New Roman" w:hAnsi="Times New Roman"/>
          <w:sz w:val="24"/>
          <w:szCs w:val="24"/>
        </w:rPr>
        <w:t xml:space="preserve"> </w:t>
      </w:r>
      <w:r w:rsidRPr="00192B70">
        <w:rPr>
          <w:rFonts w:ascii="Times New Roman" w:eastAsia="Times New Roman" w:hAnsi="Times New Roman"/>
          <w:spacing w:val="-1"/>
          <w:sz w:val="24"/>
          <w:szCs w:val="24"/>
        </w:rPr>
        <w:t>Rinse</w:t>
      </w:r>
      <w:r w:rsidRPr="00192B70">
        <w:rPr>
          <w:rFonts w:ascii="Times New Roman" w:eastAsia="Times New Roman" w:hAnsi="Times New Roman"/>
          <w:spacing w:val="-2"/>
          <w:sz w:val="24"/>
          <w:szCs w:val="24"/>
        </w:rPr>
        <w:t xml:space="preserve"> </w:t>
      </w:r>
      <w:r w:rsidRPr="00192B70">
        <w:rPr>
          <w:rFonts w:ascii="Wingdings" w:eastAsia="Wingdings" w:hAnsi="Wingdings" w:cs="Wingdings"/>
          <w:sz w:val="24"/>
          <w:szCs w:val="24"/>
        </w:rPr>
        <w:sym w:font="Wingdings" w:char="F0E0"/>
      </w:r>
      <w:r w:rsidRPr="00192B70">
        <w:rPr>
          <w:rFonts w:ascii="Wingdings" w:eastAsia="Wingdings" w:hAnsi="Wingdings" w:cs="Wingdings"/>
          <w:spacing w:val="-173"/>
          <w:sz w:val="24"/>
          <w:szCs w:val="24"/>
        </w:rPr>
        <w:sym w:font="Wingdings" w:char="F020"/>
      </w:r>
      <w:r w:rsidRPr="00192B70">
        <w:rPr>
          <w:rFonts w:ascii="Times New Roman" w:eastAsia="Times New Roman" w:hAnsi="Times New Roman"/>
          <w:spacing w:val="-1"/>
          <w:sz w:val="24"/>
          <w:szCs w:val="24"/>
        </w:rPr>
        <w:t>Seed</w:t>
      </w:r>
      <w:r w:rsidRPr="00192B70">
        <w:rPr>
          <w:rFonts w:ascii="Times New Roman" w:eastAsia="Times New Roman" w:hAnsi="Times New Roman"/>
          <w:sz w:val="24"/>
          <w:szCs w:val="24"/>
        </w:rPr>
        <w:t xml:space="preserve"> </w:t>
      </w:r>
      <w:r w:rsidRPr="00192B70">
        <w:rPr>
          <w:rFonts w:ascii="Times New Roman" w:eastAsia="Times New Roman" w:hAnsi="Times New Roman"/>
          <w:spacing w:val="-1"/>
          <w:sz w:val="24"/>
          <w:szCs w:val="24"/>
        </w:rPr>
        <w:t>Treatment</w:t>
      </w:r>
      <w:r w:rsidRPr="00192B70">
        <w:rPr>
          <w:rFonts w:ascii="Times New Roman" w:eastAsia="Times New Roman" w:hAnsi="Times New Roman"/>
          <w:sz w:val="24"/>
          <w:szCs w:val="24"/>
        </w:rPr>
        <w:t xml:space="preserve"> </w:t>
      </w:r>
      <w:r w:rsidRPr="00192B70">
        <w:rPr>
          <w:rFonts w:ascii="Wingdings" w:eastAsia="Wingdings" w:hAnsi="Wingdings" w:cs="Wingdings"/>
          <w:sz w:val="24"/>
          <w:szCs w:val="24"/>
        </w:rPr>
        <w:sym w:font="Wingdings" w:char="F0E0"/>
      </w:r>
      <w:r w:rsidRPr="00192B70">
        <w:rPr>
          <w:rFonts w:ascii="Wingdings" w:eastAsia="Wingdings" w:hAnsi="Wingdings" w:cs="Wingdings"/>
          <w:spacing w:val="-172"/>
          <w:sz w:val="24"/>
          <w:szCs w:val="24"/>
        </w:rPr>
        <w:sym w:font="Wingdings" w:char="F020"/>
      </w:r>
      <w:r w:rsidRPr="00192B70">
        <w:rPr>
          <w:rFonts w:ascii="Times New Roman" w:eastAsia="Times New Roman" w:hAnsi="Times New Roman"/>
          <w:spacing w:val="-1"/>
          <w:sz w:val="24"/>
          <w:szCs w:val="24"/>
        </w:rPr>
        <w:t>Pre-germination</w:t>
      </w:r>
      <w:r w:rsidRPr="00192B70">
        <w:rPr>
          <w:rFonts w:ascii="Times New Roman" w:eastAsia="Times New Roman" w:hAnsi="Times New Roman"/>
          <w:sz w:val="24"/>
          <w:szCs w:val="24"/>
        </w:rPr>
        <w:t xml:space="preserve"> </w:t>
      </w:r>
      <w:r w:rsidRPr="00192B70">
        <w:rPr>
          <w:rFonts w:ascii="Times New Roman" w:eastAsia="Times New Roman" w:hAnsi="Times New Roman"/>
          <w:spacing w:val="-1"/>
          <w:sz w:val="24"/>
          <w:szCs w:val="24"/>
        </w:rPr>
        <w:t>Seed</w:t>
      </w:r>
      <w:r w:rsidRPr="00192B70">
        <w:rPr>
          <w:rFonts w:ascii="Times New Roman" w:eastAsia="Times New Roman" w:hAnsi="Times New Roman"/>
          <w:spacing w:val="43"/>
          <w:sz w:val="24"/>
          <w:szCs w:val="24"/>
        </w:rPr>
        <w:t xml:space="preserve"> </w:t>
      </w:r>
      <w:r w:rsidRPr="00192B70">
        <w:rPr>
          <w:rFonts w:ascii="Times New Roman" w:eastAsia="Times New Roman" w:hAnsi="Times New Roman"/>
          <w:spacing w:val="-1"/>
          <w:sz w:val="24"/>
          <w:szCs w:val="24"/>
        </w:rPr>
        <w:t>Soak</w:t>
      </w:r>
      <w:r w:rsidRPr="00192B70">
        <w:rPr>
          <w:rFonts w:ascii="Times New Roman" w:eastAsia="Times New Roman" w:hAnsi="Times New Roman"/>
          <w:sz w:val="24"/>
          <w:szCs w:val="24"/>
        </w:rPr>
        <w:t xml:space="preserve"> </w:t>
      </w:r>
      <w:r w:rsidRPr="00192B70">
        <w:rPr>
          <w:rFonts w:ascii="Wingdings" w:eastAsia="Wingdings" w:hAnsi="Wingdings" w:cs="Wingdings"/>
          <w:sz w:val="24"/>
          <w:szCs w:val="24"/>
        </w:rPr>
        <w:sym w:font="Wingdings" w:char="F0E0"/>
      </w:r>
      <w:r w:rsidRPr="00192B70">
        <w:rPr>
          <w:rFonts w:ascii="Wingdings" w:eastAsia="Wingdings" w:hAnsi="Wingdings" w:cs="Wingdings"/>
          <w:spacing w:val="-173"/>
          <w:sz w:val="24"/>
          <w:szCs w:val="24"/>
        </w:rPr>
        <w:sym w:font="Wingdings" w:char="F020"/>
      </w:r>
      <w:r w:rsidRPr="00192B70">
        <w:rPr>
          <w:rFonts w:ascii="Times New Roman" w:eastAsia="Times New Roman" w:hAnsi="Times New Roman"/>
          <w:spacing w:val="-1"/>
          <w:sz w:val="24"/>
          <w:szCs w:val="24"/>
        </w:rPr>
        <w:t>Germination</w:t>
      </w:r>
      <w:r w:rsidRPr="00192B70">
        <w:rPr>
          <w:rFonts w:ascii="Times New Roman" w:eastAsia="Times New Roman" w:hAnsi="Times New Roman"/>
          <w:spacing w:val="-3"/>
          <w:sz w:val="24"/>
          <w:szCs w:val="24"/>
        </w:rPr>
        <w:t xml:space="preserve"> </w:t>
      </w:r>
      <w:r w:rsidRPr="00192B70">
        <w:rPr>
          <w:rFonts w:ascii="Times New Roman" w:eastAsia="Times New Roman" w:hAnsi="Times New Roman"/>
          <w:sz w:val="24"/>
          <w:szCs w:val="24"/>
        </w:rPr>
        <w:t>and</w:t>
      </w:r>
      <w:r w:rsidRPr="00192B70">
        <w:rPr>
          <w:rFonts w:ascii="Times New Roman" w:eastAsia="Times New Roman" w:hAnsi="Times New Roman"/>
          <w:spacing w:val="-3"/>
          <w:sz w:val="24"/>
          <w:szCs w:val="24"/>
        </w:rPr>
        <w:t xml:space="preserve"> </w:t>
      </w:r>
      <w:r w:rsidRPr="00192B70">
        <w:rPr>
          <w:rFonts w:ascii="Times New Roman" w:eastAsia="Times New Roman" w:hAnsi="Times New Roman"/>
          <w:spacing w:val="-1"/>
          <w:sz w:val="24"/>
          <w:szCs w:val="24"/>
        </w:rPr>
        <w:t>Growth</w:t>
      </w:r>
      <w:r w:rsidRPr="00192B70">
        <w:rPr>
          <w:rFonts w:ascii="Times New Roman" w:eastAsia="Times New Roman" w:hAnsi="Times New Roman"/>
          <w:sz w:val="24"/>
          <w:szCs w:val="24"/>
        </w:rPr>
        <w:t xml:space="preserve"> </w:t>
      </w:r>
      <w:r w:rsidRPr="00192B70">
        <w:rPr>
          <w:rFonts w:ascii="Wingdings" w:eastAsia="Wingdings" w:hAnsi="Wingdings" w:cs="Wingdings"/>
          <w:sz w:val="24"/>
          <w:szCs w:val="24"/>
        </w:rPr>
        <w:sym w:font="Wingdings" w:char="F0E0"/>
      </w:r>
      <w:r w:rsidRPr="00192B70">
        <w:rPr>
          <w:rFonts w:ascii="Wingdings" w:eastAsia="Wingdings" w:hAnsi="Wingdings" w:cs="Wingdings"/>
          <w:spacing w:val="-172"/>
          <w:sz w:val="24"/>
          <w:szCs w:val="24"/>
        </w:rPr>
        <w:sym w:font="Wingdings" w:char="F020"/>
      </w:r>
      <w:r w:rsidRPr="00192B70">
        <w:rPr>
          <w:rFonts w:ascii="Times New Roman" w:eastAsia="Times New Roman" w:hAnsi="Times New Roman"/>
          <w:spacing w:val="-1"/>
          <w:sz w:val="24"/>
          <w:szCs w:val="24"/>
        </w:rPr>
        <w:t>Microbial</w:t>
      </w:r>
      <w:r w:rsidRPr="00192B70">
        <w:rPr>
          <w:rFonts w:ascii="Times New Roman" w:eastAsia="Times New Roman" w:hAnsi="Times New Roman"/>
          <w:spacing w:val="-2"/>
          <w:sz w:val="24"/>
          <w:szCs w:val="24"/>
        </w:rPr>
        <w:t xml:space="preserve"> </w:t>
      </w:r>
      <w:r w:rsidR="00901B43">
        <w:rPr>
          <w:rFonts w:ascii="Times New Roman" w:eastAsia="Times New Roman" w:hAnsi="Times New Roman"/>
          <w:spacing w:val="-1"/>
          <w:sz w:val="24"/>
          <w:szCs w:val="24"/>
        </w:rPr>
        <w:t>T</w:t>
      </w:r>
      <w:r w:rsidRPr="00192B70">
        <w:rPr>
          <w:rFonts w:ascii="Times New Roman" w:eastAsia="Times New Roman" w:hAnsi="Times New Roman"/>
          <w:spacing w:val="-1"/>
          <w:sz w:val="24"/>
          <w:szCs w:val="24"/>
        </w:rPr>
        <w:t>esting</w:t>
      </w:r>
      <w:r w:rsidRPr="00192B70">
        <w:rPr>
          <w:rFonts w:ascii="Times New Roman" w:eastAsia="Times New Roman" w:hAnsi="Times New Roman"/>
          <w:spacing w:val="-3"/>
          <w:sz w:val="24"/>
          <w:szCs w:val="24"/>
        </w:rPr>
        <w:t xml:space="preserve"> </w:t>
      </w:r>
      <w:r w:rsidRPr="00192B70">
        <w:rPr>
          <w:rFonts w:ascii="Times New Roman" w:eastAsia="Times New Roman" w:hAnsi="Times New Roman"/>
          <w:spacing w:val="1"/>
          <w:sz w:val="24"/>
          <w:szCs w:val="24"/>
        </w:rPr>
        <w:t>of</w:t>
      </w:r>
      <w:r w:rsidRPr="00192B70">
        <w:rPr>
          <w:rFonts w:ascii="Times New Roman" w:eastAsia="Times New Roman" w:hAnsi="Times New Roman"/>
          <w:spacing w:val="-3"/>
          <w:sz w:val="24"/>
          <w:szCs w:val="24"/>
        </w:rPr>
        <w:t xml:space="preserve"> </w:t>
      </w:r>
      <w:r w:rsidR="00901B43">
        <w:rPr>
          <w:rFonts w:ascii="Times New Roman" w:eastAsia="Times New Roman" w:hAnsi="Times New Roman"/>
          <w:spacing w:val="-4"/>
          <w:sz w:val="24"/>
          <w:szCs w:val="24"/>
        </w:rPr>
        <w:t>S</w:t>
      </w:r>
      <w:r w:rsidR="00901B43">
        <w:rPr>
          <w:rFonts w:ascii="Times New Roman" w:eastAsia="Times New Roman" w:hAnsi="Times New Roman"/>
          <w:spacing w:val="-3"/>
          <w:sz w:val="24"/>
          <w:szCs w:val="24"/>
        </w:rPr>
        <w:t>pent Sprout Irrigation Water</w:t>
      </w:r>
      <w:r w:rsidRPr="00192B70" w:rsidR="00901B43">
        <w:rPr>
          <w:rFonts w:ascii="Times New Roman" w:eastAsia="Times New Roman" w:hAnsi="Times New Roman"/>
          <w:spacing w:val="-4"/>
          <w:sz w:val="24"/>
          <w:szCs w:val="24"/>
        </w:rPr>
        <w:t xml:space="preserve"> </w:t>
      </w:r>
      <w:r w:rsidRPr="00192B70">
        <w:rPr>
          <w:rFonts w:ascii="Times New Roman" w:eastAsia="Times New Roman" w:hAnsi="Times New Roman"/>
          <w:sz w:val="24"/>
          <w:szCs w:val="24"/>
        </w:rPr>
        <w:t xml:space="preserve">(or </w:t>
      </w:r>
      <w:r w:rsidRPr="00192B70">
        <w:rPr>
          <w:rFonts w:ascii="Times New Roman" w:eastAsia="Times New Roman" w:hAnsi="Times New Roman"/>
          <w:spacing w:val="-1"/>
          <w:sz w:val="24"/>
          <w:szCs w:val="24"/>
        </w:rPr>
        <w:t>in-process sprouts)</w:t>
      </w:r>
      <w:r w:rsidRPr="00192B70">
        <w:rPr>
          <w:rFonts w:ascii="Times New Roman" w:eastAsia="Times New Roman" w:hAnsi="Times New Roman"/>
          <w:sz w:val="24"/>
          <w:szCs w:val="24"/>
        </w:rPr>
        <w:t xml:space="preserve"> </w:t>
      </w:r>
      <w:r w:rsidRPr="00192B70">
        <w:rPr>
          <w:rFonts w:ascii="Wingdings" w:eastAsia="Wingdings" w:hAnsi="Wingdings" w:cs="Wingdings"/>
          <w:sz w:val="24"/>
          <w:szCs w:val="24"/>
        </w:rPr>
        <w:sym w:font="Wingdings" w:char="F0E0"/>
      </w:r>
      <w:r w:rsidRPr="00192B70">
        <w:rPr>
          <w:rFonts w:ascii="Wingdings" w:eastAsia="Wingdings" w:hAnsi="Wingdings" w:cs="Wingdings"/>
          <w:spacing w:val="-173"/>
          <w:sz w:val="24"/>
          <w:szCs w:val="24"/>
        </w:rPr>
        <w:sym w:font="Wingdings" w:char="F020"/>
      </w:r>
      <w:r w:rsidRPr="00192B70">
        <w:rPr>
          <w:rFonts w:ascii="Times New Roman" w:eastAsia="Times New Roman" w:hAnsi="Times New Roman"/>
          <w:spacing w:val="-1"/>
          <w:sz w:val="24"/>
          <w:szCs w:val="24"/>
        </w:rPr>
        <w:t>Harvest</w:t>
      </w:r>
      <w:r w:rsidRPr="00192B70">
        <w:rPr>
          <w:rFonts w:ascii="Times New Roman" w:eastAsia="Times New Roman" w:hAnsi="Times New Roman"/>
          <w:sz w:val="24"/>
          <w:szCs w:val="24"/>
        </w:rPr>
        <w:t xml:space="preserve"> </w:t>
      </w:r>
      <w:r w:rsidRPr="00192B70">
        <w:rPr>
          <w:rFonts w:ascii="Wingdings" w:eastAsia="Wingdings" w:hAnsi="Wingdings" w:cs="Wingdings"/>
          <w:sz w:val="24"/>
          <w:szCs w:val="24"/>
        </w:rPr>
        <w:sym w:font="Wingdings" w:char="F0E0"/>
      </w:r>
      <w:r w:rsidRPr="00192B70">
        <w:rPr>
          <w:rFonts w:ascii="Times New Roman" w:eastAsia="Times New Roman" w:hAnsi="Times New Roman"/>
          <w:spacing w:val="-1"/>
          <w:sz w:val="24"/>
          <w:szCs w:val="24"/>
        </w:rPr>
        <w:t>Wash/Drain</w:t>
      </w:r>
      <w:r w:rsidRPr="00192B70">
        <w:rPr>
          <w:rFonts w:ascii="Times New Roman" w:eastAsia="Times New Roman" w:hAnsi="Times New Roman"/>
          <w:sz w:val="24"/>
          <w:szCs w:val="24"/>
        </w:rPr>
        <w:t xml:space="preserve"> </w:t>
      </w:r>
      <w:r w:rsidRPr="00192B70">
        <w:rPr>
          <w:rFonts w:ascii="Times New Roman" w:eastAsia="Times New Roman" w:hAnsi="Times New Roman"/>
          <w:spacing w:val="-1"/>
          <w:sz w:val="24"/>
          <w:szCs w:val="24"/>
        </w:rPr>
        <w:t xml:space="preserve">Sprouts </w:t>
      </w:r>
      <w:r w:rsidRPr="00192B70">
        <w:rPr>
          <w:rFonts w:ascii="Wingdings" w:eastAsia="Wingdings" w:hAnsi="Wingdings" w:cs="Wingdings"/>
          <w:sz w:val="24"/>
          <w:szCs w:val="24"/>
        </w:rPr>
        <w:sym w:font="Wingdings" w:char="F0E0"/>
      </w:r>
      <w:r w:rsidRPr="00192B70">
        <w:rPr>
          <w:rFonts w:ascii="Times New Roman" w:eastAsia="Times New Roman" w:hAnsi="Times New Roman"/>
          <w:sz w:val="24"/>
          <w:szCs w:val="24"/>
        </w:rPr>
        <w:t xml:space="preserve">Bulk </w:t>
      </w:r>
      <w:r w:rsidRPr="00192B70">
        <w:rPr>
          <w:rFonts w:ascii="Times New Roman" w:eastAsia="Times New Roman" w:hAnsi="Times New Roman"/>
          <w:spacing w:val="-1"/>
          <w:sz w:val="24"/>
          <w:szCs w:val="24"/>
        </w:rPr>
        <w:t>Cool/Spin</w:t>
      </w:r>
      <w:r w:rsidRPr="00192B70">
        <w:rPr>
          <w:rFonts w:ascii="Times New Roman" w:eastAsia="Times New Roman" w:hAnsi="Times New Roman"/>
          <w:sz w:val="24"/>
          <w:szCs w:val="24"/>
        </w:rPr>
        <w:t xml:space="preserve"> </w:t>
      </w:r>
      <w:r w:rsidRPr="00192B70">
        <w:rPr>
          <w:rFonts w:ascii="Times New Roman" w:eastAsia="Times New Roman" w:hAnsi="Times New Roman"/>
          <w:spacing w:val="-1"/>
          <w:sz w:val="24"/>
          <w:szCs w:val="24"/>
        </w:rPr>
        <w:t>Dry</w:t>
      </w:r>
      <w:r w:rsidRPr="00192B70">
        <w:rPr>
          <w:rFonts w:ascii="Times New Roman" w:eastAsia="Times New Roman" w:hAnsi="Times New Roman"/>
          <w:spacing w:val="-5"/>
          <w:sz w:val="24"/>
          <w:szCs w:val="24"/>
        </w:rPr>
        <w:t xml:space="preserve"> </w:t>
      </w:r>
      <w:r w:rsidRPr="00192B70">
        <w:rPr>
          <w:rFonts w:ascii="Wingdings" w:eastAsia="Wingdings" w:hAnsi="Wingdings" w:cs="Wingdings"/>
          <w:sz w:val="24"/>
          <w:szCs w:val="24"/>
        </w:rPr>
        <w:sym w:font="Wingdings" w:char="F0E0"/>
      </w:r>
      <w:r w:rsidRPr="00192B70">
        <w:rPr>
          <w:rFonts w:ascii="Wingdings" w:eastAsia="Wingdings" w:hAnsi="Wingdings" w:cs="Wingdings"/>
          <w:spacing w:val="-173"/>
          <w:sz w:val="24"/>
          <w:szCs w:val="24"/>
        </w:rPr>
        <w:sym w:font="Wingdings" w:char="F020"/>
      </w:r>
      <w:r w:rsidRPr="00192B70">
        <w:rPr>
          <w:rFonts w:ascii="Times New Roman" w:eastAsia="Times New Roman" w:hAnsi="Times New Roman"/>
          <w:spacing w:val="-1"/>
          <w:sz w:val="24"/>
          <w:szCs w:val="24"/>
        </w:rPr>
        <w:t>Pack</w:t>
      </w:r>
      <w:r w:rsidRPr="00192B70">
        <w:rPr>
          <w:rFonts w:ascii="Times New Roman" w:eastAsia="Times New Roman" w:hAnsi="Times New Roman"/>
          <w:sz w:val="24"/>
          <w:szCs w:val="24"/>
        </w:rPr>
        <w:t xml:space="preserve"> and/or </w:t>
      </w:r>
      <w:r w:rsidRPr="00192B70">
        <w:rPr>
          <w:rFonts w:ascii="Times New Roman" w:eastAsia="Times New Roman" w:hAnsi="Times New Roman"/>
          <w:spacing w:val="-1"/>
          <w:sz w:val="24"/>
          <w:szCs w:val="24"/>
        </w:rPr>
        <w:t>Package</w:t>
      </w:r>
      <w:r w:rsidRPr="00192B70">
        <w:rPr>
          <w:rFonts w:ascii="Times New Roman" w:eastAsia="Times New Roman" w:hAnsi="Times New Roman"/>
          <w:spacing w:val="1"/>
          <w:sz w:val="24"/>
          <w:szCs w:val="24"/>
        </w:rPr>
        <w:t xml:space="preserve"> </w:t>
      </w:r>
      <w:r w:rsidRPr="00192B70">
        <w:rPr>
          <w:rFonts w:ascii="Wingdings" w:eastAsia="Wingdings" w:hAnsi="Wingdings" w:cs="Wingdings"/>
          <w:sz w:val="24"/>
          <w:szCs w:val="24"/>
        </w:rPr>
        <w:sym w:font="Wingdings" w:char="F0E0"/>
      </w:r>
      <w:r w:rsidRPr="00192B70">
        <w:rPr>
          <w:rFonts w:ascii="Wingdings" w:eastAsia="Wingdings" w:hAnsi="Wingdings" w:cs="Wingdings"/>
          <w:spacing w:val="-172"/>
          <w:sz w:val="24"/>
          <w:szCs w:val="24"/>
        </w:rPr>
        <w:sym w:font="Wingdings" w:char="F020"/>
      </w:r>
      <w:r w:rsidRPr="00192B70">
        <w:rPr>
          <w:rFonts w:ascii="Times New Roman" w:eastAsia="Times New Roman" w:hAnsi="Times New Roman"/>
          <w:spacing w:val="-1"/>
          <w:sz w:val="24"/>
          <w:szCs w:val="24"/>
        </w:rPr>
        <w:t>Cooling</w:t>
      </w:r>
      <w:r w:rsidRPr="00192B70">
        <w:rPr>
          <w:rFonts w:ascii="Times New Roman" w:eastAsia="Times New Roman" w:hAnsi="Times New Roman"/>
          <w:spacing w:val="-3"/>
          <w:sz w:val="24"/>
          <w:szCs w:val="24"/>
        </w:rPr>
        <w:t xml:space="preserve"> </w:t>
      </w:r>
      <w:r w:rsidRPr="00192B70">
        <w:rPr>
          <w:rFonts w:ascii="Times New Roman" w:eastAsia="Times New Roman" w:hAnsi="Times New Roman"/>
          <w:sz w:val="24"/>
          <w:szCs w:val="24"/>
        </w:rPr>
        <w:t xml:space="preserve">&amp; </w:t>
      </w:r>
      <w:r w:rsidRPr="00192B70">
        <w:rPr>
          <w:rFonts w:ascii="Times New Roman" w:eastAsia="Times New Roman" w:hAnsi="Times New Roman"/>
          <w:spacing w:val="-1"/>
          <w:sz w:val="24"/>
          <w:szCs w:val="24"/>
        </w:rPr>
        <w:t>Storage</w:t>
      </w:r>
      <w:r w:rsidRPr="00192B70">
        <w:rPr>
          <w:rFonts w:ascii="Times New Roman" w:eastAsia="Times New Roman" w:hAnsi="Times New Roman"/>
          <w:spacing w:val="1"/>
          <w:sz w:val="24"/>
          <w:szCs w:val="24"/>
        </w:rPr>
        <w:t xml:space="preserve"> </w:t>
      </w:r>
      <w:r w:rsidRPr="00192B70">
        <w:rPr>
          <w:rFonts w:ascii="Wingdings" w:eastAsia="Wingdings" w:hAnsi="Wingdings" w:cs="Wingdings"/>
          <w:sz w:val="24"/>
          <w:szCs w:val="24"/>
        </w:rPr>
        <w:sym w:font="Wingdings" w:char="F0E0"/>
      </w:r>
      <w:r w:rsidRPr="00192B70">
        <w:rPr>
          <w:rFonts w:ascii="Times New Roman" w:hAnsi="Times New Roman" w:cs="Times New Roman"/>
          <w:spacing w:val="-1"/>
          <w:sz w:val="24"/>
          <w:szCs w:val="24"/>
        </w:rPr>
        <w:t>Distribution</w:t>
      </w:r>
    </w:p>
    <w:p w:rsidR="00AD2A5E" w:rsidRPr="00CF306F" w:rsidP="00A16344" w14:paraId="783A23D1" w14:textId="23F9909A">
      <w:pPr>
        <w:pStyle w:val="HHS508GuidanceOutline1"/>
      </w:pPr>
      <w:bookmarkStart w:id="12" w:name="_Toc46929877"/>
      <w:bookmarkStart w:id="13" w:name="_Toc106094922"/>
      <w:r w:rsidRPr="00CF306F">
        <w:t>Cleaning and Sanitizing</w:t>
      </w:r>
      <w:bookmarkEnd w:id="12"/>
      <w:bookmarkEnd w:id="13"/>
    </w:p>
    <w:p w:rsidR="00AD2A5E" w:rsidRPr="00035F57" w:rsidP="00E47C04" w14:paraId="697D03A8" w14:textId="42742100">
      <w:pPr>
        <w:pStyle w:val="GuidanceParagraph"/>
      </w:pPr>
      <w:r w:rsidRPr="00035F57">
        <w:t xml:space="preserve">Cleaning and sanitizing are different, and important, steps that are critical to the safety of your finished sprouts. Cleaning refers to the practice of removing organic material and other debris from surfaces. The Produce Safety Rule defines “sanitize” to mean “to adequately treat cleaned surfaces by a process that is effective in destroying vegetative cells of microorganisms of public health significance, and in substantially reducing numbers of other undesirable microorganisms, but without adversely affecting the product or its safety for the consumer” (§ 112.3). When cleaning and sanitizing is required, you must properly clean surfaces prior to sanitizing because many sanitizers will not be effective unless food and dirt have been removed from the surface first (see definition of “sanitize” in § 112.3, “to adequately treat </w:t>
      </w:r>
      <w:r w:rsidRPr="002236B4">
        <w:rPr>
          <w:i/>
        </w:rPr>
        <w:t>cleaned</w:t>
      </w:r>
      <w:r w:rsidRPr="00035F57">
        <w:t xml:space="preserve"> surfaces …” (emphasis added)). Sanitizing surfaces is usually achieved through chemical means.</w:t>
      </w:r>
    </w:p>
    <w:p w:rsidR="00AD2A5E" w:rsidRPr="00035F57" w:rsidP="00E47C04" w14:paraId="7B4EA281" w14:textId="4967DAFD">
      <w:pPr>
        <w:pStyle w:val="GuidanceParagraph"/>
      </w:pPr>
      <w:r w:rsidRPr="00035F57">
        <w:t xml:space="preserve">This </w:t>
      </w:r>
      <w:r w:rsidR="00CB6E9A">
        <w:t>section</w:t>
      </w:r>
      <w:r w:rsidRPr="00035F57" w:rsidR="00CB6E9A">
        <w:t xml:space="preserve"> </w:t>
      </w:r>
      <w:r w:rsidRPr="00035F57">
        <w:t>discusses cleaning and sanitizing policies and procedures, frequencies, verification activities, recordkeeping, and corrective actions to take in response to suspected or known contamination.</w:t>
      </w:r>
    </w:p>
    <w:p w:rsidR="00AD2A5E" w:rsidRPr="00B70948" w:rsidP="00B54009" w14:paraId="7D75FFEC" w14:textId="38CB239B">
      <w:pPr>
        <w:pStyle w:val="HHS508GuidanceOutline2"/>
        <w:numPr>
          <w:ilvl w:val="0"/>
          <w:numId w:val="30"/>
        </w:numPr>
      </w:pPr>
      <w:bookmarkStart w:id="14" w:name="_Toc46929878"/>
      <w:bookmarkStart w:id="15" w:name="_Toc106094923"/>
      <w:r w:rsidRPr="00B70948">
        <w:t>Frequency of</w:t>
      </w:r>
      <w:r w:rsidRPr="00F756C4">
        <w:rPr>
          <w:spacing w:val="1"/>
        </w:rPr>
        <w:t xml:space="preserve"> </w:t>
      </w:r>
      <w:r w:rsidRPr="00B70948">
        <w:t>Cleaning</w:t>
      </w:r>
      <w:r w:rsidRPr="00F756C4">
        <w:rPr>
          <w:spacing w:val="-3"/>
        </w:rPr>
        <w:t xml:space="preserve"> </w:t>
      </w:r>
      <w:r w:rsidRPr="00B70948">
        <w:t>and Sanitizing</w:t>
      </w:r>
      <w:bookmarkEnd w:id="14"/>
      <w:bookmarkEnd w:id="15"/>
    </w:p>
    <w:p w:rsidR="00AD2A5E" w:rsidRPr="00CC10E2" w:rsidP="00E47C04" w14:paraId="32E7F2C7" w14:textId="7C25001B">
      <w:pPr>
        <w:pStyle w:val="GuidanceParagraph"/>
        <w:rPr>
          <w:spacing w:val="57"/>
        </w:rPr>
      </w:pPr>
      <w:r w:rsidRPr="00CC10E2">
        <w:t>Section 112.123(d)(1) is a</w:t>
      </w:r>
      <w:r w:rsidRPr="00CC10E2">
        <w:rPr>
          <w:spacing w:val="-2"/>
        </w:rPr>
        <w:t xml:space="preserve"> </w:t>
      </w:r>
      <w:r w:rsidRPr="00CC10E2">
        <w:t>general requirement that</w:t>
      </w:r>
      <w:r w:rsidRPr="00CC10E2">
        <w:rPr>
          <w:spacing w:val="-2"/>
        </w:rPr>
        <w:t xml:space="preserve"> </w:t>
      </w:r>
      <w:r w:rsidRPr="00CC10E2">
        <w:t>applies to</w:t>
      </w:r>
      <w:r w:rsidRPr="00CC10E2">
        <w:rPr>
          <w:spacing w:val="-3"/>
        </w:rPr>
        <w:t xml:space="preserve"> </w:t>
      </w:r>
      <w:r w:rsidRPr="00CC10E2">
        <w:t>all</w:t>
      </w:r>
      <w:r w:rsidRPr="00CC10E2">
        <w:rPr>
          <w:spacing w:val="-2"/>
        </w:rPr>
        <w:t xml:space="preserve"> </w:t>
      </w:r>
      <w:r w:rsidRPr="00CC10E2">
        <w:t xml:space="preserve">covered farms, and requires </w:t>
      </w:r>
      <w:r w:rsidRPr="00CC10E2">
        <w:rPr>
          <w:spacing w:val="-2"/>
        </w:rPr>
        <w:t>you</w:t>
      </w:r>
      <w:r w:rsidRPr="00CC10E2">
        <w:t xml:space="preserve"> to</w:t>
      </w:r>
      <w:r w:rsidR="00630979">
        <w:t xml:space="preserve"> </w:t>
      </w:r>
      <w:r w:rsidRPr="00CC10E2">
        <w:t>inspect, maintain,</w:t>
      </w:r>
      <w:r w:rsidRPr="00CC10E2">
        <w:rPr>
          <w:spacing w:val="-3"/>
        </w:rPr>
        <w:t xml:space="preserve"> </w:t>
      </w:r>
      <w:r w:rsidRPr="00CC10E2">
        <w:t>clean</w:t>
      </w:r>
      <w:r w:rsidRPr="00CC10E2">
        <w:rPr>
          <w:spacing w:val="-3"/>
        </w:rPr>
        <w:t xml:space="preserve"> </w:t>
      </w:r>
      <w:r w:rsidRPr="00CC10E2">
        <w:t>and, when necessary</w:t>
      </w:r>
      <w:r w:rsidRPr="00CC10E2">
        <w:rPr>
          <w:spacing w:val="-5"/>
        </w:rPr>
        <w:t xml:space="preserve"> </w:t>
      </w:r>
      <w:r w:rsidRPr="00CC10E2">
        <w:t>and appropriate, sanitize</w:t>
      </w:r>
      <w:r w:rsidRPr="00CC10E2">
        <w:rPr>
          <w:spacing w:val="1"/>
        </w:rPr>
        <w:t xml:space="preserve"> </w:t>
      </w:r>
      <w:r w:rsidRPr="00CC10E2">
        <w:t xml:space="preserve">all </w:t>
      </w:r>
      <w:r w:rsidR="00EF1F68">
        <w:t>“food contact surfaces” (</w:t>
      </w:r>
      <w:r w:rsidRPr="00CC10E2">
        <w:t>FCSs</w:t>
      </w:r>
      <w:r w:rsidR="00EF1F68">
        <w:t>)</w:t>
      </w:r>
      <w:r w:rsidRPr="00CC10E2">
        <w:t xml:space="preserve"> </w:t>
      </w:r>
      <w:r w:rsidRPr="00CC10E2">
        <w:t>of</w:t>
      </w:r>
      <w:r w:rsidRPr="00CC10E2">
        <w:rPr>
          <w:spacing w:val="-3"/>
        </w:rPr>
        <w:t xml:space="preserve"> </w:t>
      </w:r>
      <w:r w:rsidRPr="00CC10E2">
        <w:t>equipment</w:t>
      </w:r>
      <w:r w:rsidRPr="00CC10E2">
        <w:rPr>
          <w:spacing w:val="-2"/>
        </w:rPr>
        <w:t xml:space="preserve"> </w:t>
      </w:r>
      <w:r w:rsidRPr="00CC10E2">
        <w:t>and</w:t>
      </w:r>
      <w:r w:rsidRPr="00CC10E2">
        <w:rPr>
          <w:spacing w:val="67"/>
        </w:rPr>
        <w:t xml:space="preserve"> </w:t>
      </w:r>
      <w:r w:rsidRPr="00CC10E2">
        <w:t>tools used in</w:t>
      </w:r>
      <w:r w:rsidRPr="00CC10E2">
        <w:rPr>
          <w:spacing w:val="-3"/>
        </w:rPr>
        <w:t xml:space="preserve"> </w:t>
      </w:r>
      <w:r w:rsidRPr="00CC10E2">
        <w:t>covered</w:t>
      </w:r>
      <w:r w:rsidRPr="00CC10E2">
        <w:rPr>
          <w:spacing w:val="-3"/>
        </w:rPr>
        <w:t xml:space="preserve"> </w:t>
      </w:r>
      <w:r w:rsidRPr="00CC10E2">
        <w:t>activities as frequently</w:t>
      </w:r>
      <w:r w:rsidRPr="00CC10E2">
        <w:rPr>
          <w:spacing w:val="-5"/>
        </w:rPr>
        <w:t xml:space="preserve"> </w:t>
      </w:r>
      <w:r w:rsidRPr="00CC10E2">
        <w:t>as reasonably</w:t>
      </w:r>
      <w:r w:rsidRPr="00CC10E2">
        <w:rPr>
          <w:spacing w:val="-5"/>
        </w:rPr>
        <w:t xml:space="preserve"> </w:t>
      </w:r>
      <w:r w:rsidRPr="00CC10E2">
        <w:t>necessary</w:t>
      </w:r>
      <w:r w:rsidRPr="00CC10E2">
        <w:rPr>
          <w:spacing w:val="-5"/>
        </w:rPr>
        <w:t xml:space="preserve"> </w:t>
      </w:r>
      <w:r w:rsidRPr="00CC10E2">
        <w:t>to protect</w:t>
      </w:r>
      <w:r w:rsidRPr="00CC10E2">
        <w:rPr>
          <w:spacing w:val="-2"/>
        </w:rPr>
        <w:t xml:space="preserve"> </w:t>
      </w:r>
      <w:r w:rsidRPr="00CC10E2">
        <w:t>against contamination</w:t>
      </w:r>
      <w:r w:rsidR="00630979">
        <w:t xml:space="preserve"> </w:t>
      </w:r>
      <w:r w:rsidRPr="00CC10E2">
        <w:t>of</w:t>
      </w:r>
      <w:r w:rsidRPr="00CC10E2">
        <w:rPr>
          <w:spacing w:val="-3"/>
        </w:rPr>
        <w:t xml:space="preserve"> </w:t>
      </w:r>
      <w:r w:rsidRPr="00CC10E2">
        <w:t>covered produce.</w:t>
      </w:r>
      <w:r w:rsidR="00630979">
        <w:t xml:space="preserve"> </w:t>
      </w:r>
      <w:r w:rsidRPr="00CC10E2">
        <w:rPr>
          <w:spacing w:val="-2"/>
        </w:rPr>
        <w:t>For</w:t>
      </w:r>
      <w:r w:rsidRPr="00CC10E2">
        <w:t xml:space="preserve"> operations growing</w:t>
      </w:r>
      <w:r w:rsidRPr="00CC10E2">
        <w:rPr>
          <w:spacing w:val="-3"/>
        </w:rPr>
        <w:t xml:space="preserve"> </w:t>
      </w:r>
      <w:r w:rsidRPr="00CC10E2">
        <w:t>sprouts</w:t>
      </w:r>
      <w:r w:rsidRPr="00CC10E2">
        <w:rPr>
          <w:spacing w:val="1"/>
        </w:rPr>
        <w:t xml:space="preserve"> </w:t>
      </w:r>
      <w:r w:rsidRPr="00CC10E2">
        <w:t>covered by</w:t>
      </w:r>
      <w:r w:rsidRPr="00CC10E2">
        <w:rPr>
          <w:spacing w:val="-5"/>
        </w:rPr>
        <w:t xml:space="preserve"> </w:t>
      </w:r>
      <w:r w:rsidRPr="00CC10E2">
        <w:t>Subpart M, we</w:t>
      </w:r>
      <w:r w:rsidRPr="00CC10E2">
        <w:rPr>
          <w:spacing w:val="1"/>
        </w:rPr>
        <w:t xml:space="preserve"> </w:t>
      </w:r>
      <w:r w:rsidRPr="00CC10E2">
        <w:t>determined that it is</w:t>
      </w:r>
      <w:r w:rsidR="009F4D8E">
        <w:t xml:space="preserve"> </w:t>
      </w:r>
      <w:r w:rsidRPr="00CC10E2">
        <w:t>“necessary</w:t>
      </w:r>
      <w:r w:rsidRPr="00CC10E2">
        <w:rPr>
          <w:spacing w:val="-5"/>
        </w:rPr>
        <w:t xml:space="preserve"> </w:t>
      </w:r>
      <w:r w:rsidRPr="00CC10E2">
        <w:t>and appropriate”</w:t>
      </w:r>
      <w:r w:rsidRPr="00CC10E2">
        <w:rPr>
          <w:spacing w:val="1"/>
        </w:rPr>
        <w:t xml:space="preserve"> </w:t>
      </w:r>
      <w:r w:rsidRPr="00CC10E2">
        <w:t>to sanitize</w:t>
      </w:r>
      <w:r w:rsidRPr="00CC10E2">
        <w:rPr>
          <w:spacing w:val="1"/>
        </w:rPr>
        <w:t xml:space="preserve"> </w:t>
      </w:r>
      <w:r w:rsidRPr="00CC10E2">
        <w:t>all such FCSs</w:t>
      </w:r>
      <w:r w:rsidRPr="00CC10E2">
        <w:t xml:space="preserve"> </w:t>
      </w:r>
      <w:r w:rsidRPr="00CC10E2">
        <w:t>used to grow, harvest, pack,</w:t>
      </w:r>
      <w:r w:rsidRPr="00CC10E2">
        <w:rPr>
          <w:spacing w:val="-3"/>
        </w:rPr>
        <w:t xml:space="preserve"> </w:t>
      </w:r>
      <w:r w:rsidRPr="00CC10E2">
        <w:t>or</w:t>
      </w:r>
      <w:r w:rsidR="00630979">
        <w:t xml:space="preserve"> </w:t>
      </w:r>
      <w:r w:rsidRPr="00CC10E2">
        <w:t>hold sprouts after</w:t>
      </w:r>
      <w:r w:rsidRPr="00CC10E2">
        <w:rPr>
          <w:spacing w:val="-3"/>
        </w:rPr>
        <w:t xml:space="preserve"> </w:t>
      </w:r>
      <w:r w:rsidRPr="00CC10E2">
        <w:t>cleaning</w:t>
      </w:r>
      <w:r w:rsidRPr="00CC10E2">
        <w:rPr>
          <w:spacing w:val="-3"/>
        </w:rPr>
        <w:t xml:space="preserve"> </w:t>
      </w:r>
      <w:r w:rsidRPr="00CC10E2">
        <w:t>the</w:t>
      </w:r>
      <w:r w:rsidRPr="00CC10E2">
        <w:rPr>
          <w:spacing w:val="-2"/>
        </w:rPr>
        <w:t xml:space="preserve"> FCSs </w:t>
      </w:r>
      <w:r w:rsidRPr="00CC10E2">
        <w:t>and therefore</w:t>
      </w:r>
      <w:r w:rsidRPr="00CC10E2">
        <w:rPr>
          <w:spacing w:val="1"/>
        </w:rPr>
        <w:t xml:space="preserve"> </w:t>
      </w:r>
      <w:r w:rsidRPr="00CC10E2">
        <w:t>we</w:t>
      </w:r>
      <w:r w:rsidRPr="00CC10E2">
        <w:rPr>
          <w:spacing w:val="1"/>
        </w:rPr>
        <w:t xml:space="preserve"> </w:t>
      </w:r>
      <w:r w:rsidRPr="00CC10E2">
        <w:t>specifically</w:t>
      </w:r>
      <w:r w:rsidRPr="00CC10E2">
        <w:rPr>
          <w:spacing w:val="-5"/>
        </w:rPr>
        <w:t xml:space="preserve"> </w:t>
      </w:r>
      <w:r w:rsidRPr="00CC10E2">
        <w:t>require</w:t>
      </w:r>
      <w:r w:rsidRPr="00CC10E2">
        <w:rPr>
          <w:spacing w:val="1"/>
        </w:rPr>
        <w:t xml:space="preserve"> </w:t>
      </w:r>
      <w:r w:rsidRPr="00CC10E2">
        <w:t>both cleaning</w:t>
      </w:r>
      <w:r w:rsidRPr="00CC10E2">
        <w:rPr>
          <w:spacing w:val="-3"/>
        </w:rPr>
        <w:t xml:space="preserve"> </w:t>
      </w:r>
      <w:r w:rsidRPr="00CC10E2">
        <w:t>and sanitizing</w:t>
      </w:r>
      <w:r w:rsidRPr="00CC10E2">
        <w:rPr>
          <w:spacing w:val="59"/>
        </w:rPr>
        <w:t xml:space="preserve"> </w:t>
      </w:r>
      <w:r w:rsidRPr="00CC10E2">
        <w:t>for such FCSs</w:t>
      </w:r>
      <w:r w:rsidRPr="00CC10E2">
        <w:t xml:space="preserve"> </w:t>
      </w:r>
      <w:r w:rsidRPr="00CC10E2">
        <w:t>prior to</w:t>
      </w:r>
      <w:r w:rsidRPr="00CC10E2">
        <w:rPr>
          <w:spacing w:val="-3"/>
        </w:rPr>
        <w:t xml:space="preserve"> </w:t>
      </w:r>
      <w:r w:rsidRPr="00CC10E2">
        <w:t>contact with</w:t>
      </w:r>
      <w:r w:rsidRPr="00CC10E2">
        <w:rPr>
          <w:spacing w:val="-3"/>
        </w:rPr>
        <w:t xml:space="preserve"> </w:t>
      </w:r>
      <w:r w:rsidRPr="00CC10E2">
        <w:t>sprouts or seeds used</w:t>
      </w:r>
      <w:r w:rsidRPr="00CC10E2">
        <w:rPr>
          <w:spacing w:val="-3"/>
        </w:rPr>
        <w:t xml:space="preserve"> </w:t>
      </w:r>
      <w:r w:rsidRPr="00CC10E2">
        <w:t>to grow sprouts, as reflected</w:t>
      </w:r>
      <w:r w:rsidR="00630979">
        <w:t xml:space="preserve"> </w:t>
      </w:r>
      <w:r w:rsidRPr="00CC10E2">
        <w:t>in § 112.143(b).</w:t>
      </w:r>
      <w:r w:rsidRPr="00CC10E2">
        <w:rPr>
          <w:spacing w:val="57"/>
        </w:rPr>
        <w:t xml:space="preserve"> </w:t>
      </w:r>
    </w:p>
    <w:p w:rsidR="00AD2A5E" w:rsidRPr="00CC10E2" w:rsidP="00E47C04" w14:paraId="07598175" w14:textId="6F39628B">
      <w:pPr>
        <w:pStyle w:val="GuidanceParagraph"/>
      </w:pPr>
      <w:r w:rsidRPr="00CC10E2">
        <w:rPr>
          <w:spacing w:val="-2"/>
        </w:rPr>
        <w:t>“Food</w:t>
      </w:r>
      <w:r w:rsidRPr="00CC10E2">
        <w:t xml:space="preserve"> contact surfaces”</w:t>
      </w:r>
      <w:r w:rsidRPr="00CC10E2">
        <w:rPr>
          <w:spacing w:val="-2"/>
        </w:rPr>
        <w:t xml:space="preserve"> </w:t>
      </w:r>
      <w:r w:rsidRPr="00CC10E2">
        <w:t>means “those</w:t>
      </w:r>
      <w:r w:rsidRPr="00CC10E2">
        <w:rPr>
          <w:spacing w:val="1"/>
        </w:rPr>
        <w:t xml:space="preserve"> </w:t>
      </w:r>
      <w:r w:rsidRPr="00CC10E2">
        <w:t>surfaces that contact human food and</w:t>
      </w:r>
      <w:r w:rsidRPr="00CC10E2">
        <w:rPr>
          <w:spacing w:val="-3"/>
        </w:rPr>
        <w:t xml:space="preserve"> </w:t>
      </w:r>
      <w:r w:rsidRPr="00CC10E2">
        <w:t>those</w:t>
      </w:r>
      <w:r w:rsidRPr="00CC10E2">
        <w:rPr>
          <w:spacing w:val="69"/>
        </w:rPr>
        <w:t xml:space="preserve"> </w:t>
      </w:r>
      <w:r w:rsidRPr="00CC10E2">
        <w:t>surfaces from which drainage, or other</w:t>
      </w:r>
      <w:r w:rsidRPr="00CC10E2">
        <w:rPr>
          <w:spacing w:val="-3"/>
        </w:rPr>
        <w:t xml:space="preserve"> </w:t>
      </w:r>
      <w:r w:rsidRPr="00CC10E2">
        <w:t>transfer, onto</w:t>
      </w:r>
      <w:r w:rsidRPr="00CC10E2">
        <w:rPr>
          <w:spacing w:val="-3"/>
        </w:rPr>
        <w:t xml:space="preserve"> </w:t>
      </w:r>
      <w:r w:rsidRPr="00CC10E2">
        <w:t>the</w:t>
      </w:r>
      <w:r w:rsidRPr="00CC10E2">
        <w:rPr>
          <w:spacing w:val="1"/>
        </w:rPr>
        <w:t xml:space="preserve"> </w:t>
      </w:r>
      <w:r w:rsidRPr="00CC10E2">
        <w:t>food or onto surfaces that</w:t>
      </w:r>
      <w:r w:rsidRPr="00CC10E2">
        <w:rPr>
          <w:spacing w:val="-2"/>
        </w:rPr>
        <w:t xml:space="preserve"> </w:t>
      </w:r>
      <w:r w:rsidRPr="00CC10E2">
        <w:t>contact the</w:t>
      </w:r>
      <w:r w:rsidRPr="00CC10E2">
        <w:rPr>
          <w:spacing w:val="1"/>
        </w:rPr>
        <w:t xml:space="preserve"> </w:t>
      </w:r>
      <w:r w:rsidRPr="00CC10E2">
        <w:t>food</w:t>
      </w:r>
      <w:r w:rsidRPr="00CC10E2">
        <w:rPr>
          <w:spacing w:val="45"/>
        </w:rPr>
        <w:t xml:space="preserve"> </w:t>
      </w:r>
      <w:r w:rsidRPr="00CC10E2">
        <w:t>ordinarily</w:t>
      </w:r>
      <w:r w:rsidRPr="00CC10E2">
        <w:rPr>
          <w:spacing w:val="-5"/>
        </w:rPr>
        <w:t xml:space="preserve"> </w:t>
      </w:r>
      <w:r w:rsidRPr="00CC10E2">
        <w:t>occurs during</w:t>
      </w:r>
      <w:r w:rsidRPr="00CC10E2">
        <w:rPr>
          <w:spacing w:val="-3"/>
        </w:rPr>
        <w:t xml:space="preserve"> </w:t>
      </w:r>
      <w:r w:rsidRPr="00CC10E2">
        <w:t>the</w:t>
      </w:r>
      <w:r w:rsidRPr="00CC10E2">
        <w:rPr>
          <w:spacing w:val="1"/>
        </w:rPr>
        <w:t xml:space="preserve"> </w:t>
      </w:r>
      <w:r w:rsidRPr="00CC10E2">
        <w:t>normal</w:t>
      </w:r>
      <w:r w:rsidRPr="00CC10E2">
        <w:rPr>
          <w:spacing w:val="-2"/>
        </w:rPr>
        <w:t xml:space="preserve"> </w:t>
      </w:r>
      <w:r w:rsidRPr="00CC10E2">
        <w:t>course</w:t>
      </w:r>
      <w:r w:rsidRPr="00CC10E2">
        <w:rPr>
          <w:spacing w:val="1"/>
        </w:rPr>
        <w:t xml:space="preserve"> </w:t>
      </w:r>
      <w:r w:rsidRPr="00CC10E2">
        <w:t>of</w:t>
      </w:r>
      <w:r w:rsidRPr="00CC10E2">
        <w:rPr>
          <w:spacing w:val="-3"/>
        </w:rPr>
        <w:t xml:space="preserve"> </w:t>
      </w:r>
      <w:r w:rsidRPr="00CC10E2">
        <w:t xml:space="preserve">operations. </w:t>
      </w:r>
      <w:r w:rsidR="00932E41">
        <w:t>‘</w:t>
      </w:r>
      <w:r w:rsidRPr="00CC10E2">
        <w:t>Food contact surfaces</w:t>
      </w:r>
      <w:r w:rsidR="00932E41">
        <w:t>’</w:t>
      </w:r>
      <w:r w:rsidRPr="00CC10E2">
        <w:t xml:space="preserve"> include</w:t>
      </w:r>
      <w:r w:rsidR="00F83F50">
        <w:t>s</w:t>
      </w:r>
      <w:r w:rsidRPr="00CC10E2">
        <w:t xml:space="preserve"> </w:t>
      </w:r>
      <w:r w:rsidR="00A71FCD">
        <w:t>food contact surfaces</w:t>
      </w:r>
      <w:r w:rsidRPr="00CC10E2">
        <w:t xml:space="preserve"> </w:t>
      </w:r>
      <w:r w:rsidRPr="00CC10E2">
        <w:t>of</w:t>
      </w:r>
      <w:r w:rsidRPr="00CC10E2">
        <w:rPr>
          <w:spacing w:val="-3"/>
        </w:rPr>
        <w:t xml:space="preserve"> </w:t>
      </w:r>
      <w:r w:rsidRPr="00CC10E2">
        <w:t>equipment</w:t>
      </w:r>
      <w:r w:rsidRPr="00CC10E2">
        <w:rPr>
          <w:spacing w:val="-2"/>
        </w:rPr>
        <w:t xml:space="preserve"> </w:t>
      </w:r>
      <w:r w:rsidRPr="00CC10E2">
        <w:t>and tools used during</w:t>
      </w:r>
      <w:r w:rsidRPr="00CC10E2">
        <w:rPr>
          <w:spacing w:val="-3"/>
        </w:rPr>
        <w:t xml:space="preserve"> </w:t>
      </w:r>
      <w:r w:rsidRPr="00CC10E2">
        <w:t>harvest, packing, and holding”</w:t>
      </w:r>
      <w:r w:rsidRPr="00CC10E2">
        <w:rPr>
          <w:spacing w:val="1"/>
        </w:rPr>
        <w:t xml:space="preserve"> </w:t>
      </w:r>
      <w:r w:rsidRPr="00CC10E2">
        <w:t>(§ 112.3)</w:t>
      </w:r>
      <w:r w:rsidR="00F43C0E">
        <w:t>.</w:t>
      </w:r>
      <w:r w:rsidRPr="00CC10E2">
        <w:t xml:space="preserve"> </w:t>
      </w:r>
      <w:r w:rsidR="002926D1">
        <w:t>“Food contact surfaces</w:t>
      </w:r>
      <w:r w:rsidR="0066092D">
        <w:t xml:space="preserve">” also </w:t>
      </w:r>
      <w:r w:rsidR="00696CDC">
        <w:t xml:space="preserve">includes </w:t>
      </w:r>
      <w:r w:rsidRPr="00CC10E2">
        <w:t>FCSs of</w:t>
      </w:r>
      <w:r w:rsidRPr="00CC10E2">
        <w:rPr>
          <w:spacing w:val="-3"/>
        </w:rPr>
        <w:t xml:space="preserve"> </w:t>
      </w:r>
      <w:r w:rsidRPr="00CC10E2">
        <w:t>equipment and</w:t>
      </w:r>
      <w:r w:rsidRPr="00CC10E2">
        <w:rPr>
          <w:spacing w:val="-3"/>
        </w:rPr>
        <w:t xml:space="preserve"> </w:t>
      </w:r>
      <w:r w:rsidRPr="00CC10E2">
        <w:t>tools used in growing</w:t>
      </w:r>
      <w:r w:rsidR="00DD06B3">
        <w:t xml:space="preserve"> sprouts</w:t>
      </w:r>
      <w:r w:rsidR="00CE6628">
        <w:rPr>
          <w:spacing w:val="-3"/>
        </w:rPr>
        <w:t>, such as those that contact seeds for sprouting</w:t>
      </w:r>
      <w:r w:rsidR="0042461F">
        <w:rPr>
          <w:spacing w:val="-3"/>
        </w:rPr>
        <w:t xml:space="preserve"> </w:t>
      </w:r>
      <w:r w:rsidR="00B7585B">
        <w:rPr>
          <w:spacing w:val="-3"/>
        </w:rPr>
        <w:t xml:space="preserve">(see e.g., </w:t>
      </w:r>
      <w:r w:rsidRPr="00CC10E2" w:rsidR="00A502B8">
        <w:t>§</w:t>
      </w:r>
      <w:r w:rsidR="00A502B8">
        <w:t xml:space="preserve"> 112.143(b)).</w:t>
      </w:r>
      <w:r w:rsidR="0042461F">
        <w:rPr>
          <w:spacing w:val="-3"/>
        </w:rPr>
        <w:t xml:space="preserve"> </w:t>
      </w:r>
      <w:r w:rsidRPr="00CC10E2">
        <w:rPr>
          <w:spacing w:val="-2"/>
        </w:rPr>
        <w:t>In</w:t>
      </w:r>
      <w:r w:rsidRPr="00CC10E2">
        <w:t xml:space="preserve"> a</w:t>
      </w:r>
      <w:r w:rsidRPr="00CC10E2">
        <w:rPr>
          <w:spacing w:val="1"/>
        </w:rPr>
        <w:t xml:space="preserve"> </w:t>
      </w:r>
      <w:r w:rsidRPr="00CC10E2">
        <w:t>sprouting</w:t>
      </w:r>
      <w:r w:rsidRPr="00CC10E2">
        <w:rPr>
          <w:spacing w:val="-3"/>
        </w:rPr>
        <w:t xml:space="preserve"> </w:t>
      </w:r>
      <w:r w:rsidRPr="00CC10E2">
        <w:t>operation</w:t>
      </w:r>
      <w:r w:rsidR="00444EF4">
        <w:t>,</w:t>
      </w:r>
      <w:r w:rsidRPr="00CC10E2">
        <w:t xml:space="preserve"> FCSs</w:t>
      </w:r>
      <w:r w:rsidRPr="00CC10E2">
        <w:t xml:space="preserve"> </w:t>
      </w:r>
      <w:r w:rsidRPr="00CC10E2">
        <w:t>include, for example:</w:t>
      </w:r>
      <w:r w:rsidRPr="00CC10E2">
        <w:rPr>
          <w:spacing w:val="-3"/>
        </w:rPr>
        <w:t xml:space="preserve"> </w:t>
      </w:r>
      <w:r w:rsidRPr="00CC10E2">
        <w:t>trays or</w:t>
      </w:r>
      <w:r w:rsidRPr="00CC10E2">
        <w:rPr>
          <w:spacing w:val="2"/>
        </w:rPr>
        <w:t xml:space="preserve"> </w:t>
      </w:r>
      <w:r w:rsidRPr="00CC10E2">
        <w:t>drums used for sprouting; interior surfaces of</w:t>
      </w:r>
      <w:r w:rsidRPr="00CC10E2">
        <w:rPr>
          <w:spacing w:val="75"/>
        </w:rPr>
        <w:t xml:space="preserve"> </w:t>
      </w:r>
      <w:r w:rsidRPr="00CC10E2">
        <w:t xml:space="preserve">containers used for </w:t>
      </w:r>
      <w:r w:rsidRPr="00CC10E2">
        <w:t>seed rinsing, seed treatment,</w:t>
      </w:r>
      <w:r w:rsidRPr="00CC10E2">
        <w:rPr>
          <w:spacing w:val="-3"/>
        </w:rPr>
        <w:t xml:space="preserve"> </w:t>
      </w:r>
      <w:r w:rsidRPr="00CC10E2">
        <w:t>and</w:t>
      </w:r>
      <w:r w:rsidRPr="00CC10E2">
        <w:rPr>
          <w:spacing w:val="-3"/>
        </w:rPr>
        <w:t xml:space="preserve"> </w:t>
      </w:r>
      <w:r w:rsidRPr="00CC10E2">
        <w:t xml:space="preserve">pre-germination seed </w:t>
      </w:r>
      <w:r w:rsidRPr="00CC10E2">
        <w:rPr>
          <w:spacing w:val="-2"/>
        </w:rPr>
        <w:t>soaking;</w:t>
      </w:r>
      <w:r w:rsidRPr="00CC10E2">
        <w:t xml:space="preserve"> and counters that</w:t>
      </w:r>
      <w:r w:rsidR="00755B96">
        <w:t xml:space="preserve"> </w:t>
      </w:r>
      <w:r w:rsidRPr="00CC10E2">
        <w:t>come</w:t>
      </w:r>
      <w:r w:rsidRPr="00CC10E2">
        <w:rPr>
          <w:spacing w:val="-2"/>
        </w:rPr>
        <w:t xml:space="preserve"> </w:t>
      </w:r>
      <w:r w:rsidRPr="00CC10E2">
        <w:t>into</w:t>
      </w:r>
      <w:r w:rsidRPr="00CC10E2">
        <w:rPr>
          <w:spacing w:val="-3"/>
        </w:rPr>
        <w:t xml:space="preserve"> </w:t>
      </w:r>
      <w:r w:rsidRPr="00CC10E2">
        <w:t>contact with sprouts during</w:t>
      </w:r>
      <w:r w:rsidRPr="00CC10E2">
        <w:rPr>
          <w:spacing w:val="-3"/>
        </w:rPr>
        <w:t xml:space="preserve"> </w:t>
      </w:r>
      <w:r w:rsidRPr="00CC10E2">
        <w:t>packing</w:t>
      </w:r>
      <w:r w:rsidRPr="00CC10E2">
        <w:rPr>
          <w:spacing w:val="-3"/>
        </w:rPr>
        <w:t xml:space="preserve"> </w:t>
      </w:r>
      <w:r w:rsidRPr="00CC10E2">
        <w:t>and/or packaging.</w:t>
      </w:r>
    </w:p>
    <w:p w:rsidR="00AD2A5E" w:rsidRPr="00CC10E2" w:rsidP="00E47C04" w14:paraId="08765DC0" w14:textId="671E2DA3">
      <w:pPr>
        <w:pStyle w:val="GuidanceParagraph"/>
      </w:pPr>
      <w:r w:rsidRPr="00CC10E2">
        <w:t>While the appropriate</w:t>
      </w:r>
      <w:r w:rsidRPr="00CC10E2">
        <w:rPr>
          <w:spacing w:val="1"/>
        </w:rPr>
        <w:t xml:space="preserve"> </w:t>
      </w:r>
      <w:r w:rsidRPr="00CC10E2">
        <w:t>frequency</w:t>
      </w:r>
      <w:r w:rsidRPr="00CC10E2">
        <w:rPr>
          <w:spacing w:val="-5"/>
        </w:rPr>
        <w:t xml:space="preserve"> </w:t>
      </w:r>
      <w:r w:rsidRPr="00CC10E2">
        <w:rPr>
          <w:spacing w:val="1"/>
        </w:rPr>
        <w:t>of</w:t>
      </w:r>
      <w:r w:rsidRPr="00CC10E2">
        <w:rPr>
          <w:spacing w:val="-3"/>
        </w:rPr>
        <w:t xml:space="preserve"> </w:t>
      </w:r>
      <w:r w:rsidRPr="00CC10E2">
        <w:t>cleaning</w:t>
      </w:r>
      <w:r w:rsidRPr="00CC10E2">
        <w:rPr>
          <w:spacing w:val="-3"/>
        </w:rPr>
        <w:t xml:space="preserve"> </w:t>
      </w:r>
      <w:r w:rsidRPr="00CC10E2">
        <w:t>and sanitizing</w:t>
      </w:r>
      <w:r w:rsidRPr="00CC10E2">
        <w:rPr>
          <w:spacing w:val="-3"/>
        </w:rPr>
        <w:t xml:space="preserve"> </w:t>
      </w:r>
      <w:r w:rsidRPr="00CC10E2">
        <w:t>may</w:t>
      </w:r>
      <w:r w:rsidRPr="00CC10E2">
        <w:rPr>
          <w:spacing w:val="-3"/>
        </w:rPr>
        <w:t xml:space="preserve"> </w:t>
      </w:r>
      <w:r w:rsidRPr="00CC10E2">
        <w:t>vary</w:t>
      </w:r>
      <w:r w:rsidRPr="00CC10E2">
        <w:rPr>
          <w:spacing w:val="-5"/>
        </w:rPr>
        <w:t xml:space="preserve"> </w:t>
      </w:r>
      <w:r w:rsidRPr="00CC10E2">
        <w:t>based on your specific production</w:t>
      </w:r>
      <w:r w:rsidR="00630979">
        <w:t xml:space="preserve"> </w:t>
      </w:r>
      <w:r w:rsidRPr="00CC10E2">
        <w:t>practices, i</w:t>
      </w:r>
      <w:r w:rsidRPr="00CC10E2">
        <w:rPr>
          <w:spacing w:val="-2"/>
        </w:rPr>
        <w:t>n</w:t>
      </w:r>
      <w:r w:rsidRPr="00CC10E2">
        <w:rPr>
          <w:spacing w:val="2"/>
        </w:rPr>
        <w:t xml:space="preserve"> </w:t>
      </w:r>
      <w:r w:rsidRPr="00CC10E2">
        <w:t xml:space="preserve">general, </w:t>
      </w:r>
      <w:r w:rsidRPr="00CC10E2">
        <w:rPr>
          <w:spacing w:val="-2"/>
        </w:rPr>
        <w:t>we</w:t>
      </w:r>
      <w:r w:rsidRPr="00CC10E2">
        <w:rPr>
          <w:spacing w:val="1"/>
        </w:rPr>
        <w:t xml:space="preserve"> </w:t>
      </w:r>
      <w:r w:rsidRPr="00CC10E2">
        <w:t>recommend</w:t>
      </w:r>
      <w:r w:rsidRPr="00CC10E2">
        <w:rPr>
          <w:spacing w:val="-3"/>
        </w:rPr>
        <w:t xml:space="preserve"> </w:t>
      </w:r>
      <w:r w:rsidRPr="00CC10E2">
        <w:t>cleaning</w:t>
      </w:r>
      <w:r w:rsidRPr="00CC10E2">
        <w:rPr>
          <w:spacing w:val="-3"/>
        </w:rPr>
        <w:t xml:space="preserve"> </w:t>
      </w:r>
      <w:r w:rsidRPr="00CC10E2">
        <w:t>and sanitizing</w:t>
      </w:r>
      <w:r w:rsidRPr="00CC10E2">
        <w:rPr>
          <w:spacing w:val="-3"/>
        </w:rPr>
        <w:t xml:space="preserve"> </w:t>
      </w:r>
      <w:r w:rsidRPr="00CC10E2">
        <w:t>of</w:t>
      </w:r>
      <w:r w:rsidRPr="00CC10E2">
        <w:rPr>
          <w:spacing w:val="-3"/>
        </w:rPr>
        <w:t xml:space="preserve"> </w:t>
      </w:r>
      <w:r w:rsidRPr="00CC10E2">
        <w:t>FCSs</w:t>
      </w:r>
      <w:r w:rsidRPr="00CC10E2">
        <w:t xml:space="preserve"> </w:t>
      </w:r>
      <w:r w:rsidRPr="00CC10E2">
        <w:t>used in sprout operations</w:t>
      </w:r>
      <w:r w:rsidR="00630979">
        <w:t xml:space="preserve"> </w:t>
      </w:r>
      <w:r w:rsidRPr="00CC10E2">
        <w:t>at least daily</w:t>
      </w:r>
      <w:r w:rsidRPr="00CC10E2">
        <w:rPr>
          <w:spacing w:val="-5"/>
        </w:rPr>
        <w:t xml:space="preserve"> </w:t>
      </w:r>
      <w:r w:rsidRPr="00CC10E2">
        <w:t>to meet the</w:t>
      </w:r>
      <w:r w:rsidRPr="00CC10E2">
        <w:rPr>
          <w:spacing w:val="1"/>
        </w:rPr>
        <w:t xml:space="preserve"> </w:t>
      </w:r>
      <w:r w:rsidRPr="00CC10E2">
        <w:t>requirements of</w:t>
      </w:r>
      <w:r w:rsidRPr="00CC10E2">
        <w:rPr>
          <w:spacing w:val="-3"/>
        </w:rPr>
        <w:t xml:space="preserve"> </w:t>
      </w:r>
      <w:r w:rsidRPr="00CC10E2">
        <w:t>§§ 112.123(d)(1) and 112.143(b).</w:t>
      </w:r>
      <w:r w:rsidR="00BC2629">
        <w:t xml:space="preserve"> </w:t>
      </w:r>
      <w:r w:rsidRPr="00CC10E2">
        <w:rPr>
          <w:spacing w:val="-2"/>
        </w:rPr>
        <w:t>For</w:t>
      </w:r>
      <w:r w:rsidRPr="00CC10E2">
        <w:t xml:space="preserve"> example, </w:t>
      </w:r>
      <w:r w:rsidRPr="00CC10E2">
        <w:rPr>
          <w:spacing w:val="-2"/>
        </w:rPr>
        <w:t>you should clean and sa</w:t>
      </w:r>
      <w:r w:rsidRPr="00CC10E2">
        <w:t>nitize</w:t>
      </w:r>
      <w:r w:rsidRPr="00CC10E2">
        <w:rPr>
          <w:spacing w:val="1"/>
        </w:rPr>
        <w:t xml:space="preserve"> </w:t>
      </w:r>
      <w:r w:rsidRPr="00CC10E2">
        <w:t>all FCSs</w:t>
      </w:r>
      <w:r w:rsidRPr="00CC10E2">
        <w:t xml:space="preserve"> </w:t>
      </w:r>
      <w:r w:rsidRPr="00CC10E2">
        <w:t>in the</w:t>
      </w:r>
      <w:r w:rsidRPr="00CC10E2">
        <w:rPr>
          <w:spacing w:val="1"/>
        </w:rPr>
        <w:t xml:space="preserve"> </w:t>
      </w:r>
      <w:r w:rsidRPr="00CC10E2">
        <w:t>production environment</w:t>
      </w:r>
      <w:r w:rsidRPr="00CC10E2">
        <w:rPr>
          <w:spacing w:val="-2"/>
        </w:rPr>
        <w:t xml:space="preserve"> </w:t>
      </w:r>
      <w:r w:rsidRPr="00CC10E2">
        <w:t>at</w:t>
      </w:r>
      <w:r w:rsidRPr="00CC10E2">
        <w:rPr>
          <w:spacing w:val="-2"/>
        </w:rPr>
        <w:t xml:space="preserve"> </w:t>
      </w:r>
      <w:r w:rsidRPr="00CC10E2">
        <w:t>the</w:t>
      </w:r>
      <w:r w:rsidRPr="00CC10E2">
        <w:rPr>
          <w:spacing w:val="1"/>
        </w:rPr>
        <w:t xml:space="preserve"> </w:t>
      </w:r>
      <w:r w:rsidRPr="00CC10E2">
        <w:t>end of</w:t>
      </w:r>
      <w:r w:rsidRPr="00CC10E2">
        <w:rPr>
          <w:spacing w:val="-3"/>
        </w:rPr>
        <w:t xml:space="preserve"> </w:t>
      </w:r>
      <w:r w:rsidRPr="00CC10E2">
        <w:t>each</w:t>
      </w:r>
      <w:r w:rsidRPr="00CC10E2">
        <w:rPr>
          <w:spacing w:val="59"/>
        </w:rPr>
        <w:t xml:space="preserve"> </w:t>
      </w:r>
      <w:r w:rsidRPr="00CC10E2">
        <w:t xml:space="preserve">production </w:t>
      </w:r>
      <w:r w:rsidRPr="00CC10E2">
        <w:rPr>
          <w:spacing w:val="-2"/>
        </w:rPr>
        <w:t>day. We</w:t>
      </w:r>
      <w:r w:rsidRPr="00CC10E2">
        <w:rPr>
          <w:spacing w:val="1"/>
        </w:rPr>
        <w:t xml:space="preserve"> </w:t>
      </w:r>
      <w:r w:rsidRPr="00CC10E2">
        <w:t>recommend that initial sanitizing, of</w:t>
      </w:r>
      <w:r w:rsidRPr="00CC10E2">
        <w:rPr>
          <w:spacing w:val="-3"/>
        </w:rPr>
        <w:t xml:space="preserve"> </w:t>
      </w:r>
      <w:r w:rsidRPr="00CC10E2">
        <w:t>any</w:t>
      </w:r>
      <w:r w:rsidRPr="00CC10E2">
        <w:rPr>
          <w:spacing w:val="-3"/>
        </w:rPr>
        <w:t xml:space="preserve"> </w:t>
      </w:r>
      <w:r w:rsidRPr="00CC10E2">
        <w:t>surface, occur</w:t>
      </w:r>
      <w:r w:rsidR="00A736DB">
        <w:t xml:space="preserve"> </w:t>
      </w:r>
      <w:r w:rsidRPr="00CC10E2">
        <w:t>following</w:t>
      </w:r>
      <w:r w:rsidRPr="00CC10E2">
        <w:rPr>
          <w:spacing w:val="-3"/>
        </w:rPr>
        <w:t xml:space="preserve"> the </w:t>
      </w:r>
      <w:r w:rsidRPr="00CC10E2">
        <w:t>completion of</w:t>
      </w:r>
      <w:r w:rsidRPr="00CC10E2">
        <w:rPr>
          <w:spacing w:val="-3"/>
        </w:rPr>
        <w:t xml:space="preserve"> </w:t>
      </w:r>
      <w:r w:rsidRPr="00CC10E2">
        <w:t>cleaning. You may determine that there are some situations where it is necessary to re-sanitize</w:t>
      </w:r>
      <w:r w:rsidRPr="00CC10E2">
        <w:rPr>
          <w:spacing w:val="-5"/>
        </w:rPr>
        <w:t xml:space="preserve"> </w:t>
      </w:r>
      <w:r w:rsidR="00244179">
        <w:rPr>
          <w:spacing w:val="-5"/>
        </w:rPr>
        <w:t>a</w:t>
      </w:r>
      <w:r w:rsidRPr="00CC10E2">
        <w:rPr>
          <w:spacing w:val="-5"/>
        </w:rPr>
        <w:t xml:space="preserve">n </w:t>
      </w:r>
      <w:r w:rsidRPr="00CC10E2">
        <w:t>FCS</w:t>
      </w:r>
      <w:r w:rsidRPr="00CC10E2">
        <w:rPr>
          <w:spacing w:val="-5"/>
        </w:rPr>
        <w:t xml:space="preserve"> </w:t>
      </w:r>
      <w:r w:rsidRPr="00CC10E2">
        <w:t>in the</w:t>
      </w:r>
      <w:r w:rsidRPr="00CC10E2">
        <w:rPr>
          <w:spacing w:val="-2"/>
        </w:rPr>
        <w:t xml:space="preserve"> </w:t>
      </w:r>
      <w:r w:rsidRPr="00CC10E2">
        <w:t>morning</w:t>
      </w:r>
      <w:r w:rsidRPr="00CC10E2">
        <w:rPr>
          <w:spacing w:val="-3"/>
        </w:rPr>
        <w:t xml:space="preserve"> </w:t>
      </w:r>
      <w:r w:rsidRPr="00CC10E2">
        <w:t>after cleaning</w:t>
      </w:r>
      <w:r w:rsidRPr="00CC10E2">
        <w:rPr>
          <w:spacing w:val="-3"/>
        </w:rPr>
        <w:t xml:space="preserve"> </w:t>
      </w:r>
      <w:r w:rsidRPr="00CC10E2">
        <w:t>and sanitizing it</w:t>
      </w:r>
      <w:r w:rsidRPr="00CC10E2">
        <w:rPr>
          <w:spacing w:val="-3"/>
        </w:rPr>
        <w:t xml:space="preserve"> </w:t>
      </w:r>
      <w:r w:rsidRPr="00CC10E2">
        <w:t>the</w:t>
      </w:r>
      <w:r w:rsidRPr="00CC10E2">
        <w:rPr>
          <w:spacing w:val="1"/>
        </w:rPr>
        <w:t xml:space="preserve"> </w:t>
      </w:r>
      <w:r w:rsidRPr="00CC10E2">
        <w:rPr>
          <w:spacing w:val="-2"/>
        </w:rPr>
        <w:t>night</w:t>
      </w:r>
      <w:r w:rsidRPr="00CC10E2">
        <w:t xml:space="preserve"> before. To illustrate the requirement in § 112.143(b) that </w:t>
      </w:r>
      <w:r w:rsidRPr="00CC10E2">
        <w:rPr>
          <w:spacing w:val="-2"/>
        </w:rPr>
        <w:t>FCSs</w:t>
      </w:r>
      <w:r w:rsidRPr="00CC10E2">
        <w:t xml:space="preserve"> be</w:t>
      </w:r>
      <w:r w:rsidRPr="00CC10E2">
        <w:rPr>
          <w:spacing w:val="3"/>
        </w:rPr>
        <w:t xml:space="preserve"> </w:t>
      </w:r>
      <w:r w:rsidRPr="00CC10E2">
        <w:t>cleaned</w:t>
      </w:r>
      <w:r w:rsidRPr="00CC10E2">
        <w:rPr>
          <w:spacing w:val="-3"/>
        </w:rPr>
        <w:t xml:space="preserve"> </w:t>
      </w:r>
      <w:r w:rsidRPr="00CC10E2">
        <w:t>and sanitized “before</w:t>
      </w:r>
      <w:r w:rsidRPr="00CC10E2">
        <w:rPr>
          <w:spacing w:val="1"/>
        </w:rPr>
        <w:t xml:space="preserve"> </w:t>
      </w:r>
      <w:r w:rsidRPr="00CC10E2">
        <w:t xml:space="preserve">contact” </w:t>
      </w:r>
      <w:r w:rsidRPr="00A05932" w:rsidR="00A05932">
        <w:t>with sprouts or seeds used to grow sprouts</w:t>
      </w:r>
      <w:r w:rsidR="00A05932">
        <w:t>,</w:t>
      </w:r>
      <w:r w:rsidRPr="00A05932" w:rsidR="00A05932">
        <w:t xml:space="preserve"> </w:t>
      </w:r>
      <w:r w:rsidRPr="00CC10E2">
        <w:t>we provide the following non-exhaustive list of examples of when you must incorporate</w:t>
      </w:r>
      <w:r w:rsidRPr="00CC10E2">
        <w:rPr>
          <w:spacing w:val="-2"/>
        </w:rPr>
        <w:t xml:space="preserve"> </w:t>
      </w:r>
      <w:r w:rsidRPr="00CC10E2">
        <w:t>a</w:t>
      </w:r>
      <w:r w:rsidRPr="00CC10E2">
        <w:rPr>
          <w:spacing w:val="1"/>
        </w:rPr>
        <w:t xml:space="preserve"> </w:t>
      </w:r>
      <w:r w:rsidRPr="00CC10E2">
        <w:t>cleaning</w:t>
      </w:r>
      <w:r w:rsidRPr="00CC10E2">
        <w:rPr>
          <w:spacing w:val="-3"/>
        </w:rPr>
        <w:t xml:space="preserve"> </w:t>
      </w:r>
      <w:r w:rsidRPr="00CC10E2">
        <w:t>and sanitizing</w:t>
      </w:r>
      <w:r w:rsidRPr="00CC10E2">
        <w:rPr>
          <w:spacing w:val="-3"/>
        </w:rPr>
        <w:t xml:space="preserve"> </w:t>
      </w:r>
      <w:r w:rsidRPr="00CC10E2">
        <w:t>step for FCSs:</w:t>
      </w:r>
    </w:p>
    <w:p w:rsidR="00AD2A5E" w:rsidRPr="00576176" w:rsidP="00F22F55" w14:paraId="3FF7424D" w14:textId="37428EE9">
      <w:pPr>
        <w:pStyle w:val="GuidanceBulletLevel1"/>
      </w:pPr>
      <w:r w:rsidRPr="00CC10E2">
        <w:t>Before contact with a different production batch of</w:t>
      </w:r>
      <w:r w:rsidRPr="00586418">
        <w:t xml:space="preserve"> </w:t>
      </w:r>
      <w:r w:rsidRPr="00CC10E2">
        <w:t>sprouts (e.g., when more</w:t>
      </w:r>
      <w:r w:rsidRPr="00586418">
        <w:t xml:space="preserve"> </w:t>
      </w:r>
      <w:r w:rsidRPr="00CC10E2">
        <w:t>than one</w:t>
      </w:r>
      <w:r w:rsidRPr="00586418">
        <w:t xml:space="preserve"> production </w:t>
      </w:r>
      <w:r w:rsidRPr="00CC10E2">
        <w:t xml:space="preserve">batch of sprouts, </w:t>
      </w:r>
      <w:r w:rsidRPr="00AF4E28">
        <w:t>including seeds for a different production batch of sprouts,</w:t>
      </w:r>
      <w:r w:rsidRPr="00CC10E2">
        <w:t xml:space="preserve"> </w:t>
      </w:r>
      <w:r w:rsidRPr="00B330B6">
        <w:t>will</w:t>
      </w:r>
      <w:r w:rsidRPr="00DA038A" w:rsidR="00A736DB">
        <w:t xml:space="preserve"> </w:t>
      </w:r>
      <w:r w:rsidRPr="00DA038A">
        <w:t>contact</w:t>
      </w:r>
      <w:r w:rsidRPr="00AF4E28">
        <w:t xml:space="preserve"> </w:t>
      </w:r>
      <w:r w:rsidRPr="008642FD">
        <w:t>the</w:t>
      </w:r>
      <w:r w:rsidRPr="00AF4E28">
        <w:t xml:space="preserve"> </w:t>
      </w:r>
      <w:r w:rsidRPr="008642FD">
        <w:t>same</w:t>
      </w:r>
      <w:r w:rsidRPr="00AF4E28">
        <w:t xml:space="preserve"> FCSs</w:t>
      </w:r>
      <w:r w:rsidRPr="008642FD">
        <w:t xml:space="preserve"> on the</w:t>
      </w:r>
      <w:r w:rsidRPr="00AF4E28">
        <w:t xml:space="preserve"> </w:t>
      </w:r>
      <w:r w:rsidRPr="008642FD">
        <w:t>same</w:t>
      </w:r>
      <w:r w:rsidRPr="00AF4E28">
        <w:t xml:space="preserve"> day).</w:t>
      </w:r>
      <w:r w:rsidRPr="008642FD">
        <w:t xml:space="preserve"> Cleaning</w:t>
      </w:r>
      <w:r w:rsidRPr="00586418">
        <w:t xml:space="preserve"> </w:t>
      </w:r>
      <w:r w:rsidRPr="008642FD">
        <w:t>and sanitizing</w:t>
      </w:r>
      <w:r w:rsidRPr="00586418">
        <w:t xml:space="preserve"> FCSs </w:t>
      </w:r>
      <w:r w:rsidRPr="008642FD">
        <w:t>between production batches of</w:t>
      </w:r>
      <w:r w:rsidRPr="00586418">
        <w:t xml:space="preserve"> </w:t>
      </w:r>
      <w:r w:rsidRPr="008642FD">
        <w:t>sprouts minimizes</w:t>
      </w:r>
      <w:r w:rsidRPr="00AF4E28">
        <w:t xml:space="preserve"> </w:t>
      </w:r>
      <w:r w:rsidRPr="008642FD">
        <w:t>the</w:t>
      </w:r>
      <w:r w:rsidRPr="00AF4E28">
        <w:t xml:space="preserve"> </w:t>
      </w:r>
      <w:r w:rsidRPr="008642FD">
        <w:t xml:space="preserve">potential for cross-contamination from one production batch to the next, and also could reduce the </w:t>
      </w:r>
      <w:r w:rsidRPr="00B330B6">
        <w:t>extent of</w:t>
      </w:r>
      <w:r w:rsidRPr="00AF4E28">
        <w:t xml:space="preserve"> </w:t>
      </w:r>
      <w:r w:rsidRPr="008642FD">
        <w:t>corrective</w:t>
      </w:r>
      <w:r w:rsidRPr="00AF4E28">
        <w:t xml:space="preserve"> </w:t>
      </w:r>
      <w:r w:rsidRPr="008642FD">
        <w:t>actions needed in response to</w:t>
      </w:r>
      <w:r w:rsidRPr="00AF4E28">
        <w:t xml:space="preserve"> a </w:t>
      </w:r>
      <w:r w:rsidRPr="008642FD">
        <w:t>positive</w:t>
      </w:r>
      <w:r w:rsidRPr="00AF4E28">
        <w:t xml:space="preserve"> </w:t>
      </w:r>
      <w:r w:rsidRPr="008642FD">
        <w:t>pathogen (or indicator organism) test result (</w:t>
      </w:r>
      <w:r w:rsidRPr="00B330B6">
        <w:t>e.g., from a</w:t>
      </w:r>
      <w:r w:rsidRPr="00AF4E28">
        <w:t xml:space="preserve"> </w:t>
      </w:r>
      <w:r w:rsidRPr="008642FD">
        <w:t>spent</w:t>
      </w:r>
      <w:r w:rsidRPr="00AF4E28">
        <w:t xml:space="preserve"> </w:t>
      </w:r>
      <w:r w:rsidRPr="008642FD">
        <w:t>sprout irrigation water, sprouts, or</w:t>
      </w:r>
      <w:r w:rsidRPr="00AF4E28">
        <w:t xml:space="preserve"> </w:t>
      </w:r>
      <w:r w:rsidRPr="008642FD">
        <w:t xml:space="preserve">environmental sample), because it could serve as a point at which the risk of contamination </w:t>
      </w:r>
      <w:r w:rsidRPr="00B330B6">
        <w:t>of subsequent production batches is substantially reduced (</w:t>
      </w:r>
      <w:r w:rsidRPr="00DA038A" w:rsidR="00073588">
        <w:t>s</w:t>
      </w:r>
      <w:r w:rsidRPr="00DA038A">
        <w:t>ee</w:t>
      </w:r>
      <w:r w:rsidRPr="00AF4E28">
        <w:t xml:space="preserve"> </w:t>
      </w:r>
      <w:r w:rsidRPr="00AF4E28" w:rsidR="00DB58FE">
        <w:t>Section</w:t>
      </w:r>
      <w:r w:rsidRPr="008642FD">
        <w:t xml:space="preserve"> </w:t>
      </w:r>
      <w:r w:rsidRPr="00B330B6" w:rsidR="00FA2647">
        <w:t>V</w:t>
      </w:r>
      <w:r w:rsidRPr="00AF4E28">
        <w:t xml:space="preserve"> </w:t>
      </w:r>
      <w:r w:rsidRPr="008642FD">
        <w:t>(Sampling</w:t>
      </w:r>
      <w:r w:rsidRPr="00AF4E28">
        <w:t xml:space="preserve"> </w:t>
      </w:r>
      <w:r w:rsidRPr="008642FD">
        <w:t>and</w:t>
      </w:r>
      <w:r w:rsidRPr="00B330B6" w:rsidR="00DE28E5">
        <w:t xml:space="preserve"> </w:t>
      </w:r>
      <w:r w:rsidRPr="00DA038A">
        <w:t>Testing</w:t>
      </w:r>
      <w:r w:rsidRPr="00AF4E28">
        <w:t xml:space="preserve"> </w:t>
      </w:r>
      <w:r w:rsidRPr="008642FD">
        <w:t>of</w:t>
      </w:r>
      <w:r w:rsidRPr="00AF4E28">
        <w:t xml:space="preserve"> </w:t>
      </w:r>
      <w:r w:rsidRPr="008642FD">
        <w:t>Spent Spr</w:t>
      </w:r>
      <w:r w:rsidRPr="00B330B6">
        <w:t xml:space="preserve">out Irrigation Water </w:t>
      </w:r>
      <w:r w:rsidRPr="00DA038A" w:rsidR="003D4570">
        <w:t>(</w:t>
      </w:r>
      <w:r w:rsidRPr="00DA038A">
        <w:t>or In-Process Sprouts</w:t>
      </w:r>
      <w:r w:rsidRPr="00DA038A" w:rsidR="003D4570">
        <w:t>)</w:t>
      </w:r>
      <w:r w:rsidRPr="00DA038A" w:rsidR="00CF1D6F">
        <w:t>)</w:t>
      </w:r>
      <w:r w:rsidRPr="00DA038A" w:rsidR="005E19DF">
        <w:t xml:space="preserve"> </w:t>
      </w:r>
      <w:r w:rsidRPr="004B7B5C" w:rsidR="000F3808">
        <w:t xml:space="preserve">in </w:t>
      </w:r>
      <w:r w:rsidRPr="004B7B5C" w:rsidR="00781D3B">
        <w:t xml:space="preserve">the draft </w:t>
      </w:r>
      <w:r w:rsidRPr="004B7B5C" w:rsidR="000F3808">
        <w:t xml:space="preserve">re-issued </w:t>
      </w:r>
      <w:r w:rsidRPr="004B7B5C" w:rsidR="0021684F">
        <w:t>sections</w:t>
      </w:r>
      <w:r w:rsidRPr="004B7B5C" w:rsidR="002B219F">
        <w:t xml:space="preserve"> </w:t>
      </w:r>
      <w:r w:rsidRPr="004B7B5C" w:rsidR="00A868BE">
        <w:t>(</w:t>
      </w:r>
      <w:r w:rsidRPr="004B7B5C" w:rsidR="00E82DBD">
        <w:fldChar w:fldCharType="begin"/>
      </w:r>
      <w:r w:rsidRPr="004B7B5C" w:rsidR="00E82DBD">
        <w:instrText xml:space="preserve"> REF _Ref126308691 \h  \* MERGEFORMAT </w:instrText>
      </w:r>
      <w:r w:rsidRPr="004B7B5C" w:rsidR="00E82DBD">
        <w:fldChar w:fldCharType="separate"/>
      </w:r>
      <w:r w:rsidRPr="004B7B5C" w:rsidR="00E82DBD">
        <w:t xml:space="preserve">Ref. </w:t>
      </w:r>
      <w:r w:rsidRPr="004B7B5C" w:rsidR="00E82DBD">
        <w:rPr>
          <w:noProof/>
        </w:rPr>
        <w:t>18</w:t>
      </w:r>
      <w:r w:rsidRPr="004B7B5C" w:rsidR="00E82DBD">
        <w:fldChar w:fldCharType="end"/>
      </w:r>
      <w:r w:rsidRPr="004B7B5C" w:rsidR="00E82DBD">
        <w:t>)</w:t>
      </w:r>
      <w:r w:rsidRPr="004B7B5C">
        <w:t xml:space="preserve">) and </w:t>
      </w:r>
      <w:r w:rsidRPr="004B7B5C" w:rsidR="00DB58FE">
        <w:t>Section</w:t>
      </w:r>
      <w:r w:rsidRPr="00DA038A">
        <w:t xml:space="preserve"> </w:t>
      </w:r>
      <w:r w:rsidRPr="00DA038A" w:rsidR="008E3E00">
        <w:t>VI</w:t>
      </w:r>
      <w:r w:rsidRPr="00DA038A">
        <w:t xml:space="preserve"> (Environmental</w:t>
      </w:r>
      <w:r w:rsidRPr="00AF4E28">
        <w:t xml:space="preserve"> </w:t>
      </w:r>
      <w:r w:rsidRPr="008642FD">
        <w:t>Monitoring)</w:t>
      </w:r>
      <w:r w:rsidRPr="00B330B6" w:rsidR="00672B02">
        <w:t xml:space="preserve"> </w:t>
      </w:r>
      <w:r w:rsidRPr="00DA038A" w:rsidR="001B7740">
        <w:t>in</w:t>
      </w:r>
      <w:r w:rsidRPr="00DA038A" w:rsidR="00672B02">
        <w:t xml:space="preserve"> this document</w:t>
      </w:r>
      <w:r w:rsidRPr="00DA038A">
        <w:t xml:space="preserve">); </w:t>
      </w:r>
    </w:p>
    <w:p w:rsidR="00AD2A5E" w:rsidRPr="00576176" w:rsidP="00F22F55" w14:paraId="0BB75C9E" w14:textId="3C574A03">
      <w:pPr>
        <w:pStyle w:val="GuidanceBulletLevel1"/>
      </w:pPr>
      <w:r w:rsidRPr="00DA038A">
        <w:t xml:space="preserve">Before the first time the FCS is used in your sprout operation to contact seeds for sprouting or sprouts. FCSs of such tools or equipment may have been contaminated during manufacturing, storage, or transport, or, if they were repurposed from another use, may have been contaminated during that </w:t>
      </w:r>
      <w:r w:rsidRPr="00DA038A">
        <w:t>use;</w:t>
      </w:r>
      <w:r w:rsidRPr="00DA038A">
        <w:t xml:space="preserve"> </w:t>
      </w:r>
    </w:p>
    <w:p w:rsidR="00AD2A5E" w:rsidRPr="00576176" w:rsidP="00F22F55" w14:paraId="1468C84E" w14:textId="77777777">
      <w:pPr>
        <w:pStyle w:val="GuidanceBulletLevel1"/>
      </w:pPr>
      <w:r w:rsidRPr="00DA038A">
        <w:t xml:space="preserve">Before contact with seeds or sprouts after storage for an extended period (e.g., several days, weeks, or months) since the FCSs of the equipment and tools may have become contaminated during </w:t>
      </w:r>
      <w:r w:rsidRPr="00DA038A">
        <w:t>storage;</w:t>
      </w:r>
    </w:p>
    <w:p w:rsidR="00AD2A5E" w:rsidRPr="00576176" w:rsidP="00F22F55" w14:paraId="12D926F0" w14:textId="5C6EE24E">
      <w:pPr>
        <w:pStyle w:val="GuidanceBulletLevel1"/>
      </w:pPr>
      <w:r w:rsidRPr="00DA038A">
        <w:t xml:space="preserve">Before contact with seeds or sprouts after </w:t>
      </w:r>
      <w:r w:rsidRPr="00DA038A" w:rsidR="005A7DE5">
        <w:t>the FCS has been</w:t>
      </w:r>
      <w:r w:rsidRPr="00DA038A">
        <w:t xml:space="preserve"> exposed to a source of contamination (e.g., contaminated water, human or animal fecal material, </w:t>
      </w:r>
      <w:r w:rsidRPr="00DA038A">
        <w:t>animal</w:t>
      </w:r>
      <w:r w:rsidRPr="00DA038A">
        <w:t xml:space="preserve"> or insect activity); and</w:t>
      </w:r>
    </w:p>
    <w:p w:rsidR="00AD2A5E" w:rsidRPr="00576176" w:rsidP="00F22F55" w14:paraId="2FB78D6B" w14:textId="6A395702">
      <w:pPr>
        <w:pStyle w:val="GuidanceBulletLevel1"/>
      </w:pPr>
      <w:r w:rsidRPr="00DA038A">
        <w:t xml:space="preserve">Before contact with seeds or sprouts after contacting food other than sprouts, regardless of whether the food is </w:t>
      </w:r>
      <w:r w:rsidRPr="00DA038A">
        <w:t>produce</w:t>
      </w:r>
      <w:r w:rsidRPr="00DA038A">
        <w:t xml:space="preserve"> that is covered by the P</w:t>
      </w:r>
      <w:r w:rsidRPr="00DA038A" w:rsidR="00672B02">
        <w:t xml:space="preserve">roduce </w:t>
      </w:r>
      <w:r w:rsidRPr="00DA038A">
        <w:t>S</w:t>
      </w:r>
      <w:r w:rsidRPr="00DA038A" w:rsidR="00672B02">
        <w:t xml:space="preserve">afety </w:t>
      </w:r>
      <w:r w:rsidRPr="00DA038A">
        <w:t>R</w:t>
      </w:r>
      <w:r w:rsidRPr="00DA038A" w:rsidR="00672B02">
        <w:t>ule</w:t>
      </w:r>
      <w:r w:rsidRPr="00DA038A">
        <w:t>, because of the risk that pathogens transferred from these other foods may multiply in the unique conditions in which sprouts are grown.</w:t>
      </w:r>
    </w:p>
    <w:p w:rsidR="00AD2A5E" w:rsidRPr="00CC10E2" w:rsidP="00E47C04" w14:paraId="6BFE6010" w14:textId="24ECA53A">
      <w:pPr>
        <w:pStyle w:val="GuidanceParagraph"/>
      </w:pPr>
      <w:r w:rsidRPr="00CC10E2">
        <w:t>Surfaces that are</w:t>
      </w:r>
      <w:r w:rsidRPr="00CC10E2">
        <w:rPr>
          <w:spacing w:val="1"/>
        </w:rPr>
        <w:t xml:space="preserve"> </w:t>
      </w:r>
      <w:r w:rsidRPr="00CC10E2">
        <w:t>used continuously</w:t>
      </w:r>
      <w:r w:rsidRPr="00CC10E2">
        <w:rPr>
          <w:spacing w:val="-3"/>
        </w:rPr>
        <w:t xml:space="preserve"> </w:t>
      </w:r>
      <w:r w:rsidRPr="00CC10E2">
        <w:t>for more</w:t>
      </w:r>
      <w:r w:rsidRPr="00CC10E2">
        <w:rPr>
          <w:spacing w:val="-2"/>
        </w:rPr>
        <w:t xml:space="preserve"> </w:t>
      </w:r>
      <w:r w:rsidRPr="00CC10E2">
        <w:t>than</w:t>
      </w:r>
      <w:r w:rsidRPr="00CC10E2">
        <w:rPr>
          <w:spacing w:val="-3"/>
        </w:rPr>
        <w:t xml:space="preserve"> </w:t>
      </w:r>
      <w:r w:rsidRPr="00CC10E2">
        <w:t>a</w:t>
      </w:r>
      <w:r w:rsidRPr="00CC10E2">
        <w:rPr>
          <w:spacing w:val="1"/>
        </w:rPr>
        <w:t xml:space="preserve"> </w:t>
      </w:r>
      <w:r w:rsidRPr="00CC10E2">
        <w:rPr>
          <w:spacing w:val="-2"/>
        </w:rPr>
        <w:t>day,</w:t>
      </w:r>
      <w:r w:rsidRPr="00CC10E2">
        <w:t xml:space="preserve"> such as bins or drums that contain a single production batch of</w:t>
      </w:r>
      <w:r w:rsidR="004F63B2">
        <w:t xml:space="preserve"> </w:t>
      </w:r>
      <w:r w:rsidRPr="00CC10E2">
        <w:t>sprouts during</w:t>
      </w:r>
      <w:r w:rsidRPr="00CC10E2">
        <w:rPr>
          <w:spacing w:val="-3"/>
        </w:rPr>
        <w:t xml:space="preserve"> </w:t>
      </w:r>
      <w:r w:rsidRPr="00CC10E2">
        <w:t>germination and growth periods</w:t>
      </w:r>
      <w:r w:rsidRPr="00CC10E2">
        <w:rPr>
          <w:spacing w:val="-4"/>
        </w:rPr>
        <w:t xml:space="preserve"> </w:t>
      </w:r>
      <w:r w:rsidRPr="00CC10E2">
        <w:t>lasting</w:t>
      </w:r>
      <w:r w:rsidRPr="00CC10E2">
        <w:rPr>
          <w:spacing w:val="-3"/>
        </w:rPr>
        <w:t xml:space="preserve"> </w:t>
      </w:r>
      <w:r w:rsidRPr="00CC10E2">
        <w:t>more</w:t>
      </w:r>
      <w:r w:rsidRPr="00CC10E2">
        <w:rPr>
          <w:spacing w:val="1"/>
        </w:rPr>
        <w:t xml:space="preserve"> </w:t>
      </w:r>
      <w:r w:rsidRPr="00CC10E2">
        <w:t>than</w:t>
      </w:r>
      <w:r w:rsidRPr="00CC10E2">
        <w:rPr>
          <w:spacing w:val="-3"/>
        </w:rPr>
        <w:t xml:space="preserve"> </w:t>
      </w:r>
      <w:r w:rsidRPr="00CC10E2">
        <w:t>a</w:t>
      </w:r>
      <w:r w:rsidRPr="00CC10E2">
        <w:rPr>
          <w:spacing w:val="1"/>
        </w:rPr>
        <w:t xml:space="preserve"> </w:t>
      </w:r>
      <w:r w:rsidRPr="00CC10E2">
        <w:rPr>
          <w:spacing w:val="-2"/>
        </w:rPr>
        <w:t>day,</w:t>
      </w:r>
      <w:r w:rsidRPr="00CC10E2">
        <w:t xml:space="preserve"> do not need</w:t>
      </w:r>
      <w:r w:rsidRPr="00CC10E2">
        <w:rPr>
          <w:spacing w:val="-3"/>
        </w:rPr>
        <w:t xml:space="preserve"> </w:t>
      </w:r>
      <w:r w:rsidRPr="00CC10E2">
        <w:t xml:space="preserve">to </w:t>
      </w:r>
      <w:r w:rsidRPr="00CC10E2">
        <w:rPr>
          <w:spacing w:val="-2"/>
        </w:rPr>
        <w:t>be</w:t>
      </w:r>
      <w:r w:rsidRPr="00CC10E2">
        <w:rPr>
          <w:spacing w:val="1"/>
        </w:rPr>
        <w:t xml:space="preserve"> </w:t>
      </w:r>
      <w:r w:rsidRPr="00CC10E2">
        <w:t xml:space="preserve">cleaned or sanitized </w:t>
      </w:r>
      <w:r w:rsidRPr="00CC10E2">
        <w:t>on</w:t>
      </w:r>
      <w:r w:rsidRPr="00CC10E2">
        <w:rPr>
          <w:spacing w:val="43"/>
        </w:rPr>
        <w:t xml:space="preserve"> </w:t>
      </w:r>
      <w:r w:rsidRPr="00CC10E2">
        <w:t>a</w:t>
      </w:r>
      <w:r w:rsidRPr="00CC10E2">
        <w:rPr>
          <w:spacing w:val="1"/>
        </w:rPr>
        <w:t xml:space="preserve"> </w:t>
      </w:r>
      <w:r w:rsidRPr="00CC10E2">
        <w:t>daily</w:t>
      </w:r>
      <w:r w:rsidRPr="00CC10E2">
        <w:rPr>
          <w:spacing w:val="-5"/>
        </w:rPr>
        <w:t xml:space="preserve"> </w:t>
      </w:r>
      <w:r w:rsidRPr="00CC10E2">
        <w:t>basis</w:t>
      </w:r>
      <w:r w:rsidRPr="00CC10E2">
        <w:t xml:space="preserve"> while</w:t>
      </w:r>
      <w:r w:rsidRPr="00CC10E2">
        <w:rPr>
          <w:spacing w:val="1"/>
        </w:rPr>
        <w:t xml:space="preserve"> </w:t>
      </w:r>
      <w:r w:rsidRPr="00CC10E2">
        <w:t>they</w:t>
      </w:r>
      <w:r w:rsidRPr="00CC10E2">
        <w:rPr>
          <w:spacing w:val="-5"/>
        </w:rPr>
        <w:t xml:space="preserve"> </w:t>
      </w:r>
      <w:r w:rsidRPr="00CC10E2">
        <w:t>continuously</w:t>
      </w:r>
      <w:r w:rsidRPr="00CC10E2">
        <w:rPr>
          <w:spacing w:val="-5"/>
        </w:rPr>
        <w:t xml:space="preserve"> </w:t>
      </w:r>
      <w:r w:rsidRPr="00CC10E2">
        <w:t>contain or</w:t>
      </w:r>
      <w:r w:rsidRPr="00CC10E2">
        <w:rPr>
          <w:spacing w:val="-3"/>
        </w:rPr>
        <w:t xml:space="preserve"> </w:t>
      </w:r>
      <w:r w:rsidRPr="00CC10E2">
        <w:t>otherwise</w:t>
      </w:r>
      <w:r w:rsidRPr="00CC10E2">
        <w:rPr>
          <w:spacing w:val="1"/>
        </w:rPr>
        <w:t xml:space="preserve"> </w:t>
      </w:r>
      <w:r w:rsidRPr="00CC10E2">
        <w:t>contact</w:t>
      </w:r>
      <w:r w:rsidRPr="00CC10E2">
        <w:rPr>
          <w:spacing w:val="1"/>
        </w:rPr>
        <w:t xml:space="preserve"> </w:t>
      </w:r>
      <w:r w:rsidRPr="00CC10E2">
        <w:t>only</w:t>
      </w:r>
      <w:r w:rsidRPr="00CC10E2">
        <w:rPr>
          <w:spacing w:val="-5"/>
        </w:rPr>
        <w:t xml:space="preserve"> </w:t>
      </w:r>
      <w:r w:rsidRPr="00CC10E2">
        <w:t>one</w:t>
      </w:r>
      <w:r w:rsidRPr="00CC10E2">
        <w:rPr>
          <w:spacing w:val="1"/>
        </w:rPr>
        <w:t xml:space="preserve"> </w:t>
      </w:r>
      <w:r w:rsidRPr="00CC10E2">
        <w:t>production batch of</w:t>
      </w:r>
      <w:r w:rsidRPr="00CC10E2">
        <w:rPr>
          <w:spacing w:val="81"/>
        </w:rPr>
        <w:t xml:space="preserve"> </w:t>
      </w:r>
      <w:r w:rsidRPr="00CC10E2">
        <w:t>growing sprouts.</w:t>
      </w:r>
      <w:r w:rsidRPr="00CC10E2">
        <w:rPr>
          <w:spacing w:val="2"/>
        </w:rPr>
        <w:t xml:space="preserve"> </w:t>
      </w:r>
      <w:r w:rsidRPr="00CC10E2">
        <w:rPr>
          <w:spacing w:val="-2"/>
        </w:rPr>
        <w:t>We</w:t>
      </w:r>
      <w:r w:rsidRPr="00CC10E2">
        <w:rPr>
          <w:spacing w:val="1"/>
        </w:rPr>
        <w:t xml:space="preserve"> </w:t>
      </w:r>
      <w:r w:rsidRPr="00CC10E2">
        <w:t>consider such uses to be</w:t>
      </w:r>
      <w:r w:rsidRPr="00CC10E2">
        <w:rPr>
          <w:spacing w:val="-2"/>
        </w:rPr>
        <w:t xml:space="preserve"> </w:t>
      </w:r>
      <w:r w:rsidRPr="00CC10E2">
        <w:t>a</w:t>
      </w:r>
      <w:r w:rsidRPr="00CC10E2">
        <w:rPr>
          <w:spacing w:val="1"/>
        </w:rPr>
        <w:t xml:space="preserve"> </w:t>
      </w:r>
      <w:r w:rsidRPr="00CC10E2">
        <w:t>single, continuous instance</w:t>
      </w:r>
      <w:r w:rsidRPr="00CC10E2">
        <w:rPr>
          <w:spacing w:val="-2"/>
        </w:rPr>
        <w:t xml:space="preserve"> of</w:t>
      </w:r>
      <w:r w:rsidRPr="00CC10E2">
        <w:rPr>
          <w:spacing w:val="-3"/>
        </w:rPr>
        <w:t xml:space="preserve"> </w:t>
      </w:r>
      <w:r w:rsidRPr="00CC10E2">
        <w:t xml:space="preserve">contact. The end of one production batch and the beginning of the next should be considered a break in the single, continuous instance of contact, warranting </w:t>
      </w:r>
      <w:r w:rsidRPr="00CC10E2">
        <w:t>cleaning</w:t>
      </w:r>
      <w:r w:rsidRPr="00CC10E2">
        <w:t xml:space="preserve"> and sanitizing</w:t>
      </w:r>
      <w:r w:rsidR="002F59E9">
        <w:t xml:space="preserve"> of the </w:t>
      </w:r>
      <w:r w:rsidR="00F524BB">
        <w:t>surfaces</w:t>
      </w:r>
      <w:r w:rsidR="00265979">
        <w:t xml:space="preserve"> between batches</w:t>
      </w:r>
      <w:r w:rsidRPr="00CC10E2">
        <w:t>.</w:t>
      </w:r>
    </w:p>
    <w:p w:rsidR="00AD2A5E" w:rsidRPr="00CC10E2" w:rsidP="00E47C04" w14:paraId="6CF340C5" w14:textId="43D99930">
      <w:pPr>
        <w:pStyle w:val="GuidanceParagraph"/>
      </w:pPr>
      <w:r w:rsidRPr="00CC10E2">
        <w:t>Additionally,</w:t>
      </w:r>
      <w:r w:rsidRPr="00CC10E2">
        <w:rPr>
          <w:spacing w:val="2"/>
        </w:rPr>
        <w:t xml:space="preserve"> </w:t>
      </w:r>
      <w:r w:rsidRPr="00CC10E2">
        <w:rPr>
          <w:spacing w:val="-2"/>
        </w:rPr>
        <w:t>you</w:t>
      </w:r>
      <w:r w:rsidRPr="00CC10E2">
        <w:t xml:space="preserve"> must maintain</w:t>
      </w:r>
      <w:r w:rsidRPr="00CC10E2">
        <w:rPr>
          <w:spacing w:val="-3"/>
        </w:rPr>
        <w:t xml:space="preserve"> </w:t>
      </w:r>
      <w:r w:rsidRPr="00CC10E2">
        <w:t>and clean all non-FCSs of</w:t>
      </w:r>
      <w:r w:rsidRPr="00CC10E2">
        <w:rPr>
          <w:spacing w:val="-3"/>
        </w:rPr>
        <w:t xml:space="preserve"> </w:t>
      </w:r>
      <w:r w:rsidRPr="00CC10E2">
        <w:t>equipment</w:t>
      </w:r>
      <w:r w:rsidRPr="00CC10E2">
        <w:rPr>
          <w:spacing w:val="-2"/>
        </w:rPr>
        <w:t xml:space="preserve"> </w:t>
      </w:r>
      <w:r w:rsidRPr="00CC10E2">
        <w:t>and tools subject</w:t>
      </w:r>
      <w:r w:rsidRPr="00CC10E2">
        <w:rPr>
          <w:spacing w:val="-2"/>
        </w:rPr>
        <w:t xml:space="preserve"> </w:t>
      </w:r>
      <w:r w:rsidRPr="00CC10E2">
        <w:t>to Subpart L</w:t>
      </w:r>
      <w:r w:rsidR="001823C6">
        <w:t xml:space="preserve"> </w:t>
      </w:r>
      <w:r w:rsidRPr="00CC10E2">
        <w:t>that are used during</w:t>
      </w:r>
      <w:r w:rsidRPr="00CC10E2">
        <w:rPr>
          <w:spacing w:val="-3"/>
        </w:rPr>
        <w:t xml:space="preserve"> </w:t>
      </w:r>
      <w:r w:rsidRPr="00CC10E2">
        <w:t>harvesting, packing, and holding</w:t>
      </w:r>
      <w:r w:rsidRPr="00CC10E2">
        <w:rPr>
          <w:spacing w:val="-3"/>
        </w:rPr>
        <w:t xml:space="preserve"> </w:t>
      </w:r>
      <w:r w:rsidRPr="00CC10E2">
        <w:t>as frequently</w:t>
      </w:r>
      <w:r w:rsidRPr="00CC10E2">
        <w:rPr>
          <w:spacing w:val="-5"/>
        </w:rPr>
        <w:t xml:space="preserve"> </w:t>
      </w:r>
      <w:r w:rsidRPr="00CC10E2">
        <w:t>as reasonably</w:t>
      </w:r>
      <w:r w:rsidRPr="00CC10E2">
        <w:rPr>
          <w:spacing w:val="-3"/>
        </w:rPr>
        <w:t xml:space="preserve"> </w:t>
      </w:r>
      <w:r w:rsidRPr="00CC10E2">
        <w:t>necessary</w:t>
      </w:r>
      <w:r w:rsidRPr="00CC10E2">
        <w:rPr>
          <w:spacing w:val="-5"/>
        </w:rPr>
        <w:t xml:space="preserve"> </w:t>
      </w:r>
      <w:r w:rsidRPr="00CC10E2">
        <w:t>to protect</w:t>
      </w:r>
      <w:r w:rsidR="001823C6">
        <w:t xml:space="preserve"> </w:t>
      </w:r>
      <w:r w:rsidRPr="00CC10E2">
        <w:t>against contamination of</w:t>
      </w:r>
      <w:r w:rsidRPr="00CC10E2">
        <w:rPr>
          <w:spacing w:val="-3"/>
        </w:rPr>
        <w:t xml:space="preserve"> </w:t>
      </w:r>
      <w:r w:rsidRPr="00CC10E2">
        <w:t>sprouts (§ 112.123(d)(2)).</w:t>
      </w:r>
      <w:r w:rsidR="00514596">
        <w:t xml:space="preserve"> </w:t>
      </w:r>
      <w:r w:rsidRPr="00CC10E2">
        <w:t>You may consider sanitizing</w:t>
      </w:r>
      <w:r w:rsidRPr="00CC10E2">
        <w:rPr>
          <w:spacing w:val="-2"/>
        </w:rPr>
        <w:t xml:space="preserve"> </w:t>
      </w:r>
      <w:r w:rsidRPr="00CC10E2">
        <w:t>your non-FCSs on the</w:t>
      </w:r>
      <w:r w:rsidRPr="00CC10E2">
        <w:rPr>
          <w:spacing w:val="1"/>
        </w:rPr>
        <w:t xml:space="preserve"> </w:t>
      </w:r>
      <w:r w:rsidRPr="00CC10E2">
        <w:t>same</w:t>
      </w:r>
      <w:r w:rsidRPr="00CC10E2">
        <w:rPr>
          <w:spacing w:val="1"/>
        </w:rPr>
        <w:t xml:space="preserve"> </w:t>
      </w:r>
      <w:r w:rsidRPr="00CC10E2">
        <w:t>schedule</w:t>
      </w:r>
      <w:r w:rsidRPr="00CC10E2">
        <w:rPr>
          <w:spacing w:val="-2"/>
        </w:rPr>
        <w:t xml:space="preserve"> </w:t>
      </w:r>
      <w:r w:rsidRPr="00CC10E2">
        <w:t>as your FCSs.</w:t>
      </w:r>
    </w:p>
    <w:p w:rsidR="00AD2A5E" w:rsidRPr="00CC10E2" w:rsidP="00E47C04" w14:paraId="2AD44586" w14:textId="74551932">
      <w:pPr>
        <w:pStyle w:val="GuidanceParagraph"/>
      </w:pPr>
      <w:r>
        <w:t xml:space="preserve">While the rule does not require sanitizing of non-FCSs, we recommend </w:t>
      </w:r>
      <w:r w:rsidR="00ED5CFC">
        <w:t xml:space="preserve">that </w:t>
      </w:r>
      <w:r w:rsidR="00C30BB7">
        <w:t>sprout operations sanitiz</w:t>
      </w:r>
      <w:r w:rsidR="00A72C63">
        <w:t>e</w:t>
      </w:r>
      <w:r w:rsidR="00C30BB7">
        <w:t xml:space="preserve"> </w:t>
      </w:r>
      <w:r w:rsidR="00ED5CFC">
        <w:t xml:space="preserve">even </w:t>
      </w:r>
      <w:r w:rsidR="00C30BB7">
        <w:t xml:space="preserve">non-FCSs on the same schedule </w:t>
      </w:r>
      <w:r w:rsidR="003E03F9">
        <w:t xml:space="preserve">that </w:t>
      </w:r>
      <w:r w:rsidR="00ED5CFC">
        <w:t>we recommend for</w:t>
      </w:r>
      <w:r w:rsidR="00C30BB7">
        <w:t xml:space="preserve"> cleaning </w:t>
      </w:r>
      <w:r w:rsidR="003E03F9">
        <w:t>FCSs</w:t>
      </w:r>
      <w:r w:rsidR="00C30BB7">
        <w:t xml:space="preserve"> because of the particularly high-ri</w:t>
      </w:r>
      <w:r w:rsidR="00270138">
        <w:t>s</w:t>
      </w:r>
      <w:r w:rsidR="00C30BB7">
        <w:t>k nature of sprout production.</w:t>
      </w:r>
      <w:r w:rsidR="007D3941">
        <w:t xml:space="preserve"> We recommend cleaning and sanitizing all non-FCSs in accordance with the frequencies in Table 1</w:t>
      </w:r>
      <w:r w:rsidR="00F100AA">
        <w:t xml:space="preserve"> below</w:t>
      </w:r>
      <w:r w:rsidR="007D3941">
        <w:t xml:space="preserve">. </w:t>
      </w:r>
      <w:r w:rsidRPr="00CC10E2">
        <w:t>The recommendations in the following</w:t>
      </w:r>
      <w:r w:rsidRPr="00CC10E2">
        <w:rPr>
          <w:spacing w:val="-3"/>
        </w:rPr>
        <w:t xml:space="preserve"> </w:t>
      </w:r>
      <w:r w:rsidRPr="00CC10E2">
        <w:t>table</w:t>
      </w:r>
      <w:r w:rsidRPr="00CC10E2">
        <w:rPr>
          <w:spacing w:val="1"/>
        </w:rPr>
        <w:t xml:space="preserve"> </w:t>
      </w:r>
      <w:r w:rsidRPr="00CC10E2">
        <w:t xml:space="preserve">are adapted from a 1999 publication </w:t>
      </w:r>
      <w:r w:rsidRPr="00CC10E2">
        <w:rPr>
          <w:spacing w:val="1"/>
        </w:rPr>
        <w:t>by</w:t>
      </w:r>
      <w:r w:rsidRPr="00CC10E2">
        <w:rPr>
          <w:spacing w:val="-5"/>
        </w:rPr>
        <w:t xml:space="preserve"> </w:t>
      </w:r>
      <w:r w:rsidRPr="00CC10E2">
        <w:t>Tompkin</w:t>
      </w:r>
      <w:r w:rsidRPr="00CC10E2">
        <w:t xml:space="preserve"> et</w:t>
      </w:r>
      <w:r w:rsidR="00544EDE">
        <w:t xml:space="preserve"> </w:t>
      </w:r>
      <w:r w:rsidRPr="00CC10E2">
        <w:t>al. (</w:t>
      </w:r>
      <w:r w:rsidR="00AC00DF">
        <w:fldChar w:fldCharType="begin"/>
      </w:r>
      <w:r w:rsidR="00AC00DF">
        <w:instrText xml:space="preserve"> REF _Ref89279730 \h </w:instrText>
      </w:r>
      <w:r w:rsidR="004B2A15">
        <w:instrText xml:space="preserve"> \* MERGEFORMAT </w:instrText>
      </w:r>
      <w:r w:rsidR="00AC00DF">
        <w:fldChar w:fldCharType="separate"/>
      </w:r>
      <w:r w:rsidR="000E290D">
        <w:t xml:space="preserve">Ref. </w:t>
      </w:r>
      <w:r w:rsidR="000E290D">
        <w:rPr>
          <w:noProof/>
        </w:rPr>
        <w:t>34</w:t>
      </w:r>
      <w:r w:rsidR="00AC00DF">
        <w:fldChar w:fldCharType="end"/>
      </w:r>
      <w:r w:rsidRPr="00CC10E2">
        <w:t xml:space="preserve">). </w:t>
      </w:r>
      <w:r w:rsidRPr="00CC10E2">
        <w:rPr>
          <w:spacing w:val="-2"/>
        </w:rPr>
        <w:t>If</w:t>
      </w:r>
      <w:r w:rsidRPr="00CC10E2">
        <w:t xml:space="preserve"> the results of your environmental monitoring, spent sprout irrigation water testing, or product</w:t>
      </w:r>
      <w:r w:rsidR="00544EDE">
        <w:t xml:space="preserve"> </w:t>
      </w:r>
      <w:r w:rsidRPr="00CC10E2">
        <w:t>testing</w:t>
      </w:r>
      <w:r w:rsidRPr="00CC10E2">
        <w:rPr>
          <w:spacing w:val="-3"/>
        </w:rPr>
        <w:t xml:space="preserve"> </w:t>
      </w:r>
      <w:r w:rsidRPr="00CC10E2">
        <w:t>indicate</w:t>
      </w:r>
      <w:r w:rsidRPr="00CC10E2">
        <w:rPr>
          <w:spacing w:val="1"/>
        </w:rPr>
        <w:t xml:space="preserve"> </w:t>
      </w:r>
      <w:r w:rsidRPr="00CC10E2">
        <w:t>a food safety</w:t>
      </w:r>
      <w:r w:rsidRPr="00CC10E2">
        <w:rPr>
          <w:spacing w:val="-3"/>
        </w:rPr>
        <w:t xml:space="preserve"> </w:t>
      </w:r>
      <w:r w:rsidRPr="00CC10E2">
        <w:t>concern,</w:t>
      </w:r>
      <w:r w:rsidRPr="00CC10E2">
        <w:rPr>
          <w:spacing w:val="4"/>
        </w:rPr>
        <w:t xml:space="preserve"> </w:t>
      </w:r>
      <w:r w:rsidRPr="00CC10E2">
        <w:rPr>
          <w:spacing w:val="-2"/>
        </w:rPr>
        <w:t>you</w:t>
      </w:r>
      <w:r w:rsidRPr="00CC10E2">
        <w:t xml:space="preserve"> should</w:t>
      </w:r>
      <w:r w:rsidRPr="00CC10E2">
        <w:rPr>
          <w:spacing w:val="2"/>
        </w:rPr>
        <w:t xml:space="preserve"> </w:t>
      </w:r>
      <w:r w:rsidRPr="00CC10E2">
        <w:t>consider increasing</w:t>
      </w:r>
      <w:r w:rsidRPr="00CC10E2">
        <w:rPr>
          <w:spacing w:val="-3"/>
        </w:rPr>
        <w:t xml:space="preserve"> </w:t>
      </w:r>
      <w:r w:rsidRPr="00CC10E2">
        <w:t>the frequency</w:t>
      </w:r>
      <w:r w:rsidRPr="00CC10E2">
        <w:rPr>
          <w:spacing w:val="-5"/>
        </w:rPr>
        <w:t xml:space="preserve"> </w:t>
      </w:r>
      <w:r w:rsidRPr="00CC10E2">
        <w:t>of</w:t>
      </w:r>
      <w:r w:rsidRPr="00CC10E2">
        <w:rPr>
          <w:spacing w:val="1"/>
        </w:rPr>
        <w:t xml:space="preserve"> </w:t>
      </w:r>
      <w:r w:rsidRPr="00CC10E2">
        <w:t>cleaning</w:t>
      </w:r>
      <w:r w:rsidR="00544EDE">
        <w:t xml:space="preserve"> </w:t>
      </w:r>
      <w:r w:rsidRPr="00CC10E2">
        <w:t>and sanitizing</w:t>
      </w:r>
      <w:r w:rsidRPr="00CC10E2">
        <w:rPr>
          <w:spacing w:val="-3"/>
        </w:rPr>
        <w:t xml:space="preserve"> </w:t>
      </w:r>
      <w:r w:rsidRPr="00CC10E2">
        <w:t>as part of</w:t>
      </w:r>
      <w:r w:rsidRPr="00CC10E2">
        <w:rPr>
          <w:spacing w:val="1"/>
        </w:rPr>
        <w:t xml:space="preserve"> </w:t>
      </w:r>
      <w:r w:rsidRPr="00CC10E2">
        <w:t>an overall corrective action plan.</w:t>
      </w:r>
      <w:r w:rsidR="004E7931">
        <w:t xml:space="preserve"> </w:t>
      </w:r>
      <w:r w:rsidRPr="00701939" w:rsidR="004E7931">
        <w:t>If</w:t>
      </w:r>
      <w:r w:rsidRPr="00701939" w:rsidR="004E7931">
        <w:rPr>
          <w:spacing w:val="-3"/>
        </w:rPr>
        <w:t xml:space="preserve"> </w:t>
      </w:r>
      <w:r w:rsidRPr="00701939" w:rsidR="004E7931">
        <w:t>the</w:t>
      </w:r>
      <w:r w:rsidRPr="00701939" w:rsidR="004E7931">
        <w:rPr>
          <w:spacing w:val="1"/>
        </w:rPr>
        <w:t xml:space="preserve"> </w:t>
      </w:r>
      <w:r w:rsidRPr="00701939" w:rsidR="004E7931">
        <w:t>manufacturer of</w:t>
      </w:r>
      <w:r w:rsidRPr="00701939" w:rsidR="004E7931">
        <w:rPr>
          <w:spacing w:val="-3"/>
        </w:rPr>
        <w:t xml:space="preserve"> </w:t>
      </w:r>
      <w:r w:rsidRPr="00701939" w:rsidR="004E7931">
        <w:t xml:space="preserve">equipment </w:t>
      </w:r>
      <w:r w:rsidR="00016770">
        <w:t xml:space="preserve">used in your operation </w:t>
      </w:r>
      <w:r w:rsidRPr="00701939" w:rsidR="004E7931">
        <w:t>recommends cleaning</w:t>
      </w:r>
      <w:r w:rsidRPr="00701939" w:rsidR="004E7931">
        <w:rPr>
          <w:spacing w:val="-3"/>
        </w:rPr>
        <w:t xml:space="preserve"> </w:t>
      </w:r>
      <w:r w:rsidRPr="00701939" w:rsidR="004E7931">
        <w:t>on a</w:t>
      </w:r>
      <w:r w:rsidRPr="00701939" w:rsidR="004E7931">
        <w:rPr>
          <w:spacing w:val="-2"/>
        </w:rPr>
        <w:t xml:space="preserve"> </w:t>
      </w:r>
      <w:r w:rsidRPr="00701939" w:rsidR="004E7931">
        <w:t>more</w:t>
      </w:r>
      <w:r w:rsidRPr="00701939" w:rsidR="004E7931">
        <w:rPr>
          <w:spacing w:val="1"/>
        </w:rPr>
        <w:t xml:space="preserve"> </w:t>
      </w:r>
      <w:r w:rsidRPr="00701939" w:rsidR="004E7931">
        <w:t xml:space="preserve">frequent basis, we recommend that </w:t>
      </w:r>
      <w:r w:rsidRPr="00701939" w:rsidR="004E7931">
        <w:rPr>
          <w:spacing w:val="-2"/>
        </w:rPr>
        <w:t>you</w:t>
      </w:r>
      <w:r w:rsidRPr="00701939" w:rsidR="004E7931">
        <w:t xml:space="preserve"> increase</w:t>
      </w:r>
      <w:r w:rsidRPr="00701939" w:rsidR="004E7931">
        <w:rPr>
          <w:spacing w:val="1"/>
        </w:rPr>
        <w:t xml:space="preserve"> </w:t>
      </w:r>
      <w:r w:rsidRPr="00701939" w:rsidR="004E7931">
        <w:t>this frequency</w:t>
      </w:r>
      <w:r w:rsidRPr="00701939" w:rsidR="004E7931">
        <w:rPr>
          <w:spacing w:val="-5"/>
        </w:rPr>
        <w:t xml:space="preserve"> </w:t>
      </w:r>
      <w:r w:rsidRPr="00701939" w:rsidR="004E7931">
        <w:t>to match the</w:t>
      </w:r>
      <w:r w:rsidRPr="00701939" w:rsidR="004E7931">
        <w:rPr>
          <w:spacing w:val="1"/>
        </w:rPr>
        <w:t xml:space="preserve"> </w:t>
      </w:r>
      <w:r w:rsidRPr="00701939" w:rsidR="004E7931">
        <w:t>recommendations of</w:t>
      </w:r>
      <w:r w:rsidRPr="00701939" w:rsidR="004E7931">
        <w:rPr>
          <w:spacing w:val="-3"/>
        </w:rPr>
        <w:t xml:space="preserve"> </w:t>
      </w:r>
      <w:r w:rsidRPr="00701939" w:rsidR="004E7931">
        <w:t>the</w:t>
      </w:r>
      <w:r w:rsidRPr="00701939" w:rsidR="004E7931">
        <w:rPr>
          <w:spacing w:val="1"/>
        </w:rPr>
        <w:t xml:space="preserve"> </w:t>
      </w:r>
      <w:r w:rsidRPr="00701939" w:rsidR="004E7931">
        <w:t>manufacturer.</w:t>
      </w:r>
    </w:p>
    <w:p w:rsidR="00AD2A5E" w:rsidRPr="00DB3926" w:rsidP="002A2F14" w14:paraId="2C7BF541" w14:textId="7E33FF7E">
      <w:pPr>
        <w:pStyle w:val="StyleCaptionArial11pt6ptafter"/>
        <w:spacing w:after="240"/>
      </w:pPr>
      <w:r w:rsidRPr="00DB3926">
        <w:t>Table 1. Recommended Frequency of</w:t>
      </w:r>
      <w:r w:rsidRPr="00DB3926">
        <w:rPr>
          <w:spacing w:val="1"/>
        </w:rPr>
        <w:t xml:space="preserve"> </w:t>
      </w:r>
      <w:r w:rsidRPr="00DB3926">
        <w:t>Cleaning and Sanitizing Non-Food Contact Surfaces for Sprout Operations</w:t>
      </w:r>
    </w:p>
    <w:tbl>
      <w:tblPr>
        <w:tblW w:w="957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788"/>
        <w:gridCol w:w="4788"/>
      </w:tblGrid>
      <w:tr w14:paraId="746B2BB9" w14:textId="77777777" w:rsidTr="00F97571">
        <w:tblPrEx>
          <w:tblW w:w="957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415"/>
        </w:trPr>
        <w:tc>
          <w:tcPr>
            <w:tcW w:w="4788" w:type="dxa"/>
            <w:shd w:val="pct10" w:color="auto" w:fill="auto"/>
          </w:tcPr>
          <w:p w:rsidR="00AD2A5E" w:rsidRPr="00625A3A" w:rsidP="002A2F14" w14:paraId="0861B248" w14:textId="77777777">
            <w:pPr>
              <w:spacing w:after="240"/>
              <w:rPr>
                <w:rFonts w:ascii="Times New Roman" w:hAnsi="Times New Roman" w:cs="Times New Roman"/>
                <w:b/>
                <w:bCs/>
                <w:sz w:val="24"/>
                <w:szCs w:val="24"/>
              </w:rPr>
            </w:pPr>
            <w:r w:rsidRPr="00625A3A">
              <w:rPr>
                <w:rFonts w:ascii="Times New Roman" w:hAnsi="Times New Roman" w:cs="Times New Roman"/>
                <w:b/>
                <w:bCs/>
                <w:sz w:val="24"/>
                <w:szCs w:val="24"/>
              </w:rPr>
              <w:t>Surface, Area, or</w:t>
            </w:r>
            <w:r w:rsidRPr="00625A3A">
              <w:rPr>
                <w:rFonts w:ascii="Times New Roman" w:hAnsi="Times New Roman" w:cs="Times New Roman"/>
                <w:b/>
                <w:bCs/>
                <w:spacing w:val="-2"/>
                <w:sz w:val="24"/>
                <w:szCs w:val="24"/>
              </w:rPr>
              <w:t xml:space="preserve"> </w:t>
            </w:r>
            <w:r w:rsidRPr="00625A3A">
              <w:rPr>
                <w:rFonts w:ascii="Times New Roman" w:hAnsi="Times New Roman" w:cs="Times New Roman"/>
                <w:b/>
                <w:bCs/>
                <w:sz w:val="24"/>
                <w:szCs w:val="24"/>
              </w:rPr>
              <w:t>Equipment</w:t>
            </w:r>
          </w:p>
        </w:tc>
        <w:tc>
          <w:tcPr>
            <w:tcW w:w="4788" w:type="dxa"/>
            <w:shd w:val="pct10" w:color="auto" w:fill="auto"/>
          </w:tcPr>
          <w:p w:rsidR="00AD2A5E" w:rsidRPr="00625A3A" w:rsidP="002A2F14" w14:paraId="2701356C" w14:textId="77777777">
            <w:pPr>
              <w:spacing w:after="240"/>
              <w:rPr>
                <w:rFonts w:ascii="Times New Roman" w:hAnsi="Times New Roman" w:cs="Times New Roman"/>
                <w:b/>
                <w:bCs/>
                <w:sz w:val="24"/>
                <w:szCs w:val="24"/>
              </w:rPr>
            </w:pPr>
            <w:r w:rsidRPr="00625A3A">
              <w:rPr>
                <w:rFonts w:ascii="Times New Roman" w:hAnsi="Times New Roman" w:cs="Times New Roman"/>
                <w:b/>
                <w:bCs/>
                <w:sz w:val="24"/>
                <w:szCs w:val="24"/>
              </w:rPr>
              <w:t>Frequency</w:t>
            </w:r>
            <w:r w:rsidRPr="00625A3A">
              <w:rPr>
                <w:rFonts w:ascii="Times New Roman" w:hAnsi="Times New Roman" w:cs="Times New Roman"/>
                <w:b/>
                <w:bCs/>
                <w:spacing w:val="-3"/>
                <w:sz w:val="24"/>
                <w:szCs w:val="24"/>
              </w:rPr>
              <w:t xml:space="preserve"> </w:t>
            </w:r>
            <w:r w:rsidRPr="00625A3A">
              <w:rPr>
                <w:rFonts w:ascii="Times New Roman" w:hAnsi="Times New Roman" w:cs="Times New Roman"/>
                <w:b/>
                <w:bCs/>
                <w:spacing w:val="-2"/>
                <w:sz w:val="24"/>
                <w:szCs w:val="24"/>
              </w:rPr>
              <w:t>of</w:t>
            </w:r>
            <w:r w:rsidRPr="00625A3A">
              <w:rPr>
                <w:rFonts w:ascii="Times New Roman" w:hAnsi="Times New Roman" w:cs="Times New Roman"/>
                <w:b/>
                <w:bCs/>
                <w:spacing w:val="2"/>
                <w:sz w:val="24"/>
                <w:szCs w:val="24"/>
              </w:rPr>
              <w:t xml:space="preserve"> </w:t>
            </w:r>
            <w:r w:rsidRPr="00625A3A">
              <w:rPr>
                <w:rFonts w:ascii="Times New Roman" w:hAnsi="Times New Roman" w:cs="Times New Roman"/>
                <w:b/>
                <w:bCs/>
                <w:sz w:val="24"/>
                <w:szCs w:val="24"/>
              </w:rPr>
              <w:t xml:space="preserve">Cleaning </w:t>
            </w:r>
            <w:r w:rsidRPr="00625A3A">
              <w:rPr>
                <w:rFonts w:ascii="Times New Roman" w:hAnsi="Times New Roman" w:cs="Times New Roman"/>
                <w:b/>
                <w:bCs/>
                <w:spacing w:val="-2"/>
                <w:sz w:val="24"/>
                <w:szCs w:val="24"/>
              </w:rPr>
              <w:t>and</w:t>
            </w:r>
            <w:r w:rsidRPr="00625A3A">
              <w:rPr>
                <w:rFonts w:ascii="Times New Roman" w:hAnsi="Times New Roman" w:cs="Times New Roman"/>
                <w:b/>
                <w:bCs/>
                <w:sz w:val="24"/>
                <w:szCs w:val="24"/>
              </w:rPr>
              <w:t xml:space="preserve"> Sanitizing</w:t>
            </w:r>
            <w:r w:rsidRPr="00625A3A">
              <w:rPr>
                <w:rFonts w:ascii="Times New Roman" w:hAnsi="Times New Roman" w:cs="Times New Roman"/>
                <w:b/>
                <w:bCs/>
                <w:position w:val="10"/>
                <w:sz w:val="24"/>
                <w:szCs w:val="24"/>
                <w:vertAlign w:val="superscript"/>
              </w:rPr>
              <w:t>a</w:t>
            </w:r>
          </w:p>
        </w:tc>
      </w:tr>
      <w:tr w14:paraId="281583B9" w14:textId="77777777" w:rsidTr="00F97571">
        <w:tblPrEx>
          <w:tblW w:w="9576" w:type="dxa"/>
          <w:tblInd w:w="96" w:type="dxa"/>
          <w:tblLayout w:type="fixed"/>
          <w:tblCellMar>
            <w:left w:w="0" w:type="dxa"/>
            <w:right w:w="0" w:type="dxa"/>
          </w:tblCellMar>
          <w:tblLook w:val="01E0"/>
        </w:tblPrEx>
        <w:trPr>
          <w:trHeight w:hRule="exact" w:val="396"/>
        </w:trPr>
        <w:tc>
          <w:tcPr>
            <w:tcW w:w="4788" w:type="dxa"/>
          </w:tcPr>
          <w:p w:rsidR="00AD2A5E" w:rsidRPr="00DF1583" w:rsidP="002A2F14" w14:paraId="4E7960F3"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Drains and floors</w:t>
            </w:r>
          </w:p>
        </w:tc>
        <w:tc>
          <w:tcPr>
            <w:tcW w:w="4788" w:type="dxa"/>
          </w:tcPr>
          <w:p w:rsidR="00AD2A5E" w:rsidRPr="00DF1583" w:rsidP="002A2F14" w14:paraId="21893726"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Daily</w:t>
            </w:r>
          </w:p>
        </w:tc>
      </w:tr>
      <w:tr w14:paraId="25288CEB" w14:textId="77777777" w:rsidTr="00F97571">
        <w:tblPrEx>
          <w:tblW w:w="9576" w:type="dxa"/>
          <w:tblInd w:w="96" w:type="dxa"/>
          <w:tblLayout w:type="fixed"/>
          <w:tblCellMar>
            <w:left w:w="0" w:type="dxa"/>
            <w:right w:w="0" w:type="dxa"/>
          </w:tblCellMar>
          <w:tblLook w:val="01E0"/>
        </w:tblPrEx>
        <w:trPr>
          <w:trHeight w:hRule="exact" w:val="398"/>
        </w:trPr>
        <w:tc>
          <w:tcPr>
            <w:tcW w:w="4788" w:type="dxa"/>
          </w:tcPr>
          <w:p w:rsidR="00AD2A5E" w:rsidRPr="00DF1583" w:rsidP="002A2F14" w14:paraId="5C6B1EA8"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Waste</w:t>
            </w:r>
            <w:r w:rsidRPr="00DF1583">
              <w:rPr>
                <w:rFonts w:ascii="Times New Roman" w:hAnsi="Times New Roman" w:cs="Times New Roman"/>
                <w:spacing w:val="1"/>
                <w:sz w:val="24"/>
                <w:szCs w:val="24"/>
              </w:rPr>
              <w:t xml:space="preserve"> </w:t>
            </w:r>
            <w:r w:rsidRPr="00DF1583">
              <w:rPr>
                <w:rFonts w:ascii="Times New Roman" w:hAnsi="Times New Roman" w:cs="Times New Roman"/>
                <w:sz w:val="24"/>
                <w:szCs w:val="24"/>
              </w:rPr>
              <w:t>containers</w:t>
            </w:r>
          </w:p>
        </w:tc>
        <w:tc>
          <w:tcPr>
            <w:tcW w:w="4788" w:type="dxa"/>
          </w:tcPr>
          <w:p w:rsidR="00AD2A5E" w:rsidRPr="00DF1583" w:rsidP="002A2F14" w14:paraId="1483F3B1"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Daily</w:t>
            </w:r>
          </w:p>
        </w:tc>
      </w:tr>
      <w:tr w14:paraId="42E2F856" w14:textId="77777777" w:rsidTr="00F97571">
        <w:tblPrEx>
          <w:tblW w:w="9576" w:type="dxa"/>
          <w:tblInd w:w="96" w:type="dxa"/>
          <w:tblLayout w:type="fixed"/>
          <w:tblCellMar>
            <w:left w:w="0" w:type="dxa"/>
            <w:right w:w="0" w:type="dxa"/>
          </w:tblCellMar>
          <w:tblLook w:val="01E0"/>
        </w:tblPrEx>
        <w:trPr>
          <w:trHeight w:hRule="exact" w:val="401"/>
        </w:trPr>
        <w:tc>
          <w:tcPr>
            <w:tcW w:w="4788" w:type="dxa"/>
          </w:tcPr>
          <w:p w:rsidR="00AD2A5E" w:rsidRPr="00DF1583" w:rsidP="002A2F14" w14:paraId="1FB2CF04"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Cleaning</w:t>
            </w:r>
            <w:r w:rsidRPr="00DF1583">
              <w:rPr>
                <w:rFonts w:ascii="Times New Roman" w:hAnsi="Times New Roman" w:cs="Times New Roman"/>
                <w:spacing w:val="-3"/>
                <w:sz w:val="24"/>
                <w:szCs w:val="24"/>
              </w:rPr>
              <w:t xml:space="preserve"> </w:t>
            </w:r>
            <w:r w:rsidRPr="00DF1583">
              <w:rPr>
                <w:rFonts w:ascii="Times New Roman" w:hAnsi="Times New Roman" w:cs="Times New Roman"/>
                <w:sz w:val="24"/>
                <w:szCs w:val="24"/>
              </w:rPr>
              <w:t>tools (e.g., mops, brushes)</w:t>
            </w:r>
          </w:p>
        </w:tc>
        <w:tc>
          <w:tcPr>
            <w:tcW w:w="4788" w:type="dxa"/>
          </w:tcPr>
          <w:p w:rsidR="00AD2A5E" w:rsidRPr="00DF1583" w:rsidP="002A2F14" w14:paraId="29BC9669"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Daily</w:t>
            </w:r>
          </w:p>
        </w:tc>
      </w:tr>
      <w:tr w14:paraId="13EDE4B4" w14:textId="77777777" w:rsidTr="00F97571">
        <w:tblPrEx>
          <w:tblW w:w="9576" w:type="dxa"/>
          <w:tblInd w:w="96" w:type="dxa"/>
          <w:tblLayout w:type="fixed"/>
          <w:tblCellMar>
            <w:left w:w="0" w:type="dxa"/>
            <w:right w:w="0" w:type="dxa"/>
          </w:tblCellMar>
          <w:tblLook w:val="01E0"/>
        </w:tblPrEx>
        <w:trPr>
          <w:trHeight w:hRule="exact" w:val="1721"/>
        </w:trPr>
        <w:tc>
          <w:tcPr>
            <w:tcW w:w="4788" w:type="dxa"/>
          </w:tcPr>
          <w:p w:rsidR="00AD2A5E" w:rsidRPr="00DF1583" w:rsidP="002A2F14" w14:paraId="185DCBF1"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 xml:space="preserve">Surfaces that </w:t>
            </w:r>
            <w:r w:rsidRPr="00DF1583">
              <w:rPr>
                <w:rFonts w:ascii="Times New Roman" w:hAnsi="Times New Roman" w:cs="Times New Roman"/>
                <w:spacing w:val="-2"/>
                <w:sz w:val="24"/>
                <w:szCs w:val="24"/>
              </w:rPr>
              <w:t>have</w:t>
            </w:r>
            <w:r w:rsidRPr="00DF1583">
              <w:rPr>
                <w:rFonts w:ascii="Times New Roman" w:hAnsi="Times New Roman" w:cs="Times New Roman"/>
                <w:spacing w:val="1"/>
                <w:sz w:val="24"/>
                <w:szCs w:val="24"/>
              </w:rPr>
              <w:t xml:space="preserve"> </w:t>
            </w:r>
            <w:r w:rsidRPr="00DF1583">
              <w:rPr>
                <w:rFonts w:ascii="Times New Roman" w:hAnsi="Times New Roman" w:cs="Times New Roman"/>
                <w:sz w:val="24"/>
                <w:szCs w:val="24"/>
              </w:rPr>
              <w:t>a</w:t>
            </w:r>
            <w:r w:rsidRPr="00DF1583">
              <w:rPr>
                <w:rFonts w:ascii="Times New Roman" w:hAnsi="Times New Roman" w:cs="Times New Roman"/>
                <w:spacing w:val="1"/>
                <w:sz w:val="24"/>
                <w:szCs w:val="24"/>
              </w:rPr>
              <w:t xml:space="preserve"> </w:t>
            </w:r>
            <w:r w:rsidRPr="00DF1583">
              <w:rPr>
                <w:rFonts w:ascii="Times New Roman" w:hAnsi="Times New Roman" w:cs="Times New Roman"/>
                <w:sz w:val="24"/>
                <w:szCs w:val="24"/>
              </w:rPr>
              <w:t>greater potential</w:t>
            </w:r>
            <w:r w:rsidRPr="00DF1583">
              <w:rPr>
                <w:rFonts w:ascii="Times New Roman" w:hAnsi="Times New Roman" w:cs="Times New Roman"/>
                <w:spacing w:val="-2"/>
                <w:sz w:val="24"/>
                <w:szCs w:val="24"/>
              </w:rPr>
              <w:t xml:space="preserve"> </w:t>
            </w:r>
            <w:r w:rsidRPr="00DF1583">
              <w:rPr>
                <w:rFonts w:ascii="Times New Roman" w:hAnsi="Times New Roman" w:cs="Times New Roman"/>
                <w:sz w:val="24"/>
                <w:szCs w:val="24"/>
              </w:rPr>
              <w:t>to become</w:t>
            </w:r>
            <w:r w:rsidRPr="00DF1583">
              <w:rPr>
                <w:rFonts w:ascii="Times New Roman" w:hAnsi="Times New Roman" w:cs="Times New Roman"/>
                <w:spacing w:val="31"/>
                <w:sz w:val="24"/>
                <w:szCs w:val="24"/>
              </w:rPr>
              <w:t xml:space="preserve"> </w:t>
            </w:r>
            <w:r w:rsidRPr="00DF1583">
              <w:rPr>
                <w:rFonts w:ascii="Times New Roman" w:hAnsi="Times New Roman" w:cs="Times New Roman"/>
                <w:sz w:val="24"/>
                <w:szCs w:val="24"/>
              </w:rPr>
              <w:t>a</w:t>
            </w:r>
            <w:r w:rsidRPr="00DF1583">
              <w:rPr>
                <w:rFonts w:ascii="Times New Roman" w:hAnsi="Times New Roman" w:cs="Times New Roman"/>
                <w:spacing w:val="1"/>
                <w:sz w:val="24"/>
                <w:szCs w:val="24"/>
              </w:rPr>
              <w:t xml:space="preserve"> </w:t>
            </w:r>
            <w:r w:rsidRPr="00DF1583">
              <w:rPr>
                <w:rFonts w:ascii="Times New Roman" w:hAnsi="Times New Roman" w:cs="Times New Roman"/>
                <w:sz w:val="24"/>
                <w:szCs w:val="24"/>
              </w:rPr>
              <w:t>source</w:t>
            </w:r>
            <w:r w:rsidRPr="00DF1583">
              <w:rPr>
                <w:rFonts w:ascii="Times New Roman" w:hAnsi="Times New Roman" w:cs="Times New Roman"/>
                <w:spacing w:val="1"/>
                <w:sz w:val="24"/>
                <w:szCs w:val="24"/>
              </w:rPr>
              <w:t xml:space="preserve"> </w:t>
            </w:r>
            <w:r w:rsidRPr="00DF1583">
              <w:rPr>
                <w:rFonts w:ascii="Times New Roman" w:hAnsi="Times New Roman" w:cs="Times New Roman"/>
                <w:sz w:val="24"/>
                <w:szCs w:val="24"/>
              </w:rPr>
              <w:t>of</w:t>
            </w:r>
            <w:r w:rsidRPr="00DF1583">
              <w:rPr>
                <w:rFonts w:ascii="Times New Roman" w:hAnsi="Times New Roman" w:cs="Times New Roman"/>
                <w:spacing w:val="-3"/>
                <w:sz w:val="24"/>
                <w:szCs w:val="24"/>
              </w:rPr>
              <w:t xml:space="preserve"> </w:t>
            </w:r>
            <w:r w:rsidRPr="00DF1583">
              <w:rPr>
                <w:rFonts w:ascii="Times New Roman" w:hAnsi="Times New Roman" w:cs="Times New Roman"/>
                <w:i/>
                <w:spacing w:val="-2"/>
                <w:sz w:val="24"/>
                <w:szCs w:val="24"/>
              </w:rPr>
              <w:t>L.</w:t>
            </w:r>
            <w:r w:rsidRPr="00DF1583">
              <w:rPr>
                <w:rFonts w:ascii="Times New Roman" w:hAnsi="Times New Roman" w:cs="Times New Roman"/>
                <w:i/>
                <w:sz w:val="24"/>
                <w:szCs w:val="24"/>
              </w:rPr>
              <w:t xml:space="preserve"> monocytogenes</w:t>
            </w:r>
            <w:r w:rsidRPr="00DF1583">
              <w:rPr>
                <w:rFonts w:ascii="Times New Roman" w:hAnsi="Times New Roman" w:cs="Times New Roman"/>
                <w:sz w:val="24"/>
                <w:szCs w:val="24"/>
              </w:rPr>
              <w:t xml:space="preserve"> contamination</w:t>
            </w:r>
            <w:r w:rsidRPr="00DF1583">
              <w:rPr>
                <w:rFonts w:ascii="Times New Roman" w:hAnsi="Times New Roman" w:cs="Times New Roman"/>
                <w:spacing w:val="43"/>
                <w:sz w:val="24"/>
                <w:szCs w:val="24"/>
              </w:rPr>
              <w:t xml:space="preserve"> </w:t>
            </w:r>
            <w:r w:rsidRPr="00DF1583">
              <w:rPr>
                <w:rFonts w:ascii="Times New Roman" w:hAnsi="Times New Roman" w:cs="Times New Roman"/>
                <w:sz w:val="24"/>
                <w:szCs w:val="24"/>
              </w:rPr>
              <w:t>(e.g., surfaces likely</w:t>
            </w:r>
            <w:r w:rsidRPr="00DF1583">
              <w:rPr>
                <w:rFonts w:ascii="Times New Roman" w:hAnsi="Times New Roman" w:cs="Times New Roman"/>
                <w:spacing w:val="-5"/>
                <w:sz w:val="24"/>
                <w:szCs w:val="24"/>
              </w:rPr>
              <w:t xml:space="preserve"> </w:t>
            </w:r>
            <w:r w:rsidRPr="00DF1583">
              <w:rPr>
                <w:rFonts w:ascii="Times New Roman" w:hAnsi="Times New Roman" w:cs="Times New Roman"/>
                <w:sz w:val="24"/>
                <w:szCs w:val="24"/>
              </w:rPr>
              <w:t>to be</w:t>
            </w:r>
            <w:r w:rsidRPr="00DF1583">
              <w:rPr>
                <w:rFonts w:ascii="Times New Roman" w:hAnsi="Times New Roman" w:cs="Times New Roman"/>
                <w:spacing w:val="1"/>
                <w:sz w:val="24"/>
                <w:szCs w:val="24"/>
              </w:rPr>
              <w:t xml:space="preserve"> </w:t>
            </w:r>
            <w:r w:rsidRPr="00DF1583">
              <w:rPr>
                <w:rFonts w:ascii="Times New Roman" w:hAnsi="Times New Roman" w:cs="Times New Roman"/>
                <w:sz w:val="24"/>
                <w:szCs w:val="24"/>
              </w:rPr>
              <w:t>touched by</w:t>
            </w:r>
            <w:r w:rsidRPr="00DF1583">
              <w:rPr>
                <w:rFonts w:ascii="Times New Roman" w:hAnsi="Times New Roman" w:cs="Times New Roman"/>
                <w:spacing w:val="52"/>
                <w:sz w:val="24"/>
                <w:szCs w:val="24"/>
              </w:rPr>
              <w:t xml:space="preserve"> </w:t>
            </w:r>
            <w:r w:rsidRPr="00DF1583">
              <w:rPr>
                <w:rFonts w:ascii="Times New Roman" w:hAnsi="Times New Roman" w:cs="Times New Roman"/>
                <w:sz w:val="24"/>
                <w:szCs w:val="24"/>
              </w:rPr>
              <w:t>employees</w:t>
            </w:r>
            <w:r w:rsidRPr="00DF1583">
              <w:rPr>
                <w:rFonts w:ascii="Times New Roman" w:hAnsi="Times New Roman" w:cs="Times New Roman"/>
                <w:spacing w:val="43"/>
                <w:sz w:val="24"/>
                <w:szCs w:val="24"/>
              </w:rPr>
              <w:t xml:space="preserve"> </w:t>
            </w:r>
            <w:r w:rsidRPr="00DF1583">
              <w:rPr>
                <w:rFonts w:ascii="Times New Roman" w:hAnsi="Times New Roman" w:cs="Times New Roman"/>
                <w:sz w:val="24"/>
                <w:szCs w:val="24"/>
              </w:rPr>
              <w:t xml:space="preserve">who touch product </w:t>
            </w:r>
            <w:r w:rsidRPr="00DF1583">
              <w:rPr>
                <w:rFonts w:ascii="Times New Roman" w:hAnsi="Times New Roman" w:cs="Times New Roman"/>
                <w:spacing w:val="-2"/>
                <w:sz w:val="24"/>
                <w:szCs w:val="24"/>
              </w:rPr>
              <w:t>or</w:t>
            </w:r>
            <w:r w:rsidRPr="00DF1583">
              <w:rPr>
                <w:rFonts w:ascii="Times New Roman" w:hAnsi="Times New Roman" w:cs="Times New Roman"/>
                <w:sz w:val="24"/>
                <w:szCs w:val="24"/>
              </w:rPr>
              <w:t xml:space="preserve"> FCSs</w:t>
            </w:r>
            <w:r w:rsidRPr="00DF1583">
              <w:rPr>
                <w:rFonts w:ascii="Times New Roman" w:hAnsi="Times New Roman" w:cs="Times New Roman"/>
                <w:spacing w:val="33"/>
                <w:sz w:val="24"/>
                <w:szCs w:val="24"/>
              </w:rPr>
              <w:t xml:space="preserve"> </w:t>
            </w:r>
            <w:r w:rsidRPr="00DF1583">
              <w:rPr>
                <w:rFonts w:ascii="Times New Roman" w:hAnsi="Times New Roman" w:cs="Times New Roman"/>
                <w:sz w:val="24"/>
                <w:szCs w:val="24"/>
              </w:rPr>
              <w:t>during</w:t>
            </w:r>
            <w:r w:rsidRPr="00DF1583">
              <w:rPr>
                <w:rFonts w:ascii="Times New Roman" w:hAnsi="Times New Roman" w:cs="Times New Roman"/>
                <w:spacing w:val="-3"/>
                <w:sz w:val="24"/>
                <w:szCs w:val="24"/>
              </w:rPr>
              <w:t xml:space="preserve"> </w:t>
            </w:r>
            <w:r w:rsidRPr="00DF1583">
              <w:rPr>
                <w:rFonts w:ascii="Times New Roman" w:hAnsi="Times New Roman" w:cs="Times New Roman"/>
                <w:sz w:val="24"/>
                <w:szCs w:val="24"/>
              </w:rPr>
              <w:t>operations, or areas</w:t>
            </w:r>
            <w:r w:rsidRPr="00DF1583">
              <w:rPr>
                <w:rFonts w:ascii="Times New Roman" w:hAnsi="Times New Roman" w:cs="Times New Roman"/>
                <w:spacing w:val="-4"/>
                <w:sz w:val="24"/>
                <w:szCs w:val="24"/>
              </w:rPr>
              <w:t xml:space="preserve"> </w:t>
            </w:r>
            <w:r w:rsidRPr="00DF1583">
              <w:rPr>
                <w:rFonts w:ascii="Times New Roman" w:hAnsi="Times New Roman" w:cs="Times New Roman"/>
                <w:sz w:val="24"/>
                <w:szCs w:val="24"/>
              </w:rPr>
              <w:t>where</w:t>
            </w:r>
            <w:r w:rsidRPr="00DF1583">
              <w:rPr>
                <w:rFonts w:ascii="Times New Roman" w:hAnsi="Times New Roman" w:cs="Times New Roman"/>
                <w:spacing w:val="1"/>
                <w:sz w:val="24"/>
                <w:szCs w:val="24"/>
              </w:rPr>
              <w:t xml:space="preserve"> </w:t>
            </w:r>
            <w:r w:rsidRPr="00DF1583">
              <w:rPr>
                <w:rFonts w:ascii="Times New Roman" w:hAnsi="Times New Roman" w:cs="Times New Roman"/>
                <w:sz w:val="24"/>
                <w:szCs w:val="24"/>
              </w:rPr>
              <w:t>there</w:t>
            </w:r>
            <w:r w:rsidRPr="00DF1583">
              <w:rPr>
                <w:rFonts w:ascii="Times New Roman" w:hAnsi="Times New Roman" w:cs="Times New Roman"/>
                <w:spacing w:val="-2"/>
                <w:sz w:val="24"/>
                <w:szCs w:val="24"/>
              </w:rPr>
              <w:t xml:space="preserve"> </w:t>
            </w:r>
            <w:r w:rsidRPr="00DF1583">
              <w:rPr>
                <w:rFonts w:ascii="Times New Roman" w:hAnsi="Times New Roman" w:cs="Times New Roman"/>
                <w:sz w:val="24"/>
                <w:szCs w:val="24"/>
              </w:rPr>
              <w:t>may</w:t>
            </w:r>
            <w:r w:rsidRPr="00DF1583">
              <w:rPr>
                <w:rFonts w:ascii="Times New Roman" w:hAnsi="Times New Roman" w:cs="Times New Roman"/>
                <w:spacing w:val="-5"/>
                <w:sz w:val="24"/>
                <w:szCs w:val="24"/>
              </w:rPr>
              <w:t xml:space="preserve"> </w:t>
            </w:r>
            <w:r w:rsidRPr="00DF1583">
              <w:rPr>
                <w:rFonts w:ascii="Times New Roman" w:hAnsi="Times New Roman" w:cs="Times New Roman"/>
                <w:sz w:val="24"/>
                <w:szCs w:val="24"/>
              </w:rPr>
              <w:t>be</w:t>
            </w:r>
            <w:r w:rsidRPr="00DF1583">
              <w:rPr>
                <w:rFonts w:ascii="Times New Roman" w:hAnsi="Times New Roman" w:cs="Times New Roman"/>
                <w:spacing w:val="1"/>
                <w:sz w:val="24"/>
                <w:szCs w:val="24"/>
              </w:rPr>
              <w:t xml:space="preserve"> </w:t>
            </w:r>
            <w:r w:rsidRPr="00DF1583">
              <w:rPr>
                <w:rFonts w:ascii="Times New Roman" w:hAnsi="Times New Roman" w:cs="Times New Roman"/>
                <w:sz w:val="24"/>
                <w:szCs w:val="24"/>
              </w:rPr>
              <w:t>a</w:t>
            </w:r>
            <w:r w:rsidRPr="00DF1583">
              <w:rPr>
                <w:rFonts w:ascii="Times New Roman" w:hAnsi="Times New Roman" w:cs="Times New Roman"/>
                <w:spacing w:val="33"/>
                <w:sz w:val="24"/>
                <w:szCs w:val="24"/>
              </w:rPr>
              <w:t xml:space="preserve"> </w:t>
            </w:r>
            <w:r w:rsidRPr="00DF1583">
              <w:rPr>
                <w:rFonts w:ascii="Times New Roman" w:hAnsi="Times New Roman" w:cs="Times New Roman"/>
                <w:sz w:val="24"/>
                <w:szCs w:val="24"/>
              </w:rPr>
              <w:t>build-up of</w:t>
            </w:r>
            <w:r w:rsidRPr="00DF1583">
              <w:rPr>
                <w:rFonts w:ascii="Times New Roman" w:hAnsi="Times New Roman" w:cs="Times New Roman"/>
                <w:spacing w:val="-3"/>
                <w:sz w:val="24"/>
                <w:szCs w:val="24"/>
              </w:rPr>
              <w:t xml:space="preserve"> </w:t>
            </w:r>
            <w:r w:rsidRPr="00DF1583">
              <w:rPr>
                <w:rFonts w:ascii="Times New Roman" w:hAnsi="Times New Roman" w:cs="Times New Roman"/>
                <w:sz w:val="24"/>
                <w:szCs w:val="24"/>
              </w:rPr>
              <w:t>moisture</w:t>
            </w:r>
            <w:r w:rsidRPr="00DF1583">
              <w:rPr>
                <w:rFonts w:ascii="Times New Roman" w:hAnsi="Times New Roman" w:cs="Times New Roman"/>
                <w:spacing w:val="1"/>
                <w:sz w:val="24"/>
                <w:szCs w:val="24"/>
              </w:rPr>
              <w:t xml:space="preserve"> </w:t>
            </w:r>
            <w:r w:rsidRPr="00DF1583">
              <w:rPr>
                <w:rFonts w:ascii="Times New Roman" w:hAnsi="Times New Roman" w:cs="Times New Roman"/>
                <w:sz w:val="24"/>
                <w:szCs w:val="24"/>
              </w:rPr>
              <w:t>or product residue)</w:t>
            </w:r>
          </w:p>
        </w:tc>
        <w:tc>
          <w:tcPr>
            <w:tcW w:w="4788" w:type="dxa"/>
          </w:tcPr>
          <w:p w:rsidR="00AD2A5E" w:rsidRPr="00DF1583" w:rsidP="002A2F14" w14:paraId="6165A814"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Daily</w:t>
            </w:r>
          </w:p>
        </w:tc>
      </w:tr>
      <w:tr w14:paraId="7D3FC2DB" w14:textId="77777777" w:rsidTr="00F97571">
        <w:tblPrEx>
          <w:tblW w:w="9576" w:type="dxa"/>
          <w:tblInd w:w="96" w:type="dxa"/>
          <w:tblLayout w:type="fixed"/>
          <w:tblCellMar>
            <w:left w:w="0" w:type="dxa"/>
            <w:right w:w="0" w:type="dxa"/>
          </w:tblCellMar>
          <w:tblLook w:val="01E0"/>
        </w:tblPrEx>
        <w:trPr>
          <w:trHeight w:hRule="exact" w:val="401"/>
        </w:trPr>
        <w:tc>
          <w:tcPr>
            <w:tcW w:w="4788" w:type="dxa"/>
          </w:tcPr>
          <w:p w:rsidR="00AD2A5E" w:rsidRPr="00DF1583" w:rsidP="002A2F14" w14:paraId="286B9446"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Condensate</w:t>
            </w:r>
            <w:r w:rsidRPr="00DF1583">
              <w:rPr>
                <w:rFonts w:ascii="Times New Roman" w:hAnsi="Times New Roman" w:cs="Times New Roman"/>
                <w:spacing w:val="1"/>
                <w:sz w:val="24"/>
                <w:szCs w:val="24"/>
              </w:rPr>
              <w:t xml:space="preserve"> </w:t>
            </w:r>
            <w:r w:rsidRPr="00DF1583">
              <w:rPr>
                <w:rFonts w:ascii="Times New Roman" w:hAnsi="Times New Roman" w:cs="Times New Roman"/>
                <w:sz w:val="24"/>
                <w:szCs w:val="24"/>
              </w:rPr>
              <w:t>drip pans</w:t>
            </w:r>
          </w:p>
        </w:tc>
        <w:tc>
          <w:tcPr>
            <w:tcW w:w="4788" w:type="dxa"/>
          </w:tcPr>
          <w:p w:rsidR="00AD2A5E" w:rsidRPr="00DF1583" w:rsidP="002A2F14" w14:paraId="422414D3"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Monthly</w:t>
            </w:r>
          </w:p>
        </w:tc>
      </w:tr>
      <w:tr w14:paraId="6FE1DB2A" w14:textId="77777777" w:rsidTr="00F97571">
        <w:tblPrEx>
          <w:tblW w:w="9576" w:type="dxa"/>
          <w:tblInd w:w="96" w:type="dxa"/>
          <w:tblLayout w:type="fixed"/>
          <w:tblCellMar>
            <w:left w:w="0" w:type="dxa"/>
            <w:right w:w="0" w:type="dxa"/>
          </w:tblCellMar>
          <w:tblLook w:val="01E0"/>
        </w:tblPrEx>
        <w:trPr>
          <w:trHeight w:hRule="exact" w:val="662"/>
        </w:trPr>
        <w:tc>
          <w:tcPr>
            <w:tcW w:w="4788" w:type="dxa"/>
          </w:tcPr>
          <w:p w:rsidR="00AD2A5E" w:rsidRPr="00DF1583" w:rsidP="002A2F14" w14:paraId="12235475"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Motor housings, external surfaces of</w:t>
            </w:r>
            <w:r w:rsidRPr="00DF1583">
              <w:rPr>
                <w:rFonts w:ascii="Times New Roman" w:hAnsi="Times New Roman" w:cs="Times New Roman"/>
                <w:spacing w:val="-3"/>
                <w:sz w:val="24"/>
                <w:szCs w:val="24"/>
              </w:rPr>
              <w:t xml:space="preserve"> </w:t>
            </w:r>
            <w:r w:rsidRPr="00DF1583">
              <w:rPr>
                <w:rFonts w:ascii="Times New Roman" w:hAnsi="Times New Roman" w:cs="Times New Roman"/>
                <w:sz w:val="24"/>
                <w:szCs w:val="24"/>
              </w:rPr>
              <w:t>enclosed</w:t>
            </w:r>
            <w:r w:rsidRPr="00DF1583">
              <w:rPr>
                <w:rFonts w:ascii="Times New Roman" w:hAnsi="Times New Roman" w:cs="Times New Roman"/>
                <w:spacing w:val="43"/>
                <w:sz w:val="24"/>
                <w:szCs w:val="24"/>
              </w:rPr>
              <w:t xml:space="preserve"> </w:t>
            </w:r>
            <w:r w:rsidRPr="00DF1583">
              <w:rPr>
                <w:rFonts w:ascii="Times New Roman" w:hAnsi="Times New Roman" w:cs="Times New Roman"/>
                <w:sz w:val="24"/>
                <w:szCs w:val="24"/>
              </w:rPr>
              <w:t>processing</w:t>
            </w:r>
            <w:r w:rsidRPr="00DF1583">
              <w:rPr>
                <w:rFonts w:ascii="Times New Roman" w:hAnsi="Times New Roman" w:cs="Times New Roman"/>
                <w:spacing w:val="-3"/>
                <w:sz w:val="24"/>
                <w:szCs w:val="24"/>
              </w:rPr>
              <w:t xml:space="preserve"> </w:t>
            </w:r>
            <w:r w:rsidRPr="00DF1583">
              <w:rPr>
                <w:rFonts w:ascii="Times New Roman" w:hAnsi="Times New Roman" w:cs="Times New Roman"/>
                <w:sz w:val="24"/>
                <w:szCs w:val="24"/>
              </w:rPr>
              <w:t>systems</w:t>
            </w:r>
          </w:p>
        </w:tc>
        <w:tc>
          <w:tcPr>
            <w:tcW w:w="4788" w:type="dxa"/>
          </w:tcPr>
          <w:p w:rsidR="00AD2A5E" w:rsidRPr="00DF1583" w:rsidP="002A2F14" w14:paraId="706BBA95"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Monthly</w:t>
            </w:r>
          </w:p>
        </w:tc>
      </w:tr>
      <w:tr w14:paraId="46BD28B3" w14:textId="77777777" w:rsidTr="00F97571">
        <w:tblPrEx>
          <w:tblW w:w="9576" w:type="dxa"/>
          <w:tblInd w:w="96" w:type="dxa"/>
          <w:tblLayout w:type="fixed"/>
          <w:tblCellMar>
            <w:left w:w="0" w:type="dxa"/>
            <w:right w:w="0" w:type="dxa"/>
          </w:tblCellMar>
          <w:tblLook w:val="01E0"/>
        </w:tblPrEx>
        <w:trPr>
          <w:trHeight w:hRule="exact" w:val="401"/>
        </w:trPr>
        <w:tc>
          <w:tcPr>
            <w:tcW w:w="4788" w:type="dxa"/>
          </w:tcPr>
          <w:p w:rsidR="00AD2A5E" w:rsidRPr="00DF1583" w:rsidP="002A2F14" w14:paraId="46A1CFF8"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Overhead piping, ceilings and walls</w:t>
            </w:r>
            <w:r w:rsidRPr="007E2E8C">
              <w:rPr>
                <w:rFonts w:ascii="Times New Roman" w:hAnsi="Times New Roman" w:cs="Times New Roman"/>
                <w:position w:val="10"/>
                <w:sz w:val="24"/>
                <w:szCs w:val="24"/>
                <w:vertAlign w:val="superscript"/>
              </w:rPr>
              <w:t>b</w:t>
            </w:r>
          </w:p>
        </w:tc>
        <w:tc>
          <w:tcPr>
            <w:tcW w:w="4788" w:type="dxa"/>
          </w:tcPr>
          <w:p w:rsidR="00AD2A5E" w:rsidRPr="00DF1583" w:rsidP="002A2F14" w14:paraId="48B444B8"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Semi-annually</w:t>
            </w:r>
          </w:p>
        </w:tc>
      </w:tr>
      <w:tr w14:paraId="7E8A1CB6" w14:textId="77777777" w:rsidTr="00F97571">
        <w:tblPrEx>
          <w:tblW w:w="9576" w:type="dxa"/>
          <w:tblInd w:w="96" w:type="dxa"/>
          <w:tblLayout w:type="fixed"/>
          <w:tblCellMar>
            <w:left w:w="0" w:type="dxa"/>
            <w:right w:w="0" w:type="dxa"/>
          </w:tblCellMar>
          <w:tblLook w:val="01E0"/>
        </w:tblPrEx>
        <w:trPr>
          <w:trHeight w:hRule="exact" w:val="679"/>
        </w:trPr>
        <w:tc>
          <w:tcPr>
            <w:tcW w:w="4788" w:type="dxa"/>
          </w:tcPr>
          <w:p w:rsidR="00AD2A5E" w:rsidRPr="00DF1583" w:rsidP="002A2F14" w14:paraId="61CF3D68"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Refrigerators (e.g., coolers) containing exposed RTE food</w:t>
            </w:r>
          </w:p>
        </w:tc>
        <w:tc>
          <w:tcPr>
            <w:tcW w:w="4788" w:type="dxa"/>
          </w:tcPr>
          <w:p w:rsidR="00AD2A5E" w:rsidRPr="00DF1583" w:rsidP="002A2F14" w14:paraId="6673AB93" w14:textId="7405BBC4">
            <w:pPr>
              <w:spacing w:after="240"/>
              <w:rPr>
                <w:rFonts w:ascii="Times New Roman" w:hAnsi="Times New Roman" w:cs="Times New Roman"/>
                <w:sz w:val="24"/>
                <w:szCs w:val="24"/>
              </w:rPr>
            </w:pPr>
            <w:r w:rsidRPr="00DF1583">
              <w:rPr>
                <w:rFonts w:ascii="Times New Roman" w:hAnsi="Times New Roman" w:cs="Times New Roman"/>
                <w:sz w:val="24"/>
                <w:szCs w:val="24"/>
              </w:rPr>
              <w:t>Quarterly</w:t>
            </w:r>
          </w:p>
        </w:tc>
      </w:tr>
      <w:tr w14:paraId="1F76799B" w14:textId="77777777" w:rsidTr="00F97571">
        <w:tblPrEx>
          <w:tblW w:w="9576" w:type="dxa"/>
          <w:tblInd w:w="96" w:type="dxa"/>
          <w:tblLayout w:type="fixed"/>
          <w:tblCellMar>
            <w:left w:w="0" w:type="dxa"/>
            <w:right w:w="0" w:type="dxa"/>
          </w:tblCellMar>
          <w:tblLook w:val="01E0"/>
        </w:tblPrEx>
        <w:trPr>
          <w:trHeight w:hRule="exact" w:val="679"/>
        </w:trPr>
        <w:tc>
          <w:tcPr>
            <w:tcW w:w="4788" w:type="dxa"/>
          </w:tcPr>
          <w:p w:rsidR="00AD2A5E" w:rsidRPr="00DF1583" w:rsidP="002A2F14" w14:paraId="137C6B0E"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Interiors of</w:t>
            </w:r>
            <w:r w:rsidRPr="00DF1583">
              <w:rPr>
                <w:rFonts w:ascii="Times New Roman" w:hAnsi="Times New Roman" w:cs="Times New Roman"/>
                <w:spacing w:val="-3"/>
                <w:sz w:val="24"/>
                <w:szCs w:val="24"/>
              </w:rPr>
              <w:t xml:space="preserve"> </w:t>
            </w:r>
            <w:r w:rsidRPr="00DF1583">
              <w:rPr>
                <w:rFonts w:ascii="Times New Roman" w:hAnsi="Times New Roman" w:cs="Times New Roman"/>
                <w:sz w:val="24"/>
                <w:szCs w:val="24"/>
              </w:rPr>
              <w:t>Ice</w:t>
            </w:r>
            <w:r w:rsidRPr="00DF1583">
              <w:rPr>
                <w:rFonts w:ascii="Times New Roman" w:hAnsi="Times New Roman" w:cs="Times New Roman"/>
                <w:spacing w:val="1"/>
                <w:sz w:val="24"/>
                <w:szCs w:val="24"/>
              </w:rPr>
              <w:t xml:space="preserve"> </w:t>
            </w:r>
            <w:r w:rsidRPr="00DF1583">
              <w:rPr>
                <w:rFonts w:ascii="Times New Roman" w:hAnsi="Times New Roman" w:cs="Times New Roman"/>
                <w:sz w:val="24"/>
                <w:szCs w:val="24"/>
              </w:rPr>
              <w:t>Makers</w:t>
            </w:r>
          </w:p>
        </w:tc>
        <w:tc>
          <w:tcPr>
            <w:tcW w:w="4788" w:type="dxa"/>
          </w:tcPr>
          <w:p w:rsidR="00AD2A5E" w:rsidRPr="00DF1583" w:rsidP="002A2F14" w14:paraId="2723B228"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Semi-annually</w:t>
            </w:r>
          </w:p>
        </w:tc>
      </w:tr>
    </w:tbl>
    <w:p w:rsidR="00AD2A5E" w:rsidRPr="00701939" w:rsidP="002A2F14" w14:paraId="1F23F751" w14:textId="32AC8108">
      <w:pPr>
        <w:pStyle w:val="FootnoteText"/>
        <w:spacing w:after="240"/>
        <w:rPr>
          <w:rFonts w:ascii="Times New Roman" w:hAnsi="Times New Roman" w:cs="Times New Roman"/>
        </w:rPr>
      </w:pPr>
      <w:r w:rsidRPr="00701939">
        <w:rPr>
          <w:rFonts w:ascii="Times New Roman" w:hAnsi="Times New Roman" w:cs="Times New Roman"/>
          <w:position w:val="10"/>
        </w:rPr>
        <w:t xml:space="preserve">a </w:t>
      </w:r>
      <w:r w:rsidRPr="00701939">
        <w:rPr>
          <w:rFonts w:ascii="Times New Roman" w:hAnsi="Times New Roman" w:cs="Times New Roman"/>
        </w:rPr>
        <w:t>Since</w:t>
      </w:r>
      <w:r w:rsidRPr="00701939">
        <w:rPr>
          <w:rFonts w:ascii="Times New Roman" w:hAnsi="Times New Roman" w:cs="Times New Roman"/>
          <w:spacing w:val="1"/>
        </w:rPr>
        <w:t xml:space="preserve"> </w:t>
      </w:r>
      <w:r w:rsidRPr="00701939">
        <w:rPr>
          <w:rFonts w:ascii="Times New Roman" w:hAnsi="Times New Roman" w:cs="Times New Roman"/>
        </w:rPr>
        <w:t xml:space="preserve">production environments </w:t>
      </w:r>
      <w:r w:rsidRPr="00701939">
        <w:rPr>
          <w:rFonts w:ascii="Times New Roman" w:hAnsi="Times New Roman" w:cs="Times New Roman"/>
          <w:spacing w:val="-2"/>
        </w:rPr>
        <w:t>vary,</w:t>
      </w:r>
      <w:r w:rsidRPr="00701939">
        <w:rPr>
          <w:rFonts w:ascii="Times New Roman" w:hAnsi="Times New Roman" w:cs="Times New Roman"/>
        </w:rPr>
        <w:t xml:space="preserve"> it may</w:t>
      </w:r>
      <w:r w:rsidRPr="00701939">
        <w:rPr>
          <w:rFonts w:ascii="Times New Roman" w:hAnsi="Times New Roman" w:cs="Times New Roman"/>
          <w:spacing w:val="-5"/>
        </w:rPr>
        <w:t xml:space="preserve"> </w:t>
      </w:r>
      <w:r w:rsidRPr="00701939">
        <w:rPr>
          <w:rFonts w:ascii="Times New Roman" w:hAnsi="Times New Roman" w:cs="Times New Roman"/>
        </w:rPr>
        <w:t>be</w:t>
      </w:r>
      <w:r w:rsidRPr="00701939">
        <w:rPr>
          <w:rFonts w:ascii="Times New Roman" w:hAnsi="Times New Roman" w:cs="Times New Roman"/>
          <w:spacing w:val="1"/>
        </w:rPr>
        <w:t xml:space="preserve"> </w:t>
      </w:r>
      <w:r w:rsidRPr="00701939">
        <w:rPr>
          <w:rFonts w:ascii="Times New Roman" w:hAnsi="Times New Roman" w:cs="Times New Roman"/>
        </w:rPr>
        <w:t>appropriate</w:t>
      </w:r>
      <w:r w:rsidRPr="00701939">
        <w:rPr>
          <w:rFonts w:ascii="Times New Roman" w:hAnsi="Times New Roman" w:cs="Times New Roman"/>
          <w:spacing w:val="1"/>
        </w:rPr>
        <w:t xml:space="preserve"> </w:t>
      </w:r>
      <w:r w:rsidRPr="00701939">
        <w:rPr>
          <w:rFonts w:ascii="Times New Roman" w:hAnsi="Times New Roman" w:cs="Times New Roman"/>
        </w:rPr>
        <w:t>to</w:t>
      </w:r>
      <w:r w:rsidRPr="00701939">
        <w:rPr>
          <w:rFonts w:ascii="Times New Roman" w:hAnsi="Times New Roman" w:cs="Times New Roman"/>
          <w:spacing w:val="-3"/>
        </w:rPr>
        <w:t xml:space="preserve"> </w:t>
      </w:r>
      <w:r w:rsidRPr="00701939">
        <w:rPr>
          <w:rFonts w:ascii="Times New Roman" w:hAnsi="Times New Roman" w:cs="Times New Roman"/>
        </w:rPr>
        <w:t>increase</w:t>
      </w:r>
      <w:r w:rsidRPr="00701939">
        <w:rPr>
          <w:rFonts w:ascii="Times New Roman" w:hAnsi="Times New Roman" w:cs="Times New Roman"/>
          <w:spacing w:val="1"/>
        </w:rPr>
        <w:t xml:space="preserve"> </w:t>
      </w:r>
      <w:r w:rsidRPr="00701939">
        <w:rPr>
          <w:rFonts w:ascii="Times New Roman" w:hAnsi="Times New Roman" w:cs="Times New Roman"/>
        </w:rPr>
        <w:t>cleaning frequencies</w:t>
      </w:r>
      <w:r w:rsidRPr="00701939" w:rsidR="009C6551">
        <w:rPr>
          <w:rFonts w:ascii="Times New Roman" w:hAnsi="Times New Roman" w:cs="Times New Roman"/>
        </w:rPr>
        <w:t xml:space="preserve"> </w:t>
      </w:r>
      <w:r w:rsidRPr="00701939">
        <w:rPr>
          <w:rFonts w:ascii="Times New Roman" w:hAnsi="Times New Roman" w:cs="Times New Roman"/>
        </w:rPr>
        <w:t>depending</w:t>
      </w:r>
      <w:r w:rsidRPr="00701939">
        <w:rPr>
          <w:rFonts w:ascii="Times New Roman" w:hAnsi="Times New Roman" w:cs="Times New Roman"/>
          <w:spacing w:val="-3"/>
        </w:rPr>
        <w:t xml:space="preserve"> </w:t>
      </w:r>
      <w:r w:rsidRPr="00701939">
        <w:rPr>
          <w:rFonts w:ascii="Times New Roman" w:hAnsi="Times New Roman" w:cs="Times New Roman"/>
        </w:rPr>
        <w:t>on the</w:t>
      </w:r>
      <w:r w:rsidRPr="00701939">
        <w:rPr>
          <w:rFonts w:ascii="Times New Roman" w:hAnsi="Times New Roman" w:cs="Times New Roman"/>
          <w:spacing w:val="1"/>
        </w:rPr>
        <w:t xml:space="preserve"> </w:t>
      </w:r>
      <w:r w:rsidRPr="00701939">
        <w:rPr>
          <w:rFonts w:ascii="Times New Roman" w:hAnsi="Times New Roman" w:cs="Times New Roman"/>
        </w:rPr>
        <w:t>specific</w:t>
      </w:r>
      <w:r w:rsidRPr="00701939">
        <w:rPr>
          <w:rFonts w:ascii="Times New Roman" w:hAnsi="Times New Roman" w:cs="Times New Roman"/>
          <w:spacing w:val="-2"/>
        </w:rPr>
        <w:t xml:space="preserve"> </w:t>
      </w:r>
      <w:r w:rsidRPr="00701939">
        <w:rPr>
          <w:rFonts w:ascii="Times New Roman" w:hAnsi="Times New Roman" w:cs="Times New Roman"/>
        </w:rPr>
        <w:t>circumstances of</w:t>
      </w:r>
      <w:r w:rsidRPr="00701939">
        <w:rPr>
          <w:rFonts w:ascii="Times New Roman" w:hAnsi="Times New Roman" w:cs="Times New Roman"/>
          <w:spacing w:val="-3"/>
        </w:rPr>
        <w:t xml:space="preserve"> </w:t>
      </w:r>
      <w:r w:rsidRPr="00701939">
        <w:rPr>
          <w:rFonts w:ascii="Times New Roman" w:hAnsi="Times New Roman" w:cs="Times New Roman"/>
        </w:rPr>
        <w:t>the</w:t>
      </w:r>
      <w:r w:rsidRPr="00701939">
        <w:rPr>
          <w:rFonts w:ascii="Times New Roman" w:hAnsi="Times New Roman" w:cs="Times New Roman"/>
          <w:spacing w:val="1"/>
        </w:rPr>
        <w:t xml:space="preserve"> </w:t>
      </w:r>
      <w:r w:rsidRPr="00701939">
        <w:rPr>
          <w:rFonts w:ascii="Times New Roman" w:hAnsi="Times New Roman" w:cs="Times New Roman"/>
        </w:rPr>
        <w:t>product area.</w:t>
      </w:r>
    </w:p>
    <w:p w:rsidR="00AD2A5E" w:rsidRPr="00701939" w:rsidP="002A2F14" w14:paraId="6FC457BB" w14:textId="4BFE02DF">
      <w:pPr>
        <w:pStyle w:val="FootnoteText"/>
        <w:spacing w:after="240"/>
        <w:rPr>
          <w:rFonts w:ascii="Times New Roman" w:hAnsi="Times New Roman" w:cs="Times New Roman"/>
        </w:rPr>
      </w:pPr>
      <w:r w:rsidRPr="00701939">
        <w:rPr>
          <w:rFonts w:ascii="Times New Roman" w:hAnsi="Times New Roman" w:cs="Times New Roman"/>
          <w:position w:val="10"/>
        </w:rPr>
        <w:t>b</w:t>
      </w:r>
      <w:r w:rsidRPr="00701939">
        <w:rPr>
          <w:rFonts w:ascii="Times New Roman" w:hAnsi="Times New Roman" w:cs="Times New Roman"/>
          <w:spacing w:val="20"/>
          <w:position w:val="10"/>
        </w:rPr>
        <w:t xml:space="preserve"> </w:t>
      </w:r>
      <w:r w:rsidRPr="00701939">
        <w:rPr>
          <w:rFonts w:ascii="Times New Roman" w:hAnsi="Times New Roman" w:cs="Times New Roman"/>
          <w:spacing w:val="-2"/>
        </w:rPr>
        <w:t>We</w:t>
      </w:r>
      <w:r w:rsidRPr="00701939">
        <w:rPr>
          <w:rFonts w:ascii="Times New Roman" w:hAnsi="Times New Roman" w:cs="Times New Roman"/>
          <w:spacing w:val="1"/>
        </w:rPr>
        <w:t xml:space="preserve"> </w:t>
      </w:r>
      <w:r w:rsidRPr="00701939">
        <w:rPr>
          <w:rFonts w:ascii="Times New Roman" w:hAnsi="Times New Roman" w:cs="Times New Roman"/>
        </w:rPr>
        <w:t>recommend</w:t>
      </w:r>
      <w:r w:rsidRPr="00701939">
        <w:rPr>
          <w:rFonts w:ascii="Times New Roman" w:hAnsi="Times New Roman" w:cs="Times New Roman"/>
          <w:spacing w:val="-3"/>
        </w:rPr>
        <w:t xml:space="preserve"> </w:t>
      </w:r>
      <w:r w:rsidRPr="00701939">
        <w:rPr>
          <w:rFonts w:ascii="Times New Roman" w:hAnsi="Times New Roman" w:cs="Times New Roman"/>
        </w:rPr>
        <w:t xml:space="preserve">that that </w:t>
      </w:r>
      <w:r w:rsidRPr="00701939">
        <w:rPr>
          <w:rFonts w:ascii="Times New Roman" w:hAnsi="Times New Roman" w:cs="Times New Roman"/>
          <w:spacing w:val="-2"/>
        </w:rPr>
        <w:t>you</w:t>
      </w:r>
      <w:r w:rsidRPr="00701939">
        <w:rPr>
          <w:rFonts w:ascii="Times New Roman" w:hAnsi="Times New Roman" w:cs="Times New Roman"/>
        </w:rPr>
        <w:t xml:space="preserve"> clean</w:t>
      </w:r>
      <w:r w:rsidRPr="00701939">
        <w:rPr>
          <w:rFonts w:ascii="Times New Roman" w:hAnsi="Times New Roman" w:cs="Times New Roman"/>
          <w:spacing w:val="-3"/>
        </w:rPr>
        <w:t xml:space="preserve"> </w:t>
      </w:r>
      <w:r w:rsidRPr="00701939">
        <w:rPr>
          <w:rFonts w:ascii="Times New Roman" w:hAnsi="Times New Roman" w:cs="Times New Roman"/>
        </w:rPr>
        <w:t>and sanitize</w:t>
      </w:r>
      <w:r w:rsidRPr="00701939">
        <w:rPr>
          <w:rFonts w:ascii="Times New Roman" w:hAnsi="Times New Roman" w:cs="Times New Roman"/>
          <w:spacing w:val="1"/>
        </w:rPr>
        <w:t xml:space="preserve"> </w:t>
      </w:r>
      <w:r w:rsidRPr="00701939">
        <w:rPr>
          <w:rFonts w:ascii="Times New Roman" w:hAnsi="Times New Roman" w:cs="Times New Roman"/>
        </w:rPr>
        <w:t>walls and</w:t>
      </w:r>
      <w:r w:rsidRPr="00701939">
        <w:rPr>
          <w:rFonts w:ascii="Times New Roman" w:hAnsi="Times New Roman" w:cs="Times New Roman"/>
          <w:spacing w:val="-3"/>
        </w:rPr>
        <w:t xml:space="preserve"> </w:t>
      </w:r>
      <w:r w:rsidRPr="00701939">
        <w:rPr>
          <w:rFonts w:ascii="Times New Roman" w:hAnsi="Times New Roman" w:cs="Times New Roman"/>
        </w:rPr>
        <w:t xml:space="preserve">ceilings </w:t>
      </w:r>
      <w:r w:rsidRPr="00701939">
        <w:rPr>
          <w:rFonts w:ascii="Times New Roman" w:hAnsi="Times New Roman" w:cs="Times New Roman"/>
        </w:rPr>
        <w:t>in</w:t>
      </w:r>
      <w:r w:rsidRPr="00701939">
        <w:rPr>
          <w:rFonts w:ascii="Times New Roman" w:hAnsi="Times New Roman" w:cs="Times New Roman"/>
          <w:spacing w:val="-3"/>
        </w:rPr>
        <w:t xml:space="preserve"> </w:t>
      </w:r>
      <w:r w:rsidRPr="00701939">
        <w:rPr>
          <w:rFonts w:ascii="Times New Roman" w:hAnsi="Times New Roman" w:cs="Times New Roman"/>
        </w:rPr>
        <w:t>close</w:t>
      </w:r>
      <w:r w:rsidRPr="00701939" w:rsidR="009C6551">
        <w:rPr>
          <w:rFonts w:ascii="Times New Roman" w:hAnsi="Times New Roman" w:cs="Times New Roman"/>
        </w:rPr>
        <w:t xml:space="preserve"> </w:t>
      </w:r>
      <w:r w:rsidRPr="00701939">
        <w:rPr>
          <w:rFonts w:ascii="Times New Roman" w:hAnsi="Times New Roman" w:cs="Times New Roman"/>
        </w:rPr>
        <w:t>proximity</w:t>
      </w:r>
      <w:r w:rsidRPr="00701939">
        <w:rPr>
          <w:rFonts w:ascii="Times New Roman" w:hAnsi="Times New Roman" w:cs="Times New Roman"/>
          <w:spacing w:val="-5"/>
        </w:rPr>
        <w:t xml:space="preserve"> </w:t>
      </w:r>
      <w:r w:rsidRPr="00701939">
        <w:rPr>
          <w:rFonts w:ascii="Times New Roman" w:hAnsi="Times New Roman" w:cs="Times New Roman"/>
        </w:rPr>
        <w:t>to</w:t>
      </w:r>
      <w:r w:rsidRPr="00701939">
        <w:rPr>
          <w:rFonts w:ascii="Times New Roman" w:hAnsi="Times New Roman" w:cs="Times New Roman"/>
        </w:rPr>
        <w:t xml:space="preserve"> a</w:t>
      </w:r>
      <w:r w:rsidRPr="00701939">
        <w:rPr>
          <w:rFonts w:ascii="Times New Roman" w:hAnsi="Times New Roman" w:cs="Times New Roman"/>
          <w:spacing w:val="1"/>
        </w:rPr>
        <w:t xml:space="preserve"> </w:t>
      </w:r>
      <w:r w:rsidRPr="00701939">
        <w:rPr>
          <w:rFonts w:ascii="Times New Roman" w:hAnsi="Times New Roman" w:cs="Times New Roman"/>
        </w:rPr>
        <w:t>production</w:t>
      </w:r>
      <w:r w:rsidRPr="00701939">
        <w:rPr>
          <w:rFonts w:ascii="Times New Roman" w:hAnsi="Times New Roman" w:cs="Times New Roman"/>
          <w:spacing w:val="-3"/>
        </w:rPr>
        <w:t xml:space="preserve"> </w:t>
      </w:r>
      <w:r w:rsidRPr="00701939">
        <w:rPr>
          <w:rFonts w:ascii="Times New Roman" w:hAnsi="Times New Roman" w:cs="Times New Roman"/>
        </w:rPr>
        <w:t>line</w:t>
      </w:r>
      <w:r w:rsidRPr="00701939">
        <w:rPr>
          <w:rFonts w:ascii="Times New Roman" w:hAnsi="Times New Roman" w:cs="Times New Roman"/>
          <w:spacing w:val="-3"/>
        </w:rPr>
        <w:t xml:space="preserve"> </w:t>
      </w:r>
      <w:r w:rsidRPr="00701939">
        <w:rPr>
          <w:rFonts w:ascii="Times New Roman" w:hAnsi="Times New Roman" w:cs="Times New Roman"/>
        </w:rPr>
        <w:t>at</w:t>
      </w:r>
      <w:r w:rsidRPr="00701939">
        <w:rPr>
          <w:rFonts w:ascii="Times New Roman" w:hAnsi="Times New Roman" w:cs="Times New Roman"/>
          <w:spacing w:val="-2"/>
        </w:rPr>
        <w:t xml:space="preserve"> </w:t>
      </w:r>
      <w:r w:rsidRPr="00701939">
        <w:rPr>
          <w:rFonts w:ascii="Times New Roman" w:hAnsi="Times New Roman" w:cs="Times New Roman"/>
        </w:rPr>
        <w:t>the</w:t>
      </w:r>
      <w:r w:rsidRPr="00701939">
        <w:rPr>
          <w:rFonts w:ascii="Times New Roman" w:hAnsi="Times New Roman" w:cs="Times New Roman"/>
          <w:spacing w:val="1"/>
        </w:rPr>
        <w:t xml:space="preserve"> </w:t>
      </w:r>
      <w:r w:rsidRPr="00701939">
        <w:rPr>
          <w:rFonts w:ascii="Times New Roman" w:hAnsi="Times New Roman" w:cs="Times New Roman"/>
        </w:rPr>
        <w:t>same</w:t>
      </w:r>
      <w:r w:rsidRPr="00701939">
        <w:rPr>
          <w:rFonts w:ascii="Times New Roman" w:hAnsi="Times New Roman" w:cs="Times New Roman"/>
          <w:spacing w:val="-2"/>
        </w:rPr>
        <w:t xml:space="preserve"> </w:t>
      </w:r>
      <w:r w:rsidRPr="00701939">
        <w:rPr>
          <w:rFonts w:ascii="Times New Roman" w:hAnsi="Times New Roman" w:cs="Times New Roman"/>
        </w:rPr>
        <w:t>time</w:t>
      </w:r>
      <w:r w:rsidRPr="00701939">
        <w:rPr>
          <w:rFonts w:ascii="Times New Roman" w:hAnsi="Times New Roman" w:cs="Times New Roman"/>
          <w:spacing w:val="-2"/>
        </w:rPr>
        <w:t xml:space="preserve"> </w:t>
      </w:r>
      <w:r w:rsidRPr="00701939">
        <w:rPr>
          <w:rFonts w:ascii="Times New Roman" w:hAnsi="Times New Roman" w:cs="Times New Roman"/>
        </w:rPr>
        <w:t>as the production</w:t>
      </w:r>
      <w:r w:rsidRPr="00701939">
        <w:rPr>
          <w:rFonts w:ascii="Times New Roman" w:hAnsi="Times New Roman" w:cs="Times New Roman"/>
          <w:spacing w:val="-3"/>
        </w:rPr>
        <w:t xml:space="preserve"> </w:t>
      </w:r>
      <w:r w:rsidRPr="00701939">
        <w:rPr>
          <w:rFonts w:ascii="Times New Roman" w:hAnsi="Times New Roman" w:cs="Times New Roman"/>
        </w:rPr>
        <w:t>equipment (e.g., daily).</w:t>
      </w:r>
    </w:p>
    <w:p w:rsidR="00AD2A5E" w:rsidRPr="00B70948" w:rsidP="00F756C4" w14:paraId="3737E132" w14:textId="24279F9F">
      <w:pPr>
        <w:pStyle w:val="HHS508GuidanceOutline2"/>
      </w:pPr>
      <w:bookmarkStart w:id="16" w:name="_Toc46929879"/>
      <w:bookmarkStart w:id="17" w:name="_Toc106094924"/>
      <w:r>
        <w:t>Cleaning and Sanitizing</w:t>
      </w:r>
      <w:r w:rsidRPr="00B70948">
        <w:t xml:space="preserve"> Policies and Recordkeeping</w:t>
      </w:r>
      <w:bookmarkEnd w:id="16"/>
      <w:bookmarkEnd w:id="17"/>
    </w:p>
    <w:p w:rsidR="00AD2A5E" w:rsidRPr="00CC10E2" w:rsidP="00E47C04" w14:paraId="75C6FBF9" w14:textId="4CF76279">
      <w:pPr>
        <w:pStyle w:val="GuidanceParagraph"/>
      </w:pPr>
      <w:r w:rsidRPr="00CC10E2">
        <w:t>You should</w:t>
      </w:r>
      <w:r w:rsidRPr="00CC10E2">
        <w:rPr>
          <w:spacing w:val="-3"/>
        </w:rPr>
        <w:t xml:space="preserve"> </w:t>
      </w:r>
      <w:r w:rsidRPr="00CC10E2">
        <w:t>create</w:t>
      </w:r>
      <w:r w:rsidRPr="00CC10E2">
        <w:rPr>
          <w:spacing w:val="-2"/>
        </w:rPr>
        <w:t xml:space="preserve"> policies</w:t>
      </w:r>
      <w:r w:rsidRPr="00CC10E2">
        <w:t xml:space="preserve"> that describe </w:t>
      </w:r>
      <w:r w:rsidR="00DC745C">
        <w:t xml:space="preserve">cleaning and </w:t>
      </w:r>
      <w:r w:rsidRPr="00CC10E2">
        <w:t>sanitation procedures</w:t>
      </w:r>
      <w:r w:rsidR="00DC745C">
        <w:t xml:space="preserve">. </w:t>
      </w:r>
      <w:r w:rsidR="00727EE7">
        <w:t xml:space="preserve">These </w:t>
      </w:r>
      <w:r w:rsidR="00DC745C">
        <w:t>include</w:t>
      </w:r>
      <w:r w:rsidRPr="00CC10E2">
        <w:t xml:space="preserve"> schedules, needed</w:t>
      </w:r>
      <w:r w:rsidRPr="00CC10E2">
        <w:rPr>
          <w:spacing w:val="43"/>
        </w:rPr>
        <w:t xml:space="preserve"> </w:t>
      </w:r>
      <w:r w:rsidRPr="00CC10E2">
        <w:t>materials, tools, and</w:t>
      </w:r>
      <w:r w:rsidRPr="00CC10E2">
        <w:rPr>
          <w:spacing w:val="-3"/>
        </w:rPr>
        <w:t xml:space="preserve"> </w:t>
      </w:r>
      <w:r w:rsidRPr="00CC10E2">
        <w:t>chemicals for specific</w:t>
      </w:r>
      <w:r w:rsidRPr="00CC10E2">
        <w:rPr>
          <w:spacing w:val="1"/>
        </w:rPr>
        <w:t xml:space="preserve"> </w:t>
      </w:r>
      <w:r w:rsidRPr="00CC10E2">
        <w:t>cleaning</w:t>
      </w:r>
      <w:r w:rsidRPr="00CC10E2">
        <w:rPr>
          <w:spacing w:val="-3"/>
        </w:rPr>
        <w:t xml:space="preserve"> </w:t>
      </w:r>
      <w:r w:rsidRPr="00CC10E2">
        <w:t>and sanitizing</w:t>
      </w:r>
      <w:r w:rsidRPr="00CC10E2">
        <w:rPr>
          <w:spacing w:val="-3"/>
        </w:rPr>
        <w:t xml:space="preserve"> </w:t>
      </w:r>
      <w:r w:rsidRPr="00CC10E2">
        <w:t>tasks. You may</w:t>
      </w:r>
      <w:r w:rsidR="00544EDE">
        <w:t xml:space="preserve"> </w:t>
      </w:r>
      <w:r w:rsidR="00517832">
        <w:t>need</w:t>
      </w:r>
      <w:r w:rsidRPr="00CC10E2" w:rsidR="00517832">
        <w:rPr>
          <w:spacing w:val="1"/>
        </w:rPr>
        <w:t xml:space="preserve"> </w:t>
      </w:r>
      <w:r w:rsidRPr="00CC10E2">
        <w:t>several policies describing</w:t>
      </w:r>
      <w:r w:rsidRPr="00CC10E2">
        <w:rPr>
          <w:spacing w:val="-3"/>
        </w:rPr>
        <w:t xml:space="preserve"> </w:t>
      </w:r>
      <w:r w:rsidRPr="00CC10E2">
        <w:t>various tasks throughout the</w:t>
      </w:r>
      <w:r w:rsidRPr="00CC10E2">
        <w:rPr>
          <w:spacing w:val="-2"/>
        </w:rPr>
        <w:t xml:space="preserve"> </w:t>
      </w:r>
      <w:r w:rsidRPr="00CC10E2">
        <w:t>production</w:t>
      </w:r>
      <w:r w:rsidRPr="00CC10E2">
        <w:rPr>
          <w:spacing w:val="-3"/>
        </w:rPr>
        <w:t xml:space="preserve"> </w:t>
      </w:r>
      <w:r w:rsidRPr="00CC10E2">
        <w:t>environment.</w:t>
      </w:r>
      <w:r w:rsidR="002F412E">
        <w:t xml:space="preserve"> </w:t>
      </w:r>
      <w:r w:rsidRPr="00CC10E2">
        <w:t>Each piece</w:t>
      </w:r>
      <w:r w:rsidRPr="00CC10E2">
        <w:rPr>
          <w:spacing w:val="1"/>
        </w:rPr>
        <w:t xml:space="preserve"> </w:t>
      </w:r>
      <w:r w:rsidRPr="00CC10E2">
        <w:t>of</w:t>
      </w:r>
      <w:r w:rsidR="00544EDE">
        <w:t xml:space="preserve"> </w:t>
      </w:r>
      <w:r w:rsidRPr="00CC10E2">
        <w:t>equipment</w:t>
      </w:r>
      <w:r w:rsidR="00517832">
        <w:t>,</w:t>
      </w:r>
      <w:r w:rsidRPr="00CC10E2">
        <w:rPr>
          <w:spacing w:val="-2"/>
        </w:rPr>
        <w:t xml:space="preserve"> </w:t>
      </w:r>
      <w:r w:rsidRPr="00CC10E2">
        <w:t>as well as the</w:t>
      </w:r>
      <w:r w:rsidRPr="00CC10E2">
        <w:rPr>
          <w:spacing w:val="1"/>
        </w:rPr>
        <w:t xml:space="preserve"> </w:t>
      </w:r>
      <w:r w:rsidRPr="00CC10E2">
        <w:t>production environment</w:t>
      </w:r>
      <w:r w:rsidRPr="00CC10E2">
        <w:rPr>
          <w:spacing w:val="-2"/>
        </w:rPr>
        <w:t xml:space="preserve"> </w:t>
      </w:r>
      <w:r w:rsidRPr="00CC10E2">
        <w:t>itself</w:t>
      </w:r>
      <w:r w:rsidR="00517832">
        <w:t>,</w:t>
      </w:r>
      <w:r w:rsidRPr="00CC10E2">
        <w:rPr>
          <w:spacing w:val="-3"/>
        </w:rPr>
        <w:t xml:space="preserve"> </w:t>
      </w:r>
      <w:r w:rsidRPr="00CC10E2">
        <w:t>should be</w:t>
      </w:r>
      <w:r w:rsidRPr="00CC10E2">
        <w:rPr>
          <w:spacing w:val="1"/>
        </w:rPr>
        <w:t xml:space="preserve"> </w:t>
      </w:r>
      <w:r w:rsidRPr="00CC10E2">
        <w:t>considered</w:t>
      </w:r>
      <w:r w:rsidRPr="00CC10E2">
        <w:rPr>
          <w:spacing w:val="-3"/>
        </w:rPr>
        <w:t xml:space="preserve"> </w:t>
      </w:r>
      <w:r w:rsidRPr="00CC10E2">
        <w:t>when developing your</w:t>
      </w:r>
      <w:r w:rsidR="00544EDE">
        <w:t xml:space="preserve"> </w:t>
      </w:r>
      <w:r w:rsidRPr="00CC10E2">
        <w:t>policies. While</w:t>
      </w:r>
      <w:r w:rsidRPr="00CC10E2">
        <w:rPr>
          <w:spacing w:val="1"/>
        </w:rPr>
        <w:t xml:space="preserve"> </w:t>
      </w:r>
      <w:r w:rsidRPr="00CC10E2">
        <w:t>not required by the</w:t>
      </w:r>
      <w:r w:rsidRPr="00CC10E2">
        <w:rPr>
          <w:spacing w:val="1"/>
        </w:rPr>
        <w:t xml:space="preserve"> </w:t>
      </w:r>
      <w:r w:rsidRPr="00CC10E2">
        <w:t>Produce</w:t>
      </w:r>
      <w:r w:rsidRPr="00CC10E2">
        <w:rPr>
          <w:spacing w:val="1"/>
        </w:rPr>
        <w:t xml:space="preserve"> </w:t>
      </w:r>
      <w:r w:rsidRPr="00CC10E2">
        <w:t>Safety</w:t>
      </w:r>
      <w:r w:rsidRPr="00CC10E2">
        <w:rPr>
          <w:spacing w:val="-3"/>
        </w:rPr>
        <w:t xml:space="preserve"> </w:t>
      </w:r>
      <w:r w:rsidRPr="00CC10E2">
        <w:t>Rule,</w:t>
      </w:r>
      <w:r w:rsidRPr="00CC10E2">
        <w:rPr>
          <w:spacing w:val="-2"/>
        </w:rPr>
        <w:t xml:space="preserve"> we recommend establishing </w:t>
      </w:r>
      <w:r w:rsidRPr="00CC10E2">
        <w:t>these policies to promote</w:t>
      </w:r>
      <w:r w:rsidRPr="00CC10E2">
        <w:rPr>
          <w:spacing w:val="1"/>
        </w:rPr>
        <w:t xml:space="preserve"> </w:t>
      </w:r>
      <w:r w:rsidRPr="00CC10E2">
        <w:t>consistent</w:t>
      </w:r>
      <w:r w:rsidRPr="00CC10E2">
        <w:rPr>
          <w:spacing w:val="-2"/>
        </w:rPr>
        <w:t xml:space="preserve"> </w:t>
      </w:r>
      <w:r w:rsidRPr="00CC10E2">
        <w:t>applications of</w:t>
      </w:r>
      <w:r w:rsidRPr="00CC10E2">
        <w:rPr>
          <w:spacing w:val="-3"/>
        </w:rPr>
        <w:t xml:space="preserve"> your intended </w:t>
      </w:r>
      <w:r w:rsidRPr="00CC10E2" w:rsidR="3D884B1D">
        <w:rPr>
          <w:spacing w:val="-3"/>
        </w:rPr>
        <w:t>cleaning and sanitizing</w:t>
      </w:r>
      <w:r w:rsidRPr="00CC10E2">
        <w:rPr>
          <w:spacing w:val="-3"/>
        </w:rPr>
        <w:t xml:space="preserve"> </w:t>
      </w:r>
      <w:r w:rsidRPr="00CC10E2">
        <w:t>procedures by</w:t>
      </w:r>
      <w:r w:rsidRPr="00CC10E2">
        <w:rPr>
          <w:spacing w:val="-5"/>
        </w:rPr>
        <w:t xml:space="preserve"> </w:t>
      </w:r>
      <w:r w:rsidRPr="00CC10E2">
        <w:t>different workers. The</w:t>
      </w:r>
      <w:r w:rsidRPr="00CC10E2">
        <w:rPr>
          <w:spacing w:val="49"/>
        </w:rPr>
        <w:t xml:space="preserve"> </w:t>
      </w:r>
      <w:r w:rsidRPr="00CC10E2">
        <w:t>following</w:t>
      </w:r>
      <w:r w:rsidRPr="00CC10E2">
        <w:rPr>
          <w:spacing w:val="-3"/>
        </w:rPr>
        <w:t xml:space="preserve"> </w:t>
      </w:r>
      <w:r w:rsidRPr="00CC10E2">
        <w:t xml:space="preserve">details should </w:t>
      </w:r>
      <w:r w:rsidRPr="00CC10E2">
        <w:rPr>
          <w:spacing w:val="-2"/>
        </w:rPr>
        <w:t>be</w:t>
      </w:r>
      <w:r w:rsidRPr="00CC10E2">
        <w:rPr>
          <w:spacing w:val="1"/>
        </w:rPr>
        <w:t xml:space="preserve"> </w:t>
      </w:r>
      <w:r w:rsidRPr="00CC10E2">
        <w:t>included</w:t>
      </w:r>
      <w:r w:rsidRPr="00CC10E2">
        <w:rPr>
          <w:spacing w:val="-3"/>
        </w:rPr>
        <w:t xml:space="preserve"> </w:t>
      </w:r>
      <w:r w:rsidRPr="00CC10E2">
        <w:t>in each</w:t>
      </w:r>
      <w:r w:rsidRPr="00CC10E2">
        <w:rPr>
          <w:spacing w:val="-3"/>
        </w:rPr>
        <w:t xml:space="preserve"> </w:t>
      </w:r>
      <w:r w:rsidRPr="00CC10E2">
        <w:t>policy and periodically</w:t>
      </w:r>
      <w:r w:rsidRPr="00CC10E2">
        <w:rPr>
          <w:spacing w:val="-5"/>
        </w:rPr>
        <w:t xml:space="preserve"> </w:t>
      </w:r>
      <w:r w:rsidRPr="00CC10E2">
        <w:t xml:space="preserve">reviewed </w:t>
      </w:r>
      <w:r w:rsidRPr="00CC10E2">
        <w:rPr>
          <w:spacing w:val="1"/>
        </w:rPr>
        <w:t>by</w:t>
      </w:r>
      <w:r w:rsidRPr="00CC10E2">
        <w:rPr>
          <w:spacing w:val="-5"/>
        </w:rPr>
        <w:t xml:space="preserve"> </w:t>
      </w:r>
      <w:r w:rsidRPr="00CC10E2">
        <w:t>management:</w:t>
      </w:r>
    </w:p>
    <w:p w:rsidR="00AD2A5E" w:rsidRPr="00235803" w:rsidP="00690C44" w14:paraId="6DBD843A" w14:textId="61EF2E9A">
      <w:pPr>
        <w:pStyle w:val="GuidanceBulletLevel1"/>
      </w:pPr>
      <w:r w:rsidRPr="00CC10E2">
        <w:rPr>
          <w:spacing w:val="-2"/>
        </w:rPr>
        <w:t>For</w:t>
      </w:r>
      <w:r w:rsidRPr="00CC10E2">
        <w:t xml:space="preserve"> what piece(s) of</w:t>
      </w:r>
      <w:r w:rsidRPr="00CC10E2">
        <w:rPr>
          <w:spacing w:val="-3"/>
        </w:rPr>
        <w:t xml:space="preserve"> </w:t>
      </w:r>
      <w:r w:rsidRPr="00CC10E2">
        <w:t xml:space="preserve">equipment </w:t>
      </w:r>
      <w:r w:rsidRPr="00CC10E2">
        <w:rPr>
          <w:spacing w:val="-2"/>
        </w:rPr>
        <w:t>or</w:t>
      </w:r>
      <w:r w:rsidRPr="00CC10E2">
        <w:t xml:space="preserve"> area(s) of</w:t>
      </w:r>
      <w:r w:rsidRPr="00CC10E2">
        <w:rPr>
          <w:spacing w:val="-3"/>
        </w:rPr>
        <w:t xml:space="preserve"> </w:t>
      </w:r>
      <w:r w:rsidRPr="00CC10E2">
        <w:t>the</w:t>
      </w:r>
      <w:r w:rsidRPr="00CC10E2">
        <w:rPr>
          <w:spacing w:val="1"/>
        </w:rPr>
        <w:t xml:space="preserve"> </w:t>
      </w:r>
      <w:r w:rsidRPr="00CC10E2">
        <w:t>production environment</w:t>
      </w:r>
      <w:r w:rsidRPr="00CC10E2">
        <w:rPr>
          <w:spacing w:val="-2"/>
        </w:rPr>
        <w:t xml:space="preserve"> </w:t>
      </w:r>
      <w:r w:rsidRPr="00CC10E2">
        <w:t>the</w:t>
      </w:r>
      <w:r w:rsidRPr="00CC10E2">
        <w:rPr>
          <w:spacing w:val="1"/>
        </w:rPr>
        <w:t xml:space="preserve"> </w:t>
      </w:r>
      <w:r w:rsidRPr="00CC10E2">
        <w:rPr>
          <w:spacing w:val="-2"/>
        </w:rPr>
        <w:t>policy</w:t>
      </w:r>
      <w:r w:rsidRPr="00CC10E2">
        <w:t xml:space="preserve"> was</w:t>
      </w:r>
      <w:r w:rsidRPr="00CC10E2">
        <w:rPr>
          <w:spacing w:val="69"/>
        </w:rPr>
        <w:t xml:space="preserve"> </w:t>
      </w:r>
      <w:r w:rsidRPr="00CC10E2">
        <w:t>created;</w:t>
      </w:r>
    </w:p>
    <w:p w:rsidR="00AD2A5E" w:rsidRPr="00235803" w:rsidP="00690C44" w14:paraId="1A86A02E" w14:textId="35EC0E8A">
      <w:pPr>
        <w:pStyle w:val="GuidanceBulletLevel1"/>
      </w:pPr>
      <w:r w:rsidRPr="00CC10E2">
        <w:rPr>
          <w:spacing w:val="-2"/>
        </w:rPr>
        <w:t>Who</w:t>
      </w:r>
      <w:r w:rsidRPr="00CC10E2">
        <w:t xml:space="preserve"> is responsible</w:t>
      </w:r>
      <w:r w:rsidRPr="00CC10E2">
        <w:rPr>
          <w:spacing w:val="1"/>
        </w:rPr>
        <w:t xml:space="preserve"> </w:t>
      </w:r>
      <w:r w:rsidRPr="00CC10E2">
        <w:t>for the</w:t>
      </w:r>
      <w:r w:rsidRPr="00CC10E2">
        <w:rPr>
          <w:spacing w:val="-2"/>
        </w:rPr>
        <w:t xml:space="preserve"> </w:t>
      </w:r>
      <w:r w:rsidRPr="00CC10E2">
        <w:t>cleaning</w:t>
      </w:r>
      <w:r w:rsidRPr="00CC10E2">
        <w:rPr>
          <w:spacing w:val="-3"/>
        </w:rPr>
        <w:t xml:space="preserve"> </w:t>
      </w:r>
      <w:r w:rsidRPr="00CC10E2">
        <w:t>and sanitizing</w:t>
      </w:r>
      <w:r w:rsidRPr="00CC10E2">
        <w:rPr>
          <w:spacing w:val="-3"/>
        </w:rPr>
        <w:t xml:space="preserve"> </w:t>
      </w:r>
      <w:r w:rsidRPr="00CC10E2">
        <w:t>tasks</w:t>
      </w:r>
      <w:r w:rsidR="00BA75F3">
        <w:t xml:space="preserve"> (see discussion on </w:t>
      </w:r>
      <w:r w:rsidRPr="00CC10E2" w:rsidR="00625AFC">
        <w:t>§</w:t>
      </w:r>
      <w:r w:rsidR="00BA75F3">
        <w:t xml:space="preserve"> 112.22(a)(3) in </w:t>
      </w:r>
      <w:r w:rsidR="00E04A77">
        <w:t>S</w:t>
      </w:r>
      <w:r w:rsidR="001B36E0">
        <w:t>ection III.</w:t>
      </w:r>
      <w:r w:rsidR="008036F7">
        <w:t xml:space="preserve"> </w:t>
      </w:r>
      <w:r w:rsidR="0033630E">
        <w:t>A.</w:t>
      </w:r>
      <w:r w:rsidR="008036F7">
        <w:t xml:space="preserve"> </w:t>
      </w:r>
      <w:r w:rsidR="0033630E">
        <w:t xml:space="preserve">1 </w:t>
      </w:r>
      <w:r w:rsidR="00E04A77">
        <w:t>(</w:t>
      </w:r>
      <w:r w:rsidR="006B3328">
        <w:t xml:space="preserve">Training and Supervision of </w:t>
      </w:r>
      <w:r w:rsidR="0033630E">
        <w:t xml:space="preserve">Personnel </w:t>
      </w:r>
      <w:r w:rsidR="00994E90">
        <w:t xml:space="preserve">who Conduct Cleaning and Sanitizing </w:t>
      </w:r>
      <w:r w:rsidRPr="009C4709" w:rsidR="00994E90">
        <w:t>Activities</w:t>
      </w:r>
      <w:r w:rsidRPr="009C4709" w:rsidR="00E04A77">
        <w:t>)</w:t>
      </w:r>
      <w:r w:rsidRPr="009C4709" w:rsidR="0033630E">
        <w:t xml:space="preserve"> of the draft re-issued sections (</w:t>
      </w:r>
      <w:r w:rsidRPr="009C4709" w:rsidR="00DA1F37">
        <w:fldChar w:fldCharType="begin"/>
      </w:r>
      <w:r w:rsidRPr="009C4709" w:rsidR="00DA1F37">
        <w:instrText xml:space="preserve"> REF _Ref126308691 \h  \* MERGEFORMAT </w:instrText>
      </w:r>
      <w:r w:rsidRPr="009C4709" w:rsidR="00DA1F37">
        <w:fldChar w:fldCharType="separate"/>
      </w:r>
      <w:r w:rsidRPr="009C4709" w:rsidR="00DA1F37">
        <w:t xml:space="preserve">Ref. </w:t>
      </w:r>
      <w:r w:rsidRPr="009C4709" w:rsidR="00DA1F37">
        <w:rPr>
          <w:noProof/>
        </w:rPr>
        <w:t>18</w:t>
      </w:r>
      <w:r w:rsidRPr="009C4709" w:rsidR="00DA1F37">
        <w:fldChar w:fldCharType="end"/>
      </w:r>
      <w:r w:rsidRPr="009C4709" w:rsidR="00DA1F37">
        <w:t>)</w:t>
      </w:r>
      <w:r w:rsidRPr="009C4709" w:rsidR="0033630E">
        <w:t>)</w:t>
      </w:r>
      <w:r w:rsidRPr="009C4709">
        <w:t>;</w:t>
      </w:r>
    </w:p>
    <w:p w:rsidR="00AD2A5E" w:rsidRPr="00235803" w:rsidP="00690C44" w14:paraId="39BBC8F9" w14:textId="4DC9A035">
      <w:pPr>
        <w:pStyle w:val="GuidanceBulletLevel1"/>
      </w:pPr>
      <w:r w:rsidRPr="00CC10E2">
        <w:t xml:space="preserve">When and how often each task is to </w:t>
      </w:r>
      <w:r w:rsidRPr="00CC10E2">
        <w:rPr>
          <w:spacing w:val="-2"/>
        </w:rPr>
        <w:t>be</w:t>
      </w:r>
      <w:r w:rsidRPr="00CC10E2">
        <w:rPr>
          <w:spacing w:val="1"/>
        </w:rPr>
        <w:t xml:space="preserve"> </w:t>
      </w:r>
      <w:r w:rsidRPr="00CC10E2">
        <w:t>completed;</w:t>
      </w:r>
    </w:p>
    <w:p w:rsidR="00AD2A5E" w:rsidRPr="00235803" w:rsidP="00690C44" w14:paraId="7419BE23" w14:textId="4743E79D">
      <w:pPr>
        <w:pStyle w:val="GuidanceBulletLevel1"/>
      </w:pPr>
      <w:r w:rsidRPr="00CC10E2">
        <w:t>What tools and chemicals</w:t>
      </w:r>
      <w:r w:rsidRPr="00CC10E2">
        <w:rPr>
          <w:spacing w:val="-4"/>
        </w:rPr>
        <w:t xml:space="preserve"> </w:t>
      </w:r>
      <w:r w:rsidRPr="00CC10E2">
        <w:t>(for both cleaning</w:t>
      </w:r>
      <w:r w:rsidRPr="00CC10E2">
        <w:rPr>
          <w:spacing w:val="-3"/>
        </w:rPr>
        <w:t xml:space="preserve"> </w:t>
      </w:r>
      <w:r w:rsidRPr="00CC10E2">
        <w:t>and sanitizing) are</w:t>
      </w:r>
      <w:r w:rsidRPr="00CC10E2">
        <w:rPr>
          <w:spacing w:val="1"/>
        </w:rPr>
        <w:t xml:space="preserve"> </w:t>
      </w:r>
      <w:r w:rsidRPr="00CC10E2">
        <w:t>needed;</w:t>
      </w:r>
    </w:p>
    <w:p w:rsidR="00AD2A5E" w:rsidRPr="00235803" w:rsidP="00690C44" w14:paraId="1AA04213" w14:textId="06A7363B">
      <w:pPr>
        <w:pStyle w:val="GuidanceBulletLevel1"/>
      </w:pPr>
      <w:r w:rsidRPr="00CC10E2">
        <w:t>How the</w:t>
      </w:r>
      <w:r w:rsidRPr="00CC10E2">
        <w:rPr>
          <w:spacing w:val="1"/>
        </w:rPr>
        <w:t xml:space="preserve"> </w:t>
      </w:r>
      <w:r w:rsidRPr="00CC10E2">
        <w:t>chemicals are</w:t>
      </w:r>
      <w:r w:rsidRPr="00CC10E2">
        <w:rPr>
          <w:spacing w:val="1"/>
        </w:rPr>
        <w:t xml:space="preserve"> </w:t>
      </w:r>
      <w:r w:rsidRPr="00CC10E2">
        <w:t>to</w:t>
      </w:r>
      <w:r w:rsidRPr="00CC10E2">
        <w:rPr>
          <w:spacing w:val="-3"/>
        </w:rPr>
        <w:t xml:space="preserve"> </w:t>
      </w:r>
      <w:r w:rsidRPr="00CC10E2">
        <w:t>be</w:t>
      </w:r>
      <w:r w:rsidRPr="00CC10E2">
        <w:rPr>
          <w:spacing w:val="1"/>
        </w:rPr>
        <w:t xml:space="preserve"> </w:t>
      </w:r>
      <w:r w:rsidRPr="00CC10E2">
        <w:t xml:space="preserve">prepared, as </w:t>
      </w:r>
      <w:r w:rsidRPr="00CC10E2">
        <w:t>applicable;</w:t>
      </w:r>
    </w:p>
    <w:p w:rsidR="00AD2A5E" w:rsidRPr="00235803" w:rsidP="00690C44" w14:paraId="11138209" w14:textId="383A9CCC">
      <w:pPr>
        <w:pStyle w:val="GuidanceBulletLevel1"/>
      </w:pPr>
      <w:r w:rsidRPr="00CC10E2">
        <w:t>How the</w:t>
      </w:r>
      <w:r w:rsidRPr="00CC10E2">
        <w:rPr>
          <w:spacing w:val="1"/>
        </w:rPr>
        <w:t xml:space="preserve"> </w:t>
      </w:r>
      <w:r w:rsidRPr="00CC10E2">
        <w:t>chemicals are</w:t>
      </w:r>
      <w:r w:rsidRPr="00CC10E2">
        <w:rPr>
          <w:spacing w:val="1"/>
        </w:rPr>
        <w:t xml:space="preserve"> </w:t>
      </w:r>
      <w:r w:rsidRPr="00CC10E2">
        <w:t>to</w:t>
      </w:r>
      <w:r w:rsidRPr="00CC10E2">
        <w:rPr>
          <w:spacing w:val="-3"/>
        </w:rPr>
        <w:t xml:space="preserve"> </w:t>
      </w:r>
      <w:r w:rsidRPr="00CC10E2">
        <w:t>be</w:t>
      </w:r>
      <w:r w:rsidRPr="00CC10E2">
        <w:rPr>
          <w:spacing w:val="1"/>
        </w:rPr>
        <w:t xml:space="preserve"> </w:t>
      </w:r>
      <w:r w:rsidRPr="00CC10E2">
        <w:t>used</w:t>
      </w:r>
      <w:r w:rsidR="00517832">
        <w:t xml:space="preserve"> (including what precautions need to be taken)</w:t>
      </w:r>
      <w:r w:rsidRPr="00CC10E2">
        <w:t>, as applicable; and</w:t>
      </w:r>
    </w:p>
    <w:p w:rsidR="00AD2A5E" w:rsidRPr="00235803" w:rsidP="00690C44" w14:paraId="34705069" w14:textId="427D16F9">
      <w:pPr>
        <w:pStyle w:val="GuidanceBulletLevel1"/>
      </w:pPr>
      <w:r w:rsidRPr="00CC10E2">
        <w:t>How to properly</w:t>
      </w:r>
      <w:r w:rsidRPr="00CC10E2">
        <w:rPr>
          <w:spacing w:val="-5"/>
        </w:rPr>
        <w:t xml:space="preserve"> </w:t>
      </w:r>
      <w:r w:rsidRPr="00CC10E2">
        <w:t>clean</w:t>
      </w:r>
      <w:r w:rsidRPr="00CC10E2">
        <w:rPr>
          <w:spacing w:val="-3"/>
        </w:rPr>
        <w:t xml:space="preserve"> </w:t>
      </w:r>
      <w:r w:rsidRPr="00CC10E2">
        <w:t>and</w:t>
      </w:r>
      <w:r w:rsidRPr="00CC10E2">
        <w:rPr>
          <w:spacing w:val="-3"/>
        </w:rPr>
        <w:t xml:space="preserve"> </w:t>
      </w:r>
      <w:r w:rsidRPr="00CC10E2">
        <w:t>sanitize</w:t>
      </w:r>
      <w:r w:rsidRPr="00CC10E2">
        <w:rPr>
          <w:spacing w:val="-2"/>
        </w:rPr>
        <w:t xml:space="preserve"> </w:t>
      </w:r>
      <w:r w:rsidRPr="00CC10E2">
        <w:t>the</w:t>
      </w:r>
      <w:r w:rsidRPr="00CC10E2">
        <w:rPr>
          <w:spacing w:val="1"/>
        </w:rPr>
        <w:t xml:space="preserve"> </w:t>
      </w:r>
      <w:r w:rsidRPr="00CC10E2">
        <w:t>piece(s) of</w:t>
      </w:r>
      <w:r w:rsidRPr="00CC10E2">
        <w:rPr>
          <w:spacing w:val="-3"/>
        </w:rPr>
        <w:t xml:space="preserve"> </w:t>
      </w:r>
      <w:r w:rsidRPr="00CC10E2">
        <w:t>equipment or work</w:t>
      </w:r>
      <w:r w:rsidRPr="00CC10E2">
        <w:rPr>
          <w:spacing w:val="-3"/>
        </w:rPr>
        <w:t xml:space="preserve"> </w:t>
      </w:r>
      <w:r w:rsidRPr="00CC10E2">
        <w:t>area(s), including any equipment disassembly that is necessary.</w:t>
      </w:r>
    </w:p>
    <w:p w:rsidR="00AD2A5E" w:rsidRPr="00CC10E2" w:rsidP="00E47C04" w14:paraId="7B3377BB" w14:textId="60C69929">
      <w:pPr>
        <w:pStyle w:val="GuidanceParagraph"/>
      </w:pPr>
      <w:r w:rsidRPr="00CC10E2">
        <w:t>You must establish and keep records of the date and method of cleaning and sanitizing of equipment used during growing operations for sprouts and all covered harvesting, packing, or holding activities (§ 112.140(b)).</w:t>
      </w:r>
      <w:r w:rsidR="004B3B23">
        <w:t xml:space="preserve"> </w:t>
      </w:r>
      <w:r w:rsidRPr="00CC10E2">
        <w:t xml:space="preserve">The records should be sufficient to demonstrate that your established cleaning procedures have been achieved (e.g., </w:t>
      </w:r>
      <w:r w:rsidRPr="00CC10E2">
        <w:t>through the use of</w:t>
      </w:r>
      <w:r w:rsidRPr="00CC10E2">
        <w:t xml:space="preserve"> a cleaning and sanitizing checklist). Maintaining</w:t>
      </w:r>
      <w:r w:rsidRPr="00CC10E2">
        <w:rPr>
          <w:spacing w:val="-3"/>
        </w:rPr>
        <w:t xml:space="preserve"> </w:t>
      </w:r>
      <w:r w:rsidRPr="00CC10E2">
        <w:t>records</w:t>
      </w:r>
      <w:r w:rsidRPr="00CC10E2">
        <w:rPr>
          <w:spacing w:val="-1"/>
        </w:rPr>
        <w:t xml:space="preserve"> </w:t>
      </w:r>
      <w:r w:rsidRPr="00CC10E2">
        <w:t>of</w:t>
      </w:r>
      <w:r w:rsidRPr="00CC10E2">
        <w:rPr>
          <w:spacing w:val="-3"/>
        </w:rPr>
        <w:t xml:space="preserve"> </w:t>
      </w:r>
      <w:r w:rsidRPr="00CC10E2">
        <w:t>the</w:t>
      </w:r>
      <w:r w:rsidRPr="00CC10E2">
        <w:rPr>
          <w:spacing w:val="1"/>
        </w:rPr>
        <w:t xml:space="preserve"> </w:t>
      </w:r>
      <w:r w:rsidRPr="00CC10E2">
        <w:rPr>
          <w:spacing w:val="-1"/>
        </w:rPr>
        <w:t>performed</w:t>
      </w:r>
      <w:r w:rsidRPr="00CC10E2">
        <w:rPr>
          <w:spacing w:val="-3"/>
        </w:rPr>
        <w:t xml:space="preserve"> </w:t>
      </w:r>
      <w:r w:rsidRPr="00CC10E2">
        <w:rPr>
          <w:spacing w:val="-1"/>
        </w:rPr>
        <w:t>activities</w:t>
      </w:r>
      <w:r w:rsidR="002F412E">
        <w:rPr>
          <w:spacing w:val="-1"/>
        </w:rPr>
        <w:t xml:space="preserve"> </w:t>
      </w:r>
      <w:r w:rsidRPr="00CC10E2">
        <w:t>not only</w:t>
      </w:r>
      <w:r w:rsidRPr="00CC10E2">
        <w:rPr>
          <w:spacing w:val="-5"/>
        </w:rPr>
        <w:t xml:space="preserve"> </w:t>
      </w:r>
      <w:r w:rsidRPr="00CC10E2">
        <w:t>helps</w:t>
      </w:r>
      <w:r w:rsidRPr="00CC10E2">
        <w:rPr>
          <w:spacing w:val="-1"/>
        </w:rPr>
        <w:t xml:space="preserve"> </w:t>
      </w:r>
      <w:r w:rsidRPr="00CC10E2">
        <w:t xml:space="preserve">you </w:t>
      </w:r>
      <w:r w:rsidRPr="00CC10E2">
        <w:rPr>
          <w:spacing w:val="-1"/>
        </w:rPr>
        <w:t>ensure</w:t>
      </w:r>
      <w:r w:rsidRPr="00CC10E2">
        <w:rPr>
          <w:spacing w:val="1"/>
        </w:rPr>
        <w:t xml:space="preserve"> </w:t>
      </w:r>
      <w:r w:rsidRPr="00CC10E2">
        <w:rPr>
          <w:spacing w:val="-1"/>
        </w:rPr>
        <w:t>activities are</w:t>
      </w:r>
      <w:r w:rsidRPr="00CC10E2">
        <w:rPr>
          <w:spacing w:val="1"/>
        </w:rPr>
        <w:t xml:space="preserve"> </w:t>
      </w:r>
      <w:r w:rsidRPr="00CC10E2">
        <w:rPr>
          <w:spacing w:val="-1"/>
        </w:rPr>
        <w:t>appropriately</w:t>
      </w:r>
      <w:r w:rsidRPr="00CC10E2">
        <w:rPr>
          <w:spacing w:val="-5"/>
        </w:rPr>
        <w:t xml:space="preserve"> </w:t>
      </w:r>
      <w:r w:rsidRPr="00CC10E2">
        <w:rPr>
          <w:spacing w:val="-1"/>
        </w:rPr>
        <w:t>performed,</w:t>
      </w:r>
      <w:r w:rsidRPr="00CC10E2">
        <w:t xml:space="preserve"> but </w:t>
      </w:r>
      <w:r w:rsidRPr="00CC10E2">
        <w:rPr>
          <w:spacing w:val="-1"/>
        </w:rPr>
        <w:t>also</w:t>
      </w:r>
      <w:r w:rsidRPr="00CC10E2">
        <w:t xml:space="preserve"> </w:t>
      </w:r>
      <w:r w:rsidRPr="00CC10E2">
        <w:rPr>
          <w:spacing w:val="-1"/>
        </w:rPr>
        <w:t xml:space="preserve">serves </w:t>
      </w:r>
      <w:r w:rsidRPr="00CC10E2">
        <w:t>as</w:t>
      </w:r>
      <w:r w:rsidRPr="00CC10E2">
        <w:rPr>
          <w:spacing w:val="-1"/>
        </w:rPr>
        <w:t xml:space="preserve"> documentation</w:t>
      </w:r>
      <w:r w:rsidR="002F412E">
        <w:rPr>
          <w:spacing w:val="-1"/>
        </w:rPr>
        <w:t xml:space="preserve"> </w:t>
      </w:r>
      <w:r w:rsidRPr="00CC10E2">
        <w:t xml:space="preserve">to </w:t>
      </w:r>
      <w:r w:rsidRPr="00CC10E2">
        <w:rPr>
          <w:spacing w:val="-1"/>
        </w:rPr>
        <w:t xml:space="preserve">show auditors </w:t>
      </w:r>
      <w:r w:rsidRPr="00CC10E2">
        <w:t xml:space="preserve">or </w:t>
      </w:r>
      <w:r w:rsidRPr="00CC10E2">
        <w:rPr>
          <w:spacing w:val="-1"/>
        </w:rPr>
        <w:t>inspectors,</w:t>
      </w:r>
      <w:r w:rsidRPr="00CC10E2">
        <w:t xml:space="preserve"> as</w:t>
      </w:r>
      <w:r w:rsidRPr="00CC10E2">
        <w:rPr>
          <w:spacing w:val="-1"/>
        </w:rPr>
        <w:t xml:space="preserve"> necessary,</w:t>
      </w:r>
      <w:r w:rsidRPr="00CC10E2">
        <w:t xml:space="preserve"> that the</w:t>
      </w:r>
      <w:r w:rsidRPr="00CC10E2">
        <w:rPr>
          <w:spacing w:val="-2"/>
        </w:rPr>
        <w:t xml:space="preserve"> </w:t>
      </w:r>
      <w:r w:rsidRPr="00CC10E2">
        <w:rPr>
          <w:spacing w:val="-1"/>
        </w:rPr>
        <w:t>activities were</w:t>
      </w:r>
      <w:r w:rsidRPr="00CC10E2">
        <w:rPr>
          <w:spacing w:val="1"/>
        </w:rPr>
        <w:t xml:space="preserve"> </w:t>
      </w:r>
      <w:r w:rsidRPr="00CC10E2">
        <w:rPr>
          <w:spacing w:val="-1"/>
        </w:rPr>
        <w:t>properly</w:t>
      </w:r>
      <w:r w:rsidRPr="00CC10E2">
        <w:rPr>
          <w:spacing w:val="-5"/>
        </w:rPr>
        <w:t xml:space="preserve"> </w:t>
      </w:r>
      <w:r w:rsidRPr="00CC10E2">
        <w:rPr>
          <w:spacing w:val="-1"/>
        </w:rPr>
        <w:t>performed.</w:t>
      </w:r>
      <w:r w:rsidR="004B3B23">
        <w:rPr>
          <w:spacing w:val="-1"/>
        </w:rPr>
        <w:t xml:space="preserve"> </w:t>
      </w:r>
      <w:r w:rsidRPr="00CC10E2">
        <w:rPr>
          <w:spacing w:val="-1"/>
        </w:rPr>
        <w:t>These records should be maintained each time cleaning and sanitizing is performed, even if performed more than once per day.</w:t>
      </w:r>
    </w:p>
    <w:p w:rsidR="00AD2A5E" w:rsidRPr="00B70948" w:rsidP="00F756C4" w14:paraId="12E1704F" w14:textId="71896377">
      <w:pPr>
        <w:pStyle w:val="HHS508GuidanceOutline2"/>
      </w:pPr>
      <w:bookmarkStart w:id="18" w:name="_Toc46929880"/>
      <w:bookmarkStart w:id="19" w:name="_Toc106094925"/>
      <w:r w:rsidRPr="00B70948">
        <w:t>Cleaning</w:t>
      </w:r>
      <w:bookmarkEnd w:id="18"/>
      <w:bookmarkEnd w:id="19"/>
    </w:p>
    <w:p w:rsidR="00AD2A5E" w:rsidRPr="00CC10E2" w:rsidP="00E47C04" w14:paraId="6D9E4EA1" w14:textId="2C4FAC93">
      <w:pPr>
        <w:pStyle w:val="GuidanceParagraph"/>
      </w:pPr>
      <w:r w:rsidRPr="00CC10E2">
        <w:t>You should establish your</w:t>
      </w:r>
      <w:r w:rsidRPr="00CC10E2">
        <w:rPr>
          <w:spacing w:val="-3"/>
        </w:rPr>
        <w:t xml:space="preserve"> </w:t>
      </w:r>
      <w:r w:rsidRPr="00CC10E2">
        <w:t>cleaning</w:t>
      </w:r>
      <w:r w:rsidRPr="00CC10E2">
        <w:rPr>
          <w:spacing w:val="-3"/>
        </w:rPr>
        <w:t xml:space="preserve"> </w:t>
      </w:r>
      <w:r w:rsidRPr="00CC10E2">
        <w:t>procedures</w:t>
      </w:r>
      <w:r w:rsidRPr="00CC10E2">
        <w:rPr>
          <w:spacing w:val="-3"/>
        </w:rPr>
        <w:t xml:space="preserve"> based on the characteristics of </w:t>
      </w:r>
      <w:r w:rsidR="00A531B5">
        <w:t xml:space="preserve">the </w:t>
      </w:r>
      <w:r w:rsidRPr="00CC10E2">
        <w:rPr>
          <w:spacing w:val="-3"/>
        </w:rPr>
        <w:t xml:space="preserve">soils and debris; the type, design and age of equipment or tools; </w:t>
      </w:r>
      <w:r w:rsidRPr="00CC10E2">
        <w:t>surface</w:t>
      </w:r>
      <w:r w:rsidRPr="00CC10E2">
        <w:rPr>
          <w:spacing w:val="1"/>
        </w:rPr>
        <w:t xml:space="preserve"> </w:t>
      </w:r>
      <w:r w:rsidRPr="00CC10E2">
        <w:t>materials (e.g., stainless steel,</w:t>
      </w:r>
      <w:r w:rsidRPr="00CC10E2">
        <w:rPr>
          <w:spacing w:val="-3"/>
        </w:rPr>
        <w:t xml:space="preserve"> </w:t>
      </w:r>
      <w:r w:rsidRPr="00CC10E2">
        <w:t>plastic, concrete);</w:t>
      </w:r>
      <w:r w:rsidRPr="00CC10E2">
        <w:rPr>
          <w:spacing w:val="-3"/>
        </w:rPr>
        <w:t xml:space="preserve"> </w:t>
      </w:r>
      <w:r w:rsidRPr="00CC10E2">
        <w:t>the</w:t>
      </w:r>
      <w:r w:rsidRPr="00CC10E2">
        <w:rPr>
          <w:spacing w:val="-2"/>
        </w:rPr>
        <w:t xml:space="preserve"> </w:t>
      </w:r>
      <w:r w:rsidRPr="00CC10E2">
        <w:t>general</w:t>
      </w:r>
      <w:r w:rsidRPr="00CC10E2">
        <w:rPr>
          <w:spacing w:val="-2"/>
        </w:rPr>
        <w:t xml:space="preserve"> </w:t>
      </w:r>
      <w:r w:rsidRPr="00CC10E2">
        <w:t>effectiveness</w:t>
      </w:r>
      <w:r w:rsidR="002458FD">
        <w:t xml:space="preserve"> </w:t>
      </w:r>
      <w:r w:rsidRPr="00CC10E2">
        <w:t>of your cleaning</w:t>
      </w:r>
      <w:r w:rsidRPr="00CC10E2">
        <w:rPr>
          <w:spacing w:val="-3"/>
        </w:rPr>
        <w:t xml:space="preserve"> </w:t>
      </w:r>
      <w:r w:rsidRPr="00CC10E2">
        <w:t>agent(s); label instructions; the</w:t>
      </w:r>
      <w:r w:rsidRPr="00CC10E2">
        <w:rPr>
          <w:spacing w:val="1"/>
        </w:rPr>
        <w:t xml:space="preserve"> </w:t>
      </w:r>
      <w:r w:rsidRPr="00CC10E2">
        <w:t xml:space="preserve">results of sanitation verification </w:t>
      </w:r>
      <w:r w:rsidRPr="009F7227">
        <w:t xml:space="preserve">activities (see Section </w:t>
      </w:r>
      <w:r w:rsidRPr="009F7227" w:rsidR="00A91CE0">
        <w:t>III</w:t>
      </w:r>
      <w:r w:rsidRPr="009F7227">
        <w:t>.</w:t>
      </w:r>
      <w:r w:rsidRPr="009F7227" w:rsidR="00A661F7">
        <w:t xml:space="preserve"> E</w:t>
      </w:r>
      <w:r w:rsidRPr="009F7227">
        <w:t xml:space="preserve"> (Verification of Cleaning and Sanitizing)); and environmental monitoring</w:t>
      </w:r>
      <w:r w:rsidRPr="009F7227">
        <w:rPr>
          <w:spacing w:val="-3"/>
        </w:rPr>
        <w:t xml:space="preserve"> </w:t>
      </w:r>
      <w:r w:rsidRPr="009F7227">
        <w:t>results (see</w:t>
      </w:r>
      <w:r w:rsidRPr="009F7227">
        <w:rPr>
          <w:spacing w:val="1"/>
        </w:rPr>
        <w:t xml:space="preserve"> </w:t>
      </w:r>
      <w:r w:rsidRPr="009F7227" w:rsidR="00A91CE0">
        <w:rPr>
          <w:spacing w:val="1"/>
        </w:rPr>
        <w:t>Section</w:t>
      </w:r>
      <w:r w:rsidRPr="009F7227">
        <w:rPr>
          <w:spacing w:val="-3"/>
        </w:rPr>
        <w:t xml:space="preserve"> </w:t>
      </w:r>
      <w:r w:rsidRPr="009F7227" w:rsidR="00881381">
        <w:rPr>
          <w:spacing w:val="-3"/>
        </w:rPr>
        <w:t>VI</w:t>
      </w:r>
      <w:r w:rsidRPr="009F7227">
        <w:t xml:space="preserve"> (Environmental</w:t>
      </w:r>
      <w:r w:rsidR="002F412E">
        <w:t xml:space="preserve"> </w:t>
      </w:r>
      <w:r w:rsidRPr="00CC10E2">
        <w:t>Monitoring)).</w:t>
      </w:r>
    </w:p>
    <w:p w:rsidR="00AD2A5E" w:rsidRPr="00CC10E2" w:rsidP="00E47C04" w14:paraId="1B669B9F" w14:textId="77777777">
      <w:pPr>
        <w:pStyle w:val="GuidanceParagraph"/>
      </w:pPr>
      <w:r w:rsidRPr="00CC10E2">
        <w:t>Factors that</w:t>
      </w:r>
      <w:r w:rsidRPr="00CC10E2">
        <w:rPr>
          <w:spacing w:val="-2"/>
        </w:rPr>
        <w:t xml:space="preserve"> </w:t>
      </w:r>
      <w:r w:rsidRPr="00CC10E2">
        <w:t>influence</w:t>
      </w:r>
      <w:r w:rsidRPr="00CC10E2">
        <w:rPr>
          <w:spacing w:val="1"/>
        </w:rPr>
        <w:t xml:space="preserve"> </w:t>
      </w:r>
      <w:r w:rsidRPr="00CC10E2">
        <w:t>the</w:t>
      </w:r>
      <w:r w:rsidRPr="00CC10E2">
        <w:rPr>
          <w:spacing w:val="-2"/>
        </w:rPr>
        <w:t xml:space="preserve"> </w:t>
      </w:r>
      <w:r w:rsidRPr="00CC10E2">
        <w:t>effectiveness of</w:t>
      </w:r>
      <w:r w:rsidRPr="00CC10E2">
        <w:rPr>
          <w:spacing w:val="-3"/>
        </w:rPr>
        <w:t xml:space="preserve"> </w:t>
      </w:r>
      <w:r w:rsidRPr="00CC10E2">
        <w:t>cleaning</w:t>
      </w:r>
      <w:r w:rsidRPr="00CC10E2">
        <w:rPr>
          <w:spacing w:val="-3"/>
        </w:rPr>
        <w:t xml:space="preserve"> </w:t>
      </w:r>
      <w:r w:rsidRPr="00CC10E2">
        <w:t>procedures include, but</w:t>
      </w:r>
      <w:r w:rsidRPr="00CC10E2">
        <w:rPr>
          <w:spacing w:val="-2"/>
        </w:rPr>
        <w:t xml:space="preserve"> </w:t>
      </w:r>
      <w:r w:rsidRPr="00CC10E2">
        <w:t>are</w:t>
      </w:r>
      <w:r w:rsidRPr="00CC10E2">
        <w:rPr>
          <w:spacing w:val="1"/>
        </w:rPr>
        <w:t xml:space="preserve"> </w:t>
      </w:r>
      <w:r w:rsidRPr="00CC10E2">
        <w:t>not limited to, the</w:t>
      </w:r>
      <w:r w:rsidRPr="00CC10E2">
        <w:rPr>
          <w:spacing w:val="57"/>
        </w:rPr>
        <w:t xml:space="preserve"> </w:t>
      </w:r>
      <w:r w:rsidRPr="00CC10E2">
        <w:t>following:</w:t>
      </w:r>
    </w:p>
    <w:p w:rsidR="00AD2A5E" w:rsidRPr="00576176" w:rsidP="00F22F55" w14:paraId="4A6CDBEF" w14:textId="77777777">
      <w:pPr>
        <w:pStyle w:val="GuidanceBulletLevel1"/>
      </w:pPr>
      <w:r w:rsidRPr="00CC10E2">
        <w:t>Characteristics of the organic</w:t>
      </w:r>
      <w:r w:rsidRPr="00CC10E2">
        <w:rPr>
          <w:spacing w:val="-2"/>
        </w:rPr>
        <w:t xml:space="preserve"> </w:t>
      </w:r>
      <w:r w:rsidRPr="00CC10E2">
        <w:t>matter,</w:t>
      </w:r>
      <w:r w:rsidRPr="00CC10E2">
        <w:rPr>
          <w:spacing w:val="-3"/>
        </w:rPr>
        <w:t xml:space="preserve"> </w:t>
      </w:r>
      <w:r w:rsidRPr="00CC10E2">
        <w:t>sprouts, and other debris that would impact its removal from the</w:t>
      </w:r>
      <w:r w:rsidRPr="00CC10E2">
        <w:rPr>
          <w:spacing w:val="-2"/>
        </w:rPr>
        <w:t xml:space="preserve"> </w:t>
      </w:r>
      <w:r w:rsidRPr="00CC10E2">
        <w:t>equipment;</w:t>
      </w:r>
    </w:p>
    <w:p w:rsidR="00AD2A5E" w:rsidRPr="00576176" w:rsidP="00F22F55" w14:paraId="4D3E2A01" w14:textId="45F71BCD">
      <w:pPr>
        <w:pStyle w:val="GuidanceBulletLevel1"/>
      </w:pPr>
      <w:r w:rsidRPr="00CC10E2">
        <w:t>The</w:t>
      </w:r>
      <w:r w:rsidRPr="00CC10E2">
        <w:rPr>
          <w:spacing w:val="1"/>
        </w:rPr>
        <w:t xml:space="preserve"> </w:t>
      </w:r>
      <w:r w:rsidRPr="00CC10E2">
        <w:t>surface</w:t>
      </w:r>
      <w:r w:rsidRPr="00CC10E2">
        <w:rPr>
          <w:spacing w:val="-2"/>
        </w:rPr>
        <w:t xml:space="preserve"> </w:t>
      </w:r>
      <w:r w:rsidRPr="00CC10E2">
        <w:t>material</w:t>
      </w:r>
      <w:r w:rsidRPr="00CC10E2">
        <w:rPr>
          <w:spacing w:val="-2"/>
        </w:rPr>
        <w:t xml:space="preserve"> </w:t>
      </w:r>
      <w:r w:rsidRPr="00CC10E2">
        <w:t>(e.g., plastic, stainless steel, concrete, etc.)</w:t>
      </w:r>
      <w:r w:rsidRPr="00CC10E2">
        <w:rPr>
          <w:spacing w:val="-3"/>
        </w:rPr>
        <w:t xml:space="preserve"> </w:t>
      </w:r>
      <w:r w:rsidRPr="00CC10E2">
        <w:t>to be</w:t>
      </w:r>
      <w:r w:rsidRPr="00CC10E2">
        <w:rPr>
          <w:spacing w:val="-2"/>
        </w:rPr>
        <w:t xml:space="preserve"> </w:t>
      </w:r>
      <w:r w:rsidRPr="00CC10E2">
        <w:t>cleaned</w:t>
      </w:r>
      <w:r w:rsidRPr="00CC10E2">
        <w:rPr>
          <w:spacing w:val="-3"/>
        </w:rPr>
        <w:t xml:space="preserve"> </w:t>
      </w:r>
      <w:r w:rsidRPr="00CC10E2">
        <w:t>and its</w:t>
      </w:r>
      <w:r w:rsidRPr="00CC10E2">
        <w:rPr>
          <w:spacing w:val="59"/>
        </w:rPr>
        <w:t xml:space="preserve"> </w:t>
      </w:r>
      <w:r w:rsidRPr="00CC10E2">
        <w:t>condition and construction. You should</w:t>
      </w:r>
      <w:r w:rsidRPr="00CC10E2">
        <w:rPr>
          <w:spacing w:val="-3"/>
        </w:rPr>
        <w:t xml:space="preserve"> </w:t>
      </w:r>
      <w:r w:rsidRPr="00CC10E2">
        <w:t>consider the</w:t>
      </w:r>
      <w:r w:rsidRPr="00CC10E2">
        <w:rPr>
          <w:spacing w:val="1"/>
        </w:rPr>
        <w:t xml:space="preserve"> </w:t>
      </w:r>
      <w:r w:rsidRPr="00CC10E2">
        <w:t>surface</w:t>
      </w:r>
      <w:r w:rsidRPr="00CC10E2">
        <w:rPr>
          <w:spacing w:val="-2"/>
        </w:rPr>
        <w:t xml:space="preserve"> </w:t>
      </w:r>
      <w:r w:rsidRPr="00CC10E2">
        <w:t>material</w:t>
      </w:r>
      <w:r w:rsidRPr="00CC10E2">
        <w:rPr>
          <w:spacing w:val="-2"/>
        </w:rPr>
        <w:t xml:space="preserve"> </w:t>
      </w:r>
      <w:r w:rsidRPr="00CC10E2">
        <w:t>to be</w:t>
      </w:r>
      <w:r w:rsidRPr="00CC10E2">
        <w:rPr>
          <w:spacing w:val="1"/>
        </w:rPr>
        <w:t xml:space="preserve"> </w:t>
      </w:r>
      <w:r w:rsidRPr="00CC10E2">
        <w:t>cleaned when selecting</w:t>
      </w:r>
      <w:r w:rsidRPr="00CC10E2">
        <w:rPr>
          <w:spacing w:val="-3"/>
        </w:rPr>
        <w:t xml:space="preserve"> </w:t>
      </w:r>
      <w:r w:rsidRPr="00CC10E2">
        <w:t>cleaning</w:t>
      </w:r>
      <w:r w:rsidR="002458FD">
        <w:t xml:space="preserve"> </w:t>
      </w:r>
      <w:r w:rsidRPr="00CC10E2">
        <w:t>agents/</w:t>
      </w:r>
      <w:r w:rsidRPr="00CC10E2">
        <w:t>detergents;</w:t>
      </w:r>
    </w:p>
    <w:p w:rsidR="00AD2A5E" w:rsidRPr="00576176" w:rsidP="00F22F55" w14:paraId="64DE3B75" w14:textId="77777777">
      <w:pPr>
        <w:pStyle w:val="GuidanceBulletLevel1"/>
      </w:pPr>
      <w:r w:rsidRPr="00CC10E2">
        <w:t>Contact time</w:t>
      </w:r>
      <w:r w:rsidRPr="00CC10E2">
        <w:rPr>
          <w:spacing w:val="1"/>
        </w:rPr>
        <w:t xml:space="preserve"> </w:t>
      </w:r>
      <w:r w:rsidRPr="00CC10E2">
        <w:t>of</w:t>
      </w:r>
      <w:r w:rsidRPr="00CC10E2">
        <w:rPr>
          <w:spacing w:val="-3"/>
        </w:rPr>
        <w:t xml:space="preserve"> </w:t>
      </w:r>
      <w:r w:rsidRPr="00CC10E2">
        <w:t>the</w:t>
      </w:r>
      <w:r w:rsidRPr="00CC10E2">
        <w:rPr>
          <w:spacing w:val="1"/>
        </w:rPr>
        <w:t xml:space="preserve"> </w:t>
      </w:r>
      <w:r w:rsidRPr="00CC10E2">
        <w:t>cleaning</w:t>
      </w:r>
      <w:r w:rsidRPr="00CC10E2">
        <w:rPr>
          <w:spacing w:val="-3"/>
        </w:rPr>
        <w:t xml:space="preserve"> </w:t>
      </w:r>
      <w:r w:rsidRPr="00CC10E2">
        <w:t>agent/detergent</w:t>
      </w:r>
      <w:r w:rsidRPr="00CC10E2">
        <w:rPr>
          <w:spacing w:val="-2"/>
        </w:rPr>
        <w:t xml:space="preserve"> </w:t>
      </w:r>
      <w:r w:rsidRPr="00CC10E2">
        <w:t>with</w:t>
      </w:r>
      <w:r w:rsidRPr="00CC10E2">
        <w:rPr>
          <w:spacing w:val="-3"/>
        </w:rPr>
        <w:t xml:space="preserve"> </w:t>
      </w:r>
      <w:r w:rsidRPr="00CC10E2">
        <w:t>the</w:t>
      </w:r>
      <w:r w:rsidRPr="00CC10E2">
        <w:rPr>
          <w:spacing w:val="1"/>
        </w:rPr>
        <w:t xml:space="preserve"> </w:t>
      </w:r>
      <w:r w:rsidRPr="00CC10E2">
        <w:t>surface(s) being</w:t>
      </w:r>
      <w:r w:rsidRPr="00CC10E2">
        <w:rPr>
          <w:spacing w:val="-3"/>
        </w:rPr>
        <w:t xml:space="preserve"> </w:t>
      </w:r>
      <w:r w:rsidRPr="00CC10E2">
        <w:t>cleaned; and</w:t>
      </w:r>
    </w:p>
    <w:p w:rsidR="00AD2A5E" w:rsidRPr="00576176" w:rsidP="00F22F55" w14:paraId="3C9BE234" w14:textId="77777777">
      <w:pPr>
        <w:pStyle w:val="GuidanceBulletLevel1"/>
      </w:pPr>
      <w:r w:rsidRPr="00CC10E2">
        <w:t>The</w:t>
      </w:r>
      <w:r w:rsidRPr="00CC10E2">
        <w:rPr>
          <w:spacing w:val="1"/>
        </w:rPr>
        <w:t xml:space="preserve"> </w:t>
      </w:r>
      <w:r w:rsidRPr="00CC10E2">
        <w:t>duration and force</w:t>
      </w:r>
      <w:r w:rsidRPr="00CC10E2">
        <w:rPr>
          <w:spacing w:val="1"/>
        </w:rPr>
        <w:t xml:space="preserve"> </w:t>
      </w:r>
      <w:r w:rsidRPr="00CC10E2">
        <w:t>of</w:t>
      </w:r>
      <w:r w:rsidRPr="00CC10E2">
        <w:rPr>
          <w:spacing w:val="-3"/>
        </w:rPr>
        <w:t xml:space="preserve"> </w:t>
      </w:r>
      <w:r w:rsidRPr="00CC10E2">
        <w:t>physical scrubbing and the pressure of water or air used during the removal of the organic material.</w:t>
      </w:r>
    </w:p>
    <w:p w:rsidR="00AD2A5E" w:rsidRPr="00CC10E2" w:rsidP="00E47C04" w14:paraId="4A44F45E" w14:textId="3F06C7B8">
      <w:pPr>
        <w:pStyle w:val="GuidanceParagraph"/>
      </w:pPr>
      <w:r w:rsidRPr="00CC10E2">
        <w:t xml:space="preserve">Mops, </w:t>
      </w:r>
      <w:r w:rsidRPr="00CC10E2">
        <w:t>brushes</w:t>
      </w:r>
      <w:r w:rsidRPr="00CC10E2">
        <w:t xml:space="preserve"> and other equipment used for cleaning</w:t>
      </w:r>
      <w:r w:rsidRPr="00CC10E2">
        <w:rPr>
          <w:spacing w:val="-3"/>
        </w:rPr>
        <w:t xml:space="preserve"> </w:t>
      </w:r>
      <w:r w:rsidRPr="00CC10E2">
        <w:t>and sanitizing</w:t>
      </w:r>
      <w:r w:rsidRPr="00CC10E2">
        <w:rPr>
          <w:spacing w:val="-3"/>
        </w:rPr>
        <w:t xml:space="preserve"> </w:t>
      </w:r>
      <w:r w:rsidRPr="00CC10E2">
        <w:t>should be</w:t>
      </w:r>
      <w:r w:rsidRPr="00CC10E2">
        <w:rPr>
          <w:spacing w:val="1"/>
        </w:rPr>
        <w:t xml:space="preserve"> </w:t>
      </w:r>
      <w:r w:rsidRPr="00CC10E2">
        <w:t>durable</w:t>
      </w:r>
      <w:r w:rsidRPr="00CC10E2">
        <w:rPr>
          <w:spacing w:val="-2"/>
        </w:rPr>
        <w:t xml:space="preserve"> </w:t>
      </w:r>
      <w:r w:rsidRPr="00CC10E2">
        <w:t>and</w:t>
      </w:r>
      <w:r w:rsidRPr="00CC10E2">
        <w:rPr>
          <w:spacing w:val="73"/>
        </w:rPr>
        <w:t xml:space="preserve"> </w:t>
      </w:r>
      <w:r w:rsidRPr="00CC10E2">
        <w:t>replaced</w:t>
      </w:r>
      <w:r w:rsidRPr="00CC10E2">
        <w:rPr>
          <w:spacing w:val="-3"/>
        </w:rPr>
        <w:t xml:space="preserve"> </w:t>
      </w:r>
      <w:r w:rsidRPr="00CC10E2">
        <w:t>immediately</w:t>
      </w:r>
      <w:r w:rsidRPr="00CC10E2">
        <w:rPr>
          <w:spacing w:val="-5"/>
        </w:rPr>
        <w:t xml:space="preserve"> </w:t>
      </w:r>
      <w:r w:rsidRPr="00CC10E2">
        <w:t>if</w:t>
      </w:r>
      <w:r w:rsidRPr="00CC10E2">
        <w:rPr>
          <w:spacing w:val="-3"/>
        </w:rPr>
        <w:t xml:space="preserve"> </w:t>
      </w:r>
      <w:r w:rsidRPr="00CC10E2">
        <w:t>damaged,</w:t>
      </w:r>
      <w:r w:rsidRPr="00CC10E2">
        <w:rPr>
          <w:spacing w:val="-3"/>
        </w:rPr>
        <w:t xml:space="preserve"> </w:t>
      </w:r>
      <w:r w:rsidRPr="00CC10E2">
        <w:t>cracked, or worn,</w:t>
      </w:r>
      <w:r w:rsidRPr="00CC10E2">
        <w:rPr>
          <w:spacing w:val="-3"/>
        </w:rPr>
        <w:t xml:space="preserve"> </w:t>
      </w:r>
      <w:r w:rsidRPr="00CC10E2">
        <w:t>to prevent</w:t>
      </w:r>
      <w:r w:rsidRPr="00CC10E2">
        <w:rPr>
          <w:spacing w:val="-2"/>
        </w:rPr>
        <w:t xml:space="preserve"> </w:t>
      </w:r>
      <w:r w:rsidRPr="00CC10E2">
        <w:t>the</w:t>
      </w:r>
      <w:r w:rsidRPr="00CC10E2">
        <w:rPr>
          <w:spacing w:val="-2"/>
        </w:rPr>
        <w:t xml:space="preserve"> </w:t>
      </w:r>
      <w:r w:rsidRPr="00CC10E2">
        <w:t>colonization of</w:t>
      </w:r>
      <w:r w:rsidRPr="00CC10E2">
        <w:rPr>
          <w:spacing w:val="-3"/>
        </w:rPr>
        <w:t xml:space="preserve"> </w:t>
      </w:r>
      <w:r w:rsidRPr="00CC10E2">
        <w:t>those</w:t>
      </w:r>
      <w:r w:rsidRPr="00CC10E2">
        <w:rPr>
          <w:spacing w:val="1"/>
        </w:rPr>
        <w:t xml:space="preserve"> </w:t>
      </w:r>
      <w:r w:rsidRPr="00CC10E2">
        <w:t>tools by</w:t>
      </w:r>
      <w:r w:rsidRPr="00CC10E2">
        <w:rPr>
          <w:spacing w:val="73"/>
        </w:rPr>
        <w:t xml:space="preserve"> </w:t>
      </w:r>
      <w:r w:rsidRPr="00CC10E2">
        <w:t xml:space="preserve">pathogens </w:t>
      </w:r>
      <w:r w:rsidRPr="00CC10E2">
        <w:rPr>
          <w:spacing w:val="-1"/>
        </w:rPr>
        <w:t>that could lead to contamination of product or FCSs</w:t>
      </w:r>
      <w:r w:rsidRPr="00CC10E2">
        <w:t>. These tools and equipment should also be</w:t>
      </w:r>
      <w:r w:rsidRPr="00CC10E2">
        <w:rPr>
          <w:spacing w:val="1"/>
        </w:rPr>
        <w:t xml:space="preserve"> </w:t>
      </w:r>
      <w:r w:rsidRPr="00CC10E2">
        <w:t>stored appropriately to prevent them from becoming soiled, and they should be cleaned and sanitized</w:t>
      </w:r>
      <w:r w:rsidRPr="00CC10E2">
        <w:rPr>
          <w:spacing w:val="-3"/>
        </w:rPr>
        <w:t xml:space="preserve"> </w:t>
      </w:r>
      <w:r w:rsidRPr="00CC10E2">
        <w:t>as needed.</w:t>
      </w:r>
    </w:p>
    <w:p w:rsidR="00AD2A5E" w:rsidP="00E47C04" w14:paraId="2B0A316D" w14:textId="774CDC9A">
      <w:pPr>
        <w:pStyle w:val="GuidanceParagraph"/>
      </w:pPr>
      <w:r w:rsidRPr="00CC10E2">
        <w:t>The following steps are an example of a typical wet cleaning procedure (</w:t>
      </w:r>
      <w:r w:rsidR="007F4719">
        <w:fldChar w:fldCharType="begin"/>
      </w:r>
      <w:r w:rsidR="007F4719">
        <w:instrText xml:space="preserve"> REF _Ref51098040 \h </w:instrText>
      </w:r>
      <w:r w:rsidR="004B2A15">
        <w:instrText xml:space="preserve"> \* MERGEFORMAT </w:instrText>
      </w:r>
      <w:r w:rsidR="007F4719">
        <w:fldChar w:fldCharType="separate"/>
      </w:r>
      <w:r w:rsidRPr="006E43DC" w:rsidR="000E290D">
        <w:t xml:space="preserve">Ref. </w:t>
      </w:r>
      <w:r w:rsidR="000E290D">
        <w:rPr>
          <w:noProof/>
        </w:rPr>
        <w:t>35</w:t>
      </w:r>
      <w:r w:rsidR="007F4719">
        <w:fldChar w:fldCharType="end"/>
      </w:r>
      <w:r w:rsidR="007F4719">
        <w:t xml:space="preserve"> and </w:t>
      </w:r>
      <w:r w:rsidR="007F4719">
        <w:fldChar w:fldCharType="begin"/>
      </w:r>
      <w:r w:rsidR="007F4719">
        <w:instrText xml:space="preserve"> REF _Ref51098056 \h </w:instrText>
      </w:r>
      <w:r w:rsidR="004B2A15">
        <w:instrText xml:space="preserve"> \* MERGEFORMAT </w:instrText>
      </w:r>
      <w:r w:rsidR="007F4719">
        <w:fldChar w:fldCharType="separate"/>
      </w:r>
      <w:r w:rsidRPr="006E43DC" w:rsidR="000E290D">
        <w:t xml:space="preserve">Ref. </w:t>
      </w:r>
      <w:r w:rsidR="000E290D">
        <w:rPr>
          <w:noProof/>
        </w:rPr>
        <w:t>36</w:t>
      </w:r>
      <w:r w:rsidR="007F4719">
        <w:fldChar w:fldCharType="end"/>
      </w:r>
      <w:r w:rsidRPr="00CC10E2">
        <w:t xml:space="preserve">); some steps could be </w:t>
      </w:r>
      <w:r w:rsidR="00727EE7">
        <w:t>in</w:t>
      </w:r>
      <w:r w:rsidRPr="00CC10E2">
        <w:t>applicable to your operation or could be modified (</w:t>
      </w:r>
      <w:r w:rsidR="0088622E">
        <w:fldChar w:fldCharType="begin"/>
      </w:r>
      <w:r w:rsidR="0088622E">
        <w:instrText xml:space="preserve"> REF _Ref51098040 \h </w:instrText>
      </w:r>
      <w:r w:rsidR="004B2A15">
        <w:instrText xml:space="preserve"> \* MERGEFORMAT </w:instrText>
      </w:r>
      <w:r w:rsidR="0088622E">
        <w:fldChar w:fldCharType="separate"/>
      </w:r>
      <w:r w:rsidRPr="006E43DC" w:rsidR="000E290D">
        <w:t xml:space="preserve">Ref. </w:t>
      </w:r>
      <w:r w:rsidR="000E290D">
        <w:rPr>
          <w:noProof/>
        </w:rPr>
        <w:t>35</w:t>
      </w:r>
      <w:r w:rsidR="0088622E">
        <w:fldChar w:fldCharType="end"/>
      </w:r>
      <w:r w:rsidR="0088622E">
        <w:t xml:space="preserve"> and</w:t>
      </w:r>
      <w:r w:rsidR="00476F33">
        <w:t xml:space="preserve"> </w:t>
      </w:r>
      <w:r w:rsidR="007F4719">
        <w:fldChar w:fldCharType="begin"/>
      </w:r>
      <w:r w:rsidR="007F4719">
        <w:instrText xml:space="preserve"> REF _Ref51098095 \h </w:instrText>
      </w:r>
      <w:r w:rsidR="004B2A15">
        <w:instrText xml:space="preserve"> \* MERGEFORMAT </w:instrText>
      </w:r>
      <w:r w:rsidR="007F4719">
        <w:fldChar w:fldCharType="separate"/>
      </w:r>
      <w:r w:rsidRPr="006E43DC" w:rsidR="000E290D">
        <w:t xml:space="preserve">Ref. </w:t>
      </w:r>
      <w:r w:rsidR="000E290D">
        <w:rPr>
          <w:noProof/>
        </w:rPr>
        <w:t>37</w:t>
      </w:r>
      <w:r w:rsidR="007F4719">
        <w:fldChar w:fldCharType="end"/>
      </w:r>
      <w:r w:rsidRPr="00CC10E2">
        <w:t>):</w:t>
      </w:r>
    </w:p>
    <w:p w:rsidR="00AD2A5E" w:rsidRPr="0094770E" w:rsidP="00E47C04" w14:paraId="4116DC98" w14:textId="3F1C50DA">
      <w:pPr>
        <w:pStyle w:val="GuidanceParagraph"/>
        <w:numPr>
          <w:ilvl w:val="0"/>
          <w:numId w:val="46"/>
        </w:numPr>
      </w:pPr>
      <w:r w:rsidRPr="00F22F55">
        <w:rPr>
          <w:i/>
        </w:rPr>
        <w:t>Pre-Clean</w:t>
      </w:r>
      <w:r w:rsidRPr="00F22F55">
        <w:t xml:space="preserve">: </w:t>
      </w:r>
      <w:r w:rsidRPr="0094770E">
        <w:t xml:space="preserve">personnel use tools such as brushes, brooms, scrapers, and collection pans to remove heavy residue, plant material or debris from the equipment or </w:t>
      </w:r>
      <w:r w:rsidRPr="0094770E">
        <w:t>tools</w:t>
      </w:r>
      <w:r w:rsidRPr="00F22F55">
        <w:rPr>
          <w:spacing w:val="-1"/>
        </w:rPr>
        <w:t>;</w:t>
      </w:r>
    </w:p>
    <w:p w:rsidR="00AD2A5E" w:rsidRPr="0094770E" w:rsidP="00E47C04" w14:paraId="25197D53" w14:textId="16AA17D6">
      <w:pPr>
        <w:pStyle w:val="GuidanceParagraph"/>
        <w:numPr>
          <w:ilvl w:val="0"/>
          <w:numId w:val="46"/>
        </w:numPr>
      </w:pPr>
      <w:r w:rsidRPr="00424953">
        <w:rPr>
          <w:i/>
          <w:iCs/>
        </w:rPr>
        <w:t>Initial Rinse</w:t>
      </w:r>
      <w:r w:rsidRPr="0094770E">
        <w:t xml:space="preserve">: personnel rinse the equipment or tools with water to remove additional organic material and residue that was loosened during the pre-clean step; scrubbing could be necessary during this </w:t>
      </w:r>
      <w:r w:rsidRPr="0094770E">
        <w:t>step</w:t>
      </w:r>
      <w:r w:rsidRPr="00F22F55">
        <w:rPr>
          <w:spacing w:val="-1"/>
        </w:rPr>
        <w:t>;</w:t>
      </w:r>
    </w:p>
    <w:p w:rsidR="00AD2A5E" w:rsidRPr="0094770E" w:rsidP="00E47C04" w14:paraId="5DE9A547" w14:textId="69ACAD4B">
      <w:pPr>
        <w:pStyle w:val="GuidanceParagraph"/>
        <w:numPr>
          <w:ilvl w:val="0"/>
          <w:numId w:val="46"/>
        </w:numPr>
      </w:pPr>
      <w:r w:rsidRPr="00F22F55">
        <w:rPr>
          <w:i/>
          <w:spacing w:val="-2"/>
        </w:rPr>
        <w:t>Washing with Cleaning Agent and Mechanical Action</w:t>
      </w:r>
      <w:r w:rsidRPr="00F22F55">
        <w:rPr>
          <w:spacing w:val="-2"/>
        </w:rPr>
        <w:t>:</w:t>
      </w:r>
      <w:r w:rsidRPr="0094770E">
        <w:t xml:space="preserve"> personnel apply a cleaning agent in one of several forms, such as by spray or foam; personnel should ensure full coverage of the relevant surface with the cleaning agent for the time and at the temperature specified by the cleaning agent manufacturer; small equipment or tools or components of these can be washed in sinks or tanks containing a solution of the cleaning agent; mechanical action (e.g., scrubbing) ordinarily should be applied, using tools such as brushes or scouring pads, in order to fully remove organic material and residues</w:t>
      </w:r>
      <w:r w:rsidRPr="00F22F55">
        <w:rPr>
          <w:spacing w:val="-1"/>
        </w:rPr>
        <w:t>;</w:t>
      </w:r>
    </w:p>
    <w:p w:rsidR="00AD2A5E" w:rsidRPr="0094770E" w:rsidP="00E47C04" w14:paraId="6776839C" w14:textId="4E75E5BE">
      <w:pPr>
        <w:pStyle w:val="GuidanceParagraph"/>
        <w:numPr>
          <w:ilvl w:val="0"/>
          <w:numId w:val="46"/>
        </w:numPr>
      </w:pPr>
      <w:r w:rsidRPr="00F22F55">
        <w:rPr>
          <w:i/>
          <w:spacing w:val="-2"/>
        </w:rPr>
        <w:t>Post-Rinse</w:t>
      </w:r>
      <w:r w:rsidRPr="00F22F55">
        <w:rPr>
          <w:spacing w:val="-2"/>
        </w:rPr>
        <w:t>:</w:t>
      </w:r>
      <w:r w:rsidRPr="0094770E">
        <w:t xml:space="preserve"> personnel apply water to remove loosened soil and debris along with the cleaning agent; after the post-rinse the equipment and tools could be allowed to dry prior to further activities</w:t>
      </w:r>
      <w:r w:rsidRPr="00F22F55">
        <w:rPr>
          <w:spacing w:val="-1"/>
        </w:rPr>
        <w:t>;</w:t>
      </w:r>
      <w:r w:rsidRPr="00F22F55" w:rsidR="000F1A07">
        <w:rPr>
          <w:spacing w:val="-1"/>
        </w:rPr>
        <w:t xml:space="preserve"> and</w:t>
      </w:r>
    </w:p>
    <w:p w:rsidR="00AD2A5E" w:rsidRPr="0094770E" w:rsidP="00E47C04" w14:paraId="48A3EA50" w14:textId="38F758E1">
      <w:pPr>
        <w:pStyle w:val="GuidanceParagraph"/>
        <w:numPr>
          <w:ilvl w:val="0"/>
          <w:numId w:val="46"/>
        </w:numPr>
      </w:pPr>
      <w:r w:rsidRPr="00F22F55">
        <w:rPr>
          <w:i/>
          <w:spacing w:val="-1"/>
        </w:rPr>
        <w:t>Inspection</w:t>
      </w:r>
      <w:r w:rsidRPr="00F22F55">
        <w:rPr>
          <w:spacing w:val="-1"/>
        </w:rPr>
        <w:t>:</w:t>
      </w:r>
      <w:r w:rsidRPr="00F22F55">
        <w:rPr>
          <w:spacing w:val="-3"/>
        </w:rPr>
        <w:t xml:space="preserve"> </w:t>
      </w:r>
      <w:r w:rsidRPr="0094770E">
        <w:t>personnel check the equipment or tools for any remaining soil or residue</w:t>
      </w:r>
      <w:r w:rsidRPr="0094770E" w:rsidR="000F1A07">
        <w:t>.</w:t>
      </w:r>
    </w:p>
    <w:p w:rsidR="00AD2A5E" w:rsidRPr="00D415C3" w:rsidP="00F756C4" w14:paraId="468452EB" w14:textId="7E07596B">
      <w:pPr>
        <w:pStyle w:val="HHS508GuidanceOutline2"/>
      </w:pPr>
      <w:bookmarkStart w:id="20" w:name="_Toc46929881"/>
      <w:bookmarkStart w:id="21" w:name="_Toc106094926"/>
      <w:r w:rsidRPr="00D415C3">
        <w:t>Sanitizing</w:t>
      </w:r>
      <w:bookmarkEnd w:id="20"/>
      <w:bookmarkEnd w:id="21"/>
    </w:p>
    <w:p w:rsidR="00BE1A56" w:rsidP="00E47C04" w14:paraId="42C7621F" w14:textId="76D31C5F">
      <w:pPr>
        <w:pStyle w:val="GuidanceParagraph"/>
      </w:pPr>
      <w:r w:rsidRPr="00BE1A56">
        <w:t>Sanitizing is generally not effective unless it is preceded by a cleaning step, because residual organic material can insulate pathogens from the action of the sanitizing treatment (</w:t>
      </w:r>
      <w:r w:rsidR="00EF098A">
        <w:fldChar w:fldCharType="begin"/>
      </w:r>
      <w:r w:rsidR="00EF098A">
        <w:instrText xml:space="preserve"> REF _Ref51098040 \h </w:instrText>
      </w:r>
      <w:r w:rsidR="00EF098A">
        <w:fldChar w:fldCharType="separate"/>
      </w:r>
      <w:r w:rsidRPr="006E43DC" w:rsidR="000E290D">
        <w:t xml:space="preserve">Ref. </w:t>
      </w:r>
      <w:r w:rsidR="000E290D">
        <w:rPr>
          <w:noProof/>
        </w:rPr>
        <w:t>35</w:t>
      </w:r>
      <w:r w:rsidR="00EF098A">
        <w:fldChar w:fldCharType="end"/>
      </w:r>
      <w:r w:rsidR="00781D99">
        <w:t xml:space="preserve">, </w:t>
      </w:r>
      <w:r w:rsidR="00FB2E78">
        <w:fldChar w:fldCharType="begin"/>
      </w:r>
      <w:r w:rsidR="00FB2E78">
        <w:instrText xml:space="preserve"> REF _Ref51098095 \h </w:instrText>
      </w:r>
      <w:r w:rsidR="00FB2E78">
        <w:fldChar w:fldCharType="separate"/>
      </w:r>
      <w:r w:rsidRPr="006E43DC" w:rsidR="000E290D">
        <w:t xml:space="preserve">Ref. </w:t>
      </w:r>
      <w:r w:rsidR="000E290D">
        <w:rPr>
          <w:noProof/>
        </w:rPr>
        <w:t>37</w:t>
      </w:r>
      <w:r w:rsidR="00FB2E78">
        <w:fldChar w:fldCharType="end"/>
      </w:r>
      <w:r w:rsidRPr="00BE1A56">
        <w:t xml:space="preserve">, </w:t>
      </w:r>
      <w:r w:rsidR="00FB2E78">
        <w:fldChar w:fldCharType="begin"/>
      </w:r>
      <w:r w:rsidR="00FB2E78">
        <w:instrText xml:space="preserve"> REF _Ref51098581 \h </w:instrText>
      </w:r>
      <w:r w:rsidR="00FB2E78">
        <w:fldChar w:fldCharType="separate"/>
      </w:r>
      <w:r w:rsidRPr="006E43DC" w:rsidR="000E290D">
        <w:t xml:space="preserve">Ref. </w:t>
      </w:r>
      <w:r w:rsidR="000E290D">
        <w:rPr>
          <w:noProof/>
        </w:rPr>
        <w:t>38</w:t>
      </w:r>
      <w:r w:rsidR="00FB2E78">
        <w:fldChar w:fldCharType="end"/>
      </w:r>
      <w:r w:rsidRPr="00BE1A56">
        <w:t xml:space="preserve">, </w:t>
      </w:r>
      <w:r w:rsidR="00FB2E78">
        <w:fldChar w:fldCharType="begin"/>
      </w:r>
      <w:r w:rsidR="00FB2E78">
        <w:instrText xml:space="preserve"> REF _Ref51098596 \h </w:instrText>
      </w:r>
      <w:r w:rsidR="00FB2E78">
        <w:fldChar w:fldCharType="separate"/>
      </w:r>
      <w:r w:rsidRPr="006E43DC" w:rsidR="000E290D">
        <w:t xml:space="preserve">Ref. </w:t>
      </w:r>
      <w:r w:rsidR="000E290D">
        <w:rPr>
          <w:noProof/>
        </w:rPr>
        <w:t>39</w:t>
      </w:r>
      <w:r w:rsidR="00FB2E78">
        <w:fldChar w:fldCharType="end"/>
      </w:r>
      <w:r w:rsidR="00781D99">
        <w:t xml:space="preserve">, and </w:t>
      </w:r>
      <w:r w:rsidR="00781D99">
        <w:fldChar w:fldCharType="begin"/>
      </w:r>
      <w:r w:rsidR="00781D99">
        <w:instrText xml:space="preserve"> REF _Ref51098641 \h </w:instrText>
      </w:r>
      <w:r w:rsidR="00781D99">
        <w:fldChar w:fldCharType="separate"/>
      </w:r>
      <w:r w:rsidRPr="006E43DC" w:rsidR="000E290D">
        <w:t xml:space="preserve">Ref. </w:t>
      </w:r>
      <w:r w:rsidR="000E290D">
        <w:rPr>
          <w:noProof/>
        </w:rPr>
        <w:t>40</w:t>
      </w:r>
      <w:r w:rsidR="00781D99">
        <w:fldChar w:fldCharType="end"/>
      </w:r>
      <w:r w:rsidRPr="00BE1A56">
        <w:t xml:space="preserve">).   </w:t>
      </w:r>
    </w:p>
    <w:p w:rsidR="00AD2A5E" w:rsidRPr="00CC10E2" w:rsidP="00E47C04" w14:paraId="5D6DD49D" w14:textId="1437FBE6">
      <w:pPr>
        <w:pStyle w:val="GuidanceParagraph"/>
      </w:pPr>
      <w:r w:rsidRPr="00CC10E2">
        <w:t>The</w:t>
      </w:r>
      <w:r w:rsidRPr="00CC10E2">
        <w:rPr>
          <w:spacing w:val="1"/>
        </w:rPr>
        <w:t xml:space="preserve"> </w:t>
      </w:r>
      <w:r w:rsidRPr="00CC10E2">
        <w:t>following</w:t>
      </w:r>
      <w:r w:rsidRPr="00CC10E2">
        <w:rPr>
          <w:spacing w:val="-3"/>
        </w:rPr>
        <w:t xml:space="preserve"> </w:t>
      </w:r>
      <w:r w:rsidRPr="00CC10E2">
        <w:t>should be</w:t>
      </w:r>
      <w:r w:rsidRPr="00CC10E2">
        <w:rPr>
          <w:spacing w:val="-2"/>
        </w:rPr>
        <w:t xml:space="preserve"> </w:t>
      </w:r>
      <w:r w:rsidRPr="00CC10E2">
        <w:t xml:space="preserve">considered when developing your sanitizing </w:t>
      </w:r>
      <w:r w:rsidR="00076F7F">
        <w:t>procedures</w:t>
      </w:r>
      <w:r w:rsidRPr="00CC10E2" w:rsidR="00076F7F">
        <w:t xml:space="preserve"> </w:t>
      </w:r>
      <w:r w:rsidRPr="00CC10E2">
        <w:t xml:space="preserve">and when sanitizing </w:t>
      </w:r>
      <w:r w:rsidRPr="00CC10E2">
        <w:rPr>
          <w:spacing w:val="-2"/>
        </w:rPr>
        <w:t>your</w:t>
      </w:r>
      <w:r w:rsidRPr="00CC10E2">
        <w:rPr>
          <w:spacing w:val="67"/>
        </w:rPr>
        <w:t xml:space="preserve"> </w:t>
      </w:r>
      <w:r w:rsidRPr="00CC10E2">
        <w:t>equipment, tools,</w:t>
      </w:r>
      <w:r w:rsidRPr="00CC10E2">
        <w:rPr>
          <w:spacing w:val="-2"/>
        </w:rPr>
        <w:t xml:space="preserve"> </w:t>
      </w:r>
      <w:r w:rsidRPr="00CC10E2">
        <w:t>or production</w:t>
      </w:r>
      <w:r w:rsidRPr="00CC10E2">
        <w:rPr>
          <w:spacing w:val="-3"/>
        </w:rPr>
        <w:t xml:space="preserve"> </w:t>
      </w:r>
      <w:r w:rsidRPr="00CC10E2">
        <w:t>environment:</w:t>
      </w:r>
    </w:p>
    <w:p w:rsidR="00AD2A5E" w:rsidRPr="00576176" w:rsidP="00C36EA1" w14:paraId="598283AB" w14:textId="64AA6450">
      <w:pPr>
        <w:pStyle w:val="GuidanceBulletLevel1"/>
      </w:pPr>
      <w:r w:rsidRPr="00CC10E2">
        <w:t>The</w:t>
      </w:r>
      <w:r w:rsidRPr="00CC10E2">
        <w:rPr>
          <w:spacing w:val="1"/>
        </w:rPr>
        <w:t xml:space="preserve"> </w:t>
      </w:r>
      <w:r w:rsidRPr="00CC10E2">
        <w:t>surfaces should be</w:t>
      </w:r>
      <w:r w:rsidRPr="00CC10E2">
        <w:rPr>
          <w:spacing w:val="-2"/>
        </w:rPr>
        <w:t xml:space="preserve"> </w:t>
      </w:r>
      <w:r w:rsidRPr="00CC10E2">
        <w:t>cleaned</w:t>
      </w:r>
      <w:r w:rsidRPr="00CC10E2">
        <w:rPr>
          <w:spacing w:val="-3"/>
        </w:rPr>
        <w:t xml:space="preserve"> </w:t>
      </w:r>
      <w:r w:rsidRPr="00CC10E2">
        <w:t>as described</w:t>
      </w:r>
      <w:r w:rsidRPr="00CC10E2">
        <w:rPr>
          <w:spacing w:val="-3"/>
        </w:rPr>
        <w:t xml:space="preserve"> </w:t>
      </w:r>
      <w:r w:rsidR="0020257D">
        <w:rPr>
          <w:spacing w:val="-3"/>
        </w:rPr>
        <w:t xml:space="preserve">above </w:t>
      </w:r>
      <w:r w:rsidR="00691D33">
        <w:t xml:space="preserve">in </w:t>
      </w:r>
      <w:r w:rsidR="00E04A77">
        <w:t>S</w:t>
      </w:r>
      <w:r w:rsidR="00691D33">
        <w:t xml:space="preserve">ection </w:t>
      </w:r>
      <w:r w:rsidR="00E719C8">
        <w:t>III.</w:t>
      </w:r>
      <w:r w:rsidR="008036F7">
        <w:t xml:space="preserve"> </w:t>
      </w:r>
      <w:r w:rsidR="00691D33">
        <w:t>C</w:t>
      </w:r>
      <w:r w:rsidRPr="00CC10E2" w:rsidR="00691D33">
        <w:t xml:space="preserve"> </w:t>
      </w:r>
      <w:r w:rsidR="00931098">
        <w:t xml:space="preserve">(Cleaning) </w:t>
      </w:r>
      <w:r w:rsidRPr="00CC10E2">
        <w:t xml:space="preserve">before </w:t>
      </w:r>
      <w:r w:rsidRPr="00CC10E2">
        <w:t>sanitizing;</w:t>
      </w:r>
    </w:p>
    <w:p w:rsidR="00AD2A5E" w:rsidRPr="00576176" w:rsidP="00C36EA1" w14:paraId="7F0221E4" w14:textId="1A8FF244">
      <w:pPr>
        <w:pStyle w:val="GuidanceBulletLevel1"/>
      </w:pPr>
      <w:r>
        <w:t>Sanitizing approaches should take into account the</w:t>
      </w:r>
      <w:r w:rsidRPr="00CC10E2">
        <w:t xml:space="preserve"> </w:t>
      </w:r>
      <w:r w:rsidRPr="00CC10E2">
        <w:t>type, duration, application method, temperature, and concentration of the sanitizing or antimicrobial treatment (</w:t>
      </w:r>
      <w:r w:rsidR="004A2D74">
        <w:fldChar w:fldCharType="begin"/>
      </w:r>
      <w:r w:rsidR="004A2D74">
        <w:instrText xml:space="preserve"> REF _Ref51098095 \h </w:instrText>
      </w:r>
      <w:r w:rsidR="004B2A15">
        <w:instrText xml:space="preserve"> \* MERGEFORMAT </w:instrText>
      </w:r>
      <w:r w:rsidR="004A2D74">
        <w:fldChar w:fldCharType="separate"/>
      </w:r>
      <w:r w:rsidRPr="006E43DC" w:rsidR="000E290D">
        <w:t xml:space="preserve">Ref. </w:t>
      </w:r>
      <w:r w:rsidR="000E290D">
        <w:rPr>
          <w:noProof/>
        </w:rPr>
        <w:t>37</w:t>
      </w:r>
      <w:r w:rsidR="004A2D74">
        <w:fldChar w:fldCharType="end"/>
      </w:r>
      <w:r w:rsidR="004A2D74">
        <w:t xml:space="preserve"> and </w:t>
      </w:r>
      <w:r w:rsidR="009E5362">
        <w:fldChar w:fldCharType="begin"/>
      </w:r>
      <w:r w:rsidR="009E5362">
        <w:instrText xml:space="preserve"> REF _Ref51849054 \h </w:instrText>
      </w:r>
      <w:r w:rsidR="004B2A15">
        <w:instrText xml:space="preserve"> \* MERGEFORMAT </w:instrText>
      </w:r>
      <w:r w:rsidR="009E5362">
        <w:fldChar w:fldCharType="separate"/>
      </w:r>
      <w:r w:rsidRPr="006E43DC" w:rsidR="000E290D">
        <w:t xml:space="preserve">Ref. </w:t>
      </w:r>
      <w:r w:rsidR="000E290D">
        <w:rPr>
          <w:noProof/>
        </w:rPr>
        <w:t>41</w:t>
      </w:r>
      <w:r w:rsidR="009E5362">
        <w:fldChar w:fldCharType="end"/>
      </w:r>
      <w:r w:rsidR="009C0BAA">
        <w:t>)</w:t>
      </w:r>
      <w:r w:rsidR="009A71E2">
        <w:t>;</w:t>
      </w:r>
    </w:p>
    <w:p w:rsidR="00AD2A5E" w:rsidRPr="00576176" w:rsidP="00C36EA1" w14:paraId="0FDB21D1" w14:textId="77777777">
      <w:pPr>
        <w:pStyle w:val="GuidanceBulletLevel1"/>
      </w:pPr>
      <w:r w:rsidRPr="00CC10E2">
        <w:t>Verification activities, described below, should be</w:t>
      </w:r>
      <w:r w:rsidRPr="00CC10E2">
        <w:rPr>
          <w:spacing w:val="-2"/>
        </w:rPr>
        <w:t xml:space="preserve"> </w:t>
      </w:r>
      <w:r w:rsidRPr="00CC10E2">
        <w:t>conducted to</w:t>
      </w:r>
      <w:r w:rsidRPr="00CC10E2">
        <w:rPr>
          <w:spacing w:val="-3"/>
        </w:rPr>
        <w:t xml:space="preserve"> </w:t>
      </w:r>
      <w:r w:rsidRPr="00CC10E2">
        <w:t>evaluate</w:t>
      </w:r>
      <w:r w:rsidRPr="00CC10E2">
        <w:rPr>
          <w:spacing w:val="1"/>
        </w:rPr>
        <w:t xml:space="preserve"> </w:t>
      </w:r>
      <w:r w:rsidRPr="00CC10E2">
        <w:t>the</w:t>
      </w:r>
      <w:r w:rsidRPr="00CC10E2">
        <w:rPr>
          <w:spacing w:val="1"/>
        </w:rPr>
        <w:t xml:space="preserve"> </w:t>
      </w:r>
      <w:r w:rsidRPr="00CC10E2">
        <w:t>effectiveness of</w:t>
      </w:r>
      <w:r w:rsidRPr="00CC10E2">
        <w:rPr>
          <w:spacing w:val="65"/>
        </w:rPr>
        <w:t xml:space="preserve"> </w:t>
      </w:r>
      <w:r w:rsidRPr="00CC10E2">
        <w:t>your cleaning</w:t>
      </w:r>
      <w:r w:rsidRPr="00CC10E2">
        <w:rPr>
          <w:spacing w:val="-3"/>
        </w:rPr>
        <w:t xml:space="preserve"> </w:t>
      </w:r>
      <w:r w:rsidRPr="00CC10E2">
        <w:t>and sanitizing</w:t>
      </w:r>
      <w:r w:rsidRPr="00CC10E2">
        <w:rPr>
          <w:spacing w:val="-3"/>
        </w:rPr>
        <w:t xml:space="preserve"> </w:t>
      </w:r>
      <w:r w:rsidRPr="00CC10E2">
        <w:t>activities; and</w:t>
      </w:r>
    </w:p>
    <w:p w:rsidR="00AD2A5E" w:rsidRPr="00576176" w:rsidP="00C36EA1" w14:paraId="64ACF74F" w14:textId="77777777">
      <w:pPr>
        <w:pStyle w:val="GuidanceBulletLevel1"/>
      </w:pPr>
      <w:r w:rsidRPr="00CC10E2">
        <w:t>Chemical sanitizing</w:t>
      </w:r>
      <w:r w:rsidRPr="00CC10E2">
        <w:rPr>
          <w:spacing w:val="-3"/>
        </w:rPr>
        <w:t xml:space="preserve"> </w:t>
      </w:r>
      <w:r w:rsidRPr="00CC10E2">
        <w:t>agents must be</w:t>
      </w:r>
      <w:r w:rsidRPr="00CC10E2">
        <w:rPr>
          <w:spacing w:val="1"/>
        </w:rPr>
        <w:t xml:space="preserve"> </w:t>
      </w:r>
      <w:r w:rsidRPr="00CC10E2">
        <w:t>used</w:t>
      </w:r>
      <w:r w:rsidRPr="00CC10E2">
        <w:rPr>
          <w:spacing w:val="-3"/>
        </w:rPr>
        <w:t xml:space="preserve"> </w:t>
      </w:r>
      <w:r w:rsidRPr="00CC10E2">
        <w:t>according</w:t>
      </w:r>
      <w:r w:rsidRPr="00CC10E2">
        <w:rPr>
          <w:spacing w:val="-3"/>
        </w:rPr>
        <w:t xml:space="preserve"> </w:t>
      </w:r>
      <w:r w:rsidRPr="00CC10E2">
        <w:t>to label directions, in</w:t>
      </w:r>
      <w:r w:rsidRPr="00CC10E2">
        <w:rPr>
          <w:spacing w:val="-3"/>
        </w:rPr>
        <w:t xml:space="preserve"> </w:t>
      </w:r>
      <w:r w:rsidRPr="00CC10E2">
        <w:t>accordance</w:t>
      </w:r>
      <w:r w:rsidRPr="00CC10E2">
        <w:rPr>
          <w:spacing w:val="1"/>
        </w:rPr>
        <w:t xml:space="preserve"> </w:t>
      </w:r>
      <w:r w:rsidRPr="00CC10E2">
        <w:t>with</w:t>
      </w:r>
      <w:r w:rsidRPr="00CC10E2">
        <w:rPr>
          <w:spacing w:val="-3"/>
        </w:rPr>
        <w:t xml:space="preserve"> </w:t>
      </w:r>
      <w:r w:rsidRPr="00CC10E2">
        <w:t>the</w:t>
      </w:r>
      <w:r w:rsidRPr="00CC10E2">
        <w:rPr>
          <w:spacing w:val="75"/>
        </w:rPr>
        <w:t xml:space="preserve"> </w:t>
      </w:r>
      <w:r w:rsidRPr="00CC10E2">
        <w:t>Federal Insecticide, Fungicide,</w:t>
      </w:r>
      <w:r w:rsidRPr="00CC10E2">
        <w:rPr>
          <w:spacing w:val="-3"/>
        </w:rPr>
        <w:t xml:space="preserve"> </w:t>
      </w:r>
      <w:r w:rsidRPr="00CC10E2">
        <w:t>and Rodenticide</w:t>
      </w:r>
      <w:r w:rsidRPr="00CC10E2">
        <w:rPr>
          <w:spacing w:val="1"/>
        </w:rPr>
        <w:t xml:space="preserve"> </w:t>
      </w:r>
      <w:r w:rsidRPr="00CC10E2">
        <w:t>Act</w:t>
      </w:r>
      <w:r w:rsidRPr="00CC10E2">
        <w:rPr>
          <w:spacing w:val="-2"/>
        </w:rPr>
        <w:t xml:space="preserve"> </w:t>
      </w:r>
      <w:r w:rsidRPr="00CC10E2">
        <w:t>(FIFRA).</w:t>
      </w:r>
    </w:p>
    <w:p w:rsidR="00AD2A5E" w:rsidRPr="00CC10E2" w:rsidP="00E47C04" w14:paraId="299542EE" w14:textId="77777777">
      <w:pPr>
        <w:pStyle w:val="GuidanceParagraph"/>
      </w:pPr>
      <w:r w:rsidRPr="00CC10E2">
        <w:t>The</w:t>
      </w:r>
      <w:r w:rsidRPr="00CC10E2">
        <w:rPr>
          <w:spacing w:val="1"/>
        </w:rPr>
        <w:t xml:space="preserve"> </w:t>
      </w:r>
      <w:r w:rsidRPr="00CC10E2">
        <w:t>following</w:t>
      </w:r>
      <w:r w:rsidRPr="00CC10E2">
        <w:rPr>
          <w:spacing w:val="-3"/>
        </w:rPr>
        <w:t xml:space="preserve"> </w:t>
      </w:r>
      <w:r w:rsidRPr="00CC10E2">
        <w:t>should be</w:t>
      </w:r>
      <w:r w:rsidRPr="00CC10E2">
        <w:rPr>
          <w:spacing w:val="-2"/>
        </w:rPr>
        <w:t xml:space="preserve"> </w:t>
      </w:r>
      <w:r w:rsidRPr="00CC10E2">
        <w:t>considered when selecting</w:t>
      </w:r>
      <w:r w:rsidRPr="00CC10E2">
        <w:rPr>
          <w:spacing w:val="-3"/>
        </w:rPr>
        <w:t xml:space="preserve"> </w:t>
      </w:r>
      <w:r w:rsidRPr="00CC10E2">
        <w:t>sanitizing</w:t>
      </w:r>
      <w:r w:rsidRPr="00CC10E2">
        <w:rPr>
          <w:spacing w:val="-3"/>
        </w:rPr>
        <w:t xml:space="preserve"> </w:t>
      </w:r>
      <w:r w:rsidRPr="00CC10E2">
        <w:t>agents:</w:t>
      </w:r>
    </w:p>
    <w:p w:rsidR="00AD2A5E" w:rsidRPr="00576176" w:rsidP="00C36EA1" w14:paraId="5E35619A" w14:textId="77777777">
      <w:pPr>
        <w:pStyle w:val="GuidanceBulletLevel1"/>
      </w:pPr>
      <w:r w:rsidRPr="00CC10E2">
        <w:t>The</w:t>
      </w:r>
      <w:r w:rsidRPr="00CC10E2">
        <w:rPr>
          <w:spacing w:val="1"/>
        </w:rPr>
        <w:t xml:space="preserve"> </w:t>
      </w:r>
      <w:r w:rsidRPr="00CC10E2">
        <w:t>material of</w:t>
      </w:r>
      <w:r w:rsidRPr="00CC10E2">
        <w:rPr>
          <w:spacing w:val="-3"/>
        </w:rPr>
        <w:t xml:space="preserve"> </w:t>
      </w:r>
      <w:r w:rsidRPr="00CC10E2">
        <w:t>the</w:t>
      </w:r>
      <w:r w:rsidRPr="00CC10E2">
        <w:rPr>
          <w:spacing w:val="1"/>
        </w:rPr>
        <w:t xml:space="preserve"> </w:t>
      </w:r>
      <w:r w:rsidRPr="00CC10E2">
        <w:t>surface</w:t>
      </w:r>
      <w:r w:rsidRPr="00CC10E2">
        <w:rPr>
          <w:spacing w:val="1"/>
        </w:rPr>
        <w:t xml:space="preserve"> </w:t>
      </w:r>
      <w:r w:rsidRPr="00CC10E2">
        <w:t>that is to</w:t>
      </w:r>
      <w:r w:rsidRPr="00CC10E2">
        <w:rPr>
          <w:spacing w:val="-3"/>
        </w:rPr>
        <w:t xml:space="preserve"> </w:t>
      </w:r>
      <w:r w:rsidRPr="00CC10E2">
        <w:t>be</w:t>
      </w:r>
      <w:r w:rsidRPr="00CC10E2">
        <w:rPr>
          <w:spacing w:val="1"/>
        </w:rPr>
        <w:t xml:space="preserve"> </w:t>
      </w:r>
      <w:r w:rsidRPr="00CC10E2">
        <w:t>sanitized;</w:t>
      </w:r>
    </w:p>
    <w:p w:rsidR="00AD2A5E" w:rsidRPr="00576176" w:rsidP="00C36EA1" w14:paraId="40EE332D" w14:textId="77777777">
      <w:pPr>
        <w:pStyle w:val="GuidanceBulletLevel1"/>
      </w:pPr>
      <w:r w:rsidRPr="00CC10E2">
        <w:t xml:space="preserve">The contact time of the sanitizing or antimicrobial treatment with the surface being </w:t>
      </w:r>
      <w:r w:rsidRPr="00CC10E2">
        <w:t>treated;</w:t>
      </w:r>
    </w:p>
    <w:p w:rsidR="00AD2A5E" w:rsidRPr="00576176" w:rsidP="00C36EA1" w14:paraId="0D2E2436" w14:textId="77777777">
      <w:pPr>
        <w:pStyle w:val="GuidanceBulletLevel1"/>
      </w:pPr>
      <w:r w:rsidRPr="00CC10E2">
        <w:t>Characteristics of</w:t>
      </w:r>
      <w:r w:rsidRPr="00CC10E2">
        <w:rPr>
          <w:spacing w:val="-3"/>
        </w:rPr>
        <w:t xml:space="preserve"> </w:t>
      </w:r>
      <w:r w:rsidRPr="00CC10E2">
        <w:t xml:space="preserve">water </w:t>
      </w:r>
      <w:r w:rsidRPr="00CC10E2">
        <w:rPr>
          <w:spacing w:val="-2"/>
        </w:rPr>
        <w:t>(e.g.,</w:t>
      </w:r>
      <w:r w:rsidRPr="00CC10E2">
        <w:t xml:space="preserve"> hardness, pH, temperature) used</w:t>
      </w:r>
      <w:r w:rsidRPr="00CC10E2">
        <w:rPr>
          <w:spacing w:val="-3"/>
        </w:rPr>
        <w:t xml:space="preserve"> </w:t>
      </w:r>
      <w:r w:rsidRPr="00CC10E2">
        <w:t>to prepare</w:t>
      </w:r>
      <w:r w:rsidRPr="00CC10E2">
        <w:rPr>
          <w:spacing w:val="1"/>
        </w:rPr>
        <w:t xml:space="preserve"> </w:t>
      </w:r>
      <w:r w:rsidRPr="00CC10E2">
        <w:t>the</w:t>
      </w:r>
      <w:r w:rsidRPr="00CC10E2">
        <w:rPr>
          <w:spacing w:val="1"/>
        </w:rPr>
        <w:t xml:space="preserve"> </w:t>
      </w:r>
      <w:r w:rsidRPr="00CC10E2">
        <w:t>sanitizing</w:t>
      </w:r>
      <w:r w:rsidRPr="00CC10E2">
        <w:rPr>
          <w:spacing w:val="-3"/>
        </w:rPr>
        <w:t xml:space="preserve"> </w:t>
      </w:r>
      <w:r w:rsidRPr="00CC10E2">
        <w:t>agent;</w:t>
      </w:r>
    </w:p>
    <w:p w:rsidR="00AD2A5E" w:rsidRPr="00576176" w:rsidP="00C36EA1" w14:paraId="3E2FDD72" w14:textId="77777777">
      <w:pPr>
        <w:pStyle w:val="GuidanceBulletLevel1"/>
      </w:pPr>
      <w:r w:rsidRPr="00CC10E2">
        <w:t>The</w:t>
      </w:r>
      <w:r w:rsidRPr="00CC10E2">
        <w:rPr>
          <w:spacing w:val="1"/>
        </w:rPr>
        <w:t xml:space="preserve"> </w:t>
      </w:r>
      <w:r w:rsidRPr="00CC10E2">
        <w:t>compatibility</w:t>
      </w:r>
      <w:r w:rsidRPr="00CC10E2">
        <w:rPr>
          <w:spacing w:val="-5"/>
        </w:rPr>
        <w:t xml:space="preserve"> </w:t>
      </w:r>
      <w:r w:rsidRPr="00CC10E2">
        <w:rPr>
          <w:spacing w:val="1"/>
        </w:rPr>
        <w:t>of</w:t>
      </w:r>
      <w:r w:rsidRPr="00CC10E2">
        <w:rPr>
          <w:spacing w:val="-3"/>
        </w:rPr>
        <w:t xml:space="preserve"> </w:t>
      </w:r>
      <w:r w:rsidRPr="00CC10E2">
        <w:t>the</w:t>
      </w:r>
      <w:r w:rsidRPr="00CC10E2">
        <w:rPr>
          <w:spacing w:val="1"/>
        </w:rPr>
        <w:t xml:space="preserve"> </w:t>
      </w:r>
      <w:r w:rsidRPr="00CC10E2">
        <w:t>sanitizing</w:t>
      </w:r>
      <w:r w:rsidRPr="00CC10E2">
        <w:rPr>
          <w:spacing w:val="-3"/>
        </w:rPr>
        <w:t xml:space="preserve"> </w:t>
      </w:r>
      <w:r w:rsidRPr="00CC10E2">
        <w:t>agent with the</w:t>
      </w:r>
      <w:r w:rsidRPr="00CC10E2">
        <w:rPr>
          <w:spacing w:val="1"/>
        </w:rPr>
        <w:t xml:space="preserve"> </w:t>
      </w:r>
      <w:r w:rsidRPr="00CC10E2">
        <w:t>cleaning</w:t>
      </w:r>
      <w:r w:rsidRPr="00CC10E2">
        <w:rPr>
          <w:spacing w:val="-3"/>
        </w:rPr>
        <w:t xml:space="preserve"> </w:t>
      </w:r>
      <w:r w:rsidRPr="00CC10E2">
        <w:t>chemical(s); and</w:t>
      </w:r>
    </w:p>
    <w:p w:rsidR="00AD2A5E" w:rsidRPr="00576176" w:rsidP="00C36EA1" w14:paraId="4D4F303C" w14:textId="77777777">
      <w:pPr>
        <w:pStyle w:val="GuidanceBulletLevel1"/>
      </w:pPr>
      <w:r w:rsidRPr="00CC10E2">
        <w:t xml:space="preserve">Appropriateness of the sanitizing agent for use on food or FCSs. </w:t>
      </w:r>
    </w:p>
    <w:p w:rsidR="00AD2A5E" w:rsidRPr="00CC10E2" w:rsidP="00E47C04" w14:paraId="2BA0729C" w14:textId="2C79F1FF">
      <w:pPr>
        <w:pStyle w:val="GuidanceParagraph"/>
      </w:pPr>
      <w:r w:rsidRPr="00413815">
        <w:t>Consulting</w:t>
      </w:r>
      <w:r w:rsidRPr="00413815">
        <w:rPr>
          <w:spacing w:val="-3"/>
        </w:rPr>
        <w:t xml:space="preserve"> </w:t>
      </w:r>
      <w:r w:rsidRPr="00413815">
        <w:t>with cleaning</w:t>
      </w:r>
      <w:r w:rsidRPr="00413815">
        <w:rPr>
          <w:spacing w:val="-3"/>
        </w:rPr>
        <w:t xml:space="preserve"> </w:t>
      </w:r>
      <w:r w:rsidRPr="00413815">
        <w:t>and/or sanitizing</w:t>
      </w:r>
      <w:r w:rsidRPr="00413815">
        <w:rPr>
          <w:spacing w:val="-3"/>
        </w:rPr>
        <w:t xml:space="preserve"> </w:t>
      </w:r>
      <w:r w:rsidRPr="00413815">
        <w:t xml:space="preserve">agent suppliers, academia, industry associations, scientific literature, and government agencies may help </w:t>
      </w:r>
      <w:r w:rsidRPr="00413815">
        <w:rPr>
          <w:spacing w:val="-2"/>
        </w:rPr>
        <w:t>you</w:t>
      </w:r>
      <w:r w:rsidRPr="00413815">
        <w:t xml:space="preserve"> select the</w:t>
      </w:r>
      <w:r w:rsidRPr="00413815">
        <w:rPr>
          <w:spacing w:val="1"/>
        </w:rPr>
        <w:t xml:space="preserve"> </w:t>
      </w:r>
      <w:r w:rsidRPr="00413815">
        <w:t>products that are</w:t>
      </w:r>
      <w:r w:rsidRPr="00413815">
        <w:rPr>
          <w:spacing w:val="79"/>
        </w:rPr>
        <w:t xml:space="preserve"> </w:t>
      </w:r>
      <w:r w:rsidRPr="00413815">
        <w:t>best suited for</w:t>
      </w:r>
      <w:r w:rsidRPr="00413815">
        <w:rPr>
          <w:spacing w:val="2"/>
        </w:rPr>
        <w:t xml:space="preserve"> </w:t>
      </w:r>
      <w:r w:rsidRPr="00413815">
        <w:rPr>
          <w:spacing w:val="-2"/>
        </w:rPr>
        <w:t>your</w:t>
      </w:r>
      <w:r w:rsidRPr="00413815">
        <w:t xml:space="preserve"> operation.</w:t>
      </w:r>
    </w:p>
    <w:p w:rsidR="00AD2A5E" w:rsidRPr="00B70948" w:rsidP="00F756C4" w14:paraId="190F1E07" w14:textId="71AAF883">
      <w:pPr>
        <w:pStyle w:val="HHS508GuidanceOutline2"/>
      </w:pPr>
      <w:bookmarkStart w:id="22" w:name="_Toc46929882"/>
      <w:bookmarkStart w:id="23" w:name="_Toc106094927"/>
      <w:r w:rsidRPr="00B70948">
        <w:t>Verification of</w:t>
      </w:r>
      <w:r w:rsidRPr="00B70948">
        <w:rPr>
          <w:spacing w:val="1"/>
        </w:rPr>
        <w:t xml:space="preserve"> </w:t>
      </w:r>
      <w:r w:rsidRPr="00B70948">
        <w:t>Cleaning and Sanitizing</w:t>
      </w:r>
      <w:bookmarkEnd w:id="22"/>
      <w:bookmarkEnd w:id="23"/>
    </w:p>
    <w:p w:rsidR="00AD2A5E" w:rsidRPr="00CC10E2" w:rsidP="00E47C04" w14:paraId="73FFA1F8" w14:textId="547BC22B">
      <w:pPr>
        <w:pStyle w:val="GuidanceParagraph"/>
      </w:pPr>
      <w:r w:rsidRPr="00CC10E2">
        <w:t>You should verify the</w:t>
      </w:r>
      <w:r w:rsidRPr="00CC10E2">
        <w:rPr>
          <w:spacing w:val="-3"/>
        </w:rPr>
        <w:t xml:space="preserve"> </w:t>
      </w:r>
      <w:r w:rsidRPr="00CC10E2">
        <w:t>chemical</w:t>
      </w:r>
      <w:r w:rsidRPr="00CC10E2">
        <w:rPr>
          <w:spacing w:val="-2"/>
        </w:rPr>
        <w:t xml:space="preserve"> </w:t>
      </w:r>
      <w:r w:rsidRPr="00CC10E2">
        <w:t>concentration of the sanitizer(s) that you use each time you use them, with</w:t>
      </w:r>
      <w:r w:rsidRPr="00CC10E2">
        <w:rPr>
          <w:spacing w:val="-3"/>
        </w:rPr>
        <w:t xml:space="preserve"> an </w:t>
      </w:r>
      <w:r w:rsidRPr="00CC10E2">
        <w:t>appropriate</w:t>
      </w:r>
      <w:r w:rsidRPr="00CC10E2">
        <w:rPr>
          <w:spacing w:val="1"/>
        </w:rPr>
        <w:t xml:space="preserve"> </w:t>
      </w:r>
      <w:r w:rsidRPr="00CC10E2">
        <w:t>test kit or analytical instrument. If</w:t>
      </w:r>
      <w:r w:rsidRPr="00CC10E2">
        <w:rPr>
          <w:spacing w:val="-3"/>
        </w:rPr>
        <w:t xml:space="preserve"> </w:t>
      </w:r>
      <w:r w:rsidRPr="00CC10E2">
        <w:t>analytical instruments are</w:t>
      </w:r>
      <w:r w:rsidRPr="00CC10E2">
        <w:rPr>
          <w:spacing w:val="1"/>
        </w:rPr>
        <w:t xml:space="preserve"> </w:t>
      </w:r>
      <w:r w:rsidRPr="00CC10E2">
        <w:t>used to</w:t>
      </w:r>
      <w:r w:rsidRPr="00CC10E2">
        <w:rPr>
          <w:spacing w:val="-3"/>
        </w:rPr>
        <w:t xml:space="preserve"> </w:t>
      </w:r>
      <w:r w:rsidRPr="00CC10E2">
        <w:t>measure</w:t>
      </w:r>
      <w:r w:rsidRPr="00CC10E2">
        <w:rPr>
          <w:spacing w:val="1"/>
        </w:rPr>
        <w:t xml:space="preserve"> sanitizer concentrations</w:t>
      </w:r>
      <w:r w:rsidRPr="00CC10E2">
        <w:rPr>
          <w:spacing w:val="-2"/>
        </w:rPr>
        <w:t>,</w:t>
      </w:r>
      <w:r w:rsidRPr="00CC10E2">
        <w:t xml:space="preserve"> they</w:t>
      </w:r>
      <w:r w:rsidRPr="00CC10E2">
        <w:rPr>
          <w:spacing w:val="-3"/>
        </w:rPr>
        <w:t xml:space="preserve"> </w:t>
      </w:r>
      <w:r w:rsidRPr="00CC10E2">
        <w:t>must be</w:t>
      </w:r>
      <w:r w:rsidRPr="00CC10E2">
        <w:rPr>
          <w:spacing w:val="1"/>
        </w:rPr>
        <w:t xml:space="preserve"> </w:t>
      </w:r>
      <w:r w:rsidRPr="00CC10E2">
        <w:t>accurate</w:t>
      </w:r>
      <w:r w:rsidRPr="00CC10E2">
        <w:rPr>
          <w:spacing w:val="-2"/>
        </w:rPr>
        <w:t xml:space="preserve"> </w:t>
      </w:r>
      <w:r w:rsidRPr="00CC10E2">
        <w:t>and</w:t>
      </w:r>
      <w:r w:rsidRPr="00CC10E2">
        <w:rPr>
          <w:spacing w:val="73"/>
        </w:rPr>
        <w:t xml:space="preserve"> </w:t>
      </w:r>
      <w:r w:rsidRPr="00CC10E2">
        <w:t>precise</w:t>
      </w:r>
      <w:r w:rsidRPr="00CC10E2">
        <w:rPr>
          <w:spacing w:val="1"/>
        </w:rPr>
        <w:t xml:space="preserve"> </w:t>
      </w:r>
      <w:r w:rsidRPr="00CC10E2">
        <w:t>as necessary</w:t>
      </w:r>
      <w:r w:rsidRPr="00CC10E2">
        <w:rPr>
          <w:spacing w:val="-5"/>
        </w:rPr>
        <w:t xml:space="preserve"> </w:t>
      </w:r>
      <w:r w:rsidRPr="00CC10E2">
        <w:t>and appropriate</w:t>
      </w:r>
      <w:r w:rsidRPr="00CC10E2">
        <w:rPr>
          <w:spacing w:val="-2"/>
        </w:rPr>
        <w:t xml:space="preserve"> </w:t>
      </w:r>
      <w:r w:rsidRPr="00CC10E2">
        <w:t>in keeping</w:t>
      </w:r>
      <w:r w:rsidRPr="00CC10E2">
        <w:rPr>
          <w:spacing w:val="-3"/>
        </w:rPr>
        <w:t xml:space="preserve"> </w:t>
      </w:r>
      <w:r w:rsidRPr="00CC10E2">
        <w:t>with</w:t>
      </w:r>
      <w:r w:rsidRPr="00CC10E2">
        <w:rPr>
          <w:spacing w:val="-3"/>
        </w:rPr>
        <w:t xml:space="preserve"> </w:t>
      </w:r>
      <w:r w:rsidRPr="00CC10E2">
        <w:t>their</w:t>
      </w:r>
      <w:r w:rsidRPr="00CC10E2">
        <w:rPr>
          <w:spacing w:val="-3"/>
        </w:rPr>
        <w:t xml:space="preserve"> </w:t>
      </w:r>
      <w:r w:rsidRPr="00CC10E2">
        <w:t>purpose</w:t>
      </w:r>
      <w:r w:rsidRPr="00CC10E2">
        <w:rPr>
          <w:spacing w:val="1"/>
        </w:rPr>
        <w:t xml:space="preserve"> </w:t>
      </w:r>
      <w:r w:rsidRPr="00CC10E2">
        <w:t>(§ 112.124(a)), adequately</w:t>
      </w:r>
      <w:r w:rsidRPr="00CC10E2">
        <w:rPr>
          <w:spacing w:val="77"/>
        </w:rPr>
        <w:t xml:space="preserve"> </w:t>
      </w:r>
      <w:r w:rsidRPr="00CC10E2">
        <w:t>maintained (§</w:t>
      </w:r>
      <w:r w:rsidRPr="00CC10E2">
        <w:rPr>
          <w:spacing w:val="-3"/>
        </w:rPr>
        <w:t xml:space="preserve"> </w:t>
      </w:r>
      <w:r w:rsidRPr="00CC10E2">
        <w:t>112.124(b)), and adequate</w:t>
      </w:r>
      <w:r w:rsidRPr="00CC10E2">
        <w:rPr>
          <w:spacing w:val="-2"/>
        </w:rPr>
        <w:t xml:space="preserve"> </w:t>
      </w:r>
      <w:r w:rsidRPr="00CC10E2">
        <w:t>in number for their designated use</w:t>
      </w:r>
      <w:r w:rsidRPr="00CC10E2">
        <w:rPr>
          <w:spacing w:val="1"/>
        </w:rPr>
        <w:t xml:space="preserve"> </w:t>
      </w:r>
      <w:r w:rsidRPr="00CC10E2">
        <w:t>(§</w:t>
      </w:r>
      <w:r w:rsidRPr="00CC10E2">
        <w:rPr>
          <w:spacing w:val="-3"/>
        </w:rPr>
        <w:t xml:space="preserve"> </w:t>
      </w:r>
      <w:r w:rsidRPr="00CC10E2">
        <w:t>112.124(c)).</w:t>
      </w:r>
    </w:p>
    <w:p w:rsidR="00AD2A5E" w:rsidRPr="00CC10E2" w:rsidP="00E47C04" w14:paraId="5B0041B4" w14:textId="0827134B">
      <w:pPr>
        <w:pStyle w:val="GuidanceParagraph"/>
      </w:pPr>
      <w:r>
        <w:t>To verify the effectiveness of your cleaning and sanitizing procedures, w</w:t>
      </w:r>
      <w:r w:rsidRPr="00CC10E2">
        <w:rPr>
          <w:spacing w:val="-2"/>
        </w:rPr>
        <w:t>e</w:t>
      </w:r>
      <w:r w:rsidRPr="00CC10E2">
        <w:rPr>
          <w:spacing w:val="1"/>
        </w:rPr>
        <w:t xml:space="preserve"> </w:t>
      </w:r>
      <w:r w:rsidRPr="00CC10E2">
        <w:t>recommend</w:t>
      </w:r>
      <w:r w:rsidRPr="00CC10E2">
        <w:rPr>
          <w:spacing w:val="-3"/>
        </w:rPr>
        <w:t xml:space="preserve"> </w:t>
      </w:r>
      <w:r w:rsidRPr="00CC10E2">
        <w:t xml:space="preserve">that </w:t>
      </w:r>
      <w:r w:rsidRPr="00CC10E2">
        <w:rPr>
          <w:spacing w:val="-2"/>
        </w:rPr>
        <w:t>you</w:t>
      </w:r>
      <w:r w:rsidRPr="00CC10E2">
        <w:t xml:space="preserve"> use</w:t>
      </w:r>
      <w:r w:rsidRPr="00CC10E2">
        <w:rPr>
          <w:spacing w:val="1"/>
        </w:rPr>
        <w:t xml:space="preserve"> </w:t>
      </w:r>
      <w:r w:rsidRPr="00CC10E2">
        <w:t>at least</w:t>
      </w:r>
      <w:r w:rsidRPr="00CC10E2">
        <w:rPr>
          <w:spacing w:val="71"/>
        </w:rPr>
        <w:t xml:space="preserve"> </w:t>
      </w:r>
      <w:r w:rsidRPr="00CC10E2">
        <w:t>one, or more, of</w:t>
      </w:r>
      <w:r w:rsidRPr="00CC10E2">
        <w:rPr>
          <w:spacing w:val="-3"/>
        </w:rPr>
        <w:t xml:space="preserve"> </w:t>
      </w:r>
      <w:r w:rsidRPr="00CC10E2">
        <w:t>the</w:t>
      </w:r>
      <w:r w:rsidRPr="00CC10E2">
        <w:rPr>
          <w:spacing w:val="1"/>
        </w:rPr>
        <w:t xml:space="preserve"> </w:t>
      </w:r>
      <w:r w:rsidRPr="00CC10E2">
        <w:t>available</w:t>
      </w:r>
      <w:r w:rsidRPr="00CC10E2">
        <w:rPr>
          <w:spacing w:val="1"/>
        </w:rPr>
        <w:t xml:space="preserve"> test </w:t>
      </w:r>
      <w:r w:rsidRPr="00CC10E2">
        <w:t>methods. Some</w:t>
      </w:r>
      <w:r w:rsidRPr="00CC10E2">
        <w:rPr>
          <w:spacing w:val="1"/>
        </w:rPr>
        <w:t xml:space="preserve"> </w:t>
      </w:r>
      <w:r w:rsidRPr="00CC10E2">
        <w:t>of</w:t>
      </w:r>
      <w:r w:rsidRPr="00CC10E2">
        <w:rPr>
          <w:spacing w:val="-3"/>
        </w:rPr>
        <w:t xml:space="preserve"> </w:t>
      </w:r>
      <w:r w:rsidRPr="00CC10E2">
        <w:t>these</w:t>
      </w:r>
      <w:r w:rsidRPr="00CC10E2">
        <w:rPr>
          <w:spacing w:val="-2"/>
        </w:rPr>
        <w:t xml:space="preserve"> </w:t>
      </w:r>
      <w:r w:rsidRPr="00CC10E2">
        <w:t>tests, which include</w:t>
      </w:r>
      <w:r w:rsidRPr="00CC10E2">
        <w:rPr>
          <w:spacing w:val="-2"/>
        </w:rPr>
        <w:t xml:space="preserve"> </w:t>
      </w:r>
      <w:r w:rsidRPr="00CC10E2">
        <w:t>bioluminescence, adenosine</w:t>
      </w:r>
      <w:r w:rsidRPr="00CC10E2">
        <w:rPr>
          <w:spacing w:val="-2"/>
        </w:rPr>
        <w:t xml:space="preserve"> </w:t>
      </w:r>
      <w:r w:rsidRPr="00CC10E2">
        <w:t>triphosphate</w:t>
      </w:r>
      <w:r w:rsidR="009A71E2">
        <w:t xml:space="preserve"> </w:t>
      </w:r>
      <w:r w:rsidRPr="00CC10E2">
        <w:t>(ATP), and protein-based</w:t>
      </w:r>
      <w:r w:rsidRPr="00CC10E2">
        <w:rPr>
          <w:spacing w:val="-3"/>
        </w:rPr>
        <w:t xml:space="preserve"> </w:t>
      </w:r>
      <w:r w:rsidRPr="00CC10E2">
        <w:t>technologies, provide</w:t>
      </w:r>
      <w:r w:rsidRPr="00CC10E2">
        <w:rPr>
          <w:spacing w:val="1"/>
        </w:rPr>
        <w:t xml:space="preserve"> </w:t>
      </w:r>
      <w:r w:rsidRPr="00CC10E2">
        <w:t>rapid results and allow for follow-up or intensified</w:t>
      </w:r>
      <w:r w:rsidR="009A71E2">
        <w:t xml:space="preserve"> </w:t>
      </w:r>
      <w:r w:rsidRPr="00CC10E2">
        <w:t>cleaning</w:t>
      </w:r>
      <w:r w:rsidRPr="00CC10E2">
        <w:rPr>
          <w:spacing w:val="-3"/>
        </w:rPr>
        <w:t xml:space="preserve"> </w:t>
      </w:r>
      <w:r w:rsidRPr="00CC10E2">
        <w:t>and sanitizing</w:t>
      </w:r>
      <w:r w:rsidRPr="00CC10E2">
        <w:rPr>
          <w:spacing w:val="-3"/>
        </w:rPr>
        <w:t xml:space="preserve"> </w:t>
      </w:r>
      <w:r w:rsidRPr="00CC10E2">
        <w:t>activities if</w:t>
      </w:r>
      <w:r w:rsidRPr="00CC10E2">
        <w:rPr>
          <w:spacing w:val="-3"/>
        </w:rPr>
        <w:t xml:space="preserve"> </w:t>
      </w:r>
      <w:r w:rsidRPr="00CC10E2">
        <w:t>results</w:t>
      </w:r>
      <w:r w:rsidRPr="00CC10E2">
        <w:rPr>
          <w:spacing w:val="-4"/>
        </w:rPr>
        <w:t xml:space="preserve"> </w:t>
      </w:r>
      <w:r w:rsidRPr="00CC10E2">
        <w:t>are</w:t>
      </w:r>
      <w:r w:rsidRPr="00CC10E2">
        <w:rPr>
          <w:spacing w:val="-2"/>
        </w:rPr>
        <w:t xml:space="preserve"> </w:t>
      </w:r>
      <w:r w:rsidRPr="00CC10E2">
        <w:t>above</w:t>
      </w:r>
      <w:r w:rsidRPr="00CC10E2">
        <w:rPr>
          <w:spacing w:val="1"/>
        </w:rPr>
        <w:t xml:space="preserve"> your </w:t>
      </w:r>
      <w:r w:rsidRPr="00CC10E2">
        <w:t>established</w:t>
      </w:r>
      <w:r w:rsidRPr="00CC10E2">
        <w:rPr>
          <w:spacing w:val="-3"/>
        </w:rPr>
        <w:t xml:space="preserve"> </w:t>
      </w:r>
      <w:r w:rsidRPr="00CC10E2">
        <w:t>thresholds. However, it is critical to</w:t>
      </w:r>
      <w:r w:rsidRPr="00CC10E2">
        <w:rPr>
          <w:spacing w:val="-3"/>
        </w:rPr>
        <w:t xml:space="preserve"> </w:t>
      </w:r>
      <w:r w:rsidRPr="00CC10E2">
        <w:t>recognize that none</w:t>
      </w:r>
      <w:r w:rsidR="009A71E2">
        <w:t xml:space="preserve"> </w:t>
      </w:r>
      <w:r w:rsidRPr="00CC10E2">
        <w:t>of</w:t>
      </w:r>
      <w:r w:rsidRPr="00CC10E2">
        <w:rPr>
          <w:spacing w:val="-3"/>
        </w:rPr>
        <w:t xml:space="preserve"> </w:t>
      </w:r>
      <w:r w:rsidRPr="00CC10E2">
        <w:t>these</w:t>
      </w:r>
      <w:r w:rsidRPr="00CC10E2">
        <w:rPr>
          <w:spacing w:val="1"/>
        </w:rPr>
        <w:t xml:space="preserve"> </w:t>
      </w:r>
      <w:r w:rsidRPr="00CC10E2">
        <w:t>tests is</w:t>
      </w:r>
      <w:r w:rsidRPr="00CC10E2">
        <w:rPr>
          <w:spacing w:val="-4"/>
        </w:rPr>
        <w:t xml:space="preserve"> </w:t>
      </w:r>
      <w:r w:rsidRPr="00CC10E2">
        <w:t>an appropriate</w:t>
      </w:r>
      <w:r w:rsidRPr="00CC10E2">
        <w:rPr>
          <w:spacing w:val="1"/>
        </w:rPr>
        <w:t xml:space="preserve"> </w:t>
      </w:r>
      <w:r w:rsidRPr="00CC10E2">
        <w:t>substitute</w:t>
      </w:r>
      <w:r w:rsidRPr="00CC10E2">
        <w:rPr>
          <w:spacing w:val="1"/>
        </w:rPr>
        <w:t xml:space="preserve"> </w:t>
      </w:r>
      <w:r w:rsidRPr="00CC10E2">
        <w:t>for environmental</w:t>
      </w:r>
      <w:r w:rsidRPr="00CC10E2">
        <w:rPr>
          <w:spacing w:val="-2"/>
        </w:rPr>
        <w:t xml:space="preserve"> </w:t>
      </w:r>
      <w:r w:rsidRPr="00BA6115">
        <w:t>monitoring</w:t>
      </w:r>
      <w:r w:rsidRPr="00BA6115">
        <w:rPr>
          <w:spacing w:val="-3"/>
        </w:rPr>
        <w:t xml:space="preserve"> </w:t>
      </w:r>
      <w:r w:rsidRPr="00BA6115">
        <w:t>of</w:t>
      </w:r>
      <w:r w:rsidRPr="00BA6115">
        <w:rPr>
          <w:spacing w:val="-3"/>
        </w:rPr>
        <w:t xml:space="preserve"> </w:t>
      </w:r>
      <w:r w:rsidRPr="54B37D72">
        <w:rPr>
          <w:i/>
          <w:iCs/>
        </w:rPr>
        <w:t xml:space="preserve">Listeria </w:t>
      </w:r>
      <w:r w:rsidRPr="00BA6115">
        <w:t xml:space="preserve">spp. or </w:t>
      </w:r>
      <w:r w:rsidRPr="54B37D72">
        <w:rPr>
          <w:i/>
          <w:iCs/>
        </w:rPr>
        <w:t>L.</w:t>
      </w:r>
      <w:r w:rsidRPr="54B37D72">
        <w:rPr>
          <w:i/>
          <w:iCs/>
          <w:spacing w:val="74"/>
        </w:rPr>
        <w:t xml:space="preserve"> </w:t>
      </w:r>
      <w:r w:rsidRPr="54B37D72">
        <w:rPr>
          <w:i/>
          <w:iCs/>
        </w:rPr>
        <w:t>monocytogenes,</w:t>
      </w:r>
      <w:r w:rsidRPr="54B37D72">
        <w:rPr>
          <w:i/>
          <w:iCs/>
          <w:spacing w:val="-3"/>
        </w:rPr>
        <w:t xml:space="preserve"> </w:t>
      </w:r>
      <w:r w:rsidRPr="00BA6115">
        <w:t>as required for sprout operations by</w:t>
      </w:r>
      <w:r w:rsidRPr="00BA6115">
        <w:rPr>
          <w:spacing w:val="-3"/>
        </w:rPr>
        <w:t xml:space="preserve"> </w:t>
      </w:r>
      <w:r w:rsidRPr="00BA6115">
        <w:t>§ 112.145 (</w:t>
      </w:r>
      <w:r w:rsidR="00073588">
        <w:t>s</w:t>
      </w:r>
      <w:r w:rsidRPr="00BA6115">
        <w:t>ee</w:t>
      </w:r>
      <w:r w:rsidRPr="00BA6115">
        <w:rPr>
          <w:spacing w:val="1"/>
        </w:rPr>
        <w:t xml:space="preserve"> </w:t>
      </w:r>
      <w:r w:rsidRPr="00BA6115" w:rsidR="00666704">
        <w:rPr>
          <w:spacing w:val="1"/>
        </w:rPr>
        <w:t>Section</w:t>
      </w:r>
      <w:r w:rsidRPr="00BA6115">
        <w:t xml:space="preserve"> </w:t>
      </w:r>
      <w:r w:rsidRPr="00BA6115" w:rsidR="009A71E2">
        <w:t>VI</w:t>
      </w:r>
      <w:r w:rsidRPr="00BA6115">
        <w:t xml:space="preserve"> (Environmental</w:t>
      </w:r>
      <w:r w:rsidRPr="00CC10E2">
        <w:rPr>
          <w:spacing w:val="73"/>
        </w:rPr>
        <w:t xml:space="preserve"> </w:t>
      </w:r>
      <w:r w:rsidRPr="00CC10E2">
        <w:t>Monitoring)).</w:t>
      </w:r>
    </w:p>
    <w:p w:rsidR="00AD2A5E" w:rsidRPr="004B5D3D" w:rsidP="00F756C4" w14:paraId="05096DDC" w14:textId="72FF296C">
      <w:pPr>
        <w:pStyle w:val="HHS508GuidanceOutline2"/>
      </w:pPr>
      <w:bookmarkStart w:id="24" w:name="_Toc46929883"/>
      <w:bookmarkStart w:id="25" w:name="_Toc106094928"/>
      <w:r w:rsidRPr="00B70948">
        <w:t>Cleaning and</w:t>
      </w:r>
      <w:r w:rsidRPr="00B70948">
        <w:rPr>
          <w:spacing w:val="-2"/>
        </w:rPr>
        <w:t xml:space="preserve"> </w:t>
      </w:r>
      <w:r w:rsidRPr="00B70948">
        <w:t>Sanitizing</w:t>
      </w:r>
      <w:r w:rsidRPr="00B70948">
        <w:rPr>
          <w:spacing w:val="-3"/>
        </w:rPr>
        <w:t xml:space="preserve"> </w:t>
      </w:r>
      <w:r w:rsidRPr="00B70948">
        <w:t>Conducted in Response to Suspected or</w:t>
      </w:r>
      <w:r w:rsidRPr="00B70948">
        <w:rPr>
          <w:spacing w:val="1"/>
        </w:rPr>
        <w:t xml:space="preserve"> </w:t>
      </w:r>
      <w:r w:rsidRPr="00B70948">
        <w:t>Known</w:t>
      </w:r>
      <w:r w:rsidRPr="00B70948">
        <w:rPr>
          <w:spacing w:val="65"/>
        </w:rPr>
        <w:t xml:space="preserve"> </w:t>
      </w:r>
      <w:r w:rsidRPr="00B70948">
        <w:t>Contamination</w:t>
      </w:r>
      <w:bookmarkEnd w:id="24"/>
      <w:bookmarkEnd w:id="25"/>
    </w:p>
    <w:p w:rsidR="00AD2A5E" w:rsidRPr="00CC10E2" w:rsidP="00E47C04" w14:paraId="7CE6C664" w14:textId="4BA45F64">
      <w:pPr>
        <w:pStyle w:val="GuidanceParagraph"/>
      </w:pPr>
      <w:r w:rsidRPr="00CC10E2">
        <w:rPr>
          <w:spacing w:val="-2"/>
        </w:rPr>
        <w:t>In</w:t>
      </w:r>
      <w:r w:rsidRPr="00CC10E2">
        <w:t xml:space="preserve"> addition</w:t>
      </w:r>
      <w:r w:rsidRPr="00CC10E2">
        <w:rPr>
          <w:spacing w:val="-3"/>
        </w:rPr>
        <w:t xml:space="preserve"> </w:t>
      </w:r>
      <w:r w:rsidRPr="00CC10E2">
        <w:t>to the</w:t>
      </w:r>
      <w:r w:rsidRPr="00CC10E2">
        <w:rPr>
          <w:spacing w:val="1"/>
        </w:rPr>
        <w:t xml:space="preserve"> </w:t>
      </w:r>
      <w:r w:rsidRPr="00CC10E2">
        <w:t>cleaning</w:t>
      </w:r>
      <w:r w:rsidRPr="00CC10E2">
        <w:rPr>
          <w:spacing w:val="-3"/>
        </w:rPr>
        <w:t xml:space="preserve"> </w:t>
      </w:r>
      <w:r w:rsidRPr="00CC10E2">
        <w:t>and sanitizing</w:t>
      </w:r>
      <w:r w:rsidRPr="00CC10E2">
        <w:rPr>
          <w:spacing w:val="-3"/>
        </w:rPr>
        <w:t xml:space="preserve"> </w:t>
      </w:r>
      <w:r w:rsidRPr="00CC10E2">
        <w:t>required by</w:t>
      </w:r>
      <w:r w:rsidRPr="00CC10E2">
        <w:rPr>
          <w:spacing w:val="-5"/>
        </w:rPr>
        <w:t xml:space="preserve"> </w:t>
      </w:r>
      <w:r w:rsidRPr="00CC10E2">
        <w:t>§§ 112.123(d) and 112.143(b), you must clean</w:t>
      </w:r>
      <w:r w:rsidRPr="00CC10E2">
        <w:rPr>
          <w:spacing w:val="-3"/>
        </w:rPr>
        <w:t xml:space="preserve"> </w:t>
      </w:r>
      <w:r w:rsidRPr="00CC10E2">
        <w:t>and sanitize</w:t>
      </w:r>
      <w:r w:rsidRPr="00CC10E2">
        <w:rPr>
          <w:spacing w:val="-3"/>
        </w:rPr>
        <w:t xml:space="preserve"> FCSs and the production environment </w:t>
      </w:r>
      <w:r w:rsidRPr="00CC10E2">
        <w:t>as a</w:t>
      </w:r>
      <w:r w:rsidRPr="00CC10E2">
        <w:rPr>
          <w:spacing w:val="-2"/>
        </w:rPr>
        <w:t xml:space="preserve"> </w:t>
      </w:r>
      <w:r w:rsidRPr="00CC10E2">
        <w:t>corrective</w:t>
      </w:r>
      <w:r w:rsidRPr="00CC10E2">
        <w:rPr>
          <w:spacing w:val="1"/>
        </w:rPr>
        <w:t xml:space="preserve"> </w:t>
      </w:r>
      <w:r w:rsidRPr="00CC10E2">
        <w:t>action measure</w:t>
      </w:r>
      <w:r w:rsidRPr="00CC10E2">
        <w:rPr>
          <w:spacing w:val="1"/>
        </w:rPr>
        <w:t xml:space="preserve"> </w:t>
      </w:r>
      <w:r w:rsidRPr="00CC10E2">
        <w:t>if:</w:t>
      </w:r>
    </w:p>
    <w:p w:rsidR="00AD2A5E" w:rsidRPr="00235803" w:rsidP="00690C44" w14:paraId="3C55DCF8" w14:textId="665A4EC6">
      <w:pPr>
        <w:pStyle w:val="GuidanceBulletLevel1"/>
      </w:pPr>
      <w:r w:rsidRPr="00CC10E2">
        <w:t xml:space="preserve">Sprouts or </w:t>
      </w:r>
      <w:r w:rsidR="008002BA">
        <w:t xml:space="preserve">spent </w:t>
      </w:r>
      <w:r w:rsidRPr="00CC10E2">
        <w:t>sprout irrigation water</w:t>
      </w:r>
      <w:r w:rsidRPr="00200A2E">
        <w:rPr>
          <w:spacing w:val="-3"/>
        </w:rPr>
        <w:t xml:space="preserve"> </w:t>
      </w:r>
      <w:r w:rsidRPr="00CC10E2">
        <w:t>test positive</w:t>
      </w:r>
      <w:r w:rsidRPr="00200A2E">
        <w:rPr>
          <w:spacing w:val="1"/>
        </w:rPr>
        <w:t xml:space="preserve"> </w:t>
      </w:r>
      <w:r w:rsidRPr="00CC10E2">
        <w:t>for the</w:t>
      </w:r>
      <w:r w:rsidRPr="00200A2E">
        <w:rPr>
          <w:spacing w:val="1"/>
        </w:rPr>
        <w:t xml:space="preserve"> </w:t>
      </w:r>
      <w:r w:rsidRPr="00CC10E2">
        <w:t xml:space="preserve">pathogens </w:t>
      </w:r>
      <w:r w:rsidRPr="00200A2E">
        <w:rPr>
          <w:i/>
        </w:rPr>
        <w:t xml:space="preserve">E. coli </w:t>
      </w:r>
      <w:r w:rsidRPr="00CC10E2">
        <w:t>O157:H7,</w:t>
      </w:r>
      <w:r w:rsidRPr="00200A2E">
        <w:rPr>
          <w:spacing w:val="59"/>
        </w:rPr>
        <w:t xml:space="preserve"> </w:t>
      </w:r>
      <w:r w:rsidRPr="00200A2E">
        <w:rPr>
          <w:i/>
        </w:rPr>
        <w:t>Salmonella</w:t>
      </w:r>
      <w:r w:rsidRPr="00CC10E2">
        <w:t>, or</w:t>
      </w:r>
      <w:r w:rsidRPr="00200A2E">
        <w:rPr>
          <w:spacing w:val="-3"/>
        </w:rPr>
        <w:t xml:space="preserve"> </w:t>
      </w:r>
      <w:r w:rsidRPr="00CC10E2">
        <w:t>any</w:t>
      </w:r>
      <w:r w:rsidRPr="00200A2E">
        <w:rPr>
          <w:spacing w:val="-5"/>
        </w:rPr>
        <w:t xml:space="preserve"> </w:t>
      </w:r>
      <w:r w:rsidRPr="00CC10E2">
        <w:t>pathogens meeting</w:t>
      </w:r>
      <w:r w:rsidRPr="00200A2E">
        <w:rPr>
          <w:spacing w:val="-3"/>
        </w:rPr>
        <w:t xml:space="preserve"> </w:t>
      </w:r>
      <w:r w:rsidRPr="00CC10E2">
        <w:t>the</w:t>
      </w:r>
      <w:r w:rsidRPr="00200A2E">
        <w:rPr>
          <w:spacing w:val="1"/>
        </w:rPr>
        <w:t xml:space="preserve"> </w:t>
      </w:r>
      <w:r w:rsidRPr="00CC10E2">
        <w:t>criteria</w:t>
      </w:r>
      <w:r w:rsidRPr="00200A2E">
        <w:rPr>
          <w:spacing w:val="-2"/>
        </w:rPr>
        <w:t xml:space="preserve"> </w:t>
      </w:r>
      <w:r w:rsidRPr="00CC10E2">
        <w:t>in</w:t>
      </w:r>
      <w:r w:rsidRPr="00200A2E">
        <w:rPr>
          <w:spacing w:val="-3"/>
        </w:rPr>
        <w:t xml:space="preserve"> </w:t>
      </w:r>
      <w:r w:rsidRPr="00CC10E2">
        <w:t>§ 112.144(c).</w:t>
      </w:r>
      <w:r w:rsidR="00200A2E">
        <w:t xml:space="preserve"> </w:t>
      </w:r>
      <w:r w:rsidRPr="00200A2E">
        <w:rPr>
          <w:spacing w:val="-2"/>
        </w:rPr>
        <w:t>In</w:t>
      </w:r>
      <w:r w:rsidRPr="00CC10E2">
        <w:t xml:space="preserve"> such a</w:t>
      </w:r>
      <w:r w:rsidRPr="00200A2E">
        <w:rPr>
          <w:spacing w:val="1"/>
        </w:rPr>
        <w:t xml:space="preserve"> </w:t>
      </w:r>
      <w:r w:rsidRPr="00CC10E2">
        <w:t>situation,</w:t>
      </w:r>
      <w:r w:rsidRPr="00200A2E">
        <w:rPr>
          <w:spacing w:val="-3"/>
        </w:rPr>
        <w:t xml:space="preserve"> </w:t>
      </w:r>
      <w:r w:rsidRPr="00200A2E">
        <w:rPr>
          <w:spacing w:val="-2"/>
        </w:rPr>
        <w:t>you</w:t>
      </w:r>
      <w:r w:rsidRPr="00200A2E">
        <w:rPr>
          <w:spacing w:val="51"/>
        </w:rPr>
        <w:t xml:space="preserve"> </w:t>
      </w:r>
      <w:r w:rsidRPr="00CC10E2">
        <w:t>must clean</w:t>
      </w:r>
      <w:r w:rsidRPr="00200A2E">
        <w:rPr>
          <w:spacing w:val="-3"/>
        </w:rPr>
        <w:t xml:space="preserve"> </w:t>
      </w:r>
      <w:r w:rsidRPr="00CC10E2">
        <w:t>and sanitize</w:t>
      </w:r>
      <w:r w:rsidRPr="00200A2E">
        <w:rPr>
          <w:spacing w:val="1"/>
        </w:rPr>
        <w:t xml:space="preserve"> </w:t>
      </w:r>
      <w:r w:rsidRPr="00CC10E2">
        <w:t>the</w:t>
      </w:r>
      <w:r w:rsidRPr="00200A2E">
        <w:rPr>
          <w:spacing w:val="1"/>
        </w:rPr>
        <w:t xml:space="preserve"> </w:t>
      </w:r>
      <w:r w:rsidRPr="00CC10E2">
        <w:t>affected surfaces</w:t>
      </w:r>
      <w:r w:rsidRPr="00200A2E">
        <w:rPr>
          <w:spacing w:val="-4"/>
        </w:rPr>
        <w:t xml:space="preserve"> </w:t>
      </w:r>
      <w:r w:rsidRPr="00CC10E2">
        <w:t>and surrounding</w:t>
      </w:r>
      <w:r w:rsidRPr="00200A2E">
        <w:rPr>
          <w:spacing w:val="-3"/>
        </w:rPr>
        <w:t xml:space="preserve"> </w:t>
      </w:r>
      <w:r w:rsidRPr="00CC10E2">
        <w:t>areas (§ 112.148(c));</w:t>
      </w:r>
      <w:r w:rsidRPr="00CC10E2">
        <w:t xml:space="preserve"> or</w:t>
      </w:r>
    </w:p>
    <w:p w:rsidR="00AD2A5E" w:rsidRPr="00235803" w:rsidP="00690C44" w14:paraId="450AECA3" w14:textId="5239D08B">
      <w:pPr>
        <w:pStyle w:val="GuidanceBulletLevel1"/>
      </w:pPr>
      <w:r w:rsidRPr="00CC10E2">
        <w:rPr>
          <w:i/>
        </w:rPr>
        <w:t xml:space="preserve">Listeria </w:t>
      </w:r>
      <w:r w:rsidRPr="00CC10E2">
        <w:t xml:space="preserve">spp. or </w:t>
      </w:r>
      <w:r w:rsidRPr="00CC10E2">
        <w:rPr>
          <w:i/>
        </w:rPr>
        <w:t xml:space="preserve">L. monocytogenes </w:t>
      </w:r>
      <w:r w:rsidRPr="00CC10E2">
        <w:t>is detected</w:t>
      </w:r>
      <w:r w:rsidRPr="00CC10E2">
        <w:rPr>
          <w:spacing w:val="-3"/>
        </w:rPr>
        <w:t xml:space="preserve"> </w:t>
      </w:r>
      <w:r w:rsidRPr="00CC10E2">
        <w:t>in the</w:t>
      </w:r>
      <w:r w:rsidRPr="00CC10E2">
        <w:rPr>
          <w:spacing w:val="-2"/>
        </w:rPr>
        <w:t xml:space="preserve"> </w:t>
      </w:r>
      <w:r w:rsidRPr="00CC10E2">
        <w:t>growing, harvesting, packing, or holding</w:t>
      </w:r>
      <w:r w:rsidRPr="00CC10E2">
        <w:rPr>
          <w:spacing w:val="57"/>
        </w:rPr>
        <w:t xml:space="preserve"> </w:t>
      </w:r>
      <w:r w:rsidRPr="00CC10E2">
        <w:t xml:space="preserve">environment. </w:t>
      </w:r>
      <w:r w:rsidRPr="00CC10E2">
        <w:rPr>
          <w:spacing w:val="-2"/>
        </w:rPr>
        <w:t>In</w:t>
      </w:r>
      <w:r w:rsidRPr="00CC10E2">
        <w:t xml:space="preserve"> such a</w:t>
      </w:r>
      <w:r w:rsidRPr="00CC10E2">
        <w:rPr>
          <w:spacing w:val="1"/>
        </w:rPr>
        <w:t xml:space="preserve"> </w:t>
      </w:r>
      <w:r w:rsidRPr="00CC10E2">
        <w:t>situation,</w:t>
      </w:r>
      <w:r w:rsidRPr="00CC10E2">
        <w:rPr>
          <w:spacing w:val="-3"/>
        </w:rPr>
        <w:t xml:space="preserve"> </w:t>
      </w:r>
      <w:r w:rsidRPr="00CC10E2">
        <w:rPr>
          <w:spacing w:val="-2"/>
        </w:rPr>
        <w:t>you</w:t>
      </w:r>
      <w:r w:rsidRPr="00CC10E2">
        <w:t xml:space="preserve"> must clean</w:t>
      </w:r>
      <w:r w:rsidRPr="00CC10E2">
        <w:rPr>
          <w:spacing w:val="-3"/>
        </w:rPr>
        <w:t xml:space="preserve"> </w:t>
      </w:r>
      <w:r w:rsidRPr="00CC10E2">
        <w:t>and sanitize</w:t>
      </w:r>
      <w:r w:rsidRPr="00CC10E2">
        <w:rPr>
          <w:spacing w:val="-2"/>
        </w:rPr>
        <w:t xml:space="preserve"> </w:t>
      </w:r>
      <w:r w:rsidRPr="00CC10E2">
        <w:t>the</w:t>
      </w:r>
      <w:r w:rsidRPr="00CC10E2">
        <w:rPr>
          <w:spacing w:val="-2"/>
        </w:rPr>
        <w:t xml:space="preserve"> </w:t>
      </w:r>
      <w:r w:rsidRPr="00CC10E2">
        <w:t>affected surfaces</w:t>
      </w:r>
      <w:r w:rsidRPr="00CC10E2">
        <w:rPr>
          <w:spacing w:val="-4"/>
        </w:rPr>
        <w:t xml:space="preserve"> </w:t>
      </w:r>
      <w:r w:rsidRPr="00CC10E2">
        <w:t>and</w:t>
      </w:r>
      <w:r w:rsidRPr="00CC10E2">
        <w:rPr>
          <w:spacing w:val="65"/>
        </w:rPr>
        <w:t xml:space="preserve"> </w:t>
      </w:r>
      <w:r w:rsidRPr="00CC10E2">
        <w:t>surrounding</w:t>
      </w:r>
      <w:r w:rsidRPr="00CC10E2">
        <w:rPr>
          <w:spacing w:val="-3"/>
        </w:rPr>
        <w:t xml:space="preserve"> </w:t>
      </w:r>
      <w:r w:rsidRPr="00CC10E2">
        <w:t>areas (§ 112.146(b)).</w:t>
      </w:r>
    </w:p>
    <w:p w:rsidR="00AD2A5E" w:rsidRPr="00CC10E2" w:rsidP="00E47C04" w14:paraId="58C52F56" w14:textId="77777777">
      <w:pPr>
        <w:pStyle w:val="GuidanceParagraph"/>
      </w:pPr>
      <w:r w:rsidRPr="00CC10E2">
        <w:rPr>
          <w:spacing w:val="-2"/>
        </w:rPr>
        <w:t>Further,</w:t>
      </w:r>
      <w:r w:rsidRPr="00CC10E2">
        <w:t xml:space="preserve"> you should</w:t>
      </w:r>
      <w:r w:rsidRPr="00CC10E2">
        <w:rPr>
          <w:spacing w:val="1"/>
        </w:rPr>
        <w:t xml:space="preserve"> </w:t>
      </w:r>
      <w:r w:rsidRPr="00CC10E2">
        <w:t>clean</w:t>
      </w:r>
      <w:r w:rsidRPr="00CC10E2">
        <w:rPr>
          <w:spacing w:val="-3"/>
        </w:rPr>
        <w:t xml:space="preserve"> </w:t>
      </w:r>
      <w:r w:rsidRPr="00CC10E2">
        <w:t>and sanitize FCSs and the production environment as</w:t>
      </w:r>
      <w:r w:rsidRPr="00CC10E2">
        <w:rPr>
          <w:spacing w:val="-4"/>
        </w:rPr>
        <w:t xml:space="preserve"> a </w:t>
      </w:r>
      <w:r w:rsidRPr="00CC10E2">
        <w:t>corrective</w:t>
      </w:r>
      <w:r w:rsidRPr="00CC10E2">
        <w:rPr>
          <w:spacing w:val="1"/>
        </w:rPr>
        <w:t xml:space="preserve"> </w:t>
      </w:r>
      <w:r w:rsidRPr="00CC10E2">
        <w:t>action measure when:</w:t>
      </w:r>
    </w:p>
    <w:p w:rsidR="00AD2A5E" w:rsidRPr="00235803" w:rsidP="00690C44" w14:paraId="1FB5DA59" w14:textId="77777777">
      <w:pPr>
        <w:pStyle w:val="GuidanceBulletLevel1"/>
      </w:pPr>
      <w:r w:rsidRPr="00CC10E2">
        <w:t>You have used a lot of seeds that you have been subsequently notified has tested positive for a pathogen or has been implicated in a foodborne illness outbreak;</w:t>
      </w:r>
    </w:p>
    <w:p w:rsidR="00AD2A5E" w:rsidRPr="00235803" w:rsidP="00690C44" w14:paraId="1E865596" w14:textId="77777777">
      <w:pPr>
        <w:pStyle w:val="GuidanceBulletLevel1"/>
      </w:pPr>
      <w:r w:rsidRPr="00CC10E2">
        <w:t>Your sprout operation is involved in a foodborne illness outbreak; or</w:t>
      </w:r>
    </w:p>
    <w:p w:rsidR="00AD2A5E" w:rsidRPr="00235803" w:rsidP="00690C44" w14:paraId="228E1963" w14:textId="77777777">
      <w:pPr>
        <w:pStyle w:val="GuidanceBulletLevel1"/>
      </w:pPr>
      <w:r w:rsidRPr="00CC10E2">
        <w:t xml:space="preserve">You become aware of an occurrence of known or suspected contamination of your sprouts or sprout operation. </w:t>
      </w:r>
    </w:p>
    <w:p w:rsidR="00AD2A5E" w:rsidRPr="00CC10E2" w:rsidP="00E47C04" w14:paraId="3BAEE465" w14:textId="5810DEC7">
      <w:pPr>
        <w:pStyle w:val="GuidanceParagraph"/>
      </w:pPr>
      <w:r w:rsidRPr="00CC10E2">
        <w:rPr>
          <w:spacing w:val="-2"/>
        </w:rPr>
        <w:t>In</w:t>
      </w:r>
      <w:r w:rsidRPr="00CC10E2">
        <w:t xml:space="preserve"> such situations</w:t>
      </w:r>
      <w:r w:rsidR="00F37286">
        <w:t xml:space="preserve"> </w:t>
      </w:r>
      <w:r w:rsidRPr="00CC10E2">
        <w:t>you should consider the</w:t>
      </w:r>
      <w:r w:rsidRPr="00CC10E2">
        <w:rPr>
          <w:spacing w:val="1"/>
        </w:rPr>
        <w:t xml:space="preserve"> </w:t>
      </w:r>
      <w:r w:rsidRPr="00CC10E2">
        <w:t>following</w:t>
      </w:r>
      <w:r w:rsidRPr="00CC10E2">
        <w:rPr>
          <w:spacing w:val="79"/>
        </w:rPr>
        <w:t xml:space="preserve"> </w:t>
      </w:r>
      <w:r w:rsidRPr="00CC10E2">
        <w:t>actions as a means of</w:t>
      </w:r>
      <w:r w:rsidRPr="00CC10E2">
        <w:rPr>
          <w:spacing w:val="-3"/>
        </w:rPr>
        <w:t xml:space="preserve"> </w:t>
      </w:r>
      <w:r w:rsidRPr="00CC10E2">
        <w:t>“intensified”</w:t>
      </w:r>
      <w:r w:rsidRPr="00CC10E2">
        <w:rPr>
          <w:spacing w:val="-2"/>
        </w:rPr>
        <w:t xml:space="preserve"> </w:t>
      </w:r>
      <w:r w:rsidRPr="00CC10E2">
        <w:t>cleaning</w:t>
      </w:r>
      <w:r w:rsidRPr="00CC10E2">
        <w:rPr>
          <w:spacing w:val="-3"/>
        </w:rPr>
        <w:t xml:space="preserve"> </w:t>
      </w:r>
      <w:r w:rsidRPr="00CC10E2">
        <w:t>and sanitizing:</w:t>
      </w:r>
    </w:p>
    <w:p w:rsidR="00AD2A5E" w:rsidRPr="00235803" w:rsidP="00690C44" w14:paraId="3F7CD2A1" w14:textId="2377FE06">
      <w:pPr>
        <w:pStyle w:val="GuidanceBulletLevel1"/>
      </w:pPr>
      <w:r w:rsidRPr="00CC10E2">
        <w:t>Dismantling</w:t>
      </w:r>
      <w:r w:rsidRPr="00CC10E2">
        <w:rPr>
          <w:spacing w:val="-3"/>
        </w:rPr>
        <w:t xml:space="preserve"> </w:t>
      </w:r>
      <w:r w:rsidRPr="00CC10E2">
        <w:t xml:space="preserve">equipment further than is </w:t>
      </w:r>
      <w:r w:rsidR="00CE3FDA">
        <w:t xml:space="preserve">described in your cleaning and sanitizing procedures or is </w:t>
      </w:r>
      <w:r w:rsidRPr="00CC10E2">
        <w:t>your normal practice;</w:t>
      </w:r>
    </w:p>
    <w:p w:rsidR="00AD2A5E" w:rsidRPr="00235803" w:rsidP="00690C44" w14:paraId="32A93F75" w14:textId="77777777">
      <w:pPr>
        <w:pStyle w:val="GuidanceBulletLevel1"/>
      </w:pPr>
      <w:r w:rsidRPr="00CC10E2">
        <w:t>Intensified (e.g., more</w:t>
      </w:r>
      <w:r w:rsidRPr="00CC10E2">
        <w:rPr>
          <w:spacing w:val="1"/>
        </w:rPr>
        <w:t xml:space="preserve"> </w:t>
      </w:r>
      <w:r w:rsidRPr="00CC10E2">
        <w:t>vigorous, longer duration) scrubbing</w:t>
      </w:r>
      <w:r w:rsidRPr="00CC10E2">
        <w:rPr>
          <w:spacing w:val="-3"/>
        </w:rPr>
        <w:t xml:space="preserve"> </w:t>
      </w:r>
      <w:r w:rsidRPr="00CC10E2">
        <w:t xml:space="preserve">of </w:t>
      </w:r>
      <w:r w:rsidRPr="00CC10E2">
        <w:t>surfaces;</w:t>
      </w:r>
    </w:p>
    <w:p w:rsidR="00AD2A5E" w:rsidRPr="00235803" w:rsidP="00690C44" w14:paraId="21F44499" w14:textId="06B39CF1">
      <w:pPr>
        <w:pStyle w:val="GuidanceBulletLevel1"/>
      </w:pPr>
      <w:r w:rsidRPr="00CC10E2">
        <w:t>Identif</w:t>
      </w:r>
      <w:r>
        <w:t>ying</w:t>
      </w:r>
      <w:r w:rsidRPr="00CC10E2">
        <w:t>, cleaning, and sanitizing</w:t>
      </w:r>
      <w:r w:rsidRPr="00CC10E2">
        <w:rPr>
          <w:spacing w:val="-3"/>
        </w:rPr>
        <w:t xml:space="preserve"> </w:t>
      </w:r>
      <w:r w:rsidRPr="00CC10E2">
        <w:t>possible</w:t>
      </w:r>
      <w:r w:rsidRPr="00CC10E2">
        <w:rPr>
          <w:spacing w:val="1"/>
        </w:rPr>
        <w:t xml:space="preserve"> </w:t>
      </w:r>
      <w:r w:rsidRPr="00CC10E2">
        <w:t>harborage</w:t>
      </w:r>
      <w:r w:rsidRPr="00CC10E2">
        <w:rPr>
          <w:spacing w:val="1"/>
        </w:rPr>
        <w:t xml:space="preserve"> </w:t>
      </w:r>
      <w:r w:rsidRPr="00CC10E2">
        <w:t>sites for pathogens and</w:t>
      </w:r>
      <w:r w:rsidRPr="00CC10E2">
        <w:rPr>
          <w:spacing w:val="-3"/>
        </w:rPr>
        <w:t xml:space="preserve"> </w:t>
      </w:r>
      <w:r w:rsidRPr="00CC10E2">
        <w:t>possible</w:t>
      </w:r>
      <w:r w:rsidRPr="00CC10E2">
        <w:rPr>
          <w:spacing w:val="1"/>
        </w:rPr>
        <w:t xml:space="preserve"> </w:t>
      </w:r>
      <w:r w:rsidRPr="00CC10E2">
        <w:t xml:space="preserve">cross-contamination </w:t>
      </w:r>
      <w:r w:rsidRPr="00CC10E2">
        <w:t>routes;</w:t>
      </w:r>
    </w:p>
    <w:p w:rsidR="00AD2A5E" w:rsidRPr="00235803" w:rsidP="00690C44" w14:paraId="32F853EF" w14:textId="77777777">
      <w:pPr>
        <w:pStyle w:val="GuidanceBulletLevel1"/>
      </w:pPr>
      <w:r w:rsidRPr="00CC10E2">
        <w:t>Soaking</w:t>
      </w:r>
      <w:r w:rsidRPr="00CC10E2">
        <w:rPr>
          <w:spacing w:val="-3"/>
        </w:rPr>
        <w:t xml:space="preserve"> </w:t>
      </w:r>
      <w:r w:rsidRPr="00CC10E2">
        <w:t>of equipment</w:t>
      </w:r>
      <w:r w:rsidRPr="00CC10E2">
        <w:rPr>
          <w:spacing w:val="-2"/>
        </w:rPr>
        <w:t xml:space="preserve"> </w:t>
      </w:r>
      <w:r w:rsidRPr="00CC10E2">
        <w:t>parts</w:t>
      </w:r>
      <w:r w:rsidRPr="00CC10E2">
        <w:rPr>
          <w:spacing w:val="-4"/>
        </w:rPr>
        <w:t xml:space="preserve"> </w:t>
      </w:r>
      <w:r w:rsidRPr="00CC10E2">
        <w:t>in an</w:t>
      </w:r>
      <w:r w:rsidRPr="00CC10E2">
        <w:rPr>
          <w:spacing w:val="-3"/>
        </w:rPr>
        <w:t xml:space="preserve"> </w:t>
      </w:r>
      <w:r w:rsidRPr="00CC10E2">
        <w:t>appropriate</w:t>
      </w:r>
      <w:r w:rsidRPr="00CC10E2">
        <w:rPr>
          <w:spacing w:val="1"/>
        </w:rPr>
        <w:t xml:space="preserve"> </w:t>
      </w:r>
      <w:r w:rsidRPr="00CC10E2">
        <w:t>sanitizing</w:t>
      </w:r>
      <w:r w:rsidRPr="00CC10E2">
        <w:rPr>
          <w:spacing w:val="-3"/>
        </w:rPr>
        <w:t xml:space="preserve"> </w:t>
      </w:r>
      <w:r w:rsidRPr="00CC10E2">
        <w:t xml:space="preserve">agent for an appropriate </w:t>
      </w:r>
      <w:r w:rsidRPr="00CC10E2">
        <w:t>duration;</w:t>
      </w:r>
    </w:p>
    <w:p w:rsidR="00AD2A5E" w:rsidRPr="00235803" w:rsidP="00690C44" w14:paraId="7BB8D40F" w14:textId="0DF45FA5">
      <w:pPr>
        <w:pStyle w:val="GuidanceBulletLevel1"/>
      </w:pPr>
      <w:r w:rsidRPr="00CC10E2">
        <w:t>Increased frequency</w:t>
      </w:r>
      <w:r w:rsidRPr="00CC10E2">
        <w:rPr>
          <w:spacing w:val="-5"/>
        </w:rPr>
        <w:t xml:space="preserve"> </w:t>
      </w:r>
      <w:r w:rsidRPr="00CC10E2">
        <w:rPr>
          <w:spacing w:val="1"/>
        </w:rPr>
        <w:t>of</w:t>
      </w:r>
      <w:r w:rsidRPr="00CC10E2">
        <w:rPr>
          <w:spacing w:val="-3"/>
        </w:rPr>
        <w:t xml:space="preserve"> </w:t>
      </w:r>
      <w:r w:rsidRPr="00CC10E2">
        <w:t>cleaning</w:t>
      </w:r>
      <w:r w:rsidRPr="00CC10E2">
        <w:rPr>
          <w:spacing w:val="-3"/>
        </w:rPr>
        <w:t xml:space="preserve"> </w:t>
      </w:r>
      <w:r w:rsidRPr="00CC10E2">
        <w:t>and sanitizing</w:t>
      </w:r>
      <w:r w:rsidRPr="00CC10E2">
        <w:rPr>
          <w:spacing w:val="-3"/>
        </w:rPr>
        <w:t xml:space="preserve"> </w:t>
      </w:r>
      <w:r w:rsidRPr="00CC10E2">
        <w:t>activities for all surfaces that are</w:t>
      </w:r>
      <w:r w:rsidRPr="00CC10E2">
        <w:rPr>
          <w:spacing w:val="1"/>
        </w:rPr>
        <w:t xml:space="preserve"> </w:t>
      </w:r>
      <w:r w:rsidRPr="00CC10E2">
        <w:t>not</w:t>
      </w:r>
      <w:r w:rsidRPr="00CC10E2">
        <w:rPr>
          <w:spacing w:val="-2"/>
        </w:rPr>
        <w:t xml:space="preserve"> </w:t>
      </w:r>
      <w:r w:rsidRPr="00CC10E2">
        <w:t>already</w:t>
      </w:r>
      <w:r w:rsidR="007545E9">
        <w:t xml:space="preserve"> </w:t>
      </w:r>
      <w:r w:rsidRPr="00CC10E2">
        <w:t xml:space="preserve">cleaned </w:t>
      </w:r>
      <w:r w:rsidRPr="00CC10E2">
        <w:rPr>
          <w:spacing w:val="-2"/>
        </w:rPr>
        <w:t>or</w:t>
      </w:r>
      <w:r w:rsidRPr="00CC10E2">
        <w:t xml:space="preserve"> sanitized </w:t>
      </w:r>
      <w:r w:rsidRPr="00CC10E2">
        <w:rPr>
          <w:spacing w:val="-2"/>
        </w:rPr>
        <w:t>daily;</w:t>
      </w:r>
    </w:p>
    <w:p w:rsidR="00AD2A5E" w:rsidRPr="00235803" w:rsidP="00690C44" w14:paraId="7CAC344A" w14:textId="77777777">
      <w:pPr>
        <w:pStyle w:val="GuidanceBulletLevel1"/>
      </w:pPr>
      <w:r w:rsidRPr="00CC10E2">
        <w:t>Heat treatment of</w:t>
      </w:r>
      <w:r w:rsidRPr="00CC10E2">
        <w:rPr>
          <w:spacing w:val="-3"/>
        </w:rPr>
        <w:t xml:space="preserve"> </w:t>
      </w:r>
      <w:r w:rsidRPr="00CC10E2">
        <w:t xml:space="preserve">equipment or parts, as </w:t>
      </w:r>
      <w:r w:rsidRPr="00CC10E2">
        <w:t>appropriate;</w:t>
      </w:r>
    </w:p>
    <w:p w:rsidR="00AD2A5E" w:rsidRPr="00235803" w:rsidP="00690C44" w14:paraId="755EEA00" w14:textId="77777777">
      <w:pPr>
        <w:pStyle w:val="GuidanceBulletLevel1"/>
      </w:pPr>
      <w:r w:rsidRPr="00CC10E2">
        <w:t>Replacement or repair of</w:t>
      </w:r>
      <w:r w:rsidRPr="00CC10E2">
        <w:rPr>
          <w:spacing w:val="-3"/>
        </w:rPr>
        <w:t xml:space="preserve"> </w:t>
      </w:r>
      <w:r w:rsidRPr="00CC10E2">
        <w:t>tools, equipment, or production operation</w:t>
      </w:r>
      <w:r w:rsidRPr="00CC10E2">
        <w:rPr>
          <w:spacing w:val="-3"/>
        </w:rPr>
        <w:t xml:space="preserve"> </w:t>
      </w:r>
      <w:r w:rsidRPr="00CC10E2">
        <w:t>surfaces, as needed.</w:t>
      </w:r>
    </w:p>
    <w:p w:rsidR="00AD2A5E" w:rsidRPr="00CC10E2" w:rsidP="00E47C04" w14:paraId="297D8006" w14:textId="222C3670">
      <w:pPr>
        <w:pStyle w:val="GuidanceParagraph"/>
      </w:pPr>
      <w:r w:rsidRPr="00CC10E2">
        <w:t>Additional information on</w:t>
      </w:r>
      <w:r w:rsidRPr="00CC10E2">
        <w:rPr>
          <w:spacing w:val="-3"/>
        </w:rPr>
        <w:t xml:space="preserve"> </w:t>
      </w:r>
      <w:r w:rsidRPr="00CC10E2">
        <w:t>corrective</w:t>
      </w:r>
      <w:r w:rsidRPr="00CC10E2">
        <w:rPr>
          <w:spacing w:val="1"/>
        </w:rPr>
        <w:t xml:space="preserve"> </w:t>
      </w:r>
      <w:r w:rsidRPr="00CC10E2">
        <w:t>action measures required</w:t>
      </w:r>
      <w:r w:rsidRPr="00CC10E2">
        <w:rPr>
          <w:spacing w:val="-2"/>
        </w:rPr>
        <w:t xml:space="preserve"> </w:t>
      </w:r>
      <w:r w:rsidRPr="00CC10E2">
        <w:t>and/or recommended</w:t>
      </w:r>
      <w:r w:rsidRPr="00CC10E2">
        <w:rPr>
          <w:spacing w:val="-3"/>
        </w:rPr>
        <w:t xml:space="preserve"> </w:t>
      </w:r>
      <w:r w:rsidRPr="00CC10E2">
        <w:t>in response</w:t>
      </w:r>
      <w:r w:rsidRPr="00CC10E2">
        <w:rPr>
          <w:spacing w:val="65"/>
        </w:rPr>
        <w:t xml:space="preserve"> </w:t>
      </w:r>
      <w:r w:rsidRPr="00CC10E2">
        <w:t>either to positive</w:t>
      </w:r>
      <w:r w:rsidRPr="00CC10E2">
        <w:rPr>
          <w:spacing w:val="1"/>
        </w:rPr>
        <w:t xml:space="preserve"> </w:t>
      </w:r>
      <w:r w:rsidRPr="00CC10E2">
        <w:t>pathogen</w:t>
      </w:r>
      <w:r w:rsidRPr="00CC10E2">
        <w:rPr>
          <w:spacing w:val="-3"/>
        </w:rPr>
        <w:t xml:space="preserve"> </w:t>
      </w:r>
      <w:r w:rsidRPr="00CC10E2">
        <w:t>results in spent sprout</w:t>
      </w:r>
      <w:r w:rsidRPr="00CC10E2">
        <w:rPr>
          <w:spacing w:val="-2"/>
        </w:rPr>
        <w:t xml:space="preserve"> </w:t>
      </w:r>
      <w:r w:rsidRPr="00CC10E2">
        <w:t>irrigation water or sprouts (§</w:t>
      </w:r>
      <w:r w:rsidRPr="00CC10E2">
        <w:rPr>
          <w:spacing w:val="-3"/>
        </w:rPr>
        <w:t xml:space="preserve"> </w:t>
      </w:r>
      <w:r w:rsidRPr="00CC10E2">
        <w:t>112.148), or to</w:t>
      </w:r>
      <w:r w:rsidRPr="00CC10E2">
        <w:rPr>
          <w:spacing w:val="65"/>
        </w:rPr>
        <w:t xml:space="preserve"> </w:t>
      </w:r>
      <w:r w:rsidRPr="00CC10E2">
        <w:t xml:space="preserve">findings </w:t>
      </w:r>
      <w:r w:rsidRPr="00CC10E2">
        <w:rPr>
          <w:spacing w:val="1"/>
        </w:rPr>
        <w:t>of</w:t>
      </w:r>
      <w:r w:rsidRPr="00CC10E2">
        <w:rPr>
          <w:spacing w:val="-3"/>
        </w:rPr>
        <w:t xml:space="preserve"> </w:t>
      </w:r>
      <w:r w:rsidRPr="00CC10E2">
        <w:rPr>
          <w:i/>
        </w:rPr>
        <w:t xml:space="preserve">Listeria </w:t>
      </w:r>
      <w:r w:rsidRPr="00CC10E2">
        <w:t xml:space="preserve">spp. or </w:t>
      </w:r>
      <w:r w:rsidRPr="00CC10E2">
        <w:rPr>
          <w:i/>
        </w:rPr>
        <w:t>Listeria monocytogenes</w:t>
      </w:r>
      <w:r w:rsidRPr="00CC10E2">
        <w:rPr>
          <w:i/>
          <w:spacing w:val="-3"/>
        </w:rPr>
        <w:t xml:space="preserve"> </w:t>
      </w:r>
      <w:r w:rsidRPr="00CC10E2">
        <w:rPr>
          <w:spacing w:val="-3"/>
        </w:rPr>
        <w:t xml:space="preserve">in your sprout production environment </w:t>
      </w:r>
      <w:r w:rsidRPr="00CC10E2">
        <w:t>(§ 112.146) is</w:t>
      </w:r>
      <w:r w:rsidRPr="00CC10E2">
        <w:rPr>
          <w:spacing w:val="1"/>
        </w:rPr>
        <w:t xml:space="preserve"> </w:t>
      </w:r>
      <w:r w:rsidRPr="00CC10E2">
        <w:t>discussed</w:t>
      </w:r>
      <w:r w:rsidRPr="00CC10E2">
        <w:rPr>
          <w:spacing w:val="-3"/>
        </w:rPr>
        <w:t xml:space="preserve"> </w:t>
      </w:r>
      <w:r w:rsidRPr="00CC10E2">
        <w:t xml:space="preserve">in </w:t>
      </w:r>
      <w:r w:rsidR="00B45F59">
        <w:t>S</w:t>
      </w:r>
      <w:r w:rsidRPr="00110333" w:rsidR="005045F8">
        <w:t>ection</w:t>
      </w:r>
      <w:r w:rsidRPr="00110333">
        <w:t xml:space="preserve"> </w:t>
      </w:r>
      <w:r w:rsidRPr="00110333" w:rsidR="00B3688E">
        <w:t>V</w:t>
      </w:r>
      <w:r w:rsidRPr="00110333" w:rsidR="003B6F94">
        <w:t xml:space="preserve"> </w:t>
      </w:r>
      <w:r w:rsidRPr="00110333" w:rsidR="00C04B82">
        <w:t>(Sampling</w:t>
      </w:r>
      <w:r w:rsidRPr="00110333" w:rsidR="00C04B82">
        <w:rPr>
          <w:spacing w:val="-3"/>
        </w:rPr>
        <w:t xml:space="preserve"> </w:t>
      </w:r>
      <w:r w:rsidRPr="00110333" w:rsidR="00C04B82">
        <w:t>and Testing</w:t>
      </w:r>
      <w:r w:rsidRPr="00110333" w:rsidR="00C04B82">
        <w:rPr>
          <w:spacing w:val="-3"/>
        </w:rPr>
        <w:t xml:space="preserve"> </w:t>
      </w:r>
      <w:r w:rsidRPr="00110333" w:rsidR="00C04B82">
        <w:t xml:space="preserve">of Spent Sprout Irrigation Water </w:t>
      </w:r>
      <w:r w:rsidR="001B7740">
        <w:t>(</w:t>
      </w:r>
      <w:r w:rsidRPr="00110333" w:rsidR="00C04B82">
        <w:rPr>
          <w:spacing w:val="-2"/>
        </w:rPr>
        <w:t>or</w:t>
      </w:r>
      <w:r w:rsidRPr="00110333" w:rsidR="00C04B82">
        <w:t xml:space="preserve"> In-Process Sprouts</w:t>
      </w:r>
      <w:r w:rsidR="001B7740">
        <w:t>)</w:t>
      </w:r>
      <w:r w:rsidRPr="00110333" w:rsidR="00C04B82">
        <w:t>)</w:t>
      </w:r>
      <w:r w:rsidR="00C04B82">
        <w:t xml:space="preserve"> </w:t>
      </w:r>
      <w:r w:rsidRPr="009C4709" w:rsidR="00BE443E">
        <w:t xml:space="preserve">in </w:t>
      </w:r>
      <w:r w:rsidRPr="009C4709" w:rsidR="00D72C1B">
        <w:t xml:space="preserve">the draft </w:t>
      </w:r>
      <w:r w:rsidRPr="009C4709" w:rsidR="00BE443E">
        <w:t xml:space="preserve">re-issued sections </w:t>
      </w:r>
      <w:r w:rsidRPr="009C4709" w:rsidR="00120E9D">
        <w:t>(</w:t>
      </w:r>
      <w:r w:rsidRPr="009C4709" w:rsidR="00DA1F37">
        <w:fldChar w:fldCharType="begin"/>
      </w:r>
      <w:r w:rsidRPr="009C4709" w:rsidR="00DA1F37">
        <w:instrText xml:space="preserve"> REF _Ref126308691 \h  \* MERGEFORMAT </w:instrText>
      </w:r>
      <w:r w:rsidRPr="009C4709" w:rsidR="00DA1F37">
        <w:fldChar w:fldCharType="separate"/>
      </w:r>
      <w:r w:rsidRPr="009C4709" w:rsidR="00DA1F37">
        <w:t xml:space="preserve">Ref. </w:t>
      </w:r>
      <w:r w:rsidRPr="009C4709" w:rsidR="00DA1F37">
        <w:rPr>
          <w:noProof/>
        </w:rPr>
        <w:t>18</w:t>
      </w:r>
      <w:r w:rsidRPr="009C4709" w:rsidR="00DA1F37">
        <w:fldChar w:fldCharType="end"/>
      </w:r>
      <w:r w:rsidRPr="009C4709" w:rsidR="00DA1F37">
        <w:t>)</w:t>
      </w:r>
      <w:r w:rsidRPr="00110333">
        <w:t xml:space="preserve"> and </w:t>
      </w:r>
      <w:r w:rsidRPr="00110333" w:rsidR="005045F8">
        <w:t>Section</w:t>
      </w:r>
      <w:r w:rsidRPr="00110333">
        <w:t xml:space="preserve"> </w:t>
      </w:r>
      <w:r w:rsidRPr="00110333" w:rsidR="00200A2E">
        <w:t>VI</w:t>
      </w:r>
      <w:r w:rsidRPr="00110333" w:rsidR="003B6F94">
        <w:t xml:space="preserve"> </w:t>
      </w:r>
      <w:r w:rsidRPr="00110333">
        <w:t>(Environmental Monitoring)</w:t>
      </w:r>
      <w:r w:rsidR="001B7740">
        <w:t xml:space="preserve"> </w:t>
      </w:r>
      <w:r w:rsidR="00307F97">
        <w:t xml:space="preserve">and Section V (Seeds for Sprouting) </w:t>
      </w:r>
      <w:r w:rsidR="001B7740">
        <w:t>in this document</w:t>
      </w:r>
      <w:r w:rsidRPr="00110333">
        <w:t xml:space="preserve">. </w:t>
      </w:r>
    </w:p>
    <w:p w:rsidR="00191DF8" w:rsidP="00A16344" w14:paraId="32F907E9" w14:textId="36CC8A1E">
      <w:pPr>
        <w:pStyle w:val="HHS508GuidanceOutline1"/>
      </w:pPr>
      <w:bookmarkStart w:id="26" w:name="_Toc106094929"/>
      <w:r>
        <w:t>Agricultural</w:t>
      </w:r>
      <w:r>
        <w:rPr>
          <w:spacing w:val="-13"/>
        </w:rPr>
        <w:t xml:space="preserve"> </w:t>
      </w:r>
      <w:r>
        <w:t>Water</w:t>
      </w:r>
      <w:r>
        <w:rPr>
          <w:spacing w:val="-14"/>
        </w:rPr>
        <w:t xml:space="preserve"> </w:t>
      </w:r>
      <w:r>
        <w:t>in</w:t>
      </w:r>
      <w:r>
        <w:rPr>
          <w:spacing w:val="-14"/>
        </w:rPr>
        <w:t xml:space="preserve"> </w:t>
      </w:r>
      <w:r>
        <w:t>Sprout</w:t>
      </w:r>
      <w:r>
        <w:rPr>
          <w:spacing w:val="-13"/>
        </w:rPr>
        <w:t xml:space="preserve"> </w:t>
      </w:r>
      <w:r>
        <w:t>Operations</w:t>
      </w:r>
      <w:bookmarkEnd w:id="26"/>
    </w:p>
    <w:p w:rsidR="00191DF8" w:rsidRPr="00CC10E2" w:rsidP="00E47C04" w14:paraId="2B3D59FB" w14:textId="24D5E142">
      <w:pPr>
        <w:pStyle w:val="GuidanceParagraph"/>
      </w:pPr>
      <w:r w:rsidRPr="00CC10E2">
        <w:t>In the Produce Safety Rule, we define “agricultural water” as “water used in covered activities on covered produce where water is intended to, or is likely to, contact covered produce or</w:t>
      </w:r>
      <w:r w:rsidR="00AC2FCE">
        <w:t xml:space="preserve"> </w:t>
      </w:r>
      <w:r w:rsidR="00EA0DFE">
        <w:t>food contact surface</w:t>
      </w:r>
      <w:r w:rsidR="00CA2C42">
        <w:t>s</w:t>
      </w:r>
      <w:r w:rsidRPr="00CC10E2">
        <w:t>, including water used in growing activities (including irrigation water applied using direct water application methods, water used for preparing crop sprays, and water used for growing sprouts) and in harvesting, packing, and holding activities (including water used for washing or cooling harvested produce and water used for preventing dehydration of covered produce)” (§ 112.3).</w:t>
      </w:r>
    </w:p>
    <w:p w:rsidR="00191DF8" w:rsidRPr="00CC10E2" w:rsidP="00E47C04" w14:paraId="1A58089E" w14:textId="77777777">
      <w:pPr>
        <w:pStyle w:val="GuidanceParagraph"/>
      </w:pPr>
      <w:bookmarkStart w:id="27" w:name="_Hlk33604919"/>
      <w:r w:rsidRPr="00CC10E2">
        <w:t>Several uses of</w:t>
      </w:r>
      <w:r w:rsidRPr="00CC10E2">
        <w:rPr>
          <w:spacing w:val="-3"/>
        </w:rPr>
        <w:t xml:space="preserve"> </w:t>
      </w:r>
      <w:r w:rsidRPr="00CC10E2">
        <w:t>water typical</w:t>
      </w:r>
      <w:r w:rsidRPr="00CC10E2">
        <w:rPr>
          <w:spacing w:val="-2"/>
        </w:rPr>
        <w:t xml:space="preserve"> </w:t>
      </w:r>
      <w:r w:rsidRPr="00CC10E2">
        <w:t>to sprouting</w:t>
      </w:r>
      <w:r w:rsidRPr="00CC10E2">
        <w:rPr>
          <w:spacing w:val="-3"/>
        </w:rPr>
        <w:t xml:space="preserve"> </w:t>
      </w:r>
      <w:r w:rsidRPr="00CC10E2">
        <w:t>operations</w:t>
      </w:r>
      <w:r w:rsidRPr="00CC10E2">
        <w:rPr>
          <w:spacing w:val="-4"/>
        </w:rPr>
        <w:t xml:space="preserve"> </w:t>
      </w:r>
      <w:r w:rsidRPr="00CC10E2">
        <w:t>meet the</w:t>
      </w:r>
      <w:r w:rsidRPr="00CC10E2">
        <w:rPr>
          <w:spacing w:val="1"/>
        </w:rPr>
        <w:t xml:space="preserve"> </w:t>
      </w:r>
      <w:r w:rsidRPr="00CC10E2">
        <w:t>definition of</w:t>
      </w:r>
      <w:r w:rsidRPr="00CC10E2">
        <w:rPr>
          <w:spacing w:val="-3"/>
        </w:rPr>
        <w:t xml:space="preserve"> </w:t>
      </w:r>
      <w:r w:rsidRPr="00CC10E2">
        <w:t>“agricultural water,”</w:t>
      </w:r>
      <w:r w:rsidRPr="00CC10E2">
        <w:rPr>
          <w:spacing w:val="87"/>
        </w:rPr>
        <w:t xml:space="preserve"> </w:t>
      </w:r>
      <w:r w:rsidRPr="00CC10E2">
        <w:t>including</w:t>
      </w:r>
      <w:r w:rsidRPr="00CC10E2">
        <w:rPr>
          <w:spacing w:val="-3"/>
        </w:rPr>
        <w:t xml:space="preserve"> </w:t>
      </w:r>
      <w:r w:rsidRPr="00CC10E2">
        <w:t>water used to:</w:t>
      </w:r>
    </w:p>
    <w:p w:rsidR="00191DF8" w:rsidRPr="00576176" w:rsidP="00690C44" w14:paraId="3E4F6858" w14:textId="649C3676">
      <w:pPr>
        <w:pStyle w:val="GuidanceBulletLevel1"/>
      </w:pPr>
      <w:r>
        <w:t>I</w:t>
      </w:r>
      <w:r w:rsidRPr="00CC10E2">
        <w:t>rrigate</w:t>
      </w:r>
      <w:r w:rsidRPr="00CC10E2">
        <w:rPr>
          <w:spacing w:val="1"/>
        </w:rPr>
        <w:t xml:space="preserve"> </w:t>
      </w:r>
      <w:r w:rsidRPr="00CC10E2">
        <w:t>sprouts;</w:t>
      </w:r>
    </w:p>
    <w:p w:rsidR="00191DF8" w:rsidRPr="00576176" w:rsidP="00690C44" w14:paraId="0762D4BC" w14:textId="42F20EC9">
      <w:pPr>
        <w:pStyle w:val="GuidanceBulletLevel1"/>
      </w:pPr>
      <w:r>
        <w:t>P</w:t>
      </w:r>
      <w:r w:rsidRPr="00CC10E2">
        <w:t>repare</w:t>
      </w:r>
      <w:r w:rsidRPr="00CC10E2">
        <w:rPr>
          <w:spacing w:val="1"/>
        </w:rPr>
        <w:t xml:space="preserve"> </w:t>
      </w:r>
      <w:r w:rsidRPr="00CC10E2">
        <w:t>ice</w:t>
      </w:r>
      <w:r w:rsidRPr="00CC10E2">
        <w:rPr>
          <w:spacing w:val="1"/>
        </w:rPr>
        <w:t xml:space="preserve"> </w:t>
      </w:r>
      <w:r w:rsidRPr="00CC10E2">
        <w:t xml:space="preserve">that will contact </w:t>
      </w:r>
      <w:r w:rsidRPr="00CC10E2">
        <w:t>sprouts;</w:t>
      </w:r>
    </w:p>
    <w:p w:rsidR="00191DF8" w:rsidRPr="00576176" w:rsidP="00690C44" w14:paraId="7587DED3" w14:textId="0E2E3FEE">
      <w:pPr>
        <w:pStyle w:val="GuidanceBulletLevel1"/>
      </w:pPr>
      <w:r>
        <w:t>W</w:t>
      </w:r>
      <w:r w:rsidRPr="00CC10E2">
        <w:t xml:space="preserve">ash finished </w:t>
      </w:r>
      <w:r w:rsidRPr="00CC10E2">
        <w:t>product;</w:t>
      </w:r>
    </w:p>
    <w:p w:rsidR="00191DF8" w:rsidRPr="00576176" w:rsidP="00690C44" w14:paraId="787C3D22" w14:textId="66DECB06">
      <w:pPr>
        <w:pStyle w:val="GuidanceBulletLevel1"/>
      </w:pPr>
      <w:r>
        <w:t>W</w:t>
      </w:r>
      <w:r w:rsidRPr="00CC10E2">
        <w:t>ash hands</w:t>
      </w:r>
      <w:r w:rsidR="00236994">
        <w:t xml:space="preserve"> during and after harvest activities</w:t>
      </w:r>
      <w:r w:rsidRPr="00CC10E2">
        <w:t>;</w:t>
      </w:r>
      <w:r w:rsidRPr="00CC10E2">
        <w:rPr>
          <w:spacing w:val="-2"/>
        </w:rPr>
        <w:t xml:space="preserve"> </w:t>
      </w:r>
      <w:r w:rsidRPr="00CC10E2">
        <w:t xml:space="preserve">and </w:t>
      </w:r>
    </w:p>
    <w:p w:rsidR="00191DF8" w:rsidRPr="00576176" w:rsidP="00690C44" w14:paraId="5142448D" w14:textId="1B35C3B3">
      <w:pPr>
        <w:pStyle w:val="GuidanceBulletLevel1"/>
      </w:pPr>
      <w:r>
        <w:t>C</w:t>
      </w:r>
      <w:r w:rsidRPr="00CC10E2">
        <w:t>ontact</w:t>
      </w:r>
      <w:r w:rsidRPr="00CC10E2">
        <w:rPr>
          <w:spacing w:val="-2"/>
        </w:rPr>
        <w:t xml:space="preserve"> </w:t>
      </w:r>
      <w:r w:rsidR="0061651F">
        <w:rPr>
          <w:spacing w:val="-2"/>
        </w:rPr>
        <w:t>food contact surfaces (</w:t>
      </w:r>
      <w:r w:rsidRPr="00CC10E2">
        <w:t>FCSs</w:t>
      </w:r>
      <w:r w:rsidR="0061651F">
        <w:t>)</w:t>
      </w:r>
      <w:r w:rsidRPr="00CC10E2">
        <w:t xml:space="preserve"> (including</w:t>
      </w:r>
      <w:r w:rsidRPr="00CC10E2">
        <w:rPr>
          <w:spacing w:val="-3"/>
        </w:rPr>
        <w:t xml:space="preserve"> </w:t>
      </w:r>
      <w:r w:rsidRPr="00CC10E2">
        <w:t>water used to prepare</w:t>
      </w:r>
      <w:r w:rsidRPr="00CC10E2">
        <w:rPr>
          <w:spacing w:val="1"/>
        </w:rPr>
        <w:t xml:space="preserve"> </w:t>
      </w:r>
      <w:r w:rsidRPr="00CC10E2">
        <w:t>seed treatments, or to rinse,</w:t>
      </w:r>
      <w:r w:rsidRPr="00CC10E2">
        <w:rPr>
          <w:spacing w:val="-3"/>
        </w:rPr>
        <w:t xml:space="preserve"> </w:t>
      </w:r>
      <w:r w:rsidRPr="00CC10E2">
        <w:t xml:space="preserve">wash, or soak seeds prior to sprouting). </w:t>
      </w:r>
    </w:p>
    <w:p w:rsidR="00191DF8" w:rsidRPr="00CC10E2" w:rsidP="00E47C04" w14:paraId="773546DC" w14:textId="1712E1E8">
      <w:pPr>
        <w:pStyle w:val="GuidanceParagraph"/>
      </w:pPr>
      <w:r w:rsidRPr="00CC10E2">
        <w:t xml:space="preserve">As stated above, “food contact surfaces” means “those surfaces that contact human food and those surfaces from which drainage, or other transfer, onto the food or onto surfaces that contact </w:t>
      </w:r>
      <w:r w:rsidRPr="00CC10E2">
        <w:t xml:space="preserve">the food ordinarily occurs during the normal course of operations. ‘Food contact surfaces’ includes </w:t>
      </w:r>
      <w:r w:rsidR="00342D35">
        <w:t>food contact surfaces</w:t>
      </w:r>
      <w:r w:rsidRPr="00CC10E2">
        <w:t xml:space="preserve"> of equipment and tools used during harvest, packing, and holding” (§ 112.3). “Food contact surfaces” also includes FCSs of equipment and tools used in growing sprouts, such as those that contact seeds for sprouting (see § 112.143(b)). </w:t>
      </w:r>
      <w:r w:rsidRPr="00CC10E2">
        <w:rPr>
          <w:spacing w:val="-1"/>
        </w:rPr>
        <w:t>While</w:t>
      </w:r>
      <w:r w:rsidRPr="00CC10E2">
        <w:rPr>
          <w:spacing w:val="1"/>
        </w:rPr>
        <w:t xml:space="preserve"> </w:t>
      </w:r>
      <w:r w:rsidRPr="00CC10E2">
        <w:rPr>
          <w:spacing w:val="-1"/>
        </w:rPr>
        <w:t>seeds used</w:t>
      </w:r>
      <w:r w:rsidRPr="00CC10E2">
        <w:t xml:space="preserve"> to </w:t>
      </w:r>
      <w:r w:rsidRPr="00CC10E2">
        <w:rPr>
          <w:spacing w:val="-1"/>
        </w:rPr>
        <w:t xml:space="preserve">grow sprouts </w:t>
      </w:r>
      <w:r w:rsidRPr="00CC10E2">
        <w:t>are</w:t>
      </w:r>
      <w:r w:rsidRPr="00CC10E2">
        <w:rPr>
          <w:spacing w:val="1"/>
        </w:rPr>
        <w:t xml:space="preserve"> </w:t>
      </w:r>
      <w:r w:rsidRPr="00CC10E2">
        <w:t>not</w:t>
      </w:r>
      <w:r w:rsidRPr="00CC10E2">
        <w:rPr>
          <w:spacing w:val="-2"/>
        </w:rPr>
        <w:t xml:space="preserve"> </w:t>
      </w:r>
      <w:r w:rsidRPr="00CC10E2">
        <w:rPr>
          <w:spacing w:val="-1"/>
        </w:rPr>
        <w:t>themselves “covered</w:t>
      </w:r>
      <w:r w:rsidRPr="00CC10E2">
        <w:t xml:space="preserve"> </w:t>
      </w:r>
      <w:r w:rsidRPr="00CC10E2">
        <w:rPr>
          <w:spacing w:val="-1"/>
        </w:rPr>
        <w:t>produce,”</w:t>
      </w:r>
      <w:r w:rsidRPr="00CC10E2">
        <w:rPr>
          <w:spacing w:val="-2"/>
        </w:rPr>
        <w:t xml:space="preserve"> </w:t>
      </w:r>
      <w:r w:rsidRPr="00CC10E2">
        <w:rPr>
          <w:spacing w:val="-1"/>
        </w:rPr>
        <w:t>seeds for</w:t>
      </w:r>
      <w:r w:rsidRPr="00CC10E2">
        <w:rPr>
          <w:spacing w:val="77"/>
        </w:rPr>
        <w:t xml:space="preserve"> </w:t>
      </w:r>
      <w:r w:rsidRPr="00CC10E2">
        <w:rPr>
          <w:spacing w:val="-1"/>
        </w:rPr>
        <w:t>sprouting</w:t>
      </w:r>
      <w:r w:rsidRPr="00CC10E2">
        <w:rPr>
          <w:spacing w:val="-3"/>
        </w:rPr>
        <w:t xml:space="preserve"> </w:t>
      </w:r>
      <w:r w:rsidRPr="00CC10E2">
        <w:t>are</w:t>
      </w:r>
      <w:r w:rsidRPr="00CC10E2">
        <w:rPr>
          <w:spacing w:val="1"/>
        </w:rPr>
        <w:t xml:space="preserve"> </w:t>
      </w:r>
      <w:r w:rsidRPr="00CC10E2">
        <w:rPr>
          <w:spacing w:val="-1"/>
        </w:rPr>
        <w:t>considered</w:t>
      </w:r>
      <w:r w:rsidRPr="00CC10E2">
        <w:t xml:space="preserve"> </w:t>
      </w:r>
      <w:r w:rsidRPr="00CC10E2">
        <w:rPr>
          <w:spacing w:val="-1"/>
        </w:rPr>
        <w:t>“food”</w:t>
      </w:r>
      <w:r w:rsidRPr="00CC10E2">
        <w:rPr>
          <w:spacing w:val="1"/>
        </w:rPr>
        <w:t xml:space="preserve"> </w:t>
      </w:r>
      <w:r w:rsidRPr="00CC10E2">
        <w:t xml:space="preserve">under </w:t>
      </w:r>
      <w:r w:rsidRPr="00CC10E2">
        <w:rPr>
          <w:spacing w:val="-1"/>
        </w:rPr>
        <w:t>Section</w:t>
      </w:r>
      <w:r w:rsidRPr="00CC10E2">
        <w:t xml:space="preserve"> </w:t>
      </w:r>
      <w:r w:rsidRPr="00CC10E2">
        <w:rPr>
          <w:spacing w:val="-1"/>
        </w:rPr>
        <w:t>201(f)</w:t>
      </w:r>
      <w:r w:rsidRPr="00CC10E2">
        <w:t xml:space="preserve"> of </w:t>
      </w:r>
      <w:r w:rsidRPr="00CC10E2">
        <w:rPr>
          <w:spacing w:val="-2"/>
        </w:rPr>
        <w:t>FD&amp;C</w:t>
      </w:r>
      <w:r w:rsidRPr="00CC10E2">
        <w:t xml:space="preserve"> </w:t>
      </w:r>
      <w:r w:rsidRPr="00CC10E2">
        <w:rPr>
          <w:spacing w:val="-1"/>
        </w:rPr>
        <w:t>Act</w:t>
      </w:r>
      <w:r w:rsidRPr="00CC10E2">
        <w:t xml:space="preserve"> and as</w:t>
      </w:r>
      <w:r w:rsidRPr="00CC10E2">
        <w:rPr>
          <w:spacing w:val="-1"/>
        </w:rPr>
        <w:t xml:space="preserve"> defined</w:t>
      </w:r>
      <w:r w:rsidRPr="00CC10E2">
        <w:t xml:space="preserve"> in § </w:t>
      </w:r>
      <w:r w:rsidRPr="00CC10E2">
        <w:rPr>
          <w:spacing w:val="-1"/>
        </w:rPr>
        <w:t>112.3. Requirements relating</w:t>
      </w:r>
      <w:r w:rsidRPr="00CC10E2">
        <w:rPr>
          <w:spacing w:val="-3"/>
        </w:rPr>
        <w:t xml:space="preserve"> </w:t>
      </w:r>
      <w:r w:rsidRPr="00CC10E2">
        <w:t xml:space="preserve">to </w:t>
      </w:r>
      <w:r w:rsidRPr="00CC10E2">
        <w:rPr>
          <w:spacing w:val="-1"/>
        </w:rPr>
        <w:t>“food</w:t>
      </w:r>
      <w:r w:rsidRPr="00CC10E2">
        <w:t xml:space="preserve"> </w:t>
      </w:r>
      <w:r w:rsidRPr="00CC10E2">
        <w:rPr>
          <w:spacing w:val="-1"/>
        </w:rPr>
        <w:t>contact</w:t>
      </w:r>
      <w:r w:rsidRPr="00CC10E2">
        <w:t xml:space="preserve"> </w:t>
      </w:r>
      <w:r w:rsidRPr="00CC10E2">
        <w:rPr>
          <w:spacing w:val="-1"/>
        </w:rPr>
        <w:t>surfaces”</w:t>
      </w:r>
      <w:r w:rsidRPr="00CC10E2">
        <w:rPr>
          <w:spacing w:val="-2"/>
        </w:rPr>
        <w:t xml:space="preserve"> </w:t>
      </w:r>
      <w:r w:rsidRPr="00CC10E2">
        <w:t>in</w:t>
      </w:r>
      <w:r w:rsidRPr="00CC10E2">
        <w:rPr>
          <w:spacing w:val="-3"/>
        </w:rPr>
        <w:t xml:space="preserve"> </w:t>
      </w:r>
      <w:r w:rsidR="003C1ED4">
        <w:rPr>
          <w:spacing w:val="-1"/>
        </w:rPr>
        <w:t>p</w:t>
      </w:r>
      <w:r w:rsidRPr="00CC10E2" w:rsidR="003C1ED4">
        <w:rPr>
          <w:spacing w:val="-1"/>
        </w:rPr>
        <w:t>art</w:t>
      </w:r>
      <w:r w:rsidRPr="00CC10E2" w:rsidR="003C1ED4">
        <w:t xml:space="preserve"> </w:t>
      </w:r>
      <w:r w:rsidRPr="00CC10E2">
        <w:t xml:space="preserve">112 </w:t>
      </w:r>
      <w:r w:rsidRPr="00CC10E2">
        <w:rPr>
          <w:spacing w:val="-1"/>
        </w:rPr>
        <w:t>apply</w:t>
      </w:r>
      <w:r w:rsidRPr="00CC10E2">
        <w:rPr>
          <w:spacing w:val="-5"/>
        </w:rPr>
        <w:t xml:space="preserve"> </w:t>
      </w:r>
      <w:r w:rsidRPr="00CC10E2">
        <w:t>not only</w:t>
      </w:r>
      <w:r w:rsidRPr="00CC10E2">
        <w:rPr>
          <w:spacing w:val="-5"/>
        </w:rPr>
        <w:t xml:space="preserve"> </w:t>
      </w:r>
      <w:r w:rsidRPr="00CC10E2">
        <w:t xml:space="preserve">to </w:t>
      </w:r>
      <w:r w:rsidRPr="00CC10E2">
        <w:rPr>
          <w:spacing w:val="-1"/>
        </w:rPr>
        <w:t xml:space="preserve">surfaces </w:t>
      </w:r>
      <w:r w:rsidRPr="00CC10E2">
        <w:t>that</w:t>
      </w:r>
      <w:r w:rsidRPr="00CC10E2">
        <w:rPr>
          <w:spacing w:val="-2"/>
        </w:rPr>
        <w:t xml:space="preserve"> </w:t>
      </w:r>
      <w:r w:rsidRPr="00CC10E2">
        <w:rPr>
          <w:spacing w:val="-1"/>
        </w:rPr>
        <w:t>contact</w:t>
      </w:r>
      <w:r w:rsidR="00F37286">
        <w:rPr>
          <w:spacing w:val="-1"/>
        </w:rPr>
        <w:t xml:space="preserve"> </w:t>
      </w:r>
      <w:r w:rsidRPr="00CC10E2">
        <w:t xml:space="preserve">(or drain </w:t>
      </w:r>
      <w:r w:rsidRPr="00CC10E2">
        <w:rPr>
          <w:spacing w:val="-1"/>
        </w:rPr>
        <w:t>onto,</w:t>
      </w:r>
      <w:r w:rsidRPr="00CC10E2">
        <w:t xml:space="preserve"> or </w:t>
      </w:r>
      <w:r w:rsidRPr="00CC10E2">
        <w:rPr>
          <w:spacing w:val="-1"/>
        </w:rPr>
        <w:t>otherwise</w:t>
      </w:r>
      <w:r w:rsidRPr="00CC10E2">
        <w:rPr>
          <w:spacing w:val="1"/>
        </w:rPr>
        <w:t xml:space="preserve"> </w:t>
      </w:r>
      <w:r w:rsidRPr="00CC10E2">
        <w:rPr>
          <w:spacing w:val="-1"/>
        </w:rPr>
        <w:t>transfer</w:t>
      </w:r>
      <w:r w:rsidRPr="00CC10E2">
        <w:t xml:space="preserve"> </w:t>
      </w:r>
      <w:r w:rsidRPr="00CC10E2">
        <w:rPr>
          <w:spacing w:val="-1"/>
        </w:rPr>
        <w:t>onto)</w:t>
      </w:r>
      <w:r w:rsidRPr="00CC10E2">
        <w:t xml:space="preserve"> </w:t>
      </w:r>
      <w:r w:rsidRPr="00CC10E2">
        <w:rPr>
          <w:spacing w:val="-1"/>
        </w:rPr>
        <w:t xml:space="preserve">sprouts themselves </w:t>
      </w:r>
      <w:r w:rsidRPr="00CC10E2">
        <w:t>but</w:t>
      </w:r>
      <w:r w:rsidRPr="00CC10E2">
        <w:rPr>
          <w:spacing w:val="-2"/>
        </w:rPr>
        <w:t xml:space="preserve"> </w:t>
      </w:r>
      <w:r w:rsidRPr="00CC10E2">
        <w:rPr>
          <w:spacing w:val="-1"/>
        </w:rPr>
        <w:t>also</w:t>
      </w:r>
      <w:r w:rsidRPr="00CC10E2">
        <w:t xml:space="preserve"> to those that contact </w:t>
      </w:r>
      <w:r w:rsidRPr="00CC10E2">
        <w:rPr>
          <w:spacing w:val="-1"/>
        </w:rPr>
        <w:t>seeds used</w:t>
      </w:r>
      <w:r w:rsidRPr="00CC10E2">
        <w:t xml:space="preserve"> to </w:t>
      </w:r>
      <w:r w:rsidRPr="00CC10E2">
        <w:rPr>
          <w:spacing w:val="-1"/>
        </w:rPr>
        <w:t>grow sprouts.</w:t>
      </w:r>
      <w:r w:rsidRPr="00CC10E2">
        <w:t xml:space="preserve"> In a sprouting operation, FCSs include, for example: trays or drums used for sprouting; interior surfaces of containers used for seed rinsing, seed treatment, and pre-germination seed soaking; and counters that </w:t>
      </w:r>
      <w:r w:rsidRPr="00CC10E2">
        <w:t>come into contact with</w:t>
      </w:r>
      <w:r w:rsidRPr="00CC10E2">
        <w:t xml:space="preserve"> sprouts during packing and/or packaging.  </w:t>
      </w:r>
    </w:p>
    <w:bookmarkEnd w:id="27"/>
    <w:p w:rsidR="00191DF8" w:rsidRPr="00CC10E2" w:rsidP="00E47C04" w14:paraId="74FFAC67" w14:textId="20D3AC73">
      <w:pPr>
        <w:pStyle w:val="GuidanceParagraph"/>
      </w:pPr>
      <w:r w:rsidRPr="00CC10E2">
        <w:t xml:space="preserve">It is possible that not </w:t>
      </w:r>
      <w:r w:rsidRPr="00CC10E2">
        <w:t>all</w:t>
      </w:r>
      <w:r w:rsidRPr="00CC10E2">
        <w:rPr>
          <w:spacing w:val="-2"/>
        </w:rPr>
        <w:t xml:space="preserve"> of</w:t>
      </w:r>
      <w:r w:rsidRPr="00CC10E2">
        <w:rPr>
          <w:spacing w:val="-2"/>
        </w:rPr>
        <w:t xml:space="preserve"> your </w:t>
      </w:r>
      <w:r w:rsidRPr="00CC10E2">
        <w:t>water uses meet</w:t>
      </w:r>
      <w:r w:rsidRPr="00CC10E2">
        <w:rPr>
          <w:spacing w:val="-2"/>
        </w:rPr>
        <w:t xml:space="preserve"> </w:t>
      </w:r>
      <w:r w:rsidRPr="00CC10E2">
        <w:t>the</w:t>
      </w:r>
      <w:r w:rsidRPr="00CC10E2">
        <w:rPr>
          <w:spacing w:val="1"/>
        </w:rPr>
        <w:t xml:space="preserve"> </w:t>
      </w:r>
      <w:r w:rsidRPr="00CC10E2">
        <w:t>definition of</w:t>
      </w:r>
      <w:r w:rsidRPr="00CC10E2">
        <w:rPr>
          <w:spacing w:val="-3"/>
        </w:rPr>
        <w:t xml:space="preserve"> </w:t>
      </w:r>
      <w:r w:rsidRPr="00CC10E2">
        <w:t xml:space="preserve">“agricultural water.” </w:t>
      </w:r>
      <w:r w:rsidRPr="00CC10E2">
        <w:rPr>
          <w:spacing w:val="-2"/>
        </w:rPr>
        <w:t>For</w:t>
      </w:r>
      <w:r w:rsidRPr="00CC10E2">
        <w:t xml:space="preserve"> example, water that you use to </w:t>
      </w:r>
      <w:r w:rsidRPr="00CC10E2">
        <w:rPr>
          <w:spacing w:val="-2"/>
        </w:rPr>
        <w:t>wash</w:t>
      </w:r>
      <w:r w:rsidRPr="00CC10E2">
        <w:t xml:space="preserve"> the</w:t>
      </w:r>
      <w:r w:rsidRPr="00CC10E2">
        <w:rPr>
          <w:spacing w:val="65"/>
        </w:rPr>
        <w:t xml:space="preserve"> </w:t>
      </w:r>
      <w:r w:rsidRPr="00CC10E2">
        <w:t>exterior of</w:t>
      </w:r>
      <w:r w:rsidRPr="00CC10E2">
        <w:rPr>
          <w:spacing w:val="-3"/>
        </w:rPr>
        <w:t xml:space="preserve"> </w:t>
      </w:r>
      <w:r w:rsidRPr="00CC10E2">
        <w:t>your delivery</w:t>
      </w:r>
      <w:r w:rsidRPr="00CC10E2">
        <w:rPr>
          <w:spacing w:val="-3"/>
        </w:rPr>
        <w:t xml:space="preserve"> </w:t>
      </w:r>
      <w:r w:rsidRPr="00CC10E2">
        <w:t>vehicle</w:t>
      </w:r>
      <w:r w:rsidRPr="00CC10E2">
        <w:rPr>
          <w:spacing w:val="-2"/>
        </w:rPr>
        <w:t xml:space="preserve"> </w:t>
      </w:r>
      <w:r w:rsidRPr="00CC10E2">
        <w:t>would not be considered “agricultural water”</w:t>
      </w:r>
      <w:r w:rsidRPr="00CC10E2">
        <w:rPr>
          <w:spacing w:val="1"/>
        </w:rPr>
        <w:t xml:space="preserve"> </w:t>
      </w:r>
      <w:r w:rsidRPr="00CC10E2">
        <w:t>(</w:t>
      </w:r>
      <w:r w:rsidRPr="00CC10E2">
        <w:t>assuming</w:t>
      </w:r>
      <w:r w:rsidRPr="00CC10E2">
        <w:rPr>
          <w:spacing w:val="-3"/>
        </w:rPr>
        <w:t xml:space="preserve"> </w:t>
      </w:r>
      <w:r w:rsidRPr="00CC10E2">
        <w:t>that</w:t>
      </w:r>
      <w:r w:rsidRPr="00CC10E2">
        <w:rPr>
          <w:spacing w:val="-2"/>
        </w:rPr>
        <w:t xml:space="preserve"> </w:t>
      </w:r>
      <w:r w:rsidRPr="00CC10E2">
        <w:t>the</w:t>
      </w:r>
      <w:r w:rsidRPr="00CC10E2">
        <w:rPr>
          <w:spacing w:val="1"/>
        </w:rPr>
        <w:t xml:space="preserve"> </w:t>
      </w:r>
      <w:r w:rsidRPr="00CC10E2">
        <w:t>vehicle</w:t>
      </w:r>
      <w:r w:rsidRPr="00CC10E2">
        <w:rPr>
          <w:spacing w:val="65"/>
        </w:rPr>
        <w:t xml:space="preserve"> </w:t>
      </w:r>
      <w:r w:rsidRPr="00CC10E2">
        <w:t xml:space="preserve">exterior does not contact the sprouts, and water from the exterior of the vehicle does not drain or transfer to the sprouts). </w:t>
      </w:r>
    </w:p>
    <w:p w:rsidR="00191DF8" w:rsidRPr="003E139E" w:rsidP="00E47C04" w14:paraId="1FD822A5" w14:textId="7896C030">
      <w:pPr>
        <w:pStyle w:val="GuidanceParagraph"/>
      </w:pPr>
      <w:r>
        <w:t xml:space="preserve">This </w:t>
      </w:r>
      <w:r w:rsidR="000C02F8">
        <w:t>section</w:t>
      </w:r>
      <w:r>
        <w:t xml:space="preserve"> of the guidance is intended to help you understand and comply with some of the agricultural water requirements of the Produce Safety Rule, where water is intended or likely to contact sprouts and FCSs. Here, we provide a limited discussion of only certain provisions of </w:t>
      </w:r>
      <w:r w:rsidR="003C1ED4">
        <w:t xml:space="preserve">part </w:t>
      </w:r>
      <w:r>
        <w:t xml:space="preserve">112 related to agricultural water as they relate to sprout production, most notably the </w:t>
      </w:r>
      <w:r w:rsidR="6B6CBA38">
        <w:t>requirements in Subpart E</w:t>
      </w:r>
      <w:r>
        <w:t xml:space="preserve"> that agricultural water must be safe and of adequate sanitary quality for its intended use (§ 112.41); the numerical microbial quality criterion that is relevant to sprouting operations (§ 112.44(a)); and the related requirements for agricultural water testing frequency (§ 112.46).</w:t>
      </w:r>
      <w:r>
        <w:rPr>
          <w:rStyle w:val="FootnoteReference"/>
        </w:rPr>
        <w:footnoteReference w:id="4"/>
      </w:r>
    </w:p>
    <w:p w:rsidR="00191DF8" w:rsidRPr="005706C0" w:rsidP="00B54009" w14:paraId="79F19486" w14:textId="2439D985">
      <w:pPr>
        <w:pStyle w:val="HHS508GuidanceOutline2"/>
        <w:numPr>
          <w:ilvl w:val="0"/>
          <w:numId w:val="23"/>
        </w:numPr>
      </w:pPr>
      <w:bookmarkStart w:id="28" w:name="_Toc106094930"/>
      <w:r w:rsidRPr="005706C0">
        <w:t>Numerical Microbial Quality Criterion for Agricultural Water Used in a</w:t>
      </w:r>
      <w:r w:rsidRPr="00F756C4">
        <w:rPr>
          <w:spacing w:val="73"/>
        </w:rPr>
        <w:t xml:space="preserve"> </w:t>
      </w:r>
      <w:r w:rsidRPr="005706C0">
        <w:t>Sprouting Operation (§ 112.44(a))</w:t>
      </w:r>
      <w:bookmarkEnd w:id="28"/>
    </w:p>
    <w:p w:rsidR="00191DF8" w:rsidRPr="00CC10E2" w:rsidP="00E47C04" w14:paraId="65B17589" w14:textId="1B5C0F61">
      <w:pPr>
        <w:pStyle w:val="GuidanceParagraph"/>
      </w:pPr>
      <w:r w:rsidRPr="00CC10E2">
        <w:t>Certain uses of</w:t>
      </w:r>
      <w:r w:rsidRPr="00CC10E2">
        <w:rPr>
          <w:spacing w:val="-3"/>
        </w:rPr>
        <w:t xml:space="preserve"> </w:t>
      </w:r>
      <w:r w:rsidRPr="00CC10E2">
        <w:t>“agricultural water”</w:t>
      </w:r>
      <w:r w:rsidRPr="00CC10E2">
        <w:rPr>
          <w:spacing w:val="1"/>
        </w:rPr>
        <w:t xml:space="preserve"> </w:t>
      </w:r>
      <w:r w:rsidRPr="00CC10E2">
        <w:t>(including water used in growing</w:t>
      </w:r>
      <w:r w:rsidRPr="00CC10E2">
        <w:rPr>
          <w:spacing w:val="-3"/>
        </w:rPr>
        <w:t xml:space="preserve"> </w:t>
      </w:r>
      <w:r w:rsidRPr="00CC10E2">
        <w:t>sprouts)</w:t>
      </w:r>
      <w:r w:rsidRPr="00CC10E2">
        <w:rPr>
          <w:spacing w:val="-3"/>
        </w:rPr>
        <w:t xml:space="preserve"> </w:t>
      </w:r>
      <w:r w:rsidRPr="00CC10E2">
        <w:t>are</w:t>
      </w:r>
      <w:r w:rsidRPr="00CC10E2">
        <w:rPr>
          <w:spacing w:val="1"/>
        </w:rPr>
        <w:t xml:space="preserve"> </w:t>
      </w:r>
      <w:r w:rsidRPr="00CC10E2">
        <w:t>subject</w:t>
      </w:r>
      <w:r w:rsidRPr="00CC10E2">
        <w:rPr>
          <w:spacing w:val="-2"/>
        </w:rPr>
        <w:t xml:space="preserve"> </w:t>
      </w:r>
      <w:r w:rsidRPr="00CC10E2">
        <w:t>to the</w:t>
      </w:r>
      <w:r w:rsidRPr="00CC10E2">
        <w:rPr>
          <w:spacing w:val="-2"/>
        </w:rPr>
        <w:t xml:space="preserve"> </w:t>
      </w:r>
      <w:r w:rsidRPr="00CC10E2">
        <w:t>microbial</w:t>
      </w:r>
      <w:r w:rsidR="00F37286">
        <w:t xml:space="preserve"> </w:t>
      </w:r>
      <w:r w:rsidRPr="00CC10E2">
        <w:t>water quality</w:t>
      </w:r>
      <w:r w:rsidRPr="00CC10E2">
        <w:rPr>
          <w:spacing w:val="-5"/>
        </w:rPr>
        <w:t xml:space="preserve"> </w:t>
      </w:r>
      <w:r w:rsidRPr="00CC10E2">
        <w:t>requirement</w:t>
      </w:r>
      <w:r w:rsidRPr="00CC10E2">
        <w:rPr>
          <w:spacing w:val="-2"/>
        </w:rPr>
        <w:t xml:space="preserve"> </w:t>
      </w:r>
      <w:r w:rsidRPr="00CC10E2">
        <w:t>of</w:t>
      </w:r>
      <w:r w:rsidRPr="00CC10E2">
        <w:rPr>
          <w:spacing w:val="-3"/>
        </w:rPr>
        <w:t xml:space="preserve"> </w:t>
      </w:r>
      <w:r w:rsidRPr="00CC10E2">
        <w:t>no detectable</w:t>
      </w:r>
      <w:r w:rsidRPr="00CC10E2">
        <w:rPr>
          <w:spacing w:val="1"/>
        </w:rPr>
        <w:t xml:space="preserve"> </w:t>
      </w:r>
      <w:r w:rsidRPr="00CC10E2">
        <w:t>generic</w:t>
      </w:r>
      <w:r w:rsidRPr="00CC10E2">
        <w:rPr>
          <w:spacing w:val="-2"/>
        </w:rPr>
        <w:t xml:space="preserve"> </w:t>
      </w:r>
      <w:r w:rsidRPr="00CC10E2">
        <w:rPr>
          <w:i/>
        </w:rPr>
        <w:t xml:space="preserve">E. coli </w:t>
      </w:r>
      <w:r w:rsidRPr="00CC10E2">
        <w:t>per 100</w:t>
      </w:r>
      <w:r w:rsidRPr="00CC10E2">
        <w:rPr>
          <w:spacing w:val="-3"/>
        </w:rPr>
        <w:t xml:space="preserve"> </w:t>
      </w:r>
      <w:r w:rsidRPr="00CC10E2">
        <w:t xml:space="preserve">mL prescribed by § 112.44(a). </w:t>
      </w:r>
      <w:r w:rsidRPr="00CC10E2">
        <w:rPr>
          <w:spacing w:val="-2"/>
        </w:rPr>
        <w:t>We</w:t>
      </w:r>
      <w:r w:rsidRPr="00CC10E2">
        <w:rPr>
          <w:spacing w:val="1"/>
        </w:rPr>
        <w:t xml:space="preserve"> </w:t>
      </w:r>
      <w:r w:rsidRPr="00CC10E2">
        <w:t>are</w:t>
      </w:r>
      <w:r w:rsidRPr="00CC10E2">
        <w:rPr>
          <w:spacing w:val="1"/>
        </w:rPr>
        <w:t xml:space="preserve"> </w:t>
      </w:r>
      <w:r w:rsidRPr="00CC10E2">
        <w:t>not aware</w:t>
      </w:r>
      <w:r w:rsidRPr="00CC10E2">
        <w:rPr>
          <w:spacing w:val="1"/>
        </w:rPr>
        <w:t xml:space="preserve"> </w:t>
      </w:r>
      <w:r w:rsidRPr="00CC10E2">
        <w:t>of</w:t>
      </w:r>
      <w:r w:rsidRPr="00CC10E2">
        <w:rPr>
          <w:spacing w:val="-3"/>
        </w:rPr>
        <w:t xml:space="preserve"> </w:t>
      </w:r>
      <w:r w:rsidRPr="00CC10E2">
        <w:t>any commonly used agricultural water applications in</w:t>
      </w:r>
      <w:r w:rsidRPr="005844DD" w:rsidR="00B376B7">
        <w:t xml:space="preserve"> </w:t>
      </w:r>
      <w:r w:rsidRPr="00CC10E2">
        <w:t>sprouting</w:t>
      </w:r>
      <w:r w:rsidRPr="00CC10E2">
        <w:rPr>
          <w:spacing w:val="-3"/>
        </w:rPr>
        <w:t xml:space="preserve"> </w:t>
      </w:r>
      <w:r w:rsidRPr="00CC10E2">
        <w:t>operations that</w:t>
      </w:r>
      <w:r w:rsidRPr="00CC10E2">
        <w:rPr>
          <w:spacing w:val="-2"/>
        </w:rPr>
        <w:t xml:space="preserve"> </w:t>
      </w:r>
      <w:r w:rsidRPr="00CC10E2">
        <w:t>are</w:t>
      </w:r>
      <w:r w:rsidRPr="00CC10E2">
        <w:rPr>
          <w:spacing w:val="1"/>
        </w:rPr>
        <w:t xml:space="preserve"> </w:t>
      </w:r>
      <w:r>
        <w:t xml:space="preserve">not </w:t>
      </w:r>
      <w:r w:rsidRPr="00CC10E2">
        <w:t>subject to this microbial water quality requirement. Agricultural water uses in sprouting operations that are subject to this standard include instances where water is:</w:t>
      </w:r>
    </w:p>
    <w:p w:rsidR="00191DF8" w:rsidRPr="00C730D4" w:rsidP="00690C44" w14:paraId="63F702E7" w14:textId="77777777">
      <w:pPr>
        <w:pStyle w:val="GuidanceBulletLevel1"/>
      </w:pPr>
      <w:bookmarkStart w:id="29" w:name="_Hlk33621950"/>
      <w:r w:rsidRPr="00CC10E2">
        <w:t>Used as sprout irrigation</w:t>
      </w:r>
      <w:r w:rsidRPr="00CC10E2">
        <w:rPr>
          <w:spacing w:val="-3"/>
        </w:rPr>
        <w:t xml:space="preserve"> </w:t>
      </w:r>
      <w:r w:rsidRPr="00CC10E2">
        <w:t>water (§ 112.44(a)(1)</w:t>
      </w:r>
      <w:r w:rsidRPr="00CC10E2">
        <w:t>);</w:t>
      </w:r>
    </w:p>
    <w:p w:rsidR="00191DF8" w:rsidRPr="001D7AD3" w:rsidP="00690C44" w14:paraId="1637349B" w14:textId="23817FF4">
      <w:pPr>
        <w:pStyle w:val="GuidanceBulletLevel1"/>
      </w:pPr>
      <w:r w:rsidRPr="00CC10E2">
        <w:t>Applied</w:t>
      </w:r>
      <w:r w:rsidRPr="00CC10E2">
        <w:rPr>
          <w:spacing w:val="-3"/>
        </w:rPr>
        <w:t xml:space="preserve"> </w:t>
      </w:r>
      <w:r w:rsidRPr="00CC10E2">
        <w:t>in any</w:t>
      </w:r>
      <w:r w:rsidRPr="00CC10E2">
        <w:rPr>
          <w:spacing w:val="-5"/>
        </w:rPr>
        <w:t xml:space="preserve"> </w:t>
      </w:r>
      <w:r w:rsidRPr="00CC10E2">
        <w:t>manner that directly</w:t>
      </w:r>
      <w:r w:rsidRPr="00CC10E2">
        <w:rPr>
          <w:spacing w:val="-5"/>
        </w:rPr>
        <w:t xml:space="preserve"> </w:t>
      </w:r>
      <w:r w:rsidRPr="00CC10E2">
        <w:t>contacts covered</w:t>
      </w:r>
      <w:r w:rsidRPr="00CC10E2">
        <w:rPr>
          <w:spacing w:val="-3"/>
        </w:rPr>
        <w:t xml:space="preserve"> </w:t>
      </w:r>
      <w:r w:rsidRPr="00CC10E2">
        <w:t>produce</w:t>
      </w:r>
      <w:r w:rsidRPr="00CC10E2">
        <w:rPr>
          <w:spacing w:val="1"/>
        </w:rPr>
        <w:t xml:space="preserve"> </w:t>
      </w:r>
      <w:r w:rsidRPr="00CC10E2">
        <w:t>during</w:t>
      </w:r>
      <w:r w:rsidRPr="00CC10E2">
        <w:rPr>
          <w:spacing w:val="-3"/>
        </w:rPr>
        <w:t xml:space="preserve"> </w:t>
      </w:r>
      <w:r w:rsidRPr="00CC10E2">
        <w:t>or after harvest</w:t>
      </w:r>
      <w:r w:rsidRPr="00CC10E2">
        <w:rPr>
          <w:spacing w:val="39"/>
        </w:rPr>
        <w:t xml:space="preserve"> </w:t>
      </w:r>
      <w:r w:rsidRPr="00CC10E2">
        <w:t>activities (e.g., water that</w:t>
      </w:r>
      <w:r w:rsidRPr="00CC10E2">
        <w:rPr>
          <w:spacing w:val="-2"/>
        </w:rPr>
        <w:t xml:space="preserve"> </w:t>
      </w:r>
      <w:r w:rsidRPr="00CC10E2">
        <w:t>is applied</w:t>
      </w:r>
      <w:r w:rsidRPr="00CC10E2">
        <w:rPr>
          <w:spacing w:val="-3"/>
        </w:rPr>
        <w:t xml:space="preserve"> </w:t>
      </w:r>
      <w:r w:rsidRPr="00CC10E2">
        <w:t>to covered produce</w:t>
      </w:r>
      <w:r w:rsidRPr="00CC10E2">
        <w:rPr>
          <w:spacing w:val="1"/>
        </w:rPr>
        <w:t xml:space="preserve"> </w:t>
      </w:r>
      <w:r w:rsidRPr="00CC10E2">
        <w:t>for washing</w:t>
      </w:r>
      <w:r w:rsidRPr="00CC10E2">
        <w:rPr>
          <w:spacing w:val="-3"/>
        </w:rPr>
        <w:t xml:space="preserve"> </w:t>
      </w:r>
      <w:r w:rsidRPr="00CC10E2">
        <w:t>or cooling</w:t>
      </w:r>
      <w:r w:rsidRPr="00CC10E2">
        <w:rPr>
          <w:spacing w:val="61"/>
        </w:rPr>
        <w:t xml:space="preserve"> </w:t>
      </w:r>
      <w:r w:rsidRPr="00CC10E2">
        <w:t>activities, such as at entry to a wash tank,</w:t>
      </w:r>
      <w:r w:rsidRPr="00CC10E2">
        <w:rPr>
          <w:spacing w:val="-3"/>
        </w:rPr>
        <w:t xml:space="preserve"> </w:t>
      </w:r>
      <w:r w:rsidRPr="00CC10E2">
        <w:t>and water that</w:t>
      </w:r>
      <w:r w:rsidRPr="00CC10E2">
        <w:rPr>
          <w:spacing w:val="-2"/>
        </w:rPr>
        <w:t xml:space="preserve"> </w:t>
      </w:r>
      <w:r w:rsidRPr="00CC10E2">
        <w:t xml:space="preserve">is applied to harvested crops to prevent </w:t>
      </w:r>
      <w:r w:rsidRPr="00CC10E2">
        <w:t>dehydration before</w:t>
      </w:r>
      <w:r w:rsidRPr="00CC10E2">
        <w:rPr>
          <w:spacing w:val="1"/>
        </w:rPr>
        <w:t xml:space="preserve"> </w:t>
      </w:r>
      <w:r w:rsidRPr="00CC10E2">
        <w:t>cooling),</w:t>
      </w:r>
      <w:r w:rsidRPr="00CC10E2">
        <w:rPr>
          <w:spacing w:val="59"/>
        </w:rPr>
        <w:t xml:space="preserve"> </w:t>
      </w:r>
      <w:r w:rsidRPr="00CC10E2">
        <w:t>including</w:t>
      </w:r>
      <w:r w:rsidRPr="00CC10E2">
        <w:rPr>
          <w:spacing w:val="-3"/>
        </w:rPr>
        <w:t xml:space="preserve"> </w:t>
      </w:r>
      <w:r w:rsidRPr="00CC10E2">
        <w:t>when used to</w:t>
      </w:r>
      <w:r w:rsidRPr="00CC10E2">
        <w:rPr>
          <w:spacing w:val="-3"/>
        </w:rPr>
        <w:t xml:space="preserve"> </w:t>
      </w:r>
      <w:r w:rsidRPr="00CC10E2">
        <w:t>make</w:t>
      </w:r>
      <w:r w:rsidRPr="00CC10E2">
        <w:rPr>
          <w:spacing w:val="1"/>
        </w:rPr>
        <w:t xml:space="preserve"> </w:t>
      </w:r>
      <w:r w:rsidRPr="00CC10E2">
        <w:t>ice</w:t>
      </w:r>
      <w:r w:rsidRPr="00CC10E2">
        <w:rPr>
          <w:spacing w:val="-2"/>
        </w:rPr>
        <w:t xml:space="preserve"> </w:t>
      </w:r>
      <w:r w:rsidRPr="00CC10E2">
        <w:t>that directly</w:t>
      </w:r>
      <w:r w:rsidRPr="00CC10E2">
        <w:rPr>
          <w:spacing w:val="-5"/>
        </w:rPr>
        <w:t xml:space="preserve"> </w:t>
      </w:r>
      <w:r w:rsidRPr="00CC10E2">
        <w:t>contacts covered produce</w:t>
      </w:r>
      <w:r w:rsidRPr="00CC10E2">
        <w:rPr>
          <w:spacing w:val="1"/>
        </w:rPr>
        <w:t xml:space="preserve"> </w:t>
      </w:r>
      <w:r w:rsidRPr="00CC10E2">
        <w:t>during</w:t>
      </w:r>
      <w:r w:rsidRPr="00CC10E2">
        <w:rPr>
          <w:spacing w:val="-3"/>
        </w:rPr>
        <w:t xml:space="preserve"> </w:t>
      </w:r>
      <w:r w:rsidRPr="00CC10E2">
        <w:t>or after</w:t>
      </w:r>
      <w:r w:rsidRPr="00CC10E2">
        <w:rPr>
          <w:spacing w:val="63"/>
        </w:rPr>
        <w:t xml:space="preserve"> </w:t>
      </w:r>
      <w:r w:rsidRPr="00CC10E2">
        <w:t>harvest activities (§ 112.44(a)(2));</w:t>
      </w:r>
    </w:p>
    <w:p w:rsidR="00191DF8" w:rsidRPr="001D7AD3" w:rsidP="00690C44" w14:paraId="5EE9EC3C" w14:textId="497E7926">
      <w:pPr>
        <w:pStyle w:val="GuidanceBulletLevel1"/>
      </w:pPr>
      <w:r w:rsidRPr="00CC10E2">
        <w:t xml:space="preserve">Used to contact FCSs of equipment and tools used in growing, harvesting, </w:t>
      </w:r>
      <w:r w:rsidRPr="00CC10E2">
        <w:t>packing</w:t>
      </w:r>
      <w:r w:rsidRPr="00CC10E2">
        <w:t xml:space="preserve"> and holding activities of sprouts (see §</w:t>
      </w:r>
      <w:r w:rsidR="00E026CF">
        <w:t xml:space="preserve"> </w:t>
      </w:r>
      <w:r w:rsidRPr="00CC10E2">
        <w:t>112.143(b)), or to</w:t>
      </w:r>
      <w:r w:rsidRPr="00CC10E2">
        <w:rPr>
          <w:spacing w:val="-3"/>
        </w:rPr>
        <w:t xml:space="preserve"> </w:t>
      </w:r>
      <w:r w:rsidRPr="00CC10E2">
        <w:t>make</w:t>
      </w:r>
      <w:r w:rsidRPr="00CC10E2">
        <w:rPr>
          <w:spacing w:val="1"/>
        </w:rPr>
        <w:t xml:space="preserve"> </w:t>
      </w:r>
      <w:r w:rsidRPr="00CC10E2">
        <w:t>ice</w:t>
      </w:r>
      <w:r w:rsidRPr="00CC10E2">
        <w:rPr>
          <w:spacing w:val="1"/>
        </w:rPr>
        <w:t xml:space="preserve"> </w:t>
      </w:r>
      <w:r w:rsidRPr="00CC10E2">
        <w:t xml:space="preserve">that will contact FCSs </w:t>
      </w:r>
      <w:bookmarkStart w:id="30" w:name="_Hlk40792421"/>
      <w:r w:rsidRPr="00CC10E2">
        <w:t>(§</w:t>
      </w:r>
      <w:r w:rsidRPr="00CC10E2">
        <w:rPr>
          <w:spacing w:val="55"/>
        </w:rPr>
        <w:t xml:space="preserve"> </w:t>
      </w:r>
      <w:r w:rsidRPr="00CC10E2">
        <w:t>112.44(a)(3))</w:t>
      </w:r>
      <w:bookmarkEnd w:id="30"/>
      <w:r w:rsidRPr="00CC10E2">
        <w:t>; and</w:t>
      </w:r>
    </w:p>
    <w:p w:rsidR="00191DF8" w:rsidRPr="001D7AD3" w:rsidP="00690C44" w14:paraId="4F18900A" w14:textId="77777777">
      <w:pPr>
        <w:pStyle w:val="GuidanceBulletLevel1"/>
      </w:pPr>
      <w:r w:rsidRPr="00CC10E2">
        <w:t>Used for washing</w:t>
      </w:r>
      <w:r w:rsidRPr="00CC10E2">
        <w:rPr>
          <w:spacing w:val="-3"/>
        </w:rPr>
        <w:t xml:space="preserve"> </w:t>
      </w:r>
      <w:r w:rsidRPr="00CC10E2">
        <w:t>hands (i.e., during</w:t>
      </w:r>
      <w:r w:rsidRPr="00CC10E2">
        <w:rPr>
          <w:spacing w:val="-3"/>
        </w:rPr>
        <w:t xml:space="preserve"> </w:t>
      </w:r>
      <w:r w:rsidRPr="00CC10E2">
        <w:t>and after harvest activities (§ 112.44(a)(4)</w:t>
      </w:r>
      <w:r w:rsidRPr="00CC10E2">
        <w:t>),</w:t>
      </w:r>
      <w:r w:rsidRPr="00CC10E2">
        <w:rPr>
          <w:spacing w:val="-3"/>
        </w:rPr>
        <w:t xml:space="preserve"> </w:t>
      </w:r>
      <w:r w:rsidRPr="00CC10E2">
        <w:t>and</w:t>
      </w:r>
      <w:r w:rsidRPr="00CC10E2">
        <w:rPr>
          <w:spacing w:val="63"/>
        </w:rPr>
        <w:t xml:space="preserve"> </w:t>
      </w:r>
      <w:r w:rsidRPr="00CC10E2">
        <w:t>supplied</w:t>
      </w:r>
      <w:r w:rsidRPr="00CC10E2">
        <w:rPr>
          <w:spacing w:val="-3"/>
        </w:rPr>
        <w:t xml:space="preserve"> </w:t>
      </w:r>
      <w:r w:rsidRPr="00CC10E2">
        <w:t>to hand-washing</w:t>
      </w:r>
      <w:r w:rsidRPr="00CC10E2">
        <w:rPr>
          <w:spacing w:val="-3"/>
        </w:rPr>
        <w:t xml:space="preserve"> </w:t>
      </w:r>
      <w:r w:rsidRPr="00CC10E2">
        <w:t>facilities</w:t>
      </w:r>
      <w:r w:rsidRPr="00CC10E2">
        <w:rPr>
          <w:spacing w:val="-4"/>
        </w:rPr>
        <w:t xml:space="preserve"> </w:t>
      </w:r>
      <w:r w:rsidRPr="00CC10E2">
        <w:t>at sprouting</w:t>
      </w:r>
      <w:r w:rsidRPr="00CC10E2">
        <w:rPr>
          <w:spacing w:val="-3"/>
        </w:rPr>
        <w:t xml:space="preserve"> </w:t>
      </w:r>
      <w:r w:rsidRPr="00CC10E2">
        <w:t>operations,</w:t>
      </w:r>
      <w:r w:rsidRPr="00CC10E2">
        <w:rPr>
          <w:spacing w:val="-3"/>
        </w:rPr>
        <w:t xml:space="preserve"> </w:t>
      </w:r>
      <w:r w:rsidRPr="00CC10E2">
        <w:t>including</w:t>
      </w:r>
      <w:r w:rsidRPr="00CC10E2">
        <w:rPr>
          <w:spacing w:val="-3"/>
        </w:rPr>
        <w:t xml:space="preserve"> </w:t>
      </w:r>
      <w:r w:rsidRPr="00CC10E2">
        <w:t>water used for hand-washing</w:t>
      </w:r>
      <w:r w:rsidRPr="00CC10E2">
        <w:rPr>
          <w:spacing w:val="-3"/>
        </w:rPr>
        <w:t xml:space="preserve"> </w:t>
      </w:r>
      <w:r w:rsidRPr="00CC10E2">
        <w:t>during growing</w:t>
      </w:r>
      <w:r w:rsidRPr="00CC10E2">
        <w:rPr>
          <w:spacing w:val="-3"/>
        </w:rPr>
        <w:t xml:space="preserve"> </w:t>
      </w:r>
      <w:r w:rsidRPr="00CC10E2">
        <w:t>activities (see</w:t>
      </w:r>
      <w:r w:rsidRPr="00CC10E2">
        <w:rPr>
          <w:spacing w:val="1"/>
        </w:rPr>
        <w:t xml:space="preserve"> </w:t>
      </w:r>
      <w:r w:rsidRPr="00CC10E2">
        <w:t>§</w:t>
      </w:r>
      <w:r w:rsidRPr="00CC10E2">
        <w:rPr>
          <w:spacing w:val="-3"/>
        </w:rPr>
        <w:t xml:space="preserve"> </w:t>
      </w:r>
      <w:r w:rsidRPr="00CC10E2">
        <w:t>112.130(a)</w:t>
      </w:r>
      <w:r w:rsidRPr="00CC10E2">
        <w:rPr>
          <w:spacing w:val="-3"/>
        </w:rPr>
        <w:t xml:space="preserve"> </w:t>
      </w:r>
      <w:r w:rsidRPr="00CC10E2">
        <w:t>and (b)(2); see</w:t>
      </w:r>
      <w:r w:rsidRPr="00CC10E2">
        <w:rPr>
          <w:spacing w:val="-2"/>
        </w:rPr>
        <w:t xml:space="preserve"> </w:t>
      </w:r>
      <w:r w:rsidRPr="00CC10E2">
        <w:t>also § 112.143(a))).</w:t>
      </w:r>
    </w:p>
    <w:bookmarkEnd w:id="29"/>
    <w:p w:rsidR="00191DF8" w:rsidRPr="00CC10E2" w:rsidP="00E47C04" w14:paraId="3D88F41A" w14:textId="0C7C9F4F">
      <w:pPr>
        <w:pStyle w:val="GuidanceParagraph"/>
      </w:pPr>
      <w:r>
        <w:t>F</w:t>
      </w:r>
      <w:r>
        <w:t xml:space="preserve">or sprout operations, § 112.143(a) requires that growing (as well as harvesting, packing, and holding) take place in a </w:t>
      </w:r>
      <w:r>
        <w:t>fully-enclosed</w:t>
      </w:r>
      <w:r>
        <w:t xml:space="preserve"> building. Sections 112.130(a) and (b)(2) require that, for growing that takes place in a </w:t>
      </w:r>
      <w:r>
        <w:t>fully-enclosed</w:t>
      </w:r>
      <w:r>
        <w:t xml:space="preserve"> building, adequate and readily accessible hand-washing facilities must be provided and must be furnished with water that satisfies the § 112.44(a) microbial quality criterion.</w:t>
      </w:r>
      <w:r w:rsidR="00F91213">
        <w:t xml:space="preserve"> </w:t>
      </w:r>
      <w:r w:rsidR="00921283">
        <w:t>T</w:t>
      </w:r>
      <w:r w:rsidR="00FE36A5">
        <w:t xml:space="preserve">he rule requires that </w:t>
      </w:r>
      <w:r>
        <w:t>water used for hand washing during all phases of sprout operations must meet the § 112.44(a) microbial quality criterion.</w:t>
      </w:r>
    </w:p>
    <w:p w:rsidR="00191DF8" w:rsidRPr="00CC10E2" w:rsidP="00E47C04" w14:paraId="6685E9EE" w14:textId="2A326526">
      <w:pPr>
        <w:pStyle w:val="GuidanceParagraph"/>
      </w:pPr>
      <w:r w:rsidRPr="00CC10E2">
        <w:t xml:space="preserve">Sprout operations use different types of growing units, such as rotating drums, bins, tanks, and racks of trays. These growing units may use different methods to irrigate the sprouts, such as overhead intermittent sprays. Water for </w:t>
      </w:r>
      <w:r w:rsidRPr="00CC10E2">
        <w:t>all of</w:t>
      </w:r>
      <w:r w:rsidRPr="00CC10E2">
        <w:t xml:space="preserve"> the irrigation methods </w:t>
      </w:r>
      <w:r w:rsidR="000F0152">
        <w:t xml:space="preserve">used to irrigate sprouts </w:t>
      </w:r>
      <w:r w:rsidRPr="00CC10E2">
        <w:t xml:space="preserve">must meet </w:t>
      </w:r>
      <w:bookmarkStart w:id="31" w:name="_Hlk40792203"/>
      <w:r w:rsidRPr="00CC10E2">
        <w:t xml:space="preserve">the microbial quality criterion in § 112.44(a), and related requirements elsewhere in Subpart E (§ </w:t>
      </w:r>
      <w:r w:rsidRPr="00CC10E2">
        <w:rPr>
          <w:spacing w:val="-1"/>
        </w:rPr>
        <w:t>112.44(a)(1))</w:t>
      </w:r>
      <w:bookmarkEnd w:id="31"/>
      <w:r w:rsidRPr="00CC10E2">
        <w:t xml:space="preserve">. </w:t>
      </w:r>
    </w:p>
    <w:p w:rsidR="00191DF8" w:rsidRPr="00CC10E2" w:rsidP="00E47C04" w14:paraId="64452BF3" w14:textId="08FA5603">
      <w:pPr>
        <w:pStyle w:val="GuidanceParagraph"/>
      </w:pPr>
      <w:r w:rsidRPr="00CC10E2">
        <w:t>After sprouts are removed from the growing unit, some sprout operations wash sprouts with cool water to remove hulls and/or to help lower the temperature of the sprouts. Some operations use a bubbling water bath to loosen and float off hulls. Occasionally, sprouts are washed in recirculating water in a flume system.</w:t>
      </w:r>
      <w:r w:rsidRPr="00CC10E2">
        <w:t xml:space="preserve"> The water used in </w:t>
      </w:r>
      <w:r w:rsidRPr="00CC10E2">
        <w:t>all of</w:t>
      </w:r>
      <w:r w:rsidRPr="00CC10E2">
        <w:t xml:space="preserve"> these applications must meet the microbial quality criterion in § 112.44(a), and related requirements elsewhere in Subpart E</w:t>
      </w:r>
      <w:r w:rsidRPr="00CC10E2">
        <w:rPr>
          <w:spacing w:val="-1"/>
        </w:rPr>
        <w:t xml:space="preserve">. </w:t>
      </w:r>
      <w:r w:rsidRPr="00CC10E2">
        <w:t>There are also additional requirements at § 112.48 for maintaining and monitoring the quality of water used during harvest, packing, and holding activities.</w:t>
      </w:r>
    </w:p>
    <w:p w:rsidR="00191DF8" w:rsidRPr="00CC10E2" w:rsidP="00E47C04" w14:paraId="30B7528C" w14:textId="4F775D03">
      <w:pPr>
        <w:pStyle w:val="GuidanceParagraph"/>
      </w:pPr>
      <w:r w:rsidRPr="00CC10E2">
        <w:t xml:space="preserve">Ice may also </w:t>
      </w:r>
      <w:r w:rsidR="00AF598A">
        <w:t xml:space="preserve">be </w:t>
      </w:r>
      <w:r w:rsidRPr="00CC10E2">
        <w:t xml:space="preserve">used during packing and shipping. </w:t>
      </w:r>
      <w:r w:rsidR="00527F95">
        <w:t>W</w:t>
      </w:r>
      <w:r w:rsidRPr="00CC10E2">
        <w:t xml:space="preserve">ater used to make such ice must meet the standard prescribed by </w:t>
      </w:r>
      <w:bookmarkStart w:id="32" w:name="_Hlk35418365"/>
      <w:r w:rsidRPr="00CC10E2">
        <w:t>§ 112.44(a)</w:t>
      </w:r>
      <w:bookmarkEnd w:id="32"/>
      <w:r w:rsidR="00527F95">
        <w:t>(3)</w:t>
      </w:r>
      <w:r w:rsidRPr="00CC10E2">
        <w:t>. If using ice, you should take steps, such as physical separation, to prevent melting ice from spreading from one production batch of sprouts to other production batches of sprouts</w:t>
      </w:r>
      <w:r w:rsidR="001D649C">
        <w:t>,</w:t>
      </w:r>
      <w:r w:rsidRPr="00CC10E2">
        <w:t xml:space="preserve"> or from other products to sprouts</w:t>
      </w:r>
      <w:r w:rsidR="0040098F">
        <w:t xml:space="preserve">, as it may </w:t>
      </w:r>
      <w:r w:rsidR="009907A7">
        <w:t xml:space="preserve">serve as a </w:t>
      </w:r>
      <w:r w:rsidR="0065239D">
        <w:t>source or route of contamination</w:t>
      </w:r>
      <w:r w:rsidRPr="00CC10E2">
        <w:t>. Additionally,</w:t>
      </w:r>
      <w:r w:rsidRPr="00CC10E2">
        <w:rPr>
          <w:spacing w:val="-2"/>
        </w:rPr>
        <w:t xml:space="preserve"> </w:t>
      </w:r>
      <w:r w:rsidRPr="00CC10E2">
        <w:rPr>
          <w:spacing w:val="-1"/>
        </w:rPr>
        <w:t>water</w:t>
      </w:r>
      <w:r w:rsidRPr="00CC10E2">
        <w:t xml:space="preserve"> </w:t>
      </w:r>
      <w:r w:rsidRPr="00CC10E2">
        <w:rPr>
          <w:spacing w:val="-1"/>
        </w:rPr>
        <w:t xml:space="preserve">used for cleaning </w:t>
      </w:r>
      <w:r w:rsidR="00441CE1">
        <w:rPr>
          <w:spacing w:val="-1"/>
        </w:rPr>
        <w:t>FCSs</w:t>
      </w:r>
      <w:r w:rsidRPr="00CC10E2">
        <w:rPr>
          <w:spacing w:val="-1"/>
        </w:rPr>
        <w:t xml:space="preserve"> used for packing and holding sprouts must meet</w:t>
      </w:r>
      <w:r w:rsidRPr="00CC10E2">
        <w:rPr>
          <w:spacing w:val="-2"/>
        </w:rPr>
        <w:t xml:space="preserve"> </w:t>
      </w:r>
      <w:r w:rsidRPr="00CC10E2">
        <w:rPr>
          <w:spacing w:val="-1"/>
        </w:rPr>
        <w:t>the</w:t>
      </w:r>
      <w:r w:rsidRPr="00CC10E2">
        <w:rPr>
          <w:spacing w:val="1"/>
        </w:rPr>
        <w:t xml:space="preserve"> </w:t>
      </w:r>
      <w:r w:rsidRPr="00CC10E2">
        <w:rPr>
          <w:spacing w:val="-1"/>
        </w:rPr>
        <w:t xml:space="preserve">standard in </w:t>
      </w:r>
      <w:r w:rsidRPr="00CC10E2">
        <w:t xml:space="preserve">§ </w:t>
      </w:r>
      <w:r w:rsidRPr="00CC10E2">
        <w:rPr>
          <w:spacing w:val="-1"/>
        </w:rPr>
        <w:t>112.44(a)(3).</w:t>
      </w:r>
      <w:r w:rsidRPr="00CC10E2">
        <w:t xml:space="preserve"> </w:t>
      </w:r>
    </w:p>
    <w:p w:rsidR="00191DF8" w:rsidRPr="00B70948" w:rsidP="00F756C4" w14:paraId="41128E52" w14:textId="3115C234">
      <w:pPr>
        <w:pStyle w:val="HHS508GuidanceOutline2"/>
      </w:pPr>
      <w:bookmarkStart w:id="33" w:name="_Toc106094931"/>
      <w:r>
        <w:t xml:space="preserve">Agricultural Water </w:t>
      </w:r>
      <w:r w:rsidRPr="00B70948">
        <w:t>Source Type and Treatment</w:t>
      </w:r>
      <w:r w:rsidRPr="00B70948">
        <w:rPr>
          <w:spacing w:val="1"/>
        </w:rPr>
        <w:t xml:space="preserve"> </w:t>
      </w:r>
      <w:r w:rsidRPr="00B70948">
        <w:t>Status</w:t>
      </w:r>
      <w:bookmarkEnd w:id="33"/>
      <w:r w:rsidRPr="00B70948">
        <w:rPr>
          <w:spacing w:val="51"/>
        </w:rPr>
        <w:t xml:space="preserve"> </w:t>
      </w:r>
    </w:p>
    <w:p w:rsidR="00191DF8" w:rsidRPr="00CC10E2" w:rsidP="00E47C04" w14:paraId="6ADA676B" w14:textId="4397B9BF">
      <w:pPr>
        <w:pStyle w:val="GuidanceParagraph"/>
      </w:pPr>
      <w:r w:rsidRPr="00CC10E2">
        <w:t xml:space="preserve">You </w:t>
      </w:r>
      <w:r w:rsidR="000A339A">
        <w:t>must</w:t>
      </w:r>
      <w:r w:rsidRPr="00CC10E2" w:rsidR="000A339A">
        <w:t xml:space="preserve"> </w:t>
      </w:r>
      <w:r w:rsidRPr="00CC10E2">
        <w:t>identify the type(s) of agricultural water source(s) used in your operation (e.g., ground water, water from a public water supply), and must inspect your agricultural water sources and distribution systems</w:t>
      </w:r>
      <w:r w:rsidR="001D649C">
        <w:t>,</w:t>
      </w:r>
      <w:r w:rsidRPr="00CC10E2">
        <w:t xml:space="preserve"> to the extent that they are under your control</w:t>
      </w:r>
      <w:r w:rsidR="00245716">
        <w:t>,</w:t>
      </w:r>
      <w:r w:rsidRPr="00CC10E2">
        <w:t xml:space="preserve"> </w:t>
      </w:r>
      <w:r w:rsidRPr="00CC10E2">
        <w:t xml:space="preserve">to identify conditions that are reasonably likely to introduce known or reasonably foreseeable hazards into or onto covered </w:t>
      </w:r>
      <w:r w:rsidRPr="00CC10E2">
        <w:t xml:space="preserve">produce or </w:t>
      </w:r>
      <w:r w:rsidRPr="00CC10E2">
        <w:t>FCSs</w:t>
      </w:r>
      <w:r w:rsidRPr="00CC10E2">
        <w:t xml:space="preserve"> in light of </w:t>
      </w:r>
      <w:r w:rsidRPr="00CC10E2">
        <w:t>your</w:t>
      </w:r>
      <w:r w:rsidRPr="00CC10E2">
        <w:t xml:space="preserve"> covered produce, practices, and conditions</w:t>
      </w:r>
      <w:r w:rsidRPr="00CC10E2">
        <w:t xml:space="preserve"> (§ 112.42(a)). You must adequately maintain these systems (§ 112.42(b)).</w:t>
      </w:r>
    </w:p>
    <w:p w:rsidR="00191DF8" w:rsidRPr="00CC10E2" w:rsidP="00E47C04" w14:paraId="3BE3036A" w14:textId="6BE2BC41">
      <w:pPr>
        <w:pStyle w:val="GuidanceParagraph"/>
      </w:pPr>
      <w:r w:rsidRPr="00CC10E2">
        <w:t xml:space="preserve">Understanding the types of agricultural water sources that you use will help you to determine which requirements of Subpart E are applicable. As explained above, we are not aware of any uses of agricultural water (as defined in § 112.3) common in sprouting operations that are not subject to the microbial quality requirement in § 112.44(a). Therefore, our discussion below focuses on § 112.44(a) and related provisions. </w:t>
      </w:r>
    </w:p>
    <w:p w:rsidR="00191DF8" w:rsidRPr="00CC10E2" w:rsidP="00E47C04" w14:paraId="13E3EF23" w14:textId="65D2AE81">
      <w:pPr>
        <w:pStyle w:val="GuidanceParagraph"/>
      </w:pPr>
      <w:r w:rsidRPr="00CC10E2">
        <w:t>You may not use untreated surface</w:t>
      </w:r>
      <w:r w:rsidRPr="00CC10E2">
        <w:rPr>
          <w:spacing w:val="1"/>
        </w:rPr>
        <w:t xml:space="preserve"> </w:t>
      </w:r>
      <w:r w:rsidRPr="00CC10E2">
        <w:t>water for purposes covered by § 112.44(a), such as for sprout irrigation water (see</w:t>
      </w:r>
      <w:r w:rsidRPr="00CC10E2">
        <w:rPr>
          <w:spacing w:val="1"/>
        </w:rPr>
        <w:t xml:space="preserve"> </w:t>
      </w:r>
      <w:r w:rsidRPr="00CC10E2">
        <w:t>§ 112.44(a)).</w:t>
      </w:r>
      <w:r w:rsidR="00CA7862">
        <w:t xml:space="preserve"> </w:t>
      </w:r>
      <w:r w:rsidRPr="00CC10E2">
        <w:t>The</w:t>
      </w:r>
      <w:r w:rsidRPr="00CC10E2">
        <w:rPr>
          <w:spacing w:val="1"/>
        </w:rPr>
        <w:t xml:space="preserve"> </w:t>
      </w:r>
      <w:r w:rsidRPr="00CC10E2">
        <w:t>definition of</w:t>
      </w:r>
      <w:r w:rsidRPr="00CC10E2">
        <w:rPr>
          <w:spacing w:val="-3"/>
        </w:rPr>
        <w:t xml:space="preserve"> </w:t>
      </w:r>
      <w:r w:rsidRPr="00CC10E2">
        <w:t>“surface</w:t>
      </w:r>
      <w:r w:rsidRPr="00CC10E2">
        <w:rPr>
          <w:spacing w:val="1"/>
        </w:rPr>
        <w:t xml:space="preserve"> </w:t>
      </w:r>
      <w:r w:rsidRPr="00CC10E2">
        <w:t>water”</w:t>
      </w:r>
      <w:r w:rsidRPr="00CC10E2">
        <w:rPr>
          <w:spacing w:val="1"/>
        </w:rPr>
        <w:t xml:space="preserve"> </w:t>
      </w:r>
      <w:r w:rsidRPr="00CC10E2">
        <w:t>appears in</w:t>
      </w:r>
      <w:r w:rsidRPr="00CC10E2">
        <w:rPr>
          <w:spacing w:val="-3"/>
        </w:rPr>
        <w:t xml:space="preserve"> </w:t>
      </w:r>
      <w:r w:rsidRPr="00CC10E2">
        <w:t>§ 112.3</w:t>
      </w:r>
      <w:r w:rsidRPr="00CC10E2">
        <w:rPr>
          <w:spacing w:val="-3"/>
        </w:rPr>
        <w:t xml:space="preserve"> </w:t>
      </w:r>
      <w:r w:rsidRPr="00CC10E2">
        <w:t>and includes, for</w:t>
      </w:r>
      <w:r w:rsidR="00D46CCD">
        <w:t xml:space="preserve"> </w:t>
      </w:r>
      <w:r w:rsidRPr="00CC10E2">
        <w:t xml:space="preserve">example, </w:t>
      </w:r>
      <w:r w:rsidRPr="00CC10E2">
        <w:rPr>
          <w:spacing w:val="-2"/>
        </w:rPr>
        <w:t>water</w:t>
      </w:r>
      <w:r w:rsidRPr="00CC10E2">
        <w:t xml:space="preserve"> from rivers.</w:t>
      </w:r>
    </w:p>
    <w:p w:rsidR="00191DF8" w:rsidRPr="00CC10E2" w:rsidP="00E47C04" w14:paraId="517B9423" w14:textId="4824E224">
      <w:pPr>
        <w:pStyle w:val="GuidanceParagraph"/>
      </w:pPr>
      <w:r w:rsidRPr="00CC10E2">
        <w:t>You may use untreated ground water for purposes covered by § 112.44(a). The</w:t>
      </w:r>
      <w:r w:rsidRPr="00CC10E2">
        <w:rPr>
          <w:spacing w:val="-2"/>
        </w:rPr>
        <w:t xml:space="preserve"> </w:t>
      </w:r>
      <w:r w:rsidRPr="00CC10E2">
        <w:t>definition</w:t>
      </w:r>
      <w:r w:rsidRPr="00CC10E2">
        <w:rPr>
          <w:spacing w:val="-3"/>
        </w:rPr>
        <w:t xml:space="preserve"> </w:t>
      </w:r>
      <w:r w:rsidRPr="00CC10E2">
        <w:t>of</w:t>
      </w:r>
      <w:r w:rsidRPr="00CC10E2">
        <w:rPr>
          <w:spacing w:val="-3"/>
        </w:rPr>
        <w:t xml:space="preserve"> </w:t>
      </w:r>
      <w:r w:rsidRPr="00CC10E2">
        <w:t>“ground water”</w:t>
      </w:r>
      <w:r w:rsidR="00CA7862">
        <w:t xml:space="preserve"> </w:t>
      </w:r>
      <w:r w:rsidRPr="00CC10E2">
        <w:t>appears in § 112.3</w:t>
      </w:r>
      <w:r w:rsidRPr="00CC10E2">
        <w:rPr>
          <w:spacing w:val="-3"/>
        </w:rPr>
        <w:t xml:space="preserve"> </w:t>
      </w:r>
      <w:r w:rsidRPr="00CC10E2">
        <w:t>and includes, for example,</w:t>
      </w:r>
      <w:r w:rsidRPr="00CC10E2">
        <w:rPr>
          <w:spacing w:val="-3"/>
        </w:rPr>
        <w:t xml:space="preserve"> </w:t>
      </w:r>
      <w:r w:rsidRPr="00CC10E2">
        <w:t>water</w:t>
      </w:r>
      <w:r w:rsidRPr="00CC10E2">
        <w:rPr>
          <w:spacing w:val="-3"/>
        </w:rPr>
        <w:t xml:space="preserve"> </w:t>
      </w:r>
      <w:r w:rsidRPr="00CC10E2">
        <w:t>from wells that does not</w:t>
      </w:r>
      <w:r w:rsidRPr="00CC10E2">
        <w:rPr>
          <w:spacing w:val="-2"/>
        </w:rPr>
        <w:t xml:space="preserve"> </w:t>
      </w:r>
      <w:r w:rsidRPr="00CC10E2">
        <w:t>meet the</w:t>
      </w:r>
      <w:r w:rsidRPr="00CC10E2">
        <w:rPr>
          <w:spacing w:val="1"/>
        </w:rPr>
        <w:t xml:space="preserve"> </w:t>
      </w:r>
      <w:r w:rsidRPr="00CC10E2">
        <w:t>definition of</w:t>
      </w:r>
      <w:r w:rsidRPr="00CC10E2">
        <w:rPr>
          <w:spacing w:val="61"/>
        </w:rPr>
        <w:t xml:space="preserve"> </w:t>
      </w:r>
      <w:r w:rsidRPr="00CC10E2">
        <w:t>“surface</w:t>
      </w:r>
      <w:r w:rsidRPr="00CC10E2">
        <w:rPr>
          <w:spacing w:val="1"/>
        </w:rPr>
        <w:t xml:space="preserve"> </w:t>
      </w:r>
      <w:r w:rsidRPr="00CC10E2">
        <w:t>water”</w:t>
      </w:r>
      <w:r w:rsidRPr="00CC10E2">
        <w:rPr>
          <w:spacing w:val="-2"/>
        </w:rPr>
        <w:t xml:space="preserve"> </w:t>
      </w:r>
      <w:r w:rsidRPr="00CC10E2">
        <w:t>(e.g., wells that</w:t>
      </w:r>
      <w:r w:rsidRPr="00CC10E2">
        <w:rPr>
          <w:spacing w:val="-2"/>
        </w:rPr>
        <w:t xml:space="preserve"> </w:t>
      </w:r>
      <w:r w:rsidRPr="00CC10E2">
        <w:t>are</w:t>
      </w:r>
      <w:r w:rsidRPr="00CC10E2">
        <w:rPr>
          <w:spacing w:val="1"/>
        </w:rPr>
        <w:t xml:space="preserve"> </w:t>
      </w:r>
      <w:r w:rsidRPr="00CC10E2">
        <w:t xml:space="preserve">not influenced </w:t>
      </w:r>
      <w:r w:rsidRPr="00CC10E2">
        <w:rPr>
          <w:spacing w:val="-2"/>
        </w:rPr>
        <w:t>by</w:t>
      </w:r>
      <w:r w:rsidRPr="00CC10E2">
        <w:rPr>
          <w:spacing w:val="-3"/>
        </w:rPr>
        <w:t xml:space="preserve"> </w:t>
      </w:r>
      <w:r w:rsidRPr="00CC10E2">
        <w:t>surface</w:t>
      </w:r>
      <w:r w:rsidRPr="00CC10E2">
        <w:rPr>
          <w:spacing w:val="1"/>
        </w:rPr>
        <w:t xml:space="preserve"> </w:t>
      </w:r>
      <w:r w:rsidRPr="00CC10E2">
        <w:t xml:space="preserve">water). </w:t>
      </w:r>
      <w:r w:rsidRPr="00CC10E2">
        <w:rPr>
          <w:spacing w:val="-2"/>
        </w:rPr>
        <w:t>In</w:t>
      </w:r>
      <w:r w:rsidRPr="00CC10E2">
        <w:t xml:space="preserve"> addition to all other</w:t>
      </w:r>
      <w:r w:rsidR="003C78A5">
        <w:t xml:space="preserve"> </w:t>
      </w:r>
      <w:r w:rsidRPr="00CC10E2">
        <w:t>applicable</w:t>
      </w:r>
      <w:r w:rsidRPr="00CC10E2">
        <w:rPr>
          <w:spacing w:val="1"/>
        </w:rPr>
        <w:t xml:space="preserve"> </w:t>
      </w:r>
      <w:r w:rsidRPr="00CC10E2">
        <w:t>requirements of</w:t>
      </w:r>
      <w:r w:rsidRPr="00CC10E2">
        <w:rPr>
          <w:spacing w:val="-3"/>
        </w:rPr>
        <w:t xml:space="preserve"> </w:t>
      </w:r>
      <w:r w:rsidRPr="00CC10E2">
        <w:t>Subpart E</w:t>
      </w:r>
      <w:r w:rsidRPr="00CC10E2">
        <w:rPr>
          <w:spacing w:val="-2"/>
        </w:rPr>
        <w:t xml:space="preserve"> </w:t>
      </w:r>
      <w:r w:rsidRPr="00CC10E2">
        <w:t>that apply</w:t>
      </w:r>
      <w:r w:rsidRPr="00CC10E2">
        <w:rPr>
          <w:spacing w:val="-5"/>
        </w:rPr>
        <w:t xml:space="preserve"> </w:t>
      </w:r>
      <w:r w:rsidRPr="00CC10E2">
        <w:t>to agricultural water generally,</w:t>
      </w:r>
      <w:r w:rsidRPr="00CC10E2">
        <w:rPr>
          <w:spacing w:val="-3"/>
        </w:rPr>
        <w:t xml:space="preserve"> </w:t>
      </w:r>
      <w:r w:rsidRPr="00CC10E2">
        <w:t xml:space="preserve">if </w:t>
      </w:r>
      <w:r w:rsidRPr="00CC10E2">
        <w:rPr>
          <w:spacing w:val="-2"/>
        </w:rPr>
        <w:t>you</w:t>
      </w:r>
      <w:r w:rsidRPr="00CC10E2">
        <w:t xml:space="preserve"> use</w:t>
      </w:r>
      <w:r w:rsidR="00CA7862">
        <w:t xml:space="preserve"> </w:t>
      </w:r>
      <w:r w:rsidRPr="00CC10E2">
        <w:t xml:space="preserve">untreated ground water for purposes covered by § 112.44(a), </w:t>
      </w:r>
      <w:r w:rsidRPr="00CC10E2">
        <w:rPr>
          <w:spacing w:val="-2"/>
        </w:rPr>
        <w:t>you</w:t>
      </w:r>
      <w:r w:rsidRPr="00CC10E2">
        <w:rPr>
          <w:spacing w:val="2"/>
        </w:rPr>
        <w:t xml:space="preserve"> </w:t>
      </w:r>
      <w:r w:rsidRPr="00CC10E2">
        <w:t>must:</w:t>
      </w:r>
    </w:p>
    <w:p w:rsidR="00191DF8" w:rsidRPr="0057528D" w:rsidP="00690C44" w14:paraId="0CEED1FE" w14:textId="3C2F7951">
      <w:pPr>
        <w:pStyle w:val="GuidanceBulletLevel1"/>
      </w:pPr>
      <w:r w:rsidRPr="00CC10E2">
        <w:t>Sample</w:t>
      </w:r>
      <w:r w:rsidRPr="00CC10E2">
        <w:rPr>
          <w:spacing w:val="1"/>
        </w:rPr>
        <w:t xml:space="preserve"> </w:t>
      </w:r>
      <w:r w:rsidRPr="00CC10E2">
        <w:t>and</w:t>
      </w:r>
      <w:r w:rsidRPr="00CC10E2">
        <w:rPr>
          <w:spacing w:val="-3"/>
        </w:rPr>
        <w:t xml:space="preserve"> </w:t>
      </w:r>
      <w:r w:rsidRPr="00CC10E2">
        <w:t xml:space="preserve">test water </w:t>
      </w:r>
      <w:r w:rsidRPr="00CC10E2">
        <w:rPr>
          <w:spacing w:val="-2"/>
        </w:rPr>
        <w:t>from</w:t>
      </w:r>
      <w:r w:rsidRPr="00CC10E2">
        <w:t xml:space="preserve"> each untreated ground</w:t>
      </w:r>
      <w:r w:rsidRPr="00CC10E2">
        <w:rPr>
          <w:spacing w:val="-3"/>
        </w:rPr>
        <w:t xml:space="preserve"> </w:t>
      </w:r>
      <w:r w:rsidRPr="00CC10E2">
        <w:t>water source</w:t>
      </w:r>
      <w:r w:rsidRPr="00CC10E2">
        <w:rPr>
          <w:spacing w:val="1"/>
        </w:rPr>
        <w:t xml:space="preserve"> </w:t>
      </w:r>
      <w:r w:rsidRPr="00CC10E2">
        <w:t>used for such</w:t>
      </w:r>
      <w:r w:rsidRPr="00CC10E2">
        <w:rPr>
          <w:spacing w:val="-3"/>
        </w:rPr>
        <w:t xml:space="preserve"> </w:t>
      </w:r>
      <w:r w:rsidRPr="00CC10E2">
        <w:t>purposes, at</w:t>
      </w:r>
      <w:r w:rsidRPr="00CC10E2">
        <w:rPr>
          <w:spacing w:val="-2"/>
        </w:rPr>
        <w:t xml:space="preserve"> </w:t>
      </w:r>
      <w:r w:rsidRPr="00CC10E2">
        <w:t>the</w:t>
      </w:r>
      <w:r w:rsidR="00CA7862">
        <w:t xml:space="preserve"> </w:t>
      </w:r>
      <w:r w:rsidRPr="00CC10E2">
        <w:t>frequency</w:t>
      </w:r>
      <w:r w:rsidRPr="00CC10E2">
        <w:rPr>
          <w:spacing w:val="-5"/>
        </w:rPr>
        <w:t xml:space="preserve"> </w:t>
      </w:r>
      <w:r w:rsidRPr="00CC10E2">
        <w:t>established in § 112.46(c),</w:t>
      </w:r>
      <w:r w:rsidRPr="00CC10E2">
        <w:rPr>
          <w:spacing w:val="-3"/>
        </w:rPr>
        <w:t xml:space="preserve"> </w:t>
      </w:r>
      <w:r w:rsidRPr="00CC10E2">
        <w:t>and in</w:t>
      </w:r>
      <w:r w:rsidR="00CA7862">
        <w:t xml:space="preserve"> </w:t>
      </w:r>
      <w:r w:rsidRPr="00CC10E2">
        <w:t>compliance</w:t>
      </w:r>
      <w:r w:rsidRPr="00CC10E2">
        <w:rPr>
          <w:spacing w:val="1"/>
        </w:rPr>
        <w:t xml:space="preserve"> </w:t>
      </w:r>
      <w:r w:rsidRPr="00CC10E2">
        <w:t>with the</w:t>
      </w:r>
      <w:r w:rsidRPr="00CC10E2">
        <w:rPr>
          <w:spacing w:val="1"/>
        </w:rPr>
        <w:t xml:space="preserve"> </w:t>
      </w:r>
      <w:r w:rsidRPr="00CC10E2">
        <w:t>methodology</w:t>
      </w:r>
      <w:r w:rsidRPr="00CC10E2">
        <w:rPr>
          <w:spacing w:val="-5"/>
        </w:rPr>
        <w:t xml:space="preserve"> </w:t>
      </w:r>
      <w:r w:rsidRPr="00533A63">
        <w:t>requirements established for both sampling</w:t>
      </w:r>
      <w:r w:rsidRPr="00533A63">
        <w:rPr>
          <w:spacing w:val="-3"/>
        </w:rPr>
        <w:t xml:space="preserve"> </w:t>
      </w:r>
      <w:r w:rsidRPr="00533A63">
        <w:t>and testing</w:t>
      </w:r>
      <w:r w:rsidRPr="00533A63">
        <w:rPr>
          <w:spacing w:val="-3"/>
        </w:rPr>
        <w:t xml:space="preserve"> </w:t>
      </w:r>
      <w:r w:rsidRPr="00533A63">
        <w:t>in</w:t>
      </w:r>
      <w:r w:rsidRPr="00533A63" w:rsidR="00CA7862">
        <w:t xml:space="preserve"> </w:t>
      </w:r>
      <w:r w:rsidRPr="00533A63">
        <w:t>§§ 112.47(b) and 112.151 (see</w:t>
      </w:r>
      <w:r w:rsidRPr="00533A63">
        <w:rPr>
          <w:spacing w:val="-2"/>
        </w:rPr>
        <w:t xml:space="preserve"> </w:t>
      </w:r>
      <w:r w:rsidRPr="00533A63">
        <w:t xml:space="preserve">also </w:t>
      </w:r>
      <w:r w:rsidRPr="00533A63" w:rsidR="00A15B0C">
        <w:t>Section</w:t>
      </w:r>
      <w:r w:rsidRPr="00533A63">
        <w:rPr>
          <w:spacing w:val="-3"/>
        </w:rPr>
        <w:t xml:space="preserve"> </w:t>
      </w:r>
      <w:r w:rsidRPr="00533A63" w:rsidR="006552F2">
        <w:rPr>
          <w:spacing w:val="-3"/>
        </w:rPr>
        <w:t>I</w:t>
      </w:r>
      <w:r w:rsidRPr="00533A63">
        <w:t>V.</w:t>
      </w:r>
      <w:r w:rsidRPr="00533A63" w:rsidR="00C44597">
        <w:t xml:space="preserve"> </w:t>
      </w:r>
      <w:r w:rsidRPr="00533A63">
        <w:t xml:space="preserve">E </w:t>
      </w:r>
      <w:r w:rsidR="00931098">
        <w:t xml:space="preserve">(Agricultural Water Testing Frequency, Sampling, and Test Methods) </w:t>
      </w:r>
      <w:r w:rsidRPr="00533A63">
        <w:t>below</w:t>
      </w:r>
      <w:r w:rsidRPr="00533A63">
        <w:t>);</w:t>
      </w:r>
    </w:p>
    <w:p w:rsidR="006C015A" w:rsidRPr="0057528D" w:rsidP="00690C44" w14:paraId="0742C82A" w14:textId="77777777">
      <w:pPr>
        <w:pStyle w:val="GuidanceBulletLevel1"/>
      </w:pPr>
      <w:r w:rsidRPr="00CC10E2">
        <w:t>If</w:t>
      </w:r>
      <w:r w:rsidRPr="00CC10E2">
        <w:rPr>
          <w:spacing w:val="-3"/>
        </w:rPr>
        <w:t xml:space="preserve"> </w:t>
      </w:r>
      <w:r w:rsidRPr="00CC10E2">
        <w:t>the</w:t>
      </w:r>
      <w:r w:rsidRPr="00CC10E2">
        <w:rPr>
          <w:spacing w:val="1"/>
        </w:rPr>
        <w:t xml:space="preserve"> </w:t>
      </w:r>
      <w:r w:rsidRPr="00CC10E2">
        <w:t>microbial quality</w:t>
      </w:r>
      <w:r w:rsidRPr="00CC10E2">
        <w:rPr>
          <w:spacing w:val="-5"/>
        </w:rPr>
        <w:t xml:space="preserve"> </w:t>
      </w:r>
      <w:r w:rsidRPr="00CC10E2">
        <w:t>criterion</w:t>
      </w:r>
      <w:r w:rsidRPr="00CC10E2">
        <w:rPr>
          <w:spacing w:val="-3"/>
        </w:rPr>
        <w:t xml:space="preserve"> </w:t>
      </w:r>
      <w:r w:rsidRPr="00CC10E2">
        <w:t>(no detectable</w:t>
      </w:r>
      <w:r w:rsidRPr="00CC10E2">
        <w:rPr>
          <w:spacing w:val="1"/>
        </w:rPr>
        <w:t xml:space="preserve"> </w:t>
      </w:r>
      <w:r w:rsidRPr="00CC10E2">
        <w:t>generic</w:t>
      </w:r>
      <w:r w:rsidRPr="00CC10E2">
        <w:rPr>
          <w:spacing w:val="1"/>
        </w:rPr>
        <w:t xml:space="preserve"> </w:t>
      </w:r>
      <w:r w:rsidRPr="00CC10E2">
        <w:rPr>
          <w:i/>
        </w:rPr>
        <w:t>E.</w:t>
      </w:r>
      <w:r w:rsidRPr="00CC10E2">
        <w:rPr>
          <w:i/>
          <w:spacing w:val="-3"/>
        </w:rPr>
        <w:t xml:space="preserve"> </w:t>
      </w:r>
      <w:r w:rsidRPr="00CC10E2">
        <w:rPr>
          <w:i/>
        </w:rPr>
        <w:t xml:space="preserve">coli </w:t>
      </w:r>
      <w:r w:rsidRPr="00CC10E2">
        <w:t xml:space="preserve">in 100 </w:t>
      </w:r>
      <w:r w:rsidRPr="00CC10E2">
        <w:rPr>
          <w:spacing w:val="-2"/>
        </w:rPr>
        <w:t>mL)</w:t>
      </w:r>
      <w:r w:rsidRPr="00CC10E2">
        <w:t xml:space="preserve"> is not met,</w:t>
      </w:r>
      <w:r w:rsidRPr="00CC10E2">
        <w:rPr>
          <w:spacing w:val="41"/>
        </w:rPr>
        <w:t xml:space="preserve"> </w:t>
      </w:r>
      <w:r w:rsidRPr="00CC10E2">
        <w:t>immediately</w:t>
      </w:r>
      <w:r w:rsidRPr="00CC10E2">
        <w:rPr>
          <w:spacing w:val="-5"/>
        </w:rPr>
        <w:t xml:space="preserve"> </w:t>
      </w:r>
      <w:r w:rsidRPr="00CC10E2">
        <w:t>discontinue</w:t>
      </w:r>
      <w:r w:rsidRPr="00CC10E2">
        <w:rPr>
          <w:spacing w:val="1"/>
        </w:rPr>
        <w:t xml:space="preserve"> </w:t>
      </w:r>
      <w:r w:rsidRPr="00CC10E2">
        <w:t>using</w:t>
      </w:r>
      <w:r w:rsidRPr="00CC10E2">
        <w:rPr>
          <w:spacing w:val="-3"/>
        </w:rPr>
        <w:t xml:space="preserve"> </w:t>
      </w:r>
      <w:r w:rsidRPr="00CC10E2">
        <w:t>water from the</w:t>
      </w:r>
      <w:r w:rsidRPr="00CC10E2">
        <w:rPr>
          <w:spacing w:val="-2"/>
        </w:rPr>
        <w:t xml:space="preserve"> </w:t>
      </w:r>
      <w:r w:rsidRPr="00CC10E2">
        <w:t>affected water source</w:t>
      </w:r>
      <w:r w:rsidRPr="00CC10E2">
        <w:rPr>
          <w:spacing w:val="1"/>
        </w:rPr>
        <w:t xml:space="preserve"> </w:t>
      </w:r>
      <w:r w:rsidRPr="00CC10E2">
        <w:t>and/or distribution</w:t>
      </w:r>
      <w:r w:rsidRPr="00CC10E2">
        <w:rPr>
          <w:spacing w:val="75"/>
        </w:rPr>
        <w:t xml:space="preserve"> </w:t>
      </w:r>
      <w:r w:rsidRPr="00CC10E2">
        <w:t>system for any</w:t>
      </w:r>
      <w:r w:rsidRPr="00CC10E2">
        <w:rPr>
          <w:spacing w:val="-5"/>
        </w:rPr>
        <w:t xml:space="preserve"> purpose covered by </w:t>
      </w:r>
      <w:r w:rsidRPr="00CC10E2">
        <w:t>§ 112.44(a), and</w:t>
      </w:r>
      <w:r w:rsidRPr="00CC10E2">
        <w:rPr>
          <w:spacing w:val="-3"/>
        </w:rPr>
        <w:t xml:space="preserve"> </w:t>
      </w:r>
      <w:r w:rsidRPr="00CC10E2">
        <w:t>take</w:t>
      </w:r>
      <w:r w:rsidRPr="00CC10E2">
        <w:rPr>
          <w:spacing w:val="1"/>
        </w:rPr>
        <w:t xml:space="preserve"> </w:t>
      </w:r>
      <w:r w:rsidRPr="00CC10E2">
        <w:t>appropriate</w:t>
      </w:r>
      <w:r w:rsidRPr="00CC10E2">
        <w:rPr>
          <w:spacing w:val="1"/>
        </w:rPr>
        <w:t xml:space="preserve"> </w:t>
      </w:r>
      <w:r w:rsidRPr="00CC10E2">
        <w:t>corrective</w:t>
      </w:r>
      <w:r w:rsidRPr="00CC10E2">
        <w:rPr>
          <w:spacing w:val="1"/>
        </w:rPr>
        <w:t xml:space="preserve"> </w:t>
      </w:r>
      <w:r w:rsidRPr="00CC10E2">
        <w:t>measures</w:t>
      </w:r>
      <w:r w:rsidRPr="00CC10E2">
        <w:rPr>
          <w:spacing w:val="-4"/>
        </w:rPr>
        <w:t xml:space="preserve"> </w:t>
      </w:r>
      <w:r w:rsidRPr="00CC10E2">
        <w:t>before</w:t>
      </w:r>
      <w:r w:rsidRPr="00CC10E2">
        <w:rPr>
          <w:spacing w:val="1"/>
        </w:rPr>
        <w:t xml:space="preserve"> </w:t>
      </w:r>
      <w:r w:rsidRPr="00CC10E2">
        <w:t>using</w:t>
      </w:r>
      <w:r w:rsidRPr="00CC10E2">
        <w:rPr>
          <w:spacing w:val="49"/>
        </w:rPr>
        <w:t xml:space="preserve"> </w:t>
      </w:r>
      <w:r w:rsidRPr="00CC10E2">
        <w:t>the</w:t>
      </w:r>
      <w:r w:rsidRPr="00CC10E2">
        <w:rPr>
          <w:spacing w:val="1"/>
        </w:rPr>
        <w:t xml:space="preserve"> </w:t>
      </w:r>
      <w:r w:rsidRPr="00CC10E2">
        <w:t xml:space="preserve">affected </w:t>
      </w:r>
      <w:r w:rsidRPr="00CC10E2">
        <w:rPr>
          <w:spacing w:val="-2"/>
        </w:rPr>
        <w:t>water</w:t>
      </w:r>
      <w:r w:rsidRPr="00CC10E2">
        <w:t xml:space="preserve"> source</w:t>
      </w:r>
      <w:r w:rsidRPr="00CC10E2">
        <w:rPr>
          <w:spacing w:val="-2"/>
        </w:rPr>
        <w:t xml:space="preserve"> </w:t>
      </w:r>
      <w:r w:rsidRPr="00CC10E2">
        <w:t xml:space="preserve">and/or distribution </w:t>
      </w:r>
      <w:r w:rsidRPr="00CC10E2">
        <w:rPr>
          <w:spacing w:val="-2"/>
        </w:rPr>
        <w:t>system</w:t>
      </w:r>
      <w:r w:rsidRPr="00CC10E2">
        <w:t xml:space="preserve"> again for any</w:t>
      </w:r>
      <w:r w:rsidRPr="00CC10E2">
        <w:rPr>
          <w:spacing w:val="-5"/>
        </w:rPr>
        <w:t xml:space="preserve"> </w:t>
      </w:r>
      <w:r w:rsidRPr="00CC10E2">
        <w:t>such purpose</w:t>
      </w:r>
      <w:r w:rsidRPr="00CC10E2">
        <w:rPr>
          <w:spacing w:val="1"/>
        </w:rPr>
        <w:t xml:space="preserve"> </w:t>
      </w:r>
      <w:r w:rsidRPr="00CC10E2">
        <w:t>(§ 112.45(a)); and</w:t>
      </w:r>
    </w:p>
    <w:p w:rsidR="00191DF8" w:rsidRPr="0057528D" w:rsidP="00690C44" w14:paraId="6D5E3BC8" w14:textId="0856DC01">
      <w:pPr>
        <w:pStyle w:val="GuidanceBulletLevel1"/>
      </w:pPr>
      <w:r w:rsidRPr="00CC10E2">
        <w:t>Maintain records related</w:t>
      </w:r>
      <w:r w:rsidRPr="006C015A">
        <w:rPr>
          <w:spacing w:val="-3"/>
        </w:rPr>
        <w:t xml:space="preserve"> </w:t>
      </w:r>
      <w:r w:rsidRPr="00CC10E2">
        <w:t xml:space="preserve">to agricultural </w:t>
      </w:r>
      <w:r w:rsidRPr="006C015A">
        <w:rPr>
          <w:spacing w:val="-2"/>
        </w:rPr>
        <w:t>water</w:t>
      </w:r>
      <w:r w:rsidRPr="00CC10E2">
        <w:t xml:space="preserve"> </w:t>
      </w:r>
      <w:r w:rsidRPr="006C015A">
        <w:rPr>
          <w:spacing w:val="-2"/>
        </w:rPr>
        <w:t>testing,</w:t>
      </w:r>
      <w:r w:rsidRPr="00CC10E2">
        <w:t xml:space="preserve"> corrective</w:t>
      </w:r>
      <w:r w:rsidRPr="006C015A">
        <w:rPr>
          <w:spacing w:val="1"/>
        </w:rPr>
        <w:t xml:space="preserve"> </w:t>
      </w:r>
      <w:r w:rsidRPr="00CC10E2">
        <w:t>actions, and</w:t>
      </w:r>
      <w:r w:rsidRPr="006C015A">
        <w:rPr>
          <w:spacing w:val="-3"/>
        </w:rPr>
        <w:t xml:space="preserve"> </w:t>
      </w:r>
      <w:r w:rsidRPr="00CC10E2">
        <w:t>test</w:t>
      </w:r>
      <w:r w:rsidRPr="006C015A">
        <w:rPr>
          <w:spacing w:val="77"/>
        </w:rPr>
        <w:t xml:space="preserve"> </w:t>
      </w:r>
      <w:r w:rsidRPr="00CC10E2">
        <w:t>methodology,</w:t>
      </w:r>
      <w:r w:rsidRPr="006C015A">
        <w:rPr>
          <w:spacing w:val="-5"/>
        </w:rPr>
        <w:t xml:space="preserve"> </w:t>
      </w:r>
      <w:r w:rsidRPr="00CC10E2">
        <w:t>as required</w:t>
      </w:r>
      <w:r w:rsidRPr="006C015A">
        <w:rPr>
          <w:spacing w:val="-3"/>
        </w:rPr>
        <w:t xml:space="preserve"> </w:t>
      </w:r>
      <w:r w:rsidRPr="00CC10E2">
        <w:t xml:space="preserve">by §§ 112.50(b)(2), (6), and (9). </w:t>
      </w:r>
      <w:r w:rsidRPr="006C015A">
        <w:rPr>
          <w:spacing w:val="-2"/>
        </w:rPr>
        <w:t>For</w:t>
      </w:r>
      <w:r w:rsidRPr="00CC10E2">
        <w:t xml:space="preserve"> example,</w:t>
      </w:r>
      <w:r w:rsidRPr="006C015A">
        <w:rPr>
          <w:spacing w:val="-3"/>
        </w:rPr>
        <w:t xml:space="preserve"> </w:t>
      </w:r>
      <w:r w:rsidRPr="00CC10E2">
        <w:t xml:space="preserve">if </w:t>
      </w:r>
      <w:r w:rsidRPr="006C015A">
        <w:rPr>
          <w:spacing w:val="-2"/>
        </w:rPr>
        <w:t>you</w:t>
      </w:r>
      <w:r w:rsidRPr="00CC10E2">
        <w:t xml:space="preserve"> determine</w:t>
      </w:r>
      <w:r w:rsidRPr="006C015A">
        <w:rPr>
          <w:spacing w:val="-2"/>
        </w:rPr>
        <w:t xml:space="preserve"> </w:t>
      </w:r>
      <w:r w:rsidRPr="00CC10E2">
        <w:t>that</w:t>
      </w:r>
      <w:r w:rsidRPr="006C015A">
        <w:rPr>
          <w:spacing w:val="47"/>
        </w:rPr>
        <w:t xml:space="preserve"> </w:t>
      </w:r>
      <w:r w:rsidRPr="00CC10E2">
        <w:t xml:space="preserve">water </w:t>
      </w:r>
      <w:r w:rsidRPr="006C015A">
        <w:rPr>
          <w:spacing w:val="-2"/>
        </w:rPr>
        <w:t>you</w:t>
      </w:r>
      <w:r w:rsidRPr="00CC10E2">
        <w:t xml:space="preserve"> use</w:t>
      </w:r>
      <w:r w:rsidRPr="006C015A">
        <w:rPr>
          <w:spacing w:val="1"/>
        </w:rPr>
        <w:t xml:space="preserve"> </w:t>
      </w:r>
      <w:r w:rsidRPr="00CC10E2">
        <w:t>for a</w:t>
      </w:r>
      <w:r w:rsidRPr="006C015A">
        <w:rPr>
          <w:spacing w:val="1"/>
        </w:rPr>
        <w:t xml:space="preserve"> </w:t>
      </w:r>
      <w:r w:rsidRPr="00CC10E2">
        <w:t>purpose</w:t>
      </w:r>
      <w:r w:rsidRPr="006C015A">
        <w:rPr>
          <w:spacing w:val="1"/>
        </w:rPr>
        <w:t xml:space="preserve"> </w:t>
      </w:r>
      <w:r w:rsidRPr="00CC10E2">
        <w:t>listed in §</w:t>
      </w:r>
      <w:r w:rsidRPr="006C015A">
        <w:rPr>
          <w:spacing w:val="-3"/>
        </w:rPr>
        <w:t xml:space="preserve"> </w:t>
      </w:r>
      <w:r w:rsidRPr="00CC10E2">
        <w:t>112.44(a) does not meet the</w:t>
      </w:r>
      <w:r w:rsidRPr="006C015A">
        <w:rPr>
          <w:spacing w:val="-2"/>
        </w:rPr>
        <w:t xml:space="preserve"> </w:t>
      </w:r>
      <w:r w:rsidRPr="00CC10E2">
        <w:t>microbial quality</w:t>
      </w:r>
      <w:r w:rsidR="003C78A5">
        <w:t xml:space="preserve"> </w:t>
      </w:r>
      <w:r w:rsidRPr="00CC10E2">
        <w:t>criterion</w:t>
      </w:r>
      <w:r w:rsidRPr="006C015A">
        <w:rPr>
          <w:spacing w:val="-3"/>
        </w:rPr>
        <w:t xml:space="preserve"> </w:t>
      </w:r>
      <w:r w:rsidRPr="00CC10E2">
        <w:t xml:space="preserve">established in that section, § 112.45(a) requires that </w:t>
      </w:r>
      <w:r w:rsidRPr="006C015A">
        <w:rPr>
          <w:spacing w:val="-2"/>
        </w:rPr>
        <w:t>you</w:t>
      </w:r>
      <w:r w:rsidRPr="00CC10E2">
        <w:t xml:space="preserve"> take</w:t>
      </w:r>
      <w:r w:rsidRPr="006C015A">
        <w:rPr>
          <w:spacing w:val="-2"/>
        </w:rPr>
        <w:t xml:space="preserve"> </w:t>
      </w:r>
      <w:r w:rsidRPr="00CC10E2">
        <w:t>certain</w:t>
      </w:r>
      <w:r w:rsidRPr="006C015A">
        <w:rPr>
          <w:spacing w:val="71"/>
        </w:rPr>
        <w:t xml:space="preserve"> </w:t>
      </w:r>
      <w:r w:rsidRPr="00CC10E2">
        <w:t>steps as a</w:t>
      </w:r>
      <w:r w:rsidRPr="006C015A">
        <w:rPr>
          <w:spacing w:val="1"/>
        </w:rPr>
        <w:t xml:space="preserve"> </w:t>
      </w:r>
      <w:r w:rsidRPr="00CC10E2">
        <w:t>result,</w:t>
      </w:r>
      <w:r w:rsidRPr="006C015A">
        <w:rPr>
          <w:spacing w:val="-3"/>
        </w:rPr>
        <w:t xml:space="preserve"> </w:t>
      </w:r>
      <w:r w:rsidRPr="00CC10E2">
        <w:t xml:space="preserve">and § 112.50(b)(6) requires </w:t>
      </w:r>
      <w:r w:rsidRPr="006C015A">
        <w:rPr>
          <w:spacing w:val="-2"/>
        </w:rPr>
        <w:t>you</w:t>
      </w:r>
      <w:r w:rsidRPr="00CC10E2">
        <w:t xml:space="preserve"> to keep records documenting</w:t>
      </w:r>
      <w:r w:rsidRPr="006C015A">
        <w:rPr>
          <w:spacing w:val="-2"/>
        </w:rPr>
        <w:t xml:space="preserve"> </w:t>
      </w:r>
      <w:r w:rsidRPr="00CC10E2">
        <w:t>the</w:t>
      </w:r>
      <w:r w:rsidRPr="006C015A">
        <w:rPr>
          <w:spacing w:val="63"/>
        </w:rPr>
        <w:t xml:space="preserve"> </w:t>
      </w:r>
      <w:r w:rsidRPr="00CC10E2">
        <w:t xml:space="preserve">steps that </w:t>
      </w:r>
      <w:r w:rsidRPr="006C015A">
        <w:rPr>
          <w:spacing w:val="-2"/>
        </w:rPr>
        <w:t>you</w:t>
      </w:r>
      <w:r w:rsidRPr="00CC10E2">
        <w:t xml:space="preserve"> took.</w:t>
      </w:r>
    </w:p>
    <w:p w:rsidR="00191DF8" w:rsidRPr="00CC10E2" w:rsidP="00E47C04" w14:paraId="4C3CE1AC" w14:textId="328DBB9F">
      <w:pPr>
        <w:pStyle w:val="GuidanceParagraph"/>
      </w:pPr>
      <w:r w:rsidRPr="00CC10E2">
        <w:t xml:space="preserve">You may use treated </w:t>
      </w:r>
      <w:r w:rsidRPr="00CC10E2">
        <w:rPr>
          <w:spacing w:val="-2"/>
        </w:rPr>
        <w:t>water</w:t>
      </w:r>
      <w:r w:rsidRPr="00CC10E2">
        <w:t xml:space="preserve"> (i.e., water that </w:t>
      </w:r>
      <w:r w:rsidRPr="00CC10E2">
        <w:rPr>
          <w:spacing w:val="-3"/>
        </w:rPr>
        <w:t xml:space="preserve">is </w:t>
      </w:r>
      <w:r w:rsidRPr="00CC10E2">
        <w:t>treated in accordance with § 112.43)</w:t>
      </w:r>
      <w:r w:rsidRPr="00CC10E2">
        <w:rPr>
          <w:spacing w:val="-3"/>
        </w:rPr>
        <w:t xml:space="preserve"> </w:t>
      </w:r>
      <w:r w:rsidRPr="00CC10E2">
        <w:t>for purposes covered by §112.44(a). This</w:t>
      </w:r>
      <w:r w:rsidR="0086142C">
        <w:t xml:space="preserve"> </w:t>
      </w:r>
      <w:r w:rsidRPr="00CC10E2">
        <w:t>is true</w:t>
      </w:r>
      <w:r w:rsidRPr="00CC10E2">
        <w:rPr>
          <w:spacing w:val="1"/>
        </w:rPr>
        <w:t xml:space="preserve"> </w:t>
      </w:r>
      <w:r w:rsidRPr="00CC10E2">
        <w:t>regardless of</w:t>
      </w:r>
      <w:r w:rsidRPr="00CC10E2">
        <w:rPr>
          <w:spacing w:val="-3"/>
        </w:rPr>
        <w:t xml:space="preserve"> </w:t>
      </w:r>
      <w:r w:rsidRPr="00CC10E2">
        <w:t>the</w:t>
      </w:r>
      <w:r w:rsidRPr="00CC10E2">
        <w:rPr>
          <w:spacing w:val="1"/>
        </w:rPr>
        <w:t xml:space="preserve"> </w:t>
      </w:r>
      <w:r w:rsidRPr="00CC10E2">
        <w:t>source</w:t>
      </w:r>
      <w:r w:rsidRPr="00CC10E2">
        <w:rPr>
          <w:spacing w:val="1"/>
        </w:rPr>
        <w:t xml:space="preserve"> </w:t>
      </w:r>
      <w:r w:rsidRPr="00CC10E2">
        <w:t>from which the</w:t>
      </w:r>
      <w:r w:rsidRPr="00CC10E2">
        <w:rPr>
          <w:spacing w:val="-2"/>
        </w:rPr>
        <w:t xml:space="preserve"> </w:t>
      </w:r>
      <w:r w:rsidRPr="00CC10E2">
        <w:t>water was</w:t>
      </w:r>
      <w:r w:rsidRPr="00CC10E2">
        <w:rPr>
          <w:spacing w:val="-4"/>
        </w:rPr>
        <w:t xml:space="preserve"> </w:t>
      </w:r>
      <w:r w:rsidRPr="00CC10E2">
        <w:t>taken.  For example, you may use water that originated from a surface water source and has been subsequently treated in</w:t>
      </w:r>
      <w:r w:rsidRPr="00CC10E2">
        <w:rPr>
          <w:spacing w:val="-3"/>
        </w:rPr>
        <w:t xml:space="preserve"> </w:t>
      </w:r>
      <w:r w:rsidRPr="00CC10E2">
        <w:t>accordance</w:t>
      </w:r>
      <w:r w:rsidRPr="00CC10E2">
        <w:rPr>
          <w:spacing w:val="1"/>
        </w:rPr>
        <w:t xml:space="preserve"> </w:t>
      </w:r>
      <w:r w:rsidRPr="00CC10E2">
        <w:t>with the</w:t>
      </w:r>
      <w:r w:rsidRPr="00CC10E2">
        <w:rPr>
          <w:spacing w:val="1"/>
        </w:rPr>
        <w:t xml:space="preserve"> </w:t>
      </w:r>
      <w:r w:rsidRPr="00CC10E2">
        <w:t>requirements of</w:t>
      </w:r>
      <w:r w:rsidRPr="00CC10E2">
        <w:rPr>
          <w:spacing w:val="-3"/>
        </w:rPr>
        <w:t xml:space="preserve"> </w:t>
      </w:r>
      <w:r w:rsidRPr="00CC10E2">
        <w:t>§ 112.43. Water that has been</w:t>
      </w:r>
      <w:r w:rsidRPr="00CC10E2">
        <w:rPr>
          <w:spacing w:val="-3"/>
        </w:rPr>
        <w:t xml:space="preserve"> </w:t>
      </w:r>
      <w:r w:rsidRPr="00CC10E2">
        <w:t>treated in</w:t>
      </w:r>
      <w:r w:rsidRPr="00CC10E2">
        <w:rPr>
          <w:spacing w:val="-3"/>
        </w:rPr>
        <w:t xml:space="preserve"> </w:t>
      </w:r>
      <w:r w:rsidRPr="00CC10E2">
        <w:t>accordance</w:t>
      </w:r>
      <w:r w:rsidRPr="00CC10E2">
        <w:rPr>
          <w:spacing w:val="1"/>
        </w:rPr>
        <w:t xml:space="preserve"> </w:t>
      </w:r>
      <w:r w:rsidRPr="00CC10E2">
        <w:t>with the</w:t>
      </w:r>
      <w:r w:rsidRPr="00CC10E2">
        <w:rPr>
          <w:spacing w:val="1"/>
        </w:rPr>
        <w:t xml:space="preserve"> </w:t>
      </w:r>
      <w:r w:rsidRPr="00CC10E2">
        <w:t>requirements of</w:t>
      </w:r>
      <w:r w:rsidRPr="00CC10E2">
        <w:rPr>
          <w:spacing w:val="-3"/>
        </w:rPr>
        <w:t xml:space="preserve"> </w:t>
      </w:r>
      <w:r w:rsidRPr="00CC10E2">
        <w:t>§ 112.43 is not</w:t>
      </w:r>
      <w:r w:rsidRPr="00CC10E2">
        <w:rPr>
          <w:spacing w:val="53"/>
        </w:rPr>
        <w:t xml:space="preserve"> </w:t>
      </w:r>
      <w:r w:rsidRPr="00CC10E2">
        <w:t xml:space="preserve">required to </w:t>
      </w:r>
      <w:r w:rsidRPr="00CC10E2">
        <w:rPr>
          <w:spacing w:val="-2"/>
        </w:rPr>
        <w:t>be</w:t>
      </w:r>
      <w:r w:rsidRPr="00CC10E2">
        <w:rPr>
          <w:spacing w:val="1"/>
        </w:rPr>
        <w:t xml:space="preserve"> </w:t>
      </w:r>
      <w:r w:rsidRPr="00CC10E2">
        <w:t>tested</w:t>
      </w:r>
      <w:r w:rsidRPr="00CC10E2">
        <w:rPr>
          <w:spacing w:val="-3"/>
        </w:rPr>
        <w:t xml:space="preserve"> </w:t>
      </w:r>
      <w:r w:rsidRPr="00CC10E2">
        <w:t>to ensure</w:t>
      </w:r>
      <w:r w:rsidRPr="00CC10E2">
        <w:rPr>
          <w:spacing w:val="1"/>
        </w:rPr>
        <w:t xml:space="preserve"> </w:t>
      </w:r>
      <w:r w:rsidRPr="00CC10E2">
        <w:t>compliance</w:t>
      </w:r>
      <w:r w:rsidRPr="00CC10E2">
        <w:rPr>
          <w:spacing w:val="1"/>
        </w:rPr>
        <w:t xml:space="preserve"> </w:t>
      </w:r>
      <w:r w:rsidRPr="00CC10E2">
        <w:t>with</w:t>
      </w:r>
      <w:r w:rsidRPr="00CC10E2">
        <w:rPr>
          <w:spacing w:val="-3"/>
        </w:rPr>
        <w:t xml:space="preserve"> </w:t>
      </w:r>
      <w:r w:rsidRPr="00CC10E2">
        <w:t>the</w:t>
      </w:r>
      <w:r w:rsidRPr="00CC10E2">
        <w:rPr>
          <w:spacing w:val="-2"/>
        </w:rPr>
        <w:t xml:space="preserve"> </w:t>
      </w:r>
      <w:r w:rsidRPr="00CC10E2">
        <w:t>microbial quality</w:t>
      </w:r>
      <w:r w:rsidRPr="00CC10E2">
        <w:rPr>
          <w:spacing w:val="-5"/>
        </w:rPr>
        <w:t xml:space="preserve"> </w:t>
      </w:r>
      <w:r w:rsidRPr="00CC10E2">
        <w:t>criterion</w:t>
      </w:r>
      <w:r w:rsidRPr="00CC10E2">
        <w:rPr>
          <w:spacing w:val="-3"/>
        </w:rPr>
        <w:t xml:space="preserve"> </w:t>
      </w:r>
      <w:r w:rsidRPr="00CC10E2">
        <w:t xml:space="preserve">(§ 112.46(a)(3)). </w:t>
      </w:r>
      <w:r w:rsidRPr="00CC10E2">
        <w:rPr>
          <w:spacing w:val="-3"/>
        </w:rPr>
        <w:t>In</w:t>
      </w:r>
      <w:r w:rsidR="0086142C">
        <w:rPr>
          <w:spacing w:val="-3"/>
        </w:rPr>
        <w:t xml:space="preserve"> </w:t>
      </w:r>
      <w:r w:rsidRPr="00CC10E2">
        <w:t>addition to</w:t>
      </w:r>
      <w:r w:rsidRPr="00CC10E2">
        <w:rPr>
          <w:spacing w:val="-3"/>
        </w:rPr>
        <w:t xml:space="preserve"> </w:t>
      </w:r>
      <w:r w:rsidRPr="00CC10E2">
        <w:t>all other applicable requirements of</w:t>
      </w:r>
      <w:r w:rsidRPr="00CC10E2">
        <w:rPr>
          <w:spacing w:val="-3"/>
        </w:rPr>
        <w:t xml:space="preserve"> </w:t>
      </w:r>
      <w:r w:rsidRPr="00CC10E2">
        <w:t>Subpart E</w:t>
      </w:r>
      <w:r w:rsidRPr="00CC10E2">
        <w:rPr>
          <w:spacing w:val="-2"/>
        </w:rPr>
        <w:t xml:space="preserve"> </w:t>
      </w:r>
      <w:r w:rsidRPr="00CC10E2">
        <w:t>that apply</w:t>
      </w:r>
      <w:r w:rsidRPr="00CC10E2">
        <w:rPr>
          <w:spacing w:val="-5"/>
        </w:rPr>
        <w:t xml:space="preserve"> </w:t>
      </w:r>
      <w:r w:rsidRPr="00CC10E2">
        <w:t>to use of agricultural water</w:t>
      </w:r>
      <w:r w:rsidRPr="00CC10E2">
        <w:rPr>
          <w:spacing w:val="-3"/>
        </w:rPr>
        <w:t xml:space="preserve"> </w:t>
      </w:r>
      <w:r w:rsidRPr="00CC10E2">
        <w:t>generally by sprout operations,</w:t>
      </w:r>
      <w:r w:rsidRPr="00CC10E2">
        <w:rPr>
          <w:spacing w:val="-3"/>
        </w:rPr>
        <w:t xml:space="preserve"> </w:t>
      </w:r>
      <w:r w:rsidRPr="00CC10E2">
        <w:t xml:space="preserve">if </w:t>
      </w:r>
      <w:r w:rsidRPr="00CC10E2">
        <w:rPr>
          <w:spacing w:val="-2"/>
        </w:rPr>
        <w:t>you</w:t>
      </w:r>
      <w:r w:rsidRPr="00CC10E2">
        <w:t xml:space="preserve"> use treated</w:t>
      </w:r>
      <w:r w:rsidRPr="00CC10E2">
        <w:rPr>
          <w:spacing w:val="-3"/>
        </w:rPr>
        <w:t xml:space="preserve"> </w:t>
      </w:r>
      <w:r w:rsidRPr="00CC10E2">
        <w:t>water for purposes covered by § 112.44(a),</w:t>
      </w:r>
      <w:r w:rsidRPr="00CC10E2">
        <w:rPr>
          <w:spacing w:val="2"/>
        </w:rPr>
        <w:t xml:space="preserve"> </w:t>
      </w:r>
      <w:r w:rsidRPr="00CC10E2">
        <w:rPr>
          <w:spacing w:val="-2"/>
        </w:rPr>
        <w:t>you</w:t>
      </w:r>
      <w:r w:rsidRPr="00CC10E2">
        <w:t xml:space="preserve"> must:</w:t>
      </w:r>
    </w:p>
    <w:p w:rsidR="00191DF8" w:rsidRPr="0057528D" w:rsidP="00690C44" w14:paraId="56AA7287" w14:textId="02196DBE">
      <w:pPr>
        <w:pStyle w:val="GuidanceBulletLevel1"/>
      </w:pPr>
      <w:r w:rsidRPr="00CC10E2">
        <w:t>Comply</w:t>
      </w:r>
      <w:r w:rsidRPr="00CC10E2">
        <w:rPr>
          <w:spacing w:val="-5"/>
        </w:rPr>
        <w:t xml:space="preserve"> </w:t>
      </w:r>
      <w:r w:rsidRPr="00CC10E2">
        <w:t>with all</w:t>
      </w:r>
      <w:r w:rsidRPr="00CC10E2">
        <w:rPr>
          <w:spacing w:val="-2"/>
        </w:rPr>
        <w:t xml:space="preserve"> </w:t>
      </w:r>
      <w:r w:rsidRPr="00CC10E2">
        <w:t>applicable</w:t>
      </w:r>
      <w:r w:rsidRPr="00CC10E2">
        <w:rPr>
          <w:spacing w:val="1"/>
        </w:rPr>
        <w:t xml:space="preserve"> </w:t>
      </w:r>
      <w:r w:rsidRPr="00CC10E2">
        <w:t>requirements for treating</w:t>
      </w:r>
      <w:r w:rsidRPr="00CC10E2">
        <w:rPr>
          <w:spacing w:val="-3"/>
        </w:rPr>
        <w:t xml:space="preserve"> </w:t>
      </w:r>
      <w:r w:rsidRPr="00CC10E2">
        <w:t>water (e.g., the</w:t>
      </w:r>
      <w:r w:rsidRPr="00CC10E2">
        <w:rPr>
          <w:spacing w:val="1"/>
        </w:rPr>
        <w:t xml:space="preserve"> </w:t>
      </w:r>
      <w:r w:rsidRPr="00CC10E2">
        <w:t>treatment</w:t>
      </w:r>
      <w:r w:rsidRPr="00CC10E2">
        <w:rPr>
          <w:spacing w:val="-2"/>
        </w:rPr>
        <w:t xml:space="preserve"> </w:t>
      </w:r>
      <w:r w:rsidRPr="00CC10E2">
        <w:t>must be</w:t>
      </w:r>
      <w:r w:rsidRPr="00CC10E2">
        <w:rPr>
          <w:spacing w:val="53"/>
        </w:rPr>
        <w:t xml:space="preserve"> </w:t>
      </w:r>
      <w:r w:rsidRPr="00CC10E2">
        <w:t>effective to achieve the</w:t>
      </w:r>
      <w:r w:rsidRPr="00CC10E2">
        <w:rPr>
          <w:spacing w:val="1"/>
        </w:rPr>
        <w:t xml:space="preserve"> </w:t>
      </w:r>
      <w:r w:rsidRPr="00CC10E2">
        <w:t>no detectable</w:t>
      </w:r>
      <w:r w:rsidRPr="00CC10E2">
        <w:rPr>
          <w:spacing w:val="1"/>
        </w:rPr>
        <w:t xml:space="preserve"> </w:t>
      </w:r>
      <w:r w:rsidRPr="00CC10E2">
        <w:t>generic</w:t>
      </w:r>
      <w:r w:rsidRPr="00CC10E2">
        <w:rPr>
          <w:spacing w:val="1"/>
        </w:rPr>
        <w:t xml:space="preserve"> </w:t>
      </w:r>
      <w:r w:rsidRPr="00CC10E2">
        <w:rPr>
          <w:i/>
        </w:rPr>
        <w:t>E.</w:t>
      </w:r>
      <w:r w:rsidRPr="00CC10E2">
        <w:rPr>
          <w:i/>
          <w:spacing w:val="-3"/>
        </w:rPr>
        <w:t xml:space="preserve"> </w:t>
      </w:r>
      <w:r w:rsidRPr="00CC10E2">
        <w:rPr>
          <w:i/>
        </w:rPr>
        <w:t xml:space="preserve">coli </w:t>
      </w:r>
      <w:r w:rsidRPr="00CC10E2">
        <w:t>per</w:t>
      </w:r>
      <w:r w:rsidRPr="00CC10E2">
        <w:rPr>
          <w:spacing w:val="-3"/>
        </w:rPr>
        <w:t xml:space="preserve"> </w:t>
      </w:r>
      <w:r w:rsidRPr="00CC10E2">
        <w:t>100 mL</w:t>
      </w:r>
      <w:r w:rsidRPr="00CC10E2">
        <w:rPr>
          <w:spacing w:val="-4"/>
        </w:rPr>
        <w:t xml:space="preserve"> </w:t>
      </w:r>
      <w:r w:rsidRPr="00CC10E2">
        <w:t>microbial</w:t>
      </w:r>
      <w:r w:rsidRPr="00CC10E2">
        <w:rPr>
          <w:spacing w:val="25"/>
        </w:rPr>
        <w:t xml:space="preserve"> </w:t>
      </w:r>
      <w:r w:rsidRPr="00CC10E2">
        <w:t>quality</w:t>
      </w:r>
      <w:r w:rsidRPr="00CC10E2">
        <w:rPr>
          <w:spacing w:val="-5"/>
        </w:rPr>
        <w:t xml:space="preserve"> </w:t>
      </w:r>
      <w:r w:rsidRPr="00CC10E2">
        <w:t>criterion (§</w:t>
      </w:r>
      <w:r w:rsidRPr="00CC10E2">
        <w:rPr>
          <w:spacing w:val="-2"/>
        </w:rPr>
        <w:t xml:space="preserve"> </w:t>
      </w:r>
      <w:r w:rsidRPr="00CC10E2">
        <w:t>112.43(a)(1)), delivered</w:t>
      </w:r>
      <w:r w:rsidRPr="00CC10E2">
        <w:rPr>
          <w:spacing w:val="-3"/>
        </w:rPr>
        <w:t xml:space="preserve"> </w:t>
      </w:r>
      <w:r w:rsidRPr="00CC10E2">
        <w:t>in a</w:t>
      </w:r>
      <w:r w:rsidRPr="00CC10E2">
        <w:rPr>
          <w:spacing w:val="-2"/>
        </w:rPr>
        <w:t xml:space="preserve"> </w:t>
      </w:r>
      <w:r w:rsidRPr="00CC10E2">
        <w:t>manner that ensures it</w:t>
      </w:r>
      <w:r w:rsidRPr="00CC10E2">
        <w:rPr>
          <w:spacing w:val="-2"/>
        </w:rPr>
        <w:t xml:space="preserve"> </w:t>
      </w:r>
      <w:r w:rsidRPr="00CC10E2">
        <w:t>consistently</w:t>
      </w:r>
      <w:r w:rsidRPr="00CC10E2">
        <w:rPr>
          <w:spacing w:val="-5"/>
        </w:rPr>
        <w:t xml:space="preserve"> </w:t>
      </w:r>
      <w:r w:rsidRPr="00CC10E2">
        <w:t>meets that</w:t>
      </w:r>
      <w:r w:rsidRPr="00CC10E2">
        <w:rPr>
          <w:spacing w:val="67"/>
        </w:rPr>
        <w:t xml:space="preserve"> </w:t>
      </w:r>
      <w:r w:rsidRPr="00CC10E2">
        <w:t xml:space="preserve">criterion </w:t>
      </w:r>
      <w:r w:rsidRPr="00CC10E2">
        <w:rPr>
          <w:spacing w:val="-2"/>
        </w:rPr>
        <w:t>(§</w:t>
      </w:r>
      <w:r w:rsidRPr="00CC10E2">
        <w:t xml:space="preserve"> 112.43(a)(2)),</w:t>
      </w:r>
      <w:r w:rsidRPr="00CC10E2">
        <w:rPr>
          <w:spacing w:val="-3"/>
        </w:rPr>
        <w:t xml:space="preserve"> </w:t>
      </w:r>
      <w:r w:rsidRPr="00CC10E2">
        <w:t>and monitored at</w:t>
      </w:r>
      <w:r w:rsidRPr="00CC10E2">
        <w:rPr>
          <w:spacing w:val="-2"/>
        </w:rPr>
        <w:t xml:space="preserve"> </w:t>
      </w:r>
      <w:r w:rsidRPr="00CC10E2">
        <w:t>a</w:t>
      </w:r>
      <w:r w:rsidRPr="00CC10E2">
        <w:rPr>
          <w:spacing w:val="1"/>
        </w:rPr>
        <w:t xml:space="preserve"> </w:t>
      </w:r>
      <w:r w:rsidRPr="00CC10E2">
        <w:t>frequency</w:t>
      </w:r>
      <w:r w:rsidRPr="00CC10E2">
        <w:rPr>
          <w:spacing w:val="-5"/>
        </w:rPr>
        <w:t xml:space="preserve"> </w:t>
      </w:r>
      <w:r w:rsidRPr="00CC10E2">
        <w:t>adequate</w:t>
      </w:r>
      <w:r w:rsidRPr="00CC10E2">
        <w:rPr>
          <w:spacing w:val="1"/>
        </w:rPr>
        <w:t xml:space="preserve"> </w:t>
      </w:r>
      <w:r w:rsidRPr="00CC10E2">
        <w:t>to</w:t>
      </w:r>
      <w:r w:rsidRPr="00CC10E2">
        <w:rPr>
          <w:spacing w:val="-3"/>
        </w:rPr>
        <w:t xml:space="preserve"> </w:t>
      </w:r>
      <w:r w:rsidRPr="00CC10E2">
        <w:t>ensure</w:t>
      </w:r>
      <w:r w:rsidRPr="00CC10E2">
        <w:rPr>
          <w:spacing w:val="1"/>
        </w:rPr>
        <w:t xml:space="preserve"> </w:t>
      </w:r>
      <w:r w:rsidRPr="00CC10E2">
        <w:t>it</w:t>
      </w:r>
      <w:r w:rsidRPr="00CC10E2">
        <w:rPr>
          <w:spacing w:val="83"/>
        </w:rPr>
        <w:t xml:space="preserve"> </w:t>
      </w:r>
      <w:r w:rsidRPr="00CC10E2">
        <w:t>consistently</w:t>
      </w:r>
      <w:r w:rsidRPr="00CC10E2">
        <w:rPr>
          <w:spacing w:val="-5"/>
        </w:rPr>
        <w:t xml:space="preserve"> </w:t>
      </w:r>
      <w:r w:rsidRPr="00CC10E2">
        <w:t>meets that criterion</w:t>
      </w:r>
      <w:r w:rsidRPr="00CC10E2">
        <w:rPr>
          <w:spacing w:val="-3"/>
        </w:rPr>
        <w:t xml:space="preserve"> </w:t>
      </w:r>
      <w:r w:rsidRPr="00CC10E2">
        <w:t xml:space="preserve">(§ 112.43(b)). </w:t>
      </w:r>
      <w:r w:rsidR="00C3298F">
        <w:t>For</w:t>
      </w:r>
      <w:r w:rsidRPr="00CC10E2">
        <w:t xml:space="preserve"> example</w:t>
      </w:r>
      <w:r w:rsidR="00C3298F">
        <w:t>,</w:t>
      </w:r>
      <w:r w:rsidRPr="00CC10E2">
        <w:t xml:space="preserve"> an effective monitoring program when using a chemical treatment method would measure the level of active compound as well as those factors that may affect its activity, such as pH, temperature, and contact </w:t>
      </w:r>
      <w:r w:rsidRPr="00CC10E2">
        <w:t>time;</w:t>
      </w:r>
      <w:r w:rsidRPr="00CC10E2">
        <w:t xml:space="preserve"> </w:t>
      </w:r>
    </w:p>
    <w:p w:rsidR="00191DF8" w:rsidRPr="0057528D" w:rsidP="00690C44" w14:paraId="63F88639" w14:textId="77777777">
      <w:pPr>
        <w:pStyle w:val="GuidanceBulletLevel1"/>
      </w:pPr>
      <w:r w:rsidRPr="00CC10E2">
        <w:t>Establish and keep documentation of</w:t>
      </w:r>
      <w:r w:rsidRPr="00CC10E2">
        <w:rPr>
          <w:spacing w:val="-3"/>
        </w:rPr>
        <w:t xml:space="preserve"> </w:t>
      </w:r>
      <w:r w:rsidRPr="00CC10E2">
        <w:t>scientific</w:t>
      </w:r>
      <w:r w:rsidRPr="00CC10E2">
        <w:rPr>
          <w:spacing w:val="1"/>
        </w:rPr>
        <w:t xml:space="preserve"> </w:t>
      </w:r>
      <w:r w:rsidRPr="00CC10E2">
        <w:t>data</w:t>
      </w:r>
      <w:r w:rsidRPr="00CC10E2">
        <w:rPr>
          <w:spacing w:val="1"/>
        </w:rPr>
        <w:t xml:space="preserve"> </w:t>
      </w:r>
      <w:r w:rsidRPr="00CC10E2">
        <w:t>or</w:t>
      </w:r>
      <w:r w:rsidRPr="00CC10E2">
        <w:rPr>
          <w:spacing w:val="-3"/>
        </w:rPr>
        <w:t xml:space="preserve"> </w:t>
      </w:r>
      <w:r w:rsidRPr="00CC10E2">
        <w:t>information you relied</w:t>
      </w:r>
      <w:r w:rsidRPr="00CC10E2">
        <w:rPr>
          <w:spacing w:val="53"/>
        </w:rPr>
        <w:t xml:space="preserve"> </w:t>
      </w:r>
      <w:r w:rsidRPr="00CC10E2">
        <w:t>on to support</w:t>
      </w:r>
      <w:r w:rsidRPr="00CC10E2">
        <w:rPr>
          <w:spacing w:val="-2"/>
        </w:rPr>
        <w:t xml:space="preserve"> </w:t>
      </w:r>
      <w:r w:rsidRPr="00CC10E2">
        <w:t>the</w:t>
      </w:r>
      <w:r w:rsidRPr="00CC10E2">
        <w:rPr>
          <w:spacing w:val="-2"/>
        </w:rPr>
        <w:t xml:space="preserve"> </w:t>
      </w:r>
      <w:r w:rsidRPr="00CC10E2">
        <w:t>adequacy</w:t>
      </w:r>
      <w:r w:rsidRPr="00CC10E2">
        <w:rPr>
          <w:spacing w:val="-3"/>
        </w:rPr>
        <w:t xml:space="preserve"> </w:t>
      </w:r>
      <w:r w:rsidRPr="00CC10E2">
        <w:rPr>
          <w:spacing w:val="1"/>
        </w:rPr>
        <w:t>of</w:t>
      </w:r>
      <w:r w:rsidRPr="00CC10E2">
        <w:rPr>
          <w:spacing w:val="-3"/>
        </w:rPr>
        <w:t xml:space="preserve"> </w:t>
      </w:r>
      <w:r w:rsidRPr="00CC10E2">
        <w:t>the</w:t>
      </w:r>
      <w:r w:rsidRPr="00CC10E2">
        <w:rPr>
          <w:spacing w:val="1"/>
        </w:rPr>
        <w:t xml:space="preserve"> </w:t>
      </w:r>
      <w:r w:rsidRPr="00CC10E2">
        <w:t>method you used to satisfy</w:t>
      </w:r>
      <w:r w:rsidRPr="00CC10E2">
        <w:rPr>
          <w:spacing w:val="-3"/>
        </w:rPr>
        <w:t xml:space="preserve"> </w:t>
      </w:r>
      <w:r w:rsidRPr="00CC10E2">
        <w:t>the</w:t>
      </w:r>
      <w:r w:rsidRPr="00CC10E2">
        <w:rPr>
          <w:spacing w:val="1"/>
        </w:rPr>
        <w:t xml:space="preserve"> </w:t>
      </w:r>
      <w:r w:rsidRPr="00CC10E2">
        <w:t>requirements of</w:t>
      </w:r>
      <w:r w:rsidRPr="00CC10E2">
        <w:rPr>
          <w:spacing w:val="-3"/>
        </w:rPr>
        <w:t xml:space="preserve"> </w:t>
      </w:r>
      <w:r w:rsidRPr="00CC10E2">
        <w:t>§§</w:t>
      </w:r>
      <w:r w:rsidRPr="00CC10E2">
        <w:rPr>
          <w:spacing w:val="33"/>
        </w:rPr>
        <w:t xml:space="preserve"> </w:t>
      </w:r>
      <w:r w:rsidRPr="00CC10E2">
        <w:t>112.43(a)(1)</w:t>
      </w:r>
      <w:r w:rsidRPr="00CC10E2">
        <w:rPr>
          <w:spacing w:val="-3"/>
        </w:rPr>
        <w:t xml:space="preserve"> </w:t>
      </w:r>
      <w:r w:rsidRPr="00CC10E2">
        <w:t>and (a)(2) for treating</w:t>
      </w:r>
      <w:r w:rsidRPr="00CC10E2">
        <w:rPr>
          <w:spacing w:val="-3"/>
        </w:rPr>
        <w:t xml:space="preserve"> </w:t>
      </w:r>
      <w:r w:rsidRPr="00CC10E2">
        <w:t>agricultural water (§ 112.50(b)(3)); and</w:t>
      </w:r>
    </w:p>
    <w:p w:rsidR="00191DF8" w:rsidRPr="0057528D" w:rsidP="00690C44" w14:paraId="50422919" w14:textId="77777777">
      <w:pPr>
        <w:pStyle w:val="GuidanceBulletLevel1"/>
      </w:pPr>
      <w:r w:rsidRPr="00CC10E2">
        <w:t>Maintain records related</w:t>
      </w:r>
      <w:r w:rsidRPr="00CC10E2">
        <w:rPr>
          <w:spacing w:val="-3"/>
        </w:rPr>
        <w:t xml:space="preserve"> </w:t>
      </w:r>
      <w:r w:rsidRPr="00CC10E2">
        <w:t>to such treatment (§ 112.50(b)(4)).</w:t>
      </w:r>
    </w:p>
    <w:p w:rsidR="00191DF8" w:rsidRPr="008D75E5" w:rsidP="00E47C04" w14:paraId="152F8F9B" w14:textId="761D7E4D">
      <w:pPr>
        <w:pStyle w:val="GuidanceParagraph"/>
      </w:pPr>
      <w:r w:rsidRPr="00CC10E2">
        <w:t>You also may use water from a</w:t>
      </w:r>
      <w:r w:rsidRPr="00CC10E2">
        <w:rPr>
          <w:spacing w:val="1"/>
        </w:rPr>
        <w:t xml:space="preserve"> </w:t>
      </w:r>
      <w:r w:rsidRPr="00CC10E2">
        <w:t>public</w:t>
      </w:r>
      <w:r w:rsidRPr="00CC10E2">
        <w:rPr>
          <w:spacing w:val="1"/>
        </w:rPr>
        <w:t xml:space="preserve"> </w:t>
      </w:r>
      <w:r w:rsidRPr="008D75E5">
        <w:t>water</w:t>
      </w:r>
      <w:r w:rsidRPr="008D75E5">
        <w:rPr>
          <w:spacing w:val="-3"/>
        </w:rPr>
        <w:t xml:space="preserve"> </w:t>
      </w:r>
      <w:r w:rsidRPr="008D75E5" w:rsidR="00F6254C">
        <w:rPr>
          <w:spacing w:val="-3"/>
        </w:rPr>
        <w:t xml:space="preserve">system or </w:t>
      </w:r>
      <w:r w:rsidRPr="008D75E5">
        <w:t>supply as described in § 112.46(a)(1)</w:t>
      </w:r>
      <w:r w:rsidRPr="008D75E5">
        <w:rPr>
          <w:spacing w:val="-3"/>
        </w:rPr>
        <w:t xml:space="preserve"> </w:t>
      </w:r>
      <w:r w:rsidRPr="008D75E5">
        <w:t>and § 112.46(a)(2) for purposes covered by §112.44(a).</w:t>
      </w:r>
      <w:r w:rsidR="0086142C">
        <w:t xml:space="preserve"> </w:t>
      </w:r>
      <w:r w:rsidRPr="008D75E5">
        <w:t xml:space="preserve">Such water is not required to </w:t>
      </w:r>
      <w:r w:rsidRPr="008D75E5">
        <w:rPr>
          <w:spacing w:val="-2"/>
        </w:rPr>
        <w:t>be</w:t>
      </w:r>
      <w:r w:rsidRPr="008D75E5">
        <w:rPr>
          <w:spacing w:val="1"/>
        </w:rPr>
        <w:t xml:space="preserve"> </w:t>
      </w:r>
      <w:r w:rsidRPr="008D75E5">
        <w:t>tested</w:t>
      </w:r>
      <w:r w:rsidRPr="008D75E5">
        <w:rPr>
          <w:spacing w:val="-3"/>
        </w:rPr>
        <w:t xml:space="preserve"> </w:t>
      </w:r>
      <w:r w:rsidRPr="008D75E5">
        <w:t>to ensure</w:t>
      </w:r>
      <w:r w:rsidRPr="008D75E5">
        <w:rPr>
          <w:spacing w:val="1"/>
        </w:rPr>
        <w:t xml:space="preserve"> </w:t>
      </w:r>
      <w:r w:rsidRPr="008D75E5">
        <w:t>compliance</w:t>
      </w:r>
      <w:r w:rsidRPr="008D75E5">
        <w:rPr>
          <w:spacing w:val="1"/>
        </w:rPr>
        <w:t xml:space="preserve"> </w:t>
      </w:r>
      <w:r w:rsidRPr="008D75E5">
        <w:t>with</w:t>
      </w:r>
      <w:r w:rsidRPr="008D75E5">
        <w:rPr>
          <w:spacing w:val="43"/>
        </w:rPr>
        <w:t xml:space="preserve"> </w:t>
      </w:r>
      <w:r w:rsidRPr="008D75E5">
        <w:t>the</w:t>
      </w:r>
      <w:r w:rsidRPr="008D75E5">
        <w:rPr>
          <w:spacing w:val="1"/>
        </w:rPr>
        <w:t xml:space="preserve"> </w:t>
      </w:r>
      <w:r w:rsidRPr="008D75E5">
        <w:t>microbial quality</w:t>
      </w:r>
      <w:r w:rsidRPr="008D75E5">
        <w:rPr>
          <w:spacing w:val="-5"/>
        </w:rPr>
        <w:t xml:space="preserve"> </w:t>
      </w:r>
      <w:r w:rsidRPr="008D75E5">
        <w:t>criterion (§§ 112.46(a)(1)</w:t>
      </w:r>
      <w:r w:rsidRPr="008D75E5">
        <w:rPr>
          <w:spacing w:val="-3"/>
        </w:rPr>
        <w:t xml:space="preserve"> </w:t>
      </w:r>
      <w:r w:rsidRPr="008D75E5">
        <w:t>and</w:t>
      </w:r>
      <w:r w:rsidRPr="008D75E5">
        <w:rPr>
          <w:spacing w:val="-3"/>
        </w:rPr>
        <w:t xml:space="preserve"> </w:t>
      </w:r>
      <w:r w:rsidRPr="008D75E5">
        <w:t>(2)).</w:t>
      </w:r>
      <w:r w:rsidR="0086142C">
        <w:t xml:space="preserve"> </w:t>
      </w:r>
      <w:r w:rsidRPr="008D75E5">
        <w:rPr>
          <w:spacing w:val="-2"/>
        </w:rPr>
        <w:t>In</w:t>
      </w:r>
      <w:r w:rsidRPr="008D75E5">
        <w:t xml:space="preserve"> addition to</w:t>
      </w:r>
      <w:r w:rsidRPr="008D75E5">
        <w:rPr>
          <w:spacing w:val="-3"/>
        </w:rPr>
        <w:t xml:space="preserve"> </w:t>
      </w:r>
      <w:r w:rsidRPr="008D75E5">
        <w:t xml:space="preserve">all </w:t>
      </w:r>
      <w:r w:rsidRPr="008D75E5">
        <w:rPr>
          <w:spacing w:val="-2"/>
        </w:rPr>
        <w:t>other</w:t>
      </w:r>
      <w:r w:rsidRPr="008D75E5">
        <w:t xml:space="preserve"> applicable</w:t>
      </w:r>
      <w:r w:rsidR="0086142C">
        <w:t xml:space="preserve"> </w:t>
      </w:r>
      <w:r w:rsidRPr="008D75E5">
        <w:t>requirements of</w:t>
      </w:r>
      <w:r w:rsidRPr="008D75E5">
        <w:rPr>
          <w:spacing w:val="-3"/>
        </w:rPr>
        <w:t xml:space="preserve"> </w:t>
      </w:r>
      <w:r w:rsidRPr="008D75E5">
        <w:t>Subpart E</w:t>
      </w:r>
      <w:r w:rsidRPr="008D75E5">
        <w:rPr>
          <w:spacing w:val="-2"/>
        </w:rPr>
        <w:t xml:space="preserve"> </w:t>
      </w:r>
      <w:r w:rsidRPr="008D75E5">
        <w:t>that</w:t>
      </w:r>
      <w:r w:rsidRPr="008D75E5">
        <w:rPr>
          <w:spacing w:val="-2"/>
        </w:rPr>
        <w:t xml:space="preserve"> </w:t>
      </w:r>
      <w:r w:rsidRPr="008D75E5">
        <w:t>apply</w:t>
      </w:r>
      <w:r w:rsidRPr="008D75E5">
        <w:rPr>
          <w:spacing w:val="-5"/>
        </w:rPr>
        <w:t xml:space="preserve"> </w:t>
      </w:r>
      <w:r w:rsidRPr="008D75E5">
        <w:t>to agricultural</w:t>
      </w:r>
      <w:r w:rsidRPr="008D75E5">
        <w:rPr>
          <w:spacing w:val="-2"/>
        </w:rPr>
        <w:t xml:space="preserve"> </w:t>
      </w:r>
      <w:r w:rsidRPr="008D75E5">
        <w:t>water</w:t>
      </w:r>
      <w:r w:rsidRPr="008D75E5">
        <w:rPr>
          <w:spacing w:val="-3"/>
        </w:rPr>
        <w:t xml:space="preserve"> </w:t>
      </w:r>
      <w:r w:rsidRPr="008D75E5">
        <w:t>generally,</w:t>
      </w:r>
      <w:r w:rsidRPr="008D75E5">
        <w:rPr>
          <w:spacing w:val="-3"/>
        </w:rPr>
        <w:t xml:space="preserve"> </w:t>
      </w:r>
      <w:r w:rsidRPr="008D75E5">
        <w:t xml:space="preserve">if </w:t>
      </w:r>
      <w:r w:rsidRPr="008D75E5">
        <w:rPr>
          <w:spacing w:val="-2"/>
        </w:rPr>
        <w:t>you</w:t>
      </w:r>
      <w:r w:rsidRPr="008D75E5">
        <w:t xml:space="preserve"> use</w:t>
      </w:r>
      <w:r w:rsidRPr="008D75E5">
        <w:rPr>
          <w:spacing w:val="1"/>
        </w:rPr>
        <w:t xml:space="preserve"> </w:t>
      </w:r>
      <w:r w:rsidRPr="008D75E5">
        <w:t>water from a</w:t>
      </w:r>
      <w:r w:rsidRPr="008D75E5">
        <w:rPr>
          <w:spacing w:val="71"/>
        </w:rPr>
        <w:t xml:space="preserve"> </w:t>
      </w:r>
      <w:r w:rsidRPr="008D75E5">
        <w:t>public</w:t>
      </w:r>
      <w:r w:rsidRPr="008D75E5">
        <w:rPr>
          <w:spacing w:val="1"/>
        </w:rPr>
        <w:t xml:space="preserve"> </w:t>
      </w:r>
      <w:r w:rsidRPr="008D75E5">
        <w:rPr>
          <w:spacing w:val="-2"/>
        </w:rPr>
        <w:t>water</w:t>
      </w:r>
      <w:r w:rsidRPr="008D75E5">
        <w:t xml:space="preserve"> supply</w:t>
      </w:r>
      <w:r w:rsidRPr="008D75E5">
        <w:rPr>
          <w:spacing w:val="-3"/>
        </w:rPr>
        <w:t xml:space="preserve"> </w:t>
      </w:r>
      <w:r w:rsidRPr="008D75E5">
        <w:t>for purposes covered by § 112.44(a),</w:t>
      </w:r>
      <w:r w:rsidRPr="008D75E5">
        <w:rPr>
          <w:spacing w:val="2"/>
        </w:rPr>
        <w:t xml:space="preserve"> </w:t>
      </w:r>
      <w:r w:rsidRPr="008D75E5">
        <w:rPr>
          <w:spacing w:val="-2"/>
        </w:rPr>
        <w:t>you</w:t>
      </w:r>
      <w:r w:rsidRPr="008D75E5">
        <w:t xml:space="preserve"> must:</w:t>
      </w:r>
    </w:p>
    <w:p w:rsidR="00191DF8" w:rsidRPr="008D75E5" w:rsidP="00690C44" w14:paraId="5CA4F9E2" w14:textId="45F5123E">
      <w:pPr>
        <w:pStyle w:val="GuidanceBulletLevel1"/>
      </w:pPr>
      <w:r w:rsidRPr="008D75E5">
        <w:t>Maintain annual documentation of</w:t>
      </w:r>
      <w:r w:rsidRPr="008D75E5">
        <w:rPr>
          <w:spacing w:val="-3"/>
        </w:rPr>
        <w:t xml:space="preserve"> </w:t>
      </w:r>
      <w:r w:rsidRPr="008D75E5">
        <w:t>the</w:t>
      </w:r>
      <w:r w:rsidRPr="008D75E5">
        <w:rPr>
          <w:spacing w:val="1"/>
        </w:rPr>
        <w:t xml:space="preserve"> </w:t>
      </w:r>
      <w:r w:rsidRPr="008D75E5">
        <w:t>results or certificates of</w:t>
      </w:r>
      <w:r w:rsidRPr="008D75E5">
        <w:rPr>
          <w:spacing w:val="-3"/>
        </w:rPr>
        <w:t xml:space="preserve"> </w:t>
      </w:r>
      <w:r w:rsidRPr="008D75E5">
        <w:t>compliance</w:t>
      </w:r>
      <w:r w:rsidRPr="008D75E5">
        <w:rPr>
          <w:spacing w:val="1"/>
        </w:rPr>
        <w:t xml:space="preserve"> </w:t>
      </w:r>
      <w:r w:rsidRPr="008D75E5">
        <w:t>from the</w:t>
      </w:r>
      <w:r w:rsidRPr="008D75E5">
        <w:rPr>
          <w:spacing w:val="-2"/>
        </w:rPr>
        <w:t xml:space="preserve"> </w:t>
      </w:r>
      <w:r w:rsidRPr="008D75E5">
        <w:t>public</w:t>
      </w:r>
      <w:r w:rsidR="0086142C">
        <w:t xml:space="preserve"> </w:t>
      </w:r>
      <w:r w:rsidRPr="008D75E5">
        <w:t>water</w:t>
      </w:r>
      <w:r w:rsidRPr="008D75E5" w:rsidR="005D7BFC">
        <w:t xml:space="preserve"> system or</w:t>
      </w:r>
      <w:r w:rsidRPr="008D75E5">
        <w:t xml:space="preserve"> supply</w:t>
      </w:r>
      <w:r w:rsidRPr="008D75E5">
        <w:rPr>
          <w:spacing w:val="-5"/>
        </w:rPr>
        <w:t xml:space="preserve"> </w:t>
      </w:r>
      <w:r w:rsidRPr="008D75E5">
        <w:t>that demonstrate</w:t>
      </w:r>
      <w:r w:rsidRPr="008D75E5">
        <w:rPr>
          <w:spacing w:val="-2"/>
        </w:rPr>
        <w:t xml:space="preserve"> </w:t>
      </w:r>
      <w:r w:rsidRPr="008D75E5">
        <w:t>that the</w:t>
      </w:r>
      <w:r w:rsidRPr="008D75E5">
        <w:rPr>
          <w:spacing w:val="1"/>
        </w:rPr>
        <w:t xml:space="preserve"> </w:t>
      </w:r>
      <w:r w:rsidRPr="008D75E5">
        <w:t>water meets the</w:t>
      </w:r>
      <w:r w:rsidRPr="008D75E5">
        <w:rPr>
          <w:spacing w:val="-2"/>
        </w:rPr>
        <w:t xml:space="preserve"> </w:t>
      </w:r>
      <w:r w:rsidRPr="008D75E5">
        <w:t>microbial quality</w:t>
      </w:r>
      <w:r w:rsidRPr="008D75E5">
        <w:rPr>
          <w:spacing w:val="-5"/>
        </w:rPr>
        <w:t xml:space="preserve"> </w:t>
      </w:r>
      <w:r w:rsidRPr="008D75E5">
        <w:t>criterion</w:t>
      </w:r>
      <w:r w:rsidR="0086142C">
        <w:t xml:space="preserve"> </w:t>
      </w:r>
      <w:r w:rsidRPr="008D75E5">
        <w:t>of</w:t>
      </w:r>
      <w:r w:rsidRPr="008D75E5">
        <w:rPr>
          <w:spacing w:val="-3"/>
        </w:rPr>
        <w:t xml:space="preserve"> </w:t>
      </w:r>
      <w:r w:rsidRPr="008D75E5">
        <w:t>§ 112.44(a) (i.e.,</w:t>
      </w:r>
      <w:r w:rsidRPr="008D75E5">
        <w:rPr>
          <w:spacing w:val="-3"/>
        </w:rPr>
        <w:t xml:space="preserve"> </w:t>
      </w:r>
      <w:r w:rsidRPr="008D75E5">
        <w:t>no detectable</w:t>
      </w:r>
      <w:r w:rsidRPr="008D75E5">
        <w:rPr>
          <w:spacing w:val="1"/>
        </w:rPr>
        <w:t xml:space="preserve"> </w:t>
      </w:r>
      <w:r w:rsidRPr="008D75E5">
        <w:t>generic</w:t>
      </w:r>
      <w:r w:rsidRPr="008D75E5">
        <w:rPr>
          <w:spacing w:val="1"/>
        </w:rPr>
        <w:t xml:space="preserve"> </w:t>
      </w:r>
      <w:r w:rsidRPr="008D75E5">
        <w:rPr>
          <w:i/>
        </w:rPr>
        <w:t>E.</w:t>
      </w:r>
      <w:r w:rsidRPr="008D75E5">
        <w:rPr>
          <w:i/>
          <w:spacing w:val="-3"/>
        </w:rPr>
        <w:t xml:space="preserve"> </w:t>
      </w:r>
      <w:r w:rsidRPr="008D75E5">
        <w:rPr>
          <w:i/>
        </w:rPr>
        <w:t>coli</w:t>
      </w:r>
      <w:r w:rsidRPr="008D75E5">
        <w:rPr>
          <w:i/>
          <w:spacing w:val="1"/>
        </w:rPr>
        <w:t xml:space="preserve"> </w:t>
      </w:r>
      <w:r w:rsidRPr="008D75E5">
        <w:t>per</w:t>
      </w:r>
      <w:r w:rsidRPr="008D75E5">
        <w:rPr>
          <w:spacing w:val="-3"/>
        </w:rPr>
        <w:t xml:space="preserve"> </w:t>
      </w:r>
      <w:r w:rsidRPr="008D75E5">
        <w:t>100 mL) (§ 112.50(b)(7)).</w:t>
      </w:r>
    </w:p>
    <w:p w:rsidR="00191DF8" w:rsidRPr="008D75E5" w:rsidP="00E47C04" w14:paraId="3E590110" w14:textId="0683639E">
      <w:pPr>
        <w:pStyle w:val="GuidanceParagraph"/>
      </w:pPr>
      <w:bookmarkStart w:id="34" w:name="_Hlk41985992"/>
      <w:bookmarkStart w:id="35" w:name="_Hlk41986224"/>
      <w:r w:rsidRPr="008D75E5">
        <w:t xml:space="preserve">If you hold water received from a public water </w:t>
      </w:r>
      <w:r w:rsidRPr="008D75E5" w:rsidR="005D7BFC">
        <w:t xml:space="preserve">system or </w:t>
      </w:r>
      <w:r w:rsidRPr="008D75E5">
        <w:t xml:space="preserve">supply in a covered tank indoors, or otherwise protected from potential contamination from the environment, it can continue to be considered public water and the applicable requirements from Subpart E described above apply.  </w:t>
      </w:r>
    </w:p>
    <w:bookmarkEnd w:id="34"/>
    <w:p w:rsidR="00191DF8" w:rsidRPr="008D75E5" w:rsidP="00E47C04" w14:paraId="1B7A8669" w14:textId="23F84862">
      <w:pPr>
        <w:pStyle w:val="GuidanceParagraph"/>
      </w:pPr>
      <w:r w:rsidRPr="008D75E5">
        <w:t>If you hold water received</w:t>
      </w:r>
      <w:r w:rsidRPr="008D75E5">
        <w:rPr>
          <w:spacing w:val="-3"/>
        </w:rPr>
        <w:t xml:space="preserve"> </w:t>
      </w:r>
      <w:r w:rsidRPr="008D75E5">
        <w:t>from a</w:t>
      </w:r>
      <w:r w:rsidRPr="008D75E5">
        <w:rPr>
          <w:spacing w:val="1"/>
        </w:rPr>
        <w:t xml:space="preserve"> </w:t>
      </w:r>
      <w:r w:rsidRPr="008D75E5">
        <w:t>public</w:t>
      </w:r>
      <w:r w:rsidRPr="008D75E5">
        <w:rPr>
          <w:spacing w:val="1"/>
        </w:rPr>
        <w:t xml:space="preserve"> </w:t>
      </w:r>
      <w:r w:rsidRPr="008D75E5">
        <w:t xml:space="preserve">water </w:t>
      </w:r>
      <w:r w:rsidRPr="008D75E5" w:rsidR="005D7BFC">
        <w:t xml:space="preserve">system or </w:t>
      </w:r>
      <w:r w:rsidRPr="008D75E5">
        <w:t>supply</w:t>
      </w:r>
      <w:r w:rsidRPr="008D75E5">
        <w:rPr>
          <w:spacing w:val="-5"/>
        </w:rPr>
        <w:t xml:space="preserve"> </w:t>
      </w:r>
      <w:r w:rsidRPr="008D75E5">
        <w:rPr>
          <w:spacing w:val="1"/>
        </w:rPr>
        <w:t>in</w:t>
      </w:r>
      <w:r w:rsidRPr="008D75E5">
        <w:t xml:space="preserve"> a</w:t>
      </w:r>
      <w:r w:rsidRPr="008D75E5">
        <w:rPr>
          <w:spacing w:val="1"/>
        </w:rPr>
        <w:t xml:space="preserve"> </w:t>
      </w:r>
      <w:r w:rsidRPr="008D75E5">
        <w:t>pond, an uncovered tank outdoors where it is open to the atmosphere and therefore exposed to potential</w:t>
      </w:r>
      <w:r w:rsidR="002F037D">
        <w:t xml:space="preserve"> </w:t>
      </w:r>
      <w:r w:rsidRPr="008D75E5">
        <w:t>contamination in</w:t>
      </w:r>
      <w:r w:rsidRPr="008D75E5">
        <w:rPr>
          <w:spacing w:val="-3"/>
        </w:rPr>
        <w:t xml:space="preserve"> </w:t>
      </w:r>
      <w:r w:rsidRPr="008D75E5">
        <w:t>a</w:t>
      </w:r>
      <w:r w:rsidRPr="008D75E5">
        <w:rPr>
          <w:spacing w:val="1"/>
        </w:rPr>
        <w:t xml:space="preserve"> </w:t>
      </w:r>
      <w:r w:rsidRPr="008D75E5">
        <w:t xml:space="preserve">manner </w:t>
      </w:r>
      <w:r w:rsidRPr="008D75E5">
        <w:t>similar</w:t>
      </w:r>
      <w:r w:rsidR="00E27F20">
        <w:t xml:space="preserve"> to</w:t>
      </w:r>
      <w:r w:rsidRPr="008D75E5">
        <w:t xml:space="preserve"> </w:t>
      </w:r>
      <w:r w:rsidRPr="008D75E5">
        <w:rPr>
          <w:spacing w:val="-3"/>
        </w:rPr>
        <w:t xml:space="preserve">the exposure of </w:t>
      </w:r>
      <w:r w:rsidRPr="008D75E5">
        <w:t>other surface</w:t>
      </w:r>
      <w:r w:rsidRPr="008D75E5">
        <w:rPr>
          <w:spacing w:val="-2"/>
        </w:rPr>
        <w:t xml:space="preserve"> </w:t>
      </w:r>
      <w:r w:rsidRPr="008D75E5">
        <w:t>water sources, the water</w:t>
      </w:r>
      <w:r w:rsidRPr="008D75E5">
        <w:rPr>
          <w:spacing w:val="-2"/>
        </w:rPr>
        <w:t xml:space="preserve"> </w:t>
      </w:r>
      <w:r w:rsidRPr="008D75E5">
        <w:t>becomes subject to the requirements and restrictions related to a</w:t>
      </w:r>
      <w:r w:rsidRPr="008D75E5">
        <w:rPr>
          <w:spacing w:val="1"/>
        </w:rPr>
        <w:t xml:space="preserve"> </w:t>
      </w:r>
      <w:r w:rsidRPr="008D75E5">
        <w:t>“surface</w:t>
      </w:r>
      <w:r w:rsidRPr="008D75E5">
        <w:rPr>
          <w:spacing w:val="73"/>
        </w:rPr>
        <w:t xml:space="preserve"> </w:t>
      </w:r>
      <w:r w:rsidRPr="008D75E5">
        <w:t>water”</w:t>
      </w:r>
      <w:r w:rsidRPr="008D75E5">
        <w:rPr>
          <w:spacing w:val="1"/>
        </w:rPr>
        <w:t xml:space="preserve"> </w:t>
      </w:r>
      <w:r w:rsidRPr="008D75E5">
        <w:t>source. For example, the</w:t>
      </w:r>
      <w:r w:rsidRPr="008D75E5">
        <w:rPr>
          <w:spacing w:val="1"/>
        </w:rPr>
        <w:t xml:space="preserve"> </w:t>
      </w:r>
      <w:r w:rsidRPr="008D75E5">
        <w:t>prohibition from using</w:t>
      </w:r>
      <w:r w:rsidRPr="008D75E5">
        <w:rPr>
          <w:spacing w:val="-3"/>
        </w:rPr>
        <w:t xml:space="preserve"> </w:t>
      </w:r>
      <w:r w:rsidRPr="008D75E5">
        <w:t>untreated surface</w:t>
      </w:r>
      <w:r w:rsidRPr="008D75E5">
        <w:rPr>
          <w:spacing w:val="1"/>
        </w:rPr>
        <w:t xml:space="preserve"> </w:t>
      </w:r>
      <w:r w:rsidRPr="008D75E5">
        <w:t>water for uses covered by § 112.44(a)</w:t>
      </w:r>
      <w:r w:rsidRPr="008D75E5">
        <w:rPr>
          <w:spacing w:val="-3"/>
        </w:rPr>
        <w:t xml:space="preserve"> </w:t>
      </w:r>
      <w:r w:rsidRPr="008D75E5">
        <w:t>would apply to</w:t>
      </w:r>
      <w:r w:rsidRPr="008D75E5">
        <w:rPr>
          <w:spacing w:val="-3"/>
        </w:rPr>
        <w:t xml:space="preserve"> </w:t>
      </w:r>
      <w:r w:rsidRPr="008D75E5">
        <w:t>such water.</w:t>
      </w:r>
    </w:p>
    <w:p w:rsidR="00191DF8" w:rsidRPr="007A5019" w:rsidP="00E47C04" w14:paraId="332A7F5C" w14:textId="210896B8">
      <w:pPr>
        <w:pStyle w:val="GuidanceParagraph"/>
        <w:rPr>
          <w:spacing w:val="-2"/>
        </w:rPr>
      </w:pPr>
      <w:r w:rsidRPr="008D75E5">
        <w:t>If you use water received</w:t>
      </w:r>
      <w:r w:rsidRPr="008D75E5">
        <w:rPr>
          <w:spacing w:val="-3"/>
        </w:rPr>
        <w:t xml:space="preserve"> </w:t>
      </w:r>
      <w:r w:rsidRPr="008D75E5">
        <w:t>from a</w:t>
      </w:r>
      <w:r w:rsidRPr="008D75E5">
        <w:rPr>
          <w:spacing w:val="1"/>
        </w:rPr>
        <w:t xml:space="preserve"> </w:t>
      </w:r>
      <w:r w:rsidRPr="008D75E5">
        <w:t>public</w:t>
      </w:r>
      <w:r w:rsidRPr="008D75E5">
        <w:rPr>
          <w:spacing w:val="1"/>
        </w:rPr>
        <w:t xml:space="preserve"> </w:t>
      </w:r>
      <w:r w:rsidRPr="008D75E5">
        <w:t>water</w:t>
      </w:r>
      <w:r w:rsidRPr="008D75E5" w:rsidR="00747F05">
        <w:t xml:space="preserve"> system or</w:t>
      </w:r>
      <w:r w:rsidRPr="008D75E5">
        <w:t xml:space="preserve"> supply</w:t>
      </w:r>
      <w:r w:rsidRPr="008D75E5">
        <w:rPr>
          <w:spacing w:val="-5"/>
        </w:rPr>
        <w:t xml:space="preserve"> </w:t>
      </w:r>
      <w:r w:rsidRPr="008D75E5">
        <w:rPr>
          <w:spacing w:val="1"/>
        </w:rPr>
        <w:t xml:space="preserve">to </w:t>
      </w:r>
      <w:r w:rsidRPr="008D75E5">
        <w:t>recharge</w:t>
      </w:r>
      <w:r w:rsidRPr="008D75E5">
        <w:rPr>
          <w:spacing w:val="-3"/>
        </w:rPr>
        <w:t xml:space="preserve"> </w:t>
      </w:r>
      <w:r w:rsidRPr="008D75E5">
        <w:t>a</w:t>
      </w:r>
      <w:r w:rsidRPr="008D75E5">
        <w:rPr>
          <w:spacing w:val="1"/>
        </w:rPr>
        <w:t xml:space="preserve"> </w:t>
      </w:r>
      <w:r w:rsidRPr="008D75E5">
        <w:t>well or otherwise expose the</w:t>
      </w:r>
      <w:r w:rsidRPr="008D75E5">
        <w:rPr>
          <w:spacing w:val="1"/>
        </w:rPr>
        <w:t xml:space="preserve"> </w:t>
      </w:r>
      <w:r w:rsidRPr="008D75E5">
        <w:t>water</w:t>
      </w:r>
      <w:r w:rsidRPr="008D75E5">
        <w:rPr>
          <w:spacing w:val="-3"/>
        </w:rPr>
        <w:t xml:space="preserve"> </w:t>
      </w:r>
      <w:r w:rsidRPr="008D75E5">
        <w:t>to potential</w:t>
      </w:r>
      <w:r w:rsidRPr="008D75E5">
        <w:rPr>
          <w:spacing w:val="-2"/>
        </w:rPr>
        <w:t xml:space="preserve"> </w:t>
      </w:r>
      <w:r w:rsidRPr="008D75E5">
        <w:t>contamination</w:t>
      </w:r>
      <w:r w:rsidRPr="008D75E5">
        <w:rPr>
          <w:spacing w:val="-3"/>
        </w:rPr>
        <w:t xml:space="preserve"> </w:t>
      </w:r>
      <w:r w:rsidRPr="008D75E5">
        <w:t>in a</w:t>
      </w:r>
      <w:r w:rsidR="0086142C">
        <w:t xml:space="preserve"> </w:t>
      </w:r>
      <w:r w:rsidRPr="008D75E5">
        <w:t xml:space="preserve">manner </w:t>
      </w:r>
      <w:r w:rsidRPr="008D75E5">
        <w:t>similar</w:t>
      </w:r>
      <w:r w:rsidRPr="008D75E5">
        <w:rPr>
          <w:spacing w:val="-3"/>
        </w:rPr>
        <w:t xml:space="preserve"> </w:t>
      </w:r>
      <w:r w:rsidRPr="008D75E5">
        <w:t>to</w:t>
      </w:r>
      <w:r w:rsidRPr="00CC10E2">
        <w:t xml:space="preserve"> that of ground water sources, it becomes subject to the requirements related to a</w:t>
      </w:r>
      <w:r w:rsidRPr="00CC10E2">
        <w:rPr>
          <w:spacing w:val="1"/>
        </w:rPr>
        <w:t xml:space="preserve"> </w:t>
      </w:r>
      <w:r w:rsidRPr="00CC10E2">
        <w:t>“ground water”</w:t>
      </w:r>
      <w:r w:rsidRPr="00CC10E2">
        <w:rPr>
          <w:spacing w:val="1"/>
        </w:rPr>
        <w:t xml:space="preserve"> </w:t>
      </w:r>
      <w:r w:rsidRPr="00CC10E2">
        <w:t>source. For example, the</w:t>
      </w:r>
      <w:r w:rsidRPr="00CC10E2">
        <w:rPr>
          <w:spacing w:val="1"/>
        </w:rPr>
        <w:t xml:space="preserve"> </w:t>
      </w:r>
      <w:r w:rsidRPr="00CC10E2">
        <w:t>testing</w:t>
      </w:r>
      <w:r w:rsidRPr="00CC10E2">
        <w:rPr>
          <w:spacing w:val="-3"/>
        </w:rPr>
        <w:t xml:space="preserve"> </w:t>
      </w:r>
      <w:r w:rsidRPr="00CC10E2">
        <w:t xml:space="preserve">requirements in § 112.46(c) </w:t>
      </w:r>
      <w:r w:rsidRPr="00CC10E2">
        <w:t>applicable</w:t>
      </w:r>
      <w:r w:rsidRPr="00CC10E2">
        <w:rPr>
          <w:spacing w:val="-2"/>
        </w:rPr>
        <w:t xml:space="preserve"> </w:t>
      </w:r>
      <w:r w:rsidRPr="00CC10E2">
        <w:t xml:space="preserve">to untreated ground water </w:t>
      </w:r>
      <w:r w:rsidRPr="00CC10E2">
        <w:t>would</w:t>
      </w:r>
      <w:r w:rsidRPr="00CC10E2">
        <w:rPr>
          <w:spacing w:val="-2"/>
        </w:rPr>
        <w:t xml:space="preserve"> apply to such water.</w:t>
      </w:r>
    </w:p>
    <w:p w:rsidR="00191DF8" w:rsidRPr="00270E49" w:rsidP="00F756C4" w14:paraId="4A5CB0D2" w14:textId="24AFC197">
      <w:pPr>
        <w:pStyle w:val="HHS508GuidanceOutline2"/>
      </w:pPr>
      <w:bookmarkStart w:id="36" w:name="_Toc106094932"/>
      <w:bookmarkEnd w:id="35"/>
      <w:r w:rsidRPr="00270E49">
        <w:t xml:space="preserve">Safe and </w:t>
      </w:r>
      <w:r w:rsidRPr="00270E49">
        <w:rPr>
          <w:spacing w:val="-2"/>
        </w:rPr>
        <w:t>of</w:t>
      </w:r>
      <w:r w:rsidRPr="00270E49">
        <w:rPr>
          <w:spacing w:val="1"/>
        </w:rPr>
        <w:t xml:space="preserve"> </w:t>
      </w:r>
      <w:r w:rsidRPr="00270E49">
        <w:t>Adequate Sanitary Quality for Its Intended Use (§ 112.41)</w:t>
      </w:r>
      <w:bookmarkEnd w:id="36"/>
    </w:p>
    <w:p w:rsidR="00C83390" w:rsidP="00E47C04" w14:paraId="4950930A" w14:textId="085DD1E2">
      <w:pPr>
        <w:pStyle w:val="GuidanceParagraph"/>
      </w:pPr>
      <w:r w:rsidRPr="00CC10E2">
        <w:t>In addition</w:t>
      </w:r>
      <w:r w:rsidRPr="00CC10E2">
        <w:rPr>
          <w:spacing w:val="-3"/>
        </w:rPr>
        <w:t xml:space="preserve"> </w:t>
      </w:r>
      <w:r w:rsidRPr="00CC10E2">
        <w:t>to the</w:t>
      </w:r>
      <w:r w:rsidRPr="00CC10E2">
        <w:rPr>
          <w:spacing w:val="1"/>
        </w:rPr>
        <w:t xml:space="preserve"> </w:t>
      </w:r>
      <w:r w:rsidRPr="00CC10E2">
        <w:t>specific numerical microbial water</w:t>
      </w:r>
      <w:r w:rsidRPr="00CC10E2">
        <w:rPr>
          <w:spacing w:val="-3"/>
        </w:rPr>
        <w:t xml:space="preserve"> </w:t>
      </w:r>
      <w:r w:rsidRPr="00CC10E2">
        <w:t>quality</w:t>
      </w:r>
      <w:r w:rsidRPr="00CC10E2">
        <w:rPr>
          <w:spacing w:val="-5"/>
        </w:rPr>
        <w:t xml:space="preserve"> </w:t>
      </w:r>
      <w:r w:rsidRPr="00CC10E2">
        <w:t>criterion</w:t>
      </w:r>
      <w:r w:rsidRPr="00CC10E2">
        <w:rPr>
          <w:spacing w:val="-3"/>
        </w:rPr>
        <w:t xml:space="preserve"> </w:t>
      </w:r>
      <w:r w:rsidRPr="00CC10E2">
        <w:t>in § 112.44(a) that applies to</w:t>
      </w:r>
      <w:r w:rsidRPr="00CC10E2">
        <w:rPr>
          <w:spacing w:val="57"/>
        </w:rPr>
        <w:t xml:space="preserve"> </w:t>
      </w:r>
      <w:r w:rsidRPr="00CC10E2">
        <w:t>sprout operations as discussed above, a</w:t>
      </w:r>
      <w:r w:rsidRPr="00CC10E2">
        <w:rPr>
          <w:spacing w:val="1"/>
        </w:rPr>
        <w:t xml:space="preserve"> </w:t>
      </w:r>
      <w:r w:rsidRPr="00CC10E2">
        <w:t>general agricultural water quality</w:t>
      </w:r>
      <w:r w:rsidR="00C24E3F">
        <w:t xml:space="preserve"> </w:t>
      </w:r>
      <w:r w:rsidRPr="00CC10E2">
        <w:t xml:space="preserve">requirement applies. </w:t>
      </w:r>
      <w:r w:rsidR="00532198">
        <w:t>Section</w:t>
      </w:r>
      <w:r w:rsidRPr="00CC10E2">
        <w:t xml:space="preserve"> 112.41 requires that all agricultural water</w:t>
      </w:r>
      <w:r w:rsidR="009614FB">
        <w:t xml:space="preserve"> must</w:t>
      </w:r>
      <w:r w:rsidRPr="00CC10E2">
        <w:t xml:space="preserve"> be</w:t>
      </w:r>
      <w:r w:rsidRPr="00CC10E2">
        <w:rPr>
          <w:spacing w:val="1"/>
        </w:rPr>
        <w:t xml:space="preserve"> </w:t>
      </w:r>
      <w:r w:rsidRPr="00CC10E2">
        <w:t>safe</w:t>
      </w:r>
      <w:r w:rsidRPr="00CC10E2">
        <w:rPr>
          <w:spacing w:val="1"/>
        </w:rPr>
        <w:t xml:space="preserve"> </w:t>
      </w:r>
      <w:r w:rsidRPr="00CC10E2">
        <w:t>and of</w:t>
      </w:r>
      <w:r w:rsidRPr="00CC10E2">
        <w:rPr>
          <w:spacing w:val="-3"/>
        </w:rPr>
        <w:t xml:space="preserve"> </w:t>
      </w:r>
      <w:r w:rsidRPr="00CC10E2">
        <w:t>adequate</w:t>
      </w:r>
      <w:r w:rsidRPr="00CC10E2">
        <w:rPr>
          <w:spacing w:val="1"/>
        </w:rPr>
        <w:t xml:space="preserve"> </w:t>
      </w:r>
      <w:r w:rsidRPr="00CC10E2">
        <w:t>sanitary</w:t>
      </w:r>
      <w:r w:rsidRPr="00CC10E2">
        <w:rPr>
          <w:spacing w:val="-5"/>
        </w:rPr>
        <w:t xml:space="preserve"> </w:t>
      </w:r>
      <w:r w:rsidRPr="00CC10E2">
        <w:t>quality</w:t>
      </w:r>
      <w:r w:rsidR="00C24E3F">
        <w:t xml:space="preserve"> </w:t>
      </w:r>
      <w:r w:rsidRPr="00CC10E2">
        <w:t>for its intended use.</w:t>
      </w:r>
      <w:r w:rsidR="0069486B">
        <w:t xml:space="preserve"> </w:t>
      </w:r>
      <w:r w:rsidRPr="00CC10E2">
        <w:t>The</w:t>
      </w:r>
      <w:r w:rsidR="0069486B">
        <w:t xml:space="preserve"> </w:t>
      </w:r>
      <w:r w:rsidRPr="00CC10E2">
        <w:t>principle</w:t>
      </w:r>
      <w:r w:rsidRPr="00CC10E2">
        <w:rPr>
          <w:spacing w:val="1"/>
        </w:rPr>
        <w:t xml:space="preserve"> </w:t>
      </w:r>
      <w:r w:rsidRPr="00CC10E2">
        <w:t>of</w:t>
      </w:r>
      <w:r w:rsidRPr="00CC10E2">
        <w:rPr>
          <w:spacing w:val="-3"/>
        </w:rPr>
        <w:t xml:space="preserve"> </w:t>
      </w:r>
      <w:r w:rsidRPr="00CC10E2">
        <w:t>“safe</w:t>
      </w:r>
      <w:r w:rsidRPr="00CC10E2">
        <w:rPr>
          <w:spacing w:val="1"/>
        </w:rPr>
        <w:t xml:space="preserve"> </w:t>
      </w:r>
      <w:r w:rsidRPr="00CC10E2">
        <w:t>and of</w:t>
      </w:r>
      <w:r w:rsidRPr="00CC10E2">
        <w:rPr>
          <w:spacing w:val="-3"/>
        </w:rPr>
        <w:t xml:space="preserve"> </w:t>
      </w:r>
      <w:r w:rsidRPr="00CC10E2">
        <w:t>adequate</w:t>
      </w:r>
      <w:r w:rsidRPr="00CC10E2">
        <w:rPr>
          <w:spacing w:val="1"/>
        </w:rPr>
        <w:t xml:space="preserve"> </w:t>
      </w:r>
      <w:r w:rsidRPr="00CC10E2">
        <w:t>sanitary</w:t>
      </w:r>
      <w:r w:rsidRPr="00CC10E2">
        <w:rPr>
          <w:spacing w:val="-5"/>
        </w:rPr>
        <w:t xml:space="preserve"> </w:t>
      </w:r>
      <w:r w:rsidRPr="00CC10E2">
        <w:t>quality</w:t>
      </w:r>
      <w:r w:rsidRPr="00CC10E2">
        <w:rPr>
          <w:spacing w:val="-3"/>
        </w:rPr>
        <w:t xml:space="preserve"> </w:t>
      </w:r>
      <w:r w:rsidRPr="00CC10E2">
        <w:t>for its intended use” contains elements related</w:t>
      </w:r>
      <w:r w:rsidRPr="00CC10E2">
        <w:rPr>
          <w:spacing w:val="-3"/>
        </w:rPr>
        <w:t xml:space="preserve"> </w:t>
      </w:r>
      <w:r w:rsidRPr="00CC10E2">
        <w:t>both</w:t>
      </w:r>
      <w:r w:rsidR="00E259D4">
        <w:t xml:space="preserve"> </w:t>
      </w:r>
      <w:r w:rsidRPr="00CC10E2">
        <w:t>to the attributes of</w:t>
      </w:r>
      <w:r w:rsidRPr="00CC10E2">
        <w:rPr>
          <w:spacing w:val="-3"/>
        </w:rPr>
        <w:t xml:space="preserve"> </w:t>
      </w:r>
      <w:r w:rsidRPr="00CC10E2">
        <w:t>the</w:t>
      </w:r>
      <w:r w:rsidRPr="00CC10E2">
        <w:rPr>
          <w:spacing w:val="1"/>
        </w:rPr>
        <w:t xml:space="preserve"> </w:t>
      </w:r>
      <w:r w:rsidRPr="00CC10E2">
        <w:t>source</w:t>
      </w:r>
      <w:r w:rsidRPr="00CC10E2">
        <w:rPr>
          <w:spacing w:val="1"/>
        </w:rPr>
        <w:t xml:space="preserve"> </w:t>
      </w:r>
      <w:r w:rsidRPr="00CC10E2">
        <w:t xml:space="preserve">water and how it will be used. </w:t>
      </w:r>
    </w:p>
    <w:p w:rsidR="00191DF8" w:rsidRPr="00CC10E2" w:rsidP="00E47C04" w14:paraId="121872C4" w14:textId="6B54D880">
      <w:pPr>
        <w:pStyle w:val="GuidanceParagraph"/>
      </w:pPr>
      <w:r>
        <w:t>A</w:t>
      </w:r>
      <w:r w:rsidRPr="00CC10E2">
        <w:rPr>
          <w:spacing w:val="1"/>
        </w:rPr>
        <w:t xml:space="preserve"> </w:t>
      </w:r>
      <w:r w:rsidRPr="00CC10E2">
        <w:t>test result indicating</w:t>
      </w:r>
      <w:r w:rsidRPr="00CC10E2">
        <w:rPr>
          <w:spacing w:val="-3"/>
        </w:rPr>
        <w:t xml:space="preserve"> </w:t>
      </w:r>
      <w:r w:rsidRPr="00CC10E2">
        <w:t>the</w:t>
      </w:r>
      <w:r w:rsidRPr="00CC10E2">
        <w:rPr>
          <w:spacing w:val="1"/>
        </w:rPr>
        <w:t xml:space="preserve"> </w:t>
      </w:r>
      <w:r w:rsidRPr="00CC10E2">
        <w:t>agricultural water does not meet the applicable</w:t>
      </w:r>
      <w:r w:rsidRPr="00CC10E2">
        <w:rPr>
          <w:spacing w:val="1"/>
        </w:rPr>
        <w:t xml:space="preserve"> </w:t>
      </w:r>
      <w:r w:rsidRPr="00CC10E2">
        <w:t>microbial water</w:t>
      </w:r>
      <w:r w:rsidR="00C24E3F">
        <w:t xml:space="preserve"> </w:t>
      </w:r>
      <w:r w:rsidRPr="00CC10E2">
        <w:t>quality</w:t>
      </w:r>
      <w:r w:rsidRPr="00CC10E2">
        <w:rPr>
          <w:spacing w:val="-5"/>
        </w:rPr>
        <w:t xml:space="preserve"> </w:t>
      </w:r>
      <w:r w:rsidRPr="00CC10E2">
        <w:t>requirement in §</w:t>
      </w:r>
      <w:r w:rsidRPr="00CC10E2">
        <w:rPr>
          <w:spacing w:val="-3"/>
        </w:rPr>
        <w:t xml:space="preserve"> </w:t>
      </w:r>
      <w:r w:rsidRPr="00CC10E2">
        <w:t>112.44(a) demonstrates that the</w:t>
      </w:r>
      <w:r w:rsidRPr="00CC10E2">
        <w:rPr>
          <w:spacing w:val="1"/>
        </w:rPr>
        <w:t xml:space="preserve"> </w:t>
      </w:r>
      <w:r w:rsidRPr="00CC10E2">
        <w:t>water</w:t>
      </w:r>
      <w:r w:rsidRPr="00CC10E2">
        <w:rPr>
          <w:spacing w:val="-3"/>
        </w:rPr>
        <w:t xml:space="preserve"> </w:t>
      </w:r>
      <w:r w:rsidRPr="00CC10E2">
        <w:t>is not safe</w:t>
      </w:r>
      <w:r w:rsidRPr="00CC10E2">
        <w:rPr>
          <w:spacing w:val="1"/>
        </w:rPr>
        <w:t xml:space="preserve"> </w:t>
      </w:r>
      <w:r w:rsidRPr="00CC10E2">
        <w:t>or of</w:t>
      </w:r>
      <w:r w:rsidRPr="00CC10E2">
        <w:rPr>
          <w:spacing w:val="-3"/>
        </w:rPr>
        <w:t xml:space="preserve"> </w:t>
      </w:r>
      <w:r w:rsidRPr="00CC10E2">
        <w:t>adequate</w:t>
      </w:r>
      <w:r w:rsidRPr="00CC10E2">
        <w:rPr>
          <w:spacing w:val="1"/>
        </w:rPr>
        <w:t xml:space="preserve"> </w:t>
      </w:r>
      <w:r w:rsidRPr="00CC10E2">
        <w:t>sanitary</w:t>
      </w:r>
      <w:r w:rsidRPr="00CC10E2">
        <w:rPr>
          <w:spacing w:val="67"/>
        </w:rPr>
        <w:t xml:space="preserve"> </w:t>
      </w:r>
      <w:r w:rsidRPr="00CC10E2">
        <w:t>quality</w:t>
      </w:r>
      <w:r w:rsidRPr="00CC10E2">
        <w:rPr>
          <w:spacing w:val="-3"/>
        </w:rPr>
        <w:t xml:space="preserve"> </w:t>
      </w:r>
      <w:r w:rsidRPr="00CC10E2">
        <w:t>for use as agricultural water in a sprout operation</w:t>
      </w:r>
      <w:r>
        <w:t>. However</w:t>
      </w:r>
      <w:r w:rsidRPr="00CC10E2">
        <w:t>, the</w:t>
      </w:r>
      <w:r w:rsidRPr="00CC10E2">
        <w:rPr>
          <w:spacing w:val="1"/>
        </w:rPr>
        <w:t xml:space="preserve"> </w:t>
      </w:r>
      <w:r w:rsidRPr="00CC10E2">
        <w:t>converse</w:t>
      </w:r>
      <w:r w:rsidRPr="00CC10E2">
        <w:rPr>
          <w:spacing w:val="1"/>
        </w:rPr>
        <w:t xml:space="preserve"> </w:t>
      </w:r>
      <w:r w:rsidRPr="00CC10E2">
        <w:t>is not necessarily</w:t>
      </w:r>
      <w:r w:rsidRPr="00CC10E2">
        <w:rPr>
          <w:spacing w:val="-5"/>
        </w:rPr>
        <w:t xml:space="preserve"> </w:t>
      </w:r>
      <w:r w:rsidRPr="00CC10E2">
        <w:t>true. That is, agricultural water that</w:t>
      </w:r>
      <w:r w:rsidR="007C30AB">
        <w:t xml:space="preserve"> </w:t>
      </w:r>
      <w:r w:rsidR="00E91EF8">
        <w:t>was tested and found to</w:t>
      </w:r>
      <w:r>
        <w:t xml:space="preserve"> </w:t>
      </w:r>
      <w:r w:rsidRPr="00CC10E2">
        <w:t>meet the § 112.44(a) microbial quality</w:t>
      </w:r>
      <w:r w:rsidRPr="00CC10E2">
        <w:rPr>
          <w:spacing w:val="-5"/>
        </w:rPr>
        <w:t xml:space="preserve"> </w:t>
      </w:r>
      <w:r w:rsidRPr="00CC10E2">
        <w:t>criterion may</w:t>
      </w:r>
      <w:r w:rsidRPr="00CC10E2">
        <w:rPr>
          <w:spacing w:val="-3"/>
        </w:rPr>
        <w:t xml:space="preserve"> </w:t>
      </w:r>
      <w:r w:rsidRPr="00CC10E2">
        <w:t>not be</w:t>
      </w:r>
      <w:r w:rsidRPr="00CC10E2">
        <w:rPr>
          <w:spacing w:val="1"/>
        </w:rPr>
        <w:t xml:space="preserve"> </w:t>
      </w:r>
      <w:r w:rsidRPr="00CC10E2">
        <w:t>safe</w:t>
      </w:r>
      <w:r w:rsidRPr="00CC10E2">
        <w:rPr>
          <w:spacing w:val="1"/>
        </w:rPr>
        <w:t xml:space="preserve"> </w:t>
      </w:r>
      <w:r w:rsidRPr="00CC10E2">
        <w:t>or of</w:t>
      </w:r>
      <w:r w:rsidRPr="00CC10E2">
        <w:rPr>
          <w:spacing w:val="-3"/>
        </w:rPr>
        <w:t xml:space="preserve"> </w:t>
      </w:r>
      <w:r w:rsidRPr="00CC10E2">
        <w:t>adequate</w:t>
      </w:r>
      <w:r w:rsidRPr="00CC10E2">
        <w:rPr>
          <w:spacing w:val="1"/>
        </w:rPr>
        <w:t xml:space="preserve"> </w:t>
      </w:r>
      <w:r w:rsidRPr="00CC10E2">
        <w:t>sanitary</w:t>
      </w:r>
      <w:r w:rsidRPr="00CC10E2">
        <w:rPr>
          <w:spacing w:val="-5"/>
        </w:rPr>
        <w:t xml:space="preserve"> </w:t>
      </w:r>
      <w:r w:rsidRPr="00CC10E2">
        <w:t>quality for such use if,</w:t>
      </w:r>
      <w:r w:rsidRPr="00CC10E2">
        <w:rPr>
          <w:spacing w:val="2"/>
        </w:rPr>
        <w:t xml:space="preserve"> </w:t>
      </w:r>
      <w:r w:rsidRPr="00CC10E2">
        <w:t>for</w:t>
      </w:r>
      <w:r w:rsidR="00C24E3F">
        <w:t xml:space="preserve"> </w:t>
      </w:r>
      <w:r w:rsidRPr="00CC10E2">
        <w:t>example,</w:t>
      </w:r>
      <w:r w:rsidRPr="00CC10E2">
        <w:rPr>
          <w:spacing w:val="-3"/>
        </w:rPr>
        <w:t xml:space="preserve"> </w:t>
      </w:r>
      <w:r w:rsidRPr="00CC10E2">
        <w:t>pathogens are</w:t>
      </w:r>
      <w:r w:rsidRPr="00CC10E2">
        <w:rPr>
          <w:spacing w:val="1"/>
        </w:rPr>
        <w:t xml:space="preserve"> </w:t>
      </w:r>
      <w:r w:rsidRPr="00CC10E2">
        <w:t>present in the water.</w:t>
      </w:r>
      <w:r w:rsidR="000E51C4">
        <w:t xml:space="preserve">  For example, </w:t>
      </w:r>
      <w:r w:rsidR="00FD3E21">
        <w:t xml:space="preserve">when conducting a </w:t>
      </w:r>
      <w:r w:rsidR="008D373D">
        <w:t xml:space="preserve">routine </w:t>
      </w:r>
      <w:r w:rsidRPr="00CC10E2">
        <w:t>inspect</w:t>
      </w:r>
      <w:r w:rsidR="008D373D">
        <w:t>ion</w:t>
      </w:r>
      <w:r w:rsidR="002F1269">
        <w:t>, under</w:t>
      </w:r>
      <w:r w:rsidR="34F35D3E">
        <w:t xml:space="preserve"> </w:t>
      </w:r>
      <w:r w:rsidRPr="00CC10E2" w:rsidR="002F1269">
        <w:t>§ 112.42</w:t>
      </w:r>
      <w:r w:rsidR="002F1269">
        <w:t>,</w:t>
      </w:r>
      <w:r w:rsidR="008D373D">
        <w:t xml:space="preserve"> of</w:t>
      </w:r>
      <w:r w:rsidRPr="00CC10E2">
        <w:t xml:space="preserve"> a</w:t>
      </w:r>
      <w:r w:rsidRPr="00CC10E2">
        <w:rPr>
          <w:spacing w:val="1"/>
        </w:rPr>
        <w:t xml:space="preserve"> </w:t>
      </w:r>
      <w:r w:rsidRPr="00CC10E2">
        <w:t>well that you use as a</w:t>
      </w:r>
      <w:r w:rsidRPr="00CC10E2">
        <w:rPr>
          <w:spacing w:val="1"/>
        </w:rPr>
        <w:t xml:space="preserve"> </w:t>
      </w:r>
      <w:r w:rsidRPr="00CC10E2">
        <w:t>source</w:t>
      </w:r>
      <w:r w:rsidRPr="00CC10E2">
        <w:rPr>
          <w:spacing w:val="1"/>
        </w:rPr>
        <w:t xml:space="preserve"> </w:t>
      </w:r>
      <w:r w:rsidRPr="00CC10E2">
        <w:t>of</w:t>
      </w:r>
      <w:r w:rsidRPr="00CC10E2">
        <w:rPr>
          <w:spacing w:val="-3"/>
        </w:rPr>
        <w:t xml:space="preserve"> </w:t>
      </w:r>
      <w:r w:rsidRPr="00CC10E2">
        <w:t>untreated ground water for sprout irrigation</w:t>
      </w:r>
      <w:r w:rsidR="002F1269">
        <w:t xml:space="preserve">, you might </w:t>
      </w:r>
      <w:r w:rsidRPr="00CC10E2">
        <w:t>find</w:t>
      </w:r>
      <w:r w:rsidR="009055D0">
        <w:t xml:space="preserve"> </w:t>
      </w:r>
      <w:r w:rsidRPr="00CC10E2">
        <w:t>a</w:t>
      </w:r>
      <w:r w:rsidRPr="00CC10E2">
        <w:rPr>
          <w:spacing w:val="1"/>
        </w:rPr>
        <w:t xml:space="preserve"> </w:t>
      </w:r>
      <w:r w:rsidRPr="00CC10E2">
        <w:t>dead animal in</w:t>
      </w:r>
      <w:r w:rsidRPr="00CC10E2">
        <w:rPr>
          <w:spacing w:val="-3"/>
        </w:rPr>
        <w:t xml:space="preserve"> </w:t>
      </w:r>
      <w:r w:rsidRPr="00CC10E2">
        <w:t>the well.</w:t>
      </w:r>
      <w:r w:rsidR="009055D0">
        <w:t xml:space="preserve"> </w:t>
      </w:r>
      <w:r w:rsidRPr="00CC10E2">
        <w:t>You would now have reason to believe</w:t>
      </w:r>
      <w:r w:rsidRPr="00CC10E2">
        <w:rPr>
          <w:spacing w:val="1"/>
        </w:rPr>
        <w:t xml:space="preserve"> </w:t>
      </w:r>
      <w:r w:rsidRPr="00CC10E2">
        <w:t>that the</w:t>
      </w:r>
      <w:r w:rsidR="009055D0">
        <w:t xml:space="preserve"> </w:t>
      </w:r>
      <w:r w:rsidRPr="00CC10E2">
        <w:t>agricultural water</w:t>
      </w:r>
      <w:r w:rsidRPr="00CC10E2">
        <w:rPr>
          <w:spacing w:val="-3"/>
        </w:rPr>
        <w:t xml:space="preserve"> </w:t>
      </w:r>
      <w:r w:rsidRPr="00CC10E2">
        <w:t>from that well is not safe</w:t>
      </w:r>
      <w:r w:rsidRPr="00CC10E2">
        <w:rPr>
          <w:spacing w:val="1"/>
        </w:rPr>
        <w:t xml:space="preserve"> </w:t>
      </w:r>
      <w:r w:rsidRPr="00CC10E2">
        <w:t>or of</w:t>
      </w:r>
      <w:r w:rsidRPr="00CC10E2">
        <w:rPr>
          <w:spacing w:val="-3"/>
        </w:rPr>
        <w:t xml:space="preserve"> </w:t>
      </w:r>
      <w:r w:rsidRPr="00CC10E2">
        <w:t>adequate</w:t>
      </w:r>
      <w:r w:rsidRPr="00CC10E2">
        <w:rPr>
          <w:spacing w:val="1"/>
        </w:rPr>
        <w:t xml:space="preserve"> </w:t>
      </w:r>
      <w:r w:rsidRPr="00CC10E2">
        <w:t>sanitary</w:t>
      </w:r>
      <w:r w:rsidRPr="00CC10E2">
        <w:rPr>
          <w:spacing w:val="-5"/>
        </w:rPr>
        <w:t xml:space="preserve"> </w:t>
      </w:r>
      <w:r w:rsidRPr="00CC10E2">
        <w:t>quality</w:t>
      </w:r>
      <w:r w:rsidRPr="00CC10E2">
        <w:rPr>
          <w:spacing w:val="-5"/>
        </w:rPr>
        <w:t xml:space="preserve"> </w:t>
      </w:r>
      <w:r w:rsidRPr="00CC10E2">
        <w:t>for</w:t>
      </w:r>
      <w:r w:rsidRPr="00CC10E2">
        <w:rPr>
          <w:spacing w:val="2"/>
        </w:rPr>
        <w:t xml:space="preserve"> </w:t>
      </w:r>
      <w:r w:rsidRPr="00CC10E2">
        <w:t>its intended use. If you have</w:t>
      </w:r>
      <w:r w:rsidRPr="00CC10E2">
        <w:rPr>
          <w:spacing w:val="1"/>
        </w:rPr>
        <w:t xml:space="preserve"> </w:t>
      </w:r>
      <w:r w:rsidRPr="00CC10E2">
        <w:t>determined, or</w:t>
      </w:r>
      <w:r w:rsidRPr="00CC10E2">
        <w:rPr>
          <w:spacing w:val="-3"/>
        </w:rPr>
        <w:t xml:space="preserve"> </w:t>
      </w:r>
      <w:r w:rsidRPr="00CC10E2">
        <w:t>have</w:t>
      </w:r>
      <w:r w:rsidRPr="00CC10E2">
        <w:rPr>
          <w:spacing w:val="1"/>
        </w:rPr>
        <w:t xml:space="preserve"> </w:t>
      </w:r>
      <w:r w:rsidRPr="00CC10E2">
        <w:t>reason to believe, that your agricultural water</w:t>
      </w:r>
      <w:r w:rsidRPr="00CC10E2">
        <w:rPr>
          <w:spacing w:val="-3"/>
        </w:rPr>
        <w:t xml:space="preserve"> </w:t>
      </w:r>
      <w:r w:rsidRPr="00CC10E2">
        <w:t>source</w:t>
      </w:r>
      <w:r w:rsidRPr="00CC10E2">
        <w:rPr>
          <w:spacing w:val="1"/>
        </w:rPr>
        <w:t xml:space="preserve"> </w:t>
      </w:r>
      <w:r w:rsidRPr="00CC10E2">
        <w:t>is not safe</w:t>
      </w:r>
      <w:r w:rsidRPr="00CC10E2">
        <w:rPr>
          <w:spacing w:val="1"/>
        </w:rPr>
        <w:t xml:space="preserve"> </w:t>
      </w:r>
      <w:r w:rsidRPr="00CC10E2">
        <w:t>or of</w:t>
      </w:r>
      <w:r w:rsidRPr="00CC10E2">
        <w:rPr>
          <w:spacing w:val="69"/>
        </w:rPr>
        <w:t xml:space="preserve"> </w:t>
      </w:r>
      <w:r w:rsidRPr="00CC10E2">
        <w:t>adequate</w:t>
      </w:r>
      <w:r w:rsidRPr="00CC10E2">
        <w:rPr>
          <w:spacing w:val="1"/>
        </w:rPr>
        <w:t xml:space="preserve"> </w:t>
      </w:r>
      <w:r w:rsidRPr="00CC10E2">
        <w:t>sanitary</w:t>
      </w:r>
      <w:r w:rsidRPr="00CC10E2">
        <w:rPr>
          <w:spacing w:val="-5"/>
        </w:rPr>
        <w:t xml:space="preserve"> </w:t>
      </w:r>
      <w:r w:rsidRPr="00CC10E2">
        <w:t>quality</w:t>
      </w:r>
      <w:r w:rsidRPr="00CC10E2">
        <w:rPr>
          <w:spacing w:val="-3"/>
        </w:rPr>
        <w:t xml:space="preserve"> </w:t>
      </w:r>
      <w:r w:rsidRPr="00CC10E2">
        <w:t>for its intended use</w:t>
      </w:r>
      <w:r w:rsidRPr="00CC10E2">
        <w:rPr>
          <w:spacing w:val="1"/>
        </w:rPr>
        <w:t xml:space="preserve"> </w:t>
      </w:r>
      <w:r w:rsidRPr="00CC10E2">
        <w:t>as required by</w:t>
      </w:r>
      <w:r w:rsidRPr="00CC10E2">
        <w:rPr>
          <w:spacing w:val="-5"/>
        </w:rPr>
        <w:t xml:space="preserve"> </w:t>
      </w:r>
      <w:r w:rsidRPr="00CC10E2">
        <w:t>§ 112.41,</w:t>
      </w:r>
      <w:r w:rsidRPr="00CC10E2">
        <w:rPr>
          <w:spacing w:val="2"/>
        </w:rPr>
        <w:t xml:space="preserve"> </w:t>
      </w:r>
      <w:r w:rsidRPr="00CC10E2">
        <w:t>you must immediately discontinue that use(s), and before</w:t>
      </w:r>
      <w:r w:rsidRPr="00CC10E2">
        <w:rPr>
          <w:spacing w:val="3"/>
        </w:rPr>
        <w:t xml:space="preserve"> </w:t>
      </w:r>
      <w:r w:rsidRPr="00CC10E2">
        <w:t>you may</w:t>
      </w:r>
      <w:r w:rsidRPr="00CC10E2">
        <w:rPr>
          <w:spacing w:val="-5"/>
        </w:rPr>
        <w:t xml:space="preserve"> </w:t>
      </w:r>
      <w:r w:rsidRPr="00CC10E2">
        <w:t>use</w:t>
      </w:r>
      <w:r w:rsidRPr="00CC10E2">
        <w:rPr>
          <w:spacing w:val="1"/>
        </w:rPr>
        <w:t xml:space="preserve"> </w:t>
      </w:r>
      <w:r w:rsidRPr="00CC10E2">
        <w:t>the</w:t>
      </w:r>
      <w:r w:rsidRPr="00CC10E2">
        <w:rPr>
          <w:spacing w:val="1"/>
        </w:rPr>
        <w:t xml:space="preserve"> </w:t>
      </w:r>
      <w:r w:rsidRPr="00CC10E2">
        <w:t>agricultural water</w:t>
      </w:r>
      <w:r w:rsidRPr="00CC10E2">
        <w:rPr>
          <w:spacing w:val="-3"/>
        </w:rPr>
        <w:t xml:space="preserve"> </w:t>
      </w:r>
      <w:r w:rsidRPr="00CC10E2">
        <w:t>source and/or distribution</w:t>
      </w:r>
      <w:r w:rsidR="00227850">
        <w:t xml:space="preserve"> </w:t>
      </w:r>
      <w:r w:rsidRPr="00CC10E2">
        <w:t>system again for that use(s),</w:t>
      </w:r>
      <w:r w:rsidRPr="00CC10E2">
        <w:rPr>
          <w:spacing w:val="2"/>
        </w:rPr>
        <w:t xml:space="preserve"> </w:t>
      </w:r>
      <w:r w:rsidRPr="00CC10E2">
        <w:t>you must take appropriate</w:t>
      </w:r>
      <w:r w:rsidRPr="00CC10E2">
        <w:rPr>
          <w:spacing w:val="1"/>
        </w:rPr>
        <w:t xml:space="preserve"> </w:t>
      </w:r>
      <w:r w:rsidRPr="00CC10E2">
        <w:t>corrective</w:t>
      </w:r>
      <w:r w:rsidRPr="00CC10E2">
        <w:rPr>
          <w:spacing w:val="1"/>
        </w:rPr>
        <w:t xml:space="preserve"> </w:t>
      </w:r>
      <w:r w:rsidRPr="00CC10E2">
        <w:t>actions, as set forth in § 112.45(a).</w:t>
      </w:r>
    </w:p>
    <w:p w:rsidR="00191DF8" w:rsidRPr="00B70948" w:rsidP="00F756C4" w14:paraId="06A51A54" w14:textId="355CF1BD">
      <w:pPr>
        <w:pStyle w:val="HHS508GuidanceOutline2"/>
      </w:pPr>
      <w:bookmarkStart w:id="37" w:name="_Toc106094933"/>
      <w:r w:rsidRPr="00B70948">
        <w:t>Reuse of</w:t>
      </w:r>
      <w:r w:rsidRPr="00B70948">
        <w:rPr>
          <w:spacing w:val="1"/>
        </w:rPr>
        <w:t xml:space="preserve"> </w:t>
      </w:r>
      <w:r w:rsidRPr="00B70948">
        <w:t>Sprout Irrigation Water</w:t>
      </w:r>
      <w:bookmarkEnd w:id="37"/>
    </w:p>
    <w:p w:rsidR="00191DF8" w:rsidRPr="00CC10E2" w:rsidP="00E47C04" w14:paraId="3511BC33" w14:textId="0A3599A1">
      <w:pPr>
        <w:pStyle w:val="GuidanceParagraph"/>
      </w:pPr>
      <w:r w:rsidRPr="00CC10E2">
        <w:t xml:space="preserve">We recommend against </w:t>
      </w:r>
      <w:r w:rsidR="00BC4DA3">
        <w:t xml:space="preserve">re-using the spent sprout irrigation water collected from one production batch </w:t>
      </w:r>
      <w:r w:rsidRPr="00CC10E2">
        <w:t xml:space="preserve">to irrigate </w:t>
      </w:r>
      <w:r w:rsidR="626BF893">
        <w:t>subsequent</w:t>
      </w:r>
      <w:r w:rsidRPr="00CC10E2">
        <w:t xml:space="preserve"> batches of sprouts (e.g., applying spent water from batch 1 to irrigate batch 2) without any form of water treatment in between batches. The conditions that are used to produce sprouts allow microorganisms, including </w:t>
      </w:r>
      <w:r w:rsidR="00C7656A">
        <w:t>those of public health significance</w:t>
      </w:r>
      <w:r w:rsidRPr="00CC10E2">
        <w:t>, to grow. Using spent sprout irrigation water from one production batch of sprouts to irrigate another production batch of sprouts can lead to cross contamination between batches, increasing the amount of product exposed to any contamination that may be present. Moreover, depending on the circumstances, such water may not be safe and of adequate sanitary quality for its intended use, in which case the use would be prohibited by § 112.41 (</w:t>
      </w:r>
      <w:r w:rsidR="00322C13">
        <w:fldChar w:fldCharType="begin"/>
      </w:r>
      <w:r w:rsidR="00322C13">
        <w:instrText xml:space="preserve"> REF _Ref51087250 \h </w:instrText>
      </w:r>
      <w:r w:rsidR="004B2A15">
        <w:instrText xml:space="preserve"> \* MERGEFORMAT </w:instrText>
      </w:r>
      <w:r w:rsidR="00322C13">
        <w:fldChar w:fldCharType="separate"/>
      </w:r>
      <w:r w:rsidRPr="006E43DC" w:rsidR="000E290D">
        <w:t xml:space="preserve">Ref. </w:t>
      </w:r>
      <w:r w:rsidR="000E290D">
        <w:rPr>
          <w:noProof/>
        </w:rPr>
        <w:t>31</w:t>
      </w:r>
      <w:r w:rsidR="00322C13">
        <w:fldChar w:fldCharType="end"/>
      </w:r>
      <w:r w:rsidR="001F7C6D">
        <w:t xml:space="preserve"> and </w:t>
      </w:r>
      <w:r w:rsidR="001F5310">
        <w:fldChar w:fldCharType="begin"/>
      </w:r>
      <w:r w:rsidR="001F5310">
        <w:instrText xml:space="preserve"> REF _Ref51331155 \h </w:instrText>
      </w:r>
      <w:r w:rsidR="004B2A15">
        <w:instrText xml:space="preserve"> \* MERGEFORMAT </w:instrText>
      </w:r>
      <w:r w:rsidR="001F5310">
        <w:fldChar w:fldCharType="separate"/>
      </w:r>
      <w:r w:rsidRPr="006E43DC" w:rsidR="000E290D">
        <w:t xml:space="preserve">Ref. </w:t>
      </w:r>
      <w:r w:rsidR="000E290D">
        <w:rPr>
          <w:noProof/>
        </w:rPr>
        <w:t>42</w:t>
      </w:r>
      <w:r w:rsidR="001F5310">
        <w:fldChar w:fldCharType="end"/>
      </w:r>
      <w:r w:rsidRPr="00CC10E2">
        <w:t>).</w:t>
      </w:r>
    </w:p>
    <w:p w:rsidR="00191DF8" w:rsidRPr="00CC10E2" w:rsidP="00E47C04" w14:paraId="7F2515EB" w14:textId="7D042CC8">
      <w:pPr>
        <w:pStyle w:val="GuidanceParagraph"/>
      </w:pPr>
      <w:r w:rsidRPr="00CC10E2">
        <w:t>Separate</w:t>
      </w:r>
      <w:r w:rsidRPr="00CC10E2">
        <w:rPr>
          <w:spacing w:val="1"/>
        </w:rPr>
        <w:t xml:space="preserve"> </w:t>
      </w:r>
      <w:r w:rsidRPr="00CC10E2">
        <w:t>from the</w:t>
      </w:r>
      <w:r w:rsidRPr="00CC10E2">
        <w:rPr>
          <w:spacing w:val="1"/>
        </w:rPr>
        <w:t xml:space="preserve"> </w:t>
      </w:r>
      <w:r w:rsidRPr="00CC10E2">
        <w:t xml:space="preserve">requirements </w:t>
      </w:r>
      <w:r w:rsidRPr="00CC10E2">
        <w:rPr>
          <w:spacing w:val="-2"/>
        </w:rPr>
        <w:t>for</w:t>
      </w:r>
      <w:r w:rsidRPr="00CC10E2">
        <w:t xml:space="preserve"> agricultural water under Subpart</w:t>
      </w:r>
      <w:r w:rsidRPr="00CC10E2">
        <w:rPr>
          <w:spacing w:val="-2"/>
        </w:rPr>
        <w:t xml:space="preserve"> </w:t>
      </w:r>
      <w:r w:rsidRPr="00CC10E2">
        <w:t>E, we</w:t>
      </w:r>
      <w:r w:rsidRPr="00CC10E2">
        <w:rPr>
          <w:spacing w:val="1"/>
        </w:rPr>
        <w:t xml:space="preserve"> </w:t>
      </w:r>
      <w:r w:rsidRPr="00CC10E2">
        <w:t>note</w:t>
      </w:r>
      <w:r w:rsidRPr="00CC10E2">
        <w:rPr>
          <w:spacing w:val="1"/>
        </w:rPr>
        <w:t xml:space="preserve"> </w:t>
      </w:r>
      <w:r w:rsidRPr="00CC10E2">
        <w:t>that</w:t>
      </w:r>
      <w:r w:rsidRPr="00CC10E2">
        <w:rPr>
          <w:spacing w:val="-2"/>
        </w:rPr>
        <w:t xml:space="preserve"> </w:t>
      </w:r>
      <w:r w:rsidRPr="00CC10E2">
        <w:t>the</w:t>
      </w:r>
      <w:r w:rsidRPr="00CC10E2">
        <w:rPr>
          <w:spacing w:val="1"/>
        </w:rPr>
        <w:t xml:space="preserve"> </w:t>
      </w:r>
      <w:r w:rsidRPr="00CC10E2">
        <w:t>requirements</w:t>
      </w:r>
      <w:r w:rsidR="00C312BA">
        <w:t xml:space="preserve"> </w:t>
      </w:r>
      <w:r w:rsidRPr="00CC10E2">
        <w:t>in Subpart M for testing</w:t>
      </w:r>
      <w:r w:rsidRPr="00CC10E2">
        <w:rPr>
          <w:spacing w:val="-3"/>
        </w:rPr>
        <w:t xml:space="preserve"> </w:t>
      </w:r>
      <w:r w:rsidRPr="00CC10E2">
        <w:t>spent sprout</w:t>
      </w:r>
      <w:r w:rsidRPr="00CC10E2">
        <w:rPr>
          <w:spacing w:val="-2"/>
        </w:rPr>
        <w:t xml:space="preserve"> </w:t>
      </w:r>
      <w:r w:rsidRPr="00CC10E2">
        <w:t xml:space="preserve">irrigation water for </w:t>
      </w:r>
      <w:r w:rsidRPr="00CC10E2">
        <w:rPr>
          <w:i/>
        </w:rPr>
        <w:t xml:space="preserve">Salmonella </w:t>
      </w:r>
      <w:r w:rsidRPr="00CC10E2">
        <w:t>spp.,</w:t>
      </w:r>
      <w:r w:rsidRPr="00CC10E2">
        <w:rPr>
          <w:spacing w:val="-2"/>
        </w:rPr>
        <w:t xml:space="preserve"> </w:t>
      </w:r>
      <w:r w:rsidRPr="00CC10E2">
        <w:rPr>
          <w:i/>
        </w:rPr>
        <w:t xml:space="preserve">E. coli </w:t>
      </w:r>
      <w:r w:rsidRPr="00CC10E2">
        <w:t>O157:H7 (and any</w:t>
      </w:r>
      <w:r w:rsidR="00C312BA">
        <w:t xml:space="preserve"> </w:t>
      </w:r>
      <w:r w:rsidRPr="00CC10E2">
        <w:t>other pathogen meeting</w:t>
      </w:r>
      <w:r w:rsidRPr="00CC10E2">
        <w:rPr>
          <w:spacing w:val="-3"/>
        </w:rPr>
        <w:t xml:space="preserve"> </w:t>
      </w:r>
      <w:r w:rsidRPr="00CC10E2">
        <w:t>the</w:t>
      </w:r>
      <w:r w:rsidRPr="00CC10E2">
        <w:rPr>
          <w:spacing w:val="1"/>
        </w:rPr>
        <w:t xml:space="preserve"> </w:t>
      </w:r>
      <w:r w:rsidRPr="00CC10E2">
        <w:t>requirements of</w:t>
      </w:r>
      <w:r w:rsidRPr="00CC10E2">
        <w:rPr>
          <w:spacing w:val="-3"/>
        </w:rPr>
        <w:t xml:space="preserve"> </w:t>
      </w:r>
      <w:r w:rsidRPr="00CC10E2">
        <w:t>§ 112.144(c)) apply</w:t>
      </w:r>
      <w:r w:rsidRPr="00CC10E2">
        <w:rPr>
          <w:spacing w:val="-5"/>
        </w:rPr>
        <w:t xml:space="preserve"> </w:t>
      </w:r>
      <w:r w:rsidRPr="00CC10E2">
        <w:t>to each individual production batch</w:t>
      </w:r>
      <w:r w:rsidR="00C312BA">
        <w:t xml:space="preserve"> </w:t>
      </w:r>
      <w:r w:rsidRPr="00CC10E2">
        <w:t>of</w:t>
      </w:r>
      <w:r w:rsidRPr="00CC10E2">
        <w:rPr>
          <w:spacing w:val="-3"/>
        </w:rPr>
        <w:t xml:space="preserve"> </w:t>
      </w:r>
      <w:r w:rsidRPr="00CC10E2">
        <w:t>sprouts (§ 112.147).</w:t>
      </w:r>
      <w:r w:rsidR="00C312BA">
        <w:t xml:space="preserve"> </w:t>
      </w:r>
      <w:r w:rsidRPr="00CC10E2">
        <w:t>Re-using</w:t>
      </w:r>
      <w:r w:rsidRPr="00CC10E2">
        <w:rPr>
          <w:spacing w:val="-3"/>
        </w:rPr>
        <w:t xml:space="preserve"> </w:t>
      </w:r>
      <w:r w:rsidRPr="00CC10E2">
        <w:t>spent sprout irrigation water from one</w:t>
      </w:r>
      <w:r w:rsidRPr="00CC10E2">
        <w:rPr>
          <w:spacing w:val="1"/>
        </w:rPr>
        <w:t xml:space="preserve"> </w:t>
      </w:r>
      <w:r w:rsidRPr="00CC10E2">
        <w:t>production batch of</w:t>
      </w:r>
      <w:r w:rsidRPr="00CC10E2">
        <w:rPr>
          <w:spacing w:val="-3"/>
        </w:rPr>
        <w:t xml:space="preserve"> </w:t>
      </w:r>
      <w:r w:rsidRPr="00CC10E2">
        <w:t>sprouts</w:t>
      </w:r>
      <w:r w:rsidR="00C312BA">
        <w:t xml:space="preserve"> </w:t>
      </w:r>
      <w:r w:rsidRPr="00CC10E2">
        <w:t>to irrigate</w:t>
      </w:r>
      <w:r w:rsidRPr="00CC10E2">
        <w:rPr>
          <w:spacing w:val="1"/>
        </w:rPr>
        <w:t xml:space="preserve"> </w:t>
      </w:r>
      <w:r w:rsidRPr="00CC10E2">
        <w:t>another</w:t>
      </w:r>
      <w:r w:rsidRPr="00CC10E2">
        <w:rPr>
          <w:spacing w:val="-3"/>
        </w:rPr>
        <w:t xml:space="preserve"> </w:t>
      </w:r>
      <w:r w:rsidRPr="00CC10E2">
        <w:t>production batch of</w:t>
      </w:r>
      <w:r w:rsidRPr="00CC10E2">
        <w:rPr>
          <w:spacing w:val="-3"/>
        </w:rPr>
        <w:t xml:space="preserve"> </w:t>
      </w:r>
      <w:r w:rsidRPr="00CC10E2">
        <w:t>sprouts does</w:t>
      </w:r>
      <w:r w:rsidRPr="00CC10E2">
        <w:rPr>
          <w:spacing w:val="-4"/>
        </w:rPr>
        <w:t xml:space="preserve"> </w:t>
      </w:r>
      <w:r w:rsidRPr="00CC10E2">
        <w:t>not relieve</w:t>
      </w:r>
      <w:r w:rsidRPr="00CC10E2">
        <w:rPr>
          <w:spacing w:val="1"/>
        </w:rPr>
        <w:t xml:space="preserve"> </w:t>
      </w:r>
      <w:r w:rsidRPr="00CC10E2">
        <w:t>you of</w:t>
      </w:r>
      <w:r w:rsidRPr="00CC10E2">
        <w:rPr>
          <w:spacing w:val="-3"/>
        </w:rPr>
        <w:t xml:space="preserve"> </w:t>
      </w:r>
      <w:r w:rsidRPr="00CC10E2">
        <w:t>the</w:t>
      </w:r>
      <w:r w:rsidRPr="00CC10E2">
        <w:rPr>
          <w:spacing w:val="1"/>
        </w:rPr>
        <w:t xml:space="preserve"> </w:t>
      </w:r>
      <w:r w:rsidRPr="00CC10E2">
        <w:t>requirement</w:t>
      </w:r>
      <w:r w:rsidR="00C312BA">
        <w:t xml:space="preserve"> </w:t>
      </w:r>
      <w:r w:rsidRPr="00CC10E2">
        <w:t>to conduct testing</w:t>
      </w:r>
      <w:r w:rsidRPr="00CC10E2">
        <w:rPr>
          <w:spacing w:val="-3"/>
        </w:rPr>
        <w:t xml:space="preserve"> </w:t>
      </w:r>
      <w:r w:rsidRPr="00CC10E2">
        <w:t>in accordance with § 112.147 for spent sprout irrigation water</w:t>
      </w:r>
      <w:r w:rsidRPr="00CC10E2">
        <w:rPr>
          <w:spacing w:val="-2"/>
        </w:rPr>
        <w:t xml:space="preserve"> </w:t>
      </w:r>
      <w:r w:rsidRPr="00CC10E2">
        <w:t>from each</w:t>
      </w:r>
      <w:r w:rsidRPr="00CC10E2">
        <w:rPr>
          <w:spacing w:val="-3"/>
        </w:rPr>
        <w:t xml:space="preserve"> </w:t>
      </w:r>
      <w:r w:rsidRPr="00CC10E2">
        <w:t>individual</w:t>
      </w:r>
      <w:r w:rsidRPr="00CC10E2">
        <w:rPr>
          <w:spacing w:val="59"/>
        </w:rPr>
        <w:t xml:space="preserve"> </w:t>
      </w:r>
      <w:r w:rsidRPr="00CC10E2">
        <w:t>production batch of</w:t>
      </w:r>
      <w:r w:rsidRPr="00CC10E2">
        <w:rPr>
          <w:spacing w:val="-3"/>
        </w:rPr>
        <w:t xml:space="preserve"> </w:t>
      </w:r>
      <w:r w:rsidRPr="009214DA">
        <w:t>sprouts (see</w:t>
      </w:r>
      <w:r w:rsidRPr="009214DA">
        <w:rPr>
          <w:spacing w:val="1"/>
        </w:rPr>
        <w:t xml:space="preserve"> </w:t>
      </w:r>
      <w:r w:rsidRPr="009214DA" w:rsidR="00A15B0C">
        <w:rPr>
          <w:spacing w:val="1"/>
        </w:rPr>
        <w:t>Section</w:t>
      </w:r>
      <w:r w:rsidRPr="009214DA">
        <w:t xml:space="preserve"> </w:t>
      </w:r>
      <w:r w:rsidRPr="009214DA" w:rsidR="006D1995">
        <w:t>V</w:t>
      </w:r>
      <w:r w:rsidRPr="009214DA">
        <w:rPr>
          <w:spacing w:val="-3"/>
        </w:rPr>
        <w:t xml:space="preserve"> </w:t>
      </w:r>
      <w:r w:rsidRPr="009214DA">
        <w:t>(Sampling</w:t>
      </w:r>
      <w:r w:rsidRPr="009214DA">
        <w:rPr>
          <w:spacing w:val="-3"/>
        </w:rPr>
        <w:t xml:space="preserve"> </w:t>
      </w:r>
      <w:r w:rsidRPr="009214DA">
        <w:t>and Testing</w:t>
      </w:r>
      <w:r w:rsidRPr="009214DA">
        <w:rPr>
          <w:spacing w:val="-3"/>
        </w:rPr>
        <w:t xml:space="preserve"> </w:t>
      </w:r>
      <w:r w:rsidRPr="009214DA">
        <w:t>of</w:t>
      </w:r>
      <w:r w:rsidRPr="009214DA">
        <w:rPr>
          <w:spacing w:val="-3"/>
        </w:rPr>
        <w:t xml:space="preserve"> </w:t>
      </w:r>
      <w:r w:rsidRPr="009214DA">
        <w:t>Spent Sprout Irrigation Water</w:t>
      </w:r>
      <w:r w:rsidRPr="009214DA" w:rsidR="007B5AF3">
        <w:t xml:space="preserve"> </w:t>
      </w:r>
      <w:r w:rsidR="00931098">
        <w:t>(</w:t>
      </w:r>
      <w:r w:rsidRPr="009214DA">
        <w:t>or In-Process Sprouts</w:t>
      </w:r>
      <w:r w:rsidR="00931098">
        <w:t>)</w:t>
      </w:r>
      <w:r w:rsidR="0020459B">
        <w:t>)</w:t>
      </w:r>
      <w:r w:rsidRPr="009214DA" w:rsidR="00801AFD">
        <w:t xml:space="preserve"> in </w:t>
      </w:r>
      <w:r w:rsidRPr="009C4709" w:rsidR="000B260F">
        <w:t xml:space="preserve">the draft </w:t>
      </w:r>
      <w:r w:rsidRPr="009C4709" w:rsidR="00801AFD">
        <w:t>re-issued</w:t>
      </w:r>
      <w:r w:rsidRPr="009C4709" w:rsidR="009E7F5F">
        <w:t xml:space="preserve"> sections</w:t>
      </w:r>
      <w:r w:rsidRPr="009C4709" w:rsidR="00D60AB8">
        <w:t xml:space="preserve"> </w:t>
      </w:r>
      <w:r w:rsidRPr="009C4709" w:rsidR="000B260F">
        <w:t>(</w:t>
      </w:r>
      <w:r w:rsidRPr="009C4709" w:rsidR="00FD20DD">
        <w:fldChar w:fldCharType="begin"/>
      </w:r>
      <w:r w:rsidRPr="009C4709" w:rsidR="00FD20DD">
        <w:instrText xml:space="preserve"> REF _Ref126308691 \h  \* MERGEFORMAT </w:instrText>
      </w:r>
      <w:r w:rsidRPr="009C4709" w:rsidR="00FD20DD">
        <w:fldChar w:fldCharType="separate"/>
      </w:r>
      <w:r w:rsidR="000E290D">
        <w:t xml:space="preserve">Ref. </w:t>
      </w:r>
      <w:r w:rsidR="000E290D">
        <w:rPr>
          <w:noProof/>
        </w:rPr>
        <w:t>18</w:t>
      </w:r>
      <w:r w:rsidRPr="009C4709" w:rsidR="00FD20DD">
        <w:fldChar w:fldCharType="end"/>
      </w:r>
      <w:r w:rsidRPr="009C4709" w:rsidR="00FD20DD">
        <w:t>)</w:t>
      </w:r>
      <w:r w:rsidRPr="009C4709">
        <w:t>).</w:t>
      </w:r>
    </w:p>
    <w:p w:rsidR="00191DF8" w:rsidRPr="00CC10E2" w:rsidP="00E47C04" w14:paraId="013ECA4C" w14:textId="067F7DDE">
      <w:pPr>
        <w:pStyle w:val="GuidanceParagraph"/>
      </w:pPr>
      <w:r w:rsidRPr="00CC10E2">
        <w:t>Similarly, we</w:t>
      </w:r>
      <w:r w:rsidRPr="00CC10E2">
        <w:rPr>
          <w:spacing w:val="1"/>
        </w:rPr>
        <w:t xml:space="preserve"> </w:t>
      </w:r>
      <w:r w:rsidRPr="00CC10E2">
        <w:t>also recommend that you not reuse</w:t>
      </w:r>
      <w:r w:rsidRPr="00CC10E2">
        <w:rPr>
          <w:spacing w:val="1"/>
        </w:rPr>
        <w:t xml:space="preserve"> </w:t>
      </w:r>
      <w:r w:rsidRPr="00CC10E2">
        <w:t>spent sprout</w:t>
      </w:r>
      <w:r w:rsidRPr="00CC10E2">
        <w:rPr>
          <w:spacing w:val="-2"/>
        </w:rPr>
        <w:t xml:space="preserve"> </w:t>
      </w:r>
      <w:r w:rsidRPr="00CC10E2">
        <w:t>irrigation water</w:t>
      </w:r>
      <w:r w:rsidRPr="00CC10E2">
        <w:rPr>
          <w:spacing w:val="-3"/>
        </w:rPr>
        <w:t xml:space="preserve"> </w:t>
      </w:r>
      <w:r w:rsidRPr="00CC10E2">
        <w:t>to</w:t>
      </w:r>
      <w:r w:rsidR="00C312BA">
        <w:t xml:space="preserve"> </w:t>
      </w:r>
      <w:r w:rsidRPr="00CC10E2">
        <w:t>irrigate</w:t>
      </w:r>
      <w:r w:rsidRPr="00CC10E2">
        <w:rPr>
          <w:spacing w:val="-2"/>
        </w:rPr>
        <w:t xml:space="preserve"> </w:t>
      </w:r>
      <w:r w:rsidRPr="00CC10E2">
        <w:t>the same</w:t>
      </w:r>
      <w:r w:rsidRPr="00CC10E2">
        <w:rPr>
          <w:spacing w:val="1"/>
        </w:rPr>
        <w:t xml:space="preserve"> </w:t>
      </w:r>
      <w:r w:rsidRPr="00CC10E2">
        <w:t>production batch of</w:t>
      </w:r>
      <w:r w:rsidRPr="00CC10E2">
        <w:rPr>
          <w:spacing w:val="-3"/>
        </w:rPr>
        <w:t xml:space="preserve"> </w:t>
      </w:r>
      <w:r w:rsidRPr="00CC10E2">
        <w:t>sprouts over time</w:t>
      </w:r>
      <w:r w:rsidRPr="00CC10E2">
        <w:rPr>
          <w:spacing w:val="1"/>
        </w:rPr>
        <w:t xml:space="preserve"> </w:t>
      </w:r>
      <w:r w:rsidRPr="00CC10E2">
        <w:t>without</w:t>
      </w:r>
      <w:r w:rsidRPr="00CC10E2">
        <w:rPr>
          <w:spacing w:val="-2"/>
        </w:rPr>
        <w:t xml:space="preserve"> </w:t>
      </w:r>
      <w:r w:rsidRPr="00CC10E2">
        <w:t>any</w:t>
      </w:r>
      <w:r w:rsidRPr="00CC10E2">
        <w:rPr>
          <w:spacing w:val="-3"/>
        </w:rPr>
        <w:t xml:space="preserve"> </w:t>
      </w:r>
      <w:r w:rsidRPr="00CC10E2">
        <w:t>form of</w:t>
      </w:r>
      <w:r w:rsidRPr="00CC10E2">
        <w:rPr>
          <w:spacing w:val="-3"/>
        </w:rPr>
        <w:t xml:space="preserve"> </w:t>
      </w:r>
      <w:r w:rsidRPr="00CC10E2">
        <w:t>water</w:t>
      </w:r>
      <w:r w:rsidRPr="00CC10E2">
        <w:rPr>
          <w:spacing w:val="-3"/>
        </w:rPr>
        <w:t xml:space="preserve"> </w:t>
      </w:r>
      <w:r w:rsidRPr="00CC10E2">
        <w:t>treatment</w:t>
      </w:r>
      <w:r w:rsidRPr="00CC10E2">
        <w:rPr>
          <w:spacing w:val="-3"/>
        </w:rPr>
        <w:t xml:space="preserve"> </w:t>
      </w:r>
      <w:r w:rsidRPr="00CC10E2">
        <w:t>in between</w:t>
      </w:r>
      <w:r w:rsidRPr="00CC10E2">
        <w:rPr>
          <w:spacing w:val="-3"/>
        </w:rPr>
        <w:t xml:space="preserve"> </w:t>
      </w:r>
      <w:r w:rsidRPr="00CC10E2">
        <w:t>uses.</w:t>
      </w:r>
      <w:r w:rsidRPr="00CC10E2">
        <w:rPr>
          <w:spacing w:val="57"/>
        </w:rPr>
        <w:t xml:space="preserve"> </w:t>
      </w:r>
      <w:r w:rsidRPr="00CC10E2">
        <w:t>Reusing</w:t>
      </w:r>
      <w:r w:rsidRPr="00CC10E2">
        <w:rPr>
          <w:spacing w:val="-3"/>
        </w:rPr>
        <w:t xml:space="preserve"> </w:t>
      </w:r>
      <w:r w:rsidRPr="00CC10E2">
        <w:t>spent sprout irrigation water for subsequent irrigation of</w:t>
      </w:r>
      <w:r w:rsidRPr="00CC10E2">
        <w:rPr>
          <w:spacing w:val="-3"/>
        </w:rPr>
        <w:t xml:space="preserve"> </w:t>
      </w:r>
      <w:r w:rsidRPr="00CC10E2">
        <w:t>the</w:t>
      </w:r>
      <w:r w:rsidR="00C312BA">
        <w:t xml:space="preserve"> </w:t>
      </w:r>
      <w:r w:rsidRPr="00CC10E2">
        <w:t>same</w:t>
      </w:r>
      <w:r w:rsidRPr="00CC10E2">
        <w:rPr>
          <w:spacing w:val="1"/>
        </w:rPr>
        <w:t xml:space="preserve"> </w:t>
      </w:r>
      <w:r w:rsidRPr="00CC10E2">
        <w:t>production batch of</w:t>
      </w:r>
      <w:r w:rsidRPr="00CC10E2">
        <w:rPr>
          <w:spacing w:val="-5"/>
        </w:rPr>
        <w:t xml:space="preserve"> </w:t>
      </w:r>
      <w:r w:rsidRPr="00CC10E2">
        <w:t>sprouts over time</w:t>
      </w:r>
      <w:r w:rsidRPr="00CC10E2">
        <w:rPr>
          <w:spacing w:val="1"/>
        </w:rPr>
        <w:t xml:space="preserve"> </w:t>
      </w:r>
      <w:r w:rsidRPr="00CC10E2">
        <w:t>could reintroduce</w:t>
      </w:r>
      <w:r w:rsidRPr="00CC10E2">
        <w:rPr>
          <w:spacing w:val="-2"/>
        </w:rPr>
        <w:t xml:space="preserve"> </w:t>
      </w:r>
      <w:r w:rsidRPr="00CC10E2">
        <w:t>any</w:t>
      </w:r>
      <w:r w:rsidR="00C312BA">
        <w:t xml:space="preserve"> </w:t>
      </w:r>
      <w:r w:rsidRPr="00CC10E2">
        <w:t>pathogens present in</w:t>
      </w:r>
      <w:r w:rsidRPr="00CC10E2">
        <w:rPr>
          <w:spacing w:val="-3"/>
        </w:rPr>
        <w:t xml:space="preserve"> </w:t>
      </w:r>
      <w:r w:rsidRPr="00CC10E2">
        <w:t>the</w:t>
      </w:r>
      <w:r w:rsidRPr="00CC10E2">
        <w:rPr>
          <w:spacing w:val="1"/>
        </w:rPr>
        <w:t xml:space="preserve"> </w:t>
      </w:r>
      <w:r w:rsidRPr="00CC10E2">
        <w:t>water</w:t>
      </w:r>
      <w:r w:rsidRPr="00CC10E2">
        <w:rPr>
          <w:spacing w:val="-3"/>
        </w:rPr>
        <w:t xml:space="preserve"> </w:t>
      </w:r>
      <w:r w:rsidRPr="00CC10E2">
        <w:t>into</w:t>
      </w:r>
      <w:r w:rsidRPr="00CC10E2">
        <w:rPr>
          <w:spacing w:val="-3"/>
        </w:rPr>
        <w:t xml:space="preserve"> </w:t>
      </w:r>
      <w:r w:rsidRPr="00CC10E2">
        <w:t>the</w:t>
      </w:r>
      <w:r w:rsidRPr="00CC10E2">
        <w:rPr>
          <w:spacing w:val="1"/>
        </w:rPr>
        <w:t xml:space="preserve"> </w:t>
      </w:r>
      <w:r w:rsidRPr="00CC10E2">
        <w:t>growing</w:t>
      </w:r>
      <w:r w:rsidRPr="00CC10E2">
        <w:rPr>
          <w:spacing w:val="-3"/>
        </w:rPr>
        <w:t xml:space="preserve"> </w:t>
      </w:r>
      <w:r w:rsidRPr="00CC10E2">
        <w:t>sprouts</w:t>
      </w:r>
      <w:r w:rsidR="006F04A0">
        <w:t xml:space="preserve">, which </w:t>
      </w:r>
      <w:r w:rsidRPr="00CC10E2">
        <w:t>could contaminate a greater proportion of a given batch of sprouts.</w:t>
      </w:r>
      <w:r w:rsidR="00C312BA">
        <w:t xml:space="preserve"> </w:t>
      </w:r>
      <w:r w:rsidRPr="00CC10E2">
        <w:t>Any</w:t>
      </w:r>
      <w:r w:rsidRPr="00CC10E2">
        <w:rPr>
          <w:spacing w:val="-5"/>
        </w:rPr>
        <w:t xml:space="preserve"> </w:t>
      </w:r>
      <w:r w:rsidRPr="00CC10E2">
        <w:t>pathogens that</w:t>
      </w:r>
      <w:r w:rsidRPr="00CC10E2">
        <w:rPr>
          <w:spacing w:val="-2"/>
        </w:rPr>
        <w:t xml:space="preserve"> </w:t>
      </w:r>
      <w:r w:rsidRPr="00CC10E2">
        <w:t>may</w:t>
      </w:r>
      <w:r w:rsidRPr="00CC10E2">
        <w:rPr>
          <w:spacing w:val="-5"/>
        </w:rPr>
        <w:t xml:space="preserve"> </w:t>
      </w:r>
      <w:r w:rsidRPr="00CC10E2">
        <w:t>be</w:t>
      </w:r>
      <w:r w:rsidRPr="00CC10E2">
        <w:rPr>
          <w:spacing w:val="1"/>
        </w:rPr>
        <w:t xml:space="preserve"> </w:t>
      </w:r>
      <w:r w:rsidRPr="00CC10E2">
        <w:t>present in</w:t>
      </w:r>
      <w:r w:rsidRPr="00CC10E2">
        <w:rPr>
          <w:spacing w:val="-3"/>
        </w:rPr>
        <w:t xml:space="preserve"> </w:t>
      </w:r>
      <w:r w:rsidRPr="00CC10E2">
        <w:t>the</w:t>
      </w:r>
      <w:r w:rsidR="00203644">
        <w:t xml:space="preserve"> </w:t>
      </w:r>
      <w:r w:rsidRPr="00CC10E2">
        <w:t>reused spent sprout</w:t>
      </w:r>
      <w:r w:rsidRPr="00CC10E2">
        <w:rPr>
          <w:spacing w:val="1"/>
        </w:rPr>
        <w:t xml:space="preserve"> </w:t>
      </w:r>
      <w:r w:rsidRPr="00CC10E2">
        <w:t>irrigation water could then</w:t>
      </w:r>
      <w:r w:rsidR="00B15FDA">
        <w:t xml:space="preserve"> be added to the growing sprouts and could</w:t>
      </w:r>
      <w:r w:rsidRPr="00CC10E2">
        <w:t xml:space="preserve"> multiply</w:t>
      </w:r>
      <w:r w:rsidRPr="00CC10E2">
        <w:rPr>
          <w:spacing w:val="-5"/>
        </w:rPr>
        <w:t xml:space="preserve"> </w:t>
      </w:r>
      <w:r w:rsidRPr="00CC10E2">
        <w:t>to higher numbers during</w:t>
      </w:r>
      <w:r w:rsidRPr="00CC10E2">
        <w:rPr>
          <w:spacing w:val="-3"/>
        </w:rPr>
        <w:t xml:space="preserve"> </w:t>
      </w:r>
      <w:r w:rsidRPr="00CC10E2">
        <w:t>sprouting (</w:t>
      </w:r>
      <w:r w:rsidR="00925D9A">
        <w:fldChar w:fldCharType="begin"/>
      </w:r>
      <w:r w:rsidR="00925D9A">
        <w:instrText xml:space="preserve"> REF _Ref85029798 \h </w:instrText>
      </w:r>
      <w:r w:rsidR="004B2A15">
        <w:instrText xml:space="preserve"> \* MERGEFORMAT </w:instrText>
      </w:r>
      <w:r w:rsidR="00925D9A">
        <w:fldChar w:fldCharType="separate"/>
      </w:r>
      <w:r w:rsidRPr="006E43DC" w:rsidR="000E290D">
        <w:t xml:space="preserve">Ref. </w:t>
      </w:r>
      <w:r w:rsidR="000E290D">
        <w:rPr>
          <w:noProof/>
        </w:rPr>
        <w:t>43</w:t>
      </w:r>
      <w:r w:rsidR="00925D9A">
        <w:fldChar w:fldCharType="end"/>
      </w:r>
      <w:r w:rsidR="00925D9A">
        <w:t>)</w:t>
      </w:r>
      <w:r w:rsidRPr="00CC10E2">
        <w:t xml:space="preserve">.  </w:t>
      </w:r>
    </w:p>
    <w:p w:rsidR="00191DF8" w:rsidRPr="00B70948" w:rsidP="00F756C4" w14:paraId="114A36F0" w14:textId="1B121513">
      <w:pPr>
        <w:pStyle w:val="HHS508GuidanceOutline2"/>
      </w:pPr>
      <w:bookmarkStart w:id="38" w:name="_Toc106094934"/>
      <w:r w:rsidRPr="00B70948">
        <w:t>Agricultural Water Testing Frequency, Sampling, and Test Methods</w:t>
      </w:r>
      <w:bookmarkEnd w:id="38"/>
    </w:p>
    <w:p w:rsidR="00191DF8" w:rsidRPr="00CC10E2" w:rsidP="00E47C04" w14:paraId="672A4238" w14:textId="7E60DCAE">
      <w:pPr>
        <w:pStyle w:val="GuidanceParagraph"/>
      </w:pPr>
      <w:r w:rsidRPr="00CC10E2">
        <w:t>You</w:t>
      </w:r>
      <w:r w:rsidRPr="00CC10E2">
        <w:rPr>
          <w:spacing w:val="-4"/>
        </w:rPr>
        <w:t xml:space="preserve"> </w:t>
      </w:r>
      <w:r w:rsidRPr="00CC10E2">
        <w:t>are</w:t>
      </w:r>
      <w:r w:rsidRPr="00CC10E2">
        <w:rPr>
          <w:spacing w:val="1"/>
        </w:rPr>
        <w:t xml:space="preserve"> </w:t>
      </w:r>
      <w:r w:rsidRPr="00CC10E2">
        <w:t>required to</w:t>
      </w:r>
      <w:r w:rsidRPr="00CC10E2">
        <w:rPr>
          <w:spacing w:val="-3"/>
        </w:rPr>
        <w:t xml:space="preserve"> </w:t>
      </w:r>
      <w:r w:rsidRPr="00CC10E2">
        <w:t>test</w:t>
      </w:r>
      <w:r w:rsidRPr="00CC10E2">
        <w:rPr>
          <w:spacing w:val="-2"/>
        </w:rPr>
        <w:t xml:space="preserve"> </w:t>
      </w:r>
      <w:r w:rsidRPr="00CC10E2">
        <w:t>your agricultural water source(s)</w:t>
      </w:r>
      <w:r w:rsidRPr="00CC10E2">
        <w:rPr>
          <w:spacing w:val="-3"/>
        </w:rPr>
        <w:t xml:space="preserve"> </w:t>
      </w:r>
      <w:r w:rsidRPr="00CC10E2">
        <w:t>to ensure</w:t>
      </w:r>
      <w:r w:rsidRPr="00CC10E2">
        <w:rPr>
          <w:spacing w:val="-2"/>
        </w:rPr>
        <w:t xml:space="preserve"> </w:t>
      </w:r>
      <w:r w:rsidRPr="00CC10E2">
        <w:t>compliance</w:t>
      </w:r>
      <w:r w:rsidR="00A63815">
        <w:t xml:space="preserve"> </w:t>
      </w:r>
      <w:r w:rsidRPr="00CC10E2">
        <w:t>with the</w:t>
      </w:r>
      <w:r w:rsidRPr="00CC10E2">
        <w:rPr>
          <w:spacing w:val="1"/>
        </w:rPr>
        <w:t xml:space="preserve"> </w:t>
      </w:r>
      <w:r w:rsidRPr="00CC10E2">
        <w:t>microbial quality</w:t>
      </w:r>
      <w:r w:rsidRPr="00CC10E2">
        <w:rPr>
          <w:spacing w:val="-3"/>
        </w:rPr>
        <w:t xml:space="preserve"> </w:t>
      </w:r>
      <w:r w:rsidRPr="00CC10E2">
        <w:t>criterion</w:t>
      </w:r>
      <w:r w:rsidRPr="00CC10E2">
        <w:rPr>
          <w:spacing w:val="-3"/>
        </w:rPr>
        <w:t xml:space="preserve"> </w:t>
      </w:r>
      <w:r w:rsidRPr="00CC10E2">
        <w:t>in § 112.44(a) if</w:t>
      </w:r>
      <w:r w:rsidRPr="00CC10E2">
        <w:rPr>
          <w:spacing w:val="-3"/>
        </w:rPr>
        <w:t xml:space="preserve"> </w:t>
      </w:r>
      <w:r w:rsidRPr="00CC10E2">
        <w:t>you</w:t>
      </w:r>
      <w:r w:rsidRPr="00CC10E2">
        <w:rPr>
          <w:spacing w:val="-5"/>
        </w:rPr>
        <w:t xml:space="preserve"> </w:t>
      </w:r>
      <w:r w:rsidRPr="00CC10E2">
        <w:t>use</w:t>
      </w:r>
      <w:r w:rsidRPr="00CC10E2">
        <w:rPr>
          <w:spacing w:val="1"/>
        </w:rPr>
        <w:t xml:space="preserve"> </w:t>
      </w:r>
      <w:r w:rsidRPr="00CC10E2">
        <w:t>untreated ground</w:t>
      </w:r>
      <w:r w:rsidRPr="00CC10E2">
        <w:rPr>
          <w:spacing w:val="-3"/>
        </w:rPr>
        <w:t xml:space="preserve"> </w:t>
      </w:r>
      <w:r w:rsidRPr="00CC10E2">
        <w:t>water</w:t>
      </w:r>
      <w:r w:rsidRPr="00CC10E2">
        <w:rPr>
          <w:spacing w:val="-3"/>
        </w:rPr>
        <w:t xml:space="preserve"> </w:t>
      </w:r>
      <w:r w:rsidRPr="00CC10E2">
        <w:t>as agricultural</w:t>
      </w:r>
      <w:r w:rsidR="00A63815">
        <w:t xml:space="preserve"> </w:t>
      </w:r>
      <w:r w:rsidRPr="00CC10E2">
        <w:t>water (</w:t>
      </w:r>
      <w:r w:rsidRPr="00A9153F">
        <w:t>see</w:t>
      </w:r>
      <w:r w:rsidRPr="00A9153F">
        <w:rPr>
          <w:spacing w:val="1"/>
        </w:rPr>
        <w:t xml:space="preserve"> </w:t>
      </w:r>
      <w:r w:rsidR="008A23E3">
        <w:rPr>
          <w:spacing w:val="1"/>
        </w:rPr>
        <w:t>S</w:t>
      </w:r>
      <w:r w:rsidR="001422F4">
        <w:rPr>
          <w:spacing w:val="1"/>
        </w:rPr>
        <w:t xml:space="preserve">ection </w:t>
      </w:r>
      <w:r w:rsidRPr="00A9153F" w:rsidR="00607689">
        <w:rPr>
          <w:spacing w:val="-3"/>
        </w:rPr>
        <w:t>I</w:t>
      </w:r>
      <w:r w:rsidRPr="00A9153F">
        <w:t>V.</w:t>
      </w:r>
      <w:r w:rsidRPr="00A9153F" w:rsidR="00F23801">
        <w:t xml:space="preserve"> </w:t>
      </w:r>
      <w:r w:rsidRPr="00A9153F">
        <w:t xml:space="preserve">B </w:t>
      </w:r>
      <w:r w:rsidR="00931098">
        <w:t xml:space="preserve">(Agricultural Water </w:t>
      </w:r>
      <w:r w:rsidR="00823EE0">
        <w:t xml:space="preserve">Source </w:t>
      </w:r>
      <w:r w:rsidR="00931098">
        <w:t xml:space="preserve">Type and Treatment Status) </w:t>
      </w:r>
      <w:r w:rsidRPr="00A9153F">
        <w:t>above</w:t>
      </w:r>
      <w:r w:rsidRPr="00CC10E2">
        <w:t>).</w:t>
      </w:r>
      <w:r w:rsidR="00C312BA">
        <w:t xml:space="preserve"> </w:t>
      </w:r>
      <w:r w:rsidRPr="00CC10E2">
        <w:rPr>
          <w:spacing w:val="-2"/>
        </w:rPr>
        <w:t>In</w:t>
      </w:r>
      <w:r w:rsidRPr="00CC10E2">
        <w:t xml:space="preserve"> this circumstance, you are</w:t>
      </w:r>
      <w:r w:rsidRPr="00CC10E2">
        <w:rPr>
          <w:spacing w:val="1"/>
        </w:rPr>
        <w:t xml:space="preserve"> </w:t>
      </w:r>
      <w:r w:rsidRPr="00CC10E2">
        <w:t>initially</w:t>
      </w:r>
      <w:r w:rsidRPr="00CC10E2">
        <w:rPr>
          <w:spacing w:val="-5"/>
        </w:rPr>
        <w:t xml:space="preserve"> </w:t>
      </w:r>
      <w:r w:rsidRPr="00CC10E2">
        <w:t>required to</w:t>
      </w:r>
      <w:r w:rsidRPr="00CC10E2">
        <w:rPr>
          <w:spacing w:val="-3"/>
        </w:rPr>
        <w:t xml:space="preserve"> </w:t>
      </w:r>
      <w:r w:rsidRPr="00CC10E2">
        <w:t>test</w:t>
      </w:r>
      <w:r w:rsidRPr="00CC10E2">
        <w:rPr>
          <w:spacing w:val="67"/>
        </w:rPr>
        <w:t xml:space="preserve"> </w:t>
      </w:r>
      <w:r w:rsidRPr="00CC10E2">
        <w:t>each</w:t>
      </w:r>
      <w:r w:rsidRPr="00CC10E2">
        <w:rPr>
          <w:spacing w:val="-3"/>
        </w:rPr>
        <w:t xml:space="preserve"> </w:t>
      </w:r>
      <w:r w:rsidRPr="00CC10E2">
        <w:t>such water source</w:t>
      </w:r>
      <w:r w:rsidRPr="00CC10E2">
        <w:rPr>
          <w:spacing w:val="1"/>
        </w:rPr>
        <w:t xml:space="preserve"> </w:t>
      </w:r>
      <w:r w:rsidRPr="00CC10E2">
        <w:t>a</w:t>
      </w:r>
      <w:r w:rsidRPr="00CC10E2">
        <w:rPr>
          <w:spacing w:val="-2"/>
        </w:rPr>
        <w:t xml:space="preserve"> </w:t>
      </w:r>
      <w:r w:rsidRPr="00CC10E2">
        <w:t>minimum of</w:t>
      </w:r>
      <w:r w:rsidRPr="00CC10E2">
        <w:rPr>
          <w:spacing w:val="-3"/>
        </w:rPr>
        <w:t xml:space="preserve"> </w:t>
      </w:r>
      <w:r w:rsidRPr="00CC10E2">
        <w:t>four times throughout the</w:t>
      </w:r>
      <w:r w:rsidRPr="00CC10E2">
        <w:rPr>
          <w:spacing w:val="1"/>
        </w:rPr>
        <w:t xml:space="preserve"> </w:t>
      </w:r>
      <w:r w:rsidRPr="00CC10E2">
        <w:t>growing</w:t>
      </w:r>
      <w:r w:rsidRPr="00CC10E2">
        <w:rPr>
          <w:spacing w:val="-3"/>
        </w:rPr>
        <w:t xml:space="preserve"> </w:t>
      </w:r>
      <w:r w:rsidRPr="00CC10E2">
        <w:t>season or over a</w:t>
      </w:r>
      <w:r w:rsidRPr="00CC10E2">
        <w:rPr>
          <w:spacing w:val="1"/>
        </w:rPr>
        <w:t xml:space="preserve"> </w:t>
      </w:r>
      <w:r w:rsidRPr="00CC10E2">
        <w:t>period of</w:t>
      </w:r>
      <w:r w:rsidRPr="00CC10E2">
        <w:rPr>
          <w:spacing w:val="65"/>
        </w:rPr>
        <w:t xml:space="preserve"> </w:t>
      </w:r>
      <w:r w:rsidRPr="00CC10E2">
        <w:t>one</w:t>
      </w:r>
      <w:r w:rsidRPr="00CC10E2">
        <w:rPr>
          <w:spacing w:val="1"/>
        </w:rPr>
        <w:t xml:space="preserve"> </w:t>
      </w:r>
      <w:r w:rsidRPr="00CC10E2">
        <w:rPr>
          <w:spacing w:val="-2"/>
        </w:rPr>
        <w:t>year</w:t>
      </w:r>
      <w:r w:rsidRPr="00CC10E2">
        <w:t xml:space="preserve"> (§112.46(c)). </w:t>
      </w:r>
      <w:r w:rsidRPr="00CC10E2">
        <w:rPr>
          <w:spacing w:val="-2"/>
        </w:rPr>
        <w:t>If</w:t>
      </w:r>
      <w:r w:rsidRPr="00CC10E2">
        <w:t xml:space="preserve"> all four of</w:t>
      </w:r>
      <w:r w:rsidRPr="00CC10E2">
        <w:rPr>
          <w:spacing w:val="-3"/>
        </w:rPr>
        <w:t xml:space="preserve"> </w:t>
      </w:r>
      <w:r w:rsidRPr="00CC10E2">
        <w:t>the</w:t>
      </w:r>
      <w:r w:rsidRPr="00CC10E2">
        <w:rPr>
          <w:spacing w:val="1"/>
        </w:rPr>
        <w:t xml:space="preserve"> </w:t>
      </w:r>
      <w:r w:rsidRPr="00CC10E2">
        <w:t>initial samples tested</w:t>
      </w:r>
      <w:r w:rsidRPr="00CC10E2">
        <w:rPr>
          <w:spacing w:val="-3"/>
        </w:rPr>
        <w:t xml:space="preserve"> </w:t>
      </w:r>
      <w:r w:rsidRPr="00CC10E2">
        <w:t>meet the</w:t>
      </w:r>
      <w:r w:rsidRPr="00CC10E2">
        <w:rPr>
          <w:spacing w:val="1"/>
        </w:rPr>
        <w:t xml:space="preserve"> </w:t>
      </w:r>
      <w:r w:rsidRPr="00CC10E2">
        <w:t>microbial quality</w:t>
      </w:r>
      <w:r w:rsidRPr="00CC10E2">
        <w:rPr>
          <w:spacing w:val="-5"/>
        </w:rPr>
        <w:t xml:space="preserve"> </w:t>
      </w:r>
      <w:r w:rsidRPr="00CC10E2">
        <w:t>criterion</w:t>
      </w:r>
      <w:r w:rsidRPr="00CC10E2">
        <w:rPr>
          <w:spacing w:val="-3"/>
        </w:rPr>
        <w:t xml:space="preserve"> </w:t>
      </w:r>
      <w:r w:rsidRPr="00CC10E2">
        <w:t>in §</w:t>
      </w:r>
      <w:r w:rsidRPr="00CC10E2">
        <w:rPr>
          <w:spacing w:val="43"/>
        </w:rPr>
        <w:t xml:space="preserve"> </w:t>
      </w:r>
      <w:r w:rsidRPr="00CC10E2">
        <w:t xml:space="preserve">112.44(a), </w:t>
      </w:r>
      <w:r w:rsidRPr="00CC10E2">
        <w:rPr>
          <w:spacing w:val="-2"/>
        </w:rPr>
        <w:t>you</w:t>
      </w:r>
      <w:r w:rsidRPr="00CC10E2">
        <w:t xml:space="preserve"> </w:t>
      </w:r>
      <w:r w:rsidRPr="00CC10E2">
        <w:rPr>
          <w:spacing w:val="1"/>
        </w:rPr>
        <w:t>may</w:t>
      </w:r>
      <w:r w:rsidRPr="00CC10E2">
        <w:rPr>
          <w:spacing w:val="-5"/>
        </w:rPr>
        <w:t xml:space="preserve"> </w:t>
      </w:r>
      <w:r w:rsidRPr="00CC10E2">
        <w:t>test once</w:t>
      </w:r>
      <w:r w:rsidRPr="00CC10E2">
        <w:rPr>
          <w:spacing w:val="-2"/>
        </w:rPr>
        <w:t xml:space="preserve"> </w:t>
      </w:r>
      <w:r w:rsidRPr="00CC10E2">
        <w:t>annually</w:t>
      </w:r>
      <w:r w:rsidRPr="00CC10E2">
        <w:rPr>
          <w:spacing w:val="-5"/>
        </w:rPr>
        <w:t xml:space="preserve"> </w:t>
      </w:r>
      <w:r w:rsidRPr="00CC10E2">
        <w:t>thereafter.</w:t>
      </w:r>
      <w:r w:rsidR="00C312BA">
        <w:t xml:space="preserve"> </w:t>
      </w:r>
      <w:r w:rsidRPr="00CC10E2">
        <w:t>You must resume</w:t>
      </w:r>
      <w:r w:rsidRPr="00CC10E2">
        <w:rPr>
          <w:spacing w:val="1"/>
        </w:rPr>
        <w:t xml:space="preserve"> </w:t>
      </w:r>
      <w:r w:rsidRPr="00CC10E2">
        <w:t>testing</w:t>
      </w:r>
      <w:r w:rsidRPr="00CC10E2">
        <w:rPr>
          <w:spacing w:val="-3"/>
        </w:rPr>
        <w:t xml:space="preserve"> </w:t>
      </w:r>
      <w:r w:rsidRPr="00CC10E2">
        <w:t>at</w:t>
      </w:r>
      <w:r w:rsidRPr="00CC10E2">
        <w:rPr>
          <w:spacing w:val="-2"/>
        </w:rPr>
        <w:t xml:space="preserve"> </w:t>
      </w:r>
      <w:r w:rsidRPr="00CC10E2">
        <w:t>least four times per</w:t>
      </w:r>
      <w:r w:rsidRPr="00CC10E2">
        <w:rPr>
          <w:spacing w:val="71"/>
        </w:rPr>
        <w:t xml:space="preserve"> </w:t>
      </w:r>
      <w:r w:rsidRPr="00CC10E2">
        <w:t>growing season or</w:t>
      </w:r>
      <w:r w:rsidRPr="00CC10E2">
        <w:rPr>
          <w:spacing w:val="2"/>
        </w:rPr>
        <w:t xml:space="preserve"> </w:t>
      </w:r>
      <w:r w:rsidRPr="00CC10E2">
        <w:rPr>
          <w:spacing w:val="-2"/>
        </w:rPr>
        <w:t>year</w:t>
      </w:r>
      <w:r w:rsidRPr="00CC10E2">
        <w:t xml:space="preserve"> if</w:t>
      </w:r>
      <w:r w:rsidRPr="00CC10E2">
        <w:rPr>
          <w:spacing w:val="-3"/>
        </w:rPr>
        <w:t xml:space="preserve"> </w:t>
      </w:r>
      <w:r w:rsidRPr="00CC10E2">
        <w:t>any</w:t>
      </w:r>
      <w:r w:rsidRPr="00CC10E2">
        <w:rPr>
          <w:spacing w:val="-5"/>
        </w:rPr>
        <w:t xml:space="preserve"> </w:t>
      </w:r>
      <w:r w:rsidRPr="00CC10E2">
        <w:t>annual test fails</w:t>
      </w:r>
      <w:r w:rsidRPr="00CC10E2">
        <w:rPr>
          <w:spacing w:val="-4"/>
        </w:rPr>
        <w:t xml:space="preserve"> </w:t>
      </w:r>
      <w:r w:rsidRPr="00CC10E2">
        <w:t>to meet the</w:t>
      </w:r>
      <w:r w:rsidRPr="00CC10E2">
        <w:rPr>
          <w:spacing w:val="1"/>
        </w:rPr>
        <w:t xml:space="preserve"> </w:t>
      </w:r>
      <w:r w:rsidRPr="00CC10E2">
        <w:t>microbial quality</w:t>
      </w:r>
      <w:r w:rsidRPr="00CC10E2">
        <w:rPr>
          <w:spacing w:val="-5"/>
        </w:rPr>
        <w:t xml:space="preserve"> </w:t>
      </w:r>
      <w:r w:rsidRPr="00CC10E2">
        <w:t>criterion</w:t>
      </w:r>
      <w:r w:rsidRPr="00CC10E2">
        <w:rPr>
          <w:spacing w:val="-3"/>
        </w:rPr>
        <w:t xml:space="preserve"> </w:t>
      </w:r>
      <w:r w:rsidRPr="00CC10E2">
        <w:t>in § 112.44(a).</w:t>
      </w:r>
    </w:p>
    <w:p w:rsidR="00191DF8" w:rsidRPr="00CC10E2" w:rsidP="00E47C04" w14:paraId="0ADB89C2" w14:textId="420922DE">
      <w:pPr>
        <w:pStyle w:val="GuidanceParagraph"/>
      </w:pPr>
      <w:r w:rsidRPr="00CC10E2">
        <w:t>Section 112.46(c) requires</w:t>
      </w:r>
      <w:r w:rsidRPr="00CC10E2">
        <w:rPr>
          <w:spacing w:val="-4"/>
        </w:rPr>
        <w:t xml:space="preserve"> </w:t>
      </w:r>
      <w:r w:rsidRPr="00CC10E2">
        <w:t xml:space="preserve">all such samples to </w:t>
      </w:r>
      <w:r w:rsidRPr="00CC10E2">
        <w:rPr>
          <w:spacing w:val="-2"/>
        </w:rPr>
        <w:t>be</w:t>
      </w:r>
      <w:r w:rsidRPr="00CC10E2">
        <w:rPr>
          <w:spacing w:val="1"/>
        </w:rPr>
        <w:t xml:space="preserve"> </w:t>
      </w:r>
      <w:r w:rsidRPr="00CC10E2">
        <w:t>representative</w:t>
      </w:r>
      <w:r w:rsidRPr="00CC10E2">
        <w:rPr>
          <w:spacing w:val="1"/>
        </w:rPr>
        <w:t xml:space="preserve"> </w:t>
      </w:r>
      <w:r w:rsidRPr="00CC10E2">
        <w:t>of</w:t>
      </w:r>
      <w:r w:rsidRPr="00CC10E2">
        <w:rPr>
          <w:spacing w:val="-3"/>
        </w:rPr>
        <w:t xml:space="preserve"> </w:t>
      </w:r>
      <w:r w:rsidRPr="00CC10E2">
        <w:t>the</w:t>
      </w:r>
      <w:r w:rsidRPr="00CC10E2">
        <w:rPr>
          <w:spacing w:val="1"/>
        </w:rPr>
        <w:t xml:space="preserve"> </w:t>
      </w:r>
      <w:r w:rsidRPr="00CC10E2">
        <w:t>intended</w:t>
      </w:r>
      <w:r w:rsidR="00601F5D">
        <w:t xml:space="preserve"> </w:t>
      </w:r>
      <w:r w:rsidRPr="00CC10E2">
        <w:t xml:space="preserve">use(s). </w:t>
      </w:r>
      <w:r w:rsidRPr="00CC10E2">
        <w:rPr>
          <w:spacing w:val="1"/>
        </w:rPr>
        <w:t>By</w:t>
      </w:r>
      <w:r w:rsidRPr="00CC10E2">
        <w:rPr>
          <w:spacing w:val="-5"/>
        </w:rPr>
        <w:t xml:space="preserve"> </w:t>
      </w:r>
      <w:r w:rsidRPr="00CC10E2">
        <w:t>“representative</w:t>
      </w:r>
      <w:r w:rsidRPr="00CC10E2">
        <w:rPr>
          <w:spacing w:val="1"/>
        </w:rPr>
        <w:t xml:space="preserve"> </w:t>
      </w:r>
      <w:r w:rsidRPr="00CC10E2">
        <w:t>of</w:t>
      </w:r>
      <w:r w:rsidRPr="00CC10E2">
        <w:rPr>
          <w:spacing w:val="-3"/>
        </w:rPr>
        <w:t xml:space="preserve"> </w:t>
      </w:r>
      <w:r w:rsidRPr="00CC10E2">
        <w:t>the</w:t>
      </w:r>
      <w:r w:rsidRPr="00CC10E2">
        <w:rPr>
          <w:spacing w:val="1"/>
        </w:rPr>
        <w:t xml:space="preserve"> </w:t>
      </w:r>
      <w:r w:rsidRPr="00CC10E2">
        <w:t>intended use(s)”</w:t>
      </w:r>
      <w:r w:rsidRPr="00CC10E2">
        <w:rPr>
          <w:spacing w:val="1"/>
        </w:rPr>
        <w:t xml:space="preserve"> </w:t>
      </w:r>
      <w:r w:rsidRPr="00CC10E2">
        <w:rPr>
          <w:spacing w:val="-2"/>
        </w:rPr>
        <w:t>we</w:t>
      </w:r>
      <w:r w:rsidRPr="00CC10E2">
        <w:rPr>
          <w:spacing w:val="1"/>
        </w:rPr>
        <w:t xml:space="preserve"> </w:t>
      </w:r>
      <w:r w:rsidRPr="00CC10E2">
        <w:t>mean collected from a</w:t>
      </w:r>
      <w:r w:rsidRPr="00CC10E2">
        <w:rPr>
          <w:spacing w:val="-2"/>
        </w:rPr>
        <w:t xml:space="preserve"> </w:t>
      </w:r>
      <w:r w:rsidRPr="00CC10E2">
        <w:t>location, and at</w:t>
      </w:r>
      <w:r w:rsidRPr="00CC10E2">
        <w:rPr>
          <w:spacing w:val="-2"/>
        </w:rPr>
        <w:t xml:space="preserve"> </w:t>
      </w:r>
      <w:r w:rsidRPr="00CC10E2">
        <w:t>a</w:t>
      </w:r>
      <w:r w:rsidRPr="00CC10E2">
        <w:rPr>
          <w:spacing w:val="1"/>
        </w:rPr>
        <w:t xml:space="preserve"> </w:t>
      </w:r>
      <w:r w:rsidRPr="00CC10E2">
        <w:t>time of year,</w:t>
      </w:r>
      <w:r w:rsidRPr="00CC10E2">
        <w:rPr>
          <w:spacing w:val="65"/>
        </w:rPr>
        <w:t xml:space="preserve"> </w:t>
      </w:r>
      <w:r w:rsidRPr="00CC10E2">
        <w:t>such that the</w:t>
      </w:r>
      <w:r w:rsidRPr="00CC10E2">
        <w:rPr>
          <w:spacing w:val="1"/>
        </w:rPr>
        <w:t xml:space="preserve"> </w:t>
      </w:r>
      <w:r w:rsidRPr="00CC10E2">
        <w:t>sample</w:t>
      </w:r>
      <w:r w:rsidRPr="00CC10E2">
        <w:rPr>
          <w:spacing w:val="-2"/>
        </w:rPr>
        <w:t xml:space="preserve"> </w:t>
      </w:r>
      <w:r w:rsidRPr="00CC10E2">
        <w:t>can reasonably</w:t>
      </w:r>
      <w:r w:rsidRPr="00CC10E2">
        <w:rPr>
          <w:spacing w:val="-5"/>
        </w:rPr>
        <w:t xml:space="preserve"> </w:t>
      </w:r>
      <w:r w:rsidRPr="00CC10E2">
        <w:t>be</w:t>
      </w:r>
      <w:r w:rsidRPr="00CC10E2">
        <w:rPr>
          <w:spacing w:val="1"/>
        </w:rPr>
        <w:t xml:space="preserve"> </w:t>
      </w:r>
      <w:r w:rsidRPr="00CC10E2">
        <w:t>expected to represent the</w:t>
      </w:r>
      <w:r w:rsidRPr="00CC10E2">
        <w:rPr>
          <w:spacing w:val="1"/>
        </w:rPr>
        <w:t xml:space="preserve"> </w:t>
      </w:r>
      <w:r w:rsidRPr="00CC10E2">
        <w:t>quality</w:t>
      </w:r>
      <w:r w:rsidRPr="00CC10E2">
        <w:rPr>
          <w:spacing w:val="-5"/>
        </w:rPr>
        <w:t xml:space="preserve"> </w:t>
      </w:r>
      <w:r w:rsidRPr="00CC10E2">
        <w:t>of</w:t>
      </w:r>
      <w:r w:rsidRPr="00CC10E2">
        <w:rPr>
          <w:spacing w:val="-3"/>
        </w:rPr>
        <w:t xml:space="preserve"> </w:t>
      </w:r>
      <w:r w:rsidRPr="00CC10E2">
        <w:t>the</w:t>
      </w:r>
      <w:r w:rsidRPr="00CC10E2">
        <w:rPr>
          <w:spacing w:val="1"/>
        </w:rPr>
        <w:t xml:space="preserve"> </w:t>
      </w:r>
      <w:r w:rsidRPr="00CC10E2">
        <w:t>agricultural water as it is normally used.</w:t>
      </w:r>
      <w:r w:rsidR="00A63815">
        <w:t xml:space="preserve"> </w:t>
      </w:r>
      <w:r w:rsidRPr="00CC10E2">
        <w:t>For example, if you normally use untreated ground water for agricultural water uses only from April through August of each year, you should collect samples during that part of the year so that the samples are representative of the intended use(s).</w:t>
      </w:r>
      <w:r w:rsidR="00A63815">
        <w:t xml:space="preserve"> </w:t>
      </w:r>
      <w:r w:rsidRPr="00CC10E2">
        <w:t>You should assess your production schedule to determine an appropriate sampling scheme for collecting the four initial samples.</w:t>
      </w:r>
    </w:p>
    <w:p w:rsidR="00191DF8" w:rsidRPr="00CC10E2" w:rsidP="00E47C04" w14:paraId="7D4DADC0" w14:textId="4804ABCF">
      <w:pPr>
        <w:pStyle w:val="GuidanceParagraph"/>
      </w:pPr>
      <w:r w:rsidRPr="00CC10E2">
        <w:t>With respect to sampling location, sampling</w:t>
      </w:r>
      <w:r w:rsidRPr="00CC10E2">
        <w:rPr>
          <w:spacing w:val="-3"/>
        </w:rPr>
        <w:t xml:space="preserve"> </w:t>
      </w:r>
      <w:r w:rsidRPr="00CC10E2">
        <w:t>at the</w:t>
      </w:r>
      <w:r w:rsidRPr="00CC10E2">
        <w:rPr>
          <w:spacing w:val="1"/>
        </w:rPr>
        <w:t xml:space="preserve"> </w:t>
      </w:r>
      <w:r w:rsidRPr="00CC10E2">
        <w:t>point of your actual</w:t>
      </w:r>
      <w:r w:rsidRPr="00CC10E2">
        <w:rPr>
          <w:spacing w:val="-2"/>
        </w:rPr>
        <w:t xml:space="preserve"> </w:t>
      </w:r>
      <w:r w:rsidRPr="00CC10E2">
        <w:t>use</w:t>
      </w:r>
      <w:r w:rsidRPr="00CC10E2">
        <w:rPr>
          <w:spacing w:val="1"/>
        </w:rPr>
        <w:t xml:space="preserve"> </w:t>
      </w:r>
      <w:r w:rsidRPr="00CC10E2">
        <w:t>is ideal (e.g., sampling</w:t>
      </w:r>
      <w:r w:rsidRPr="00CC10E2">
        <w:rPr>
          <w:spacing w:val="-3"/>
        </w:rPr>
        <w:t xml:space="preserve"> </w:t>
      </w:r>
      <w:r w:rsidRPr="00CC10E2">
        <w:t>where</w:t>
      </w:r>
      <w:r w:rsidRPr="00CC10E2">
        <w:rPr>
          <w:spacing w:val="1"/>
        </w:rPr>
        <w:t xml:space="preserve"> </w:t>
      </w:r>
      <w:r w:rsidRPr="00CC10E2">
        <w:t>water</w:t>
      </w:r>
      <w:r w:rsidR="00F8568B">
        <w:t xml:space="preserve"> </w:t>
      </w:r>
      <w:r w:rsidRPr="00CC10E2">
        <w:t>comes out of</w:t>
      </w:r>
      <w:r w:rsidRPr="00CC10E2">
        <w:rPr>
          <w:spacing w:val="-3"/>
        </w:rPr>
        <w:t xml:space="preserve"> </w:t>
      </w:r>
      <w:r w:rsidRPr="00CC10E2">
        <w:t>a</w:t>
      </w:r>
      <w:r w:rsidRPr="00CC10E2">
        <w:rPr>
          <w:spacing w:val="1"/>
        </w:rPr>
        <w:t xml:space="preserve"> </w:t>
      </w:r>
      <w:r w:rsidRPr="00CC10E2">
        <w:t>faucet</w:t>
      </w:r>
      <w:r w:rsidRPr="00CC10E2">
        <w:rPr>
          <w:spacing w:val="-2"/>
        </w:rPr>
        <w:t xml:space="preserve"> </w:t>
      </w:r>
      <w:r w:rsidRPr="00CC10E2">
        <w:t>or hose</w:t>
      </w:r>
      <w:r w:rsidRPr="00CC10E2">
        <w:rPr>
          <w:spacing w:val="1"/>
        </w:rPr>
        <w:t xml:space="preserve"> </w:t>
      </w:r>
      <w:r w:rsidRPr="00CC10E2">
        <w:t xml:space="preserve">in </w:t>
      </w:r>
      <w:r w:rsidRPr="00CC10E2">
        <w:rPr>
          <w:spacing w:val="-2"/>
        </w:rPr>
        <w:t>your</w:t>
      </w:r>
      <w:r w:rsidRPr="00CC10E2">
        <w:t xml:space="preserve"> building</w:t>
      </w:r>
      <w:r w:rsidRPr="00CC10E2">
        <w:rPr>
          <w:spacing w:val="-3"/>
        </w:rPr>
        <w:t xml:space="preserve"> </w:t>
      </w:r>
      <w:r w:rsidRPr="00CC10E2">
        <w:t xml:space="preserve">and enters </w:t>
      </w:r>
      <w:r w:rsidRPr="00CC10E2">
        <w:rPr>
          <w:spacing w:val="-2"/>
        </w:rPr>
        <w:t>your</w:t>
      </w:r>
      <w:r w:rsidRPr="00CC10E2">
        <w:t xml:space="preserve"> sprout growing unit to</w:t>
      </w:r>
      <w:r w:rsidRPr="00CC10E2">
        <w:rPr>
          <w:spacing w:val="-3"/>
        </w:rPr>
        <w:t xml:space="preserve"> </w:t>
      </w:r>
      <w:r w:rsidRPr="00CC10E2">
        <w:t>be</w:t>
      </w:r>
      <w:r w:rsidRPr="00CC10E2">
        <w:rPr>
          <w:spacing w:val="1"/>
        </w:rPr>
        <w:t xml:space="preserve"> </w:t>
      </w:r>
      <w:r w:rsidRPr="00CC10E2">
        <w:t>used for</w:t>
      </w:r>
      <w:r w:rsidR="00A63815">
        <w:t xml:space="preserve"> </w:t>
      </w:r>
      <w:r w:rsidRPr="00CC10E2">
        <w:t>irrigation).</w:t>
      </w:r>
      <w:r w:rsidR="00A63815">
        <w:t xml:space="preserve"> </w:t>
      </w:r>
      <w:r w:rsidRPr="00CC10E2">
        <w:t xml:space="preserve">You </w:t>
      </w:r>
      <w:r w:rsidRPr="00CC10E2">
        <w:rPr>
          <w:spacing w:val="-2"/>
        </w:rPr>
        <w:t>may</w:t>
      </w:r>
      <w:r w:rsidRPr="00CC10E2">
        <w:rPr>
          <w:spacing w:val="-3"/>
        </w:rPr>
        <w:t xml:space="preserve"> </w:t>
      </w:r>
      <w:r w:rsidRPr="00CC10E2">
        <w:t>also sample</w:t>
      </w:r>
      <w:r w:rsidRPr="00CC10E2">
        <w:rPr>
          <w:spacing w:val="-2"/>
        </w:rPr>
        <w:t xml:space="preserve"> </w:t>
      </w:r>
      <w:r w:rsidRPr="00CC10E2">
        <w:t>at other points along</w:t>
      </w:r>
      <w:r w:rsidRPr="00CC10E2">
        <w:rPr>
          <w:spacing w:val="-3"/>
        </w:rPr>
        <w:t xml:space="preserve"> </w:t>
      </w:r>
      <w:r w:rsidRPr="00CC10E2">
        <w:t>the</w:t>
      </w:r>
      <w:r w:rsidRPr="00CC10E2">
        <w:rPr>
          <w:spacing w:val="1"/>
        </w:rPr>
        <w:t xml:space="preserve"> </w:t>
      </w:r>
      <w:r w:rsidRPr="00CC10E2">
        <w:t>water</w:t>
      </w:r>
      <w:r w:rsidRPr="00CC10E2">
        <w:rPr>
          <w:spacing w:val="-3"/>
        </w:rPr>
        <w:t xml:space="preserve"> </w:t>
      </w:r>
      <w:r w:rsidRPr="00CC10E2">
        <w:t>distribution system, from the</w:t>
      </w:r>
      <w:r w:rsidR="00A63815">
        <w:t xml:space="preserve"> </w:t>
      </w:r>
      <w:r w:rsidRPr="00CC10E2">
        <w:t>water source</w:t>
      </w:r>
      <w:r w:rsidRPr="00CC10E2">
        <w:rPr>
          <w:spacing w:val="1"/>
        </w:rPr>
        <w:t xml:space="preserve"> </w:t>
      </w:r>
      <w:r w:rsidRPr="00CC10E2">
        <w:t>itself</w:t>
      </w:r>
      <w:r w:rsidRPr="00CC10E2">
        <w:rPr>
          <w:spacing w:val="-3"/>
        </w:rPr>
        <w:t xml:space="preserve"> </w:t>
      </w:r>
      <w:r w:rsidRPr="00CC10E2">
        <w:t>to the</w:t>
      </w:r>
      <w:r w:rsidRPr="00CC10E2">
        <w:rPr>
          <w:spacing w:val="1"/>
        </w:rPr>
        <w:t xml:space="preserve"> </w:t>
      </w:r>
      <w:r w:rsidRPr="00CC10E2">
        <w:t>point of</w:t>
      </w:r>
      <w:r w:rsidRPr="00CC10E2">
        <w:rPr>
          <w:spacing w:val="-3"/>
        </w:rPr>
        <w:t xml:space="preserve"> </w:t>
      </w:r>
      <w:r w:rsidRPr="00CC10E2">
        <w:t xml:space="preserve">use, </w:t>
      </w:r>
      <w:r w:rsidRPr="00CC10E2">
        <w:t>as long</w:t>
      </w:r>
      <w:r w:rsidRPr="00CC10E2">
        <w:rPr>
          <w:spacing w:val="-3"/>
        </w:rPr>
        <w:t xml:space="preserve"> </w:t>
      </w:r>
      <w:r w:rsidRPr="00CC10E2">
        <w:t>as</w:t>
      </w:r>
      <w:r w:rsidRPr="00CC10E2">
        <w:t xml:space="preserve"> there</w:t>
      </w:r>
      <w:r w:rsidRPr="00CC10E2">
        <w:rPr>
          <w:spacing w:val="1"/>
        </w:rPr>
        <w:t xml:space="preserve"> </w:t>
      </w:r>
      <w:r w:rsidRPr="00CC10E2">
        <w:t>is no reasonably</w:t>
      </w:r>
      <w:r w:rsidRPr="00CC10E2">
        <w:rPr>
          <w:spacing w:val="-5"/>
        </w:rPr>
        <w:t xml:space="preserve"> </w:t>
      </w:r>
      <w:r w:rsidRPr="00CC10E2">
        <w:t>likely</w:t>
      </w:r>
      <w:r w:rsidRPr="00CC10E2">
        <w:rPr>
          <w:spacing w:val="-5"/>
        </w:rPr>
        <w:t xml:space="preserve"> </w:t>
      </w:r>
      <w:r w:rsidRPr="00CC10E2">
        <w:t>point of</w:t>
      </w:r>
      <w:r w:rsidRPr="00CC10E2">
        <w:rPr>
          <w:spacing w:val="-3"/>
        </w:rPr>
        <w:t xml:space="preserve"> </w:t>
      </w:r>
      <w:r w:rsidRPr="00CC10E2">
        <w:t>contamination</w:t>
      </w:r>
      <w:r w:rsidR="00FB66ED">
        <w:t xml:space="preserve"> </w:t>
      </w:r>
      <w:r w:rsidRPr="00CC10E2">
        <w:t>in the</w:t>
      </w:r>
      <w:r w:rsidRPr="00CC10E2">
        <w:rPr>
          <w:spacing w:val="1"/>
        </w:rPr>
        <w:t xml:space="preserve"> </w:t>
      </w:r>
      <w:r w:rsidRPr="00CC10E2">
        <w:rPr>
          <w:spacing w:val="-2"/>
        </w:rPr>
        <w:t>water</w:t>
      </w:r>
      <w:r w:rsidRPr="00CC10E2">
        <w:t xml:space="preserve"> distribution system between </w:t>
      </w:r>
      <w:r w:rsidRPr="00CC10E2">
        <w:rPr>
          <w:spacing w:val="-2"/>
        </w:rPr>
        <w:t>your</w:t>
      </w:r>
      <w:r w:rsidRPr="00CC10E2">
        <w:t xml:space="preserve"> chosen sampling</w:t>
      </w:r>
      <w:r w:rsidRPr="00CC10E2">
        <w:rPr>
          <w:spacing w:val="-3"/>
        </w:rPr>
        <w:t xml:space="preserve"> </w:t>
      </w:r>
      <w:r w:rsidRPr="00CC10E2">
        <w:t>point and</w:t>
      </w:r>
      <w:r w:rsidRPr="00CC10E2">
        <w:rPr>
          <w:spacing w:val="-3"/>
        </w:rPr>
        <w:t xml:space="preserve"> </w:t>
      </w:r>
      <w:r w:rsidRPr="00CC10E2">
        <w:t>the</w:t>
      </w:r>
      <w:r w:rsidRPr="00CC10E2">
        <w:rPr>
          <w:spacing w:val="1"/>
        </w:rPr>
        <w:t xml:space="preserve"> </w:t>
      </w:r>
      <w:r w:rsidRPr="00CC10E2">
        <w:t>point of</w:t>
      </w:r>
      <w:r w:rsidRPr="00CC10E2">
        <w:rPr>
          <w:spacing w:val="-3"/>
        </w:rPr>
        <w:t xml:space="preserve"> </w:t>
      </w:r>
      <w:r w:rsidRPr="00CC10E2">
        <w:t>use, such that</w:t>
      </w:r>
      <w:r w:rsidR="00A63815">
        <w:t xml:space="preserve"> </w:t>
      </w:r>
      <w:r w:rsidRPr="00CC10E2">
        <w:t>the sample</w:t>
      </w:r>
      <w:r w:rsidRPr="00CC10E2">
        <w:rPr>
          <w:spacing w:val="-2"/>
        </w:rPr>
        <w:t xml:space="preserve"> </w:t>
      </w:r>
      <w:r w:rsidRPr="00CC10E2">
        <w:t>can reasonably</w:t>
      </w:r>
      <w:r w:rsidRPr="00CC10E2">
        <w:rPr>
          <w:spacing w:val="-3"/>
        </w:rPr>
        <w:t xml:space="preserve"> </w:t>
      </w:r>
      <w:r w:rsidRPr="00CC10E2">
        <w:t>be</w:t>
      </w:r>
      <w:r w:rsidRPr="00CC10E2">
        <w:rPr>
          <w:spacing w:val="1"/>
        </w:rPr>
        <w:t xml:space="preserve"> </w:t>
      </w:r>
      <w:r w:rsidRPr="00CC10E2">
        <w:t>expected to represent</w:t>
      </w:r>
      <w:r w:rsidRPr="00CC10E2">
        <w:rPr>
          <w:spacing w:val="-2"/>
        </w:rPr>
        <w:t xml:space="preserve"> </w:t>
      </w:r>
      <w:r w:rsidRPr="00CC10E2">
        <w:t>the</w:t>
      </w:r>
      <w:r w:rsidRPr="00CC10E2">
        <w:rPr>
          <w:spacing w:val="1"/>
        </w:rPr>
        <w:t xml:space="preserve"> </w:t>
      </w:r>
      <w:r w:rsidRPr="00CC10E2">
        <w:t>quality</w:t>
      </w:r>
      <w:r w:rsidRPr="00CC10E2">
        <w:rPr>
          <w:spacing w:val="-5"/>
        </w:rPr>
        <w:t xml:space="preserve"> </w:t>
      </w:r>
      <w:r w:rsidRPr="00CC10E2">
        <w:t>of</w:t>
      </w:r>
      <w:r w:rsidRPr="00CC10E2">
        <w:rPr>
          <w:spacing w:val="-3"/>
        </w:rPr>
        <w:t xml:space="preserve"> </w:t>
      </w:r>
      <w:r w:rsidRPr="00CC10E2">
        <w:t>the</w:t>
      </w:r>
      <w:r w:rsidRPr="00CC10E2">
        <w:rPr>
          <w:spacing w:val="1"/>
        </w:rPr>
        <w:t xml:space="preserve"> </w:t>
      </w:r>
      <w:r w:rsidRPr="00CC10E2">
        <w:t>water when it</w:t>
      </w:r>
      <w:r w:rsidRPr="00CC10E2">
        <w:rPr>
          <w:spacing w:val="-2"/>
        </w:rPr>
        <w:t xml:space="preserve"> </w:t>
      </w:r>
      <w:r w:rsidRPr="00CC10E2">
        <w:t xml:space="preserve">is used. </w:t>
      </w:r>
      <w:r w:rsidRPr="00CC10E2">
        <w:rPr>
          <w:spacing w:val="-2"/>
        </w:rPr>
        <w:t>For</w:t>
      </w:r>
      <w:r w:rsidR="00A63815">
        <w:rPr>
          <w:spacing w:val="-2"/>
        </w:rPr>
        <w:t xml:space="preserve"> </w:t>
      </w:r>
      <w:r w:rsidRPr="00CC10E2">
        <w:t>example,</w:t>
      </w:r>
      <w:r w:rsidRPr="00CC10E2">
        <w:rPr>
          <w:spacing w:val="-3"/>
        </w:rPr>
        <w:t xml:space="preserve"> </w:t>
      </w:r>
      <w:r w:rsidRPr="00CC10E2">
        <w:t>if</w:t>
      </w:r>
      <w:r w:rsidRPr="00CC10E2">
        <w:rPr>
          <w:spacing w:val="-3"/>
        </w:rPr>
        <w:t xml:space="preserve"> </w:t>
      </w:r>
      <w:r w:rsidRPr="00CC10E2">
        <w:t>untreated ground water</w:t>
      </w:r>
      <w:r w:rsidRPr="00CC10E2">
        <w:rPr>
          <w:spacing w:val="-3"/>
        </w:rPr>
        <w:t xml:space="preserve"> </w:t>
      </w:r>
      <w:r w:rsidRPr="00CC10E2">
        <w:t>is drawn from a</w:t>
      </w:r>
      <w:r w:rsidRPr="00CC10E2">
        <w:rPr>
          <w:spacing w:val="-2"/>
        </w:rPr>
        <w:t xml:space="preserve"> </w:t>
      </w:r>
      <w:r w:rsidRPr="00CC10E2">
        <w:t>well that</w:t>
      </w:r>
      <w:r w:rsidRPr="00CC10E2">
        <w:rPr>
          <w:spacing w:val="-2"/>
        </w:rPr>
        <w:t xml:space="preserve"> </w:t>
      </w:r>
      <w:r w:rsidRPr="00CC10E2">
        <w:t xml:space="preserve">is not under </w:t>
      </w:r>
      <w:r w:rsidRPr="00CC10E2">
        <w:rPr>
          <w:spacing w:val="-2"/>
        </w:rPr>
        <w:t>your</w:t>
      </w:r>
      <w:r w:rsidRPr="00CC10E2">
        <w:rPr>
          <w:spacing w:val="2"/>
        </w:rPr>
        <w:t xml:space="preserve"> </w:t>
      </w:r>
      <w:r w:rsidRPr="00CC10E2">
        <w:t xml:space="preserve">control, </w:t>
      </w:r>
      <w:r w:rsidRPr="00CC10E2">
        <w:rPr>
          <w:spacing w:val="-2"/>
        </w:rPr>
        <w:t>you</w:t>
      </w:r>
      <w:r w:rsidRPr="00CC10E2">
        <w:t xml:space="preserve"> might</w:t>
      </w:r>
      <w:r w:rsidRPr="00CC10E2">
        <w:rPr>
          <w:spacing w:val="79"/>
        </w:rPr>
        <w:t xml:space="preserve"> </w:t>
      </w:r>
      <w:r w:rsidRPr="00CC10E2">
        <w:t>choose</w:t>
      </w:r>
      <w:r w:rsidRPr="00CC10E2">
        <w:rPr>
          <w:spacing w:val="1"/>
        </w:rPr>
        <w:t xml:space="preserve"> </w:t>
      </w:r>
      <w:r w:rsidRPr="00CC10E2">
        <w:t>to</w:t>
      </w:r>
      <w:r w:rsidRPr="00CC10E2">
        <w:rPr>
          <w:spacing w:val="-3"/>
        </w:rPr>
        <w:t xml:space="preserve"> </w:t>
      </w:r>
      <w:r w:rsidRPr="00CC10E2">
        <w:t>collect samples from a</w:t>
      </w:r>
      <w:r w:rsidRPr="00CC10E2">
        <w:rPr>
          <w:spacing w:val="1"/>
        </w:rPr>
        <w:t xml:space="preserve"> </w:t>
      </w:r>
      <w:r w:rsidRPr="00CC10E2">
        <w:t>point</w:t>
      </w:r>
      <w:r w:rsidRPr="00CC10E2">
        <w:rPr>
          <w:spacing w:val="-2"/>
        </w:rPr>
        <w:t xml:space="preserve"> </w:t>
      </w:r>
      <w:r w:rsidRPr="00CC10E2">
        <w:t>that is under</w:t>
      </w:r>
      <w:r w:rsidRPr="00CC10E2">
        <w:rPr>
          <w:spacing w:val="-5"/>
        </w:rPr>
        <w:t xml:space="preserve"> </w:t>
      </w:r>
      <w:r w:rsidRPr="00CC10E2">
        <w:t>your control, such</w:t>
      </w:r>
      <w:r w:rsidRPr="00CC10E2">
        <w:rPr>
          <w:spacing w:val="-3"/>
        </w:rPr>
        <w:t xml:space="preserve"> </w:t>
      </w:r>
      <w:r w:rsidRPr="00CC10E2">
        <w:t>as a</w:t>
      </w:r>
      <w:r w:rsidRPr="00CC10E2">
        <w:rPr>
          <w:spacing w:val="1"/>
        </w:rPr>
        <w:t xml:space="preserve"> </w:t>
      </w:r>
      <w:r w:rsidRPr="00CC10E2">
        <w:rPr>
          <w:spacing w:val="-2"/>
        </w:rPr>
        <w:t>valve</w:t>
      </w:r>
      <w:r w:rsidRPr="00CC10E2">
        <w:rPr>
          <w:spacing w:val="1"/>
        </w:rPr>
        <w:t xml:space="preserve"> </w:t>
      </w:r>
      <w:r w:rsidRPr="00CC10E2">
        <w:t>on a</w:t>
      </w:r>
      <w:r w:rsidRPr="00CC10E2">
        <w:rPr>
          <w:spacing w:val="55"/>
        </w:rPr>
        <w:t xml:space="preserve"> </w:t>
      </w:r>
      <w:r w:rsidRPr="00CC10E2">
        <w:t>pipe</w:t>
      </w:r>
      <w:r w:rsidRPr="00CC10E2">
        <w:rPr>
          <w:spacing w:val="1"/>
        </w:rPr>
        <w:t xml:space="preserve"> </w:t>
      </w:r>
      <w:r w:rsidRPr="00CC10E2">
        <w:t>at the</w:t>
      </w:r>
      <w:r w:rsidRPr="00CC10E2">
        <w:rPr>
          <w:spacing w:val="1"/>
        </w:rPr>
        <w:t xml:space="preserve"> </w:t>
      </w:r>
      <w:r w:rsidRPr="00CC10E2">
        <w:t>edge</w:t>
      </w:r>
      <w:r w:rsidRPr="00CC10E2">
        <w:rPr>
          <w:spacing w:val="1"/>
        </w:rPr>
        <w:t xml:space="preserve"> </w:t>
      </w:r>
      <w:r w:rsidRPr="00CC10E2">
        <w:t xml:space="preserve">of </w:t>
      </w:r>
      <w:r w:rsidRPr="00CC10E2">
        <w:rPr>
          <w:spacing w:val="-2"/>
        </w:rPr>
        <w:t>your</w:t>
      </w:r>
      <w:r w:rsidRPr="00CC10E2">
        <w:t xml:space="preserve"> property</w:t>
      </w:r>
      <w:r w:rsidRPr="00CC10E2">
        <w:rPr>
          <w:spacing w:val="-5"/>
        </w:rPr>
        <w:t xml:space="preserve"> </w:t>
      </w:r>
      <w:r w:rsidRPr="00CC10E2">
        <w:t>line.</w:t>
      </w:r>
      <w:r w:rsidR="00A63815">
        <w:t xml:space="preserve"> </w:t>
      </w:r>
      <w:r w:rsidRPr="00CC10E2">
        <w:t>As another example, if</w:t>
      </w:r>
      <w:r w:rsidRPr="00CC10E2">
        <w:rPr>
          <w:spacing w:val="-3"/>
        </w:rPr>
        <w:t xml:space="preserve"> </w:t>
      </w:r>
      <w:r w:rsidRPr="00CC10E2">
        <w:t>the</w:t>
      </w:r>
      <w:r w:rsidRPr="00CC10E2">
        <w:rPr>
          <w:spacing w:val="1"/>
        </w:rPr>
        <w:t xml:space="preserve"> </w:t>
      </w:r>
      <w:r w:rsidRPr="00CC10E2">
        <w:t>well</w:t>
      </w:r>
      <w:r w:rsidRPr="00CC10E2">
        <w:rPr>
          <w:spacing w:val="-2"/>
        </w:rPr>
        <w:t xml:space="preserve"> </w:t>
      </w:r>
      <w:r w:rsidRPr="00CC10E2">
        <w:t xml:space="preserve">is under </w:t>
      </w:r>
      <w:r w:rsidRPr="00CC10E2">
        <w:rPr>
          <w:spacing w:val="-2"/>
        </w:rPr>
        <w:t>your</w:t>
      </w:r>
      <w:r w:rsidRPr="00CC10E2">
        <w:t xml:space="preserve"> control and the piping from the well head to the points of use is in good condition, </w:t>
      </w:r>
      <w:r w:rsidRPr="00CC10E2">
        <w:rPr>
          <w:spacing w:val="-2"/>
        </w:rPr>
        <w:t>you</w:t>
      </w:r>
      <w:r w:rsidRPr="00CC10E2">
        <w:rPr>
          <w:spacing w:val="33"/>
        </w:rPr>
        <w:t xml:space="preserve"> </w:t>
      </w:r>
      <w:r w:rsidRPr="00CC10E2">
        <w:t>may</w:t>
      </w:r>
      <w:r w:rsidRPr="00CC10E2">
        <w:rPr>
          <w:spacing w:val="-5"/>
        </w:rPr>
        <w:t xml:space="preserve"> </w:t>
      </w:r>
      <w:r w:rsidRPr="00CC10E2">
        <w:t>choose</w:t>
      </w:r>
      <w:r w:rsidRPr="00CC10E2">
        <w:rPr>
          <w:spacing w:val="1"/>
        </w:rPr>
        <w:t xml:space="preserve"> </w:t>
      </w:r>
      <w:r w:rsidRPr="00CC10E2">
        <w:t>to collect samples from the</w:t>
      </w:r>
      <w:r w:rsidRPr="00CC10E2">
        <w:rPr>
          <w:spacing w:val="1"/>
        </w:rPr>
        <w:t xml:space="preserve"> </w:t>
      </w:r>
      <w:r w:rsidRPr="00CC10E2">
        <w:t xml:space="preserve">well </w:t>
      </w:r>
      <w:r w:rsidRPr="00CC10E2">
        <w:rPr>
          <w:spacing w:val="-2"/>
        </w:rPr>
        <w:t>head.</w:t>
      </w:r>
      <w:r w:rsidRPr="00CC10E2">
        <w:rPr>
          <w:spacing w:val="57"/>
        </w:rPr>
        <w:t xml:space="preserve"> </w:t>
      </w:r>
      <w:r w:rsidRPr="00CC10E2">
        <w:rPr>
          <w:spacing w:val="-2"/>
        </w:rPr>
        <w:t>In</w:t>
      </w:r>
      <w:r w:rsidRPr="00CC10E2">
        <w:t xml:space="preserve"> either case, such</w:t>
      </w:r>
      <w:r w:rsidRPr="00CC10E2">
        <w:rPr>
          <w:spacing w:val="-3"/>
        </w:rPr>
        <w:t xml:space="preserve"> </w:t>
      </w:r>
      <w:r w:rsidRPr="00CC10E2">
        <w:t>samples can be</w:t>
      </w:r>
      <w:r w:rsidRPr="00CC10E2">
        <w:rPr>
          <w:spacing w:val="-2"/>
        </w:rPr>
        <w:t xml:space="preserve"> </w:t>
      </w:r>
      <w:r w:rsidRPr="00CC10E2">
        <w:t>considered</w:t>
      </w:r>
      <w:r w:rsidR="00F903EA">
        <w:t xml:space="preserve"> </w:t>
      </w:r>
      <w:r w:rsidRPr="00CC10E2">
        <w:t>“representative</w:t>
      </w:r>
      <w:r w:rsidRPr="00CC10E2">
        <w:rPr>
          <w:spacing w:val="1"/>
        </w:rPr>
        <w:t xml:space="preserve"> </w:t>
      </w:r>
      <w:r w:rsidRPr="00CC10E2">
        <w:t>of</w:t>
      </w:r>
      <w:r w:rsidRPr="00CC10E2">
        <w:rPr>
          <w:spacing w:val="-3"/>
        </w:rPr>
        <w:t xml:space="preserve"> </w:t>
      </w:r>
      <w:r w:rsidRPr="00CC10E2">
        <w:t>the</w:t>
      </w:r>
      <w:r w:rsidRPr="00CC10E2">
        <w:rPr>
          <w:spacing w:val="-2"/>
        </w:rPr>
        <w:t xml:space="preserve"> </w:t>
      </w:r>
      <w:r w:rsidRPr="00CC10E2">
        <w:t>intended use(s)”</w:t>
      </w:r>
      <w:r w:rsidRPr="00CC10E2">
        <w:rPr>
          <w:spacing w:val="1"/>
        </w:rPr>
        <w:t xml:space="preserve"> </w:t>
      </w:r>
      <w:r w:rsidRPr="00CC10E2">
        <w:t>(with respect</w:t>
      </w:r>
      <w:r w:rsidRPr="00CC10E2">
        <w:rPr>
          <w:spacing w:val="-2"/>
        </w:rPr>
        <w:t xml:space="preserve"> </w:t>
      </w:r>
      <w:r w:rsidRPr="00CC10E2">
        <w:t>to the</w:t>
      </w:r>
      <w:r w:rsidRPr="00CC10E2">
        <w:rPr>
          <w:spacing w:val="-2"/>
        </w:rPr>
        <w:t xml:space="preserve"> </w:t>
      </w:r>
      <w:r w:rsidRPr="00CC10E2">
        <w:t>location of</w:t>
      </w:r>
      <w:r w:rsidRPr="00CC10E2">
        <w:rPr>
          <w:spacing w:val="-3"/>
        </w:rPr>
        <w:t xml:space="preserve"> </w:t>
      </w:r>
      <w:r w:rsidRPr="00CC10E2">
        <w:t>the</w:t>
      </w:r>
      <w:r w:rsidRPr="00CC10E2">
        <w:rPr>
          <w:spacing w:val="1"/>
        </w:rPr>
        <w:t xml:space="preserve"> </w:t>
      </w:r>
      <w:r w:rsidRPr="00CC10E2">
        <w:t xml:space="preserve">samples), </w:t>
      </w:r>
      <w:r w:rsidRPr="00CC10E2">
        <w:t>provided</w:t>
      </w:r>
      <w:r w:rsidRPr="00CC10E2">
        <w:rPr>
          <w:spacing w:val="-3"/>
        </w:rPr>
        <w:t xml:space="preserve"> </w:t>
      </w:r>
      <w:r w:rsidRPr="00CC10E2">
        <w:t>that</w:t>
      </w:r>
      <w:r w:rsidR="00F903EA">
        <w:t xml:space="preserve"> </w:t>
      </w:r>
      <w:r w:rsidRPr="00CC10E2">
        <w:t>there</w:t>
      </w:r>
      <w:r w:rsidRPr="00CC10E2">
        <w:rPr>
          <w:spacing w:val="-2"/>
        </w:rPr>
        <w:t xml:space="preserve"> </w:t>
      </w:r>
      <w:r w:rsidRPr="00CC10E2">
        <w:t>is no reasonably</w:t>
      </w:r>
      <w:r w:rsidRPr="00CC10E2">
        <w:rPr>
          <w:spacing w:val="-5"/>
        </w:rPr>
        <w:t xml:space="preserve"> </w:t>
      </w:r>
      <w:r w:rsidRPr="00CC10E2">
        <w:t>likely</w:t>
      </w:r>
      <w:r w:rsidRPr="00CC10E2">
        <w:rPr>
          <w:spacing w:val="-5"/>
        </w:rPr>
        <w:t xml:space="preserve"> </w:t>
      </w:r>
      <w:r w:rsidRPr="00CC10E2">
        <w:t>point of</w:t>
      </w:r>
      <w:r w:rsidRPr="00CC10E2">
        <w:rPr>
          <w:spacing w:val="-3"/>
        </w:rPr>
        <w:t xml:space="preserve"> </w:t>
      </w:r>
      <w:r w:rsidRPr="00CC10E2">
        <w:t>contamination</w:t>
      </w:r>
      <w:r w:rsidRPr="00CC10E2">
        <w:rPr>
          <w:spacing w:val="-3"/>
        </w:rPr>
        <w:t xml:space="preserve"> </w:t>
      </w:r>
      <w:r w:rsidRPr="00CC10E2">
        <w:t>in the</w:t>
      </w:r>
      <w:r w:rsidRPr="00CC10E2">
        <w:rPr>
          <w:spacing w:val="1"/>
        </w:rPr>
        <w:t xml:space="preserve"> </w:t>
      </w:r>
      <w:r w:rsidRPr="00CC10E2">
        <w:t xml:space="preserve">water distribution system between </w:t>
      </w:r>
      <w:r w:rsidRPr="00CC10E2">
        <w:rPr>
          <w:spacing w:val="-2"/>
        </w:rPr>
        <w:t>your</w:t>
      </w:r>
      <w:r w:rsidR="00950A74">
        <w:rPr>
          <w:spacing w:val="-2"/>
        </w:rPr>
        <w:t xml:space="preserve"> </w:t>
      </w:r>
      <w:r w:rsidRPr="00CC10E2">
        <w:t>chosen sampling</w:t>
      </w:r>
      <w:r w:rsidRPr="00CC10E2">
        <w:rPr>
          <w:spacing w:val="-3"/>
        </w:rPr>
        <w:t xml:space="preserve"> </w:t>
      </w:r>
      <w:r w:rsidRPr="00CC10E2">
        <w:t>point and the</w:t>
      </w:r>
      <w:r w:rsidRPr="00CC10E2">
        <w:rPr>
          <w:spacing w:val="1"/>
        </w:rPr>
        <w:t xml:space="preserve"> </w:t>
      </w:r>
      <w:r w:rsidRPr="00CC10E2">
        <w:t>point of</w:t>
      </w:r>
      <w:r w:rsidRPr="00CC10E2">
        <w:rPr>
          <w:spacing w:val="-3"/>
        </w:rPr>
        <w:t xml:space="preserve"> </w:t>
      </w:r>
      <w:r w:rsidRPr="00CC10E2">
        <w:t>use.</w:t>
      </w:r>
      <w:r w:rsidR="00A63815">
        <w:t xml:space="preserve"> </w:t>
      </w:r>
      <w:r w:rsidR="00293914">
        <w:t xml:space="preserve">Further, </w:t>
      </w:r>
      <w:r w:rsidRPr="00CC10E2">
        <w:t xml:space="preserve">§ 112.42(a) requires </w:t>
      </w:r>
      <w:r w:rsidRPr="00CC10E2">
        <w:rPr>
          <w:spacing w:val="-2"/>
        </w:rPr>
        <w:t>you</w:t>
      </w:r>
      <w:r w:rsidRPr="00CC10E2">
        <w:t xml:space="preserve"> to conduct</w:t>
      </w:r>
      <w:r w:rsidRPr="00CC10E2">
        <w:rPr>
          <w:spacing w:val="-2"/>
        </w:rPr>
        <w:t xml:space="preserve"> </w:t>
      </w:r>
      <w:r w:rsidRPr="00CC10E2">
        <w:t xml:space="preserve">an inspection </w:t>
      </w:r>
      <w:r w:rsidRPr="00CC10E2">
        <w:rPr>
          <w:spacing w:val="-2"/>
        </w:rPr>
        <w:t>of</w:t>
      </w:r>
      <w:r w:rsidRPr="00CC10E2">
        <w:rPr>
          <w:spacing w:val="-3"/>
        </w:rPr>
        <w:t xml:space="preserve"> </w:t>
      </w:r>
      <w:r w:rsidRPr="00CC10E2">
        <w:t>your</w:t>
      </w:r>
      <w:r w:rsidRPr="00CC10E2">
        <w:rPr>
          <w:spacing w:val="1"/>
        </w:rPr>
        <w:t xml:space="preserve"> </w:t>
      </w:r>
      <w:r w:rsidRPr="00CC10E2">
        <w:t xml:space="preserve">agricultural </w:t>
      </w:r>
      <w:r w:rsidRPr="00CC10E2">
        <w:rPr>
          <w:spacing w:val="-2"/>
        </w:rPr>
        <w:t>water</w:t>
      </w:r>
      <w:r w:rsidRPr="00CC10E2">
        <w:t xml:space="preserve"> system,</w:t>
      </w:r>
      <w:r w:rsidRPr="00CC10E2">
        <w:rPr>
          <w:spacing w:val="-3"/>
        </w:rPr>
        <w:t xml:space="preserve"> </w:t>
      </w:r>
      <w:r w:rsidRPr="00CC10E2">
        <w:t>to the</w:t>
      </w:r>
      <w:r w:rsidRPr="00CC10E2">
        <w:rPr>
          <w:spacing w:val="1"/>
        </w:rPr>
        <w:t xml:space="preserve"> </w:t>
      </w:r>
      <w:r w:rsidRPr="00CC10E2">
        <w:t>extent under</w:t>
      </w:r>
      <w:r w:rsidRPr="00CC10E2">
        <w:rPr>
          <w:spacing w:val="-3"/>
        </w:rPr>
        <w:t xml:space="preserve"> </w:t>
      </w:r>
      <w:r w:rsidRPr="00CC10E2">
        <w:t>your control, to</w:t>
      </w:r>
      <w:r w:rsidRPr="00CC10E2">
        <w:rPr>
          <w:spacing w:val="-3"/>
        </w:rPr>
        <w:t xml:space="preserve"> </w:t>
      </w:r>
      <w:r w:rsidRPr="00CC10E2">
        <w:t>identify</w:t>
      </w:r>
      <w:r w:rsidR="00F903EA">
        <w:t xml:space="preserve"> </w:t>
      </w:r>
      <w:r w:rsidRPr="00CC10E2">
        <w:t>conditions that are reasonably</w:t>
      </w:r>
      <w:r w:rsidRPr="00CC10E2">
        <w:rPr>
          <w:spacing w:val="-5"/>
        </w:rPr>
        <w:t xml:space="preserve"> </w:t>
      </w:r>
      <w:r w:rsidRPr="00CC10E2">
        <w:t>likely</w:t>
      </w:r>
      <w:r w:rsidRPr="00CC10E2">
        <w:rPr>
          <w:spacing w:val="-5"/>
        </w:rPr>
        <w:t xml:space="preserve"> </w:t>
      </w:r>
      <w:r w:rsidRPr="00CC10E2">
        <w:t>to introduce known or reasonably foreseeable hazards.</w:t>
      </w:r>
      <w:r w:rsidR="00A63815">
        <w:t xml:space="preserve"> </w:t>
      </w:r>
      <w:r w:rsidRPr="00CC10E2">
        <w:t>This inspection is required</w:t>
      </w:r>
      <w:r w:rsidRPr="00CC10E2">
        <w:rPr>
          <w:spacing w:val="-3"/>
        </w:rPr>
        <w:t xml:space="preserve"> </w:t>
      </w:r>
      <w:r w:rsidRPr="00CC10E2">
        <w:t>at the</w:t>
      </w:r>
      <w:r w:rsidR="00B55F89">
        <w:t xml:space="preserve"> </w:t>
      </w:r>
      <w:r w:rsidRPr="00CC10E2">
        <w:t>beginning</w:t>
      </w:r>
      <w:r w:rsidRPr="00CC10E2">
        <w:rPr>
          <w:spacing w:val="-3"/>
        </w:rPr>
        <w:t xml:space="preserve"> </w:t>
      </w:r>
      <w:r w:rsidRPr="00CC10E2">
        <w:t>of</w:t>
      </w:r>
      <w:r w:rsidRPr="00CC10E2">
        <w:rPr>
          <w:spacing w:val="-3"/>
        </w:rPr>
        <w:t xml:space="preserve"> </w:t>
      </w:r>
      <w:r w:rsidRPr="00CC10E2">
        <w:t>a</w:t>
      </w:r>
      <w:r w:rsidRPr="00CC10E2">
        <w:rPr>
          <w:spacing w:val="1"/>
        </w:rPr>
        <w:t xml:space="preserve"> </w:t>
      </w:r>
      <w:r w:rsidRPr="00CC10E2">
        <w:t>growing</w:t>
      </w:r>
      <w:r w:rsidRPr="00CC10E2">
        <w:rPr>
          <w:spacing w:val="-3"/>
        </w:rPr>
        <w:t xml:space="preserve"> </w:t>
      </w:r>
      <w:r w:rsidRPr="00CC10E2">
        <w:t xml:space="preserve">season, as appropriate, but at least </w:t>
      </w:r>
      <w:r w:rsidRPr="00CC10E2">
        <w:rPr>
          <w:spacing w:val="-2"/>
        </w:rPr>
        <w:t>annually.</w:t>
      </w:r>
      <w:r w:rsidR="00BE370C">
        <w:rPr>
          <w:spacing w:val="-2"/>
        </w:rPr>
        <w:t xml:space="preserve"> </w:t>
      </w:r>
      <w:r w:rsidRPr="00CC10E2">
        <w:t>This inspection should</w:t>
      </w:r>
      <w:r w:rsidRPr="00CC10E2">
        <w:rPr>
          <w:spacing w:val="-3"/>
        </w:rPr>
        <w:t xml:space="preserve"> </w:t>
      </w:r>
      <w:r w:rsidRPr="00CC10E2">
        <w:t>assist</w:t>
      </w:r>
      <w:r w:rsidR="001169DF">
        <w:t xml:space="preserve"> </w:t>
      </w:r>
      <w:r w:rsidRPr="00CC10E2">
        <w:t xml:space="preserve">you in selecting </w:t>
      </w:r>
      <w:r w:rsidRPr="00CC10E2">
        <w:rPr>
          <w:spacing w:val="-2"/>
        </w:rPr>
        <w:t>your</w:t>
      </w:r>
      <w:r w:rsidRPr="00CC10E2">
        <w:t xml:space="preserve"> sampling</w:t>
      </w:r>
      <w:r w:rsidRPr="00CC10E2">
        <w:rPr>
          <w:spacing w:val="-3"/>
        </w:rPr>
        <w:t xml:space="preserve"> </w:t>
      </w:r>
      <w:r w:rsidRPr="00CC10E2">
        <w:t>points by</w:t>
      </w:r>
      <w:r w:rsidRPr="00CC10E2">
        <w:rPr>
          <w:spacing w:val="-5"/>
        </w:rPr>
        <w:t xml:space="preserve"> </w:t>
      </w:r>
      <w:r w:rsidRPr="00CC10E2">
        <w:t>determin</w:t>
      </w:r>
      <w:r w:rsidR="00BE1187">
        <w:t>ing</w:t>
      </w:r>
      <w:r w:rsidRPr="00CC10E2">
        <w:rPr>
          <w:spacing w:val="1"/>
        </w:rPr>
        <w:t xml:space="preserve"> </w:t>
      </w:r>
      <w:r w:rsidRPr="00CC10E2">
        <w:t>what sampling</w:t>
      </w:r>
      <w:r w:rsidRPr="00CC10E2">
        <w:rPr>
          <w:spacing w:val="-3"/>
        </w:rPr>
        <w:t xml:space="preserve"> </w:t>
      </w:r>
      <w:r w:rsidRPr="00CC10E2">
        <w:t>locations</w:t>
      </w:r>
      <w:r w:rsidRPr="00CC10E2">
        <w:rPr>
          <w:spacing w:val="-4"/>
        </w:rPr>
        <w:t xml:space="preserve"> </w:t>
      </w:r>
      <w:r w:rsidRPr="00CC10E2">
        <w:t>are, or</w:t>
      </w:r>
      <w:r w:rsidRPr="00CC10E2">
        <w:rPr>
          <w:spacing w:val="-3"/>
        </w:rPr>
        <w:t xml:space="preserve"> </w:t>
      </w:r>
      <w:r w:rsidRPr="00CC10E2">
        <w:t>are</w:t>
      </w:r>
      <w:r w:rsidRPr="00CC10E2">
        <w:rPr>
          <w:spacing w:val="45"/>
        </w:rPr>
        <w:t xml:space="preserve"> </w:t>
      </w:r>
      <w:r w:rsidRPr="00CC10E2">
        <w:t>not, representative</w:t>
      </w:r>
      <w:r w:rsidRPr="00CC10E2">
        <w:rPr>
          <w:spacing w:val="1"/>
        </w:rPr>
        <w:t xml:space="preserve"> </w:t>
      </w:r>
      <w:r w:rsidRPr="00CC10E2">
        <w:t xml:space="preserve">of </w:t>
      </w:r>
      <w:r w:rsidRPr="00CC10E2">
        <w:rPr>
          <w:spacing w:val="-2"/>
        </w:rPr>
        <w:t>your</w:t>
      </w:r>
      <w:r w:rsidRPr="00CC10E2">
        <w:rPr>
          <w:spacing w:val="2"/>
        </w:rPr>
        <w:t xml:space="preserve"> </w:t>
      </w:r>
      <w:r w:rsidRPr="00CC10E2">
        <w:t>intended use(s). Section 112.50(b)(1)</w:t>
      </w:r>
      <w:r w:rsidRPr="00CC10E2">
        <w:rPr>
          <w:spacing w:val="-3"/>
        </w:rPr>
        <w:t xml:space="preserve"> </w:t>
      </w:r>
      <w:r w:rsidRPr="00CC10E2">
        <w:t>requires</w:t>
      </w:r>
      <w:r w:rsidRPr="00CC10E2">
        <w:rPr>
          <w:spacing w:val="1"/>
        </w:rPr>
        <w:t xml:space="preserve"> </w:t>
      </w:r>
      <w:r w:rsidRPr="00CC10E2">
        <w:rPr>
          <w:spacing w:val="-2"/>
        </w:rPr>
        <w:t>you</w:t>
      </w:r>
      <w:r w:rsidRPr="00CC10E2">
        <w:t xml:space="preserve"> to establish and </w:t>
      </w:r>
      <w:r w:rsidRPr="00CC10E2">
        <w:rPr>
          <w:spacing w:val="-2"/>
        </w:rPr>
        <w:t>keep</w:t>
      </w:r>
      <w:r w:rsidRPr="00CC10E2">
        <w:t xml:space="preserve"> records of </w:t>
      </w:r>
      <w:r w:rsidR="00293914">
        <w:rPr>
          <w:spacing w:val="-2"/>
        </w:rPr>
        <w:t>the</w:t>
      </w:r>
      <w:r w:rsidRPr="00CC10E2">
        <w:t xml:space="preserve"> agricultural</w:t>
      </w:r>
      <w:r w:rsidR="008332CE">
        <w:t xml:space="preserve"> </w:t>
      </w:r>
      <w:r w:rsidRPr="00CC10E2">
        <w:t xml:space="preserve">water </w:t>
      </w:r>
      <w:r w:rsidRPr="00CC10E2">
        <w:rPr>
          <w:spacing w:val="-2"/>
        </w:rPr>
        <w:t>system</w:t>
      </w:r>
      <w:r w:rsidRPr="00CC10E2">
        <w:t xml:space="preserve"> inspection findings required by</w:t>
      </w:r>
      <w:r w:rsidRPr="00CC10E2">
        <w:rPr>
          <w:spacing w:val="-3"/>
        </w:rPr>
        <w:t xml:space="preserve"> </w:t>
      </w:r>
      <w:r w:rsidRPr="00CC10E2">
        <w:t>§ 112.42(a).</w:t>
      </w:r>
    </w:p>
    <w:p w:rsidR="00191DF8" w:rsidRPr="00CC10E2" w:rsidP="00E47C04" w14:paraId="7957B390" w14:textId="5FC950F2">
      <w:pPr>
        <w:pStyle w:val="GuidanceParagraph"/>
      </w:pPr>
      <w:r w:rsidRPr="00CC10E2">
        <w:t>Agricultural water samples to be</w:t>
      </w:r>
      <w:r w:rsidRPr="00CC10E2">
        <w:rPr>
          <w:spacing w:val="1"/>
        </w:rPr>
        <w:t xml:space="preserve"> </w:t>
      </w:r>
      <w:r w:rsidRPr="00CC10E2">
        <w:t>tested for compliance</w:t>
      </w:r>
      <w:r w:rsidRPr="00CC10E2">
        <w:rPr>
          <w:spacing w:val="1"/>
        </w:rPr>
        <w:t xml:space="preserve"> </w:t>
      </w:r>
      <w:r w:rsidRPr="00CC10E2">
        <w:t>with the</w:t>
      </w:r>
      <w:r w:rsidRPr="00CC10E2">
        <w:rPr>
          <w:spacing w:val="1"/>
        </w:rPr>
        <w:t xml:space="preserve"> </w:t>
      </w:r>
      <w:r w:rsidRPr="00CC10E2">
        <w:t>§ 112.44(a) microbial quality</w:t>
      </w:r>
      <w:r w:rsidRPr="00CC10E2">
        <w:rPr>
          <w:spacing w:val="55"/>
        </w:rPr>
        <w:t xml:space="preserve"> </w:t>
      </w:r>
      <w:r w:rsidRPr="00CC10E2">
        <w:t>criterion</w:t>
      </w:r>
      <w:r w:rsidRPr="00CC10E2">
        <w:rPr>
          <w:spacing w:val="-3"/>
        </w:rPr>
        <w:t xml:space="preserve"> </w:t>
      </w:r>
      <w:r w:rsidRPr="00CC10E2">
        <w:t xml:space="preserve">must </w:t>
      </w:r>
      <w:r w:rsidRPr="00CC10E2">
        <w:rPr>
          <w:spacing w:val="-2"/>
        </w:rPr>
        <w:t>be</w:t>
      </w:r>
      <w:r w:rsidRPr="00CC10E2">
        <w:rPr>
          <w:spacing w:val="1"/>
        </w:rPr>
        <w:t xml:space="preserve"> </w:t>
      </w:r>
      <w:r w:rsidRPr="00CC10E2">
        <w:t>collected</w:t>
      </w:r>
      <w:r w:rsidRPr="00CC10E2">
        <w:rPr>
          <w:spacing w:val="-3"/>
        </w:rPr>
        <w:t xml:space="preserve"> </w:t>
      </w:r>
      <w:r w:rsidRPr="00CC10E2">
        <w:t>aseptically,</w:t>
      </w:r>
      <w:r w:rsidRPr="00CC10E2">
        <w:rPr>
          <w:spacing w:val="-5"/>
        </w:rPr>
        <w:t xml:space="preserve"> </w:t>
      </w:r>
      <w:r w:rsidRPr="00CC10E2">
        <w:t>in accordance</w:t>
      </w:r>
      <w:r w:rsidRPr="00CC10E2">
        <w:rPr>
          <w:spacing w:val="-2"/>
        </w:rPr>
        <w:t xml:space="preserve"> </w:t>
      </w:r>
      <w:r w:rsidRPr="00CC10E2">
        <w:t>with § 112.47(b).</w:t>
      </w:r>
      <w:r w:rsidR="001169DF">
        <w:t xml:space="preserve"> </w:t>
      </w:r>
      <w:r w:rsidRPr="00CC10E2">
        <w:t>You must use</w:t>
      </w:r>
      <w:r w:rsidRPr="00CC10E2">
        <w:rPr>
          <w:spacing w:val="1"/>
        </w:rPr>
        <w:t xml:space="preserve"> </w:t>
      </w:r>
      <w:r w:rsidRPr="00CC10E2">
        <w:t>sterile</w:t>
      </w:r>
      <w:r w:rsidRPr="00CC10E2">
        <w:rPr>
          <w:spacing w:val="1"/>
        </w:rPr>
        <w:t xml:space="preserve"> </w:t>
      </w:r>
      <w:r w:rsidRPr="00CC10E2">
        <w:t>equipment and tools and aseptic technique when collecting</w:t>
      </w:r>
      <w:r w:rsidRPr="00CC10E2">
        <w:rPr>
          <w:spacing w:val="-3"/>
        </w:rPr>
        <w:t xml:space="preserve"> </w:t>
      </w:r>
      <w:r w:rsidRPr="00CC10E2">
        <w:t>samples. Note</w:t>
      </w:r>
      <w:r w:rsidRPr="00CC10E2">
        <w:rPr>
          <w:spacing w:val="1"/>
        </w:rPr>
        <w:t xml:space="preserve"> </w:t>
      </w:r>
      <w:r w:rsidRPr="00CC10E2">
        <w:t>that</w:t>
      </w:r>
      <w:r w:rsidRPr="00CC10E2">
        <w:rPr>
          <w:spacing w:val="-2"/>
        </w:rPr>
        <w:t xml:space="preserve"> </w:t>
      </w:r>
      <w:r w:rsidRPr="00CC10E2">
        <w:t>cleaning</w:t>
      </w:r>
      <w:r w:rsidRPr="00CC10E2">
        <w:rPr>
          <w:spacing w:val="-3"/>
        </w:rPr>
        <w:t xml:space="preserve"> </w:t>
      </w:r>
      <w:r w:rsidRPr="00CC10E2">
        <w:t>and sanitizing</w:t>
      </w:r>
      <w:r w:rsidRPr="00CC10E2">
        <w:rPr>
          <w:spacing w:val="-3"/>
        </w:rPr>
        <w:t xml:space="preserve"> </w:t>
      </w:r>
      <w:r w:rsidRPr="00CC10E2">
        <w:t>of</w:t>
      </w:r>
      <w:r w:rsidRPr="00CC10E2">
        <w:rPr>
          <w:spacing w:val="-3"/>
        </w:rPr>
        <w:t xml:space="preserve"> </w:t>
      </w:r>
      <w:r w:rsidRPr="00CC10E2">
        <w:t>sampling</w:t>
      </w:r>
      <w:r w:rsidRPr="00CC10E2">
        <w:rPr>
          <w:spacing w:val="-3"/>
        </w:rPr>
        <w:t xml:space="preserve"> </w:t>
      </w:r>
      <w:r w:rsidRPr="00CC10E2">
        <w:t>equipment</w:t>
      </w:r>
      <w:r w:rsidRPr="00CC10E2">
        <w:rPr>
          <w:spacing w:val="-2"/>
        </w:rPr>
        <w:t xml:space="preserve"> and tools may not result in their being sterile</w:t>
      </w:r>
      <w:r w:rsidR="001169DF">
        <w:rPr>
          <w:spacing w:val="-2"/>
        </w:rPr>
        <w:t xml:space="preserve"> </w:t>
      </w:r>
      <w:r w:rsidRPr="00CC10E2">
        <w:t>(See</w:t>
      </w:r>
      <w:r w:rsidRPr="00CC10E2">
        <w:rPr>
          <w:spacing w:val="1"/>
        </w:rPr>
        <w:t xml:space="preserve"> </w:t>
      </w:r>
      <w:r w:rsidRPr="00CC10E2">
        <w:t xml:space="preserve">Appendix 1 </w:t>
      </w:r>
      <w:r w:rsidR="00942FB8">
        <w:t>(</w:t>
      </w:r>
      <w:r w:rsidRPr="00CC10E2">
        <w:t>Aseptic</w:t>
      </w:r>
      <w:r w:rsidRPr="00CC10E2">
        <w:rPr>
          <w:spacing w:val="1"/>
        </w:rPr>
        <w:t xml:space="preserve"> </w:t>
      </w:r>
      <w:r w:rsidRPr="00CC10E2">
        <w:t>Sampling</w:t>
      </w:r>
      <w:r w:rsidR="00942FB8">
        <w:t>)</w:t>
      </w:r>
      <w:r w:rsidRPr="00CC10E2">
        <w:t>).</w:t>
      </w:r>
    </w:p>
    <w:p w:rsidR="00191DF8" w:rsidRPr="00CC10E2" w:rsidP="00E47C04" w14:paraId="26D6B4E0" w14:textId="09D5FB3F">
      <w:pPr>
        <w:pStyle w:val="GuidanceParagraph"/>
      </w:pPr>
      <w:r w:rsidRPr="00CC10E2">
        <w:t>Agricultural water samples must be</w:t>
      </w:r>
      <w:r w:rsidRPr="00CC10E2">
        <w:rPr>
          <w:spacing w:val="1"/>
        </w:rPr>
        <w:t xml:space="preserve"> </w:t>
      </w:r>
      <w:r w:rsidRPr="00CC10E2">
        <w:rPr>
          <w:spacing w:val="-2"/>
        </w:rPr>
        <w:t>analyzed</w:t>
      </w:r>
      <w:r w:rsidRPr="00CC10E2">
        <w:t xml:space="preserve"> for compliance</w:t>
      </w:r>
      <w:r w:rsidRPr="00CC10E2">
        <w:rPr>
          <w:spacing w:val="1"/>
        </w:rPr>
        <w:t xml:space="preserve"> </w:t>
      </w:r>
      <w:r w:rsidRPr="00CC10E2">
        <w:t>with</w:t>
      </w:r>
      <w:r w:rsidRPr="00CC10E2">
        <w:rPr>
          <w:spacing w:val="-3"/>
        </w:rPr>
        <w:t xml:space="preserve"> </w:t>
      </w:r>
      <w:r w:rsidRPr="00CC10E2">
        <w:t>the</w:t>
      </w:r>
      <w:r w:rsidRPr="00CC10E2">
        <w:rPr>
          <w:spacing w:val="1"/>
        </w:rPr>
        <w:t xml:space="preserve"> </w:t>
      </w:r>
      <w:r w:rsidRPr="00CC10E2">
        <w:t>§</w:t>
      </w:r>
      <w:r w:rsidRPr="00CC10E2">
        <w:rPr>
          <w:spacing w:val="-3"/>
        </w:rPr>
        <w:t xml:space="preserve"> </w:t>
      </w:r>
      <w:r w:rsidRPr="00CC10E2">
        <w:t>112.44(a) microbial</w:t>
      </w:r>
      <w:r w:rsidRPr="00CC10E2">
        <w:rPr>
          <w:spacing w:val="-2"/>
        </w:rPr>
        <w:t xml:space="preserve"> </w:t>
      </w:r>
      <w:r w:rsidRPr="00CC10E2">
        <w:t>quality</w:t>
      </w:r>
      <w:r w:rsidR="001169DF">
        <w:t xml:space="preserve"> </w:t>
      </w:r>
      <w:r w:rsidRPr="00CC10E2">
        <w:t>criterion using</w:t>
      </w:r>
      <w:r w:rsidRPr="00CC10E2">
        <w:rPr>
          <w:spacing w:val="-3"/>
        </w:rPr>
        <w:t xml:space="preserve"> </w:t>
      </w:r>
      <w:r w:rsidRPr="00CC10E2">
        <w:t>a</w:t>
      </w:r>
      <w:r w:rsidRPr="00CC10E2">
        <w:rPr>
          <w:spacing w:val="1"/>
        </w:rPr>
        <w:t xml:space="preserve"> </w:t>
      </w:r>
      <w:r w:rsidRPr="00CC10E2">
        <w:t>method set forth in § 112.151 (§</w:t>
      </w:r>
      <w:r w:rsidRPr="00CC10E2">
        <w:rPr>
          <w:spacing w:val="-3"/>
        </w:rPr>
        <w:t xml:space="preserve"> </w:t>
      </w:r>
      <w:r w:rsidRPr="00CC10E2">
        <w:t>112.47(b)).</w:t>
      </w:r>
      <w:r w:rsidR="001169DF">
        <w:t xml:space="preserve"> </w:t>
      </w:r>
      <w:r w:rsidRPr="00CC10E2">
        <w:rPr>
          <w:spacing w:val="-2"/>
        </w:rPr>
        <w:t>We</w:t>
      </w:r>
      <w:r w:rsidRPr="00CC10E2">
        <w:rPr>
          <w:spacing w:val="1"/>
        </w:rPr>
        <w:t xml:space="preserve"> </w:t>
      </w:r>
      <w:r w:rsidRPr="00CC10E2">
        <w:t>reviewed</w:t>
      </w:r>
      <w:r w:rsidRPr="00CC10E2">
        <w:rPr>
          <w:spacing w:val="-3"/>
        </w:rPr>
        <w:t xml:space="preserve"> </w:t>
      </w:r>
      <w:r w:rsidRPr="00CC10E2">
        <w:t>publicly available test</w:t>
      </w:r>
      <w:r w:rsidR="00F45321">
        <w:t xml:space="preserve"> </w:t>
      </w:r>
      <w:r w:rsidRPr="00CC10E2">
        <w:t>methods for water and</w:t>
      </w:r>
      <w:r w:rsidRPr="00CC10E2">
        <w:rPr>
          <w:spacing w:val="-3"/>
        </w:rPr>
        <w:t xml:space="preserve"> </w:t>
      </w:r>
      <w:r w:rsidRPr="00CC10E2">
        <w:t>determined</w:t>
      </w:r>
      <w:r w:rsidRPr="00CC10E2">
        <w:rPr>
          <w:spacing w:val="-3"/>
        </w:rPr>
        <w:t xml:space="preserve"> </w:t>
      </w:r>
      <w:r w:rsidRPr="00CC10E2">
        <w:t>that EPA Method 1603 is appropriate</w:t>
      </w:r>
      <w:r w:rsidRPr="00CC10E2">
        <w:rPr>
          <w:spacing w:val="1"/>
        </w:rPr>
        <w:t xml:space="preserve"> </w:t>
      </w:r>
      <w:r w:rsidRPr="00CC10E2">
        <w:t>for testing</w:t>
      </w:r>
      <w:r w:rsidRPr="00CC10E2">
        <w:rPr>
          <w:spacing w:val="-3"/>
        </w:rPr>
        <w:t xml:space="preserve"> </w:t>
      </w:r>
      <w:r w:rsidRPr="00CC10E2">
        <w:t>water quality</w:t>
      </w:r>
      <w:r w:rsidRPr="00CC10E2">
        <w:rPr>
          <w:spacing w:val="-3"/>
        </w:rPr>
        <w:t xml:space="preserve"> </w:t>
      </w:r>
      <w:r w:rsidRPr="00CC10E2">
        <w:t>for</w:t>
      </w:r>
      <w:r w:rsidR="001169DF">
        <w:t xml:space="preserve"> </w:t>
      </w:r>
      <w:r w:rsidRPr="00CC10E2">
        <w:t>this purpose</w:t>
      </w:r>
      <w:r w:rsidRPr="00CC10E2">
        <w:rPr>
          <w:spacing w:val="1"/>
        </w:rPr>
        <w:t xml:space="preserve"> </w:t>
      </w:r>
      <w:r w:rsidRPr="00CC10E2">
        <w:t>(§ 112.151(a)).</w:t>
      </w:r>
    </w:p>
    <w:p w:rsidR="00191DF8" w:rsidRPr="00CC10E2" w:rsidP="00E47C04" w14:paraId="15E5CE8B" w14:textId="17E46C0F">
      <w:pPr>
        <w:pStyle w:val="GuidanceParagraph"/>
      </w:pPr>
      <w:r w:rsidRPr="00CC10E2">
        <w:t>However, we</w:t>
      </w:r>
      <w:r w:rsidRPr="00CC10E2">
        <w:rPr>
          <w:spacing w:val="1"/>
        </w:rPr>
        <w:t xml:space="preserve"> </w:t>
      </w:r>
      <w:r w:rsidRPr="00CC10E2">
        <w:t>recognize</w:t>
      </w:r>
      <w:r w:rsidRPr="00CC10E2">
        <w:rPr>
          <w:spacing w:val="1"/>
        </w:rPr>
        <w:t xml:space="preserve"> </w:t>
      </w:r>
      <w:r w:rsidRPr="00CC10E2">
        <w:t>that other scientifically</w:t>
      </w:r>
      <w:r w:rsidRPr="00CC10E2">
        <w:rPr>
          <w:spacing w:val="-3"/>
        </w:rPr>
        <w:t xml:space="preserve"> </w:t>
      </w:r>
      <w:r w:rsidRPr="00CC10E2">
        <w:t>valid analytical methods may</w:t>
      </w:r>
      <w:r w:rsidRPr="00CC10E2">
        <w:rPr>
          <w:spacing w:val="-3"/>
        </w:rPr>
        <w:t xml:space="preserve"> </w:t>
      </w:r>
      <w:r w:rsidRPr="00CC10E2">
        <w:t>be</w:t>
      </w:r>
      <w:r w:rsidRPr="00CC10E2">
        <w:rPr>
          <w:spacing w:val="1"/>
        </w:rPr>
        <w:t xml:space="preserve"> </w:t>
      </w:r>
      <w:r w:rsidRPr="00CC10E2">
        <w:t>available</w:t>
      </w:r>
      <w:r w:rsidRPr="00CC10E2">
        <w:rPr>
          <w:spacing w:val="1"/>
        </w:rPr>
        <w:t xml:space="preserve"> </w:t>
      </w:r>
      <w:r w:rsidRPr="00CC10E2">
        <w:t>or may</w:t>
      </w:r>
      <w:r w:rsidR="001169DF">
        <w:t xml:space="preserve"> </w:t>
      </w:r>
      <w:r w:rsidRPr="00CC10E2">
        <w:t>become</w:t>
      </w:r>
      <w:r w:rsidRPr="00CC10E2">
        <w:rPr>
          <w:spacing w:val="1"/>
        </w:rPr>
        <w:t xml:space="preserve"> </w:t>
      </w:r>
      <w:r w:rsidRPr="00CC10E2">
        <w:t>available</w:t>
      </w:r>
      <w:r w:rsidRPr="00CC10E2">
        <w:rPr>
          <w:spacing w:val="-2"/>
        </w:rPr>
        <w:t xml:space="preserve"> </w:t>
      </w:r>
      <w:r w:rsidRPr="00CC10E2">
        <w:t>in the</w:t>
      </w:r>
      <w:r w:rsidRPr="00CC10E2">
        <w:rPr>
          <w:spacing w:val="1"/>
        </w:rPr>
        <w:t xml:space="preserve"> </w:t>
      </w:r>
      <w:r w:rsidRPr="00CC10E2">
        <w:t>future.</w:t>
      </w:r>
      <w:r w:rsidR="001169DF">
        <w:t xml:space="preserve"> </w:t>
      </w:r>
      <w:r w:rsidRPr="00CC10E2">
        <w:t>Therefore, we</w:t>
      </w:r>
      <w:r w:rsidRPr="00CC10E2">
        <w:rPr>
          <w:spacing w:val="1"/>
        </w:rPr>
        <w:t xml:space="preserve"> </w:t>
      </w:r>
      <w:r w:rsidRPr="00CC10E2">
        <w:t>provide</w:t>
      </w:r>
      <w:r w:rsidRPr="00CC10E2">
        <w:rPr>
          <w:spacing w:val="1"/>
        </w:rPr>
        <w:t xml:space="preserve"> </w:t>
      </w:r>
      <w:r w:rsidRPr="00CC10E2">
        <w:t>flexibility</w:t>
      </w:r>
      <w:r w:rsidRPr="00CC10E2">
        <w:rPr>
          <w:spacing w:val="-3"/>
        </w:rPr>
        <w:t xml:space="preserve"> </w:t>
      </w:r>
      <w:r w:rsidRPr="00CC10E2">
        <w:t>for you to use</w:t>
      </w:r>
      <w:r w:rsidRPr="00CC10E2">
        <w:rPr>
          <w:spacing w:val="-2"/>
        </w:rPr>
        <w:t xml:space="preserve"> </w:t>
      </w:r>
      <w:r w:rsidRPr="00CC10E2">
        <w:t>any</w:t>
      </w:r>
      <w:r w:rsidRPr="00CC10E2">
        <w:rPr>
          <w:spacing w:val="-5"/>
        </w:rPr>
        <w:t xml:space="preserve"> </w:t>
      </w:r>
      <w:r w:rsidRPr="00CC10E2">
        <w:t>other</w:t>
      </w:r>
      <w:r w:rsidRPr="00CC10E2">
        <w:rPr>
          <w:spacing w:val="55"/>
        </w:rPr>
        <w:t xml:space="preserve"> </w:t>
      </w:r>
      <w:r w:rsidRPr="00CC10E2">
        <w:t>scientifically</w:t>
      </w:r>
      <w:r w:rsidRPr="00CC10E2">
        <w:rPr>
          <w:spacing w:val="-3"/>
        </w:rPr>
        <w:t xml:space="preserve"> </w:t>
      </w:r>
      <w:r w:rsidRPr="00CC10E2">
        <w:t>valid analytical</w:t>
      </w:r>
      <w:r w:rsidRPr="00CC10E2">
        <w:rPr>
          <w:spacing w:val="-2"/>
        </w:rPr>
        <w:t xml:space="preserve"> </w:t>
      </w:r>
      <w:r w:rsidRPr="00CC10E2">
        <w:t>method that</w:t>
      </w:r>
      <w:r w:rsidRPr="00CC10E2">
        <w:rPr>
          <w:spacing w:val="-2"/>
        </w:rPr>
        <w:t xml:space="preserve"> </w:t>
      </w:r>
      <w:r w:rsidRPr="00CC10E2">
        <w:t>is at</w:t>
      </w:r>
      <w:r w:rsidRPr="00CC10E2">
        <w:rPr>
          <w:spacing w:val="-2"/>
        </w:rPr>
        <w:t xml:space="preserve"> </w:t>
      </w:r>
      <w:r w:rsidRPr="00CC10E2">
        <w:t>least</w:t>
      </w:r>
      <w:r w:rsidRPr="00CC10E2">
        <w:rPr>
          <w:spacing w:val="-2"/>
        </w:rPr>
        <w:t xml:space="preserve"> </w:t>
      </w:r>
      <w:r w:rsidRPr="00CC10E2">
        <w:t>equivalent to</w:t>
      </w:r>
      <w:r w:rsidRPr="00CC10E2">
        <w:rPr>
          <w:spacing w:val="-3"/>
        </w:rPr>
        <w:t xml:space="preserve"> </w:t>
      </w:r>
      <w:r w:rsidRPr="00CC10E2">
        <w:t>the</w:t>
      </w:r>
      <w:r w:rsidRPr="00CC10E2">
        <w:rPr>
          <w:spacing w:val="1"/>
        </w:rPr>
        <w:t xml:space="preserve"> </w:t>
      </w:r>
      <w:r w:rsidRPr="00CC10E2">
        <w:t>prescribed analytical method</w:t>
      </w:r>
      <w:r w:rsidRPr="00CC10E2">
        <w:rPr>
          <w:spacing w:val="61"/>
        </w:rPr>
        <w:t xml:space="preserve"> </w:t>
      </w:r>
      <w:r w:rsidRPr="00CC10E2">
        <w:t>(i.e.,</w:t>
      </w:r>
      <w:r w:rsidRPr="00CC10E2">
        <w:rPr>
          <w:spacing w:val="-3"/>
        </w:rPr>
        <w:t xml:space="preserve"> </w:t>
      </w:r>
      <w:r w:rsidRPr="00CC10E2">
        <w:t>EPA Method 1603)</w:t>
      </w:r>
      <w:r w:rsidRPr="00CC10E2">
        <w:rPr>
          <w:spacing w:val="-3"/>
        </w:rPr>
        <w:t xml:space="preserve"> </w:t>
      </w:r>
      <w:r w:rsidRPr="00CC10E2">
        <w:t>in accuracy, precision</w:t>
      </w:r>
      <w:r w:rsidR="0020505C">
        <w:t xml:space="preserve"> </w:t>
      </w:r>
      <w:r w:rsidRPr="0020505C" w:rsidR="0020505C">
        <w:t xml:space="preserve">in detecting the relevant organism or indicator (i.e., generic </w:t>
      </w:r>
      <w:r w:rsidRPr="00FA64F2" w:rsidR="0020505C">
        <w:rPr>
          <w:i/>
        </w:rPr>
        <w:t>E. coli</w:t>
      </w:r>
      <w:r w:rsidRPr="0020505C" w:rsidR="0020505C">
        <w:t>)</w:t>
      </w:r>
      <w:r w:rsidRPr="0020505C" w:rsidR="0020505C">
        <w:rPr>
          <w:rFonts w:asciiTheme="minorHAnsi" w:eastAsiaTheme="minorHAnsi" w:hAnsiTheme="minorHAnsi" w:cstheme="minorBidi"/>
          <w:sz w:val="22"/>
          <w:szCs w:val="22"/>
        </w:rPr>
        <w:t xml:space="preserve"> </w:t>
      </w:r>
      <w:r w:rsidRPr="0020505C" w:rsidR="0020505C">
        <w:t>and precision in the relevant sample matrix (i.e., ground water)</w:t>
      </w:r>
      <w:r w:rsidRPr="00CC10E2">
        <w:t>, and</w:t>
      </w:r>
      <w:r w:rsidRPr="00CC10E2">
        <w:rPr>
          <w:spacing w:val="-3"/>
        </w:rPr>
        <w:t xml:space="preserve"> </w:t>
      </w:r>
      <w:r w:rsidRPr="00CC10E2">
        <w:t>sensitivity</w:t>
      </w:r>
      <w:r w:rsidRPr="00CC10E2">
        <w:rPr>
          <w:spacing w:val="-5"/>
        </w:rPr>
        <w:t xml:space="preserve"> </w:t>
      </w:r>
      <w:r w:rsidRPr="00CC10E2">
        <w:t xml:space="preserve">(§ 112.151(b)(1)). We have identified a number of testing methodologies that meet the requirements of § 112.151(b)(1), and have posted a list of these methods on our website. See “Equivalent Testing Methodologies for Agricultural Water” at </w:t>
      </w:r>
      <w:hyperlink r:id="rId14" w:history="1">
        <w:r w:rsidRPr="00CC10E2">
          <w:rPr>
            <w:rStyle w:val="Hyperlink"/>
          </w:rPr>
          <w:t>https://www.fda.gov/food/laboratory-methods-food/equivalent-testing-methodology-agricultural-water</w:t>
        </w:r>
      </w:hyperlink>
      <w:r w:rsidRPr="00CC10E2">
        <w:t xml:space="preserve">.  </w:t>
      </w:r>
    </w:p>
    <w:p w:rsidR="00191DF8" w:rsidRPr="00CC10E2" w:rsidP="00E47C04" w14:paraId="2C3163D1" w14:textId="4445D38F">
      <w:pPr>
        <w:pStyle w:val="GuidanceParagraph"/>
      </w:pPr>
      <w:r w:rsidRPr="00CC10E2">
        <w:t xml:space="preserve">Section 112.50(b)(9) requires you to establish and keep documentation of any analytical methods that you choose to use for agricultural water testing in lieu of the method that is incorporated by reference in § 112.151(a). </w:t>
      </w:r>
      <w:r w:rsidR="0020505C">
        <w:t xml:space="preserve">We recommend that records established and kept in compliance with </w:t>
      </w:r>
      <w:r w:rsidRPr="00CC10E2" w:rsidR="001545AB">
        <w:t>§</w:t>
      </w:r>
      <w:r w:rsidR="0020505C">
        <w:t xml:space="preserve"> 112.50(b)(9)</w:t>
      </w:r>
      <w:r w:rsidRPr="00CC10E2">
        <w:t xml:space="preserve"> include 1) name and identification number of the method validated by third</w:t>
      </w:r>
      <w:r w:rsidR="001B55CF">
        <w:t>-</w:t>
      </w:r>
      <w:r w:rsidRPr="00CC10E2">
        <w:t>party methods validation organization, or 2) detailed analytical procedures, an explanation of why the alternate method is at least equivalent to the reference method (such as a scientific study, or data or information regarding the sensitivity, specificity, and precision of the alternate method compared to the reference method), and any other relevant information supporting the use of the alternate method. We note that you are</w:t>
      </w:r>
      <w:r w:rsidR="001169DF">
        <w:t xml:space="preserve"> </w:t>
      </w:r>
      <w:r w:rsidRPr="00CC10E2">
        <w:t>not required</w:t>
      </w:r>
      <w:r w:rsidRPr="00CC10E2">
        <w:rPr>
          <w:spacing w:val="-3"/>
        </w:rPr>
        <w:t xml:space="preserve"> </w:t>
      </w:r>
      <w:r w:rsidRPr="00CC10E2">
        <w:t>to notify</w:t>
      </w:r>
      <w:r w:rsidRPr="00CC10E2">
        <w:rPr>
          <w:spacing w:val="-5"/>
        </w:rPr>
        <w:t xml:space="preserve"> </w:t>
      </w:r>
      <w:r w:rsidRPr="00CC10E2">
        <w:t xml:space="preserve">us </w:t>
      </w:r>
      <w:r w:rsidRPr="00CC10E2">
        <w:rPr>
          <w:spacing w:val="1"/>
        </w:rPr>
        <w:t>or</w:t>
      </w:r>
      <w:r w:rsidRPr="00CC10E2">
        <w:t xml:space="preserve"> submit</w:t>
      </w:r>
      <w:r w:rsidRPr="00CC10E2">
        <w:rPr>
          <w:spacing w:val="-2"/>
        </w:rPr>
        <w:t xml:space="preserve"> </w:t>
      </w:r>
      <w:r w:rsidRPr="00CC10E2">
        <w:t>information about such methods of</w:t>
      </w:r>
      <w:r w:rsidRPr="00CC10E2">
        <w:rPr>
          <w:spacing w:val="-3"/>
        </w:rPr>
        <w:t xml:space="preserve"> </w:t>
      </w:r>
      <w:r w:rsidRPr="00CC10E2">
        <w:t>analysis</w:t>
      </w:r>
      <w:r w:rsidRPr="00CC10E2">
        <w:rPr>
          <w:spacing w:val="1"/>
        </w:rPr>
        <w:t xml:space="preserve"> </w:t>
      </w:r>
      <w:r w:rsidRPr="00CC10E2">
        <w:t>for</w:t>
      </w:r>
      <w:r w:rsidRPr="00CC10E2">
        <w:rPr>
          <w:spacing w:val="2"/>
        </w:rPr>
        <w:t xml:space="preserve"> </w:t>
      </w:r>
      <w:r w:rsidRPr="00CC10E2">
        <w:t>our review or</w:t>
      </w:r>
      <w:r w:rsidR="00D53161">
        <w:t xml:space="preserve"> </w:t>
      </w:r>
      <w:r w:rsidRPr="00CC10E2">
        <w:t>approval prior</w:t>
      </w:r>
      <w:r w:rsidRPr="00CC10E2">
        <w:rPr>
          <w:spacing w:val="-3"/>
        </w:rPr>
        <w:t xml:space="preserve"> </w:t>
      </w:r>
      <w:r w:rsidRPr="00CC10E2">
        <w:t xml:space="preserve">to use. </w:t>
      </w:r>
    </w:p>
    <w:p w:rsidR="00191DF8" w:rsidRPr="00CC10E2" w:rsidP="00E47C04" w14:paraId="0E336DDA" w14:textId="09AA8C53">
      <w:pPr>
        <w:pStyle w:val="GuidanceParagraph"/>
      </w:pPr>
      <w:r w:rsidRPr="00CC10E2">
        <w:t>You should choose a laboratory</w:t>
      </w:r>
      <w:r w:rsidRPr="00CC10E2">
        <w:rPr>
          <w:spacing w:val="-5"/>
        </w:rPr>
        <w:t xml:space="preserve"> </w:t>
      </w:r>
      <w:r w:rsidRPr="00CC10E2">
        <w:t xml:space="preserve">that is qualified </w:t>
      </w:r>
      <w:r w:rsidRPr="00CC10E2">
        <w:rPr>
          <w:spacing w:val="1"/>
        </w:rPr>
        <w:t>to</w:t>
      </w:r>
      <w:r w:rsidRPr="00CC10E2">
        <w:t xml:space="preserve"> test agricultural water for generic </w:t>
      </w:r>
      <w:r w:rsidRPr="00CC10E2">
        <w:rPr>
          <w:i/>
        </w:rPr>
        <w:t>E. coli</w:t>
      </w:r>
      <w:r w:rsidRPr="00CC10E2">
        <w:t>.</w:t>
      </w:r>
      <w:r w:rsidRPr="00CC10E2">
        <w:rPr>
          <w:spacing w:val="91"/>
        </w:rPr>
        <w:t xml:space="preserve"> </w:t>
      </w:r>
      <w:r w:rsidR="007B1388">
        <w:t>Testing is typically contracted to a third-party testing laboratory</w:t>
      </w:r>
      <w:r w:rsidR="00F84FFB">
        <w:t>;</w:t>
      </w:r>
      <w:r w:rsidR="00035EAB">
        <w:t xml:space="preserve"> however, testing </w:t>
      </w:r>
      <w:r w:rsidR="007B1388">
        <w:t xml:space="preserve">may also be performed by a sprout operation’s own laboratory (e.g., an operation’s own “in-house” laboratory). </w:t>
      </w:r>
      <w:r w:rsidRPr="00CC10E2">
        <w:t>Using</w:t>
      </w:r>
      <w:r w:rsidRPr="00CC10E2">
        <w:rPr>
          <w:spacing w:val="-3"/>
        </w:rPr>
        <w:t xml:space="preserve"> </w:t>
      </w:r>
      <w:r w:rsidRPr="00CC10E2">
        <w:t>an accredited</w:t>
      </w:r>
      <w:r w:rsidRPr="00CC10E2">
        <w:rPr>
          <w:spacing w:val="-3"/>
        </w:rPr>
        <w:t xml:space="preserve"> </w:t>
      </w:r>
      <w:r w:rsidRPr="00CC10E2">
        <w:t>laboratory</w:t>
      </w:r>
      <w:r w:rsidRPr="00CC10E2">
        <w:rPr>
          <w:spacing w:val="-5"/>
        </w:rPr>
        <w:t xml:space="preserve"> </w:t>
      </w:r>
      <w:r w:rsidRPr="00CC10E2">
        <w:t>(e.g., a</w:t>
      </w:r>
      <w:r w:rsidRPr="00CC10E2">
        <w:rPr>
          <w:spacing w:val="1"/>
        </w:rPr>
        <w:t xml:space="preserve"> </w:t>
      </w:r>
      <w:r w:rsidRPr="00CC10E2">
        <w:t>laboratory</w:t>
      </w:r>
      <w:r w:rsidRPr="00CC10E2">
        <w:rPr>
          <w:spacing w:val="-5"/>
        </w:rPr>
        <w:t xml:space="preserve"> </w:t>
      </w:r>
      <w:r w:rsidRPr="00CC10E2">
        <w:t>accredited</w:t>
      </w:r>
      <w:r w:rsidR="001169DF">
        <w:t xml:space="preserve"> </w:t>
      </w:r>
      <w:r w:rsidRPr="00CC10E2">
        <w:t>to International Organization for Standardization (ISO) Standard 17025) is one</w:t>
      </w:r>
      <w:r w:rsidRPr="00CC10E2">
        <w:rPr>
          <w:spacing w:val="-2"/>
        </w:rPr>
        <w:t xml:space="preserve"> </w:t>
      </w:r>
      <w:r w:rsidRPr="00CC10E2">
        <w:t>way</w:t>
      </w:r>
      <w:r w:rsidRPr="00CC10E2">
        <w:rPr>
          <w:spacing w:val="-5"/>
        </w:rPr>
        <w:t xml:space="preserve"> </w:t>
      </w:r>
      <w:r w:rsidRPr="00CC10E2">
        <w:t>to have</w:t>
      </w:r>
      <w:r w:rsidR="001169DF">
        <w:t xml:space="preserve"> </w:t>
      </w:r>
      <w:r w:rsidRPr="00CC10E2">
        <w:t>confidence</w:t>
      </w:r>
      <w:r w:rsidRPr="00CC10E2">
        <w:rPr>
          <w:spacing w:val="1"/>
        </w:rPr>
        <w:t xml:space="preserve"> </w:t>
      </w:r>
      <w:r w:rsidRPr="00CC10E2">
        <w:t>that the</w:t>
      </w:r>
      <w:r w:rsidRPr="00CC10E2">
        <w:rPr>
          <w:spacing w:val="-2"/>
        </w:rPr>
        <w:t xml:space="preserve"> </w:t>
      </w:r>
      <w:r w:rsidRPr="00CC10E2">
        <w:t>laboratory</w:t>
      </w:r>
      <w:r w:rsidRPr="00CC10E2">
        <w:rPr>
          <w:spacing w:val="-5"/>
        </w:rPr>
        <w:t xml:space="preserve"> </w:t>
      </w:r>
      <w:r w:rsidRPr="00CC10E2">
        <w:t>will provide</w:t>
      </w:r>
      <w:r w:rsidRPr="00CC10E2">
        <w:rPr>
          <w:spacing w:val="1"/>
        </w:rPr>
        <w:t xml:space="preserve"> </w:t>
      </w:r>
      <w:r w:rsidRPr="00CC10E2">
        <w:t>reliable,</w:t>
      </w:r>
      <w:r w:rsidRPr="00CC10E2">
        <w:rPr>
          <w:spacing w:val="-3"/>
        </w:rPr>
        <w:t xml:space="preserve"> </w:t>
      </w:r>
      <w:r w:rsidRPr="00CC10E2">
        <w:t>accurate</w:t>
      </w:r>
      <w:r w:rsidRPr="00CC10E2">
        <w:rPr>
          <w:spacing w:val="1"/>
        </w:rPr>
        <w:t xml:space="preserve"> </w:t>
      </w:r>
      <w:r w:rsidRPr="00CC10E2">
        <w:t xml:space="preserve">test results. </w:t>
      </w:r>
      <w:r w:rsidRPr="00CC10E2">
        <w:rPr>
          <w:spacing w:val="4"/>
        </w:rPr>
        <w:t xml:space="preserve"> </w:t>
      </w:r>
    </w:p>
    <w:p w:rsidR="00191DF8" w:rsidRPr="00B70948" w:rsidP="00F756C4" w14:paraId="660A095A" w14:textId="1DA6971A">
      <w:pPr>
        <w:pStyle w:val="HHS508GuidanceOutline2"/>
      </w:pPr>
      <w:bookmarkStart w:id="39" w:name="_Toc106094935"/>
      <w:r w:rsidRPr="00B70948">
        <w:t>Post-Harvest Water Management</w:t>
      </w:r>
      <w:bookmarkEnd w:id="39"/>
    </w:p>
    <w:p w:rsidR="00191DF8" w:rsidRPr="00CC10E2" w:rsidP="00E47C04" w14:paraId="2A15B4A3" w14:textId="37A8FD69">
      <w:pPr>
        <w:pStyle w:val="GuidanceParagraph"/>
      </w:pPr>
      <w:r w:rsidRPr="00CC10E2">
        <w:t xml:space="preserve">Section 112.48(a) requires </w:t>
      </w:r>
      <w:r w:rsidRPr="00CC10E2">
        <w:rPr>
          <w:spacing w:val="-2"/>
        </w:rPr>
        <w:t>you</w:t>
      </w:r>
      <w:r w:rsidRPr="00CC10E2">
        <w:t xml:space="preserve"> to manage</w:t>
      </w:r>
      <w:r w:rsidRPr="00CC10E2">
        <w:rPr>
          <w:spacing w:val="1"/>
        </w:rPr>
        <w:t xml:space="preserve"> </w:t>
      </w:r>
      <w:r w:rsidRPr="00CC10E2">
        <w:t>the</w:t>
      </w:r>
      <w:r w:rsidRPr="00CC10E2">
        <w:rPr>
          <w:spacing w:val="1"/>
        </w:rPr>
        <w:t xml:space="preserve"> </w:t>
      </w:r>
      <w:r w:rsidRPr="00CC10E2">
        <w:t>water</w:t>
      </w:r>
      <w:r w:rsidRPr="00CC10E2">
        <w:rPr>
          <w:spacing w:val="-3"/>
        </w:rPr>
        <w:t xml:space="preserve"> </w:t>
      </w:r>
      <w:r w:rsidRPr="00CC10E2">
        <w:t>used during</w:t>
      </w:r>
      <w:r w:rsidRPr="00CC10E2">
        <w:rPr>
          <w:spacing w:val="-3"/>
        </w:rPr>
        <w:t xml:space="preserve"> </w:t>
      </w:r>
      <w:r w:rsidRPr="00CC10E2">
        <w:t>harvest, packing, and holding</w:t>
      </w:r>
      <w:r w:rsidRPr="00CC10E2">
        <w:rPr>
          <w:spacing w:val="57"/>
        </w:rPr>
        <w:t xml:space="preserve"> </w:t>
      </w:r>
      <w:r w:rsidRPr="00CC10E2">
        <w:t>activities for sprouts, as necessary, including</w:t>
      </w:r>
      <w:r w:rsidRPr="00CC10E2">
        <w:rPr>
          <w:spacing w:val="-3"/>
        </w:rPr>
        <w:t xml:space="preserve"> </w:t>
      </w:r>
      <w:r w:rsidRPr="00CC10E2">
        <w:t>by</w:t>
      </w:r>
      <w:r w:rsidRPr="00CC10E2">
        <w:rPr>
          <w:spacing w:val="-5"/>
        </w:rPr>
        <w:t xml:space="preserve"> </w:t>
      </w:r>
      <w:r w:rsidRPr="00CC10E2">
        <w:t>establishing</w:t>
      </w:r>
      <w:r w:rsidRPr="00CC10E2">
        <w:rPr>
          <w:spacing w:val="-3"/>
        </w:rPr>
        <w:t xml:space="preserve"> </w:t>
      </w:r>
      <w:r w:rsidRPr="00CC10E2">
        <w:t>and</w:t>
      </w:r>
      <w:r w:rsidR="006C4159">
        <w:t xml:space="preserve"> </w:t>
      </w:r>
      <w:r w:rsidRPr="00CC10E2">
        <w:t>following</w:t>
      </w:r>
      <w:r w:rsidRPr="00CC10E2">
        <w:rPr>
          <w:spacing w:val="-3"/>
        </w:rPr>
        <w:t xml:space="preserve"> </w:t>
      </w:r>
      <w:r w:rsidRPr="00CC10E2">
        <w:t>water-change</w:t>
      </w:r>
      <w:r w:rsidRPr="00CC10E2">
        <w:rPr>
          <w:spacing w:val="1"/>
        </w:rPr>
        <w:t xml:space="preserve"> </w:t>
      </w:r>
      <w:r w:rsidRPr="00CC10E2">
        <w:t>schedules for re-circulated</w:t>
      </w:r>
      <w:r w:rsidRPr="00CC10E2">
        <w:rPr>
          <w:spacing w:val="-3"/>
        </w:rPr>
        <w:t xml:space="preserve"> </w:t>
      </w:r>
      <w:r w:rsidRPr="00CC10E2">
        <w:t>water</w:t>
      </w:r>
      <w:r w:rsidRPr="00CC10E2">
        <w:rPr>
          <w:spacing w:val="-3"/>
        </w:rPr>
        <w:t xml:space="preserve"> </w:t>
      </w:r>
      <w:r w:rsidRPr="00CC10E2">
        <w:t>to maintain</w:t>
      </w:r>
      <w:r w:rsidRPr="00CC10E2">
        <w:rPr>
          <w:spacing w:val="-3"/>
        </w:rPr>
        <w:t xml:space="preserve"> </w:t>
      </w:r>
      <w:r w:rsidRPr="00CC10E2">
        <w:t>its safety</w:t>
      </w:r>
      <w:r w:rsidRPr="00CC10E2">
        <w:rPr>
          <w:spacing w:val="-3"/>
        </w:rPr>
        <w:t xml:space="preserve"> </w:t>
      </w:r>
      <w:r w:rsidRPr="00CC10E2">
        <w:t>and adequate</w:t>
      </w:r>
      <w:r w:rsidRPr="00CC10E2">
        <w:rPr>
          <w:spacing w:val="1"/>
        </w:rPr>
        <w:t xml:space="preserve"> </w:t>
      </w:r>
      <w:r w:rsidRPr="00CC10E2">
        <w:t>sanitary</w:t>
      </w:r>
      <w:r w:rsidR="006C4159">
        <w:t xml:space="preserve"> </w:t>
      </w:r>
      <w:r w:rsidRPr="00CC10E2">
        <w:t>quality</w:t>
      </w:r>
      <w:r w:rsidRPr="00CC10E2">
        <w:rPr>
          <w:spacing w:val="-5"/>
        </w:rPr>
        <w:t xml:space="preserve"> </w:t>
      </w:r>
      <w:r w:rsidRPr="00CC10E2">
        <w:t>and minimize</w:t>
      </w:r>
      <w:r w:rsidRPr="00CC10E2">
        <w:rPr>
          <w:spacing w:val="1"/>
        </w:rPr>
        <w:t xml:space="preserve"> </w:t>
      </w:r>
      <w:r w:rsidRPr="00CC10E2">
        <w:t>the</w:t>
      </w:r>
      <w:r w:rsidRPr="00CC10E2">
        <w:rPr>
          <w:spacing w:val="-4"/>
        </w:rPr>
        <w:t xml:space="preserve"> </w:t>
      </w:r>
      <w:r w:rsidRPr="00CC10E2">
        <w:t>potential for contamination of</w:t>
      </w:r>
      <w:r w:rsidRPr="00CC10E2">
        <w:rPr>
          <w:spacing w:val="-3"/>
        </w:rPr>
        <w:t xml:space="preserve"> </w:t>
      </w:r>
      <w:r w:rsidRPr="00CC10E2">
        <w:t>covered produce</w:t>
      </w:r>
      <w:r w:rsidRPr="00CC10E2">
        <w:rPr>
          <w:spacing w:val="-2"/>
        </w:rPr>
        <w:t xml:space="preserve"> </w:t>
      </w:r>
      <w:r w:rsidRPr="00CC10E2">
        <w:t>and</w:t>
      </w:r>
      <w:r w:rsidRPr="00CC10E2">
        <w:rPr>
          <w:spacing w:val="-3"/>
        </w:rPr>
        <w:t xml:space="preserve"> </w:t>
      </w:r>
      <w:r w:rsidRPr="00CC10E2">
        <w:t>FCSs</w:t>
      </w:r>
      <w:r w:rsidR="006C4159">
        <w:t xml:space="preserve"> </w:t>
      </w:r>
      <w:r w:rsidRPr="00CC10E2">
        <w:t>with known or reasonably</w:t>
      </w:r>
      <w:r w:rsidRPr="00CC10E2">
        <w:rPr>
          <w:spacing w:val="-3"/>
        </w:rPr>
        <w:t xml:space="preserve"> </w:t>
      </w:r>
      <w:r w:rsidRPr="00CC10E2">
        <w:t>foreseeable</w:t>
      </w:r>
      <w:r w:rsidRPr="00CC10E2">
        <w:rPr>
          <w:spacing w:val="1"/>
        </w:rPr>
        <w:t xml:space="preserve"> </w:t>
      </w:r>
      <w:r w:rsidRPr="00CC10E2">
        <w:t>hazards. Section 112.48(b) requires</w:t>
      </w:r>
      <w:r w:rsidRPr="00CC10E2">
        <w:rPr>
          <w:spacing w:val="1"/>
        </w:rPr>
        <w:t xml:space="preserve"> </w:t>
      </w:r>
      <w:r w:rsidRPr="00CC10E2">
        <w:rPr>
          <w:spacing w:val="-2"/>
        </w:rPr>
        <w:t>you</w:t>
      </w:r>
      <w:r w:rsidRPr="00CC10E2">
        <w:t xml:space="preserve"> to visually</w:t>
      </w:r>
      <w:r w:rsidRPr="00CC10E2">
        <w:rPr>
          <w:spacing w:val="-5"/>
        </w:rPr>
        <w:t xml:space="preserve"> </w:t>
      </w:r>
      <w:r w:rsidRPr="00CC10E2">
        <w:t>monitor</w:t>
      </w:r>
      <w:r w:rsidR="007435D2">
        <w:t xml:space="preserve"> </w:t>
      </w:r>
      <w:r w:rsidRPr="00CC10E2">
        <w:t>the</w:t>
      </w:r>
      <w:r w:rsidRPr="00CC10E2">
        <w:rPr>
          <w:spacing w:val="1"/>
        </w:rPr>
        <w:t xml:space="preserve"> </w:t>
      </w:r>
      <w:r w:rsidRPr="00CC10E2">
        <w:t>quality</w:t>
      </w:r>
      <w:r w:rsidRPr="00CC10E2">
        <w:rPr>
          <w:spacing w:val="-5"/>
        </w:rPr>
        <w:t xml:space="preserve"> </w:t>
      </w:r>
      <w:r w:rsidRPr="00CC10E2">
        <w:rPr>
          <w:spacing w:val="1"/>
        </w:rPr>
        <w:t>of</w:t>
      </w:r>
      <w:r w:rsidRPr="00CC10E2">
        <w:rPr>
          <w:spacing w:val="-3"/>
        </w:rPr>
        <w:t xml:space="preserve"> </w:t>
      </w:r>
      <w:r w:rsidRPr="00CC10E2">
        <w:t>water that you use</w:t>
      </w:r>
      <w:r w:rsidRPr="00CC10E2">
        <w:rPr>
          <w:spacing w:val="1"/>
        </w:rPr>
        <w:t xml:space="preserve"> </w:t>
      </w:r>
      <w:r w:rsidRPr="00CC10E2">
        <w:t>during</w:t>
      </w:r>
      <w:r w:rsidRPr="00CC10E2">
        <w:rPr>
          <w:spacing w:val="-3"/>
        </w:rPr>
        <w:t xml:space="preserve"> </w:t>
      </w:r>
      <w:r w:rsidRPr="00CC10E2">
        <w:t>harvest, packing, and holding</w:t>
      </w:r>
      <w:r w:rsidRPr="00CC10E2">
        <w:rPr>
          <w:spacing w:val="-3"/>
        </w:rPr>
        <w:t xml:space="preserve"> </w:t>
      </w:r>
      <w:r w:rsidRPr="00CC10E2">
        <w:t xml:space="preserve">activities. </w:t>
      </w:r>
      <w:r w:rsidR="009F0F2F">
        <w:t>For example, a</w:t>
      </w:r>
      <w:r w:rsidR="007B4C7C">
        <w:t>s a</w:t>
      </w:r>
      <w:r w:rsidR="009F0F2F">
        <w:t xml:space="preserve"> sprout operation</w:t>
      </w:r>
      <w:r w:rsidR="007B4C7C">
        <w:t>:</w:t>
      </w:r>
      <w:r w:rsidR="009F0F2F">
        <w:t xml:space="preserve"> </w:t>
      </w:r>
    </w:p>
    <w:p w:rsidR="00191DF8" w:rsidRPr="00CC10E2" w:rsidP="00690C44" w14:paraId="1DBF9D1F" w14:textId="7484ED19">
      <w:pPr>
        <w:pStyle w:val="GuidanceBulletLevel1"/>
      </w:pPr>
      <w:r w:rsidRPr="00CC10E2">
        <w:rPr>
          <w:spacing w:val="-3"/>
        </w:rPr>
        <w:t>You must visually monitor</w:t>
      </w:r>
      <w:r w:rsidRPr="00CC10E2">
        <w:t xml:space="preserve"> water used for</w:t>
      </w:r>
      <w:r w:rsidRPr="00CC10E2">
        <w:rPr>
          <w:spacing w:val="-3"/>
        </w:rPr>
        <w:t xml:space="preserve"> </w:t>
      </w:r>
      <w:r w:rsidRPr="00CC10E2">
        <w:t>washing</w:t>
      </w:r>
      <w:r w:rsidRPr="00CC10E2">
        <w:rPr>
          <w:spacing w:val="-3"/>
        </w:rPr>
        <w:t xml:space="preserve"> </w:t>
      </w:r>
      <w:r w:rsidRPr="00CC10E2">
        <w:t>and</w:t>
      </w:r>
      <w:r w:rsidR="006C4159">
        <w:t xml:space="preserve"> </w:t>
      </w:r>
      <w:r w:rsidRPr="00CC10E2">
        <w:t>cooling</w:t>
      </w:r>
      <w:r w:rsidRPr="00CC10E2">
        <w:rPr>
          <w:spacing w:val="-3"/>
        </w:rPr>
        <w:t xml:space="preserve"> </w:t>
      </w:r>
      <w:r w:rsidRPr="00CC10E2">
        <w:t>sprouts for buildup of</w:t>
      </w:r>
      <w:r w:rsidRPr="00CC10E2">
        <w:rPr>
          <w:spacing w:val="-3"/>
        </w:rPr>
        <w:t xml:space="preserve"> </w:t>
      </w:r>
      <w:r w:rsidRPr="00CC10E2">
        <w:t>organic</w:t>
      </w:r>
      <w:r w:rsidR="006C4159">
        <w:t xml:space="preserve"> </w:t>
      </w:r>
      <w:r w:rsidRPr="00CC10E2">
        <w:t>material (such</w:t>
      </w:r>
      <w:r w:rsidRPr="00CC10E2">
        <w:rPr>
          <w:spacing w:val="-3"/>
        </w:rPr>
        <w:t xml:space="preserve"> </w:t>
      </w:r>
      <w:r w:rsidRPr="00CC10E2">
        <w:t>as hulls and</w:t>
      </w:r>
      <w:r w:rsidRPr="00CC10E2">
        <w:rPr>
          <w:spacing w:val="-3"/>
        </w:rPr>
        <w:t xml:space="preserve"> </w:t>
      </w:r>
      <w:r w:rsidRPr="00CC10E2">
        <w:t>plant</w:t>
      </w:r>
      <w:r w:rsidRPr="00CC10E2">
        <w:rPr>
          <w:spacing w:val="-2"/>
        </w:rPr>
        <w:t xml:space="preserve"> </w:t>
      </w:r>
      <w:r w:rsidRPr="00CC10E2">
        <w:t xml:space="preserve">debris). </w:t>
      </w:r>
      <w:r w:rsidR="00C71C79">
        <w:t xml:space="preserve">We recommend </w:t>
      </w:r>
      <w:r w:rsidR="000F7CEF">
        <w:t>aga</w:t>
      </w:r>
      <w:r w:rsidR="00D9454E">
        <w:t>i</w:t>
      </w:r>
      <w:r w:rsidR="005F3975">
        <w:t>nst</w:t>
      </w:r>
      <w:r w:rsidR="00E10665">
        <w:t xml:space="preserve"> </w:t>
      </w:r>
      <w:r w:rsidR="00D77444">
        <w:t xml:space="preserve">the </w:t>
      </w:r>
      <w:r w:rsidR="00E10665">
        <w:t xml:space="preserve">reuse of </w:t>
      </w:r>
      <w:r w:rsidR="00E10665">
        <w:t>untreated post-harvest water</w:t>
      </w:r>
      <w:r w:rsidR="00EC2B56">
        <w:t xml:space="preserve"> </w:t>
      </w:r>
      <w:r w:rsidR="006F7344">
        <w:t xml:space="preserve">in multiple </w:t>
      </w:r>
      <w:r w:rsidR="00024E22">
        <w:t xml:space="preserve">production batches of sprouts because of the potential </w:t>
      </w:r>
      <w:r w:rsidR="00BE47CC">
        <w:t xml:space="preserve">risk associated with its use. </w:t>
      </w:r>
    </w:p>
    <w:p w:rsidR="00191DF8" w:rsidRPr="00CC10E2" w:rsidP="00E47C04" w14:paraId="5AFB61D0" w14:textId="5D675386">
      <w:pPr>
        <w:pStyle w:val="GuidanceParagraph"/>
        <w:numPr>
          <w:ilvl w:val="0"/>
          <w:numId w:val="17"/>
        </w:numPr>
      </w:pPr>
      <w:r w:rsidRPr="00CC10E2">
        <w:rPr>
          <w:spacing w:val="-2"/>
        </w:rPr>
        <w:t>You</w:t>
      </w:r>
      <w:r w:rsidRPr="00CC10E2">
        <w:t xml:space="preserve"> should consider using</w:t>
      </w:r>
      <w:r w:rsidRPr="00CC10E2">
        <w:rPr>
          <w:spacing w:val="-3"/>
        </w:rPr>
        <w:t xml:space="preserve"> </w:t>
      </w:r>
      <w:r w:rsidRPr="00CC10E2">
        <w:t>a</w:t>
      </w:r>
      <w:r w:rsidRPr="00CC10E2">
        <w:rPr>
          <w:spacing w:val="1"/>
        </w:rPr>
        <w:t xml:space="preserve"> </w:t>
      </w:r>
      <w:r w:rsidRPr="00CC10E2">
        <w:t>water</w:t>
      </w:r>
      <w:r w:rsidRPr="00CC10E2">
        <w:rPr>
          <w:spacing w:val="-3"/>
        </w:rPr>
        <w:t xml:space="preserve"> </w:t>
      </w:r>
      <w:r w:rsidRPr="00CC10E2">
        <w:t xml:space="preserve">treatment </w:t>
      </w:r>
      <w:r w:rsidRPr="00CC10E2">
        <w:rPr>
          <w:spacing w:val="-2"/>
        </w:rPr>
        <w:t>system</w:t>
      </w:r>
      <w:r w:rsidRPr="00CC10E2">
        <w:t xml:space="preserve"> as part of</w:t>
      </w:r>
      <w:r w:rsidRPr="00CC10E2">
        <w:rPr>
          <w:spacing w:val="-3"/>
        </w:rPr>
        <w:t xml:space="preserve"> </w:t>
      </w:r>
      <w:r w:rsidRPr="00CC10E2">
        <w:t xml:space="preserve">managing </w:t>
      </w:r>
      <w:r w:rsidRPr="00CC10E2">
        <w:rPr>
          <w:spacing w:val="-2"/>
        </w:rPr>
        <w:t>your</w:t>
      </w:r>
      <w:r w:rsidRPr="00CC10E2">
        <w:t xml:space="preserve"> post-harvest water. If you choose to treat your water, those treatments </w:t>
      </w:r>
      <w:r w:rsidR="007B4C7C">
        <w:t>should</w:t>
      </w:r>
      <w:r w:rsidRPr="00CC10E2" w:rsidR="007B4C7C">
        <w:t xml:space="preserve"> </w:t>
      </w:r>
      <w:r w:rsidRPr="00CC10E2">
        <w:t>be applied in a manner that is consistent with § 112.43.</w:t>
      </w:r>
      <w:r w:rsidRPr="00CC10E2">
        <w:rPr>
          <w:spacing w:val="-4"/>
        </w:rPr>
        <w:t xml:space="preserve"> </w:t>
      </w:r>
    </w:p>
    <w:p w:rsidR="009E5DF4" w:rsidRPr="00C90D37" w:rsidP="00690C44" w14:paraId="0B39024F" w14:textId="0605BA0E">
      <w:pPr>
        <w:pStyle w:val="GuidanceBulletLevel1"/>
      </w:pPr>
      <w:r w:rsidRPr="00C90D37">
        <w:t xml:space="preserve">The specific level and frequency of post-harvest water treatment, the point at which treatment should be applied, and the time intervals for monitoring treatments necessary to </w:t>
      </w:r>
      <w:r w:rsidRPr="00C90D37" w:rsidR="001253F2">
        <w:t>align with</w:t>
      </w:r>
      <w:r w:rsidRPr="00C90D37">
        <w:t xml:space="preserve"> § 112.43 may vary. An effective monitoring program for use of a chemical treatment method </w:t>
      </w:r>
      <w:r w:rsidRPr="00C90D37" w:rsidR="001253F2">
        <w:t xml:space="preserve">should </w:t>
      </w:r>
      <w:r w:rsidRPr="00C90D37">
        <w:t>measure the level of active compound as well as those factors that may affect its activity, such as pH, temperature, contact time</w:t>
      </w:r>
      <w:r w:rsidR="00432B0F">
        <w:t>, and organic load</w:t>
      </w:r>
      <w:r w:rsidRPr="00C90D37">
        <w:t>. For example, adequate monitoring of water treated with hypochlorite in a postharvest wash for sprouts should include</w:t>
      </w:r>
      <w:r w:rsidRPr="00C90D37" w:rsidR="00CD4D74">
        <w:t xml:space="preserve"> </w:t>
      </w:r>
      <w:r w:rsidRPr="00C90D37">
        <w:t>monitoring the level of active antimicrobial (free available chlorine) and pH, since hypochlorite activity is reduced both by organic material (e.g., soil, plant debris) and pH values outside its effective range (pH 6.0–7.5) (</w:t>
      </w:r>
      <w:r w:rsidRPr="00C90D37" w:rsidR="00B20CDD">
        <w:fldChar w:fldCharType="begin"/>
      </w:r>
      <w:r w:rsidRPr="00C90D37" w:rsidR="00B20CDD">
        <w:instrText xml:space="preserve"> REF _Ref51321444 \h </w:instrText>
      </w:r>
      <w:r w:rsidRPr="00C90D37" w:rsidR="00C90D37">
        <w:instrText xml:space="preserve"> \* MERGEFORMAT </w:instrText>
      </w:r>
      <w:r w:rsidRPr="00C90D37" w:rsidR="00B20CDD">
        <w:fldChar w:fldCharType="separate"/>
      </w:r>
      <w:r w:rsidRPr="006E43DC" w:rsidR="000E290D">
        <w:t xml:space="preserve">Ref. </w:t>
      </w:r>
      <w:r w:rsidR="000E290D">
        <w:rPr>
          <w:noProof/>
        </w:rPr>
        <w:t>44</w:t>
      </w:r>
      <w:r w:rsidRPr="00C90D37" w:rsidR="00B20CDD">
        <w:fldChar w:fldCharType="end"/>
      </w:r>
      <w:r w:rsidRPr="00C90D37" w:rsidR="00B20CDD">
        <w:t xml:space="preserve">, </w:t>
      </w:r>
      <w:r w:rsidRPr="00C90D37" w:rsidR="00B20CDD">
        <w:fldChar w:fldCharType="begin"/>
      </w:r>
      <w:r w:rsidRPr="00C90D37" w:rsidR="00B20CDD">
        <w:instrText xml:space="preserve"> REF _Ref51321457 \h </w:instrText>
      </w:r>
      <w:r w:rsidRPr="00C90D37" w:rsidR="00C90D37">
        <w:instrText xml:space="preserve"> \* MERGEFORMAT </w:instrText>
      </w:r>
      <w:r w:rsidRPr="00C90D37" w:rsidR="00B20CDD">
        <w:fldChar w:fldCharType="separate"/>
      </w:r>
      <w:r w:rsidRPr="006E43DC" w:rsidR="000E290D">
        <w:t xml:space="preserve">Ref. </w:t>
      </w:r>
      <w:r w:rsidR="000E290D">
        <w:rPr>
          <w:noProof/>
        </w:rPr>
        <w:t>45</w:t>
      </w:r>
      <w:r w:rsidRPr="00C90D37" w:rsidR="00B20CDD">
        <w:fldChar w:fldCharType="end"/>
      </w:r>
      <w:r w:rsidRPr="00C90D37" w:rsidR="00B20CDD">
        <w:t xml:space="preserve">, </w:t>
      </w:r>
      <w:r w:rsidRPr="00C90D37" w:rsidR="00B20CDD">
        <w:fldChar w:fldCharType="begin"/>
      </w:r>
      <w:r w:rsidRPr="00C90D37" w:rsidR="00B20CDD">
        <w:instrText xml:space="preserve"> REF _Ref51321470 \h </w:instrText>
      </w:r>
      <w:r w:rsidRPr="00C90D37" w:rsidR="00C90D37">
        <w:instrText xml:space="preserve"> \* MERGEFORMAT </w:instrText>
      </w:r>
      <w:r w:rsidRPr="00C90D37" w:rsidR="00B20CDD">
        <w:fldChar w:fldCharType="separate"/>
      </w:r>
      <w:r w:rsidRPr="006E43DC" w:rsidR="000E290D">
        <w:t xml:space="preserve">Ref. </w:t>
      </w:r>
      <w:r w:rsidR="000E290D">
        <w:rPr>
          <w:noProof/>
        </w:rPr>
        <w:t>46</w:t>
      </w:r>
      <w:r w:rsidRPr="00C90D37" w:rsidR="00B20CDD">
        <w:fldChar w:fldCharType="end"/>
      </w:r>
      <w:r w:rsidRPr="00C90D37" w:rsidR="00B20CDD">
        <w:t>,</w:t>
      </w:r>
      <w:r w:rsidRPr="00C90D37" w:rsidR="00330C21">
        <w:t xml:space="preserve"> and</w:t>
      </w:r>
      <w:r w:rsidRPr="00C90D37">
        <w:t xml:space="preserve"> </w:t>
      </w:r>
      <w:r w:rsidRPr="00C90D37" w:rsidR="001F7C6D">
        <w:fldChar w:fldCharType="begin"/>
      </w:r>
      <w:r w:rsidRPr="00C90D37" w:rsidR="001F7C6D">
        <w:instrText xml:space="preserve"> REF _Ref51099167 \h </w:instrText>
      </w:r>
      <w:r w:rsidRPr="00C90D37" w:rsidR="00C90D37">
        <w:instrText xml:space="preserve"> \* MERGEFORMAT </w:instrText>
      </w:r>
      <w:r w:rsidRPr="00C90D37" w:rsidR="001F7C6D">
        <w:fldChar w:fldCharType="separate"/>
      </w:r>
      <w:r w:rsidRPr="006E43DC" w:rsidR="000E290D">
        <w:t xml:space="preserve">Ref. </w:t>
      </w:r>
      <w:r w:rsidR="000E290D">
        <w:rPr>
          <w:noProof/>
        </w:rPr>
        <w:t>47</w:t>
      </w:r>
      <w:r w:rsidRPr="00C90D37" w:rsidR="001F7C6D">
        <w:fldChar w:fldCharType="end"/>
      </w:r>
      <w:r w:rsidRPr="00C90D37">
        <w:t xml:space="preserve">). </w:t>
      </w:r>
      <w:bookmarkStart w:id="40" w:name="_Toc44439323"/>
    </w:p>
    <w:p w:rsidR="00191DF8" w:rsidRPr="004C4812" w:rsidP="00A16344" w14:paraId="60A8BC1B" w14:textId="019FDB20">
      <w:pPr>
        <w:pStyle w:val="HHS508GuidanceOutline1"/>
      </w:pPr>
      <w:bookmarkStart w:id="41" w:name="_Toc106094936"/>
      <w:r w:rsidRPr="004C4812">
        <w:t>Seeds for Sprouting</w:t>
      </w:r>
      <w:bookmarkEnd w:id="40"/>
      <w:bookmarkEnd w:id="41"/>
    </w:p>
    <w:p w:rsidR="00191DF8" w:rsidRPr="00CC10E2" w:rsidP="00E47C04" w14:paraId="32AD4401" w14:textId="344AFD10">
      <w:pPr>
        <w:pStyle w:val="GuidanceParagraph"/>
      </w:pPr>
      <w:bookmarkStart w:id="42" w:name="_Hlk18488654"/>
      <w:r w:rsidRPr="00CC10E2">
        <w:t xml:space="preserve">The requirements in § 112.142 are designed to reduce the likelihood that seeds for sprouting serve as a vehicle for introducing contamination in sprouts. This </w:t>
      </w:r>
      <w:r w:rsidR="00D84C57">
        <w:t>section</w:t>
      </w:r>
      <w:r w:rsidRPr="00CC10E2">
        <w:t xml:space="preserve"> of the guidance provides recommendations to help you comply with these requirements for receiving, storing, and treating seeds for sprouting. As previously mentioned, throughout this guidance, for the ease of the reader, we often refer collectively to everything sprouted to produce sprouts for human consumption, including beans, simply as “seeds.” In the Rule, we used the phrase “seeds or beans” to remove any potential confusion as to whether beans for sprouting were included. References to “seeds” in this guidance should not be read to exclude other things that are sprouted to produce sprouts for human consumption, such as beans or nuts.</w:t>
      </w:r>
    </w:p>
    <w:bookmarkEnd w:id="42"/>
    <w:p w:rsidR="00191DF8" w:rsidRPr="00CC10E2" w:rsidP="00E47C04" w14:paraId="4E11C04E" w14:textId="3E3F19D2">
      <w:pPr>
        <w:pStyle w:val="GuidanceParagraph"/>
      </w:pPr>
      <w:r w:rsidRPr="00CC10E2">
        <w:t>While poor sanitation and unhygienic practices at the sprout operation can contribute to contamination of sprouts, studies indicate that contaminated seed is the likely source of most sprout-related outbreaks (</w:t>
      </w:r>
      <w:r w:rsidR="00A101D2">
        <w:fldChar w:fldCharType="begin"/>
      </w:r>
      <w:r w:rsidR="00A101D2">
        <w:instrText xml:space="preserve"> REF _Ref51086174 \h </w:instrText>
      </w:r>
      <w:r w:rsidR="004B2A15">
        <w:instrText xml:space="preserve"> \* MERGEFORMAT </w:instrText>
      </w:r>
      <w:r w:rsidR="00A101D2">
        <w:fldChar w:fldCharType="separate"/>
      </w:r>
      <w:r w:rsidRPr="006E43DC" w:rsidR="000E290D">
        <w:t xml:space="preserve">Ref. </w:t>
      </w:r>
      <w:r w:rsidR="000E290D">
        <w:rPr>
          <w:noProof/>
        </w:rPr>
        <w:t>2</w:t>
      </w:r>
      <w:r w:rsidR="00A101D2">
        <w:fldChar w:fldCharType="end"/>
      </w:r>
      <w:r w:rsidRPr="00CC10E2">
        <w:t>,</w:t>
      </w:r>
      <w:r w:rsidR="000C5404">
        <w:t xml:space="preserve"> </w:t>
      </w:r>
      <w:r w:rsidR="000C5404">
        <w:fldChar w:fldCharType="begin"/>
      </w:r>
      <w:r w:rsidR="000C5404">
        <w:instrText xml:space="preserve"> REF _Ref85024627 \h </w:instrText>
      </w:r>
      <w:r w:rsidR="004B2A15">
        <w:instrText xml:space="preserve"> \* MERGEFORMAT </w:instrText>
      </w:r>
      <w:r w:rsidR="000C5404">
        <w:fldChar w:fldCharType="separate"/>
      </w:r>
      <w:r w:rsidRPr="006E43DC" w:rsidR="000E290D">
        <w:t xml:space="preserve">Ref. </w:t>
      </w:r>
      <w:r w:rsidR="000E290D">
        <w:rPr>
          <w:noProof/>
        </w:rPr>
        <w:t>11</w:t>
      </w:r>
      <w:r w:rsidR="000C5404">
        <w:fldChar w:fldCharType="end"/>
      </w:r>
      <w:r w:rsidR="000C5404">
        <w:t>,</w:t>
      </w:r>
      <w:r w:rsidRPr="00CC10E2">
        <w:t xml:space="preserve"> </w:t>
      </w:r>
      <w:r w:rsidR="00A101D2">
        <w:fldChar w:fldCharType="begin"/>
      </w:r>
      <w:r w:rsidR="00A101D2">
        <w:instrText xml:space="preserve"> REF _Ref51099903 \h </w:instrText>
      </w:r>
      <w:r w:rsidR="004B2A15">
        <w:instrText xml:space="preserve"> \* MERGEFORMAT </w:instrText>
      </w:r>
      <w:r w:rsidR="00A101D2">
        <w:fldChar w:fldCharType="separate"/>
      </w:r>
      <w:r w:rsidRPr="006E43DC" w:rsidR="000E290D">
        <w:t xml:space="preserve">Ref. </w:t>
      </w:r>
      <w:r w:rsidR="000E290D">
        <w:rPr>
          <w:noProof/>
        </w:rPr>
        <w:t>48</w:t>
      </w:r>
      <w:r w:rsidR="00A101D2">
        <w:fldChar w:fldCharType="end"/>
      </w:r>
      <w:r w:rsidR="00A101D2">
        <w:t>,</w:t>
      </w:r>
      <w:r w:rsidRPr="00CC10E2">
        <w:t xml:space="preserve"> </w:t>
      </w:r>
      <w:r w:rsidR="005E02C3">
        <w:t>and</w:t>
      </w:r>
      <w:r w:rsidR="00C13D3F">
        <w:t xml:space="preserve"> </w:t>
      </w:r>
      <w:r w:rsidR="00C13D3F">
        <w:fldChar w:fldCharType="begin"/>
      </w:r>
      <w:r w:rsidR="00C13D3F">
        <w:instrText xml:space="preserve"> REF _Ref85030210 \h </w:instrText>
      </w:r>
      <w:r w:rsidR="004B2A15">
        <w:instrText xml:space="preserve"> \* MERGEFORMAT </w:instrText>
      </w:r>
      <w:r w:rsidR="00C13D3F">
        <w:fldChar w:fldCharType="separate"/>
      </w:r>
      <w:r w:rsidRPr="006E43DC" w:rsidR="000E290D">
        <w:t xml:space="preserve">Ref. </w:t>
      </w:r>
      <w:r w:rsidR="000E290D">
        <w:rPr>
          <w:noProof/>
        </w:rPr>
        <w:t>49</w:t>
      </w:r>
      <w:r w:rsidR="00C13D3F">
        <w:fldChar w:fldCharType="end"/>
      </w:r>
      <w:r w:rsidRPr="00CC10E2">
        <w:t>). Seed contamination can occur at various points in the supply chain, including the seed farm, seed conditioner, seed supplier, transportation, or the sprout operation. The sprout growing process provides opportunities for contamination that may be present in or on a few seeds to spread through the entire sprout production batch.</w:t>
      </w:r>
    </w:p>
    <w:p w:rsidR="00191DF8" w:rsidRPr="00CC10E2" w:rsidP="00E47C04" w14:paraId="3CDC0106" w14:textId="6C9DF12B">
      <w:pPr>
        <w:pStyle w:val="GuidanceParagraph"/>
      </w:pPr>
      <w:r w:rsidRPr="00CC10E2">
        <w:t>Only a small portion of seed produced in the United States is destined for sprouting, while seed is more frequently used as planting stock for forages for livestock or for field cultivation of human food (</w:t>
      </w:r>
      <w:r w:rsidR="005E02C3">
        <w:fldChar w:fldCharType="begin"/>
      </w:r>
      <w:r w:rsidR="005E02C3">
        <w:instrText xml:space="preserve"> REF _Ref51086174 \h </w:instrText>
      </w:r>
      <w:r w:rsidR="004B2A15">
        <w:instrText xml:space="preserve"> \* MERGEFORMAT </w:instrText>
      </w:r>
      <w:r w:rsidR="005E02C3">
        <w:fldChar w:fldCharType="separate"/>
      </w:r>
      <w:r w:rsidRPr="006E43DC" w:rsidR="000E290D">
        <w:t xml:space="preserve">Ref. </w:t>
      </w:r>
      <w:r w:rsidR="000E290D">
        <w:rPr>
          <w:noProof/>
        </w:rPr>
        <w:t>2</w:t>
      </w:r>
      <w:r w:rsidR="005E02C3">
        <w:fldChar w:fldCharType="end"/>
      </w:r>
      <w:r w:rsidRPr="00CC10E2">
        <w:t>). Although we encourage you to purchase seeds that were produced specifically for sprouting and grown under Good Agricultural Practices (GAPs) (i.e., FDA’s guidance titled “Reducing Microbial Food Safety Hazards in the Production of Seed for Sprouting</w:t>
      </w:r>
      <w:r w:rsidR="00D12D9B">
        <w:t>”</w:t>
      </w:r>
      <w:r w:rsidRPr="00CC10E2">
        <w:t>)</w:t>
      </w:r>
      <w:r w:rsidR="00C44940">
        <w:t xml:space="preserve"> </w:t>
      </w:r>
      <w:r w:rsidRPr="00CC10E2" w:rsidR="00C44940">
        <w:t>(</w:t>
      </w:r>
      <w:r w:rsidRPr="003116F9" w:rsidR="004D3CB3">
        <w:fldChar w:fldCharType="begin"/>
      </w:r>
      <w:r w:rsidRPr="003116F9" w:rsidR="004D3CB3">
        <w:instrText xml:space="preserve"> REF _Ref117782908 \h </w:instrText>
      </w:r>
      <w:r w:rsidR="003116F9">
        <w:instrText xml:space="preserve"> \* MERGEFORMAT </w:instrText>
      </w:r>
      <w:r w:rsidRPr="003116F9" w:rsidR="004D3CB3">
        <w:fldChar w:fldCharType="separate"/>
      </w:r>
      <w:r w:rsidRPr="00CE014D" w:rsidR="000E290D">
        <w:t xml:space="preserve">Ref. </w:t>
      </w:r>
      <w:r w:rsidR="000E290D">
        <w:rPr>
          <w:noProof/>
        </w:rPr>
        <w:t>17</w:t>
      </w:r>
      <w:r w:rsidRPr="003116F9" w:rsidR="004D3CB3">
        <w:fldChar w:fldCharType="end"/>
      </w:r>
      <w:r w:rsidRPr="003116F9" w:rsidR="004D3CB3">
        <w:t>)</w:t>
      </w:r>
      <w:r w:rsidRPr="00CC10E2">
        <w:t xml:space="preserve">, we are aware that this does not always occur. </w:t>
      </w:r>
      <w:r w:rsidRPr="00CC10E2">
        <w:rPr>
          <w:rStyle w:val="CommentReference"/>
          <w:rFonts w:eastAsiaTheme="minorHAnsi"/>
          <w:sz w:val="24"/>
          <w:szCs w:val="24"/>
        </w:rPr>
        <w:t xml:space="preserve">For this </w:t>
      </w:r>
      <w:r w:rsidRPr="00CC10E2" w:rsidR="008D75E5">
        <w:rPr>
          <w:rStyle w:val="CommentReference"/>
          <w:rFonts w:eastAsiaTheme="minorHAnsi"/>
          <w:sz w:val="24"/>
          <w:szCs w:val="24"/>
        </w:rPr>
        <w:t>reason,</w:t>
      </w:r>
      <w:r w:rsidRPr="00CC10E2">
        <w:t xml:space="preserve"> seeds that you use for sprouting may be grown, milled, and/or stored under conditions where contamination is likely to occur. Seed may become contaminated by potential sources of fecal contamination, such as contaminated water, inadequately treated or raw manure used as fertilizer, wild or </w:t>
      </w:r>
      <w:r w:rsidRPr="00CC10E2">
        <w:t>domesticated animals, unclean equipment, or inadequate worker hygiene. These conditions may contribute to the presence of human pathogens on seed for sprouting.</w:t>
      </w:r>
    </w:p>
    <w:p w:rsidR="00191DF8" w:rsidRPr="00CC10E2" w:rsidP="00E47C04" w14:paraId="6ADB7EF5" w14:textId="66AD2312">
      <w:pPr>
        <w:pStyle w:val="GuidanceParagraph"/>
      </w:pPr>
      <w:bookmarkStart w:id="43" w:name="_Hlk41918291"/>
      <w:r w:rsidRPr="00CC10E2">
        <w:t>The steps of sorting, cleaning, storing, packaging, and shipping of seeds by seed mills may spread contamination between seed lots</w:t>
      </w:r>
      <w:r w:rsidR="006A5F6C">
        <w:t xml:space="preserve"> or within a seed lot</w:t>
      </w:r>
      <w:r w:rsidRPr="00CC10E2">
        <w:t xml:space="preserve">, especially if GAPs are not followed. </w:t>
      </w:r>
      <w:bookmarkEnd w:id="43"/>
      <w:r w:rsidRPr="00CC10E2">
        <w:t>During these steps, seeds from multiple lots of different origins may be mixed together, providing opportunity for cross contamination between lots to occur, and complicating any corrective actions and/or traceback of the origin of the lots should they be involved in a contamination event or illness (</w:t>
      </w:r>
      <w:r w:rsidR="005E02C3">
        <w:fldChar w:fldCharType="begin"/>
      </w:r>
      <w:r w:rsidR="005E02C3">
        <w:instrText xml:space="preserve"> REF _Ref51086174 \h </w:instrText>
      </w:r>
      <w:r w:rsidR="004B2A15">
        <w:instrText xml:space="preserve"> \* MERGEFORMAT </w:instrText>
      </w:r>
      <w:r w:rsidR="005E02C3">
        <w:fldChar w:fldCharType="separate"/>
      </w:r>
      <w:r w:rsidRPr="006E43DC" w:rsidR="00FE22A2">
        <w:t xml:space="preserve">Ref. </w:t>
      </w:r>
      <w:r w:rsidR="00FE22A2">
        <w:rPr>
          <w:noProof/>
        </w:rPr>
        <w:t>2</w:t>
      </w:r>
      <w:r w:rsidR="005E02C3">
        <w:fldChar w:fldCharType="end"/>
      </w:r>
      <w:r w:rsidRPr="00CC10E2">
        <w:t>). Use of unclean equipment may introduce contamination to a seed lot or spread contamination to other seed lots if the same equipment is used with multiple lots and not cleaned in between uses with different seed lots. Damage to the seeds during these steps may also affect the overall safety of the seeds; such damage may occur inadvertently or deliberately (i.e., scarification).</w:t>
      </w:r>
      <w:r w:rsidR="00785398">
        <w:t xml:space="preserve"> </w:t>
      </w:r>
      <w:r w:rsidRPr="00CC10E2">
        <w:t>Cracks, crevices, and other types of damage to seeds may facilitate the internalization of pathogens into seeds and make it difficult to remove pathogens during subsequent treatment and handling (</w:t>
      </w:r>
      <w:r w:rsidR="005E02C3">
        <w:fldChar w:fldCharType="begin"/>
      </w:r>
      <w:r w:rsidR="005E02C3">
        <w:instrText xml:space="preserve"> REF _Ref51086174 \h </w:instrText>
      </w:r>
      <w:r w:rsidR="004B2A15">
        <w:instrText xml:space="preserve"> \* MERGEFORMAT </w:instrText>
      </w:r>
      <w:r w:rsidR="005E02C3">
        <w:fldChar w:fldCharType="separate"/>
      </w:r>
      <w:r w:rsidRPr="006E43DC" w:rsidR="00574301">
        <w:t xml:space="preserve">Ref. </w:t>
      </w:r>
      <w:r w:rsidR="00574301">
        <w:rPr>
          <w:noProof/>
        </w:rPr>
        <w:t>2</w:t>
      </w:r>
      <w:r w:rsidR="005E02C3">
        <w:fldChar w:fldCharType="end"/>
      </w:r>
      <w:r w:rsidRPr="00CC10E2">
        <w:t>).</w:t>
      </w:r>
    </w:p>
    <w:p w:rsidR="00191DF8" w:rsidRPr="009A0CC8" w:rsidP="00B54009" w14:paraId="032EA499" w14:textId="147E2790">
      <w:pPr>
        <w:pStyle w:val="HHS508GuidanceOutline2"/>
        <w:numPr>
          <w:ilvl w:val="0"/>
          <w:numId w:val="27"/>
        </w:numPr>
      </w:pPr>
      <w:bookmarkStart w:id="44" w:name="_Toc44439324"/>
      <w:bookmarkStart w:id="45" w:name="_Toc106094937"/>
      <w:r w:rsidRPr="009A0CC8">
        <w:t xml:space="preserve">Seed </w:t>
      </w:r>
      <w:r>
        <w:t xml:space="preserve">Sourcing, </w:t>
      </w:r>
      <w:r w:rsidRPr="009A0CC8">
        <w:t>Receiving, Handling and Storage</w:t>
      </w:r>
      <w:bookmarkEnd w:id="44"/>
      <w:bookmarkEnd w:id="45"/>
    </w:p>
    <w:p w:rsidR="00C23F2B" w:rsidRPr="00F83E70" w:rsidP="006B398F" w14:paraId="0BC2EA45" w14:textId="39B98547">
      <w:pPr>
        <w:pStyle w:val="HHS508GuidanceOutline30"/>
      </w:pPr>
      <w:bookmarkStart w:id="46" w:name="_Toc526937807"/>
      <w:bookmarkStart w:id="47" w:name="_Toc106094938"/>
      <w:r>
        <w:t>Seed Sourcing</w:t>
      </w:r>
      <w:bookmarkEnd w:id="46"/>
      <w:bookmarkEnd w:id="47"/>
    </w:p>
    <w:p w:rsidR="00191DF8" w:rsidRPr="00CC10E2" w:rsidP="00E47C04" w14:paraId="7995C3CE" w14:textId="1BC10BA3">
      <w:pPr>
        <w:pStyle w:val="GuidanceParagraph"/>
      </w:pPr>
      <w:r w:rsidRPr="00CC10E2">
        <w:t>You must take measures reasonably necessary to prevent the introduction of known or reasonably foreseeable hazards into or onto seeds that you will use for sprouting (§ 112.142(a)). We are aware that some sprout seed suppliers seek written assurances from the</w:t>
      </w:r>
      <w:r w:rsidR="00112F6A">
        <w:t>ir</w:t>
      </w:r>
      <w:r w:rsidRPr="00CC10E2">
        <w:t xml:space="preserve"> seed grower</w:t>
      </w:r>
      <w:r w:rsidR="00112F6A">
        <w:t>s</w:t>
      </w:r>
      <w:r w:rsidRPr="00CC10E2">
        <w:t xml:space="preserve"> and handler</w:t>
      </w:r>
      <w:r w:rsidR="00112F6A">
        <w:t>s</w:t>
      </w:r>
      <w:r w:rsidRPr="00CC10E2">
        <w:t xml:space="preserve"> that their seeds were produced under GAPs and handled according to food safety best practices throughout harvesting, conditioning, storage, and transportation</w:t>
      </w:r>
      <w:r w:rsidR="00203FB2">
        <w:t>.</w:t>
      </w:r>
      <w:r w:rsidRPr="00CC10E2">
        <w:t xml:space="preserve"> </w:t>
      </w:r>
      <w:r w:rsidR="00A66C88">
        <w:t>Sprout operations can request this information from the entity which sells their seeds. While not requirements of the Produce Safety Rule, we recommend these practices as prudent when sourcing the seeds used for sprouting</w:t>
      </w:r>
      <w:r w:rsidR="0039709F">
        <w:t xml:space="preserve">. </w:t>
      </w:r>
      <w:r w:rsidRPr="00CC10E2">
        <w:t xml:space="preserve">In addition, we are aware that production of seed for sprouting under GAPs is required by some foreign </w:t>
      </w:r>
      <w:r w:rsidRPr="00EB5775">
        <w:t>governments (</w:t>
      </w:r>
      <w:r w:rsidRPr="00AA1C0C" w:rsidR="00AA1C0C">
        <w:fldChar w:fldCharType="begin"/>
      </w:r>
      <w:r w:rsidRPr="00AA1C0C" w:rsidR="00AA1C0C">
        <w:instrText xml:space="preserve"> REF _Ref117783376 \h  \* MERGEFORMAT </w:instrText>
      </w:r>
      <w:r w:rsidRPr="00AA1C0C" w:rsidR="00AA1C0C">
        <w:fldChar w:fldCharType="separate"/>
      </w:r>
      <w:r w:rsidRPr="006E43DC" w:rsidR="000E290D">
        <w:t xml:space="preserve">Ref. </w:t>
      </w:r>
      <w:r w:rsidRPr="000E290D" w:rsidR="000E290D">
        <w:rPr>
          <w:noProof/>
        </w:rPr>
        <w:t>21</w:t>
      </w:r>
      <w:r w:rsidRPr="00AA1C0C" w:rsidR="00AA1C0C">
        <w:fldChar w:fldCharType="end"/>
      </w:r>
      <w:r w:rsidRPr="00637F75" w:rsidR="00637F75">
        <w:t>)</w:t>
      </w:r>
      <w:r w:rsidRPr="00EB5775">
        <w:t xml:space="preserve"> and</w:t>
      </w:r>
      <w:r w:rsidRPr="00CC10E2">
        <w:t xml:space="preserve"> is accepted as an international food safety best practice (</w:t>
      </w:r>
      <w:r w:rsidR="00484CAC">
        <w:fldChar w:fldCharType="begin"/>
      </w:r>
      <w:r w:rsidR="00484CAC">
        <w:instrText xml:space="preserve"> REF _Ref126308883 \h </w:instrText>
      </w:r>
      <w:r w:rsidR="00484CAC">
        <w:fldChar w:fldCharType="separate"/>
      </w:r>
      <w:r w:rsidRPr="00CE014D" w:rsidR="000E290D">
        <w:t xml:space="preserve">Ref. </w:t>
      </w:r>
      <w:r w:rsidR="000E290D">
        <w:rPr>
          <w:noProof/>
        </w:rPr>
        <w:t>19</w:t>
      </w:r>
      <w:r w:rsidR="00484CAC">
        <w:fldChar w:fldCharType="end"/>
      </w:r>
      <w:r w:rsidRPr="00CC10E2">
        <w:t>)</w:t>
      </w:r>
      <w:r w:rsidR="00112F6A">
        <w:t>.</w:t>
      </w:r>
      <w:r w:rsidRPr="00CC10E2">
        <w:t xml:space="preserve"> We have published guidance titled, “Reducing Microbial Food Safety Hazards in the Production of Seed for Sprouting” (</w:t>
      </w:r>
      <w:r w:rsidRPr="004E3F7B" w:rsidR="004E3F7B">
        <w:fldChar w:fldCharType="begin"/>
      </w:r>
      <w:r w:rsidRPr="004E3F7B" w:rsidR="004E3F7B">
        <w:instrText xml:space="preserve"> REF _Ref117782908 \h </w:instrText>
      </w:r>
      <w:r w:rsidR="004E3F7B">
        <w:instrText xml:space="preserve"> \* MERGEFORMAT </w:instrText>
      </w:r>
      <w:r w:rsidRPr="004E3F7B" w:rsidR="004E3F7B">
        <w:fldChar w:fldCharType="separate"/>
      </w:r>
      <w:r w:rsidRPr="00CE014D" w:rsidR="000E290D">
        <w:t xml:space="preserve">Ref. </w:t>
      </w:r>
      <w:r w:rsidR="000E290D">
        <w:rPr>
          <w:noProof/>
        </w:rPr>
        <w:t>17</w:t>
      </w:r>
      <w:r w:rsidRPr="004E3F7B" w:rsidR="004E3F7B">
        <w:fldChar w:fldCharType="end"/>
      </w:r>
      <w:r w:rsidRPr="00CC10E2">
        <w:t xml:space="preserve">) which </w:t>
      </w:r>
      <w:r w:rsidR="00112F6A">
        <w:t>recommends</w:t>
      </w:r>
      <w:r w:rsidRPr="00CC10E2" w:rsidR="00112F6A">
        <w:t xml:space="preserve"> </w:t>
      </w:r>
      <w:r w:rsidRPr="00CC10E2">
        <w:t>GAPs for seed growers and handlers to produce seed for sprouting in accordance with food safety practices. We recommend that you source seeds for sprouting that have been grown, packed, and held according to this guidance.</w:t>
      </w:r>
    </w:p>
    <w:p w:rsidR="00191DF8" w:rsidRPr="00CC10E2" w:rsidP="00E47C04" w14:paraId="0185AE1A" w14:textId="1CB1CB33">
      <w:pPr>
        <w:pStyle w:val="GuidanceParagraph"/>
      </w:pPr>
      <w:r w:rsidRPr="00CE2B1A">
        <w:t>Knowing your</w:t>
      </w:r>
      <w:r w:rsidRPr="00CC10E2">
        <w:t xml:space="preserve"> seed supplier(s) and establishing specifications for the seeds you receive (such as being grown under GAPs and handled under sanitary conditions during storage and distribution or transport) can help improve the safety of the seeds you receive. Specifications also provide standards against which you can assess the acceptability of the seeds you receive </w:t>
      </w:r>
      <w:r w:rsidRPr="00CC10E2">
        <w:t>for the production of</w:t>
      </w:r>
      <w:r w:rsidRPr="00CC10E2">
        <w:t xml:space="preserve"> finished sprouts.</w:t>
      </w:r>
    </w:p>
    <w:p w:rsidR="00191DF8" w:rsidRPr="00CC10E2" w:rsidP="00E47C04" w14:paraId="0074BD18" w14:textId="44BF99EA">
      <w:pPr>
        <w:pStyle w:val="GuidanceParagraph"/>
      </w:pPr>
      <w:r w:rsidRPr="00CC10E2">
        <w:t>We further recommend having a proactive discussion with your seed supplier to learn what</w:t>
      </w:r>
      <w:r w:rsidR="00C47B0D">
        <w:t xml:space="preserve"> its </w:t>
      </w:r>
      <w:r w:rsidRPr="00CC10E2">
        <w:t>practices are</w:t>
      </w:r>
      <w:r w:rsidRPr="00CC10E2">
        <w:t xml:space="preserve"> </w:t>
      </w:r>
      <w:r w:rsidRPr="00CC10E2">
        <w:t>in the event that</w:t>
      </w:r>
      <w:r w:rsidRPr="00CC10E2">
        <w:t xml:space="preserve"> a portion of a master lot of seed tests positive for a pathogen prior to distribution (e.g., does the supplier divert the entire “master lot” to a use other than seeds for sprouting?).</w:t>
      </w:r>
      <w:r w:rsidR="00BA74CB">
        <w:t xml:space="preserve"> </w:t>
      </w:r>
      <w:r w:rsidRPr="00CC10E2">
        <w:t xml:space="preserve">You should also ask whether seed from different sources is generally </w:t>
      </w:r>
      <w:r w:rsidR="00813D65">
        <w:t>commingled</w:t>
      </w:r>
      <w:r w:rsidRPr="00CC10E2">
        <w:t xml:space="preserve"> before a master lot is broken down into sub-lots, to determine the relevance of any future positive test results on multiple sub-lots. We also recommend having a discussion with your seed </w:t>
      </w:r>
      <w:r w:rsidRPr="00CC10E2">
        <w:t xml:space="preserve">supplier about how you should notify them of any positive test results you receive (e.g., of spent sprout irrigation water as required under § 112.142(b)(2)), including what information they would need and under what circumstances </w:t>
      </w:r>
      <w:r w:rsidR="00112F6A">
        <w:t>they would</w:t>
      </w:r>
      <w:r w:rsidRPr="00CC10E2">
        <w:t xml:space="preserve"> accept a return of a seed lot that had tested positive for a pathogen (e.g., results of confirmatory testing). It is prudent to obtain this information up front, rather than waiting to obtain it after receiving a positive test result. We also recommend you ask the seed supplier what actions they take when notified of contamination (e.g., by regulators</w:t>
      </w:r>
      <w:r w:rsidR="00112F6A">
        <w:t xml:space="preserve"> or</w:t>
      </w:r>
      <w:r w:rsidRPr="00CC10E2">
        <w:t xml:space="preserve"> other sprout</w:t>
      </w:r>
      <w:r w:rsidR="00DC0CCE">
        <w:t xml:space="preserve"> operations</w:t>
      </w:r>
      <w:r w:rsidRPr="00CC10E2">
        <w:t xml:space="preserve">) associated with a seed lot that has already entered commerce. </w:t>
      </w:r>
    </w:p>
    <w:p w:rsidR="00C23F2B" w:rsidP="006B398F" w14:paraId="08B811A3" w14:textId="7A960B8D">
      <w:pPr>
        <w:pStyle w:val="HHS508GuidanceOutline30"/>
      </w:pPr>
      <w:bookmarkStart w:id="48" w:name="_Toc44439326"/>
      <w:bookmarkStart w:id="49" w:name="_Toc106094939"/>
      <w:r w:rsidRPr="00EA15C8">
        <w:t xml:space="preserve">Seed </w:t>
      </w:r>
      <w:r w:rsidR="0018316B">
        <w:t>r</w:t>
      </w:r>
      <w:r w:rsidRPr="00EA15C8">
        <w:t>eceiving</w:t>
      </w:r>
      <w:bookmarkEnd w:id="48"/>
      <w:bookmarkEnd w:id="49"/>
    </w:p>
    <w:p w:rsidR="009F589D" w:rsidP="00E47C04" w14:paraId="213AEA27" w14:textId="4819B971">
      <w:pPr>
        <w:pStyle w:val="GuidanceParagraph"/>
      </w:pPr>
      <w:r>
        <w:t xml:space="preserve">We recommend you develop a seed receiving program setting out the standard operating procedures (SOPs) you follow to receive and inspect seed upon receipt and the criteria you use in determining whether to accept a shipment. </w:t>
      </w:r>
      <w:r w:rsidRPr="009F589D">
        <w:t>The seed receiving SOP should describe the objectives, description of procedures for receiving seeds</w:t>
      </w:r>
      <w:r w:rsidR="00D64D6E">
        <w:t>,</w:t>
      </w:r>
      <w:r w:rsidRPr="009F589D">
        <w:t xml:space="preserve"> including parameters that should be monitored or verified (e.g., in the form of a checklist), documentation that should be received, who is responsible for each task, materials or supplies needed (e.g., black light), and actions to be taken </w:t>
      </w:r>
      <w:r w:rsidRPr="009F589D">
        <w:t>in the event that</w:t>
      </w:r>
      <w:r w:rsidRPr="009F589D">
        <w:t xml:space="preserve"> non-conformities are identified. An example of a seed </w:t>
      </w:r>
      <w:r w:rsidRPr="009F589D">
        <w:t>receiving</w:t>
      </w:r>
      <w:r w:rsidRPr="009F589D">
        <w:t xml:space="preserve"> and inspection checklist can be found in the next section (</w:t>
      </w:r>
      <w:r w:rsidRPr="00B117DE">
        <w:t xml:space="preserve">Section V. A. 3 </w:t>
      </w:r>
      <w:r w:rsidR="00931098">
        <w:t>(</w:t>
      </w:r>
      <w:r w:rsidRPr="00B117DE">
        <w:t>Visual Inspection of Seeds and Their Packaging</w:t>
      </w:r>
      <w:r w:rsidR="00931098">
        <w:t>)</w:t>
      </w:r>
      <w:r w:rsidRPr="009F589D">
        <w:t xml:space="preserve">). Your seed receiving program should include specific procedures for how you will handle any issues identified while inspecting a shipment of seed. </w:t>
      </w:r>
      <w:r w:rsidRPr="00EA15C8" w:rsidR="00191DF8">
        <w:t xml:space="preserve"> </w:t>
      </w:r>
    </w:p>
    <w:p w:rsidR="00191DF8" w:rsidRPr="00CC10E2" w:rsidP="00E47C04" w14:paraId="27683B19" w14:textId="56170993">
      <w:pPr>
        <w:pStyle w:val="GuidanceParagraph"/>
      </w:pPr>
      <w:r>
        <w:t>O</w:t>
      </w:r>
      <w:r w:rsidR="009F589D">
        <w:t>nce</w:t>
      </w:r>
      <w:r w:rsidRPr="00CC10E2" w:rsidR="009F589D">
        <w:t xml:space="preserve"> </w:t>
      </w:r>
      <w:r w:rsidRPr="00CC10E2">
        <w:t>seeds arrive at your operation, you should verify that the transport vehicle is clean and sanitary. You should also check the seed tag, package labeling and other documentation to ensure that the seeds are what you ordered (e.g., they match the information on the purchase order), that they are from a known supplier, that they meet any specifications you may have established with your seed supplier, and that any information or documentation that you plan to keep for your own records (such as documentation of the seed lot number, or of prior treatment of seed) has been provided. If requested information or documentation pertinent to the seed lot is missing, you may consider following up with your seed supplier to obtain that information. If a shipment does not meet your requirements, you should evaluate the deviation(s) and, based on your criteria for accepting seeds, determine whether the safety of the seed may be compromised and whether the lot should be rejected. You should be able to account for lots rejected due to evidence of contamination or for other reasons (e.g., in the event of a future recall).</w:t>
      </w:r>
    </w:p>
    <w:p w:rsidR="00191DF8" w:rsidRPr="00CC10E2" w:rsidP="00E47C04" w14:paraId="20E23707" w14:textId="2AD9D0EF">
      <w:pPr>
        <w:pStyle w:val="GuidanceParagraph"/>
      </w:pPr>
      <w:r w:rsidRPr="00CC10E2">
        <w:t>You should not use seed that is labeled “Not for Human Consumption” for growing sprouts for human consumption, as these seeds may have been grown, handled, or treated in such a way that makes them inappropriate for human food. As you are sourcing seed, we recommend asking your seed supplier if the lot of seed you are purchasing has tested positive for a pathogen or if the seed lot came from a larger master lot, and if so, whether any test done on any other part of that master lot was positive for a pathogen. We recommend against using seed from sub-lots of a master lot that has tested positive for a pathogen unless you have information that the source of the contamination to the</w:t>
      </w:r>
      <w:r w:rsidR="00686A75">
        <w:t xml:space="preserve"> </w:t>
      </w:r>
      <w:r w:rsidR="0046064F">
        <w:t>part of the</w:t>
      </w:r>
      <w:r w:rsidR="00686A75">
        <w:t xml:space="preserve"> </w:t>
      </w:r>
      <w:r w:rsidRPr="00CC10E2">
        <w:t xml:space="preserve">lot that tested positive is not applicable to your sub-lot (see </w:t>
      </w:r>
      <w:r w:rsidRPr="00F529A9">
        <w:t xml:space="preserve">also </w:t>
      </w:r>
      <w:r w:rsidRPr="00B117DE" w:rsidR="00A83A0C">
        <w:t>Section V. A.</w:t>
      </w:r>
      <w:r w:rsidR="00A83A0C">
        <w:t xml:space="preserve"> </w:t>
      </w:r>
      <w:r w:rsidR="00931098">
        <w:t>4</w:t>
      </w:r>
      <w:r w:rsidRPr="00F529A9">
        <w:t xml:space="preserve"> </w:t>
      </w:r>
      <w:r w:rsidR="00ED411B">
        <w:t>(</w:t>
      </w:r>
      <w:r w:rsidRPr="00F529A9">
        <w:t>Seed Testing</w:t>
      </w:r>
      <w:r w:rsidR="00ED411B">
        <w:t>)</w:t>
      </w:r>
      <w:r w:rsidRPr="00F529A9">
        <w:t>, below</w:t>
      </w:r>
      <w:r w:rsidRPr="00CC10E2">
        <w:t>, for a discussion of § 112.142(c)). This is because of the likelihood that other portions of the master</w:t>
      </w:r>
      <w:r w:rsidR="009A2089">
        <w:t xml:space="preserve"> </w:t>
      </w:r>
      <w:r w:rsidRPr="00CC10E2">
        <w:t xml:space="preserve">lot </w:t>
      </w:r>
      <w:r w:rsidR="00686A75">
        <w:t>could also be</w:t>
      </w:r>
      <w:r w:rsidRPr="00CC10E2">
        <w:t xml:space="preserve"> contaminated, and the limitations of seed testing methods to detect sporadic contamination. </w:t>
      </w:r>
    </w:p>
    <w:p w:rsidR="00191DF8" w:rsidRPr="00CC10E2" w:rsidP="006B398F" w14:paraId="5909265D" w14:textId="3E2580AF">
      <w:pPr>
        <w:pStyle w:val="HHS508GuidanceOutline30"/>
      </w:pPr>
      <w:bookmarkStart w:id="50" w:name="_Toc44439327"/>
      <w:bookmarkStart w:id="51" w:name="_Toc106094940"/>
      <w:r w:rsidRPr="00CC10E2">
        <w:t>Visual inspection of seeds and their packaging</w:t>
      </w:r>
      <w:bookmarkEnd w:id="50"/>
      <w:bookmarkEnd w:id="51"/>
    </w:p>
    <w:p w:rsidR="00191DF8" w:rsidRPr="00CC10E2" w:rsidP="00E47C04" w14:paraId="4F11A2B7" w14:textId="7546D7CB">
      <w:pPr>
        <w:pStyle w:val="GuidanceParagraph"/>
      </w:pPr>
      <w:r>
        <w:t xml:space="preserve">You must visually examine seeds, and packaging used to ship seeds, for signs of potential contamination with known or reasonably foreseeable hazards (§ 112.142(d)). Each bag should be examined for physical damage that could result in contamination with such hazards (e.g., holes from rodents) and other signs of contamination (e.g., stains, insects, </w:t>
      </w:r>
      <w:r w:rsidR="0094257D">
        <w:t>presence of insect, bird</w:t>
      </w:r>
      <w:r w:rsidR="0046064F">
        <w:t xml:space="preserve">, or </w:t>
      </w:r>
      <w:r>
        <w:t>rodent feces</w:t>
      </w:r>
      <w:r w:rsidR="0046064F">
        <w:t>,</w:t>
      </w:r>
      <w:r>
        <w:t xml:space="preserve"> </w:t>
      </w:r>
      <w:r w:rsidR="0046064F">
        <w:t>presence of rodent</w:t>
      </w:r>
      <w:r>
        <w:t xml:space="preserve"> urine, or foreign material) upon arrival. This can be as simple as using a black light </w:t>
      </w:r>
      <w:r w:rsidR="00523D27">
        <w:t>in a dark room</w:t>
      </w:r>
      <w:r>
        <w:t xml:space="preserve"> to examine seed packaging for signs of rodent urine, and visually examining the seeds and packaging for rodent feces, rodent gnawed holes, or excessive dirt, debris, and damage. In addition to looking for signs of rodent damage, you should also look for damaged seeds. Damage to seeds can provide </w:t>
      </w:r>
      <w:r w:rsidR="00AF0776">
        <w:t>small, hard to reach places</w:t>
      </w:r>
      <w:r>
        <w:t xml:space="preserve"> for pathogens to lodge in and make any treatment to reduce pathogens less effective. We also recommend that if you store the seeds for any length of time after they arrive at your operation</w:t>
      </w:r>
      <w:r w:rsidR="5145D60C">
        <w:t xml:space="preserve">, </w:t>
      </w:r>
      <w:r>
        <w:t>you should re-inspect the bags of seeds for signs of contamination before using them for sprout production.</w:t>
      </w:r>
    </w:p>
    <w:p w:rsidR="00191DF8" w:rsidRPr="00CC10E2" w:rsidP="00E47C04" w14:paraId="68AAF151" w14:textId="3FB4B7C4">
      <w:pPr>
        <w:pStyle w:val="GuidanceParagraph"/>
      </w:pPr>
      <w:bookmarkStart w:id="52" w:name="_Hlk41919110"/>
      <w:r>
        <w:t>P</w:t>
      </w:r>
      <w:r w:rsidRPr="00CC10E2">
        <w:t xml:space="preserve">rocedures for receiving and inspecting seed (e.g., that could be included in a seed receiving and inspection checklist) should include the following information included in Table 2. </w:t>
      </w:r>
    </w:p>
    <w:p w:rsidR="00191DF8" w:rsidP="002A2F14" w14:paraId="5AB1DACE" w14:textId="55BA2817">
      <w:pPr>
        <w:pStyle w:val="StyleCaptionArial11pt6ptafter"/>
        <w:spacing w:after="240"/>
      </w:pPr>
      <w:r w:rsidRPr="007B3DEB">
        <w:t xml:space="preserve">Table 2. </w:t>
      </w:r>
      <w:r w:rsidR="00201E84">
        <w:t>Suggested</w:t>
      </w:r>
      <w:r w:rsidRPr="007B3DEB" w:rsidR="00201E84">
        <w:t xml:space="preserve"> </w:t>
      </w:r>
      <w:r w:rsidR="002C3B4E">
        <w:t>P</w:t>
      </w:r>
      <w:r w:rsidRPr="007B3DEB">
        <w:t xml:space="preserve">rocedures for </w:t>
      </w:r>
      <w:r w:rsidR="00B5246F">
        <w:t>R</w:t>
      </w:r>
      <w:r w:rsidRPr="007B3DEB">
        <w:t xml:space="preserve">eceiving and </w:t>
      </w:r>
      <w:r w:rsidR="00B5246F">
        <w:t>I</w:t>
      </w:r>
      <w:r w:rsidRPr="007B3DEB">
        <w:t xml:space="preserve">nspecting </w:t>
      </w:r>
      <w:r w:rsidR="00B5246F">
        <w:t>S</w:t>
      </w:r>
      <w:r w:rsidRPr="007B3DEB">
        <w:t>eed</w:t>
      </w:r>
    </w:p>
    <w:tbl>
      <w:tblPr>
        <w:tblStyle w:val="TableGrid"/>
        <w:tblW w:w="0" w:type="auto"/>
        <w:tblInd w:w="100" w:type="dxa"/>
        <w:tblLook w:val="04A0"/>
      </w:tblPr>
      <w:tblGrid>
        <w:gridCol w:w="9250"/>
      </w:tblGrid>
      <w:tr w14:paraId="21284966" w14:textId="77777777" w:rsidTr="008573BE">
        <w:tblPrEx>
          <w:tblW w:w="0" w:type="auto"/>
          <w:tblInd w:w="100" w:type="dxa"/>
          <w:tblLook w:val="04A0"/>
        </w:tblPrEx>
        <w:tc>
          <w:tcPr>
            <w:tcW w:w="9250" w:type="dxa"/>
          </w:tcPr>
          <w:p w:rsidR="00191DF8" w:rsidRPr="00DF1583" w:rsidP="002A2F14" w14:paraId="7423EC2C"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Check the transportation vehicle for conditions that could lead to contamination;</w:t>
            </w:r>
          </w:p>
        </w:tc>
      </w:tr>
      <w:tr w14:paraId="5CDD662D" w14:textId="77777777" w:rsidTr="008573BE">
        <w:tblPrEx>
          <w:tblW w:w="0" w:type="auto"/>
          <w:tblInd w:w="100" w:type="dxa"/>
          <w:tblLook w:val="04A0"/>
        </w:tblPrEx>
        <w:tc>
          <w:tcPr>
            <w:tcW w:w="9250" w:type="dxa"/>
          </w:tcPr>
          <w:p w:rsidR="00191DF8" w:rsidRPr="00DF1583" w:rsidP="002A2F14" w14:paraId="219499CF"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Verify supplier name and address on packages to see if they match those on the purchase order;</w:t>
            </w:r>
          </w:p>
        </w:tc>
      </w:tr>
      <w:tr w14:paraId="52F384F4" w14:textId="77777777" w:rsidTr="008573BE">
        <w:tblPrEx>
          <w:tblW w:w="0" w:type="auto"/>
          <w:tblInd w:w="100" w:type="dxa"/>
          <w:tblLook w:val="04A0"/>
        </w:tblPrEx>
        <w:tc>
          <w:tcPr>
            <w:tcW w:w="9250" w:type="dxa"/>
          </w:tcPr>
          <w:p w:rsidR="00191DF8" w:rsidRPr="00DF1583" w:rsidP="002A2F14" w14:paraId="34A5AD3B"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Check date of shipping and volume of products shipped;</w:t>
            </w:r>
          </w:p>
        </w:tc>
      </w:tr>
      <w:tr w14:paraId="36D46D99" w14:textId="77777777" w:rsidTr="008573BE">
        <w:tblPrEx>
          <w:tblW w:w="0" w:type="auto"/>
          <w:tblInd w:w="100" w:type="dxa"/>
          <w:tblLook w:val="04A0"/>
        </w:tblPrEx>
        <w:tc>
          <w:tcPr>
            <w:tcW w:w="9250" w:type="dxa"/>
          </w:tcPr>
          <w:p w:rsidR="00191DF8" w:rsidRPr="00DF1583" w:rsidP="002A2F14" w14:paraId="63405A48" w14:textId="6FD0EE5C">
            <w:pPr>
              <w:spacing w:after="240"/>
              <w:rPr>
                <w:rFonts w:ascii="Times New Roman" w:hAnsi="Times New Roman" w:cs="Times New Roman"/>
                <w:sz w:val="24"/>
                <w:szCs w:val="24"/>
              </w:rPr>
            </w:pPr>
            <w:r w:rsidRPr="00DF1583">
              <w:rPr>
                <w:rFonts w:ascii="Times New Roman" w:hAnsi="Times New Roman" w:cs="Times New Roman"/>
                <w:sz w:val="24"/>
                <w:szCs w:val="24"/>
              </w:rPr>
              <w:t>Verify conformance to your seed specifications (e.g., seed type, origin, grown in accordance with GAPs for seeds (i.e., FDA’s guidance titled “Reducing Microbial Food Safety Hazards in the Production of Seed for Sprouting</w:t>
            </w:r>
            <w:r w:rsidRPr="00292EBC" w:rsidR="00BC440F">
              <w:rPr>
                <w:rFonts w:ascii="Times New Roman" w:hAnsi="Times New Roman" w:cs="Times New Roman"/>
                <w:sz w:val="24"/>
                <w:szCs w:val="24"/>
              </w:rPr>
              <w:t>”</w:t>
            </w:r>
            <w:r w:rsidRPr="00292EBC">
              <w:rPr>
                <w:rFonts w:ascii="Times New Roman" w:hAnsi="Times New Roman" w:cs="Times New Roman"/>
                <w:sz w:val="24"/>
                <w:szCs w:val="24"/>
              </w:rPr>
              <w:t>)</w:t>
            </w:r>
            <w:r w:rsidRPr="00292EBC" w:rsidR="00856674">
              <w:rPr>
                <w:rFonts w:ascii="Times New Roman" w:hAnsi="Times New Roman" w:cs="Times New Roman"/>
                <w:sz w:val="24"/>
                <w:szCs w:val="24"/>
              </w:rPr>
              <w:t xml:space="preserve"> </w:t>
            </w:r>
            <w:r w:rsidRPr="00292EBC" w:rsidR="00292EBC">
              <w:rPr>
                <w:rFonts w:ascii="Times New Roman" w:hAnsi="Times New Roman" w:cs="Times New Roman"/>
                <w:sz w:val="24"/>
                <w:szCs w:val="24"/>
              </w:rPr>
              <w:t>(</w:t>
            </w:r>
            <w:r w:rsidRPr="00B4481E" w:rsidR="00B4481E">
              <w:rPr>
                <w:rFonts w:ascii="Times New Roman" w:hAnsi="Times New Roman" w:cs="Times New Roman"/>
                <w:sz w:val="24"/>
                <w:szCs w:val="24"/>
              </w:rPr>
              <w:fldChar w:fldCharType="begin"/>
            </w:r>
            <w:r w:rsidRPr="00B4481E" w:rsidR="00B4481E">
              <w:rPr>
                <w:rFonts w:ascii="Times New Roman" w:hAnsi="Times New Roman" w:cs="Times New Roman"/>
                <w:sz w:val="24"/>
                <w:szCs w:val="24"/>
              </w:rPr>
              <w:instrText xml:space="preserve"> REF _Ref117782908 \h  \* MERGEFORMAT </w:instrText>
            </w:r>
            <w:r w:rsidRPr="00B4481E" w:rsidR="00B4481E">
              <w:rPr>
                <w:rFonts w:ascii="Times New Roman" w:hAnsi="Times New Roman" w:cs="Times New Roman"/>
                <w:sz w:val="24"/>
                <w:szCs w:val="24"/>
              </w:rPr>
              <w:fldChar w:fldCharType="separate"/>
            </w:r>
            <w:r w:rsidRPr="00B4481E" w:rsidR="00B4481E">
              <w:rPr>
                <w:rFonts w:ascii="Times New Roman" w:hAnsi="Times New Roman" w:cs="Times New Roman"/>
                <w:sz w:val="24"/>
                <w:szCs w:val="24"/>
              </w:rPr>
              <w:t xml:space="preserve">Ref. </w:t>
            </w:r>
            <w:r w:rsidRPr="00B4481E" w:rsidR="00B4481E">
              <w:rPr>
                <w:rFonts w:ascii="Times New Roman" w:hAnsi="Times New Roman" w:cs="Times New Roman"/>
                <w:noProof/>
                <w:sz w:val="24"/>
                <w:szCs w:val="24"/>
              </w:rPr>
              <w:t>17</w:t>
            </w:r>
            <w:r w:rsidRPr="00B4481E" w:rsidR="00B4481E">
              <w:rPr>
                <w:rFonts w:ascii="Times New Roman" w:hAnsi="Times New Roman" w:cs="Times New Roman"/>
                <w:sz w:val="24"/>
                <w:szCs w:val="24"/>
              </w:rPr>
              <w:fldChar w:fldCharType="end"/>
            </w:r>
            <w:r w:rsidRPr="00292EBC" w:rsidR="00292EBC">
              <w:rPr>
                <w:rFonts w:ascii="Times New Roman" w:hAnsi="Times New Roman" w:cs="Times New Roman"/>
                <w:sz w:val="24"/>
                <w:szCs w:val="24"/>
              </w:rPr>
              <w:t>)</w:t>
            </w:r>
            <w:r w:rsidRPr="00292EBC">
              <w:rPr>
                <w:rFonts w:ascii="Times New Roman" w:hAnsi="Times New Roman" w:cs="Times New Roman"/>
                <w:sz w:val="24"/>
                <w:szCs w:val="24"/>
              </w:rPr>
              <w:t>, prior</w:t>
            </w:r>
            <w:r w:rsidRPr="00DF1583">
              <w:rPr>
                <w:rFonts w:ascii="Times New Roman" w:hAnsi="Times New Roman" w:cs="Times New Roman"/>
                <w:sz w:val="24"/>
                <w:szCs w:val="24"/>
              </w:rPr>
              <w:t xml:space="preserve"> seed treatment);</w:t>
            </w:r>
          </w:p>
        </w:tc>
      </w:tr>
      <w:tr w14:paraId="7AEEA0A5" w14:textId="77777777" w:rsidTr="008573BE">
        <w:tblPrEx>
          <w:tblW w:w="0" w:type="auto"/>
          <w:tblInd w:w="100" w:type="dxa"/>
          <w:tblLook w:val="04A0"/>
        </w:tblPrEx>
        <w:tc>
          <w:tcPr>
            <w:tcW w:w="9250" w:type="dxa"/>
          </w:tcPr>
          <w:p w:rsidR="00191DF8" w:rsidRPr="00DF1583" w:rsidP="002A2F14" w14:paraId="0E7D6093"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Check lot information was provided (e.g., lot size, lot number, master lot number (if applicable), name of establishments from which seed originated as well as establishments that handled seed, harvest date);</w:t>
            </w:r>
          </w:p>
        </w:tc>
      </w:tr>
      <w:tr w14:paraId="21911E31" w14:textId="77777777" w:rsidTr="008573BE">
        <w:tblPrEx>
          <w:tblW w:w="0" w:type="auto"/>
          <w:tblInd w:w="100" w:type="dxa"/>
          <w:tblLook w:val="04A0"/>
        </w:tblPrEx>
        <w:tc>
          <w:tcPr>
            <w:tcW w:w="9250" w:type="dxa"/>
          </w:tcPr>
          <w:p w:rsidR="00191DF8" w:rsidRPr="00DF1583" w:rsidP="002A2F14" w14:paraId="2F95D174" w14:textId="297FE2D2">
            <w:pPr>
              <w:spacing w:after="240"/>
              <w:rPr>
                <w:rFonts w:ascii="Times New Roman" w:hAnsi="Times New Roman" w:cs="Times New Roman"/>
                <w:sz w:val="24"/>
                <w:szCs w:val="24"/>
              </w:rPr>
            </w:pPr>
            <w:r w:rsidRPr="00DF1583">
              <w:rPr>
                <w:rFonts w:ascii="Times New Roman" w:hAnsi="Times New Roman" w:cs="Times New Roman"/>
                <w:sz w:val="24"/>
                <w:szCs w:val="24"/>
              </w:rPr>
              <w:t>Check condition of bags of seed (e.g., water damage, off odor, presence of insect, bird, or rodent feces, presence of rodent urine using a blacklight, mechanical damage, mold), ensuring that packaging does not allow for contamination and is intact;</w:t>
            </w:r>
          </w:p>
        </w:tc>
      </w:tr>
      <w:tr w14:paraId="4EB878B1" w14:textId="77777777" w:rsidTr="008573BE">
        <w:tblPrEx>
          <w:tblW w:w="0" w:type="auto"/>
          <w:tblInd w:w="100" w:type="dxa"/>
          <w:tblLook w:val="04A0"/>
        </w:tblPrEx>
        <w:tc>
          <w:tcPr>
            <w:tcW w:w="9250" w:type="dxa"/>
          </w:tcPr>
          <w:p w:rsidR="00191DF8" w:rsidRPr="00DF1583" w:rsidP="002A2F14" w14:paraId="5740097A"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 xml:space="preserve">Check seed testing record, </w:t>
            </w:r>
            <w:bookmarkStart w:id="53" w:name="_Hlk36720166"/>
            <w:r w:rsidRPr="00DF1583">
              <w:rPr>
                <w:rFonts w:ascii="Times New Roman" w:hAnsi="Times New Roman" w:cs="Times New Roman"/>
                <w:sz w:val="24"/>
                <w:szCs w:val="24"/>
              </w:rPr>
              <w:t xml:space="preserve">or letter of guarantee or certificate of conformance for such </w:t>
            </w:r>
            <w:bookmarkEnd w:id="53"/>
            <w:r w:rsidRPr="00DF1583">
              <w:rPr>
                <w:rFonts w:ascii="Times New Roman" w:hAnsi="Times New Roman" w:cs="Times New Roman"/>
                <w:sz w:val="24"/>
                <w:szCs w:val="24"/>
              </w:rPr>
              <w:t xml:space="preserve">testing, if available, including lot number tested, name of laboratory, test results, and details of tests performed (e.g., test method used, information to support scientific validity of test method, date tested); </w:t>
            </w:r>
          </w:p>
        </w:tc>
      </w:tr>
      <w:tr w14:paraId="59BA9B7B" w14:textId="77777777" w:rsidTr="008573BE">
        <w:tblPrEx>
          <w:tblW w:w="0" w:type="auto"/>
          <w:tblInd w:w="100" w:type="dxa"/>
          <w:tblLook w:val="04A0"/>
        </w:tblPrEx>
        <w:tc>
          <w:tcPr>
            <w:tcW w:w="9250" w:type="dxa"/>
          </w:tcPr>
          <w:p w:rsidR="00191DF8" w:rsidRPr="00DF1583" w:rsidP="002A2F14" w14:paraId="15FB034F" w14:textId="77777777">
            <w:pPr>
              <w:spacing w:after="240"/>
              <w:rPr>
                <w:rFonts w:ascii="Times New Roman" w:hAnsi="Times New Roman" w:cs="Times New Roman"/>
                <w:sz w:val="24"/>
                <w:szCs w:val="24"/>
              </w:rPr>
            </w:pPr>
            <w:r w:rsidRPr="00DF1583">
              <w:rPr>
                <w:rFonts w:ascii="Times New Roman" w:hAnsi="Times New Roman" w:cs="Times New Roman"/>
                <w:sz w:val="24"/>
                <w:szCs w:val="24"/>
              </w:rPr>
              <w:t xml:space="preserve">Check seed treatment record, or letter of guarantee or certificate of conformance for such treatment, if available; and  </w:t>
            </w:r>
          </w:p>
        </w:tc>
      </w:tr>
      <w:tr w14:paraId="7706E283" w14:textId="77777777" w:rsidTr="008573BE">
        <w:tblPrEx>
          <w:tblW w:w="0" w:type="auto"/>
          <w:tblInd w:w="100" w:type="dxa"/>
          <w:tblLook w:val="04A0"/>
        </w:tblPrEx>
        <w:tc>
          <w:tcPr>
            <w:tcW w:w="9250" w:type="dxa"/>
          </w:tcPr>
          <w:p w:rsidR="00191DF8" w:rsidRPr="00DF1583" w:rsidP="002A2F14" w14:paraId="66EB96D9" w14:textId="2665D458">
            <w:pPr>
              <w:spacing w:after="240"/>
              <w:rPr>
                <w:rFonts w:ascii="Times New Roman" w:hAnsi="Times New Roman" w:cs="Times New Roman"/>
                <w:sz w:val="24"/>
                <w:szCs w:val="24"/>
              </w:rPr>
            </w:pPr>
            <w:r>
              <w:rPr>
                <w:rFonts w:ascii="Times New Roman" w:hAnsi="Times New Roman" w:cs="Times New Roman"/>
                <w:sz w:val="24"/>
                <w:szCs w:val="24"/>
              </w:rPr>
              <w:t>Account</w:t>
            </w:r>
            <w:r w:rsidRPr="00DF1583">
              <w:rPr>
                <w:rFonts w:ascii="Times New Roman" w:hAnsi="Times New Roman" w:cs="Times New Roman"/>
                <w:sz w:val="24"/>
                <w:szCs w:val="24"/>
              </w:rPr>
              <w:t xml:space="preserve"> for lots rejected due to evidence of contamination or for other reasons.</w:t>
            </w:r>
          </w:p>
        </w:tc>
      </w:tr>
    </w:tbl>
    <w:p w:rsidR="00375561" w:rsidP="00E47C04" w14:paraId="39F01A45" w14:textId="77777777">
      <w:pPr>
        <w:pStyle w:val="GuidanceParagraph"/>
      </w:pPr>
      <w:bookmarkStart w:id="54" w:name="_Hlk41919206"/>
      <w:bookmarkStart w:id="55" w:name="_Hlk41919244"/>
      <w:bookmarkEnd w:id="52"/>
    </w:p>
    <w:p w:rsidR="00191DF8" w:rsidRPr="00CC10E2" w:rsidP="00E47C04" w14:paraId="20394A0E" w14:textId="7EE0D7C5">
      <w:pPr>
        <w:pStyle w:val="GuidanceParagraph"/>
      </w:pPr>
      <w:r w:rsidRPr="00CC10E2">
        <w:t>If you observe obvious signs of seed contamination upon receipt</w:t>
      </w:r>
      <w:r w:rsidR="00770A53">
        <w:t xml:space="preserve"> and</w:t>
      </w:r>
      <w:r w:rsidRPr="00770A53" w:rsidR="00770A53">
        <w:t xml:space="preserve"> you conclude the contamination occurred prior to the seed arriving at your sprout operation</w:t>
      </w:r>
      <w:r w:rsidR="00770A53">
        <w:t>,</w:t>
      </w:r>
      <w:r w:rsidRPr="00770A53" w:rsidR="00770A53">
        <w:t xml:space="preserve"> </w:t>
      </w:r>
      <w:r w:rsidRPr="00CC10E2">
        <w:t>you should report the information to the seed grower, distributor, supplier, or other entity from whom you received the seed, and return the shipment to the supplier.</w:t>
      </w:r>
      <w:bookmarkEnd w:id="54"/>
      <w:bookmarkEnd w:id="55"/>
      <w:r w:rsidRPr="00CC10E2">
        <w:t xml:space="preserve"> </w:t>
      </w:r>
      <w:r w:rsidR="004723AE">
        <w:t>Y</w:t>
      </w:r>
      <w:r w:rsidR="0084166C">
        <w:t xml:space="preserve">ou </w:t>
      </w:r>
      <w:r w:rsidR="00FD6198">
        <w:t>should</w:t>
      </w:r>
      <w:r w:rsidR="0076241D">
        <w:t xml:space="preserve"> also</w:t>
      </w:r>
      <w:r w:rsidR="004723AE">
        <w:t xml:space="preserve"> </w:t>
      </w:r>
      <w:r w:rsidRPr="00CC10E2">
        <w:t xml:space="preserve">discontinue use of the affected part of the seed lot, </w:t>
      </w:r>
      <w:r w:rsidR="000975A1">
        <w:t xml:space="preserve">and we recommend that you </w:t>
      </w:r>
      <w:r w:rsidRPr="00CC10E2">
        <w:t xml:space="preserve">conduct intensified cleaning and sanitizing of any surfaces that may have become contaminated by the seed lot (see </w:t>
      </w:r>
      <w:r w:rsidRPr="00FC6726" w:rsidR="007520E6">
        <w:t>Section</w:t>
      </w:r>
      <w:r w:rsidRPr="00FC6726">
        <w:t xml:space="preserve"> </w:t>
      </w:r>
      <w:r w:rsidRPr="00FC6726" w:rsidR="00C57ED3">
        <w:t>I</w:t>
      </w:r>
      <w:r w:rsidRPr="00FC6726" w:rsidR="007520E6">
        <w:t>II</w:t>
      </w:r>
      <w:r w:rsidRPr="00FC6726">
        <w:t xml:space="preserve"> (Cleaning and Sanitizing</w:t>
      </w:r>
      <w:r w:rsidRPr="00CC10E2">
        <w:t>)</w:t>
      </w:r>
      <w:r w:rsidRPr="00CC10E2" w:rsidR="001042D4">
        <w:t>) and</w:t>
      </w:r>
      <w:r w:rsidRPr="00CC10E2">
        <w:t xml:space="preserve"> take any other actions necessary to prevent reoccurrence of contamination. If</w:t>
      </w:r>
      <w:r w:rsidRPr="00CC10E2">
        <w:t xml:space="preserve"> </w:t>
      </w:r>
      <w:r w:rsidR="00B2331A">
        <w:t xml:space="preserve">you know or have reason to believe that a lot of </w:t>
      </w:r>
      <w:r w:rsidRPr="00CC10E2">
        <w:t xml:space="preserve">incoming seeds </w:t>
      </w:r>
      <w:r w:rsidR="00B2331A">
        <w:t xml:space="preserve">may be contaminated with a pathogen, either because of </w:t>
      </w:r>
      <w:r w:rsidRPr="00CC10E2">
        <w:t xml:space="preserve">a microbial test result </w:t>
      </w:r>
      <w:r w:rsidR="00B2331A">
        <w:t>or because it has been associated with foodborne illness</w:t>
      </w:r>
      <w:r w:rsidR="007E7091">
        <w:t>,</w:t>
      </w:r>
      <w:r w:rsidRPr="00CC10E2">
        <w:t xml:space="preserve"> there are steps that you must take (§ 112.142(b) and (c)), and </w:t>
      </w:r>
      <w:r w:rsidR="005D0B34">
        <w:t xml:space="preserve">you must </w:t>
      </w:r>
      <w:r w:rsidRPr="00CC10E2">
        <w:t>document those actions as required under §112.150(b)(6).</w:t>
      </w:r>
      <w:r w:rsidR="00553396">
        <w:t xml:space="preserve"> </w:t>
      </w:r>
      <w:r w:rsidRPr="00CC10E2">
        <w:t>These steps are discussed in the</w:t>
      </w:r>
      <w:r w:rsidRPr="00CC10E2">
        <w:t xml:space="preserve"> </w:t>
      </w:r>
      <w:r w:rsidRPr="00CC10E2" w:rsidR="00F932AA">
        <w:t xml:space="preserve">section </w:t>
      </w:r>
      <w:r w:rsidRPr="00CC10E2">
        <w:t xml:space="preserve">of this guidance document, </w:t>
      </w:r>
      <w:r w:rsidR="00D41210">
        <w:t xml:space="preserve">Section </w:t>
      </w:r>
      <w:r w:rsidR="00DB385D">
        <w:t>V.</w:t>
      </w:r>
      <w:r w:rsidR="00D41210">
        <w:t xml:space="preserve"> </w:t>
      </w:r>
      <w:r w:rsidR="00966C25">
        <w:t xml:space="preserve">C </w:t>
      </w:r>
      <w:r w:rsidR="00D11BDE">
        <w:t>(</w:t>
      </w:r>
      <w:r w:rsidRPr="00966C25" w:rsidR="00966C25">
        <w:t>Corrective Actions for Seeds That May Be Contaminated with a Pathogen</w:t>
      </w:r>
      <w:r w:rsidR="00D11BDE">
        <w:t>)</w:t>
      </w:r>
      <w:r w:rsidRPr="00CC10E2">
        <w:t>.</w:t>
      </w:r>
    </w:p>
    <w:p w:rsidR="00191DF8" w:rsidRPr="00CC10E2" w:rsidP="006B398F" w14:paraId="710894BD" w14:textId="5BD15A81">
      <w:pPr>
        <w:pStyle w:val="HHS508GuidanceOutline30"/>
      </w:pPr>
      <w:bookmarkStart w:id="56" w:name="_Toc44439328"/>
      <w:bookmarkStart w:id="57" w:name="_Toc106094941"/>
      <w:r w:rsidRPr="00CC10E2">
        <w:t>Seed testing</w:t>
      </w:r>
      <w:bookmarkEnd w:id="56"/>
      <w:bookmarkEnd w:id="57"/>
    </w:p>
    <w:p w:rsidR="00191DF8" w:rsidRPr="00CC10E2" w:rsidP="00E47C04" w14:paraId="1C34AFD8" w14:textId="6E6CA3E8">
      <w:pPr>
        <w:pStyle w:val="GuidanceParagraph"/>
      </w:pPr>
      <w:r w:rsidRPr="00CC10E2">
        <w:t>The Produce Safety Rule does not require microbial testing of seeds for sprouting by you or your supplier. However, if you or your supplier choose to conduct seed testing, we recommend that you use a sampling plan that results in a sample that is representative of the entire lot of seed, collect the sample aseptically, and test the sample using a scientifically valid method.</w:t>
      </w:r>
      <w:r w:rsidR="0062173A">
        <w:t xml:space="preserve"> </w:t>
      </w:r>
      <w:r w:rsidRPr="00CC10E2">
        <w:t>Because microbial contamination in seeds, when present, is often at low levels and not uniformly distributed throughout a seed lot, such contamination is often difficult to detect (</w:t>
      </w:r>
      <w:r w:rsidR="009827CF">
        <w:fldChar w:fldCharType="begin"/>
      </w:r>
      <w:r w:rsidR="009827CF">
        <w:instrText xml:space="preserve"> REF _Ref51086174 \h </w:instrText>
      </w:r>
      <w:r w:rsidR="004B2A15">
        <w:instrText xml:space="preserve"> \* MERGEFORMAT </w:instrText>
      </w:r>
      <w:r w:rsidR="009827CF">
        <w:fldChar w:fldCharType="separate"/>
      </w:r>
      <w:r w:rsidRPr="006E43DC" w:rsidR="00574301">
        <w:t xml:space="preserve">Ref. </w:t>
      </w:r>
      <w:r w:rsidR="00574301">
        <w:rPr>
          <w:noProof/>
        </w:rPr>
        <w:t>2</w:t>
      </w:r>
      <w:r w:rsidR="009827CF">
        <w:fldChar w:fldCharType="end"/>
      </w:r>
      <w:r w:rsidRPr="00CC10E2">
        <w:t xml:space="preserve">). If you or your seed supplier test a lot of seeds for pathogens, you should be aware that the absence of a positive test result for pathogens does not mean that the lot of seeds is necessarily pathogen-free. </w:t>
      </w:r>
    </w:p>
    <w:p w:rsidR="00191DF8" w:rsidRPr="00CC10E2" w:rsidP="00E47C04" w14:paraId="4A893CD7" w14:textId="467C02AE">
      <w:pPr>
        <w:pStyle w:val="GuidanceParagraph"/>
      </w:pPr>
      <w:r w:rsidRPr="00CC10E2">
        <w:t xml:space="preserve">A positive test result for a pathogen indicates that </w:t>
      </w:r>
      <w:r w:rsidRPr="00CC10E2">
        <w:t>the</w:t>
      </w:r>
      <w:r w:rsidRPr="00CC10E2">
        <w:t xml:space="preserve"> lot of seeds is contaminated. In such a case, you must take certain actions under § 112.142(b), including discontinuing use of that seed lot for sprout production, except as provided for in certain limited circumstances in § 112.142(c), and reporting the information to the seed grower, distributor, supplier, or other entity from whom you received the seeds. One such circumstance is if you treat </w:t>
      </w:r>
      <w:r w:rsidRPr="00CC10E2">
        <w:t>the</w:t>
      </w:r>
      <w:r w:rsidRPr="00CC10E2">
        <w:t xml:space="preserve"> lot of seeds with a process that is reasonably certain to achieve destruction or elimination of the most resistant microorganisms of public health significance that are likely to occur in the seeds (§ 112.142(c)(1)). We understand that some in the food industry may refer to such a treatment as a “pasteurization step.” However, we note that processes that meet the description in § 112.142(c)(1) are not currently commonly used in the sprouting industry, in part, because such processes would be likely to impact the germination ability of the seed. Such processes are far more robust than seed treatments described in § 112.142(e), which typically only reduce the numbers of microorganisms of public </w:t>
      </w:r>
      <w:r w:rsidRPr="00112183">
        <w:t>health significance, rather than eliminate them. For more information, see the seed treatment</w:t>
      </w:r>
      <w:r w:rsidRPr="00112183">
        <w:t xml:space="preserve"> </w:t>
      </w:r>
      <w:r w:rsidRPr="00112183" w:rsidR="004A010F">
        <w:t xml:space="preserve">section </w:t>
      </w:r>
      <w:r w:rsidRPr="00112183">
        <w:t>(</w:t>
      </w:r>
      <w:r w:rsidRPr="00112183" w:rsidR="004A010F">
        <w:t xml:space="preserve">Section </w:t>
      </w:r>
      <w:r w:rsidRPr="00112183">
        <w:t>V.B</w:t>
      </w:r>
      <w:r w:rsidR="00931098">
        <w:t xml:space="preserve"> (Seed Treatment)</w:t>
      </w:r>
      <w:r w:rsidRPr="00112183">
        <w:t>) of this</w:t>
      </w:r>
      <w:r w:rsidRPr="00CC10E2">
        <w:t xml:space="preserve"> document below. If you choose to conduct such a treatment </w:t>
      </w:r>
      <w:r w:rsidR="00777FC9">
        <w:t>(i.e., “pasteurization step”)</w:t>
      </w:r>
      <w:r w:rsidRPr="00CC10E2">
        <w:t xml:space="preserve"> on your seed lot so that you may use those seeds for sprouting, we note that you must still comply with the requirement in § 112.142(b)(2) to report the positive test result to your seed grower, distributor, or supplier.</w:t>
      </w:r>
    </w:p>
    <w:p w:rsidR="00191DF8" w:rsidRPr="00CC10E2" w:rsidP="00E47C04" w14:paraId="4519EA7C" w14:textId="44DE3162">
      <w:pPr>
        <w:pStyle w:val="GuidanceParagraph"/>
      </w:pPr>
      <w:r w:rsidRPr="00CC10E2">
        <w:t xml:space="preserve">You are not required to take the steps set forth in § 112.142(b)(1) and (2) if you later reasonably determine, through appropriate follow-up actions, that </w:t>
      </w:r>
      <w:r w:rsidRPr="00CC10E2">
        <w:t>the</w:t>
      </w:r>
      <w:r w:rsidRPr="00CC10E2">
        <w:t xml:space="preserve"> lot of seeds is not the source of contamination (§ 112.142(c)(2)). However, we consider that there are very few circumstances in which it would be appropriate to apply the exception at § 112.142(c)(2) in the event there has been a positive pathogen test result in an incoming lot of seed.</w:t>
      </w:r>
    </w:p>
    <w:p w:rsidR="00191DF8" w:rsidRPr="00CC10E2" w:rsidP="00E47C04" w14:paraId="184ACEAD" w14:textId="721C4673">
      <w:pPr>
        <w:pStyle w:val="GuidanceParagraph"/>
      </w:pPr>
      <w:r w:rsidRPr="00CC10E2">
        <w:t xml:space="preserve">It is also important to note that if a positive pathogen test result is obtained from a seed lot, re-testing a new sample from the same seed lot and obtaining a negative pathogen test result does not negate the previous positive test result. In such a case, the required follow-up actions must still be taken. </w:t>
      </w:r>
    </w:p>
    <w:p w:rsidR="00191DF8" w:rsidRPr="00CC10E2" w:rsidP="006B398F" w14:paraId="33261AA7" w14:textId="06732D5F">
      <w:pPr>
        <w:pStyle w:val="HHS508GuidanceOutline30"/>
      </w:pPr>
      <w:bookmarkStart w:id="58" w:name="_Toc44439329"/>
      <w:bookmarkStart w:id="59" w:name="_Toc106094942"/>
      <w:r w:rsidRPr="00CC10E2">
        <w:t>Seed storage</w:t>
      </w:r>
      <w:bookmarkEnd w:id="58"/>
      <w:bookmarkEnd w:id="59"/>
    </w:p>
    <w:p w:rsidR="00392CF4" w:rsidRPr="00392CF4" w:rsidP="00E47C04" w14:paraId="65C6048F" w14:textId="30760C21">
      <w:pPr>
        <w:pStyle w:val="GuidanceParagraph"/>
      </w:pPr>
      <w:r w:rsidRPr="00392CF4">
        <w:t xml:space="preserve">Seeds can become contaminated during storage. Storing seed for sprouting is considered part of the process of growing sprouts, and therefore the building in which your seed is stored is subject to the applicable requirements for buildings in Subpart L (§ 112.122(a)). Further, seed for sprouting must be stored in a </w:t>
      </w:r>
      <w:r w:rsidRPr="00392CF4">
        <w:t>fully-enclosed</w:t>
      </w:r>
      <w:r w:rsidRPr="00392CF4">
        <w:t xml:space="preserve"> building (§112.143(a)), which should be of sound construction and in good repair. You must take measures reasonably necessary to prevent the introduction of known or reasonably foreseeable hazards into or onto seeds that you will use for sprouting (§ 112.142(a)). Many pests are attracted to seeds, and these pests can serve as a source of, or vector for, spreading contamination, especially when seeds are in storage. In order to prevent the introduction of known or reasonably foreseeable hazards into or onto seeds that will be used for sprouting, you should store seeds in a protected manner. Your seed storage area should be clean, dry, and dedicated to seed storage. You must take </w:t>
      </w:r>
      <w:r w:rsidRPr="00112183">
        <w:t xml:space="preserve">measures to exclude pests from the building (§§ 112.143(a), 112.126, and 112.128(b), and see </w:t>
      </w:r>
      <w:r w:rsidRPr="00112183" w:rsidR="008137A4">
        <w:t>Section</w:t>
      </w:r>
      <w:r w:rsidRPr="00112183">
        <w:t xml:space="preserve"> I</w:t>
      </w:r>
      <w:r w:rsidRPr="00112183" w:rsidR="008137A4">
        <w:t>V</w:t>
      </w:r>
      <w:r w:rsidR="008667CB">
        <w:t xml:space="preserve"> </w:t>
      </w:r>
      <w:r w:rsidRPr="00112183" w:rsidR="008667CB">
        <w:t>(</w:t>
      </w:r>
      <w:r w:rsidR="008667CB">
        <w:t>Equipment, Tools, and Buildings</w:t>
      </w:r>
      <w:r w:rsidRPr="009C4709" w:rsidR="008667CB">
        <w:t>)</w:t>
      </w:r>
      <w:r w:rsidRPr="009C4709">
        <w:t xml:space="preserve"> </w:t>
      </w:r>
      <w:r w:rsidRPr="009C4709" w:rsidR="00693647">
        <w:t xml:space="preserve">in </w:t>
      </w:r>
      <w:r w:rsidRPr="009C4709" w:rsidR="00A03CF4">
        <w:t xml:space="preserve">the draft </w:t>
      </w:r>
      <w:r w:rsidRPr="009C4709" w:rsidR="00693647">
        <w:t xml:space="preserve">re-issued sections </w:t>
      </w:r>
      <w:r w:rsidRPr="009C4709" w:rsidR="00A23E1D">
        <w:t>(</w:t>
      </w:r>
      <w:r w:rsidRPr="009C4709" w:rsidR="000701FB">
        <w:fldChar w:fldCharType="begin"/>
      </w:r>
      <w:r w:rsidRPr="009C4709" w:rsidR="000701FB">
        <w:instrText xml:space="preserve"> REF _Ref126308691 \h </w:instrText>
      </w:r>
      <w:r w:rsidRPr="009C4709" w:rsidR="003274FE">
        <w:instrText xml:space="preserve"> \* MERGEFORMAT </w:instrText>
      </w:r>
      <w:r w:rsidRPr="009C4709" w:rsidR="000701FB">
        <w:fldChar w:fldCharType="separate"/>
      </w:r>
      <w:r w:rsidRPr="009C4709" w:rsidR="000701FB">
        <w:t xml:space="preserve">Ref. </w:t>
      </w:r>
      <w:r w:rsidRPr="009C4709" w:rsidR="000701FB">
        <w:rPr>
          <w:noProof/>
        </w:rPr>
        <w:t>18</w:t>
      </w:r>
      <w:r w:rsidRPr="009C4709" w:rsidR="000701FB">
        <w:fldChar w:fldCharType="end"/>
      </w:r>
      <w:r w:rsidRPr="009C4709" w:rsidR="000701FB">
        <w:t>)</w:t>
      </w:r>
      <w:r w:rsidRPr="009C4709">
        <w:t xml:space="preserve">) and you must routinely monitor for pests, as necessary and appropriate (§ 112.128, and see </w:t>
      </w:r>
      <w:r w:rsidRPr="009C4709" w:rsidR="008137A4">
        <w:t>Section IV</w:t>
      </w:r>
      <w:r w:rsidRPr="009C4709">
        <w:t xml:space="preserve"> (</w:t>
      </w:r>
      <w:r w:rsidRPr="009C4709" w:rsidR="00693647">
        <w:t>Equipment, Tools, and Buildings</w:t>
      </w:r>
      <w:r w:rsidRPr="009C4709">
        <w:t xml:space="preserve">) in </w:t>
      </w:r>
      <w:r w:rsidRPr="009C4709" w:rsidR="00AA2657">
        <w:t xml:space="preserve">the draft </w:t>
      </w:r>
      <w:r w:rsidRPr="009C4709">
        <w:t xml:space="preserve">re-issued </w:t>
      </w:r>
      <w:r w:rsidRPr="009C4709" w:rsidR="008F2847">
        <w:t>sections</w:t>
      </w:r>
      <w:r w:rsidRPr="009C4709" w:rsidR="008D1EB7">
        <w:t xml:space="preserve"> (</w:t>
      </w:r>
      <w:r w:rsidRPr="009C4709" w:rsidR="000701FB">
        <w:fldChar w:fldCharType="begin"/>
      </w:r>
      <w:r w:rsidRPr="009C4709" w:rsidR="000701FB">
        <w:instrText xml:space="preserve"> REF _Ref126308691 \h </w:instrText>
      </w:r>
      <w:r w:rsidRPr="009C4709" w:rsidR="003274FE">
        <w:instrText xml:space="preserve"> \* MERGEFORMAT </w:instrText>
      </w:r>
      <w:r w:rsidRPr="009C4709" w:rsidR="000701FB">
        <w:fldChar w:fldCharType="separate"/>
      </w:r>
      <w:r w:rsidRPr="009C4709" w:rsidR="000701FB">
        <w:t xml:space="preserve">Ref. </w:t>
      </w:r>
      <w:r w:rsidRPr="009C4709" w:rsidR="000701FB">
        <w:rPr>
          <w:noProof/>
        </w:rPr>
        <w:t>18</w:t>
      </w:r>
      <w:r w:rsidRPr="009C4709" w:rsidR="000701FB">
        <w:fldChar w:fldCharType="end"/>
      </w:r>
      <w:r w:rsidRPr="009C4709" w:rsidR="008D1EB7">
        <w:t>)</w:t>
      </w:r>
      <w:r w:rsidRPr="009C4709">
        <w:t xml:space="preserve">). You should store seeds off the floor and away from walls to facilitate pest control inspection. You should regularly inspect seed packaging and containers (see </w:t>
      </w:r>
      <w:r w:rsidRPr="009C4709" w:rsidR="008137A4">
        <w:t>Section</w:t>
      </w:r>
      <w:r w:rsidRPr="009C4709">
        <w:t xml:space="preserve"> I</w:t>
      </w:r>
      <w:r w:rsidRPr="009C4709" w:rsidR="00E47954">
        <w:t>V</w:t>
      </w:r>
      <w:r w:rsidRPr="009C4709">
        <w:t xml:space="preserve"> (</w:t>
      </w:r>
      <w:r w:rsidRPr="009C4709" w:rsidR="00693647">
        <w:t>Equipment, Tools, and Buildings</w:t>
      </w:r>
      <w:r w:rsidRPr="009C4709">
        <w:t xml:space="preserve">) in </w:t>
      </w:r>
      <w:r w:rsidRPr="009C4709" w:rsidR="00D86349">
        <w:t xml:space="preserve">the draft </w:t>
      </w:r>
      <w:r w:rsidRPr="009C4709">
        <w:t xml:space="preserve">re-issued </w:t>
      </w:r>
      <w:r w:rsidRPr="009C4709" w:rsidR="008F2847">
        <w:t xml:space="preserve">sections </w:t>
      </w:r>
      <w:r w:rsidRPr="009C4709" w:rsidR="006E7DD1">
        <w:t>(</w:t>
      </w:r>
      <w:r w:rsidRPr="009C4709" w:rsidR="003274FE">
        <w:fldChar w:fldCharType="begin"/>
      </w:r>
      <w:r w:rsidRPr="009C4709" w:rsidR="003274FE">
        <w:instrText xml:space="preserve"> REF _Ref126308691 \h  \* MERGEFORMAT </w:instrText>
      </w:r>
      <w:r w:rsidRPr="009C4709" w:rsidR="003274FE">
        <w:fldChar w:fldCharType="separate"/>
      </w:r>
      <w:r w:rsidRPr="009C4709" w:rsidR="003274FE">
        <w:t xml:space="preserve">Ref. </w:t>
      </w:r>
      <w:r w:rsidRPr="009C4709" w:rsidR="003274FE">
        <w:rPr>
          <w:noProof/>
        </w:rPr>
        <w:t>18</w:t>
      </w:r>
      <w:r w:rsidRPr="009C4709" w:rsidR="003274FE">
        <w:fldChar w:fldCharType="end"/>
      </w:r>
      <w:r w:rsidRPr="009C4709" w:rsidR="006E7DD1">
        <w:t>)</w:t>
      </w:r>
      <w:r w:rsidRPr="009C4709">
        <w:t>).</w:t>
      </w:r>
    </w:p>
    <w:p w:rsidR="00392CF4" w:rsidRPr="00392CF4" w:rsidP="00E47C04" w14:paraId="78A9C29B" w14:textId="2C29762F">
      <w:pPr>
        <w:pStyle w:val="GuidanceParagraph"/>
      </w:pPr>
      <w:r>
        <w:t>Once the original seed packaging is opened, the remaining seed must be stored in closed containers with tight-fitting lids or otherwise protected from contamination</w:t>
      </w:r>
      <w:r w:rsidR="00433BAC">
        <w:t xml:space="preserve"> (§ 112.142(a))</w:t>
      </w:r>
      <w:r>
        <w:t>. If you use containers other than the original packaging to hold seeds, their</w:t>
      </w:r>
      <w:r w:rsidR="00807DF6">
        <w:t xml:space="preserve"> food contact surfaces</w:t>
      </w:r>
      <w:r>
        <w:t xml:space="preserve"> </w:t>
      </w:r>
      <w:r w:rsidR="00807DF6">
        <w:t>(</w:t>
      </w:r>
      <w:r>
        <w:t>FCSs</w:t>
      </w:r>
      <w:r w:rsidR="00807DF6">
        <w:t>)</w:t>
      </w:r>
      <w:r>
        <w:t xml:space="preserve"> must be cleaned and sanitized prior to use (</w:t>
      </w:r>
      <w:r w:rsidR="00874573">
        <w:t>s</w:t>
      </w:r>
      <w:r>
        <w:t>ee § 112.143(b)). Containers should also be labeled to maintain the identity of the seed lot they contain. If the seeds have received prior antimicrobial treatment by a grower, supplier or distributor, this should be indicated on the label.</w:t>
      </w:r>
    </w:p>
    <w:p w:rsidR="00392CF4" w:rsidRPr="00392CF4" w:rsidP="00E47C04" w14:paraId="239B9A4A" w14:textId="4DA7AB3C">
      <w:pPr>
        <w:pStyle w:val="GuidanceParagraph"/>
      </w:pPr>
      <w:r w:rsidRPr="00392CF4">
        <w:t>If you intend to rely solely on a seed treatment conducted by an entity earlier in the supply chain (e.g., you will not re-treat the seeds yourself</w:t>
      </w:r>
      <w:r w:rsidR="005A1870">
        <w:t>)</w:t>
      </w:r>
      <w:r w:rsidRPr="00392CF4">
        <w:t>, you must store seeds that have received that prior treatment by the seed grower, distributor, or supplier under conditions that will prevent them from becoming contaminated (</w:t>
      </w:r>
      <w:r w:rsidR="005A1870">
        <w:t>s</w:t>
      </w:r>
      <w:r w:rsidRPr="00392CF4">
        <w:t>ee § 112.142(e)(2)(ii)</w:t>
      </w:r>
      <w:r w:rsidR="006803BE">
        <w:t>)</w:t>
      </w:r>
      <w:r w:rsidRPr="00392CF4">
        <w:t xml:space="preserve">. We recommend that seeds that received prior treatment be stored separately from untreated seeds, in airtight containers/packages that are as small as practicable to minimize the number of times any </w:t>
      </w:r>
      <w:r w:rsidRPr="00392CF4">
        <w:t>particular container/package</w:t>
      </w:r>
      <w:r w:rsidRPr="00392CF4">
        <w:t xml:space="preserve"> is opened and closed to remove seed from that container (because each such event presents the </w:t>
      </w:r>
      <w:r w:rsidRPr="00392CF4">
        <w:t xml:space="preserve">possibility of contamination). If you reuse containers/packaging, you must clean and sanitize the FCSs on these containers before contact with seeds used to grow sprouts (§ 112.143(b)). </w:t>
      </w:r>
    </w:p>
    <w:p w:rsidR="00191DF8" w:rsidRPr="009A0CC8" w:rsidP="00F756C4" w14:paraId="51D11E89" w14:textId="1ABDFA6A">
      <w:pPr>
        <w:pStyle w:val="HHS508GuidanceOutline2"/>
      </w:pPr>
      <w:bookmarkStart w:id="60" w:name="_Toc44439330"/>
      <w:bookmarkStart w:id="61" w:name="_Toc106094943"/>
      <w:r w:rsidRPr="009A0CC8">
        <w:t>Seed Treatment</w:t>
      </w:r>
      <w:bookmarkEnd w:id="60"/>
      <w:bookmarkEnd w:id="61"/>
    </w:p>
    <w:p w:rsidR="00191DF8" w:rsidRPr="00CC10E2" w:rsidP="00E47C04" w14:paraId="6F31841F" w14:textId="6094F29C">
      <w:pPr>
        <w:pStyle w:val="GuidanceParagraph"/>
      </w:pPr>
      <w:r w:rsidRPr="00CC10E2">
        <w:t>Research indicates that seed contamination, when it occurs, may be at low levels, intermittent, and unequally distributed within seed lots (</w:t>
      </w:r>
      <w:r w:rsidR="003A08A0">
        <w:fldChar w:fldCharType="begin"/>
      </w:r>
      <w:r w:rsidR="003A08A0">
        <w:instrText xml:space="preserve"> REF _Ref51086174 \h </w:instrText>
      </w:r>
      <w:r w:rsidR="004B2A15">
        <w:instrText xml:space="preserve"> \* MERGEFORMAT </w:instrText>
      </w:r>
      <w:r w:rsidR="003A08A0">
        <w:fldChar w:fldCharType="separate"/>
      </w:r>
      <w:r w:rsidRPr="006E43DC" w:rsidR="00574301">
        <w:t xml:space="preserve">Ref. </w:t>
      </w:r>
      <w:r w:rsidR="00574301">
        <w:rPr>
          <w:noProof/>
        </w:rPr>
        <w:t>2</w:t>
      </w:r>
      <w:r w:rsidR="003A08A0">
        <w:fldChar w:fldCharType="end"/>
      </w:r>
      <w:r w:rsidRPr="00CC10E2">
        <w:t xml:space="preserve">). However, even low levels of pathogens on seed for sprouting are a </w:t>
      </w:r>
      <w:r w:rsidRPr="00CC10E2">
        <w:t>concern, because</w:t>
      </w:r>
      <w:r w:rsidRPr="00CC10E2">
        <w:t xml:space="preserve"> the conditions present during sprouting are ideal to support the growth of pathogens. There is some evidence that sprout operations associated with outbreaks often did not apply seed treatments correctly, consistently, or at all in the production of sprouts associated with the outbreak (</w:t>
      </w:r>
      <w:r w:rsidR="003A08A0">
        <w:fldChar w:fldCharType="begin"/>
      </w:r>
      <w:r w:rsidR="003A08A0">
        <w:instrText xml:space="preserve"> REF _Ref51086174 \h </w:instrText>
      </w:r>
      <w:r w:rsidR="004B2A15">
        <w:instrText xml:space="preserve"> \* MERGEFORMAT </w:instrText>
      </w:r>
      <w:r w:rsidR="003A08A0">
        <w:fldChar w:fldCharType="separate"/>
      </w:r>
      <w:r w:rsidRPr="006E43DC" w:rsidR="00FB6D94">
        <w:t xml:space="preserve">Ref. </w:t>
      </w:r>
      <w:r w:rsidR="00FB6D94">
        <w:rPr>
          <w:noProof/>
        </w:rPr>
        <w:t>2</w:t>
      </w:r>
      <w:r w:rsidR="003A08A0">
        <w:fldChar w:fldCharType="end"/>
      </w:r>
      <w:r w:rsidRPr="00CC10E2">
        <w:t>). While treating seeds used for sprouting does not guarantee pathogen-free sprouts, seed treatment has been shown to reduce the percentage of contaminated batches of sprouts (</w:t>
      </w:r>
      <w:r w:rsidR="005D3D4D">
        <w:fldChar w:fldCharType="begin"/>
      </w:r>
      <w:r w:rsidR="005D3D4D">
        <w:instrText xml:space="preserve"> REF _Ref117784521 \h </w:instrText>
      </w:r>
      <w:r w:rsidR="005D3D4D">
        <w:fldChar w:fldCharType="separate"/>
      </w:r>
      <w:r w:rsidRPr="006E43DC" w:rsidR="00FB6D94">
        <w:t xml:space="preserve">Ref. </w:t>
      </w:r>
      <w:r w:rsidR="00FB6D94">
        <w:rPr>
          <w:noProof/>
        </w:rPr>
        <w:t>50</w:t>
      </w:r>
      <w:r w:rsidR="005D3D4D">
        <w:fldChar w:fldCharType="end"/>
      </w:r>
      <w:r w:rsidR="00D60060">
        <w:t xml:space="preserve">, </w:t>
      </w:r>
      <w:r w:rsidR="005D3D4D">
        <w:fldChar w:fldCharType="begin"/>
      </w:r>
      <w:r w:rsidR="005D3D4D">
        <w:instrText xml:space="preserve"> REF _Ref51144585 \h </w:instrText>
      </w:r>
      <w:r w:rsidR="005D3D4D">
        <w:fldChar w:fldCharType="separate"/>
      </w:r>
      <w:r w:rsidRPr="006E43DC" w:rsidR="00FB6D94">
        <w:t xml:space="preserve">Ref. </w:t>
      </w:r>
      <w:r w:rsidR="00FB6D94">
        <w:rPr>
          <w:noProof/>
        </w:rPr>
        <w:t>51</w:t>
      </w:r>
      <w:r w:rsidR="005D3D4D">
        <w:fldChar w:fldCharType="end"/>
      </w:r>
      <w:r w:rsidR="00D60060">
        <w:t xml:space="preserve">, </w:t>
      </w:r>
      <w:r w:rsidR="005D3D4D">
        <w:fldChar w:fldCharType="begin"/>
      </w:r>
      <w:r w:rsidR="005D3D4D">
        <w:instrText xml:space="preserve"> REF _Ref51144615 \h </w:instrText>
      </w:r>
      <w:r w:rsidR="005D3D4D">
        <w:fldChar w:fldCharType="separate"/>
      </w:r>
      <w:r w:rsidRPr="006E43DC" w:rsidR="00FB6D94">
        <w:t xml:space="preserve">Ref. </w:t>
      </w:r>
      <w:r w:rsidR="00FB6D94">
        <w:rPr>
          <w:noProof/>
        </w:rPr>
        <w:t>52</w:t>
      </w:r>
      <w:r w:rsidR="005D3D4D">
        <w:fldChar w:fldCharType="end"/>
      </w:r>
      <w:r w:rsidR="00D60060">
        <w:t xml:space="preserve">, </w:t>
      </w:r>
      <w:r w:rsidR="000D4E30">
        <w:fldChar w:fldCharType="begin"/>
      </w:r>
      <w:r w:rsidR="000D4E30">
        <w:instrText xml:space="preserve"> REF _Ref51144636 \h </w:instrText>
      </w:r>
      <w:r w:rsidR="000D4E30">
        <w:fldChar w:fldCharType="separate"/>
      </w:r>
      <w:r w:rsidRPr="006E43DC" w:rsidR="00FB6D94">
        <w:t xml:space="preserve">Ref. </w:t>
      </w:r>
      <w:r w:rsidR="00FB6D94">
        <w:rPr>
          <w:noProof/>
        </w:rPr>
        <w:t>53</w:t>
      </w:r>
      <w:r w:rsidR="000D4E30">
        <w:fldChar w:fldCharType="end"/>
      </w:r>
      <w:r w:rsidR="00D60060">
        <w:t xml:space="preserve">, </w:t>
      </w:r>
      <w:r w:rsidR="00D60060">
        <w:fldChar w:fldCharType="begin"/>
      </w:r>
      <w:r w:rsidR="00D60060">
        <w:instrText xml:space="preserve"> REF _Ref51144689 \h </w:instrText>
      </w:r>
      <w:r w:rsidR="00D60060">
        <w:fldChar w:fldCharType="separate"/>
      </w:r>
      <w:r w:rsidRPr="006E43DC" w:rsidR="00FB6D94">
        <w:t xml:space="preserve">Ref. </w:t>
      </w:r>
      <w:r w:rsidR="00FB6D94">
        <w:rPr>
          <w:noProof/>
        </w:rPr>
        <w:t>54</w:t>
      </w:r>
      <w:r w:rsidR="00D60060">
        <w:fldChar w:fldCharType="end"/>
      </w:r>
      <w:r w:rsidR="00D60060">
        <w:t xml:space="preserve">, and </w:t>
      </w:r>
      <w:r w:rsidR="00D60060">
        <w:fldChar w:fldCharType="begin"/>
      </w:r>
      <w:r w:rsidR="00D60060">
        <w:instrText xml:space="preserve"> REF _Ref51144713 \h </w:instrText>
      </w:r>
      <w:r w:rsidR="00D60060">
        <w:fldChar w:fldCharType="separate"/>
      </w:r>
      <w:r w:rsidRPr="006E43DC" w:rsidR="00FB6D94">
        <w:t xml:space="preserve">Ref. </w:t>
      </w:r>
      <w:r w:rsidR="00FB6D94">
        <w:rPr>
          <w:noProof/>
        </w:rPr>
        <w:t>55</w:t>
      </w:r>
      <w:r w:rsidR="00D60060">
        <w:fldChar w:fldCharType="end"/>
      </w:r>
      <w:r w:rsidR="00587682">
        <w:t>)</w:t>
      </w:r>
      <w:r w:rsidRPr="00CC10E2">
        <w:t xml:space="preserve">. </w:t>
      </w:r>
      <w:bookmarkStart w:id="62" w:name="_Hlk41919343"/>
      <w:r w:rsidRPr="00CC10E2">
        <w:t xml:space="preserve">For example, a quantitative risk assessment model predicts that, without any seed treatment or spent sprout irrigation water testing, 5.22% of sprout batches will be contaminated with </w:t>
      </w:r>
      <w:r w:rsidRPr="00CC10E2">
        <w:rPr>
          <w:i/>
        </w:rPr>
        <w:t>Salmonella</w:t>
      </w:r>
      <w:r w:rsidRPr="00CC10E2">
        <w:t xml:space="preserve"> </w:t>
      </w:r>
      <w:r w:rsidR="00F77969">
        <w:t>(</w:t>
      </w:r>
      <w:r w:rsidR="00911F76">
        <w:fldChar w:fldCharType="begin"/>
      </w:r>
      <w:r w:rsidR="00911F76">
        <w:instrText xml:space="preserve"> REF _Ref51144713 \h </w:instrText>
      </w:r>
      <w:r w:rsidR="004B2A15">
        <w:instrText xml:space="preserve"> \* MERGEFORMAT </w:instrText>
      </w:r>
      <w:r w:rsidR="00911F76">
        <w:fldChar w:fldCharType="separate"/>
      </w:r>
      <w:r w:rsidRPr="006E43DC" w:rsidR="00FB6D94">
        <w:t xml:space="preserve">Ref. </w:t>
      </w:r>
      <w:r w:rsidR="00FB6D94">
        <w:rPr>
          <w:noProof/>
        </w:rPr>
        <w:t>55</w:t>
      </w:r>
      <w:r w:rsidR="00911F76">
        <w:fldChar w:fldCharType="end"/>
      </w:r>
      <w:r w:rsidR="00F77969">
        <w:t>)</w:t>
      </w:r>
      <w:r w:rsidRPr="00CC10E2">
        <w:t xml:space="preserve">. Following seed treatment, the predicted fraction of contaminated sprout batches was reduced to 2.32%, 0.0320%, and 0.000320% when 1-log, 3-log, or 5-log seed treatment was applied, respectively. When seed treatment was combined with </w:t>
      </w:r>
      <w:r w:rsidRPr="00CC10E2" w:rsidR="00B4297F">
        <w:t xml:space="preserve">spent sprout irrigation water </w:t>
      </w:r>
      <w:r w:rsidRPr="00CC10E2">
        <w:t xml:space="preserve">testing, the fraction of positive sprout batches predicted by this model was reduced further. (This risk assessment is discussed in more detail below.) </w:t>
      </w:r>
      <w:r w:rsidRPr="00CC10E2">
        <w:t xml:space="preserve">Therefore, seed treatment is a critical part of a multi-hurdle approach to reduce the public health risks associated with </w:t>
      </w:r>
      <w:r w:rsidRPr="00CC10E2">
        <w:t xml:space="preserve">the consumption of </w:t>
      </w:r>
      <w:r w:rsidRPr="00CC10E2">
        <w:t>sprouts.</w:t>
      </w:r>
    </w:p>
    <w:bookmarkEnd w:id="62"/>
    <w:p w:rsidR="007140BA" w:rsidP="00E47C04" w14:paraId="21CA001C" w14:textId="77777777">
      <w:pPr>
        <w:pStyle w:val="GuidanceParagraph"/>
      </w:pPr>
      <w:r w:rsidRPr="00C23F2B">
        <w:t xml:space="preserve">Section 112.142(e) requires that the seeds you use to grow sprouts be treated using a scientifically valid method to reduce microorganisms of public health significance. We use the term “scientifically valid” to mean an approach that is based on scientific information, data, or results published in, for example, scientific journals, references, textbooks, or proprietary research. </w:t>
      </w:r>
      <w:bookmarkStart w:id="63" w:name="_Hlk41773145"/>
      <w:r w:rsidRPr="00C23F2B">
        <w:t xml:space="preserve">We note that the term “scientifically valid” has a different meaning than “validated” </w:t>
      </w:r>
      <w:r w:rsidRPr="00C23F2B">
        <w:t>with regard to</w:t>
      </w:r>
      <w:r w:rsidRPr="00C23F2B">
        <w:t xml:space="preserve"> seed treatment, for the purposes of the Produce Safety Rule. The term “validation study” is often used to refer to a systematic process of obtaining and evaluating scientific and technical evidence that a control measure or a combination of control measures is capable of effectively controlling the identified hazard(s). The Produce Safety Rule does not require you to perform a validation study to evaluate a seed treatment; however, we note that a validation study can help to evaluate whether a particular treatment is “scientifically valid”.</w:t>
      </w:r>
      <w:bookmarkEnd w:id="63"/>
    </w:p>
    <w:p w:rsidR="00191DF8" w:rsidRPr="00C23F2B" w:rsidP="00E47C04" w14:paraId="177F9604" w14:textId="586ED354">
      <w:pPr>
        <w:pStyle w:val="GuidanceParagraph"/>
      </w:pPr>
      <w:r w:rsidRPr="00C23F2B">
        <w:t>To meet the seed treatment requirement, you must adopt one of the following two approaches:</w:t>
      </w:r>
    </w:p>
    <w:p w:rsidR="00191DF8" w:rsidRPr="0025132E" w:rsidP="00483B29" w14:paraId="14AAC72F" w14:textId="77777777">
      <w:pPr>
        <w:pStyle w:val="GuidanceBulletLevel1"/>
      </w:pPr>
      <w:r w:rsidRPr="00CC10E2">
        <w:t>Treat seeds that you use to grow sprouts using a scientifically valid method to reduce microorganisms of public health significance (§ 112.142(e)(1)). If you perform treatment of seeds used for sprouting in accordance with § 112.142(e)(1), you must establish and keep documentation of this treatment (§112.150(b)(1)); or</w:t>
      </w:r>
    </w:p>
    <w:p w:rsidR="00191DF8" w:rsidRPr="0025132E" w:rsidP="00483B29" w14:paraId="76A82499" w14:textId="5D3B13ED">
      <w:pPr>
        <w:pStyle w:val="GuidanceBulletLevel1"/>
      </w:pPr>
      <w:r w:rsidRPr="00CC10E2">
        <w:t xml:space="preserve">Alternatively, you may rely on prior treatment of seeds conducted by a grower, distributor, or supplier of the seeds (whether to fulfill this requirement completely or for the purpose of you considering such prior treatment when applying appropriate additional treatment of the seeds at your operation immediately before sprouting), provided that you obtain documentation (such as a Certificate of Conformance) from the grower, </w:t>
      </w:r>
      <w:r w:rsidRPr="00CC10E2">
        <w:t>distributor, or supplier that: (i) the prior treatment was conducted using a scientifically valid method to reduce microorganisms of public health significance; and (ii) the treated seeds were handled and packaged following the treatment in a manner that minimizes the potential for contamination (§ 112.142(e)(2)). Such records should include documentation of the scientifically valid method used to treat the seeds, references to scientific data supporting the method, the level of log reduction achieved, the type of seeds used for any validation study that may have been done, the pathogens targeted, and information on how the seeds were handled and packaged following the treatment to minimize the potential for contamination (e.g., seeds were packaged immediately after treatment, type of packaging).</w:t>
      </w:r>
    </w:p>
    <w:p w:rsidR="00191DF8" w:rsidRPr="009E5685" w:rsidP="006B398F" w14:paraId="714F782F" w14:textId="1A10BB4C">
      <w:pPr>
        <w:pStyle w:val="HHS508GuidanceOutline30"/>
        <w:numPr>
          <w:ilvl w:val="0"/>
          <w:numId w:val="20"/>
        </w:numPr>
      </w:pPr>
      <w:bookmarkStart w:id="64" w:name="_Toc44439331"/>
      <w:bookmarkStart w:id="65" w:name="_Toc106094944"/>
      <w:r w:rsidRPr="009E5685">
        <w:t>Choosing a seed treatment</w:t>
      </w:r>
      <w:bookmarkEnd w:id="64"/>
      <w:bookmarkEnd w:id="65"/>
    </w:p>
    <w:p w:rsidR="00191DF8" w:rsidRPr="00CC10E2" w:rsidP="00E47C04" w14:paraId="1291F410" w14:textId="0D0B466F">
      <w:pPr>
        <w:pStyle w:val="GuidanceParagraph"/>
      </w:pPr>
      <w:r w:rsidRPr="00CC10E2">
        <w:t>A successful seed treatment reduces microbial pathogens while preserving seed viability, germination, and vigor. Seed types can vary in sensitivity to antimicrobial agents and other types of treatments, which can affect how well the seeds germinate and grow after treatment. Additionally, the varying surface features of different types of seeds can influence how well a treatment can access and inactivate pathogens on or in the seed. Therefore, an antimicrobial treatment that is effective for one type of seed may not be as appropriate for other types.</w:t>
      </w:r>
    </w:p>
    <w:p w:rsidR="00191DF8" w:rsidRPr="00CC10E2" w:rsidP="00E47C04" w14:paraId="0FB029ED" w14:textId="4FF1E745">
      <w:pPr>
        <w:pStyle w:val="GuidanceParagraph"/>
      </w:pPr>
      <w:r w:rsidRPr="00CC10E2">
        <w:t>When reviewing the options available for seed treatment, especially if you plan to treat seeds at your operation (as opposed to, or in addition to, purchasing pre-treated seeds), you should consider the feasibility of applying the treatment at your operation. For example, irradiation</w:t>
      </w:r>
      <w:r>
        <w:rPr>
          <w:rStyle w:val="FootnoteReference"/>
        </w:rPr>
        <w:footnoteReference w:id="5"/>
      </w:r>
      <w:r w:rsidRPr="00CC10E2">
        <w:rPr>
          <w:position w:val="10"/>
        </w:rPr>
        <w:t xml:space="preserve"> </w:t>
      </w:r>
      <w:r w:rsidRPr="00CC10E2">
        <w:t>is an option for seed treatment to reduce microorganisms of public health significance that may not be feasible for you to apply on-site. In addition, hot water treatments have been demonstrated to reduce pathogens on seeds by more than 5 log CFU/g in one study (</w:t>
      </w:r>
      <w:r w:rsidR="00625361">
        <w:fldChar w:fldCharType="begin"/>
      </w:r>
      <w:r w:rsidR="00625361">
        <w:instrText xml:space="preserve"> REF _Ref106027469 \h </w:instrText>
      </w:r>
      <w:r w:rsidR="004B2A15">
        <w:instrText xml:space="preserve"> \* MERGEFORMAT </w:instrText>
      </w:r>
      <w:r w:rsidR="00625361">
        <w:fldChar w:fldCharType="separate"/>
      </w:r>
      <w:r w:rsidR="00FB6D94">
        <w:t xml:space="preserve">Ref. </w:t>
      </w:r>
      <w:r w:rsidR="00FB6D94">
        <w:rPr>
          <w:noProof/>
        </w:rPr>
        <w:t>56</w:t>
      </w:r>
      <w:r w:rsidR="00625361">
        <w:fldChar w:fldCharType="end"/>
      </w:r>
      <w:r w:rsidR="00625361">
        <w:t>)</w:t>
      </w:r>
      <w:r w:rsidRPr="00CC10E2">
        <w:t xml:space="preserve"> and to undetectable levels in another study (</w:t>
      </w:r>
      <w:r w:rsidR="00C41DA8">
        <w:fldChar w:fldCharType="begin"/>
      </w:r>
      <w:r w:rsidR="00C41DA8">
        <w:instrText xml:space="preserve"> REF _Ref51144827 \h </w:instrText>
      </w:r>
      <w:r w:rsidR="004B2A15">
        <w:instrText xml:space="preserve"> \* MERGEFORMAT </w:instrText>
      </w:r>
      <w:r w:rsidR="00C41DA8">
        <w:fldChar w:fldCharType="separate"/>
      </w:r>
      <w:r w:rsidRPr="006E43DC" w:rsidR="00FB6D94">
        <w:t xml:space="preserve">Ref. </w:t>
      </w:r>
      <w:r w:rsidR="00FB6D94">
        <w:rPr>
          <w:noProof/>
        </w:rPr>
        <w:t>57</w:t>
      </w:r>
      <w:r w:rsidR="00C41DA8">
        <w:fldChar w:fldCharType="end"/>
      </w:r>
      <w:r w:rsidRPr="00CC10E2">
        <w:t>). However, these treatments can require use of equipment, such as industrial-sized hot water pasteurization machines (</w:t>
      </w:r>
      <w:r w:rsidR="00915778">
        <w:fldChar w:fldCharType="begin"/>
      </w:r>
      <w:r w:rsidR="00915778">
        <w:instrText xml:space="preserve"> REF _Ref51144846 \h </w:instrText>
      </w:r>
      <w:r w:rsidR="004B2A15">
        <w:instrText xml:space="preserve"> \* MERGEFORMAT </w:instrText>
      </w:r>
      <w:r w:rsidR="00915778">
        <w:fldChar w:fldCharType="separate"/>
      </w:r>
      <w:r w:rsidRPr="006E43DC" w:rsidR="00FB6D94">
        <w:t xml:space="preserve">Ref. </w:t>
      </w:r>
      <w:r w:rsidR="00FB6D94">
        <w:rPr>
          <w:noProof/>
        </w:rPr>
        <w:t>58</w:t>
      </w:r>
      <w:r w:rsidR="00915778">
        <w:fldChar w:fldCharType="end"/>
      </w:r>
      <w:r w:rsidR="00915778">
        <w:t>)</w:t>
      </w:r>
      <w:r w:rsidRPr="00CC10E2">
        <w:t>, that might be cost prohibitive for a small sprout operation.</w:t>
      </w:r>
    </w:p>
    <w:p w:rsidR="00191DF8" w:rsidRPr="00CC10E2" w:rsidP="00E47C04" w14:paraId="1E233A03" w14:textId="046FAE76">
      <w:pPr>
        <w:pStyle w:val="GuidanceParagraph"/>
      </w:pPr>
      <w:r w:rsidRPr="00CC10E2">
        <w:t>Nothing in the Produce Safety Rule requires or authorizes you to take measures in conflict with existing federal, State, or local regulations. We expect any seed treatment that is used to be applied in accordance with all applicable federal, state, tribal, or local requirements. For example,</w:t>
      </w:r>
      <w:r w:rsidRPr="00CC10E2">
        <w:t xml:space="preserve"> </w:t>
      </w:r>
      <w:r w:rsidR="00C0751C">
        <w:t>s</w:t>
      </w:r>
      <w:r w:rsidRPr="00CC10E2" w:rsidR="00240904">
        <w:t xml:space="preserve">ources of radiation used to treat food are considered food additives, under the law, and require an authorizing regulation by FDA. </w:t>
      </w:r>
      <w:r w:rsidR="001F3E41">
        <w:t>Also</w:t>
      </w:r>
      <w:r w:rsidRPr="00CC10E2">
        <w:t>,</w:t>
      </w:r>
      <w:r w:rsidRPr="00CC10E2">
        <w:t xml:space="preserve"> </w:t>
      </w:r>
      <w:r w:rsidRPr="00CC10E2">
        <w:t xml:space="preserve">in compliance with the Federal Insecticide, Fungicide and Rodenticide Act (FIFRA), pesticide chemicals used as seed treatments must be registered with the Environmental Protection Agency (EPA) and labeled for use to reduce microorganisms of public health significance on seeds for sprouting. Unlike pesticide chemicals, </w:t>
      </w:r>
      <w:r w:rsidRPr="00CC10E2">
        <w:t>equipment that works to control microorganisms by physical means (e.g., heat) are classified by EPA as “pesticide devices” and do not require registration with EPA under FIFRA (</w:t>
      </w:r>
      <w:r w:rsidR="00915778">
        <w:fldChar w:fldCharType="begin"/>
      </w:r>
      <w:r w:rsidR="00915778">
        <w:instrText xml:space="preserve"> REF _Ref51247382 \h </w:instrText>
      </w:r>
      <w:r w:rsidR="004B2A15">
        <w:instrText xml:space="preserve"> \* MERGEFORMAT </w:instrText>
      </w:r>
      <w:r w:rsidR="00915778">
        <w:fldChar w:fldCharType="separate"/>
      </w:r>
      <w:r w:rsidRPr="006E43DC" w:rsidR="00FB6D94">
        <w:t xml:space="preserve">Ref. </w:t>
      </w:r>
      <w:r w:rsidR="00FB6D94">
        <w:rPr>
          <w:noProof/>
        </w:rPr>
        <w:t>59</w:t>
      </w:r>
      <w:r w:rsidR="00915778">
        <w:fldChar w:fldCharType="end"/>
      </w:r>
      <w:r w:rsidRPr="00CC10E2">
        <w:t>). Note also that some States require registration of pesticide devices, and we refer you to the appropriate State pesticide regulatory agency for more information on a particular State’s requirements related to such devices (</w:t>
      </w:r>
      <w:r w:rsidR="003306FB">
        <w:fldChar w:fldCharType="begin"/>
      </w:r>
      <w:r w:rsidR="003306FB">
        <w:instrText xml:space="preserve"> REF _Ref51144889 \h </w:instrText>
      </w:r>
      <w:r w:rsidR="004B2A15">
        <w:instrText xml:space="preserve"> \* MERGEFORMAT </w:instrText>
      </w:r>
      <w:r w:rsidR="003306FB">
        <w:fldChar w:fldCharType="separate"/>
      </w:r>
      <w:r w:rsidRPr="006E43DC" w:rsidR="00FB6D94">
        <w:t xml:space="preserve">Ref. </w:t>
      </w:r>
      <w:r w:rsidR="00FB6D94">
        <w:rPr>
          <w:noProof/>
        </w:rPr>
        <w:t>60</w:t>
      </w:r>
      <w:r w:rsidR="003306FB">
        <w:fldChar w:fldCharType="end"/>
      </w:r>
      <w:r w:rsidRPr="00CC10E2">
        <w:t xml:space="preserve">). </w:t>
      </w:r>
    </w:p>
    <w:p w:rsidR="00191DF8" w:rsidRPr="00CC10E2" w:rsidP="00E47C04" w14:paraId="5549D5DD" w14:textId="2AF747F9">
      <w:pPr>
        <w:pStyle w:val="GuidanceParagraph"/>
      </w:pPr>
      <w:r w:rsidRPr="00CC10E2">
        <w:t xml:space="preserve">Rather than establishing a specific type or method of seed treatment that you must use to treat seeds, the Produce Safety Rule allows you to use any scientifically valid method to reduce microorganisms of public health significance on seeds that you use to grow sprouts (§ 112.142(e)). This approach provides you with flexibility in choosing a seed treatment. In choosing a treatment(s) appropriate to your operation and your sprouts, and in compliance with the Produce Safety Rule, there are </w:t>
      </w:r>
      <w:r w:rsidRPr="00CC10E2">
        <w:t>a number of</w:t>
      </w:r>
      <w:r w:rsidRPr="00CC10E2">
        <w:t xml:space="preserve"> things to consider. In this guidance, we highlight certain treatments that have been studied in the literature and discuss important considerations related to using those treatments.</w:t>
      </w:r>
    </w:p>
    <w:p w:rsidR="00191DF8" w:rsidRPr="00CC10E2" w:rsidP="00E47C04" w14:paraId="318EB525" w14:textId="24FAE8F3">
      <w:pPr>
        <w:pStyle w:val="GuidanceParagraph"/>
      </w:pPr>
      <w:r w:rsidRPr="00CC10E2">
        <w:t xml:space="preserve">Known seed treatment methods include those that work by chemical means (e.g., liquid or gas), physical means (e.g., heat), or a combination of these. </w:t>
      </w:r>
      <w:bookmarkStart w:id="66" w:name="_Hlk41919389"/>
      <w:r w:rsidRPr="00CC10E2">
        <w:t xml:space="preserve">Based on a review of available literature, physical and combination type treatments have been reported to be the most effective for reducing the numbers </w:t>
      </w:r>
      <w:r w:rsidR="007032CD">
        <w:t xml:space="preserve">of </w:t>
      </w:r>
      <w:r w:rsidRPr="00CC10E2">
        <w:t xml:space="preserve">pathogens on seeds for sprouting. </w:t>
      </w:r>
      <w:bookmarkEnd w:id="66"/>
      <w:r w:rsidRPr="00CC10E2">
        <w:t>Physical treatments, such as heat (dry heat or hot water), high pressure, and</w:t>
      </w:r>
      <w:r w:rsidR="2F63A15F">
        <w:t xml:space="preserve"> </w:t>
      </w:r>
      <w:r w:rsidRPr="00CC10E2">
        <w:t>irradiation are reported to have better penetration characteristics for reaching bacteria on microscopically rough surfaces, as well in as the interior of the seed, compared to chemical treatments (</w:t>
      </w:r>
      <w:r w:rsidR="007F0B72">
        <w:fldChar w:fldCharType="begin"/>
      </w:r>
      <w:r w:rsidR="007F0B72">
        <w:instrText xml:space="preserve"> REF _Ref51247434 \h </w:instrText>
      </w:r>
      <w:r w:rsidR="004B2A15">
        <w:instrText xml:space="preserve"> \* MERGEFORMAT </w:instrText>
      </w:r>
      <w:r w:rsidR="007F0B72">
        <w:fldChar w:fldCharType="separate"/>
      </w:r>
      <w:r w:rsidRPr="006E43DC" w:rsidR="00FB6D94">
        <w:t xml:space="preserve">Ref. </w:t>
      </w:r>
      <w:r w:rsidR="00FB6D94">
        <w:rPr>
          <w:noProof/>
        </w:rPr>
        <w:t>61</w:t>
      </w:r>
      <w:r w:rsidR="007F0B72">
        <w:fldChar w:fldCharType="end"/>
      </w:r>
      <w:r w:rsidRPr="00CC10E2">
        <w:t>). In some studies, physical treatments have been reported to achieve a 5-log or greater reduction in pathogens on seeds (</w:t>
      </w:r>
      <w:r w:rsidR="007708CD">
        <w:fldChar w:fldCharType="begin"/>
      </w:r>
      <w:r w:rsidR="007708CD">
        <w:instrText xml:space="preserve"> REF _Ref51144846 \h </w:instrText>
      </w:r>
      <w:r w:rsidR="004B2A15">
        <w:instrText xml:space="preserve"> \* MERGEFORMAT </w:instrText>
      </w:r>
      <w:r w:rsidR="007708CD">
        <w:fldChar w:fldCharType="separate"/>
      </w:r>
      <w:r w:rsidRPr="006E43DC" w:rsidR="00FB6D94">
        <w:t xml:space="preserve">Ref. </w:t>
      </w:r>
      <w:r w:rsidR="00FB6D94">
        <w:rPr>
          <w:noProof/>
        </w:rPr>
        <w:t>58</w:t>
      </w:r>
      <w:r w:rsidR="007708CD">
        <w:fldChar w:fldCharType="end"/>
      </w:r>
      <w:r w:rsidR="00857EDB">
        <w:t>,</w:t>
      </w:r>
      <w:r w:rsidR="007708CD">
        <w:t xml:space="preserve"> </w:t>
      </w:r>
      <w:r w:rsidR="00FB6259">
        <w:fldChar w:fldCharType="begin"/>
      </w:r>
      <w:r w:rsidR="00FB6259">
        <w:instrText xml:space="preserve"> REF _Ref51247434 \h </w:instrText>
      </w:r>
      <w:r w:rsidR="004B2A15">
        <w:instrText xml:space="preserve"> \* MERGEFORMAT </w:instrText>
      </w:r>
      <w:r w:rsidR="00FB6259">
        <w:fldChar w:fldCharType="separate"/>
      </w:r>
      <w:r w:rsidRPr="006E43DC" w:rsidR="00FB6D94">
        <w:t xml:space="preserve">Ref. </w:t>
      </w:r>
      <w:r w:rsidR="00FB6D94">
        <w:rPr>
          <w:noProof/>
        </w:rPr>
        <w:t>61</w:t>
      </w:r>
      <w:r w:rsidR="00FB6259">
        <w:fldChar w:fldCharType="end"/>
      </w:r>
      <w:r w:rsidR="00857EDB">
        <w:t>,</w:t>
      </w:r>
      <w:r w:rsidR="007222B5">
        <w:t xml:space="preserve"> </w:t>
      </w:r>
      <w:r w:rsidR="00EE7112">
        <w:fldChar w:fldCharType="begin"/>
      </w:r>
      <w:r w:rsidR="00EE7112">
        <w:instrText xml:space="preserve"> REF _Ref51145197 \h </w:instrText>
      </w:r>
      <w:r w:rsidR="004B2A15">
        <w:instrText xml:space="preserve"> \* MERGEFORMAT </w:instrText>
      </w:r>
      <w:r w:rsidR="00EE7112">
        <w:fldChar w:fldCharType="separate"/>
      </w:r>
      <w:r w:rsidRPr="006E43DC" w:rsidR="00FB6D94">
        <w:t xml:space="preserve">Ref. </w:t>
      </w:r>
      <w:r w:rsidR="00FB6D94">
        <w:rPr>
          <w:noProof/>
        </w:rPr>
        <w:t>62</w:t>
      </w:r>
      <w:r w:rsidR="00EE7112">
        <w:fldChar w:fldCharType="end"/>
      </w:r>
      <w:r w:rsidR="00857EDB">
        <w:t xml:space="preserve">, and </w:t>
      </w:r>
      <w:r w:rsidR="00857EDB">
        <w:fldChar w:fldCharType="begin"/>
      </w:r>
      <w:r w:rsidR="00857EDB">
        <w:instrText xml:space="preserve"> REF _Ref51145223 \h </w:instrText>
      </w:r>
      <w:r w:rsidR="004B2A15">
        <w:instrText xml:space="preserve"> \* MERGEFORMAT </w:instrText>
      </w:r>
      <w:r w:rsidR="00857EDB">
        <w:fldChar w:fldCharType="separate"/>
      </w:r>
      <w:r w:rsidRPr="006E43DC" w:rsidR="00FB6D94">
        <w:t xml:space="preserve">Ref. </w:t>
      </w:r>
      <w:r w:rsidR="00FB6D94">
        <w:rPr>
          <w:noProof/>
        </w:rPr>
        <w:t>63</w:t>
      </w:r>
      <w:r w:rsidR="00857EDB">
        <w:fldChar w:fldCharType="end"/>
      </w:r>
      <w:r w:rsidR="00857EDB">
        <w:t>)</w:t>
      </w:r>
      <w:r w:rsidRPr="00CC10E2">
        <w:t>. Combination treatments (i.e., applying two or more methods sequentially or simultaneously) may be more effective than using a single treatment alone. Examples of such combination treatments include: chemical plus heat; irradiation plus dry heat; and high pressure plus dry heat. Literature suggests many combination treatments may be able to achieve a 5-log or greater reduction in pathogens on seeds (</w:t>
      </w:r>
      <w:r w:rsidR="00411803">
        <w:fldChar w:fldCharType="begin"/>
      </w:r>
      <w:r w:rsidR="00411803">
        <w:instrText xml:space="preserve"> REF _Ref51144846 \h </w:instrText>
      </w:r>
      <w:r w:rsidR="004B2A15">
        <w:instrText xml:space="preserve"> \* MERGEFORMAT </w:instrText>
      </w:r>
      <w:r w:rsidR="00411803">
        <w:fldChar w:fldCharType="separate"/>
      </w:r>
      <w:r w:rsidRPr="006E43DC" w:rsidR="00FB6D94">
        <w:t xml:space="preserve">Ref. </w:t>
      </w:r>
      <w:r w:rsidR="00FB6D94">
        <w:rPr>
          <w:noProof/>
        </w:rPr>
        <w:t>58</w:t>
      </w:r>
      <w:r w:rsidR="00411803">
        <w:fldChar w:fldCharType="end"/>
      </w:r>
      <w:r w:rsidR="00411803">
        <w:t xml:space="preserve">, </w:t>
      </w:r>
      <w:r w:rsidR="00411803">
        <w:fldChar w:fldCharType="begin"/>
      </w:r>
      <w:r w:rsidR="00411803">
        <w:instrText xml:space="preserve"> REF _Ref51247434 \h </w:instrText>
      </w:r>
      <w:r w:rsidR="004B2A15">
        <w:instrText xml:space="preserve"> \* MERGEFORMAT </w:instrText>
      </w:r>
      <w:r w:rsidR="00411803">
        <w:fldChar w:fldCharType="separate"/>
      </w:r>
      <w:r w:rsidRPr="006E43DC" w:rsidR="00FB6D94">
        <w:t xml:space="preserve">Ref. </w:t>
      </w:r>
      <w:r w:rsidR="00FB6D94">
        <w:rPr>
          <w:noProof/>
        </w:rPr>
        <w:t>61</w:t>
      </w:r>
      <w:r w:rsidR="00411803">
        <w:fldChar w:fldCharType="end"/>
      </w:r>
      <w:r w:rsidR="00411803">
        <w:t xml:space="preserve">, </w:t>
      </w:r>
      <w:r w:rsidR="00E60D07">
        <w:fldChar w:fldCharType="begin"/>
      </w:r>
      <w:r w:rsidR="00E60D07">
        <w:instrText xml:space="preserve"> REF _Ref51145197 \h </w:instrText>
      </w:r>
      <w:r w:rsidR="004B2A15">
        <w:instrText xml:space="preserve"> \* MERGEFORMAT </w:instrText>
      </w:r>
      <w:r w:rsidR="00E60D07">
        <w:fldChar w:fldCharType="separate"/>
      </w:r>
      <w:r w:rsidRPr="006E43DC" w:rsidR="00FB6D94">
        <w:t xml:space="preserve">Ref. </w:t>
      </w:r>
      <w:r w:rsidR="00FB6D94">
        <w:rPr>
          <w:noProof/>
        </w:rPr>
        <w:t>62</w:t>
      </w:r>
      <w:r w:rsidR="00E60D07">
        <w:fldChar w:fldCharType="end"/>
      </w:r>
      <w:r w:rsidR="00E60D07">
        <w:t xml:space="preserve">, </w:t>
      </w:r>
      <w:r w:rsidR="00AE0229">
        <w:fldChar w:fldCharType="begin"/>
      </w:r>
      <w:r w:rsidR="00AE0229">
        <w:instrText xml:space="preserve"> REF _Ref51145223 \h </w:instrText>
      </w:r>
      <w:r w:rsidR="004B2A15">
        <w:instrText xml:space="preserve"> \* MERGEFORMAT </w:instrText>
      </w:r>
      <w:r w:rsidR="00AE0229">
        <w:fldChar w:fldCharType="separate"/>
      </w:r>
      <w:r w:rsidRPr="006E43DC" w:rsidR="00FB6D94">
        <w:t xml:space="preserve">Ref. </w:t>
      </w:r>
      <w:r w:rsidR="00FB6D94">
        <w:rPr>
          <w:noProof/>
        </w:rPr>
        <w:t>63</w:t>
      </w:r>
      <w:r w:rsidR="00AE0229">
        <w:fldChar w:fldCharType="end"/>
      </w:r>
      <w:r w:rsidR="00AE0229">
        <w:t xml:space="preserve">, </w:t>
      </w:r>
      <w:r w:rsidR="000E6652">
        <w:fldChar w:fldCharType="begin"/>
      </w:r>
      <w:r w:rsidR="000E6652">
        <w:instrText xml:space="preserve"> REF _Ref51146841 \h </w:instrText>
      </w:r>
      <w:r w:rsidR="004B2A15">
        <w:instrText xml:space="preserve"> \* MERGEFORMAT </w:instrText>
      </w:r>
      <w:r w:rsidR="000E6652">
        <w:fldChar w:fldCharType="separate"/>
      </w:r>
      <w:r w:rsidRPr="006E43DC" w:rsidR="00FB6D94">
        <w:t xml:space="preserve">Ref. </w:t>
      </w:r>
      <w:r w:rsidR="00FB6D94">
        <w:rPr>
          <w:noProof/>
        </w:rPr>
        <w:t>64</w:t>
      </w:r>
      <w:r w:rsidR="000E6652">
        <w:fldChar w:fldCharType="end"/>
      </w:r>
      <w:r w:rsidR="000E6652">
        <w:t>,</w:t>
      </w:r>
      <w:r w:rsidR="00FE0128">
        <w:t xml:space="preserve"> </w:t>
      </w:r>
      <w:r w:rsidR="00123B44">
        <w:fldChar w:fldCharType="begin"/>
      </w:r>
      <w:r w:rsidR="00123B44">
        <w:instrText xml:space="preserve"> REF _Ref51146868 \h </w:instrText>
      </w:r>
      <w:r w:rsidR="004B2A15">
        <w:instrText xml:space="preserve"> \* MERGEFORMAT </w:instrText>
      </w:r>
      <w:r w:rsidR="00123B44">
        <w:fldChar w:fldCharType="separate"/>
      </w:r>
      <w:r w:rsidRPr="006E43DC" w:rsidR="00FB6D94">
        <w:t xml:space="preserve">Ref. </w:t>
      </w:r>
      <w:r w:rsidR="00FB6D94">
        <w:rPr>
          <w:noProof/>
        </w:rPr>
        <w:t>65</w:t>
      </w:r>
      <w:r w:rsidR="00123B44">
        <w:fldChar w:fldCharType="end"/>
      </w:r>
      <w:r w:rsidR="00123B44">
        <w:t xml:space="preserve">, </w:t>
      </w:r>
      <w:r w:rsidR="006A2833">
        <w:t xml:space="preserve">and </w:t>
      </w:r>
      <w:r w:rsidR="006A2833">
        <w:fldChar w:fldCharType="begin"/>
      </w:r>
      <w:r w:rsidR="006A2833">
        <w:instrText xml:space="preserve"> REF _Ref51146889 \h </w:instrText>
      </w:r>
      <w:r w:rsidR="004B2A15">
        <w:instrText xml:space="preserve"> \* MERGEFORMAT </w:instrText>
      </w:r>
      <w:r w:rsidR="006A2833">
        <w:fldChar w:fldCharType="separate"/>
      </w:r>
      <w:r w:rsidRPr="006E43DC" w:rsidR="00FB6D94">
        <w:t xml:space="preserve">Ref. </w:t>
      </w:r>
      <w:r w:rsidR="00FB6D94">
        <w:rPr>
          <w:noProof/>
        </w:rPr>
        <w:t>66</w:t>
      </w:r>
      <w:r w:rsidR="006A2833">
        <w:fldChar w:fldCharType="end"/>
      </w:r>
      <w:r w:rsidR="00E143A0">
        <w:t>)</w:t>
      </w:r>
      <w:r w:rsidRPr="00CC10E2">
        <w:t>.</w:t>
      </w:r>
    </w:p>
    <w:p w:rsidR="00191DF8" w:rsidRPr="00CC10E2" w:rsidP="00E47C04" w14:paraId="77B714C3" w14:textId="26187A47">
      <w:pPr>
        <w:pStyle w:val="GuidanceParagraph"/>
      </w:pPr>
      <w:r w:rsidRPr="00CC10E2">
        <w:t>Previous studies suggest that the following chemicals, when used at appropriate concentrations, may be able to achieve at least a 3-log reduction in pathogens on seeds: acidified sodium chlorite (</w:t>
      </w:r>
      <w:r w:rsidR="00AB3F8D">
        <w:fldChar w:fldCharType="begin"/>
      </w:r>
      <w:r w:rsidR="00AB3F8D">
        <w:instrText xml:space="preserve"> REF _Ref51146964 \h </w:instrText>
      </w:r>
      <w:r w:rsidR="004B2A15">
        <w:instrText xml:space="preserve"> \* MERGEFORMAT </w:instrText>
      </w:r>
      <w:r w:rsidR="00AB3F8D">
        <w:fldChar w:fldCharType="separate"/>
      </w:r>
      <w:r w:rsidRPr="006E43DC" w:rsidR="00FB6D94">
        <w:t xml:space="preserve">Ref. </w:t>
      </w:r>
      <w:r w:rsidR="00FB6D94">
        <w:rPr>
          <w:noProof/>
        </w:rPr>
        <w:t>67</w:t>
      </w:r>
      <w:r w:rsidR="00AB3F8D">
        <w:fldChar w:fldCharType="end"/>
      </w:r>
      <w:r w:rsidRPr="00CC10E2">
        <w:t>); calcium hydroxide (</w:t>
      </w:r>
      <w:r w:rsidR="00CF1E59">
        <w:fldChar w:fldCharType="begin"/>
      </w:r>
      <w:r w:rsidR="00CF1E59">
        <w:instrText xml:space="preserve"> REF _Ref51146985 \h </w:instrText>
      </w:r>
      <w:r w:rsidR="004B2A15">
        <w:instrText xml:space="preserve"> \* MERGEFORMAT </w:instrText>
      </w:r>
      <w:r w:rsidR="00CF1E59">
        <w:fldChar w:fldCharType="separate"/>
      </w:r>
      <w:r w:rsidRPr="006E43DC" w:rsidR="00FB6D94">
        <w:t xml:space="preserve">Ref. </w:t>
      </w:r>
      <w:r w:rsidR="00FB6D94">
        <w:rPr>
          <w:noProof/>
        </w:rPr>
        <w:t>68</w:t>
      </w:r>
      <w:r w:rsidR="00CF1E59">
        <w:fldChar w:fldCharType="end"/>
      </w:r>
      <w:r w:rsidRPr="00CC10E2">
        <w:t>), calcium hypochlorite</w:t>
      </w:r>
      <w:r>
        <w:rPr>
          <w:rStyle w:val="FootnoteReference"/>
        </w:rPr>
        <w:footnoteReference w:id="6"/>
      </w:r>
      <w:r w:rsidRPr="00CC10E2">
        <w:t xml:space="preserve"> (</w:t>
      </w:r>
      <w:r w:rsidR="00DB4236">
        <w:fldChar w:fldCharType="begin"/>
      </w:r>
      <w:r w:rsidR="00DB4236">
        <w:instrText xml:space="preserve"> REF _Ref51247434 \h </w:instrText>
      </w:r>
      <w:r w:rsidR="004B2A15">
        <w:instrText xml:space="preserve"> \* MERGEFORMAT </w:instrText>
      </w:r>
      <w:r w:rsidR="00DB4236">
        <w:fldChar w:fldCharType="separate"/>
      </w:r>
      <w:r w:rsidRPr="006E43DC" w:rsidR="00FB6D94">
        <w:t xml:space="preserve">Ref. </w:t>
      </w:r>
      <w:r w:rsidR="00FB6D94">
        <w:rPr>
          <w:noProof/>
        </w:rPr>
        <w:t>61</w:t>
      </w:r>
      <w:r w:rsidR="00DB4236">
        <w:fldChar w:fldCharType="end"/>
      </w:r>
      <w:r w:rsidRPr="00CC10E2">
        <w:t>); caprylic acid (</w:t>
      </w:r>
      <w:r w:rsidR="00854258">
        <w:fldChar w:fldCharType="begin"/>
      </w:r>
      <w:r w:rsidR="00854258">
        <w:instrText xml:space="preserve"> REF _Ref51147046 \h </w:instrText>
      </w:r>
      <w:r w:rsidR="004B2A15">
        <w:instrText xml:space="preserve"> \* MERGEFORMAT </w:instrText>
      </w:r>
      <w:r w:rsidR="00854258">
        <w:fldChar w:fldCharType="separate"/>
      </w:r>
      <w:r w:rsidRPr="006E43DC" w:rsidR="00FB6D94">
        <w:t xml:space="preserve">Ref. </w:t>
      </w:r>
      <w:r w:rsidR="00FB6D94">
        <w:rPr>
          <w:noProof/>
        </w:rPr>
        <w:t>69</w:t>
      </w:r>
      <w:r w:rsidR="00854258">
        <w:fldChar w:fldCharType="end"/>
      </w:r>
      <w:r w:rsidRPr="00CC10E2">
        <w:t>); gaseous acetic acid (</w:t>
      </w:r>
      <w:r w:rsidR="00482EFD">
        <w:fldChar w:fldCharType="begin"/>
      </w:r>
      <w:r w:rsidR="00482EFD">
        <w:instrText xml:space="preserve"> REF _Ref51147082 \h </w:instrText>
      </w:r>
      <w:r w:rsidR="004B2A15">
        <w:instrText xml:space="preserve"> \* MERGEFORMAT </w:instrText>
      </w:r>
      <w:r w:rsidR="00482EFD">
        <w:fldChar w:fldCharType="separate"/>
      </w:r>
      <w:r w:rsidRPr="006E43DC" w:rsidR="00FB6D94">
        <w:t xml:space="preserve">Ref. </w:t>
      </w:r>
      <w:r w:rsidR="00FB6D94">
        <w:rPr>
          <w:noProof/>
        </w:rPr>
        <w:t>70</w:t>
      </w:r>
      <w:r w:rsidR="00482EFD">
        <w:fldChar w:fldCharType="end"/>
      </w:r>
      <w:r w:rsidR="00E13C62">
        <w:t xml:space="preserve"> and </w:t>
      </w:r>
      <w:r w:rsidR="00B15868">
        <w:fldChar w:fldCharType="begin"/>
      </w:r>
      <w:r w:rsidR="00B15868">
        <w:instrText xml:space="preserve"> REF _Ref51147113 \h </w:instrText>
      </w:r>
      <w:r w:rsidR="004B2A15">
        <w:instrText xml:space="preserve"> \* MERGEFORMAT </w:instrText>
      </w:r>
      <w:r w:rsidR="00B15868">
        <w:fldChar w:fldCharType="separate"/>
      </w:r>
      <w:r w:rsidRPr="006E43DC" w:rsidR="00FB6D94">
        <w:t xml:space="preserve">Ref. </w:t>
      </w:r>
      <w:r w:rsidR="00FB6D94">
        <w:rPr>
          <w:noProof/>
        </w:rPr>
        <w:t>71</w:t>
      </w:r>
      <w:r w:rsidR="00B15868">
        <w:fldChar w:fldCharType="end"/>
      </w:r>
      <w:r w:rsidRPr="00CC10E2">
        <w:t>); hydrogen peroxide (</w:t>
      </w:r>
      <w:r w:rsidR="003D1FDB">
        <w:fldChar w:fldCharType="begin"/>
      </w:r>
      <w:r w:rsidR="003D1FDB">
        <w:instrText xml:space="preserve"> REF _Ref51146985 \h </w:instrText>
      </w:r>
      <w:r w:rsidR="004B2A15">
        <w:instrText xml:space="preserve"> \* MERGEFORMAT </w:instrText>
      </w:r>
      <w:r w:rsidR="003D1FDB">
        <w:fldChar w:fldCharType="separate"/>
      </w:r>
      <w:r w:rsidRPr="006E43DC" w:rsidR="00FB6D94">
        <w:t xml:space="preserve">Ref. </w:t>
      </w:r>
      <w:r w:rsidR="00FB6D94">
        <w:rPr>
          <w:noProof/>
        </w:rPr>
        <w:t>68</w:t>
      </w:r>
      <w:r w:rsidR="003D1FDB">
        <w:fldChar w:fldCharType="end"/>
      </w:r>
      <w:r w:rsidR="003D1FDB">
        <w:t xml:space="preserve"> and </w:t>
      </w:r>
      <w:r w:rsidR="00DD6305">
        <w:fldChar w:fldCharType="begin"/>
      </w:r>
      <w:r w:rsidR="00DD6305">
        <w:instrText xml:space="preserve"> REF _Ref51147166 \h </w:instrText>
      </w:r>
      <w:r w:rsidR="004B2A15">
        <w:instrText xml:space="preserve"> \* MERGEFORMAT </w:instrText>
      </w:r>
      <w:r w:rsidR="00DD6305">
        <w:fldChar w:fldCharType="separate"/>
      </w:r>
      <w:r w:rsidRPr="006E43DC" w:rsidR="00FB6D94">
        <w:t xml:space="preserve">Ref. </w:t>
      </w:r>
      <w:r w:rsidR="00FB6D94">
        <w:rPr>
          <w:noProof/>
        </w:rPr>
        <w:t>72</w:t>
      </w:r>
      <w:r w:rsidR="00DD6305">
        <w:fldChar w:fldCharType="end"/>
      </w:r>
      <w:r w:rsidRPr="00CC10E2">
        <w:t>); lactic acid (</w:t>
      </w:r>
      <w:r w:rsidR="008159C4">
        <w:fldChar w:fldCharType="begin"/>
      </w:r>
      <w:r w:rsidR="008159C4">
        <w:instrText xml:space="preserve"> REF _Ref51146868 \h </w:instrText>
      </w:r>
      <w:r w:rsidR="004B2A15">
        <w:instrText xml:space="preserve"> \* MERGEFORMAT </w:instrText>
      </w:r>
      <w:r w:rsidR="008159C4">
        <w:fldChar w:fldCharType="separate"/>
      </w:r>
      <w:r w:rsidRPr="006E43DC" w:rsidR="00FB6D94">
        <w:t xml:space="preserve">Ref. </w:t>
      </w:r>
      <w:r w:rsidR="00FB6D94">
        <w:rPr>
          <w:noProof/>
        </w:rPr>
        <w:t>65</w:t>
      </w:r>
      <w:r w:rsidR="008159C4">
        <w:fldChar w:fldCharType="end"/>
      </w:r>
      <w:r w:rsidRPr="00CC10E2">
        <w:t xml:space="preserve">); </w:t>
      </w:r>
      <w:r w:rsidRPr="00CC10E2">
        <w:t>monocaprylin</w:t>
      </w:r>
      <w:r w:rsidRPr="00CC10E2">
        <w:t xml:space="preserve"> (</w:t>
      </w:r>
      <w:r w:rsidR="001B0611">
        <w:fldChar w:fldCharType="begin"/>
      </w:r>
      <w:r w:rsidR="001B0611">
        <w:instrText xml:space="preserve"> REF _Ref51147046 \h </w:instrText>
      </w:r>
      <w:r w:rsidR="004B2A15">
        <w:instrText xml:space="preserve"> \* MERGEFORMAT </w:instrText>
      </w:r>
      <w:r w:rsidR="001B0611">
        <w:fldChar w:fldCharType="separate"/>
      </w:r>
      <w:r w:rsidRPr="006E43DC" w:rsidR="00FB6D94">
        <w:t xml:space="preserve">Ref. </w:t>
      </w:r>
      <w:r w:rsidR="00FB6D94">
        <w:rPr>
          <w:noProof/>
        </w:rPr>
        <w:t>69</w:t>
      </w:r>
      <w:r w:rsidR="001B0611">
        <w:fldChar w:fldCharType="end"/>
      </w:r>
      <w:r w:rsidRPr="00CC10E2">
        <w:t>); oxalic acid (</w:t>
      </w:r>
      <w:r w:rsidR="005B7860">
        <w:fldChar w:fldCharType="begin"/>
      </w:r>
      <w:r w:rsidR="005B7860">
        <w:instrText xml:space="preserve"> REF _Ref51146868 \h </w:instrText>
      </w:r>
      <w:r w:rsidR="004B2A15">
        <w:instrText xml:space="preserve"> \* MERGEFORMAT </w:instrText>
      </w:r>
      <w:r w:rsidR="005B7860">
        <w:fldChar w:fldCharType="separate"/>
      </w:r>
      <w:r w:rsidRPr="006E43DC" w:rsidR="00FB6D94">
        <w:t xml:space="preserve">Ref. </w:t>
      </w:r>
      <w:r w:rsidR="00FB6D94">
        <w:rPr>
          <w:noProof/>
        </w:rPr>
        <w:t>65</w:t>
      </w:r>
      <w:r w:rsidR="005B7860">
        <w:fldChar w:fldCharType="end"/>
      </w:r>
      <w:r w:rsidRPr="00CC10E2">
        <w:t>); phytic acid (</w:t>
      </w:r>
      <w:r w:rsidR="005B7860">
        <w:fldChar w:fldCharType="begin"/>
      </w:r>
      <w:r w:rsidR="005B7860">
        <w:instrText xml:space="preserve"> REF _Ref51146868 \h </w:instrText>
      </w:r>
      <w:r w:rsidR="004B2A15">
        <w:instrText xml:space="preserve"> \* MERGEFORMAT </w:instrText>
      </w:r>
      <w:r w:rsidR="005B7860">
        <w:fldChar w:fldCharType="separate"/>
      </w:r>
      <w:r w:rsidRPr="006E43DC" w:rsidR="00FB6D94">
        <w:t xml:space="preserve">Ref. </w:t>
      </w:r>
      <w:r w:rsidR="00FB6D94">
        <w:rPr>
          <w:noProof/>
        </w:rPr>
        <w:t>65</w:t>
      </w:r>
      <w:r w:rsidR="005B7860">
        <w:fldChar w:fldCharType="end"/>
      </w:r>
      <w:r w:rsidRPr="00CC10E2">
        <w:t>); and sodium hypochlorite (</w:t>
      </w:r>
      <w:r w:rsidR="00A97FEC">
        <w:fldChar w:fldCharType="begin"/>
      </w:r>
      <w:r w:rsidR="00A97FEC">
        <w:instrText xml:space="preserve"> REF _Ref51147281 \h </w:instrText>
      </w:r>
      <w:r w:rsidR="004B2A15">
        <w:instrText xml:space="preserve"> \* MERGEFORMAT </w:instrText>
      </w:r>
      <w:r w:rsidR="00A97FEC">
        <w:fldChar w:fldCharType="separate"/>
      </w:r>
      <w:r w:rsidRPr="006E43DC" w:rsidR="00FB6D94">
        <w:t xml:space="preserve">Ref. </w:t>
      </w:r>
      <w:r w:rsidR="00FB6D94">
        <w:rPr>
          <w:noProof/>
        </w:rPr>
        <w:t>73</w:t>
      </w:r>
      <w:r w:rsidR="00A97FEC">
        <w:fldChar w:fldCharType="end"/>
      </w:r>
      <w:r w:rsidRPr="00CC10E2">
        <w:t xml:space="preserve">). This is not intended to be an exhaustive list. We note, however, that such treatments require EPA approval and </w:t>
      </w:r>
      <w:r w:rsidR="00922B59">
        <w:t>pesticide</w:t>
      </w:r>
      <w:r w:rsidRPr="00CC10E2">
        <w:t xml:space="preserve"> registration under FIFRA before they may be used for such purposes. We refer readers to EPA for further information on the registration process. Information regarding currently registered pesticide products is available on EPA’s </w:t>
      </w:r>
      <w:r w:rsidR="009B7344">
        <w:t>web</w:t>
      </w:r>
      <w:r w:rsidRPr="00CC10E2">
        <w:t xml:space="preserve">site at: </w:t>
      </w:r>
      <w:r w:rsidRPr="00CC10E2">
        <w:rPr>
          <w:color w:val="0000FF"/>
        </w:rPr>
        <w:t xml:space="preserve"> </w:t>
      </w:r>
      <w:hyperlink r:id="rId15">
        <w:r w:rsidRPr="00CC10E2">
          <w:rPr>
            <w:color w:val="0000FF"/>
            <w:u w:val="single" w:color="0000FF"/>
          </w:rPr>
          <w:t>https://iaspub.epa.gov/apex/pesticides/f?p=PPLS:1.</w:t>
        </w:r>
      </w:hyperlink>
    </w:p>
    <w:p w:rsidR="00191DF8" w:rsidRPr="00CC10E2" w:rsidP="006B398F" w14:paraId="505E37C3" w14:textId="1C851D37">
      <w:pPr>
        <w:pStyle w:val="HHS508GuidanceOutline30"/>
      </w:pPr>
      <w:bookmarkStart w:id="67" w:name="_Toc44439332"/>
      <w:bookmarkStart w:id="68" w:name="_Toc106094945"/>
      <w:r w:rsidRPr="00CC10E2">
        <w:t>Seed treatment efficacy</w:t>
      </w:r>
      <w:bookmarkEnd w:id="67"/>
      <w:bookmarkEnd w:id="68"/>
    </w:p>
    <w:p w:rsidR="00191DF8" w:rsidRPr="00CC10E2" w:rsidP="00E47C04" w14:paraId="6B5BEA9C" w14:textId="398FBDC6">
      <w:pPr>
        <w:pStyle w:val="GuidanceParagraph"/>
      </w:pPr>
      <w:r w:rsidRPr="00CC10E2">
        <w:t xml:space="preserve">Many seed treatments reduce, but do not eliminate, microorganisms of public health significance that may be present on the seeds. Pathogens that are not eliminated by seed treatment can </w:t>
      </w:r>
      <w:r w:rsidR="00BD2EC1">
        <w:t>be amplified</w:t>
      </w:r>
      <w:r w:rsidRPr="00CC10E2" w:rsidR="00BD2EC1">
        <w:t xml:space="preserve"> </w:t>
      </w:r>
      <w:r w:rsidRPr="00CC10E2">
        <w:t xml:space="preserve">during the sprouting process; therefore, adequate seed treatment prior to sprouting is a key component of the multi-hurdle risk reduction framework for sprouts established in the Produce Safety Rule. </w:t>
      </w:r>
      <w:bookmarkStart w:id="69" w:name="_Hlk36211214"/>
    </w:p>
    <w:p w:rsidR="00191DF8" w:rsidRPr="00CC10E2" w:rsidP="00E47C04" w14:paraId="1A781E5D" w14:textId="6861C784">
      <w:pPr>
        <w:pStyle w:val="GuidanceParagraph"/>
      </w:pPr>
      <w:r w:rsidRPr="00CC10E2">
        <w:t>Th</w:t>
      </w:r>
      <w:r w:rsidR="00B908C7">
        <w:t>e</w:t>
      </w:r>
      <w:r w:rsidR="00FD79CA">
        <w:t xml:space="preserve"> </w:t>
      </w:r>
      <w:r w:rsidR="00B93D1C">
        <w:t xml:space="preserve">use </w:t>
      </w:r>
      <w:r w:rsidR="00473A8A">
        <w:t xml:space="preserve">of </w:t>
      </w:r>
      <w:r w:rsidR="00011B01">
        <w:t xml:space="preserve">seed treatment </w:t>
      </w:r>
      <w:r w:rsidR="00B93D1C">
        <w:t>in a multi-hurdle risk reduction framework</w:t>
      </w:r>
      <w:r w:rsidRPr="00CC10E2">
        <w:t xml:space="preserve"> is </w:t>
      </w:r>
      <w:r w:rsidR="00305339">
        <w:t>supported</w:t>
      </w:r>
      <w:r w:rsidRPr="00CC10E2">
        <w:t xml:space="preserve"> by the findings of </w:t>
      </w:r>
      <w:r w:rsidR="00DD258D">
        <w:t>a</w:t>
      </w:r>
      <w:r w:rsidRPr="00CC10E2">
        <w:t xml:space="preserve"> 2018 quantitative risk assessment conducted by researchers at FDA’s Center for Food Safety and Applied Nutrition (</w:t>
      </w:r>
      <w:r w:rsidR="000C609B">
        <w:fldChar w:fldCharType="begin"/>
      </w:r>
      <w:r w:rsidR="000C609B">
        <w:instrText xml:space="preserve"> REF _Ref51144713 \h </w:instrText>
      </w:r>
      <w:r w:rsidR="004B2A15">
        <w:instrText xml:space="preserve"> \* MERGEFORMAT </w:instrText>
      </w:r>
      <w:r w:rsidR="000C609B">
        <w:fldChar w:fldCharType="separate"/>
      </w:r>
      <w:r w:rsidRPr="006E43DC" w:rsidR="00FB6D94">
        <w:t xml:space="preserve">Ref. </w:t>
      </w:r>
      <w:r w:rsidR="00FB6D94">
        <w:rPr>
          <w:noProof/>
        </w:rPr>
        <w:t>55</w:t>
      </w:r>
      <w:r w:rsidR="000C609B">
        <w:fldChar w:fldCharType="end"/>
      </w:r>
      <w:r w:rsidRPr="00CC10E2">
        <w:t xml:space="preserve">). They assessed the risk of salmonellosis associated with the consumption of alfalfa sprouts to evaluate the public health impact of treating seeds and testing spent sprout irrigation water for </w:t>
      </w:r>
      <w:r w:rsidRPr="54B37D72">
        <w:rPr>
          <w:i/>
          <w:iCs/>
        </w:rPr>
        <w:t>Salmonella</w:t>
      </w:r>
      <w:r w:rsidRPr="00CC10E2">
        <w:t xml:space="preserve"> cells washed off during production. If there were no interventions, the assessment estimates that there would be 76,000 (95% confidence interval (CI) 15,400-248,000)</w:t>
      </w:r>
      <w:r>
        <w:rPr>
          <w:rStyle w:val="FootnoteReference"/>
        </w:rPr>
        <w:footnoteReference w:id="7"/>
      </w:r>
      <w:r w:rsidRPr="00CC10E2">
        <w:t xml:space="preserve"> cases of salmonellosis every year tied to the consumption of contaminated sprouts. The model indicates that the risk reduction from using a seed treatment that can achieve a 1-log reduction in </w:t>
      </w:r>
      <w:r w:rsidRPr="54B37D72">
        <w:rPr>
          <w:i/>
          <w:iCs/>
        </w:rPr>
        <w:t>Salmonella</w:t>
      </w:r>
      <w:r w:rsidRPr="00CC10E2">
        <w:t xml:space="preserve"> alone (i.e., without </w:t>
      </w:r>
      <w:r w:rsidRPr="00CC10E2" w:rsidR="00F25097">
        <w:t xml:space="preserve">spent sprout irrigation water </w:t>
      </w:r>
      <w:r w:rsidRPr="00CC10E2">
        <w:t xml:space="preserve">testing) is comparable to </w:t>
      </w:r>
      <w:r w:rsidRPr="00CC10E2" w:rsidR="00F25097">
        <w:t xml:space="preserve">spent sprout irrigation water </w:t>
      </w:r>
      <w:r w:rsidRPr="00CC10E2">
        <w:t xml:space="preserve">testing alone, and each additional 1-log reduction in </w:t>
      </w:r>
      <w:r w:rsidRPr="54B37D72">
        <w:rPr>
          <w:i/>
          <w:iCs/>
        </w:rPr>
        <w:t>Salmonella</w:t>
      </w:r>
      <w:r w:rsidRPr="00CC10E2">
        <w:t xml:space="preserve"> achieved by the seed treatment was predicted to provide additional reduction (i.e., greater than </w:t>
      </w:r>
      <w:r w:rsidRPr="00CC10E2" w:rsidR="00F25097">
        <w:t xml:space="preserve">spent sprout irrigation water </w:t>
      </w:r>
      <w:r w:rsidRPr="00CC10E2">
        <w:t>testing alone).</w:t>
      </w:r>
    </w:p>
    <w:p w:rsidR="009F7049" w:rsidRPr="00CC10E2" w:rsidP="00E47C04" w14:paraId="406AEFD4" w14:textId="49375BD3">
      <w:pPr>
        <w:pStyle w:val="GuidanceParagraph"/>
      </w:pPr>
      <w:r>
        <w:t xml:space="preserve">Among the approaches that the researchers evaluated, the one they found to have the greatest public health impact, is using a seed treatment that obtains a 5-log reduction of </w:t>
      </w:r>
      <w:r w:rsidRPr="54B37D72">
        <w:rPr>
          <w:i/>
          <w:iCs/>
        </w:rPr>
        <w:t>Salmonella</w:t>
      </w:r>
      <w:r>
        <w:t xml:space="preserve"> combined with testing </w:t>
      </w:r>
      <w:r w:rsidR="00F25097">
        <w:t>spent sprout irrigation water</w:t>
      </w:r>
      <w:r>
        <w:t>. Together, the</w:t>
      </w:r>
      <w:r w:rsidR="00A91722">
        <w:t>se two</w:t>
      </w:r>
      <w:r w:rsidR="002859F1">
        <w:t xml:space="preserve"> </w:t>
      </w:r>
      <w:r w:rsidR="005D6F7F">
        <w:t>interventions</w:t>
      </w:r>
      <w:r>
        <w:t xml:space="preserve"> would result in an estimated 99.9994% reduction in the number of salmonellosis cases per year – essentially no illnesses (95% CI &lt;1-1.5). A 3-log reduction treatment in combination with effective </w:t>
      </w:r>
      <w:r w:rsidR="00F25097">
        <w:t xml:space="preserve">spent sprout irrigation water </w:t>
      </w:r>
      <w:r>
        <w:t>testing (i.e., collecting and testing a sample that is representative of 100% of your batch of sprouts</w:t>
      </w:r>
      <w:r w:rsidRPr="54B37D72">
        <w:rPr>
          <w:rStyle w:val="CommentReference"/>
          <w:rFonts w:eastAsiaTheme="minorEastAsia"/>
          <w:sz w:val="24"/>
          <w:szCs w:val="24"/>
        </w:rPr>
        <w:t xml:space="preserve">) </w:t>
      </w:r>
      <w:r>
        <w:t>would reduce the number of cases per year to 45 (95% CI 10-146</w:t>
      </w:r>
      <w:bookmarkStart w:id="70" w:name="_Hlk41919509"/>
      <w:r>
        <w:t xml:space="preserve">). </w:t>
      </w:r>
      <w:bookmarkEnd w:id="70"/>
      <w:r>
        <w:t xml:space="preserve">Both approaches provide substantial public health benefits. </w:t>
      </w:r>
      <w:r>
        <w:t xml:space="preserve">However, the researchers estimate that there would be hundreds, or thousands, of illnesses if spent sprout irrigation water is tested in combination with treatments that achieve less than a 3-log reduction. For example, testing spent sprout irrigation water with a treatment that can obtain a 1-log reduction of </w:t>
      </w:r>
      <w:r w:rsidRPr="54B37D72">
        <w:rPr>
          <w:i/>
          <w:iCs/>
        </w:rPr>
        <w:t>Salmonella</w:t>
      </w:r>
      <w:r>
        <w:t xml:space="preserve"> is predicted to only reduce the number of cases per year to 3,560 (95% CI 821-11,400). Testing spent sprout irrigation water alone would only reduce the cases to an estimated 12,100 (95% CI 2,400-41,200) per year.</w:t>
      </w:r>
    </w:p>
    <w:p w:rsidR="00191DF8" w:rsidRPr="00CC10E2" w:rsidP="00E47C04" w14:paraId="42402BEF" w14:textId="5110C58A">
      <w:pPr>
        <w:pStyle w:val="GuidanceParagraph"/>
      </w:pPr>
      <w:r w:rsidRPr="00CC10E2">
        <w:t xml:space="preserve">Based on the results of this risk assessment, we recommend the use of a seed treatment that achieves at least a 3-log reduction in microorganisms of public health significance. As more efficacious seed treatments become readily available on the market and registered for this use, it is likely that we will update this recommendation in the future. For more information on </w:t>
      </w:r>
      <w:r w:rsidRPr="00CC10E2" w:rsidR="00F25097">
        <w:t xml:space="preserve">spent sprout irrigation water </w:t>
      </w:r>
      <w:r w:rsidRPr="00B806EA">
        <w:t xml:space="preserve">testing, see </w:t>
      </w:r>
      <w:r w:rsidRPr="00B806EA" w:rsidR="00F27986">
        <w:t>Section</w:t>
      </w:r>
      <w:r w:rsidRPr="00B806EA">
        <w:t xml:space="preserve"> </w:t>
      </w:r>
      <w:r w:rsidRPr="00B806EA" w:rsidR="008C6707">
        <w:t xml:space="preserve">V </w:t>
      </w:r>
      <w:r w:rsidR="00931098">
        <w:t>(Sampling and Testing of Spent Sprout Irrigation Water (or In-Process Sprouts)</w:t>
      </w:r>
      <w:r w:rsidR="003D4570">
        <w:t>)</w:t>
      </w:r>
      <w:r w:rsidR="00931098">
        <w:t xml:space="preserve"> </w:t>
      </w:r>
      <w:r w:rsidRPr="009C4709" w:rsidR="008C6707">
        <w:t xml:space="preserve">in </w:t>
      </w:r>
      <w:r w:rsidRPr="009C4709" w:rsidR="003C6B1D">
        <w:t xml:space="preserve">the </w:t>
      </w:r>
      <w:r w:rsidRPr="009C4709" w:rsidR="00F23D94">
        <w:t xml:space="preserve">draft </w:t>
      </w:r>
      <w:r w:rsidRPr="009C4709" w:rsidR="008C6707">
        <w:t xml:space="preserve">re-issued </w:t>
      </w:r>
      <w:r w:rsidRPr="009C4709" w:rsidR="00905D59">
        <w:t xml:space="preserve">sections </w:t>
      </w:r>
      <w:r w:rsidRPr="009C4709" w:rsidR="00770D4D">
        <w:t>(</w:t>
      </w:r>
      <w:r w:rsidRPr="009C4709" w:rsidR="0020768A">
        <w:fldChar w:fldCharType="begin"/>
      </w:r>
      <w:r w:rsidRPr="009C4709" w:rsidR="0020768A">
        <w:instrText xml:space="preserve"> REF _Ref126308691 \h </w:instrText>
      </w:r>
      <w:r w:rsidRPr="009C4709" w:rsidR="00891F20">
        <w:instrText xml:space="preserve"> \* MERGEFORMAT </w:instrText>
      </w:r>
      <w:r w:rsidRPr="009C4709" w:rsidR="0020768A">
        <w:fldChar w:fldCharType="separate"/>
      </w:r>
      <w:r w:rsidR="00FB6D94">
        <w:t xml:space="preserve">Ref. </w:t>
      </w:r>
      <w:r w:rsidR="00FB6D94">
        <w:rPr>
          <w:noProof/>
        </w:rPr>
        <w:t>18</w:t>
      </w:r>
      <w:r w:rsidRPr="009C4709" w:rsidR="0020768A">
        <w:fldChar w:fldCharType="end"/>
      </w:r>
      <w:r w:rsidRPr="009C4709" w:rsidR="00891F20">
        <w:t>)</w:t>
      </w:r>
      <w:r w:rsidRPr="009C4709">
        <w:t>.</w:t>
      </w:r>
    </w:p>
    <w:bookmarkEnd w:id="69"/>
    <w:p w:rsidR="00191DF8" w:rsidRPr="00CC10E2" w:rsidP="00E47C04" w14:paraId="5CABD5C8" w14:textId="689096A5">
      <w:pPr>
        <w:pStyle w:val="GuidanceParagraph"/>
      </w:pPr>
      <w:r w:rsidRPr="00CC10E2">
        <w:t xml:space="preserve">We recommend that you use the most efficacious seed treatment available that is practical for your operation to reduce the presence of microorganisms of public health significance on seeds for sprouting, with primary consideration given to reduction of </w:t>
      </w:r>
      <w:r w:rsidRPr="00CC10E2">
        <w:rPr>
          <w:i/>
        </w:rPr>
        <w:t xml:space="preserve">Salmonella </w:t>
      </w:r>
      <w:r w:rsidRPr="00CC10E2">
        <w:t xml:space="preserve">spp. and </w:t>
      </w:r>
      <w:r w:rsidRPr="00CC10E2">
        <w:rPr>
          <w:i/>
        </w:rPr>
        <w:t xml:space="preserve">E. coli </w:t>
      </w:r>
      <w:r w:rsidRPr="00CC10E2">
        <w:t xml:space="preserve">O157:H7. </w:t>
      </w:r>
      <w:r w:rsidR="00825E96">
        <w:t>Y</w:t>
      </w:r>
      <w:r w:rsidRPr="00CC10E2">
        <w:t xml:space="preserve">ou should not rely only on a treatment that achieves a low level of reduction if other, more effective, treatments that are practical for your operation are available. We understand that a 3-log reduction is the minimum level of reduction of pathogens the EPA will consider </w:t>
      </w:r>
      <w:r w:rsidR="00EE420A">
        <w:t xml:space="preserve">when </w:t>
      </w:r>
      <w:r w:rsidRPr="00CC10E2">
        <w:t xml:space="preserve">registering an antimicrobial treatment for seeds that includes a public health claim. Because using a treatment that provides a higher level of pathogen elimination before </w:t>
      </w:r>
      <w:r w:rsidRPr="00CC10E2" w:rsidR="003D1640">
        <w:t xml:space="preserve">spent sprout irrigation water </w:t>
      </w:r>
      <w:r w:rsidRPr="00CC10E2">
        <w:t>testing is undertaken is expected to reduce the number of production batches of sprouts that test positive for a pathogen (</w:t>
      </w:r>
      <w:r w:rsidR="000C609B">
        <w:fldChar w:fldCharType="begin"/>
      </w:r>
      <w:r w:rsidR="000C609B">
        <w:instrText xml:space="preserve"> REF _Ref51144713 \h </w:instrText>
      </w:r>
      <w:r w:rsidR="004B2A15">
        <w:instrText xml:space="preserve"> \* MERGEFORMAT </w:instrText>
      </w:r>
      <w:r w:rsidR="000C609B">
        <w:fldChar w:fldCharType="separate"/>
      </w:r>
      <w:r w:rsidRPr="006E43DC" w:rsidR="00FB6D94">
        <w:t xml:space="preserve">Ref. </w:t>
      </w:r>
      <w:r w:rsidR="00FB6D94">
        <w:rPr>
          <w:noProof/>
        </w:rPr>
        <w:t>55</w:t>
      </w:r>
      <w:r w:rsidR="000C609B">
        <w:fldChar w:fldCharType="end"/>
      </w:r>
      <w:r w:rsidRPr="00CC10E2">
        <w:t xml:space="preserve">), such an approach would minimize the likelihood that you will invest time and resources to produce a production batch of sprouts that is later determined to be contaminated through routine testing required under § 112.147 (and which must be discarded as a result, as required by § 112.148).  </w:t>
      </w:r>
    </w:p>
    <w:p w:rsidR="00191DF8" w:rsidRPr="00CC10E2" w:rsidP="00E47C04" w14:paraId="5FD7375E" w14:textId="3C1EB6C7">
      <w:pPr>
        <w:pStyle w:val="GuidanceParagraph"/>
      </w:pPr>
      <w:r w:rsidRPr="00CC10E2">
        <w:t xml:space="preserve">The validity and efficacy of any treatment is dependent on the specific parameters </w:t>
      </w:r>
      <w:r w:rsidR="007C25F4">
        <w:t>governing</w:t>
      </w:r>
      <w:r w:rsidRPr="00CC10E2">
        <w:t xml:space="preserve"> how the treatment is applied. You should carefully monitor those variables that impact the overall efficacy of the treatment, including, for example, seed type, treatment concentration, treatment time, temperature, pH, pressure, radiation dose, seed-to-treatment solution ratio, pre- and post-treatment rinsing, and agitation (as appropriate to maximize contact between seed and the treatment solution or gas). You must document observations of treatment and key parameters monitored during preparation and application of treatments (e.g., chemical composition of treatment solution, heating temperature, equipment used, concentration of treatment solution, treatment time, pH of treatment solution, presence of agitation)) (§</w:t>
      </w:r>
      <w:r w:rsidR="005C4999">
        <w:t xml:space="preserve"> </w:t>
      </w:r>
      <w:r w:rsidRPr="00CC10E2">
        <w:t>112.161)</w:t>
      </w:r>
      <w:r w:rsidR="009D0E88">
        <w:t>(a)</w:t>
      </w:r>
      <w:r w:rsidRPr="00CC10E2">
        <w:t>(1)(ii)</w:t>
      </w:r>
      <w:r w:rsidR="009D0E88">
        <w:t>)</w:t>
      </w:r>
      <w:r w:rsidRPr="00CC10E2">
        <w:t xml:space="preserve">. If you are utilizing a seed treatment described in scientific literature, you should ensure that your use of the treatment is within the parameters used in the study. In other words, you should ensure that the conditions under which the treatment was applied in the study are compatible with how you will be applying the treatment at your operation. For example, if the treatment you are considering has only been tested on alfalfa seeds, and you plan to use the treatment on mung beans, you should not assume that the treatment will be equally effective at reducing microorganisms of public health significance on mung beans. </w:t>
      </w:r>
      <w:r w:rsidR="42016A88">
        <w:t>You should, instead, obtain a study that was conducted on the type of seeds that you intend to treat.</w:t>
      </w:r>
      <w:r>
        <w:t xml:space="preserve"> </w:t>
      </w:r>
    </w:p>
    <w:p w:rsidR="108E861B" w:rsidP="00E47C04" w14:paraId="61CF029D" w14:textId="2C9E2ED1">
      <w:pPr>
        <w:pStyle w:val="GuidanceParagraph"/>
      </w:pPr>
      <w:r>
        <w:t>The Produce Safety Rule does not prohibit the use of proprietary seed treatments (e.g., treatments developed based on a firm’s own scientific research not published in scientific literature). However, your use of such a treatment method must meet the same requirements for scientific validity as must be met if you use a treatment based on published literature.</w:t>
      </w:r>
    </w:p>
    <w:p w:rsidR="00191DF8" w:rsidRPr="00CC10E2" w:rsidP="00E47C04" w14:paraId="3FE8F9C0" w14:textId="6072354B">
      <w:pPr>
        <w:pStyle w:val="GuidanceParagraph"/>
      </w:pPr>
      <w:r>
        <w:t>If you choose to treat seeds using a scientifically valid method</w:t>
      </w:r>
      <w:r w:rsidR="003141CF">
        <w:t xml:space="preserve"> </w:t>
      </w:r>
      <w:r>
        <w:t>to reduce microorganisms of public health significance</w:t>
      </w:r>
      <w:r w:rsidR="0057188B">
        <w:t xml:space="preserve"> at your operation </w:t>
      </w:r>
      <w:r w:rsidR="00663A56">
        <w:t>(i.e., instead of relying on prior seed treatment applied by an entity earlier in the supply chain)</w:t>
      </w:r>
      <w:r>
        <w:t>,</w:t>
      </w:r>
      <w:r w:rsidRPr="00CC10E2">
        <w:t xml:space="preserve"> you should develop a written seed treatment SOP as a best practice to help you </w:t>
      </w:r>
      <w:r w:rsidR="003F35CE">
        <w:t>improve</w:t>
      </w:r>
      <w:r w:rsidRPr="00CC10E2" w:rsidR="003F35CE">
        <w:t xml:space="preserve"> </w:t>
      </w:r>
      <w:r w:rsidRPr="00CC10E2">
        <w:t xml:space="preserve">the safety of your </w:t>
      </w:r>
      <w:r w:rsidR="003F35CE">
        <w:t>sprouts</w:t>
      </w:r>
      <w:r w:rsidRPr="00CC10E2">
        <w:t xml:space="preserve">. The SOP should include: </w:t>
      </w:r>
    </w:p>
    <w:p w:rsidR="00191DF8" w:rsidRPr="003E2FC9" w:rsidP="009A51CF" w14:paraId="67C20AEC" w14:textId="6A472967">
      <w:pPr>
        <w:pStyle w:val="GuidanceBulletLevel1"/>
      </w:pPr>
      <w:r w:rsidRPr="00CC10E2">
        <w:t>Objectives</w:t>
      </w:r>
      <w:r w:rsidR="008166DD">
        <w:t>;</w:t>
      </w:r>
    </w:p>
    <w:p w:rsidR="00191DF8" w:rsidRPr="003E2FC9" w:rsidP="009A51CF" w14:paraId="1A29E737" w14:textId="470C4E40">
      <w:pPr>
        <w:pStyle w:val="GuidanceBulletLevel1"/>
      </w:pPr>
      <w:r w:rsidRPr="00CC10E2">
        <w:t xml:space="preserve">Methods </w:t>
      </w:r>
      <w:r w:rsidRPr="00CC10E2">
        <w:t>used</w:t>
      </w:r>
      <w:r w:rsidR="008166DD">
        <w:t>;</w:t>
      </w:r>
    </w:p>
    <w:p w:rsidR="00191DF8" w:rsidRPr="003E2FC9" w:rsidP="009A51CF" w14:paraId="5497D689" w14:textId="3E22D46D">
      <w:pPr>
        <w:pStyle w:val="GuidanceBulletLevel1"/>
      </w:pPr>
      <w:r w:rsidRPr="00CC10E2">
        <w:t xml:space="preserve">Who is responsible for each </w:t>
      </w:r>
      <w:r w:rsidRPr="00CC10E2">
        <w:t>task</w:t>
      </w:r>
      <w:r w:rsidR="008166DD">
        <w:t>;</w:t>
      </w:r>
    </w:p>
    <w:p w:rsidR="00191DF8" w:rsidRPr="003E2FC9" w:rsidP="009A51CF" w14:paraId="600E3064" w14:textId="593C3802">
      <w:pPr>
        <w:pStyle w:val="GuidanceBulletLevel1"/>
      </w:pPr>
      <w:r w:rsidRPr="00CC10E2">
        <w:t xml:space="preserve">Materials </w:t>
      </w:r>
      <w:r w:rsidRPr="00CC10E2">
        <w:t>needed</w:t>
      </w:r>
      <w:r w:rsidR="008166DD">
        <w:t>;</w:t>
      </w:r>
    </w:p>
    <w:p w:rsidR="00191DF8" w:rsidRPr="003E2FC9" w:rsidP="009A51CF" w14:paraId="1B635861" w14:textId="763D7978">
      <w:pPr>
        <w:pStyle w:val="GuidanceBulletLevel1"/>
      </w:pPr>
      <w:r w:rsidRPr="00CC10E2">
        <w:t>Treatment procedures (e.g., how to prepare, how to monitor, how and when to discard</w:t>
      </w:r>
      <w:r w:rsidRPr="00CC10E2">
        <w:t>)</w:t>
      </w:r>
      <w:r w:rsidR="008166DD">
        <w:t>;</w:t>
      </w:r>
    </w:p>
    <w:p w:rsidR="00191DF8" w:rsidRPr="003E2FC9" w:rsidP="009A51CF" w14:paraId="4D4231DE" w14:textId="1FC4A31B">
      <w:pPr>
        <w:pStyle w:val="GuidanceBulletLevel1"/>
      </w:pPr>
      <w:r w:rsidRPr="00CC10E2">
        <w:t>Parameters to be measured or monitored</w:t>
      </w:r>
      <w:r w:rsidR="001255C0">
        <w:t>;</w:t>
      </w:r>
      <w:r w:rsidRPr="00CC10E2">
        <w:t xml:space="preserve"> and </w:t>
      </w:r>
    </w:p>
    <w:p w:rsidR="00191DF8" w:rsidRPr="003E2FC9" w:rsidP="009A51CF" w14:paraId="7F7FE710" w14:textId="0A7AE869">
      <w:pPr>
        <w:pStyle w:val="GuidanceBulletLevel1"/>
      </w:pPr>
      <w:r w:rsidRPr="00CC10E2">
        <w:t xml:space="preserve">Relevant records to be established and kept (in compliance with the requirements of § 112.150(b)(1) and otherwise). </w:t>
      </w:r>
    </w:p>
    <w:p w:rsidR="00191DF8" w:rsidRPr="00CC10E2" w:rsidP="006B398F" w14:paraId="1B28538C" w14:textId="3C157330">
      <w:pPr>
        <w:pStyle w:val="HHS508GuidanceOutline30"/>
      </w:pPr>
      <w:bookmarkStart w:id="71" w:name="_Toc44439333"/>
      <w:bookmarkStart w:id="72" w:name="_Toc106094946"/>
      <w:r w:rsidRPr="00CC10E2">
        <w:t>Using pre-treated seeds</w:t>
      </w:r>
      <w:bookmarkEnd w:id="71"/>
      <w:bookmarkEnd w:id="72"/>
    </w:p>
    <w:p w:rsidR="00191DF8" w:rsidRPr="00CC10E2" w:rsidP="00E47C04" w14:paraId="7CD7A1DD" w14:textId="1158B50A">
      <w:pPr>
        <w:pStyle w:val="GuidanceParagraph"/>
      </w:pPr>
      <w:r w:rsidRPr="00CC10E2">
        <w:t>There are several seed treatment methods that can be effectively applied by a grower, handler, or distributor of seeds such that, when followed by good handling and packaging practices, they can eliminate the need for you to treat seeds at your operation immediately before sprouting. However, you may, nonetheless, decide to re-treat pre</w:t>
      </w:r>
      <w:r w:rsidR="00AE5EB3">
        <w:t>-</w:t>
      </w:r>
      <w:r w:rsidRPr="00CC10E2">
        <w:t>treated seeds. Using pre</w:t>
      </w:r>
      <w:r w:rsidR="00AE5EB3">
        <w:t>-</w:t>
      </w:r>
      <w:r w:rsidRPr="00CC10E2">
        <w:t>treated seeds has several benefits, including increased flexibility for you and availability of treatment options that may be suitable for your supplier but cost-prohibitive to you (e.g., irradiation). We note that if you choose to purchase seeds that have been pre-treated with ionizing radiation, if you re</w:t>
      </w:r>
      <w:r w:rsidR="007B2362">
        <w:t>-</w:t>
      </w:r>
      <w:r w:rsidRPr="00CC10E2">
        <w:t>treat those same seeds with ionizing radiation, the cumulative dose must not exceed the maximum dose allowed by § 179.26(b)(10).</w:t>
      </w:r>
    </w:p>
    <w:p w:rsidR="00CF0C92" w:rsidP="00E47C04" w14:paraId="33F14FB1" w14:textId="177B3687">
      <w:pPr>
        <w:pStyle w:val="GuidanceParagraph"/>
      </w:pPr>
      <w:r w:rsidRPr="00CC10E2">
        <w:t xml:space="preserve">If you choose to rely, in whole or in part, on using pre-treated seeds, you must obtain documentation from your seed supplier that the treatment was conducted using a scientifically valid method to reduce microorganisms of public health significance (§ 112.142(e)(2)(i)) and that the treated seeds were handled and packaged, following the treatment, in a manner that minimizes the potential for contamination (§ 112.142(e)(2)(ii)). </w:t>
      </w:r>
      <w:bookmarkStart w:id="73" w:name="_Hlk41919597"/>
      <w:r w:rsidR="002D6BCB">
        <w:t>If you choose to rely solely on using pre-treated seeds, you must</w:t>
      </w:r>
      <w:r w:rsidRPr="00CC10E2">
        <w:t xml:space="preserve"> obtain documents of this type from your supplier that are specific to each lot of seeds you receive from that supplier.</w:t>
      </w:r>
      <w:bookmarkEnd w:id="73"/>
      <w:r w:rsidRPr="00CC10E2">
        <w:t xml:space="preserve"> One such type of document you may obtain is a Certificate of Conformance. Such a certificate (or other form of documentation used for this purpose) should include the name or brief description of the scientifically valid method used to treat the seeds, the level of log reduction that the method is capable of achieving, the type of seeds used for any relevant validation study, and the pathogen(s) targeted by the study. We recommend that you also ask your seed supplier for a written explanation of the treatment parameters that were applied, and the basis for their conclusion that the treatment is scientifically valid. In the event of an investigation or inspection of your sprout operation, we may ask to review the science supporting the seed treatment(s) you rely on, including proprietary treatment(s), to ensure it is scientifically valid.</w:t>
      </w:r>
      <w:r>
        <w:t xml:space="preserve">  </w:t>
      </w:r>
    </w:p>
    <w:p w:rsidR="00191DF8" w:rsidP="00E47C04" w14:paraId="76ACC3F0" w14:textId="4171AEAC">
      <w:pPr>
        <w:pStyle w:val="GuidanceParagraph"/>
      </w:pPr>
      <w:r w:rsidRPr="00392CF4">
        <w:t>If you intend to rely solely on a seed treatment conducted by an entity earlier in the supply chain (e.g., you will not re-treat the seeds yourself</w:t>
      </w:r>
      <w:r w:rsidR="00AF38C5">
        <w:t>)</w:t>
      </w:r>
      <w:r w:rsidRPr="00392CF4">
        <w:t>, you must store seeds that have received that prior treatment by the seed grower, distributor, or supplier under conditions that will prevent them from becoming contaminated (See § 112.142(e)(2)(ii)</w:t>
      </w:r>
      <w:r>
        <w:t xml:space="preserve"> and above </w:t>
      </w:r>
      <w:r w:rsidR="00FD4C05">
        <w:t>S</w:t>
      </w:r>
      <w:r>
        <w:t xml:space="preserve">ection </w:t>
      </w:r>
      <w:r w:rsidR="00FD4C05">
        <w:t xml:space="preserve">V. A. 5 </w:t>
      </w:r>
      <w:r w:rsidR="000814FC">
        <w:t>(</w:t>
      </w:r>
      <w:r>
        <w:t>Seed Storage</w:t>
      </w:r>
      <w:r w:rsidR="000814FC">
        <w:t>)</w:t>
      </w:r>
      <w:r>
        <w:t>)</w:t>
      </w:r>
      <w:r w:rsidRPr="00392CF4">
        <w:t>.</w:t>
      </w:r>
      <w:r>
        <w:t xml:space="preserve"> </w:t>
      </w:r>
    </w:p>
    <w:p w:rsidR="00191DF8" w:rsidRPr="00CC10E2" w:rsidP="006B398F" w14:paraId="7420A70B" w14:textId="6DE4FCE9">
      <w:pPr>
        <w:pStyle w:val="HHS508GuidanceOutline30"/>
      </w:pPr>
      <w:bookmarkStart w:id="74" w:name="_Toc44439334"/>
      <w:bookmarkStart w:id="75" w:name="_Toc106094947"/>
      <w:r w:rsidRPr="00CC10E2">
        <w:t>Additional considerations for treating seeds for sprouting</w:t>
      </w:r>
      <w:bookmarkEnd w:id="74"/>
      <w:bookmarkEnd w:id="75"/>
    </w:p>
    <w:p w:rsidR="00C91145" w:rsidRPr="00AE4E85" w:rsidP="00E47C04" w14:paraId="5D4646B5" w14:textId="36A185FB">
      <w:pPr>
        <w:pStyle w:val="HHS508GuidanceOutline4"/>
      </w:pPr>
      <w:bookmarkStart w:id="76" w:name="_Toc526937859"/>
      <w:bookmarkStart w:id="77" w:name="_Toc95120200"/>
      <w:r>
        <w:t xml:space="preserve"> </w:t>
      </w:r>
      <w:r w:rsidRPr="00AE4E85" w:rsidR="00127043">
        <w:t>Water Use</w:t>
      </w:r>
      <w:bookmarkEnd w:id="76"/>
      <w:bookmarkEnd w:id="77"/>
    </w:p>
    <w:p w:rsidR="00191DF8" w:rsidRPr="00CC10E2" w:rsidP="00E47C04" w14:paraId="05F177DF" w14:textId="38F9CBEC">
      <w:pPr>
        <w:pStyle w:val="GuidanceParagraph"/>
      </w:pPr>
      <w:r w:rsidRPr="00CC10E2">
        <w:t xml:space="preserve">If you use water to prepare your seed treatment, </w:t>
      </w:r>
      <w:r w:rsidR="00B24E7D">
        <w:t xml:space="preserve">the </w:t>
      </w:r>
      <w:r w:rsidRPr="00CC10E2">
        <w:t xml:space="preserve">water </w:t>
      </w:r>
      <w:r w:rsidR="00866A00">
        <w:t>is agricultural wate</w:t>
      </w:r>
      <w:r w:rsidR="00EA1BC4">
        <w:t xml:space="preserve">r </w:t>
      </w:r>
      <w:r w:rsidR="00866A00">
        <w:t xml:space="preserve">and therefore </w:t>
      </w:r>
      <w:r w:rsidRPr="00CC10E2">
        <w:t xml:space="preserve">must meet the microbial quality criteria in § 112.44(a) (i.e., no detectable generic </w:t>
      </w:r>
      <w:r w:rsidRPr="00CC10E2">
        <w:rPr>
          <w:i/>
        </w:rPr>
        <w:t xml:space="preserve">E. coli </w:t>
      </w:r>
      <w:r w:rsidRPr="00CC10E2">
        <w:t>in 100 mL water), and related requirements elsewhere in Subpart E.</w:t>
      </w:r>
      <w:bookmarkStart w:id="78" w:name="_Hlk23772139"/>
      <w:r w:rsidRPr="00CC10E2">
        <w:t xml:space="preserve"> </w:t>
      </w:r>
      <w:r w:rsidR="00EA1BC4">
        <w:t>Similarly, i</w:t>
      </w:r>
      <w:r w:rsidRPr="00CC10E2">
        <w:t>f you rinse or soak seeds before, during, or after seed treatment, water used for these purposes must also meet this microbial quality criterion, and related requirements elsewhere in Subpart E, because such water contacts FCSs (surfaces of the rinse or soak container that then contact seeds used for sprouting) (</w:t>
      </w:r>
      <w:r w:rsidR="00B24E7D">
        <w:t xml:space="preserve">See </w:t>
      </w:r>
      <w:r w:rsidRPr="00CC10E2">
        <w:t>§ 112.44(a)(3)</w:t>
      </w:r>
      <w:r w:rsidR="00B24E7D">
        <w:t>)</w:t>
      </w:r>
      <w:r w:rsidRPr="00CC10E2">
        <w:t xml:space="preserve"> and see </w:t>
      </w:r>
      <w:r w:rsidRPr="002C4119" w:rsidR="0027754B">
        <w:t>Section</w:t>
      </w:r>
      <w:r w:rsidRPr="002C4119">
        <w:t xml:space="preserve"> </w:t>
      </w:r>
      <w:r w:rsidRPr="002C4119" w:rsidR="0027754B">
        <w:t>I</w:t>
      </w:r>
      <w:r w:rsidRPr="002C4119">
        <w:t>V (Agricultural</w:t>
      </w:r>
      <w:r w:rsidRPr="00CC10E2">
        <w:t xml:space="preserve"> Water in Sprout Operations)). </w:t>
      </w:r>
      <w:bookmarkEnd w:id="78"/>
    </w:p>
    <w:p w:rsidR="00191DF8" w:rsidRPr="00127043" w:rsidP="00E47C04" w14:paraId="0DB16BF8" w14:textId="7E907245">
      <w:pPr>
        <w:pStyle w:val="HHS508GuidanceOutline4"/>
      </w:pPr>
      <w:r w:rsidRPr="00127043">
        <w:t xml:space="preserve">Equipment, </w:t>
      </w:r>
      <w:r w:rsidRPr="00127043" w:rsidR="002D6595">
        <w:t>t</w:t>
      </w:r>
      <w:r w:rsidRPr="00127043">
        <w:t xml:space="preserve">ools, and </w:t>
      </w:r>
      <w:r w:rsidR="002C2480">
        <w:t>storage</w:t>
      </w:r>
    </w:p>
    <w:p w:rsidR="00191DF8" w:rsidRPr="00CC10E2" w:rsidP="00E47C04" w14:paraId="77E935B6" w14:textId="4028211D">
      <w:pPr>
        <w:pStyle w:val="GuidanceParagraph"/>
      </w:pPr>
      <w:bookmarkStart w:id="79" w:name="_Hlk41919677"/>
      <w:r w:rsidRPr="00CC10E2">
        <w:t>You must visually examine seeds, and packaging used to ship seeds, for signs of potential contamination with known or reasonably foreseeable hazards (§ 112.142(d)). If you have stored the seeds for any length of time after their arrival at your operation and prior to sprouting, before bringing seeds into the treatment area, you should re-inspect bags of seeds for signs of contamination.</w:t>
      </w:r>
      <w:bookmarkEnd w:id="79"/>
      <w:r w:rsidRPr="00CC10E2">
        <w:t xml:space="preserve"> Any containers or utensils that will </w:t>
      </w:r>
      <w:r w:rsidRPr="00CC10E2">
        <w:t>come into contact with</w:t>
      </w:r>
      <w:r w:rsidRPr="00CC10E2">
        <w:t xml:space="preserve"> the seeds as part of the treatment process must be cleaned and sanitized before such contact (§ 112.143(b)). In addition, </w:t>
      </w:r>
      <w:r w:rsidRPr="00DA702D">
        <w:t xml:space="preserve">if you rinse or soak seeds prior to sprouting, you must clean and sanitize the FCSs of tools and equipment used during this activity before they contact the seeds (§ 112.143(b) and see </w:t>
      </w:r>
      <w:r w:rsidRPr="00DA702D" w:rsidR="0027754B">
        <w:t>Section</w:t>
      </w:r>
      <w:r w:rsidRPr="00DA702D">
        <w:t xml:space="preserve"> </w:t>
      </w:r>
      <w:r w:rsidRPr="00DA702D" w:rsidR="009017A6">
        <w:t>I</w:t>
      </w:r>
      <w:r w:rsidRPr="00DA702D" w:rsidR="0027754B">
        <w:t>II</w:t>
      </w:r>
      <w:r w:rsidRPr="00DA702D">
        <w:t xml:space="preserve"> (Cleaning and Sanitizing)).</w:t>
      </w:r>
      <w:r w:rsidRPr="00CC10E2">
        <w:t xml:space="preserve">  </w:t>
      </w:r>
    </w:p>
    <w:p w:rsidR="00191DF8" w:rsidRPr="00CC10E2" w:rsidP="00E47C04" w14:paraId="4FFB4AE1" w14:textId="6FA4CC08">
      <w:pPr>
        <w:pStyle w:val="HHS508GuidanceOutline4"/>
      </w:pPr>
      <w:r>
        <w:t xml:space="preserve"> </w:t>
      </w:r>
      <w:r w:rsidRPr="00CC10E2">
        <w:t>Pre-treatment rinse</w:t>
      </w:r>
      <w:r w:rsidRPr="00CC10E2">
        <w:t>, post-treatment rinse</w:t>
      </w:r>
      <w:r w:rsidR="00C63818">
        <w:t>,</w:t>
      </w:r>
      <w:r w:rsidRPr="00CC10E2">
        <w:t xml:space="preserve"> and pre-germination seed soak</w:t>
      </w:r>
    </w:p>
    <w:p w:rsidR="00191DF8" w:rsidRPr="00CC10E2" w:rsidP="00E47C04" w14:paraId="76746F9A" w14:textId="73A08D80">
      <w:pPr>
        <w:pStyle w:val="GuidanceParagraph"/>
      </w:pPr>
      <w:r w:rsidRPr="00CC10E2">
        <w:t xml:space="preserve">Seeds are typically rinsed before </w:t>
      </w:r>
      <w:r w:rsidRPr="00CC10E2">
        <w:t>treatment</w:t>
      </w:r>
      <w:r w:rsidR="00AF2649">
        <w:t>, and</w:t>
      </w:r>
      <w:r w:rsidR="00AF2649">
        <w:t xml:space="preserve"> may also be rinsed after treatment</w:t>
      </w:r>
      <w:r w:rsidRPr="00CC10E2">
        <w:t xml:space="preserve">. While the Produce Safety Rule does not require pre- </w:t>
      </w:r>
      <w:r w:rsidR="002F0AA9">
        <w:t>or post-</w:t>
      </w:r>
      <w:r w:rsidRPr="00CC10E2">
        <w:t>treatment rinsing, we recommend that seeds be rinsed thoroughly before treatment to remove dirt, and to increase the efficiency of the treatment. If you rinse seeds before treatment, you should repeat the rinsing process with new water until the visible dirt is removed and the rinse water runs clear. We also recommend that you conduct your rinse in such a way as to maximize seed surface contact with the water (e.g., by mixing). If you use a surfactant to help remove soil and debris during seed rinsing, it should be rinsed out completely before the next step.</w:t>
      </w:r>
    </w:p>
    <w:p w:rsidR="00191DF8" w:rsidRPr="00CC10E2" w:rsidP="00E47C04" w14:paraId="1B6FA3F3" w14:textId="3B0094A3">
      <w:pPr>
        <w:pStyle w:val="GuidanceParagraph"/>
      </w:pPr>
      <w:r w:rsidRPr="00CC10E2">
        <w:t xml:space="preserve">Depending on production practices and the type of seeds used, some sprout growers choose to use a pre-germination soak to improve germination. Soaking causes seeds to swell and softens their hulls to allow the sprout to grow out of the seed. Pre-germination soaking is not required by the Produce Safety Rule. If you rinse or soak seeds prior to sprouting, you must take any other measures that are reasonably necessary to prevent the introduction of known or reasonably foreseeable hazards into or onto the seeds during that process (§ 112.142(a)). </w:t>
      </w:r>
      <w:bookmarkStart w:id="80" w:name="_Hlk22649579"/>
      <w:r w:rsidRPr="00CC10E2">
        <w:t xml:space="preserve">Containers used to rinse or soak seeds should be large enough to allow thorough mixing. </w:t>
      </w:r>
      <w:bookmarkEnd w:id="80"/>
      <w:r w:rsidRPr="00CC10E2">
        <w:t xml:space="preserve">We recommend that you change the water each time you change the seeds you are rinsing or soaking (e.g., for each new production batch of sprouts) to ensure that it meets the </w:t>
      </w:r>
      <w:r w:rsidR="004E3056">
        <w:t xml:space="preserve">agricultural </w:t>
      </w:r>
      <w:r w:rsidRPr="00CC10E2">
        <w:t xml:space="preserve">water quality standards in </w:t>
      </w:r>
      <w:bookmarkStart w:id="81" w:name="_Hlk40869350"/>
      <w:r w:rsidRPr="00CC10E2">
        <w:t>§</w:t>
      </w:r>
      <w:bookmarkEnd w:id="81"/>
      <w:r w:rsidRPr="00CC10E2">
        <w:t>§ 112.41 and 112.44(a).</w:t>
      </w:r>
    </w:p>
    <w:p w:rsidR="00191DF8" w:rsidRPr="00CC10E2" w:rsidP="00E47C04" w14:paraId="5B63E9BB" w14:textId="347B17DC">
      <w:pPr>
        <w:pStyle w:val="HHS508GuidanceOutline4"/>
      </w:pPr>
      <w:r w:rsidRPr="00CC10E2">
        <w:t>Chemical seed treatment</w:t>
      </w:r>
    </w:p>
    <w:p w:rsidR="00191DF8" w:rsidRPr="00CC10E2" w:rsidP="00E47C04" w14:paraId="230A8513" w14:textId="7FB4EB36">
      <w:pPr>
        <w:pStyle w:val="GuidanceParagraph"/>
      </w:pPr>
      <w:r>
        <w:t>If</w:t>
      </w:r>
      <w:r w:rsidRPr="00CC10E2">
        <w:t xml:space="preserve"> </w:t>
      </w:r>
      <w:r w:rsidRPr="00CC10E2">
        <w:t xml:space="preserve">you apply a chemical seed treatment, you should use clean containers designated for mixing the treatment chemicals. You should take care when preparing the treatment to ensure that the chemical is present at the desired concentration. You should determine the quantity of treatment </w:t>
      </w:r>
      <w:r w:rsidRPr="00CC10E2">
        <w:t xml:space="preserve">solution needed based on the quantity of the seeds to be treated. You should refer to the chemical label instructions to calculate the amount of chemical needed to achieve the desired concentration in the desired volume of treatment solution. You should use a scale to weigh dry chemicals before adding them to the water (or </w:t>
      </w:r>
      <w:r w:rsidRPr="00CC10E2">
        <w:t>other</w:t>
      </w:r>
      <w:r w:rsidRPr="00CC10E2">
        <w:t xml:space="preserve"> diluent). You should stir the solution to mix it completely and dissolve all solids.  After mixing, you should verify the treatment solution concentration according to the label directions (e.g., with a test kit), since the concentration can impact treatment effectiveness.</w:t>
      </w:r>
    </w:p>
    <w:p w:rsidR="00191DF8" w:rsidRPr="00CC10E2" w:rsidP="00E47C04" w14:paraId="43F0A1E6" w14:textId="59434C04">
      <w:pPr>
        <w:pStyle w:val="GuidanceParagraph"/>
      </w:pPr>
      <w:r w:rsidRPr="00CC10E2">
        <w:t xml:space="preserve">Once the chemical treatment is prepared, you should </w:t>
      </w:r>
      <w:r w:rsidR="001C67AC">
        <w:t xml:space="preserve">carefully </w:t>
      </w:r>
      <w:r w:rsidRPr="00CC10E2">
        <w:t xml:space="preserve">combine it with the seeds. You should agitate the seeds and the chemical treatment at the correct temperature and for the appropriate amount of time according to your established procedures and the chemical’s label instructions. It is important to use the correct amount of treatment for a known quantity of seeds; too much seed and/or too little chemical may decrease the effectiveness of the treatment. The same batch of seed treatment solution should not be used to produce more than one production batch of sprouts; you should prepare a new treatment solution before each production batch of sprouts. You should rinse seeds thoroughly after treatment to remove any residual treatment </w:t>
      </w:r>
      <w:r w:rsidRPr="00CC10E2">
        <w:t>solution, if</w:t>
      </w:r>
      <w:r w:rsidRPr="00CC10E2">
        <w:t xml:space="preserve"> a rinse is recommended on the chemical label.</w:t>
      </w:r>
    </w:p>
    <w:p w:rsidR="00191DF8" w:rsidRPr="0047074F" w:rsidP="00F756C4" w14:paraId="1D99BBD3" w14:textId="46C3F5C7">
      <w:pPr>
        <w:pStyle w:val="HHS508GuidanceOutline2"/>
      </w:pPr>
      <w:bookmarkStart w:id="82" w:name="_Toc44439335"/>
      <w:bookmarkStart w:id="83" w:name="_Toc106094948"/>
      <w:r w:rsidRPr="0047074F">
        <w:t xml:space="preserve">Corrective Actions for Seeds That May Be Contaminated </w:t>
      </w:r>
      <w:r>
        <w:t>w</w:t>
      </w:r>
      <w:r w:rsidRPr="0047074F">
        <w:t>ith a Pathogen</w:t>
      </w:r>
      <w:bookmarkEnd w:id="82"/>
      <w:bookmarkEnd w:id="83"/>
    </w:p>
    <w:p w:rsidR="00191DF8" w:rsidRPr="00CC10E2" w:rsidP="00E47C04" w14:paraId="2DC753F0" w14:textId="6C71CFC3">
      <w:pPr>
        <w:pStyle w:val="GuidanceParagraph"/>
      </w:pPr>
      <w:r w:rsidRPr="00CC10E2">
        <w:t xml:space="preserve">If you learn that a lot of seeds has been associated with foodborne illness, or if you learn that a lot of seeds may be contaminated with a pathogen based on microbial test results (including those required under § 112.144(b)), you are required to take certain actions with respect to that seed lot and sprouts grown from that seed lot (§ 112.142(b)). If your seed supplier notifies you to stop using a lot of seed, we recommend you clarify with your supplier </w:t>
      </w:r>
      <w:r w:rsidR="00082311">
        <w:t>whether</w:t>
      </w:r>
      <w:r w:rsidRPr="00CC10E2" w:rsidR="00082311">
        <w:t xml:space="preserve"> </w:t>
      </w:r>
      <w:r w:rsidRPr="00CC10E2">
        <w:t>the request is due to potential contamination of the seed with a pathogen. You are required to maintain records related to corrective actions taken on seed for sprouting (§ 112.1</w:t>
      </w:r>
      <w:r w:rsidR="00A270F0">
        <w:t>5</w:t>
      </w:r>
      <w:r w:rsidRPr="00CC10E2">
        <w:t xml:space="preserve">0(b)(6)). You should maintain a record to support your decision on whether to take a corrective action on potentially contaminated seed, </w:t>
      </w:r>
      <w:r w:rsidR="00DA70A8">
        <w:t xml:space="preserve">including, </w:t>
      </w:r>
      <w:r w:rsidRPr="00CC10E2">
        <w:t>for example</w:t>
      </w:r>
      <w:r w:rsidR="00DA70A8">
        <w:t>,</w:t>
      </w:r>
      <w:r w:rsidRPr="00CC10E2">
        <w:t xml:space="preserve"> a record of the discussion with your seed supplier, the reason given for asking you to not use </w:t>
      </w:r>
      <w:r w:rsidRPr="00CC10E2">
        <w:t>the</w:t>
      </w:r>
      <w:r w:rsidRPr="00CC10E2">
        <w:t xml:space="preserve"> lot of seed, and the date on which this information was communicated.</w:t>
      </w:r>
    </w:p>
    <w:p w:rsidR="00191DF8" w:rsidRPr="00CC10E2" w:rsidP="00E47C04" w14:paraId="3FBE1B7D" w14:textId="71249D67">
      <w:pPr>
        <w:pStyle w:val="GuidanceParagraph"/>
      </w:pPr>
      <w:r w:rsidRPr="00CC10E2">
        <w:t xml:space="preserve">Section 112.142(b) requires that in such circumstances, except as provided in § 112.142(c), you must discontinue use of all seeds from that lot for sprout production (§112.142(b)(1)), must ensure that sprouts grown from that lot of seeds do not enter commerce (§112.142(b)(1)), and must report the information to the seed grower, distributor, supplier, or other entity from whom the seed was purchased (§112.142(b)(2)). </w:t>
      </w:r>
      <w:r w:rsidRPr="00B279E2" w:rsidR="00B279E2">
        <w:rPr>
          <w:color w:val="000000"/>
        </w:rPr>
        <w:t>Research indicates that seed or bean contamination, when it occurs, may be at low levels, intermittent, or unequally distributed within lots.  Even low levels of human pathogens on seeds or beans used for sprouting are a concern, due to the ideal growth conditions present during sprouting. Once you know or have reason to believe that a lot of seeds or beans is contaminated, for example through microbial testing, there is reason to believe that other parts of that lot may also be contaminated.  Even if you subdivide the original lot you receive, corrective actions are applicable to the entire original lot of seeds or beans.</w:t>
      </w:r>
    </w:p>
    <w:p w:rsidR="00191DF8" w:rsidRPr="00CC10E2" w:rsidP="00E47C04" w14:paraId="31C89273" w14:textId="201C3494">
      <w:pPr>
        <w:pStyle w:val="GuidanceParagraph"/>
      </w:pPr>
      <w:r w:rsidRPr="00CC10E2">
        <w:t xml:space="preserve">You are required to report the findings to whomever supplied the seeds to you (e.g., the seed grower, distributor, or supplier) so that entity can then take appropriate follow-up actions. These </w:t>
      </w:r>
      <w:r w:rsidRPr="00CC10E2">
        <w:t>actions may include informing other buyers about the contamination of the suspected lot of seeds, destroying or diverting any remaining seeds from that lot to non-food uses, and/or investigating the potential source of contamination, as necessary. Additionally, your seed grower, distributor, or supplier may be required to submit a report to the Reportable Food Registry (RFR), which requires food facilities to report certain information to the FDA when there is a reasonable probability that the use of, or exposure to, an article of food will cause serious adverse health consequences or death to humans or animals.</w:t>
      </w:r>
    </w:p>
    <w:p w:rsidR="00191DF8" w:rsidRPr="00CC10E2" w:rsidP="00E47C04" w14:paraId="005E7126" w14:textId="77777777">
      <w:pPr>
        <w:pStyle w:val="GuidanceParagraph"/>
      </w:pPr>
      <w:r w:rsidRPr="00CC10E2">
        <w:t>Depending on the circumstances, it may also be appropriate for you to recall sprouts that have already entered commerce that were produced from the affected seed lot. You should recall any sprouts that are adulterated.</w:t>
      </w:r>
    </w:p>
    <w:p w:rsidR="00191DF8" w:rsidRPr="00CC10E2" w:rsidP="00E47C04" w14:paraId="7EE1FF9E" w14:textId="41B81AB9">
      <w:pPr>
        <w:pStyle w:val="GuidanceParagraph"/>
      </w:pPr>
      <w:r>
        <w:t xml:space="preserve">When your belief that a lot of seeds may be contaminated is based solely on microbial test results (e.g., </w:t>
      </w:r>
      <w:r w:rsidR="003D1640">
        <w:t xml:space="preserve">spent sprout irrigation water </w:t>
      </w:r>
      <w:r>
        <w:t xml:space="preserve">test result), you would not have to take the steps described in §112.142(b)(1) (i.e., discontinuing use of the suspect lot of seeds and ensuring that sprouts made from them do not enter commerce) if you treat the suspect lot with a process that is reasonably certain to achieve destruction or elimination of the most resistant microorganisms of public health significance that are likely to occur in the seeds (§112.142(c)(1)). </w:t>
      </w:r>
      <w:r w:rsidR="00931116">
        <w:t xml:space="preserve">(We emphasize that such processes are far more robust than seed treatments described in §112.142(e), which typically only reduce the numbers of microorganisms of public health significance, rather than eliminating them.) </w:t>
      </w:r>
      <w:r>
        <w:t xml:space="preserve">This option exists to allow you flexibility in responding to a finding of a pathogen in a seed lot that would otherwise mean </w:t>
      </w:r>
      <w:r w:rsidR="00082311">
        <w:t xml:space="preserve">you </w:t>
      </w:r>
      <w:r>
        <w:t xml:space="preserve">would have to discontinue use of the seeds, and to encourage future innovation in seed treatment processes. Processes that meet the requirements of §112.142(c)(1) are not, at this time, commonly used in the sprouting industry. </w:t>
      </w:r>
    </w:p>
    <w:p w:rsidR="00191DF8" w:rsidRPr="00CC10E2" w:rsidP="00E47C04" w14:paraId="2409A7FC" w14:textId="24B77639">
      <w:pPr>
        <w:pStyle w:val="GuidanceParagraph"/>
      </w:pPr>
      <w:r w:rsidRPr="00CC10E2">
        <w:t xml:space="preserve">Further, when your belief that a lot of seeds may be contaminated is based solely on microbial test results (e.g., </w:t>
      </w:r>
      <w:r w:rsidRPr="00CC10E2" w:rsidR="003D1640">
        <w:t xml:space="preserve">spent sprout irrigation water </w:t>
      </w:r>
      <w:r w:rsidRPr="00CC10E2">
        <w:t xml:space="preserve">or in-process sprout test result), </w:t>
      </w:r>
      <w:r w:rsidR="00431BC9">
        <w:t xml:space="preserve">and </w:t>
      </w:r>
      <w:r w:rsidRPr="00CC10E2">
        <w:t xml:space="preserve">if you reasonably determine, through appropriate follow-up actions, that the lot of seeds is not the source of contamination, you do not have to take the steps in § 112.142(b)(1) or (2) (i.e., discontinuing use of that seed lot and ensuring that sprouts grown from that lot do not enter commerce), nor do you need to inform the seed grower, distributor or supplier of the positive test result). We acknowledge that a </w:t>
      </w:r>
      <w:r w:rsidRPr="00CC10E2" w:rsidR="003D1640">
        <w:t>spent sprout irrigation water</w:t>
      </w:r>
      <w:r w:rsidRPr="00CC10E2">
        <w:t xml:space="preserve">/in-process sprout sample that tests positive for a pathogen could be caused by contamination that originated either in the seed or elsewhere during the sprout growing process. Nonetheless, you must take the corrective actions described in § 112.142(b)(1), unless you can reasonably determine, through appropriate follow-up actions, that </w:t>
      </w:r>
      <w:r w:rsidRPr="00CC10E2">
        <w:t>the</w:t>
      </w:r>
      <w:r w:rsidRPr="00CC10E2">
        <w:t xml:space="preserve"> lot of seeds is not the source of contamination. However, we expect that the situations in which you could take follow-up actions that would be adequate for you to reasonably determine that </w:t>
      </w:r>
      <w:r w:rsidRPr="00CC10E2">
        <w:t>the</w:t>
      </w:r>
      <w:r w:rsidRPr="00CC10E2">
        <w:t xml:space="preserve"> lot of seeds was not the source of contamination are quite limited. For examples of scenarios in which we believe such a determination might be appropriate, see </w:t>
      </w:r>
      <w:r w:rsidRPr="0034487B" w:rsidR="005F1C19">
        <w:t>80 FR 74353</w:t>
      </w:r>
      <w:r w:rsidRPr="00CC10E2">
        <w:t xml:space="preserve"> at 74500-74501 (November 27, 2015).</w:t>
      </w:r>
    </w:p>
    <w:p w:rsidR="00191DF8" w:rsidRPr="00CC10E2" w:rsidP="00E47C04" w14:paraId="036CBDFF" w14:textId="6204C8CC">
      <w:pPr>
        <w:pStyle w:val="GuidanceParagraph"/>
      </w:pPr>
      <w:r w:rsidRPr="00CC10E2">
        <w:t xml:space="preserve">Section 112.150(b)(6) requires that you establish and keep records of certain corrective actions including those corrective actions taken in accordance with §§ 112.142(b) and (c) (i.e., required actions if you know or have reason to believe that a lot of seeds may be contaminated with a pathogen) and § 112.148 (i.e., additional required actions where your knowledge or reason to believe that the lot of seeds is contaminated came from required spent sprout irrigation water or </w:t>
      </w:r>
      <w:r w:rsidRPr="00CC10E2">
        <w:t xml:space="preserve">sprout pathogen testing pursuant to § 112.144(b)). Such records must comply with all applicable requirements for records in Subpart O.  </w:t>
      </w:r>
    </w:p>
    <w:p w:rsidR="00191DF8" w:rsidRPr="00CC10E2" w:rsidP="00E47C04" w14:paraId="05B43708" w14:textId="0EC6575E">
      <w:pPr>
        <w:pStyle w:val="GuidanceParagraph"/>
      </w:pPr>
      <w:r w:rsidRPr="00CC10E2">
        <w:t>In the event that</w:t>
      </w:r>
      <w:r w:rsidRPr="00CC10E2">
        <w:t xml:space="preserve"> your sprouts are associated with foodborne illness, you are required to discontinue use of all seeds from the affected lot for sprout production and ensure that sprouts grown from that lot of seeds do not enter commerce (§ 112.142(b)(1)). Also, you must report the information (i.e., association of the seed lot with illness) to your grower, distributor, supplier, or other entity from whom you received that seed lot (§ 112.142(b)(2)). We are not aware of actions that you could take to demonstrate that </w:t>
      </w:r>
      <w:r w:rsidRPr="00CC10E2">
        <w:t>the</w:t>
      </w:r>
      <w:r w:rsidRPr="00CC10E2">
        <w:t xml:space="preserve"> lot of seeds was not the source of contamination following an outbreak of foodborne illness associated with your sprouts. Regulators may </w:t>
      </w:r>
      <w:r w:rsidRPr="00CC10E2">
        <w:t>make a determination</w:t>
      </w:r>
      <w:r w:rsidRPr="00CC10E2">
        <w:t xml:space="preserve"> that the seeds were not associated with the foodborne illness outbreak, but it is unlikely that you would have adequate information and records (e.g., epidemiological data and traceback information) to make that determination independently. Therefore, in such circumstances you must take the actions required in §§ 112.142(b)(1) and (2).</w:t>
      </w:r>
    </w:p>
    <w:p w:rsidR="00191DF8" w:rsidRPr="00CC10E2" w:rsidP="00E47C04" w14:paraId="0E6389EB" w14:textId="322E8F48">
      <w:pPr>
        <w:pStyle w:val="GuidanceParagraph"/>
      </w:pPr>
      <w:r w:rsidRPr="00CC10E2">
        <w:t xml:space="preserve">To facilitate taking any necessary corrective actions associated with your seed, we recommend that you establish and keep sufficient records to allow you to maintain the lot identity of the seeds you receive and the sprouts you produce, by which we mean that you would be able to determine which seed lot was used to grow each production batch of sprouts, and which container(s) of seed is part of a lot of seed. For each seed lot, your records </w:t>
      </w:r>
      <w:r w:rsidRPr="00CC10E2">
        <w:rPr>
          <w:spacing w:val="-1"/>
        </w:rPr>
        <w:t>should</w:t>
      </w:r>
      <w:r w:rsidRPr="00CC10E2">
        <w:t xml:space="preserve"> </w:t>
      </w:r>
      <w:r w:rsidRPr="00CC10E2">
        <w:rPr>
          <w:spacing w:val="-1"/>
        </w:rPr>
        <w:t xml:space="preserve">allow </w:t>
      </w:r>
      <w:r w:rsidRPr="00CC10E2">
        <w:rPr>
          <w:spacing w:val="-2"/>
        </w:rPr>
        <w:t>you</w:t>
      </w:r>
      <w:r w:rsidRPr="00CC10E2">
        <w:t xml:space="preserve"> to </w:t>
      </w:r>
      <w:r w:rsidRPr="00CC10E2">
        <w:rPr>
          <w:spacing w:val="-1"/>
        </w:rPr>
        <w:t>determine</w:t>
      </w:r>
      <w:r w:rsidRPr="00CC10E2">
        <w:rPr>
          <w:spacing w:val="1"/>
        </w:rPr>
        <w:t xml:space="preserve"> </w:t>
      </w:r>
      <w:r w:rsidRPr="00CC10E2">
        <w:t>the</w:t>
      </w:r>
      <w:r w:rsidRPr="00CC10E2">
        <w:rPr>
          <w:spacing w:val="-2"/>
        </w:rPr>
        <w:t xml:space="preserve"> </w:t>
      </w:r>
      <w:r w:rsidRPr="00CC10E2">
        <w:rPr>
          <w:spacing w:val="-1"/>
        </w:rPr>
        <w:t>identity</w:t>
      </w:r>
      <w:r w:rsidRPr="00CC10E2">
        <w:rPr>
          <w:spacing w:val="-5"/>
        </w:rPr>
        <w:t xml:space="preserve"> </w:t>
      </w:r>
      <w:r w:rsidRPr="00CC10E2">
        <w:rPr>
          <w:spacing w:val="1"/>
        </w:rPr>
        <w:t>of</w:t>
      </w:r>
      <w:r w:rsidRPr="00CC10E2">
        <w:rPr>
          <w:spacing w:val="-3"/>
        </w:rPr>
        <w:t xml:space="preserve"> </w:t>
      </w:r>
      <w:r w:rsidRPr="00CC10E2">
        <w:t>the</w:t>
      </w:r>
      <w:r w:rsidRPr="00CC10E2">
        <w:rPr>
          <w:spacing w:val="1"/>
        </w:rPr>
        <w:t xml:space="preserve"> </w:t>
      </w:r>
      <w:r w:rsidRPr="00CC10E2">
        <w:rPr>
          <w:spacing w:val="-1"/>
        </w:rPr>
        <w:t>supplier,</w:t>
      </w:r>
      <w:r w:rsidRPr="00CC10E2">
        <w:t xml:space="preserve"> </w:t>
      </w:r>
      <w:r w:rsidRPr="00CC10E2">
        <w:rPr>
          <w:spacing w:val="-1"/>
        </w:rPr>
        <w:t>variety of the seed,</w:t>
      </w:r>
      <w:r w:rsidRPr="00CC10E2">
        <w:t xml:space="preserve"> date</w:t>
      </w:r>
      <w:r w:rsidRPr="00CC10E2">
        <w:rPr>
          <w:spacing w:val="1"/>
        </w:rPr>
        <w:t xml:space="preserve"> </w:t>
      </w:r>
      <w:r w:rsidRPr="00CC10E2">
        <w:t>of</w:t>
      </w:r>
      <w:r w:rsidRPr="00CC10E2">
        <w:rPr>
          <w:spacing w:val="59"/>
        </w:rPr>
        <w:t xml:space="preserve"> </w:t>
      </w:r>
      <w:r w:rsidRPr="00CC10E2">
        <w:rPr>
          <w:spacing w:val="-1"/>
        </w:rPr>
        <w:t>receipt,</w:t>
      </w:r>
      <w:r w:rsidRPr="00CC10E2">
        <w:t xml:space="preserve"> </w:t>
      </w:r>
      <w:r w:rsidRPr="00CC10E2">
        <w:rPr>
          <w:spacing w:val="-1"/>
        </w:rPr>
        <w:t>batch</w:t>
      </w:r>
      <w:r w:rsidRPr="00CC10E2">
        <w:t xml:space="preserve"> or </w:t>
      </w:r>
      <w:r w:rsidRPr="00CC10E2">
        <w:rPr>
          <w:spacing w:val="-1"/>
        </w:rPr>
        <w:t>lot</w:t>
      </w:r>
      <w:r w:rsidRPr="00CC10E2">
        <w:t xml:space="preserve"> </w:t>
      </w:r>
      <w:r w:rsidRPr="00CC10E2">
        <w:rPr>
          <w:spacing w:val="-1"/>
        </w:rPr>
        <w:t>number</w:t>
      </w:r>
      <w:r w:rsidRPr="00CC10E2">
        <w:t xml:space="preserve"> of</w:t>
      </w:r>
      <w:r w:rsidRPr="00CC10E2">
        <w:rPr>
          <w:spacing w:val="-3"/>
        </w:rPr>
        <w:t xml:space="preserve"> </w:t>
      </w:r>
      <w:r w:rsidRPr="00CC10E2">
        <w:t>the</w:t>
      </w:r>
      <w:r w:rsidRPr="00CC10E2">
        <w:rPr>
          <w:spacing w:val="1"/>
        </w:rPr>
        <w:t xml:space="preserve"> </w:t>
      </w:r>
      <w:r w:rsidRPr="00CC10E2">
        <w:rPr>
          <w:spacing w:val="-1"/>
        </w:rPr>
        <w:t>seed</w:t>
      </w:r>
      <w:r w:rsidRPr="00CC10E2">
        <w:rPr>
          <w:spacing w:val="-3"/>
        </w:rPr>
        <w:t xml:space="preserve"> </w:t>
      </w:r>
      <w:r w:rsidRPr="00CC10E2">
        <w:rPr>
          <w:spacing w:val="-1"/>
        </w:rPr>
        <w:t>that</w:t>
      </w:r>
      <w:r w:rsidRPr="00CC10E2">
        <w:t xml:space="preserve"> </w:t>
      </w:r>
      <w:r w:rsidRPr="00CC10E2">
        <w:rPr>
          <w:spacing w:val="-2"/>
        </w:rPr>
        <w:t>you</w:t>
      </w:r>
      <w:r w:rsidRPr="00CC10E2">
        <w:t xml:space="preserve"> </w:t>
      </w:r>
      <w:r w:rsidRPr="00CC10E2">
        <w:rPr>
          <w:spacing w:val="-1"/>
        </w:rPr>
        <w:t>received</w:t>
      </w:r>
      <w:r w:rsidRPr="00CC10E2">
        <w:t xml:space="preserve"> </w:t>
      </w:r>
      <w:r w:rsidRPr="00CC10E2">
        <w:rPr>
          <w:spacing w:val="-1"/>
        </w:rPr>
        <w:t>(including</w:t>
      </w:r>
      <w:r w:rsidRPr="00CC10E2">
        <w:rPr>
          <w:spacing w:val="-3"/>
        </w:rPr>
        <w:t xml:space="preserve"> </w:t>
      </w:r>
      <w:r w:rsidRPr="00CC10E2">
        <w:rPr>
          <w:spacing w:val="-1"/>
        </w:rPr>
        <w:t>all</w:t>
      </w:r>
      <w:r w:rsidRPr="00CC10E2">
        <w:t xml:space="preserve"> </w:t>
      </w:r>
      <w:r w:rsidRPr="00CC10E2">
        <w:rPr>
          <w:spacing w:val="-1"/>
        </w:rPr>
        <w:t>identifying</w:t>
      </w:r>
      <w:r w:rsidRPr="00CC10E2">
        <w:rPr>
          <w:spacing w:val="-3"/>
        </w:rPr>
        <w:t xml:space="preserve"> </w:t>
      </w:r>
      <w:r w:rsidRPr="00CC10E2">
        <w:t>numbers</w:t>
      </w:r>
      <w:r w:rsidRPr="00CC10E2">
        <w:rPr>
          <w:spacing w:val="-1"/>
        </w:rPr>
        <w:t xml:space="preserve"> assigned</w:t>
      </w:r>
      <w:r w:rsidRPr="00CC10E2">
        <w:rPr>
          <w:spacing w:val="61"/>
        </w:rPr>
        <w:t xml:space="preserve"> </w:t>
      </w:r>
      <w:r w:rsidRPr="00CC10E2">
        <w:t>to the</w:t>
      </w:r>
      <w:r w:rsidRPr="00CC10E2">
        <w:rPr>
          <w:spacing w:val="1"/>
        </w:rPr>
        <w:t xml:space="preserve"> </w:t>
      </w:r>
      <w:r w:rsidRPr="00CC10E2">
        <w:rPr>
          <w:spacing w:val="-1"/>
        </w:rPr>
        <w:t>seed,</w:t>
      </w:r>
      <w:r w:rsidRPr="00CC10E2">
        <w:t xml:space="preserve"> </w:t>
      </w:r>
      <w:r w:rsidRPr="00CC10E2">
        <w:rPr>
          <w:spacing w:val="-1"/>
        </w:rPr>
        <w:t>both</w:t>
      </w:r>
      <w:r w:rsidRPr="00CC10E2">
        <w:t xml:space="preserve"> by</w:t>
      </w:r>
      <w:r w:rsidRPr="00CC10E2">
        <w:rPr>
          <w:spacing w:val="-5"/>
        </w:rPr>
        <w:t xml:space="preserve"> </w:t>
      </w:r>
      <w:r w:rsidRPr="00CC10E2">
        <w:t>the</w:t>
      </w:r>
      <w:r w:rsidRPr="00CC10E2">
        <w:rPr>
          <w:spacing w:val="1"/>
        </w:rPr>
        <w:t xml:space="preserve"> </w:t>
      </w:r>
      <w:r w:rsidRPr="00CC10E2">
        <w:rPr>
          <w:spacing w:val="-1"/>
        </w:rPr>
        <w:t>supplier</w:t>
      </w:r>
      <w:r w:rsidRPr="00CC10E2">
        <w:rPr>
          <w:spacing w:val="-3"/>
        </w:rPr>
        <w:t xml:space="preserve"> </w:t>
      </w:r>
      <w:r w:rsidRPr="00CC10E2">
        <w:t>and by</w:t>
      </w:r>
      <w:r w:rsidRPr="00CC10E2">
        <w:rPr>
          <w:spacing w:val="-3"/>
        </w:rPr>
        <w:t xml:space="preserve"> </w:t>
      </w:r>
      <w:r w:rsidRPr="00CC10E2">
        <w:rPr>
          <w:spacing w:val="-2"/>
        </w:rPr>
        <w:t>you</w:t>
      </w:r>
      <w:r w:rsidRPr="00CC10E2">
        <w:rPr>
          <w:spacing w:val="-1"/>
        </w:rPr>
        <w:t>,</w:t>
      </w:r>
      <w:r w:rsidRPr="00CC10E2">
        <w:t xml:space="preserve"> if</w:t>
      </w:r>
      <w:r w:rsidRPr="00CC10E2">
        <w:rPr>
          <w:spacing w:val="-3"/>
        </w:rPr>
        <w:t xml:space="preserve"> </w:t>
      </w:r>
      <w:r w:rsidRPr="00CC10E2">
        <w:rPr>
          <w:spacing w:val="-1"/>
        </w:rPr>
        <w:t>different),</w:t>
      </w:r>
      <w:r w:rsidRPr="00CC10E2">
        <w:t xml:space="preserve"> </w:t>
      </w:r>
      <w:r w:rsidRPr="00CC10E2">
        <w:rPr>
          <w:spacing w:val="-1"/>
        </w:rPr>
        <w:t>and</w:t>
      </w:r>
      <w:r w:rsidRPr="00CC10E2">
        <w:t xml:space="preserve"> </w:t>
      </w:r>
      <w:r w:rsidRPr="00CC10E2">
        <w:rPr>
          <w:spacing w:val="-1"/>
        </w:rPr>
        <w:t>the</w:t>
      </w:r>
      <w:r w:rsidRPr="00CC10E2">
        <w:rPr>
          <w:spacing w:val="1"/>
        </w:rPr>
        <w:t xml:space="preserve"> </w:t>
      </w:r>
      <w:r w:rsidRPr="00CC10E2">
        <w:rPr>
          <w:spacing w:val="-1"/>
        </w:rPr>
        <w:t>date(s)</w:t>
      </w:r>
      <w:r w:rsidRPr="00CC10E2">
        <w:rPr>
          <w:spacing w:val="-2"/>
        </w:rPr>
        <w:t xml:space="preserve"> </w:t>
      </w:r>
      <w:r w:rsidRPr="00CC10E2">
        <w:t>that</w:t>
      </w:r>
      <w:r w:rsidRPr="00CC10E2">
        <w:rPr>
          <w:spacing w:val="-2"/>
        </w:rPr>
        <w:t xml:space="preserve"> you</w:t>
      </w:r>
      <w:r w:rsidRPr="00CC10E2">
        <w:t xml:space="preserve"> </w:t>
      </w:r>
      <w:r w:rsidRPr="00CC10E2">
        <w:rPr>
          <w:spacing w:val="-1"/>
        </w:rPr>
        <w:t>used</w:t>
      </w:r>
      <w:r w:rsidRPr="00CC10E2">
        <w:t xml:space="preserve"> the</w:t>
      </w:r>
      <w:r w:rsidRPr="00CC10E2">
        <w:rPr>
          <w:spacing w:val="73"/>
        </w:rPr>
        <w:t xml:space="preserve"> </w:t>
      </w:r>
      <w:r w:rsidRPr="00CC10E2">
        <w:rPr>
          <w:spacing w:val="-1"/>
        </w:rPr>
        <w:t>seed</w:t>
      </w:r>
      <w:r w:rsidRPr="00CC10E2">
        <w:t xml:space="preserve"> </w:t>
      </w:r>
      <w:r w:rsidRPr="00CC10E2">
        <w:rPr>
          <w:spacing w:val="-1"/>
        </w:rPr>
        <w:t>from</w:t>
      </w:r>
      <w:r w:rsidRPr="00CC10E2">
        <w:t xml:space="preserve"> </w:t>
      </w:r>
      <w:r w:rsidRPr="00CC10E2">
        <w:rPr>
          <w:spacing w:val="-1"/>
        </w:rPr>
        <w:t>that</w:t>
      </w:r>
      <w:r w:rsidRPr="00CC10E2">
        <w:t xml:space="preserve"> </w:t>
      </w:r>
      <w:r w:rsidRPr="00CC10E2">
        <w:rPr>
          <w:spacing w:val="-1"/>
        </w:rPr>
        <w:t>lot</w:t>
      </w:r>
      <w:r w:rsidRPr="00CC10E2">
        <w:t xml:space="preserve"> </w:t>
      </w:r>
      <w:r w:rsidRPr="00CC10E2">
        <w:rPr>
          <w:spacing w:val="-1"/>
        </w:rPr>
        <w:t>for</w:t>
      </w:r>
      <w:r w:rsidRPr="00CC10E2">
        <w:t xml:space="preserve"> </w:t>
      </w:r>
      <w:r w:rsidRPr="00CC10E2">
        <w:rPr>
          <w:spacing w:val="-1"/>
        </w:rPr>
        <w:t xml:space="preserve">sprouting). </w:t>
      </w:r>
      <w:r w:rsidRPr="00CC10E2">
        <w:t>This</w:t>
      </w:r>
      <w:r w:rsidRPr="00CC10E2">
        <w:rPr>
          <w:spacing w:val="-1"/>
        </w:rPr>
        <w:t xml:space="preserve"> information will</w:t>
      </w:r>
      <w:r w:rsidRPr="00CC10E2">
        <w:t xml:space="preserve"> </w:t>
      </w:r>
      <w:r w:rsidRPr="00CC10E2">
        <w:rPr>
          <w:spacing w:val="-1"/>
        </w:rPr>
        <w:t>facilitate</w:t>
      </w:r>
      <w:r w:rsidRPr="00CC10E2">
        <w:rPr>
          <w:spacing w:val="-2"/>
        </w:rPr>
        <w:t xml:space="preserve"> </w:t>
      </w:r>
      <w:r w:rsidRPr="00CC10E2">
        <w:rPr>
          <w:spacing w:val="-1"/>
        </w:rPr>
        <w:t>traceback</w:t>
      </w:r>
      <w:r w:rsidRPr="00CC10E2">
        <w:t xml:space="preserve"> to </w:t>
      </w:r>
      <w:r w:rsidRPr="00CC10E2">
        <w:rPr>
          <w:spacing w:val="-2"/>
        </w:rPr>
        <w:t>your</w:t>
      </w:r>
      <w:r w:rsidRPr="00CC10E2">
        <w:t xml:space="preserve"> </w:t>
      </w:r>
      <w:r w:rsidRPr="00CC10E2">
        <w:rPr>
          <w:spacing w:val="-1"/>
        </w:rPr>
        <w:t>seed</w:t>
      </w:r>
      <w:r w:rsidRPr="00CC10E2">
        <w:t xml:space="preserve"> </w:t>
      </w:r>
      <w:r w:rsidRPr="00CC10E2">
        <w:rPr>
          <w:spacing w:val="-1"/>
        </w:rPr>
        <w:t>supplier</w:t>
      </w:r>
      <w:r w:rsidRPr="00CC10E2">
        <w:rPr>
          <w:spacing w:val="-3"/>
        </w:rPr>
        <w:t xml:space="preserve"> </w:t>
      </w:r>
      <w:r w:rsidRPr="00CC10E2">
        <w:t xml:space="preserve">and </w:t>
      </w:r>
      <w:r w:rsidRPr="00CC10E2">
        <w:rPr>
          <w:spacing w:val="-1"/>
        </w:rPr>
        <w:t>(when</w:t>
      </w:r>
      <w:r w:rsidRPr="00CC10E2">
        <w:rPr>
          <w:spacing w:val="75"/>
        </w:rPr>
        <w:t xml:space="preserve"> </w:t>
      </w:r>
      <w:r w:rsidRPr="00CC10E2">
        <w:rPr>
          <w:spacing w:val="-1"/>
        </w:rPr>
        <w:t>possible)</w:t>
      </w:r>
      <w:r w:rsidRPr="00CC10E2">
        <w:t xml:space="preserve"> to</w:t>
      </w:r>
      <w:r w:rsidRPr="00CC10E2">
        <w:rPr>
          <w:spacing w:val="-3"/>
        </w:rPr>
        <w:t xml:space="preserve"> </w:t>
      </w:r>
      <w:r w:rsidRPr="00CC10E2">
        <w:t>the</w:t>
      </w:r>
      <w:r w:rsidRPr="00CC10E2">
        <w:rPr>
          <w:spacing w:val="1"/>
        </w:rPr>
        <w:t xml:space="preserve"> </w:t>
      </w:r>
      <w:r w:rsidRPr="00CC10E2">
        <w:rPr>
          <w:spacing w:val="-1"/>
        </w:rPr>
        <w:t>seed</w:t>
      </w:r>
      <w:r w:rsidRPr="00CC10E2">
        <w:t xml:space="preserve"> </w:t>
      </w:r>
      <w:r w:rsidRPr="00CC10E2">
        <w:rPr>
          <w:spacing w:val="-1"/>
        </w:rPr>
        <w:t>grower</w:t>
      </w:r>
      <w:r w:rsidRPr="00CC10E2">
        <w:t xml:space="preserve"> as</w:t>
      </w:r>
      <w:r w:rsidRPr="00CC10E2">
        <w:rPr>
          <w:spacing w:val="-1"/>
        </w:rPr>
        <w:t xml:space="preserve"> needed.</w:t>
      </w:r>
      <w:r w:rsidR="001A1BCF">
        <w:rPr>
          <w:spacing w:val="-1"/>
        </w:rPr>
        <w:t xml:space="preserve"> </w:t>
      </w:r>
      <w:r w:rsidRPr="00CC10E2">
        <w:rPr>
          <w:spacing w:val="-1"/>
        </w:rPr>
        <w:t>Maintaining</w:t>
      </w:r>
      <w:r w:rsidRPr="00CC10E2">
        <w:rPr>
          <w:spacing w:val="-3"/>
        </w:rPr>
        <w:t xml:space="preserve"> </w:t>
      </w:r>
      <w:r w:rsidRPr="00CC10E2">
        <w:t>records</w:t>
      </w:r>
      <w:r w:rsidRPr="00CC10E2">
        <w:rPr>
          <w:spacing w:val="-1"/>
        </w:rPr>
        <w:t xml:space="preserve"> that</w:t>
      </w:r>
      <w:r w:rsidRPr="00CC10E2">
        <w:t xml:space="preserve"> </w:t>
      </w:r>
      <w:r w:rsidRPr="00CC10E2">
        <w:rPr>
          <w:spacing w:val="-1"/>
        </w:rPr>
        <w:t>provide</w:t>
      </w:r>
      <w:r w:rsidRPr="00CC10E2">
        <w:rPr>
          <w:spacing w:val="1"/>
        </w:rPr>
        <w:t xml:space="preserve"> </w:t>
      </w:r>
      <w:r w:rsidRPr="00CC10E2">
        <w:rPr>
          <w:spacing w:val="-1"/>
        </w:rPr>
        <w:t>traceability</w:t>
      </w:r>
      <w:r w:rsidRPr="00CC10E2">
        <w:rPr>
          <w:spacing w:val="-5"/>
        </w:rPr>
        <w:t xml:space="preserve"> </w:t>
      </w:r>
      <w:r w:rsidRPr="00CC10E2">
        <w:rPr>
          <w:spacing w:val="1"/>
        </w:rPr>
        <w:t>by</w:t>
      </w:r>
      <w:r w:rsidRPr="00CC10E2">
        <w:rPr>
          <w:spacing w:val="-3"/>
        </w:rPr>
        <w:t xml:space="preserve"> </w:t>
      </w:r>
      <w:r w:rsidRPr="00CC10E2">
        <w:rPr>
          <w:spacing w:val="-1"/>
        </w:rPr>
        <w:t>connecting</w:t>
      </w:r>
      <w:r w:rsidRPr="00CC10E2">
        <w:rPr>
          <w:spacing w:val="69"/>
        </w:rPr>
        <w:t xml:space="preserve"> </w:t>
      </w:r>
      <w:r w:rsidRPr="00CC10E2">
        <w:t>each</w:t>
      </w:r>
      <w:r w:rsidRPr="00CC10E2">
        <w:rPr>
          <w:spacing w:val="-3"/>
        </w:rPr>
        <w:t xml:space="preserve"> </w:t>
      </w:r>
      <w:r w:rsidRPr="00CC10E2">
        <w:rPr>
          <w:spacing w:val="-1"/>
        </w:rPr>
        <w:t>production</w:t>
      </w:r>
      <w:r w:rsidRPr="00CC10E2">
        <w:t xml:space="preserve"> </w:t>
      </w:r>
      <w:r w:rsidRPr="00CC10E2">
        <w:rPr>
          <w:spacing w:val="-1"/>
        </w:rPr>
        <w:t>batch</w:t>
      </w:r>
      <w:r w:rsidRPr="00CC10E2">
        <w:t xml:space="preserve"> of</w:t>
      </w:r>
      <w:r w:rsidRPr="00CC10E2">
        <w:rPr>
          <w:spacing w:val="-3"/>
        </w:rPr>
        <w:t xml:space="preserve"> </w:t>
      </w:r>
      <w:r w:rsidRPr="00CC10E2">
        <w:rPr>
          <w:spacing w:val="-1"/>
        </w:rPr>
        <w:t xml:space="preserve">sprouts </w:t>
      </w:r>
      <w:r w:rsidRPr="00CC10E2">
        <w:t xml:space="preserve">to </w:t>
      </w:r>
      <w:r w:rsidRPr="00CC10E2">
        <w:rPr>
          <w:spacing w:val="-1"/>
        </w:rPr>
        <w:t>the</w:t>
      </w:r>
      <w:r w:rsidRPr="00CC10E2">
        <w:rPr>
          <w:spacing w:val="1"/>
        </w:rPr>
        <w:t xml:space="preserve"> </w:t>
      </w:r>
      <w:r w:rsidRPr="00CC10E2">
        <w:rPr>
          <w:spacing w:val="-1"/>
        </w:rPr>
        <w:t>lot</w:t>
      </w:r>
      <w:r w:rsidRPr="00CC10E2">
        <w:t xml:space="preserve"> of</w:t>
      </w:r>
      <w:r w:rsidRPr="00CC10E2">
        <w:rPr>
          <w:spacing w:val="-3"/>
        </w:rPr>
        <w:t xml:space="preserve"> </w:t>
      </w:r>
      <w:r w:rsidRPr="00CC10E2">
        <w:rPr>
          <w:spacing w:val="-1"/>
        </w:rPr>
        <w:t>seeds used</w:t>
      </w:r>
      <w:r w:rsidRPr="00CC10E2">
        <w:t xml:space="preserve"> to </w:t>
      </w:r>
      <w:r w:rsidRPr="00CC10E2">
        <w:rPr>
          <w:spacing w:val="-1"/>
        </w:rPr>
        <w:t xml:space="preserve">grow </w:t>
      </w:r>
      <w:r w:rsidRPr="00CC10E2">
        <w:t>them</w:t>
      </w:r>
      <w:r w:rsidRPr="00CC10E2">
        <w:rPr>
          <w:spacing w:val="-2"/>
        </w:rPr>
        <w:t xml:space="preserve"> </w:t>
      </w:r>
      <w:r w:rsidRPr="00CC10E2">
        <w:t xml:space="preserve">can </w:t>
      </w:r>
      <w:r w:rsidRPr="00CC10E2">
        <w:rPr>
          <w:spacing w:val="-1"/>
        </w:rPr>
        <w:t>help</w:t>
      </w:r>
      <w:r w:rsidRPr="00CC10E2">
        <w:rPr>
          <w:spacing w:val="-3"/>
        </w:rPr>
        <w:t xml:space="preserve"> </w:t>
      </w:r>
      <w:r w:rsidRPr="00CC10E2">
        <w:rPr>
          <w:spacing w:val="-1"/>
        </w:rPr>
        <w:t>minimize</w:t>
      </w:r>
      <w:r w:rsidRPr="00CC10E2">
        <w:rPr>
          <w:spacing w:val="1"/>
        </w:rPr>
        <w:t xml:space="preserve"> </w:t>
      </w:r>
      <w:r w:rsidRPr="00CC10E2">
        <w:rPr>
          <w:spacing w:val="-1"/>
        </w:rPr>
        <w:t>the</w:t>
      </w:r>
      <w:r w:rsidRPr="00CC10E2">
        <w:rPr>
          <w:spacing w:val="1"/>
        </w:rPr>
        <w:t xml:space="preserve"> </w:t>
      </w:r>
      <w:r w:rsidRPr="00CC10E2">
        <w:rPr>
          <w:spacing w:val="-1"/>
        </w:rPr>
        <w:t>scope</w:t>
      </w:r>
      <w:r w:rsidRPr="00CC10E2">
        <w:rPr>
          <w:spacing w:val="59"/>
        </w:rPr>
        <w:t xml:space="preserve"> </w:t>
      </w:r>
      <w:r w:rsidRPr="00CC10E2">
        <w:t>of</w:t>
      </w:r>
      <w:r w:rsidRPr="00CC10E2">
        <w:rPr>
          <w:spacing w:val="-3"/>
        </w:rPr>
        <w:t xml:space="preserve"> </w:t>
      </w:r>
      <w:r w:rsidRPr="00CC10E2">
        <w:t xml:space="preserve">product </w:t>
      </w:r>
      <w:r w:rsidRPr="00CC10E2">
        <w:rPr>
          <w:spacing w:val="-1"/>
        </w:rPr>
        <w:t>potentially</w:t>
      </w:r>
      <w:r w:rsidRPr="00CC10E2">
        <w:rPr>
          <w:spacing w:val="-5"/>
        </w:rPr>
        <w:t xml:space="preserve"> </w:t>
      </w:r>
      <w:r w:rsidRPr="00CC10E2">
        <w:t>affected</w:t>
      </w:r>
      <w:r w:rsidRPr="00CC10E2">
        <w:rPr>
          <w:spacing w:val="-3"/>
        </w:rPr>
        <w:t xml:space="preserve"> </w:t>
      </w:r>
      <w:r w:rsidRPr="00CC10E2">
        <w:t xml:space="preserve">in </w:t>
      </w:r>
      <w:r w:rsidRPr="00CC10E2">
        <w:rPr>
          <w:spacing w:val="-1"/>
        </w:rPr>
        <w:t>the</w:t>
      </w:r>
      <w:r w:rsidRPr="00CC10E2">
        <w:rPr>
          <w:spacing w:val="1"/>
        </w:rPr>
        <w:t xml:space="preserve"> </w:t>
      </w:r>
      <w:r w:rsidRPr="00CC10E2">
        <w:rPr>
          <w:spacing w:val="-1"/>
        </w:rPr>
        <w:t>event</w:t>
      </w:r>
      <w:r w:rsidRPr="00CC10E2">
        <w:t xml:space="preserve"> of</w:t>
      </w:r>
      <w:r w:rsidRPr="00CC10E2">
        <w:rPr>
          <w:spacing w:val="-3"/>
        </w:rPr>
        <w:t xml:space="preserve"> </w:t>
      </w:r>
      <w:r w:rsidRPr="00CC10E2">
        <w:t>a</w:t>
      </w:r>
      <w:r w:rsidRPr="00CC10E2">
        <w:rPr>
          <w:spacing w:val="1"/>
        </w:rPr>
        <w:t xml:space="preserve"> </w:t>
      </w:r>
      <w:r w:rsidRPr="00CC10E2">
        <w:rPr>
          <w:spacing w:val="-1"/>
        </w:rPr>
        <w:t>problem</w:t>
      </w:r>
      <w:r w:rsidRPr="00CC10E2">
        <w:t xml:space="preserve"> </w:t>
      </w:r>
      <w:r w:rsidRPr="00CC10E2">
        <w:rPr>
          <w:spacing w:val="-1"/>
        </w:rPr>
        <w:t>with</w:t>
      </w:r>
      <w:r w:rsidRPr="00CC10E2">
        <w:t xml:space="preserve"> a</w:t>
      </w:r>
      <w:r w:rsidRPr="00CC10E2">
        <w:rPr>
          <w:spacing w:val="-2"/>
        </w:rPr>
        <w:t xml:space="preserve"> </w:t>
      </w:r>
      <w:r w:rsidRPr="00CC10E2">
        <w:rPr>
          <w:spacing w:val="-1"/>
        </w:rPr>
        <w:t>particular</w:t>
      </w:r>
      <w:r w:rsidRPr="00CC10E2">
        <w:t xml:space="preserve"> </w:t>
      </w:r>
      <w:r w:rsidRPr="00CC10E2">
        <w:rPr>
          <w:spacing w:val="-1"/>
        </w:rPr>
        <w:t>production</w:t>
      </w:r>
      <w:r w:rsidRPr="00CC10E2">
        <w:rPr>
          <w:spacing w:val="-3"/>
        </w:rPr>
        <w:t xml:space="preserve"> </w:t>
      </w:r>
      <w:r w:rsidRPr="00CC10E2">
        <w:rPr>
          <w:spacing w:val="-1"/>
        </w:rPr>
        <w:t>batch</w:t>
      </w:r>
      <w:r w:rsidRPr="00CC10E2">
        <w:t xml:space="preserve"> of</w:t>
      </w:r>
      <w:r w:rsidRPr="00CC10E2">
        <w:rPr>
          <w:spacing w:val="-3"/>
        </w:rPr>
        <w:t xml:space="preserve"> </w:t>
      </w:r>
      <w:r w:rsidRPr="00CC10E2">
        <w:rPr>
          <w:spacing w:val="-1"/>
        </w:rPr>
        <w:t>sprouts</w:t>
      </w:r>
      <w:r w:rsidRPr="00CC10E2">
        <w:rPr>
          <w:spacing w:val="61"/>
        </w:rPr>
        <w:t xml:space="preserve"> </w:t>
      </w:r>
      <w:r w:rsidRPr="00CC10E2">
        <w:t>or a</w:t>
      </w:r>
      <w:r w:rsidRPr="00CC10E2">
        <w:rPr>
          <w:spacing w:val="1"/>
        </w:rPr>
        <w:t xml:space="preserve"> </w:t>
      </w:r>
      <w:r w:rsidRPr="00CC10E2">
        <w:rPr>
          <w:spacing w:val="-1"/>
        </w:rPr>
        <w:t>particular</w:t>
      </w:r>
      <w:r w:rsidRPr="00CC10E2">
        <w:t xml:space="preserve"> lot</w:t>
      </w:r>
      <w:r w:rsidRPr="00CC10E2">
        <w:rPr>
          <w:spacing w:val="-2"/>
        </w:rPr>
        <w:t xml:space="preserve"> </w:t>
      </w:r>
      <w:r w:rsidRPr="00CC10E2">
        <w:t>of</w:t>
      </w:r>
      <w:r w:rsidRPr="00CC10E2">
        <w:rPr>
          <w:spacing w:val="-3"/>
        </w:rPr>
        <w:t xml:space="preserve"> </w:t>
      </w:r>
      <w:r w:rsidRPr="00CC10E2">
        <w:rPr>
          <w:spacing w:val="-1"/>
        </w:rPr>
        <w:t>seeds.</w:t>
      </w:r>
      <w:r w:rsidRPr="00CC10E2">
        <w:t xml:space="preserve"> For example, if you receive a positive test result on a spent sprout irrigation water test, you will need to know which seed lot(s) you used to grow that batch of sprouts, in order to comply with the corrective actions require</w:t>
      </w:r>
      <w:r w:rsidR="00754CDD">
        <w:t>d</w:t>
      </w:r>
      <w:r w:rsidRPr="00CC10E2">
        <w:t xml:space="preserve"> in § 112.142(b). If your records do not allow you to identify which batch of seed was used to grow the contaminated product, you will need to take the required corrective actions on all seed of that variety at your operation (e.g., if your records do not identify which </w:t>
      </w:r>
      <w:r w:rsidRPr="00CC10E2" w:rsidR="7A5909FD">
        <w:t>lot</w:t>
      </w:r>
      <w:r w:rsidRPr="00CC10E2">
        <w:t xml:space="preserve"> of clover seed was used to produce a batch of clover sprouts that tested positive for </w:t>
      </w:r>
      <w:r w:rsidRPr="00CC10E2">
        <w:rPr>
          <w:i/>
        </w:rPr>
        <w:t xml:space="preserve">Salmonella, </w:t>
      </w:r>
      <w:r w:rsidRPr="00CC10E2">
        <w:t>you would need to discontinue use of all lots of clover seed at your operation in order to comply with the requirements of § 112.142(b), unless you can reasonably determine, through appropriate follow-up actions, that the lot of seeds is not the source of contamination). We recommend that you maintain such records related to each lot of seeds for at least two years after your last use of the seed lot.</w:t>
      </w:r>
    </w:p>
    <w:p w:rsidR="00191DF8" w:rsidRPr="002D1C5E" w:rsidP="00A16344" w14:paraId="5CBA6208" w14:textId="5F681632">
      <w:pPr>
        <w:pStyle w:val="HHS508GuidanceOutline1"/>
      </w:pPr>
      <w:bookmarkStart w:id="84" w:name="_Toc44439353"/>
      <w:bookmarkStart w:id="85" w:name="_Toc106094949"/>
      <w:r w:rsidRPr="002D1C5E">
        <w:t>Environmental Monitoring</w:t>
      </w:r>
      <w:bookmarkEnd w:id="84"/>
      <w:bookmarkEnd w:id="85"/>
    </w:p>
    <w:p w:rsidR="00191DF8" w:rsidRPr="00CC10E2" w:rsidP="00E47C04" w14:paraId="0C43D8FC" w14:textId="78CC4729">
      <w:pPr>
        <w:pStyle w:val="GuidanceParagraph"/>
      </w:pPr>
      <w:r w:rsidRPr="00CC10E2">
        <w:t xml:space="preserve">This </w:t>
      </w:r>
      <w:r w:rsidR="00C84797">
        <w:t>section</w:t>
      </w:r>
      <w:r w:rsidRPr="00CC10E2">
        <w:t xml:space="preserve"> of the guidance is intended to help you comply with the requirements of the Produce Safety Rule for environmental monitoring of the sprout growing, harvesting, packing, and holding environment by sampling and testing environmental samples for </w:t>
      </w:r>
      <w:r w:rsidRPr="00CC10E2">
        <w:rPr>
          <w:i/>
        </w:rPr>
        <w:t xml:space="preserve">Listeria </w:t>
      </w:r>
      <w:r w:rsidRPr="00CC10E2">
        <w:t xml:space="preserve">species (spp.) or </w:t>
      </w:r>
      <w:r w:rsidRPr="00CC10E2">
        <w:rPr>
          <w:i/>
        </w:rPr>
        <w:t xml:space="preserve">Listeria monocytogenes </w:t>
      </w:r>
      <w:r w:rsidRPr="00CC10E2">
        <w:t>(</w:t>
      </w:r>
      <w:r w:rsidRPr="00CC10E2">
        <w:rPr>
          <w:i/>
        </w:rPr>
        <w:t>L. monocytogenes</w:t>
      </w:r>
      <w:r w:rsidRPr="00CC10E2">
        <w:t xml:space="preserve">). For the purposes of this guidance, environmental samples are samples collected from a surface or area of the growing, harvesting, packing, or holding environment for the purpose of testing the surface or area for the presence of </w:t>
      </w:r>
      <w:r w:rsidRPr="00CC10E2">
        <w:rPr>
          <w:i/>
        </w:rPr>
        <w:t xml:space="preserve">Listeria </w:t>
      </w:r>
      <w:r w:rsidRPr="00CC10E2">
        <w:t xml:space="preserve">spp. or </w:t>
      </w:r>
      <w:r w:rsidRPr="00CC10E2">
        <w:rPr>
          <w:i/>
        </w:rPr>
        <w:t xml:space="preserve">L. monocytogenes, </w:t>
      </w:r>
      <w:r w:rsidRPr="00CC10E2">
        <w:t xml:space="preserve">in accordance with the requirements of §§ 112.144(a) and 112.145. To accomplish this, you must establish and implement a written environmental monitoring plan that is designed to identify </w:t>
      </w:r>
      <w:r w:rsidRPr="00CC10E2">
        <w:rPr>
          <w:i/>
        </w:rPr>
        <w:t xml:space="preserve">L. monocytogenes </w:t>
      </w:r>
      <w:r w:rsidRPr="00CC10E2">
        <w:t xml:space="preserve">if it is present in the growing, harvesting, packing, or holding environment (§ 112.145(a)). As part of your environmental monitoring plan, you must develop a sampling plan (§ 112.145(c)) that includes how often, when, and where you will sample the environment, and identifies the microorganism for which you will test (i.e., </w:t>
      </w:r>
      <w:r w:rsidRPr="00CC10E2">
        <w:rPr>
          <w:i/>
        </w:rPr>
        <w:t xml:space="preserve">Listeria </w:t>
      </w:r>
      <w:r w:rsidRPr="00CC10E2">
        <w:t xml:space="preserve">spp. or </w:t>
      </w:r>
      <w:r w:rsidRPr="00CC10E2">
        <w:rPr>
          <w:i/>
        </w:rPr>
        <w:t>L. monocytogenes</w:t>
      </w:r>
      <w:r w:rsidRPr="00CC10E2">
        <w:t>). You must collect environmental samples aseptically and test them using a method as set forth in § 112.152 (§ 112.145(d)).</w:t>
      </w:r>
    </w:p>
    <w:p w:rsidR="00191DF8" w:rsidRPr="00CC10E2" w:rsidP="00E47C04" w14:paraId="59734EBB" w14:textId="7BEF87E7">
      <w:pPr>
        <w:pStyle w:val="GuidanceParagraph"/>
      </w:pPr>
      <w:r>
        <w:t xml:space="preserve">The written environmental monitoring plan must also include a corrective action plan that, at a minimum, requires you to take the actions in § 112.146, and details when and how you will accomplish those actions, if the growing, harvesting, packing, or holding environment tests positive for </w:t>
      </w:r>
      <w:r w:rsidRPr="54B37D72">
        <w:rPr>
          <w:i/>
          <w:iCs/>
        </w:rPr>
        <w:t xml:space="preserve">Listeria </w:t>
      </w:r>
      <w:r>
        <w:t xml:space="preserve">spp. or </w:t>
      </w:r>
      <w:r w:rsidRPr="54B37D72">
        <w:rPr>
          <w:i/>
          <w:iCs/>
        </w:rPr>
        <w:t xml:space="preserve">L. monocytogenes </w:t>
      </w:r>
      <w:r>
        <w:t xml:space="preserve">(§ 112.145(e)). The presence of </w:t>
      </w:r>
      <w:r w:rsidRPr="54B37D72">
        <w:rPr>
          <w:i/>
          <w:iCs/>
        </w:rPr>
        <w:t xml:space="preserve">Listeria </w:t>
      </w:r>
      <w:r>
        <w:t xml:space="preserve">spp. on </w:t>
      </w:r>
      <w:r w:rsidR="00E879DB">
        <w:t>a</w:t>
      </w:r>
      <w:r>
        <w:t xml:space="preserve"> surface indicates the potential for contamination of that surface with </w:t>
      </w:r>
      <w:r w:rsidRPr="54B37D72">
        <w:rPr>
          <w:i/>
          <w:iCs/>
        </w:rPr>
        <w:t xml:space="preserve">L. monocytogenes </w:t>
      </w:r>
      <w:r>
        <w:t xml:space="preserve">and suggests that conditions are suitable for survival and/or growth of </w:t>
      </w:r>
      <w:r w:rsidRPr="54B37D72">
        <w:rPr>
          <w:i/>
          <w:iCs/>
        </w:rPr>
        <w:t>L</w:t>
      </w:r>
      <w:r>
        <w:t xml:space="preserve">. </w:t>
      </w:r>
      <w:r w:rsidRPr="54B37D72">
        <w:rPr>
          <w:i/>
          <w:iCs/>
        </w:rPr>
        <w:t>monocytogenes</w:t>
      </w:r>
      <w:r w:rsidR="006E5B03">
        <w:rPr>
          <w:i/>
          <w:iCs/>
        </w:rPr>
        <w:t xml:space="preserve"> </w:t>
      </w:r>
      <w:r w:rsidRPr="006E5B03" w:rsidR="006E5B03">
        <w:t>(</w:t>
      </w:r>
      <w:r w:rsidR="00095332">
        <w:fldChar w:fldCharType="begin"/>
      </w:r>
      <w:r w:rsidR="00095332">
        <w:instrText xml:space="preserve"> REF _Ref105764852 \h </w:instrText>
      </w:r>
      <w:r w:rsidR="004B2A15">
        <w:instrText xml:space="preserve"> \* MERGEFORMAT </w:instrText>
      </w:r>
      <w:r w:rsidR="00095332">
        <w:fldChar w:fldCharType="separate"/>
      </w:r>
      <w:r w:rsidR="00FB6D94">
        <w:t xml:space="preserve">Ref. </w:t>
      </w:r>
      <w:r w:rsidR="00FB6D94">
        <w:rPr>
          <w:noProof/>
        </w:rPr>
        <w:t>74</w:t>
      </w:r>
      <w:r w:rsidR="00095332">
        <w:fldChar w:fldCharType="end"/>
      </w:r>
      <w:r w:rsidR="006E5B03">
        <w:t xml:space="preserve">). </w:t>
      </w:r>
      <w:r w:rsidRPr="54B37D72" w:rsidR="54B37D72">
        <w:rPr>
          <w:i/>
        </w:rPr>
        <w:t xml:space="preserve"> </w:t>
      </w:r>
      <w:r>
        <w:t xml:space="preserve">Section 112.146 describes the corrective actions that you must take if the growing, harvesting, packing, or holding environment tests positive for </w:t>
      </w:r>
      <w:r w:rsidRPr="54B37D72">
        <w:rPr>
          <w:i/>
          <w:iCs/>
        </w:rPr>
        <w:t xml:space="preserve">Listeria </w:t>
      </w:r>
      <w:r>
        <w:t xml:space="preserve">spp. or </w:t>
      </w:r>
      <w:r w:rsidRPr="54B37D72">
        <w:rPr>
          <w:i/>
          <w:iCs/>
        </w:rPr>
        <w:t xml:space="preserve">L. monocytogenes, </w:t>
      </w:r>
      <w:r>
        <w:t>which include:</w:t>
      </w:r>
    </w:p>
    <w:p w:rsidR="00191DF8" w:rsidRPr="000B5057" w:rsidP="00690C44" w14:paraId="37A03DDE" w14:textId="77777777">
      <w:pPr>
        <w:pStyle w:val="GuidanceBulletLevel1"/>
      </w:pPr>
      <w:r w:rsidRPr="000B5057">
        <w:t xml:space="preserve">Conducting additional testing of surfaces and areas surrounding the area where </w:t>
      </w:r>
      <w:r w:rsidRPr="000B613C">
        <w:rPr>
          <w:i/>
        </w:rPr>
        <w:t xml:space="preserve">Listeria </w:t>
      </w:r>
      <w:r w:rsidRPr="000B5057">
        <w:t xml:space="preserve">species or </w:t>
      </w:r>
      <w:r w:rsidRPr="000B613C">
        <w:rPr>
          <w:i/>
        </w:rPr>
        <w:t xml:space="preserve">L. monocytogenes </w:t>
      </w:r>
      <w:r w:rsidRPr="000B5057">
        <w:t>was detected to evaluate the extent of the problem (§ 112.146(a)) (we refer to this type of testing in this document as “exploratory testing”);</w:t>
      </w:r>
    </w:p>
    <w:p w:rsidR="00191DF8" w:rsidRPr="000B5057" w:rsidP="00690C44" w14:paraId="197230A3" w14:textId="77777777">
      <w:pPr>
        <w:pStyle w:val="GuidanceBulletLevel1"/>
      </w:pPr>
      <w:r w:rsidRPr="000B5057">
        <w:t>Cleaning and sanitizing the affected surfaces and surrounding areas (§ 112.146(b)</w:t>
      </w:r>
      <w:r w:rsidRPr="000B5057">
        <w:t>);</w:t>
      </w:r>
    </w:p>
    <w:p w:rsidR="00191DF8" w:rsidRPr="000B5057" w:rsidP="00690C44" w14:paraId="4CC09F87" w14:textId="77777777">
      <w:pPr>
        <w:pStyle w:val="GuidanceBulletLevel1"/>
      </w:pPr>
      <w:r w:rsidRPr="000B5057">
        <w:t xml:space="preserve">Conducting additional sampling and testing to determine whether the </w:t>
      </w:r>
      <w:r w:rsidRPr="000B613C">
        <w:rPr>
          <w:i/>
        </w:rPr>
        <w:t xml:space="preserve">Listeria </w:t>
      </w:r>
      <w:r w:rsidRPr="000B5057">
        <w:t xml:space="preserve">spp. or </w:t>
      </w:r>
      <w:r w:rsidRPr="000B613C">
        <w:rPr>
          <w:i/>
        </w:rPr>
        <w:t xml:space="preserve">L. monocytogenes </w:t>
      </w:r>
      <w:r w:rsidRPr="000B5057">
        <w:t>has been eliminated (§ 112.146(c)) (we refer to this type of testing in this document as “cleaning verification testing”</w:t>
      </w:r>
      <w:r w:rsidRPr="000B5057">
        <w:t>);</w:t>
      </w:r>
    </w:p>
    <w:p w:rsidR="00191DF8" w:rsidRPr="000B5057" w:rsidP="00690C44" w14:paraId="14B4CE5E" w14:textId="77777777">
      <w:pPr>
        <w:pStyle w:val="GuidanceBulletLevel1"/>
      </w:pPr>
      <w:r w:rsidRPr="000B5057">
        <w:t>Conducting finished product testing when appropriate (§ 112.146(d)</w:t>
      </w:r>
      <w:r w:rsidRPr="000B5057">
        <w:t>);</w:t>
      </w:r>
    </w:p>
    <w:p w:rsidR="00191DF8" w:rsidRPr="000B5057" w:rsidP="00690C44" w14:paraId="775DBB32" w14:textId="4465F0F3">
      <w:pPr>
        <w:pStyle w:val="GuidanceBulletLevel1"/>
      </w:pPr>
      <w:r w:rsidRPr="000B5057">
        <w:t>Performing any other actions necessary to prevent recurrence of the contamination (§ 112.146(e)); and</w:t>
      </w:r>
    </w:p>
    <w:p w:rsidR="00191DF8" w:rsidRPr="000B5057" w:rsidP="00690C44" w14:paraId="61E35F34" w14:textId="77777777">
      <w:pPr>
        <w:pStyle w:val="GuidanceBulletLevel1"/>
      </w:pPr>
      <w:r w:rsidRPr="000B5057">
        <w:t xml:space="preserve">Taking appropriate action to prevent any food that is adulterated under section 402 of the FD&amp;C Act from </w:t>
      </w:r>
      <w:r w:rsidRPr="000B5057">
        <w:t>entering into</w:t>
      </w:r>
      <w:r w:rsidRPr="000B5057">
        <w:t xml:space="preserve"> commerce (§ 112.146(f)).</w:t>
      </w:r>
    </w:p>
    <w:p w:rsidR="00191DF8" w:rsidRPr="0003249B" w:rsidP="00B54009" w14:paraId="1E4F6416" w14:textId="1C6D8DBD">
      <w:pPr>
        <w:pStyle w:val="HHS508GuidanceOutline2"/>
        <w:numPr>
          <w:ilvl w:val="0"/>
          <w:numId w:val="28"/>
        </w:numPr>
      </w:pPr>
      <w:bookmarkStart w:id="86" w:name="_bookmark74"/>
      <w:bookmarkStart w:id="87" w:name="_Toc44439354"/>
      <w:bookmarkStart w:id="88" w:name="_Toc106094950"/>
      <w:bookmarkEnd w:id="86"/>
      <w:r w:rsidRPr="0003249B">
        <w:t>Principles for Developing an Environmental Monitoring Plan</w:t>
      </w:r>
      <w:bookmarkEnd w:id="87"/>
      <w:bookmarkEnd w:id="88"/>
    </w:p>
    <w:p w:rsidR="00191DF8" w:rsidRPr="00CC10E2" w:rsidP="00E47C04" w14:paraId="58A0C9D8" w14:textId="1CEC2030">
      <w:pPr>
        <w:pStyle w:val="GuidanceParagraph"/>
      </w:pPr>
      <w:r w:rsidRPr="00CC10E2">
        <w:rPr>
          <w:i/>
        </w:rPr>
        <w:t xml:space="preserve">L. monocytogenes </w:t>
      </w:r>
      <w:r w:rsidRPr="00CC10E2">
        <w:t xml:space="preserve">is the target pathogenic microorganism of concern for environmental monitoring in a sprout operation. There are several species of </w:t>
      </w:r>
      <w:r w:rsidRPr="00CC10E2">
        <w:rPr>
          <w:i/>
        </w:rPr>
        <w:t xml:space="preserve">Listeria, </w:t>
      </w:r>
      <w:r w:rsidRPr="00CC10E2">
        <w:t xml:space="preserve">but </w:t>
      </w:r>
      <w:r w:rsidRPr="00CC10E2">
        <w:rPr>
          <w:i/>
        </w:rPr>
        <w:t xml:space="preserve">L. monocytogenes </w:t>
      </w:r>
      <w:r w:rsidRPr="00CC10E2">
        <w:t>is the primary species known to cause disease in humans. This pathogen is among the leading causes of death from foodborne illness in the United States, and predominantly affects older adults, pregnant women, newborns and those with weakened immune systems (</w:t>
      </w:r>
      <w:r w:rsidR="00F8192A">
        <w:fldChar w:fldCharType="begin"/>
      </w:r>
      <w:r w:rsidR="00F8192A">
        <w:instrText xml:space="preserve"> REF _Ref105766695 \h </w:instrText>
      </w:r>
      <w:r w:rsidR="004B2A15">
        <w:instrText xml:space="preserve"> \* MERGEFORMAT </w:instrText>
      </w:r>
      <w:r w:rsidR="00F8192A">
        <w:fldChar w:fldCharType="separate"/>
      </w:r>
      <w:r w:rsidRPr="006E43DC" w:rsidR="00FB6D94">
        <w:t xml:space="preserve">Ref. </w:t>
      </w:r>
      <w:r w:rsidR="00FB6D94">
        <w:rPr>
          <w:noProof/>
        </w:rPr>
        <w:t>75</w:t>
      </w:r>
      <w:r w:rsidR="00F8192A">
        <w:fldChar w:fldCharType="end"/>
      </w:r>
      <w:r w:rsidRPr="00CC10E2">
        <w:t xml:space="preserve">, </w:t>
      </w:r>
      <w:r w:rsidR="004F1336">
        <w:fldChar w:fldCharType="begin"/>
      </w:r>
      <w:r w:rsidR="004F1336">
        <w:instrText xml:space="preserve"> REF _Ref51147899 \h </w:instrText>
      </w:r>
      <w:r w:rsidR="004B2A15">
        <w:instrText xml:space="preserve"> \* MERGEFORMAT </w:instrText>
      </w:r>
      <w:r w:rsidR="004F1336">
        <w:fldChar w:fldCharType="separate"/>
      </w:r>
      <w:r w:rsidRPr="006E43DC" w:rsidR="00FB6D94">
        <w:t xml:space="preserve">Ref. </w:t>
      </w:r>
      <w:r w:rsidR="00FB6D94">
        <w:rPr>
          <w:noProof/>
        </w:rPr>
        <w:t>76</w:t>
      </w:r>
      <w:r w:rsidR="004F1336">
        <w:fldChar w:fldCharType="end"/>
      </w:r>
      <w:r w:rsidRPr="00CC10E2">
        <w:t xml:space="preserve">, </w:t>
      </w:r>
      <w:r w:rsidR="004F5A8E">
        <w:fldChar w:fldCharType="begin"/>
      </w:r>
      <w:r w:rsidR="004F5A8E">
        <w:instrText xml:space="preserve"> REF _Ref51147936 \h </w:instrText>
      </w:r>
      <w:r w:rsidR="004B2A15">
        <w:instrText xml:space="preserve"> \* MERGEFORMAT </w:instrText>
      </w:r>
      <w:r w:rsidR="004F5A8E">
        <w:fldChar w:fldCharType="separate"/>
      </w:r>
      <w:r w:rsidRPr="006E43DC" w:rsidR="00FB6D94">
        <w:t xml:space="preserve">Ref. </w:t>
      </w:r>
      <w:r w:rsidR="00FB6D94">
        <w:rPr>
          <w:noProof/>
        </w:rPr>
        <w:t>77</w:t>
      </w:r>
      <w:r w:rsidR="004F5A8E">
        <w:fldChar w:fldCharType="end"/>
      </w:r>
      <w:r w:rsidRPr="00CC10E2">
        <w:t>,</w:t>
      </w:r>
      <w:r w:rsidR="00DF0EEA">
        <w:t xml:space="preserve"> and </w:t>
      </w:r>
      <w:r w:rsidR="00DF0EEA">
        <w:fldChar w:fldCharType="begin"/>
      </w:r>
      <w:r w:rsidR="00DF0EEA">
        <w:instrText xml:space="preserve"> REF _Ref51148000 \h </w:instrText>
      </w:r>
      <w:r w:rsidR="004B2A15">
        <w:instrText xml:space="preserve"> \* MERGEFORMAT </w:instrText>
      </w:r>
      <w:r w:rsidR="00DF0EEA">
        <w:fldChar w:fldCharType="separate"/>
      </w:r>
      <w:r w:rsidRPr="006E43DC" w:rsidR="00FB6D94">
        <w:t xml:space="preserve">Ref. </w:t>
      </w:r>
      <w:r w:rsidR="00FB6D94">
        <w:rPr>
          <w:noProof/>
        </w:rPr>
        <w:t>78</w:t>
      </w:r>
      <w:r w:rsidR="00DF0EEA">
        <w:fldChar w:fldCharType="end"/>
      </w:r>
      <w:r w:rsidRPr="00CC10E2">
        <w:t xml:space="preserve">). </w:t>
      </w:r>
      <w:r w:rsidRPr="00CC10E2">
        <w:rPr>
          <w:i/>
        </w:rPr>
        <w:t xml:space="preserve">L. monocytogenes </w:t>
      </w:r>
      <w:r w:rsidRPr="00CC10E2">
        <w:t xml:space="preserve">has been associated with foodborne illness outbreaks </w:t>
      </w:r>
      <w:r w:rsidRPr="00CC10E2">
        <w:t>as a result of</w:t>
      </w:r>
      <w:r w:rsidRPr="00CC10E2">
        <w:t xml:space="preserve"> a strain of the pathogen that is transient in a food establishment.  However, more commonly, </w:t>
      </w:r>
      <w:r w:rsidRPr="00CC10E2">
        <w:rPr>
          <w:i/>
        </w:rPr>
        <w:t xml:space="preserve">L. monocytogenes </w:t>
      </w:r>
      <w:r w:rsidRPr="00CC10E2">
        <w:t xml:space="preserve">foodborne illness outbreaks are associated with a strain of the </w:t>
      </w:r>
      <w:r w:rsidRPr="00CC10E2">
        <w:t xml:space="preserve">pathogen that becomes established in a food establishment (i.e., </w:t>
      </w:r>
      <w:r w:rsidR="00D92BF0">
        <w:t xml:space="preserve">a </w:t>
      </w:r>
      <w:r w:rsidRPr="00CC10E2">
        <w:t>resident</w:t>
      </w:r>
      <w:r w:rsidR="00D92BF0">
        <w:t xml:space="preserve"> strain</w:t>
      </w:r>
      <w:r w:rsidRPr="00CC10E2">
        <w:t>). In such cases, it can result in repeated product contamination (</w:t>
      </w:r>
      <w:r w:rsidR="00DF0EEA">
        <w:fldChar w:fldCharType="begin"/>
      </w:r>
      <w:r w:rsidR="00DF0EEA">
        <w:instrText xml:space="preserve"> REF _Ref51148028 \h </w:instrText>
      </w:r>
      <w:r w:rsidR="004B2A15">
        <w:instrText xml:space="preserve"> \* MERGEFORMAT </w:instrText>
      </w:r>
      <w:r w:rsidR="00DF0EEA">
        <w:fldChar w:fldCharType="separate"/>
      </w:r>
      <w:r w:rsidRPr="006E43DC" w:rsidR="00FB6D94">
        <w:t xml:space="preserve">Ref. </w:t>
      </w:r>
      <w:r w:rsidR="00FB6D94">
        <w:rPr>
          <w:noProof/>
        </w:rPr>
        <w:t>79</w:t>
      </w:r>
      <w:r w:rsidR="00DF0EEA">
        <w:fldChar w:fldCharType="end"/>
      </w:r>
      <w:r w:rsidRPr="00CC10E2">
        <w:t xml:space="preserve">). Several foodborne illness outbreaks and recalls involving sprouts have occurred due to contamination with </w:t>
      </w:r>
      <w:r w:rsidRPr="00CC10E2">
        <w:rPr>
          <w:i/>
        </w:rPr>
        <w:t xml:space="preserve">L. monocytogenes, </w:t>
      </w:r>
      <w:r w:rsidRPr="00CC10E2">
        <w:t>and these outbreaks have included fatalities (</w:t>
      </w:r>
      <w:r w:rsidR="00E63119">
        <w:fldChar w:fldCharType="begin"/>
      </w:r>
      <w:r w:rsidR="00E63119">
        <w:instrText xml:space="preserve"> REF _Ref51086226 \h </w:instrText>
      </w:r>
      <w:r w:rsidR="004B2A15">
        <w:instrText xml:space="preserve"> \* MERGEFORMAT </w:instrText>
      </w:r>
      <w:r w:rsidR="00E63119">
        <w:fldChar w:fldCharType="separate"/>
      </w:r>
      <w:r w:rsidRPr="006E43DC" w:rsidR="00FB6D94">
        <w:t xml:space="preserve">Ref. </w:t>
      </w:r>
      <w:r w:rsidR="00FB6D94">
        <w:rPr>
          <w:noProof/>
        </w:rPr>
        <w:t>3</w:t>
      </w:r>
      <w:r w:rsidR="00E63119">
        <w:fldChar w:fldCharType="end"/>
      </w:r>
      <w:r w:rsidRPr="00CC10E2">
        <w:t xml:space="preserve">, </w:t>
      </w:r>
      <w:r w:rsidR="008B51A5">
        <w:fldChar w:fldCharType="begin"/>
      </w:r>
      <w:r w:rsidR="008B51A5">
        <w:instrText xml:space="preserve"> REF _Ref51247654 \h </w:instrText>
      </w:r>
      <w:r w:rsidR="004B2A15">
        <w:instrText xml:space="preserve"> \* MERGEFORMAT </w:instrText>
      </w:r>
      <w:r w:rsidR="008B51A5">
        <w:fldChar w:fldCharType="separate"/>
      </w:r>
      <w:r w:rsidRPr="006E43DC" w:rsidR="00FB6D94">
        <w:t xml:space="preserve">Ref. </w:t>
      </w:r>
      <w:r w:rsidR="00FB6D94">
        <w:rPr>
          <w:noProof/>
        </w:rPr>
        <w:t>4</w:t>
      </w:r>
      <w:r w:rsidR="008B51A5">
        <w:fldChar w:fldCharType="end"/>
      </w:r>
      <w:r w:rsidR="008B51A5">
        <w:t>, and</w:t>
      </w:r>
      <w:r w:rsidR="009A38E5">
        <w:t xml:space="preserve"> </w:t>
      </w:r>
      <w:r w:rsidR="009A38E5">
        <w:fldChar w:fldCharType="begin"/>
      </w:r>
      <w:r w:rsidR="009A38E5">
        <w:instrText xml:space="preserve"> REF _Ref51148124 \h </w:instrText>
      </w:r>
      <w:r w:rsidR="004B2A15">
        <w:instrText xml:space="preserve"> \* MERGEFORMAT </w:instrText>
      </w:r>
      <w:r w:rsidR="009A38E5">
        <w:fldChar w:fldCharType="separate"/>
      </w:r>
      <w:r w:rsidRPr="006E43DC" w:rsidR="00FB6D94">
        <w:t xml:space="preserve">Ref. </w:t>
      </w:r>
      <w:r w:rsidR="00FB6D94">
        <w:rPr>
          <w:noProof/>
        </w:rPr>
        <w:t>80</w:t>
      </w:r>
      <w:r w:rsidR="009A38E5">
        <w:fldChar w:fldCharType="end"/>
      </w:r>
      <w:r w:rsidRPr="00CC10E2">
        <w:t>).</w:t>
      </w:r>
    </w:p>
    <w:p w:rsidR="00191DF8" w:rsidRPr="00CC10E2" w:rsidP="00E47C04" w14:paraId="76CE5F73" w14:textId="1D395A29">
      <w:pPr>
        <w:pStyle w:val="GuidanceParagraph"/>
      </w:pPr>
      <w:r w:rsidRPr="00CC10E2">
        <w:rPr>
          <w:i/>
        </w:rPr>
        <w:t xml:space="preserve">L. monocytogenes </w:t>
      </w:r>
      <w:r w:rsidRPr="00CC10E2">
        <w:t>is widespread in the environment. It is found in soil, water, sewage, and decaying vegetation (</w:t>
      </w:r>
      <w:r w:rsidR="00C770AC">
        <w:fldChar w:fldCharType="begin"/>
      </w:r>
      <w:r w:rsidR="00C770AC">
        <w:instrText xml:space="preserve"> REF _Ref51148160 \h </w:instrText>
      </w:r>
      <w:r w:rsidR="004B2A15">
        <w:instrText xml:space="preserve"> \* MERGEFORMAT </w:instrText>
      </w:r>
      <w:r w:rsidR="00C770AC">
        <w:fldChar w:fldCharType="separate"/>
      </w:r>
      <w:r w:rsidRPr="006E43DC" w:rsidR="00FB6D94">
        <w:t xml:space="preserve">Ref. </w:t>
      </w:r>
      <w:r w:rsidR="00FB6D94">
        <w:rPr>
          <w:noProof/>
        </w:rPr>
        <w:t>81</w:t>
      </w:r>
      <w:r w:rsidR="00C770AC">
        <w:fldChar w:fldCharType="end"/>
      </w:r>
      <w:r w:rsidR="00C770AC">
        <w:t xml:space="preserve">, </w:t>
      </w:r>
      <w:r w:rsidR="00CA5821">
        <w:fldChar w:fldCharType="begin"/>
      </w:r>
      <w:r w:rsidR="00CA5821">
        <w:instrText xml:space="preserve"> REF _Ref51148236 \h </w:instrText>
      </w:r>
      <w:r w:rsidR="004B2A15">
        <w:instrText xml:space="preserve"> \* MERGEFORMAT </w:instrText>
      </w:r>
      <w:r w:rsidR="00CA5821">
        <w:fldChar w:fldCharType="separate"/>
      </w:r>
      <w:r w:rsidRPr="006E43DC" w:rsidR="00FB6D94">
        <w:t xml:space="preserve">Ref. </w:t>
      </w:r>
      <w:r w:rsidR="00FB6D94">
        <w:rPr>
          <w:noProof/>
        </w:rPr>
        <w:t>82</w:t>
      </w:r>
      <w:r w:rsidR="00CA5821">
        <w:fldChar w:fldCharType="end"/>
      </w:r>
      <w:r w:rsidR="00CA5821">
        <w:t xml:space="preserve">, </w:t>
      </w:r>
      <w:r w:rsidR="00CA5821">
        <w:fldChar w:fldCharType="begin"/>
      </w:r>
      <w:r w:rsidR="00CA5821">
        <w:instrText xml:space="preserve"> REF _Ref51148258 \h </w:instrText>
      </w:r>
      <w:r w:rsidR="004B2A15">
        <w:instrText xml:space="preserve"> \* MERGEFORMAT </w:instrText>
      </w:r>
      <w:r w:rsidR="00CA5821">
        <w:fldChar w:fldCharType="separate"/>
      </w:r>
      <w:r w:rsidRPr="006E43DC" w:rsidR="00FB6D94">
        <w:t xml:space="preserve">Ref. </w:t>
      </w:r>
      <w:r w:rsidR="00FB6D94">
        <w:rPr>
          <w:noProof/>
        </w:rPr>
        <w:t>83</w:t>
      </w:r>
      <w:r w:rsidR="00CA5821">
        <w:fldChar w:fldCharType="end"/>
      </w:r>
      <w:r w:rsidR="00CA5821">
        <w:t>, and</w:t>
      </w:r>
      <w:r w:rsidRPr="00CC10E2">
        <w:t xml:space="preserve"> </w:t>
      </w:r>
      <w:r w:rsidR="004278FD">
        <w:fldChar w:fldCharType="begin"/>
      </w:r>
      <w:r w:rsidR="004278FD">
        <w:instrText xml:space="preserve"> REF _Ref51148293 \h </w:instrText>
      </w:r>
      <w:r w:rsidR="004B2A15">
        <w:instrText xml:space="preserve"> \* MERGEFORMAT </w:instrText>
      </w:r>
      <w:r w:rsidR="004278FD">
        <w:fldChar w:fldCharType="separate"/>
      </w:r>
      <w:r w:rsidRPr="006E43DC" w:rsidR="00FB6D94">
        <w:t xml:space="preserve">Ref. </w:t>
      </w:r>
      <w:r w:rsidR="00FB6D94">
        <w:rPr>
          <w:noProof/>
        </w:rPr>
        <w:t>84</w:t>
      </w:r>
      <w:r w:rsidR="004278FD">
        <w:fldChar w:fldCharType="end"/>
      </w:r>
      <w:r w:rsidRPr="00CC10E2">
        <w:t xml:space="preserve">). It can be readily isolated from humans, domestic animals, raw agricultural commodities, and food processing environments (particularly in cool, damp areas). </w:t>
      </w:r>
      <w:r w:rsidRPr="00CC10E2">
        <w:rPr>
          <w:i/>
        </w:rPr>
        <w:t xml:space="preserve">L. monocytogenes </w:t>
      </w:r>
      <w:r w:rsidRPr="00CC10E2">
        <w:t>can multiply slowly at refrigeration temperatures, thereby challenging an important defense against proliferation of foodborne pathogens, refrigeration (</w:t>
      </w:r>
      <w:r w:rsidR="008214D4">
        <w:fldChar w:fldCharType="begin"/>
      </w:r>
      <w:r w:rsidR="008214D4">
        <w:instrText xml:space="preserve"> REF _Ref51148334 \h </w:instrText>
      </w:r>
      <w:r w:rsidR="004B2A15">
        <w:instrText xml:space="preserve"> \* MERGEFORMAT </w:instrText>
      </w:r>
      <w:r w:rsidR="008214D4">
        <w:fldChar w:fldCharType="separate"/>
      </w:r>
      <w:r w:rsidRPr="006E43DC" w:rsidR="00FB6D94">
        <w:t xml:space="preserve">Ref. </w:t>
      </w:r>
      <w:r w:rsidR="00FB6D94">
        <w:rPr>
          <w:noProof/>
        </w:rPr>
        <w:t>85</w:t>
      </w:r>
      <w:r w:rsidR="008214D4">
        <w:fldChar w:fldCharType="end"/>
      </w:r>
      <w:r w:rsidRPr="00CC10E2">
        <w:t xml:space="preserve">, </w:t>
      </w:r>
      <w:r w:rsidR="008214D4">
        <w:fldChar w:fldCharType="begin"/>
      </w:r>
      <w:r w:rsidR="008214D4">
        <w:instrText xml:space="preserve"> REF _Ref51148354 \h </w:instrText>
      </w:r>
      <w:r w:rsidR="004B2A15">
        <w:instrText xml:space="preserve"> \* MERGEFORMAT </w:instrText>
      </w:r>
      <w:r w:rsidR="008214D4">
        <w:fldChar w:fldCharType="separate"/>
      </w:r>
      <w:r w:rsidRPr="006E43DC" w:rsidR="00FB6D94">
        <w:t xml:space="preserve">Ref. </w:t>
      </w:r>
      <w:r w:rsidR="00FB6D94">
        <w:rPr>
          <w:noProof/>
        </w:rPr>
        <w:t>86</w:t>
      </w:r>
      <w:r w:rsidR="008214D4">
        <w:fldChar w:fldCharType="end"/>
      </w:r>
      <w:r w:rsidRPr="00CC10E2">
        <w:t xml:space="preserve">, </w:t>
      </w:r>
      <w:r w:rsidR="008214D4">
        <w:fldChar w:fldCharType="begin"/>
      </w:r>
      <w:r w:rsidR="008214D4">
        <w:instrText xml:space="preserve"> REF _Ref51148367 \h </w:instrText>
      </w:r>
      <w:r w:rsidR="004B2A15">
        <w:instrText xml:space="preserve"> \* MERGEFORMAT </w:instrText>
      </w:r>
      <w:r w:rsidR="008214D4">
        <w:fldChar w:fldCharType="separate"/>
      </w:r>
      <w:r w:rsidRPr="006E43DC" w:rsidR="00FB6D94">
        <w:t xml:space="preserve">Ref. </w:t>
      </w:r>
      <w:r w:rsidR="00FB6D94">
        <w:rPr>
          <w:noProof/>
        </w:rPr>
        <w:t>87</w:t>
      </w:r>
      <w:r w:rsidR="008214D4">
        <w:fldChar w:fldCharType="end"/>
      </w:r>
      <w:r w:rsidRPr="00CC10E2">
        <w:t xml:space="preserve">, </w:t>
      </w:r>
      <w:r w:rsidR="00F26D04">
        <w:fldChar w:fldCharType="begin"/>
      </w:r>
      <w:r w:rsidR="00F26D04">
        <w:instrText xml:space="preserve"> REF _Ref51148391 \h </w:instrText>
      </w:r>
      <w:r w:rsidR="004B2A15">
        <w:instrText xml:space="preserve"> \* MERGEFORMAT </w:instrText>
      </w:r>
      <w:r w:rsidR="00F26D04">
        <w:fldChar w:fldCharType="separate"/>
      </w:r>
      <w:r w:rsidRPr="006E43DC" w:rsidR="00FB6D94">
        <w:t xml:space="preserve">Ref. </w:t>
      </w:r>
      <w:r w:rsidR="00FB6D94">
        <w:rPr>
          <w:noProof/>
        </w:rPr>
        <w:t>88</w:t>
      </w:r>
      <w:r w:rsidR="00F26D04">
        <w:fldChar w:fldCharType="end"/>
      </w:r>
      <w:r w:rsidRPr="00CC10E2">
        <w:t xml:space="preserve">, </w:t>
      </w:r>
      <w:r w:rsidR="00F26D04">
        <w:t xml:space="preserve">and </w:t>
      </w:r>
      <w:r w:rsidR="00F26D04">
        <w:fldChar w:fldCharType="begin"/>
      </w:r>
      <w:r w:rsidR="00F26D04">
        <w:instrText xml:space="preserve"> REF _Ref51148411 \h </w:instrText>
      </w:r>
      <w:r w:rsidR="004B2A15">
        <w:instrText xml:space="preserve"> \* MERGEFORMAT </w:instrText>
      </w:r>
      <w:r w:rsidR="00F26D04">
        <w:fldChar w:fldCharType="separate"/>
      </w:r>
      <w:r w:rsidRPr="006E43DC" w:rsidR="00FB6D94">
        <w:t xml:space="preserve">Ref. </w:t>
      </w:r>
      <w:r w:rsidR="00FB6D94">
        <w:rPr>
          <w:noProof/>
        </w:rPr>
        <w:t>89</w:t>
      </w:r>
      <w:r w:rsidR="00F26D04">
        <w:fldChar w:fldCharType="end"/>
      </w:r>
      <w:r w:rsidRPr="00CC10E2">
        <w:t xml:space="preserve">). </w:t>
      </w:r>
      <w:r w:rsidR="00383E75">
        <w:t xml:space="preserve">However, </w:t>
      </w:r>
      <w:r w:rsidRPr="00CC10E2">
        <w:rPr>
          <w:i/>
        </w:rPr>
        <w:t xml:space="preserve">L. monocytogenes </w:t>
      </w:r>
      <w:r w:rsidRPr="00CC10E2">
        <w:t xml:space="preserve">grows </w:t>
      </w:r>
      <w:r w:rsidR="006A5426">
        <w:t>more quickly</w:t>
      </w:r>
      <w:r w:rsidRPr="00CC10E2" w:rsidR="006A5426">
        <w:t xml:space="preserve"> </w:t>
      </w:r>
      <w:r w:rsidRPr="00CC10E2">
        <w:t xml:space="preserve">at warmer temperatures. While </w:t>
      </w:r>
      <w:r w:rsidRPr="00CC10E2">
        <w:rPr>
          <w:i/>
        </w:rPr>
        <w:t xml:space="preserve">L. monocytogenes </w:t>
      </w:r>
      <w:r w:rsidRPr="00CC10E2">
        <w:t xml:space="preserve">may occasionally be found almost anywhere in a sprout production environment, it is most likely to become established in areas and on surfaces that are not only </w:t>
      </w:r>
      <w:r w:rsidRPr="00CC10E2">
        <w:t>wet</w:t>
      </w:r>
      <w:r w:rsidR="00096DC3">
        <w:t>,</w:t>
      </w:r>
      <w:r w:rsidRPr="00CC10E2">
        <w:t xml:space="preserve"> but</w:t>
      </w:r>
      <w:r w:rsidRPr="00CC10E2">
        <w:t xml:space="preserve"> are relatively undisturbed and that may trap organic material. These areas and surfaces include drains, cooling units, drip pans, areas of condensation on walls or ceilings, and areas that are difficult to access or difficult to clean (e.g., cracks in metal, plastic or concrete surfaces, and hollow rollers). </w:t>
      </w:r>
      <w:r w:rsidRPr="00CC10E2">
        <w:rPr>
          <w:i/>
        </w:rPr>
        <w:t xml:space="preserve">L. monocytogenes </w:t>
      </w:r>
      <w:r w:rsidRPr="00CC10E2">
        <w:t xml:space="preserve">is known to form biofilms (i.e., communities of microbes embedded in an organic polymer matrix, adhering to a surface) on </w:t>
      </w:r>
      <w:r w:rsidR="00977FA8">
        <w:t>food contact surfaces (</w:t>
      </w:r>
      <w:r w:rsidRPr="00CC10E2">
        <w:t>FCSs</w:t>
      </w:r>
      <w:r w:rsidR="00977FA8">
        <w:t>)</w:t>
      </w:r>
      <w:r w:rsidRPr="00CC10E2">
        <w:t xml:space="preserve"> and non-FCSs and, as a result, it can persist on these surfaces (</w:t>
      </w:r>
      <w:r w:rsidR="007230BE">
        <w:fldChar w:fldCharType="begin"/>
      </w:r>
      <w:r w:rsidR="007230BE">
        <w:instrText xml:space="preserve"> REF _Ref51148437 \h </w:instrText>
      </w:r>
      <w:r w:rsidR="004B2A15">
        <w:instrText xml:space="preserve"> \* MERGEFORMAT </w:instrText>
      </w:r>
      <w:r w:rsidR="007230BE">
        <w:fldChar w:fldCharType="separate"/>
      </w:r>
      <w:r w:rsidRPr="006E43DC" w:rsidR="00FB6D94">
        <w:t xml:space="preserve">Ref. </w:t>
      </w:r>
      <w:r w:rsidR="00FB6D94">
        <w:rPr>
          <w:noProof/>
        </w:rPr>
        <w:t>90</w:t>
      </w:r>
      <w:r w:rsidR="007230BE">
        <w:fldChar w:fldCharType="end"/>
      </w:r>
      <w:r w:rsidRPr="00CC10E2">
        <w:t xml:space="preserve">). Once </w:t>
      </w:r>
      <w:r w:rsidRPr="00CC10E2">
        <w:rPr>
          <w:i/>
        </w:rPr>
        <w:t xml:space="preserve">L. monocytogenes </w:t>
      </w:r>
      <w:r w:rsidRPr="00CC10E2">
        <w:t>has established a niche, it may persist in the environment for long periods of time, serving as a potential source of repeated contamination, until and unless the niche is identified and eliminated (</w:t>
      </w:r>
      <w:r w:rsidR="00222680">
        <w:fldChar w:fldCharType="begin"/>
      </w:r>
      <w:r w:rsidR="00222680">
        <w:instrText xml:space="preserve"> REF _Ref51148411 \h </w:instrText>
      </w:r>
      <w:r w:rsidR="004B2A15">
        <w:instrText xml:space="preserve"> \* MERGEFORMAT </w:instrText>
      </w:r>
      <w:r w:rsidR="00222680">
        <w:fldChar w:fldCharType="separate"/>
      </w:r>
      <w:r w:rsidRPr="006E43DC" w:rsidR="00FB6D94">
        <w:t xml:space="preserve">Ref. </w:t>
      </w:r>
      <w:r w:rsidR="00FB6D94">
        <w:rPr>
          <w:noProof/>
        </w:rPr>
        <w:t>89</w:t>
      </w:r>
      <w:r w:rsidR="00222680">
        <w:fldChar w:fldCharType="end"/>
      </w:r>
      <w:r w:rsidR="00222680">
        <w:t xml:space="preserve"> and </w:t>
      </w:r>
      <w:r w:rsidR="00080BA6">
        <w:fldChar w:fldCharType="begin"/>
      </w:r>
      <w:r w:rsidR="00080BA6">
        <w:instrText xml:space="preserve"> REF _Ref51148499 \h </w:instrText>
      </w:r>
      <w:r w:rsidR="004B2A15">
        <w:instrText xml:space="preserve"> \* MERGEFORMAT </w:instrText>
      </w:r>
      <w:r w:rsidR="00080BA6">
        <w:fldChar w:fldCharType="separate"/>
      </w:r>
      <w:r w:rsidRPr="006E43DC" w:rsidR="00FB6D94">
        <w:t xml:space="preserve">Ref. </w:t>
      </w:r>
      <w:r w:rsidR="00FB6D94">
        <w:rPr>
          <w:noProof/>
        </w:rPr>
        <w:t>91</w:t>
      </w:r>
      <w:r w:rsidR="00080BA6">
        <w:fldChar w:fldCharType="end"/>
      </w:r>
      <w:r w:rsidRPr="00CC10E2">
        <w:t xml:space="preserve">). </w:t>
      </w:r>
    </w:p>
    <w:p w:rsidR="00191DF8" w:rsidRPr="00CC10E2" w:rsidP="00E47C04" w14:paraId="745E147C" w14:textId="6FDE68C7">
      <w:pPr>
        <w:pStyle w:val="GuidanceParagraph"/>
      </w:pPr>
      <w:r w:rsidRPr="00CC10E2">
        <w:t xml:space="preserve">As stated above, “food contact surfaces” means “those surfaces that contact human food and those surfaces from which drainage, or other transfer, onto the food or onto surfaces that contact the food ordinarily occurs during the normal course of operations. ‘Food contact surfaces’ includes </w:t>
      </w:r>
      <w:r w:rsidR="006F7524">
        <w:t>food contact surfaces</w:t>
      </w:r>
      <w:r w:rsidRPr="00CC10E2" w:rsidR="006F7524">
        <w:t xml:space="preserve"> </w:t>
      </w:r>
      <w:r w:rsidRPr="00CC10E2">
        <w:t xml:space="preserve">of equipment and tools used during harvest, packing, and holding” (§ 112.3). “Food contact surfaces” also includes FCSs of equipment and tools used in growing sprouts, such as those that contact seeds for sprouting (see 112.143(b)). Requirements relating to “food contact surfaces” in </w:t>
      </w:r>
      <w:r w:rsidR="003C1ED4">
        <w:t>p</w:t>
      </w:r>
      <w:r w:rsidRPr="00CC10E2" w:rsidR="003C1ED4">
        <w:t xml:space="preserve">art </w:t>
      </w:r>
      <w:r w:rsidRPr="00CC10E2">
        <w:t xml:space="preserve">112 apply not only to surfaces that contact (or drain onto, or otherwise transfer onto) sprouts themselves but also those that contact seeds used to grow sprouts. In a sprouting operation, FCSs include, for example: trays or drums used for sprouting; interior surfaces of containers used for seed rinsing, seed treatment, and pre-germination seed soaking; and counters that </w:t>
      </w:r>
      <w:r w:rsidRPr="00CC10E2">
        <w:t>come into contact with</w:t>
      </w:r>
      <w:r w:rsidRPr="00CC10E2">
        <w:t xml:space="preserve"> sprouts during packing and/or packaging. The term “non-food contact surfaces” refers to any surfaces that, under normal operating procedures, do not contact either food or FCSs, and from which drainage, or other transfer, to food or FCSs does not occur. Non-FCSs may include equipment, vents, fixtures, drains, walls, floors, and employee clothing, shoes, and accessories. </w:t>
      </w:r>
    </w:p>
    <w:p w:rsidR="00191DF8" w:rsidRPr="00CC10E2" w:rsidP="00E47C04" w14:paraId="60C00711" w14:textId="77777777">
      <w:pPr>
        <w:pStyle w:val="GuidanceParagraph"/>
      </w:pPr>
      <w:bookmarkStart w:id="89" w:name="_Hlk43068514"/>
      <w:r w:rsidRPr="00CC10E2">
        <w:t>The goals of an environmental monitoring program should be to:</w:t>
      </w:r>
    </w:p>
    <w:p w:rsidR="00191DF8" w:rsidRPr="00984F1E" w:rsidP="00690C44" w14:paraId="41DC0086" w14:textId="0D0C2870">
      <w:pPr>
        <w:pStyle w:val="GuidanceBulletLevel1"/>
      </w:pPr>
      <w:r w:rsidRPr="00984F1E">
        <w:t xml:space="preserve">Find </w:t>
      </w:r>
      <w:r w:rsidRPr="00BA2C8F">
        <w:rPr>
          <w:i/>
          <w:iCs/>
        </w:rPr>
        <w:t>L. monocytogenes</w:t>
      </w:r>
      <w:r w:rsidRPr="00BA2C8F">
        <w:rPr>
          <w:i/>
        </w:rPr>
        <w:t xml:space="preserve"> </w:t>
      </w:r>
      <w:r w:rsidRPr="00984F1E">
        <w:t xml:space="preserve">and its harborage sites if present in your </w:t>
      </w:r>
      <w:r w:rsidRPr="00984F1E">
        <w:t>operation;</w:t>
      </w:r>
    </w:p>
    <w:p w:rsidR="00191DF8" w:rsidRPr="00984F1E" w:rsidP="00690C44" w14:paraId="300CFD5B" w14:textId="77777777">
      <w:pPr>
        <w:pStyle w:val="GuidanceBulletLevel1"/>
      </w:pPr>
      <w:r w:rsidRPr="00984F1E">
        <w:t xml:space="preserve">Ensure that corrective actions have eliminated </w:t>
      </w:r>
      <w:r w:rsidRPr="00BA2C8F">
        <w:rPr>
          <w:i/>
        </w:rPr>
        <w:t xml:space="preserve">L. monocytogenes </w:t>
      </w:r>
      <w:r w:rsidRPr="00984F1E">
        <w:t>and harborage sites when found in your operation; and</w:t>
      </w:r>
    </w:p>
    <w:p w:rsidR="00191DF8" w:rsidRPr="00984F1E" w:rsidP="00690C44" w14:paraId="7D605C61" w14:textId="1199C89A">
      <w:pPr>
        <w:pStyle w:val="GuidanceBulletLevel1"/>
      </w:pPr>
      <w:r w:rsidRPr="00984F1E">
        <w:t>Determine that FCSs that are used to grow, harvest, pack or hold sprouts have been cleaned and sanitized prior to contact with sprouts.</w:t>
      </w:r>
    </w:p>
    <w:p w:rsidR="00191DF8" w:rsidRPr="0003249B" w:rsidP="00F756C4" w14:paraId="416AD46C" w14:textId="55E20439">
      <w:pPr>
        <w:pStyle w:val="HHS508GuidanceOutline2"/>
      </w:pPr>
      <w:bookmarkStart w:id="90" w:name="_bookmark75"/>
      <w:bookmarkStart w:id="91" w:name="_Toc44439355"/>
      <w:bookmarkStart w:id="92" w:name="_Toc106094951"/>
      <w:bookmarkEnd w:id="89"/>
      <w:bookmarkEnd w:id="90"/>
      <w:r w:rsidRPr="0003249B">
        <w:t>The Written Environmental Monitoring Plan</w:t>
      </w:r>
      <w:bookmarkEnd w:id="91"/>
      <w:bookmarkEnd w:id="92"/>
    </w:p>
    <w:p w:rsidR="00191DF8" w:rsidRPr="00CC26A6" w:rsidP="00E47C04" w14:paraId="29457B5F" w14:textId="215020FB">
      <w:pPr>
        <w:pStyle w:val="GuidanceParagraph"/>
        <w:rPr>
          <w:i/>
          <w:iCs/>
        </w:rPr>
      </w:pPr>
      <w:r>
        <w:t xml:space="preserve">The mandatory contents of your environmental monitoring plan are prescribed in § 112.145, as discussed above. We recommend that you periodically review and assess your written environmental monitoring plan and update it as needed in response to new information, relevant changes in your operation, or corrective actions that you have taken. For example, we recommend updating your environmental monitoring plan when you purchase new equipment, add new product lines, make significant changes to production flow or cleaning and sanitizing protocols, identify new sampling locations, or identify new concerns relative to your operation </w:t>
      </w:r>
      <w:r>
        <w:t>as a result of</w:t>
      </w:r>
      <w:r>
        <w:t xml:space="preserve"> your environmental monitoring or corrective actions taken in response to such monitoring.</w:t>
      </w:r>
      <w:r w:rsidR="00CC26A6">
        <w:t xml:space="preserve"> We also recommend updating your environmental monitoring plan when you become aware of new science relative to the control of </w:t>
      </w:r>
      <w:r w:rsidRPr="54B37D72" w:rsidR="00CC26A6">
        <w:rPr>
          <w:i/>
          <w:iCs/>
        </w:rPr>
        <w:t>L. monocytogenes.</w:t>
      </w:r>
    </w:p>
    <w:p w:rsidR="00191DF8" w:rsidRPr="00CC10E2" w:rsidP="00E47C04" w14:paraId="7027AFA9" w14:textId="77777777">
      <w:pPr>
        <w:pStyle w:val="GuidanceParagraph"/>
      </w:pPr>
      <w:r w:rsidRPr="00CC10E2">
        <w:t>In the sections below, we describe in more detail the components of the sampling plan section of the environmental monitoring plan.</w:t>
      </w:r>
    </w:p>
    <w:p w:rsidR="00191DF8" w:rsidRPr="0003249B" w:rsidP="00F756C4" w14:paraId="11FFECE3" w14:textId="7FA8CB18">
      <w:pPr>
        <w:pStyle w:val="HHS508GuidanceOutline2"/>
      </w:pPr>
      <w:bookmarkStart w:id="93" w:name="_bookmark76"/>
      <w:bookmarkStart w:id="94" w:name="_Hlk43072199"/>
      <w:bookmarkStart w:id="95" w:name="_Toc44439356"/>
      <w:bookmarkStart w:id="96" w:name="_Toc106094952"/>
      <w:bookmarkEnd w:id="93"/>
      <w:r w:rsidRPr="0003249B">
        <w:t>Developing a Sampling Plan</w:t>
      </w:r>
      <w:bookmarkEnd w:id="94"/>
      <w:bookmarkEnd w:id="95"/>
      <w:bookmarkEnd w:id="96"/>
    </w:p>
    <w:p w:rsidR="00191DF8" w:rsidRPr="00CC10E2" w:rsidP="00E47C04" w14:paraId="222F828E" w14:textId="77777777">
      <w:pPr>
        <w:pStyle w:val="GuidanceParagraph"/>
      </w:pPr>
      <w:bookmarkStart w:id="97" w:name="_Hlk43067694"/>
      <w:r w:rsidRPr="00CC10E2">
        <w:t>As part of your environmental monitoring plan, you must have a written sampling plan. Your written sampling plan must:</w:t>
      </w:r>
    </w:p>
    <w:p w:rsidR="00191DF8" w:rsidRPr="00EF3B1B" w:rsidP="00690C44" w14:paraId="13B03D02" w14:textId="68035583">
      <w:pPr>
        <w:pStyle w:val="GuidanceBulletLevel1"/>
      </w:pPr>
      <w:r w:rsidRPr="0038345E">
        <w:rPr>
          <w:noProof/>
        </w:rPr>
        <mc:AlternateContent>
          <mc:Choice Requires="wpg">
            <w:drawing>
              <wp:anchor distT="0" distB="0" distL="114300" distR="114300" simplePos="0" relativeHeight="251658240" behindDoc="1" locked="0" layoutInCell="1" allowOverlap="1">
                <wp:simplePos x="0" y="0"/>
                <wp:positionH relativeFrom="page">
                  <wp:posOffset>2273935</wp:posOffset>
                </wp:positionH>
                <wp:positionV relativeFrom="paragraph">
                  <wp:posOffset>329565</wp:posOffset>
                </wp:positionV>
                <wp:extent cx="48895" cy="7620"/>
                <wp:effectExtent l="6985" t="5715" r="10795" b="5715"/>
                <wp:wrapNone/>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48895" cy="7620"/>
                          <a:chOff x="3581" y="519"/>
                          <a:chExt cx="77" cy="12"/>
                        </a:xfrm>
                      </wpg:grpSpPr>
                      <wps:wsp xmlns:wps="http://schemas.microsoft.com/office/word/2010/wordprocessingShape">
                        <wps:cNvPr id="9" name="Freeform 21"/>
                        <wps:cNvSpPr/>
                        <wps:spPr bwMode="auto">
                          <a:xfrm>
                            <a:off x="3581" y="519"/>
                            <a:ext cx="77" cy="12"/>
                          </a:xfrm>
                          <a:custGeom>
                            <a:avLst/>
                            <a:gdLst>
                              <a:gd name="T0" fmla="+- 0 3581 3581"/>
                              <a:gd name="T1" fmla="*/ T0 w 77"/>
                              <a:gd name="T2" fmla="+- 0 525 519"/>
                              <a:gd name="T3" fmla="*/ 525 h 12"/>
                              <a:gd name="T4" fmla="+- 0 3658 3581"/>
                              <a:gd name="T5" fmla="*/ T4 w 77"/>
                              <a:gd name="T6" fmla="+- 0 525 519"/>
                              <a:gd name="T7" fmla="*/ 525 h 12"/>
                            </a:gdLst>
                            <a:cxnLst>
                              <a:cxn ang="0">
                                <a:pos x="T1" y="T3"/>
                              </a:cxn>
                              <a:cxn ang="0">
                                <a:pos x="T5" y="T7"/>
                              </a:cxn>
                            </a:cxnLst>
                            <a:rect l="0" t="0" r="r" b="b"/>
                            <a:pathLst>
                              <a:path fill="norm" h="12" w="77" stroke="1">
                                <a:moveTo>
                                  <a:pt x="0" y="6"/>
                                </a:moveTo>
                                <a:lnTo>
                                  <a:pt x="77" y="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8" o:spid="_x0000_s1025" style="width:3.85pt;height:0.6pt;margin-top:25.95pt;margin-left:179.05pt;mso-position-horizontal-relative:page;position:absolute;z-index:-251657216" coordorigin="3581,519" coordsize="77,12">
                <v:shape id="Freeform 21" o:spid="_x0000_s1026" style="width:77;height:12;left:3581;mso-wrap-style:square;position:absolute;top:519;visibility:visible;v-text-anchor:top" coordsize="77,12" path="m,6l77,6e" filled="f" strokeweight="0.7pt">
                  <v:path arrowok="t" o:connecttype="custom" o:connectlocs="0,525;77,525" o:connectangles="0,0"/>
                </v:shape>
              </v:group>
            </w:pict>
          </mc:Fallback>
        </mc:AlternateContent>
      </w:r>
      <w:r w:rsidRPr="0038345E">
        <w:rPr>
          <w:noProof/>
        </w:rPr>
        <mc:AlternateContent>
          <mc:Choice Requires="wpg">
            <w:drawing>
              <wp:anchor distT="0" distB="0" distL="114300" distR="114300" simplePos="0" relativeHeight="251660288" behindDoc="1" locked="0" layoutInCell="1" allowOverlap="1">
                <wp:simplePos x="0" y="0"/>
                <wp:positionH relativeFrom="page">
                  <wp:posOffset>2273935</wp:posOffset>
                </wp:positionH>
                <wp:positionV relativeFrom="paragraph">
                  <wp:posOffset>329565</wp:posOffset>
                </wp:positionV>
                <wp:extent cx="48895" cy="7620"/>
                <wp:effectExtent l="6985" t="5715" r="10795" b="5715"/>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8895" cy="7620"/>
                          <a:chOff x="3581" y="519"/>
                          <a:chExt cx="77" cy="12"/>
                        </a:xfrm>
                      </wpg:grpSpPr>
                      <wps:wsp xmlns:wps="http://schemas.microsoft.com/office/word/2010/wordprocessingShape">
                        <wps:cNvPr id="46" name="Freeform 21"/>
                        <wps:cNvSpPr/>
                        <wps:spPr bwMode="auto">
                          <a:xfrm>
                            <a:off x="3581" y="519"/>
                            <a:ext cx="77" cy="12"/>
                          </a:xfrm>
                          <a:custGeom>
                            <a:avLst/>
                            <a:gdLst>
                              <a:gd name="T0" fmla="+- 0 3581 3581"/>
                              <a:gd name="T1" fmla="*/ T0 w 77"/>
                              <a:gd name="T2" fmla="+- 0 525 519"/>
                              <a:gd name="T3" fmla="*/ 525 h 12"/>
                              <a:gd name="T4" fmla="+- 0 3658 3581"/>
                              <a:gd name="T5" fmla="*/ T4 w 77"/>
                              <a:gd name="T6" fmla="+- 0 525 519"/>
                              <a:gd name="T7" fmla="*/ 525 h 12"/>
                            </a:gdLst>
                            <a:cxnLst>
                              <a:cxn ang="0">
                                <a:pos x="T1" y="T3"/>
                              </a:cxn>
                              <a:cxn ang="0">
                                <a:pos x="T5" y="T7"/>
                              </a:cxn>
                            </a:cxnLst>
                            <a:rect l="0" t="0" r="r" b="b"/>
                            <a:pathLst>
                              <a:path fill="norm" h="12" w="77" stroke="1">
                                <a:moveTo>
                                  <a:pt x="0" y="6"/>
                                </a:moveTo>
                                <a:lnTo>
                                  <a:pt x="77" y="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5" o:spid="_x0000_s1027" style="width:3.85pt;height:0.6pt;margin-top:25.95pt;margin-left:179.05pt;mso-position-horizontal-relative:page;position:absolute;z-index:-251655168" coordorigin="3581,519" coordsize="77,12">
                <v:shape id="Freeform 21" o:spid="_x0000_s1028" style="width:77;height:12;left:3581;mso-wrap-style:square;position:absolute;top:519;visibility:visible;v-text-anchor:top" coordsize="77,12" path="m,6l77,6e" filled="f" strokeweight="0.7pt">
                  <v:path arrowok="t" o:connecttype="custom" o:connectlocs="0,525;77,525" o:connectangles="0,0"/>
                </v:shape>
              </v:group>
            </w:pict>
          </mc:Fallback>
        </mc:AlternateContent>
      </w:r>
      <w:r w:rsidRPr="0038345E">
        <w:t xml:space="preserve">Specify what you will test collected samples for (i.e., </w:t>
      </w:r>
      <w:r w:rsidRPr="0038345E">
        <w:rPr>
          <w:i/>
        </w:rPr>
        <w:t xml:space="preserve">Listeria </w:t>
      </w:r>
      <w:r w:rsidRPr="0038345E">
        <w:t xml:space="preserve">species or </w:t>
      </w:r>
      <w:r w:rsidRPr="0038345E">
        <w:rPr>
          <w:i/>
        </w:rPr>
        <w:t>L. monocytogenes</w:t>
      </w:r>
      <w:r w:rsidRPr="00E15A71" w:rsidR="00292A8D">
        <w:t>)</w:t>
      </w:r>
      <w:r w:rsidRPr="0038345E">
        <w:t xml:space="preserve"> (§ 112.145(c)(1)) (we refer to this microorganism as the “test microorganism” in the remainder of this document</w:t>
      </w:r>
      <w:r w:rsidRPr="0038345E">
        <w:t>);</w:t>
      </w:r>
    </w:p>
    <w:p w:rsidR="00191DF8" w:rsidRPr="00EF3B1B" w:rsidP="00690C44" w14:paraId="6B212AC6" w14:textId="77777777">
      <w:pPr>
        <w:pStyle w:val="GuidanceBulletLevel1"/>
      </w:pPr>
      <w:r w:rsidRPr="0038345E">
        <w:t>Specify the frequency of sample collection, which must be no less than monthly (§ 112.145(c)(2)</w:t>
      </w:r>
      <w:r w:rsidRPr="0038345E">
        <w:t>);</w:t>
      </w:r>
    </w:p>
    <w:p w:rsidR="00191DF8" w:rsidRPr="00EF3B1B" w:rsidP="00690C44" w14:paraId="7272DED8" w14:textId="77777777">
      <w:pPr>
        <w:pStyle w:val="GuidanceBulletLevel1"/>
      </w:pPr>
      <w:r w:rsidRPr="0038345E">
        <w:t>Specify at what point during production you will collect the samples (§ 112.145(c)(2)); and</w:t>
      </w:r>
    </w:p>
    <w:p w:rsidR="00191DF8" w:rsidRPr="00EF3B1B" w:rsidP="00690C44" w14:paraId="3BDBFA7B" w14:textId="5C933ED3">
      <w:pPr>
        <w:pStyle w:val="GuidanceBulletLevel1"/>
      </w:pPr>
      <w:r w:rsidRPr="0038345E">
        <w:t xml:space="preserve">Specify the number and location of sample collection sites, which must include appropriate FCS sites and non-FCS sites of equipment, and other surfaces within the growing, harvesting, packing, and holding environment (§ 112.145(c)(3)). </w:t>
      </w:r>
    </w:p>
    <w:p w:rsidR="00191DF8" w:rsidRPr="0038345E" w:rsidP="00E47C04" w14:paraId="07F5D2AA" w14:textId="77777777">
      <w:pPr>
        <w:pStyle w:val="GuidanceParagraph"/>
      </w:pPr>
      <w:r w:rsidRPr="005E3E75">
        <w:t>Y</w:t>
      </w:r>
      <w:r w:rsidRPr="0038345E">
        <w:t>our written sampling plan should:</w:t>
      </w:r>
    </w:p>
    <w:p w:rsidR="00191DF8" w:rsidRPr="00EF3B1B" w:rsidP="00690C44" w14:paraId="7C9F8146" w14:textId="77777777">
      <w:pPr>
        <w:pStyle w:val="GuidanceBulletLevel1"/>
      </w:pPr>
      <w:r w:rsidRPr="00AF4E28">
        <w:t xml:space="preserve">Include a list of all FCS and non-FCS sites identified for testing at a level of detail that facilitates your identification of sampling </w:t>
      </w:r>
      <w:r w:rsidRPr="00AF4E28">
        <w:t>sites;</w:t>
      </w:r>
    </w:p>
    <w:p w:rsidR="00191DF8" w:rsidRPr="00EF3B1B" w:rsidP="00690C44" w14:paraId="0E2F44A5" w14:textId="77777777">
      <w:pPr>
        <w:pStyle w:val="GuidanceBulletLevel1"/>
      </w:pPr>
      <w:r w:rsidRPr="00AF4E28">
        <w:t>Identify the specific test method by which collected samples will be tested for the test microorganism (you are required to use a method set forth in § 112.152</w:t>
      </w:r>
      <w:r w:rsidRPr="00AF4E28">
        <w:t>);</w:t>
      </w:r>
    </w:p>
    <w:p w:rsidR="00191DF8" w:rsidRPr="00EF3B1B" w:rsidP="00690C44" w14:paraId="46692085" w14:textId="77777777">
      <w:pPr>
        <w:pStyle w:val="GuidanceBulletLevel1"/>
      </w:pPr>
      <w:r w:rsidRPr="00227FB9">
        <w:t>Identify the person(s) responsible for sample collection in your operation and any specific training that the person(s) should have (§112.22(a)(3)</w:t>
      </w:r>
      <w:r w:rsidRPr="00227FB9">
        <w:t>);</w:t>
      </w:r>
    </w:p>
    <w:p w:rsidR="00191DF8" w:rsidRPr="00EF3B1B" w:rsidP="00690C44" w14:paraId="4A115918" w14:textId="7D5C2ABF">
      <w:pPr>
        <w:pStyle w:val="GuidanceBulletLevel1"/>
      </w:pPr>
      <w:r w:rsidRPr="00227FB9">
        <w:t xml:space="preserve">Specify </w:t>
      </w:r>
      <w:r w:rsidRPr="00227FB9" w:rsidR="00B72E61">
        <w:t xml:space="preserve">how you will meet </w:t>
      </w:r>
      <w:r w:rsidRPr="00227FB9">
        <w:t>the require</w:t>
      </w:r>
      <w:r w:rsidRPr="00AF4E28">
        <w:t xml:space="preserve">ment in § 112.145(d) that samples must be collected aseptically. Your plan should include procedures for aseptic sample collection, including appropriate materials and steps to prepare for sample </w:t>
      </w:r>
      <w:r w:rsidRPr="00AF4E28">
        <w:t>collection;</w:t>
      </w:r>
    </w:p>
    <w:p w:rsidR="00191DF8" w:rsidRPr="00EF3B1B" w:rsidP="00690C44" w14:paraId="1693D233" w14:textId="1E459042">
      <w:pPr>
        <w:pStyle w:val="GuidanceBulletLevel1"/>
      </w:pPr>
      <w:r w:rsidRPr="00D83751">
        <w:t>Specify the sample collection method used (e.g., sponge v. swab sampling, whether any samples will b</w:t>
      </w:r>
      <w:r w:rsidRPr="00227FB9">
        <w:t xml:space="preserve">e composited) and sample sizes to be collected at the various sample collection </w:t>
      </w:r>
      <w:r w:rsidRPr="00227FB9">
        <w:t>sites;</w:t>
      </w:r>
    </w:p>
    <w:p w:rsidR="00191DF8" w:rsidRPr="00EF3B1B" w:rsidP="00690C44" w14:paraId="3FF3B842" w14:textId="77777777">
      <w:pPr>
        <w:pStyle w:val="GuidanceBulletLevel1"/>
      </w:pPr>
      <w:r w:rsidRPr="00227FB9">
        <w:t>Identify the laboratory you are using to conduct the testing; and</w:t>
      </w:r>
    </w:p>
    <w:p w:rsidR="00191DF8" w:rsidRPr="00EF3B1B" w:rsidP="00690C44" w14:paraId="03F08BA1" w14:textId="77777777">
      <w:pPr>
        <w:pStyle w:val="GuidanceBulletLevel1"/>
      </w:pPr>
      <w:r w:rsidRPr="00227FB9">
        <w:t>Identify the records you will keep for each sample collected, including the documentation of the results of your analytical tests.</w:t>
      </w:r>
    </w:p>
    <w:p w:rsidR="00191DF8" w:rsidRPr="0092213E" w:rsidP="00F756C4" w14:paraId="52DC39D7" w14:textId="040F56DF">
      <w:pPr>
        <w:pStyle w:val="HHS508GuidanceOutline2"/>
      </w:pPr>
      <w:bookmarkStart w:id="98" w:name="_bookmark77"/>
      <w:bookmarkStart w:id="99" w:name="_Toc106094953"/>
      <w:bookmarkStart w:id="100" w:name="_Hlk43072163"/>
      <w:bookmarkEnd w:id="97"/>
      <w:bookmarkEnd w:id="98"/>
      <w:r w:rsidRPr="00730307">
        <w:t xml:space="preserve">Testing for </w:t>
      </w:r>
      <w:r w:rsidRPr="00BA2C8F">
        <w:rPr>
          <w:i/>
        </w:rPr>
        <w:t>Listeria</w:t>
      </w:r>
      <w:r w:rsidRPr="00C142B2">
        <w:rPr>
          <w:iCs/>
        </w:rPr>
        <w:t xml:space="preserve"> </w:t>
      </w:r>
      <w:r w:rsidRPr="00730307">
        <w:t xml:space="preserve">spp. or </w:t>
      </w:r>
      <w:r w:rsidRPr="00BA2C8F">
        <w:rPr>
          <w:i/>
        </w:rPr>
        <w:t>L. monocytogenes</w:t>
      </w:r>
      <w:bookmarkEnd w:id="99"/>
    </w:p>
    <w:bookmarkEnd w:id="100"/>
    <w:p w:rsidR="00191DF8" w:rsidRPr="00CC10E2" w:rsidP="00E47C04" w14:paraId="59334B24" w14:textId="1C4F356D">
      <w:pPr>
        <w:pStyle w:val="GuidanceParagraph"/>
      </w:pPr>
      <w:r>
        <w:t xml:space="preserve">Your sampling plan must specify </w:t>
      </w:r>
      <w:r w:rsidR="2B3057BB">
        <w:t xml:space="preserve">what you will test collected samples for </w:t>
      </w:r>
      <w:r>
        <w:t xml:space="preserve">(i.e., </w:t>
      </w:r>
      <w:r w:rsidR="0EFE40A1">
        <w:t xml:space="preserve">the </w:t>
      </w:r>
      <w:r w:rsidR="128DC425">
        <w:t>t</w:t>
      </w:r>
      <w:r w:rsidR="2ECEA588">
        <w:t>est</w:t>
      </w:r>
      <w:r w:rsidR="128DC425">
        <w:t xml:space="preserve"> </w:t>
      </w:r>
      <w:r w:rsidR="0EFE40A1">
        <w:t>microorganism</w:t>
      </w:r>
      <w:r w:rsidR="2FAA822B">
        <w:t>,</w:t>
      </w:r>
      <w:r w:rsidR="0EFE40A1">
        <w:t xml:space="preserve"> </w:t>
      </w:r>
      <w:r w:rsidRPr="00CC10E2">
        <w:rPr>
          <w:i/>
        </w:rPr>
        <w:t xml:space="preserve">Listeria </w:t>
      </w:r>
      <w:r>
        <w:t xml:space="preserve">spp. or </w:t>
      </w:r>
      <w:r w:rsidRPr="00CC10E2">
        <w:rPr>
          <w:i/>
        </w:rPr>
        <w:t xml:space="preserve">L. monocytogenes) </w:t>
      </w:r>
      <w:r>
        <w:t xml:space="preserve">(§ 112.145(c)(1)). Testing for </w:t>
      </w:r>
      <w:r w:rsidRPr="00CC10E2">
        <w:rPr>
          <w:i/>
        </w:rPr>
        <w:t xml:space="preserve">Listeria </w:t>
      </w:r>
      <w:r>
        <w:t xml:space="preserve">spp. will detect multiple species of </w:t>
      </w:r>
      <w:r w:rsidRPr="00CC10E2">
        <w:rPr>
          <w:i/>
        </w:rPr>
        <w:t>Listeria</w:t>
      </w:r>
      <w:r>
        <w:t xml:space="preserve">, including </w:t>
      </w:r>
      <w:r w:rsidRPr="00CC10E2">
        <w:rPr>
          <w:i/>
        </w:rPr>
        <w:t>L. monocytogenes</w:t>
      </w:r>
      <w:r>
        <w:t xml:space="preserve">. A positive test result for the presence of </w:t>
      </w:r>
      <w:r w:rsidRPr="00CC10E2">
        <w:rPr>
          <w:i/>
        </w:rPr>
        <w:t xml:space="preserve">Listeria </w:t>
      </w:r>
      <w:r>
        <w:t xml:space="preserve">spp. on an FCS or non-FCS indicates the potential for contamination of that surface with </w:t>
      </w:r>
      <w:r w:rsidRPr="00CC10E2">
        <w:rPr>
          <w:i/>
        </w:rPr>
        <w:t xml:space="preserve">L. monocytogenes </w:t>
      </w:r>
      <w:r>
        <w:t xml:space="preserve">and suggests that conditions are suitable for survival and/or growth of </w:t>
      </w:r>
      <w:r w:rsidRPr="00CC10E2">
        <w:rPr>
          <w:i/>
        </w:rPr>
        <w:t>L</w:t>
      </w:r>
      <w:r>
        <w:t xml:space="preserve">. </w:t>
      </w:r>
      <w:r w:rsidRPr="00CC10E2">
        <w:rPr>
          <w:i/>
        </w:rPr>
        <w:t xml:space="preserve">monocytogenes </w:t>
      </w:r>
      <w:r>
        <w:t>(</w:t>
      </w:r>
      <w:r w:rsidR="00EC5B88">
        <w:fldChar w:fldCharType="begin"/>
      </w:r>
      <w:r w:rsidR="00EC5B88">
        <w:instrText xml:space="preserve"> REF _Ref105764852 \h </w:instrText>
      </w:r>
      <w:r w:rsidR="004B2A15">
        <w:instrText xml:space="preserve"> \* MERGEFORMAT </w:instrText>
      </w:r>
      <w:r w:rsidR="00EC5B88">
        <w:fldChar w:fldCharType="separate"/>
      </w:r>
      <w:r w:rsidR="00FB6D94">
        <w:t xml:space="preserve">Ref. </w:t>
      </w:r>
      <w:r w:rsidR="00FB6D94">
        <w:rPr>
          <w:noProof/>
        </w:rPr>
        <w:t>74</w:t>
      </w:r>
      <w:r w:rsidR="00EC5B88">
        <w:fldChar w:fldCharType="end"/>
      </w:r>
      <w:r>
        <w:t xml:space="preserve">). However, such a test result does not establish the presence of </w:t>
      </w:r>
      <w:r w:rsidRPr="00CC10E2">
        <w:rPr>
          <w:i/>
        </w:rPr>
        <w:t xml:space="preserve">L. monocytogenes </w:t>
      </w:r>
      <w:r>
        <w:t>on that surface. Nonetheless, testing for either the pathogen directly (</w:t>
      </w:r>
      <w:r w:rsidRPr="00CC10E2">
        <w:rPr>
          <w:i/>
        </w:rPr>
        <w:t>L. monocytogenes</w:t>
      </w:r>
      <w:r>
        <w:t>) or the indicator organism (</w:t>
      </w:r>
      <w:r w:rsidRPr="00CC10E2">
        <w:rPr>
          <w:i/>
        </w:rPr>
        <w:t xml:space="preserve">Listeria </w:t>
      </w:r>
      <w:r>
        <w:t xml:space="preserve">spp.) facilitates accomplishing the objectives for environmental monitoring stated above.  If you test for </w:t>
      </w:r>
      <w:r w:rsidRPr="00CC10E2">
        <w:rPr>
          <w:i/>
        </w:rPr>
        <w:t xml:space="preserve">Listeria </w:t>
      </w:r>
      <w:r>
        <w:t xml:space="preserve">spp. and take appropriate corrective actions when you find it on an FCS or non-FCS, you should eliminate </w:t>
      </w:r>
      <w:r w:rsidRPr="00CC10E2">
        <w:rPr>
          <w:i/>
        </w:rPr>
        <w:t xml:space="preserve">Listeria </w:t>
      </w:r>
      <w:r>
        <w:t xml:space="preserve">spp. regardless of </w:t>
      </w:r>
      <w:r>
        <w:t>whether or not</w:t>
      </w:r>
      <w:r>
        <w:t xml:space="preserve"> the initial finding of </w:t>
      </w:r>
      <w:r w:rsidRPr="00CC10E2">
        <w:rPr>
          <w:i/>
        </w:rPr>
        <w:t xml:space="preserve">Listeria </w:t>
      </w:r>
      <w:r>
        <w:t xml:space="preserve">spp. was, in fact, </w:t>
      </w:r>
      <w:r w:rsidRPr="00CC10E2">
        <w:rPr>
          <w:i/>
        </w:rPr>
        <w:t>L. monocytogenes</w:t>
      </w:r>
      <w:r>
        <w:t xml:space="preserve">. For this reason, except in certain circumstances described further below (such as when product testing of sprouts is appropriate as a corrective action), you are not required to take the added step of determining whether </w:t>
      </w:r>
      <w:r w:rsidR="2742A892">
        <w:t xml:space="preserve">the </w:t>
      </w:r>
      <w:r>
        <w:t xml:space="preserve">identified </w:t>
      </w:r>
      <w:r w:rsidRPr="00CC10E2">
        <w:rPr>
          <w:i/>
        </w:rPr>
        <w:t xml:space="preserve">Listeria </w:t>
      </w:r>
      <w:r>
        <w:t xml:space="preserve">spp. is, in fact, </w:t>
      </w:r>
      <w:r w:rsidRPr="00CC10E2">
        <w:rPr>
          <w:i/>
        </w:rPr>
        <w:t>L. monocytogenes,</w:t>
      </w:r>
      <w:r>
        <w:t xml:space="preserve"> although you may voluntarily choose to do so. Further, except in the circumstances described below</w:t>
      </w:r>
      <w:r w:rsidR="00E35BDB">
        <w:t xml:space="preserve"> (</w:t>
      </w:r>
      <w:r w:rsidRPr="003D1B42" w:rsidR="00E35BDB">
        <w:t>such as when</w:t>
      </w:r>
      <w:r w:rsidRPr="003D1B42" w:rsidR="00A804C9">
        <w:t xml:space="preserve"> testing for </w:t>
      </w:r>
      <w:r w:rsidRPr="003D1B42" w:rsidR="00A804C9">
        <w:rPr>
          <w:i/>
          <w:iCs/>
        </w:rPr>
        <w:t>L. monocytogenes</w:t>
      </w:r>
      <w:r w:rsidRPr="003D1B42" w:rsidR="00A804C9">
        <w:t xml:space="preserve"> in a growing unit </w:t>
      </w:r>
      <w:r w:rsidRPr="003D1B42" w:rsidR="00BE788B">
        <w:t>as a corrective action</w:t>
      </w:r>
      <w:r w:rsidR="00BE788B">
        <w:t>)</w:t>
      </w:r>
      <w:r>
        <w:t xml:space="preserve">, we recommend that you test </w:t>
      </w:r>
      <w:r w:rsidR="6DD95E42">
        <w:t xml:space="preserve">environmental samples </w:t>
      </w:r>
      <w:r>
        <w:t xml:space="preserve">for </w:t>
      </w:r>
      <w:r w:rsidRPr="00CC10E2">
        <w:rPr>
          <w:i/>
        </w:rPr>
        <w:t xml:space="preserve">Listeria </w:t>
      </w:r>
      <w:r>
        <w:t xml:space="preserve">spp. because doing so will detect both </w:t>
      </w:r>
      <w:r w:rsidRPr="00CC10E2">
        <w:rPr>
          <w:i/>
        </w:rPr>
        <w:t>L. monocytogenes</w:t>
      </w:r>
      <w:r>
        <w:t xml:space="preserve"> as well as species of </w:t>
      </w:r>
      <w:r w:rsidRPr="00CC10E2">
        <w:rPr>
          <w:i/>
        </w:rPr>
        <w:t>Listeria</w:t>
      </w:r>
      <w:r>
        <w:t xml:space="preserve"> that are more common than </w:t>
      </w:r>
      <w:r w:rsidRPr="00CC10E2">
        <w:rPr>
          <w:i/>
        </w:rPr>
        <w:t>L. monocytogenes</w:t>
      </w:r>
      <w:r>
        <w:t xml:space="preserve"> and allow you to correct situations that could potentially lead to contamination with </w:t>
      </w:r>
      <w:r w:rsidRPr="002C0DCF">
        <w:rPr>
          <w:i/>
        </w:rPr>
        <w:t>L. monocytogenes</w:t>
      </w:r>
      <w:r w:rsidR="356F7AF8">
        <w:t>.</w:t>
      </w:r>
      <w:r>
        <w:t xml:space="preserve"> See also the discussion in </w:t>
      </w:r>
      <w:r w:rsidR="7A7B4157">
        <w:t>S</w:t>
      </w:r>
      <w:r>
        <w:t xml:space="preserve">ection </w:t>
      </w:r>
      <w:r w:rsidR="7A7B4157">
        <w:t xml:space="preserve">VI. </w:t>
      </w:r>
      <w:r w:rsidR="00BB4248">
        <w:t>K</w:t>
      </w:r>
      <w:r>
        <w:t xml:space="preserve"> </w:t>
      </w:r>
      <w:r w:rsidR="5A9A1B72">
        <w:t>(</w:t>
      </w:r>
      <w:r w:rsidR="7A7B4157">
        <w:t xml:space="preserve">Documenting and </w:t>
      </w:r>
      <w:r>
        <w:t>Interpreting Test Results</w:t>
      </w:r>
      <w:r w:rsidR="5A9A1B72">
        <w:t>)</w:t>
      </w:r>
      <w:r>
        <w:t xml:space="preserve"> </w:t>
      </w:r>
      <w:r w:rsidR="7A7B4157">
        <w:t>below</w:t>
      </w:r>
      <w:r>
        <w:t xml:space="preserve"> for an explanation of how you should react to positive test results depending upon whether you identify </w:t>
      </w:r>
      <w:r w:rsidRPr="00CC10E2">
        <w:rPr>
          <w:i/>
        </w:rPr>
        <w:t xml:space="preserve">Listeria </w:t>
      </w:r>
      <w:r>
        <w:t xml:space="preserve">spp. or </w:t>
      </w:r>
      <w:r w:rsidRPr="00CC10E2">
        <w:rPr>
          <w:i/>
        </w:rPr>
        <w:t>L. monocytogenes</w:t>
      </w:r>
      <w:r>
        <w:t xml:space="preserve"> as the test microorganism in your plan, to help you make this decision.</w:t>
      </w:r>
    </w:p>
    <w:p w:rsidR="00191DF8" w:rsidRPr="00CC10E2" w:rsidP="00E47C04" w14:paraId="069A64A7" w14:textId="39CAE91D">
      <w:pPr>
        <w:pStyle w:val="GuidanceParagraph"/>
      </w:pPr>
      <w:bookmarkStart w:id="101" w:name="_Hlk43068074"/>
      <w:r>
        <w:t xml:space="preserve">When testing product (e.g., as part of corrective actions), we recommend testing for </w:t>
      </w:r>
      <w:r w:rsidRPr="4EDF2B11">
        <w:rPr>
          <w:i/>
          <w:iCs/>
        </w:rPr>
        <w:t xml:space="preserve">L. monocytogenes </w:t>
      </w:r>
      <w:r>
        <w:t xml:space="preserve">rather than for </w:t>
      </w:r>
      <w:r w:rsidRPr="4EDF2B11">
        <w:rPr>
          <w:i/>
          <w:iCs/>
        </w:rPr>
        <w:t xml:space="preserve">Listeria </w:t>
      </w:r>
      <w:r>
        <w:t xml:space="preserve">spp. because of the risk to public health from </w:t>
      </w:r>
      <w:r w:rsidRPr="4EDF2B11">
        <w:rPr>
          <w:i/>
          <w:iCs/>
        </w:rPr>
        <w:t xml:space="preserve">L. monocytogenes </w:t>
      </w:r>
      <w:r>
        <w:t xml:space="preserve">in food. If you choose to test food for </w:t>
      </w:r>
      <w:r w:rsidRPr="4EDF2B11">
        <w:rPr>
          <w:i/>
          <w:iCs/>
        </w:rPr>
        <w:t xml:space="preserve">Listeria </w:t>
      </w:r>
      <w:r>
        <w:t xml:space="preserve">spp. and find it to be positive, we recommend that you either determine whether the </w:t>
      </w:r>
      <w:r w:rsidRPr="4EDF2B11">
        <w:rPr>
          <w:i/>
          <w:iCs/>
        </w:rPr>
        <w:t xml:space="preserve">Listeria </w:t>
      </w:r>
      <w:r>
        <w:t xml:space="preserve">spp. is </w:t>
      </w:r>
      <w:r w:rsidRPr="4EDF2B11">
        <w:rPr>
          <w:i/>
          <w:iCs/>
        </w:rPr>
        <w:t xml:space="preserve">L. monocytogenes </w:t>
      </w:r>
      <w:r>
        <w:t xml:space="preserve">or treat the food as if it were contaminated with </w:t>
      </w:r>
      <w:r w:rsidRPr="4EDF2B11">
        <w:rPr>
          <w:i/>
          <w:iCs/>
        </w:rPr>
        <w:t>L. monocytogenes</w:t>
      </w:r>
      <w:r>
        <w:t>.</w:t>
      </w:r>
      <w:r w:rsidR="00C11B50">
        <w:t xml:space="preserve"> We further recommend that a lot of </w:t>
      </w:r>
      <w:r w:rsidR="00343B45">
        <w:t xml:space="preserve">tested </w:t>
      </w:r>
      <w:r w:rsidR="00C11B50">
        <w:t>product</w:t>
      </w:r>
      <w:r w:rsidR="00C11B50">
        <w:t xml:space="preserve"> be held until the test results are received, to prevent the need for a recall, should </w:t>
      </w:r>
      <w:r w:rsidRPr="003228B0" w:rsidR="00C11B50">
        <w:rPr>
          <w:i/>
          <w:iCs/>
        </w:rPr>
        <w:t>L. monocytogenes</w:t>
      </w:r>
      <w:r w:rsidR="00C11B50">
        <w:t xml:space="preserve"> be detected in the product.</w:t>
      </w:r>
    </w:p>
    <w:p w:rsidR="00191DF8" w:rsidRPr="0003249B" w:rsidP="00F756C4" w14:paraId="5A10405C" w14:textId="5EC551ED">
      <w:pPr>
        <w:pStyle w:val="HHS508GuidanceOutline2"/>
      </w:pPr>
      <w:bookmarkStart w:id="102" w:name="_bookmark78"/>
      <w:bookmarkStart w:id="103" w:name="_Toc44439357"/>
      <w:bookmarkStart w:id="104" w:name="_Toc106094954"/>
      <w:bookmarkEnd w:id="101"/>
      <w:bookmarkEnd w:id="102"/>
      <w:r w:rsidRPr="0003249B">
        <w:t>Person(s) Co</w:t>
      </w:r>
      <w:r w:rsidRPr="006408A0">
        <w:t>llecting Samples</w:t>
      </w:r>
      <w:bookmarkEnd w:id="103"/>
      <w:bookmarkEnd w:id="104"/>
    </w:p>
    <w:p w:rsidR="00191DF8" w:rsidRPr="00CC10E2" w:rsidP="00E47C04" w14:paraId="6059B798" w14:textId="19444403">
      <w:pPr>
        <w:pStyle w:val="GuidanceParagraph"/>
      </w:pPr>
      <w:r w:rsidRPr="00CC10E2">
        <w:t xml:space="preserve">You should identify </w:t>
      </w:r>
      <w:r w:rsidR="00B81627">
        <w:t xml:space="preserve">in your sampling plan </w:t>
      </w:r>
      <w:r w:rsidRPr="00CC10E2">
        <w:t xml:space="preserve">the person(s) that performs sample collection, at least by title. Sample collection may be performed by, for example, employees or contracted personnel. For a larger operation, we recommend you assemble a trained Sampling Team to undertake this activity.  </w:t>
      </w:r>
      <w:r w:rsidR="00813C85">
        <w:t>Training should be specified in your sampling plan</w:t>
      </w:r>
      <w:r w:rsidRPr="00CC10E2">
        <w:t>, and your records should indicate that that training was successfully completed (</w:t>
      </w:r>
      <w:r w:rsidR="0025475A">
        <w:t>s</w:t>
      </w:r>
      <w:r w:rsidR="0004202C">
        <w:t xml:space="preserve">ee </w:t>
      </w:r>
      <w:r w:rsidRPr="00CC10E2">
        <w:t>§ 112.22(a)(3))</w:t>
      </w:r>
      <w:r w:rsidR="00772F0F">
        <w:t>.</w:t>
      </w:r>
      <w:r w:rsidRPr="00CC10E2">
        <w:t xml:space="preserve"> </w:t>
      </w:r>
      <w:r w:rsidRPr="00E1182C">
        <w:t xml:space="preserve">See </w:t>
      </w:r>
      <w:r w:rsidRPr="00E1182C" w:rsidR="004E1C70">
        <w:t xml:space="preserve">Section </w:t>
      </w:r>
      <w:r w:rsidRPr="00E1182C">
        <w:t xml:space="preserve">III </w:t>
      </w:r>
      <w:r w:rsidR="00CF2587">
        <w:t>(</w:t>
      </w:r>
      <w:r w:rsidRPr="00E1182C">
        <w:t>Personnel</w:t>
      </w:r>
      <w:r w:rsidRPr="00CC10E2">
        <w:t xml:space="preserve"> </w:t>
      </w:r>
      <w:r w:rsidR="00B128AB">
        <w:t xml:space="preserve">Qualification, </w:t>
      </w:r>
      <w:r w:rsidRPr="00CC10E2">
        <w:t>Training</w:t>
      </w:r>
      <w:r w:rsidR="004F1BB1">
        <w:t>,</w:t>
      </w:r>
      <w:r w:rsidRPr="00CC10E2">
        <w:t xml:space="preserve"> and Hygienic </w:t>
      </w:r>
      <w:r w:rsidRPr="009C4709">
        <w:t>Practices</w:t>
      </w:r>
      <w:r w:rsidRPr="009C4709" w:rsidR="00CF2587">
        <w:t>)</w:t>
      </w:r>
      <w:r w:rsidRPr="009C4709" w:rsidR="00E032FA">
        <w:t xml:space="preserve"> in</w:t>
      </w:r>
      <w:r w:rsidRPr="009C4709" w:rsidR="00FA2007">
        <w:t xml:space="preserve"> the draft</w:t>
      </w:r>
      <w:r w:rsidRPr="009C4709" w:rsidR="00E032FA">
        <w:t xml:space="preserve"> re-issued </w:t>
      </w:r>
      <w:r w:rsidRPr="009C4709" w:rsidR="006E2A5B">
        <w:t>sections</w:t>
      </w:r>
      <w:r w:rsidRPr="009C4709" w:rsidR="00FA2007">
        <w:t xml:space="preserve"> (</w:t>
      </w:r>
      <w:r w:rsidRPr="009C4709" w:rsidR="00891F20">
        <w:fldChar w:fldCharType="begin"/>
      </w:r>
      <w:r w:rsidRPr="009C4709" w:rsidR="00891F20">
        <w:instrText xml:space="preserve"> REF _Ref126308691 \h  \* MERGEFORMAT </w:instrText>
      </w:r>
      <w:r w:rsidRPr="009C4709" w:rsidR="00891F20">
        <w:fldChar w:fldCharType="separate"/>
      </w:r>
      <w:r w:rsidRPr="009C4709" w:rsidR="00891F20">
        <w:t xml:space="preserve">Ref. </w:t>
      </w:r>
      <w:r w:rsidRPr="009C4709" w:rsidR="00891F20">
        <w:rPr>
          <w:noProof/>
        </w:rPr>
        <w:t>18</w:t>
      </w:r>
      <w:r w:rsidRPr="009C4709" w:rsidR="00891F20">
        <w:fldChar w:fldCharType="end"/>
      </w:r>
      <w:r w:rsidRPr="009C4709" w:rsidR="00FA2007">
        <w:t>)</w:t>
      </w:r>
      <w:r w:rsidRPr="009C4709" w:rsidR="00F145AC">
        <w:t xml:space="preserve"> for additional information on training related to sample collection</w:t>
      </w:r>
      <w:r w:rsidRPr="00F145AC" w:rsidR="00F145AC">
        <w:t xml:space="preserve"> for environmental samples</w:t>
      </w:r>
      <w:r w:rsidRPr="00F145AC">
        <w:t>.</w:t>
      </w:r>
      <w:r w:rsidRPr="00CC10E2">
        <w:t xml:space="preserve"> Samples must be collected aseptically, in accordance with § 112.145(d), and, therefore, training in aseptic techniques may be useful.</w:t>
      </w:r>
    </w:p>
    <w:p w:rsidR="00A8728B" w:rsidP="00F756C4" w14:paraId="10CA794D" w14:textId="350DD98C">
      <w:pPr>
        <w:pStyle w:val="HHS508GuidanceOutline2"/>
      </w:pPr>
      <w:bookmarkStart w:id="105" w:name="_bookmark79"/>
      <w:bookmarkStart w:id="106" w:name="_Toc44439358"/>
      <w:bookmarkStart w:id="107" w:name="_Toc106094955"/>
      <w:bookmarkEnd w:id="105"/>
      <w:r w:rsidRPr="0003249B">
        <w:t>Establishing Sample Collection Locations and Frequency</w:t>
      </w:r>
      <w:bookmarkEnd w:id="106"/>
      <w:bookmarkEnd w:id="107"/>
    </w:p>
    <w:p w:rsidR="00191DF8" w:rsidRPr="00CC10E2" w:rsidP="006B398F" w14:paraId="17E127A0" w14:textId="53C5EDD7">
      <w:pPr>
        <w:pStyle w:val="HHS508GuidanceOutline30"/>
        <w:numPr>
          <w:ilvl w:val="0"/>
          <w:numId w:val="53"/>
        </w:numPr>
      </w:pPr>
      <w:bookmarkStart w:id="108" w:name="_bookmark80"/>
      <w:bookmarkStart w:id="109" w:name="_Toc44439359"/>
      <w:bookmarkStart w:id="110" w:name="_Toc106094956"/>
      <w:bookmarkEnd w:id="108"/>
      <w:r w:rsidRPr="00CC10E2">
        <w:t>Identifying sample collection locations</w:t>
      </w:r>
      <w:bookmarkEnd w:id="109"/>
      <w:bookmarkEnd w:id="110"/>
    </w:p>
    <w:p w:rsidR="00191DF8" w:rsidRPr="00CC10E2" w:rsidP="00E47C04" w14:paraId="0026CA8A" w14:textId="23ABCEDC">
      <w:pPr>
        <w:pStyle w:val="GuidanceParagraph"/>
      </w:pPr>
      <w:r w:rsidRPr="00CC10E2">
        <w:t xml:space="preserve">You should take a risk-based approach in determining where to sample and test the environment for the presence of </w:t>
      </w:r>
      <w:r w:rsidRPr="00CC10E2">
        <w:rPr>
          <w:i/>
        </w:rPr>
        <w:t xml:space="preserve">Listeria </w:t>
      </w:r>
      <w:r w:rsidRPr="00CC10E2">
        <w:t xml:space="preserve">spp. or </w:t>
      </w:r>
      <w:r w:rsidRPr="00CC10E2">
        <w:rPr>
          <w:i/>
        </w:rPr>
        <w:t>L. monocytogenes</w:t>
      </w:r>
      <w:r w:rsidRPr="00CC10E2">
        <w:t>. This can be accomplished by characterizing the areas in your operation according to the potential for product contamination</w:t>
      </w:r>
      <w:r w:rsidRPr="00CC10E2">
        <w:t xml:space="preserve"> </w:t>
      </w:r>
      <w:r w:rsidR="00007BF4">
        <w:t xml:space="preserve">(e.g., </w:t>
      </w:r>
      <w:r w:rsidRPr="00CC10E2">
        <w:t>using a zone system</w:t>
      </w:r>
      <w:r w:rsidR="00007BF4">
        <w:t>)</w:t>
      </w:r>
      <w:r w:rsidRPr="00CC10E2">
        <w:t xml:space="preserve">. Zone designations for surfaces or areas reflect how close those surfaces or areas are to a ready-to-eat food (such as sprouts), and the risk that the surfaces or areas pose to the food if the surfaces or areas are contaminated with </w:t>
      </w:r>
      <w:r w:rsidRPr="00CC10E2">
        <w:rPr>
          <w:i/>
        </w:rPr>
        <w:t xml:space="preserve">L. monocytogenes </w:t>
      </w:r>
      <w:r w:rsidRPr="009B420A" w:rsidR="009B420A">
        <w:rPr>
          <w:iCs/>
        </w:rPr>
        <w:t>(</w:t>
      </w:r>
      <w:r w:rsidRPr="009B420A" w:rsidR="00FF6745">
        <w:rPr>
          <w:iCs/>
        </w:rPr>
        <w:fldChar w:fldCharType="begin"/>
      </w:r>
      <w:r w:rsidRPr="009B420A" w:rsidR="00FF6745">
        <w:rPr>
          <w:iCs/>
        </w:rPr>
        <w:instrText xml:space="preserve"> REF _Ref105767403 \h </w:instrText>
      </w:r>
      <w:r w:rsidR="009B420A">
        <w:rPr>
          <w:iCs/>
        </w:rPr>
        <w:instrText xml:space="preserve"> \* MERGEFORMAT </w:instrText>
      </w:r>
      <w:r w:rsidRPr="009B420A" w:rsidR="00FF6745">
        <w:rPr>
          <w:iCs/>
        </w:rPr>
        <w:fldChar w:fldCharType="separate"/>
      </w:r>
      <w:r w:rsidRPr="00FB6D94" w:rsidR="00FB6D94">
        <w:rPr>
          <w:iCs/>
        </w:rPr>
        <w:t xml:space="preserve">Ref. </w:t>
      </w:r>
      <w:r w:rsidRPr="00FB6D94" w:rsidR="00FB6D94">
        <w:rPr>
          <w:iCs/>
          <w:noProof/>
        </w:rPr>
        <w:t>92</w:t>
      </w:r>
      <w:r w:rsidRPr="009B420A" w:rsidR="00FF6745">
        <w:rPr>
          <w:iCs/>
        </w:rPr>
        <w:fldChar w:fldCharType="end"/>
      </w:r>
      <w:r w:rsidR="00F011C0">
        <w:rPr>
          <w:iCs/>
        </w:rPr>
        <w:t xml:space="preserve">, </w:t>
      </w:r>
      <w:r w:rsidR="009B420A">
        <w:rPr>
          <w:iCs/>
        </w:rPr>
        <w:fldChar w:fldCharType="begin"/>
      </w:r>
      <w:r w:rsidR="009B420A">
        <w:rPr>
          <w:iCs/>
        </w:rPr>
        <w:instrText xml:space="preserve"> REF _Ref51148636 \h </w:instrText>
      </w:r>
      <w:r w:rsidR="004B2A15">
        <w:rPr>
          <w:iCs/>
        </w:rPr>
        <w:instrText xml:space="preserve"> \* MERGEFORMAT </w:instrText>
      </w:r>
      <w:r w:rsidR="009B420A">
        <w:rPr>
          <w:iCs/>
        </w:rPr>
        <w:fldChar w:fldCharType="separate"/>
      </w:r>
      <w:r w:rsidRPr="006E43DC" w:rsidR="00FB6D94">
        <w:t xml:space="preserve">Ref. </w:t>
      </w:r>
      <w:r w:rsidR="00FB6D94">
        <w:rPr>
          <w:noProof/>
        </w:rPr>
        <w:t>93</w:t>
      </w:r>
      <w:r w:rsidR="009B420A">
        <w:rPr>
          <w:iCs/>
        </w:rPr>
        <w:fldChar w:fldCharType="end"/>
      </w:r>
      <w:r w:rsidR="00F011C0">
        <w:rPr>
          <w:iCs/>
        </w:rPr>
        <w:t xml:space="preserve">, and </w:t>
      </w:r>
      <w:r w:rsidR="009B420A">
        <w:rPr>
          <w:iCs/>
        </w:rPr>
        <w:fldChar w:fldCharType="begin"/>
      </w:r>
      <w:r w:rsidR="009B420A">
        <w:rPr>
          <w:iCs/>
        </w:rPr>
        <w:instrText xml:space="preserve"> REF _Ref51148651 \h </w:instrText>
      </w:r>
      <w:r w:rsidR="004B2A15">
        <w:rPr>
          <w:iCs/>
        </w:rPr>
        <w:instrText xml:space="preserve"> \* MERGEFORMAT </w:instrText>
      </w:r>
      <w:r w:rsidR="009B420A">
        <w:rPr>
          <w:iCs/>
        </w:rPr>
        <w:fldChar w:fldCharType="separate"/>
      </w:r>
      <w:r w:rsidRPr="006E43DC" w:rsidR="00FB6D94">
        <w:t xml:space="preserve">Ref. </w:t>
      </w:r>
      <w:r w:rsidR="00FB6D94">
        <w:rPr>
          <w:noProof/>
        </w:rPr>
        <w:t>94</w:t>
      </w:r>
      <w:r w:rsidR="009B420A">
        <w:rPr>
          <w:iCs/>
        </w:rPr>
        <w:fldChar w:fldCharType="end"/>
      </w:r>
      <w:r w:rsidRPr="00CC10E2">
        <w:t xml:space="preserve">). For example, you could characterize your operation with four zones as shown in Appendix </w:t>
      </w:r>
      <w:r w:rsidR="00A03A3D">
        <w:t>3</w:t>
      </w:r>
      <w:r w:rsidRPr="00CB4077" w:rsidR="00CB4077">
        <w:t xml:space="preserve"> </w:t>
      </w:r>
      <w:r w:rsidR="00431482">
        <w:t>(</w:t>
      </w:r>
      <w:r w:rsidRPr="00CB4077" w:rsidR="00CB4077">
        <w:t xml:space="preserve">Potential Sources of </w:t>
      </w:r>
      <w:r w:rsidRPr="00A061B3" w:rsidR="00CB4077">
        <w:rPr>
          <w:i/>
          <w:iCs/>
        </w:rPr>
        <w:t>L. monocytogenes</w:t>
      </w:r>
      <w:r w:rsidRPr="00CB4077" w:rsidR="00CB4077">
        <w:t xml:space="preserve"> for Sampling in a Sprout Operation</w:t>
      </w:r>
      <w:r w:rsidR="00431482">
        <w:t>)</w:t>
      </w:r>
      <w:r w:rsidRPr="00CC10E2">
        <w:t xml:space="preserve">. Zone 1 is all FCSs, zone 2 is non-FCSs </w:t>
      </w:r>
      <w:r w:rsidRPr="00CC10E2">
        <w:t>in close proximity to</w:t>
      </w:r>
      <w:r w:rsidRPr="00CC10E2">
        <w:t xml:space="preserve"> food and FCSs, zone 3 is more remote non-FCSs that are in or near the production areas and could lead to contamination of zones 1 and 2, and zone 4 includes non-FCSs in remote areas outside of the production area, from which environmental pathogens can be introduced into the production environment.</w:t>
      </w:r>
    </w:p>
    <w:p w:rsidR="00191DF8" w:rsidRPr="00CC10E2" w:rsidP="00E47C04" w14:paraId="5FB486B3" w14:textId="3AA265A3">
      <w:pPr>
        <w:pStyle w:val="GuidanceParagraph"/>
      </w:pPr>
      <w:bookmarkStart w:id="111" w:name="M._Recordkeeping"/>
      <w:bookmarkStart w:id="112" w:name="_bookmark99"/>
      <w:bookmarkEnd w:id="111"/>
      <w:bookmarkEnd w:id="112"/>
      <w:r w:rsidRPr="00CC10E2">
        <w:t>Establishing a zone system is not a requirement of the Produce Safety Rule</w:t>
      </w:r>
      <w:r w:rsidR="00EB28E6">
        <w:t>,</w:t>
      </w:r>
      <w:r w:rsidRPr="00CC10E2">
        <w:t xml:space="preserve"> but doing so may be helpful in designing an environmental monitoring plan and determining the frequency for sampling different surfaces in different areas.  If you do not establish a zone-based system, you should otherwise characterize areas where you will collect environmental samples according to their potential for contamination or, at a minimum, distinguish between FCSs and non-FCSs.</w:t>
      </w:r>
    </w:p>
    <w:p w:rsidR="00191DF8" w:rsidRPr="00CC10E2" w:rsidP="006B398F" w14:paraId="461A96A9" w14:textId="36949045">
      <w:pPr>
        <w:pStyle w:val="HHS508GuidanceOutline30"/>
      </w:pPr>
      <w:bookmarkStart w:id="113" w:name="_bookmark81"/>
      <w:bookmarkStart w:id="114" w:name="_Toc44439360"/>
      <w:bookmarkStart w:id="115" w:name="_Toc106094957"/>
      <w:bookmarkStart w:id="116" w:name="_Hlk43072103"/>
      <w:bookmarkEnd w:id="113"/>
      <w:r w:rsidRPr="00CC10E2">
        <w:t xml:space="preserve">Deciding on the number of </w:t>
      </w:r>
      <w:r w:rsidRPr="00CC10E2" w:rsidR="003C1A28">
        <w:t>food contact surface</w:t>
      </w:r>
      <w:r w:rsidRPr="00CC10E2">
        <w:t xml:space="preserve"> and non-</w:t>
      </w:r>
      <w:r w:rsidRPr="00CC10E2" w:rsidR="005D5C0D">
        <w:t>food contact surface</w:t>
      </w:r>
      <w:r w:rsidRPr="00CC10E2">
        <w:t xml:space="preserve"> sampling sites</w:t>
      </w:r>
      <w:bookmarkEnd w:id="114"/>
      <w:bookmarkEnd w:id="115"/>
    </w:p>
    <w:bookmarkEnd w:id="116"/>
    <w:p w:rsidR="00191DF8" w:rsidRPr="00CC10E2" w:rsidP="00E47C04" w14:paraId="36BEBFCD" w14:textId="656B97EB">
      <w:pPr>
        <w:pStyle w:val="GuidanceParagraph"/>
      </w:pPr>
      <w:r w:rsidRPr="00CC10E2">
        <w:t>You must specify sample collection sites in your sampling plan, and these must include both FCS and non-FCS sites</w:t>
      </w:r>
      <w:r w:rsidR="00DE13F3">
        <w:t>, which you may have designated by zone as described above</w:t>
      </w:r>
      <w:r w:rsidRPr="00CC10E2">
        <w:t xml:space="preserve"> (§ 112.145(c)(3)). You should make a list of FCS and non-FCS sites for potential sampling at a level of detail that facilitates your identification of sampling sites and sampling frequencies and include this list as part of your sampling plan. </w:t>
      </w:r>
      <w:bookmarkStart w:id="117" w:name="_Hlk43068831"/>
      <w:r w:rsidRPr="00CC10E2">
        <w:t xml:space="preserve">For examples of FCS and non-FCS sampling sites, see Appendix </w:t>
      </w:r>
      <w:r w:rsidR="00BD0139">
        <w:t>3</w:t>
      </w:r>
      <w:r w:rsidRPr="00CC10E2">
        <w:t xml:space="preserve"> </w:t>
      </w:r>
      <w:r w:rsidR="00431482">
        <w:t>(</w:t>
      </w:r>
      <w:r w:rsidRPr="00CC10E2">
        <w:t xml:space="preserve">Potential Sources of </w:t>
      </w:r>
      <w:r w:rsidRPr="00CC10E2">
        <w:rPr>
          <w:i/>
        </w:rPr>
        <w:t xml:space="preserve">L. monocytogenes </w:t>
      </w:r>
      <w:r w:rsidRPr="00CC10E2">
        <w:t>for Sampling in a Sprout Operation</w:t>
      </w:r>
      <w:r w:rsidR="00431482">
        <w:t>)</w:t>
      </w:r>
      <w:r w:rsidRPr="00CC10E2">
        <w:t>.</w:t>
      </w:r>
      <w:bookmarkEnd w:id="117"/>
    </w:p>
    <w:p w:rsidR="00191DF8" w:rsidRPr="00CC10E2" w:rsidP="00E47C04" w14:paraId="3DD3789A" w14:textId="09F4FBB1">
      <w:pPr>
        <w:pStyle w:val="GuidanceParagraph"/>
      </w:pPr>
      <w:r w:rsidRPr="00CC10E2">
        <w:t>We also recommend that you assign identifiers to each of your sample sites in your sampling plan, particularly if your operation has more than one possible location that could meet a site description. For example, if you have three rotary drum growing units, you should consider assigning unique identifiers (e.g., Growing Unit A, Growing Unit B, Growing Unit C) to facilitate sample collection and so that you can associate test results with the correct sample site (i.e., to facilitate trend analysis and corrective actions). In addition, you may consider developing a diagram of your operation that identifies the FCSs and non-FCSs that you have selected as sampling sites.</w:t>
      </w:r>
    </w:p>
    <w:p w:rsidR="00191DF8" w:rsidRPr="00CC10E2" w:rsidP="00E47C04" w14:paraId="7EA58616" w14:textId="6282E7EA">
      <w:pPr>
        <w:pStyle w:val="GuidanceParagraph"/>
      </w:pPr>
      <w:r>
        <w:t>To determine the appropriate number of FCS and non-FCS sites to sample, you should consider the size of your operation (e.g., square footage), features of your operation (</w:t>
      </w:r>
      <w:r>
        <w:t>e.g.</w:t>
      </w:r>
      <w:r>
        <w:t xml:space="preserve"> building layout), design of your equipment (e.g. hard to reach/disassemble/clean areas), product flow, production methods you use to produce the sprouts, your cleaning procedures, and any previous sampling results. The number of sampling sites must be sufficient to determine whether your measures are effective (§ 112.145(c)(3)). To accomplish this requirement, your selection of sampling sites should be adequate to verify the implementation and effectiveness of your sanitation measures for controlling the presence of </w:t>
      </w:r>
      <w:r w:rsidRPr="4EDF2B11">
        <w:rPr>
          <w:i/>
          <w:iCs/>
        </w:rPr>
        <w:t xml:space="preserve">L. monocytogenes </w:t>
      </w:r>
      <w:r>
        <w:t xml:space="preserve">in the sprout production environment by finding </w:t>
      </w:r>
      <w:r w:rsidRPr="4EDF2B11">
        <w:rPr>
          <w:i/>
          <w:iCs/>
        </w:rPr>
        <w:t xml:space="preserve">Listeria </w:t>
      </w:r>
      <w:r>
        <w:t>spp</w:t>
      </w:r>
      <w:r w:rsidRPr="4EDF2B11">
        <w:rPr>
          <w:i/>
          <w:iCs/>
        </w:rPr>
        <w:t xml:space="preserve">. </w:t>
      </w:r>
      <w:r>
        <w:t xml:space="preserve">or </w:t>
      </w:r>
      <w:r w:rsidRPr="4EDF2B11">
        <w:rPr>
          <w:i/>
          <w:iCs/>
        </w:rPr>
        <w:t xml:space="preserve">L. monocytogenes </w:t>
      </w:r>
      <w:r>
        <w:t xml:space="preserve">if it remains in the sprouting operation after your routine cleaning and sanitizing procedures. We recommend you develop a full listing of FCS and non-FCS sampling locations that you will sample within a specified frequency, and that the plan rotate through different sites from that list over time such that all sites that you have identified for testing are tested within the </w:t>
      </w:r>
      <w:r>
        <w:t>time period</w:t>
      </w:r>
      <w:r>
        <w:t xml:space="preserve"> that you have determined is appropriate (e.g., quarterly). If you are testing a representative subset of FCS and non-FCS sites during each sampling event (e.g., monthly), each surface should be assigned a priority for sampling based on risk.  For example, if you are using a four-zone system, we recommend that the sampling sites in zones 1 and 2 be sampled at a higher frequency than those in zones 3 and 4, in keeping with the higher risk of </w:t>
      </w:r>
      <w:r w:rsidRPr="4EDF2B11">
        <w:rPr>
          <w:i/>
          <w:iCs/>
        </w:rPr>
        <w:t>L. monocytogenes</w:t>
      </w:r>
      <w:r>
        <w:t xml:space="preserve"> contamination of sprouts that zones 1 and 2 present.</w:t>
      </w:r>
    </w:p>
    <w:p w:rsidR="00191DF8" w:rsidRPr="00CC10E2" w:rsidP="00E47C04" w14:paraId="771B39B4" w14:textId="3665689B">
      <w:pPr>
        <w:pStyle w:val="GuidanceParagraph"/>
      </w:pPr>
      <w:bookmarkStart w:id="118" w:name="_Hlk43069058"/>
      <w:r>
        <w:t xml:space="preserve">While larger sprout operations will likely have more sampling sites than smaller operations, even the smallest sprout growers should collect samples from at least 5 sites of FCS (that directly contact the food) and 5 sites of non-FCS from each production area (e.g., each growing room) per sampling event. Your plan should focus on those sites that are in wet production areas (such as growing and packing areas) that pose the greatest risk. </w:t>
      </w:r>
    </w:p>
    <w:bookmarkEnd w:id="118"/>
    <w:p w:rsidR="00191DF8" w:rsidRPr="00CC10E2" w:rsidP="00E47C04" w14:paraId="0BB4F350" w14:textId="592D9407">
      <w:pPr>
        <w:pStyle w:val="GuidanceParagraph"/>
      </w:pPr>
      <w:r w:rsidRPr="00CC10E2">
        <w:t xml:space="preserve">As </w:t>
      </w:r>
      <w:r w:rsidRPr="003848E8">
        <w:t xml:space="preserve">discussed in Section </w:t>
      </w:r>
      <w:r w:rsidRPr="003848E8" w:rsidR="000F50D3">
        <w:t xml:space="preserve">VI. </w:t>
      </w:r>
      <w:r w:rsidRPr="003848E8">
        <w:t>A</w:t>
      </w:r>
      <w:r w:rsidR="000814FC">
        <w:t xml:space="preserve"> (Principles for Developing an Environmental Monitoring Plan)</w:t>
      </w:r>
      <w:r w:rsidRPr="003848E8">
        <w:t xml:space="preserve">, </w:t>
      </w:r>
      <w:r w:rsidRPr="003848E8">
        <w:rPr>
          <w:i/>
        </w:rPr>
        <w:t>L. monocytogenes</w:t>
      </w:r>
      <w:r w:rsidRPr="00CC10E2">
        <w:rPr>
          <w:i/>
        </w:rPr>
        <w:t xml:space="preserve"> </w:t>
      </w:r>
      <w:r w:rsidR="006C6DFF">
        <w:t>can be</w:t>
      </w:r>
      <w:r w:rsidRPr="00CC10E2">
        <w:t xml:space="preserve"> widespread in the environment, has been isolated from sprout production environments, and has been shown to persist on equipment and in the production environment in harborage sites. As a result, even if you are cleaning and sanitizing frequently, you should expect that you will occasionally have positive environmental samples. We discuss in subsequent sections of this guidance the need to take appropriate corrective actions and to reassess your sampling plan for possible revision to address the occurrence of positive pathogen or indicator organism findings. Further, if you consistently have negative test results from the sites you are sampling, you should reassess your sampling plan to determine whether you should add and/or substitute other sites to ensure that you are not missing a possible source of contamination.</w:t>
      </w:r>
    </w:p>
    <w:p w:rsidR="00191DF8" w:rsidRPr="00CC10E2" w:rsidP="006B398F" w14:paraId="321AE1A9" w14:textId="1594F07D">
      <w:pPr>
        <w:pStyle w:val="HHS508GuidanceOutline30"/>
      </w:pPr>
      <w:bookmarkStart w:id="119" w:name="_bookmark82"/>
      <w:bookmarkStart w:id="120" w:name="_Toc44439361"/>
      <w:bookmarkStart w:id="121" w:name="_Toc106094958"/>
      <w:bookmarkEnd w:id="119"/>
      <w:r w:rsidRPr="00CC10E2">
        <w:t>Identifying sampling frequency</w:t>
      </w:r>
      <w:bookmarkEnd w:id="120"/>
      <w:bookmarkEnd w:id="121"/>
    </w:p>
    <w:p w:rsidR="00191DF8" w:rsidRPr="00CC10E2" w:rsidP="00E47C04" w14:paraId="2F05468D" w14:textId="30BD7085">
      <w:pPr>
        <w:pStyle w:val="GuidanceParagraph"/>
      </w:pPr>
      <w:r>
        <w:t>Your sampling plan must specify how often you will collect environmental samples, which must be no less than monthly. Frequency of sampling should be based on risk, which, in part, depends on the size and complexity of your operation</w:t>
      </w:r>
      <w:r w:rsidR="00B86A40">
        <w:t xml:space="preserve">. </w:t>
      </w:r>
      <w:r w:rsidR="002304C3">
        <w:t xml:space="preserve">The timing of the </w:t>
      </w:r>
      <w:r w:rsidRPr="00E87091" w:rsidR="002304C3">
        <w:t xml:space="preserve">collection of the environmental samples during production is an important addition to the sampling plan to ensure that sampling is conducted in a manner to optimize detection of </w:t>
      </w:r>
      <w:r w:rsidRPr="00E87091" w:rsidR="002304C3">
        <w:rPr>
          <w:i/>
          <w:iCs/>
        </w:rPr>
        <w:t>Listeria</w:t>
      </w:r>
      <w:r w:rsidRPr="00E87091" w:rsidR="002304C3">
        <w:t>, if present</w:t>
      </w:r>
      <w:r w:rsidRPr="00E87091">
        <w:t xml:space="preserve">. While environmental sampling must be performed at least monthly (§ 112.145(c)(2)), each sampling event need not include samples from </w:t>
      </w:r>
      <w:r w:rsidRPr="00E87091" w:rsidR="007F3557">
        <w:t>all</w:t>
      </w:r>
      <w:r w:rsidRPr="00E87091">
        <w:t xml:space="preserve"> your identified sampling sites, which may be spread out over a longer </w:t>
      </w:r>
      <w:r w:rsidRPr="00E87091">
        <w:t>period of time</w:t>
      </w:r>
      <w:r w:rsidRPr="00E87091">
        <w:t xml:space="preserve"> (e.g., quarterly).</w:t>
      </w:r>
      <w:r w:rsidRPr="00E87091" w:rsidR="00113F14">
        <w:t xml:space="preserve"> </w:t>
      </w:r>
      <w:r w:rsidRPr="00E87091" w:rsidR="005743E9">
        <w:t>When developing your sampling plan, y</w:t>
      </w:r>
      <w:r w:rsidRPr="00E87091" w:rsidR="009D2737">
        <w:t xml:space="preserve">ou </w:t>
      </w:r>
      <w:r w:rsidRPr="00E87091" w:rsidR="005743E9">
        <w:t xml:space="preserve">first </w:t>
      </w:r>
      <w:r w:rsidRPr="00E87091" w:rsidR="009D2737">
        <w:t>need to determine: 1) how often you will conduct environmental sampling (i.e., collect samples from</w:t>
      </w:r>
      <w:r w:rsidR="009D2737">
        <w:t xml:space="preserve"> some of your identified sampling sites), and 2) how frequently your periodic sampling will ensure that you have collected samples from of all your identified sampling sites (i.e., all sites in your </w:t>
      </w:r>
      <w:r w:rsidR="000F1013">
        <w:t xml:space="preserve">site </w:t>
      </w:r>
      <w:r w:rsidR="009D2737">
        <w:t xml:space="preserve">inventory. </w:t>
      </w:r>
      <w:r w:rsidRPr="00CC10E2" w:rsidR="00E12472">
        <w:t>There are various ways to achieve this</w:t>
      </w:r>
      <w:r w:rsidR="00E12472">
        <w:t>, and we provide distinct examples below</w:t>
      </w:r>
      <w:r w:rsidRPr="00CC10E2" w:rsidR="00E12472">
        <w:t>.</w:t>
      </w:r>
    </w:p>
    <w:p w:rsidR="00191DF8" w:rsidRPr="004B458D" w:rsidP="00E47C04" w14:paraId="08989DBA" w14:textId="58F9CEC9">
      <w:pPr>
        <w:pStyle w:val="HHS508GuidanceOutline4"/>
        <w:numPr>
          <w:ilvl w:val="0"/>
          <w:numId w:val="75"/>
        </w:numPr>
      </w:pPr>
      <w:r w:rsidRPr="004B458D">
        <w:t xml:space="preserve">Sampling </w:t>
      </w:r>
      <w:r w:rsidR="003A2C7F">
        <w:t>f</w:t>
      </w:r>
      <w:r w:rsidRPr="004B458D" w:rsidR="003A2C7F">
        <w:t xml:space="preserve">requency </w:t>
      </w:r>
      <w:r w:rsidR="003A2C7F">
        <w:t>e</w:t>
      </w:r>
      <w:r w:rsidRPr="004B458D" w:rsidR="003A2C7F">
        <w:t xml:space="preserve">xample </w:t>
      </w:r>
      <w:r w:rsidRPr="004B458D">
        <w:t>#1</w:t>
      </w:r>
    </w:p>
    <w:p w:rsidR="00191DF8" w:rsidRPr="00CC10E2" w:rsidP="00E47C04" w14:paraId="1F2DB8D2" w14:textId="7C27140D">
      <w:pPr>
        <w:pStyle w:val="GuidanceParagraph"/>
      </w:pPr>
      <w:r w:rsidRPr="00CC10E2">
        <w:t xml:space="preserve">You evaluate your operation and identify 90 sites for sampling (30 FCS, 60 non-FCS, focusing on non-FCSs </w:t>
      </w:r>
      <w:r w:rsidRPr="00CC10E2">
        <w:t>in close proximity to</w:t>
      </w:r>
      <w:r w:rsidRPr="00CC10E2">
        <w:t xml:space="preserve"> FCSs), of which a representative number will be sampled monthly. You might determine, for example, that all FCS sites that you have identified for testing will be tested at least every other month and all non-FCS sites that you have identified for testing will be tested at least quarterly.</w:t>
      </w:r>
    </w:p>
    <w:p w:rsidR="00191DF8" w:rsidP="00663EC3" w14:paraId="38181E11" w14:textId="03F73F1F">
      <w:pPr>
        <w:pStyle w:val="GuidanceBulletLevel1"/>
        <w:numPr>
          <w:ilvl w:val="0"/>
          <w:numId w:val="0"/>
        </w:numPr>
      </w:pPr>
      <w:r>
        <w:t xml:space="preserve">In such a case you could choose to, for example, collect samples monthly, with 35 samples (from 15 FCS and 20 non-FCS sites) at each sampling event (e.g., first production day of every month), as shown in Table </w:t>
      </w:r>
      <w:r w:rsidR="00456AD5">
        <w:t>3</w:t>
      </w:r>
      <w:r>
        <w:t>.</w:t>
      </w:r>
    </w:p>
    <w:p w:rsidR="00707909" w:rsidRPr="008A4AFA" w:rsidP="008C026E" w14:paraId="05FC49A5" w14:textId="4BE040B6">
      <w:pPr>
        <w:pStyle w:val="StyleCaptionArial11pt6ptafter"/>
      </w:pPr>
      <w:r w:rsidRPr="008A4AFA">
        <w:t xml:space="preserve">Table </w:t>
      </w:r>
      <w:r w:rsidR="00397DDF">
        <w:t>3</w:t>
      </w:r>
      <w:r w:rsidRPr="008A4AFA" w:rsidR="008A4AFA">
        <w:t>.</w:t>
      </w:r>
      <w:r w:rsidRPr="008A4AFA">
        <w:t xml:space="preserve"> Sampling Frequency Example #1</w:t>
      </w:r>
    </w:p>
    <w:tbl>
      <w:tblPr>
        <w:tblStyle w:val="TableGrid"/>
        <w:tblW w:w="5000" w:type="pct"/>
        <w:tblLook w:val="04A0"/>
      </w:tblPr>
      <w:tblGrid>
        <w:gridCol w:w="1560"/>
        <w:gridCol w:w="3579"/>
        <w:gridCol w:w="4211"/>
      </w:tblGrid>
      <w:tr w14:paraId="0F33B77F" w14:textId="77777777" w:rsidTr="00DD2309">
        <w:tblPrEx>
          <w:tblW w:w="5000" w:type="pct"/>
          <w:tblLook w:val="04A0"/>
        </w:tblPrEx>
        <w:tc>
          <w:tcPr>
            <w:tcW w:w="834" w:type="pct"/>
            <w:shd w:val="clear" w:color="auto" w:fill="D9D9D9" w:themeFill="background1" w:themeFillShade="D9"/>
          </w:tcPr>
          <w:p w:rsidR="00707909" w:rsidRPr="00DD2309" w:rsidP="00FF7094" w14:paraId="72ACBB3B" w14:textId="77777777">
            <w:pPr>
              <w:spacing w:after="240"/>
              <w:rPr>
                <w:rFonts w:ascii="Times New Roman" w:hAnsi="Times New Roman" w:cs="Times New Roman"/>
                <w:b/>
                <w:sz w:val="24"/>
                <w:szCs w:val="24"/>
              </w:rPr>
            </w:pPr>
            <w:r w:rsidRPr="00DD2309">
              <w:rPr>
                <w:rFonts w:ascii="Times New Roman" w:hAnsi="Times New Roman" w:cs="Times New Roman"/>
                <w:b/>
                <w:sz w:val="24"/>
                <w:szCs w:val="24"/>
              </w:rPr>
              <w:t>Month</w:t>
            </w:r>
          </w:p>
        </w:tc>
        <w:tc>
          <w:tcPr>
            <w:tcW w:w="1914" w:type="pct"/>
            <w:shd w:val="clear" w:color="auto" w:fill="D9D9D9" w:themeFill="background1" w:themeFillShade="D9"/>
          </w:tcPr>
          <w:p w:rsidR="00707909" w:rsidRPr="00DD2309" w:rsidP="00FF7094" w14:paraId="6797AA03" w14:textId="77777777">
            <w:pPr>
              <w:spacing w:after="240"/>
              <w:rPr>
                <w:rFonts w:ascii="Times New Roman" w:hAnsi="Times New Roman" w:cs="Times New Roman"/>
                <w:b/>
                <w:sz w:val="24"/>
                <w:szCs w:val="24"/>
              </w:rPr>
            </w:pPr>
            <w:r w:rsidRPr="00DD2309">
              <w:rPr>
                <w:rFonts w:ascii="Times New Roman" w:hAnsi="Times New Roman" w:cs="Times New Roman"/>
                <w:b/>
                <w:sz w:val="24"/>
                <w:szCs w:val="24"/>
              </w:rPr>
              <w:t>FCS Sites Sampled</w:t>
            </w:r>
          </w:p>
        </w:tc>
        <w:tc>
          <w:tcPr>
            <w:tcW w:w="2252" w:type="pct"/>
            <w:shd w:val="clear" w:color="auto" w:fill="D9D9D9" w:themeFill="background1" w:themeFillShade="D9"/>
          </w:tcPr>
          <w:p w:rsidR="00707909" w:rsidRPr="00DD2309" w:rsidP="00FF7094" w14:paraId="40621E5D" w14:textId="77777777">
            <w:pPr>
              <w:spacing w:after="240"/>
              <w:rPr>
                <w:rFonts w:ascii="Times New Roman" w:hAnsi="Times New Roman" w:cs="Times New Roman"/>
                <w:b/>
                <w:sz w:val="24"/>
                <w:szCs w:val="24"/>
              </w:rPr>
            </w:pPr>
            <w:r w:rsidRPr="00DD2309">
              <w:rPr>
                <w:rFonts w:ascii="Times New Roman" w:hAnsi="Times New Roman" w:cs="Times New Roman"/>
                <w:b/>
                <w:sz w:val="24"/>
                <w:szCs w:val="24"/>
              </w:rPr>
              <w:t>Non-FCS sites Sampled</w:t>
            </w:r>
          </w:p>
        </w:tc>
      </w:tr>
      <w:tr w14:paraId="51286611" w14:textId="77777777" w:rsidTr="00B92150">
        <w:tblPrEx>
          <w:tblW w:w="5000" w:type="pct"/>
          <w:tblLook w:val="04A0"/>
        </w:tblPrEx>
        <w:tc>
          <w:tcPr>
            <w:tcW w:w="834" w:type="pct"/>
          </w:tcPr>
          <w:p w:rsidR="00707909" w:rsidRPr="00CB3451" w:rsidP="00FF7094" w14:paraId="4E133138" w14:textId="77777777">
            <w:pPr>
              <w:spacing w:after="240"/>
              <w:rPr>
                <w:rFonts w:ascii="Times New Roman" w:hAnsi="Times New Roman"/>
                <w:sz w:val="24"/>
                <w:szCs w:val="24"/>
              </w:rPr>
            </w:pPr>
            <w:r w:rsidRPr="00CB3451">
              <w:rPr>
                <w:rFonts w:ascii="Times New Roman" w:hAnsi="Times New Roman"/>
                <w:sz w:val="24"/>
                <w:szCs w:val="24"/>
              </w:rPr>
              <w:t>1</w:t>
            </w:r>
          </w:p>
        </w:tc>
        <w:tc>
          <w:tcPr>
            <w:tcW w:w="1914" w:type="pct"/>
          </w:tcPr>
          <w:p w:rsidR="00707909" w:rsidRPr="00CB3451" w:rsidP="00FF7094" w14:paraId="51540005" w14:textId="77777777">
            <w:pPr>
              <w:spacing w:after="240"/>
              <w:rPr>
                <w:rFonts w:ascii="Times New Roman" w:hAnsi="Times New Roman"/>
                <w:sz w:val="24"/>
                <w:szCs w:val="24"/>
              </w:rPr>
            </w:pPr>
            <w:r w:rsidRPr="00CB3451">
              <w:rPr>
                <w:rFonts w:ascii="Times New Roman" w:hAnsi="Times New Roman"/>
                <w:sz w:val="24"/>
                <w:szCs w:val="24"/>
              </w:rPr>
              <w:t>Sites 1 – 15</w:t>
            </w:r>
          </w:p>
        </w:tc>
        <w:tc>
          <w:tcPr>
            <w:tcW w:w="2252" w:type="pct"/>
          </w:tcPr>
          <w:p w:rsidR="00707909" w:rsidRPr="00CB3451" w:rsidP="00FF7094" w14:paraId="1E918F05" w14:textId="77777777">
            <w:pPr>
              <w:spacing w:after="240"/>
              <w:rPr>
                <w:rFonts w:ascii="Times New Roman" w:hAnsi="Times New Roman"/>
                <w:sz w:val="24"/>
                <w:szCs w:val="24"/>
              </w:rPr>
            </w:pPr>
            <w:r w:rsidRPr="00CB3451">
              <w:rPr>
                <w:rFonts w:ascii="Times New Roman" w:hAnsi="Times New Roman"/>
                <w:sz w:val="24"/>
                <w:szCs w:val="24"/>
              </w:rPr>
              <w:t>Sites 1 – 20</w:t>
            </w:r>
          </w:p>
        </w:tc>
      </w:tr>
      <w:tr w14:paraId="067578D3" w14:textId="77777777" w:rsidTr="00B92150">
        <w:tblPrEx>
          <w:tblW w:w="5000" w:type="pct"/>
          <w:tblLook w:val="04A0"/>
        </w:tblPrEx>
        <w:tc>
          <w:tcPr>
            <w:tcW w:w="834" w:type="pct"/>
          </w:tcPr>
          <w:p w:rsidR="00707909" w:rsidRPr="00CB3451" w:rsidP="00FF7094" w14:paraId="15E07D4F" w14:textId="77777777">
            <w:pPr>
              <w:spacing w:after="240"/>
              <w:rPr>
                <w:rFonts w:ascii="Times New Roman" w:hAnsi="Times New Roman"/>
                <w:sz w:val="24"/>
                <w:szCs w:val="24"/>
              </w:rPr>
            </w:pPr>
            <w:r w:rsidRPr="00CB3451">
              <w:rPr>
                <w:rFonts w:ascii="Times New Roman" w:hAnsi="Times New Roman"/>
                <w:sz w:val="24"/>
                <w:szCs w:val="24"/>
              </w:rPr>
              <w:t>2</w:t>
            </w:r>
          </w:p>
        </w:tc>
        <w:tc>
          <w:tcPr>
            <w:tcW w:w="1914" w:type="pct"/>
          </w:tcPr>
          <w:p w:rsidR="00707909" w:rsidRPr="00CB3451" w:rsidP="00FF7094" w14:paraId="6033FF16" w14:textId="77777777">
            <w:pPr>
              <w:spacing w:after="240"/>
              <w:rPr>
                <w:rFonts w:ascii="Times New Roman" w:hAnsi="Times New Roman"/>
                <w:sz w:val="24"/>
                <w:szCs w:val="24"/>
              </w:rPr>
            </w:pPr>
            <w:r w:rsidRPr="00CB3451">
              <w:rPr>
                <w:rFonts w:ascii="Times New Roman" w:hAnsi="Times New Roman"/>
                <w:sz w:val="24"/>
                <w:szCs w:val="24"/>
              </w:rPr>
              <w:t>Sites 16 – 30</w:t>
            </w:r>
          </w:p>
        </w:tc>
        <w:tc>
          <w:tcPr>
            <w:tcW w:w="2252" w:type="pct"/>
          </w:tcPr>
          <w:p w:rsidR="00707909" w:rsidRPr="00CB3451" w:rsidP="00FF7094" w14:paraId="45CDE275" w14:textId="77777777">
            <w:pPr>
              <w:spacing w:after="240"/>
              <w:rPr>
                <w:rFonts w:ascii="Times New Roman" w:hAnsi="Times New Roman"/>
                <w:sz w:val="24"/>
                <w:szCs w:val="24"/>
              </w:rPr>
            </w:pPr>
            <w:r w:rsidRPr="00CB3451">
              <w:rPr>
                <w:rFonts w:ascii="Times New Roman" w:hAnsi="Times New Roman"/>
                <w:sz w:val="24"/>
                <w:szCs w:val="24"/>
              </w:rPr>
              <w:t>Sites 21 – 40</w:t>
            </w:r>
          </w:p>
        </w:tc>
      </w:tr>
      <w:tr w14:paraId="6ABEB032" w14:textId="77777777" w:rsidTr="00B92150">
        <w:tblPrEx>
          <w:tblW w:w="5000" w:type="pct"/>
          <w:tblLook w:val="04A0"/>
        </w:tblPrEx>
        <w:tc>
          <w:tcPr>
            <w:tcW w:w="834" w:type="pct"/>
          </w:tcPr>
          <w:p w:rsidR="00707909" w:rsidRPr="00CB3451" w:rsidP="00FF7094" w14:paraId="63A8F3B8" w14:textId="77777777">
            <w:pPr>
              <w:spacing w:after="240"/>
              <w:rPr>
                <w:rFonts w:ascii="Times New Roman" w:hAnsi="Times New Roman"/>
                <w:sz w:val="24"/>
                <w:szCs w:val="24"/>
              </w:rPr>
            </w:pPr>
            <w:r w:rsidRPr="00CB3451">
              <w:rPr>
                <w:rFonts w:ascii="Times New Roman" w:hAnsi="Times New Roman"/>
                <w:sz w:val="24"/>
                <w:szCs w:val="24"/>
              </w:rPr>
              <w:t>3</w:t>
            </w:r>
          </w:p>
        </w:tc>
        <w:tc>
          <w:tcPr>
            <w:tcW w:w="1914" w:type="pct"/>
          </w:tcPr>
          <w:p w:rsidR="00707909" w:rsidRPr="00CB3451" w:rsidP="00FF7094" w14:paraId="639AB51B" w14:textId="77777777">
            <w:pPr>
              <w:spacing w:after="240"/>
              <w:rPr>
                <w:rFonts w:ascii="Times New Roman" w:hAnsi="Times New Roman"/>
                <w:sz w:val="24"/>
                <w:szCs w:val="24"/>
              </w:rPr>
            </w:pPr>
            <w:r w:rsidRPr="00CB3451">
              <w:rPr>
                <w:rFonts w:ascii="Times New Roman" w:hAnsi="Times New Roman"/>
                <w:sz w:val="24"/>
                <w:szCs w:val="24"/>
              </w:rPr>
              <w:t>Sites 1 – 15</w:t>
            </w:r>
          </w:p>
        </w:tc>
        <w:tc>
          <w:tcPr>
            <w:tcW w:w="2252" w:type="pct"/>
          </w:tcPr>
          <w:p w:rsidR="00707909" w:rsidRPr="00CB3451" w:rsidP="00FF7094" w14:paraId="4122AFCA" w14:textId="77777777">
            <w:pPr>
              <w:spacing w:after="240"/>
              <w:rPr>
                <w:rFonts w:ascii="Times New Roman" w:hAnsi="Times New Roman"/>
                <w:sz w:val="24"/>
                <w:szCs w:val="24"/>
              </w:rPr>
            </w:pPr>
            <w:r w:rsidRPr="00CB3451">
              <w:rPr>
                <w:rFonts w:ascii="Times New Roman" w:hAnsi="Times New Roman"/>
                <w:sz w:val="24"/>
                <w:szCs w:val="24"/>
              </w:rPr>
              <w:t>Sites 41 – 60</w:t>
            </w:r>
          </w:p>
        </w:tc>
      </w:tr>
    </w:tbl>
    <w:p w:rsidR="00AD71A3" w:rsidRPr="00AD71A3" w:rsidP="00E47C04" w14:paraId="0559F512" w14:textId="77777777">
      <w:pPr>
        <w:pStyle w:val="GuidanceParagraph"/>
      </w:pPr>
    </w:p>
    <w:p w:rsidR="00EB55C5" w:rsidRPr="00AD71A3" w:rsidP="00E47C04" w14:paraId="63B7DBE2" w14:textId="6177242C">
      <w:pPr>
        <w:pStyle w:val="HHS508GuidanceOutline4"/>
        <w:numPr>
          <w:ilvl w:val="0"/>
          <w:numId w:val="75"/>
        </w:numPr>
      </w:pPr>
      <w:r w:rsidRPr="00AD71A3">
        <w:t xml:space="preserve">Sampling </w:t>
      </w:r>
      <w:r w:rsidR="00965B0E">
        <w:t>f</w:t>
      </w:r>
      <w:r w:rsidRPr="00AD71A3" w:rsidR="00965B0E">
        <w:t xml:space="preserve">requency </w:t>
      </w:r>
      <w:r w:rsidR="00965B0E">
        <w:t>e</w:t>
      </w:r>
      <w:r w:rsidRPr="00AD71A3" w:rsidR="00965B0E">
        <w:t xml:space="preserve">xample </w:t>
      </w:r>
      <w:r w:rsidRPr="00AD71A3">
        <w:t>#2</w:t>
      </w:r>
    </w:p>
    <w:p w:rsidR="00A93A29" w:rsidP="00E47C04" w14:paraId="0F9CA3F3" w14:textId="5364827C">
      <w:pPr>
        <w:pStyle w:val="GuidanceParagraph"/>
      </w:pPr>
      <w:r>
        <w:t>Like in Example 1, you again</w:t>
      </w:r>
      <w:r w:rsidRPr="00CC10E2">
        <w:t xml:space="preserve"> identify 90 sites for sampling (30 FCS, </w:t>
      </w:r>
      <w:r w:rsidR="00BC34B0">
        <w:t xml:space="preserve">and </w:t>
      </w:r>
      <w:r w:rsidRPr="00CC10E2">
        <w:t>60 non-FCS</w:t>
      </w:r>
      <w:r w:rsidR="00BC34B0">
        <w:t>)</w:t>
      </w:r>
      <w:r w:rsidRPr="00CC10E2">
        <w:t>.</w:t>
      </w:r>
      <w:r>
        <w:t xml:space="preserve"> </w:t>
      </w:r>
      <w:r w:rsidR="00191DF8">
        <w:t xml:space="preserve">You might determine that both FCS and non-FCS will be sampled quarterly.  To accomplish this you </w:t>
      </w:r>
      <w:r w:rsidRPr="00A93A29">
        <w:t xml:space="preserve"> could choose to collect a proportion of those samples every week, for a total of 30 samples collected over the course of </w:t>
      </w:r>
      <w:r>
        <w:t>each</w:t>
      </w:r>
      <w:r w:rsidRPr="00A93A29">
        <w:t xml:space="preserve"> month (e.g., 5-10 samples each week), </w:t>
      </w:r>
      <w:r>
        <w:t xml:space="preserve">as shown in Table </w:t>
      </w:r>
      <w:r w:rsidR="008354FF">
        <w:t>4</w:t>
      </w:r>
      <w:r>
        <w:t xml:space="preserve">. </w:t>
      </w:r>
    </w:p>
    <w:p w:rsidR="008822A1" w:rsidRPr="005E3E75" w:rsidP="00FF6E19" w14:paraId="2942D5EB" w14:textId="131066B7">
      <w:pPr>
        <w:pStyle w:val="StyleCaptionArial11pt6ptafter"/>
      </w:pPr>
      <w:r w:rsidRPr="00C5704E">
        <w:t xml:space="preserve">Table </w:t>
      </w:r>
      <w:r w:rsidR="008354FF">
        <w:t>4</w:t>
      </w:r>
      <w:r w:rsidRPr="0038345E">
        <w:t>. Sampling Frequency Example #</w:t>
      </w:r>
      <w:r w:rsidR="00AC7378">
        <w:t>2</w:t>
      </w:r>
    </w:p>
    <w:tbl>
      <w:tblPr>
        <w:tblStyle w:val="TableGrid"/>
        <w:tblW w:w="5000" w:type="pct"/>
        <w:tblLook w:val="04A0"/>
      </w:tblPr>
      <w:tblGrid>
        <w:gridCol w:w="2792"/>
        <w:gridCol w:w="2975"/>
        <w:gridCol w:w="3583"/>
      </w:tblGrid>
      <w:tr w14:paraId="4B85B78F" w14:textId="77777777" w:rsidTr="009D7F26">
        <w:tblPrEx>
          <w:tblW w:w="5000" w:type="pct"/>
          <w:tblLook w:val="04A0"/>
        </w:tblPrEx>
        <w:trPr>
          <w:tblHeader/>
        </w:trPr>
        <w:tc>
          <w:tcPr>
            <w:tcW w:w="1493" w:type="pct"/>
            <w:shd w:val="clear" w:color="auto" w:fill="D9D9D9" w:themeFill="background1" w:themeFillShade="D9"/>
          </w:tcPr>
          <w:p w:rsidR="008822A1" w:rsidP="00FF7094" w14:paraId="04154F13" w14:textId="5D8A443B">
            <w:pPr>
              <w:spacing w:after="240"/>
            </w:pPr>
            <w:r>
              <w:rPr>
                <w:rFonts w:ascii="Times New Roman" w:hAnsi="Times New Roman"/>
                <w:b/>
                <w:sz w:val="24"/>
                <w:szCs w:val="24"/>
              </w:rPr>
              <w:t xml:space="preserve">Month / </w:t>
            </w:r>
            <w:r w:rsidR="00750508">
              <w:rPr>
                <w:rFonts w:ascii="Times New Roman" w:hAnsi="Times New Roman"/>
                <w:b/>
                <w:sz w:val="24"/>
                <w:szCs w:val="24"/>
              </w:rPr>
              <w:t>Week</w:t>
            </w:r>
            <w:r>
              <w:rPr>
                <w:rFonts w:ascii="Times New Roman" w:hAnsi="Times New Roman"/>
                <w:b/>
                <w:sz w:val="24"/>
                <w:szCs w:val="24"/>
              </w:rPr>
              <w:t xml:space="preserve">  </w:t>
            </w:r>
          </w:p>
        </w:tc>
        <w:tc>
          <w:tcPr>
            <w:tcW w:w="1591" w:type="pct"/>
            <w:shd w:val="clear" w:color="auto" w:fill="D9D9D9" w:themeFill="background1" w:themeFillShade="D9"/>
          </w:tcPr>
          <w:p w:rsidR="008822A1" w:rsidRPr="00CB3451" w:rsidP="00FF7094" w14:paraId="40872FF1" w14:textId="77777777">
            <w:pPr>
              <w:spacing w:after="240"/>
              <w:rPr>
                <w:rFonts w:ascii="Times New Roman" w:hAnsi="Times New Roman"/>
                <w:b/>
                <w:sz w:val="24"/>
                <w:szCs w:val="24"/>
              </w:rPr>
            </w:pPr>
            <w:r w:rsidRPr="00CB3451">
              <w:rPr>
                <w:rFonts w:ascii="Times New Roman" w:hAnsi="Times New Roman"/>
                <w:b/>
                <w:sz w:val="24"/>
                <w:szCs w:val="24"/>
              </w:rPr>
              <w:t>FCS Sites Sampled</w:t>
            </w:r>
          </w:p>
        </w:tc>
        <w:tc>
          <w:tcPr>
            <w:tcW w:w="1916" w:type="pct"/>
            <w:shd w:val="clear" w:color="auto" w:fill="D9D9D9" w:themeFill="background1" w:themeFillShade="D9"/>
          </w:tcPr>
          <w:p w:rsidR="008822A1" w:rsidRPr="00CB3451" w:rsidP="00FF7094" w14:paraId="1D47188E" w14:textId="77777777">
            <w:pPr>
              <w:spacing w:after="240"/>
              <w:rPr>
                <w:rFonts w:ascii="Times New Roman" w:hAnsi="Times New Roman"/>
                <w:b/>
                <w:sz w:val="24"/>
                <w:szCs w:val="24"/>
              </w:rPr>
            </w:pPr>
            <w:r w:rsidRPr="00CB3451">
              <w:rPr>
                <w:rFonts w:ascii="Times New Roman" w:hAnsi="Times New Roman"/>
                <w:b/>
                <w:sz w:val="24"/>
                <w:szCs w:val="24"/>
              </w:rPr>
              <w:t>Non-FCS sites Sampled</w:t>
            </w:r>
          </w:p>
        </w:tc>
      </w:tr>
      <w:tr w14:paraId="0B3968E7" w14:textId="77777777" w:rsidTr="00B92150">
        <w:tblPrEx>
          <w:tblW w:w="5000" w:type="pct"/>
          <w:tblLook w:val="04A0"/>
        </w:tblPrEx>
        <w:tc>
          <w:tcPr>
            <w:tcW w:w="1493" w:type="pct"/>
          </w:tcPr>
          <w:p w:rsidR="008822A1" w:rsidRPr="00CB3451" w:rsidP="00FF7094" w14:paraId="63DFB6B9" w14:textId="0DE1D5B2">
            <w:pPr>
              <w:spacing w:after="240"/>
              <w:rPr>
                <w:rFonts w:ascii="Times New Roman" w:hAnsi="Times New Roman"/>
                <w:sz w:val="24"/>
                <w:szCs w:val="24"/>
              </w:rPr>
            </w:pPr>
            <w:r>
              <w:rPr>
                <w:rFonts w:ascii="Times New Roman" w:hAnsi="Times New Roman"/>
                <w:sz w:val="24"/>
                <w:szCs w:val="24"/>
              </w:rPr>
              <w:t xml:space="preserve">Month 1 / Week </w:t>
            </w:r>
            <w:r w:rsidRPr="00CB3451">
              <w:rPr>
                <w:rFonts w:ascii="Times New Roman" w:hAnsi="Times New Roman"/>
                <w:sz w:val="24"/>
                <w:szCs w:val="24"/>
              </w:rPr>
              <w:t>1</w:t>
            </w:r>
            <w:r>
              <w:rPr>
                <w:rFonts w:ascii="Times New Roman" w:hAnsi="Times New Roman"/>
                <w:sz w:val="24"/>
                <w:szCs w:val="24"/>
              </w:rPr>
              <w:t xml:space="preserve"> </w:t>
            </w:r>
          </w:p>
        </w:tc>
        <w:tc>
          <w:tcPr>
            <w:tcW w:w="1591" w:type="pct"/>
          </w:tcPr>
          <w:p w:rsidR="008822A1" w:rsidRPr="00CB3451" w:rsidP="00FF7094" w14:paraId="1871C5E1" w14:textId="7723CFFF">
            <w:pPr>
              <w:spacing w:after="240"/>
              <w:rPr>
                <w:rFonts w:ascii="Times New Roman" w:hAnsi="Times New Roman"/>
                <w:sz w:val="24"/>
                <w:szCs w:val="24"/>
              </w:rPr>
            </w:pPr>
            <w:r w:rsidRPr="00CB3451">
              <w:rPr>
                <w:rFonts w:ascii="Times New Roman" w:hAnsi="Times New Roman"/>
                <w:sz w:val="24"/>
                <w:szCs w:val="24"/>
              </w:rPr>
              <w:t xml:space="preserve">Sites 1 – </w:t>
            </w:r>
            <w:r w:rsidR="00C173D4">
              <w:rPr>
                <w:rFonts w:ascii="Times New Roman" w:hAnsi="Times New Roman"/>
                <w:sz w:val="24"/>
                <w:szCs w:val="24"/>
              </w:rPr>
              <w:t>3</w:t>
            </w:r>
          </w:p>
        </w:tc>
        <w:tc>
          <w:tcPr>
            <w:tcW w:w="1916" w:type="pct"/>
          </w:tcPr>
          <w:p w:rsidR="008822A1" w:rsidRPr="00CB3451" w:rsidP="00FF7094" w14:paraId="5FC10714" w14:textId="771C3F9E">
            <w:pPr>
              <w:spacing w:after="240"/>
              <w:rPr>
                <w:rFonts w:ascii="Times New Roman" w:hAnsi="Times New Roman"/>
                <w:sz w:val="24"/>
                <w:szCs w:val="24"/>
              </w:rPr>
            </w:pPr>
            <w:r w:rsidRPr="00CB3451">
              <w:rPr>
                <w:rFonts w:ascii="Times New Roman" w:hAnsi="Times New Roman"/>
                <w:sz w:val="24"/>
                <w:szCs w:val="24"/>
              </w:rPr>
              <w:t xml:space="preserve">Sites 1 – </w:t>
            </w:r>
            <w:r w:rsidR="00591E4A">
              <w:rPr>
                <w:rFonts w:ascii="Times New Roman" w:hAnsi="Times New Roman"/>
                <w:sz w:val="24"/>
                <w:szCs w:val="24"/>
              </w:rPr>
              <w:t>5</w:t>
            </w:r>
          </w:p>
        </w:tc>
      </w:tr>
      <w:tr w14:paraId="228BBD5C" w14:textId="77777777" w:rsidTr="00B92150">
        <w:tblPrEx>
          <w:tblW w:w="5000" w:type="pct"/>
          <w:tblLook w:val="04A0"/>
        </w:tblPrEx>
        <w:tc>
          <w:tcPr>
            <w:tcW w:w="1493" w:type="pct"/>
          </w:tcPr>
          <w:p w:rsidR="00934D4B" w:rsidRPr="00CB3451" w:rsidP="00934D4B" w14:paraId="347A2934" w14:textId="5B820B9B">
            <w:pPr>
              <w:spacing w:after="240"/>
              <w:rPr>
                <w:rFonts w:ascii="Times New Roman" w:hAnsi="Times New Roman"/>
                <w:sz w:val="24"/>
                <w:szCs w:val="24"/>
              </w:rPr>
            </w:pPr>
            <w:r w:rsidRPr="007A0234">
              <w:rPr>
                <w:rFonts w:ascii="Times New Roman" w:hAnsi="Times New Roman"/>
                <w:sz w:val="24"/>
                <w:szCs w:val="24"/>
              </w:rPr>
              <w:t xml:space="preserve">Month 1 / Week </w:t>
            </w:r>
            <w:r>
              <w:rPr>
                <w:rFonts w:ascii="Times New Roman" w:hAnsi="Times New Roman"/>
                <w:sz w:val="24"/>
                <w:szCs w:val="24"/>
              </w:rPr>
              <w:t>2</w:t>
            </w:r>
            <w:r w:rsidRPr="007A0234">
              <w:rPr>
                <w:rFonts w:ascii="Times New Roman" w:hAnsi="Times New Roman"/>
                <w:sz w:val="24"/>
                <w:szCs w:val="24"/>
              </w:rPr>
              <w:t xml:space="preserve"> </w:t>
            </w:r>
          </w:p>
        </w:tc>
        <w:tc>
          <w:tcPr>
            <w:tcW w:w="1591" w:type="pct"/>
          </w:tcPr>
          <w:p w:rsidR="00934D4B" w:rsidRPr="00CB3451" w:rsidP="00934D4B" w14:paraId="4D8B8E13" w14:textId="0199432E">
            <w:pPr>
              <w:spacing w:after="240"/>
              <w:rPr>
                <w:rFonts w:ascii="Times New Roman" w:hAnsi="Times New Roman"/>
                <w:sz w:val="24"/>
                <w:szCs w:val="24"/>
              </w:rPr>
            </w:pPr>
            <w:r w:rsidRPr="00CB3451">
              <w:rPr>
                <w:rFonts w:ascii="Times New Roman" w:hAnsi="Times New Roman"/>
                <w:sz w:val="24"/>
                <w:szCs w:val="24"/>
              </w:rPr>
              <w:t xml:space="preserve">Sites </w:t>
            </w:r>
            <w:r>
              <w:rPr>
                <w:rFonts w:ascii="Times New Roman" w:hAnsi="Times New Roman"/>
                <w:sz w:val="24"/>
                <w:szCs w:val="24"/>
              </w:rPr>
              <w:t xml:space="preserve">4 </w:t>
            </w:r>
            <w:r w:rsidRPr="00CB3451">
              <w:rPr>
                <w:rFonts w:ascii="Times New Roman" w:hAnsi="Times New Roman"/>
                <w:sz w:val="24"/>
                <w:szCs w:val="24"/>
              </w:rPr>
              <w:t>–</w:t>
            </w:r>
            <w:r>
              <w:rPr>
                <w:rFonts w:ascii="Times New Roman" w:hAnsi="Times New Roman"/>
                <w:sz w:val="24"/>
                <w:szCs w:val="24"/>
              </w:rPr>
              <w:t xml:space="preserve"> 6</w:t>
            </w:r>
          </w:p>
        </w:tc>
        <w:tc>
          <w:tcPr>
            <w:tcW w:w="1916" w:type="pct"/>
          </w:tcPr>
          <w:p w:rsidR="00934D4B" w:rsidRPr="00CB3451" w:rsidP="00934D4B" w14:paraId="7DD6551A" w14:textId="131EE6B2">
            <w:pPr>
              <w:spacing w:after="240"/>
              <w:rPr>
                <w:rFonts w:ascii="Times New Roman" w:hAnsi="Times New Roman"/>
                <w:sz w:val="24"/>
                <w:szCs w:val="24"/>
              </w:rPr>
            </w:pPr>
            <w:r w:rsidRPr="00CB3451">
              <w:rPr>
                <w:rFonts w:ascii="Times New Roman" w:hAnsi="Times New Roman"/>
                <w:sz w:val="24"/>
                <w:szCs w:val="24"/>
              </w:rPr>
              <w:t xml:space="preserve">Sites </w:t>
            </w:r>
            <w:r>
              <w:rPr>
                <w:rFonts w:ascii="Times New Roman" w:hAnsi="Times New Roman"/>
                <w:sz w:val="24"/>
                <w:szCs w:val="24"/>
              </w:rPr>
              <w:t>6</w:t>
            </w:r>
            <w:r w:rsidRPr="00CB3451">
              <w:rPr>
                <w:rFonts w:ascii="Times New Roman" w:hAnsi="Times New Roman"/>
                <w:sz w:val="24"/>
                <w:szCs w:val="24"/>
              </w:rPr>
              <w:t xml:space="preserve"> – </w:t>
            </w:r>
            <w:r>
              <w:rPr>
                <w:rFonts w:ascii="Times New Roman" w:hAnsi="Times New Roman"/>
                <w:sz w:val="24"/>
                <w:szCs w:val="24"/>
              </w:rPr>
              <w:t>10</w:t>
            </w:r>
          </w:p>
        </w:tc>
      </w:tr>
      <w:tr w14:paraId="168244AC" w14:textId="77777777" w:rsidTr="00B92150">
        <w:tblPrEx>
          <w:tblW w:w="5000" w:type="pct"/>
          <w:tblLook w:val="04A0"/>
        </w:tblPrEx>
        <w:tc>
          <w:tcPr>
            <w:tcW w:w="1493" w:type="pct"/>
          </w:tcPr>
          <w:p w:rsidR="00934D4B" w:rsidRPr="00CB3451" w:rsidP="00934D4B" w14:paraId="65EC3016" w14:textId="676FFB36">
            <w:pPr>
              <w:spacing w:after="240"/>
              <w:rPr>
                <w:rFonts w:ascii="Times New Roman" w:hAnsi="Times New Roman"/>
                <w:sz w:val="24"/>
                <w:szCs w:val="24"/>
              </w:rPr>
            </w:pPr>
            <w:r w:rsidRPr="007A0234">
              <w:rPr>
                <w:rFonts w:ascii="Times New Roman" w:hAnsi="Times New Roman"/>
                <w:sz w:val="24"/>
                <w:szCs w:val="24"/>
              </w:rPr>
              <w:t xml:space="preserve">Month 1 / Week </w:t>
            </w:r>
            <w:r>
              <w:rPr>
                <w:rFonts w:ascii="Times New Roman" w:hAnsi="Times New Roman"/>
                <w:sz w:val="24"/>
                <w:szCs w:val="24"/>
              </w:rPr>
              <w:t>3</w:t>
            </w:r>
            <w:r w:rsidRPr="007A0234">
              <w:rPr>
                <w:rFonts w:ascii="Times New Roman" w:hAnsi="Times New Roman"/>
                <w:sz w:val="24"/>
                <w:szCs w:val="24"/>
              </w:rPr>
              <w:t xml:space="preserve"> </w:t>
            </w:r>
          </w:p>
        </w:tc>
        <w:tc>
          <w:tcPr>
            <w:tcW w:w="1591" w:type="pct"/>
          </w:tcPr>
          <w:p w:rsidR="00934D4B" w:rsidRPr="00CB3451" w:rsidP="00934D4B" w14:paraId="30FDA8A4" w14:textId="1D275A6F">
            <w:pPr>
              <w:spacing w:after="240"/>
              <w:rPr>
                <w:rFonts w:ascii="Times New Roman" w:hAnsi="Times New Roman"/>
                <w:sz w:val="24"/>
                <w:szCs w:val="24"/>
              </w:rPr>
            </w:pPr>
            <w:r w:rsidRPr="00CB3451">
              <w:rPr>
                <w:rFonts w:ascii="Times New Roman" w:hAnsi="Times New Roman"/>
                <w:sz w:val="24"/>
                <w:szCs w:val="24"/>
              </w:rPr>
              <w:t xml:space="preserve">Sites </w:t>
            </w:r>
            <w:r>
              <w:rPr>
                <w:rFonts w:ascii="Times New Roman" w:hAnsi="Times New Roman"/>
                <w:sz w:val="24"/>
                <w:szCs w:val="24"/>
              </w:rPr>
              <w:t xml:space="preserve">7 </w:t>
            </w:r>
            <w:r w:rsidRPr="00CB3451">
              <w:rPr>
                <w:rFonts w:ascii="Times New Roman" w:hAnsi="Times New Roman"/>
                <w:sz w:val="24"/>
                <w:szCs w:val="24"/>
              </w:rPr>
              <w:t>–</w:t>
            </w:r>
            <w:r>
              <w:rPr>
                <w:rFonts w:ascii="Times New Roman" w:hAnsi="Times New Roman"/>
                <w:sz w:val="24"/>
                <w:szCs w:val="24"/>
              </w:rPr>
              <w:t xml:space="preserve"> 8</w:t>
            </w:r>
          </w:p>
        </w:tc>
        <w:tc>
          <w:tcPr>
            <w:tcW w:w="1916" w:type="pct"/>
          </w:tcPr>
          <w:p w:rsidR="00934D4B" w:rsidRPr="00CB3451" w:rsidP="00934D4B" w14:paraId="0E3B5D98" w14:textId="3F617877">
            <w:pPr>
              <w:spacing w:after="240"/>
              <w:rPr>
                <w:rFonts w:ascii="Times New Roman" w:hAnsi="Times New Roman"/>
                <w:sz w:val="24"/>
                <w:szCs w:val="24"/>
              </w:rPr>
            </w:pPr>
            <w:r w:rsidRPr="00CB3451">
              <w:rPr>
                <w:rFonts w:ascii="Times New Roman" w:hAnsi="Times New Roman"/>
                <w:sz w:val="24"/>
                <w:szCs w:val="24"/>
              </w:rPr>
              <w:t xml:space="preserve">Sites </w:t>
            </w:r>
            <w:r>
              <w:rPr>
                <w:rFonts w:ascii="Times New Roman" w:hAnsi="Times New Roman"/>
                <w:sz w:val="24"/>
                <w:szCs w:val="24"/>
              </w:rPr>
              <w:t>11</w:t>
            </w:r>
            <w:r w:rsidRPr="00CB3451">
              <w:rPr>
                <w:rFonts w:ascii="Times New Roman" w:hAnsi="Times New Roman"/>
                <w:sz w:val="24"/>
                <w:szCs w:val="24"/>
              </w:rPr>
              <w:t xml:space="preserve"> – </w:t>
            </w:r>
            <w:r>
              <w:rPr>
                <w:rFonts w:ascii="Times New Roman" w:hAnsi="Times New Roman"/>
                <w:sz w:val="24"/>
                <w:szCs w:val="24"/>
              </w:rPr>
              <w:t>15</w:t>
            </w:r>
          </w:p>
        </w:tc>
      </w:tr>
      <w:tr w14:paraId="14B8F859" w14:textId="77777777" w:rsidTr="00B92150">
        <w:tblPrEx>
          <w:tblW w:w="5000" w:type="pct"/>
          <w:tblLook w:val="04A0"/>
        </w:tblPrEx>
        <w:tc>
          <w:tcPr>
            <w:tcW w:w="1493" w:type="pct"/>
          </w:tcPr>
          <w:p w:rsidR="00934D4B" w:rsidRPr="00CB3451" w:rsidP="00934D4B" w14:paraId="2B82E695" w14:textId="74C5D18D">
            <w:pPr>
              <w:spacing w:after="240"/>
              <w:rPr>
                <w:rFonts w:ascii="Times New Roman" w:hAnsi="Times New Roman"/>
                <w:sz w:val="24"/>
                <w:szCs w:val="24"/>
              </w:rPr>
            </w:pPr>
            <w:r w:rsidRPr="007A0234">
              <w:rPr>
                <w:rFonts w:ascii="Times New Roman" w:hAnsi="Times New Roman"/>
                <w:sz w:val="24"/>
                <w:szCs w:val="24"/>
              </w:rPr>
              <w:t xml:space="preserve">Month </w:t>
            </w:r>
            <w:r>
              <w:rPr>
                <w:rFonts w:ascii="Times New Roman" w:hAnsi="Times New Roman"/>
                <w:sz w:val="24"/>
                <w:szCs w:val="24"/>
              </w:rPr>
              <w:t>1</w:t>
            </w:r>
            <w:r w:rsidRPr="007A0234">
              <w:rPr>
                <w:rFonts w:ascii="Times New Roman" w:hAnsi="Times New Roman"/>
                <w:sz w:val="24"/>
                <w:szCs w:val="24"/>
              </w:rPr>
              <w:t xml:space="preserve"> / Week </w:t>
            </w:r>
            <w:r>
              <w:rPr>
                <w:rFonts w:ascii="Times New Roman" w:hAnsi="Times New Roman"/>
                <w:sz w:val="24"/>
                <w:szCs w:val="24"/>
              </w:rPr>
              <w:t>4</w:t>
            </w:r>
            <w:r w:rsidRPr="007A0234">
              <w:rPr>
                <w:rFonts w:ascii="Times New Roman" w:hAnsi="Times New Roman"/>
                <w:sz w:val="24"/>
                <w:szCs w:val="24"/>
              </w:rPr>
              <w:t xml:space="preserve"> </w:t>
            </w:r>
          </w:p>
        </w:tc>
        <w:tc>
          <w:tcPr>
            <w:tcW w:w="1591" w:type="pct"/>
          </w:tcPr>
          <w:p w:rsidR="00934D4B" w:rsidRPr="00CB3451" w:rsidP="00934D4B" w14:paraId="57D4A377" w14:textId="69628734">
            <w:pPr>
              <w:spacing w:after="240"/>
              <w:rPr>
                <w:rFonts w:ascii="Times New Roman" w:hAnsi="Times New Roman"/>
                <w:sz w:val="24"/>
                <w:szCs w:val="24"/>
              </w:rPr>
            </w:pPr>
            <w:r>
              <w:rPr>
                <w:rFonts w:ascii="Times New Roman" w:hAnsi="Times New Roman"/>
                <w:sz w:val="24"/>
                <w:szCs w:val="24"/>
              </w:rPr>
              <w:t xml:space="preserve">Sites 9 </w:t>
            </w:r>
            <w:r w:rsidRPr="00CB3451">
              <w:rPr>
                <w:rFonts w:ascii="Times New Roman" w:hAnsi="Times New Roman"/>
                <w:sz w:val="24"/>
                <w:szCs w:val="24"/>
              </w:rPr>
              <w:t>–</w:t>
            </w:r>
            <w:r>
              <w:rPr>
                <w:rFonts w:ascii="Times New Roman" w:hAnsi="Times New Roman"/>
                <w:sz w:val="24"/>
                <w:szCs w:val="24"/>
              </w:rPr>
              <w:t xml:space="preserve"> 10</w:t>
            </w:r>
          </w:p>
        </w:tc>
        <w:tc>
          <w:tcPr>
            <w:tcW w:w="1916" w:type="pct"/>
          </w:tcPr>
          <w:p w:rsidR="00934D4B" w:rsidRPr="00CB3451" w:rsidP="00934D4B" w14:paraId="138FF50F" w14:textId="20700C7A">
            <w:pPr>
              <w:spacing w:after="240"/>
              <w:rPr>
                <w:rFonts w:ascii="Times New Roman" w:hAnsi="Times New Roman"/>
                <w:sz w:val="24"/>
                <w:szCs w:val="24"/>
              </w:rPr>
            </w:pPr>
            <w:r w:rsidRPr="00CB3451">
              <w:rPr>
                <w:rFonts w:ascii="Times New Roman" w:hAnsi="Times New Roman"/>
                <w:sz w:val="24"/>
                <w:szCs w:val="24"/>
              </w:rPr>
              <w:t xml:space="preserve">Sites </w:t>
            </w:r>
            <w:r>
              <w:rPr>
                <w:rFonts w:ascii="Times New Roman" w:hAnsi="Times New Roman"/>
                <w:sz w:val="24"/>
                <w:szCs w:val="24"/>
              </w:rPr>
              <w:t>16</w:t>
            </w:r>
            <w:r w:rsidRPr="00CB3451">
              <w:rPr>
                <w:rFonts w:ascii="Times New Roman" w:hAnsi="Times New Roman"/>
                <w:sz w:val="24"/>
                <w:szCs w:val="24"/>
              </w:rPr>
              <w:t xml:space="preserve"> – </w:t>
            </w:r>
            <w:r>
              <w:rPr>
                <w:rFonts w:ascii="Times New Roman" w:hAnsi="Times New Roman"/>
                <w:sz w:val="24"/>
                <w:szCs w:val="24"/>
              </w:rPr>
              <w:t>20</w:t>
            </w:r>
          </w:p>
        </w:tc>
      </w:tr>
      <w:tr w14:paraId="421677E7" w14:textId="77777777" w:rsidTr="00B92150">
        <w:tblPrEx>
          <w:tblW w:w="5000" w:type="pct"/>
          <w:tblLook w:val="04A0"/>
        </w:tblPrEx>
        <w:tc>
          <w:tcPr>
            <w:tcW w:w="1493" w:type="pct"/>
          </w:tcPr>
          <w:p w:rsidR="00934D4B" w:rsidRPr="00CB3451" w:rsidP="00934D4B" w14:paraId="35AF0B3C" w14:textId="180646A0">
            <w:pPr>
              <w:spacing w:after="240"/>
              <w:rPr>
                <w:rFonts w:ascii="Times New Roman" w:hAnsi="Times New Roman"/>
                <w:sz w:val="24"/>
                <w:szCs w:val="24"/>
              </w:rPr>
            </w:pPr>
            <w:r>
              <w:rPr>
                <w:rFonts w:ascii="Times New Roman" w:hAnsi="Times New Roman"/>
                <w:sz w:val="24"/>
                <w:szCs w:val="24"/>
              </w:rPr>
              <w:t xml:space="preserve">Month 2 / Week </w:t>
            </w:r>
            <w:r w:rsidRPr="00CB3451">
              <w:rPr>
                <w:rFonts w:ascii="Times New Roman" w:hAnsi="Times New Roman"/>
                <w:sz w:val="24"/>
                <w:szCs w:val="24"/>
              </w:rPr>
              <w:t>1</w:t>
            </w:r>
            <w:r>
              <w:rPr>
                <w:rFonts w:ascii="Times New Roman" w:hAnsi="Times New Roman"/>
                <w:sz w:val="24"/>
                <w:szCs w:val="24"/>
              </w:rPr>
              <w:t xml:space="preserve"> </w:t>
            </w:r>
          </w:p>
        </w:tc>
        <w:tc>
          <w:tcPr>
            <w:tcW w:w="1591" w:type="pct"/>
          </w:tcPr>
          <w:p w:rsidR="00934D4B" w:rsidRPr="00CB3451" w:rsidP="00934D4B" w14:paraId="174EBC90" w14:textId="03E9C786">
            <w:pPr>
              <w:spacing w:after="240"/>
              <w:rPr>
                <w:rFonts w:ascii="Times New Roman" w:hAnsi="Times New Roman"/>
                <w:sz w:val="24"/>
                <w:szCs w:val="24"/>
              </w:rPr>
            </w:pPr>
            <w:r w:rsidRPr="00CB3451">
              <w:rPr>
                <w:rFonts w:ascii="Times New Roman" w:hAnsi="Times New Roman"/>
                <w:sz w:val="24"/>
                <w:szCs w:val="24"/>
              </w:rPr>
              <w:t xml:space="preserve">Sites </w:t>
            </w:r>
            <w:r>
              <w:rPr>
                <w:rFonts w:ascii="Times New Roman" w:hAnsi="Times New Roman"/>
                <w:sz w:val="24"/>
                <w:szCs w:val="24"/>
              </w:rPr>
              <w:t>1</w:t>
            </w:r>
            <w:r w:rsidRPr="00CB3451">
              <w:rPr>
                <w:rFonts w:ascii="Times New Roman" w:hAnsi="Times New Roman"/>
                <w:sz w:val="24"/>
                <w:szCs w:val="24"/>
              </w:rPr>
              <w:t xml:space="preserve">1 – </w:t>
            </w:r>
            <w:r>
              <w:rPr>
                <w:rFonts w:ascii="Times New Roman" w:hAnsi="Times New Roman"/>
                <w:sz w:val="24"/>
                <w:szCs w:val="24"/>
              </w:rPr>
              <w:t>13</w:t>
            </w:r>
          </w:p>
        </w:tc>
        <w:tc>
          <w:tcPr>
            <w:tcW w:w="1916" w:type="pct"/>
          </w:tcPr>
          <w:p w:rsidR="00934D4B" w:rsidRPr="00CB3451" w:rsidP="00934D4B" w14:paraId="42A4A9E4" w14:textId="21D112B7">
            <w:pPr>
              <w:spacing w:after="240"/>
              <w:rPr>
                <w:rFonts w:ascii="Times New Roman" w:hAnsi="Times New Roman"/>
                <w:sz w:val="24"/>
                <w:szCs w:val="24"/>
              </w:rPr>
            </w:pPr>
            <w:r w:rsidRPr="00CB3451">
              <w:rPr>
                <w:rFonts w:ascii="Times New Roman" w:hAnsi="Times New Roman"/>
                <w:sz w:val="24"/>
                <w:szCs w:val="24"/>
              </w:rPr>
              <w:t xml:space="preserve">Sites </w:t>
            </w:r>
            <w:r>
              <w:rPr>
                <w:rFonts w:ascii="Times New Roman" w:hAnsi="Times New Roman"/>
                <w:sz w:val="24"/>
                <w:szCs w:val="24"/>
              </w:rPr>
              <w:t>2</w:t>
            </w:r>
            <w:r w:rsidRPr="00CB3451">
              <w:rPr>
                <w:rFonts w:ascii="Times New Roman" w:hAnsi="Times New Roman"/>
                <w:sz w:val="24"/>
                <w:szCs w:val="24"/>
              </w:rPr>
              <w:t xml:space="preserve">1 – </w:t>
            </w:r>
            <w:r>
              <w:rPr>
                <w:rFonts w:ascii="Times New Roman" w:hAnsi="Times New Roman"/>
                <w:sz w:val="24"/>
                <w:szCs w:val="24"/>
              </w:rPr>
              <w:t>25</w:t>
            </w:r>
          </w:p>
        </w:tc>
      </w:tr>
      <w:tr w14:paraId="17671849" w14:textId="77777777" w:rsidTr="00B92150">
        <w:tblPrEx>
          <w:tblW w:w="5000" w:type="pct"/>
          <w:tblLook w:val="04A0"/>
        </w:tblPrEx>
        <w:tc>
          <w:tcPr>
            <w:tcW w:w="1493" w:type="pct"/>
          </w:tcPr>
          <w:p w:rsidR="00934D4B" w:rsidRPr="00CB3451" w:rsidP="00934D4B" w14:paraId="7302BE38" w14:textId="2A93DE78">
            <w:pPr>
              <w:spacing w:after="240"/>
              <w:rPr>
                <w:rFonts w:ascii="Times New Roman" w:hAnsi="Times New Roman"/>
                <w:sz w:val="24"/>
                <w:szCs w:val="24"/>
              </w:rPr>
            </w:pPr>
            <w:r w:rsidRPr="007A0234">
              <w:rPr>
                <w:rFonts w:ascii="Times New Roman" w:hAnsi="Times New Roman"/>
                <w:sz w:val="24"/>
                <w:szCs w:val="24"/>
              </w:rPr>
              <w:t xml:space="preserve">Month </w:t>
            </w:r>
            <w:r>
              <w:rPr>
                <w:rFonts w:ascii="Times New Roman" w:hAnsi="Times New Roman"/>
                <w:sz w:val="24"/>
                <w:szCs w:val="24"/>
              </w:rPr>
              <w:t>2</w:t>
            </w:r>
            <w:r w:rsidRPr="007A0234">
              <w:rPr>
                <w:rFonts w:ascii="Times New Roman" w:hAnsi="Times New Roman"/>
                <w:sz w:val="24"/>
                <w:szCs w:val="24"/>
              </w:rPr>
              <w:t xml:space="preserve"> / Week </w:t>
            </w:r>
            <w:r>
              <w:rPr>
                <w:rFonts w:ascii="Times New Roman" w:hAnsi="Times New Roman"/>
                <w:sz w:val="24"/>
                <w:szCs w:val="24"/>
              </w:rPr>
              <w:t>2</w:t>
            </w:r>
            <w:r w:rsidRPr="007A0234">
              <w:rPr>
                <w:rFonts w:ascii="Times New Roman" w:hAnsi="Times New Roman"/>
                <w:sz w:val="24"/>
                <w:szCs w:val="24"/>
              </w:rPr>
              <w:t xml:space="preserve"> </w:t>
            </w:r>
          </w:p>
        </w:tc>
        <w:tc>
          <w:tcPr>
            <w:tcW w:w="1591" w:type="pct"/>
          </w:tcPr>
          <w:p w:rsidR="00934D4B" w:rsidRPr="00CB3451" w:rsidP="00934D4B" w14:paraId="4B485A5C" w14:textId="76E759EA">
            <w:pPr>
              <w:spacing w:after="240"/>
              <w:rPr>
                <w:rFonts w:ascii="Times New Roman" w:hAnsi="Times New Roman"/>
                <w:sz w:val="24"/>
                <w:szCs w:val="24"/>
              </w:rPr>
            </w:pPr>
            <w:r w:rsidRPr="00CB3451">
              <w:rPr>
                <w:rFonts w:ascii="Times New Roman" w:hAnsi="Times New Roman"/>
                <w:sz w:val="24"/>
                <w:szCs w:val="24"/>
              </w:rPr>
              <w:t xml:space="preserve">Sites </w:t>
            </w:r>
            <w:r>
              <w:rPr>
                <w:rFonts w:ascii="Times New Roman" w:hAnsi="Times New Roman"/>
                <w:sz w:val="24"/>
                <w:szCs w:val="24"/>
              </w:rPr>
              <w:t xml:space="preserve">14 </w:t>
            </w:r>
            <w:r w:rsidRPr="00CB3451">
              <w:rPr>
                <w:rFonts w:ascii="Times New Roman" w:hAnsi="Times New Roman"/>
                <w:sz w:val="24"/>
                <w:szCs w:val="24"/>
              </w:rPr>
              <w:t>–</w:t>
            </w:r>
            <w:r>
              <w:rPr>
                <w:rFonts w:ascii="Times New Roman" w:hAnsi="Times New Roman"/>
                <w:sz w:val="24"/>
                <w:szCs w:val="24"/>
              </w:rPr>
              <w:t xml:space="preserve"> 16</w:t>
            </w:r>
          </w:p>
        </w:tc>
        <w:tc>
          <w:tcPr>
            <w:tcW w:w="1916" w:type="pct"/>
          </w:tcPr>
          <w:p w:rsidR="00934D4B" w:rsidRPr="00CB3451" w:rsidP="00934D4B" w14:paraId="31BF6A8B" w14:textId="53462084">
            <w:pPr>
              <w:spacing w:after="240"/>
              <w:rPr>
                <w:rFonts w:ascii="Times New Roman" w:hAnsi="Times New Roman"/>
                <w:sz w:val="24"/>
                <w:szCs w:val="24"/>
              </w:rPr>
            </w:pPr>
            <w:r w:rsidRPr="00CB3451">
              <w:rPr>
                <w:rFonts w:ascii="Times New Roman" w:hAnsi="Times New Roman"/>
                <w:sz w:val="24"/>
                <w:szCs w:val="24"/>
              </w:rPr>
              <w:t xml:space="preserve">Sites </w:t>
            </w:r>
            <w:r>
              <w:rPr>
                <w:rFonts w:ascii="Times New Roman" w:hAnsi="Times New Roman"/>
                <w:sz w:val="24"/>
                <w:szCs w:val="24"/>
              </w:rPr>
              <w:t>26</w:t>
            </w:r>
            <w:r w:rsidRPr="00CB3451">
              <w:rPr>
                <w:rFonts w:ascii="Times New Roman" w:hAnsi="Times New Roman"/>
                <w:sz w:val="24"/>
                <w:szCs w:val="24"/>
              </w:rPr>
              <w:t xml:space="preserve"> – </w:t>
            </w:r>
            <w:r>
              <w:rPr>
                <w:rFonts w:ascii="Times New Roman" w:hAnsi="Times New Roman"/>
                <w:sz w:val="24"/>
                <w:szCs w:val="24"/>
              </w:rPr>
              <w:t>30</w:t>
            </w:r>
          </w:p>
        </w:tc>
      </w:tr>
      <w:tr w14:paraId="36175176" w14:textId="77777777" w:rsidTr="00B92150">
        <w:tblPrEx>
          <w:tblW w:w="5000" w:type="pct"/>
          <w:tblLook w:val="04A0"/>
        </w:tblPrEx>
        <w:tc>
          <w:tcPr>
            <w:tcW w:w="1493" w:type="pct"/>
          </w:tcPr>
          <w:p w:rsidR="00934D4B" w:rsidRPr="00CB3451" w:rsidP="00934D4B" w14:paraId="691B6E6D" w14:textId="41B21CBB">
            <w:pPr>
              <w:spacing w:after="240"/>
              <w:rPr>
                <w:rFonts w:ascii="Times New Roman" w:hAnsi="Times New Roman"/>
                <w:sz w:val="24"/>
                <w:szCs w:val="24"/>
              </w:rPr>
            </w:pPr>
            <w:r w:rsidRPr="007A0234">
              <w:rPr>
                <w:rFonts w:ascii="Times New Roman" w:hAnsi="Times New Roman"/>
                <w:sz w:val="24"/>
                <w:szCs w:val="24"/>
              </w:rPr>
              <w:t xml:space="preserve">Month </w:t>
            </w:r>
            <w:r>
              <w:rPr>
                <w:rFonts w:ascii="Times New Roman" w:hAnsi="Times New Roman"/>
                <w:sz w:val="24"/>
                <w:szCs w:val="24"/>
              </w:rPr>
              <w:t>2</w:t>
            </w:r>
            <w:r w:rsidRPr="007A0234">
              <w:rPr>
                <w:rFonts w:ascii="Times New Roman" w:hAnsi="Times New Roman"/>
                <w:sz w:val="24"/>
                <w:szCs w:val="24"/>
              </w:rPr>
              <w:t xml:space="preserve"> / Week </w:t>
            </w:r>
            <w:r>
              <w:rPr>
                <w:rFonts w:ascii="Times New Roman" w:hAnsi="Times New Roman"/>
                <w:sz w:val="24"/>
                <w:szCs w:val="24"/>
              </w:rPr>
              <w:t>3</w:t>
            </w:r>
            <w:r w:rsidRPr="007A0234">
              <w:rPr>
                <w:rFonts w:ascii="Times New Roman" w:hAnsi="Times New Roman"/>
                <w:sz w:val="24"/>
                <w:szCs w:val="24"/>
              </w:rPr>
              <w:t xml:space="preserve"> </w:t>
            </w:r>
          </w:p>
        </w:tc>
        <w:tc>
          <w:tcPr>
            <w:tcW w:w="1591" w:type="pct"/>
          </w:tcPr>
          <w:p w:rsidR="00934D4B" w:rsidRPr="00CB3451" w:rsidP="00934D4B" w14:paraId="5C68377E" w14:textId="24716F94">
            <w:pPr>
              <w:spacing w:after="240"/>
              <w:rPr>
                <w:rFonts w:ascii="Times New Roman" w:hAnsi="Times New Roman"/>
                <w:sz w:val="24"/>
                <w:szCs w:val="24"/>
              </w:rPr>
            </w:pPr>
            <w:r w:rsidRPr="00CB3451">
              <w:rPr>
                <w:rFonts w:ascii="Times New Roman" w:hAnsi="Times New Roman"/>
                <w:sz w:val="24"/>
                <w:szCs w:val="24"/>
              </w:rPr>
              <w:t xml:space="preserve">Sites </w:t>
            </w:r>
            <w:r>
              <w:rPr>
                <w:rFonts w:ascii="Times New Roman" w:hAnsi="Times New Roman"/>
                <w:sz w:val="24"/>
                <w:szCs w:val="24"/>
              </w:rPr>
              <w:t xml:space="preserve">17 </w:t>
            </w:r>
            <w:r w:rsidRPr="00CB3451">
              <w:rPr>
                <w:rFonts w:ascii="Times New Roman" w:hAnsi="Times New Roman"/>
                <w:sz w:val="24"/>
                <w:szCs w:val="24"/>
              </w:rPr>
              <w:t>–</w:t>
            </w:r>
            <w:r>
              <w:rPr>
                <w:rFonts w:ascii="Times New Roman" w:hAnsi="Times New Roman"/>
                <w:sz w:val="24"/>
                <w:szCs w:val="24"/>
              </w:rPr>
              <w:t xml:space="preserve"> 18</w:t>
            </w:r>
          </w:p>
        </w:tc>
        <w:tc>
          <w:tcPr>
            <w:tcW w:w="1916" w:type="pct"/>
          </w:tcPr>
          <w:p w:rsidR="00934D4B" w:rsidRPr="00CB3451" w:rsidP="00934D4B" w14:paraId="2525CC32" w14:textId="7DFA74E9">
            <w:pPr>
              <w:spacing w:after="240"/>
              <w:rPr>
                <w:rFonts w:ascii="Times New Roman" w:hAnsi="Times New Roman"/>
                <w:sz w:val="24"/>
                <w:szCs w:val="24"/>
              </w:rPr>
            </w:pPr>
            <w:r w:rsidRPr="00CB3451">
              <w:rPr>
                <w:rFonts w:ascii="Times New Roman" w:hAnsi="Times New Roman"/>
                <w:sz w:val="24"/>
                <w:szCs w:val="24"/>
              </w:rPr>
              <w:t xml:space="preserve">Sites </w:t>
            </w:r>
            <w:r>
              <w:rPr>
                <w:rFonts w:ascii="Times New Roman" w:hAnsi="Times New Roman"/>
                <w:sz w:val="24"/>
                <w:szCs w:val="24"/>
              </w:rPr>
              <w:t>31</w:t>
            </w:r>
            <w:r w:rsidRPr="00CB3451">
              <w:rPr>
                <w:rFonts w:ascii="Times New Roman" w:hAnsi="Times New Roman"/>
                <w:sz w:val="24"/>
                <w:szCs w:val="24"/>
              </w:rPr>
              <w:t xml:space="preserve"> – </w:t>
            </w:r>
            <w:r>
              <w:rPr>
                <w:rFonts w:ascii="Times New Roman" w:hAnsi="Times New Roman"/>
                <w:sz w:val="24"/>
                <w:szCs w:val="24"/>
              </w:rPr>
              <w:t>35</w:t>
            </w:r>
          </w:p>
        </w:tc>
      </w:tr>
      <w:tr w14:paraId="62229568" w14:textId="77777777" w:rsidTr="00B92150">
        <w:tblPrEx>
          <w:tblW w:w="5000" w:type="pct"/>
          <w:tblLook w:val="04A0"/>
        </w:tblPrEx>
        <w:tc>
          <w:tcPr>
            <w:tcW w:w="1493" w:type="pct"/>
          </w:tcPr>
          <w:p w:rsidR="00934D4B" w:rsidRPr="00CB3451" w:rsidP="00934D4B" w14:paraId="379CF7A8" w14:textId="03BB046C">
            <w:pPr>
              <w:spacing w:after="240"/>
              <w:rPr>
                <w:rFonts w:ascii="Times New Roman" w:hAnsi="Times New Roman"/>
                <w:sz w:val="24"/>
                <w:szCs w:val="24"/>
              </w:rPr>
            </w:pPr>
            <w:r w:rsidRPr="007A0234">
              <w:rPr>
                <w:rFonts w:ascii="Times New Roman" w:hAnsi="Times New Roman"/>
                <w:sz w:val="24"/>
                <w:szCs w:val="24"/>
              </w:rPr>
              <w:t xml:space="preserve">Month </w:t>
            </w:r>
            <w:r>
              <w:rPr>
                <w:rFonts w:ascii="Times New Roman" w:hAnsi="Times New Roman"/>
                <w:sz w:val="24"/>
                <w:szCs w:val="24"/>
              </w:rPr>
              <w:t>2</w:t>
            </w:r>
            <w:r w:rsidRPr="007A0234">
              <w:rPr>
                <w:rFonts w:ascii="Times New Roman" w:hAnsi="Times New Roman"/>
                <w:sz w:val="24"/>
                <w:szCs w:val="24"/>
              </w:rPr>
              <w:t xml:space="preserve"> / Week </w:t>
            </w:r>
            <w:r>
              <w:rPr>
                <w:rFonts w:ascii="Times New Roman" w:hAnsi="Times New Roman"/>
                <w:sz w:val="24"/>
                <w:szCs w:val="24"/>
              </w:rPr>
              <w:t>4</w:t>
            </w:r>
            <w:r w:rsidRPr="007A0234">
              <w:rPr>
                <w:rFonts w:ascii="Times New Roman" w:hAnsi="Times New Roman"/>
                <w:sz w:val="24"/>
                <w:szCs w:val="24"/>
              </w:rPr>
              <w:t xml:space="preserve"> </w:t>
            </w:r>
          </w:p>
        </w:tc>
        <w:tc>
          <w:tcPr>
            <w:tcW w:w="1591" w:type="pct"/>
          </w:tcPr>
          <w:p w:rsidR="00934D4B" w:rsidRPr="00CB3451" w:rsidP="00934D4B" w14:paraId="1BD5AF11" w14:textId="378C94DC">
            <w:pPr>
              <w:spacing w:after="240"/>
              <w:rPr>
                <w:rFonts w:ascii="Times New Roman" w:hAnsi="Times New Roman"/>
                <w:sz w:val="24"/>
                <w:szCs w:val="24"/>
              </w:rPr>
            </w:pPr>
            <w:r>
              <w:rPr>
                <w:rFonts w:ascii="Times New Roman" w:hAnsi="Times New Roman"/>
                <w:sz w:val="24"/>
                <w:szCs w:val="24"/>
              </w:rPr>
              <w:t xml:space="preserve">Sites 19 </w:t>
            </w:r>
            <w:r w:rsidRPr="00CB3451">
              <w:rPr>
                <w:rFonts w:ascii="Times New Roman" w:hAnsi="Times New Roman"/>
                <w:sz w:val="24"/>
                <w:szCs w:val="24"/>
              </w:rPr>
              <w:t>–</w:t>
            </w:r>
            <w:r>
              <w:rPr>
                <w:rFonts w:ascii="Times New Roman" w:hAnsi="Times New Roman"/>
                <w:sz w:val="24"/>
                <w:szCs w:val="24"/>
              </w:rPr>
              <w:t xml:space="preserve"> 20</w:t>
            </w:r>
          </w:p>
        </w:tc>
        <w:tc>
          <w:tcPr>
            <w:tcW w:w="1916" w:type="pct"/>
          </w:tcPr>
          <w:p w:rsidR="00934D4B" w:rsidRPr="00CB3451" w:rsidP="00934D4B" w14:paraId="6FA9DA24" w14:textId="6DE177AF">
            <w:pPr>
              <w:spacing w:after="240"/>
              <w:rPr>
                <w:rFonts w:ascii="Times New Roman" w:hAnsi="Times New Roman"/>
                <w:sz w:val="24"/>
                <w:szCs w:val="24"/>
              </w:rPr>
            </w:pPr>
            <w:r w:rsidRPr="00CB3451">
              <w:rPr>
                <w:rFonts w:ascii="Times New Roman" w:hAnsi="Times New Roman"/>
                <w:sz w:val="24"/>
                <w:szCs w:val="24"/>
              </w:rPr>
              <w:t xml:space="preserve">Sites </w:t>
            </w:r>
            <w:r>
              <w:rPr>
                <w:rFonts w:ascii="Times New Roman" w:hAnsi="Times New Roman"/>
                <w:sz w:val="24"/>
                <w:szCs w:val="24"/>
              </w:rPr>
              <w:t>36</w:t>
            </w:r>
            <w:r w:rsidRPr="00CB3451">
              <w:rPr>
                <w:rFonts w:ascii="Times New Roman" w:hAnsi="Times New Roman"/>
                <w:sz w:val="24"/>
                <w:szCs w:val="24"/>
              </w:rPr>
              <w:t xml:space="preserve"> – </w:t>
            </w:r>
            <w:r>
              <w:rPr>
                <w:rFonts w:ascii="Times New Roman" w:hAnsi="Times New Roman"/>
                <w:sz w:val="24"/>
                <w:szCs w:val="24"/>
              </w:rPr>
              <w:t>40</w:t>
            </w:r>
          </w:p>
        </w:tc>
      </w:tr>
      <w:tr w14:paraId="612668F9" w14:textId="77777777" w:rsidTr="00B92150">
        <w:tblPrEx>
          <w:tblW w:w="5000" w:type="pct"/>
          <w:tblLook w:val="04A0"/>
        </w:tblPrEx>
        <w:tc>
          <w:tcPr>
            <w:tcW w:w="1493" w:type="pct"/>
          </w:tcPr>
          <w:p w:rsidR="00934D4B" w:rsidRPr="00CB3451" w:rsidP="00934D4B" w14:paraId="34B2E89C" w14:textId="3969BC63">
            <w:pPr>
              <w:spacing w:after="240"/>
              <w:rPr>
                <w:rFonts w:ascii="Times New Roman" w:hAnsi="Times New Roman"/>
                <w:sz w:val="24"/>
                <w:szCs w:val="24"/>
              </w:rPr>
            </w:pPr>
            <w:r>
              <w:rPr>
                <w:rFonts w:ascii="Times New Roman" w:hAnsi="Times New Roman"/>
                <w:sz w:val="24"/>
                <w:szCs w:val="24"/>
              </w:rPr>
              <w:t xml:space="preserve">Month 3 / Week </w:t>
            </w:r>
            <w:r w:rsidRPr="00CB3451">
              <w:rPr>
                <w:rFonts w:ascii="Times New Roman" w:hAnsi="Times New Roman"/>
                <w:sz w:val="24"/>
                <w:szCs w:val="24"/>
              </w:rPr>
              <w:t>1</w:t>
            </w:r>
            <w:r>
              <w:rPr>
                <w:rFonts w:ascii="Times New Roman" w:hAnsi="Times New Roman"/>
                <w:sz w:val="24"/>
                <w:szCs w:val="24"/>
              </w:rPr>
              <w:t xml:space="preserve"> </w:t>
            </w:r>
          </w:p>
        </w:tc>
        <w:tc>
          <w:tcPr>
            <w:tcW w:w="1591" w:type="pct"/>
          </w:tcPr>
          <w:p w:rsidR="00934D4B" w:rsidRPr="00CB3451" w:rsidP="00934D4B" w14:paraId="4E927A1E" w14:textId="168DF8A6">
            <w:pPr>
              <w:spacing w:after="240"/>
              <w:rPr>
                <w:rFonts w:ascii="Times New Roman" w:hAnsi="Times New Roman"/>
                <w:sz w:val="24"/>
                <w:szCs w:val="24"/>
              </w:rPr>
            </w:pPr>
            <w:r w:rsidRPr="00CB3451">
              <w:rPr>
                <w:rFonts w:ascii="Times New Roman" w:hAnsi="Times New Roman"/>
                <w:sz w:val="24"/>
                <w:szCs w:val="24"/>
              </w:rPr>
              <w:t xml:space="preserve">Sites </w:t>
            </w:r>
            <w:r>
              <w:rPr>
                <w:rFonts w:ascii="Times New Roman" w:hAnsi="Times New Roman"/>
                <w:sz w:val="24"/>
                <w:szCs w:val="24"/>
              </w:rPr>
              <w:t>2</w:t>
            </w:r>
            <w:r w:rsidRPr="00CB3451">
              <w:rPr>
                <w:rFonts w:ascii="Times New Roman" w:hAnsi="Times New Roman"/>
                <w:sz w:val="24"/>
                <w:szCs w:val="24"/>
              </w:rPr>
              <w:t xml:space="preserve">1 – </w:t>
            </w:r>
            <w:r>
              <w:rPr>
                <w:rFonts w:ascii="Times New Roman" w:hAnsi="Times New Roman"/>
                <w:sz w:val="24"/>
                <w:szCs w:val="24"/>
              </w:rPr>
              <w:t>23</w:t>
            </w:r>
          </w:p>
        </w:tc>
        <w:tc>
          <w:tcPr>
            <w:tcW w:w="1916" w:type="pct"/>
          </w:tcPr>
          <w:p w:rsidR="00934D4B" w:rsidRPr="00CB3451" w:rsidP="00934D4B" w14:paraId="6463BBBF" w14:textId="3EFD387F">
            <w:pPr>
              <w:spacing w:after="240"/>
              <w:rPr>
                <w:rFonts w:ascii="Times New Roman" w:hAnsi="Times New Roman"/>
                <w:sz w:val="24"/>
                <w:szCs w:val="24"/>
              </w:rPr>
            </w:pPr>
            <w:r w:rsidRPr="00CB3451">
              <w:rPr>
                <w:rFonts w:ascii="Times New Roman" w:hAnsi="Times New Roman"/>
                <w:sz w:val="24"/>
                <w:szCs w:val="24"/>
              </w:rPr>
              <w:t xml:space="preserve">Sites </w:t>
            </w:r>
            <w:r>
              <w:rPr>
                <w:rFonts w:ascii="Times New Roman" w:hAnsi="Times New Roman"/>
                <w:sz w:val="24"/>
                <w:szCs w:val="24"/>
              </w:rPr>
              <w:t>4</w:t>
            </w:r>
            <w:r w:rsidR="00EB1595">
              <w:rPr>
                <w:rFonts w:ascii="Times New Roman" w:hAnsi="Times New Roman"/>
                <w:sz w:val="24"/>
                <w:szCs w:val="24"/>
              </w:rPr>
              <w:t>1</w:t>
            </w:r>
            <w:r w:rsidRPr="00CB3451">
              <w:rPr>
                <w:rFonts w:ascii="Times New Roman" w:hAnsi="Times New Roman"/>
                <w:sz w:val="24"/>
                <w:szCs w:val="24"/>
              </w:rPr>
              <w:t xml:space="preserve"> – </w:t>
            </w:r>
            <w:r w:rsidR="00EB1595">
              <w:rPr>
                <w:rFonts w:ascii="Times New Roman" w:hAnsi="Times New Roman"/>
                <w:sz w:val="24"/>
                <w:szCs w:val="24"/>
              </w:rPr>
              <w:t>4</w:t>
            </w:r>
            <w:r>
              <w:rPr>
                <w:rFonts w:ascii="Times New Roman" w:hAnsi="Times New Roman"/>
                <w:sz w:val="24"/>
                <w:szCs w:val="24"/>
              </w:rPr>
              <w:t>5</w:t>
            </w:r>
          </w:p>
        </w:tc>
      </w:tr>
      <w:tr w14:paraId="3B2725BD" w14:textId="77777777" w:rsidTr="00B92150">
        <w:tblPrEx>
          <w:tblW w:w="5000" w:type="pct"/>
          <w:tblLook w:val="04A0"/>
        </w:tblPrEx>
        <w:tc>
          <w:tcPr>
            <w:tcW w:w="1493" w:type="pct"/>
          </w:tcPr>
          <w:p w:rsidR="00934D4B" w:rsidRPr="00CB3451" w:rsidP="00934D4B" w14:paraId="19960974" w14:textId="74F422D0">
            <w:pPr>
              <w:spacing w:after="240"/>
              <w:rPr>
                <w:rFonts w:ascii="Times New Roman" w:hAnsi="Times New Roman"/>
                <w:sz w:val="24"/>
                <w:szCs w:val="24"/>
              </w:rPr>
            </w:pPr>
            <w:r w:rsidRPr="007A0234">
              <w:rPr>
                <w:rFonts w:ascii="Times New Roman" w:hAnsi="Times New Roman"/>
                <w:sz w:val="24"/>
                <w:szCs w:val="24"/>
              </w:rPr>
              <w:t xml:space="preserve">Month </w:t>
            </w:r>
            <w:r>
              <w:rPr>
                <w:rFonts w:ascii="Times New Roman" w:hAnsi="Times New Roman"/>
                <w:sz w:val="24"/>
                <w:szCs w:val="24"/>
              </w:rPr>
              <w:t>3</w:t>
            </w:r>
            <w:r w:rsidRPr="007A0234">
              <w:rPr>
                <w:rFonts w:ascii="Times New Roman" w:hAnsi="Times New Roman"/>
                <w:sz w:val="24"/>
                <w:szCs w:val="24"/>
              </w:rPr>
              <w:t xml:space="preserve"> / Week </w:t>
            </w:r>
            <w:r>
              <w:rPr>
                <w:rFonts w:ascii="Times New Roman" w:hAnsi="Times New Roman"/>
                <w:sz w:val="24"/>
                <w:szCs w:val="24"/>
              </w:rPr>
              <w:t>2</w:t>
            </w:r>
            <w:r w:rsidRPr="007A0234">
              <w:rPr>
                <w:rFonts w:ascii="Times New Roman" w:hAnsi="Times New Roman"/>
                <w:sz w:val="24"/>
                <w:szCs w:val="24"/>
              </w:rPr>
              <w:t xml:space="preserve"> </w:t>
            </w:r>
          </w:p>
        </w:tc>
        <w:tc>
          <w:tcPr>
            <w:tcW w:w="1591" w:type="pct"/>
          </w:tcPr>
          <w:p w:rsidR="00934D4B" w:rsidRPr="00CB3451" w:rsidP="00934D4B" w14:paraId="2BF55752" w14:textId="1BF329A5">
            <w:pPr>
              <w:spacing w:after="240"/>
              <w:rPr>
                <w:rFonts w:ascii="Times New Roman" w:hAnsi="Times New Roman"/>
                <w:sz w:val="24"/>
                <w:szCs w:val="24"/>
              </w:rPr>
            </w:pPr>
            <w:r w:rsidRPr="00CB3451">
              <w:rPr>
                <w:rFonts w:ascii="Times New Roman" w:hAnsi="Times New Roman"/>
                <w:sz w:val="24"/>
                <w:szCs w:val="24"/>
              </w:rPr>
              <w:t xml:space="preserve">Sites </w:t>
            </w:r>
            <w:r>
              <w:rPr>
                <w:rFonts w:ascii="Times New Roman" w:hAnsi="Times New Roman"/>
                <w:sz w:val="24"/>
                <w:szCs w:val="24"/>
              </w:rPr>
              <w:t xml:space="preserve">24 </w:t>
            </w:r>
            <w:r w:rsidRPr="00CB3451">
              <w:rPr>
                <w:rFonts w:ascii="Times New Roman" w:hAnsi="Times New Roman"/>
                <w:sz w:val="24"/>
                <w:szCs w:val="24"/>
              </w:rPr>
              <w:t>–</w:t>
            </w:r>
            <w:r>
              <w:rPr>
                <w:rFonts w:ascii="Times New Roman" w:hAnsi="Times New Roman"/>
                <w:sz w:val="24"/>
                <w:szCs w:val="24"/>
              </w:rPr>
              <w:t xml:space="preserve"> 26</w:t>
            </w:r>
          </w:p>
        </w:tc>
        <w:tc>
          <w:tcPr>
            <w:tcW w:w="1916" w:type="pct"/>
          </w:tcPr>
          <w:p w:rsidR="00934D4B" w:rsidRPr="00CB3451" w:rsidP="00934D4B" w14:paraId="7E23B6C2" w14:textId="1D164F3E">
            <w:pPr>
              <w:spacing w:after="240"/>
              <w:rPr>
                <w:rFonts w:ascii="Times New Roman" w:hAnsi="Times New Roman"/>
                <w:sz w:val="24"/>
                <w:szCs w:val="24"/>
              </w:rPr>
            </w:pPr>
            <w:r w:rsidRPr="00CB3451">
              <w:rPr>
                <w:rFonts w:ascii="Times New Roman" w:hAnsi="Times New Roman"/>
                <w:sz w:val="24"/>
                <w:szCs w:val="24"/>
              </w:rPr>
              <w:t xml:space="preserve">Sites </w:t>
            </w:r>
            <w:r w:rsidR="00EB1595">
              <w:rPr>
                <w:rFonts w:ascii="Times New Roman" w:hAnsi="Times New Roman"/>
                <w:sz w:val="24"/>
                <w:szCs w:val="24"/>
              </w:rPr>
              <w:t>4</w:t>
            </w:r>
            <w:r>
              <w:rPr>
                <w:rFonts w:ascii="Times New Roman" w:hAnsi="Times New Roman"/>
                <w:sz w:val="24"/>
                <w:szCs w:val="24"/>
              </w:rPr>
              <w:t>6</w:t>
            </w:r>
            <w:r w:rsidRPr="00CB3451">
              <w:rPr>
                <w:rFonts w:ascii="Times New Roman" w:hAnsi="Times New Roman"/>
                <w:sz w:val="24"/>
                <w:szCs w:val="24"/>
              </w:rPr>
              <w:t xml:space="preserve"> – </w:t>
            </w:r>
            <w:r w:rsidR="00EB1595">
              <w:rPr>
                <w:rFonts w:ascii="Times New Roman" w:hAnsi="Times New Roman"/>
                <w:sz w:val="24"/>
                <w:szCs w:val="24"/>
              </w:rPr>
              <w:t>5</w:t>
            </w:r>
            <w:r>
              <w:rPr>
                <w:rFonts w:ascii="Times New Roman" w:hAnsi="Times New Roman"/>
                <w:sz w:val="24"/>
                <w:szCs w:val="24"/>
              </w:rPr>
              <w:t>0</w:t>
            </w:r>
          </w:p>
        </w:tc>
      </w:tr>
      <w:tr w14:paraId="283A8B15" w14:textId="77777777" w:rsidTr="00B92150">
        <w:tblPrEx>
          <w:tblW w:w="5000" w:type="pct"/>
          <w:tblLook w:val="04A0"/>
        </w:tblPrEx>
        <w:tc>
          <w:tcPr>
            <w:tcW w:w="1493" w:type="pct"/>
          </w:tcPr>
          <w:p w:rsidR="00934D4B" w:rsidRPr="00CB3451" w:rsidP="00934D4B" w14:paraId="67DFA7D6" w14:textId="736F8F44">
            <w:pPr>
              <w:spacing w:after="240"/>
              <w:rPr>
                <w:rFonts w:ascii="Times New Roman" w:hAnsi="Times New Roman"/>
                <w:sz w:val="24"/>
                <w:szCs w:val="24"/>
              </w:rPr>
            </w:pPr>
            <w:r w:rsidRPr="007A0234">
              <w:rPr>
                <w:rFonts w:ascii="Times New Roman" w:hAnsi="Times New Roman"/>
                <w:sz w:val="24"/>
                <w:szCs w:val="24"/>
              </w:rPr>
              <w:t xml:space="preserve">Month </w:t>
            </w:r>
            <w:r>
              <w:rPr>
                <w:rFonts w:ascii="Times New Roman" w:hAnsi="Times New Roman"/>
                <w:sz w:val="24"/>
                <w:szCs w:val="24"/>
              </w:rPr>
              <w:t>3</w:t>
            </w:r>
            <w:r w:rsidRPr="007A0234">
              <w:rPr>
                <w:rFonts w:ascii="Times New Roman" w:hAnsi="Times New Roman"/>
                <w:sz w:val="24"/>
                <w:szCs w:val="24"/>
              </w:rPr>
              <w:t xml:space="preserve"> / Week </w:t>
            </w:r>
            <w:r>
              <w:rPr>
                <w:rFonts w:ascii="Times New Roman" w:hAnsi="Times New Roman"/>
                <w:sz w:val="24"/>
                <w:szCs w:val="24"/>
              </w:rPr>
              <w:t>3</w:t>
            </w:r>
            <w:r w:rsidRPr="007A0234">
              <w:rPr>
                <w:rFonts w:ascii="Times New Roman" w:hAnsi="Times New Roman"/>
                <w:sz w:val="24"/>
                <w:szCs w:val="24"/>
              </w:rPr>
              <w:t xml:space="preserve"> </w:t>
            </w:r>
          </w:p>
        </w:tc>
        <w:tc>
          <w:tcPr>
            <w:tcW w:w="1591" w:type="pct"/>
          </w:tcPr>
          <w:p w:rsidR="00934D4B" w:rsidRPr="00CB3451" w:rsidP="00934D4B" w14:paraId="0A36B754" w14:textId="22D6B4B0">
            <w:pPr>
              <w:spacing w:after="240"/>
              <w:rPr>
                <w:rFonts w:ascii="Times New Roman" w:hAnsi="Times New Roman"/>
                <w:sz w:val="24"/>
                <w:szCs w:val="24"/>
              </w:rPr>
            </w:pPr>
            <w:r w:rsidRPr="00CB3451">
              <w:rPr>
                <w:rFonts w:ascii="Times New Roman" w:hAnsi="Times New Roman"/>
                <w:sz w:val="24"/>
                <w:szCs w:val="24"/>
              </w:rPr>
              <w:t xml:space="preserve">Sites </w:t>
            </w:r>
            <w:r>
              <w:rPr>
                <w:rFonts w:ascii="Times New Roman" w:hAnsi="Times New Roman"/>
                <w:sz w:val="24"/>
                <w:szCs w:val="24"/>
              </w:rPr>
              <w:t xml:space="preserve">27 </w:t>
            </w:r>
            <w:r w:rsidRPr="00CB3451">
              <w:rPr>
                <w:rFonts w:ascii="Times New Roman" w:hAnsi="Times New Roman"/>
                <w:sz w:val="24"/>
                <w:szCs w:val="24"/>
              </w:rPr>
              <w:t>–</w:t>
            </w:r>
            <w:r>
              <w:rPr>
                <w:rFonts w:ascii="Times New Roman" w:hAnsi="Times New Roman"/>
                <w:sz w:val="24"/>
                <w:szCs w:val="24"/>
              </w:rPr>
              <w:t xml:space="preserve"> 28</w:t>
            </w:r>
          </w:p>
        </w:tc>
        <w:tc>
          <w:tcPr>
            <w:tcW w:w="1916" w:type="pct"/>
          </w:tcPr>
          <w:p w:rsidR="00934D4B" w:rsidRPr="00CB3451" w:rsidP="00934D4B" w14:paraId="7023CB48" w14:textId="3FC084EA">
            <w:pPr>
              <w:spacing w:after="240"/>
              <w:rPr>
                <w:rFonts w:ascii="Times New Roman" w:hAnsi="Times New Roman"/>
                <w:sz w:val="24"/>
                <w:szCs w:val="24"/>
              </w:rPr>
            </w:pPr>
            <w:r w:rsidRPr="00CB3451">
              <w:rPr>
                <w:rFonts w:ascii="Times New Roman" w:hAnsi="Times New Roman"/>
                <w:sz w:val="24"/>
                <w:szCs w:val="24"/>
              </w:rPr>
              <w:t xml:space="preserve">Sites </w:t>
            </w:r>
            <w:r w:rsidR="00EB1595">
              <w:rPr>
                <w:rFonts w:ascii="Times New Roman" w:hAnsi="Times New Roman"/>
                <w:sz w:val="24"/>
                <w:szCs w:val="24"/>
              </w:rPr>
              <w:t>5</w:t>
            </w:r>
            <w:r>
              <w:rPr>
                <w:rFonts w:ascii="Times New Roman" w:hAnsi="Times New Roman"/>
                <w:sz w:val="24"/>
                <w:szCs w:val="24"/>
              </w:rPr>
              <w:t>1</w:t>
            </w:r>
            <w:r w:rsidRPr="00CB3451">
              <w:rPr>
                <w:rFonts w:ascii="Times New Roman" w:hAnsi="Times New Roman"/>
                <w:sz w:val="24"/>
                <w:szCs w:val="24"/>
              </w:rPr>
              <w:t xml:space="preserve"> – </w:t>
            </w:r>
            <w:r w:rsidR="00EB1595">
              <w:rPr>
                <w:rFonts w:ascii="Times New Roman" w:hAnsi="Times New Roman"/>
                <w:sz w:val="24"/>
                <w:szCs w:val="24"/>
              </w:rPr>
              <w:t>5</w:t>
            </w:r>
            <w:r>
              <w:rPr>
                <w:rFonts w:ascii="Times New Roman" w:hAnsi="Times New Roman"/>
                <w:sz w:val="24"/>
                <w:szCs w:val="24"/>
              </w:rPr>
              <w:t>5</w:t>
            </w:r>
          </w:p>
        </w:tc>
      </w:tr>
      <w:tr w14:paraId="1DEE70B4" w14:textId="77777777" w:rsidTr="00B92150">
        <w:tblPrEx>
          <w:tblW w:w="5000" w:type="pct"/>
          <w:tblLook w:val="04A0"/>
        </w:tblPrEx>
        <w:tc>
          <w:tcPr>
            <w:tcW w:w="1493" w:type="pct"/>
          </w:tcPr>
          <w:p w:rsidR="00934D4B" w:rsidRPr="00CB3451" w:rsidP="00934D4B" w14:paraId="68F67D44" w14:textId="12230169">
            <w:pPr>
              <w:spacing w:after="240"/>
              <w:rPr>
                <w:rFonts w:ascii="Times New Roman" w:hAnsi="Times New Roman"/>
                <w:sz w:val="24"/>
                <w:szCs w:val="24"/>
              </w:rPr>
            </w:pPr>
            <w:r w:rsidRPr="007A0234">
              <w:rPr>
                <w:rFonts w:ascii="Times New Roman" w:hAnsi="Times New Roman"/>
                <w:sz w:val="24"/>
                <w:szCs w:val="24"/>
              </w:rPr>
              <w:t xml:space="preserve">Month </w:t>
            </w:r>
            <w:r>
              <w:rPr>
                <w:rFonts w:ascii="Times New Roman" w:hAnsi="Times New Roman"/>
                <w:sz w:val="24"/>
                <w:szCs w:val="24"/>
              </w:rPr>
              <w:t>3</w:t>
            </w:r>
            <w:r w:rsidRPr="007A0234">
              <w:rPr>
                <w:rFonts w:ascii="Times New Roman" w:hAnsi="Times New Roman"/>
                <w:sz w:val="24"/>
                <w:szCs w:val="24"/>
              </w:rPr>
              <w:t xml:space="preserve"> / Week </w:t>
            </w:r>
            <w:r>
              <w:rPr>
                <w:rFonts w:ascii="Times New Roman" w:hAnsi="Times New Roman"/>
                <w:sz w:val="24"/>
                <w:szCs w:val="24"/>
              </w:rPr>
              <w:t>4</w:t>
            </w:r>
            <w:r w:rsidRPr="007A0234">
              <w:rPr>
                <w:rFonts w:ascii="Times New Roman" w:hAnsi="Times New Roman"/>
                <w:sz w:val="24"/>
                <w:szCs w:val="24"/>
              </w:rPr>
              <w:t xml:space="preserve"> </w:t>
            </w:r>
          </w:p>
        </w:tc>
        <w:tc>
          <w:tcPr>
            <w:tcW w:w="1591" w:type="pct"/>
          </w:tcPr>
          <w:p w:rsidR="00934D4B" w:rsidRPr="00CB3451" w:rsidP="00934D4B" w14:paraId="53309555" w14:textId="73EA71E0">
            <w:pPr>
              <w:spacing w:after="240"/>
              <w:rPr>
                <w:rFonts w:ascii="Times New Roman" w:hAnsi="Times New Roman"/>
                <w:sz w:val="24"/>
                <w:szCs w:val="24"/>
              </w:rPr>
            </w:pPr>
            <w:r>
              <w:rPr>
                <w:rFonts w:ascii="Times New Roman" w:hAnsi="Times New Roman"/>
                <w:sz w:val="24"/>
                <w:szCs w:val="24"/>
              </w:rPr>
              <w:t xml:space="preserve">Sites 29 </w:t>
            </w:r>
            <w:r w:rsidRPr="00CB3451">
              <w:rPr>
                <w:rFonts w:ascii="Times New Roman" w:hAnsi="Times New Roman"/>
                <w:sz w:val="24"/>
                <w:szCs w:val="24"/>
              </w:rPr>
              <w:t>–</w:t>
            </w:r>
            <w:r>
              <w:rPr>
                <w:rFonts w:ascii="Times New Roman" w:hAnsi="Times New Roman"/>
                <w:sz w:val="24"/>
                <w:szCs w:val="24"/>
              </w:rPr>
              <w:t xml:space="preserve"> 30</w:t>
            </w:r>
          </w:p>
        </w:tc>
        <w:tc>
          <w:tcPr>
            <w:tcW w:w="1916" w:type="pct"/>
          </w:tcPr>
          <w:p w:rsidR="00934D4B" w:rsidRPr="00CB3451" w:rsidP="00934D4B" w14:paraId="09DDD2D8" w14:textId="792FAC6F">
            <w:pPr>
              <w:spacing w:after="240"/>
              <w:rPr>
                <w:rFonts w:ascii="Times New Roman" w:hAnsi="Times New Roman"/>
                <w:sz w:val="24"/>
                <w:szCs w:val="24"/>
              </w:rPr>
            </w:pPr>
            <w:r w:rsidRPr="00CB3451">
              <w:rPr>
                <w:rFonts w:ascii="Times New Roman" w:hAnsi="Times New Roman"/>
                <w:sz w:val="24"/>
                <w:szCs w:val="24"/>
              </w:rPr>
              <w:t xml:space="preserve">Sites </w:t>
            </w:r>
            <w:r w:rsidR="00EB1595">
              <w:rPr>
                <w:rFonts w:ascii="Times New Roman" w:hAnsi="Times New Roman"/>
                <w:sz w:val="24"/>
                <w:szCs w:val="24"/>
              </w:rPr>
              <w:t>5</w:t>
            </w:r>
            <w:r>
              <w:rPr>
                <w:rFonts w:ascii="Times New Roman" w:hAnsi="Times New Roman"/>
                <w:sz w:val="24"/>
                <w:szCs w:val="24"/>
              </w:rPr>
              <w:t>6</w:t>
            </w:r>
            <w:r w:rsidRPr="00CB3451">
              <w:rPr>
                <w:rFonts w:ascii="Times New Roman" w:hAnsi="Times New Roman"/>
                <w:sz w:val="24"/>
                <w:szCs w:val="24"/>
              </w:rPr>
              <w:t xml:space="preserve"> – </w:t>
            </w:r>
            <w:r w:rsidR="00EB1595">
              <w:rPr>
                <w:rFonts w:ascii="Times New Roman" w:hAnsi="Times New Roman"/>
                <w:sz w:val="24"/>
                <w:szCs w:val="24"/>
              </w:rPr>
              <w:t>6</w:t>
            </w:r>
            <w:r>
              <w:rPr>
                <w:rFonts w:ascii="Times New Roman" w:hAnsi="Times New Roman"/>
                <w:sz w:val="24"/>
                <w:szCs w:val="24"/>
              </w:rPr>
              <w:t>0</w:t>
            </w:r>
          </w:p>
        </w:tc>
      </w:tr>
    </w:tbl>
    <w:p w:rsidR="00FD3B05" w:rsidRPr="003975CC" w:rsidP="00E47C04" w14:paraId="7EAAD012" w14:textId="77777777">
      <w:pPr>
        <w:pStyle w:val="GuidanceParagraph"/>
      </w:pPr>
    </w:p>
    <w:p w:rsidR="00191DF8" w:rsidRPr="003975CC" w:rsidP="00E47C04" w14:paraId="713E6562" w14:textId="5DD6E417">
      <w:pPr>
        <w:pStyle w:val="GuidanceParagraph"/>
      </w:pPr>
      <w:r w:rsidRPr="003975CC">
        <w:t>You could not wait, however, for the end of each quarter to collect all 90 samples (e.g., sampling in January and then waiting until April to sample all 90 sites again) as this practice would not meet the monthly minimum sampling frequency requirement (§ 112.145(c)(2)).</w:t>
      </w:r>
    </w:p>
    <w:p w:rsidR="00191DF8" w:rsidRPr="004B458D" w:rsidP="00E47C04" w14:paraId="667A884E" w14:textId="1E289C13">
      <w:pPr>
        <w:pStyle w:val="HHS508GuidanceOutline4"/>
        <w:numPr>
          <w:ilvl w:val="0"/>
          <w:numId w:val="75"/>
        </w:numPr>
      </w:pPr>
      <w:r w:rsidRPr="004B458D">
        <w:t xml:space="preserve">Sampling </w:t>
      </w:r>
      <w:r w:rsidR="00F676E7">
        <w:t>f</w:t>
      </w:r>
      <w:r w:rsidRPr="004B458D" w:rsidR="00F676E7">
        <w:t xml:space="preserve">requency </w:t>
      </w:r>
      <w:r w:rsidR="00F676E7">
        <w:t>e</w:t>
      </w:r>
      <w:r w:rsidRPr="004B458D" w:rsidR="00F676E7">
        <w:t xml:space="preserve">xample </w:t>
      </w:r>
      <w:r w:rsidRPr="004B458D">
        <w:t>#</w:t>
      </w:r>
      <w:r w:rsidR="00EB55C5">
        <w:t>3</w:t>
      </w:r>
    </w:p>
    <w:p w:rsidR="00191DF8" w:rsidRPr="00CC10E2" w:rsidP="00E47C04" w14:paraId="7DC89D7E" w14:textId="77777777">
      <w:pPr>
        <w:pStyle w:val="GuidanceParagraph"/>
      </w:pPr>
      <w:r w:rsidRPr="00CC10E2">
        <w:t>You establish a 4-zone system that prioritizes sampling from Zones 1 and 2. There are various ways to achieve this.</w:t>
      </w:r>
    </w:p>
    <w:p w:rsidR="00191DF8" w:rsidRPr="003975CC" w:rsidP="00E47C04" w14:paraId="144ED8FF" w14:textId="77777777">
      <w:pPr>
        <w:pStyle w:val="GuidanceParagraph"/>
      </w:pPr>
      <w:r w:rsidRPr="003975CC">
        <w:t>You might determine, for example, that all FCS sites that you identify for testing will be tested at least once a month and all non-FCS sites you identify for testing will be tested at least quarterly, recognizing that the FCS and non-FCS sites that you identify for testing are representative of the total number of FCS and non-FCS that you have identified in your operation.</w:t>
      </w:r>
    </w:p>
    <w:p w:rsidR="00191DF8" w:rsidRPr="003975CC" w:rsidP="00E47C04" w14:paraId="2FE7699B" w14:textId="7892A9F6">
      <w:pPr>
        <w:pStyle w:val="GuidanceParagraph"/>
      </w:pPr>
      <w:r w:rsidRPr="003975CC">
        <w:t>In such a case you could choose to, for example, specify sample collection from specific FCS sites at least once every week, such that all FCS sites that you identify for testing are tested at least once each month.</w:t>
      </w:r>
    </w:p>
    <w:p w:rsidR="00191DF8" w:rsidRPr="003975CC" w:rsidP="00E47C04" w14:paraId="5BCB3746" w14:textId="77777777">
      <w:pPr>
        <w:pStyle w:val="GuidanceParagraph"/>
      </w:pPr>
      <w:r w:rsidRPr="003975CC">
        <w:t xml:space="preserve">As part of such an approach, you might choose to, for example, specify sample collection from representative sets of Zone 2 non-FCS sites every two weeks and sample collection from Zone 3 </w:t>
      </w:r>
      <w:r w:rsidRPr="003975CC">
        <w:t>and 4 sites monthly, such that all non-FCS sites that you identify for testing are tested at least once each quarter.</w:t>
      </w:r>
    </w:p>
    <w:p w:rsidR="00191DF8" w:rsidRPr="0003249B" w:rsidP="00F756C4" w14:paraId="0E0F2272" w14:textId="4B9C4A0D">
      <w:pPr>
        <w:pStyle w:val="HHS508GuidanceOutline2"/>
      </w:pPr>
      <w:bookmarkStart w:id="122" w:name="_bookmark83"/>
      <w:bookmarkStart w:id="123" w:name="_Toc44439362"/>
      <w:bookmarkStart w:id="124" w:name="_Toc106094959"/>
      <w:bookmarkEnd w:id="122"/>
      <w:r w:rsidRPr="0003249B">
        <w:t>Timing</w:t>
      </w:r>
      <w:r w:rsidRPr="00D34FCD">
        <w:t xml:space="preserve"> of Sample Collection</w:t>
      </w:r>
      <w:bookmarkEnd w:id="123"/>
      <w:bookmarkEnd w:id="124"/>
    </w:p>
    <w:p w:rsidR="00191DF8" w:rsidRPr="00CC10E2" w:rsidP="00E47C04" w14:paraId="7747387E" w14:textId="11313F94">
      <w:pPr>
        <w:pStyle w:val="GuidanceParagraph"/>
      </w:pPr>
      <w:r w:rsidRPr="00CC10E2">
        <w:t xml:space="preserve">Your sampling plan must specify the point(s) during production at which you will collect environmental samples (§ 112.145(c)(2)). We recommend you collect environmental samples several hours after the start of production (e.g., 3 to 4 hours), preferably towards the end of production, just prior to cleanup. Collecting your samples toward the end of production allows </w:t>
      </w:r>
      <w:r w:rsidRPr="00CC10E2">
        <w:rPr>
          <w:i/>
        </w:rPr>
        <w:t xml:space="preserve">L. monocytogenes </w:t>
      </w:r>
      <w:r w:rsidRPr="00CC10E2">
        <w:t>(if present) to work its way out of harborage sites and into the environment where it can more easily be detected.</w:t>
      </w:r>
    </w:p>
    <w:p w:rsidR="00191DF8" w:rsidRPr="00CC10E2" w:rsidP="00E47C04" w14:paraId="34D778EA" w14:textId="22C9147E">
      <w:pPr>
        <w:pStyle w:val="GuidanceParagraph"/>
      </w:pPr>
      <w:r w:rsidRPr="00CC10E2">
        <w:t xml:space="preserve">Environmental samples should not be taken immediately after surfaces have been sanitized, as the sanitizer may affect the test results. The timing of collection of environmental samples for identifying </w:t>
      </w:r>
      <w:r w:rsidRPr="00CC10E2">
        <w:rPr>
          <w:i/>
        </w:rPr>
        <w:t xml:space="preserve">L. monocytogenes </w:t>
      </w:r>
      <w:r w:rsidRPr="00CC10E2">
        <w:t xml:space="preserve">should not be confused with that of other types of samples collected for verification of cleaning and sanitizing, which are typically collected immediately after sanitizing. For example, ATP hygiene monitoring involves the use of a device called a luminometer to measure the combined total ATP of organic material (food residues and microbial populations) collected from a swabbed surface. See discussion on verification of cleaning and </w:t>
      </w:r>
      <w:r w:rsidRPr="003848E8">
        <w:t xml:space="preserve">sanitizing in </w:t>
      </w:r>
      <w:r w:rsidRPr="003848E8" w:rsidR="002917E4">
        <w:t xml:space="preserve">Section </w:t>
      </w:r>
      <w:r w:rsidRPr="003848E8" w:rsidR="000F50D3">
        <w:t>I</w:t>
      </w:r>
      <w:r w:rsidRPr="003848E8" w:rsidR="002917E4">
        <w:t>II</w:t>
      </w:r>
      <w:r w:rsidRPr="003848E8">
        <w:t xml:space="preserve"> (Cleaning and</w:t>
      </w:r>
      <w:r w:rsidRPr="00CC10E2">
        <w:t xml:space="preserve"> Sanitizing) of this guidance for more information.</w:t>
      </w:r>
    </w:p>
    <w:p w:rsidR="00191DF8" w:rsidRPr="0003249B" w:rsidP="00F756C4" w14:paraId="2D1475AD" w14:textId="2D291D04">
      <w:pPr>
        <w:pStyle w:val="HHS508GuidanceOutline2"/>
      </w:pPr>
      <w:bookmarkStart w:id="125" w:name="H._Sample_Collection_and_Shipping"/>
      <w:bookmarkStart w:id="126" w:name="_bookmark84"/>
      <w:bookmarkStart w:id="127" w:name="_Toc44439363"/>
      <w:bookmarkStart w:id="128" w:name="_Hlk43072051"/>
      <w:bookmarkStart w:id="129" w:name="_Toc106094960"/>
      <w:bookmarkEnd w:id="125"/>
      <w:bookmarkEnd w:id="126"/>
      <w:r w:rsidRPr="0003249B">
        <w:t xml:space="preserve">Sample </w:t>
      </w:r>
      <w:r w:rsidRPr="00D34FCD">
        <w:t>Collection and Shipping</w:t>
      </w:r>
      <w:bookmarkEnd w:id="127"/>
      <w:bookmarkEnd w:id="128"/>
      <w:bookmarkEnd w:id="129"/>
    </w:p>
    <w:p w:rsidR="00191DF8" w:rsidRPr="00CC10E2" w:rsidP="00E47C04" w14:paraId="04A775E3" w14:textId="7FA3732A">
      <w:pPr>
        <w:pStyle w:val="GuidanceParagraph"/>
      </w:pPr>
      <w:r w:rsidRPr="00CC10E2">
        <w:t xml:space="preserve">While not required by the Produce Safety Rule, we recommend your sampling plan specify the sampling method that you will use and detail your sample collection procedures. Use of appropriate materials and equipment is particularly important to ensure that sample collection is conducted aseptically, as required by § 112.145(d). For more details on aseptic sampling and information on sampling methods and sample collection, see Appendix </w:t>
      </w:r>
      <w:r w:rsidR="00E11CC0">
        <w:t>1</w:t>
      </w:r>
      <w:r w:rsidR="009E7A92">
        <w:t xml:space="preserve"> </w:t>
      </w:r>
      <w:r w:rsidRPr="00A7007C" w:rsidR="00A7007C">
        <w:t>(</w:t>
      </w:r>
      <w:r w:rsidRPr="00A7007C" w:rsidR="00A7007C">
        <w:rPr>
          <w:lang w:bidi="en-US"/>
        </w:rPr>
        <w:t>Aseptic Sampling</w:t>
      </w:r>
      <w:r w:rsidRPr="00A7007C" w:rsidR="00A7007C">
        <w:t>)</w:t>
      </w:r>
      <w:r w:rsidR="00A7007C">
        <w:t xml:space="preserve"> </w:t>
      </w:r>
      <w:r w:rsidR="009E7A92">
        <w:t xml:space="preserve">and </w:t>
      </w:r>
      <w:r w:rsidR="005F4D69">
        <w:t xml:space="preserve">Appendix </w:t>
      </w:r>
      <w:r w:rsidR="00220468">
        <w:t>2</w:t>
      </w:r>
      <w:r w:rsidR="005F4D69">
        <w:t xml:space="preserve"> (</w:t>
      </w:r>
      <w:r w:rsidRPr="005F4D69" w:rsidR="005F4D69">
        <w:t>Collection Procedures – Environmental Sampling</w:t>
      </w:r>
      <w:r w:rsidR="005F4D69">
        <w:t>)</w:t>
      </w:r>
      <w:r w:rsidRPr="00CC10E2">
        <w:t>.</w:t>
      </w:r>
    </w:p>
    <w:p w:rsidR="00191DF8" w:rsidRPr="00CC10E2" w:rsidP="00E47C04" w14:paraId="007F6C96" w14:textId="042130DE">
      <w:pPr>
        <w:pStyle w:val="GuidanceParagraph"/>
      </w:pPr>
      <w:bookmarkStart w:id="130" w:name="_Hlk43071102"/>
      <w:r w:rsidRPr="00CC10E2">
        <w:t>Prior to and during delivery or shipment</w:t>
      </w:r>
      <w:r w:rsidRPr="00CC10E2">
        <w:t xml:space="preserve"> </w:t>
      </w:r>
      <w:r w:rsidRPr="00CC10E2">
        <w:t xml:space="preserve">to a laboratory, samples should be kept refrigerated. Sealed coolant packs should be used in lieu of ice, as needed during delivery or shipment, to avoid the possibility of melting ice contaminating the sample. Samples should not be frozen. Samples should be shipped </w:t>
      </w:r>
      <w:r w:rsidRPr="00CC10E2">
        <w:t>so that they are received by</w:t>
      </w:r>
      <w:r w:rsidRPr="00CC10E2">
        <w:t xml:space="preserve"> the laboratory within 24 hours after sample collection. We recommend that the maximum timeframe between environmental sampling and analysis be 48 hours (</w:t>
      </w:r>
      <w:r w:rsidR="00026080">
        <w:fldChar w:fldCharType="begin"/>
      </w:r>
      <w:r w:rsidR="00026080">
        <w:instrText xml:space="preserve"> REF _Ref51148688 \h </w:instrText>
      </w:r>
      <w:r w:rsidR="004B2A15">
        <w:instrText xml:space="preserve"> \* MERGEFORMAT </w:instrText>
      </w:r>
      <w:r w:rsidR="00026080">
        <w:fldChar w:fldCharType="separate"/>
      </w:r>
      <w:r w:rsidRPr="006E43DC" w:rsidR="00FB6D94">
        <w:t xml:space="preserve">Ref. </w:t>
      </w:r>
      <w:r w:rsidR="00FB6D94">
        <w:rPr>
          <w:noProof/>
        </w:rPr>
        <w:t>95</w:t>
      </w:r>
      <w:r w:rsidR="00026080">
        <w:fldChar w:fldCharType="end"/>
      </w:r>
      <w:r w:rsidRPr="00CC10E2">
        <w:t xml:space="preserve">). </w:t>
      </w:r>
    </w:p>
    <w:bookmarkEnd w:id="130"/>
    <w:p w:rsidR="00191DF8" w:rsidRPr="00CC10E2" w:rsidP="00E47C04" w14:paraId="39A02A14" w14:textId="77777777">
      <w:pPr>
        <w:pStyle w:val="GuidanceParagraph"/>
      </w:pPr>
      <w:r w:rsidRPr="00CC10E2">
        <w:t>Prior to sending the samples to a laboratory for testing, you should verify that your samples are clearly identified with the date and location of collection of the samples and the name of your sprouting operation. You should also specify the microorganism for testing.</w:t>
      </w:r>
    </w:p>
    <w:p w:rsidR="007110F3" w:rsidRPr="00761610" w:rsidP="00F756C4" w14:paraId="689D1DB9" w14:textId="77777777">
      <w:pPr>
        <w:pStyle w:val="HHS508GuidanceOutline2"/>
      </w:pPr>
      <w:bookmarkStart w:id="131" w:name="_bookmark85"/>
      <w:bookmarkStart w:id="132" w:name="_Toc106094961"/>
      <w:bookmarkStart w:id="133" w:name="_Toc44439364"/>
      <w:bookmarkEnd w:id="131"/>
      <w:r>
        <w:t xml:space="preserve">Choosing a </w:t>
      </w:r>
      <w:r w:rsidRPr="00761610">
        <w:t>Laboratory</w:t>
      </w:r>
      <w:bookmarkEnd w:id="132"/>
      <w:r w:rsidRPr="00761610">
        <w:t xml:space="preserve"> </w:t>
      </w:r>
    </w:p>
    <w:p w:rsidR="007110F3" w:rsidRPr="00EC0CC3" w:rsidP="00E47C04" w14:paraId="6E8A1E84" w14:textId="4FAE7D3F">
      <w:pPr>
        <w:pStyle w:val="GuidanceParagraph"/>
      </w:pPr>
      <w:r w:rsidRPr="00EC0CC3">
        <w:t xml:space="preserve">You should choose a laboratory that is qualified to test environmental samples for </w:t>
      </w:r>
      <w:r w:rsidRPr="08A72E21">
        <w:rPr>
          <w:i/>
          <w:iCs/>
        </w:rPr>
        <w:t xml:space="preserve">Listeria </w:t>
      </w:r>
      <w:r w:rsidRPr="00EC0CC3">
        <w:t xml:space="preserve">spp. or </w:t>
      </w:r>
      <w:r w:rsidRPr="08A72E21">
        <w:rPr>
          <w:i/>
          <w:iCs/>
        </w:rPr>
        <w:t xml:space="preserve">L. monocytogenes </w:t>
      </w:r>
      <w:r w:rsidRPr="00EC0CC3">
        <w:t>(whichever is your test microorganism). Testing is typically contracted to a third</w:t>
      </w:r>
      <w:r w:rsidR="000B7C27">
        <w:t>-</w:t>
      </w:r>
      <w:r w:rsidRPr="00EC0CC3">
        <w:t>party testing laboratory</w:t>
      </w:r>
      <w:r>
        <w:t>,</w:t>
      </w:r>
      <w:r w:rsidRPr="00EC0CC3">
        <w:t xml:space="preserve"> but may also be performed by your own laboratory (e.g., your own </w:t>
      </w:r>
      <w:r w:rsidRPr="00EC0CC3">
        <w:t>“in-house” laboratory). If you use an “in-house” laboratory, you may be able to complete the screening step of the test method</w:t>
      </w:r>
      <w:r>
        <w:t>,</w:t>
      </w:r>
      <w:r w:rsidRPr="00EC0CC3">
        <w:t xml:space="preserve"> but may need to send the enrichment broth out to a third</w:t>
      </w:r>
      <w:r w:rsidR="000B7C27">
        <w:t>-</w:t>
      </w:r>
      <w:r w:rsidRPr="00EC0CC3">
        <w:t xml:space="preserve">party testing laboratory for any confirmatory testing (if </w:t>
      </w:r>
      <w:r>
        <w:t xml:space="preserve">it </w:t>
      </w:r>
      <w:r w:rsidRPr="00EC0CC3">
        <w:t>cannot be conducted “in-house”). If using a third</w:t>
      </w:r>
      <w:r w:rsidR="001E6904">
        <w:t>-</w:t>
      </w:r>
      <w:r w:rsidRPr="00EC0CC3">
        <w:t>party testing laboratory, you should use a laboratory that employs scientifically valid laboratory methods and procedures that can provide reliable, accurate test results. Using an accredited laboratory (e.g., a laboratory accredited to International Organization for Standardization (ISO)</w:t>
      </w:r>
      <w:r w:rsidRPr="004B55CB" w:rsidR="004B55CB">
        <w:t xml:space="preserve">/IEC 17025:2017, General requirements for the competence of testing and calibration laboratories, </w:t>
      </w:r>
      <w:r w:rsidRPr="004B55CB" w:rsidR="004B55CB">
        <w:t>Third</w:t>
      </w:r>
      <w:r w:rsidRPr="004B55CB" w:rsidR="004B55CB">
        <w:t xml:space="preserve"> edition, November 2017</w:t>
      </w:r>
      <w:r w:rsidRPr="00EC0CC3">
        <w:t xml:space="preserve">) is one way to have confidence that the laboratory will provide reliable, accurate test results. Regardless of which laboratory you use, testing must be done using a method as set forth in § 112.152. </w:t>
      </w:r>
      <w:r w:rsidRPr="00EC0CC3">
        <w:rPr>
          <w:spacing w:val="-1"/>
        </w:rPr>
        <w:t xml:space="preserve">You should ask the laboratory which test methods will be used when analyzing environmental samples for </w:t>
      </w:r>
      <w:r w:rsidRPr="08A72E21">
        <w:rPr>
          <w:i/>
          <w:iCs/>
          <w:spacing w:val="-1"/>
        </w:rPr>
        <w:t>Listeria</w:t>
      </w:r>
      <w:r w:rsidRPr="00EC0CC3">
        <w:rPr>
          <w:spacing w:val="-1"/>
        </w:rPr>
        <w:t xml:space="preserve"> spp.</w:t>
      </w:r>
      <w:r>
        <w:t xml:space="preserve"> or </w:t>
      </w:r>
      <w:r w:rsidRPr="08A72E21">
        <w:rPr>
          <w:i/>
          <w:iCs/>
        </w:rPr>
        <w:t>L. monocytogenes</w:t>
      </w:r>
      <w:r>
        <w:t>.</w:t>
      </w:r>
      <w:r w:rsidRPr="00EC0CC3">
        <w:rPr>
          <w:spacing w:val="-1"/>
        </w:rPr>
        <w:t xml:space="preserve"> We recommend you use a laboratory that either utilizes the method listed in </w:t>
      </w:r>
      <w:r w:rsidRPr="00EC0CC3">
        <w:t>§ 112.152(a) or an alternate method reviewed by FDA and found to be equivalent that has been made available on our website</w:t>
      </w:r>
      <w:r>
        <w:t xml:space="preserve"> (available at </w:t>
      </w:r>
      <w:hyperlink r:id="rId16" w:history="1">
        <w:r w:rsidRPr="009B08AE" w:rsidR="00A60488">
          <w:rPr>
            <w:rStyle w:val="Hyperlink"/>
          </w:rPr>
          <w:t>https://www.fda.gov/food/laboratory-methods-food/equivalent-testing-methodologies-listeria-species-and-listeria-monocytogenes-environmental-samples</w:t>
        </w:r>
      </w:hyperlink>
      <w:r>
        <w:t>)</w:t>
      </w:r>
      <w:r w:rsidRPr="00EC0CC3">
        <w:t>.</w:t>
      </w:r>
      <w:r>
        <w:rPr>
          <w:spacing w:val="-1"/>
        </w:rPr>
        <w:t xml:space="preserve">  </w:t>
      </w:r>
      <w:r w:rsidRPr="00EC0CC3">
        <w:rPr>
          <w:spacing w:val="-1"/>
        </w:rPr>
        <w:t xml:space="preserve">If the laboratory test methods do not meet the requirements of </w:t>
      </w:r>
      <w:r w:rsidRPr="00EC0CC3">
        <w:t xml:space="preserve">§ </w:t>
      </w:r>
      <w:r w:rsidRPr="00EC0CC3">
        <w:rPr>
          <w:spacing w:val="-1"/>
        </w:rPr>
        <w:t xml:space="preserve">112.152, you may consider selecting another laboratory to analyze your samples or request that the laboratory utilize a different method. </w:t>
      </w:r>
    </w:p>
    <w:p w:rsidR="007110F3" w:rsidRPr="00702E5D" w:rsidP="00E47C04" w14:paraId="43C1A5C3" w14:textId="3B7B7D56">
      <w:pPr>
        <w:pStyle w:val="GuidanceParagraph"/>
        <w:rPr>
          <w:sz w:val="23"/>
          <w:szCs w:val="23"/>
        </w:rPr>
      </w:pPr>
      <w:r>
        <w:t xml:space="preserve">In addition, FDA published </w:t>
      </w:r>
      <w:hyperlink r:id="rId17">
        <w:r w:rsidRPr="584307D7">
          <w:rPr>
            <w:rStyle w:val="Hyperlink"/>
          </w:rPr>
          <w:t>a final rule</w:t>
        </w:r>
      </w:hyperlink>
      <w:r w:rsidRPr="008C7DDC">
        <w:t xml:space="preserve"> to establish </w:t>
      </w:r>
      <w:r w:rsidR="00CB5BFC">
        <w:t>the</w:t>
      </w:r>
      <w:r w:rsidRPr="008C7DDC" w:rsidR="00CB5BFC">
        <w:t xml:space="preserve"> </w:t>
      </w:r>
      <w:r w:rsidRPr="008C7DDC">
        <w:t xml:space="preserve">laboratory accreditation </w:t>
      </w:r>
      <w:r w:rsidR="00CB5BFC">
        <w:t xml:space="preserve">for analyses of foods (LAAF) </w:t>
      </w:r>
      <w:r w:rsidRPr="008C7DDC">
        <w:t>program as required by FSMA</w:t>
      </w:r>
      <w:r>
        <w:t xml:space="preserve">. This final rule outlines the procedures and standards that accreditation bodies and laboratories will need to follow to participate in the </w:t>
      </w:r>
      <w:r w:rsidR="00DE290B">
        <w:t xml:space="preserve">LAAF </w:t>
      </w:r>
      <w:r>
        <w:t xml:space="preserve">program, as well as procedures for how FDA will manage and oversee the </w:t>
      </w:r>
      <w:r w:rsidR="00DE290B">
        <w:t xml:space="preserve">LAAF </w:t>
      </w:r>
      <w:r>
        <w:t xml:space="preserve">program. </w:t>
      </w:r>
      <w:r w:rsidR="00191B13">
        <w:t>Once fully implemented, t</w:t>
      </w:r>
      <w:r>
        <w:t xml:space="preserve">he final rule </w:t>
      </w:r>
      <w:r w:rsidR="00191B13">
        <w:t xml:space="preserve">will </w:t>
      </w:r>
      <w:r>
        <w:t xml:space="preserve">require sprout operations subject to Subpart M to use a </w:t>
      </w:r>
      <w:r w:rsidR="00802587">
        <w:t xml:space="preserve">LAAF-accredited </w:t>
      </w:r>
      <w:r>
        <w:t xml:space="preserve">laboratory for corrective action testing of environmental samples (§ 112.146(a) and (c)) and finished product (§ 112.146(d)). </w:t>
      </w:r>
      <w:r w:rsidR="00E50484">
        <w:t>See 21 CFR 1.1107(a)(1)(</w:t>
      </w:r>
      <w:r w:rsidR="009A2B98">
        <w:t>i).</w:t>
      </w:r>
    </w:p>
    <w:p w:rsidR="00191DF8" w:rsidRPr="00F0754F" w:rsidP="00F756C4" w14:paraId="1DECBB08" w14:textId="31427DFF">
      <w:pPr>
        <w:pStyle w:val="HHS508GuidanceOutline2"/>
      </w:pPr>
      <w:bookmarkStart w:id="134" w:name="_Toc106094962"/>
      <w:r>
        <w:t>Choosing a Test</w:t>
      </w:r>
      <w:bookmarkEnd w:id="133"/>
      <w:r>
        <w:t xml:space="preserve"> Method for </w:t>
      </w:r>
      <w:r w:rsidRPr="4EDF2B11">
        <w:rPr>
          <w:i/>
          <w:iCs/>
        </w:rPr>
        <w:t>Listeria</w:t>
      </w:r>
      <w:r>
        <w:t xml:space="preserve"> spp. or </w:t>
      </w:r>
      <w:r w:rsidRPr="4EDF2B11">
        <w:rPr>
          <w:i/>
          <w:iCs/>
        </w:rPr>
        <w:t>L. monocytogenes</w:t>
      </w:r>
      <w:bookmarkEnd w:id="134"/>
    </w:p>
    <w:p w:rsidR="00191DF8" w:rsidRPr="00CC10E2" w:rsidP="00E47C04" w14:paraId="4E13AA67" w14:textId="104FA0DD">
      <w:pPr>
        <w:pStyle w:val="GuidanceParagraph"/>
      </w:pPr>
      <w:bookmarkStart w:id="135" w:name="_bookmark86"/>
      <w:bookmarkEnd w:id="135"/>
      <w:r w:rsidRPr="00CC10E2">
        <w:t xml:space="preserve">In accordance with § 112.152, the growing, harvesting, packing, and holding environment must be tested for </w:t>
      </w:r>
      <w:r w:rsidRPr="00CC10E2">
        <w:rPr>
          <w:i/>
        </w:rPr>
        <w:t xml:space="preserve">Listeria </w:t>
      </w:r>
      <w:r w:rsidRPr="00CC10E2">
        <w:t xml:space="preserve">spp. or </w:t>
      </w:r>
      <w:r w:rsidRPr="00CC10E2">
        <w:rPr>
          <w:i/>
        </w:rPr>
        <w:t xml:space="preserve">L. monocytogenes </w:t>
      </w:r>
      <w:r w:rsidRPr="00CC10E2">
        <w:t xml:space="preserve">using “Testing Methodology for </w:t>
      </w:r>
      <w:r w:rsidRPr="00CC10E2">
        <w:rPr>
          <w:i/>
        </w:rPr>
        <w:t xml:space="preserve">Listeria </w:t>
      </w:r>
      <w:r w:rsidRPr="00CC10E2">
        <w:t xml:space="preserve">species or </w:t>
      </w:r>
      <w:r w:rsidRPr="00CC10E2">
        <w:rPr>
          <w:i/>
        </w:rPr>
        <w:t xml:space="preserve">L. monocytogenes </w:t>
      </w:r>
      <w:r w:rsidRPr="00CC10E2">
        <w:t xml:space="preserve">in Environmental Samples” (currently available </w:t>
      </w:r>
      <w:r w:rsidRPr="00CC10E2">
        <w:t xml:space="preserve">at </w:t>
      </w:r>
      <w:r w:rsidRPr="00CC10E2">
        <w:rPr>
          <w:color w:val="0000FF"/>
        </w:rPr>
        <w:t xml:space="preserve"> </w:t>
      </w:r>
      <w:r w:rsidRPr="00CC10E2" w:rsidR="00601F89">
        <w:rPr>
          <w:color w:val="0000FF"/>
        </w:rPr>
        <w:t>https://www.fda.gov/media/94358/download</w:t>
      </w:r>
      <w:bookmarkStart w:id="136" w:name="_Ref106028135"/>
      <w:r>
        <w:rPr>
          <w:rStyle w:val="FootnoteReference"/>
        </w:rPr>
        <w:footnoteReference w:id="8"/>
      </w:r>
      <w:bookmarkEnd w:id="136"/>
      <w:r w:rsidRPr="002B1CC6">
        <w:t xml:space="preserve"> </w:t>
      </w:r>
      <w:r w:rsidRPr="00CC10E2">
        <w:t>(</w:t>
      </w:r>
      <w:bookmarkStart w:id="137" w:name="_Ref106028341"/>
      <w:r w:rsidRPr="00CC10E2">
        <w:t>§</w:t>
      </w:r>
      <w:bookmarkEnd w:id="137"/>
      <w:r w:rsidRPr="00CC10E2">
        <w:t xml:space="preserve"> 112.152(a))) or a scientifically valid method that is at least equivalent to FDA’s method in accuracy, precision, and sensitivity (§ 112.152(b)). </w:t>
      </w:r>
      <w:r w:rsidRPr="00EC0CC3" w:rsidR="00724074">
        <w:t>If your laboratory utilizes a different method to test your environmental samples, w</w:t>
      </w:r>
      <w:r w:rsidRPr="00EC0CC3" w:rsidR="00724074">
        <w:rPr>
          <w:spacing w:val="-1"/>
        </w:rPr>
        <w:t xml:space="preserve">e recommend you use the questions included in the decision tree for test methods </w:t>
      </w:r>
      <w:r w:rsidRPr="00852CBD" w:rsidR="00724074">
        <w:rPr>
          <w:spacing w:val="-1"/>
        </w:rPr>
        <w:t xml:space="preserve">requirements for </w:t>
      </w:r>
      <w:r w:rsidRPr="08A72E21" w:rsidR="00724074">
        <w:rPr>
          <w:i/>
          <w:iCs/>
          <w:spacing w:val="-1"/>
        </w:rPr>
        <w:t>Salmonella</w:t>
      </w:r>
      <w:r w:rsidRPr="00852CBD" w:rsidR="00724074">
        <w:rPr>
          <w:spacing w:val="-1"/>
        </w:rPr>
        <w:t xml:space="preserve"> and </w:t>
      </w:r>
      <w:r w:rsidRPr="08A72E21" w:rsidR="00724074">
        <w:rPr>
          <w:i/>
          <w:iCs/>
          <w:spacing w:val="-1"/>
        </w:rPr>
        <w:t>E. coli</w:t>
      </w:r>
      <w:r w:rsidRPr="00852CBD" w:rsidR="00724074">
        <w:rPr>
          <w:spacing w:val="-1"/>
        </w:rPr>
        <w:t xml:space="preserve"> O157:H7 in spent sprout irrigation water (or sprouts) (available at </w:t>
      </w:r>
      <w:hyperlink r:id="rId18" w:history="1">
        <w:r w:rsidRPr="00852CBD" w:rsidR="00724074">
          <w:rPr>
            <w:rStyle w:val="Hyperlink"/>
            <w:spacing w:val="-1"/>
          </w:rPr>
          <w:t>https://www.fda.gov/media/132369/download</w:t>
        </w:r>
      </w:hyperlink>
      <w:r w:rsidRPr="00852CBD" w:rsidR="00724074">
        <w:rPr>
          <w:spacing w:val="-1"/>
        </w:rPr>
        <w:t>) when you are determining whether the method</w:t>
      </w:r>
      <w:r w:rsidRPr="00EC0CC3" w:rsidR="00724074">
        <w:rPr>
          <w:spacing w:val="-1"/>
        </w:rPr>
        <w:t xml:space="preserve"> may be equivalent to the method listed in </w:t>
      </w:r>
      <w:r w:rsidRPr="00EC0CC3" w:rsidR="00724074">
        <w:t xml:space="preserve">§ </w:t>
      </w:r>
      <w:r w:rsidRPr="00EC0CC3" w:rsidR="00724074">
        <w:rPr>
          <w:spacing w:val="-1"/>
        </w:rPr>
        <w:t xml:space="preserve">112.152(a). </w:t>
      </w:r>
    </w:p>
    <w:p w:rsidR="00191DF8" w:rsidRPr="00CC10E2" w:rsidP="00E47C04" w14:paraId="2EA56051" w14:textId="2C1C48EE">
      <w:pPr>
        <w:pStyle w:val="GuidanceParagraph"/>
      </w:pPr>
      <w:r w:rsidRPr="00CC10E2">
        <w:t xml:space="preserve">If you test sprouts for </w:t>
      </w:r>
      <w:r w:rsidRPr="00CC10E2">
        <w:rPr>
          <w:i/>
        </w:rPr>
        <w:t xml:space="preserve">Listeria monocytogenes </w:t>
      </w:r>
      <w:r w:rsidRPr="00CC10E2">
        <w:t>as part of a corrective action, we recommend that you use the procedures described in FDA’s Bacteriological Analytical Manual Online (BAM), Chapter 10 – “</w:t>
      </w:r>
      <w:r w:rsidRPr="00CC10E2">
        <w:rPr>
          <w:i/>
        </w:rPr>
        <w:t>Listeria monocytogenes</w:t>
      </w:r>
      <w:r w:rsidRPr="00CC10E2">
        <w:t xml:space="preserve">,” “Detection and Enumeration of </w:t>
      </w:r>
      <w:r w:rsidRPr="00CC10E2">
        <w:rPr>
          <w:i/>
        </w:rPr>
        <w:t xml:space="preserve">Listeria monocytogenes </w:t>
      </w:r>
      <w:r w:rsidRPr="00CC10E2">
        <w:t xml:space="preserve">in Foods” </w:t>
      </w:r>
      <w:r w:rsidRPr="00771810">
        <w:t>(currently available at:</w:t>
      </w:r>
      <w:r w:rsidRPr="00771810" w:rsidR="00F466EE">
        <w:t xml:space="preserve"> </w:t>
      </w:r>
      <w:hyperlink r:id="rId19" w:history="1">
        <w:r w:rsidRPr="00771810" w:rsidR="005D672A">
          <w:rPr>
            <w:rStyle w:val="Hyperlink"/>
          </w:rPr>
          <w:t>https://www.fda.gov/food/laboratory-methods-food/bam-chapter-10-detection-listeria-monocytogenes-foods-and-environmental-samples-and-enumeration</w:t>
        </w:r>
      </w:hyperlink>
      <w:r w:rsidRPr="00CC10E2">
        <w:t>).</w:t>
      </w:r>
      <w:r w:rsidR="00784E9B">
        <w:fldChar w:fldCharType="begin"/>
      </w:r>
      <w:r w:rsidR="00784E9B">
        <w:instrText xml:space="preserve"> NOTEREF _Ref106028135 \f \h </w:instrText>
      </w:r>
      <w:r w:rsidR="004B2A15">
        <w:instrText xml:space="preserve"> \* MERGEFORMAT </w:instrText>
      </w:r>
      <w:r w:rsidR="00784E9B">
        <w:fldChar w:fldCharType="separate"/>
      </w:r>
      <w:r w:rsidRPr="00574301" w:rsidR="00574301">
        <w:rPr>
          <w:rStyle w:val="FootnoteReference"/>
        </w:rPr>
        <w:t>6</w:t>
      </w:r>
      <w:r w:rsidR="00784E9B">
        <w:fldChar w:fldCharType="end"/>
      </w:r>
      <w:r w:rsidRPr="00CC10E2" w:rsidR="00784E9B">
        <w:t xml:space="preserve"> </w:t>
      </w:r>
    </w:p>
    <w:p w:rsidR="00191DF8" w:rsidRPr="00EC0CC3" w:rsidP="00E47C04" w14:paraId="7C49BB39" w14:textId="090E2B82">
      <w:pPr>
        <w:pStyle w:val="GuidanceParagraph"/>
      </w:pPr>
      <w:bookmarkStart w:id="138" w:name="_bookmark89"/>
      <w:bookmarkEnd w:id="138"/>
      <w:r w:rsidRPr="00CC10E2">
        <w:t xml:space="preserve">If you plan to use a test method other than the one listed in § 112.152(a) to test the growing, harvesting, packing, and holding environment for </w:t>
      </w:r>
      <w:r w:rsidRPr="00CC10E2">
        <w:rPr>
          <w:i/>
        </w:rPr>
        <w:t xml:space="preserve">Listeria </w:t>
      </w:r>
      <w:r w:rsidRPr="00CC10E2">
        <w:t xml:space="preserve">spp. or </w:t>
      </w:r>
      <w:r w:rsidRPr="00CC10E2">
        <w:rPr>
          <w:i/>
        </w:rPr>
        <w:t>L. monocytogenes</w:t>
      </w:r>
      <w:r w:rsidRPr="00CC10E2">
        <w:t xml:space="preserve">, it must be a scientifically valid method that is at least equivalent to the method in § 112.152(a) in accuracy, precision, and sensitivity (§ 112.152(b)). We use the term “scientifically valid” to mean an approach that is based on scientific information, data, or results published in, for example, scientific journals, references, </w:t>
      </w:r>
      <w:r w:rsidRPr="00CC10E2" w:rsidR="005C4459">
        <w:t>textbooks</w:t>
      </w:r>
      <w:r w:rsidRPr="00CC10E2">
        <w:t xml:space="preserve">, or proprietary research. Although you are not required to notify or submit information to FDA prior to using such an alternate method, you must establish and keep records of any such alternate methods that you use (§ 112.150(b)(5)). For example, your records could specify that you are using one of the methods that FDA listed in “Equivalent Testing Methodologies for </w:t>
      </w:r>
      <w:r w:rsidRPr="00CC10E2">
        <w:rPr>
          <w:i/>
        </w:rPr>
        <w:t>Listeria</w:t>
      </w:r>
      <w:r w:rsidRPr="00CC10E2">
        <w:t xml:space="preserve"> species and </w:t>
      </w:r>
      <w:r w:rsidRPr="00CC10E2">
        <w:rPr>
          <w:i/>
        </w:rPr>
        <w:t>Listeria monocytogenes</w:t>
      </w:r>
      <w:r w:rsidRPr="00CC10E2">
        <w:t xml:space="preserve"> in Environmental Samples” on our website (available at </w:t>
      </w:r>
      <w:hyperlink r:id="rId16" w:history="1">
        <w:r w:rsidRPr="00CC10E2">
          <w:rPr>
            <w:rStyle w:val="Hyperlink"/>
          </w:rPr>
          <w:t>https://www.fda.gov/food/laboratory-methods-food/equivalent-testing-methodologies-listeria-species-and-listeria-monocytogenes-environmental-samples</w:t>
        </w:r>
      </w:hyperlink>
      <w:r w:rsidRPr="00CC10E2">
        <w:t>)</w:t>
      </w:r>
      <w:r w:rsidR="006177AE">
        <w:t>.</w:t>
      </w:r>
      <w:r w:rsidRPr="00CC10E2">
        <w:t xml:space="preserve"> If the alternate method that you use is not listed by FDA, your records regarding alternate methods should include </w:t>
      </w:r>
      <w:r w:rsidRPr="00CC10E2">
        <w:rPr>
          <w:spacing w:val="1"/>
        </w:rPr>
        <w:t xml:space="preserve">the </w:t>
      </w:r>
      <w:r w:rsidRPr="00CC10E2">
        <w:t xml:space="preserve">1) </w:t>
      </w:r>
      <w:r w:rsidRPr="00CC10E2">
        <w:rPr>
          <w:spacing w:val="-1"/>
        </w:rPr>
        <w:t xml:space="preserve">name </w:t>
      </w:r>
      <w:r w:rsidRPr="00EC0CC3">
        <w:rPr>
          <w:spacing w:val="-1"/>
        </w:rPr>
        <w:t>and identification number of the method validated</w:t>
      </w:r>
      <w:r w:rsidRPr="00EC0CC3">
        <w:rPr>
          <w:spacing w:val="-3"/>
        </w:rPr>
        <w:t xml:space="preserve"> </w:t>
      </w:r>
      <w:r w:rsidRPr="00EC0CC3">
        <w:t>by</w:t>
      </w:r>
      <w:r w:rsidRPr="00EC0CC3">
        <w:rPr>
          <w:spacing w:val="-5"/>
        </w:rPr>
        <w:t xml:space="preserve"> a </w:t>
      </w:r>
      <w:r w:rsidRPr="00EC0CC3">
        <w:t>third</w:t>
      </w:r>
      <w:r w:rsidR="00AA5DC2">
        <w:t>-</w:t>
      </w:r>
      <w:r w:rsidRPr="00EC0CC3">
        <w:t>party</w:t>
      </w:r>
      <w:r w:rsidRPr="00EC0CC3">
        <w:rPr>
          <w:spacing w:val="-5"/>
        </w:rPr>
        <w:t xml:space="preserve"> </w:t>
      </w:r>
      <w:r w:rsidRPr="00EC0CC3">
        <w:t>methods</w:t>
      </w:r>
      <w:r w:rsidRPr="00EC0CC3">
        <w:rPr>
          <w:spacing w:val="-1"/>
        </w:rPr>
        <w:t xml:space="preserve"> validation</w:t>
      </w:r>
      <w:r w:rsidRPr="00EC0CC3">
        <w:t xml:space="preserve"> </w:t>
      </w:r>
      <w:r w:rsidRPr="00EC0CC3">
        <w:rPr>
          <w:spacing w:val="-1"/>
        </w:rPr>
        <w:t>organization</w:t>
      </w:r>
      <w:r w:rsidRPr="00EC0CC3">
        <w:t>, or 2) detailed analytical procedures, an explanation of why the alternate method is at least equivalent</w:t>
      </w:r>
      <w:r w:rsidRPr="00EC0CC3">
        <w:t xml:space="preserve"> </w:t>
      </w:r>
      <w:r w:rsidRPr="00EC0CC3">
        <w:t xml:space="preserve">to the reference method (such as a scientific study, or data or information regarding the sensitivity, specificity, and precision of the alternate method compared to the reference method), and any other relevant information supporting the use of the alternate method.  </w:t>
      </w:r>
    </w:p>
    <w:p w:rsidR="00191DF8" w:rsidRPr="00EC0CC3" w:rsidP="00E47C04" w14:paraId="2CEAC2FB" w14:textId="5F68633E">
      <w:pPr>
        <w:pStyle w:val="GuidanceParagraph"/>
      </w:pPr>
      <w:r>
        <w:t>As noted</w:t>
      </w:r>
      <w:r>
        <w:t xml:space="preserve"> in the </w:t>
      </w:r>
      <w:r w:rsidR="00024AB5">
        <w:t xml:space="preserve">list of </w:t>
      </w:r>
      <w:r>
        <w:t>“Equivalent Testing Methodologies</w:t>
      </w:r>
      <w:r>
        <w:t xml:space="preserve"> for </w:t>
      </w:r>
      <w:r w:rsidRPr="08A72E21">
        <w:rPr>
          <w:i/>
          <w:iCs/>
        </w:rPr>
        <w:t>Listeria</w:t>
      </w:r>
      <w:r>
        <w:t xml:space="preserve"> </w:t>
      </w:r>
      <w:r>
        <w:t xml:space="preserve">species and </w:t>
      </w:r>
      <w:r w:rsidRPr="08A72E21">
        <w:rPr>
          <w:i/>
          <w:iCs/>
        </w:rPr>
        <w:t>Listeria monocytogenes</w:t>
      </w:r>
      <w:r>
        <w:t xml:space="preserve"> in Environmental Samples</w:t>
      </w:r>
      <w:r w:rsidR="00024AB5">
        <w:t>,</w:t>
      </w:r>
      <w:r>
        <w:t>”</w:t>
      </w:r>
      <w:r w:rsidR="00024AB5">
        <w:t xml:space="preserve"> </w:t>
      </w:r>
      <w:r>
        <w:t xml:space="preserve">FDA’s method in the BAM for testing </w:t>
      </w:r>
      <w:r w:rsidRPr="08A72E21">
        <w:rPr>
          <w:i/>
          <w:iCs/>
        </w:rPr>
        <w:t>Listeria</w:t>
      </w:r>
      <w:r>
        <w:t xml:space="preserve"> spp. and </w:t>
      </w:r>
      <w:r w:rsidRPr="08A72E21">
        <w:rPr>
          <w:i/>
          <w:iCs/>
        </w:rPr>
        <w:t>L. monocytogenes</w:t>
      </w:r>
      <w:r>
        <w:t xml:space="preserve"> in environmental samples (available at </w:t>
      </w:r>
      <w:hyperlink r:id="rId19">
        <w:r w:rsidRPr="08A72E21">
          <w:rPr>
            <w:rStyle w:val="Hyperlink"/>
          </w:rPr>
          <w:t>https://www.fda.gov/food/laboratory-methods-food/bam-chapter-10-detection-listeria-monocytogenes-foods-and-environmental-samples-and-enumeration</w:t>
        </w:r>
      </w:hyperlink>
      <w:r>
        <w:t xml:space="preserve">) is another method that is considered to be at least equivalent to the method in § 112.152(a) in accuracy, precision, and sensitivity and can be used as an alternate test method (as permitted in § 112.152(b)). </w:t>
      </w:r>
    </w:p>
    <w:p w:rsidR="00170E11" w:rsidP="00E47C04" w14:paraId="1C780BE9" w14:textId="65E6E8E7">
      <w:pPr>
        <w:pStyle w:val="GuidanceParagraph"/>
        <w:rPr>
          <w:rStyle w:val="Hyperlink"/>
          <w:color w:val="000000"/>
          <w:u w:val="none"/>
        </w:rPr>
      </w:pPr>
      <w:r w:rsidRPr="00EC0CC3">
        <w:rPr>
          <w:noProof/>
        </w:rPr>
        <mc:AlternateContent>
          <mc:Choice Requires="wpg">
            <w:drawing>
              <wp:anchor distT="0" distB="0" distL="114300" distR="114300" simplePos="0" relativeHeight="251662336" behindDoc="1" locked="0" layoutInCell="1" allowOverlap="1">
                <wp:simplePos x="0" y="0"/>
                <wp:positionH relativeFrom="page">
                  <wp:posOffset>5655310</wp:posOffset>
                </wp:positionH>
                <wp:positionV relativeFrom="paragraph">
                  <wp:posOffset>251460</wp:posOffset>
                </wp:positionV>
                <wp:extent cx="48895" cy="5080"/>
                <wp:effectExtent l="6985" t="5080" r="10795" b="8890"/>
                <wp:wrapNone/>
                <wp:docPr id="10" name="Group 10"/>
                <wp:cNvGraphicFramePr/>
                <a:graphic xmlns:a="http://schemas.openxmlformats.org/drawingml/2006/main">
                  <a:graphicData uri="http://schemas.microsoft.com/office/word/2010/wordprocessingGroup">
                    <wpg:wgp xmlns:wpg="http://schemas.microsoft.com/office/word/2010/wordprocessingGroup">
                      <wpg:cNvGrpSpPr/>
                      <wpg:grpSpPr>
                        <a:xfrm>
                          <a:off x="0" y="0"/>
                          <a:ext cx="48895" cy="5080"/>
                          <a:chOff x="8906" y="396"/>
                          <a:chExt cx="77" cy="8"/>
                        </a:xfrm>
                      </wpg:grpSpPr>
                      <wps:wsp xmlns:wps="http://schemas.microsoft.com/office/word/2010/wordprocessingShape">
                        <wps:cNvPr id="11" name="Freeform 16"/>
                        <wps:cNvSpPr/>
                        <wps:spPr bwMode="auto">
                          <a:xfrm>
                            <a:off x="8906" y="396"/>
                            <a:ext cx="77" cy="8"/>
                          </a:xfrm>
                          <a:custGeom>
                            <a:avLst/>
                            <a:gdLst>
                              <a:gd name="T0" fmla="+- 0 8906 8906"/>
                              <a:gd name="T1" fmla="*/ T0 w 77"/>
                              <a:gd name="T2" fmla="+- 0 399 396"/>
                              <a:gd name="T3" fmla="*/ 399 h 8"/>
                              <a:gd name="T4" fmla="+- 0 8983 8906"/>
                              <a:gd name="T5" fmla="*/ T4 w 77"/>
                              <a:gd name="T6" fmla="+- 0 399 396"/>
                              <a:gd name="T7" fmla="*/ 399 h 8"/>
                            </a:gdLst>
                            <a:cxnLst>
                              <a:cxn ang="0">
                                <a:pos x="T1" y="T3"/>
                              </a:cxn>
                              <a:cxn ang="0">
                                <a:pos x="T5" y="T7"/>
                              </a:cxn>
                            </a:cxnLst>
                            <a:rect l="0" t="0" r="r" b="b"/>
                            <a:pathLst>
                              <a:path fill="norm" h="8" w="77" stroke="1">
                                <a:moveTo>
                                  <a:pt x="0" y="3"/>
                                </a:moveTo>
                                <a:lnTo>
                                  <a:pt x="77" y="3"/>
                                </a:lnTo>
                              </a:path>
                            </a:pathLst>
                          </a:custGeom>
                          <a:noFill/>
                          <a:ln w="5842">
                            <a:solidFill>
                              <a:srgbClr val="0000F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0" o:spid="_x0000_s1029" style="width:3.85pt;height:0.4pt;margin-top:19.8pt;margin-left:445.3pt;mso-position-horizontal-relative:page;position:absolute;z-index:-251653120" coordorigin="8906,396" coordsize="77,8">
                <v:shape id="Freeform 16" o:spid="_x0000_s1030" style="width:77;height:8;left:8906;mso-wrap-style:square;position:absolute;top:396;visibility:visible;v-text-anchor:top" coordsize="77,8" path="m,3l77,3e" filled="f" strokecolor="blue" strokeweight="0.46pt">
                  <v:path arrowok="t" o:connecttype="custom" o:connectlocs="0,399;77,399" o:connectangles="0,0"/>
                </v:shape>
              </v:group>
            </w:pict>
          </mc:Fallback>
        </mc:AlternateContent>
      </w:r>
      <w:r w:rsidRPr="00EC0CC3">
        <w:rPr>
          <w:noProof/>
        </w:rPr>
        <mc:AlternateContent>
          <mc:Choice Requires="wpg">
            <w:drawing>
              <wp:anchor distT="0" distB="0" distL="114300" distR="114300" simplePos="0" relativeHeight="251664384" behindDoc="1" locked="0" layoutInCell="1" allowOverlap="1">
                <wp:simplePos x="0" y="0"/>
                <wp:positionH relativeFrom="page">
                  <wp:posOffset>5741035</wp:posOffset>
                </wp:positionH>
                <wp:positionV relativeFrom="paragraph">
                  <wp:posOffset>320040</wp:posOffset>
                </wp:positionV>
                <wp:extent cx="36830" cy="7620"/>
                <wp:effectExtent l="6985" t="6985" r="13335" b="4445"/>
                <wp:wrapNone/>
                <wp:docPr id="12" name="Group 12"/>
                <wp:cNvGraphicFramePr/>
                <a:graphic xmlns:a="http://schemas.openxmlformats.org/drawingml/2006/main">
                  <a:graphicData uri="http://schemas.microsoft.com/office/word/2010/wordprocessingGroup">
                    <wpg:wgp xmlns:wpg="http://schemas.microsoft.com/office/word/2010/wordprocessingGroup">
                      <wpg:cNvGrpSpPr/>
                      <wpg:grpSpPr>
                        <a:xfrm>
                          <a:off x="0" y="0"/>
                          <a:ext cx="36830" cy="7620"/>
                          <a:chOff x="9041" y="504"/>
                          <a:chExt cx="58" cy="12"/>
                        </a:xfrm>
                      </wpg:grpSpPr>
                      <wps:wsp xmlns:wps="http://schemas.microsoft.com/office/word/2010/wordprocessingShape">
                        <wps:cNvPr id="13" name="Freeform 14"/>
                        <wps:cNvSpPr/>
                        <wps:spPr bwMode="auto">
                          <a:xfrm>
                            <a:off x="9041" y="504"/>
                            <a:ext cx="58" cy="12"/>
                          </a:xfrm>
                          <a:custGeom>
                            <a:avLst/>
                            <a:gdLst>
                              <a:gd name="T0" fmla="+- 0 9041 9041"/>
                              <a:gd name="T1" fmla="*/ T0 w 58"/>
                              <a:gd name="T2" fmla="+- 0 510 504"/>
                              <a:gd name="T3" fmla="*/ 510 h 12"/>
                              <a:gd name="T4" fmla="+- 0 9098 9041"/>
                              <a:gd name="T5" fmla="*/ T4 w 58"/>
                              <a:gd name="T6" fmla="+- 0 510 504"/>
                              <a:gd name="T7" fmla="*/ 510 h 12"/>
                            </a:gdLst>
                            <a:cxnLst>
                              <a:cxn ang="0">
                                <a:pos x="T1" y="T3"/>
                              </a:cxn>
                              <a:cxn ang="0">
                                <a:pos x="T5" y="T7"/>
                              </a:cxn>
                            </a:cxnLst>
                            <a:rect l="0" t="0" r="r" b="b"/>
                            <a:pathLst>
                              <a:path fill="norm" h="12" w="58" stroke="1">
                                <a:moveTo>
                                  <a:pt x="0" y="6"/>
                                </a:moveTo>
                                <a:lnTo>
                                  <a:pt x="57" y="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2" o:spid="_x0000_s1031" style="width:2.9pt;height:0.6pt;margin-top:25.2pt;margin-left:452.05pt;mso-position-horizontal-relative:page;position:absolute;z-index:-251651072" coordorigin="9041,504" coordsize="58,12">
                <v:shape id="Freeform 14" o:spid="_x0000_s1032" style="width:58;height:12;left:9041;mso-wrap-style:square;position:absolute;top:504;visibility:visible;v-text-anchor:top" coordsize="58,12" path="m,6l57,6e" filled="f" strokeweight="0.7pt">
                  <v:path arrowok="t" o:connecttype="custom" o:connectlocs="0,510;57,510" o:connectangles="0,0"/>
                </v:shape>
              </v:group>
            </w:pict>
          </mc:Fallback>
        </mc:AlternateContent>
      </w:r>
      <w:r w:rsidRPr="00EC0CC3">
        <w:rPr>
          <w:noProof/>
        </w:rPr>
        <mc:AlternateContent>
          <mc:Choice Requires="wpg">
            <w:drawing>
              <wp:anchor distT="0" distB="0" distL="114300" distR="114300" simplePos="0" relativeHeight="251666432" behindDoc="1" locked="0" layoutInCell="1" allowOverlap="1">
                <wp:simplePos x="0" y="0"/>
                <wp:positionH relativeFrom="page">
                  <wp:posOffset>5655310</wp:posOffset>
                </wp:positionH>
                <wp:positionV relativeFrom="paragraph">
                  <wp:posOffset>251460</wp:posOffset>
                </wp:positionV>
                <wp:extent cx="48895" cy="5080"/>
                <wp:effectExtent l="6985" t="5080" r="10795" b="8890"/>
                <wp:wrapNone/>
                <wp:docPr id="40"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48895" cy="5080"/>
                          <a:chOff x="8906" y="396"/>
                          <a:chExt cx="77" cy="8"/>
                        </a:xfrm>
                      </wpg:grpSpPr>
                      <wps:wsp xmlns:wps="http://schemas.microsoft.com/office/word/2010/wordprocessingShape">
                        <wps:cNvPr id="41" name="Freeform 16"/>
                        <wps:cNvSpPr/>
                        <wps:spPr bwMode="auto">
                          <a:xfrm>
                            <a:off x="8906" y="396"/>
                            <a:ext cx="77" cy="8"/>
                          </a:xfrm>
                          <a:custGeom>
                            <a:avLst/>
                            <a:gdLst>
                              <a:gd name="T0" fmla="+- 0 8906 8906"/>
                              <a:gd name="T1" fmla="*/ T0 w 77"/>
                              <a:gd name="T2" fmla="+- 0 399 396"/>
                              <a:gd name="T3" fmla="*/ 399 h 8"/>
                              <a:gd name="T4" fmla="+- 0 8983 8906"/>
                              <a:gd name="T5" fmla="*/ T4 w 77"/>
                              <a:gd name="T6" fmla="+- 0 399 396"/>
                              <a:gd name="T7" fmla="*/ 399 h 8"/>
                            </a:gdLst>
                            <a:cxnLst>
                              <a:cxn ang="0">
                                <a:pos x="T1" y="T3"/>
                              </a:cxn>
                              <a:cxn ang="0">
                                <a:pos x="T5" y="T7"/>
                              </a:cxn>
                            </a:cxnLst>
                            <a:rect l="0" t="0" r="r" b="b"/>
                            <a:pathLst>
                              <a:path fill="norm" h="8" w="77" stroke="1">
                                <a:moveTo>
                                  <a:pt x="0" y="3"/>
                                </a:moveTo>
                                <a:lnTo>
                                  <a:pt x="77" y="3"/>
                                </a:lnTo>
                              </a:path>
                            </a:pathLst>
                          </a:custGeom>
                          <a:noFill/>
                          <a:ln w="5842">
                            <a:solidFill>
                              <a:srgbClr val="0000F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0" o:spid="_x0000_s1033" style="width:3.85pt;height:0.4pt;margin-top:19.8pt;margin-left:445.3pt;mso-position-horizontal-relative:page;position:absolute;z-index:-251649024" coordorigin="8906,396" coordsize="77,8">
                <v:shape id="Freeform 16" o:spid="_x0000_s1034" style="width:77;height:8;left:8906;mso-wrap-style:square;position:absolute;top:396;visibility:visible;v-text-anchor:top" coordsize="77,8" path="m,3l77,3e" filled="f" strokecolor="blue" strokeweight="0.46pt">
                  <v:path arrowok="t" o:connecttype="custom" o:connectlocs="0,399;77,399" o:connectangles="0,0"/>
                </v:shape>
              </v:group>
            </w:pict>
          </mc:Fallback>
        </mc:AlternateContent>
      </w:r>
      <w:r w:rsidRPr="00EC0CC3">
        <w:rPr>
          <w:noProof/>
        </w:rPr>
        <mc:AlternateContent>
          <mc:Choice Requires="wpg">
            <w:drawing>
              <wp:anchor distT="0" distB="0" distL="114300" distR="114300" simplePos="0" relativeHeight="251668480" behindDoc="1" locked="0" layoutInCell="1" allowOverlap="1">
                <wp:simplePos x="0" y="0"/>
                <wp:positionH relativeFrom="page">
                  <wp:posOffset>5741035</wp:posOffset>
                </wp:positionH>
                <wp:positionV relativeFrom="paragraph">
                  <wp:posOffset>320040</wp:posOffset>
                </wp:positionV>
                <wp:extent cx="36830" cy="7620"/>
                <wp:effectExtent l="6985" t="6985" r="13335" b="4445"/>
                <wp:wrapNone/>
                <wp:docPr id="38" name="Group 38"/>
                <wp:cNvGraphicFramePr/>
                <a:graphic xmlns:a="http://schemas.openxmlformats.org/drawingml/2006/main">
                  <a:graphicData uri="http://schemas.microsoft.com/office/word/2010/wordprocessingGroup">
                    <wpg:wgp xmlns:wpg="http://schemas.microsoft.com/office/word/2010/wordprocessingGroup">
                      <wpg:cNvGrpSpPr/>
                      <wpg:grpSpPr>
                        <a:xfrm>
                          <a:off x="0" y="0"/>
                          <a:ext cx="36830" cy="7620"/>
                          <a:chOff x="9041" y="504"/>
                          <a:chExt cx="58" cy="12"/>
                        </a:xfrm>
                      </wpg:grpSpPr>
                      <wps:wsp xmlns:wps="http://schemas.microsoft.com/office/word/2010/wordprocessingShape">
                        <wps:cNvPr id="39" name="Freeform 14"/>
                        <wps:cNvSpPr/>
                        <wps:spPr bwMode="auto">
                          <a:xfrm>
                            <a:off x="9041" y="504"/>
                            <a:ext cx="58" cy="12"/>
                          </a:xfrm>
                          <a:custGeom>
                            <a:avLst/>
                            <a:gdLst>
                              <a:gd name="T0" fmla="+- 0 9041 9041"/>
                              <a:gd name="T1" fmla="*/ T0 w 58"/>
                              <a:gd name="T2" fmla="+- 0 510 504"/>
                              <a:gd name="T3" fmla="*/ 510 h 12"/>
                              <a:gd name="T4" fmla="+- 0 9098 9041"/>
                              <a:gd name="T5" fmla="*/ T4 w 58"/>
                              <a:gd name="T6" fmla="+- 0 510 504"/>
                              <a:gd name="T7" fmla="*/ 510 h 12"/>
                            </a:gdLst>
                            <a:cxnLst>
                              <a:cxn ang="0">
                                <a:pos x="T1" y="T3"/>
                              </a:cxn>
                              <a:cxn ang="0">
                                <a:pos x="T5" y="T7"/>
                              </a:cxn>
                            </a:cxnLst>
                            <a:rect l="0" t="0" r="r" b="b"/>
                            <a:pathLst>
                              <a:path fill="norm" h="12" w="58" stroke="1">
                                <a:moveTo>
                                  <a:pt x="0" y="6"/>
                                </a:moveTo>
                                <a:lnTo>
                                  <a:pt x="57" y="6"/>
                                </a:lnTo>
                              </a:path>
                            </a:pathLst>
                          </a:custGeom>
                          <a:noFill/>
                          <a:ln w="889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38" o:spid="_x0000_s1035" style="width:2.9pt;height:0.6pt;margin-top:25.2pt;margin-left:452.05pt;mso-position-horizontal-relative:page;position:absolute;z-index:-251646976" coordorigin="9041,504" coordsize="58,12">
                <v:shape id="Freeform 14" o:spid="_x0000_s1036" style="width:58;height:12;left:9041;mso-wrap-style:square;position:absolute;top:504;visibility:visible;v-text-anchor:top" coordsize="58,12" path="m,6l57,6e" filled="f" strokeweight="0.7pt">
                  <v:path arrowok="t" o:connecttype="custom" o:connectlocs="0,510;57,510" o:connectangles="0,0"/>
                </v:shape>
              </v:group>
            </w:pict>
          </mc:Fallback>
        </mc:AlternateContent>
      </w:r>
      <w:r w:rsidRPr="00EC0CC3">
        <w:t xml:space="preserve">We recommend use of methods validated through a collaborative study (such methods are currently available at </w:t>
      </w:r>
      <w:hyperlink r:id="rId20" w:history="1">
        <w:r w:rsidRPr="00EC0CC3" w:rsidR="000563B8">
          <w:rPr>
            <w:rStyle w:val="Hyperlink"/>
          </w:rPr>
          <w:t>https://www.fda.gov/media/83812/download</w:t>
        </w:r>
      </w:hyperlink>
      <w:r w:rsidRPr="00EC0CC3" w:rsidR="000563B8">
        <w:t>)</w:t>
      </w:r>
      <w:bookmarkStart w:id="139" w:name="_Ref106029091"/>
      <w:r>
        <w:rPr>
          <w:rStyle w:val="FootnoteReference"/>
          <w:u w:val="single" w:color="0000FF"/>
        </w:rPr>
        <w:footnoteReference w:id="9"/>
      </w:r>
      <w:bookmarkEnd w:id="139"/>
      <w:r w:rsidRPr="00EC0CC3">
        <w:t>, for example per AOAC Appendix J or ISO 16140:2016. Alternate methods should be compared to</w:t>
      </w:r>
      <w:r w:rsidRPr="00EC0CC3">
        <w:rPr>
          <w:i/>
        </w:rPr>
        <w:t xml:space="preserve"> </w:t>
      </w:r>
      <w:r w:rsidRPr="00EC0CC3">
        <w:t>FDA’s reference method (§ 112.152(a)) in environmental samples and demonstrated to meet the requirements for alternate methods in § 112.152(b) (i.e., demonstrated to be at least equivalent to the reference method in accuracy, precision, and sensitivity). Methods validated by third</w:t>
      </w:r>
      <w:r w:rsidR="00AA5DC2">
        <w:t>-</w:t>
      </w:r>
      <w:r w:rsidRPr="00EC0CC3">
        <w:t xml:space="preserve">party methods validation organizations such as AOAC Official Methods of Analysis (OMA), </w:t>
      </w:r>
      <w:r w:rsidRPr="00EC0CC3">
        <w:t>MicroVal</w:t>
      </w:r>
      <w:r w:rsidRPr="00EC0CC3">
        <w:t xml:space="preserve">, and </w:t>
      </w:r>
      <w:r w:rsidRPr="00EC0CC3">
        <w:t xml:space="preserve">Association Française de </w:t>
      </w:r>
      <w:r w:rsidRPr="00EC0CC3">
        <w:t>Normalisation</w:t>
      </w:r>
      <w:r w:rsidRPr="00EC0CC3">
        <w:t xml:space="preserve"> (AFNOR) may meet the requirements in § 112.152(b); however, FDA does not automatically consider methods validated by third</w:t>
      </w:r>
      <w:r w:rsidR="00AA5DC2">
        <w:t>-</w:t>
      </w:r>
      <w:r w:rsidRPr="00EC0CC3">
        <w:t xml:space="preserve">party organizations such as the listed organizations to be equivalent to the reference method. Information on alternate methods reviewed by FDA and found to be equivalent will be made available on our website, such as </w:t>
      </w:r>
      <w:r w:rsidRPr="00FE2048" w:rsidR="00E31C32">
        <w:t xml:space="preserve">at </w:t>
      </w:r>
      <w:hyperlink r:id="rId21" w:history="1">
        <w:r w:rsidRPr="00D04565" w:rsidR="00057CDF">
          <w:rPr>
            <w:rStyle w:val="Hyperlink"/>
          </w:rPr>
          <w:t>https://www.fda.gov/food/guidance-regulation-food-and-dietary-supplements/food-safety-modernization-act-fsma</w:t>
        </w:r>
      </w:hyperlink>
      <w:r w:rsidR="00057CDF">
        <w:rPr>
          <w:rStyle w:val="Hyperlink"/>
          <w:color w:val="000000"/>
          <w:u w:val="none"/>
        </w:rPr>
        <w:t xml:space="preserve"> </w:t>
      </w:r>
      <w:r w:rsidRPr="00FE2048" w:rsidR="00E31C32">
        <w:t xml:space="preserve">and </w:t>
      </w:r>
      <w:hyperlink r:id="rId22" w:history="1">
        <w:r w:rsidRPr="00D04565" w:rsidR="00E31C32">
          <w:rPr>
            <w:rStyle w:val="Hyperlink"/>
          </w:rPr>
          <w:t>https://www.fda.gov/food/science-research-food/laboratory-methods-food</w:t>
        </w:r>
      </w:hyperlink>
      <w:r w:rsidR="00057CDF">
        <w:rPr>
          <w:rStyle w:val="Hyperlink"/>
          <w:color w:val="000000"/>
          <w:u w:val="none"/>
        </w:rPr>
        <w:t xml:space="preserve">. </w:t>
      </w:r>
    </w:p>
    <w:p w:rsidR="00191DF8" w:rsidRPr="002E3B0A" w:rsidP="00F756C4" w14:paraId="181F39CF" w14:textId="113C85BC">
      <w:pPr>
        <w:pStyle w:val="HHS508GuidanceOutline2"/>
      </w:pPr>
      <w:bookmarkStart w:id="140" w:name="_bookmark90"/>
      <w:bookmarkStart w:id="141" w:name="_Hlk43072000"/>
      <w:bookmarkStart w:id="142" w:name="_Toc44439367"/>
      <w:bookmarkStart w:id="143" w:name="_Toc106094963"/>
      <w:bookmarkEnd w:id="140"/>
      <w:r>
        <w:t>Documenting and Interpreting Test Results</w:t>
      </w:r>
      <w:bookmarkEnd w:id="141"/>
      <w:bookmarkEnd w:id="142"/>
      <w:bookmarkEnd w:id="143"/>
    </w:p>
    <w:p w:rsidR="00191DF8" w:rsidRPr="00EC0CC3" w:rsidP="00E47C04" w14:paraId="7BF9F721" w14:textId="7B39C6FB">
      <w:pPr>
        <w:pStyle w:val="GuidanceParagraph"/>
      </w:pPr>
      <w:r w:rsidRPr="00EC0CC3">
        <w:t xml:space="preserve">Section 112.150(b)(4) requires that you establish and keep records of test results from environmental testing for </w:t>
      </w:r>
      <w:r w:rsidRPr="00EC0CC3">
        <w:rPr>
          <w:i/>
        </w:rPr>
        <w:t>Listeria</w:t>
      </w:r>
      <w:r w:rsidRPr="00EC0CC3">
        <w:t xml:space="preserve"> spp. or </w:t>
      </w:r>
      <w:r w:rsidRPr="00EC0CC3">
        <w:rPr>
          <w:i/>
        </w:rPr>
        <w:t>L. monocytogenes</w:t>
      </w:r>
      <w:r w:rsidRPr="00EC0CC3">
        <w:t xml:space="preserve"> you perform in compliance with §§ 112.144(a) and 112.145 or any additional testing conducted if you detect </w:t>
      </w:r>
      <w:r w:rsidRPr="00EC0CC3">
        <w:rPr>
          <w:i/>
        </w:rPr>
        <w:t>Listeria</w:t>
      </w:r>
      <w:r w:rsidRPr="00EC0CC3">
        <w:t xml:space="preserve"> spp. or </w:t>
      </w:r>
      <w:r w:rsidRPr="00EC0CC3">
        <w:rPr>
          <w:i/>
        </w:rPr>
        <w:t>L. monocytogenes</w:t>
      </w:r>
      <w:r w:rsidRPr="00EC0CC3">
        <w:t xml:space="preserve"> in the environment in compliance with § 112.146 (a), (c), (d), and (e). The results of all analytical tests must be documented, regardless of whether they were conducted by your own (e.g., in-house) laboratories or third</w:t>
      </w:r>
      <w:r w:rsidR="00511AB0">
        <w:t>-</w:t>
      </w:r>
      <w:r w:rsidRPr="00EC0CC3">
        <w:t>party laboratories.</w:t>
      </w:r>
    </w:p>
    <w:p w:rsidR="00191DF8" w:rsidRPr="00EC0CC3" w:rsidP="00E47C04" w14:paraId="44378420" w14:textId="77777777">
      <w:pPr>
        <w:pStyle w:val="GuidanceParagraph"/>
      </w:pPr>
      <w:r w:rsidRPr="00EC0CC3">
        <w:t xml:space="preserve">Testing for </w:t>
      </w:r>
      <w:r w:rsidRPr="00EC0CC3">
        <w:rPr>
          <w:i/>
        </w:rPr>
        <w:t xml:space="preserve">Listeria </w:t>
      </w:r>
      <w:r w:rsidRPr="00EC0CC3">
        <w:t xml:space="preserve">spp. or </w:t>
      </w:r>
      <w:r w:rsidRPr="00EC0CC3">
        <w:rPr>
          <w:i/>
        </w:rPr>
        <w:t xml:space="preserve">L. monocytogenes </w:t>
      </w:r>
      <w:r w:rsidRPr="00EC0CC3">
        <w:t>in environmental samples using the FDA reference method (§ 112.152(a)) can yield one of the following results:</w:t>
      </w:r>
    </w:p>
    <w:p w:rsidR="00121A85" w:rsidRPr="008E55E0" w:rsidP="00690C44" w14:paraId="406D6108" w14:textId="455E86B9">
      <w:pPr>
        <w:pStyle w:val="GuidanceBulletLevel1"/>
      </w:pPr>
      <w:r w:rsidRPr="00EC0CC3">
        <w:t xml:space="preserve">A positive result for </w:t>
      </w:r>
      <w:r w:rsidRPr="00EC0CC3">
        <w:rPr>
          <w:i/>
        </w:rPr>
        <w:t xml:space="preserve">Listeria </w:t>
      </w:r>
      <w:r w:rsidRPr="00EC0CC3">
        <w:t xml:space="preserve">spp., which for purposes of the FDA reference method, means finding the presence of typical colonies on a </w:t>
      </w:r>
      <w:r w:rsidRPr="00EC0CC3">
        <w:rPr>
          <w:i/>
        </w:rPr>
        <w:t>Listeria</w:t>
      </w:r>
      <w:r w:rsidRPr="00EC0CC3">
        <w:t xml:space="preserve"> specific agar (i.e., completing Steps I.A-</w:t>
      </w:r>
      <w:r w:rsidRPr="00EC0CC3">
        <w:t>I.F</w:t>
      </w:r>
      <w:r w:rsidRPr="00EC0CC3">
        <w:t xml:space="preserve"> in the FDA reference method with respect to </w:t>
      </w:r>
      <w:r w:rsidRPr="00257705">
        <w:rPr>
          <w:i/>
        </w:rPr>
        <w:t>Listeria</w:t>
      </w:r>
      <w:r w:rsidRPr="00EC0CC3">
        <w:t>).</w:t>
      </w:r>
      <w:r>
        <w:rPr>
          <w:rStyle w:val="FootnoteReference"/>
        </w:rPr>
        <w:footnoteReference w:id="10"/>
      </w:r>
    </w:p>
    <w:p w:rsidR="00191DF8" w:rsidRPr="008E55E0" w:rsidP="00690C44" w14:paraId="17212175" w14:textId="0732BC45">
      <w:pPr>
        <w:pStyle w:val="GuidanceBulletLevel1"/>
      </w:pPr>
      <w:r w:rsidRPr="00EC0CC3">
        <w:t xml:space="preserve">A positive result for </w:t>
      </w:r>
      <w:r w:rsidRPr="00EC0CC3">
        <w:rPr>
          <w:i/>
        </w:rPr>
        <w:t>L. monocytogenes</w:t>
      </w:r>
      <w:r w:rsidRPr="00EC0CC3">
        <w:t xml:space="preserve">, which can be obtained if a positive result for </w:t>
      </w:r>
      <w:r w:rsidRPr="00EC0CC3">
        <w:rPr>
          <w:i/>
        </w:rPr>
        <w:t xml:space="preserve">Listeria </w:t>
      </w:r>
      <w:r w:rsidRPr="00EC0CC3">
        <w:t xml:space="preserve">spp., or a presumptive positive result for </w:t>
      </w:r>
      <w:r w:rsidRPr="00EC0CC3">
        <w:rPr>
          <w:i/>
        </w:rPr>
        <w:t>L. monocytogenes</w:t>
      </w:r>
      <w:r w:rsidRPr="00EC0CC3">
        <w:t xml:space="preserve">, is followed by confirmatory steps that result in a confirmed </w:t>
      </w:r>
      <w:r w:rsidRPr="00EC0CC3">
        <w:rPr>
          <w:i/>
        </w:rPr>
        <w:t xml:space="preserve">L. monocytogenes </w:t>
      </w:r>
      <w:r w:rsidRPr="00EC0CC3">
        <w:t>cultural isolate (i.e., completing Step I.I in the FDA reference method).</w:t>
      </w:r>
    </w:p>
    <w:p w:rsidR="00191DF8" w:rsidRPr="008E55E0" w:rsidP="00690C44" w14:paraId="3152CDD5" w14:textId="77777777">
      <w:pPr>
        <w:pStyle w:val="GuidanceBulletLevel1"/>
      </w:pPr>
      <w:r w:rsidRPr="00EC0CC3">
        <w:t>One of two types of negative results:</w:t>
      </w:r>
    </w:p>
    <w:p w:rsidR="00191DF8" w:rsidRPr="00F37DBF" w:rsidP="00F37DBF" w14:paraId="50AF2531" w14:textId="77777777">
      <w:pPr>
        <w:pStyle w:val="GuidanceBulletLevel2"/>
        <w:numPr>
          <w:ilvl w:val="0"/>
          <w:numId w:val="22"/>
        </w:numPr>
        <w:rPr>
          <w:rFonts w:asciiTheme="minorHAnsi" w:hAnsiTheme="minorHAnsi"/>
          <w:i/>
          <w:color w:val="000000" w:themeColor="text1"/>
        </w:rPr>
      </w:pPr>
      <w:r w:rsidRPr="00EC0CC3">
        <w:rPr>
          <w:i/>
        </w:rPr>
        <w:t xml:space="preserve">Listeria </w:t>
      </w:r>
      <w:r w:rsidRPr="00EC0CC3">
        <w:t xml:space="preserve">specific agars do not yield a positive result for </w:t>
      </w:r>
      <w:r w:rsidRPr="00EC0CC3">
        <w:rPr>
          <w:i/>
        </w:rPr>
        <w:t xml:space="preserve">Listeria </w:t>
      </w:r>
      <w:r w:rsidRPr="00EC0CC3">
        <w:t xml:space="preserve">spp., indicating a negative finding for </w:t>
      </w:r>
      <w:r w:rsidRPr="00EC0CC3">
        <w:rPr>
          <w:i/>
        </w:rPr>
        <w:t xml:space="preserve">Listeria </w:t>
      </w:r>
      <w:r w:rsidRPr="00EC0CC3">
        <w:t>spp.; or</w:t>
      </w:r>
    </w:p>
    <w:p w:rsidR="00191DF8" w:rsidRPr="00F37DBF" w:rsidP="00F37DBF" w14:paraId="6A32A735" w14:textId="165780DA">
      <w:pPr>
        <w:pStyle w:val="GuidanceBulletLevel2"/>
        <w:numPr>
          <w:ilvl w:val="0"/>
          <w:numId w:val="22"/>
        </w:numPr>
        <w:rPr>
          <w:rFonts w:asciiTheme="minorHAnsi" w:hAnsiTheme="minorHAnsi"/>
          <w:color w:val="000000" w:themeColor="text1"/>
        </w:rPr>
      </w:pPr>
      <w:r w:rsidRPr="00EC0CC3">
        <w:t xml:space="preserve">Additional confirmatory steps after a positive result for </w:t>
      </w:r>
      <w:r w:rsidRPr="00EC0CC3">
        <w:rPr>
          <w:i/>
        </w:rPr>
        <w:t xml:space="preserve">Listeria </w:t>
      </w:r>
      <w:r w:rsidRPr="00EC0CC3">
        <w:t xml:space="preserve">spp. or a presumptive positive result for </w:t>
      </w:r>
      <w:r w:rsidRPr="00EC0CC3">
        <w:rPr>
          <w:i/>
        </w:rPr>
        <w:t xml:space="preserve">L. monocytogenes </w:t>
      </w:r>
      <w:r w:rsidRPr="00EC0CC3">
        <w:t xml:space="preserve">do not result in confirmation of the presence of </w:t>
      </w:r>
      <w:r w:rsidRPr="00EC0CC3">
        <w:rPr>
          <w:i/>
        </w:rPr>
        <w:t xml:space="preserve">L. monocytogenes, </w:t>
      </w:r>
      <w:r w:rsidRPr="00EC0CC3">
        <w:t xml:space="preserve">indicating that while </w:t>
      </w:r>
      <w:r w:rsidRPr="00EC0CC3">
        <w:rPr>
          <w:i/>
        </w:rPr>
        <w:t xml:space="preserve">Listeria </w:t>
      </w:r>
      <w:r w:rsidRPr="00EC0CC3">
        <w:t xml:space="preserve">spp. were found, </w:t>
      </w:r>
      <w:r w:rsidRPr="00EC0CC3">
        <w:rPr>
          <w:i/>
        </w:rPr>
        <w:t xml:space="preserve">L. monocytogenes </w:t>
      </w:r>
      <w:r w:rsidRPr="00EC0CC3">
        <w:t>was not found.</w:t>
      </w:r>
    </w:p>
    <w:p w:rsidR="0055307E" w:rsidRPr="002320FB" w:rsidP="006B398F" w14:paraId="169FC3E6" w14:textId="1DE997C6">
      <w:pPr>
        <w:pStyle w:val="HHS508GuidanceOutline30"/>
        <w:numPr>
          <w:ilvl w:val="0"/>
          <w:numId w:val="19"/>
        </w:numPr>
      </w:pPr>
      <w:bookmarkStart w:id="144" w:name="_Toc106094964"/>
      <w:r w:rsidRPr="002320FB">
        <w:t xml:space="preserve">Sampling plan that specifies testing for </w:t>
      </w:r>
      <w:r w:rsidRPr="006B398F">
        <w:rPr>
          <w:i/>
        </w:rPr>
        <w:t>Listeria</w:t>
      </w:r>
      <w:r w:rsidRPr="002320FB">
        <w:t xml:space="preserve"> spp. (recommended approach)</w:t>
      </w:r>
      <w:bookmarkEnd w:id="144"/>
    </w:p>
    <w:p w:rsidR="00191DF8" w:rsidRPr="00EC0CC3" w:rsidP="00E47C04" w14:paraId="6CCC8EF8" w14:textId="16C820D2">
      <w:pPr>
        <w:pStyle w:val="GuidanceParagraph"/>
      </w:pPr>
      <w:r w:rsidRPr="00EC0CC3">
        <w:t xml:space="preserve">If you choose to establish a sampling plan that specifies testing for </w:t>
      </w:r>
      <w:r w:rsidRPr="00EC0CC3">
        <w:rPr>
          <w:i/>
        </w:rPr>
        <w:t xml:space="preserve">Listeria </w:t>
      </w:r>
      <w:r w:rsidRPr="00EC0CC3">
        <w:t xml:space="preserve">spp., you are not required to perform confirmatory testing for </w:t>
      </w:r>
      <w:r w:rsidRPr="00EC0CC3">
        <w:rPr>
          <w:i/>
        </w:rPr>
        <w:t xml:space="preserve">L. monocytogenes </w:t>
      </w:r>
      <w:r w:rsidRPr="00EC0CC3">
        <w:t xml:space="preserve">after obtaining a positive test result for </w:t>
      </w:r>
      <w:r w:rsidRPr="00EC0CC3">
        <w:rPr>
          <w:i/>
        </w:rPr>
        <w:t>Listeria</w:t>
      </w:r>
      <w:r w:rsidRPr="00EC0CC3">
        <w:t xml:space="preserve"> spp., although you may voluntarily choose to do so.</w:t>
      </w:r>
    </w:p>
    <w:p w:rsidR="00191DF8" w:rsidRPr="00EC0CC3" w:rsidP="00E47C04" w14:paraId="4DEE642C" w14:textId="77777777">
      <w:pPr>
        <w:pStyle w:val="GuidanceParagraph"/>
      </w:pPr>
      <w:bookmarkStart w:id="145" w:name="_Hlk43071966"/>
      <w:r w:rsidRPr="00EC0CC3">
        <w:t xml:space="preserve">If your plan specifies that you will test for </w:t>
      </w:r>
      <w:r w:rsidRPr="00EC0CC3">
        <w:rPr>
          <w:i/>
        </w:rPr>
        <w:t xml:space="preserve">Listeria </w:t>
      </w:r>
      <w:r w:rsidRPr="00EC0CC3">
        <w:t>spp. and you conduct testing using the FDA reference method (recommended approach):</w:t>
      </w:r>
    </w:p>
    <w:p w:rsidR="00191DF8" w:rsidRPr="00F15CE6" w:rsidP="00690C44" w14:paraId="4D85C812" w14:textId="1943F15C">
      <w:pPr>
        <w:pStyle w:val="GuidanceBulletLevel1"/>
      </w:pPr>
      <w:r>
        <w:t>A</w:t>
      </w:r>
      <w:r w:rsidRPr="00EC0CC3">
        <w:t xml:space="preserve"> positive result for </w:t>
      </w:r>
      <w:r w:rsidRPr="00EC0CC3">
        <w:rPr>
          <w:i/>
        </w:rPr>
        <w:t xml:space="preserve">Listeria </w:t>
      </w:r>
      <w:r w:rsidRPr="00EC0CC3">
        <w:t xml:space="preserve">spp. triggers the requirement to take corrective actions under § </w:t>
      </w:r>
      <w:r w:rsidRPr="00EC0CC3">
        <w:t>112.146;</w:t>
      </w:r>
    </w:p>
    <w:p w:rsidR="00191DF8" w:rsidRPr="00F15CE6" w:rsidP="00690C44" w14:paraId="20593D72" w14:textId="35161934">
      <w:pPr>
        <w:pStyle w:val="GuidanceBulletLevel1"/>
      </w:pPr>
      <w:r>
        <w:t>A</w:t>
      </w:r>
      <w:r w:rsidRPr="00EC0CC3">
        <w:t xml:space="preserve"> negative result for </w:t>
      </w:r>
      <w:r w:rsidRPr="00EC0CC3">
        <w:rPr>
          <w:i/>
        </w:rPr>
        <w:t xml:space="preserve">Listeria </w:t>
      </w:r>
      <w:r w:rsidRPr="00EC0CC3">
        <w:t xml:space="preserve">spp. does not trigger the requirement to take corrective actions under § </w:t>
      </w:r>
      <w:r w:rsidRPr="00EC0CC3">
        <w:t>112.146;</w:t>
      </w:r>
    </w:p>
    <w:p w:rsidR="00191DF8" w:rsidRPr="00F15CE6" w:rsidP="00690C44" w14:paraId="1A970F44" w14:textId="277E903A">
      <w:pPr>
        <w:pStyle w:val="GuidanceBulletLevel1"/>
      </w:pPr>
      <w:r>
        <w:t>I</w:t>
      </w:r>
      <w:r w:rsidRPr="00EC0CC3">
        <w:t xml:space="preserve">f you voluntarily choose to perform confirmatory testing for </w:t>
      </w:r>
      <w:r w:rsidRPr="00EC0CC3">
        <w:rPr>
          <w:i/>
        </w:rPr>
        <w:t xml:space="preserve">L. monocytogenes </w:t>
      </w:r>
      <w:r w:rsidRPr="00EC0CC3">
        <w:t xml:space="preserve">on an environmental sample that yields a positive result for </w:t>
      </w:r>
      <w:r w:rsidRPr="00EC0CC3">
        <w:rPr>
          <w:i/>
        </w:rPr>
        <w:t xml:space="preserve">Listeria </w:t>
      </w:r>
      <w:r w:rsidRPr="00EC0CC3">
        <w:t xml:space="preserve">spp., a positive result for </w:t>
      </w:r>
      <w:r w:rsidRPr="00EC0CC3">
        <w:rPr>
          <w:i/>
        </w:rPr>
        <w:t xml:space="preserve">L. monocytogenes </w:t>
      </w:r>
      <w:r w:rsidRPr="00EC0CC3">
        <w:t>also triggers the requirement to take corrective actions under § 112.146; and</w:t>
      </w:r>
    </w:p>
    <w:p w:rsidR="003047F6" w:rsidRPr="00F15CE6" w:rsidP="00690C44" w14:paraId="34FE1EE8" w14:textId="37D8D68B">
      <w:pPr>
        <w:pStyle w:val="GuidanceBulletLevel1"/>
      </w:pPr>
      <w:r>
        <w:t>I</w:t>
      </w:r>
      <w:r w:rsidR="00191DF8">
        <w:t xml:space="preserve">f you voluntarily choose to perform confirmatory testing for </w:t>
      </w:r>
      <w:r w:rsidRPr="08A72E21" w:rsidR="00191DF8">
        <w:rPr>
          <w:i/>
          <w:iCs/>
        </w:rPr>
        <w:t xml:space="preserve">L. monocytogenes </w:t>
      </w:r>
      <w:r w:rsidR="00191DF8">
        <w:t xml:space="preserve">on an environmental sample that yields a positive result for </w:t>
      </w:r>
      <w:r w:rsidRPr="08A72E21" w:rsidR="00191DF8">
        <w:rPr>
          <w:i/>
          <w:iCs/>
        </w:rPr>
        <w:t xml:space="preserve">Listeria </w:t>
      </w:r>
      <w:r w:rsidR="00191DF8">
        <w:t xml:space="preserve">spp., a negative result for </w:t>
      </w:r>
      <w:r w:rsidRPr="08A72E21" w:rsidR="00191DF8">
        <w:rPr>
          <w:i/>
          <w:iCs/>
        </w:rPr>
        <w:t xml:space="preserve">L. monocytogenes </w:t>
      </w:r>
      <w:r w:rsidR="00191DF8">
        <w:t xml:space="preserve">does not eliminate the requirement to take corrective actions under § 112.146 based on your positive result for </w:t>
      </w:r>
      <w:r w:rsidRPr="08A72E21" w:rsidR="00191DF8">
        <w:rPr>
          <w:i/>
          <w:iCs/>
        </w:rPr>
        <w:t xml:space="preserve">Listeria </w:t>
      </w:r>
      <w:r w:rsidR="00191DF8">
        <w:t xml:space="preserve">spp. A positive test result for the presence of </w:t>
      </w:r>
      <w:r w:rsidRPr="08A72E21" w:rsidR="00191DF8">
        <w:rPr>
          <w:i/>
          <w:iCs/>
        </w:rPr>
        <w:t>Listeria</w:t>
      </w:r>
      <w:r w:rsidR="00191DF8">
        <w:t xml:space="preserve"> spp. on an FCS or non-FCS indicates the potential for contamination of that surface with </w:t>
      </w:r>
      <w:r w:rsidRPr="08A72E21" w:rsidR="00191DF8">
        <w:rPr>
          <w:i/>
          <w:iCs/>
        </w:rPr>
        <w:t>L. monocytogenes</w:t>
      </w:r>
      <w:r w:rsidR="00191DF8">
        <w:t xml:space="preserve"> and suggests that conditions are suitable for survival and/or growth of </w:t>
      </w:r>
      <w:r w:rsidRPr="08A72E21" w:rsidR="00191DF8">
        <w:rPr>
          <w:i/>
          <w:iCs/>
        </w:rPr>
        <w:t>L. monocytogenes</w:t>
      </w:r>
      <w:r w:rsidR="00191DF8">
        <w:t xml:space="preserve"> (</w:t>
      </w:r>
      <w:r w:rsidR="00955C0A">
        <w:fldChar w:fldCharType="begin"/>
      </w:r>
      <w:r w:rsidR="00955C0A">
        <w:instrText xml:space="preserve"> REF _Ref105764852 \h </w:instrText>
      </w:r>
      <w:r w:rsidR="004B2A15">
        <w:instrText xml:space="preserve"> \* MERGEFORMAT </w:instrText>
      </w:r>
      <w:r w:rsidR="00955C0A">
        <w:fldChar w:fldCharType="separate"/>
      </w:r>
      <w:r w:rsidR="00FB6D94">
        <w:t xml:space="preserve">Ref. </w:t>
      </w:r>
      <w:r w:rsidR="00FB6D94">
        <w:rPr>
          <w:noProof/>
        </w:rPr>
        <w:t>74</w:t>
      </w:r>
      <w:r w:rsidR="00955C0A">
        <w:fldChar w:fldCharType="end"/>
      </w:r>
      <w:r w:rsidR="00191DF8">
        <w:t>). Therefore, if you</w:t>
      </w:r>
      <w:r w:rsidR="0091580D">
        <w:t>r</w:t>
      </w:r>
      <w:r w:rsidR="00191DF8">
        <w:t xml:space="preserve"> </w:t>
      </w:r>
      <w:r w:rsidR="00DB62D7">
        <w:t>test</w:t>
      </w:r>
      <w:r w:rsidR="0091580D">
        <w:t>s identify the presence of</w:t>
      </w:r>
      <w:r w:rsidR="00671AFC">
        <w:t xml:space="preserve"> </w:t>
      </w:r>
      <w:r w:rsidRPr="08A72E21" w:rsidR="00191DF8">
        <w:rPr>
          <w:i/>
          <w:iCs/>
        </w:rPr>
        <w:t>Listeria</w:t>
      </w:r>
      <w:r w:rsidR="00191DF8">
        <w:t xml:space="preserve"> spp., you should eliminate </w:t>
      </w:r>
      <w:r w:rsidRPr="08A72E21" w:rsidR="00191DF8">
        <w:rPr>
          <w:i/>
          <w:iCs/>
        </w:rPr>
        <w:t xml:space="preserve">Listeria </w:t>
      </w:r>
      <w:r w:rsidR="00191DF8">
        <w:t>spp.</w:t>
      </w:r>
      <w:r w:rsidR="00DB5712">
        <w:t>,</w:t>
      </w:r>
      <w:r w:rsidR="00191DF8">
        <w:t xml:space="preserve"> regardless of </w:t>
      </w:r>
      <w:r w:rsidR="00191DF8">
        <w:t>whether or not</w:t>
      </w:r>
      <w:r w:rsidR="00191DF8">
        <w:t xml:space="preserve"> the initial finding of </w:t>
      </w:r>
      <w:r w:rsidRPr="08A72E21" w:rsidR="00191DF8">
        <w:rPr>
          <w:i/>
          <w:iCs/>
        </w:rPr>
        <w:t>Listeria</w:t>
      </w:r>
      <w:r w:rsidR="00191DF8">
        <w:t xml:space="preserve"> spp. was, in fact, </w:t>
      </w:r>
      <w:r w:rsidRPr="08A72E21" w:rsidR="00191DF8">
        <w:rPr>
          <w:i/>
          <w:iCs/>
        </w:rPr>
        <w:t>L. monocytogenes</w:t>
      </w:r>
      <w:r w:rsidR="00191DF8">
        <w:t xml:space="preserve">.  </w:t>
      </w:r>
    </w:p>
    <w:p w:rsidR="004B0E17" w:rsidRPr="002320FB" w:rsidP="006B398F" w14:paraId="0E0F5748" w14:textId="2AE43ED8">
      <w:pPr>
        <w:pStyle w:val="HHS508GuidanceOutline30"/>
      </w:pPr>
      <w:bookmarkStart w:id="146" w:name="_Toc106094965"/>
      <w:bookmarkEnd w:id="145"/>
      <w:r>
        <w:t xml:space="preserve">Sampling plan that </w:t>
      </w:r>
      <w:r w:rsidR="00FF26B6">
        <w:t>includes</w:t>
      </w:r>
      <w:r>
        <w:t xml:space="preserve"> testing for </w:t>
      </w:r>
      <w:r w:rsidRPr="00557336" w:rsidR="0040471A">
        <w:rPr>
          <w:i/>
        </w:rPr>
        <w:t>L.</w:t>
      </w:r>
      <w:r w:rsidRPr="00054EA7" w:rsidR="0040471A">
        <w:rPr>
          <w:i/>
        </w:rPr>
        <w:t xml:space="preserve"> monocytogenes</w:t>
      </w:r>
      <w:bookmarkEnd w:id="146"/>
    </w:p>
    <w:p w:rsidR="00191DF8" w:rsidRPr="00EC0CC3" w:rsidP="00E47C04" w14:paraId="63E0E489" w14:textId="2A55A780">
      <w:pPr>
        <w:pStyle w:val="GuidanceParagraph"/>
      </w:pPr>
      <w:r>
        <w:t xml:space="preserve">If you choose to establish a plan that specifies that you will test for </w:t>
      </w:r>
      <w:r w:rsidRPr="4EDF2B11">
        <w:rPr>
          <w:i/>
          <w:iCs/>
        </w:rPr>
        <w:t xml:space="preserve">L. </w:t>
      </w:r>
      <w:r w:rsidRPr="4EDF2B11">
        <w:rPr>
          <w:i/>
          <w:iCs/>
        </w:rPr>
        <w:t>monocytogenes</w:t>
      </w:r>
      <w:r w:rsidR="00BB510C">
        <w:rPr>
          <w:i/>
          <w:iCs/>
          <w:u w:val="single"/>
        </w:rPr>
        <w:t xml:space="preserve"> </w:t>
      </w:r>
      <w:r w:rsidRPr="00815884">
        <w:t>and</w:t>
      </w:r>
      <w:r>
        <w:t xml:space="preserve"> you conduct testing using the FDA reference method:</w:t>
      </w:r>
    </w:p>
    <w:p w:rsidR="00191DF8" w:rsidRPr="00F15CE6" w:rsidP="00690C44" w14:paraId="45AC4E7C" w14:textId="3FD4E9BF">
      <w:pPr>
        <w:pStyle w:val="GuidanceBulletLevel1"/>
      </w:pPr>
      <w:r>
        <w:t>A</w:t>
      </w:r>
      <w:r w:rsidRPr="00EC0CC3">
        <w:t xml:space="preserve"> positive result for </w:t>
      </w:r>
      <w:r w:rsidRPr="00EC0CC3">
        <w:rPr>
          <w:i/>
        </w:rPr>
        <w:t xml:space="preserve">Listeria </w:t>
      </w:r>
      <w:r w:rsidRPr="00EC0CC3">
        <w:t xml:space="preserve">spp. triggers the requirement to take corrective actions under § 112.146, and you must continue with confirmatory testing to identify </w:t>
      </w:r>
      <w:r w:rsidRPr="00EC0CC3">
        <w:rPr>
          <w:i/>
        </w:rPr>
        <w:t xml:space="preserve">L. monocytogenes </w:t>
      </w:r>
      <w:r w:rsidRPr="00EC0CC3">
        <w:t xml:space="preserve">as provided in your sampling </w:t>
      </w:r>
      <w:r w:rsidRPr="00EC0CC3">
        <w:t>plan;</w:t>
      </w:r>
    </w:p>
    <w:p w:rsidR="00191DF8" w:rsidRPr="00F15CE6" w:rsidP="00690C44" w14:paraId="7E4BC867" w14:textId="453E34E6">
      <w:pPr>
        <w:pStyle w:val="GuidanceBulletLevel1"/>
      </w:pPr>
      <w:r>
        <w:t>A</w:t>
      </w:r>
      <w:r w:rsidRPr="00EC0CC3">
        <w:t xml:space="preserve"> negative result for </w:t>
      </w:r>
      <w:r w:rsidRPr="00EC0CC3">
        <w:rPr>
          <w:i/>
        </w:rPr>
        <w:t xml:space="preserve">Listeria </w:t>
      </w:r>
      <w:r w:rsidRPr="00EC0CC3">
        <w:t xml:space="preserve">spp. does not trigger the requirement to take corrective actions under § </w:t>
      </w:r>
      <w:r w:rsidRPr="00EC0CC3">
        <w:t>112.146;</w:t>
      </w:r>
    </w:p>
    <w:p w:rsidR="00191DF8" w:rsidRPr="00F15CE6" w:rsidP="00690C44" w14:paraId="3C54240F" w14:textId="180BAFAD">
      <w:pPr>
        <w:pStyle w:val="GuidanceBulletLevel1"/>
      </w:pPr>
      <w:r>
        <w:t>A</w:t>
      </w:r>
      <w:r w:rsidRPr="00EC0CC3">
        <w:t xml:space="preserve"> positive result for </w:t>
      </w:r>
      <w:r w:rsidRPr="00EC0CC3">
        <w:rPr>
          <w:i/>
        </w:rPr>
        <w:t xml:space="preserve">L. monocytogenes </w:t>
      </w:r>
      <w:r w:rsidRPr="00EC0CC3">
        <w:t>triggers the requirement to take corrective actions under § 112.146; and</w:t>
      </w:r>
    </w:p>
    <w:p w:rsidR="00191DF8" w:rsidRPr="00F15CE6" w:rsidP="00690C44" w14:paraId="02F82B0B" w14:textId="5FD29B32">
      <w:pPr>
        <w:pStyle w:val="GuidanceBulletLevel1"/>
      </w:pPr>
      <w:r>
        <w:t>A</w:t>
      </w:r>
      <w:r>
        <w:t xml:space="preserve"> negative result for </w:t>
      </w:r>
      <w:r w:rsidRPr="4EDF2B11">
        <w:rPr>
          <w:i/>
          <w:iCs/>
        </w:rPr>
        <w:t xml:space="preserve">L. monocytogenes </w:t>
      </w:r>
      <w:r>
        <w:t xml:space="preserve">does not eliminate the requirement to take corrective actions under § 112.146 based on your positive result for </w:t>
      </w:r>
      <w:r w:rsidRPr="4EDF2B11">
        <w:rPr>
          <w:i/>
          <w:iCs/>
        </w:rPr>
        <w:t xml:space="preserve">Listeria </w:t>
      </w:r>
      <w:r>
        <w:t xml:space="preserve">spp. A positive test result for the presence of </w:t>
      </w:r>
      <w:r w:rsidRPr="4EDF2B11">
        <w:rPr>
          <w:i/>
          <w:iCs/>
        </w:rPr>
        <w:t>Listeria</w:t>
      </w:r>
      <w:r>
        <w:t xml:space="preserve"> spp. on an FCS or non-FCS indicates the </w:t>
      </w:r>
      <w:r>
        <w:t xml:space="preserve">potential for contamination of that surface with </w:t>
      </w:r>
      <w:r w:rsidRPr="4EDF2B11">
        <w:rPr>
          <w:i/>
          <w:iCs/>
        </w:rPr>
        <w:t>L. monocytogenes</w:t>
      </w:r>
      <w:r>
        <w:t xml:space="preserve"> and suggests that conditions are suitable for survival and/or growth of </w:t>
      </w:r>
      <w:r w:rsidRPr="4EDF2B11">
        <w:rPr>
          <w:i/>
          <w:iCs/>
        </w:rPr>
        <w:t>L. monocytogenes</w:t>
      </w:r>
      <w:r>
        <w:t xml:space="preserve"> (</w:t>
      </w:r>
      <w:r w:rsidR="006801D3">
        <w:fldChar w:fldCharType="begin"/>
      </w:r>
      <w:r w:rsidR="006801D3">
        <w:instrText xml:space="preserve"> REF _Ref105764852 \h </w:instrText>
      </w:r>
      <w:r w:rsidR="004B2A15">
        <w:instrText xml:space="preserve"> \* MERGEFORMAT </w:instrText>
      </w:r>
      <w:r w:rsidR="006801D3">
        <w:fldChar w:fldCharType="separate"/>
      </w:r>
      <w:r w:rsidR="00FB6D94">
        <w:t xml:space="preserve">Ref. </w:t>
      </w:r>
      <w:r w:rsidR="00FB6D94">
        <w:rPr>
          <w:noProof/>
        </w:rPr>
        <w:t>74</w:t>
      </w:r>
      <w:r w:rsidR="006801D3">
        <w:fldChar w:fldCharType="end"/>
      </w:r>
      <w:r>
        <w:t xml:space="preserve">). Therefore, if you identify </w:t>
      </w:r>
      <w:r w:rsidRPr="4EDF2B11">
        <w:rPr>
          <w:i/>
          <w:iCs/>
        </w:rPr>
        <w:t>Listeria</w:t>
      </w:r>
      <w:r>
        <w:t xml:space="preserve"> spp., you should eliminate </w:t>
      </w:r>
      <w:r w:rsidRPr="4EDF2B11">
        <w:rPr>
          <w:i/>
          <w:iCs/>
        </w:rPr>
        <w:t>Listeria</w:t>
      </w:r>
      <w:r>
        <w:t xml:space="preserve"> spp.</w:t>
      </w:r>
      <w:r w:rsidR="00C6439F">
        <w:t>,</w:t>
      </w:r>
      <w:r>
        <w:t xml:space="preserve"> regardless of </w:t>
      </w:r>
      <w:r>
        <w:t>whether or not</w:t>
      </w:r>
      <w:r>
        <w:t xml:space="preserve"> the initial finding of </w:t>
      </w:r>
      <w:r w:rsidRPr="4EDF2B11">
        <w:rPr>
          <w:i/>
          <w:iCs/>
        </w:rPr>
        <w:t>Listeria</w:t>
      </w:r>
      <w:r>
        <w:t xml:space="preserve"> spp. was, in fact, </w:t>
      </w:r>
      <w:r w:rsidRPr="4EDF2B11">
        <w:rPr>
          <w:i/>
          <w:iCs/>
        </w:rPr>
        <w:t>L. monocytogenes</w:t>
      </w:r>
      <w:r>
        <w:t xml:space="preserve">.  </w:t>
      </w:r>
    </w:p>
    <w:p w:rsidR="00191DF8" w:rsidRPr="0003249B" w:rsidP="00F756C4" w14:paraId="5F731BEB" w14:textId="5544630F">
      <w:pPr>
        <w:pStyle w:val="HHS508GuidanceOutline2"/>
      </w:pPr>
      <w:bookmarkStart w:id="147" w:name="_bookmark93"/>
      <w:bookmarkStart w:id="148" w:name="_bookmark94"/>
      <w:bookmarkStart w:id="149" w:name="_Toc44439369"/>
      <w:bookmarkStart w:id="150" w:name="_Toc106094966"/>
      <w:bookmarkEnd w:id="147"/>
      <w:bookmarkEnd w:id="148"/>
      <w:r>
        <w:t>Developing a Corrective Action Plan and Taking Corrective Actions</w:t>
      </w:r>
      <w:bookmarkEnd w:id="149"/>
      <w:bookmarkEnd w:id="150"/>
    </w:p>
    <w:p w:rsidR="00191DF8" w:rsidRPr="00EC0CC3" w:rsidP="00E47C04" w14:paraId="2FD3441E" w14:textId="4A3C05A4">
      <w:pPr>
        <w:pStyle w:val="GuidanceParagraph"/>
        <w:rPr>
          <w:i/>
        </w:rPr>
      </w:pPr>
      <w:r w:rsidRPr="00EC0CC3">
        <w:t xml:space="preserve">Your written environmental monitoring plan must also include a corrective action plan that, at a minimum, requires you to take the actions in § 112.146, and details when and how you will accomplish those actions, if the growing, harvesting, packing, or holding environment tests positive for </w:t>
      </w:r>
      <w:r w:rsidRPr="00EC0CC3">
        <w:rPr>
          <w:i/>
        </w:rPr>
        <w:t xml:space="preserve">Listeria </w:t>
      </w:r>
      <w:r w:rsidRPr="00EC0CC3">
        <w:t xml:space="preserve">spp. or </w:t>
      </w:r>
      <w:r w:rsidRPr="00EC0CC3">
        <w:rPr>
          <w:i/>
        </w:rPr>
        <w:t xml:space="preserve">L. monocytogenes </w:t>
      </w:r>
      <w:r w:rsidRPr="00EC0CC3">
        <w:t>(§ 112.145(e)).</w:t>
      </w:r>
    </w:p>
    <w:p w:rsidR="00191DF8" w:rsidRPr="00EC0CC3" w:rsidP="006B398F" w14:paraId="43D454C4" w14:textId="5C3FAD52">
      <w:pPr>
        <w:pStyle w:val="HHS508GuidanceOutline30"/>
        <w:numPr>
          <w:ilvl w:val="0"/>
          <w:numId w:val="6"/>
        </w:numPr>
      </w:pPr>
      <w:bookmarkStart w:id="151" w:name="_bookmark95"/>
      <w:bookmarkStart w:id="152" w:name="_Toc106094967"/>
      <w:bookmarkEnd w:id="151"/>
      <w:r w:rsidRPr="00EC0CC3">
        <w:t>Corrective action plan</w:t>
      </w:r>
      <w:bookmarkEnd w:id="152"/>
    </w:p>
    <w:p w:rsidR="00191DF8" w:rsidRPr="00EC0CC3" w:rsidP="00E47C04" w14:paraId="6D5BA341" w14:textId="05913A7B">
      <w:pPr>
        <w:pStyle w:val="GuidanceParagraph"/>
      </w:pPr>
      <w:r w:rsidRPr="00EC0CC3">
        <w:t xml:space="preserve">Having a corrective action plan in place at your operation will help ensure that you take corrective actions quickly and consistently in response to a finding of </w:t>
      </w:r>
      <w:r w:rsidRPr="00EC0CC3">
        <w:rPr>
          <w:i/>
        </w:rPr>
        <w:t xml:space="preserve">Listeria </w:t>
      </w:r>
      <w:r w:rsidRPr="00EC0CC3">
        <w:t xml:space="preserve">spp. or </w:t>
      </w:r>
      <w:r w:rsidRPr="00EC0CC3">
        <w:rPr>
          <w:i/>
        </w:rPr>
        <w:t xml:space="preserve">L. monocytogenes </w:t>
      </w:r>
      <w:r w:rsidRPr="00EC0CC3">
        <w:t xml:space="preserve">in the environment. </w:t>
      </w:r>
      <w:bookmarkStart w:id="153" w:name="_Hlk39051651"/>
      <w:r w:rsidRPr="00EC0CC3">
        <w:t>Your corrective action plan</w:t>
      </w:r>
      <w:r w:rsidR="003B4CE6">
        <w:t xml:space="preserve"> must</w:t>
      </w:r>
      <w:r w:rsidR="00262103">
        <w:t xml:space="preserve"> (§ 112.145(e))</w:t>
      </w:r>
      <w:r w:rsidRPr="00EC0CC3">
        <w:t>:</w:t>
      </w:r>
    </w:p>
    <w:p w:rsidR="00191DF8" w:rsidRPr="004F5299" w:rsidP="00690C44" w14:paraId="6F92D3B2" w14:textId="16F84DE3">
      <w:pPr>
        <w:pStyle w:val="GuidanceBulletLevel1"/>
      </w:pPr>
      <w:r>
        <w:t>S</w:t>
      </w:r>
      <w:r w:rsidRPr="00EC0CC3">
        <w:t xml:space="preserve">pecify </w:t>
      </w:r>
      <w:r w:rsidR="000A644B">
        <w:t xml:space="preserve">when and </w:t>
      </w:r>
      <w:r w:rsidRPr="00EC0CC3">
        <w:t xml:space="preserve">how you will conduct additional testing of surfaces and areas surrounding the area where the positive test result was detected to evaluate the extent of the problem, including the potential for </w:t>
      </w:r>
      <w:r w:rsidRPr="00BA2C8F">
        <w:rPr>
          <w:i/>
        </w:rPr>
        <w:t>Listeria</w:t>
      </w:r>
      <w:r w:rsidRPr="00F37DBF">
        <w:rPr>
          <w:i/>
        </w:rPr>
        <w:t xml:space="preserve"> </w:t>
      </w:r>
      <w:r w:rsidRPr="00F37DBF">
        <w:rPr>
          <w:iCs/>
        </w:rPr>
        <w:t>spp</w:t>
      </w:r>
      <w:r w:rsidRPr="00EC0CC3">
        <w:t xml:space="preserve">. or </w:t>
      </w:r>
      <w:r w:rsidRPr="00BA2C8F">
        <w:rPr>
          <w:i/>
        </w:rPr>
        <w:t>L. monocytogenes</w:t>
      </w:r>
      <w:r w:rsidRPr="00F37DBF">
        <w:rPr>
          <w:i/>
        </w:rPr>
        <w:t xml:space="preserve"> </w:t>
      </w:r>
      <w:r w:rsidRPr="00EC0CC3">
        <w:t>to have become established in a niche (§ 112.146(a)) (i.e., “exploratory testing”</w:t>
      </w:r>
      <w:r w:rsidRPr="00EC0CC3">
        <w:t>);</w:t>
      </w:r>
    </w:p>
    <w:p w:rsidR="00191DF8" w:rsidRPr="004F5299" w:rsidP="00690C44" w14:paraId="6ED040D5" w14:textId="3BBA85F7">
      <w:pPr>
        <w:pStyle w:val="GuidanceBulletLevel1"/>
      </w:pPr>
      <w:r>
        <w:t>S</w:t>
      </w:r>
      <w:r w:rsidRPr="00EC0CC3">
        <w:t>pecify how and when you will clean and sanitize the affected surfaces and surrounding areas (§ 112.146(b)</w:t>
      </w:r>
      <w:r w:rsidRPr="00EC0CC3">
        <w:t>);</w:t>
      </w:r>
    </w:p>
    <w:p w:rsidR="00191DF8" w:rsidRPr="004F5299" w:rsidP="00690C44" w14:paraId="46541E3E" w14:textId="4141CB65">
      <w:pPr>
        <w:pStyle w:val="GuidanceBulletLevel1"/>
      </w:pPr>
      <w:r>
        <w:t>S</w:t>
      </w:r>
      <w:r w:rsidRPr="00EC0CC3">
        <w:t xml:space="preserve">pecify </w:t>
      </w:r>
      <w:r w:rsidR="00BA3AC3">
        <w:t xml:space="preserve">when and how </w:t>
      </w:r>
      <w:r w:rsidRPr="00EC0CC3">
        <w:t xml:space="preserve">you will conduct additional sampling and testing to determine whether the </w:t>
      </w:r>
      <w:r w:rsidRPr="00BA2C8F">
        <w:rPr>
          <w:i/>
        </w:rPr>
        <w:t>Listeria</w:t>
      </w:r>
      <w:r w:rsidRPr="00F37DBF">
        <w:rPr>
          <w:i/>
        </w:rPr>
        <w:t xml:space="preserve"> </w:t>
      </w:r>
      <w:r w:rsidRPr="00F37DBF">
        <w:rPr>
          <w:iCs/>
        </w:rPr>
        <w:t>spp.</w:t>
      </w:r>
      <w:r w:rsidRPr="00EC0CC3">
        <w:t xml:space="preserve"> or </w:t>
      </w:r>
      <w:r w:rsidRPr="00BA2C8F">
        <w:rPr>
          <w:i/>
        </w:rPr>
        <w:t>L. monocytogenes</w:t>
      </w:r>
      <w:r w:rsidRPr="00BF40AF">
        <w:t xml:space="preserve"> </w:t>
      </w:r>
      <w:r w:rsidRPr="00EC0CC3">
        <w:t>has been eliminated (§ 112.146(c)) (i.e., “cleaning verification testing”</w:t>
      </w:r>
      <w:r w:rsidRPr="00EC0CC3">
        <w:t>);</w:t>
      </w:r>
    </w:p>
    <w:p w:rsidR="00191DF8" w:rsidRPr="004F5299" w:rsidP="00690C44" w14:paraId="24191BE6" w14:textId="3912F8CE">
      <w:pPr>
        <w:pStyle w:val="GuidanceBulletLevel1"/>
      </w:pPr>
      <w:r>
        <w:t>S</w:t>
      </w:r>
      <w:r w:rsidRPr="00EC0CC3">
        <w:t>pecify when and how you will conduct finished product testing when appropriate (§ 112.146(d)</w:t>
      </w:r>
      <w:r w:rsidRPr="00EC0CC3">
        <w:t>);</w:t>
      </w:r>
    </w:p>
    <w:p w:rsidR="00191DF8" w:rsidRPr="004F5299" w:rsidP="00690C44" w14:paraId="72500531" w14:textId="27DFC823">
      <w:pPr>
        <w:pStyle w:val="GuidanceBulletLevel1"/>
      </w:pPr>
      <w:r>
        <w:t>I</w:t>
      </w:r>
      <w:r w:rsidRPr="00EC0CC3">
        <w:t xml:space="preserve">ndicate that you will perform any other actions necessary to prevent recurrence of the contamination (§ 112.146(e)) and should specify what those actions may be.  For example, you should specify additional steps you will take to determine the source and route of contamination if your exploratory testing or cleaning verification testing yields positive results for </w:t>
      </w:r>
      <w:r w:rsidRPr="00BA2C8F">
        <w:rPr>
          <w:i/>
        </w:rPr>
        <w:t>Listeria</w:t>
      </w:r>
      <w:r w:rsidRPr="00C55A9D">
        <w:t xml:space="preserve"> spp</w:t>
      </w:r>
      <w:r w:rsidRPr="00EC0CC3">
        <w:t xml:space="preserve">. or </w:t>
      </w:r>
      <w:r w:rsidRPr="00BA2C8F">
        <w:rPr>
          <w:i/>
        </w:rPr>
        <w:t>L. monocytogenes</w:t>
      </w:r>
      <w:r w:rsidRPr="00BF40AF">
        <w:t xml:space="preserve"> </w:t>
      </w:r>
      <w:r w:rsidRPr="00EC0CC3">
        <w:t>and steps you will take to eliminate such sources and routes of contamination;</w:t>
      </w:r>
      <w:r w:rsidRPr="004C1ED9" w:rsidR="004C1ED9">
        <w:t xml:space="preserve"> </w:t>
      </w:r>
      <w:r w:rsidRPr="00EC0CC3" w:rsidR="004C1ED9">
        <w:t>and</w:t>
      </w:r>
    </w:p>
    <w:p w:rsidR="00191DF8" w:rsidRPr="004F5299" w:rsidP="00690C44" w14:paraId="02E42350" w14:textId="4F0D9D43">
      <w:pPr>
        <w:pStyle w:val="GuidanceBulletLevel1"/>
      </w:pPr>
      <w:r>
        <w:t>S</w:t>
      </w:r>
      <w:r w:rsidRPr="00EC0CC3">
        <w:t xml:space="preserve">pecify when and how you will take appropriate action to prevent any food that is adulterated under section 402 of the FD&amp;C Act from </w:t>
      </w:r>
      <w:r w:rsidRPr="00EC0CC3">
        <w:t>entering into</w:t>
      </w:r>
      <w:r w:rsidRPr="00EC0CC3">
        <w:t xml:space="preserve"> commerce (§ 112.146(f))</w:t>
      </w:r>
      <w:r w:rsidR="004C1ED9">
        <w:t>.</w:t>
      </w:r>
    </w:p>
    <w:p w:rsidR="00191DF8" w:rsidRPr="00EC0CC3" w:rsidP="006B398F" w14:paraId="701C8217" w14:textId="5C0CD6F5">
      <w:pPr>
        <w:pStyle w:val="HHS508GuidanceOutline30"/>
      </w:pPr>
      <w:bookmarkStart w:id="154" w:name="_bookmark96"/>
      <w:bookmarkStart w:id="155" w:name="_Toc44439371"/>
      <w:bookmarkStart w:id="156" w:name="_Toc106094968"/>
      <w:bookmarkEnd w:id="153"/>
      <w:bookmarkEnd w:id="154"/>
      <w:r w:rsidRPr="00EC0CC3">
        <w:t>Implementing corrective actions</w:t>
      </w:r>
      <w:bookmarkEnd w:id="155"/>
      <w:bookmarkEnd w:id="156"/>
    </w:p>
    <w:p w:rsidR="00191DF8" w:rsidRPr="00EC0CC3" w:rsidP="00E47C04" w14:paraId="71527C78" w14:textId="48FA2C55">
      <w:pPr>
        <w:pStyle w:val="GuidanceParagraph"/>
      </w:pPr>
      <w:r w:rsidRPr="00EC0CC3">
        <w:t xml:space="preserve">We recommend that you consider what corrective action is appropriate in a specific set of circumstances based, in part, on </w:t>
      </w:r>
      <w:r w:rsidRPr="00EC0CC3">
        <w:t>whether or not</w:t>
      </w:r>
      <w:r w:rsidRPr="00EC0CC3">
        <w:t xml:space="preserve"> you detected </w:t>
      </w:r>
      <w:r w:rsidRPr="00EC0CC3">
        <w:rPr>
          <w:i/>
        </w:rPr>
        <w:t xml:space="preserve">Listeria </w:t>
      </w:r>
      <w:r w:rsidRPr="00EC0CC3">
        <w:t xml:space="preserve">spp. or </w:t>
      </w:r>
      <w:r w:rsidRPr="00EC0CC3">
        <w:rPr>
          <w:i/>
        </w:rPr>
        <w:t xml:space="preserve">L. monocytogenes, </w:t>
      </w:r>
      <w:r w:rsidRPr="00EC0CC3">
        <w:t xml:space="preserve">whether or not you detected the organism on an FCS or a non-FCS site, and whether or not this was the first time you detected the organism on the surface. Based on the criteria described above, Table </w:t>
      </w:r>
      <w:r w:rsidR="00301D16">
        <w:t>5</w:t>
      </w:r>
      <w:r w:rsidRPr="00EC0CC3" w:rsidR="00301D16">
        <w:t xml:space="preserve"> </w:t>
      </w:r>
      <w:r w:rsidRPr="00EC0CC3">
        <w:t>provides a key to the corrective actions described in the sections below.</w:t>
      </w:r>
    </w:p>
    <w:p w:rsidR="00191DF8" w:rsidRPr="00EC0CC3" w:rsidP="002A2F14" w14:paraId="70ECDB11" w14:textId="4ED0ADCB">
      <w:pPr>
        <w:pStyle w:val="StyleCaptionArial11pt6ptafter"/>
        <w:spacing w:after="240"/>
      </w:pPr>
      <w:r w:rsidRPr="00EC0CC3">
        <w:t xml:space="preserve">Table </w:t>
      </w:r>
      <w:r w:rsidR="00301D16">
        <w:t>5</w:t>
      </w:r>
      <w:r w:rsidRPr="00EC0CC3">
        <w:t xml:space="preserve">. Corrective Actions </w:t>
      </w:r>
      <w:r w:rsidR="00E2513C">
        <w:t>W</w:t>
      </w:r>
      <w:r w:rsidRPr="00EC0CC3">
        <w:t xml:space="preserve">hen </w:t>
      </w:r>
      <w:r w:rsidRPr="00EC0CC3">
        <w:rPr>
          <w:i/>
        </w:rPr>
        <w:t>Listeria</w:t>
      </w:r>
      <w:r w:rsidRPr="00EC0CC3">
        <w:t xml:space="preserve"> Species or </w:t>
      </w:r>
      <w:r w:rsidRPr="00EC0CC3">
        <w:rPr>
          <w:i/>
        </w:rPr>
        <w:t>L. monocytogenes</w:t>
      </w:r>
      <w:r w:rsidRPr="00EC0CC3">
        <w:t xml:space="preserve"> is Found in an Environmental Sample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472"/>
        <w:gridCol w:w="3495"/>
        <w:gridCol w:w="2343"/>
        <w:gridCol w:w="1040"/>
      </w:tblGrid>
      <w:tr w14:paraId="611F482F" w14:textId="77777777" w:rsidTr="00B27DA3">
        <w:tblPrEx>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Ex>
        <w:trPr>
          <w:trHeight w:val="287"/>
        </w:trPr>
        <w:tc>
          <w:tcPr>
            <w:tcW w:w="1322" w:type="pct"/>
            <w:shd w:val="clear" w:color="auto" w:fill="DADADA"/>
          </w:tcPr>
          <w:p w:rsidR="00191DF8" w:rsidRPr="002D56CA" w:rsidP="00B37F0C" w14:paraId="268CFF79" w14:textId="581AEDAE">
            <w:pPr>
              <w:spacing w:after="240"/>
              <w:jc w:val="center"/>
              <w:rPr>
                <w:rFonts w:ascii="Times New Roman" w:hAnsi="Times New Roman" w:cs="Times New Roman"/>
                <w:b/>
                <w:sz w:val="24"/>
                <w:szCs w:val="24"/>
              </w:rPr>
            </w:pPr>
            <w:r w:rsidRPr="002D56CA">
              <w:rPr>
                <w:rFonts w:ascii="Times New Roman" w:hAnsi="Times New Roman" w:cs="Times New Roman"/>
                <w:b/>
                <w:sz w:val="24"/>
                <w:szCs w:val="24"/>
              </w:rPr>
              <w:t xml:space="preserve">Test </w:t>
            </w:r>
            <w:r w:rsidR="004F2CF9">
              <w:rPr>
                <w:rFonts w:ascii="Times New Roman" w:hAnsi="Times New Roman" w:cs="Times New Roman"/>
                <w:b/>
                <w:sz w:val="24"/>
                <w:szCs w:val="24"/>
              </w:rPr>
              <w:t>Micro</w:t>
            </w:r>
            <w:r w:rsidR="00814CA4">
              <w:rPr>
                <w:rFonts w:ascii="Times New Roman" w:hAnsi="Times New Roman" w:cs="Times New Roman"/>
                <w:b/>
                <w:sz w:val="24"/>
                <w:szCs w:val="24"/>
              </w:rPr>
              <w:t>o</w:t>
            </w:r>
            <w:r w:rsidRPr="002D56CA">
              <w:rPr>
                <w:rFonts w:ascii="Times New Roman" w:hAnsi="Times New Roman" w:cs="Times New Roman"/>
                <w:b/>
                <w:sz w:val="24"/>
                <w:szCs w:val="24"/>
              </w:rPr>
              <w:t>rganism</w:t>
            </w:r>
          </w:p>
        </w:tc>
        <w:tc>
          <w:tcPr>
            <w:tcW w:w="1869" w:type="pct"/>
            <w:shd w:val="clear" w:color="auto" w:fill="DADADA"/>
          </w:tcPr>
          <w:p w:rsidR="00191DF8" w:rsidRPr="002D56CA" w:rsidP="00B37F0C" w14:paraId="0A3193EF" w14:textId="77777777">
            <w:pPr>
              <w:spacing w:after="240"/>
              <w:jc w:val="center"/>
              <w:rPr>
                <w:rFonts w:ascii="Times New Roman" w:hAnsi="Times New Roman" w:cs="Times New Roman"/>
                <w:b/>
                <w:sz w:val="24"/>
                <w:szCs w:val="24"/>
              </w:rPr>
            </w:pPr>
            <w:r w:rsidRPr="002D56CA">
              <w:rPr>
                <w:rFonts w:ascii="Times New Roman" w:hAnsi="Times New Roman" w:cs="Times New Roman"/>
                <w:b/>
                <w:sz w:val="24"/>
                <w:szCs w:val="24"/>
              </w:rPr>
              <w:t>Type of Surface or Product where Positive was Found</w:t>
            </w:r>
          </w:p>
        </w:tc>
        <w:tc>
          <w:tcPr>
            <w:tcW w:w="1253" w:type="pct"/>
            <w:shd w:val="clear" w:color="auto" w:fill="DADADA"/>
          </w:tcPr>
          <w:p w:rsidR="00191DF8" w:rsidRPr="002D56CA" w:rsidP="00B37F0C" w14:paraId="2B04FC89" w14:textId="77777777">
            <w:pPr>
              <w:spacing w:after="240"/>
              <w:jc w:val="center"/>
              <w:rPr>
                <w:rFonts w:ascii="Times New Roman" w:hAnsi="Times New Roman" w:cs="Times New Roman"/>
                <w:b/>
                <w:sz w:val="24"/>
                <w:szCs w:val="24"/>
              </w:rPr>
            </w:pPr>
            <w:r w:rsidRPr="002D56CA">
              <w:rPr>
                <w:rFonts w:ascii="Times New Roman" w:hAnsi="Times New Roman" w:cs="Times New Roman"/>
                <w:b/>
                <w:sz w:val="24"/>
                <w:szCs w:val="24"/>
              </w:rPr>
              <w:t>Positive*</w:t>
            </w:r>
          </w:p>
        </w:tc>
        <w:tc>
          <w:tcPr>
            <w:tcW w:w="556" w:type="pct"/>
            <w:shd w:val="clear" w:color="auto" w:fill="DADADA"/>
          </w:tcPr>
          <w:p w:rsidR="00191DF8" w:rsidRPr="002D56CA" w:rsidP="00B37F0C" w14:paraId="7958DCE5" w14:textId="77777777">
            <w:pPr>
              <w:spacing w:after="240"/>
              <w:jc w:val="center"/>
              <w:rPr>
                <w:rFonts w:ascii="Times New Roman" w:hAnsi="Times New Roman" w:cs="Times New Roman"/>
                <w:b/>
                <w:sz w:val="24"/>
                <w:szCs w:val="24"/>
              </w:rPr>
            </w:pPr>
            <w:r w:rsidRPr="002D56CA">
              <w:rPr>
                <w:rFonts w:ascii="Times New Roman" w:hAnsi="Times New Roman" w:cs="Times New Roman"/>
                <w:b/>
                <w:sz w:val="24"/>
                <w:szCs w:val="24"/>
              </w:rPr>
              <w:t>Sprout Guidance Section</w:t>
            </w:r>
          </w:p>
        </w:tc>
      </w:tr>
      <w:tr w14:paraId="582D5146" w14:textId="77777777" w:rsidTr="00B27DA3">
        <w:tblPrEx>
          <w:tblW w:w="5000" w:type="pct"/>
          <w:tblCellMar>
            <w:left w:w="0" w:type="dxa"/>
            <w:right w:w="0" w:type="dxa"/>
          </w:tblCellMar>
          <w:tblLook w:val="01E0"/>
        </w:tblPrEx>
        <w:trPr>
          <w:trHeight w:val="143"/>
        </w:trPr>
        <w:tc>
          <w:tcPr>
            <w:tcW w:w="1322" w:type="pct"/>
          </w:tcPr>
          <w:p w:rsidR="00191DF8" w:rsidRPr="008573BE" w:rsidP="002A2F14" w14:paraId="08210AD2" w14:textId="77777777">
            <w:pPr>
              <w:spacing w:after="240"/>
              <w:rPr>
                <w:rFonts w:ascii="Times New Roman" w:hAnsi="Times New Roman" w:cs="Times New Roman"/>
                <w:sz w:val="24"/>
                <w:szCs w:val="24"/>
              </w:rPr>
            </w:pPr>
            <w:r w:rsidRPr="002832F9">
              <w:rPr>
                <w:rFonts w:ascii="Times New Roman" w:hAnsi="Times New Roman" w:cs="Times New Roman"/>
                <w:i/>
                <w:sz w:val="24"/>
                <w:szCs w:val="24"/>
              </w:rPr>
              <w:t>Listeria</w:t>
            </w:r>
            <w:r w:rsidRPr="008573BE">
              <w:rPr>
                <w:rFonts w:ascii="Times New Roman" w:hAnsi="Times New Roman" w:cs="Times New Roman"/>
                <w:sz w:val="24"/>
                <w:szCs w:val="24"/>
              </w:rPr>
              <w:t xml:space="preserve"> spp.</w:t>
            </w:r>
          </w:p>
        </w:tc>
        <w:tc>
          <w:tcPr>
            <w:tcW w:w="1869" w:type="pct"/>
          </w:tcPr>
          <w:p w:rsidR="00191DF8" w:rsidRPr="008573BE" w:rsidP="002A2F14" w14:paraId="76A8C24C"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FCS</w:t>
            </w:r>
          </w:p>
        </w:tc>
        <w:tc>
          <w:tcPr>
            <w:tcW w:w="1253" w:type="pct"/>
          </w:tcPr>
          <w:p w:rsidR="00191DF8" w:rsidRPr="008573BE" w:rsidP="002A2F14" w14:paraId="4332DDA9"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1st positive</w:t>
            </w:r>
          </w:p>
        </w:tc>
        <w:tc>
          <w:tcPr>
            <w:tcW w:w="556" w:type="pct"/>
          </w:tcPr>
          <w:p w:rsidR="00191DF8" w:rsidRPr="008573BE" w:rsidP="002A2F14" w14:paraId="116E8692" w14:textId="5856F62B">
            <w:pPr>
              <w:spacing w:after="240"/>
              <w:rPr>
                <w:rFonts w:ascii="Times New Roman" w:hAnsi="Times New Roman" w:cs="Times New Roman"/>
                <w:sz w:val="24"/>
                <w:szCs w:val="24"/>
              </w:rPr>
            </w:pPr>
            <w:r w:rsidRPr="008573BE">
              <w:rPr>
                <w:rFonts w:ascii="Times New Roman" w:hAnsi="Times New Roman" w:cs="Times New Roman"/>
                <w:sz w:val="24"/>
                <w:szCs w:val="24"/>
              </w:rPr>
              <w:t>L.3.</w:t>
            </w:r>
            <w:r w:rsidR="00A54270">
              <w:rPr>
                <w:rFonts w:ascii="Times New Roman" w:hAnsi="Times New Roman" w:cs="Times New Roman"/>
                <w:sz w:val="24"/>
                <w:szCs w:val="24"/>
              </w:rPr>
              <w:t>a</w:t>
            </w:r>
            <w:r w:rsidRPr="008573BE">
              <w:rPr>
                <w:rFonts w:ascii="Times New Roman" w:hAnsi="Times New Roman" w:cs="Times New Roman"/>
                <w:sz w:val="24"/>
                <w:szCs w:val="24"/>
              </w:rPr>
              <w:t xml:space="preserve">. </w:t>
            </w:r>
          </w:p>
        </w:tc>
      </w:tr>
      <w:tr w14:paraId="2C84F5C7" w14:textId="77777777" w:rsidTr="00B27DA3">
        <w:tblPrEx>
          <w:tblW w:w="5000" w:type="pct"/>
          <w:tblCellMar>
            <w:left w:w="0" w:type="dxa"/>
            <w:right w:w="0" w:type="dxa"/>
          </w:tblCellMar>
          <w:tblLook w:val="01E0"/>
        </w:tblPrEx>
        <w:trPr>
          <w:trHeight w:val="70"/>
        </w:trPr>
        <w:tc>
          <w:tcPr>
            <w:tcW w:w="1322" w:type="pct"/>
          </w:tcPr>
          <w:p w:rsidR="00191DF8" w:rsidRPr="008573BE" w:rsidP="002A2F14" w14:paraId="5D93DA25" w14:textId="77777777">
            <w:pPr>
              <w:spacing w:after="240"/>
              <w:rPr>
                <w:rFonts w:ascii="Times New Roman" w:hAnsi="Times New Roman" w:cs="Times New Roman"/>
                <w:sz w:val="24"/>
                <w:szCs w:val="24"/>
              </w:rPr>
            </w:pPr>
            <w:r w:rsidRPr="002832F9">
              <w:rPr>
                <w:rFonts w:ascii="Times New Roman" w:hAnsi="Times New Roman" w:cs="Times New Roman"/>
                <w:i/>
                <w:sz w:val="24"/>
                <w:szCs w:val="24"/>
              </w:rPr>
              <w:t>Listeria</w:t>
            </w:r>
            <w:r w:rsidRPr="008573BE">
              <w:rPr>
                <w:rFonts w:ascii="Times New Roman" w:hAnsi="Times New Roman" w:cs="Times New Roman"/>
                <w:sz w:val="24"/>
                <w:szCs w:val="24"/>
              </w:rPr>
              <w:t xml:space="preserve"> spp.</w:t>
            </w:r>
          </w:p>
        </w:tc>
        <w:tc>
          <w:tcPr>
            <w:tcW w:w="1869" w:type="pct"/>
          </w:tcPr>
          <w:p w:rsidR="00191DF8" w:rsidRPr="008573BE" w:rsidP="002A2F14" w14:paraId="0C24B6FB"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FCS</w:t>
            </w:r>
          </w:p>
        </w:tc>
        <w:tc>
          <w:tcPr>
            <w:tcW w:w="1253" w:type="pct"/>
          </w:tcPr>
          <w:p w:rsidR="00191DF8" w:rsidRPr="008573BE" w:rsidP="002A2F14" w14:paraId="778C601F"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2nd positive</w:t>
            </w:r>
          </w:p>
        </w:tc>
        <w:tc>
          <w:tcPr>
            <w:tcW w:w="556" w:type="pct"/>
          </w:tcPr>
          <w:p w:rsidR="00191DF8" w:rsidRPr="008573BE" w:rsidP="002A2F14" w14:paraId="5F507427" w14:textId="1B2EBFDE">
            <w:pPr>
              <w:spacing w:after="240"/>
              <w:rPr>
                <w:rFonts w:ascii="Times New Roman" w:hAnsi="Times New Roman" w:cs="Times New Roman"/>
                <w:sz w:val="24"/>
                <w:szCs w:val="24"/>
              </w:rPr>
            </w:pPr>
            <w:r w:rsidRPr="008573BE">
              <w:rPr>
                <w:rFonts w:ascii="Times New Roman" w:hAnsi="Times New Roman" w:cs="Times New Roman"/>
                <w:sz w:val="24"/>
                <w:szCs w:val="24"/>
              </w:rPr>
              <w:t>L.</w:t>
            </w:r>
            <w:r w:rsidRPr="008573BE">
              <w:rPr>
                <w:rFonts w:ascii="Times New Roman" w:hAnsi="Times New Roman" w:cs="Times New Roman"/>
                <w:sz w:val="24"/>
                <w:szCs w:val="24"/>
              </w:rPr>
              <w:t>3.</w:t>
            </w:r>
            <w:r w:rsidR="00A54270">
              <w:rPr>
                <w:rFonts w:ascii="Times New Roman" w:hAnsi="Times New Roman" w:cs="Times New Roman"/>
                <w:sz w:val="24"/>
                <w:szCs w:val="24"/>
              </w:rPr>
              <w:t>b</w:t>
            </w:r>
            <w:r w:rsidRPr="008573BE">
              <w:rPr>
                <w:rFonts w:ascii="Times New Roman" w:hAnsi="Times New Roman" w:cs="Times New Roman"/>
                <w:sz w:val="24"/>
                <w:szCs w:val="24"/>
              </w:rPr>
              <w:t>.</w:t>
            </w:r>
          </w:p>
        </w:tc>
      </w:tr>
      <w:tr w14:paraId="023A5D44" w14:textId="77777777" w:rsidTr="00B27DA3">
        <w:tblPrEx>
          <w:tblW w:w="5000" w:type="pct"/>
          <w:tblCellMar>
            <w:left w:w="0" w:type="dxa"/>
            <w:right w:w="0" w:type="dxa"/>
          </w:tblCellMar>
          <w:tblLook w:val="01E0"/>
        </w:tblPrEx>
        <w:trPr>
          <w:trHeight w:val="70"/>
        </w:trPr>
        <w:tc>
          <w:tcPr>
            <w:tcW w:w="1322" w:type="pct"/>
            <w:tcBorders>
              <w:top w:val="single" w:sz="4" w:space="0" w:color="000000"/>
              <w:left w:val="single" w:sz="4" w:space="0" w:color="000000"/>
              <w:bottom w:val="single" w:sz="4" w:space="0" w:color="000000"/>
              <w:right w:val="single" w:sz="4" w:space="0" w:color="000000"/>
            </w:tcBorders>
          </w:tcPr>
          <w:p w:rsidR="00191DF8" w:rsidRPr="008573BE" w:rsidP="002A2F14" w14:paraId="03D5A591" w14:textId="77777777">
            <w:pPr>
              <w:spacing w:after="240"/>
              <w:rPr>
                <w:rFonts w:ascii="Times New Roman" w:hAnsi="Times New Roman" w:cs="Times New Roman"/>
                <w:sz w:val="24"/>
                <w:szCs w:val="24"/>
              </w:rPr>
            </w:pPr>
            <w:r w:rsidRPr="002832F9">
              <w:rPr>
                <w:rFonts w:ascii="Times New Roman" w:hAnsi="Times New Roman" w:cs="Times New Roman"/>
                <w:i/>
                <w:sz w:val="24"/>
                <w:szCs w:val="24"/>
              </w:rPr>
              <w:t>Listeri</w:t>
            </w:r>
            <w:r w:rsidRPr="008573BE">
              <w:rPr>
                <w:rFonts w:ascii="Times New Roman" w:hAnsi="Times New Roman" w:cs="Times New Roman"/>
                <w:sz w:val="24"/>
                <w:szCs w:val="24"/>
              </w:rPr>
              <w:t>a spp.</w:t>
            </w:r>
          </w:p>
        </w:tc>
        <w:tc>
          <w:tcPr>
            <w:tcW w:w="1869" w:type="pct"/>
            <w:tcBorders>
              <w:top w:val="single" w:sz="4" w:space="0" w:color="000000"/>
              <w:left w:val="single" w:sz="4" w:space="0" w:color="000000"/>
              <w:bottom w:val="single" w:sz="4" w:space="0" w:color="000000"/>
              <w:right w:val="single" w:sz="4" w:space="0" w:color="000000"/>
            </w:tcBorders>
          </w:tcPr>
          <w:p w:rsidR="00191DF8" w:rsidRPr="008573BE" w:rsidP="002A2F14" w14:paraId="363D7016"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FCS</w:t>
            </w:r>
          </w:p>
        </w:tc>
        <w:tc>
          <w:tcPr>
            <w:tcW w:w="1253" w:type="pct"/>
            <w:tcBorders>
              <w:top w:val="single" w:sz="4" w:space="0" w:color="000000"/>
              <w:left w:val="single" w:sz="4" w:space="0" w:color="000000"/>
              <w:bottom w:val="single" w:sz="4" w:space="0" w:color="000000"/>
              <w:right w:val="single" w:sz="4" w:space="0" w:color="000000"/>
            </w:tcBorders>
          </w:tcPr>
          <w:p w:rsidR="00191DF8" w:rsidRPr="008573BE" w:rsidP="002A2F14" w14:paraId="6E01CF9C"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3rd or subsequent positive</w:t>
            </w:r>
          </w:p>
        </w:tc>
        <w:tc>
          <w:tcPr>
            <w:tcW w:w="556" w:type="pct"/>
            <w:tcBorders>
              <w:top w:val="single" w:sz="4" w:space="0" w:color="000000"/>
              <w:left w:val="single" w:sz="4" w:space="0" w:color="000000"/>
              <w:bottom w:val="single" w:sz="4" w:space="0" w:color="000000"/>
              <w:right w:val="single" w:sz="4" w:space="0" w:color="000000"/>
            </w:tcBorders>
          </w:tcPr>
          <w:p w:rsidR="00191DF8" w:rsidRPr="008573BE" w:rsidP="002A2F14" w14:paraId="568688C9" w14:textId="6B835EDE">
            <w:pPr>
              <w:spacing w:after="240"/>
              <w:rPr>
                <w:rFonts w:ascii="Times New Roman" w:hAnsi="Times New Roman" w:cs="Times New Roman"/>
                <w:sz w:val="24"/>
                <w:szCs w:val="24"/>
              </w:rPr>
            </w:pPr>
            <w:r w:rsidRPr="008573BE">
              <w:rPr>
                <w:rFonts w:ascii="Times New Roman" w:hAnsi="Times New Roman" w:cs="Times New Roman"/>
                <w:sz w:val="24"/>
                <w:szCs w:val="24"/>
              </w:rPr>
              <w:t>L.</w:t>
            </w:r>
            <w:r w:rsidRPr="008573BE">
              <w:rPr>
                <w:rFonts w:ascii="Times New Roman" w:hAnsi="Times New Roman" w:cs="Times New Roman"/>
                <w:sz w:val="24"/>
                <w:szCs w:val="24"/>
              </w:rPr>
              <w:t>3.</w:t>
            </w:r>
            <w:r w:rsidR="00A54270">
              <w:rPr>
                <w:rFonts w:ascii="Times New Roman" w:hAnsi="Times New Roman" w:cs="Times New Roman"/>
                <w:sz w:val="24"/>
                <w:szCs w:val="24"/>
              </w:rPr>
              <w:t>c</w:t>
            </w:r>
            <w:r w:rsidRPr="008573BE">
              <w:rPr>
                <w:rFonts w:ascii="Times New Roman" w:hAnsi="Times New Roman" w:cs="Times New Roman"/>
                <w:sz w:val="24"/>
                <w:szCs w:val="24"/>
              </w:rPr>
              <w:t>.</w:t>
            </w:r>
          </w:p>
        </w:tc>
      </w:tr>
      <w:tr w14:paraId="2955A19A" w14:textId="77777777" w:rsidTr="00B27DA3">
        <w:tblPrEx>
          <w:tblW w:w="5000" w:type="pct"/>
          <w:tblCellMar>
            <w:left w:w="0" w:type="dxa"/>
            <w:right w:w="0" w:type="dxa"/>
          </w:tblCellMar>
          <w:tblLook w:val="01E0"/>
        </w:tblPrEx>
        <w:trPr>
          <w:trHeight w:val="70"/>
        </w:trPr>
        <w:tc>
          <w:tcPr>
            <w:tcW w:w="1322" w:type="pct"/>
            <w:tcBorders>
              <w:top w:val="single" w:sz="4" w:space="0" w:color="000000"/>
              <w:left w:val="single" w:sz="4" w:space="0" w:color="000000"/>
              <w:bottom w:val="single" w:sz="4" w:space="0" w:color="000000"/>
              <w:right w:val="single" w:sz="4" w:space="0" w:color="000000"/>
            </w:tcBorders>
          </w:tcPr>
          <w:p w:rsidR="00191DF8" w:rsidRPr="00EB5235" w:rsidP="002A2F14" w14:paraId="1418AFCE" w14:textId="77777777">
            <w:pPr>
              <w:spacing w:after="240"/>
              <w:rPr>
                <w:rFonts w:ascii="Times New Roman" w:hAnsi="Times New Roman" w:cs="Times New Roman"/>
                <w:i/>
                <w:sz w:val="24"/>
                <w:szCs w:val="24"/>
              </w:rPr>
            </w:pPr>
            <w:r w:rsidRPr="00EB5235">
              <w:rPr>
                <w:rFonts w:ascii="Times New Roman" w:hAnsi="Times New Roman" w:cs="Times New Roman"/>
                <w:i/>
                <w:sz w:val="24"/>
                <w:szCs w:val="24"/>
              </w:rPr>
              <w:t>L. monocytogenes</w:t>
            </w:r>
          </w:p>
        </w:tc>
        <w:tc>
          <w:tcPr>
            <w:tcW w:w="1869" w:type="pct"/>
            <w:tcBorders>
              <w:top w:val="single" w:sz="4" w:space="0" w:color="000000"/>
              <w:left w:val="single" w:sz="4" w:space="0" w:color="000000"/>
              <w:bottom w:val="single" w:sz="4" w:space="0" w:color="000000"/>
              <w:right w:val="single" w:sz="4" w:space="0" w:color="000000"/>
            </w:tcBorders>
          </w:tcPr>
          <w:p w:rsidR="00191DF8" w:rsidRPr="00EB5235" w:rsidP="002A2F14" w14:paraId="121D2ADD" w14:textId="77777777">
            <w:pPr>
              <w:spacing w:after="240"/>
              <w:rPr>
                <w:rFonts w:ascii="Times New Roman" w:hAnsi="Times New Roman" w:cs="Times New Roman"/>
                <w:sz w:val="24"/>
                <w:szCs w:val="24"/>
              </w:rPr>
            </w:pPr>
            <w:r w:rsidRPr="00EB5235">
              <w:rPr>
                <w:rFonts w:ascii="Times New Roman" w:hAnsi="Times New Roman" w:cs="Times New Roman"/>
                <w:sz w:val="24"/>
                <w:szCs w:val="24"/>
              </w:rPr>
              <w:t>Product</w:t>
            </w:r>
          </w:p>
        </w:tc>
        <w:tc>
          <w:tcPr>
            <w:tcW w:w="1253" w:type="pct"/>
            <w:tcBorders>
              <w:top w:val="single" w:sz="4" w:space="0" w:color="000000"/>
              <w:left w:val="single" w:sz="4" w:space="0" w:color="000000"/>
              <w:bottom w:val="single" w:sz="4" w:space="0" w:color="000000"/>
              <w:right w:val="single" w:sz="4" w:space="0" w:color="000000"/>
            </w:tcBorders>
          </w:tcPr>
          <w:p w:rsidR="00191DF8" w:rsidRPr="00EB5235" w:rsidP="002A2F14" w14:paraId="04020D2C" w14:textId="77777777">
            <w:pPr>
              <w:spacing w:after="240"/>
              <w:rPr>
                <w:rFonts w:ascii="Times New Roman" w:hAnsi="Times New Roman" w:cs="Times New Roman"/>
                <w:sz w:val="24"/>
                <w:szCs w:val="24"/>
              </w:rPr>
            </w:pPr>
            <w:r w:rsidRPr="00EB5235">
              <w:rPr>
                <w:rFonts w:ascii="Times New Roman" w:hAnsi="Times New Roman" w:cs="Times New Roman"/>
                <w:sz w:val="24"/>
                <w:szCs w:val="24"/>
              </w:rPr>
              <w:t>Any</w:t>
            </w:r>
          </w:p>
        </w:tc>
        <w:tc>
          <w:tcPr>
            <w:tcW w:w="556" w:type="pct"/>
            <w:tcBorders>
              <w:top w:val="single" w:sz="4" w:space="0" w:color="000000"/>
              <w:left w:val="single" w:sz="4" w:space="0" w:color="000000"/>
              <w:bottom w:val="single" w:sz="4" w:space="0" w:color="000000"/>
              <w:right w:val="single" w:sz="4" w:space="0" w:color="000000"/>
            </w:tcBorders>
          </w:tcPr>
          <w:p w:rsidR="00191DF8" w:rsidRPr="00EB5235" w:rsidP="002A2F14" w14:paraId="5DBFFCE4" w14:textId="29DB65D5">
            <w:pPr>
              <w:spacing w:after="240"/>
              <w:rPr>
                <w:rFonts w:ascii="Times New Roman" w:hAnsi="Times New Roman" w:cs="Times New Roman"/>
                <w:sz w:val="24"/>
                <w:szCs w:val="24"/>
              </w:rPr>
            </w:pPr>
            <w:r w:rsidRPr="00EB5235">
              <w:rPr>
                <w:rFonts w:ascii="Times New Roman" w:hAnsi="Times New Roman" w:cs="Times New Roman"/>
                <w:sz w:val="24"/>
                <w:szCs w:val="24"/>
              </w:rPr>
              <w:t>L.</w:t>
            </w:r>
            <w:r w:rsidRPr="00EB5235">
              <w:rPr>
                <w:rFonts w:ascii="Times New Roman" w:hAnsi="Times New Roman" w:cs="Times New Roman"/>
                <w:sz w:val="24"/>
                <w:szCs w:val="24"/>
              </w:rPr>
              <w:t>3.</w:t>
            </w:r>
            <w:r w:rsidRPr="00EB5235" w:rsidR="006D18C1">
              <w:rPr>
                <w:rFonts w:ascii="Times New Roman" w:hAnsi="Times New Roman" w:cs="Times New Roman"/>
                <w:sz w:val="24"/>
                <w:szCs w:val="24"/>
              </w:rPr>
              <w:t>c</w:t>
            </w:r>
            <w:r w:rsidRPr="00EB5235">
              <w:rPr>
                <w:rFonts w:ascii="Times New Roman" w:hAnsi="Times New Roman" w:cs="Times New Roman"/>
                <w:sz w:val="24"/>
                <w:szCs w:val="24"/>
              </w:rPr>
              <w:t>.</w:t>
            </w:r>
          </w:p>
        </w:tc>
      </w:tr>
      <w:tr w14:paraId="2151882C" w14:textId="77777777" w:rsidTr="00B27DA3">
        <w:tblPrEx>
          <w:tblW w:w="5000" w:type="pct"/>
          <w:tblCellMar>
            <w:left w:w="0" w:type="dxa"/>
            <w:right w:w="0" w:type="dxa"/>
          </w:tblCellMar>
          <w:tblLook w:val="01E0"/>
        </w:tblPrEx>
        <w:trPr>
          <w:trHeight w:val="70"/>
        </w:trPr>
        <w:tc>
          <w:tcPr>
            <w:tcW w:w="1322" w:type="pct"/>
            <w:tcBorders>
              <w:top w:val="single" w:sz="4" w:space="0" w:color="000000"/>
              <w:left w:val="single" w:sz="4" w:space="0" w:color="000000"/>
              <w:bottom w:val="single" w:sz="4" w:space="0" w:color="000000"/>
              <w:right w:val="single" w:sz="4" w:space="0" w:color="000000"/>
            </w:tcBorders>
          </w:tcPr>
          <w:p w:rsidR="00191DF8" w:rsidRPr="008573BE" w:rsidP="002A2F14" w14:paraId="55256490" w14:textId="77777777">
            <w:pPr>
              <w:spacing w:after="240"/>
              <w:rPr>
                <w:rFonts w:ascii="Times New Roman" w:hAnsi="Times New Roman" w:cs="Times New Roman"/>
                <w:sz w:val="24"/>
                <w:szCs w:val="24"/>
              </w:rPr>
            </w:pPr>
            <w:r w:rsidRPr="002832F9">
              <w:rPr>
                <w:rFonts w:ascii="Times New Roman" w:hAnsi="Times New Roman" w:cs="Times New Roman"/>
                <w:i/>
                <w:sz w:val="24"/>
                <w:szCs w:val="24"/>
              </w:rPr>
              <w:t>Listeria</w:t>
            </w:r>
            <w:r w:rsidRPr="008573BE">
              <w:rPr>
                <w:rFonts w:ascii="Times New Roman" w:hAnsi="Times New Roman" w:cs="Times New Roman"/>
                <w:sz w:val="24"/>
                <w:szCs w:val="24"/>
              </w:rPr>
              <w:t xml:space="preserve"> spp.</w:t>
            </w:r>
          </w:p>
        </w:tc>
        <w:tc>
          <w:tcPr>
            <w:tcW w:w="1869" w:type="pct"/>
            <w:tcBorders>
              <w:top w:val="single" w:sz="4" w:space="0" w:color="000000"/>
              <w:left w:val="single" w:sz="4" w:space="0" w:color="000000"/>
              <w:bottom w:val="single" w:sz="4" w:space="0" w:color="000000"/>
              <w:right w:val="single" w:sz="4" w:space="0" w:color="000000"/>
            </w:tcBorders>
          </w:tcPr>
          <w:p w:rsidR="00191DF8" w:rsidRPr="008573BE" w:rsidP="002A2F14" w14:paraId="168FDD6E"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FCS in a growing unit</w:t>
            </w:r>
          </w:p>
        </w:tc>
        <w:tc>
          <w:tcPr>
            <w:tcW w:w="1253" w:type="pct"/>
            <w:tcBorders>
              <w:top w:val="single" w:sz="4" w:space="0" w:color="000000"/>
              <w:left w:val="single" w:sz="4" w:space="0" w:color="000000"/>
              <w:bottom w:val="single" w:sz="4" w:space="0" w:color="000000"/>
              <w:right w:val="single" w:sz="4" w:space="0" w:color="000000"/>
            </w:tcBorders>
          </w:tcPr>
          <w:p w:rsidR="00191DF8" w:rsidRPr="008573BE" w:rsidP="002A2F14" w14:paraId="282E74C4"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Any</w:t>
            </w:r>
          </w:p>
        </w:tc>
        <w:tc>
          <w:tcPr>
            <w:tcW w:w="556" w:type="pct"/>
            <w:tcBorders>
              <w:top w:val="single" w:sz="4" w:space="0" w:color="000000"/>
              <w:left w:val="single" w:sz="4" w:space="0" w:color="000000"/>
              <w:bottom w:val="single" w:sz="4" w:space="0" w:color="000000"/>
              <w:right w:val="single" w:sz="4" w:space="0" w:color="000000"/>
            </w:tcBorders>
          </w:tcPr>
          <w:p w:rsidR="00191DF8" w:rsidRPr="008573BE" w:rsidP="002A2F14" w14:paraId="194258B3" w14:textId="60DE6788">
            <w:pPr>
              <w:spacing w:after="240"/>
              <w:rPr>
                <w:rFonts w:ascii="Times New Roman" w:hAnsi="Times New Roman" w:cs="Times New Roman"/>
                <w:sz w:val="24"/>
                <w:szCs w:val="24"/>
              </w:rPr>
            </w:pPr>
            <w:r w:rsidRPr="008573BE">
              <w:rPr>
                <w:rFonts w:ascii="Times New Roman" w:hAnsi="Times New Roman" w:cs="Times New Roman"/>
                <w:sz w:val="24"/>
                <w:szCs w:val="24"/>
              </w:rPr>
              <w:t>L.</w:t>
            </w:r>
            <w:r w:rsidRPr="008573BE">
              <w:rPr>
                <w:rFonts w:ascii="Times New Roman" w:hAnsi="Times New Roman" w:cs="Times New Roman"/>
                <w:sz w:val="24"/>
                <w:szCs w:val="24"/>
              </w:rPr>
              <w:t>3.</w:t>
            </w:r>
            <w:r w:rsidR="006D18C1">
              <w:rPr>
                <w:rFonts w:ascii="Times New Roman" w:hAnsi="Times New Roman" w:cs="Times New Roman"/>
                <w:sz w:val="24"/>
                <w:szCs w:val="24"/>
              </w:rPr>
              <w:t>d</w:t>
            </w:r>
            <w:r w:rsidRPr="008573BE">
              <w:rPr>
                <w:rFonts w:ascii="Times New Roman" w:hAnsi="Times New Roman" w:cs="Times New Roman"/>
                <w:sz w:val="24"/>
                <w:szCs w:val="24"/>
              </w:rPr>
              <w:t>.</w:t>
            </w:r>
          </w:p>
        </w:tc>
      </w:tr>
      <w:tr w14:paraId="46EA855C" w14:textId="77777777" w:rsidTr="00B27DA3">
        <w:tblPrEx>
          <w:tblW w:w="5000" w:type="pct"/>
          <w:tblCellMar>
            <w:left w:w="0" w:type="dxa"/>
            <w:right w:w="0" w:type="dxa"/>
          </w:tblCellMar>
          <w:tblLook w:val="01E0"/>
        </w:tblPrEx>
        <w:trPr>
          <w:trHeight w:val="70"/>
        </w:trPr>
        <w:tc>
          <w:tcPr>
            <w:tcW w:w="1322" w:type="pct"/>
            <w:tcBorders>
              <w:top w:val="single" w:sz="4" w:space="0" w:color="000000"/>
              <w:left w:val="single" w:sz="4" w:space="0" w:color="000000"/>
              <w:bottom w:val="single" w:sz="4" w:space="0" w:color="000000"/>
              <w:right w:val="single" w:sz="4" w:space="0" w:color="000000"/>
            </w:tcBorders>
          </w:tcPr>
          <w:p w:rsidR="00191DF8" w:rsidRPr="002832F9" w:rsidP="002A2F14" w14:paraId="4FE1BBDA" w14:textId="77777777">
            <w:pPr>
              <w:spacing w:after="240"/>
              <w:rPr>
                <w:rFonts w:ascii="Times New Roman" w:hAnsi="Times New Roman" w:cs="Times New Roman"/>
                <w:i/>
                <w:sz w:val="24"/>
                <w:szCs w:val="24"/>
              </w:rPr>
            </w:pPr>
            <w:r w:rsidRPr="002832F9">
              <w:rPr>
                <w:rFonts w:ascii="Times New Roman" w:hAnsi="Times New Roman" w:cs="Times New Roman"/>
                <w:i/>
                <w:sz w:val="24"/>
                <w:szCs w:val="24"/>
              </w:rPr>
              <w:t>L. monocytogenes</w:t>
            </w:r>
          </w:p>
        </w:tc>
        <w:tc>
          <w:tcPr>
            <w:tcW w:w="1869" w:type="pct"/>
            <w:tcBorders>
              <w:top w:val="single" w:sz="4" w:space="0" w:color="000000"/>
              <w:left w:val="single" w:sz="4" w:space="0" w:color="000000"/>
              <w:bottom w:val="single" w:sz="4" w:space="0" w:color="000000"/>
              <w:right w:val="single" w:sz="4" w:space="0" w:color="000000"/>
            </w:tcBorders>
          </w:tcPr>
          <w:p w:rsidR="00191DF8" w:rsidRPr="008573BE" w:rsidP="002A2F14" w14:paraId="21F0790F"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FCS or non-FCS</w:t>
            </w:r>
          </w:p>
        </w:tc>
        <w:tc>
          <w:tcPr>
            <w:tcW w:w="1253" w:type="pct"/>
            <w:tcBorders>
              <w:top w:val="single" w:sz="4" w:space="0" w:color="000000"/>
              <w:left w:val="single" w:sz="4" w:space="0" w:color="000000"/>
              <w:bottom w:val="single" w:sz="4" w:space="0" w:color="000000"/>
              <w:right w:val="single" w:sz="4" w:space="0" w:color="000000"/>
            </w:tcBorders>
          </w:tcPr>
          <w:p w:rsidR="00191DF8" w:rsidRPr="008573BE" w:rsidP="002A2F14" w14:paraId="2160E647"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Any</w:t>
            </w:r>
          </w:p>
        </w:tc>
        <w:tc>
          <w:tcPr>
            <w:tcW w:w="556" w:type="pct"/>
            <w:tcBorders>
              <w:top w:val="single" w:sz="4" w:space="0" w:color="000000"/>
              <w:left w:val="single" w:sz="4" w:space="0" w:color="000000"/>
              <w:bottom w:val="single" w:sz="4" w:space="0" w:color="000000"/>
              <w:right w:val="single" w:sz="4" w:space="0" w:color="000000"/>
            </w:tcBorders>
          </w:tcPr>
          <w:p w:rsidR="00191DF8" w:rsidRPr="008573BE" w:rsidP="002A2F14" w14:paraId="1D6F039E"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L.4.</w:t>
            </w:r>
          </w:p>
        </w:tc>
      </w:tr>
      <w:tr w14:paraId="769C7A89" w14:textId="77777777" w:rsidTr="00B27DA3">
        <w:tblPrEx>
          <w:tblW w:w="5000" w:type="pct"/>
          <w:tblCellMar>
            <w:left w:w="0" w:type="dxa"/>
            <w:right w:w="0" w:type="dxa"/>
          </w:tblCellMar>
          <w:tblLook w:val="01E0"/>
        </w:tblPrEx>
        <w:trPr>
          <w:trHeight w:val="70"/>
        </w:trPr>
        <w:tc>
          <w:tcPr>
            <w:tcW w:w="1322" w:type="pct"/>
            <w:tcBorders>
              <w:top w:val="single" w:sz="4" w:space="0" w:color="000000"/>
              <w:left w:val="single" w:sz="4" w:space="0" w:color="000000"/>
              <w:bottom w:val="single" w:sz="4" w:space="0" w:color="000000"/>
              <w:right w:val="single" w:sz="4" w:space="0" w:color="000000"/>
            </w:tcBorders>
          </w:tcPr>
          <w:p w:rsidR="00191DF8" w:rsidRPr="008573BE" w:rsidP="002A2F14" w14:paraId="2E0B06C5" w14:textId="77777777">
            <w:pPr>
              <w:spacing w:after="240"/>
              <w:rPr>
                <w:rFonts w:ascii="Times New Roman" w:hAnsi="Times New Roman" w:cs="Times New Roman"/>
                <w:sz w:val="24"/>
                <w:szCs w:val="24"/>
              </w:rPr>
            </w:pPr>
            <w:r w:rsidRPr="002832F9">
              <w:rPr>
                <w:rFonts w:ascii="Times New Roman" w:hAnsi="Times New Roman" w:cs="Times New Roman"/>
                <w:i/>
                <w:sz w:val="24"/>
                <w:szCs w:val="24"/>
              </w:rPr>
              <w:t>Listeria</w:t>
            </w:r>
            <w:r w:rsidRPr="008573BE">
              <w:rPr>
                <w:rFonts w:ascii="Times New Roman" w:hAnsi="Times New Roman" w:cs="Times New Roman"/>
                <w:sz w:val="24"/>
                <w:szCs w:val="24"/>
              </w:rPr>
              <w:t xml:space="preserve"> spp.</w:t>
            </w:r>
          </w:p>
        </w:tc>
        <w:tc>
          <w:tcPr>
            <w:tcW w:w="1869" w:type="pct"/>
            <w:tcBorders>
              <w:top w:val="single" w:sz="4" w:space="0" w:color="000000"/>
              <w:left w:val="single" w:sz="4" w:space="0" w:color="000000"/>
              <w:bottom w:val="single" w:sz="4" w:space="0" w:color="000000"/>
              <w:right w:val="single" w:sz="4" w:space="0" w:color="000000"/>
            </w:tcBorders>
          </w:tcPr>
          <w:p w:rsidR="00191DF8" w:rsidRPr="008573BE" w:rsidP="002A2F14" w14:paraId="780F8011"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Non-FCS</w:t>
            </w:r>
          </w:p>
        </w:tc>
        <w:tc>
          <w:tcPr>
            <w:tcW w:w="1253" w:type="pct"/>
            <w:tcBorders>
              <w:top w:val="single" w:sz="4" w:space="0" w:color="000000"/>
              <w:left w:val="single" w:sz="4" w:space="0" w:color="000000"/>
              <w:bottom w:val="single" w:sz="4" w:space="0" w:color="000000"/>
              <w:right w:val="single" w:sz="4" w:space="0" w:color="000000"/>
            </w:tcBorders>
          </w:tcPr>
          <w:p w:rsidR="00191DF8" w:rsidRPr="008573BE" w:rsidP="002A2F14" w14:paraId="05B0F77A"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1st positive</w:t>
            </w:r>
          </w:p>
        </w:tc>
        <w:tc>
          <w:tcPr>
            <w:tcW w:w="556" w:type="pct"/>
            <w:tcBorders>
              <w:top w:val="single" w:sz="4" w:space="0" w:color="000000"/>
              <w:left w:val="single" w:sz="4" w:space="0" w:color="000000"/>
              <w:bottom w:val="single" w:sz="4" w:space="0" w:color="000000"/>
              <w:right w:val="single" w:sz="4" w:space="0" w:color="000000"/>
            </w:tcBorders>
          </w:tcPr>
          <w:p w:rsidR="00191DF8" w:rsidRPr="008573BE" w:rsidP="002A2F14" w14:paraId="7112BAFD" w14:textId="4F36AD5D">
            <w:pPr>
              <w:spacing w:after="240"/>
              <w:rPr>
                <w:rFonts w:ascii="Times New Roman" w:hAnsi="Times New Roman" w:cs="Times New Roman"/>
                <w:sz w:val="24"/>
                <w:szCs w:val="24"/>
              </w:rPr>
            </w:pPr>
            <w:r w:rsidRPr="008573BE">
              <w:rPr>
                <w:rFonts w:ascii="Times New Roman" w:hAnsi="Times New Roman" w:cs="Times New Roman"/>
                <w:sz w:val="24"/>
                <w:szCs w:val="24"/>
              </w:rPr>
              <w:t>L.5.</w:t>
            </w:r>
            <w:r w:rsidR="00B73543">
              <w:rPr>
                <w:rFonts w:ascii="Times New Roman" w:hAnsi="Times New Roman" w:cs="Times New Roman"/>
                <w:sz w:val="24"/>
                <w:szCs w:val="24"/>
              </w:rPr>
              <w:t>a</w:t>
            </w:r>
            <w:r w:rsidRPr="008573BE">
              <w:rPr>
                <w:rFonts w:ascii="Times New Roman" w:hAnsi="Times New Roman" w:cs="Times New Roman"/>
                <w:sz w:val="24"/>
                <w:szCs w:val="24"/>
              </w:rPr>
              <w:t xml:space="preserve">. </w:t>
            </w:r>
          </w:p>
        </w:tc>
      </w:tr>
      <w:tr w14:paraId="5E8713A6" w14:textId="77777777" w:rsidTr="00B27DA3">
        <w:tblPrEx>
          <w:tblW w:w="5000" w:type="pct"/>
          <w:tblCellMar>
            <w:left w:w="0" w:type="dxa"/>
            <w:right w:w="0" w:type="dxa"/>
          </w:tblCellMar>
          <w:tblLook w:val="01E0"/>
        </w:tblPrEx>
        <w:trPr>
          <w:trHeight w:val="70"/>
        </w:trPr>
        <w:tc>
          <w:tcPr>
            <w:tcW w:w="1322" w:type="pct"/>
            <w:tcBorders>
              <w:top w:val="single" w:sz="4" w:space="0" w:color="000000"/>
              <w:left w:val="single" w:sz="4" w:space="0" w:color="000000"/>
              <w:bottom w:val="single" w:sz="4" w:space="0" w:color="000000"/>
              <w:right w:val="single" w:sz="4" w:space="0" w:color="000000"/>
            </w:tcBorders>
          </w:tcPr>
          <w:p w:rsidR="00191DF8" w:rsidRPr="008573BE" w:rsidP="002A2F14" w14:paraId="6C15D912" w14:textId="77777777">
            <w:pPr>
              <w:spacing w:after="240"/>
              <w:rPr>
                <w:rFonts w:ascii="Times New Roman" w:hAnsi="Times New Roman" w:cs="Times New Roman"/>
                <w:sz w:val="24"/>
                <w:szCs w:val="24"/>
              </w:rPr>
            </w:pPr>
            <w:r w:rsidRPr="002832F9">
              <w:rPr>
                <w:rFonts w:ascii="Times New Roman" w:hAnsi="Times New Roman" w:cs="Times New Roman"/>
                <w:i/>
                <w:sz w:val="24"/>
                <w:szCs w:val="24"/>
              </w:rPr>
              <w:t>Listeria</w:t>
            </w:r>
            <w:r w:rsidRPr="008573BE">
              <w:rPr>
                <w:rFonts w:ascii="Times New Roman" w:hAnsi="Times New Roman" w:cs="Times New Roman"/>
                <w:sz w:val="24"/>
                <w:szCs w:val="24"/>
              </w:rPr>
              <w:t xml:space="preserve"> spp.</w:t>
            </w:r>
          </w:p>
        </w:tc>
        <w:tc>
          <w:tcPr>
            <w:tcW w:w="1869" w:type="pct"/>
            <w:tcBorders>
              <w:top w:val="single" w:sz="4" w:space="0" w:color="000000"/>
              <w:left w:val="single" w:sz="4" w:space="0" w:color="000000"/>
              <w:bottom w:val="single" w:sz="4" w:space="0" w:color="000000"/>
              <w:right w:val="single" w:sz="4" w:space="0" w:color="000000"/>
            </w:tcBorders>
          </w:tcPr>
          <w:p w:rsidR="00191DF8" w:rsidRPr="008573BE" w:rsidP="002A2F14" w14:paraId="1D3578C2"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Non-FCS</w:t>
            </w:r>
          </w:p>
        </w:tc>
        <w:tc>
          <w:tcPr>
            <w:tcW w:w="1253" w:type="pct"/>
            <w:tcBorders>
              <w:top w:val="single" w:sz="4" w:space="0" w:color="000000"/>
              <w:left w:val="single" w:sz="4" w:space="0" w:color="000000"/>
              <w:bottom w:val="single" w:sz="4" w:space="0" w:color="000000"/>
              <w:right w:val="single" w:sz="4" w:space="0" w:color="000000"/>
            </w:tcBorders>
          </w:tcPr>
          <w:p w:rsidR="00191DF8" w:rsidRPr="008573BE" w:rsidP="002A2F14" w14:paraId="27666FA3"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2nd positive</w:t>
            </w:r>
          </w:p>
        </w:tc>
        <w:tc>
          <w:tcPr>
            <w:tcW w:w="556" w:type="pct"/>
            <w:tcBorders>
              <w:top w:val="single" w:sz="4" w:space="0" w:color="000000"/>
              <w:left w:val="single" w:sz="4" w:space="0" w:color="000000"/>
              <w:bottom w:val="single" w:sz="4" w:space="0" w:color="000000"/>
              <w:right w:val="single" w:sz="4" w:space="0" w:color="000000"/>
            </w:tcBorders>
          </w:tcPr>
          <w:p w:rsidR="00191DF8" w:rsidRPr="008573BE" w:rsidP="002A2F14" w14:paraId="1FD58CCB" w14:textId="7FA5A445">
            <w:pPr>
              <w:spacing w:after="240"/>
              <w:rPr>
                <w:rFonts w:ascii="Times New Roman" w:hAnsi="Times New Roman" w:cs="Times New Roman"/>
                <w:sz w:val="24"/>
                <w:szCs w:val="24"/>
              </w:rPr>
            </w:pPr>
            <w:r w:rsidRPr="008573BE">
              <w:rPr>
                <w:rFonts w:ascii="Times New Roman" w:hAnsi="Times New Roman" w:cs="Times New Roman"/>
                <w:sz w:val="24"/>
                <w:szCs w:val="24"/>
              </w:rPr>
              <w:t>L.</w:t>
            </w:r>
            <w:r w:rsidRPr="008573BE">
              <w:rPr>
                <w:rFonts w:ascii="Times New Roman" w:hAnsi="Times New Roman" w:cs="Times New Roman"/>
                <w:sz w:val="24"/>
                <w:szCs w:val="24"/>
              </w:rPr>
              <w:t>5.</w:t>
            </w:r>
            <w:r w:rsidR="00B73543">
              <w:rPr>
                <w:rFonts w:ascii="Times New Roman" w:hAnsi="Times New Roman" w:cs="Times New Roman"/>
                <w:sz w:val="24"/>
                <w:szCs w:val="24"/>
              </w:rPr>
              <w:t>b</w:t>
            </w:r>
            <w:r w:rsidRPr="008573BE">
              <w:rPr>
                <w:rFonts w:ascii="Times New Roman" w:hAnsi="Times New Roman" w:cs="Times New Roman"/>
                <w:sz w:val="24"/>
                <w:szCs w:val="24"/>
              </w:rPr>
              <w:t>.</w:t>
            </w:r>
          </w:p>
        </w:tc>
      </w:tr>
      <w:tr w14:paraId="5B0E022A" w14:textId="77777777" w:rsidTr="00B27DA3">
        <w:tblPrEx>
          <w:tblW w:w="5000" w:type="pct"/>
          <w:tblCellMar>
            <w:left w:w="0" w:type="dxa"/>
            <w:right w:w="0" w:type="dxa"/>
          </w:tblCellMar>
          <w:tblLook w:val="01E0"/>
        </w:tblPrEx>
        <w:trPr>
          <w:trHeight w:val="70"/>
        </w:trPr>
        <w:tc>
          <w:tcPr>
            <w:tcW w:w="1322" w:type="pct"/>
            <w:tcBorders>
              <w:top w:val="single" w:sz="4" w:space="0" w:color="000000"/>
              <w:left w:val="single" w:sz="4" w:space="0" w:color="000000"/>
              <w:bottom w:val="single" w:sz="4" w:space="0" w:color="000000"/>
              <w:right w:val="single" w:sz="4" w:space="0" w:color="000000"/>
            </w:tcBorders>
          </w:tcPr>
          <w:p w:rsidR="00191DF8" w:rsidRPr="008573BE" w:rsidP="002A2F14" w14:paraId="7F09A137" w14:textId="77777777">
            <w:pPr>
              <w:spacing w:after="240"/>
              <w:rPr>
                <w:rFonts w:ascii="Times New Roman" w:hAnsi="Times New Roman" w:cs="Times New Roman"/>
                <w:sz w:val="24"/>
                <w:szCs w:val="24"/>
              </w:rPr>
            </w:pPr>
            <w:r w:rsidRPr="002832F9">
              <w:rPr>
                <w:rFonts w:ascii="Times New Roman" w:hAnsi="Times New Roman" w:cs="Times New Roman"/>
                <w:i/>
                <w:sz w:val="24"/>
                <w:szCs w:val="24"/>
              </w:rPr>
              <w:t>Listeria</w:t>
            </w:r>
            <w:r w:rsidRPr="008573BE">
              <w:rPr>
                <w:rFonts w:ascii="Times New Roman" w:hAnsi="Times New Roman" w:cs="Times New Roman"/>
                <w:sz w:val="24"/>
                <w:szCs w:val="24"/>
              </w:rPr>
              <w:t xml:space="preserve"> spp.</w:t>
            </w:r>
          </w:p>
        </w:tc>
        <w:tc>
          <w:tcPr>
            <w:tcW w:w="1869" w:type="pct"/>
            <w:tcBorders>
              <w:top w:val="single" w:sz="4" w:space="0" w:color="000000"/>
              <w:left w:val="single" w:sz="4" w:space="0" w:color="000000"/>
              <w:bottom w:val="single" w:sz="4" w:space="0" w:color="000000"/>
              <w:right w:val="single" w:sz="4" w:space="0" w:color="000000"/>
            </w:tcBorders>
          </w:tcPr>
          <w:p w:rsidR="00191DF8" w:rsidRPr="008573BE" w:rsidP="002A2F14" w14:paraId="2F7AB9FC"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Non-FCS</w:t>
            </w:r>
          </w:p>
        </w:tc>
        <w:tc>
          <w:tcPr>
            <w:tcW w:w="1253" w:type="pct"/>
            <w:tcBorders>
              <w:top w:val="single" w:sz="4" w:space="0" w:color="000000"/>
              <w:left w:val="single" w:sz="4" w:space="0" w:color="000000"/>
              <w:bottom w:val="single" w:sz="4" w:space="0" w:color="000000"/>
              <w:right w:val="single" w:sz="4" w:space="0" w:color="000000"/>
            </w:tcBorders>
          </w:tcPr>
          <w:p w:rsidR="00191DF8" w:rsidRPr="008573BE" w:rsidP="002A2F14" w14:paraId="123DCDE5"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3rd or subsequent positive</w:t>
            </w:r>
          </w:p>
        </w:tc>
        <w:tc>
          <w:tcPr>
            <w:tcW w:w="556" w:type="pct"/>
            <w:tcBorders>
              <w:top w:val="single" w:sz="4" w:space="0" w:color="000000"/>
              <w:left w:val="single" w:sz="4" w:space="0" w:color="000000"/>
              <w:bottom w:val="single" w:sz="4" w:space="0" w:color="000000"/>
              <w:right w:val="single" w:sz="4" w:space="0" w:color="000000"/>
            </w:tcBorders>
          </w:tcPr>
          <w:p w:rsidR="00191DF8" w:rsidRPr="008573BE" w:rsidP="002A2F14" w14:paraId="68107965" w14:textId="109BE2F4">
            <w:pPr>
              <w:spacing w:after="240"/>
              <w:rPr>
                <w:rFonts w:ascii="Times New Roman" w:hAnsi="Times New Roman" w:cs="Times New Roman"/>
                <w:sz w:val="24"/>
                <w:szCs w:val="24"/>
              </w:rPr>
            </w:pPr>
            <w:r w:rsidRPr="008573BE">
              <w:rPr>
                <w:rFonts w:ascii="Times New Roman" w:hAnsi="Times New Roman" w:cs="Times New Roman"/>
                <w:sz w:val="24"/>
                <w:szCs w:val="24"/>
              </w:rPr>
              <w:t>L.</w:t>
            </w:r>
            <w:r w:rsidRPr="008573BE">
              <w:rPr>
                <w:rFonts w:ascii="Times New Roman" w:hAnsi="Times New Roman" w:cs="Times New Roman"/>
                <w:sz w:val="24"/>
                <w:szCs w:val="24"/>
              </w:rPr>
              <w:t>5.</w:t>
            </w:r>
            <w:r w:rsidR="00B73543">
              <w:rPr>
                <w:rFonts w:ascii="Times New Roman" w:hAnsi="Times New Roman" w:cs="Times New Roman"/>
                <w:sz w:val="24"/>
                <w:szCs w:val="24"/>
              </w:rPr>
              <w:t>c</w:t>
            </w:r>
            <w:r w:rsidRPr="008573BE">
              <w:rPr>
                <w:rFonts w:ascii="Times New Roman" w:hAnsi="Times New Roman" w:cs="Times New Roman"/>
                <w:sz w:val="24"/>
                <w:szCs w:val="24"/>
              </w:rPr>
              <w:t>.</w:t>
            </w:r>
          </w:p>
        </w:tc>
      </w:tr>
    </w:tbl>
    <w:p w:rsidR="00191DF8" w:rsidRPr="009A3316" w:rsidP="00E47C04" w14:paraId="4375E35E" w14:textId="77777777">
      <w:pPr>
        <w:pStyle w:val="GuidanceParagraph"/>
      </w:pPr>
      <w:r w:rsidRPr="009A3316">
        <w:t>*For the purposes of this table, 2</w:t>
      </w:r>
      <w:r w:rsidRPr="009A3316">
        <w:rPr>
          <w:vertAlign w:val="superscript"/>
        </w:rPr>
        <w:t>nd</w:t>
      </w:r>
      <w:r w:rsidRPr="009A3316">
        <w:t>, 3</w:t>
      </w:r>
      <w:r w:rsidRPr="009A3316">
        <w:rPr>
          <w:vertAlign w:val="superscript"/>
        </w:rPr>
        <w:t>rd</w:t>
      </w:r>
      <w:r w:rsidRPr="009A3316">
        <w:t>, etc. positives refer to positives identified during corrective actions in response to the 1</w:t>
      </w:r>
      <w:r w:rsidRPr="009A3316">
        <w:rPr>
          <w:vertAlign w:val="superscript"/>
        </w:rPr>
        <w:t>st</w:t>
      </w:r>
      <w:r w:rsidRPr="009A3316">
        <w:t xml:space="preserve"> positive identified through routine monitoring.</w:t>
      </w:r>
    </w:p>
    <w:p w:rsidR="00191DF8" w:rsidRPr="00EC0CC3" w:rsidP="006B398F" w14:paraId="516AC045" w14:textId="5AEE01B1">
      <w:pPr>
        <w:pStyle w:val="HHS508GuidanceOutline30"/>
      </w:pPr>
      <w:bookmarkStart w:id="157" w:name="_Toc106094969"/>
      <w:r w:rsidRPr="00EC0CC3">
        <w:t xml:space="preserve">Corrective actions if you detect </w:t>
      </w:r>
      <w:r w:rsidRPr="00EC0CC3">
        <w:rPr>
          <w:i/>
        </w:rPr>
        <w:t>Listeria</w:t>
      </w:r>
      <w:r w:rsidRPr="00EC0CC3">
        <w:t xml:space="preserve"> spp. on a </w:t>
      </w:r>
      <w:r w:rsidRPr="00EC0CC3" w:rsidR="00CD2E60">
        <w:t>food contact surface</w:t>
      </w:r>
      <w:bookmarkEnd w:id="157"/>
    </w:p>
    <w:p w:rsidR="00191DF8" w:rsidRPr="00C82306" w:rsidP="00E47C04" w14:paraId="61C27524" w14:textId="77777777">
      <w:pPr>
        <w:pStyle w:val="GuidanceParagraph"/>
      </w:pPr>
      <w:r w:rsidRPr="00EC0CC3">
        <w:t xml:space="preserve">We describe appropriate corrective actions for a positive test result for </w:t>
      </w:r>
      <w:r w:rsidRPr="00EC0CC3">
        <w:rPr>
          <w:i/>
        </w:rPr>
        <w:t xml:space="preserve">Listeria </w:t>
      </w:r>
      <w:r w:rsidRPr="00EC0CC3">
        <w:t>spp. from an environmental sample collected during your routine sampling of an FCS site in this section. These steps are also summarized in Figure 3 (FCS* Testing and Follow-Up Activities Decision Tree).</w:t>
      </w:r>
    </w:p>
    <w:p w:rsidR="00191DF8" w:rsidRPr="00EC0CC3" w:rsidP="00E47C04" w14:paraId="4335EA7E" w14:textId="5CAB3C45">
      <w:pPr>
        <w:pStyle w:val="HHS508GuidanceOutline4"/>
        <w:numPr>
          <w:ilvl w:val="0"/>
          <w:numId w:val="34"/>
        </w:numPr>
      </w:pPr>
      <w:bookmarkStart w:id="158" w:name="_Hlk43075589"/>
      <w:r w:rsidRPr="00E47C04">
        <w:rPr>
          <w:i/>
        </w:rPr>
        <w:t xml:space="preserve">Listeria </w:t>
      </w:r>
      <w:r w:rsidRPr="00EC0CC3">
        <w:t>spp. positive on a</w:t>
      </w:r>
      <w:r w:rsidR="00702571">
        <w:t>n</w:t>
      </w:r>
      <w:r w:rsidRPr="00EC0CC3">
        <w:t xml:space="preserve"> FCS (1st positive)</w:t>
      </w:r>
    </w:p>
    <w:bookmarkEnd w:id="158"/>
    <w:p w:rsidR="00191DF8" w:rsidRPr="00EC0CC3" w:rsidP="00E47C04" w14:paraId="52CF155D" w14:textId="4083A766">
      <w:pPr>
        <w:pStyle w:val="GuidanceParagraph"/>
      </w:pPr>
      <w:r w:rsidRPr="00EC0CC3">
        <w:t xml:space="preserve">You should examine the area surrounding the site of the positive test result in all directions for potential sources of </w:t>
      </w:r>
      <w:r w:rsidRPr="00EC0CC3">
        <w:rPr>
          <w:i/>
        </w:rPr>
        <w:t xml:space="preserve">Listeria </w:t>
      </w:r>
      <w:r w:rsidRPr="00EC0CC3">
        <w:t xml:space="preserve">spp. as described in Appendix </w:t>
      </w:r>
      <w:r w:rsidR="009C6F63">
        <w:t>3</w:t>
      </w:r>
      <w:r w:rsidRPr="00EC0CC3" w:rsidR="009C6F63">
        <w:t xml:space="preserve"> </w:t>
      </w:r>
      <w:r w:rsidRPr="00EC0CC3">
        <w:t xml:space="preserve">(Potential Sources of </w:t>
      </w:r>
      <w:r w:rsidRPr="00EC0CC3">
        <w:rPr>
          <w:i/>
        </w:rPr>
        <w:t xml:space="preserve">L. monocytogenes </w:t>
      </w:r>
      <w:r w:rsidRPr="00EC0CC3">
        <w:t xml:space="preserve">for Sampling in a Sprout Operation) of this guidance. You should pay particular attention to possible niches that provide harborage for </w:t>
      </w:r>
      <w:r w:rsidRPr="00EC0CC3">
        <w:rPr>
          <w:i/>
        </w:rPr>
        <w:t>L. monocytogenes.</w:t>
      </w:r>
    </w:p>
    <w:p w:rsidR="00FC1E5D" w:rsidRPr="00A827A6" w:rsidP="00E47C04" w14:paraId="2A5482A4" w14:textId="6B5B19CA">
      <w:pPr>
        <w:pStyle w:val="GuidanceParagraph"/>
        <w:numPr>
          <w:ilvl w:val="0"/>
          <w:numId w:val="64"/>
        </w:numPr>
        <w:rPr>
          <w:u w:color="000000"/>
        </w:rPr>
      </w:pPr>
      <w:r w:rsidRPr="00A827A6">
        <w:rPr>
          <w:u w:color="000000"/>
        </w:rPr>
        <w:t>Exploratory testing</w:t>
      </w:r>
    </w:p>
    <w:p w:rsidR="00191DF8" w:rsidRPr="00EC0CC3" w:rsidP="00E47C04" w14:paraId="019FF8DA" w14:textId="6B9307B0">
      <w:pPr>
        <w:pStyle w:val="GuidanceParagraph"/>
      </w:pPr>
      <w:r w:rsidRPr="00EC0CC3">
        <w:t xml:space="preserve">You must conduct additional testing of surfaces and areas surrounding the area where </w:t>
      </w:r>
      <w:r w:rsidRPr="00EC0CC3">
        <w:rPr>
          <w:i/>
        </w:rPr>
        <w:t xml:space="preserve">Listeria </w:t>
      </w:r>
      <w:r w:rsidRPr="00EC0CC3">
        <w:t xml:space="preserve">spp. was detected to evaluate the extent of the problem, including the potential for </w:t>
      </w:r>
      <w:r w:rsidRPr="00EC0CC3">
        <w:rPr>
          <w:i/>
        </w:rPr>
        <w:t xml:space="preserve">Listeria </w:t>
      </w:r>
      <w:r w:rsidRPr="00EC0CC3">
        <w:t>spp.</w:t>
      </w:r>
      <w:r w:rsidR="00C3642E">
        <w:t xml:space="preserve"> </w:t>
      </w:r>
      <w:r w:rsidR="0027634C">
        <w:t>o</w:t>
      </w:r>
      <w:r w:rsidR="00C3642E">
        <w:t xml:space="preserve">r </w:t>
      </w:r>
      <w:r w:rsidRPr="00FF7B5D" w:rsidR="0027634C">
        <w:rPr>
          <w:i/>
        </w:rPr>
        <w:t>L. monocytogenes</w:t>
      </w:r>
      <w:r>
        <w:rPr>
          <w:i/>
        </w:rPr>
        <w:t xml:space="preserve"> </w:t>
      </w:r>
      <w:r w:rsidRPr="00EC0CC3">
        <w:t>to have become established in a niche (§ 112.146(a)). Consider the following:</w:t>
      </w:r>
    </w:p>
    <w:p w:rsidR="00191DF8" w:rsidRPr="004F5299" w:rsidP="00690C44" w14:paraId="711A66C9" w14:textId="4BAA48A9">
      <w:pPr>
        <w:pStyle w:val="GuidanceBulletLevel1"/>
      </w:pPr>
      <w:r w:rsidRPr="00EC0CC3">
        <w:t xml:space="preserve">Exploratory testing provides you with information about the extent of the problem represented by the initial positive test result (e.g., whether the presence of </w:t>
      </w:r>
      <w:r w:rsidRPr="00EC0CC3">
        <w:rPr>
          <w:i/>
        </w:rPr>
        <w:t xml:space="preserve">Listeria </w:t>
      </w:r>
      <w:r w:rsidRPr="00EC0CC3">
        <w:t>spp.</w:t>
      </w:r>
      <w:r w:rsidRPr="00EC0CC3">
        <w:rPr>
          <w:i/>
        </w:rPr>
        <w:t xml:space="preserve"> </w:t>
      </w:r>
      <w:r w:rsidRPr="00EC0CC3">
        <w:t>is isolated or more extensive). You do not need to wait for the results of the exploratory testing before doing any cleaning and sanitizing</w:t>
      </w:r>
      <w:r w:rsidR="0027634C">
        <w:t>, but y</w:t>
      </w:r>
      <w:r w:rsidRPr="00EC0CC3">
        <w:t>ou should use the results of exploratory testing to inform your decision about the extent of cleaning and sanitizing</w:t>
      </w:r>
      <w:r w:rsidRPr="00EC0CC3">
        <w:t xml:space="preserve"> </w:t>
      </w:r>
      <w:r w:rsidRPr="00EC0CC3">
        <w:t>that you will perform, as required by § 112.146(b) (see next subheading</w:t>
      </w:r>
      <w:r w:rsidRPr="00EC0CC3">
        <w:t>);</w:t>
      </w:r>
      <w:r w:rsidRPr="00EC0CC3">
        <w:t xml:space="preserve">  </w:t>
      </w:r>
    </w:p>
    <w:p w:rsidR="00191DF8" w:rsidRPr="004F5299" w:rsidP="00690C44" w14:paraId="1CE61194" w14:textId="6A21E979">
      <w:pPr>
        <w:pStyle w:val="GuidanceBulletLevel1"/>
      </w:pPr>
      <w:r w:rsidRPr="00EC0CC3">
        <w:t xml:space="preserve">You should conduct exploratory sampling and testing of sites that represent a potential source of contamination to the contaminated FCS site. Exploratory testing should include at least 3 samples from sites in close proximity to the positive site and those upstream in the operation (i.e., locations in the operation that the product contacts earlier in the product flow) to help identify the source of </w:t>
      </w:r>
      <w:r w:rsidRPr="00EC0CC3">
        <w:t>contamination;</w:t>
      </w:r>
    </w:p>
    <w:p w:rsidR="00191DF8" w:rsidRPr="00EC0CC3" w:rsidP="00EC0A1E" w14:paraId="413D10A4" w14:textId="2A8D85CB">
      <w:pPr>
        <w:pStyle w:val="GuidanceBulletLevel1"/>
      </w:pPr>
      <w:r w:rsidRPr="00EC0A1E">
        <w:rPr>
          <w:u w:val="single"/>
        </w:rPr>
        <w:t xml:space="preserve">Exploratory </w:t>
      </w:r>
      <w:r w:rsidR="009737B9">
        <w:rPr>
          <w:u w:val="single"/>
        </w:rPr>
        <w:t>t</w:t>
      </w:r>
      <w:r w:rsidRPr="00EC0A1E" w:rsidR="009737B9">
        <w:rPr>
          <w:u w:val="single"/>
        </w:rPr>
        <w:t xml:space="preserve">esting </w:t>
      </w:r>
      <w:r w:rsidR="009737B9">
        <w:rPr>
          <w:u w:val="single"/>
        </w:rPr>
        <w:t>w</w:t>
      </w:r>
      <w:r w:rsidRPr="00EC0A1E" w:rsidR="009737B9">
        <w:rPr>
          <w:u w:val="single"/>
        </w:rPr>
        <w:t xml:space="preserve">hile </w:t>
      </w:r>
      <w:r w:rsidRPr="00EC0A1E">
        <w:rPr>
          <w:u w:val="single"/>
        </w:rPr>
        <w:t xml:space="preserve">in </w:t>
      </w:r>
      <w:r w:rsidR="009737B9">
        <w:rPr>
          <w:u w:val="single"/>
        </w:rPr>
        <w:t>p</w:t>
      </w:r>
      <w:r w:rsidRPr="00EC0A1E" w:rsidR="009737B9">
        <w:rPr>
          <w:u w:val="single"/>
        </w:rPr>
        <w:t>roduction</w:t>
      </w:r>
      <w:r w:rsidRPr="00EC0CC3">
        <w:t xml:space="preserve">: If you receive a positive </w:t>
      </w:r>
      <w:bookmarkStart w:id="159" w:name="_Hlk40968156"/>
      <w:r w:rsidRPr="00EC0CC3">
        <w:rPr>
          <w:i/>
        </w:rPr>
        <w:t xml:space="preserve">Listeria </w:t>
      </w:r>
      <w:r w:rsidRPr="00EC0CC3">
        <w:t xml:space="preserve">spp. </w:t>
      </w:r>
      <w:bookmarkEnd w:id="159"/>
      <w:r w:rsidRPr="00EC0CC3">
        <w:t xml:space="preserve">result for a routine sample from an FCS site while you are in production (e.g., you are either still growing the production batch of sprouts that was growing when you took your routine sample, or you have started another production batch of sprouts), you should conduct exploratory testing during that production </w:t>
      </w:r>
      <w:r w:rsidRPr="00EC0CC3">
        <w:t>cycle;</w:t>
      </w:r>
      <w:r w:rsidRPr="00EC0CC3">
        <w:t xml:space="preserve"> </w:t>
      </w:r>
    </w:p>
    <w:p w:rsidR="326B5FC1" w:rsidP="00EC0A1E" w14:paraId="3A2FFB15" w14:textId="6BCF3DA8">
      <w:pPr>
        <w:pStyle w:val="GuidanceBulletLevel1"/>
      </w:pPr>
      <w:r w:rsidRPr="005B5F6E">
        <w:rPr>
          <w:u w:val="single" w:color="000000"/>
        </w:rPr>
        <w:t xml:space="preserve">Exploratory </w:t>
      </w:r>
      <w:r w:rsidR="009737B9">
        <w:rPr>
          <w:u w:val="single" w:color="000000"/>
        </w:rPr>
        <w:t>t</w:t>
      </w:r>
      <w:r w:rsidRPr="005B5F6E" w:rsidR="009737B9">
        <w:rPr>
          <w:u w:val="single" w:color="000000"/>
        </w:rPr>
        <w:t xml:space="preserve">esting </w:t>
      </w:r>
      <w:r w:rsidR="009737B9">
        <w:rPr>
          <w:u w:val="single" w:color="000000"/>
        </w:rPr>
        <w:t>w</w:t>
      </w:r>
      <w:r w:rsidRPr="005B5F6E" w:rsidR="009737B9">
        <w:rPr>
          <w:u w:val="single" w:color="000000"/>
        </w:rPr>
        <w:t xml:space="preserve">hen </w:t>
      </w:r>
      <w:r w:rsidR="009737B9">
        <w:rPr>
          <w:u w:val="single" w:color="000000"/>
        </w:rPr>
        <w:t>n</w:t>
      </w:r>
      <w:r w:rsidRPr="005B5F6E" w:rsidR="009737B9">
        <w:rPr>
          <w:u w:val="single" w:color="000000"/>
        </w:rPr>
        <w:t xml:space="preserve">ot </w:t>
      </w:r>
      <w:r w:rsidRPr="005B5F6E">
        <w:rPr>
          <w:u w:val="single" w:color="000000"/>
        </w:rPr>
        <w:t xml:space="preserve">in </w:t>
      </w:r>
      <w:r w:rsidR="009737B9">
        <w:rPr>
          <w:u w:val="single" w:color="000000"/>
        </w:rPr>
        <w:t>p</w:t>
      </w:r>
      <w:r w:rsidRPr="005B5F6E" w:rsidR="009737B9">
        <w:rPr>
          <w:u w:val="single" w:color="000000"/>
        </w:rPr>
        <w:t>roduction</w:t>
      </w:r>
      <w:r w:rsidRPr="00EC0CC3">
        <w:t>: If you receive a positive result for a routine sample from a</w:t>
      </w:r>
      <w:r w:rsidRPr="00EC0CC3">
        <w:t>n</w:t>
      </w:r>
      <w:r w:rsidRPr="00EC0CC3">
        <w:t xml:space="preserve"> FCS site when you are not in production (e.g., the production batch of sprouts that was growing when you took your routine sample</w:t>
      </w:r>
      <w:r w:rsidRPr="00EC0CC3">
        <w:t xml:space="preserve"> </w:t>
      </w:r>
      <w:r w:rsidRPr="00EC0CC3">
        <w:t>has been completed and you have not started the next production batch), you should conduct exploratory testing during the production of the next batch</w:t>
      </w:r>
      <w:r w:rsidR="00D104B5">
        <w:t>; and</w:t>
      </w:r>
    </w:p>
    <w:p w:rsidR="00911F7C" w:rsidP="00EC0A1E" w14:paraId="00FE3610" w14:textId="0702DCF5">
      <w:pPr>
        <w:pStyle w:val="GuidanceBulletLevel1"/>
      </w:pPr>
      <w:r w:rsidRPr="00EC0CC3">
        <w:t>If you receive any positive results from your exploratory testing, you should conduct intensified cleaning and sanitizing and intensified sampling and testing (discussed below as a recommended response to a 2nd</w:t>
      </w:r>
      <w:r w:rsidRPr="00EC0CC3">
        <w:rPr>
          <w:position w:val="10"/>
        </w:rPr>
        <w:t xml:space="preserve"> </w:t>
      </w:r>
      <w:r w:rsidRPr="00EC0CC3">
        <w:t>positive</w:t>
      </w:r>
      <w:r w:rsidRPr="00EC0CC3">
        <w:t>)</w:t>
      </w:r>
      <w:r w:rsidR="002832F9">
        <w:t>.</w:t>
      </w:r>
    </w:p>
    <w:p w:rsidR="00A136CA" w:rsidRPr="00A827A6" w:rsidP="00E47C04" w14:paraId="1D299656" w14:textId="20F93845">
      <w:pPr>
        <w:pStyle w:val="GuidanceParagraph"/>
        <w:numPr>
          <w:ilvl w:val="0"/>
          <w:numId w:val="64"/>
        </w:numPr>
        <w:rPr>
          <w:u w:color="000000"/>
        </w:rPr>
      </w:pPr>
      <w:r w:rsidRPr="00A827A6">
        <w:rPr>
          <w:u w:color="000000"/>
        </w:rPr>
        <w:t>Cleaning and sanitizing</w:t>
      </w:r>
    </w:p>
    <w:p w:rsidR="00191DF8" w:rsidRPr="00EC0CC3" w:rsidP="00E47C04" w14:paraId="7EC2CD1F" w14:textId="4AEA66DC">
      <w:pPr>
        <w:pStyle w:val="GuidanceParagraph"/>
      </w:pPr>
      <w:r w:rsidRPr="00EC0CC3">
        <w:t>You must clean and sanitize the affected</w:t>
      </w:r>
      <w:r>
        <w:t xml:space="preserve"> surfaces, including</w:t>
      </w:r>
      <w:r w:rsidRPr="00EC0CC3">
        <w:t xml:space="preserve"> FCSs </w:t>
      </w:r>
      <w:r>
        <w:t xml:space="preserve">and </w:t>
      </w:r>
      <w:r w:rsidRPr="00EC0CC3">
        <w:t>non-FCSs</w:t>
      </w:r>
      <w:r w:rsidR="00EB4CBC">
        <w:t>,</w:t>
      </w:r>
      <w:r>
        <w:t xml:space="preserve"> as well as surfaces </w:t>
      </w:r>
      <w:r w:rsidRPr="00EC0CC3">
        <w:t>from the surrounding area where the positive sample was taken</w:t>
      </w:r>
      <w:r>
        <w:t xml:space="preserve"> (</w:t>
      </w:r>
      <w:r w:rsidRPr="00EC0CC3">
        <w:t>§</w:t>
      </w:r>
      <w:r>
        <w:t xml:space="preserve"> 112.146(b); see also </w:t>
      </w:r>
      <w:r w:rsidRPr="00EC0CC3">
        <w:t>§§ 112.123(d)(1)</w:t>
      </w:r>
      <w:r>
        <w:t xml:space="preserve">-(2); </w:t>
      </w:r>
      <w:r w:rsidRPr="00EC0CC3">
        <w:t>112.143(b</w:t>
      </w:r>
      <w:r>
        <w:t>))</w:t>
      </w:r>
      <w:r w:rsidRPr="00EC0CC3">
        <w:t>.</w:t>
      </w:r>
      <w:r w:rsidRPr="00EC0CC3">
        <w:t xml:space="preserve"> Consider the following:</w:t>
      </w:r>
    </w:p>
    <w:p w:rsidR="00191DF8" w:rsidRPr="006118A1" w:rsidP="00690C44" w14:paraId="5729D164" w14:textId="61A01BD3">
      <w:pPr>
        <w:pStyle w:val="GuidanceBulletLevel1"/>
      </w:pPr>
      <w:r>
        <w:t xml:space="preserve">At a minimum, the site of the initial positive </w:t>
      </w:r>
      <w:r w:rsidRPr="08A72E21">
        <w:rPr>
          <w:i/>
          <w:iCs/>
        </w:rPr>
        <w:t xml:space="preserve">Listeria </w:t>
      </w:r>
      <w:r>
        <w:t>spp. result and the sites of any additional positive results found during exploratory testing should all be cleaned and sanitized</w:t>
      </w:r>
      <w:r w:rsidR="00B77946">
        <w:t xml:space="preserve"> before </w:t>
      </w:r>
      <w:r w:rsidR="00F13B61">
        <w:t>your next production run</w:t>
      </w:r>
      <w:r>
        <w:t>; and</w:t>
      </w:r>
    </w:p>
    <w:p w:rsidR="00AA4165" w:rsidRPr="006118A1" w:rsidP="00690C44" w14:paraId="56A8CBB9" w14:textId="1B5C0449">
      <w:pPr>
        <w:pStyle w:val="GuidanceBulletLevel1"/>
      </w:pPr>
      <w:r w:rsidRPr="00EC0CC3">
        <w:t xml:space="preserve">You should also consider verifying the efficacy of your cleaning and sanitizing using additional methods (e.g., ATP testing) beyond the required testing </w:t>
      </w:r>
      <w:r w:rsidR="0084589A">
        <w:t>(</w:t>
      </w:r>
      <w:r w:rsidRPr="0084589A" w:rsidR="0084589A">
        <w:t>§</w:t>
      </w:r>
      <w:r w:rsidR="0084589A">
        <w:t xml:space="preserve"> 112.146(c)) </w:t>
      </w:r>
      <w:r w:rsidRPr="00EC0CC3">
        <w:t>before your next production run</w:t>
      </w:r>
      <w:r w:rsidRPr="00EC0A75">
        <w:t xml:space="preserve">; </w:t>
      </w:r>
      <w:r w:rsidR="006C1A79">
        <w:t>s</w:t>
      </w:r>
      <w:r w:rsidRPr="00EC0A75">
        <w:t xml:space="preserve">ee </w:t>
      </w:r>
      <w:r w:rsidRPr="00EC0A75" w:rsidR="00411B0B">
        <w:t>Section</w:t>
      </w:r>
      <w:r w:rsidRPr="00EC0A75">
        <w:t xml:space="preserve"> </w:t>
      </w:r>
      <w:r w:rsidRPr="00EC0A75" w:rsidR="000A04C5">
        <w:t>I</w:t>
      </w:r>
      <w:r w:rsidRPr="00EC0A75" w:rsidR="00411B0B">
        <w:t>II</w:t>
      </w:r>
      <w:r w:rsidRPr="00EC0A75">
        <w:t xml:space="preserve"> (Cleaning</w:t>
      </w:r>
      <w:r w:rsidRPr="00EC0CC3">
        <w:t xml:space="preserve"> and Sanitizing)</w:t>
      </w:r>
      <w:r>
        <w:t>, and</w:t>
      </w:r>
    </w:p>
    <w:p w:rsidR="00191DF8" w:rsidRPr="006118A1" w:rsidP="00690C44" w14:paraId="7A52D7C5" w14:textId="776FEA43">
      <w:pPr>
        <w:pStyle w:val="GuidanceBulletLevel1"/>
      </w:pPr>
      <w:r>
        <w:t>If you receive negative</w:t>
      </w:r>
      <w:r w:rsidR="00A45B6A">
        <w:t xml:space="preserve"> test</w:t>
      </w:r>
      <w:r>
        <w:t xml:space="preserve"> results from </w:t>
      </w:r>
      <w:r>
        <w:t>all of</w:t>
      </w:r>
      <w:r>
        <w:t xml:space="preserve"> your exploratory testing, and you have cleaned </w:t>
      </w:r>
      <w:r w:rsidRPr="008110AA">
        <w:t>and sanitize</w:t>
      </w:r>
      <w:r>
        <w:t>d</w:t>
      </w:r>
      <w:r w:rsidRPr="008110AA">
        <w:t xml:space="preserve"> the affected FCSs </w:t>
      </w:r>
      <w:r w:rsidR="001564AF">
        <w:t>and</w:t>
      </w:r>
      <w:r w:rsidRPr="008110AA">
        <w:t xml:space="preserve"> non-FCSs from the surrounding area where the </w:t>
      </w:r>
      <w:r>
        <w:t xml:space="preserve">original </w:t>
      </w:r>
      <w:r w:rsidRPr="008110AA">
        <w:t>positive sample was taken</w:t>
      </w:r>
      <w:r>
        <w:t xml:space="preserve">, you may consider the actions required by </w:t>
      </w:r>
      <w:r w:rsidRPr="00ED45F4">
        <w:t>§§</w:t>
      </w:r>
      <w:r>
        <w:t>112.146(b) and</w:t>
      </w:r>
      <w:r w:rsidRPr="00ED45F4">
        <w:t xml:space="preserve"> 112.146(</w:t>
      </w:r>
      <w:r>
        <w:t>c</w:t>
      </w:r>
      <w:r w:rsidRPr="00ED45F4">
        <w:t>)</w:t>
      </w:r>
      <w:r>
        <w:t xml:space="preserve"> to have been accomplished while conducting the actions required by </w:t>
      </w:r>
      <w:r w:rsidRPr="00EC0CC3">
        <w:t>§ 112.146(a)</w:t>
      </w:r>
      <w:r w:rsidRPr="00EC0CC3">
        <w:t>.</w:t>
      </w:r>
    </w:p>
    <w:p w:rsidR="00191DF8" w:rsidRPr="005D0597" w:rsidP="00E47C04" w14:paraId="483D3C72" w14:textId="432346DB">
      <w:pPr>
        <w:pStyle w:val="HHS508GuidanceOutline4"/>
      </w:pPr>
      <w:bookmarkStart w:id="160" w:name="_Hlk43074565"/>
      <w:bookmarkStart w:id="161" w:name="_Toc44439372"/>
      <w:r w:rsidRPr="005D0597">
        <w:rPr>
          <w:i/>
        </w:rPr>
        <w:t>Listeria</w:t>
      </w:r>
      <w:r w:rsidRPr="005D0597">
        <w:t xml:space="preserve"> spp. positive on </w:t>
      </w:r>
      <w:r w:rsidRPr="005D0597" w:rsidR="009F5F8D">
        <w:t xml:space="preserve">an </w:t>
      </w:r>
      <w:r w:rsidRPr="005D0597">
        <w:t>FCS during exploratory testing (2nd positive)</w:t>
      </w:r>
      <w:bookmarkEnd w:id="160"/>
      <w:bookmarkEnd w:id="161"/>
      <w:r w:rsidR="00C36714">
        <w:t xml:space="preserve"> </w:t>
      </w:r>
    </w:p>
    <w:p w:rsidR="00196EE9" w:rsidRPr="00A827A6" w:rsidP="00E47C04" w14:paraId="757F5D9C" w14:textId="13F07979">
      <w:pPr>
        <w:pStyle w:val="GuidanceParagraph"/>
        <w:numPr>
          <w:ilvl w:val="0"/>
          <w:numId w:val="67"/>
        </w:numPr>
        <w:rPr>
          <w:u w:color="000000"/>
        </w:rPr>
      </w:pPr>
      <w:r w:rsidRPr="00A827A6">
        <w:rPr>
          <w:u w:color="000000"/>
        </w:rPr>
        <w:t>Three production days of intensified cleaning and sanitizing</w:t>
      </w:r>
    </w:p>
    <w:p w:rsidR="00191DF8" w:rsidRPr="00EC0CC3" w:rsidP="00E47C04" w14:paraId="19856AA1" w14:textId="7CD9F9A0">
      <w:pPr>
        <w:pStyle w:val="GuidanceParagraph"/>
      </w:pPr>
      <w:bookmarkStart w:id="162" w:name="_Hlk63865100"/>
      <w:r w:rsidRPr="00EC0CC3">
        <w:t xml:space="preserve">If any of the exploratory testing samples are positive for </w:t>
      </w:r>
      <w:r w:rsidRPr="00EC0CC3">
        <w:rPr>
          <w:i/>
        </w:rPr>
        <w:t xml:space="preserve">Listeria </w:t>
      </w:r>
      <w:r w:rsidRPr="00EC0CC3">
        <w:t>spp., as an action to prevent recurrence of the contamination</w:t>
      </w:r>
      <w:r w:rsidR="00B6427B">
        <w:t>, you must clean and sanitize the affected surfaces and surrounding areas</w:t>
      </w:r>
      <w:r w:rsidRPr="00EC0CC3">
        <w:t xml:space="preserve"> (§ 112.146(b))</w:t>
      </w:r>
      <w:r w:rsidR="00B6427B">
        <w:t xml:space="preserve">. </w:t>
      </w:r>
      <w:r w:rsidR="00593510">
        <w:t>The cleaning and sanitizing that you perform under these circumstances</w:t>
      </w:r>
      <w:r w:rsidRPr="00EC0CC3">
        <w:t xml:space="preserve"> should </w:t>
      </w:r>
      <w:r w:rsidR="00593510">
        <w:t xml:space="preserve">be intensified beyond your routine efforts and should be performed </w:t>
      </w:r>
      <w:r w:rsidRPr="00EC0CC3">
        <w:t xml:space="preserve">in the affected areas for the next three production days. </w:t>
      </w:r>
      <w:bookmarkEnd w:id="162"/>
      <w:r w:rsidRPr="00EC0CC3">
        <w:t xml:space="preserve">Intensified cleaning and sanitizing include sanitation measures that you perform in addition to your normal sanitation procedures. </w:t>
      </w:r>
      <w:r w:rsidR="00F40069">
        <w:t xml:space="preserve">See also Section III.F. </w:t>
      </w:r>
      <w:r w:rsidR="00EE56BF">
        <w:t>(</w:t>
      </w:r>
      <w:r w:rsidR="00F40069">
        <w:t>Cleaning and Sanitizing Conducted in Response to Suspected or Known Contamination)</w:t>
      </w:r>
      <w:r w:rsidR="0065051B">
        <w:t>.</w:t>
      </w:r>
      <w:r w:rsidR="00F40069">
        <w:t xml:space="preserve"> </w:t>
      </w:r>
      <w:r w:rsidRPr="00EC0CC3">
        <w:t xml:space="preserve">You should escalate the intensity of these measures in response to additional positive </w:t>
      </w:r>
      <w:r w:rsidRPr="00EC0CC3">
        <w:rPr>
          <w:i/>
        </w:rPr>
        <w:t xml:space="preserve">Listeria </w:t>
      </w:r>
      <w:r w:rsidRPr="00EC0CC3">
        <w:t>spp. samples. Intensified cleaning and sanitizing can include:</w:t>
      </w:r>
    </w:p>
    <w:p w:rsidR="00191DF8" w:rsidRPr="00032549" w:rsidP="00690C44" w14:paraId="2E586F71" w14:textId="7287C463">
      <w:pPr>
        <w:pStyle w:val="GuidanceBulletLevel1"/>
        <w:rPr>
          <w:rFonts w:asciiTheme="minorHAnsi" w:hAnsiTheme="minorHAnsi"/>
        </w:rPr>
      </w:pPr>
      <w:r>
        <w:t>I</w:t>
      </w:r>
      <w:r w:rsidRPr="00EC0CC3">
        <w:t xml:space="preserve">ncreasing the frequency of cleaning and sanitizing for certain pieces of </w:t>
      </w:r>
      <w:r w:rsidRPr="00EC0CC3">
        <w:t>equipment;</w:t>
      </w:r>
      <w:r w:rsidRPr="00EC0CC3">
        <w:t xml:space="preserve"> </w:t>
      </w:r>
    </w:p>
    <w:p w:rsidR="00191DF8" w:rsidRPr="005A6290" w:rsidP="00690C44" w14:paraId="11B80A6F" w14:textId="4D814AFC">
      <w:pPr>
        <w:pStyle w:val="GuidanceBulletLevel1"/>
      </w:pPr>
      <w:r>
        <w:t>B</w:t>
      </w:r>
      <w:r w:rsidRPr="00EC0CC3">
        <w:t xml:space="preserve">reaking down the equipment into its parts for further </w:t>
      </w:r>
      <w:r w:rsidRPr="00EC0CC3">
        <w:t>cleaning;</w:t>
      </w:r>
      <w:r w:rsidRPr="00EC0CC3">
        <w:t xml:space="preserve"> </w:t>
      </w:r>
    </w:p>
    <w:p w:rsidR="00191DF8" w:rsidRPr="005A6290" w:rsidP="00690C44" w14:paraId="5C7509A2" w14:textId="738E89CA">
      <w:pPr>
        <w:pStyle w:val="GuidanceBulletLevel1"/>
      </w:pPr>
      <w:r>
        <w:t>T</w:t>
      </w:r>
      <w:r w:rsidRPr="00EC0CC3">
        <w:t>he use of more effective or different cleaning and sanitizing methods or agents (</w:t>
      </w:r>
      <w:r w:rsidRPr="00EC0CC3">
        <w:t>e.g.</w:t>
      </w:r>
      <w:r w:rsidRPr="00EC0CC3">
        <w:t xml:space="preserve"> more aggressive scrubbing, applying heat (where possible)) (</w:t>
      </w:r>
      <w:r w:rsidR="00EE536C">
        <w:t>s</w:t>
      </w:r>
      <w:r w:rsidRPr="00EC0CC3">
        <w:t xml:space="preserve">ee </w:t>
      </w:r>
      <w:r w:rsidRPr="00EC0A75" w:rsidR="00FD65EC">
        <w:t>Section</w:t>
      </w:r>
      <w:r w:rsidRPr="00EC0A75">
        <w:t xml:space="preserve"> </w:t>
      </w:r>
      <w:r w:rsidRPr="00EC0A75" w:rsidR="000A04C5">
        <w:t>I</w:t>
      </w:r>
      <w:r w:rsidRPr="00EC0A75" w:rsidR="00FD65EC">
        <w:t>II</w:t>
      </w:r>
      <w:r w:rsidRPr="00EC0A75">
        <w:t xml:space="preserve"> (Cleaning</w:t>
      </w:r>
      <w:r w:rsidRPr="00EC0CC3">
        <w:t xml:space="preserve"> and Sanitizing));</w:t>
      </w:r>
    </w:p>
    <w:p w:rsidR="00191DF8" w:rsidRPr="005A6290" w:rsidP="00690C44" w14:paraId="10FF665E" w14:textId="0FB8E443">
      <w:pPr>
        <w:pStyle w:val="GuidanceBulletLevel1"/>
      </w:pPr>
      <w:r>
        <w:t>I</w:t>
      </w:r>
      <w:r w:rsidRPr="00EC0CC3">
        <w:t xml:space="preserve">ntensified (e.g., more vigorous, longer duration) scrubbing of </w:t>
      </w:r>
      <w:r w:rsidRPr="00EC0CC3">
        <w:t>surfaces;</w:t>
      </w:r>
    </w:p>
    <w:p w:rsidR="00191DF8" w:rsidRPr="005A6290" w:rsidP="00690C44" w14:paraId="3106E7CF" w14:textId="38CFEA3F">
      <w:pPr>
        <w:pStyle w:val="GuidanceBulletLevel1"/>
      </w:pPr>
      <w:r>
        <w:t>I</w:t>
      </w:r>
      <w:r w:rsidRPr="00EC0CC3">
        <w:t>dentifying, cleaning, and sanitizing of possible harborage sites and possible cross- contamination routes;</w:t>
      </w:r>
      <w:r w:rsidR="00D104B5">
        <w:t xml:space="preserve"> and</w:t>
      </w:r>
    </w:p>
    <w:p w:rsidR="00191DF8" w:rsidRPr="005A6290" w:rsidP="00690C44" w14:paraId="70F7CADC" w14:textId="297845F9">
      <w:pPr>
        <w:pStyle w:val="GuidanceBulletLevel1"/>
      </w:pPr>
      <w:r>
        <w:t>S</w:t>
      </w:r>
      <w:r w:rsidRPr="00EC0CC3">
        <w:t>oaking of equipment parts in an appropriate sanitizing agent for an appropriate duration.</w:t>
      </w:r>
    </w:p>
    <w:p w:rsidR="00700EB7" w:rsidRPr="005E5C43" w:rsidP="00E47C04" w14:paraId="087EB51E" w14:textId="0B70D899">
      <w:pPr>
        <w:pStyle w:val="GuidanceParagraph"/>
        <w:numPr>
          <w:ilvl w:val="0"/>
          <w:numId w:val="67"/>
        </w:numPr>
        <w:rPr>
          <w:u w:color="000000"/>
        </w:rPr>
      </w:pPr>
      <w:r w:rsidRPr="005E5C43">
        <w:rPr>
          <w:u w:color="000000"/>
        </w:rPr>
        <w:t>Three production days of intensified testing</w:t>
      </w:r>
    </w:p>
    <w:p w:rsidR="00191DF8" w:rsidRPr="00EC0CC3" w:rsidP="00E47C04" w14:paraId="25081D99" w14:textId="5ECADE6C">
      <w:pPr>
        <w:pStyle w:val="GuidanceParagraph"/>
      </w:pPr>
      <w:r w:rsidRPr="00EC0CC3">
        <w:t xml:space="preserve">If any of the exploratory testing samples are positive for </w:t>
      </w:r>
      <w:r w:rsidRPr="00EC0CC3">
        <w:rPr>
          <w:i/>
        </w:rPr>
        <w:t xml:space="preserve">Listeria </w:t>
      </w:r>
      <w:r w:rsidRPr="00EC0CC3">
        <w:t>spp., as an action to prevent recurrence of the contamination (§</w:t>
      </w:r>
      <w:r w:rsidRPr="0089110F" w:rsidR="0089110F">
        <w:t>§</w:t>
      </w:r>
      <w:r w:rsidRPr="00EC0CC3">
        <w:t xml:space="preserve"> 112.146(c)</w:t>
      </w:r>
      <w:r w:rsidR="0089110F">
        <w:t xml:space="preserve"> and 112.146(e)</w:t>
      </w:r>
      <w:r w:rsidRPr="00EC0CC3">
        <w:t xml:space="preserve">), you should conduct a round of intensified testing during each of the next three production days, both to verify the effectiveness </w:t>
      </w:r>
      <w:r w:rsidRPr="00EC0CC3">
        <w:t>of your intensified cleaning and sanitizing, and to look for possible harborage sites in the affected area. To look for possible harborage sites, you should disassemble equipment as appropriate</w:t>
      </w:r>
      <w:r w:rsidR="005543F1">
        <w:t>,</w:t>
      </w:r>
      <w:r w:rsidRPr="00EC0CC3">
        <w:t xml:space="preserve"> and sample and test areas of the equipment exposed by disassembly prior to cleaning and sanitizing the equipment. Each round of intensified testing should include at least 3 samples, including the initial </w:t>
      </w:r>
      <w:r w:rsidRPr="00EC0CC3">
        <w:rPr>
          <w:i/>
        </w:rPr>
        <w:t xml:space="preserve">Listeria </w:t>
      </w:r>
      <w:r w:rsidRPr="00EC0CC3">
        <w:t xml:space="preserve">spp. positive site, surrounding positive sites that tested positive for </w:t>
      </w:r>
      <w:r w:rsidRPr="00EC0CC3">
        <w:rPr>
          <w:i/>
        </w:rPr>
        <w:t xml:space="preserve">Listeria </w:t>
      </w:r>
      <w:r w:rsidRPr="00EC0CC3">
        <w:t xml:space="preserve">spp. </w:t>
      </w:r>
      <w:r w:rsidRPr="00EC0CC3" w:rsidR="00D6543B">
        <w:t>exploratory</w:t>
      </w:r>
      <w:r w:rsidRPr="00EC0CC3">
        <w:t xml:space="preserve"> testing, and surrounding FCS and non-FCS sites </w:t>
      </w:r>
      <w:r w:rsidRPr="00EC0CC3">
        <w:t>in close proximity to</w:t>
      </w:r>
      <w:r w:rsidRPr="00EC0CC3">
        <w:t xml:space="preserve"> any positive sites. </w:t>
      </w:r>
    </w:p>
    <w:p w:rsidR="00E14F4B" w:rsidRPr="00CC446B" w:rsidP="00E47C04" w14:paraId="3DE856FA" w14:textId="03321D8F">
      <w:pPr>
        <w:pStyle w:val="GuidanceParagraph"/>
        <w:numPr>
          <w:ilvl w:val="0"/>
          <w:numId w:val="67"/>
        </w:numPr>
        <w:rPr>
          <w:u w:color="000000"/>
        </w:rPr>
      </w:pPr>
      <w:bookmarkStart w:id="163" w:name="_Hlk43074588"/>
      <w:r w:rsidRPr="00CC446B">
        <w:rPr>
          <w:u w:color="000000"/>
        </w:rPr>
        <w:t>Finished product testing and other product actions</w:t>
      </w:r>
    </w:p>
    <w:p w:rsidR="00191DF8" w:rsidRPr="00EC0CC3" w:rsidP="00E47C04" w14:paraId="7A5CD1AE" w14:textId="1A878D69">
      <w:pPr>
        <w:pStyle w:val="GuidanceParagraph"/>
      </w:pPr>
      <w:r w:rsidRPr="00EC0CC3">
        <w:t>You must conduct finished product testing when appropriate (§ 112.146(d)). In the circumstances described here, where you have identified a second positive result on an FCS, you should:</w:t>
      </w:r>
    </w:p>
    <w:p w:rsidR="00191DF8" w:rsidRPr="005A6290" w:rsidP="00690C44" w14:paraId="55E4F253" w14:textId="51E0067A">
      <w:pPr>
        <w:pStyle w:val="GuidanceBulletLevel1"/>
      </w:pPr>
      <w:r w:rsidRPr="00EC0CC3">
        <w:t xml:space="preserve">Test the production batch(es) of sprouts from the production day associated with the second positive for </w:t>
      </w:r>
      <w:r w:rsidRPr="00EC0CC3">
        <w:rPr>
          <w:i/>
        </w:rPr>
        <w:t xml:space="preserve">Listeria </w:t>
      </w:r>
      <w:r w:rsidRPr="00EC0CC3">
        <w:t xml:space="preserve">spp. on the FCS. You should test the sprouts for </w:t>
      </w:r>
      <w:r w:rsidRPr="00EC0CC3">
        <w:rPr>
          <w:i/>
        </w:rPr>
        <w:t xml:space="preserve">L. monocytogenes </w:t>
      </w:r>
      <w:r w:rsidRPr="00EC0CC3">
        <w:t xml:space="preserve">using a </w:t>
      </w:r>
      <w:r w:rsidRPr="00EC0CC3">
        <w:t>statistically-based</w:t>
      </w:r>
      <w:r w:rsidRPr="00EC0CC3">
        <w:t xml:space="preserve"> sampling protocol and analytical methods that will provide an appropriate level of confidence in the results (e.g., 95% confidence that you will detect </w:t>
      </w:r>
      <w:r w:rsidRPr="00EC0CC3">
        <w:rPr>
          <w:i/>
        </w:rPr>
        <w:t xml:space="preserve">L. monocytogenes </w:t>
      </w:r>
      <w:r w:rsidRPr="00EC0CC3">
        <w:t xml:space="preserve">in the sample if it is present). </w:t>
      </w:r>
      <w:r w:rsidR="00E5789F">
        <w:t>T</w:t>
      </w:r>
      <w:r w:rsidRPr="00EC0CC3">
        <w:t xml:space="preserve">he International Commission on Microbiological Specifications for Foods (ICMSF) provides additional information on </w:t>
      </w:r>
      <w:r w:rsidRPr="00EC0CC3">
        <w:t>scientifically-based</w:t>
      </w:r>
      <w:r w:rsidRPr="00EC0CC3">
        <w:t xml:space="preserve"> sampling plans that can be used to provide statistical confidence for results of product testing (</w:t>
      </w:r>
      <w:r w:rsidR="00853D8C">
        <w:fldChar w:fldCharType="begin"/>
      </w:r>
      <w:r w:rsidR="00853D8C">
        <w:instrText xml:space="preserve"> REF _Ref51148799 \h </w:instrText>
      </w:r>
      <w:r w:rsidR="004B2A15">
        <w:instrText xml:space="preserve"> \* MERGEFORMAT </w:instrText>
      </w:r>
      <w:r w:rsidR="00853D8C">
        <w:fldChar w:fldCharType="separate"/>
      </w:r>
      <w:r w:rsidRPr="006E43DC" w:rsidR="00FB6D94">
        <w:t xml:space="preserve">Ref. </w:t>
      </w:r>
      <w:r w:rsidR="00FB6D94">
        <w:rPr>
          <w:noProof/>
        </w:rPr>
        <w:t>96</w:t>
      </w:r>
      <w:r w:rsidR="00853D8C">
        <w:fldChar w:fldCharType="end"/>
      </w:r>
      <w:r w:rsidRPr="00EC0CC3">
        <w:t>)</w:t>
      </w:r>
      <w:r w:rsidR="002A57D5">
        <w:t>.</w:t>
      </w:r>
      <w:r w:rsidRPr="00EC0CC3">
        <w:t xml:space="preserve"> While these test results are pending, and while you are taking the other steps recommended in this section (i.e., three production days of intensified cleaning and sanitizing, three production days of intensified sampling and testing, receiving results from such testing, conducting a comprehensive investigation), you should not allow the production batch(es) of sprouts to enter commerce</w:t>
      </w:r>
      <w:r w:rsidR="00387950">
        <w:t>.</w:t>
      </w:r>
    </w:p>
    <w:bookmarkEnd w:id="163"/>
    <w:p w:rsidR="00D422AB" w:rsidRPr="002B1078" w:rsidP="00E47C04" w14:paraId="38324617" w14:textId="34A49E5D">
      <w:pPr>
        <w:pStyle w:val="GuidanceParagraph"/>
        <w:numPr>
          <w:ilvl w:val="0"/>
          <w:numId w:val="67"/>
        </w:numPr>
        <w:rPr>
          <w:u w:color="000000"/>
        </w:rPr>
      </w:pPr>
      <w:r w:rsidRPr="002B1078">
        <w:rPr>
          <w:u w:color="000000"/>
        </w:rPr>
        <w:t>Comprehensive investigation</w:t>
      </w:r>
    </w:p>
    <w:p w:rsidR="005E5204" w:rsidRPr="00EC0CC3" w:rsidP="00E47C04" w14:paraId="1DF7648F" w14:textId="4AB2A851">
      <w:pPr>
        <w:pStyle w:val="GuidanceParagraph"/>
      </w:pPr>
      <w:r w:rsidRPr="00EC0CC3">
        <w:t xml:space="preserve">Following a second positive finding of </w:t>
      </w:r>
      <w:r w:rsidRPr="00EC0CC3">
        <w:rPr>
          <w:i/>
        </w:rPr>
        <w:t xml:space="preserve">Listeria </w:t>
      </w:r>
      <w:r w:rsidRPr="00EC0CC3">
        <w:t xml:space="preserve">spp. on an FCS, as an action to prevent recurrence of the contamination (§ 112.146(e)), you should conduct a comprehensive investigation to identify and </w:t>
      </w:r>
      <w:r w:rsidR="00551028">
        <w:t>address</w:t>
      </w:r>
      <w:r w:rsidRPr="00EC0CC3" w:rsidR="00551028">
        <w:t xml:space="preserve"> </w:t>
      </w:r>
      <w:r w:rsidRPr="00EC0CC3">
        <w:rPr>
          <w:i/>
        </w:rPr>
        <w:t xml:space="preserve">Listeria </w:t>
      </w:r>
      <w:r w:rsidRPr="00EC0CC3">
        <w:t xml:space="preserve">sources, and modify your sanitation procedures, where appropriate. You may need to stop production at your sprout operation </w:t>
      </w:r>
      <w:r w:rsidRPr="00EC0CC3">
        <w:t>in order to</w:t>
      </w:r>
      <w:r w:rsidRPr="00EC0CC3">
        <w:t xml:space="preserve"> conduct the comprehensive investigation or to take actions based on the comprehensive investigation (e.g., repair or replace equipment). </w:t>
      </w:r>
      <w:r w:rsidRPr="00EC0CC3">
        <w:t>Such an investigation should include:</w:t>
      </w:r>
    </w:p>
    <w:p w:rsidR="005E5204" w:rsidRPr="00EE7270" w:rsidP="00690C44" w14:paraId="594EC600" w14:textId="77777777">
      <w:pPr>
        <w:pStyle w:val="GuidanceBulletLevel1"/>
      </w:pPr>
      <w:r w:rsidRPr="00EC0CC3">
        <w:t xml:space="preserve">Checking maintenance records for modifications or repairs to relevant </w:t>
      </w:r>
      <w:r w:rsidRPr="00EC0CC3">
        <w:t>equipment;</w:t>
      </w:r>
    </w:p>
    <w:p w:rsidR="005E5204" w:rsidRPr="00EE7270" w:rsidP="00690C44" w14:paraId="3E0ED986" w14:textId="77777777">
      <w:pPr>
        <w:pStyle w:val="GuidanceBulletLevel1"/>
      </w:pPr>
      <w:r w:rsidRPr="00EC0CC3">
        <w:t xml:space="preserve">Interviewing and observing sanitation, maintenance, and production employees to determine whether appropriate procedures are being followed, including hygienic </w:t>
      </w:r>
      <w:r w:rsidRPr="00EC0CC3">
        <w:t>practices;</w:t>
      </w:r>
    </w:p>
    <w:p w:rsidR="005E5204" w:rsidRPr="00EE7270" w:rsidP="00690C44" w14:paraId="5ABBB641" w14:textId="77777777">
      <w:pPr>
        <w:pStyle w:val="GuidanceBulletLevel1"/>
      </w:pPr>
      <w:r w:rsidRPr="00EC0CC3">
        <w:t>Reviewing production, maintenance, and sanitation procedures to determine whether modification of the procedures is necessary to prevent contamination; and</w:t>
      </w:r>
    </w:p>
    <w:p w:rsidR="005E5204" w:rsidRPr="00EE7270" w:rsidP="00690C44" w14:paraId="6E4BCDE0" w14:textId="6210AC45">
      <w:pPr>
        <w:pStyle w:val="GuidanceBulletLevel1"/>
      </w:pPr>
      <w:r w:rsidRPr="00EC0CC3">
        <w:t>Reviewing traffic patterns and equipment layout.</w:t>
      </w:r>
    </w:p>
    <w:p w:rsidR="005E5204" w:rsidRPr="00EC0CC3" w:rsidP="00E47C04" w14:paraId="6773814E" w14:textId="77777777">
      <w:pPr>
        <w:pStyle w:val="GuidanceParagraph"/>
      </w:pPr>
      <w:r w:rsidRPr="00EC0CC3">
        <w:t>Based on the results of the comprehensive investigation, you should correct any identified problems (e.g., re-train personnel, revise sanitation procedures, repair equipment, update maintenance program) to prevent recurrence of contamination (§§ 112.21(d) and 112.146(e)).</w:t>
      </w:r>
    </w:p>
    <w:p w:rsidR="005174F3" w:rsidRPr="005174F3" w:rsidP="00E47C04" w14:paraId="281867E3" w14:textId="2A5C1E18">
      <w:pPr>
        <w:pStyle w:val="GuidanceParagraph"/>
        <w:numPr>
          <w:ilvl w:val="0"/>
          <w:numId w:val="67"/>
        </w:numPr>
        <w:rPr>
          <w:u w:color="000000"/>
        </w:rPr>
      </w:pPr>
      <w:r w:rsidRPr="005174F3">
        <w:rPr>
          <w:u w:color="000000"/>
        </w:rPr>
        <w:t xml:space="preserve">Negative </w:t>
      </w:r>
      <w:r w:rsidR="007559CC">
        <w:rPr>
          <w:u w:color="000000"/>
        </w:rPr>
        <w:t>r</w:t>
      </w:r>
      <w:r w:rsidRPr="005174F3">
        <w:rPr>
          <w:u w:color="000000"/>
        </w:rPr>
        <w:t xml:space="preserve">esults from </w:t>
      </w:r>
      <w:r w:rsidR="007559CC">
        <w:rPr>
          <w:u w:color="000000"/>
        </w:rPr>
        <w:t>i</w:t>
      </w:r>
      <w:r w:rsidRPr="005174F3">
        <w:rPr>
          <w:u w:color="000000"/>
        </w:rPr>
        <w:t xml:space="preserve">ntensified </w:t>
      </w:r>
      <w:r w:rsidR="007559CC">
        <w:rPr>
          <w:u w:color="000000"/>
        </w:rPr>
        <w:t>t</w:t>
      </w:r>
      <w:r w:rsidRPr="005174F3">
        <w:rPr>
          <w:u w:color="000000"/>
        </w:rPr>
        <w:t xml:space="preserve">esting and </w:t>
      </w:r>
      <w:r w:rsidR="007559CC">
        <w:rPr>
          <w:u w:color="000000"/>
        </w:rPr>
        <w:t>f</w:t>
      </w:r>
      <w:r w:rsidRPr="005174F3">
        <w:rPr>
          <w:u w:color="000000"/>
        </w:rPr>
        <w:t xml:space="preserve">inished </w:t>
      </w:r>
      <w:r w:rsidR="007559CC">
        <w:rPr>
          <w:u w:color="000000"/>
        </w:rPr>
        <w:t>p</w:t>
      </w:r>
      <w:r w:rsidRPr="005174F3">
        <w:rPr>
          <w:u w:color="000000"/>
        </w:rPr>
        <w:t xml:space="preserve">roduct </w:t>
      </w:r>
      <w:r w:rsidR="007559CC">
        <w:rPr>
          <w:u w:color="000000"/>
        </w:rPr>
        <w:t>t</w:t>
      </w:r>
      <w:r w:rsidRPr="005174F3">
        <w:rPr>
          <w:u w:color="000000"/>
        </w:rPr>
        <w:t>esting</w:t>
      </w:r>
    </w:p>
    <w:p w:rsidR="00191DF8" w:rsidRPr="00EC0CC3" w:rsidP="00E47C04" w14:paraId="1C3EE419" w14:textId="3E2F6469">
      <w:pPr>
        <w:pStyle w:val="GuidanceParagraph"/>
      </w:pPr>
      <w:r w:rsidRPr="00EC0CC3">
        <w:t>If all results from your three production days of intensified testing are negative, and your finished product testing is also negative, you should return to routine environmental monitoring. It would be reasonable to allow all sprouts from all three production days to enter commerce at this point, provided there is no other reason for concern (e.g., all other testing requirements in § 112.147 have been satisfied for these batches). However, you should target those surfaces where positive test results were found for sampling and testing during your next routine environmental sampling event.</w:t>
      </w:r>
    </w:p>
    <w:p w:rsidR="00191DF8" w:rsidRPr="00C0745E" w:rsidP="00E47C04" w14:paraId="1B6BAEB7" w14:textId="2ABED6B7">
      <w:pPr>
        <w:pStyle w:val="HHS508GuidanceOutline4"/>
      </w:pPr>
      <w:bookmarkStart w:id="164" w:name="_Hlk95224282"/>
      <w:r w:rsidRPr="00C0745E">
        <w:rPr>
          <w:i/>
        </w:rPr>
        <w:t>Listeria</w:t>
      </w:r>
      <w:r w:rsidRPr="00C0745E">
        <w:t xml:space="preserve"> spp. positive during intensified testing (3rd or subsequent positive) or </w:t>
      </w:r>
      <w:r w:rsidRPr="00C0745E">
        <w:rPr>
          <w:i/>
        </w:rPr>
        <w:t>L. monocytogenes</w:t>
      </w:r>
      <w:r w:rsidRPr="00C0745E">
        <w:t xml:space="preserve"> positive product</w:t>
      </w:r>
    </w:p>
    <w:bookmarkEnd w:id="164"/>
    <w:p w:rsidR="002A61F0" w:rsidRPr="002B1078" w:rsidP="00E47C04" w14:paraId="244345EC" w14:textId="2AFB5410">
      <w:pPr>
        <w:pStyle w:val="GuidanceParagraph"/>
        <w:numPr>
          <w:ilvl w:val="0"/>
          <w:numId w:val="68"/>
        </w:numPr>
        <w:rPr>
          <w:u w:color="000000"/>
        </w:rPr>
      </w:pPr>
      <w:r w:rsidRPr="002B1078">
        <w:rPr>
          <w:u w:color="000000"/>
        </w:rPr>
        <w:t>Stop production and investigate</w:t>
      </w:r>
    </w:p>
    <w:p w:rsidR="00191DF8" w:rsidRPr="00EC0CC3" w:rsidP="00E47C04" w14:paraId="482F34DB" w14:textId="517829D0">
      <w:pPr>
        <w:pStyle w:val="GuidanceParagraph"/>
      </w:pPr>
      <w:r w:rsidRPr="00EC0CC3">
        <w:t xml:space="preserve">If your intensified sampling and testing again detects </w:t>
      </w:r>
      <w:r w:rsidRPr="00EC0CC3">
        <w:rPr>
          <w:i/>
        </w:rPr>
        <w:t xml:space="preserve">Listeria </w:t>
      </w:r>
      <w:r w:rsidRPr="00EC0CC3">
        <w:t xml:space="preserve">spp. on an FCS and/or a non-FCS site (third or subsequent positive), and/or you detect </w:t>
      </w:r>
      <w:r w:rsidRPr="00EC0CC3">
        <w:rPr>
          <w:i/>
        </w:rPr>
        <w:t xml:space="preserve">L. monocytogenes </w:t>
      </w:r>
      <w:r w:rsidRPr="00EC0CC3">
        <w:t xml:space="preserve">in your product, you should assume that you have a harborage site.  As an action to prevent recurrence of the contamination (§ 112.146(e)), you should stop production and consult a food safety expert familiar with troubleshooting </w:t>
      </w:r>
      <w:r w:rsidRPr="00EC0CC3">
        <w:rPr>
          <w:i/>
        </w:rPr>
        <w:t xml:space="preserve">L. monocytogenes </w:t>
      </w:r>
      <w:r w:rsidRPr="00EC0CC3">
        <w:t>contamination problems to conduct a comprehensive investigation and make recommendations for appropriate actions for you to take based upon that investigation.</w:t>
      </w:r>
      <w:r w:rsidR="00832FDC">
        <w:t xml:space="preserve"> </w:t>
      </w:r>
      <w:r w:rsidRPr="004B344A" w:rsidR="004B344A">
        <w:t xml:space="preserve">You could choose to seek more information from sources such as </w:t>
      </w:r>
      <w:r w:rsidRPr="00B86FE8" w:rsidR="00B86FE8">
        <w:t>cleaning and sanitation suppliers</w:t>
      </w:r>
      <w:r w:rsidR="00B86FE8">
        <w:t xml:space="preserve">, </w:t>
      </w:r>
      <w:r w:rsidRPr="004B344A" w:rsidR="004B344A">
        <w:t xml:space="preserve">equipment manufacturers, academia, extension services, </w:t>
      </w:r>
      <w:r w:rsidR="00B86FE8">
        <w:t xml:space="preserve">and </w:t>
      </w:r>
      <w:r w:rsidRPr="004B344A" w:rsidR="004B344A">
        <w:t>industry associations</w:t>
      </w:r>
      <w:r w:rsidR="00B86FE8">
        <w:t xml:space="preserve"> </w:t>
      </w:r>
      <w:r w:rsidRPr="004B344A" w:rsidR="004B344A">
        <w:t>to assist you with th</w:t>
      </w:r>
      <w:r w:rsidR="005E0861">
        <w:t>ese corrective action steps</w:t>
      </w:r>
      <w:r w:rsidRPr="004B344A" w:rsidR="004B344A">
        <w:t>.</w:t>
      </w:r>
    </w:p>
    <w:p w:rsidR="00F93631" w:rsidRPr="006779B8" w:rsidP="00E47C04" w14:paraId="5C61C010" w14:textId="200E2BFF">
      <w:pPr>
        <w:pStyle w:val="GuidanceParagraph"/>
        <w:numPr>
          <w:ilvl w:val="0"/>
          <w:numId w:val="68"/>
        </w:numPr>
        <w:rPr>
          <w:u w:color="000000"/>
        </w:rPr>
      </w:pPr>
      <w:r w:rsidRPr="006779B8">
        <w:rPr>
          <w:u w:color="000000"/>
        </w:rPr>
        <w:t xml:space="preserve">Product </w:t>
      </w:r>
      <w:r w:rsidR="003B7DEC">
        <w:rPr>
          <w:u w:color="000000"/>
        </w:rPr>
        <w:t>a</w:t>
      </w:r>
      <w:r w:rsidRPr="006779B8">
        <w:rPr>
          <w:u w:color="000000"/>
        </w:rPr>
        <w:t>ctions</w:t>
      </w:r>
    </w:p>
    <w:p w:rsidR="00191DF8" w:rsidRPr="00EC0CC3" w:rsidP="00E47C04" w14:paraId="12C5C209" w14:textId="49B42939">
      <w:pPr>
        <w:pStyle w:val="GuidanceParagraph"/>
      </w:pPr>
      <w:r w:rsidRPr="00EC0CC3">
        <w:t xml:space="preserve">You also must take appropriate action to prevent any food that is adulterated under section 402 of the FD&amp;C Act from </w:t>
      </w:r>
      <w:r w:rsidRPr="00EC0CC3">
        <w:t>entering into</w:t>
      </w:r>
      <w:r w:rsidRPr="00EC0CC3">
        <w:t xml:space="preserve"> commerce (§ 112.146(f)). If a production batch of sprouts tests positive for </w:t>
      </w:r>
      <w:r w:rsidRPr="00EC0CC3">
        <w:rPr>
          <w:i/>
        </w:rPr>
        <w:t xml:space="preserve">L. monocytogenes, </w:t>
      </w:r>
      <w:r w:rsidRPr="00EC0CC3">
        <w:t xml:space="preserve">§ 112.146(f) requires you to prevent it from </w:t>
      </w:r>
      <w:r w:rsidRPr="00EC0CC3">
        <w:t>entering into</w:t>
      </w:r>
      <w:r w:rsidRPr="00EC0CC3">
        <w:t xml:space="preserve"> commerce. We recommend that you destroy any such production batch. If you are following the “three production days of intensified testing” described above in L.3.</w:t>
      </w:r>
      <w:r w:rsidR="00223043">
        <w:t>b</w:t>
      </w:r>
      <w:r w:rsidRPr="00EC0CC3">
        <w:t xml:space="preserve">, you also should consider the production batches </w:t>
      </w:r>
      <w:r w:rsidR="00871AF7">
        <w:t>during all three days of intensified testing</w:t>
      </w:r>
      <w:r w:rsidRPr="00EC0CC3">
        <w:t xml:space="preserve"> to be adulterated, considering the positive finding of </w:t>
      </w:r>
      <w:r w:rsidRPr="00EC0CC3">
        <w:rPr>
          <w:i/>
        </w:rPr>
        <w:t xml:space="preserve">L. monocytogenes </w:t>
      </w:r>
      <w:r w:rsidRPr="00EC0CC3">
        <w:t>in the first batch, combined with the earlier positive findings in your environment. Moreover, we recommend that you destroy any such batches if you have held them or recall them if you have already shipped them. You should also evaluate whether any other production batches of sprouts (either at your operation or in distribution) should be recalled or destroyed.</w:t>
      </w:r>
    </w:p>
    <w:p w:rsidR="00D41E22" w:rsidRPr="009A72C4" w:rsidP="00E47C04" w14:paraId="5CAD5D59" w14:textId="5ABA9C25">
      <w:pPr>
        <w:pStyle w:val="GuidanceParagraph"/>
        <w:numPr>
          <w:ilvl w:val="0"/>
          <w:numId w:val="68"/>
        </w:numPr>
        <w:rPr>
          <w:u w:color="000000"/>
        </w:rPr>
      </w:pPr>
      <w:r w:rsidRPr="009A72C4">
        <w:rPr>
          <w:u w:color="000000"/>
        </w:rPr>
        <w:t>Returning to production</w:t>
      </w:r>
    </w:p>
    <w:p w:rsidR="00191DF8" w:rsidRPr="00EA4457" w:rsidP="00E47C04" w14:paraId="7FB388C1" w14:textId="43D35F96">
      <w:pPr>
        <w:pStyle w:val="GuidanceParagraph"/>
      </w:pPr>
      <w:r w:rsidRPr="00EC0CC3">
        <w:t xml:space="preserve">After </w:t>
      </w:r>
      <w:r w:rsidRPr="00EC0CC3">
        <w:t>all of</w:t>
      </w:r>
      <w:r w:rsidRPr="00EC0CC3">
        <w:t xml:space="preserve"> these corrective actions have been taken and production begins again, you should prevent your new production batches of sprouts from entering commerce until you test each production batch of sprouts for </w:t>
      </w:r>
      <w:r w:rsidRPr="00EC0CC3">
        <w:rPr>
          <w:i/>
        </w:rPr>
        <w:t>L. monocytogenes</w:t>
      </w:r>
      <w:r w:rsidRPr="00EC0CC3">
        <w:t xml:space="preserve"> and conduct intensified testing of the </w:t>
      </w:r>
      <w:r w:rsidRPr="00EC0CC3">
        <w:t xml:space="preserve">environment on each production day, until you have received three </w:t>
      </w:r>
      <w:r w:rsidRPr="00EA4457">
        <w:t xml:space="preserve">consecutive days of negative test results for FCSs, non-FCSs, and sprouts. After receiving these negative test results for three consecutive days, you would not need to continue to test each production batch of sprouts for </w:t>
      </w:r>
      <w:r w:rsidRPr="008B73F5">
        <w:rPr>
          <w:i/>
        </w:rPr>
        <w:t>L. monocytogenes</w:t>
      </w:r>
      <w:r w:rsidRPr="00EA4457">
        <w:t>.</w:t>
      </w:r>
    </w:p>
    <w:p w:rsidR="00191DF8" w:rsidRPr="00EC0CC3" w:rsidP="00E47C04" w14:paraId="064274D1" w14:textId="42351CBE">
      <w:pPr>
        <w:pStyle w:val="GuidanceParagraph"/>
      </w:pPr>
      <w:r>
        <w:t xml:space="preserve">The example in Figure 3 addresses testing and follow-up actions for a single positive finding of </w:t>
      </w:r>
      <w:r w:rsidRPr="00EC0CC3">
        <w:rPr>
          <w:i/>
        </w:rPr>
        <w:t xml:space="preserve">Listeria </w:t>
      </w:r>
      <w:r>
        <w:t xml:space="preserve">spp. on an FCS during one sampling period. Detecting </w:t>
      </w:r>
      <w:r w:rsidRPr="00EC0CC3">
        <w:rPr>
          <w:i/>
        </w:rPr>
        <w:t xml:space="preserve">Listeria </w:t>
      </w:r>
      <w:r>
        <w:t xml:space="preserve">spp. at several FCS sampling locations during the same sampling period could indicate that your routine sanitation procedures are inadequate and could indicate that </w:t>
      </w:r>
      <w:r w:rsidRPr="00EC0CC3">
        <w:rPr>
          <w:i/>
        </w:rPr>
        <w:t xml:space="preserve">Listeria </w:t>
      </w:r>
      <w:r>
        <w:t xml:space="preserve">spp. has more broadly established in your operation. The risk associated with cross-contamination from contaminated FCS sites to food increases as the number of contaminated FCS sites increases. Therefore, when more than one FCS site sample tests positive for </w:t>
      </w:r>
      <w:r w:rsidRPr="00EC0CC3">
        <w:rPr>
          <w:i/>
        </w:rPr>
        <w:t>Listeria</w:t>
      </w:r>
      <w:r>
        <w:t xml:space="preserve"> spp. during one sampling period, you should immediately review your written cleaning and sanitation procedures to identify and implement more effective measures and escalate your corrective actions until you have identified and eliminated the </w:t>
      </w:r>
      <w:r w:rsidRPr="00EC0CC3">
        <w:rPr>
          <w:i/>
        </w:rPr>
        <w:t xml:space="preserve">Listeria </w:t>
      </w:r>
      <w:r>
        <w:t>spp. source(s).</w:t>
      </w:r>
    </w:p>
    <w:p w:rsidR="00191DF8" w:rsidRPr="00757AA2" w:rsidP="00757AA2" w14:paraId="12FC85ED" w14:textId="16A2C0B7">
      <w:pPr>
        <w:rPr>
          <w:rFonts w:ascii="Times New Roman" w:hAnsi="Times New Roman" w:cs="Times New Roman"/>
          <w:b/>
          <w:bCs/>
          <w:sz w:val="24"/>
          <w:szCs w:val="24"/>
        </w:rPr>
      </w:pPr>
      <w:bookmarkStart w:id="165" w:name="_Toc44439374"/>
      <w:bookmarkStart w:id="166" w:name="_Hlk43075678"/>
      <w:r w:rsidRPr="00757AA2">
        <w:rPr>
          <w:rFonts w:ascii="Times New Roman" w:hAnsi="Times New Roman" w:cs="Times New Roman"/>
          <w:b/>
          <w:bCs/>
          <w:sz w:val="24"/>
          <w:szCs w:val="24"/>
        </w:rPr>
        <w:t>Figure 3. FCS* Testing and Follow-Up Activities Decision Tree</w:t>
      </w:r>
      <w:bookmarkEnd w:id="165"/>
    </w:p>
    <w:p w:rsidR="00C93228" w:rsidRPr="00757AA2" w:rsidP="00757AA2" w14:paraId="063B85C0" w14:textId="53B1D43D">
      <w:pPr>
        <w:rPr>
          <w:rFonts w:ascii="Times New Roman" w:hAnsi="Times New Roman" w:cs="Times New Roman"/>
          <w:b/>
          <w:bCs/>
          <w:sz w:val="24"/>
          <w:szCs w:val="24"/>
        </w:rPr>
      </w:pPr>
      <w:r>
        <w:rPr>
          <w:noProof/>
        </w:rPr>
        <w:drawing>
          <wp:inline distT="0" distB="0" distL="0" distR="0">
            <wp:extent cx="5943600" cy="7691717"/>
            <wp:effectExtent l="0" t="0" r="0" b="508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691717"/>
                    </a:xfrm>
                    <a:prstGeom prst="rect">
                      <a:avLst/>
                    </a:prstGeom>
                    <a:noFill/>
                    <a:ln>
                      <a:noFill/>
                    </a:ln>
                  </pic:spPr>
                </pic:pic>
              </a:graphicData>
            </a:graphic>
          </wp:inline>
        </w:drawing>
      </w:r>
    </w:p>
    <w:p w:rsidR="00130FF7" w:rsidP="00E47C04" w14:paraId="018A1FFA" w14:textId="2A1F1E1E">
      <w:pPr>
        <w:pStyle w:val="GuidanceParagraph"/>
      </w:pPr>
    </w:p>
    <w:bookmarkEnd w:id="166"/>
    <w:p w:rsidR="00945051" w:rsidRPr="00412D55" w:rsidP="00E47C04" w14:paraId="588D0F93" w14:textId="16A2C0B7">
      <w:pPr>
        <w:pStyle w:val="HHS508GuidanceOutline4"/>
      </w:pPr>
      <w:r w:rsidRPr="00412D55">
        <w:t xml:space="preserve">Additional considerations if you detect </w:t>
      </w:r>
      <w:r w:rsidRPr="00165E82">
        <w:rPr>
          <w:i/>
        </w:rPr>
        <w:t>Listeria</w:t>
      </w:r>
      <w:r w:rsidRPr="00412D55">
        <w:t xml:space="preserve"> spp. on a</w:t>
      </w:r>
      <w:r w:rsidRPr="00412D55">
        <w:t>n</w:t>
      </w:r>
      <w:r w:rsidRPr="00412D55">
        <w:t xml:space="preserve"> FCS in a growing unit (e.g., rotary drum growing units)</w:t>
      </w:r>
    </w:p>
    <w:p w:rsidR="00945051" w:rsidRPr="00EC0CC3" w:rsidP="00E47C04" w14:paraId="369B5FB5" w14:textId="16A2C0B7">
      <w:pPr>
        <w:pStyle w:val="GuidanceParagraph"/>
      </w:pPr>
      <w:r w:rsidRPr="00DB378E">
        <w:t>If you obtain</w:t>
      </w:r>
      <w:r w:rsidRPr="00EC0CC3">
        <w:t xml:space="preserve"> a positive for </w:t>
      </w:r>
      <w:r w:rsidRPr="00EC0CC3">
        <w:rPr>
          <w:i/>
        </w:rPr>
        <w:t xml:space="preserve">Listeria </w:t>
      </w:r>
      <w:r w:rsidRPr="00EC0CC3">
        <w:t xml:space="preserve">spp. from an FCS in a growing unit (e.g., FCS on a rotary drum growing unit) during growing, there is a heightened risk that your sprouts may be contaminated with </w:t>
      </w:r>
      <w:r w:rsidRPr="00EC0CC3">
        <w:rPr>
          <w:i/>
        </w:rPr>
        <w:t>L. monocytogenes</w:t>
      </w:r>
      <w:r w:rsidRPr="00EC0CC3">
        <w:t>. As a result, we recommend that you take additional corrective actions in response to the finding, beyond those already discussed above.</w:t>
      </w:r>
    </w:p>
    <w:p w:rsidR="00945051" w:rsidRPr="00EC0CC3" w:rsidP="00E47C04" w14:paraId="01B36C6A" w14:textId="16A2C0B7">
      <w:pPr>
        <w:pStyle w:val="GuidanceParagraph"/>
      </w:pPr>
      <w:r w:rsidRPr="00EC0CC3">
        <w:t xml:space="preserve">If you receive notification of a positive test result for </w:t>
      </w:r>
      <w:r w:rsidRPr="00EC0CC3">
        <w:rPr>
          <w:i/>
        </w:rPr>
        <w:t xml:space="preserve">Listeria </w:t>
      </w:r>
      <w:r w:rsidRPr="00EC0CC3">
        <w:t xml:space="preserve">spp. from an FCS in a growing unit collected during your routine sampling (i.e., a first environmental positive from such a site), you should take all of the corrective actions described above relative to such a finding and should also take action to prevent the production batch(es) of sprouts associated with the positive sample site (i.e., the production batch of sprouts that was grown in that growing unit in which the positive </w:t>
      </w:r>
      <w:r w:rsidRPr="00EC0CC3">
        <w:rPr>
          <w:i/>
        </w:rPr>
        <w:t xml:space="preserve">Listeria </w:t>
      </w:r>
      <w:r w:rsidRPr="00EC0CC3">
        <w:t>spp. sample was collected at the time it was collected and any other potentially affected product) from entering commerce while you take the following steps:</w:t>
      </w:r>
    </w:p>
    <w:p w:rsidR="00945051" w:rsidRPr="00EC0CC3" w:rsidP="00E47C04" w14:paraId="5B52C0D3" w14:textId="77777777">
      <w:pPr>
        <w:pStyle w:val="GuidanceParagraph"/>
        <w:numPr>
          <w:ilvl w:val="0"/>
          <w:numId w:val="12"/>
        </w:numPr>
      </w:pPr>
      <w:r w:rsidRPr="00EC0CC3">
        <w:t xml:space="preserve">Conduct exploratory testing as described above (§ 112.146(a)). If your exploratory testing yields additional positive samples for </w:t>
      </w:r>
      <w:r w:rsidRPr="00EC0CC3">
        <w:rPr>
          <w:i/>
        </w:rPr>
        <w:t xml:space="preserve">Listeria </w:t>
      </w:r>
      <w:r w:rsidRPr="00EC0CC3">
        <w:t>spp., you should conduct intensified cleaning and sanitizing, and intensified testing, for three consecutive production days (as described above as a recommended response to a 2nd</w:t>
      </w:r>
      <w:r w:rsidRPr="00EC0CC3">
        <w:rPr>
          <w:position w:val="10"/>
        </w:rPr>
        <w:t xml:space="preserve"> </w:t>
      </w:r>
      <w:r w:rsidRPr="00EC0CC3">
        <w:rPr>
          <w:i/>
        </w:rPr>
        <w:t xml:space="preserve">Listeria </w:t>
      </w:r>
      <w:r w:rsidRPr="00EC0CC3">
        <w:t xml:space="preserve">spp. positive on an FCS site). If any of your intensified testing yields a positive result, you should proceed to the corrective actions recommended above for a 3rd </w:t>
      </w:r>
      <w:r w:rsidRPr="00EC0CC3">
        <w:rPr>
          <w:i/>
        </w:rPr>
        <w:t xml:space="preserve">Listeria </w:t>
      </w:r>
      <w:r w:rsidRPr="00EC0CC3">
        <w:t>spp. positive on an FCS site.</w:t>
      </w:r>
    </w:p>
    <w:p w:rsidR="00945051" w:rsidRPr="00EC0CC3" w:rsidP="00E47C04" w14:paraId="10BC3FD7" w14:textId="77777777">
      <w:pPr>
        <w:pStyle w:val="GuidanceParagraph"/>
        <w:numPr>
          <w:ilvl w:val="0"/>
          <w:numId w:val="12"/>
        </w:numPr>
      </w:pPr>
      <w:r w:rsidRPr="00EC0CC3">
        <w:t xml:space="preserve">Further analyze the sample that was positive for </w:t>
      </w:r>
      <w:r w:rsidRPr="00EC0CC3">
        <w:rPr>
          <w:i/>
        </w:rPr>
        <w:t xml:space="preserve">Listeria </w:t>
      </w:r>
      <w:r w:rsidRPr="00EC0CC3">
        <w:t xml:space="preserve">spp. to determine whether the </w:t>
      </w:r>
      <w:r w:rsidRPr="00EC0CC3">
        <w:rPr>
          <w:i/>
        </w:rPr>
        <w:t xml:space="preserve">Listeria </w:t>
      </w:r>
      <w:r w:rsidRPr="00EC0CC3">
        <w:t xml:space="preserve">identified is </w:t>
      </w:r>
      <w:r w:rsidRPr="00EC0CC3">
        <w:rPr>
          <w:i/>
        </w:rPr>
        <w:t xml:space="preserve">L. monocytogenes. </w:t>
      </w:r>
      <w:r w:rsidRPr="00EC0CC3">
        <w:t xml:space="preserve">If you determine the sample is positive for </w:t>
      </w:r>
      <w:r w:rsidRPr="00EC0CC3">
        <w:rPr>
          <w:i/>
        </w:rPr>
        <w:t>L. monocytogenes</w:t>
      </w:r>
      <w:r w:rsidRPr="00EC0CC3">
        <w:t>, § 112.146(f) requires you to take appropriate action to prevent the production batch of sprouts grown in the affected growing unit from entering commerce.  We recommend that you destroy any such product.</w:t>
      </w:r>
    </w:p>
    <w:p w:rsidR="00945051" w:rsidRPr="00EC0CC3" w:rsidP="00E47C04" w14:paraId="20E9D5C7" w14:textId="77777777">
      <w:pPr>
        <w:pStyle w:val="GuidanceParagraph"/>
        <w:numPr>
          <w:ilvl w:val="0"/>
          <w:numId w:val="12"/>
        </w:numPr>
      </w:pPr>
      <w:r w:rsidRPr="00EC0CC3">
        <w:t xml:space="preserve">If </w:t>
      </w:r>
      <w:r w:rsidRPr="00EC0CC3">
        <w:t>all of</w:t>
      </w:r>
      <w:r w:rsidRPr="00EC0CC3">
        <w:t xml:space="preserve"> your intensified testing of the environment for </w:t>
      </w:r>
      <w:r w:rsidRPr="00EC0CC3">
        <w:rPr>
          <w:i/>
        </w:rPr>
        <w:t xml:space="preserve">Listeria </w:t>
      </w:r>
      <w:r w:rsidRPr="00EC0CC3">
        <w:t xml:space="preserve">spp. for </w:t>
      </w:r>
      <w:r>
        <w:t>three</w:t>
      </w:r>
      <w:r w:rsidRPr="00EC0CC3">
        <w:t xml:space="preserve"> consecutive production days, and </w:t>
      </w:r>
      <w:r w:rsidRPr="00EC0CC3">
        <w:rPr>
          <w:i/>
        </w:rPr>
        <w:t xml:space="preserve">L. monocytogenes </w:t>
      </w:r>
      <w:r w:rsidRPr="00EC0CC3">
        <w:t>finished product testing is negative, it would be reasonable at that time to allow the production batch of sprouts at issue to enter commerce, and to return to routine sampling and testing.</w:t>
      </w:r>
    </w:p>
    <w:p w:rsidR="00191DF8" w:rsidRPr="00EC0CC3" w:rsidP="006B398F" w14:paraId="23F08743" w14:textId="52F56B2E">
      <w:pPr>
        <w:pStyle w:val="HHS508GuidanceOutline30"/>
      </w:pPr>
      <w:bookmarkStart w:id="167" w:name="_Toc106094970"/>
      <w:r w:rsidRPr="00EC0CC3">
        <w:t xml:space="preserve">Corrective actions if you detect </w:t>
      </w:r>
      <w:r w:rsidRPr="00EC0CC3">
        <w:rPr>
          <w:i/>
        </w:rPr>
        <w:t xml:space="preserve">Listeria monocytogenes </w:t>
      </w:r>
      <w:r w:rsidRPr="00EC0CC3">
        <w:t xml:space="preserve">on a </w:t>
      </w:r>
      <w:r w:rsidRPr="00EC0CC3" w:rsidR="00CD2E60">
        <w:t>food contact surface</w:t>
      </w:r>
      <w:r w:rsidRPr="00EC0CC3">
        <w:t xml:space="preserve"> or non-</w:t>
      </w:r>
      <w:r w:rsidRPr="00EC0CC3" w:rsidR="00CD2E60">
        <w:t>food contact surface</w:t>
      </w:r>
      <w:bookmarkEnd w:id="167"/>
    </w:p>
    <w:p w:rsidR="00191DF8" w:rsidRPr="00EC0CC3" w:rsidP="00E47C04" w14:paraId="59EA4A1A" w14:textId="499AFD50">
      <w:pPr>
        <w:pStyle w:val="GuidanceParagraph"/>
      </w:pPr>
      <w:r w:rsidRPr="00EC0CC3">
        <w:t xml:space="preserve">In general, we </w:t>
      </w:r>
      <w:r w:rsidR="004541ED">
        <w:t>anticipate</w:t>
      </w:r>
      <w:r w:rsidRPr="00EC0CC3" w:rsidR="004541ED">
        <w:t xml:space="preserve"> </w:t>
      </w:r>
      <w:r w:rsidRPr="00EC0CC3">
        <w:t xml:space="preserve">that sprout operations will </w:t>
      </w:r>
      <w:r w:rsidR="004541ED">
        <w:t xml:space="preserve">elect to </w:t>
      </w:r>
      <w:r w:rsidRPr="00EC0CC3">
        <w:t xml:space="preserve">test FCS and non-FCS sites for </w:t>
      </w:r>
      <w:r w:rsidRPr="00EC0CC3">
        <w:rPr>
          <w:i/>
        </w:rPr>
        <w:t xml:space="preserve">Listeria </w:t>
      </w:r>
      <w:r w:rsidRPr="00EC0CC3">
        <w:t xml:space="preserve">spp., rather than </w:t>
      </w:r>
      <w:r w:rsidRPr="00EC0CC3">
        <w:rPr>
          <w:i/>
        </w:rPr>
        <w:t>L. monocytogenes</w:t>
      </w:r>
      <w:r w:rsidRPr="00EC0CC3">
        <w:t xml:space="preserve">. Ordinarily, there is minimal value in determining whether </w:t>
      </w:r>
      <w:r w:rsidRPr="00EC0CC3">
        <w:rPr>
          <w:i/>
        </w:rPr>
        <w:t xml:space="preserve">Listeria </w:t>
      </w:r>
      <w:r w:rsidRPr="00EC0CC3">
        <w:t xml:space="preserve">spp. is </w:t>
      </w:r>
      <w:r w:rsidRPr="00EC0CC3">
        <w:rPr>
          <w:i/>
        </w:rPr>
        <w:t xml:space="preserve">L. monocytogenes </w:t>
      </w:r>
      <w:r w:rsidRPr="00EC0CC3">
        <w:t xml:space="preserve">because, typically, you should focus on eliminating the </w:t>
      </w:r>
      <w:r w:rsidRPr="00EC0CC3">
        <w:rPr>
          <w:i/>
        </w:rPr>
        <w:t xml:space="preserve">Listeria </w:t>
      </w:r>
      <w:r w:rsidRPr="00EC0CC3">
        <w:t xml:space="preserve">spp. regardless of whether it is, in fact, </w:t>
      </w:r>
      <w:r w:rsidRPr="00EC0CC3">
        <w:rPr>
          <w:i/>
        </w:rPr>
        <w:t>L. monocytogenes</w:t>
      </w:r>
      <w:r w:rsidRPr="00EC0CC3">
        <w:t xml:space="preserve">. However, in certain cases you should consider conducting further tests to determine whether the </w:t>
      </w:r>
      <w:r w:rsidRPr="00EC0CC3">
        <w:rPr>
          <w:i/>
        </w:rPr>
        <w:t xml:space="preserve">Listeria </w:t>
      </w:r>
      <w:r w:rsidRPr="00EC0CC3">
        <w:t xml:space="preserve">spp. positive in your environmental samples is </w:t>
      </w:r>
      <w:r w:rsidRPr="00EC0CC3">
        <w:rPr>
          <w:i/>
        </w:rPr>
        <w:t xml:space="preserve">L. monocytogenes. </w:t>
      </w:r>
      <w:r w:rsidRPr="00EC0CC3">
        <w:t xml:space="preserve">One example of such a situation is described above </w:t>
      </w:r>
      <w:r w:rsidRPr="00EC0A75">
        <w:t xml:space="preserve">in </w:t>
      </w:r>
      <w:r w:rsidR="00784737">
        <w:t>S</w:t>
      </w:r>
      <w:r w:rsidRPr="00EC0A75" w:rsidR="00784737">
        <w:t xml:space="preserve">ection </w:t>
      </w:r>
      <w:r w:rsidRPr="00EC0A75" w:rsidR="00802C47">
        <w:t>VI</w:t>
      </w:r>
      <w:r w:rsidRPr="00EC0A75">
        <w:t>.</w:t>
      </w:r>
      <w:r w:rsidRPr="00EC0A75" w:rsidR="007E120D">
        <w:t xml:space="preserve"> </w:t>
      </w:r>
      <w:r w:rsidRPr="00EC0A75" w:rsidR="005366E7">
        <w:t>L</w:t>
      </w:r>
      <w:r w:rsidRPr="00EC0A75">
        <w:t>.</w:t>
      </w:r>
      <w:r w:rsidRPr="00EC0A75" w:rsidR="007E120D">
        <w:t xml:space="preserve"> </w:t>
      </w:r>
      <w:r w:rsidRPr="00EC0A75" w:rsidR="00550FBE">
        <w:t>3</w:t>
      </w:r>
      <w:r w:rsidRPr="00EC0A75">
        <w:t>.</w:t>
      </w:r>
      <w:r w:rsidRPr="00EC0A75" w:rsidR="007E120D">
        <w:t xml:space="preserve"> </w:t>
      </w:r>
      <w:r w:rsidRPr="00EC0A75" w:rsidR="00550FBE">
        <w:t>d</w:t>
      </w:r>
      <w:r w:rsidRPr="00EC0A75">
        <w:t xml:space="preserve"> </w:t>
      </w:r>
      <w:r w:rsidR="003D4570">
        <w:t>(</w:t>
      </w:r>
      <w:r w:rsidRPr="003D4570" w:rsidR="003D4570">
        <w:t xml:space="preserve">Additional considerations if you detect </w:t>
      </w:r>
      <w:r w:rsidRPr="00731356" w:rsidR="003D4570">
        <w:rPr>
          <w:i/>
          <w:iCs/>
        </w:rPr>
        <w:t>Listeria</w:t>
      </w:r>
      <w:r w:rsidRPr="003D4570" w:rsidR="003D4570">
        <w:t xml:space="preserve"> spp. on an FCS in a growing unit (e.g., rotary drum growing units)</w:t>
      </w:r>
      <w:r w:rsidR="007C4705">
        <w:t>)</w:t>
      </w:r>
      <w:r w:rsidR="003D4570">
        <w:t xml:space="preserve"> </w:t>
      </w:r>
      <w:r w:rsidRPr="00EC0A75">
        <w:t>for positive</w:t>
      </w:r>
      <w:r w:rsidRPr="00EC0CC3">
        <w:rPr>
          <w:i/>
        </w:rPr>
        <w:t xml:space="preserve"> Listeria </w:t>
      </w:r>
      <w:r w:rsidRPr="00EC0CC3">
        <w:t>spp. findings on a</w:t>
      </w:r>
      <w:r w:rsidR="0025272F">
        <w:t>n</w:t>
      </w:r>
      <w:r w:rsidRPr="00EC0CC3">
        <w:t xml:space="preserve"> FCS in a growing unit.</w:t>
      </w:r>
    </w:p>
    <w:p w:rsidR="00191DF8" w:rsidRPr="00EC0CC3" w:rsidP="00E47C04" w14:paraId="35119433" w14:textId="363081F9">
      <w:pPr>
        <w:pStyle w:val="GuidanceParagraph"/>
      </w:pPr>
      <w:r w:rsidRPr="00EC0CC3">
        <w:t xml:space="preserve">If you detect </w:t>
      </w:r>
      <w:r w:rsidRPr="00EC0CC3">
        <w:rPr>
          <w:i/>
        </w:rPr>
        <w:t xml:space="preserve">L. monocytogenes </w:t>
      </w:r>
      <w:r w:rsidRPr="00EC0CC3">
        <w:t xml:space="preserve">on an FCS, § 112.146(f) requires to you take appropriate action to prevent any food that is adulterated under section 402 of the FD&amp;C Act from </w:t>
      </w:r>
      <w:r w:rsidRPr="00EC0CC3">
        <w:t>entering into</w:t>
      </w:r>
      <w:r w:rsidRPr="00EC0CC3">
        <w:t xml:space="preserve"> commerce. Depending on the circumstances, you may have production batches of sprouts that are adulterated under section 402(a)(4) of the FD&amp;C Act because of their association with the affected FCS location. We recommend that you destroy any potentially affected production batch of sprouts (or other food) associated with the contaminated FCS (as part of a recall, if applicable) and follow procedures outlined above in the subsection titled “returning to production” in </w:t>
      </w:r>
      <w:r w:rsidR="00784737">
        <w:t>S</w:t>
      </w:r>
      <w:r w:rsidRPr="00EC0CC3" w:rsidR="00784737">
        <w:t xml:space="preserve">ection </w:t>
      </w:r>
      <w:r w:rsidR="00990941">
        <w:t>VI. L. 3. c</w:t>
      </w:r>
      <w:r w:rsidRPr="00EC0A75">
        <w:t>.</w:t>
      </w:r>
      <w:r w:rsidR="003D4570">
        <w:t xml:space="preserve"> (</w:t>
      </w:r>
      <w:r w:rsidRPr="00C96E33" w:rsidR="003D4570">
        <w:rPr>
          <w:i/>
          <w:iCs/>
        </w:rPr>
        <w:t>Listeria</w:t>
      </w:r>
      <w:r w:rsidRPr="003D4570" w:rsidR="003D4570">
        <w:t xml:space="preserve"> spp. positive during intensified testing (3rd or subsequent positive) or </w:t>
      </w:r>
      <w:r w:rsidRPr="00731356" w:rsidR="003D4570">
        <w:rPr>
          <w:i/>
          <w:iCs/>
        </w:rPr>
        <w:t>L. monocytogenes</w:t>
      </w:r>
      <w:r w:rsidRPr="003D4570" w:rsidR="003D4570">
        <w:t xml:space="preserve"> positive product</w:t>
      </w:r>
      <w:r w:rsidR="003D4570">
        <w:t>).</w:t>
      </w:r>
      <w:r w:rsidRPr="003D4570" w:rsidR="003D4570">
        <w:t xml:space="preserve">  </w:t>
      </w:r>
    </w:p>
    <w:p w:rsidR="00191DF8" w:rsidRPr="00EC0CC3" w:rsidP="00E47C04" w14:paraId="0C800B44" w14:textId="7164FC7F">
      <w:pPr>
        <w:pStyle w:val="GuidanceParagraph"/>
      </w:pPr>
      <w:bookmarkStart w:id="168" w:name="_bookmark97"/>
      <w:bookmarkStart w:id="169" w:name="_bookmark98"/>
      <w:bookmarkEnd w:id="168"/>
      <w:bookmarkEnd w:id="169"/>
      <w:r w:rsidRPr="00EC0CC3">
        <w:t>Section 112.150(b)(6) requires that you establish and keep records of corrective actions conducted in accordance with the requirements of § 112.146. Such records must include:</w:t>
      </w:r>
    </w:p>
    <w:p w:rsidR="00191DF8" w:rsidRPr="00CA0481" w:rsidP="00690C44" w14:paraId="273CDCBD" w14:textId="3649B69C">
      <w:pPr>
        <w:pStyle w:val="GuidanceBulletLevel1"/>
      </w:pPr>
      <w:r w:rsidRPr="00EC0CC3">
        <w:t>Documentation of additional testing</w:t>
      </w:r>
      <w:r w:rsidRPr="00EC0CC3">
        <w:rPr>
          <w:spacing w:val="-3"/>
        </w:rPr>
        <w:t xml:space="preserve"> </w:t>
      </w:r>
      <w:r w:rsidRPr="00EC0CC3">
        <w:t>of</w:t>
      </w:r>
      <w:r w:rsidRPr="00EC0CC3">
        <w:rPr>
          <w:spacing w:val="-3"/>
        </w:rPr>
        <w:t xml:space="preserve"> </w:t>
      </w:r>
      <w:r w:rsidRPr="00EC0CC3">
        <w:t>surfaces and areas</w:t>
      </w:r>
      <w:r w:rsidR="00DE122F">
        <w:t xml:space="preserve"> </w:t>
      </w:r>
      <w:r w:rsidRPr="00EC0CC3">
        <w:t>surrounding</w:t>
      </w:r>
      <w:r w:rsidRPr="00EC0CC3">
        <w:rPr>
          <w:spacing w:val="-3"/>
        </w:rPr>
        <w:t xml:space="preserve"> </w:t>
      </w:r>
      <w:r w:rsidRPr="00EC0CC3">
        <w:t>the</w:t>
      </w:r>
      <w:r w:rsidRPr="00EC0CC3">
        <w:rPr>
          <w:spacing w:val="1"/>
        </w:rPr>
        <w:t xml:space="preserve"> </w:t>
      </w:r>
      <w:r w:rsidRPr="00EC0CC3">
        <w:t>area</w:t>
      </w:r>
      <w:r w:rsidRPr="00EC0CC3">
        <w:rPr>
          <w:spacing w:val="1"/>
        </w:rPr>
        <w:t xml:space="preserve"> </w:t>
      </w:r>
      <w:r w:rsidRPr="00EC0CC3">
        <w:rPr>
          <w:spacing w:val="-2"/>
        </w:rPr>
        <w:t>where</w:t>
      </w:r>
      <w:r w:rsidRPr="00EC0CC3">
        <w:rPr>
          <w:spacing w:val="1"/>
        </w:rPr>
        <w:t xml:space="preserve"> </w:t>
      </w:r>
      <w:r w:rsidRPr="00EC0CC3">
        <w:t>the</w:t>
      </w:r>
      <w:r w:rsidRPr="00EC0CC3">
        <w:rPr>
          <w:spacing w:val="-2"/>
        </w:rPr>
        <w:t xml:space="preserve"> </w:t>
      </w:r>
      <w:r w:rsidRPr="00EC0CC3">
        <w:t>positive</w:t>
      </w:r>
      <w:r w:rsidRPr="00EC0CC3">
        <w:rPr>
          <w:spacing w:val="1"/>
        </w:rPr>
        <w:t xml:space="preserve"> </w:t>
      </w:r>
      <w:r w:rsidRPr="00EC0CC3">
        <w:t xml:space="preserve">test result </w:t>
      </w:r>
      <w:r w:rsidRPr="00EC0CC3">
        <w:rPr>
          <w:spacing w:val="-2"/>
        </w:rPr>
        <w:t>was</w:t>
      </w:r>
      <w:r w:rsidRPr="00EC0CC3">
        <w:t xml:space="preserve"> detected to</w:t>
      </w:r>
      <w:r w:rsidRPr="00EC0CC3">
        <w:rPr>
          <w:spacing w:val="-3"/>
        </w:rPr>
        <w:t xml:space="preserve"> </w:t>
      </w:r>
      <w:r w:rsidRPr="00EC0CC3">
        <w:t>evaluate</w:t>
      </w:r>
      <w:r w:rsidRPr="00EC0CC3">
        <w:rPr>
          <w:spacing w:val="-2"/>
        </w:rPr>
        <w:t xml:space="preserve"> </w:t>
      </w:r>
      <w:r w:rsidRPr="00EC0CC3">
        <w:t>the</w:t>
      </w:r>
      <w:r w:rsidRPr="00EC0CC3">
        <w:rPr>
          <w:spacing w:val="-2"/>
        </w:rPr>
        <w:t xml:space="preserve"> </w:t>
      </w:r>
      <w:r w:rsidRPr="00EC0CC3">
        <w:t>extent of</w:t>
      </w:r>
      <w:r w:rsidRPr="00EC0CC3">
        <w:rPr>
          <w:spacing w:val="-3"/>
        </w:rPr>
        <w:t xml:space="preserve"> </w:t>
      </w:r>
      <w:r w:rsidRPr="00EC0CC3">
        <w:t>the</w:t>
      </w:r>
      <w:r w:rsidR="00DE122F">
        <w:t xml:space="preserve"> </w:t>
      </w:r>
      <w:r w:rsidRPr="00EC0CC3">
        <w:t>problem, including</w:t>
      </w:r>
      <w:r w:rsidRPr="00EC0CC3">
        <w:rPr>
          <w:spacing w:val="-3"/>
        </w:rPr>
        <w:t xml:space="preserve"> </w:t>
      </w:r>
      <w:r w:rsidRPr="00EC0CC3">
        <w:t>the</w:t>
      </w:r>
      <w:r w:rsidRPr="00EC0CC3">
        <w:rPr>
          <w:spacing w:val="1"/>
        </w:rPr>
        <w:t xml:space="preserve"> </w:t>
      </w:r>
      <w:r w:rsidRPr="00EC0CC3">
        <w:t xml:space="preserve">potential for </w:t>
      </w:r>
      <w:r w:rsidRPr="00EC0CC3">
        <w:rPr>
          <w:i/>
        </w:rPr>
        <w:t xml:space="preserve">Listeria </w:t>
      </w:r>
      <w:r w:rsidRPr="00EC0CC3">
        <w:t>spp. or</w:t>
      </w:r>
      <w:r w:rsidRPr="00EC0CC3">
        <w:rPr>
          <w:spacing w:val="-3"/>
        </w:rPr>
        <w:t xml:space="preserve"> </w:t>
      </w:r>
      <w:r w:rsidRPr="00EC0CC3">
        <w:rPr>
          <w:i/>
        </w:rPr>
        <w:t xml:space="preserve">L. monocytogenes </w:t>
      </w:r>
      <w:r w:rsidRPr="00EC0CC3">
        <w:t>to</w:t>
      </w:r>
      <w:r w:rsidRPr="00EC0CC3">
        <w:rPr>
          <w:spacing w:val="-3"/>
        </w:rPr>
        <w:t xml:space="preserve"> </w:t>
      </w:r>
      <w:r w:rsidRPr="00EC0CC3">
        <w:t>have</w:t>
      </w:r>
      <w:r w:rsidRPr="00EC0CC3">
        <w:rPr>
          <w:spacing w:val="-2"/>
        </w:rPr>
        <w:t xml:space="preserve"> </w:t>
      </w:r>
      <w:r w:rsidRPr="00EC0CC3">
        <w:t>become</w:t>
      </w:r>
      <w:r w:rsidR="00D0382A">
        <w:t xml:space="preserve"> </w:t>
      </w:r>
      <w:r w:rsidRPr="00EC0CC3">
        <w:t>established</w:t>
      </w:r>
      <w:r w:rsidRPr="00EC0CC3">
        <w:rPr>
          <w:spacing w:val="-3"/>
        </w:rPr>
        <w:t xml:space="preserve"> </w:t>
      </w:r>
      <w:r w:rsidRPr="00EC0CC3">
        <w:t>in a</w:t>
      </w:r>
      <w:r w:rsidRPr="00EC0CC3">
        <w:rPr>
          <w:spacing w:val="1"/>
        </w:rPr>
        <w:t xml:space="preserve"> </w:t>
      </w:r>
      <w:r w:rsidRPr="00EC0CC3">
        <w:rPr>
          <w:spacing w:val="-2"/>
        </w:rPr>
        <w:t>niche</w:t>
      </w:r>
      <w:r w:rsidRPr="00EC0CC3">
        <w:rPr>
          <w:spacing w:val="1"/>
        </w:rPr>
        <w:t xml:space="preserve"> </w:t>
      </w:r>
      <w:r w:rsidRPr="00EC0CC3">
        <w:t>(§ 112.146(a)) (i.e., “exploratory</w:t>
      </w:r>
      <w:r w:rsidRPr="00EC0CC3">
        <w:rPr>
          <w:spacing w:val="-5"/>
        </w:rPr>
        <w:t xml:space="preserve"> </w:t>
      </w:r>
      <w:r w:rsidRPr="00EC0CC3">
        <w:t>testing”</w:t>
      </w:r>
      <w:r w:rsidRPr="00EC0CC3">
        <w:t>);</w:t>
      </w:r>
    </w:p>
    <w:p w:rsidR="00191DF8" w:rsidRPr="00CA0481" w:rsidP="00690C44" w14:paraId="64ECF881" w14:textId="77777777">
      <w:pPr>
        <w:pStyle w:val="GuidanceBulletLevel1"/>
      </w:pPr>
      <w:r w:rsidRPr="00EC0CC3">
        <w:t>Documentation of cleaning and sanitizing</w:t>
      </w:r>
      <w:r w:rsidRPr="00EC0CC3">
        <w:rPr>
          <w:spacing w:val="1"/>
        </w:rPr>
        <w:t xml:space="preserve"> </w:t>
      </w:r>
      <w:r w:rsidRPr="00EC0CC3">
        <w:t>the</w:t>
      </w:r>
      <w:r w:rsidRPr="00EC0CC3">
        <w:rPr>
          <w:spacing w:val="1"/>
        </w:rPr>
        <w:t xml:space="preserve"> </w:t>
      </w:r>
      <w:r w:rsidRPr="00EC0CC3">
        <w:t>affected surfaces</w:t>
      </w:r>
      <w:r w:rsidRPr="00EC0CC3">
        <w:rPr>
          <w:spacing w:val="-4"/>
        </w:rPr>
        <w:t xml:space="preserve"> </w:t>
      </w:r>
      <w:r w:rsidRPr="00EC0CC3">
        <w:t>and surrounding</w:t>
      </w:r>
      <w:r w:rsidRPr="00EC0CC3">
        <w:rPr>
          <w:spacing w:val="71"/>
        </w:rPr>
        <w:t xml:space="preserve"> </w:t>
      </w:r>
      <w:r w:rsidRPr="00EC0CC3">
        <w:t>areas (§ 112.146(b)</w:t>
      </w:r>
      <w:r w:rsidRPr="00EC0CC3">
        <w:t>);</w:t>
      </w:r>
    </w:p>
    <w:p w:rsidR="00191DF8" w:rsidRPr="00CA0481" w:rsidP="00690C44" w14:paraId="4C4460D5" w14:textId="559B407D">
      <w:pPr>
        <w:pStyle w:val="GuidanceBulletLevel1"/>
      </w:pPr>
      <w:r w:rsidRPr="00EC0CC3">
        <w:rPr>
          <w:rFonts w:eastAsia="Calibri"/>
        </w:rPr>
        <w:t>Documentation of</w:t>
      </w:r>
      <w:r w:rsidRPr="00EC0CC3">
        <w:t xml:space="preserve"> additional sampling</w:t>
      </w:r>
      <w:r w:rsidRPr="00EC0CC3">
        <w:rPr>
          <w:spacing w:val="-3"/>
        </w:rPr>
        <w:t xml:space="preserve"> </w:t>
      </w:r>
      <w:r w:rsidRPr="00EC0CC3">
        <w:t>and testing</w:t>
      </w:r>
      <w:r w:rsidRPr="00EC0CC3">
        <w:rPr>
          <w:spacing w:val="-3"/>
        </w:rPr>
        <w:t xml:space="preserve"> </w:t>
      </w:r>
      <w:r w:rsidRPr="00EC0CC3">
        <w:t>to determine</w:t>
      </w:r>
      <w:r w:rsidR="00747855">
        <w:t xml:space="preserve"> </w:t>
      </w:r>
      <w:r w:rsidRPr="00EC0CC3">
        <w:t>whether</w:t>
      </w:r>
      <w:r w:rsidRPr="00EC0CC3">
        <w:rPr>
          <w:spacing w:val="-3"/>
        </w:rPr>
        <w:t xml:space="preserve"> </w:t>
      </w:r>
      <w:r w:rsidRPr="00EC0CC3">
        <w:t>the</w:t>
      </w:r>
      <w:r w:rsidRPr="00EC0CC3">
        <w:rPr>
          <w:spacing w:val="1"/>
        </w:rPr>
        <w:t xml:space="preserve"> </w:t>
      </w:r>
      <w:r w:rsidRPr="00EC0CC3">
        <w:rPr>
          <w:i/>
        </w:rPr>
        <w:t xml:space="preserve">Listeria </w:t>
      </w:r>
      <w:r w:rsidRPr="00EC0CC3">
        <w:t>spp.</w:t>
      </w:r>
      <w:r w:rsidRPr="00EC0CC3">
        <w:rPr>
          <w:spacing w:val="-3"/>
        </w:rPr>
        <w:t xml:space="preserve"> </w:t>
      </w:r>
      <w:r w:rsidRPr="00EC0CC3">
        <w:t xml:space="preserve">or </w:t>
      </w:r>
      <w:r w:rsidRPr="00EC0CC3">
        <w:rPr>
          <w:i/>
        </w:rPr>
        <w:t xml:space="preserve">L. monocytogenes </w:t>
      </w:r>
      <w:r w:rsidRPr="00EC0CC3">
        <w:t>has been</w:t>
      </w:r>
      <w:r w:rsidRPr="00EC0CC3">
        <w:rPr>
          <w:spacing w:val="-3"/>
        </w:rPr>
        <w:t xml:space="preserve"> </w:t>
      </w:r>
      <w:r w:rsidRPr="00EC0CC3">
        <w:t>eliminated (§ 112.146(c)</w:t>
      </w:r>
      <w:r w:rsidRPr="00EC0CC3">
        <w:t>);</w:t>
      </w:r>
    </w:p>
    <w:p w:rsidR="00191DF8" w:rsidRPr="00CA0481" w:rsidP="00690C44" w14:paraId="7720AA0F" w14:textId="77777777">
      <w:pPr>
        <w:pStyle w:val="GuidanceBulletLevel1"/>
      </w:pPr>
      <w:r w:rsidRPr="00EC0CC3">
        <w:t>Documentation of finished product</w:t>
      </w:r>
      <w:r w:rsidRPr="00EC0CC3">
        <w:rPr>
          <w:spacing w:val="-2"/>
        </w:rPr>
        <w:t xml:space="preserve"> </w:t>
      </w:r>
      <w:r w:rsidRPr="00EC0CC3">
        <w:t>testing</w:t>
      </w:r>
      <w:r w:rsidRPr="00EC0CC3">
        <w:rPr>
          <w:spacing w:val="-3"/>
        </w:rPr>
        <w:t xml:space="preserve"> </w:t>
      </w:r>
      <w:r w:rsidRPr="00EC0CC3">
        <w:t>when appropriate</w:t>
      </w:r>
      <w:r w:rsidRPr="00EC0CC3">
        <w:rPr>
          <w:spacing w:val="1"/>
        </w:rPr>
        <w:t xml:space="preserve"> </w:t>
      </w:r>
      <w:r w:rsidRPr="00EC0CC3">
        <w:t>(§</w:t>
      </w:r>
      <w:r w:rsidRPr="00EC0CC3">
        <w:rPr>
          <w:spacing w:val="71"/>
        </w:rPr>
        <w:t xml:space="preserve"> </w:t>
      </w:r>
      <w:r w:rsidRPr="00EC0CC3">
        <w:t>112.146(d)</w:t>
      </w:r>
      <w:r w:rsidRPr="00EC0CC3">
        <w:t>);</w:t>
      </w:r>
    </w:p>
    <w:p w:rsidR="00191DF8" w:rsidRPr="00CA0481" w:rsidP="00690C44" w14:paraId="3B28EFAB" w14:textId="77777777">
      <w:pPr>
        <w:pStyle w:val="GuidanceBulletLevel1"/>
      </w:pPr>
      <w:r w:rsidRPr="00EC0CC3">
        <w:t>Documentation of any</w:t>
      </w:r>
      <w:r w:rsidRPr="00EC0CC3">
        <w:rPr>
          <w:spacing w:val="-5"/>
        </w:rPr>
        <w:t xml:space="preserve"> </w:t>
      </w:r>
      <w:r w:rsidRPr="00EC0CC3">
        <w:t>other actions necessary</w:t>
      </w:r>
      <w:r w:rsidRPr="00EC0CC3">
        <w:rPr>
          <w:spacing w:val="-5"/>
        </w:rPr>
        <w:t xml:space="preserve"> </w:t>
      </w:r>
      <w:r w:rsidRPr="00EC0CC3">
        <w:t>to prevent recurrence</w:t>
      </w:r>
      <w:r w:rsidRPr="00EC0CC3">
        <w:rPr>
          <w:spacing w:val="1"/>
        </w:rPr>
        <w:t xml:space="preserve"> </w:t>
      </w:r>
      <w:r w:rsidRPr="00EC0CC3">
        <w:t>of</w:t>
      </w:r>
      <w:r w:rsidRPr="00EC0CC3">
        <w:rPr>
          <w:spacing w:val="-3"/>
        </w:rPr>
        <w:t xml:space="preserve"> </w:t>
      </w:r>
      <w:r w:rsidRPr="00EC0CC3">
        <w:t>the</w:t>
      </w:r>
      <w:r w:rsidRPr="00EC0CC3">
        <w:rPr>
          <w:spacing w:val="71"/>
        </w:rPr>
        <w:t xml:space="preserve"> </w:t>
      </w:r>
      <w:r w:rsidRPr="00EC0CC3">
        <w:t>contamination (§ 112.146(e)); and</w:t>
      </w:r>
    </w:p>
    <w:p w:rsidR="00191DF8" w:rsidRPr="00CA0481" w:rsidP="00690C44" w14:paraId="2C7F5474" w14:textId="2CBCF441">
      <w:pPr>
        <w:pStyle w:val="GuidanceBulletLevel1"/>
      </w:pPr>
      <w:r w:rsidRPr="00EC0CC3">
        <w:t>Documentation of appropriate</w:t>
      </w:r>
      <w:r w:rsidRPr="00EC0CC3">
        <w:rPr>
          <w:spacing w:val="1"/>
        </w:rPr>
        <w:t xml:space="preserve"> </w:t>
      </w:r>
      <w:r w:rsidRPr="00EC0CC3">
        <w:t>action</w:t>
      </w:r>
      <w:r w:rsidRPr="00EC0CC3">
        <w:rPr>
          <w:spacing w:val="-3"/>
        </w:rPr>
        <w:t xml:space="preserve"> </w:t>
      </w:r>
      <w:r w:rsidRPr="00EC0CC3">
        <w:t>to prevent</w:t>
      </w:r>
      <w:r w:rsidRPr="00EC0CC3">
        <w:rPr>
          <w:spacing w:val="-2"/>
        </w:rPr>
        <w:t xml:space="preserve"> </w:t>
      </w:r>
      <w:r w:rsidRPr="00EC0CC3">
        <w:t>any</w:t>
      </w:r>
      <w:r w:rsidRPr="00EC0CC3">
        <w:rPr>
          <w:spacing w:val="-3"/>
        </w:rPr>
        <w:t xml:space="preserve"> </w:t>
      </w:r>
      <w:r w:rsidRPr="00EC0CC3">
        <w:t>food that</w:t>
      </w:r>
      <w:r w:rsidRPr="00EC0CC3">
        <w:rPr>
          <w:spacing w:val="-2"/>
        </w:rPr>
        <w:t xml:space="preserve"> </w:t>
      </w:r>
      <w:r w:rsidRPr="00EC0CC3">
        <w:t>is</w:t>
      </w:r>
      <w:r w:rsidR="00DE122F">
        <w:t xml:space="preserve"> </w:t>
      </w:r>
      <w:r w:rsidRPr="00EC0CC3">
        <w:t>adulterated under section 402 of</w:t>
      </w:r>
      <w:r w:rsidRPr="00EC0CC3">
        <w:rPr>
          <w:spacing w:val="-3"/>
        </w:rPr>
        <w:t xml:space="preserve"> </w:t>
      </w:r>
      <w:r w:rsidRPr="00EC0CC3">
        <w:t>the</w:t>
      </w:r>
      <w:r w:rsidR="00DE122F">
        <w:t xml:space="preserve"> </w:t>
      </w:r>
      <w:r w:rsidR="003D185F">
        <w:t xml:space="preserve">FD&amp;C </w:t>
      </w:r>
      <w:r w:rsidRPr="00EC0CC3">
        <w:t xml:space="preserve">Act from </w:t>
      </w:r>
      <w:r w:rsidRPr="00EC0CC3">
        <w:t>entering</w:t>
      </w:r>
      <w:r w:rsidRPr="00EC0CC3">
        <w:rPr>
          <w:spacing w:val="-3"/>
        </w:rPr>
        <w:t xml:space="preserve"> </w:t>
      </w:r>
      <w:r w:rsidRPr="00EC0CC3">
        <w:t>into</w:t>
      </w:r>
      <w:r w:rsidRPr="00EC0CC3">
        <w:t xml:space="preserve"> commerce</w:t>
      </w:r>
      <w:r w:rsidRPr="00EC0CC3">
        <w:rPr>
          <w:spacing w:val="1"/>
        </w:rPr>
        <w:t xml:space="preserve"> </w:t>
      </w:r>
      <w:r w:rsidRPr="00EC0CC3">
        <w:t>(§ 112.146(f)).</w:t>
      </w:r>
    </w:p>
    <w:p w:rsidR="00191DF8" w:rsidRPr="00EC0CC3" w:rsidP="006B398F" w14:paraId="0EA4F518" w14:textId="5E621DDE">
      <w:pPr>
        <w:pStyle w:val="HHS508GuidanceOutline30"/>
      </w:pPr>
      <w:bookmarkStart w:id="170" w:name="_Toc44439375"/>
      <w:bookmarkStart w:id="171" w:name="_Toc106094971"/>
      <w:r w:rsidRPr="00EC0CC3">
        <w:t xml:space="preserve">Corrective actions if you detect </w:t>
      </w:r>
      <w:r w:rsidRPr="00EC0CC3">
        <w:rPr>
          <w:i/>
        </w:rPr>
        <w:t xml:space="preserve">Listeria </w:t>
      </w:r>
      <w:r w:rsidRPr="00EC0CC3">
        <w:t>spp. on a non-</w:t>
      </w:r>
      <w:bookmarkEnd w:id="170"/>
      <w:r w:rsidRPr="00EC0CC3" w:rsidR="00CD2E60">
        <w:t>food contact surface</w:t>
      </w:r>
      <w:bookmarkEnd w:id="171"/>
    </w:p>
    <w:p w:rsidR="00191DF8" w:rsidRPr="00EC0CC3" w:rsidP="00E47C04" w14:paraId="6CCD3E6E" w14:textId="19E5E5FE">
      <w:pPr>
        <w:pStyle w:val="GuidanceParagraph"/>
      </w:pPr>
      <w:r w:rsidRPr="00EC0CC3">
        <w:t xml:space="preserve">We describe appropriate corrective actions for a positive test result for </w:t>
      </w:r>
      <w:r w:rsidRPr="00EC0CC3">
        <w:rPr>
          <w:i/>
        </w:rPr>
        <w:t xml:space="preserve">Listeria </w:t>
      </w:r>
      <w:r w:rsidRPr="00EC0CC3">
        <w:t xml:space="preserve">spp. from an environmental sample collected during your routine sampling of a non-FCS site in this section. These steps are also summarized in Figure </w:t>
      </w:r>
      <w:r w:rsidR="00161474">
        <w:t>4</w:t>
      </w:r>
      <w:r w:rsidRPr="00EC0CC3">
        <w:t xml:space="preserve"> (Non-FCS* Testing and Follow-Up Activities for Zone 2 Decision Tree). We focus on corrective actions for positives in </w:t>
      </w:r>
      <w:r w:rsidR="00917502">
        <w:t>Z</w:t>
      </w:r>
      <w:r w:rsidRPr="00EC0CC3">
        <w:t xml:space="preserve">one 2, which are </w:t>
      </w:r>
      <w:r w:rsidRPr="00EC0CC3">
        <w:t>in close proximity to</w:t>
      </w:r>
      <w:r w:rsidRPr="00EC0CC3">
        <w:t xml:space="preserve"> food and FCS, because, when contaminated, they present a greater risk of contamination of the food than do non-FCS in other zones. However, as required by § 112.146, you must also take corrective actions if a positive result(s) is obtained in Zones 3 or 4. Corrective actions for non-FCS positives in Zones 3 and 4 may be less rigorous than those for non-FCS positives in Zone 2 provided that all relevant requirements are met. For example, you must conduct additional testing (i.e., “exploratory testing</w:t>
      </w:r>
      <w:r w:rsidRPr="00FF43F1">
        <w:t xml:space="preserve">,” see Section </w:t>
      </w:r>
      <w:r w:rsidRPr="00FF43F1" w:rsidR="00EC3719">
        <w:t>VI</w:t>
      </w:r>
      <w:r w:rsidRPr="00FF43F1">
        <w:t>.</w:t>
      </w:r>
      <w:r w:rsidRPr="00FF43F1" w:rsidR="001C3047">
        <w:t xml:space="preserve"> L. </w:t>
      </w:r>
      <w:r w:rsidR="003D4570">
        <w:t>3</w:t>
      </w:r>
      <w:r w:rsidRPr="00FF43F1">
        <w:t>.</w:t>
      </w:r>
      <w:r w:rsidRPr="00FF43F1" w:rsidR="002E3602">
        <w:t xml:space="preserve"> </w:t>
      </w:r>
      <w:r w:rsidRPr="00FF43F1">
        <w:t>a</w:t>
      </w:r>
      <w:r w:rsidR="003D4570">
        <w:t xml:space="preserve"> (</w:t>
      </w:r>
      <w:r w:rsidRPr="00BC5DF9" w:rsidR="003D4570">
        <w:rPr>
          <w:i/>
          <w:iCs/>
        </w:rPr>
        <w:t>Listeria</w:t>
      </w:r>
      <w:r w:rsidRPr="003D4570" w:rsidR="003D4570">
        <w:t xml:space="preserve"> spp. positive on an FCS (1st positive)</w:t>
      </w:r>
      <w:r w:rsidR="003D4570">
        <w:t>)</w:t>
      </w:r>
      <w:r w:rsidRPr="00FF43F1">
        <w:t>) of surfaces</w:t>
      </w:r>
      <w:r w:rsidRPr="00EC0CC3">
        <w:t xml:space="preserve"> and areas surrounding the area where </w:t>
      </w:r>
      <w:r w:rsidRPr="00EC0CC3">
        <w:rPr>
          <w:i/>
        </w:rPr>
        <w:t xml:space="preserve">Listeria </w:t>
      </w:r>
      <w:r w:rsidRPr="00EC0CC3">
        <w:t xml:space="preserve">species </w:t>
      </w:r>
      <w:r w:rsidRPr="00EC0CC3">
        <w:t xml:space="preserve">or </w:t>
      </w:r>
      <w:r w:rsidRPr="00EC0CC3">
        <w:rPr>
          <w:i/>
        </w:rPr>
        <w:t xml:space="preserve">L. monocytogenes </w:t>
      </w:r>
      <w:r w:rsidRPr="00EC0CC3">
        <w:t xml:space="preserve">was detected (§ 112.146(a)). However, it would be reasonable to take fewer exploratory samples after a positive test result in Zone 3 or 4 compared to the number </w:t>
      </w:r>
      <w:r w:rsidRPr="00EC0CC3">
        <w:t>of exploratory samples taken after a positive test result in Zone 2.</w:t>
      </w:r>
      <w:r w:rsidR="00DE122F">
        <w:t xml:space="preserve"> </w:t>
      </w:r>
      <w:r w:rsidRPr="00EC0CC3">
        <w:t xml:space="preserve">You must clean and sanitize the affected surfaces and surrounding areas after obtaining a positive test result in Zone 3 or 4 (§ 112.146(b)), however the cleaning and sanitizing conducted might be </w:t>
      </w:r>
      <w:r w:rsidR="00051B1B">
        <w:t>more</w:t>
      </w:r>
      <w:r w:rsidRPr="00EC0CC3" w:rsidR="00051B1B">
        <w:t xml:space="preserve"> </w:t>
      </w:r>
      <w:r w:rsidRPr="00EC0CC3">
        <w:t xml:space="preserve">aggressive after a positive test result in Zone </w:t>
      </w:r>
      <w:r w:rsidR="00051B1B">
        <w:t>2</w:t>
      </w:r>
      <w:r w:rsidRPr="00EC0CC3">
        <w:t xml:space="preserve"> compared to cleaning and sanitizing after a </w:t>
      </w:r>
      <w:r w:rsidRPr="00FF43F1">
        <w:t xml:space="preserve">positive test result in Zone </w:t>
      </w:r>
      <w:r w:rsidRPr="00FF43F1" w:rsidR="00051B1B">
        <w:t>3 or 4</w:t>
      </w:r>
      <w:r w:rsidRPr="00FF43F1">
        <w:t xml:space="preserve">. You must then conduct additional sampling and testing (see </w:t>
      </w:r>
      <w:r w:rsidR="004744AB">
        <w:t>S</w:t>
      </w:r>
      <w:r w:rsidRPr="00FF43F1">
        <w:t xml:space="preserve">ection </w:t>
      </w:r>
      <w:r w:rsidRPr="00FF43F1" w:rsidR="00EC3719">
        <w:t>VI</w:t>
      </w:r>
      <w:r w:rsidRPr="00FF43F1">
        <w:t>.</w:t>
      </w:r>
      <w:r w:rsidRPr="00FF43F1" w:rsidR="00340237">
        <w:t xml:space="preserve"> L</w:t>
      </w:r>
      <w:r w:rsidRPr="00FF43F1">
        <w:t>.</w:t>
      </w:r>
      <w:r w:rsidRPr="00FF43F1" w:rsidR="00340237">
        <w:t xml:space="preserve"> </w:t>
      </w:r>
      <w:r w:rsidR="003D4570">
        <w:t>3</w:t>
      </w:r>
      <w:r w:rsidRPr="00FF43F1">
        <w:t>.</w:t>
      </w:r>
      <w:r w:rsidRPr="00FF43F1" w:rsidR="00340237">
        <w:t xml:space="preserve"> </w:t>
      </w:r>
      <w:r w:rsidRPr="00FF43F1">
        <w:t>a</w:t>
      </w:r>
      <w:r w:rsidR="003D4570">
        <w:t xml:space="preserve"> </w:t>
      </w:r>
      <w:r w:rsidR="006646F3">
        <w:t>(</w:t>
      </w:r>
      <w:r w:rsidRPr="00927825" w:rsidR="003D4570">
        <w:rPr>
          <w:i/>
          <w:iCs/>
        </w:rPr>
        <w:t>Listeria</w:t>
      </w:r>
      <w:r w:rsidRPr="003D4570" w:rsidR="003D4570">
        <w:t xml:space="preserve"> spp. positive on an FCS (1st positive)</w:t>
      </w:r>
      <w:r w:rsidR="003D4570">
        <w:t>)</w:t>
      </w:r>
      <w:r w:rsidRPr="00FF43F1">
        <w:t xml:space="preserve"> to determine</w:t>
      </w:r>
      <w:r w:rsidRPr="00EC0CC3">
        <w:t xml:space="preserve"> whether the </w:t>
      </w:r>
      <w:r w:rsidRPr="00EC0CC3">
        <w:rPr>
          <w:i/>
        </w:rPr>
        <w:t xml:space="preserve">Listeria </w:t>
      </w:r>
      <w:r w:rsidRPr="00EC0CC3">
        <w:t xml:space="preserve">species </w:t>
      </w:r>
      <w:r w:rsidRPr="00EC0CC3">
        <w:t xml:space="preserve">or </w:t>
      </w:r>
      <w:r w:rsidRPr="00EC0CC3">
        <w:rPr>
          <w:i/>
        </w:rPr>
        <w:t xml:space="preserve">L. monocytogenes </w:t>
      </w:r>
      <w:r w:rsidRPr="00EC0CC3">
        <w:t xml:space="preserve">has been eliminated after obtaining a positive test result in Zone 3 or 4 (§ 112.146(c)). However, it would be reasonable to take </w:t>
      </w:r>
      <w:r w:rsidR="00051B1B">
        <w:t>more</w:t>
      </w:r>
      <w:r w:rsidRPr="00EC0CC3" w:rsidR="00051B1B">
        <w:t xml:space="preserve"> </w:t>
      </w:r>
      <w:r w:rsidRPr="00EC0CC3">
        <w:t xml:space="preserve">samples as a follow-up for a positive test result in Zone </w:t>
      </w:r>
      <w:r w:rsidR="00051B1B">
        <w:t>2</w:t>
      </w:r>
      <w:r w:rsidRPr="00EC0CC3">
        <w:t xml:space="preserve"> compared to the number of samples taken after a positive test result in Zone </w:t>
      </w:r>
      <w:r w:rsidRPr="00EC0CC3" w:rsidR="00051B1B">
        <w:t>3 or 4</w:t>
      </w:r>
      <w:r w:rsidRPr="00EC0CC3">
        <w:t xml:space="preserve">. Finished product testing is also </w:t>
      </w:r>
      <w:r w:rsidR="00F81D31">
        <w:t>more</w:t>
      </w:r>
      <w:r w:rsidRPr="00EC0CC3" w:rsidR="00F81D31">
        <w:t xml:space="preserve"> </w:t>
      </w:r>
      <w:r w:rsidRPr="00EC0CC3">
        <w:t xml:space="preserve">likely to be necessary in response to a positive test result in Zone </w:t>
      </w:r>
      <w:r w:rsidR="00F81D31">
        <w:t>2</w:t>
      </w:r>
      <w:r w:rsidRPr="00EC0CC3">
        <w:t xml:space="preserve"> compared to after a positive test result in Zone </w:t>
      </w:r>
      <w:r w:rsidRPr="00EC0CC3" w:rsidR="00F81D31">
        <w:t>3 or 4</w:t>
      </w:r>
      <w:r w:rsidRPr="00EC0CC3">
        <w:t xml:space="preserve">. </w:t>
      </w:r>
    </w:p>
    <w:p w:rsidR="00191DF8" w:rsidRPr="00EC0CC3" w:rsidP="00E47C04" w14:paraId="0AB27BDE" w14:textId="23B50F80">
      <w:pPr>
        <w:pStyle w:val="GuidanceParagraph"/>
      </w:pPr>
      <w:r w:rsidRPr="00EC0CC3">
        <w:t xml:space="preserve">The discussion in this section relates only to positive environmental samples on non-FCSs. If you obtain a positive environmental sample (e.g., </w:t>
      </w:r>
      <w:r w:rsidRPr="00EC0CC3">
        <w:rPr>
          <w:i/>
        </w:rPr>
        <w:t xml:space="preserve">Listeria </w:t>
      </w:r>
      <w:r w:rsidRPr="00EC0CC3">
        <w:t xml:space="preserve">spp.) on an FCS during follow-up testing to an original positive on a non-FCS (e.g., during exploratory testing), you should immediately switch to taking corrective actions appropriate to positive findings on FCSs, which is covered in </w:t>
      </w:r>
      <w:r w:rsidRPr="00EC7EE2" w:rsidR="00143A5B">
        <w:t xml:space="preserve">Section </w:t>
      </w:r>
      <w:r w:rsidRPr="00EC7EE2" w:rsidR="00EC3719">
        <w:t>VI.</w:t>
      </w:r>
      <w:r w:rsidRPr="00EC7EE2" w:rsidR="002B3D31">
        <w:t xml:space="preserve"> L</w:t>
      </w:r>
      <w:r w:rsidRPr="00EC7EE2">
        <w:t>.</w:t>
      </w:r>
      <w:r w:rsidRPr="00EC7EE2" w:rsidR="002B3D31">
        <w:t xml:space="preserve"> </w:t>
      </w:r>
      <w:r w:rsidRPr="00EC7EE2" w:rsidR="00E81B74">
        <w:t>3</w:t>
      </w:r>
      <w:r w:rsidRPr="00EC7EE2">
        <w:t>.</w:t>
      </w:r>
      <w:r w:rsidRPr="00EC7EE2" w:rsidR="002B3D31">
        <w:t xml:space="preserve"> </w:t>
      </w:r>
      <w:r w:rsidRPr="00EC7EE2">
        <w:t xml:space="preserve">b </w:t>
      </w:r>
      <w:r w:rsidRPr="00EC7EE2" w:rsidR="003D4570">
        <w:t>(</w:t>
      </w:r>
      <w:r w:rsidRPr="00EC7EE2" w:rsidR="003D4570">
        <w:rPr>
          <w:i/>
          <w:iCs/>
        </w:rPr>
        <w:t>Listeria</w:t>
      </w:r>
      <w:r w:rsidRPr="00EC7EE2" w:rsidR="003D4570">
        <w:t xml:space="preserve"> spp. positive on FCS during exploratory testing (2nd positive)</w:t>
      </w:r>
      <w:r w:rsidRPr="00EC7EE2" w:rsidR="00CF129B">
        <w:t>)</w:t>
      </w:r>
      <w:r w:rsidR="003D4570">
        <w:t xml:space="preserve"> </w:t>
      </w:r>
      <w:r w:rsidRPr="00FF43F1">
        <w:t>above</w:t>
      </w:r>
      <w:r w:rsidRPr="00EC0CC3">
        <w:t>.</w:t>
      </w:r>
    </w:p>
    <w:p w:rsidR="00191DF8" w:rsidRPr="00EC0CC3" w:rsidP="00E47C04" w14:paraId="3F6652B3" w14:textId="45D5C5EF">
      <w:pPr>
        <w:pStyle w:val="HHS508GuidanceOutline4"/>
        <w:numPr>
          <w:ilvl w:val="0"/>
          <w:numId w:val="36"/>
        </w:numPr>
      </w:pPr>
      <w:bookmarkStart w:id="172" w:name="_Hlk43072891"/>
      <w:bookmarkStart w:id="173" w:name="_Toc44439376"/>
      <w:r w:rsidRPr="00E47C04">
        <w:rPr>
          <w:i/>
        </w:rPr>
        <w:t>Listeria</w:t>
      </w:r>
      <w:r w:rsidRPr="00EC0CC3">
        <w:t xml:space="preserve"> spp. positive on </w:t>
      </w:r>
      <w:r w:rsidR="007D0E51">
        <w:t>n</w:t>
      </w:r>
      <w:r w:rsidRPr="00EC0CC3" w:rsidR="007D0E51">
        <w:t>on</w:t>
      </w:r>
      <w:r w:rsidRPr="00EC0CC3">
        <w:t>-FCS (1st positive)</w:t>
      </w:r>
      <w:bookmarkEnd w:id="172"/>
      <w:bookmarkEnd w:id="173"/>
    </w:p>
    <w:p w:rsidR="00191DF8" w:rsidRPr="00EC0CC3" w:rsidP="00E47C04" w14:paraId="5C4AB0F5" w14:textId="4942A890">
      <w:pPr>
        <w:pStyle w:val="GuidanceParagraph"/>
      </w:pPr>
      <w:r w:rsidRPr="00EC0CC3">
        <w:t xml:space="preserve">You should examine the area surrounding the site of the positive test result in all directions for potential sources of </w:t>
      </w:r>
      <w:r w:rsidRPr="00EC0CC3">
        <w:rPr>
          <w:i/>
        </w:rPr>
        <w:t xml:space="preserve">Listeria </w:t>
      </w:r>
      <w:r w:rsidRPr="00EC0CC3">
        <w:t xml:space="preserve">spp. as described in </w:t>
      </w:r>
      <w:r w:rsidRPr="00EC7EE2">
        <w:t xml:space="preserve">Appendix </w:t>
      </w:r>
      <w:r w:rsidRPr="00EC7EE2" w:rsidR="0063087D">
        <w:t>3</w:t>
      </w:r>
      <w:r w:rsidRPr="00EC7EE2">
        <w:t xml:space="preserve"> (Potential Sources of </w:t>
      </w:r>
      <w:r w:rsidRPr="00EC7EE2">
        <w:rPr>
          <w:i/>
        </w:rPr>
        <w:t xml:space="preserve">L. monocytogenes </w:t>
      </w:r>
      <w:r w:rsidRPr="00EC7EE2">
        <w:t>for Sampling in a Sprout Operation)</w:t>
      </w:r>
      <w:r w:rsidRPr="00EC0CC3">
        <w:t xml:space="preserve"> of this guidance. You should pay particular attention to possible niches that provide harborage for </w:t>
      </w:r>
      <w:r w:rsidRPr="00EC0CC3">
        <w:rPr>
          <w:i/>
        </w:rPr>
        <w:t>L. monocytogenes.</w:t>
      </w:r>
    </w:p>
    <w:p w:rsidR="00CA713B" w:rsidRPr="00CA713B" w:rsidP="00CA713B" w14:paraId="4C8BA553" w14:textId="44050E5C">
      <w:pPr>
        <w:widowControl/>
        <w:numPr>
          <w:ilvl w:val="0"/>
          <w:numId w:val="71"/>
        </w:numPr>
        <w:tabs>
          <w:tab w:val="left" w:pos="4950"/>
        </w:tabs>
        <w:spacing w:after="240"/>
        <w:rPr>
          <w:rFonts w:ascii="Times New Roman" w:eastAsia="Times New Roman" w:hAnsi="Times New Roman" w:cs="Times New Roman"/>
          <w:b/>
          <w:sz w:val="24"/>
          <w:szCs w:val="24"/>
          <w:u w:color="000000"/>
        </w:rPr>
      </w:pPr>
      <w:bookmarkStart w:id="174" w:name="_Hlk43072903"/>
      <w:r w:rsidRPr="00CA713B">
        <w:rPr>
          <w:rFonts w:ascii="Times New Roman" w:eastAsia="Times New Roman" w:hAnsi="Times New Roman" w:cs="Times New Roman"/>
          <w:b/>
          <w:sz w:val="24"/>
          <w:szCs w:val="24"/>
          <w:u w:color="000000"/>
        </w:rPr>
        <w:t>Exploratory testing</w:t>
      </w:r>
    </w:p>
    <w:p w:rsidR="00191DF8" w:rsidRPr="00EC0CC3" w:rsidP="00E47C04" w14:paraId="43422335" w14:textId="482F8A4C">
      <w:pPr>
        <w:pStyle w:val="GuidanceParagraph"/>
      </w:pPr>
      <w:r w:rsidRPr="00EC0CC3">
        <w:t xml:space="preserve">You must conduct additional testing of surfaces and areas surrounding the area where </w:t>
      </w:r>
      <w:r w:rsidRPr="00EC0CC3">
        <w:rPr>
          <w:i/>
        </w:rPr>
        <w:t xml:space="preserve">Listeria </w:t>
      </w:r>
      <w:r w:rsidRPr="00EC0CC3">
        <w:t xml:space="preserve">spp. was detected to evaluate the extent of the problem, including the potential for </w:t>
      </w:r>
      <w:r w:rsidRPr="00EC0CC3">
        <w:rPr>
          <w:i/>
        </w:rPr>
        <w:t xml:space="preserve">Listeria </w:t>
      </w:r>
      <w:r w:rsidRPr="00EC0CC3">
        <w:t xml:space="preserve">spp. or </w:t>
      </w:r>
      <w:r w:rsidRPr="00EC0CC3">
        <w:rPr>
          <w:i/>
        </w:rPr>
        <w:t xml:space="preserve">L. monocytogenes </w:t>
      </w:r>
      <w:r w:rsidRPr="00EC0CC3">
        <w:t xml:space="preserve">to have become established in a niche (§ 112.146(a)). </w:t>
      </w:r>
      <w:bookmarkEnd w:id="174"/>
      <w:r w:rsidRPr="00EC0CC3">
        <w:t>Consider the following:</w:t>
      </w:r>
    </w:p>
    <w:p w:rsidR="00191DF8" w:rsidRPr="00FD5497" w:rsidP="00690C44" w14:paraId="5B4D8B88" w14:textId="799DE59F">
      <w:pPr>
        <w:pStyle w:val="GuidanceBulletLevel1"/>
      </w:pPr>
      <w:r w:rsidRPr="007261B7">
        <w:rPr>
          <w:bCs/>
        </w:rPr>
        <w:t xml:space="preserve">Exploratory </w:t>
      </w:r>
      <w:r w:rsidRPr="00EC0CC3">
        <w:t xml:space="preserve">testing provides you with information about the extent of the problem represented by the initial positive test result (e.g., whether the presence of </w:t>
      </w:r>
      <w:r w:rsidRPr="00EC0CC3">
        <w:rPr>
          <w:i/>
        </w:rPr>
        <w:t xml:space="preserve">Listeria </w:t>
      </w:r>
      <w:r w:rsidRPr="00EC0CC3">
        <w:t xml:space="preserve">spp. is isolated or more extensive). You do not need to wait for the results of the exploratory testing before doing any cleaning and sanitizing. </w:t>
      </w:r>
      <w:r w:rsidR="00DF1D57">
        <w:t>However, y</w:t>
      </w:r>
      <w:r w:rsidRPr="00EC0CC3">
        <w:t xml:space="preserve">ou should use the results of exploratory testing to inform your </w:t>
      </w:r>
      <w:bookmarkStart w:id="175" w:name="_Hlk37935223"/>
      <w:r w:rsidRPr="00EC0CC3">
        <w:t>decision about the extent of cleaning and sanitizing that you will perform as required by § 112.146(b) (see next subheading</w:t>
      </w:r>
      <w:bookmarkEnd w:id="175"/>
      <w:r w:rsidRPr="00EC0CC3">
        <w:t>);</w:t>
      </w:r>
    </w:p>
    <w:p w:rsidR="00191DF8" w:rsidRPr="00FD5497" w:rsidP="00690C44" w14:paraId="48EED418" w14:textId="1AB4BAD2">
      <w:pPr>
        <w:pStyle w:val="GuidanceBulletLevel1"/>
      </w:pPr>
      <w:r>
        <w:t xml:space="preserve">If the original positive test result is from a composite sample, you should either conduct additional follow-up testing to identify the specific non-FCS(s) that is contaminated with </w:t>
      </w:r>
      <w:bookmarkStart w:id="176" w:name="_Hlk40965077"/>
      <w:r w:rsidRPr="00EC0CC3">
        <w:rPr>
          <w:i/>
        </w:rPr>
        <w:t xml:space="preserve">Listeria </w:t>
      </w:r>
      <w:r>
        <w:t xml:space="preserve">spp. </w:t>
      </w:r>
      <w:bookmarkEnd w:id="176"/>
      <w:r>
        <w:t>or, alternatively, conduct your exploratory testing as if each non-FCS site represented by the composite is positive (i.e., conduct exploratory testing of surfaces and areas surrounding all of the sites represented by the composite</w:t>
      </w:r>
      <w:r>
        <w:t>);</w:t>
      </w:r>
    </w:p>
    <w:p w:rsidR="00191DF8" w:rsidRPr="00FD5497" w:rsidP="00690C44" w14:paraId="0D4B87F2" w14:textId="77777777">
      <w:pPr>
        <w:pStyle w:val="GuidanceBulletLevel1"/>
      </w:pPr>
      <w:r w:rsidRPr="00EC0CC3">
        <w:t xml:space="preserve">Exploratory testing should include at least 3 samples from surrounding FCS and non-FCS sites in close proximity to the positive </w:t>
      </w:r>
      <w:r w:rsidRPr="00EC0CC3">
        <w:t>site;</w:t>
      </w:r>
    </w:p>
    <w:p w:rsidR="00191DF8" w:rsidRPr="00EC0CC3" w:rsidP="00690C44" w14:paraId="25AAFF9F" w14:textId="2C2F5F62">
      <w:pPr>
        <w:pStyle w:val="GuidanceBulletLevel1"/>
      </w:pPr>
      <w:r w:rsidRPr="00FD5497">
        <w:rPr>
          <w:u w:val="single" w:color="000000"/>
        </w:rPr>
        <w:t xml:space="preserve">Exploratory </w:t>
      </w:r>
      <w:r w:rsidR="007155C8">
        <w:rPr>
          <w:u w:val="single" w:color="000000"/>
        </w:rPr>
        <w:t>t</w:t>
      </w:r>
      <w:r w:rsidRPr="00FD5497" w:rsidR="007155C8">
        <w:rPr>
          <w:u w:val="single" w:color="000000"/>
        </w:rPr>
        <w:t xml:space="preserve">esting </w:t>
      </w:r>
      <w:r w:rsidR="007155C8">
        <w:rPr>
          <w:u w:val="single" w:color="000000"/>
        </w:rPr>
        <w:t>w</w:t>
      </w:r>
      <w:r w:rsidRPr="00FD5497" w:rsidR="007155C8">
        <w:rPr>
          <w:u w:val="single" w:color="000000"/>
        </w:rPr>
        <w:t xml:space="preserve">hile </w:t>
      </w:r>
      <w:r w:rsidRPr="00FD5497">
        <w:rPr>
          <w:u w:val="single" w:color="000000"/>
        </w:rPr>
        <w:t xml:space="preserve">in </w:t>
      </w:r>
      <w:r w:rsidR="007155C8">
        <w:rPr>
          <w:u w:val="single" w:color="000000"/>
        </w:rPr>
        <w:t>p</w:t>
      </w:r>
      <w:r w:rsidRPr="00FD5497" w:rsidR="007155C8">
        <w:rPr>
          <w:u w:val="single" w:color="000000"/>
        </w:rPr>
        <w:t>roduction</w:t>
      </w:r>
      <w:r w:rsidRPr="00EC0CC3">
        <w:t xml:space="preserve">: If you receive a positive </w:t>
      </w:r>
      <w:r w:rsidRPr="00EC0CC3">
        <w:rPr>
          <w:i/>
        </w:rPr>
        <w:t xml:space="preserve">Listeria </w:t>
      </w:r>
      <w:r w:rsidRPr="00EC0CC3">
        <w:t xml:space="preserve">spp. result for from a routine sample for a non-FCS site while you are in production (e.g., you are either still growing the </w:t>
      </w:r>
      <w:bookmarkStart w:id="177" w:name="_Hlk40965522"/>
      <w:r w:rsidRPr="00EC0CC3">
        <w:t>production batch of sprouts that was growing when you took your routine sample</w:t>
      </w:r>
      <w:bookmarkEnd w:id="177"/>
      <w:r w:rsidRPr="00EC0CC3">
        <w:t xml:space="preserve">, or you have started another production batch of sprouts), you should conduct exploratory testing during that production cycle; </w:t>
      </w:r>
    </w:p>
    <w:p w:rsidR="00191DF8" w:rsidRPr="00EC0CC3" w:rsidP="00690C44" w14:paraId="2C1D2CC9" w14:textId="04F13A88">
      <w:pPr>
        <w:pStyle w:val="GuidanceBulletLevel1"/>
      </w:pPr>
      <w:r w:rsidRPr="00FD5497">
        <w:rPr>
          <w:u w:val="single" w:color="000000"/>
        </w:rPr>
        <w:t xml:space="preserve">Exploratory </w:t>
      </w:r>
      <w:r w:rsidR="007155C8">
        <w:rPr>
          <w:u w:val="single" w:color="000000"/>
        </w:rPr>
        <w:t>t</w:t>
      </w:r>
      <w:r w:rsidRPr="00FD5497" w:rsidR="007155C8">
        <w:rPr>
          <w:u w:val="single" w:color="000000"/>
        </w:rPr>
        <w:t xml:space="preserve">esting </w:t>
      </w:r>
      <w:r w:rsidR="007155C8">
        <w:rPr>
          <w:u w:val="single" w:color="000000"/>
        </w:rPr>
        <w:t>w</w:t>
      </w:r>
      <w:r w:rsidRPr="00FD5497" w:rsidR="007155C8">
        <w:rPr>
          <w:u w:val="single" w:color="000000"/>
        </w:rPr>
        <w:t xml:space="preserve">hen </w:t>
      </w:r>
      <w:r w:rsidR="007155C8">
        <w:rPr>
          <w:u w:val="single" w:color="000000"/>
        </w:rPr>
        <w:t>n</w:t>
      </w:r>
      <w:r w:rsidRPr="00FD5497" w:rsidR="007155C8">
        <w:rPr>
          <w:u w:val="single" w:color="000000"/>
        </w:rPr>
        <w:t xml:space="preserve">ot </w:t>
      </w:r>
      <w:r w:rsidRPr="00FD5497">
        <w:rPr>
          <w:u w:val="single" w:color="000000"/>
        </w:rPr>
        <w:t xml:space="preserve">in </w:t>
      </w:r>
      <w:r w:rsidR="007155C8">
        <w:rPr>
          <w:u w:val="single" w:color="000000"/>
        </w:rPr>
        <w:t>p</w:t>
      </w:r>
      <w:r w:rsidRPr="00FD5497" w:rsidR="007155C8">
        <w:rPr>
          <w:u w:val="single" w:color="000000"/>
        </w:rPr>
        <w:t>roduction</w:t>
      </w:r>
      <w:r w:rsidRPr="00EC0CC3">
        <w:t xml:space="preserve">: If you receive a positive </w:t>
      </w:r>
      <w:bookmarkStart w:id="178" w:name="_Hlk40965546"/>
      <w:r w:rsidRPr="00EC0CC3">
        <w:rPr>
          <w:i/>
        </w:rPr>
        <w:t xml:space="preserve">Listeria </w:t>
      </w:r>
      <w:r w:rsidRPr="00EC0CC3">
        <w:t>spp.</w:t>
      </w:r>
      <w:bookmarkEnd w:id="178"/>
      <w:r w:rsidRPr="00EC0CC3">
        <w:t xml:space="preserve"> result for a routine sample for a non-FCS site when you are not in production (e.g., the </w:t>
      </w:r>
      <w:bookmarkStart w:id="179" w:name="_Hlk40968022"/>
      <w:r w:rsidRPr="00EC0CC3">
        <w:t>production batch of sprouts that was growing when you took your routine sample</w:t>
      </w:r>
      <w:r w:rsidRPr="00EC0CC3">
        <w:t xml:space="preserve"> </w:t>
      </w:r>
      <w:r w:rsidRPr="00EC0CC3">
        <w:t xml:space="preserve">has been completed </w:t>
      </w:r>
      <w:bookmarkEnd w:id="179"/>
      <w:r w:rsidRPr="00EC0CC3">
        <w:t>and you have not started the next production batch), you should conduct exploratory testing during the production of the next batch; and</w:t>
      </w:r>
    </w:p>
    <w:p w:rsidR="00191DF8" w:rsidP="00690C44" w14:paraId="764BF36F" w14:textId="298B2F1D">
      <w:pPr>
        <w:pStyle w:val="GuidanceBulletLevel1"/>
      </w:pPr>
      <w:r w:rsidRPr="00EC0CC3">
        <w:t>If you receive any positive results from your exploratory testing, you should conduct intensified cleaning and sanitizing and intensified sampling and testing (discussed below as a recommended response to a 2</w:t>
      </w:r>
      <w:r w:rsidRPr="00EC0CC3">
        <w:rPr>
          <w:vertAlign w:val="superscript"/>
        </w:rPr>
        <w:t>nd</w:t>
      </w:r>
      <w:r w:rsidRPr="00EC0CC3">
        <w:t xml:space="preserve"> positive)</w:t>
      </w:r>
    </w:p>
    <w:p w:rsidR="00BC7CBD" w:rsidRPr="002B1078" w:rsidP="00E47C04" w14:paraId="73CA227C" w14:textId="1104ADE0">
      <w:pPr>
        <w:pStyle w:val="GuidanceParagraph"/>
        <w:numPr>
          <w:ilvl w:val="0"/>
          <w:numId w:val="71"/>
        </w:numPr>
        <w:rPr>
          <w:u w:color="000000"/>
        </w:rPr>
      </w:pPr>
      <w:r w:rsidRPr="002B1078">
        <w:rPr>
          <w:u w:color="000000"/>
        </w:rPr>
        <w:t>Cleaning and sanitizing</w:t>
      </w:r>
    </w:p>
    <w:p w:rsidR="001B1872" w:rsidRPr="00EC0CC3" w:rsidP="00E47C04" w14:paraId="2F01B3F1" w14:textId="1C94B299">
      <w:pPr>
        <w:pStyle w:val="GuidanceParagraph"/>
      </w:pPr>
      <w:r w:rsidRPr="00EC0CC3">
        <w:t>You must clean and sanitize the affected</w:t>
      </w:r>
      <w:r w:rsidR="00402E43">
        <w:t xml:space="preserve"> surfaces, including</w:t>
      </w:r>
      <w:r w:rsidRPr="00EC0CC3">
        <w:t xml:space="preserve"> FCSs </w:t>
      </w:r>
      <w:r w:rsidR="00402E43">
        <w:t xml:space="preserve">and </w:t>
      </w:r>
      <w:r w:rsidRPr="00EC0CC3">
        <w:t>non-FCSs</w:t>
      </w:r>
      <w:r w:rsidR="002268BB">
        <w:t xml:space="preserve"> as well as surfaces</w:t>
      </w:r>
      <w:r w:rsidR="000954D5">
        <w:t xml:space="preserve"> </w:t>
      </w:r>
      <w:r w:rsidRPr="00EC0CC3">
        <w:t>from the surrounding area where the positive sample was taken</w:t>
      </w:r>
      <w:r w:rsidR="00402E43">
        <w:t xml:space="preserve"> (</w:t>
      </w:r>
      <w:r w:rsidRPr="00EC0CC3" w:rsidR="00402E43">
        <w:t>§</w:t>
      </w:r>
      <w:r w:rsidR="00402E43">
        <w:t xml:space="preserve"> 112.146(b); see also </w:t>
      </w:r>
      <w:r w:rsidRPr="00EC0CC3" w:rsidR="00402E43">
        <w:t>§§ 112.123(d)(1)</w:t>
      </w:r>
      <w:r w:rsidR="00402E43">
        <w:t xml:space="preserve">-(2); </w:t>
      </w:r>
      <w:r w:rsidRPr="00EC0CC3" w:rsidR="00402E43">
        <w:t>112.143(b</w:t>
      </w:r>
      <w:r w:rsidR="00402E43">
        <w:t>))</w:t>
      </w:r>
      <w:r w:rsidRPr="00EC0CC3">
        <w:t>. Consider the following:</w:t>
      </w:r>
    </w:p>
    <w:p w:rsidR="001B1872" w:rsidRPr="00FD5497" w:rsidP="00690C44" w14:paraId="733ABFF8" w14:textId="6A2FFFDE">
      <w:pPr>
        <w:pStyle w:val="GuidanceBulletLevel1"/>
      </w:pPr>
      <w:r w:rsidRPr="00EC0CC3">
        <w:t xml:space="preserve">At a minimum, the site of the initial positive </w:t>
      </w:r>
      <w:r w:rsidRPr="00EC0CC3">
        <w:rPr>
          <w:i/>
        </w:rPr>
        <w:t xml:space="preserve">Listeria </w:t>
      </w:r>
      <w:r w:rsidRPr="00EC0CC3">
        <w:t>spp. result and the sites of any additional positive results found during exploratory testing should all be cleaned and sanitized</w:t>
      </w:r>
      <w:r w:rsidR="000D21E5">
        <w:t xml:space="preserve"> before your next production run</w:t>
      </w:r>
      <w:r w:rsidRPr="00EC0CC3">
        <w:t>; and</w:t>
      </w:r>
    </w:p>
    <w:p w:rsidR="00724942" w:rsidRPr="00FD5497" w:rsidP="00690C44" w14:paraId="0A727F28" w14:textId="53D2CA31">
      <w:pPr>
        <w:pStyle w:val="GuidanceBulletLevel1"/>
      </w:pPr>
      <w:r w:rsidRPr="00EC0CC3">
        <w:t>You should also consider verifying the efficacy of your cleaning and sanitizing using additional methods (e</w:t>
      </w:r>
      <w:r w:rsidRPr="00FC7FC4">
        <w:t xml:space="preserve">.g., ATP testing) beyond the required testing before your next production run; See </w:t>
      </w:r>
      <w:r w:rsidRPr="00FC7FC4" w:rsidR="00FD65EC">
        <w:t>Section</w:t>
      </w:r>
      <w:r w:rsidRPr="00FC7FC4">
        <w:t xml:space="preserve"> </w:t>
      </w:r>
      <w:r w:rsidRPr="00FC7FC4" w:rsidR="0025272F">
        <w:t>I</w:t>
      </w:r>
      <w:r w:rsidRPr="00FC7FC4" w:rsidR="00FD65EC">
        <w:t>II</w:t>
      </w:r>
      <w:r w:rsidRPr="00FC7FC4">
        <w:t xml:space="preserve"> (Cleaning and</w:t>
      </w:r>
      <w:r w:rsidRPr="00EC0CC3">
        <w:t xml:space="preserve"> Sanitizing)</w:t>
      </w:r>
      <w:r w:rsidR="00E02898">
        <w:t>;</w:t>
      </w:r>
      <w:r w:rsidR="00F1468A">
        <w:t xml:space="preserve"> and</w:t>
      </w:r>
    </w:p>
    <w:p w:rsidR="00FA52CF" w:rsidRPr="00FD5497" w:rsidP="00690C44" w14:paraId="72F3BA4A" w14:textId="6F89EA6E">
      <w:pPr>
        <w:pStyle w:val="GuidanceBulletLevel1"/>
      </w:pPr>
      <w:r>
        <w:t>If you receive negative</w:t>
      </w:r>
      <w:r w:rsidR="000D21E5">
        <w:t xml:space="preserve"> test</w:t>
      </w:r>
      <w:r>
        <w:t xml:space="preserve"> results from all of your exploratory testing, and you have cleaned </w:t>
      </w:r>
      <w:r w:rsidRPr="008110AA">
        <w:t>and sanitize</w:t>
      </w:r>
      <w:r>
        <w:t>d</w:t>
      </w:r>
      <w:r w:rsidRPr="008110AA">
        <w:t xml:space="preserve"> the affected FCSs </w:t>
      </w:r>
      <w:r w:rsidR="00014ABB">
        <w:t>and</w:t>
      </w:r>
      <w:r w:rsidRPr="008110AA">
        <w:t xml:space="preserve"> non-FCSs from the surrounding area where the </w:t>
      </w:r>
      <w:r>
        <w:t xml:space="preserve">original </w:t>
      </w:r>
      <w:r w:rsidRPr="008110AA">
        <w:t>positive sample was taken</w:t>
      </w:r>
      <w:r>
        <w:t xml:space="preserve">, you may consider the actions required by </w:t>
      </w:r>
      <w:r w:rsidRPr="00ED45F4">
        <w:t>§§</w:t>
      </w:r>
      <w:r>
        <w:t>112.146(b) and</w:t>
      </w:r>
      <w:r w:rsidRPr="00ED45F4">
        <w:t xml:space="preserve"> 112.146(</w:t>
      </w:r>
      <w:r>
        <w:t>c</w:t>
      </w:r>
      <w:r w:rsidRPr="00ED45F4">
        <w:t>)</w:t>
      </w:r>
      <w:r>
        <w:t xml:space="preserve"> to have been accomplished while conducting the actions required by </w:t>
      </w:r>
      <w:r w:rsidRPr="00EC0CC3">
        <w:t>§ 112.146(a)</w:t>
      </w:r>
      <w:r>
        <w:t>.</w:t>
      </w:r>
    </w:p>
    <w:p w:rsidR="00191DF8" w:rsidRPr="00EC0CC3" w:rsidP="00E47C04" w14:paraId="5164D7C0" w14:textId="0F9455ED">
      <w:pPr>
        <w:pStyle w:val="HHS508GuidanceOutline4"/>
      </w:pPr>
      <w:bookmarkStart w:id="180" w:name="_Toc44439377"/>
      <w:r w:rsidRPr="005A4871">
        <w:rPr>
          <w:i/>
        </w:rPr>
        <w:t>Listeria</w:t>
      </w:r>
      <w:r w:rsidRPr="00EC0CC3">
        <w:t xml:space="preserve"> spp. positive on </w:t>
      </w:r>
      <w:r w:rsidR="007D0E51">
        <w:t>n</w:t>
      </w:r>
      <w:r w:rsidRPr="00EC0CC3" w:rsidR="007D0E51">
        <w:t>on</w:t>
      </w:r>
      <w:r w:rsidRPr="00EC0CC3">
        <w:t>-FCS during exploratory testing or cleaning verification testing (2nd positive)</w:t>
      </w:r>
      <w:bookmarkEnd w:id="180"/>
    </w:p>
    <w:p w:rsidR="006A2930" w:rsidRPr="002B1078" w:rsidP="00E47C04" w14:paraId="61B7A23B" w14:textId="7B8F24AA">
      <w:pPr>
        <w:pStyle w:val="GuidanceParagraph"/>
        <w:numPr>
          <w:ilvl w:val="0"/>
          <w:numId w:val="72"/>
        </w:numPr>
        <w:rPr>
          <w:u w:color="000000"/>
        </w:rPr>
      </w:pPr>
      <w:r w:rsidRPr="002B1078">
        <w:rPr>
          <w:u w:color="000000"/>
        </w:rPr>
        <w:t>Intensified cleaning and sanitizing</w:t>
      </w:r>
    </w:p>
    <w:p w:rsidR="00191DF8" w:rsidRPr="00EC0CC3" w:rsidP="00E47C04" w14:paraId="6DC381FF" w14:textId="6E4CD84B">
      <w:pPr>
        <w:pStyle w:val="GuidanceParagraph"/>
      </w:pPr>
      <w:r w:rsidRPr="00EC0CC3">
        <w:t xml:space="preserve">If any of the exploratory testing samples are positive for </w:t>
      </w:r>
      <w:r w:rsidRPr="00FF43F1">
        <w:rPr>
          <w:i/>
          <w:iCs/>
        </w:rPr>
        <w:t>Listeria</w:t>
      </w:r>
      <w:r w:rsidRPr="008748D1">
        <w:t xml:space="preserve"> </w:t>
      </w:r>
      <w:r w:rsidRPr="00EC0CC3">
        <w:t>spp., as an action to prevent recurrence of the contamination</w:t>
      </w:r>
      <w:r w:rsidRPr="008748D1" w:rsidR="008748D1">
        <w:t>,</w:t>
      </w:r>
      <w:r w:rsidRPr="00EC0CC3">
        <w:t xml:space="preserve"> you </w:t>
      </w:r>
      <w:r w:rsidRPr="008748D1" w:rsidR="008748D1">
        <w:t xml:space="preserve">must clean and sanitize the affected surfaces and surrounding areas (§ 112.146(b)). The cleaning and sanitizing that you perform under these </w:t>
      </w:r>
      <w:r w:rsidRPr="008748D1" w:rsidR="008748D1">
        <w:t xml:space="preserve">circumstances </w:t>
      </w:r>
      <w:r w:rsidRPr="00EC0CC3">
        <w:t xml:space="preserve">should </w:t>
      </w:r>
      <w:r w:rsidRPr="008748D1" w:rsidR="008748D1">
        <w:t xml:space="preserve">be intensified beyond your routine efforts.  </w:t>
      </w:r>
      <w:r w:rsidRPr="00EC0CC3">
        <w:t xml:space="preserve"> Intensified cleaning and sanitizing include sanitation measures that you perform in addition to your normal sanitation procedures. </w:t>
      </w:r>
      <w:r w:rsidR="00662214">
        <w:t xml:space="preserve">See also Section III.F. </w:t>
      </w:r>
      <w:r w:rsidR="00EE56BF">
        <w:t>(</w:t>
      </w:r>
      <w:r w:rsidR="00662214">
        <w:t>Cleaning and Sanitizing Conducted in Response to Suspected or Known Contamination</w:t>
      </w:r>
      <w:r w:rsidR="00E462FA">
        <w:t>)</w:t>
      </w:r>
      <w:r w:rsidR="00662214">
        <w:t xml:space="preserve">. </w:t>
      </w:r>
      <w:r w:rsidRPr="00EC0CC3">
        <w:t>You should escalate the intensity of these measures in response to additional positive samples. Intensified cleaning and sanitizing can include:</w:t>
      </w:r>
    </w:p>
    <w:p w:rsidR="00191DF8" w:rsidRPr="00EC0CC3" w:rsidP="00690C44" w14:paraId="005EF93E" w14:textId="3FC036A9">
      <w:pPr>
        <w:pStyle w:val="GuidanceBulletLevel1"/>
      </w:pPr>
      <w:r>
        <w:t>I</w:t>
      </w:r>
      <w:r w:rsidRPr="00EC0CC3">
        <w:t xml:space="preserve">ncreasing the frequency of cleaning and sanitizing for certain pieces of equipment; </w:t>
      </w:r>
    </w:p>
    <w:p w:rsidR="00191DF8" w:rsidRPr="00EC0CC3" w:rsidP="00690C44" w14:paraId="568C7EB0" w14:textId="6264CEBA">
      <w:pPr>
        <w:pStyle w:val="GuidanceBulletLevel1"/>
      </w:pPr>
      <w:r>
        <w:t>B</w:t>
      </w:r>
      <w:r w:rsidRPr="00EC0CC3">
        <w:t xml:space="preserve">reaking down the equipment into its parts for further </w:t>
      </w:r>
      <w:r w:rsidRPr="00EC0CC3">
        <w:t>cleaning;</w:t>
      </w:r>
      <w:r w:rsidRPr="00EC0CC3">
        <w:t xml:space="preserve"> </w:t>
      </w:r>
    </w:p>
    <w:p w:rsidR="00191DF8" w:rsidRPr="00FD5497" w:rsidP="00690C44" w14:paraId="66E5047F" w14:textId="16B73EEE">
      <w:pPr>
        <w:pStyle w:val="GuidanceBulletLevel1"/>
      </w:pPr>
      <w:r>
        <w:t>T</w:t>
      </w:r>
      <w:r w:rsidRPr="00EC0CC3">
        <w:t>he use of more effective or different cleaning and sanitizing methods or agents (</w:t>
      </w:r>
      <w:r w:rsidRPr="00EC0CC3">
        <w:t>e.g.</w:t>
      </w:r>
      <w:r w:rsidRPr="00EC0CC3">
        <w:t xml:space="preserve"> more aggressive scrubbing, applying heat (where possible)) (</w:t>
      </w:r>
      <w:r w:rsidR="00073588">
        <w:t>s</w:t>
      </w:r>
      <w:r w:rsidRPr="00EC0CC3">
        <w:t xml:space="preserve">ee </w:t>
      </w:r>
      <w:r w:rsidRPr="00FF43F1" w:rsidR="00A54120">
        <w:t>Section</w:t>
      </w:r>
      <w:r w:rsidRPr="00FF43F1">
        <w:t xml:space="preserve"> </w:t>
      </w:r>
      <w:r w:rsidRPr="00FF43F1" w:rsidR="0025272F">
        <w:t>I</w:t>
      </w:r>
      <w:r w:rsidRPr="00FF43F1" w:rsidR="00A54120">
        <w:t>II</w:t>
      </w:r>
      <w:r w:rsidRPr="00FF43F1">
        <w:t xml:space="preserve"> (Cleaning</w:t>
      </w:r>
      <w:r w:rsidRPr="00EC0CC3">
        <w:t xml:space="preserve"> and Sanitizing));</w:t>
      </w:r>
    </w:p>
    <w:p w:rsidR="00191DF8" w:rsidRPr="00FD5497" w:rsidP="00690C44" w14:paraId="7AEA6D33" w14:textId="668CA5BD">
      <w:pPr>
        <w:pStyle w:val="GuidanceBulletLevel1"/>
      </w:pPr>
      <w:r>
        <w:t>I</w:t>
      </w:r>
      <w:r w:rsidRPr="00EC0CC3">
        <w:t xml:space="preserve">ntensified (e.g., more vigorous, longer duration) scrubbing of </w:t>
      </w:r>
      <w:r w:rsidRPr="00EC0CC3">
        <w:t>surfaces;</w:t>
      </w:r>
    </w:p>
    <w:p w:rsidR="00191DF8" w:rsidRPr="00FD5497" w:rsidP="00690C44" w14:paraId="0E6C4168" w14:textId="57465EEF">
      <w:pPr>
        <w:pStyle w:val="GuidanceBulletLevel1"/>
      </w:pPr>
      <w:r>
        <w:t>I</w:t>
      </w:r>
      <w:r w:rsidRPr="00EC0CC3">
        <w:t>dentifying, cleaning, and sanitizing of possible harborage sites and possible cross- contamination routes;</w:t>
      </w:r>
      <w:r w:rsidR="000D3FE5">
        <w:t xml:space="preserve"> and</w:t>
      </w:r>
    </w:p>
    <w:p w:rsidR="00191DF8" w:rsidRPr="00FD5497" w:rsidP="00690C44" w14:paraId="6A15DA44" w14:textId="74E589B0">
      <w:pPr>
        <w:pStyle w:val="GuidanceBulletLevel1"/>
      </w:pPr>
      <w:r>
        <w:t>S</w:t>
      </w:r>
      <w:r w:rsidRPr="00EC0CC3">
        <w:t>oaking of equipment parts in an appropriate sanitizing agent for an appropriate duration.</w:t>
      </w:r>
    </w:p>
    <w:p w:rsidR="004B12B3" w:rsidRPr="002B1078" w:rsidP="00E47C04" w14:paraId="01868327" w14:textId="3D7E9A19">
      <w:pPr>
        <w:pStyle w:val="GuidanceParagraph"/>
        <w:numPr>
          <w:ilvl w:val="0"/>
          <w:numId w:val="72"/>
        </w:numPr>
        <w:rPr>
          <w:u w:color="000000"/>
        </w:rPr>
      </w:pPr>
      <w:r w:rsidRPr="002B1078">
        <w:rPr>
          <w:u w:color="000000"/>
        </w:rPr>
        <w:t>Intensified testing</w:t>
      </w:r>
    </w:p>
    <w:p w:rsidR="00191DF8" w:rsidRPr="00EC0CC3" w:rsidP="00E47C04" w14:paraId="7540E22F" w14:textId="57D6631B">
      <w:pPr>
        <w:pStyle w:val="GuidanceParagraph"/>
      </w:pPr>
      <w:r w:rsidRPr="00EC0CC3">
        <w:t xml:space="preserve">If any of the exploratory testing samples are positive for </w:t>
      </w:r>
      <w:r w:rsidRPr="00EC0CC3">
        <w:rPr>
          <w:i/>
        </w:rPr>
        <w:t xml:space="preserve">Listeria </w:t>
      </w:r>
      <w:r w:rsidRPr="00EC0CC3">
        <w:t xml:space="preserve">spp., you should, as an action to prevent recurrence of the contamination </w:t>
      </w:r>
      <w:r w:rsidRPr="00911F22" w:rsidR="00911F22">
        <w:t>(§§ 112.146(c) and 112.146(e</w:t>
      </w:r>
      <w:r w:rsidRPr="00EC0CC3">
        <w:t>)), conduct another round of sampling and testing (“intensified testing”), both to verify the effectiveness of your intensified cleaning and sanitizing, and to look for possible harborage sites in the affected area.</w:t>
      </w:r>
    </w:p>
    <w:p w:rsidR="00191DF8" w:rsidRPr="00EC0CC3" w:rsidP="00E47C04" w14:paraId="00933D8C" w14:textId="5809CFA1">
      <w:pPr>
        <w:pStyle w:val="GuidanceParagraph"/>
      </w:pPr>
      <w:r w:rsidRPr="00EC0CC3">
        <w:t xml:space="preserve">To look for possible harborage sites, you should disassemble equipment as </w:t>
      </w:r>
      <w:r w:rsidRPr="00EC0CC3">
        <w:t>appropriate</w:t>
      </w:r>
      <w:r w:rsidRPr="00EC0CC3">
        <w:t xml:space="preserve"> and sample and test areas of the equipment exposed by disassembly prior to cleaning and sanitizing the equipment. Consider the following:</w:t>
      </w:r>
    </w:p>
    <w:p w:rsidR="00191DF8" w:rsidRPr="00EC0CC3" w:rsidP="00E47C04" w14:paraId="2BACC714" w14:textId="07987267">
      <w:pPr>
        <w:pStyle w:val="GuidanceParagraph"/>
        <w:numPr>
          <w:ilvl w:val="0"/>
          <w:numId w:val="13"/>
        </w:numPr>
      </w:pPr>
      <w:r w:rsidRPr="00EC0CC3">
        <w:t xml:space="preserve">The follow-up samples should include at least 3 samples, including the initial positive site, surrounding sites that tested positive in exploratory testing, and surrounding FCS and non-FCS sites in close proximity to any positive </w:t>
      </w:r>
      <w:r w:rsidRPr="00EC0CC3">
        <w:t>sites;</w:t>
      </w:r>
      <w:r w:rsidRPr="00EC0CC3">
        <w:t xml:space="preserve"> and  </w:t>
      </w:r>
    </w:p>
    <w:p w:rsidR="00191DF8" w:rsidRPr="00EC0CC3" w:rsidP="00E47C04" w14:paraId="1E5E0BFB" w14:textId="77777777">
      <w:pPr>
        <w:pStyle w:val="GuidanceParagraph"/>
        <w:numPr>
          <w:ilvl w:val="0"/>
          <w:numId w:val="13"/>
        </w:numPr>
      </w:pPr>
      <w:r w:rsidRPr="00EC0CC3">
        <w:t xml:space="preserve">If your intensified sampling and testing results are all negative, you should return to routine environmental monitoring.  However, we recommend that you target those surfaces where </w:t>
      </w:r>
      <w:r w:rsidRPr="00EC0CC3">
        <w:rPr>
          <w:i/>
        </w:rPr>
        <w:t xml:space="preserve">Listeria </w:t>
      </w:r>
      <w:r w:rsidRPr="00EC0CC3">
        <w:t xml:space="preserve">spp. positives were previously found for sampling and testing during your next routine environmental sampling event. If you find another </w:t>
      </w:r>
      <w:bookmarkStart w:id="181" w:name="_Hlk40967703"/>
      <w:r w:rsidRPr="00EC0CC3">
        <w:rPr>
          <w:i/>
        </w:rPr>
        <w:t xml:space="preserve">Listeria </w:t>
      </w:r>
      <w:r w:rsidRPr="00EC0CC3">
        <w:t>spp</w:t>
      </w:r>
      <w:bookmarkEnd w:id="181"/>
      <w:r w:rsidRPr="00EC0CC3">
        <w:t>. positive result at the site of the initial positive or in any surrounding areas, you should take further steps as described below.</w:t>
      </w:r>
    </w:p>
    <w:p w:rsidR="00191DF8" w:rsidP="00E47C04" w14:paraId="72B3E06D" w14:textId="7D7391D4">
      <w:pPr>
        <w:pStyle w:val="HHS508GuidanceOutline4"/>
      </w:pPr>
      <w:bookmarkStart w:id="182" w:name="_Toc44439378"/>
      <w:r w:rsidRPr="005A4871">
        <w:rPr>
          <w:i/>
        </w:rPr>
        <w:t>Listeria</w:t>
      </w:r>
      <w:r w:rsidRPr="00EC0CC3">
        <w:t xml:space="preserve"> spp. positive on </w:t>
      </w:r>
      <w:r w:rsidR="007D0E51">
        <w:t>n</w:t>
      </w:r>
      <w:r w:rsidRPr="00EC0CC3" w:rsidR="007D0E51">
        <w:t>on</w:t>
      </w:r>
      <w:r w:rsidRPr="00EC0CC3">
        <w:t xml:space="preserve">-FCS during </w:t>
      </w:r>
      <w:r w:rsidR="007155C8">
        <w:t>i</w:t>
      </w:r>
      <w:r w:rsidRPr="00EC0CC3" w:rsidR="007155C8">
        <w:t xml:space="preserve">ntensified </w:t>
      </w:r>
      <w:r w:rsidR="007155C8">
        <w:t>t</w:t>
      </w:r>
      <w:r w:rsidRPr="00EC0CC3" w:rsidR="007155C8">
        <w:t xml:space="preserve">esting </w:t>
      </w:r>
      <w:r w:rsidRPr="00EC0CC3">
        <w:t>(3rd or subsequent positive)</w:t>
      </w:r>
      <w:bookmarkEnd w:id="182"/>
    </w:p>
    <w:p w:rsidR="00F3481C" w:rsidRPr="002B1078" w:rsidP="00E47C04" w14:paraId="7D634B3A" w14:textId="0E1C832F">
      <w:pPr>
        <w:pStyle w:val="GuidanceParagraph"/>
        <w:numPr>
          <w:ilvl w:val="0"/>
          <w:numId w:val="73"/>
        </w:numPr>
        <w:rPr>
          <w:u w:color="000000"/>
        </w:rPr>
      </w:pPr>
      <w:r w:rsidRPr="002B1078">
        <w:rPr>
          <w:u w:color="000000"/>
        </w:rPr>
        <w:t>Additional activities/</w:t>
      </w:r>
      <w:r w:rsidR="005F67A9">
        <w:rPr>
          <w:u w:color="000000"/>
        </w:rPr>
        <w:t>c</w:t>
      </w:r>
      <w:r w:rsidRPr="002B1078">
        <w:rPr>
          <w:u w:color="000000"/>
        </w:rPr>
        <w:t>omprehensive investigation</w:t>
      </w:r>
    </w:p>
    <w:p w:rsidR="00191DF8" w:rsidRPr="00EC0CC3" w:rsidP="00E47C04" w14:paraId="4889D816" w14:textId="73F77966">
      <w:pPr>
        <w:pStyle w:val="GuidanceParagraph"/>
      </w:pPr>
      <w:r w:rsidRPr="00EC0CC3">
        <w:t xml:space="preserve">If your intensified testing results in an additional positive </w:t>
      </w:r>
      <w:r w:rsidRPr="00EC0CC3">
        <w:rPr>
          <w:i/>
        </w:rPr>
        <w:t xml:space="preserve">Listeria </w:t>
      </w:r>
      <w:r w:rsidRPr="00EC0CC3">
        <w:t xml:space="preserve">spp. sample(s), as an action to prevent recurrence of the contamination (§ 112.146(e)), you should conduct additional activities to determine the source and route of contamination, including a comprehensive investigation, as </w:t>
      </w:r>
      <w:r w:rsidRPr="00FF43F1">
        <w:t xml:space="preserve">discussed in </w:t>
      </w:r>
      <w:r w:rsidR="00143A5B">
        <w:t>S</w:t>
      </w:r>
      <w:r w:rsidRPr="00FF43F1" w:rsidR="00143A5B">
        <w:t xml:space="preserve">ection </w:t>
      </w:r>
      <w:r w:rsidRPr="00FF43F1" w:rsidR="00EB4750">
        <w:t>VI</w:t>
      </w:r>
      <w:r w:rsidRPr="00FF43F1">
        <w:t>.</w:t>
      </w:r>
      <w:r w:rsidRPr="00FF43F1" w:rsidR="00A9206F">
        <w:t xml:space="preserve"> </w:t>
      </w:r>
      <w:r w:rsidR="00143A5B">
        <w:t>L</w:t>
      </w:r>
      <w:r w:rsidRPr="00FF43F1">
        <w:t>.</w:t>
      </w:r>
      <w:r w:rsidRPr="00FF43F1" w:rsidR="00A9206F">
        <w:t xml:space="preserve"> </w:t>
      </w:r>
      <w:r w:rsidR="00D97D2A">
        <w:t>3</w:t>
      </w:r>
      <w:r w:rsidRPr="00FF43F1">
        <w:t>.</w:t>
      </w:r>
      <w:r w:rsidRPr="00FF43F1" w:rsidR="00A9206F">
        <w:t xml:space="preserve"> </w:t>
      </w:r>
      <w:r w:rsidRPr="00FF43F1">
        <w:t>b</w:t>
      </w:r>
      <w:r w:rsidR="003D4570">
        <w:t xml:space="preserve"> (</w:t>
      </w:r>
      <w:r w:rsidRPr="00927825" w:rsidR="003D4570">
        <w:rPr>
          <w:i/>
          <w:iCs/>
        </w:rPr>
        <w:t>Listeria</w:t>
      </w:r>
      <w:r w:rsidRPr="003D4570" w:rsidR="003D4570">
        <w:t xml:space="preserve"> spp. positive on FCS during exploratory testing (2nd positive)</w:t>
      </w:r>
      <w:r w:rsidRPr="00FF43F1">
        <w:t>. These actions may vary depending on the risk that an FCS or food could become contaminated from the positive non-FCS site. Examples of such actions include escalating</w:t>
      </w:r>
      <w:r w:rsidRPr="00EC0CC3">
        <w:t xml:space="preserve"> mitigation efforts to identify and eliminate the </w:t>
      </w:r>
      <w:r w:rsidRPr="00EC0CC3">
        <w:rPr>
          <w:i/>
        </w:rPr>
        <w:t xml:space="preserve">Listeria </w:t>
      </w:r>
      <w:r w:rsidRPr="00EC0CC3">
        <w:t xml:space="preserve">spp. source and consultation with a </w:t>
      </w:r>
      <w:r w:rsidRPr="00EC0CC3">
        <w:rPr>
          <w:i/>
        </w:rPr>
        <w:t xml:space="preserve">Listeria </w:t>
      </w:r>
      <w:r w:rsidRPr="00EC0CC3">
        <w:t>control expert.</w:t>
      </w:r>
    </w:p>
    <w:p w:rsidR="00191DF8" w:rsidRPr="00EC0CC3" w:rsidP="00E47C04" w14:paraId="36BF001A" w14:textId="6B530208">
      <w:pPr>
        <w:pStyle w:val="GuidanceParagraph"/>
      </w:pPr>
      <w:r w:rsidRPr="00EC0CC3">
        <w:t xml:space="preserve">The example in Figure </w:t>
      </w:r>
      <w:r w:rsidR="00060F62">
        <w:t>4</w:t>
      </w:r>
      <w:r w:rsidRPr="00EC0CC3">
        <w:t xml:space="preserve"> addresses testing and follow-up actions for a single positive finding of </w:t>
      </w:r>
      <w:r w:rsidRPr="00EC0CC3">
        <w:rPr>
          <w:i/>
        </w:rPr>
        <w:t xml:space="preserve">Listeria </w:t>
      </w:r>
      <w:r w:rsidRPr="00EC0CC3">
        <w:t xml:space="preserve">spp. on a Zone 2 non-FCS during one sampling period. Detecting </w:t>
      </w:r>
      <w:r w:rsidRPr="00EC0CC3">
        <w:rPr>
          <w:i/>
        </w:rPr>
        <w:t xml:space="preserve">Listeria </w:t>
      </w:r>
      <w:r w:rsidRPr="00EC0CC3">
        <w:t xml:space="preserve">spp. at several Zone 2 non-FCS sampling locations during the same sampling period could indicate that your routine sanitation procedures are inadequate and could indicate that </w:t>
      </w:r>
      <w:r w:rsidRPr="00EC0CC3">
        <w:rPr>
          <w:i/>
        </w:rPr>
        <w:t xml:space="preserve">Listeria </w:t>
      </w:r>
      <w:r w:rsidRPr="00EC0CC3">
        <w:t>spp. has become established more broadly in harborages in Zone 2. The risk associated with cross-contamination to an FCS (Zone 1) or food increases as the number of contaminated Zone 2 non-FCS sites increases. When several Zone 2 non-FCS sites test positive for</w:t>
      </w:r>
      <w:r w:rsidRPr="00EC0CC3">
        <w:rPr>
          <w:i/>
        </w:rPr>
        <w:t xml:space="preserve"> Listeria </w:t>
      </w:r>
      <w:r w:rsidRPr="00EC0CC3">
        <w:t>spp. during one sampling period, we recommend that you review your written sanitation procedures to identify and implement more effective measures and escalate your corrective actions until the situation is resolved.</w:t>
      </w:r>
    </w:p>
    <w:p w:rsidR="009E6A08" w:rsidP="002A2F14" w14:paraId="7D676E26" w14:textId="77777777">
      <w:pPr>
        <w:pStyle w:val="StyleCaptionArial11pt6ptafter"/>
        <w:spacing w:after="240"/>
      </w:pPr>
      <w:r w:rsidRPr="00A54B7A">
        <w:t xml:space="preserve">Figure </w:t>
      </w:r>
      <w:r w:rsidR="00CD55AD">
        <w:t>4</w:t>
      </w:r>
      <w:r w:rsidRPr="00A54B7A">
        <w:t>. Non-FCS* Testing and Follow-Up Activities for Zone 2 Decision Tree</w:t>
      </w:r>
    </w:p>
    <w:p w:rsidR="00322BC3" w:rsidP="002A2F14" w14:paraId="6F057FE4" w14:textId="69AE8482">
      <w:pPr>
        <w:pStyle w:val="StyleCaptionArial11pt6ptafter"/>
        <w:spacing w:after="240"/>
      </w:pPr>
      <w:r>
        <w:rPr>
          <w:noProof/>
        </w:rPr>
        <w:drawing>
          <wp:inline distT="0" distB="0" distL="0" distR="0">
            <wp:extent cx="5943600" cy="7691755"/>
            <wp:effectExtent l="0" t="0" r="0" b="444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61"/>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691755"/>
                    </a:xfrm>
                    <a:prstGeom prst="rect">
                      <a:avLst/>
                    </a:prstGeom>
                    <a:noFill/>
                    <a:ln>
                      <a:noFill/>
                    </a:ln>
                  </pic:spPr>
                </pic:pic>
              </a:graphicData>
            </a:graphic>
          </wp:inline>
        </w:drawing>
      </w:r>
    </w:p>
    <w:p w:rsidR="00191DF8" w:rsidRPr="00306BC1" w:rsidP="002A2F14" w14:paraId="623384F7" w14:textId="77777777">
      <w:pPr>
        <w:pStyle w:val="ListParagraph"/>
        <w:tabs>
          <w:tab w:val="left" w:pos="840"/>
        </w:tabs>
        <w:spacing w:before="58" w:after="240"/>
        <w:ind w:left="1080" w:right="232"/>
        <w:rPr>
          <w:rFonts w:ascii="Times New Roman" w:eastAsia="Times New Roman" w:hAnsi="Times New Roman"/>
        </w:rPr>
      </w:pPr>
    </w:p>
    <w:p w:rsidR="00191DF8" w:rsidRPr="004C505F" w:rsidP="00F756C4" w14:paraId="6D80E905" w14:textId="61C90C20">
      <w:pPr>
        <w:pStyle w:val="HHS508GuidanceOutline2"/>
      </w:pPr>
      <w:bookmarkStart w:id="183" w:name="_Toc44439379"/>
      <w:bookmarkStart w:id="184" w:name="_Toc106094972"/>
      <w:r>
        <w:t>Analysis of Data for Trends</w:t>
      </w:r>
      <w:bookmarkEnd w:id="183"/>
      <w:bookmarkEnd w:id="184"/>
    </w:p>
    <w:p w:rsidR="00191DF8" w:rsidRPr="00EC0CC3" w:rsidP="00E47C04" w14:paraId="74B75A5B" w14:textId="4FB3C1EC">
      <w:pPr>
        <w:pStyle w:val="GuidanceParagraph"/>
      </w:pPr>
      <w:r w:rsidRPr="00EC0CC3">
        <w:t xml:space="preserve">To make the best use of the data that you collect through your environmental monitoring program, we recommend that you analyze the data (e.g., sample results, corrective actions, findings from comprehensive investigations) from the program over time for trends that can help you to continuously improve sanitation conditions and reduce the overall percentage of positive environmental samples in your operation. This trend analysis could reveal that </w:t>
      </w:r>
      <w:r w:rsidRPr="00EC0CC3">
        <w:rPr>
          <w:i/>
        </w:rPr>
        <w:t xml:space="preserve">L. monocytogenes </w:t>
      </w:r>
      <w:r w:rsidRPr="00EC0CC3">
        <w:t xml:space="preserve">is not being controlled in your operation (e.g., a resident strain has become established in a niche environment), triggering you to take additional steps to control it.  </w:t>
      </w:r>
    </w:p>
    <w:p w:rsidR="00191DF8" w:rsidRPr="00EC0CC3" w:rsidP="00E47C04" w14:paraId="0EFEE16F" w14:textId="77777777">
      <w:pPr>
        <w:pStyle w:val="GuidanceParagraph"/>
      </w:pPr>
      <w:r w:rsidRPr="00EC0CC3">
        <w:t xml:space="preserve">Examples of trends that could indicate that </w:t>
      </w:r>
      <w:r w:rsidRPr="00EC0CC3">
        <w:rPr>
          <w:i/>
        </w:rPr>
        <w:t xml:space="preserve">L. monocytogenes </w:t>
      </w:r>
      <w:r w:rsidRPr="00EC0CC3">
        <w:t>is not being controlled are:</w:t>
      </w:r>
    </w:p>
    <w:p w:rsidR="00191DF8" w:rsidRPr="00755BF2" w:rsidP="00EF2FC2" w14:paraId="631B0ED4" w14:textId="77777777">
      <w:pPr>
        <w:pStyle w:val="GuidanceBulletLevel1"/>
      </w:pPr>
      <w:r w:rsidRPr="00EC0CC3">
        <w:t xml:space="preserve">Finding </w:t>
      </w:r>
      <w:r w:rsidRPr="00EC0CC3">
        <w:rPr>
          <w:i/>
        </w:rPr>
        <w:t xml:space="preserve">Listeria </w:t>
      </w:r>
      <w:r w:rsidRPr="00EC0CC3">
        <w:t>spp.</w:t>
      </w:r>
      <w:r w:rsidRPr="00EC0CC3">
        <w:rPr>
          <w:i/>
        </w:rPr>
        <w:t xml:space="preserve"> </w:t>
      </w:r>
      <w:r w:rsidRPr="00EC0CC3">
        <w:t>in the same area on multiple, but non-consecutive, sampling occasions (e.g., positive one week and negative the next, and then positive again a couple of weeks later, appearing to be isolated positives</w:t>
      </w:r>
      <w:r w:rsidRPr="00EC0CC3">
        <w:t>);</w:t>
      </w:r>
    </w:p>
    <w:p w:rsidR="00191DF8" w:rsidRPr="00755BF2" w:rsidP="00EF2FC2" w14:paraId="2014BB00" w14:textId="77777777">
      <w:pPr>
        <w:pStyle w:val="GuidanceBulletLevel1"/>
      </w:pPr>
      <w:r w:rsidRPr="00EC0CC3">
        <w:t xml:space="preserve">An increase in the overall percentage of </w:t>
      </w:r>
      <w:r w:rsidRPr="00EC0CC3">
        <w:rPr>
          <w:i/>
        </w:rPr>
        <w:t xml:space="preserve">Listeria </w:t>
      </w:r>
      <w:r w:rsidRPr="00EC0CC3">
        <w:t>spp. positive samples in your operation; and</w:t>
      </w:r>
    </w:p>
    <w:p w:rsidR="00191DF8" w:rsidRPr="00755BF2" w:rsidP="00EF2FC2" w14:paraId="5656BCA0" w14:textId="6AA191E5">
      <w:pPr>
        <w:pStyle w:val="GuidanceBulletLevel1"/>
      </w:pPr>
      <w:r w:rsidRPr="00EC0CC3">
        <w:t xml:space="preserve">Increases in the percentage of </w:t>
      </w:r>
      <w:r w:rsidRPr="00EC0CC3">
        <w:rPr>
          <w:i/>
        </w:rPr>
        <w:t xml:space="preserve">Listeria </w:t>
      </w:r>
      <w:r w:rsidRPr="00EC0CC3">
        <w:t>spp. positive environmental samples in particular areas of your operation.</w:t>
      </w:r>
    </w:p>
    <w:p w:rsidR="00191DF8" w:rsidRPr="00147A83" w:rsidP="00E47C04" w14:paraId="06D28C82" w14:textId="27C6F9C4">
      <w:pPr>
        <w:pStyle w:val="GuidanceParagraph"/>
      </w:pPr>
      <w:r w:rsidRPr="00EC0CC3">
        <w:t xml:space="preserve">Even if you have taken appropriate corrective actions for individual positive test results from a particular site, the continued finding of </w:t>
      </w:r>
      <w:r w:rsidRPr="00EC0CC3">
        <w:rPr>
          <w:i/>
        </w:rPr>
        <w:t xml:space="preserve">Listeria </w:t>
      </w:r>
      <w:r w:rsidRPr="00EC0CC3">
        <w:t xml:space="preserve">spp. positives at that site or in that area over time may indicate a continuing problem, such as an unidentified harborage site. If your analysis of data indicates a potential problem, such as an increased incidence of </w:t>
      </w:r>
      <w:r w:rsidRPr="00EC0CC3">
        <w:rPr>
          <w:i/>
        </w:rPr>
        <w:t xml:space="preserve">Listeria </w:t>
      </w:r>
      <w:r w:rsidRPr="00EC0CC3">
        <w:t xml:space="preserve">spp. in your operation, you should conduct a more complete investigation to determine if further actions are warranted and take appropriate corrective actions to reduce the incidence of </w:t>
      </w:r>
      <w:r w:rsidRPr="00EC0CC3">
        <w:rPr>
          <w:i/>
        </w:rPr>
        <w:t>Listeria</w:t>
      </w:r>
      <w:r w:rsidRPr="00EC0CC3">
        <w:t xml:space="preserve"> spp. in your operation. A trend analysis may also lead you to update your written environmental monitoring </w:t>
      </w:r>
      <w:r w:rsidRPr="00147A83">
        <w:t xml:space="preserve">plan. </w:t>
      </w:r>
    </w:p>
    <w:p w:rsidR="00191DF8" w:rsidRPr="00147A83" w:rsidP="00A16344" w14:paraId="30F107F9" w14:textId="75305847">
      <w:pPr>
        <w:pStyle w:val="HHS508GuidanceOutline1"/>
      </w:pPr>
      <w:bookmarkStart w:id="185" w:name="_Toc44439381"/>
      <w:bookmarkStart w:id="186" w:name="_Toc106094973"/>
      <w:r w:rsidRPr="00147A83">
        <w:t>Recordkeeping</w:t>
      </w:r>
      <w:bookmarkEnd w:id="185"/>
      <w:bookmarkEnd w:id="186"/>
    </w:p>
    <w:p w:rsidR="00191DF8" w:rsidRPr="00EC0CC3" w:rsidP="00E47C04" w14:paraId="0710D51F" w14:textId="71EFC4B2">
      <w:pPr>
        <w:pStyle w:val="GuidanceParagraph"/>
      </w:pPr>
      <w:r>
        <w:t xml:space="preserve">Recordkeeping is an essential component of safely growing, harvesting, packing, and holding food, including sprouts. </w:t>
      </w:r>
      <w:r w:rsidR="00945469">
        <w:t>Records can be used to ascertain safety of products, monitor storage conditions, document good agricultural practices, and track receipt and distribution of product(s).</w:t>
      </w:r>
      <w:r>
        <w:t xml:space="preserve"> Records also offer written evidence that required conditions are being consistently met and your established procedures are being properly followed and are under control (e.g., by facilitating trend analyses). They may also be used to help determine the cause of underlying problems in the event of a foodborne illness outbreak or recall.</w:t>
      </w:r>
    </w:p>
    <w:p w:rsidR="005C32A1" w:rsidP="0055746C" w14:paraId="1C004C18" w14:textId="42B0D588">
      <w:pPr>
        <w:pStyle w:val="BodyText"/>
        <w:spacing w:after="240"/>
        <w:ind w:left="0" w:right="177"/>
      </w:pPr>
      <w:r>
        <w:t xml:space="preserve">In this </w:t>
      </w:r>
      <w:r w:rsidR="00620AEA">
        <w:t>section</w:t>
      </w:r>
      <w:r>
        <w:t>, we provide a brief overview of the recordkeeping requirements in the Produce Safety Rule for sprout operations covered by Subpart M</w:t>
      </w:r>
      <w:r w:rsidR="00980A4B">
        <w:t>.</w:t>
      </w:r>
      <w:r w:rsidR="00841D6B">
        <w:t xml:space="preserve"> </w:t>
      </w:r>
    </w:p>
    <w:p w:rsidR="00191DF8" w:rsidRPr="0003249B" w:rsidP="00B54009" w14:paraId="07AE0758" w14:textId="0687B38C">
      <w:pPr>
        <w:pStyle w:val="HHS508GuidanceOutline2"/>
        <w:numPr>
          <w:ilvl w:val="0"/>
          <w:numId w:val="29"/>
        </w:numPr>
      </w:pPr>
      <w:bookmarkStart w:id="187" w:name="A._Recordkeeping_Overview"/>
      <w:bookmarkStart w:id="188" w:name="_bookmark101"/>
      <w:bookmarkStart w:id="189" w:name="_Toc44439382"/>
      <w:bookmarkStart w:id="190" w:name="_Toc106094974"/>
      <w:bookmarkEnd w:id="187"/>
      <w:bookmarkEnd w:id="188"/>
      <w:r w:rsidRPr="0003249B">
        <w:t>Recordkeeping Overview</w:t>
      </w:r>
      <w:bookmarkEnd w:id="189"/>
      <w:bookmarkEnd w:id="190"/>
    </w:p>
    <w:p w:rsidR="00191DF8" w:rsidRPr="00EC0CC3" w:rsidP="006B398F" w14:paraId="3A5C732A" w14:textId="12382DD2">
      <w:pPr>
        <w:pStyle w:val="HHS508GuidanceOutline30"/>
        <w:numPr>
          <w:ilvl w:val="0"/>
          <w:numId w:val="7"/>
        </w:numPr>
      </w:pPr>
      <w:bookmarkStart w:id="191" w:name="1._General_requirements"/>
      <w:bookmarkStart w:id="192" w:name="_bookmark102"/>
      <w:bookmarkStart w:id="193" w:name="_Toc44439383"/>
      <w:bookmarkStart w:id="194" w:name="_Toc106094975"/>
      <w:bookmarkEnd w:id="191"/>
      <w:bookmarkEnd w:id="192"/>
      <w:r w:rsidRPr="00EC0CC3">
        <w:t>General requirements</w:t>
      </w:r>
      <w:bookmarkEnd w:id="193"/>
      <w:bookmarkEnd w:id="194"/>
    </w:p>
    <w:p w:rsidR="00191DF8" w:rsidRPr="00EC0CC3" w:rsidP="00E47C04" w14:paraId="07BAF4F1" w14:textId="637E4CFE">
      <w:pPr>
        <w:pStyle w:val="GuidanceParagraph"/>
      </w:pPr>
      <w:r w:rsidRPr="00EC0CC3">
        <w:t>Except as otherwise</w:t>
      </w:r>
      <w:r w:rsidRPr="00EC0CC3">
        <w:rPr>
          <w:spacing w:val="1"/>
        </w:rPr>
        <w:t xml:space="preserve"> </w:t>
      </w:r>
      <w:r w:rsidRPr="00EC0CC3">
        <w:t>specified, the</w:t>
      </w:r>
      <w:r w:rsidRPr="00EC0CC3">
        <w:rPr>
          <w:spacing w:val="1"/>
        </w:rPr>
        <w:t xml:space="preserve"> </w:t>
      </w:r>
      <w:r w:rsidRPr="00EC0CC3">
        <w:t>requirements of</w:t>
      </w:r>
      <w:r w:rsidRPr="00EC0CC3">
        <w:rPr>
          <w:spacing w:val="-3"/>
        </w:rPr>
        <w:t xml:space="preserve"> </w:t>
      </w:r>
      <w:r w:rsidRPr="00EC0CC3">
        <w:t xml:space="preserve">Subpart O apply to all records that are required </w:t>
      </w:r>
      <w:r w:rsidR="0007507B">
        <w:t>under the Produce Safety Rule</w:t>
      </w:r>
      <w:r w:rsidRPr="00EC0CC3">
        <w:t>. You must include the following in all required</w:t>
      </w:r>
      <w:r w:rsidRPr="00EC0CC3">
        <w:rPr>
          <w:spacing w:val="-3"/>
        </w:rPr>
        <w:t xml:space="preserve"> </w:t>
      </w:r>
      <w:r w:rsidRPr="00EC0CC3">
        <w:t>records,</w:t>
      </w:r>
      <w:r w:rsidRPr="00EC0CC3">
        <w:rPr>
          <w:spacing w:val="-3"/>
        </w:rPr>
        <w:t xml:space="preserve"> </w:t>
      </w:r>
      <w:r w:rsidRPr="00EC0CC3">
        <w:t>as applicable</w:t>
      </w:r>
      <w:r w:rsidRPr="00EC0CC3">
        <w:rPr>
          <w:spacing w:val="1"/>
        </w:rPr>
        <w:t xml:space="preserve"> </w:t>
      </w:r>
      <w:r w:rsidRPr="00EC0CC3">
        <w:t>and unless otherwise specified:</w:t>
      </w:r>
    </w:p>
    <w:p w:rsidR="00191DF8" w:rsidRPr="00205947" w:rsidP="00CB7D17" w14:paraId="60023099" w14:textId="77777777">
      <w:pPr>
        <w:pStyle w:val="GuidanceBulletLevel1"/>
      </w:pPr>
      <w:r w:rsidRPr="00EC0CC3">
        <w:t>The name and location of your sprout operation (§ 112.161(a)(1)(i)</w:t>
      </w:r>
      <w:r w:rsidRPr="00EC0CC3">
        <w:t>);</w:t>
      </w:r>
    </w:p>
    <w:p w:rsidR="00191DF8" w:rsidRPr="00205947" w:rsidP="00CB7D17" w14:paraId="4F0F5804" w14:textId="77777777">
      <w:pPr>
        <w:pStyle w:val="GuidanceBulletLevel1"/>
      </w:pPr>
      <w:r w:rsidRPr="00EC0CC3">
        <w:t>The actual values and observations obtained during monitoring (§ 112.161(a)(1)(ii)</w:t>
      </w:r>
      <w:r w:rsidRPr="00EC0CC3">
        <w:t>);</w:t>
      </w:r>
    </w:p>
    <w:p w:rsidR="00191DF8" w:rsidRPr="00205947" w:rsidP="00CB7D17" w14:paraId="1AB063A7" w14:textId="77777777">
      <w:pPr>
        <w:pStyle w:val="GuidanceBulletLevel1"/>
      </w:pPr>
      <w:r w:rsidRPr="00EC0CC3">
        <w:t>An adequate description (such as the commodity name, or the specific variety or brand name of a commodity, and, when available, any lot number or other identifier) of covered produce applicable to the record (§ 112.161(a)(1)(iii)</w:t>
      </w:r>
      <w:r w:rsidRPr="00EC0CC3">
        <w:t>);</w:t>
      </w:r>
    </w:p>
    <w:p w:rsidR="00191DF8" w:rsidRPr="00205947" w:rsidP="00CB7D17" w14:paraId="7BEBBB1B" w14:textId="77777777">
      <w:pPr>
        <w:pStyle w:val="GuidanceBulletLevel1"/>
      </w:pPr>
      <w:r w:rsidRPr="00EC0CC3">
        <w:t>The location of a growing area or other area (for example, a specific growing bin) applicable to the record (§ 112.161(a)(1)(iv)); and</w:t>
      </w:r>
    </w:p>
    <w:p w:rsidR="00191DF8" w:rsidRPr="00205947" w:rsidP="00CB7D17" w14:paraId="1D75F8EA" w14:textId="607077DD">
      <w:pPr>
        <w:pStyle w:val="GuidanceBulletLevel1"/>
      </w:pPr>
      <w:r w:rsidRPr="00EC0CC3">
        <w:t xml:space="preserve">The date and time of the activity documented (e.g., date and time of sample collection) (§112.161(a)(1)(v)). </w:t>
      </w:r>
    </w:p>
    <w:p w:rsidR="00191DF8" w:rsidRPr="00EC0CC3" w:rsidP="00E47C04" w14:paraId="58542429" w14:textId="77777777">
      <w:pPr>
        <w:pStyle w:val="GuidanceParagraph"/>
      </w:pPr>
      <w:r w:rsidRPr="00EC0CC3">
        <w:t>Required records must</w:t>
      </w:r>
      <w:r w:rsidRPr="00EC0CC3">
        <w:rPr>
          <w:spacing w:val="-2"/>
        </w:rPr>
        <w:t xml:space="preserve"> </w:t>
      </w:r>
      <w:r w:rsidRPr="00EC0CC3">
        <w:t>also:</w:t>
      </w:r>
    </w:p>
    <w:p w:rsidR="00191DF8" w:rsidRPr="00205947" w:rsidP="00E47C8C" w14:paraId="2EFC1EE0" w14:textId="77777777">
      <w:pPr>
        <w:pStyle w:val="GuidanceBulletLevel1"/>
      </w:pPr>
      <w:r w:rsidRPr="00EC0CC3">
        <w:t>Be created at the time an activity is performed or observed (§ 112.161(a)(2)</w:t>
      </w:r>
      <w:r w:rsidRPr="00EC0CC3">
        <w:t>);</w:t>
      </w:r>
    </w:p>
    <w:p w:rsidR="00191DF8" w:rsidRPr="00205947" w:rsidP="00E47C8C" w14:paraId="19393305" w14:textId="77777777">
      <w:pPr>
        <w:pStyle w:val="GuidanceBulletLevel1"/>
      </w:pPr>
      <w:r w:rsidRPr="00EC0CC3">
        <w:t>Be accurate, legible, and indelible (§ 112.161(a)(3)</w:t>
      </w:r>
      <w:r w:rsidRPr="00EC0CC3">
        <w:t>);</w:t>
      </w:r>
      <w:r w:rsidRPr="00EC0CC3">
        <w:t xml:space="preserve"> </w:t>
      </w:r>
    </w:p>
    <w:p w:rsidR="00191DF8" w:rsidRPr="00205947" w:rsidP="00E47C8C" w14:paraId="426710C5" w14:textId="77777777">
      <w:pPr>
        <w:pStyle w:val="GuidanceBulletLevel1"/>
      </w:pPr>
      <w:r w:rsidRPr="00EC0CC3">
        <w:t>Be dated, and signed or initialed by the person who performed the activity documented (§ 112.161(a)(4)); and</w:t>
      </w:r>
    </w:p>
    <w:p w:rsidR="00191DF8" w:rsidRPr="00205947" w:rsidP="00E47C8C" w14:paraId="06FB3A20" w14:textId="1594E74D">
      <w:pPr>
        <w:pStyle w:val="GuidanceBulletLevel1"/>
      </w:pPr>
      <w:r w:rsidRPr="00EC0CC3">
        <w:t xml:space="preserve">Be reviewed, dated, and signed, within a reasonable time after the records required under §§112.7(b), 112.30(b)(2), 112.50(b)(2), (4), and (6), 112.60(b)(2), 112.140(b)(1) and (2), and 112.150(b)(1), (4), and (6) are made, by a supervisor or responsible party </w:t>
      </w:r>
      <w:r w:rsidRPr="00D3201E">
        <w:t>(§112.161(b)).</w:t>
      </w:r>
    </w:p>
    <w:p w:rsidR="00191DF8" w:rsidRPr="00D3201E" w:rsidP="00E47C04" w14:paraId="42F9B3E5" w14:textId="02FB3310">
      <w:pPr>
        <w:pStyle w:val="GuidanceParagraph"/>
      </w:pPr>
      <w:r w:rsidRPr="00D3201E">
        <w:t>Records can take many forms, including photographs. However, the photos alone do not have sufficient information to meet the general requirements for a record, and the additional information listed above must be captured (</w:t>
      </w:r>
      <w:r w:rsidR="00117BAA">
        <w:t>s</w:t>
      </w:r>
      <w:r w:rsidRPr="00D3201E">
        <w:t xml:space="preserve">ee </w:t>
      </w:r>
      <w:r w:rsidRPr="00D3201E" w:rsidR="00901CBF">
        <w:t>§</w:t>
      </w:r>
      <w:r w:rsidRPr="00D3201E">
        <w:t xml:space="preserve"> 112.161).  </w:t>
      </w:r>
    </w:p>
    <w:p w:rsidR="004A7476" w:rsidRPr="00D3201E" w:rsidP="00E47C04" w14:paraId="16305A1A" w14:textId="77777777">
      <w:pPr>
        <w:pStyle w:val="HHS508GuidanceOutline4"/>
        <w:numPr>
          <w:ilvl w:val="0"/>
          <w:numId w:val="39"/>
        </w:numPr>
      </w:pPr>
      <w:r w:rsidRPr="00D3201E">
        <w:t xml:space="preserve">Actual </w:t>
      </w:r>
      <w:r w:rsidRPr="00D3201E" w:rsidR="00C14C96">
        <w:t>v</w:t>
      </w:r>
      <w:r w:rsidRPr="00D3201E">
        <w:t xml:space="preserve">alues and </w:t>
      </w:r>
      <w:r w:rsidRPr="00D3201E" w:rsidR="00C14C96">
        <w:t>o</w:t>
      </w:r>
      <w:r w:rsidRPr="00D3201E">
        <w:t>bservations</w:t>
      </w:r>
    </w:p>
    <w:p w:rsidR="00191DF8" w:rsidRPr="00EC0CC3" w:rsidP="00E47C04" w14:paraId="7851285E" w14:textId="79329E11">
      <w:pPr>
        <w:pStyle w:val="GuidanceParagraph"/>
      </w:pPr>
      <w:r w:rsidRPr="00D3201E">
        <w:t xml:space="preserve">Section 112.161(a)(1)(ii) requires records to include, as applicable, the actual values and observations obtained during monitoring. “Actual values and observations” mean that: (a) the value or observation, as applicable, itself is written (e.g., 96°F) rather than a summary term, such as “OK” or “Passed”; and (b) truthful information is recorded. For example, if you are documenting a repair as a corrective action, </w:t>
      </w:r>
      <w:r w:rsidR="00BB7E2C">
        <w:t>we recommend</w:t>
      </w:r>
      <w:r w:rsidRPr="00D3201E">
        <w:t xml:space="preserve"> tak</w:t>
      </w:r>
      <w:r w:rsidR="00BB7E2C">
        <w:t>ing</w:t>
      </w:r>
      <w:r w:rsidRPr="00D3201E">
        <w:t xml:space="preserve"> pictures before and after the repair. Another example of the recording of actual values and observations is </w:t>
      </w:r>
      <w:r w:rsidR="00813C85">
        <w:t xml:space="preserve">the </w:t>
      </w:r>
      <w:r w:rsidRPr="00D3201E">
        <w:t xml:space="preserve">listing of </w:t>
      </w:r>
      <w:r w:rsidRPr="00EC0CC3">
        <w:t xml:space="preserve">food </w:t>
      </w:r>
      <w:r w:rsidRPr="00EC0CC3">
        <w:t xml:space="preserve">and/or </w:t>
      </w:r>
      <w:r w:rsidR="008C3841">
        <w:t>food contact surfaces (</w:t>
      </w:r>
      <w:r w:rsidRPr="00EC0CC3">
        <w:t>FCSs</w:t>
      </w:r>
      <w:r w:rsidR="008C3841">
        <w:t>)</w:t>
      </w:r>
      <w:r w:rsidRPr="00EC0CC3">
        <w:t xml:space="preserve"> </w:t>
      </w:r>
      <w:r w:rsidR="0047512E">
        <w:t xml:space="preserve">that may have been affected by </w:t>
      </w:r>
      <w:r w:rsidR="0047512E">
        <w:rPr>
          <w:i/>
          <w:iCs/>
        </w:rPr>
        <w:t xml:space="preserve">Listeria </w:t>
      </w:r>
      <w:r w:rsidR="0047512E">
        <w:t xml:space="preserve">contamination, </w:t>
      </w:r>
      <w:r w:rsidR="00D15BA9">
        <w:t>as identified during</w:t>
      </w:r>
      <w:r w:rsidRPr="00EC0CC3">
        <w:t xml:space="preserve"> a comprehensive investigation as a corrective action following repeated </w:t>
      </w:r>
      <w:r w:rsidRPr="004A7476">
        <w:rPr>
          <w:i/>
          <w:iCs/>
        </w:rPr>
        <w:t>Listeria spp</w:t>
      </w:r>
      <w:r w:rsidRPr="00EC0CC3">
        <w:t xml:space="preserve">. positive results on an FCS.   </w:t>
      </w:r>
    </w:p>
    <w:p w:rsidR="00191DF8" w:rsidRPr="00EC0CC3" w:rsidP="00E47C04" w14:paraId="327E8B1B" w14:textId="0FCF784D">
      <w:pPr>
        <w:pStyle w:val="HHS508GuidanceOutline4"/>
      </w:pPr>
      <w:r w:rsidRPr="00EC0CC3">
        <w:t>Date</w:t>
      </w:r>
      <w:r w:rsidRPr="00EC0CC3">
        <w:rPr>
          <w:spacing w:val="1"/>
        </w:rPr>
        <w:t xml:space="preserve"> </w:t>
      </w:r>
      <w:r w:rsidRPr="00EC0CC3">
        <w:t xml:space="preserve">and </w:t>
      </w:r>
      <w:r w:rsidRPr="00EC0CC3" w:rsidR="00C14C96">
        <w:t>t</w:t>
      </w:r>
      <w:r w:rsidRPr="00EC0CC3">
        <w:t>ime</w:t>
      </w:r>
    </w:p>
    <w:p w:rsidR="00191DF8" w:rsidRPr="00EC0CC3" w:rsidP="00E47C04" w14:paraId="35B1CEF9" w14:textId="7CEF1D24">
      <w:pPr>
        <w:pStyle w:val="GuidanceParagraph"/>
      </w:pPr>
      <w:r w:rsidRPr="00EC0CC3">
        <w:t xml:space="preserve">As applicable, you must include the date and time of the documented activity on the records (§ 112.161(a)(1)(v)). Records must also be created at the time that an activity is performed or observed (§ 112.161(a)(2)). You must not pre-fill records, nor rely on your memory to write down the information later. For example, pertinent information, such as the date and time your seed treatment was applied, </w:t>
      </w:r>
      <w:r w:rsidRPr="00CC10E2" w:rsidR="00BD19C6">
        <w:t>spent sprout irrigation water</w:t>
      </w:r>
      <w:r w:rsidRPr="00EC0CC3" w:rsidR="00BD19C6">
        <w:t xml:space="preserve"> </w:t>
      </w:r>
      <w:r w:rsidRPr="00EC0CC3">
        <w:t>sample was collected,</w:t>
      </w:r>
      <w:r w:rsidR="00720EF1">
        <w:t xml:space="preserve"> and</w:t>
      </w:r>
      <w:r w:rsidRPr="00EC0CC3">
        <w:t xml:space="preserve"> </w:t>
      </w:r>
      <w:r w:rsidRPr="00CC10E2" w:rsidR="00BD19C6">
        <w:t>spent sprout irrigation water</w:t>
      </w:r>
      <w:r w:rsidRPr="00EC0CC3" w:rsidR="00BD19C6">
        <w:t xml:space="preserve"> </w:t>
      </w:r>
      <w:r w:rsidRPr="00EC0CC3">
        <w:t>sample was received and analyzed by the testing lab</w:t>
      </w:r>
      <w:r w:rsidR="00720EF1">
        <w:t xml:space="preserve"> </w:t>
      </w:r>
      <w:r w:rsidRPr="00EC0CC3">
        <w:t>must be recorded at the time that the action is taken.</w:t>
      </w:r>
    </w:p>
    <w:p w:rsidR="00191DF8" w:rsidRPr="00EC0CC3" w:rsidP="00E47C04" w14:paraId="0E7A9292" w14:textId="4008FD8B">
      <w:pPr>
        <w:pStyle w:val="HHS508GuidanceOutline4"/>
        <w:rPr>
          <w:bCs/>
        </w:rPr>
      </w:pPr>
      <w:r>
        <w:t xml:space="preserve"> </w:t>
      </w:r>
      <w:r w:rsidRPr="00EC0CC3">
        <w:t>Adequate</w:t>
      </w:r>
      <w:r w:rsidRPr="00EC0CC3">
        <w:rPr>
          <w:spacing w:val="1"/>
        </w:rPr>
        <w:t xml:space="preserve"> </w:t>
      </w:r>
      <w:r w:rsidRPr="00EC0CC3" w:rsidR="00C14C96">
        <w:rPr>
          <w:spacing w:val="1"/>
        </w:rPr>
        <w:t>d</w:t>
      </w:r>
      <w:r w:rsidRPr="00EC0CC3">
        <w:t xml:space="preserve">escription </w:t>
      </w:r>
      <w:r w:rsidRPr="00EC0CC3">
        <w:rPr>
          <w:spacing w:val="-2"/>
        </w:rPr>
        <w:t>of</w:t>
      </w:r>
      <w:r w:rsidRPr="00EC0CC3">
        <w:t xml:space="preserve"> </w:t>
      </w:r>
      <w:r w:rsidRPr="00EC0CC3" w:rsidR="00C14C96">
        <w:t>c</w:t>
      </w:r>
      <w:r w:rsidRPr="00EC0CC3">
        <w:t>overed</w:t>
      </w:r>
      <w:r w:rsidRPr="00EC0CC3">
        <w:rPr>
          <w:spacing w:val="-4"/>
        </w:rPr>
        <w:t xml:space="preserve"> </w:t>
      </w:r>
      <w:r w:rsidRPr="00EC0CC3" w:rsidR="00C14C96">
        <w:rPr>
          <w:spacing w:val="-4"/>
        </w:rPr>
        <w:t>p</w:t>
      </w:r>
      <w:r w:rsidRPr="00EC0CC3">
        <w:t xml:space="preserve">roduce </w:t>
      </w:r>
      <w:r w:rsidRPr="00EC0CC3" w:rsidR="00C14C96">
        <w:t>a</w:t>
      </w:r>
      <w:r w:rsidRPr="00EC0CC3">
        <w:t>pplicable</w:t>
      </w:r>
      <w:r w:rsidRPr="00EC0CC3">
        <w:rPr>
          <w:spacing w:val="1"/>
        </w:rPr>
        <w:t xml:space="preserve"> </w:t>
      </w:r>
      <w:r w:rsidRPr="00EC0CC3">
        <w:t>to the</w:t>
      </w:r>
      <w:r w:rsidRPr="00EC0CC3">
        <w:rPr>
          <w:spacing w:val="1"/>
        </w:rPr>
        <w:t xml:space="preserve"> </w:t>
      </w:r>
      <w:r w:rsidRPr="00EC0CC3" w:rsidR="00C14C96">
        <w:rPr>
          <w:spacing w:val="1"/>
        </w:rPr>
        <w:t>r</w:t>
      </w:r>
      <w:r w:rsidRPr="00EC0CC3">
        <w:t>ecord</w:t>
      </w:r>
    </w:p>
    <w:p w:rsidR="00191DF8" w:rsidRPr="00EC0CC3" w:rsidP="00E47C04" w14:paraId="61253CD8" w14:textId="03749114">
      <w:pPr>
        <w:pStyle w:val="GuidanceParagraph"/>
      </w:pPr>
      <w:r w:rsidRPr="00EC0CC3">
        <w:t xml:space="preserve">You must include an adequate description of covered produce to which the record applies (§ 112.161(a)(1)(iii)). </w:t>
      </w:r>
      <w:r w:rsidR="00870158">
        <w:t>For sprouts, w</w:t>
      </w:r>
      <w:r w:rsidRPr="00EC0CC3">
        <w:t xml:space="preserve">e recommend including a production batch lot number that includes the product name (e.g., sandwich blend), variety (e.g., alfalfa sprouts and/or clover sprouts), and brand name that your operation uses to identify the product. We recommend that you assign a unique identifier for each individual production batch of sprouts (as that term is defined in § 112.3). Using unique production batch numbers and including them on all applicable records enables you to track a production batch of sprouts internally and through distribution in the event there is a problem with that production batch. </w:t>
      </w:r>
    </w:p>
    <w:p w:rsidR="00191DF8" w:rsidRPr="00EC0CC3" w:rsidP="00E47C04" w14:paraId="38DE0694" w14:textId="4949D811">
      <w:pPr>
        <w:pStyle w:val="GuidanceParagraph"/>
      </w:pPr>
      <w:r w:rsidRPr="00EC0CC3">
        <w:t>If you use an identification system for product after it has been packaged for sale that is different from your production batch code, your ability to track the product will be enhanced if you are able to link the packed product code to the production batch of sprouts used to produce that packed product. For example, you may combine product from Production Batch “A” with product from Production Batch “B” during packing and assign product identifier #1234 to the final packed product. In this example, your ability to track the product would be enhanced if you are able to link packed product identifier #1234 to Production Batches A and B.</w:t>
      </w:r>
      <w:r>
        <w:rPr>
          <w:rStyle w:val="FootnoteReference"/>
        </w:rPr>
        <w:footnoteReference w:id="11"/>
      </w:r>
    </w:p>
    <w:p w:rsidR="00191DF8" w:rsidRPr="00EC0CC3" w:rsidP="00E47C04" w14:paraId="3554C539" w14:textId="77777777">
      <w:pPr>
        <w:pStyle w:val="GuidanceParagraph"/>
      </w:pPr>
      <w:r w:rsidRPr="00EC0CC3">
        <w:t>We recommend that your records include the following information, as applicable:</w:t>
      </w:r>
    </w:p>
    <w:p w:rsidR="00191DF8" w:rsidRPr="00B210FC" w:rsidP="00690C44" w14:paraId="101EE404" w14:textId="77777777">
      <w:pPr>
        <w:pStyle w:val="GuidanceBulletLevel1"/>
      </w:pPr>
      <w:bookmarkStart w:id="195" w:name="_Hlk39177054"/>
      <w:r w:rsidRPr="00B210FC">
        <w:t xml:space="preserve">The seed lot number(s) for the seeds used to grow the production batch of sprouts (so that </w:t>
      </w:r>
      <w:r w:rsidRPr="00B210FC">
        <w:t>the</w:t>
      </w:r>
      <w:r w:rsidRPr="00B210FC">
        <w:t xml:space="preserve"> lot of seeds that were used to grow each production batch of sprouts can be easily and reliably identified in the event of a problem with the production batch of sprouts);</w:t>
      </w:r>
    </w:p>
    <w:p w:rsidR="00191DF8" w:rsidRPr="00B210FC" w:rsidP="00690C44" w14:paraId="0C1E2BCC" w14:textId="77777777">
      <w:pPr>
        <w:pStyle w:val="GuidanceBulletLevel1"/>
      </w:pPr>
      <w:r w:rsidRPr="00B210FC">
        <w:t>Container size/</w:t>
      </w:r>
      <w:r w:rsidRPr="00B210FC">
        <w:t>type;</w:t>
      </w:r>
    </w:p>
    <w:p w:rsidR="00191DF8" w:rsidRPr="00B210FC" w:rsidP="00690C44" w14:paraId="7C82E961" w14:textId="77777777">
      <w:pPr>
        <w:pStyle w:val="GuidanceBulletLevel1"/>
      </w:pPr>
      <w:r w:rsidRPr="00B210FC">
        <w:t xml:space="preserve">Date </w:t>
      </w:r>
      <w:r w:rsidRPr="00B210FC">
        <w:t>packaged;</w:t>
      </w:r>
    </w:p>
    <w:p w:rsidR="00191DF8" w:rsidRPr="00B210FC" w:rsidP="00690C44" w14:paraId="454017E3" w14:textId="77777777">
      <w:pPr>
        <w:pStyle w:val="GuidanceBulletLevel1"/>
      </w:pPr>
      <w:r w:rsidRPr="00B210FC">
        <w:t xml:space="preserve">Number of units </w:t>
      </w:r>
      <w:r w:rsidRPr="00B210FC">
        <w:t>packaged;</w:t>
      </w:r>
    </w:p>
    <w:p w:rsidR="00191DF8" w:rsidRPr="00B210FC" w:rsidP="00690C44" w14:paraId="46E13DCD" w14:textId="77777777">
      <w:pPr>
        <w:pStyle w:val="GuidanceBulletLevel1"/>
      </w:pPr>
      <w:r w:rsidRPr="00B210FC">
        <w:t>Holding area; and</w:t>
      </w:r>
    </w:p>
    <w:p w:rsidR="00191DF8" w:rsidRPr="00B210FC" w:rsidP="00690C44" w14:paraId="4A0CAF3F" w14:textId="605F9170">
      <w:pPr>
        <w:pStyle w:val="GuidanceBulletLevel1"/>
      </w:pPr>
      <w:r w:rsidRPr="00B210FC">
        <w:t>Any other comments or information that may be useful in the event of a problem with the production batch of sprouts.</w:t>
      </w:r>
    </w:p>
    <w:bookmarkEnd w:id="195"/>
    <w:p w:rsidR="00191DF8" w:rsidRPr="00EC0CC3" w:rsidP="00E47C04" w14:paraId="5685164A" w14:textId="77777777">
      <w:pPr>
        <w:pStyle w:val="GuidanceParagraph"/>
      </w:pPr>
      <w:r w:rsidRPr="00EC0CC3">
        <w:t>We also recommend that, for records of seed treatment that you perform at your operation to reduce microorganisms of public health significance (as required by §§ 112.142(e)(1) and 112.150(b)(1)), you include a description of the seeds to which the record relates. Such a description should include the type of seeds treated, and the seed lot number.</w:t>
      </w:r>
    </w:p>
    <w:p w:rsidR="00191DF8" w:rsidRPr="00EC0CC3" w:rsidP="00E47C04" w14:paraId="1AEEF89B" w14:textId="76245124">
      <w:pPr>
        <w:pStyle w:val="HHS508GuidanceOutline4"/>
      </w:pPr>
      <w:r w:rsidRPr="00EC0CC3">
        <w:t xml:space="preserve">Location </w:t>
      </w:r>
      <w:r w:rsidRPr="00EC0CC3">
        <w:rPr>
          <w:spacing w:val="-2"/>
        </w:rPr>
        <w:t>of</w:t>
      </w:r>
      <w:r w:rsidRPr="00EC0CC3">
        <w:rPr>
          <w:spacing w:val="2"/>
        </w:rPr>
        <w:t xml:space="preserve"> </w:t>
      </w:r>
      <w:r w:rsidRPr="00EC0CC3" w:rsidR="00C14C96">
        <w:rPr>
          <w:spacing w:val="2"/>
        </w:rPr>
        <w:t>g</w:t>
      </w:r>
      <w:r w:rsidRPr="00EC0CC3">
        <w:t xml:space="preserve">rowing </w:t>
      </w:r>
      <w:r w:rsidRPr="00EC0CC3" w:rsidR="00C14C96">
        <w:t>a</w:t>
      </w:r>
      <w:r w:rsidRPr="00EC0CC3">
        <w:t>rea or</w:t>
      </w:r>
      <w:r w:rsidRPr="00EC0CC3">
        <w:rPr>
          <w:spacing w:val="1"/>
        </w:rPr>
        <w:t xml:space="preserve"> </w:t>
      </w:r>
      <w:r w:rsidRPr="00EC0CC3" w:rsidR="00C14C96">
        <w:rPr>
          <w:spacing w:val="1"/>
        </w:rPr>
        <w:t>o</w:t>
      </w:r>
      <w:r w:rsidRPr="00EC0CC3">
        <w:t>ther</w:t>
      </w:r>
      <w:r w:rsidRPr="00EC0CC3">
        <w:rPr>
          <w:spacing w:val="-2"/>
        </w:rPr>
        <w:t xml:space="preserve"> </w:t>
      </w:r>
      <w:r w:rsidRPr="00EC0CC3" w:rsidR="00C14C96">
        <w:rPr>
          <w:spacing w:val="-2"/>
        </w:rPr>
        <w:t>a</w:t>
      </w:r>
      <w:r w:rsidRPr="00EC0CC3">
        <w:t xml:space="preserve">rea </w:t>
      </w:r>
      <w:r w:rsidRPr="00EC0CC3" w:rsidR="00C14C96">
        <w:t>a</w:t>
      </w:r>
      <w:r w:rsidRPr="00EC0CC3">
        <w:t>pplicable</w:t>
      </w:r>
      <w:r w:rsidRPr="00EC0CC3">
        <w:rPr>
          <w:spacing w:val="1"/>
        </w:rPr>
        <w:t xml:space="preserve"> </w:t>
      </w:r>
      <w:r w:rsidRPr="00EC0CC3">
        <w:t>to the</w:t>
      </w:r>
      <w:r w:rsidRPr="00EC0CC3">
        <w:rPr>
          <w:spacing w:val="1"/>
        </w:rPr>
        <w:t xml:space="preserve"> </w:t>
      </w:r>
      <w:r w:rsidRPr="00EC0CC3" w:rsidR="00C14C96">
        <w:rPr>
          <w:spacing w:val="1"/>
        </w:rPr>
        <w:t>r</w:t>
      </w:r>
      <w:r w:rsidRPr="00EC0CC3">
        <w:t>ecord</w:t>
      </w:r>
    </w:p>
    <w:p w:rsidR="00191DF8" w:rsidRPr="00EC0CC3" w:rsidP="00E47C04" w14:paraId="67C57A30" w14:textId="2BE86380">
      <w:pPr>
        <w:pStyle w:val="GuidanceParagraph"/>
      </w:pPr>
      <w:r w:rsidRPr="00EC0CC3">
        <w:t>You must include the</w:t>
      </w:r>
      <w:r w:rsidRPr="00EC0CC3">
        <w:rPr>
          <w:spacing w:val="1"/>
        </w:rPr>
        <w:t xml:space="preserve"> </w:t>
      </w:r>
      <w:r w:rsidRPr="00EC0CC3">
        <w:t>location</w:t>
      </w:r>
      <w:r w:rsidRPr="00EC0CC3">
        <w:rPr>
          <w:spacing w:val="-3"/>
        </w:rPr>
        <w:t xml:space="preserve"> </w:t>
      </w:r>
      <w:r w:rsidRPr="00EC0CC3">
        <w:t>of</w:t>
      </w:r>
      <w:r w:rsidRPr="00EC0CC3">
        <w:rPr>
          <w:spacing w:val="-3"/>
        </w:rPr>
        <w:t xml:space="preserve"> </w:t>
      </w:r>
      <w:r w:rsidRPr="00EC0CC3">
        <w:t>the</w:t>
      </w:r>
      <w:r w:rsidRPr="00EC0CC3">
        <w:rPr>
          <w:spacing w:val="1"/>
        </w:rPr>
        <w:t xml:space="preserve"> </w:t>
      </w:r>
      <w:r w:rsidRPr="00EC0CC3">
        <w:t>growing</w:t>
      </w:r>
      <w:r w:rsidRPr="00EC0CC3">
        <w:rPr>
          <w:spacing w:val="-3"/>
        </w:rPr>
        <w:t xml:space="preserve"> </w:t>
      </w:r>
      <w:r w:rsidRPr="00EC0CC3">
        <w:t>area</w:t>
      </w:r>
      <w:r w:rsidRPr="00EC0CC3">
        <w:rPr>
          <w:spacing w:val="1"/>
        </w:rPr>
        <w:t xml:space="preserve"> </w:t>
      </w:r>
      <w:r w:rsidRPr="00EC0CC3">
        <w:t>or other area</w:t>
      </w:r>
      <w:r w:rsidRPr="00EC0CC3">
        <w:rPr>
          <w:spacing w:val="-2"/>
        </w:rPr>
        <w:t xml:space="preserve"> </w:t>
      </w:r>
      <w:r w:rsidRPr="00EC0CC3">
        <w:t>applicable</w:t>
      </w:r>
      <w:r w:rsidRPr="00EC0CC3">
        <w:rPr>
          <w:spacing w:val="-2"/>
        </w:rPr>
        <w:t xml:space="preserve"> </w:t>
      </w:r>
      <w:r w:rsidRPr="00EC0CC3">
        <w:t>to the</w:t>
      </w:r>
      <w:r w:rsidRPr="00EC0CC3">
        <w:rPr>
          <w:spacing w:val="1"/>
        </w:rPr>
        <w:t xml:space="preserve"> </w:t>
      </w:r>
      <w:r w:rsidRPr="00EC0CC3">
        <w:t>record (§ 112.161(a)(1)(iv)). For example, you could include: in your records</w:t>
      </w:r>
      <w:r w:rsidRPr="00EC0CC3">
        <w:rPr>
          <w:spacing w:val="1"/>
        </w:rPr>
        <w:t xml:space="preserve"> for testing spent sprout irrigation water, </w:t>
      </w:r>
      <w:r w:rsidRPr="00EC0CC3">
        <w:t>the</w:t>
      </w:r>
      <w:r w:rsidRPr="00EC0CC3">
        <w:rPr>
          <w:spacing w:val="1"/>
        </w:rPr>
        <w:t xml:space="preserve"> </w:t>
      </w:r>
      <w:r w:rsidRPr="00EC0CC3">
        <w:t>specific</w:t>
      </w:r>
      <w:r w:rsidRPr="00EC0CC3">
        <w:rPr>
          <w:spacing w:val="1"/>
        </w:rPr>
        <w:t xml:space="preserve"> </w:t>
      </w:r>
      <w:r w:rsidRPr="00EC0CC3">
        <w:t>sprouting</w:t>
      </w:r>
      <w:r w:rsidRPr="00EC0CC3">
        <w:rPr>
          <w:spacing w:val="-3"/>
        </w:rPr>
        <w:t xml:space="preserve"> </w:t>
      </w:r>
      <w:r w:rsidRPr="00EC0CC3">
        <w:t>room and/or growing unit in which</w:t>
      </w:r>
      <w:r w:rsidRPr="00EC0CC3">
        <w:rPr>
          <w:spacing w:val="-3"/>
        </w:rPr>
        <w:t xml:space="preserve"> you grew </w:t>
      </w:r>
      <w:r w:rsidRPr="00EC0CC3">
        <w:t>the</w:t>
      </w:r>
      <w:r w:rsidRPr="00EC0CC3">
        <w:rPr>
          <w:spacing w:val="1"/>
        </w:rPr>
        <w:t xml:space="preserve"> </w:t>
      </w:r>
      <w:r w:rsidRPr="00EC0CC3">
        <w:t>batch of</w:t>
      </w:r>
      <w:r w:rsidRPr="00EC0CC3">
        <w:rPr>
          <w:spacing w:val="-3"/>
        </w:rPr>
        <w:t xml:space="preserve"> </w:t>
      </w:r>
      <w:r w:rsidRPr="00EC0CC3">
        <w:t>sprouts being tested (e.g., Bean Sprouting Room #2, Cabin 1); in your records for seed treatment, the specific seed treatment area in which you treated the seeds; or, in your records of environmental monitoring, the</w:t>
      </w:r>
      <w:r w:rsidRPr="00EC0CC3">
        <w:rPr>
          <w:spacing w:val="1"/>
        </w:rPr>
        <w:t xml:space="preserve"> </w:t>
      </w:r>
      <w:r w:rsidRPr="00EC0CC3">
        <w:t>particular packing</w:t>
      </w:r>
      <w:r w:rsidRPr="00EC0CC3">
        <w:rPr>
          <w:spacing w:val="-3"/>
        </w:rPr>
        <w:t xml:space="preserve"> </w:t>
      </w:r>
      <w:r w:rsidRPr="00EC0CC3">
        <w:t xml:space="preserve">line from which the sample was collected. </w:t>
      </w:r>
      <w:r w:rsidRPr="00EC0CC3">
        <w:rPr>
          <w:spacing w:val="-2"/>
        </w:rPr>
        <w:t>If</w:t>
      </w:r>
      <w:r w:rsidRPr="00EC0CC3">
        <w:t xml:space="preserve"> you have</w:t>
      </w:r>
      <w:r w:rsidRPr="00EC0CC3">
        <w:rPr>
          <w:spacing w:val="1"/>
        </w:rPr>
        <w:t xml:space="preserve"> a </w:t>
      </w:r>
      <w:r w:rsidRPr="00EC0CC3">
        <w:t>diagram of your sprout operation, you may find it helpful</w:t>
      </w:r>
      <w:r w:rsidRPr="00EC0CC3">
        <w:rPr>
          <w:spacing w:val="1"/>
        </w:rPr>
        <w:t xml:space="preserve"> </w:t>
      </w:r>
      <w:r w:rsidRPr="00EC0CC3">
        <w:t>for the names of the locations in</w:t>
      </w:r>
      <w:r w:rsidRPr="00EC0CC3">
        <w:rPr>
          <w:spacing w:val="-3"/>
        </w:rPr>
        <w:t xml:space="preserve"> </w:t>
      </w:r>
      <w:r w:rsidRPr="00EC0CC3">
        <w:t>the</w:t>
      </w:r>
      <w:r w:rsidRPr="00EC0CC3">
        <w:rPr>
          <w:spacing w:val="1"/>
        </w:rPr>
        <w:t xml:space="preserve"> </w:t>
      </w:r>
      <w:r w:rsidRPr="00EC0CC3">
        <w:t>records</w:t>
      </w:r>
      <w:r w:rsidRPr="00EC0CC3">
        <w:rPr>
          <w:spacing w:val="-4"/>
        </w:rPr>
        <w:t xml:space="preserve"> </w:t>
      </w:r>
      <w:r w:rsidRPr="00EC0CC3">
        <w:t>to</w:t>
      </w:r>
      <w:r w:rsidRPr="00EC0CC3">
        <w:rPr>
          <w:spacing w:val="-3"/>
        </w:rPr>
        <w:t xml:space="preserve"> </w:t>
      </w:r>
      <w:r w:rsidRPr="00EC0CC3">
        <w:t>match the</w:t>
      </w:r>
      <w:r w:rsidRPr="00EC0CC3">
        <w:rPr>
          <w:spacing w:val="1"/>
        </w:rPr>
        <w:t xml:space="preserve"> </w:t>
      </w:r>
      <w:r w:rsidRPr="00EC0CC3">
        <w:t>names in</w:t>
      </w:r>
      <w:r w:rsidRPr="00EC0CC3">
        <w:rPr>
          <w:spacing w:val="-3"/>
        </w:rPr>
        <w:t xml:space="preserve"> </w:t>
      </w:r>
      <w:r w:rsidRPr="00EC0CC3">
        <w:t>your diagrams.</w:t>
      </w:r>
    </w:p>
    <w:p w:rsidR="00191DF8" w:rsidRPr="00EC0CC3" w:rsidP="00E47C04" w14:paraId="3A7B8C49" w14:textId="1716B614">
      <w:pPr>
        <w:pStyle w:val="HHS508GuidanceOutline4"/>
        <w:rPr>
          <w:bCs/>
        </w:rPr>
      </w:pPr>
      <w:r>
        <w:t xml:space="preserve"> </w:t>
      </w:r>
      <w:r w:rsidRPr="00EC0CC3">
        <w:t xml:space="preserve">Accuracy, </w:t>
      </w:r>
      <w:r w:rsidRPr="00EC0CC3" w:rsidR="00C14C96">
        <w:t>l</w:t>
      </w:r>
      <w:r w:rsidRPr="00EC0CC3">
        <w:t xml:space="preserve">egibility, </w:t>
      </w:r>
      <w:r w:rsidRPr="00EC0CC3" w:rsidR="00C14C96">
        <w:t>i</w:t>
      </w:r>
      <w:r w:rsidRPr="00EC0CC3">
        <w:t>ndelibility</w:t>
      </w:r>
    </w:p>
    <w:p w:rsidR="00191DF8" w:rsidRPr="00EC0CC3" w:rsidP="00E47C04" w14:paraId="11DE14AA" w14:textId="77ADA668">
      <w:pPr>
        <w:pStyle w:val="GuidanceParagraph"/>
      </w:pPr>
      <w:r w:rsidRPr="00EC0CC3">
        <w:t xml:space="preserve">Required records must be accurate, legible, and indelible (§ 112.161(a)(3)). For example, if you make a mistake on a record, you should mark through the mistake with a single line, add the correct information as close as possible to the information entered in error and initial and date the correction. You should not write over the existing information, obscure it by scratching it out, or use liquid correction fluid. While handwriting styles may vary, the information on a required record must be legible so that company officials and regulatory agencies, as appropriate, can review it. </w:t>
      </w:r>
      <w:r w:rsidRPr="00DC1310">
        <w:t>You must document required information in an indelible manner (e.g., in ink) so that it cannot be erased.</w:t>
      </w:r>
    </w:p>
    <w:p w:rsidR="00191DF8" w:rsidRPr="00EC0CC3" w:rsidP="00E47C04" w14:paraId="0ADADB70" w14:textId="6A816C37">
      <w:pPr>
        <w:pStyle w:val="HHS508GuidanceOutline4"/>
        <w:rPr>
          <w:bCs/>
        </w:rPr>
      </w:pPr>
      <w:r>
        <w:t xml:space="preserve"> </w:t>
      </w:r>
      <w:r w:rsidRPr="00EC0CC3">
        <w:t xml:space="preserve">Dated, and </w:t>
      </w:r>
      <w:r w:rsidRPr="00EC0CC3" w:rsidR="00C14C96">
        <w:t>s</w:t>
      </w:r>
      <w:r w:rsidRPr="00EC0CC3">
        <w:t>igned or</w:t>
      </w:r>
      <w:r w:rsidRPr="00EC0CC3">
        <w:rPr>
          <w:spacing w:val="1"/>
        </w:rPr>
        <w:t xml:space="preserve"> </w:t>
      </w:r>
      <w:r w:rsidRPr="00EC0CC3" w:rsidR="00C14C96">
        <w:rPr>
          <w:spacing w:val="1"/>
        </w:rPr>
        <w:t>i</w:t>
      </w:r>
      <w:r w:rsidRPr="00EC0CC3">
        <w:t>nitialed by the</w:t>
      </w:r>
      <w:r w:rsidRPr="00EC0CC3">
        <w:rPr>
          <w:spacing w:val="-2"/>
        </w:rPr>
        <w:t xml:space="preserve"> </w:t>
      </w:r>
      <w:r w:rsidRPr="00EC0CC3" w:rsidR="00C14C96">
        <w:rPr>
          <w:spacing w:val="-2"/>
        </w:rPr>
        <w:t>p</w:t>
      </w:r>
      <w:r w:rsidRPr="00EC0CC3">
        <w:t xml:space="preserve">erson </w:t>
      </w:r>
      <w:r w:rsidRPr="00EC0CC3" w:rsidR="00C14C96">
        <w:t>w</w:t>
      </w:r>
      <w:r w:rsidRPr="00EC0CC3">
        <w:t xml:space="preserve">ho </w:t>
      </w:r>
      <w:r w:rsidRPr="00EC0CC3" w:rsidR="00C14C96">
        <w:t>p</w:t>
      </w:r>
      <w:r w:rsidRPr="00EC0CC3">
        <w:t>erformed the</w:t>
      </w:r>
      <w:r w:rsidRPr="00EC0CC3">
        <w:rPr>
          <w:spacing w:val="1"/>
        </w:rPr>
        <w:t xml:space="preserve"> </w:t>
      </w:r>
      <w:r w:rsidRPr="00EC0CC3" w:rsidR="00C14C96">
        <w:rPr>
          <w:spacing w:val="1"/>
        </w:rPr>
        <w:t>a</w:t>
      </w:r>
      <w:r w:rsidRPr="00EC0CC3">
        <w:t>ctivity</w:t>
      </w:r>
    </w:p>
    <w:p w:rsidR="00191DF8" w:rsidRPr="00EC0CC3" w:rsidP="00E47C04" w14:paraId="5473D365" w14:textId="7E66A91D">
      <w:pPr>
        <w:pStyle w:val="GuidanceParagraph"/>
      </w:pPr>
      <w:r w:rsidRPr="00EC0CC3">
        <w:t>The individual who performed the activity documented must date, and sign or initial the required record (§ 112.161(a)(4)). Examples of such individuals include the person inspecting the agricultural water system (for records required under § 112.50(b)(1)), the worker who sanitized equipment used for growing sprouts (for records required under § 112.140(b)(1)), or the laboratory analyst who tested spent sprout irrigation water samples for microbiological contamination (for records required under § 112.150(b)(4)).</w:t>
      </w:r>
    </w:p>
    <w:p w:rsidR="00191DF8" w:rsidRPr="00EC0CC3" w:rsidP="006B398F" w14:paraId="59D5F0CD" w14:textId="0908CDAE">
      <w:pPr>
        <w:pStyle w:val="HHS508GuidanceOutline30"/>
      </w:pPr>
      <w:bookmarkStart w:id="196" w:name="2._Duplication_not_required"/>
      <w:bookmarkStart w:id="197" w:name="_bookmark103"/>
      <w:bookmarkStart w:id="198" w:name="_Toc44439384"/>
      <w:bookmarkStart w:id="199" w:name="_Toc106094976"/>
      <w:bookmarkEnd w:id="196"/>
      <w:bookmarkEnd w:id="197"/>
      <w:r w:rsidRPr="00EC0CC3">
        <w:t>Duplication not required</w:t>
      </w:r>
      <w:bookmarkEnd w:id="198"/>
      <w:bookmarkEnd w:id="199"/>
    </w:p>
    <w:p w:rsidR="00191DF8" w:rsidRPr="00EC0CC3" w:rsidP="00E47C04" w14:paraId="00152275" w14:textId="5F95051A">
      <w:pPr>
        <w:pStyle w:val="GuidanceParagraph"/>
      </w:pPr>
      <w:r w:rsidRPr="00EC0CC3">
        <w:t>Section 112.163(a) provides that</w:t>
      </w:r>
      <w:r w:rsidRPr="00EC0CC3">
        <w:rPr>
          <w:spacing w:val="-2"/>
        </w:rPr>
        <w:t xml:space="preserve"> you</w:t>
      </w:r>
      <w:r w:rsidRPr="00EC0CC3">
        <w:t xml:space="preserve"> are</w:t>
      </w:r>
      <w:r w:rsidRPr="00EC0CC3">
        <w:rPr>
          <w:spacing w:val="1"/>
        </w:rPr>
        <w:t xml:space="preserve"> </w:t>
      </w:r>
      <w:r w:rsidRPr="00EC0CC3">
        <w:t>not required to duplicate</w:t>
      </w:r>
      <w:r w:rsidRPr="00EC0CC3">
        <w:rPr>
          <w:spacing w:val="-2"/>
        </w:rPr>
        <w:t xml:space="preserve"> </w:t>
      </w:r>
      <w:r w:rsidRPr="00EC0CC3">
        <w:t>any</w:t>
      </w:r>
      <w:r w:rsidRPr="00EC0CC3">
        <w:rPr>
          <w:spacing w:val="-5"/>
        </w:rPr>
        <w:t xml:space="preserve"> </w:t>
      </w:r>
      <w:r w:rsidRPr="00EC0CC3">
        <w:t>existing</w:t>
      </w:r>
      <w:r w:rsidRPr="00EC0CC3">
        <w:rPr>
          <w:spacing w:val="-3"/>
        </w:rPr>
        <w:t xml:space="preserve"> </w:t>
      </w:r>
      <w:r w:rsidRPr="00EC0CC3">
        <w:t>records if</w:t>
      </w:r>
      <w:r w:rsidRPr="00EC0CC3">
        <w:rPr>
          <w:spacing w:val="-3"/>
        </w:rPr>
        <w:t xml:space="preserve"> </w:t>
      </w:r>
      <w:r w:rsidRPr="00EC0CC3">
        <w:t>those</w:t>
      </w:r>
      <w:r w:rsidRPr="00EC0CC3">
        <w:rPr>
          <w:spacing w:val="65"/>
        </w:rPr>
        <w:t xml:space="preserve"> </w:t>
      </w:r>
      <w:r w:rsidRPr="00EC0CC3">
        <w:t xml:space="preserve">records contain </w:t>
      </w:r>
      <w:r w:rsidRPr="00EC0CC3">
        <w:t>all of</w:t>
      </w:r>
      <w:r w:rsidRPr="00EC0CC3">
        <w:rPr>
          <w:spacing w:val="-3"/>
        </w:rPr>
        <w:t xml:space="preserve"> </w:t>
      </w:r>
      <w:r w:rsidRPr="00EC0CC3">
        <w:t>the</w:t>
      </w:r>
      <w:r w:rsidRPr="00EC0CC3">
        <w:rPr>
          <w:spacing w:val="1"/>
        </w:rPr>
        <w:t xml:space="preserve"> </w:t>
      </w:r>
      <w:r w:rsidRPr="00EC0CC3">
        <w:t>required information</w:t>
      </w:r>
      <w:r w:rsidRPr="00EC0CC3">
        <w:rPr>
          <w:spacing w:val="-3"/>
        </w:rPr>
        <w:t xml:space="preserve"> </w:t>
      </w:r>
      <w:r w:rsidRPr="00EC0CC3">
        <w:t>and satisfy</w:t>
      </w:r>
      <w:r w:rsidRPr="00EC0CC3">
        <w:rPr>
          <w:spacing w:val="-5"/>
        </w:rPr>
        <w:t xml:space="preserve"> </w:t>
      </w:r>
      <w:r w:rsidRPr="00EC0CC3">
        <w:t>the</w:t>
      </w:r>
      <w:r w:rsidRPr="00EC0CC3">
        <w:rPr>
          <w:spacing w:val="1"/>
        </w:rPr>
        <w:t xml:space="preserve"> </w:t>
      </w:r>
      <w:r w:rsidRPr="00EC0CC3">
        <w:t>requirements of</w:t>
      </w:r>
      <w:r w:rsidRPr="00EC0CC3">
        <w:rPr>
          <w:spacing w:val="-3"/>
        </w:rPr>
        <w:t xml:space="preserve"> </w:t>
      </w:r>
      <w:r w:rsidRPr="00EC0CC3">
        <w:t>the</w:t>
      </w:r>
      <w:r w:rsidRPr="00EC0CC3">
        <w:rPr>
          <w:spacing w:val="1"/>
        </w:rPr>
        <w:t xml:space="preserve"> </w:t>
      </w:r>
      <w:r w:rsidRPr="00EC0CC3">
        <w:t>Produce</w:t>
      </w:r>
      <w:r w:rsidRPr="00EC0CC3">
        <w:rPr>
          <w:spacing w:val="1"/>
        </w:rPr>
        <w:t xml:space="preserve"> </w:t>
      </w:r>
      <w:r w:rsidRPr="00EC0CC3">
        <w:t>Safety</w:t>
      </w:r>
      <w:r w:rsidRPr="00EC0CC3">
        <w:rPr>
          <w:spacing w:val="55"/>
        </w:rPr>
        <w:t xml:space="preserve"> </w:t>
      </w:r>
      <w:r w:rsidRPr="00EC0CC3">
        <w:t>Rule. Similarly, if you have</w:t>
      </w:r>
      <w:r w:rsidRPr="00EC0CC3">
        <w:rPr>
          <w:spacing w:val="1"/>
        </w:rPr>
        <w:t xml:space="preserve"> </w:t>
      </w:r>
      <w:r w:rsidRPr="00EC0CC3">
        <w:t>records containing</w:t>
      </w:r>
      <w:r w:rsidRPr="00EC0CC3">
        <w:rPr>
          <w:spacing w:val="-3"/>
        </w:rPr>
        <w:t xml:space="preserve"> </w:t>
      </w:r>
      <w:r w:rsidRPr="00EC0CC3">
        <w:t>some</w:t>
      </w:r>
      <w:r w:rsidRPr="00EC0CC3">
        <w:rPr>
          <w:spacing w:val="1"/>
        </w:rPr>
        <w:t xml:space="preserve"> </w:t>
      </w:r>
      <w:r w:rsidRPr="00EC0CC3">
        <w:t xml:space="preserve">but not </w:t>
      </w:r>
      <w:r w:rsidRPr="00EC0CC3">
        <w:t>all of</w:t>
      </w:r>
      <w:r w:rsidRPr="00EC0CC3">
        <w:rPr>
          <w:spacing w:val="-3"/>
        </w:rPr>
        <w:t xml:space="preserve"> </w:t>
      </w:r>
      <w:r w:rsidRPr="00EC0CC3">
        <w:t>the</w:t>
      </w:r>
      <w:r w:rsidRPr="00EC0CC3">
        <w:rPr>
          <w:spacing w:val="1"/>
        </w:rPr>
        <w:t xml:space="preserve"> </w:t>
      </w:r>
      <w:r w:rsidRPr="00EC0CC3">
        <w:t>required information, §</w:t>
      </w:r>
      <w:r w:rsidRPr="00EC0CC3">
        <w:rPr>
          <w:spacing w:val="33"/>
        </w:rPr>
        <w:t xml:space="preserve"> </w:t>
      </w:r>
      <w:r w:rsidRPr="00EC0CC3">
        <w:t xml:space="preserve">112.163(b) provides </w:t>
      </w:r>
      <w:r w:rsidRPr="00EC0CC3">
        <w:rPr>
          <w:spacing w:val="-2"/>
        </w:rPr>
        <w:t>you</w:t>
      </w:r>
      <w:r w:rsidRPr="00EC0CC3">
        <w:t xml:space="preserve"> </w:t>
      </w:r>
      <w:r w:rsidRPr="00EC0CC3">
        <w:rPr>
          <w:spacing w:val="1"/>
        </w:rPr>
        <w:t xml:space="preserve">the </w:t>
      </w:r>
      <w:r w:rsidRPr="00EC0CC3">
        <w:t>flexibility</w:t>
      </w:r>
      <w:r w:rsidRPr="00EC0CC3">
        <w:rPr>
          <w:spacing w:val="-5"/>
        </w:rPr>
        <w:t xml:space="preserve"> </w:t>
      </w:r>
      <w:r w:rsidRPr="00EC0CC3">
        <w:t>to keep any</w:t>
      </w:r>
      <w:r w:rsidRPr="00EC0CC3">
        <w:rPr>
          <w:spacing w:val="-3"/>
        </w:rPr>
        <w:t xml:space="preserve"> </w:t>
      </w:r>
      <w:r w:rsidRPr="00EC0CC3">
        <w:t>new information required</w:t>
      </w:r>
      <w:r w:rsidRPr="00EC0CC3">
        <w:rPr>
          <w:spacing w:val="-3"/>
        </w:rPr>
        <w:t xml:space="preserve"> </w:t>
      </w:r>
      <w:r w:rsidRPr="00EC0CC3">
        <w:t>either separately</w:t>
      </w:r>
      <w:r w:rsidRPr="00EC0CC3">
        <w:rPr>
          <w:spacing w:val="-5"/>
        </w:rPr>
        <w:t xml:space="preserve"> </w:t>
      </w:r>
      <w:r w:rsidRPr="00EC0CC3">
        <w:t>or</w:t>
      </w:r>
      <w:r w:rsidRPr="00EC0CC3">
        <w:rPr>
          <w:spacing w:val="53"/>
        </w:rPr>
        <w:t xml:space="preserve"> </w:t>
      </w:r>
      <w:r w:rsidRPr="00EC0CC3">
        <w:t xml:space="preserve">combined with </w:t>
      </w:r>
      <w:r w:rsidRPr="00EC0CC3">
        <w:rPr>
          <w:spacing w:val="-2"/>
        </w:rPr>
        <w:t>your</w:t>
      </w:r>
      <w:r w:rsidRPr="00EC0CC3">
        <w:t xml:space="preserve"> existing</w:t>
      </w:r>
      <w:r w:rsidRPr="00EC0CC3">
        <w:rPr>
          <w:spacing w:val="-3"/>
        </w:rPr>
        <w:t xml:space="preserve"> </w:t>
      </w:r>
      <w:r w:rsidRPr="00EC0CC3">
        <w:t>records, even where</w:t>
      </w:r>
      <w:r w:rsidRPr="00EC0CC3">
        <w:rPr>
          <w:spacing w:val="-2"/>
        </w:rPr>
        <w:t xml:space="preserve"> </w:t>
      </w:r>
      <w:r w:rsidRPr="00EC0CC3">
        <w:t>the</w:t>
      </w:r>
      <w:r w:rsidRPr="00EC0CC3">
        <w:rPr>
          <w:spacing w:val="1"/>
        </w:rPr>
        <w:t xml:space="preserve"> </w:t>
      </w:r>
      <w:r w:rsidRPr="00EC0CC3">
        <w:t>formats for the records</w:t>
      </w:r>
      <w:r w:rsidRPr="00EC0CC3">
        <w:rPr>
          <w:spacing w:val="-3"/>
        </w:rPr>
        <w:t xml:space="preserve"> </w:t>
      </w:r>
      <w:r w:rsidRPr="00EC0CC3">
        <w:t>may</w:t>
      </w:r>
      <w:r w:rsidRPr="00EC0CC3">
        <w:rPr>
          <w:spacing w:val="-5"/>
        </w:rPr>
        <w:t xml:space="preserve"> </w:t>
      </w:r>
      <w:r w:rsidRPr="00EC0CC3">
        <w:t>not be</w:t>
      </w:r>
      <w:r w:rsidRPr="00EC0CC3">
        <w:rPr>
          <w:spacing w:val="1"/>
        </w:rPr>
        <w:t xml:space="preserve"> </w:t>
      </w:r>
      <w:r w:rsidRPr="00EC0CC3">
        <w:t>the</w:t>
      </w:r>
      <w:r w:rsidRPr="00EC0CC3">
        <w:rPr>
          <w:spacing w:val="1"/>
        </w:rPr>
        <w:t xml:space="preserve"> </w:t>
      </w:r>
      <w:r w:rsidRPr="00EC0CC3">
        <w:t>same. For example, if you already receive an annual report of your municipal water quality from your county/city, this record may meet the requirement at §</w:t>
      </w:r>
      <w:r w:rsidRPr="00EC0CC3">
        <w:rPr>
          <w:spacing w:val="-3"/>
        </w:rPr>
        <w:t xml:space="preserve"> </w:t>
      </w:r>
      <w:r w:rsidRPr="00EC0CC3">
        <w:t xml:space="preserve">112.46(a)(2) for such public water system results, and you would not need obtain further certification.  </w:t>
      </w:r>
    </w:p>
    <w:p w:rsidR="00191DF8" w:rsidRPr="00EC0CC3" w:rsidP="006B398F" w14:paraId="7BC102EC" w14:textId="4C95BDDC">
      <w:pPr>
        <w:pStyle w:val="HHS508GuidanceOutline30"/>
      </w:pPr>
      <w:bookmarkStart w:id="200" w:name="3._Record_retention_and_availability"/>
      <w:bookmarkStart w:id="201" w:name="_bookmark104"/>
      <w:bookmarkStart w:id="202" w:name="_Toc44439385"/>
      <w:bookmarkStart w:id="203" w:name="_Toc106094977"/>
      <w:bookmarkEnd w:id="200"/>
      <w:bookmarkEnd w:id="201"/>
      <w:r w:rsidRPr="00EC0CC3">
        <w:t>Record retention and availability</w:t>
      </w:r>
      <w:bookmarkEnd w:id="202"/>
      <w:bookmarkEnd w:id="203"/>
    </w:p>
    <w:p w:rsidR="00191DF8" w:rsidRPr="00EC0CC3" w:rsidP="00E47C04" w14:paraId="4E4ABE51" w14:textId="77777777">
      <w:pPr>
        <w:pStyle w:val="GuidanceParagraph"/>
      </w:pPr>
      <w:r w:rsidRPr="00EC0CC3">
        <w:t>You must keep required records for at</w:t>
      </w:r>
      <w:r w:rsidRPr="00EC0CC3">
        <w:rPr>
          <w:spacing w:val="-2"/>
        </w:rPr>
        <w:t xml:space="preserve"> </w:t>
      </w:r>
      <w:r w:rsidRPr="00EC0CC3">
        <w:t>least 2 years past the</w:t>
      </w:r>
      <w:r w:rsidRPr="00EC0CC3">
        <w:rPr>
          <w:spacing w:val="1"/>
        </w:rPr>
        <w:t xml:space="preserve"> </w:t>
      </w:r>
      <w:r w:rsidRPr="00EC0CC3">
        <w:t>date</w:t>
      </w:r>
      <w:r w:rsidRPr="00EC0CC3">
        <w:rPr>
          <w:spacing w:val="-2"/>
        </w:rPr>
        <w:t xml:space="preserve"> </w:t>
      </w:r>
      <w:r w:rsidRPr="00EC0CC3">
        <w:t>the</w:t>
      </w:r>
      <w:r w:rsidRPr="00EC0CC3">
        <w:rPr>
          <w:spacing w:val="-2"/>
        </w:rPr>
        <w:t xml:space="preserve"> </w:t>
      </w:r>
      <w:r w:rsidRPr="00EC0CC3">
        <w:t>record was</w:t>
      </w:r>
      <w:r w:rsidRPr="00EC0CC3">
        <w:rPr>
          <w:spacing w:val="-4"/>
        </w:rPr>
        <w:t xml:space="preserve"> </w:t>
      </w:r>
      <w:r w:rsidRPr="00EC0CC3">
        <w:t>created</w:t>
      </w:r>
      <w:r w:rsidRPr="00EC0CC3">
        <w:rPr>
          <w:spacing w:val="-3"/>
        </w:rPr>
        <w:t xml:space="preserve"> </w:t>
      </w:r>
      <w:r w:rsidRPr="00EC0CC3">
        <w:t>(§</w:t>
      </w:r>
      <w:r w:rsidRPr="00EC0CC3">
        <w:rPr>
          <w:spacing w:val="61"/>
        </w:rPr>
        <w:t xml:space="preserve"> </w:t>
      </w:r>
      <w:r w:rsidRPr="00EC0CC3">
        <w:t>112.164(a)(1)).</w:t>
      </w:r>
    </w:p>
    <w:p w:rsidR="00191DF8" w:rsidRPr="00EC0CC3" w:rsidP="00E47C04" w14:paraId="1229B3D1" w14:textId="1B9A75B5">
      <w:pPr>
        <w:pStyle w:val="GuidanceParagraph"/>
      </w:pPr>
      <w:bookmarkStart w:id="204" w:name="_Hlk33448636"/>
      <w:r w:rsidRPr="00EC0CC3">
        <w:t xml:space="preserve">You must keep records that </w:t>
      </w:r>
      <w:r w:rsidRPr="00EC0CC3">
        <w:rPr>
          <w:spacing w:val="-2"/>
        </w:rPr>
        <w:t>relate</w:t>
      </w:r>
      <w:r w:rsidRPr="00EC0CC3">
        <w:rPr>
          <w:spacing w:val="1"/>
        </w:rPr>
        <w:t xml:space="preserve"> </w:t>
      </w:r>
      <w:r w:rsidRPr="00EC0CC3">
        <w:t>to the</w:t>
      </w:r>
      <w:r w:rsidRPr="00EC0CC3">
        <w:rPr>
          <w:spacing w:val="-2"/>
        </w:rPr>
        <w:t xml:space="preserve"> </w:t>
      </w:r>
      <w:r w:rsidRPr="00EC0CC3">
        <w:t>general</w:t>
      </w:r>
      <w:r w:rsidRPr="00EC0CC3">
        <w:rPr>
          <w:spacing w:val="-2"/>
        </w:rPr>
        <w:t xml:space="preserve"> </w:t>
      </w:r>
      <w:r w:rsidRPr="00EC0CC3">
        <w:t>adequacy</w:t>
      </w:r>
      <w:r w:rsidRPr="00EC0CC3">
        <w:rPr>
          <w:spacing w:val="-5"/>
        </w:rPr>
        <w:t xml:space="preserve"> </w:t>
      </w:r>
      <w:r w:rsidRPr="00EC0CC3">
        <w:rPr>
          <w:spacing w:val="1"/>
        </w:rPr>
        <w:t>of</w:t>
      </w:r>
      <w:r w:rsidRPr="00EC0CC3">
        <w:rPr>
          <w:spacing w:val="-3"/>
        </w:rPr>
        <w:t xml:space="preserve"> </w:t>
      </w:r>
      <w:r w:rsidRPr="00EC0CC3">
        <w:t xml:space="preserve">equipment </w:t>
      </w:r>
      <w:r w:rsidRPr="00EC0CC3">
        <w:rPr>
          <w:spacing w:val="-2"/>
        </w:rPr>
        <w:t>or</w:t>
      </w:r>
      <w:r w:rsidRPr="00EC0CC3">
        <w:t xml:space="preserve"> processes or records that relate</w:t>
      </w:r>
      <w:r w:rsidRPr="00EC0CC3">
        <w:rPr>
          <w:spacing w:val="-2"/>
        </w:rPr>
        <w:t xml:space="preserve"> </w:t>
      </w:r>
      <w:r w:rsidRPr="00EC0CC3">
        <w:t>to</w:t>
      </w:r>
      <w:r w:rsidR="00364E19">
        <w:t xml:space="preserve"> </w:t>
      </w:r>
      <w:r w:rsidRPr="00EC0CC3">
        <w:t xml:space="preserve">analyses, </w:t>
      </w:r>
      <w:r w:rsidRPr="00EC0CC3">
        <w:t>sampling</w:t>
      </w:r>
      <w:r w:rsidRPr="00EC0CC3">
        <w:rPr>
          <w:spacing w:val="-3"/>
        </w:rPr>
        <w:t xml:space="preserve"> </w:t>
      </w:r>
      <w:r w:rsidRPr="00EC0CC3">
        <w:t>or action plans that you use, including</w:t>
      </w:r>
      <w:r w:rsidRPr="00EC0CC3">
        <w:rPr>
          <w:spacing w:val="-3"/>
        </w:rPr>
        <w:t xml:space="preserve"> </w:t>
      </w:r>
      <w:r w:rsidRPr="00EC0CC3">
        <w:t>the</w:t>
      </w:r>
      <w:r w:rsidRPr="00EC0CC3">
        <w:rPr>
          <w:spacing w:val="1"/>
        </w:rPr>
        <w:t xml:space="preserve"> </w:t>
      </w:r>
      <w:r w:rsidRPr="00EC0CC3">
        <w:t>results</w:t>
      </w:r>
      <w:r w:rsidRPr="00EC0CC3">
        <w:rPr>
          <w:spacing w:val="-4"/>
        </w:rPr>
        <w:t xml:space="preserve"> </w:t>
      </w:r>
      <w:r w:rsidRPr="00EC0CC3">
        <w:t>of</w:t>
      </w:r>
      <w:r w:rsidRPr="00EC0CC3">
        <w:rPr>
          <w:spacing w:val="-3"/>
        </w:rPr>
        <w:t xml:space="preserve"> </w:t>
      </w:r>
      <w:r w:rsidRPr="00EC0CC3">
        <w:t>scientific</w:t>
      </w:r>
      <w:r w:rsidRPr="00EC0CC3">
        <w:rPr>
          <w:spacing w:val="1"/>
        </w:rPr>
        <w:t xml:space="preserve"> </w:t>
      </w:r>
      <w:r w:rsidRPr="00EC0CC3">
        <w:t>studies,</w:t>
      </w:r>
      <w:r w:rsidR="00364E19">
        <w:t xml:space="preserve"> </w:t>
      </w:r>
      <w:r w:rsidRPr="00EC0CC3">
        <w:t>tests, and</w:t>
      </w:r>
      <w:r w:rsidRPr="00EC0CC3">
        <w:rPr>
          <w:spacing w:val="-3"/>
        </w:rPr>
        <w:t xml:space="preserve"> </w:t>
      </w:r>
      <w:r w:rsidRPr="00EC0CC3">
        <w:t>evaluations, for at</w:t>
      </w:r>
      <w:r w:rsidRPr="00EC0CC3">
        <w:rPr>
          <w:spacing w:val="-2"/>
        </w:rPr>
        <w:t xml:space="preserve"> </w:t>
      </w:r>
      <w:r w:rsidRPr="00EC0CC3">
        <w:t>least 2 years after you discontinue</w:t>
      </w:r>
      <w:r w:rsidRPr="00EC0CC3">
        <w:rPr>
          <w:spacing w:val="1"/>
        </w:rPr>
        <w:t xml:space="preserve"> </w:t>
      </w:r>
      <w:r w:rsidRPr="00EC0CC3">
        <w:t>use</w:t>
      </w:r>
      <w:r w:rsidRPr="00EC0CC3">
        <w:rPr>
          <w:spacing w:val="1"/>
        </w:rPr>
        <w:t xml:space="preserve"> </w:t>
      </w:r>
      <w:r w:rsidRPr="00EC0CC3">
        <w:t>of</w:t>
      </w:r>
      <w:r w:rsidRPr="00EC0CC3">
        <w:rPr>
          <w:spacing w:val="71"/>
        </w:rPr>
        <w:t xml:space="preserve"> </w:t>
      </w:r>
      <w:r w:rsidRPr="00EC0CC3">
        <w:t>such equipment or processes, or records related to</w:t>
      </w:r>
      <w:r w:rsidRPr="00EC0CC3">
        <w:rPr>
          <w:spacing w:val="-3"/>
        </w:rPr>
        <w:t xml:space="preserve"> </w:t>
      </w:r>
      <w:r w:rsidRPr="00EC0CC3">
        <w:rPr>
          <w:spacing w:val="-2"/>
        </w:rPr>
        <w:t>analyses,</w:t>
      </w:r>
      <w:r w:rsidRPr="00EC0CC3">
        <w:t xml:space="preserve"> sampling, or action</w:t>
      </w:r>
      <w:r w:rsidRPr="00EC0CC3">
        <w:rPr>
          <w:spacing w:val="-3"/>
        </w:rPr>
        <w:t xml:space="preserve"> </w:t>
      </w:r>
      <w:r w:rsidRPr="00EC0CC3">
        <w:t xml:space="preserve">plans </w:t>
      </w:r>
      <w:bookmarkStart w:id="205" w:name="_Hlk37326237"/>
      <w:r w:rsidRPr="00EC0CC3">
        <w:t>(§</w:t>
      </w:r>
      <w:r w:rsidRPr="00EC0CC3">
        <w:rPr>
          <w:spacing w:val="-3"/>
        </w:rPr>
        <w:t xml:space="preserve"> </w:t>
      </w:r>
      <w:r w:rsidRPr="00EC0CC3">
        <w:t>112.164</w:t>
      </w:r>
      <w:bookmarkEnd w:id="205"/>
      <w:r w:rsidRPr="00EC0CC3">
        <w:t>(b)).</w:t>
      </w:r>
      <w:r w:rsidR="0050107D">
        <w:t xml:space="preserve"> </w:t>
      </w:r>
      <w:r w:rsidRPr="00EC0CC3">
        <w:t>Examples of</w:t>
      </w:r>
      <w:r w:rsidRPr="00EC0CC3">
        <w:rPr>
          <w:spacing w:val="-3"/>
        </w:rPr>
        <w:t xml:space="preserve"> </w:t>
      </w:r>
      <w:r w:rsidRPr="00EC0CC3">
        <w:t>such records for a</w:t>
      </w:r>
      <w:r w:rsidRPr="00EC0CC3">
        <w:rPr>
          <w:spacing w:val="1"/>
        </w:rPr>
        <w:t xml:space="preserve"> </w:t>
      </w:r>
      <w:r w:rsidRPr="00EC0CC3">
        <w:t>sprout operation</w:t>
      </w:r>
      <w:r w:rsidRPr="00EC0CC3">
        <w:rPr>
          <w:spacing w:val="-3"/>
        </w:rPr>
        <w:t xml:space="preserve"> </w:t>
      </w:r>
      <w:r w:rsidRPr="00EC0CC3">
        <w:t>include: the</w:t>
      </w:r>
      <w:r w:rsidRPr="00EC0CC3">
        <w:rPr>
          <w:spacing w:val="1"/>
        </w:rPr>
        <w:t xml:space="preserve"> </w:t>
      </w:r>
      <w:r w:rsidRPr="00EC0CC3">
        <w:t>written sampling</w:t>
      </w:r>
      <w:r w:rsidRPr="00EC0CC3">
        <w:rPr>
          <w:spacing w:val="-3"/>
        </w:rPr>
        <w:t xml:space="preserve"> </w:t>
      </w:r>
      <w:r w:rsidRPr="00EC0CC3">
        <w:t>plan for spent sprout irrigation water or sprouts, including</w:t>
      </w:r>
      <w:r w:rsidRPr="00EC0CC3">
        <w:rPr>
          <w:spacing w:val="-3"/>
        </w:rPr>
        <w:t xml:space="preserve"> </w:t>
      </w:r>
      <w:r w:rsidRPr="00EC0CC3">
        <w:t>the</w:t>
      </w:r>
      <w:r w:rsidRPr="00EC0CC3">
        <w:rPr>
          <w:spacing w:val="-2"/>
        </w:rPr>
        <w:t xml:space="preserve"> </w:t>
      </w:r>
      <w:r w:rsidRPr="00EC0CC3">
        <w:t>corrective</w:t>
      </w:r>
      <w:r w:rsidRPr="00EC0CC3">
        <w:rPr>
          <w:spacing w:val="1"/>
        </w:rPr>
        <w:t xml:space="preserve"> </w:t>
      </w:r>
      <w:r w:rsidRPr="00EC0CC3">
        <w:t>action</w:t>
      </w:r>
      <w:r w:rsidRPr="00EC0CC3">
        <w:rPr>
          <w:spacing w:val="-3"/>
        </w:rPr>
        <w:t xml:space="preserve"> </w:t>
      </w:r>
      <w:r w:rsidRPr="00EC0CC3">
        <w:t>plan</w:t>
      </w:r>
      <w:r w:rsidRPr="00EC0CC3">
        <w:rPr>
          <w:spacing w:val="-3"/>
        </w:rPr>
        <w:t xml:space="preserve"> </w:t>
      </w:r>
      <w:r w:rsidRPr="00EC0CC3">
        <w:t>(§§ 112.147(a)</w:t>
      </w:r>
      <w:r w:rsidRPr="00EC0CC3">
        <w:rPr>
          <w:spacing w:val="-3"/>
        </w:rPr>
        <w:t xml:space="preserve"> </w:t>
      </w:r>
      <w:r w:rsidRPr="00EC0CC3">
        <w:t>and (c) and 112.150(b)(3)); the</w:t>
      </w:r>
      <w:r w:rsidRPr="00EC0CC3">
        <w:rPr>
          <w:spacing w:val="1"/>
        </w:rPr>
        <w:t xml:space="preserve"> </w:t>
      </w:r>
      <w:r w:rsidRPr="00EC0CC3">
        <w:t>written</w:t>
      </w:r>
      <w:r w:rsidRPr="00EC0CC3">
        <w:rPr>
          <w:spacing w:val="-2"/>
        </w:rPr>
        <w:t xml:space="preserve"> </w:t>
      </w:r>
      <w:r w:rsidRPr="00EC0CC3">
        <w:t>environmental</w:t>
      </w:r>
      <w:r w:rsidRPr="00EC0CC3">
        <w:rPr>
          <w:spacing w:val="-2"/>
        </w:rPr>
        <w:t xml:space="preserve"> </w:t>
      </w:r>
      <w:r w:rsidRPr="00EC0CC3">
        <w:t>monitoring</w:t>
      </w:r>
      <w:r w:rsidRPr="00EC0CC3">
        <w:rPr>
          <w:spacing w:val="-5"/>
        </w:rPr>
        <w:t xml:space="preserve"> </w:t>
      </w:r>
      <w:r w:rsidRPr="00EC0CC3">
        <w:t>plan including</w:t>
      </w:r>
      <w:r w:rsidRPr="00EC0CC3">
        <w:rPr>
          <w:spacing w:val="-3"/>
        </w:rPr>
        <w:t xml:space="preserve"> </w:t>
      </w:r>
      <w:r w:rsidRPr="00EC0CC3">
        <w:t>the corrective action plan (§§</w:t>
      </w:r>
      <w:r w:rsidRPr="00EC0CC3">
        <w:rPr>
          <w:spacing w:val="-3"/>
        </w:rPr>
        <w:t xml:space="preserve"> </w:t>
      </w:r>
      <w:r w:rsidRPr="00EC0CC3">
        <w:t>112.145(a)</w:t>
      </w:r>
      <w:r w:rsidRPr="00EC0CC3">
        <w:rPr>
          <w:spacing w:val="-3"/>
        </w:rPr>
        <w:t xml:space="preserve"> </w:t>
      </w:r>
      <w:r w:rsidRPr="00EC0CC3">
        <w:t>and (e) and</w:t>
      </w:r>
      <w:r w:rsidR="00364E19">
        <w:t xml:space="preserve"> </w:t>
      </w:r>
      <w:r w:rsidRPr="00EC0CC3">
        <w:t>112.150(b)(2));</w:t>
      </w:r>
      <w:r w:rsidRPr="00EC0CC3">
        <w:rPr>
          <w:spacing w:val="-1"/>
        </w:rPr>
        <w:t xml:space="preserve"> and documentation</w:t>
      </w:r>
      <w:r w:rsidRPr="00EC0CC3">
        <w:t xml:space="preserve"> of</w:t>
      </w:r>
      <w:r w:rsidRPr="00EC0CC3">
        <w:rPr>
          <w:spacing w:val="-3"/>
        </w:rPr>
        <w:t xml:space="preserve"> </w:t>
      </w:r>
      <w:r w:rsidRPr="00EC0CC3">
        <w:rPr>
          <w:spacing w:val="-1"/>
        </w:rPr>
        <w:t>scientific</w:t>
      </w:r>
      <w:r w:rsidRPr="00EC0CC3">
        <w:rPr>
          <w:spacing w:val="1"/>
        </w:rPr>
        <w:t xml:space="preserve"> </w:t>
      </w:r>
      <w:r w:rsidRPr="00EC0CC3">
        <w:rPr>
          <w:spacing w:val="-1"/>
        </w:rPr>
        <w:t>data</w:t>
      </w:r>
      <w:r w:rsidRPr="00EC0CC3">
        <w:rPr>
          <w:spacing w:val="1"/>
        </w:rPr>
        <w:t xml:space="preserve"> </w:t>
      </w:r>
      <w:r w:rsidRPr="00EC0CC3">
        <w:t>or</w:t>
      </w:r>
      <w:r w:rsidRPr="00EC0CC3">
        <w:rPr>
          <w:spacing w:val="-3"/>
        </w:rPr>
        <w:t xml:space="preserve"> </w:t>
      </w:r>
      <w:r w:rsidRPr="00EC0CC3">
        <w:rPr>
          <w:spacing w:val="-1"/>
        </w:rPr>
        <w:t>information</w:t>
      </w:r>
      <w:r w:rsidRPr="00EC0CC3">
        <w:t xml:space="preserve"> </w:t>
      </w:r>
      <w:r w:rsidRPr="00EC0CC3">
        <w:rPr>
          <w:spacing w:val="-1"/>
        </w:rPr>
        <w:t>relied</w:t>
      </w:r>
      <w:r>
        <w:rPr>
          <w:spacing w:val="-1"/>
        </w:rPr>
        <w:t xml:space="preserve"> </w:t>
      </w:r>
      <w:r w:rsidRPr="00EC0CC3">
        <w:t xml:space="preserve">on to </w:t>
      </w:r>
      <w:r w:rsidRPr="00EC0CC3">
        <w:rPr>
          <w:spacing w:val="-1"/>
        </w:rPr>
        <w:t>support</w:t>
      </w:r>
      <w:r w:rsidRPr="00EC0CC3">
        <w:rPr>
          <w:spacing w:val="-2"/>
        </w:rPr>
        <w:t xml:space="preserve"> </w:t>
      </w:r>
      <w:r w:rsidRPr="00EC0CC3">
        <w:t>the</w:t>
      </w:r>
      <w:r w:rsidRPr="00EC0CC3">
        <w:rPr>
          <w:spacing w:val="-2"/>
        </w:rPr>
        <w:t xml:space="preserve"> </w:t>
      </w:r>
      <w:r w:rsidRPr="00EC0CC3">
        <w:rPr>
          <w:spacing w:val="-1"/>
        </w:rPr>
        <w:t>adequacy</w:t>
      </w:r>
      <w:r w:rsidRPr="00EC0CC3">
        <w:rPr>
          <w:spacing w:val="-3"/>
        </w:rPr>
        <w:t xml:space="preserve"> </w:t>
      </w:r>
      <w:r w:rsidRPr="00EC0CC3">
        <w:rPr>
          <w:spacing w:val="1"/>
        </w:rPr>
        <w:t>of</w:t>
      </w:r>
      <w:r w:rsidRPr="00EC0CC3">
        <w:rPr>
          <w:spacing w:val="-3"/>
        </w:rPr>
        <w:t xml:space="preserve"> </w:t>
      </w:r>
      <w:r w:rsidRPr="00EC0CC3">
        <w:t>a</w:t>
      </w:r>
      <w:r w:rsidRPr="00EC0CC3">
        <w:rPr>
          <w:spacing w:val="1"/>
        </w:rPr>
        <w:t xml:space="preserve"> </w:t>
      </w:r>
      <w:r w:rsidRPr="00EC0CC3">
        <w:t xml:space="preserve">method </w:t>
      </w:r>
      <w:r w:rsidRPr="00EC0CC3">
        <w:rPr>
          <w:spacing w:val="-1"/>
        </w:rPr>
        <w:t>used</w:t>
      </w:r>
      <w:r w:rsidRPr="00EC0CC3">
        <w:t xml:space="preserve"> to </w:t>
      </w:r>
      <w:r w:rsidRPr="00EC0CC3">
        <w:rPr>
          <w:spacing w:val="-1"/>
        </w:rPr>
        <w:t>satisfy</w:t>
      </w:r>
      <w:r w:rsidRPr="00EC0CC3">
        <w:rPr>
          <w:spacing w:val="-3"/>
        </w:rPr>
        <w:t xml:space="preserve"> </w:t>
      </w:r>
      <w:r w:rsidRPr="00EC0CC3">
        <w:t>the</w:t>
      </w:r>
      <w:r w:rsidRPr="00EC0CC3">
        <w:rPr>
          <w:spacing w:val="1"/>
        </w:rPr>
        <w:t xml:space="preserve"> </w:t>
      </w:r>
      <w:r w:rsidRPr="00EC0CC3">
        <w:rPr>
          <w:spacing w:val="-1"/>
        </w:rPr>
        <w:t xml:space="preserve">requirements </w:t>
      </w:r>
      <w:r w:rsidRPr="00EC0CC3">
        <w:t>of</w:t>
      </w:r>
      <w:r w:rsidRPr="00EC0CC3">
        <w:rPr>
          <w:spacing w:val="-3"/>
        </w:rPr>
        <w:t xml:space="preserve"> </w:t>
      </w:r>
      <w:r w:rsidRPr="00EC0CC3">
        <w:t>§§</w:t>
      </w:r>
      <w:r w:rsidR="00364E19">
        <w:t xml:space="preserve"> </w:t>
      </w:r>
      <w:r w:rsidRPr="00EC0CC3">
        <w:t>112.43(a)(1)</w:t>
      </w:r>
      <w:r w:rsidRPr="00EC0CC3">
        <w:rPr>
          <w:spacing w:val="-3"/>
        </w:rPr>
        <w:t xml:space="preserve"> </w:t>
      </w:r>
      <w:r w:rsidRPr="00EC0CC3">
        <w:t xml:space="preserve">and </w:t>
      </w:r>
      <w:r w:rsidRPr="00EC0CC3">
        <w:rPr>
          <w:spacing w:val="-1"/>
        </w:rPr>
        <w:t>(a)(2)</w:t>
      </w:r>
      <w:r w:rsidRPr="00EC0CC3">
        <w:t xml:space="preserve"> </w:t>
      </w:r>
      <w:r w:rsidRPr="00EC0CC3">
        <w:rPr>
          <w:spacing w:val="-1"/>
        </w:rPr>
        <w:t>for</w:t>
      </w:r>
      <w:r w:rsidRPr="00EC0CC3">
        <w:t xml:space="preserve"> </w:t>
      </w:r>
      <w:r w:rsidRPr="00EC0CC3">
        <w:rPr>
          <w:spacing w:val="-1"/>
        </w:rPr>
        <w:t>treating</w:t>
      </w:r>
      <w:r w:rsidRPr="00EC0CC3">
        <w:rPr>
          <w:spacing w:val="-3"/>
        </w:rPr>
        <w:t xml:space="preserve"> </w:t>
      </w:r>
      <w:r w:rsidRPr="00EC0CC3">
        <w:rPr>
          <w:spacing w:val="-1"/>
        </w:rPr>
        <w:t>agricultural</w:t>
      </w:r>
      <w:r w:rsidRPr="00EC0CC3">
        <w:t xml:space="preserve"> </w:t>
      </w:r>
      <w:r w:rsidRPr="00EC0CC3">
        <w:rPr>
          <w:spacing w:val="-1"/>
        </w:rPr>
        <w:t>water (</w:t>
      </w:r>
      <w:r w:rsidRPr="00EC0CC3">
        <w:t>§ 112.50(b)(3)</w:t>
      </w:r>
      <w:r w:rsidRPr="00EC0CC3">
        <w:rPr>
          <w:spacing w:val="-3"/>
        </w:rPr>
        <w:t>)</w:t>
      </w:r>
      <w:r w:rsidRPr="00EC0CC3">
        <w:t xml:space="preserve">. </w:t>
      </w:r>
    </w:p>
    <w:bookmarkEnd w:id="204"/>
    <w:p w:rsidR="00191DF8" w:rsidRPr="00EC0CC3" w:rsidP="00E47C04" w14:paraId="1DDBE4A6" w14:textId="7A747FA6">
      <w:pPr>
        <w:pStyle w:val="GuidanceParagraph"/>
      </w:pPr>
      <w:r w:rsidRPr="00EC0CC3">
        <w:rPr>
          <w:spacing w:val="-2"/>
        </w:rPr>
        <w:t xml:space="preserve">If you </w:t>
      </w:r>
      <w:r w:rsidRPr="00EC0CC3">
        <w:t>are</w:t>
      </w:r>
      <w:r w:rsidRPr="00EC0CC3">
        <w:rPr>
          <w:spacing w:val="-2"/>
        </w:rPr>
        <w:t xml:space="preserve"> </w:t>
      </w:r>
      <w:r w:rsidRPr="00EC0CC3">
        <w:t>eligible</w:t>
      </w:r>
      <w:r w:rsidRPr="00EC0CC3">
        <w:rPr>
          <w:spacing w:val="1"/>
        </w:rPr>
        <w:t xml:space="preserve"> </w:t>
      </w:r>
      <w:r w:rsidRPr="00EC0CC3">
        <w:t>for the</w:t>
      </w:r>
      <w:r w:rsidRPr="00EC0CC3">
        <w:rPr>
          <w:spacing w:val="1"/>
        </w:rPr>
        <w:t xml:space="preserve"> </w:t>
      </w:r>
      <w:r w:rsidRPr="00EC0CC3">
        <w:t>qualified exemption in</w:t>
      </w:r>
      <w:r w:rsidRPr="00EC0CC3">
        <w:rPr>
          <w:spacing w:val="-3"/>
        </w:rPr>
        <w:t xml:space="preserve"> </w:t>
      </w:r>
      <w:r w:rsidRPr="00EC0CC3">
        <w:t>accordance</w:t>
      </w:r>
      <w:r w:rsidRPr="00EC0CC3">
        <w:rPr>
          <w:spacing w:val="1"/>
        </w:rPr>
        <w:t xml:space="preserve"> </w:t>
      </w:r>
      <w:r w:rsidRPr="00EC0CC3">
        <w:t>with § 112.5, you must retain records</w:t>
      </w:r>
      <w:r w:rsidR="00364E19">
        <w:t xml:space="preserve"> </w:t>
      </w:r>
      <w:r w:rsidRPr="00EC0CC3">
        <w:t xml:space="preserve">that </w:t>
      </w:r>
      <w:r w:rsidRPr="00EC0CC3">
        <w:rPr>
          <w:spacing w:val="-2"/>
        </w:rPr>
        <w:t>you</w:t>
      </w:r>
      <w:r w:rsidRPr="00EC0CC3">
        <w:t xml:space="preserve"> rely</w:t>
      </w:r>
      <w:r w:rsidRPr="00EC0CC3">
        <w:rPr>
          <w:spacing w:val="-5"/>
        </w:rPr>
        <w:t xml:space="preserve"> </w:t>
      </w:r>
      <w:r w:rsidRPr="00EC0CC3">
        <w:t>on during</w:t>
      </w:r>
      <w:r w:rsidRPr="00EC0CC3">
        <w:rPr>
          <w:spacing w:val="-3"/>
        </w:rPr>
        <w:t xml:space="preserve"> </w:t>
      </w:r>
      <w:r w:rsidRPr="00EC0CC3">
        <w:t>the</w:t>
      </w:r>
      <w:r w:rsidRPr="00EC0CC3">
        <w:rPr>
          <w:spacing w:val="1"/>
        </w:rPr>
        <w:t xml:space="preserve"> </w:t>
      </w:r>
      <w:r w:rsidRPr="00EC0CC3">
        <w:t>3-year period preceding</w:t>
      </w:r>
      <w:r w:rsidRPr="00EC0CC3">
        <w:rPr>
          <w:spacing w:val="-3"/>
        </w:rPr>
        <w:t xml:space="preserve"> </w:t>
      </w:r>
      <w:r w:rsidRPr="00EC0CC3">
        <w:t>the</w:t>
      </w:r>
      <w:r w:rsidRPr="00EC0CC3">
        <w:rPr>
          <w:spacing w:val="1"/>
        </w:rPr>
        <w:t xml:space="preserve"> </w:t>
      </w:r>
      <w:r w:rsidRPr="00EC0CC3">
        <w:t>applicable</w:t>
      </w:r>
      <w:r w:rsidRPr="00EC0CC3">
        <w:rPr>
          <w:spacing w:val="-2"/>
        </w:rPr>
        <w:t xml:space="preserve"> </w:t>
      </w:r>
      <w:r w:rsidRPr="00EC0CC3">
        <w:t xml:space="preserve">calendar </w:t>
      </w:r>
      <w:r w:rsidRPr="00EC0CC3">
        <w:rPr>
          <w:spacing w:val="-2"/>
        </w:rPr>
        <w:t>year</w:t>
      </w:r>
      <w:r w:rsidRPr="00EC0CC3">
        <w:t xml:space="preserve"> to satisfy</w:t>
      </w:r>
      <w:r w:rsidRPr="00EC0CC3">
        <w:rPr>
          <w:spacing w:val="-5"/>
        </w:rPr>
        <w:t xml:space="preserve"> </w:t>
      </w:r>
      <w:r w:rsidRPr="00EC0CC3">
        <w:t>the criteria for a</w:t>
      </w:r>
      <w:r w:rsidRPr="00EC0CC3">
        <w:rPr>
          <w:spacing w:val="1"/>
        </w:rPr>
        <w:t xml:space="preserve"> </w:t>
      </w:r>
      <w:r w:rsidRPr="00EC0CC3">
        <w:t>qualified exemption,</w:t>
      </w:r>
      <w:r w:rsidRPr="00EC0CC3">
        <w:rPr>
          <w:spacing w:val="-3"/>
        </w:rPr>
        <w:t xml:space="preserve"> </w:t>
      </w:r>
      <w:r w:rsidRPr="00EC0CC3">
        <w:t>in accordance</w:t>
      </w:r>
      <w:r w:rsidRPr="00EC0CC3">
        <w:rPr>
          <w:spacing w:val="1"/>
        </w:rPr>
        <w:t xml:space="preserve"> </w:t>
      </w:r>
      <w:r w:rsidRPr="00EC0CC3">
        <w:rPr>
          <w:spacing w:val="-2"/>
        </w:rPr>
        <w:t>with</w:t>
      </w:r>
      <w:r w:rsidRPr="00EC0CC3">
        <w:t xml:space="preserve"> §§ 112.5 and 112.7, as long</w:t>
      </w:r>
      <w:r w:rsidRPr="00EC0CC3">
        <w:rPr>
          <w:spacing w:val="-3"/>
        </w:rPr>
        <w:t xml:space="preserve"> </w:t>
      </w:r>
      <w:r w:rsidRPr="00EC0CC3">
        <w:t>as</w:t>
      </w:r>
      <w:r w:rsidRPr="00EC0CC3">
        <w:rPr>
          <w:spacing w:val="41"/>
        </w:rPr>
        <w:t xml:space="preserve"> </w:t>
      </w:r>
      <w:r w:rsidRPr="00EC0CC3">
        <w:t>necessary</w:t>
      </w:r>
      <w:r w:rsidRPr="00EC0CC3">
        <w:rPr>
          <w:spacing w:val="-5"/>
        </w:rPr>
        <w:t xml:space="preserve"> </w:t>
      </w:r>
      <w:r w:rsidRPr="00EC0CC3">
        <w:t xml:space="preserve">to support </w:t>
      </w:r>
      <w:r w:rsidRPr="00EC0CC3">
        <w:rPr>
          <w:spacing w:val="-2"/>
        </w:rPr>
        <w:t>your</w:t>
      </w:r>
      <w:r w:rsidRPr="00EC0CC3">
        <w:rPr>
          <w:spacing w:val="2"/>
        </w:rPr>
        <w:t xml:space="preserve"> </w:t>
      </w:r>
      <w:r w:rsidRPr="00EC0CC3">
        <w:t>exemption status during</w:t>
      </w:r>
      <w:r w:rsidRPr="00EC0CC3">
        <w:rPr>
          <w:spacing w:val="-3"/>
        </w:rPr>
        <w:t xml:space="preserve"> </w:t>
      </w:r>
      <w:r w:rsidRPr="00EC0CC3">
        <w:t>the</w:t>
      </w:r>
      <w:r w:rsidRPr="00EC0CC3">
        <w:rPr>
          <w:spacing w:val="1"/>
        </w:rPr>
        <w:t xml:space="preserve"> </w:t>
      </w:r>
      <w:r w:rsidRPr="00EC0CC3">
        <w:t>applicable</w:t>
      </w:r>
      <w:r w:rsidRPr="00EC0CC3">
        <w:rPr>
          <w:spacing w:val="1"/>
        </w:rPr>
        <w:t xml:space="preserve"> </w:t>
      </w:r>
      <w:r w:rsidRPr="00EC0CC3">
        <w:t xml:space="preserve">calendar </w:t>
      </w:r>
      <w:r w:rsidRPr="00EC0CC3">
        <w:rPr>
          <w:spacing w:val="-2"/>
        </w:rPr>
        <w:t>year</w:t>
      </w:r>
      <w:r w:rsidRPr="00EC0CC3">
        <w:t xml:space="preserve"> (§ 112.164(a)(2)).</w:t>
      </w:r>
    </w:p>
    <w:p w:rsidR="00191DF8" w:rsidRPr="00EC0CC3" w:rsidP="00E47C04" w14:paraId="748E27EF" w14:textId="403148D3">
      <w:pPr>
        <w:pStyle w:val="GuidanceParagraph"/>
      </w:pPr>
      <w:r w:rsidRPr="00EC0CC3">
        <w:rPr>
          <w:spacing w:val="-2"/>
        </w:rPr>
        <w:t>In</w:t>
      </w:r>
      <w:r w:rsidRPr="00EC0CC3">
        <w:t xml:space="preserve"> addition, </w:t>
      </w:r>
      <w:r w:rsidRPr="00EC0CC3">
        <w:rPr>
          <w:spacing w:val="-2"/>
        </w:rPr>
        <w:t>you</w:t>
      </w:r>
      <w:r w:rsidRPr="00EC0CC3">
        <w:t xml:space="preserve"> must have</w:t>
      </w:r>
      <w:r w:rsidRPr="00EC0CC3">
        <w:rPr>
          <w:spacing w:val="1"/>
        </w:rPr>
        <w:t xml:space="preserve"> </w:t>
      </w:r>
      <w:r w:rsidRPr="00EC0CC3">
        <w:t>all required</w:t>
      </w:r>
      <w:r w:rsidRPr="00EC0CC3">
        <w:rPr>
          <w:spacing w:val="-3"/>
        </w:rPr>
        <w:t xml:space="preserve"> </w:t>
      </w:r>
      <w:r w:rsidRPr="00EC0CC3">
        <w:t>records readily</w:t>
      </w:r>
      <w:r w:rsidRPr="00EC0CC3">
        <w:rPr>
          <w:spacing w:val="-5"/>
        </w:rPr>
        <w:t xml:space="preserve"> </w:t>
      </w:r>
      <w:r w:rsidRPr="00EC0CC3">
        <w:t>available</w:t>
      </w:r>
      <w:r w:rsidRPr="00EC0CC3">
        <w:rPr>
          <w:spacing w:val="1"/>
        </w:rPr>
        <w:t xml:space="preserve"> </w:t>
      </w:r>
      <w:r w:rsidRPr="00EC0CC3">
        <w:t>and accessible</w:t>
      </w:r>
      <w:r w:rsidRPr="00EC0CC3">
        <w:rPr>
          <w:spacing w:val="1"/>
        </w:rPr>
        <w:t xml:space="preserve"> </w:t>
      </w:r>
      <w:r w:rsidRPr="00EC0CC3">
        <w:t>during</w:t>
      </w:r>
      <w:r w:rsidRPr="00EC0CC3">
        <w:rPr>
          <w:spacing w:val="-3"/>
        </w:rPr>
        <w:t xml:space="preserve"> </w:t>
      </w:r>
      <w:r w:rsidRPr="00EC0CC3">
        <w:t>the</w:t>
      </w:r>
      <w:r w:rsidRPr="00EC0CC3">
        <w:rPr>
          <w:spacing w:val="1"/>
        </w:rPr>
        <w:t xml:space="preserve"> </w:t>
      </w:r>
      <w:r w:rsidRPr="00EC0CC3">
        <w:t>retention</w:t>
      </w:r>
      <w:r>
        <w:t xml:space="preserve"> </w:t>
      </w:r>
      <w:r w:rsidRPr="00EC0CC3">
        <w:t>period for inspection and</w:t>
      </w:r>
      <w:r w:rsidRPr="00EC0CC3">
        <w:rPr>
          <w:spacing w:val="-3"/>
        </w:rPr>
        <w:t xml:space="preserve"> </w:t>
      </w:r>
      <w:r w:rsidRPr="00EC0CC3">
        <w:t>copying</w:t>
      </w:r>
      <w:r w:rsidRPr="00EC0CC3">
        <w:rPr>
          <w:spacing w:val="-3"/>
        </w:rPr>
        <w:t xml:space="preserve"> </w:t>
      </w:r>
      <w:r w:rsidRPr="00EC0CC3">
        <w:rPr>
          <w:spacing w:val="1"/>
        </w:rPr>
        <w:t>by</w:t>
      </w:r>
      <w:r w:rsidRPr="00EC0CC3">
        <w:t xml:space="preserve"> </w:t>
      </w:r>
      <w:r w:rsidRPr="00EC0CC3">
        <w:rPr>
          <w:spacing w:val="-2"/>
        </w:rPr>
        <w:t>FDA</w:t>
      </w:r>
      <w:r w:rsidRPr="00EC0CC3">
        <w:t xml:space="preserve"> upon oral or written request,</w:t>
      </w:r>
      <w:r w:rsidRPr="00EC0CC3">
        <w:rPr>
          <w:spacing w:val="-3"/>
        </w:rPr>
        <w:t xml:space="preserve"> </w:t>
      </w:r>
      <w:r w:rsidRPr="00EC0CC3">
        <w:t xml:space="preserve">except that </w:t>
      </w:r>
      <w:r w:rsidRPr="00EC0CC3">
        <w:rPr>
          <w:spacing w:val="-2"/>
        </w:rPr>
        <w:t>you</w:t>
      </w:r>
      <w:r w:rsidRPr="00EC0CC3">
        <w:t xml:space="preserve"> have</w:t>
      </w:r>
      <w:r w:rsidRPr="00EC0CC3">
        <w:rPr>
          <w:spacing w:val="1"/>
        </w:rPr>
        <w:t xml:space="preserve"> </w:t>
      </w:r>
      <w:r w:rsidRPr="00EC0CC3">
        <w:t>24</w:t>
      </w:r>
      <w:r>
        <w:t xml:space="preserve"> </w:t>
      </w:r>
      <w:r w:rsidRPr="00EC0CC3">
        <w:t>hours to obtain records you keep offsite</w:t>
      </w:r>
      <w:r w:rsidRPr="00EC0CC3">
        <w:rPr>
          <w:spacing w:val="1"/>
        </w:rPr>
        <w:t xml:space="preserve"> </w:t>
      </w:r>
      <w:r w:rsidRPr="00EC0CC3">
        <w:t>and</w:t>
      </w:r>
      <w:r w:rsidRPr="00EC0CC3">
        <w:rPr>
          <w:spacing w:val="-3"/>
        </w:rPr>
        <w:t xml:space="preserve"> </w:t>
      </w:r>
      <w:r w:rsidRPr="00EC0CC3">
        <w:t>make</w:t>
      </w:r>
      <w:r w:rsidRPr="00EC0CC3">
        <w:rPr>
          <w:spacing w:val="1"/>
        </w:rPr>
        <w:t xml:space="preserve"> </w:t>
      </w:r>
      <w:r w:rsidRPr="00EC0CC3">
        <w:t>them available</w:t>
      </w:r>
      <w:r w:rsidRPr="00EC0CC3">
        <w:rPr>
          <w:spacing w:val="-2"/>
        </w:rPr>
        <w:t xml:space="preserve"> </w:t>
      </w:r>
      <w:r w:rsidRPr="00EC0CC3">
        <w:t>and accessible</w:t>
      </w:r>
      <w:r w:rsidRPr="00EC0CC3">
        <w:rPr>
          <w:spacing w:val="1"/>
        </w:rPr>
        <w:t xml:space="preserve"> </w:t>
      </w:r>
      <w:r w:rsidRPr="00EC0CC3">
        <w:t>for inspection</w:t>
      </w:r>
      <w:r w:rsidRPr="00EC0CC3">
        <w:rPr>
          <w:spacing w:val="41"/>
        </w:rPr>
        <w:t xml:space="preserve"> </w:t>
      </w:r>
      <w:r w:rsidRPr="00EC0CC3">
        <w:t>and copying</w:t>
      </w:r>
      <w:r w:rsidRPr="00EC0CC3">
        <w:rPr>
          <w:spacing w:val="-3"/>
        </w:rPr>
        <w:t xml:space="preserve"> </w:t>
      </w:r>
      <w:r w:rsidRPr="00EC0CC3">
        <w:t>(§ 112.166(a)). Offsite</w:t>
      </w:r>
      <w:r w:rsidRPr="00EC0CC3">
        <w:rPr>
          <w:spacing w:val="1"/>
        </w:rPr>
        <w:t xml:space="preserve"> </w:t>
      </w:r>
      <w:r w:rsidRPr="00EC0CC3">
        <w:t>storage</w:t>
      </w:r>
      <w:r w:rsidRPr="00EC0CC3">
        <w:rPr>
          <w:spacing w:val="1"/>
        </w:rPr>
        <w:t xml:space="preserve"> </w:t>
      </w:r>
      <w:r w:rsidRPr="00EC0CC3">
        <w:t>of</w:t>
      </w:r>
      <w:r w:rsidRPr="00EC0CC3">
        <w:rPr>
          <w:spacing w:val="-3"/>
        </w:rPr>
        <w:t xml:space="preserve"> </w:t>
      </w:r>
      <w:r w:rsidRPr="00EC0CC3">
        <w:t>required records is permissible,</w:t>
      </w:r>
      <w:r w:rsidRPr="00EC0CC3">
        <w:rPr>
          <w:spacing w:val="-3"/>
        </w:rPr>
        <w:t xml:space="preserve"> </w:t>
      </w:r>
      <w:r w:rsidRPr="00EC0CC3">
        <w:t>provided such records</w:t>
      </w:r>
      <w:r w:rsidRPr="00EC0CC3">
        <w:rPr>
          <w:spacing w:val="73"/>
        </w:rPr>
        <w:t xml:space="preserve"> </w:t>
      </w:r>
      <w:r w:rsidRPr="00EC0CC3">
        <w:t xml:space="preserve">can </w:t>
      </w:r>
      <w:r w:rsidRPr="00EC0CC3">
        <w:rPr>
          <w:spacing w:val="-2"/>
        </w:rPr>
        <w:t>be</w:t>
      </w:r>
      <w:r w:rsidRPr="00EC0CC3">
        <w:rPr>
          <w:spacing w:val="1"/>
        </w:rPr>
        <w:t xml:space="preserve"> </w:t>
      </w:r>
      <w:r w:rsidRPr="00EC0CC3">
        <w:t>retrieved</w:t>
      </w:r>
      <w:r w:rsidRPr="00EC0CC3">
        <w:rPr>
          <w:spacing w:val="-3"/>
        </w:rPr>
        <w:t xml:space="preserve"> </w:t>
      </w:r>
      <w:r w:rsidRPr="00EC0CC3">
        <w:t>and provided onsite</w:t>
      </w:r>
      <w:r w:rsidRPr="00EC0CC3">
        <w:rPr>
          <w:spacing w:val="1"/>
        </w:rPr>
        <w:t xml:space="preserve"> </w:t>
      </w:r>
      <w:r w:rsidRPr="00EC0CC3">
        <w:t>within 24 hours</w:t>
      </w:r>
      <w:r w:rsidRPr="00EC0CC3">
        <w:rPr>
          <w:spacing w:val="-4"/>
        </w:rPr>
        <w:t xml:space="preserve"> </w:t>
      </w:r>
      <w:r w:rsidRPr="00EC0CC3">
        <w:t>of</w:t>
      </w:r>
      <w:r w:rsidRPr="00EC0CC3">
        <w:rPr>
          <w:spacing w:val="-3"/>
        </w:rPr>
        <w:t xml:space="preserve"> </w:t>
      </w:r>
      <w:r w:rsidRPr="00EC0CC3">
        <w:t>request for official review (§ 112.162(a)). Electronic</w:t>
      </w:r>
      <w:r w:rsidRPr="00EC0CC3">
        <w:rPr>
          <w:spacing w:val="1"/>
        </w:rPr>
        <w:t xml:space="preserve"> </w:t>
      </w:r>
      <w:r w:rsidRPr="00EC0CC3">
        <w:t>records</w:t>
      </w:r>
      <w:r w:rsidRPr="00EC0CC3">
        <w:rPr>
          <w:spacing w:val="-4"/>
        </w:rPr>
        <w:t xml:space="preserve"> </w:t>
      </w:r>
      <w:r w:rsidRPr="00EC0CC3">
        <w:t>are</w:t>
      </w:r>
      <w:r w:rsidRPr="00EC0CC3">
        <w:rPr>
          <w:spacing w:val="-2"/>
        </w:rPr>
        <w:t xml:space="preserve"> </w:t>
      </w:r>
      <w:r w:rsidRPr="00EC0CC3">
        <w:t>considered</w:t>
      </w:r>
      <w:r w:rsidRPr="00EC0CC3">
        <w:rPr>
          <w:spacing w:val="-3"/>
        </w:rPr>
        <w:t xml:space="preserve"> </w:t>
      </w:r>
      <w:r w:rsidRPr="00EC0CC3">
        <w:t>to be</w:t>
      </w:r>
      <w:r w:rsidRPr="00EC0CC3">
        <w:rPr>
          <w:spacing w:val="1"/>
        </w:rPr>
        <w:t xml:space="preserve"> </w:t>
      </w:r>
      <w:r w:rsidRPr="00EC0CC3">
        <w:t>onsite</w:t>
      </w:r>
      <w:r w:rsidRPr="00EC0CC3">
        <w:rPr>
          <w:spacing w:val="-2"/>
        </w:rPr>
        <w:t xml:space="preserve"> </w:t>
      </w:r>
      <w:r w:rsidRPr="00EC0CC3">
        <w:t xml:space="preserve">at </w:t>
      </w:r>
      <w:r w:rsidRPr="00EC0CC3">
        <w:rPr>
          <w:spacing w:val="-2"/>
        </w:rPr>
        <w:t>your</w:t>
      </w:r>
      <w:r w:rsidRPr="00EC0CC3">
        <w:t xml:space="preserve"> </w:t>
      </w:r>
      <w:r w:rsidR="00300D18">
        <w:t>s</w:t>
      </w:r>
      <w:r w:rsidRPr="00EC0CC3" w:rsidR="32D0AD53">
        <w:t>prout operation</w:t>
      </w:r>
      <w:r w:rsidRPr="00EC0CC3">
        <w:t xml:space="preserve"> if</w:t>
      </w:r>
      <w:r w:rsidRPr="00EC0CC3">
        <w:rPr>
          <w:spacing w:val="-3"/>
        </w:rPr>
        <w:t xml:space="preserve"> </w:t>
      </w:r>
      <w:r w:rsidRPr="00EC0CC3">
        <w:t>they</w:t>
      </w:r>
      <w:r w:rsidRPr="00EC0CC3">
        <w:rPr>
          <w:spacing w:val="-5"/>
        </w:rPr>
        <w:t xml:space="preserve"> </w:t>
      </w:r>
      <w:r w:rsidRPr="00EC0CC3">
        <w:t>are</w:t>
      </w:r>
      <w:r w:rsidRPr="00EC0CC3">
        <w:rPr>
          <w:spacing w:val="1"/>
        </w:rPr>
        <w:t xml:space="preserve"> </w:t>
      </w:r>
      <w:r w:rsidRPr="00EC0CC3">
        <w:t>accessible</w:t>
      </w:r>
      <w:r w:rsidRPr="00EC0CC3">
        <w:rPr>
          <w:spacing w:val="1"/>
        </w:rPr>
        <w:t xml:space="preserve"> </w:t>
      </w:r>
      <w:r w:rsidRPr="00EC0CC3">
        <w:t>from an onsite</w:t>
      </w:r>
      <w:r>
        <w:t xml:space="preserve"> </w:t>
      </w:r>
      <w:r w:rsidRPr="00EC0CC3">
        <w:t>location</w:t>
      </w:r>
      <w:r w:rsidRPr="00EC0CC3">
        <w:rPr>
          <w:spacing w:val="-3"/>
        </w:rPr>
        <w:t xml:space="preserve"> </w:t>
      </w:r>
      <w:r w:rsidRPr="00EC0CC3">
        <w:t xml:space="preserve">at </w:t>
      </w:r>
      <w:r w:rsidRPr="00EC0CC3">
        <w:rPr>
          <w:spacing w:val="-2"/>
        </w:rPr>
        <w:t>your</w:t>
      </w:r>
      <w:r w:rsidRPr="00EC0CC3">
        <w:t xml:space="preserve"> farm (§ 112.162(b)).</w:t>
      </w:r>
    </w:p>
    <w:p w:rsidR="00191DF8" w:rsidRPr="00EC0CC3" w:rsidP="006B398F" w14:paraId="461879AD" w14:textId="36187979">
      <w:pPr>
        <w:pStyle w:val="HHS508GuidanceOutline30"/>
      </w:pPr>
      <w:bookmarkStart w:id="206" w:name="4._Format"/>
      <w:bookmarkStart w:id="207" w:name="_bookmark105"/>
      <w:bookmarkStart w:id="208" w:name="_Toc44439386"/>
      <w:bookmarkStart w:id="209" w:name="_Toc106094978"/>
      <w:bookmarkEnd w:id="206"/>
      <w:bookmarkEnd w:id="207"/>
      <w:r w:rsidRPr="00EC0CC3">
        <w:t>Format</w:t>
      </w:r>
      <w:bookmarkEnd w:id="208"/>
      <w:bookmarkEnd w:id="209"/>
    </w:p>
    <w:p w:rsidR="00191DF8" w:rsidRPr="00EC0CC3" w:rsidP="00E47C04" w14:paraId="1D8BA553" w14:textId="50E5E0A0">
      <w:pPr>
        <w:pStyle w:val="GuidanceParagraph"/>
      </w:pPr>
      <w:r w:rsidRPr="00EC0CC3">
        <w:t>As required by § 112.165, you must keep records as: (1) original records; (2) true copies; or (3) electronic records. “</w:t>
      </w:r>
      <w:r w:rsidRPr="00DC1310">
        <w:t xml:space="preserve">Original records” generally refers to the document where the information was first recorded. “True copies” include, for example, photocopies, pictures, scanned copies, microfilm, microfiche or other accurate reproductions of the original records. True copies of records should be of sufficient quality to detect whether the original record was changed in a manner that obscured an original entry (e.g., </w:t>
      </w:r>
      <w:r w:rsidRPr="00DC1310">
        <w:t>through the use of</w:t>
      </w:r>
      <w:r w:rsidRPr="00DC1310">
        <w:t xml:space="preserve"> liquid correction fluid).</w:t>
      </w:r>
      <w:r w:rsidRPr="00EC0CC3">
        <w:t xml:space="preserve"> </w:t>
      </w:r>
      <w:r w:rsidRPr="00EC0CC3">
        <w:t xml:space="preserve">“Electronic records” are subject to the same requirements as paper records. We do not require electronic records, nor are we specifying the form or format of the records that must be established and maintained, except as otherwise set forth in Subpart O (e.g., certain content is required when applicable as discussed </w:t>
      </w:r>
      <w:r w:rsidRPr="00300D18">
        <w:t xml:space="preserve">in Section </w:t>
      </w:r>
      <w:r w:rsidRPr="00300D18" w:rsidR="00834EB3">
        <w:t>VII</w:t>
      </w:r>
      <w:r w:rsidRPr="00300D18">
        <w:t>.</w:t>
      </w:r>
      <w:r w:rsidRPr="00300D18" w:rsidR="00000556">
        <w:t xml:space="preserve"> </w:t>
      </w:r>
      <w:r w:rsidRPr="00300D18">
        <w:t>A.</w:t>
      </w:r>
      <w:r w:rsidRPr="00300D18" w:rsidR="00000556">
        <w:t xml:space="preserve"> </w:t>
      </w:r>
      <w:r w:rsidRPr="00300D18">
        <w:t xml:space="preserve">1 </w:t>
      </w:r>
      <w:r w:rsidR="003D4570">
        <w:t xml:space="preserve">(General Requirements) </w:t>
      </w:r>
      <w:r w:rsidRPr="00300D18">
        <w:t>above). To satisfy the requirements of the Produce Safety Rule, paper or electronic records, or a combination</w:t>
      </w:r>
      <w:r w:rsidRPr="00EC0CC3">
        <w:t xml:space="preserve"> of the two, may be used.</w:t>
      </w:r>
    </w:p>
    <w:p w:rsidR="00191DF8" w:rsidRPr="00EC0CC3" w:rsidP="00E47C04" w14:paraId="16C880D3" w14:textId="7BE6C3F4">
      <w:pPr>
        <w:pStyle w:val="GuidanceParagraph"/>
      </w:pPr>
      <w:r w:rsidRPr="00EC0CC3">
        <w:t>Records that are established or maintained to satisfy the requirements of part 112 and that meet the definition of electronic records in § 11.3(b)(6) are exempt from the requirements of part 11 (Electronic Records; Electronic Signatures). Records that satisfy the requirements of part 112, but that also are required under other applicable statutory provisions or regulations, remain subject to part 11 (§ 112.165(c)).</w:t>
      </w:r>
    </w:p>
    <w:p w:rsidR="00191DF8" w:rsidRPr="00EC0CC3" w:rsidP="00E47C04" w14:paraId="79C81C33" w14:textId="77777777">
      <w:pPr>
        <w:pStyle w:val="GuidanceParagraph"/>
      </w:pPr>
      <w:r w:rsidRPr="00EC0CC3">
        <w:t xml:space="preserve">Although part 11 does not apply, except for records otherwise subject to part 11 (as provided in § 112.165(c)), you should take appropriate measures to ensure that electronic records are trustworthy, reliable, and generally equivalent to paper records with handwritten signatures executed on paper.  </w:t>
      </w:r>
    </w:p>
    <w:p w:rsidR="00191DF8" w:rsidRPr="0003249B" w:rsidP="00F756C4" w14:paraId="3DD6699E" w14:textId="3F25BB77">
      <w:pPr>
        <w:pStyle w:val="HHS508GuidanceOutline2"/>
      </w:pPr>
      <w:bookmarkStart w:id="210" w:name="_Toc44439387"/>
      <w:bookmarkStart w:id="211" w:name="_Toc106094979"/>
      <w:r w:rsidRPr="0003249B">
        <w:t>Supervisory Review</w:t>
      </w:r>
      <w:r w:rsidRPr="0003249B">
        <w:rPr>
          <w:spacing w:val="1"/>
        </w:rPr>
        <w:t xml:space="preserve"> </w:t>
      </w:r>
      <w:r w:rsidRPr="0003249B">
        <w:t>of Records</w:t>
      </w:r>
      <w:bookmarkEnd w:id="210"/>
      <w:bookmarkEnd w:id="211"/>
    </w:p>
    <w:p w:rsidR="00191DF8" w:rsidRPr="00EC0CC3" w:rsidP="00E47C04" w14:paraId="14A401EE" w14:textId="77777777">
      <w:pPr>
        <w:pStyle w:val="GuidanceParagraph"/>
      </w:pPr>
      <w:r w:rsidRPr="00EC0CC3">
        <w:t>Certain required records must be reviewed, dated, and signed by a supervisor or a responsible party within a reasonable time after the records are created (§ 112.161(b)). These records include, as applicable:</w:t>
      </w:r>
    </w:p>
    <w:p w:rsidR="00191DF8" w:rsidRPr="008305E1" w:rsidP="00690C44" w14:paraId="72EAB251" w14:textId="77777777">
      <w:pPr>
        <w:pStyle w:val="GuidanceBulletLevel1"/>
      </w:pPr>
      <w:r w:rsidRPr="00EC0CC3">
        <w:t>Records related to</w:t>
      </w:r>
      <w:r w:rsidRPr="00EC0CC3">
        <w:rPr>
          <w:spacing w:val="-3"/>
        </w:rPr>
        <w:t xml:space="preserve"> </w:t>
      </w:r>
      <w:r w:rsidRPr="00EC0CC3">
        <w:t>eligibility</w:t>
      </w:r>
      <w:r w:rsidRPr="00EC0CC3">
        <w:rPr>
          <w:spacing w:val="-3"/>
        </w:rPr>
        <w:t xml:space="preserve"> </w:t>
      </w:r>
      <w:r w:rsidRPr="00EC0CC3">
        <w:t>for the</w:t>
      </w:r>
      <w:r w:rsidRPr="00EC0CC3">
        <w:rPr>
          <w:spacing w:val="1"/>
        </w:rPr>
        <w:t xml:space="preserve"> </w:t>
      </w:r>
      <w:r w:rsidRPr="00EC0CC3">
        <w:t>qualified</w:t>
      </w:r>
      <w:r w:rsidRPr="00EC0CC3">
        <w:rPr>
          <w:spacing w:val="-3"/>
        </w:rPr>
        <w:t xml:space="preserve"> </w:t>
      </w:r>
      <w:r w:rsidRPr="00EC0CC3">
        <w:t>exemption (§ 112.7(b)</w:t>
      </w:r>
      <w:r w:rsidRPr="00EC0CC3">
        <w:t>);</w:t>
      </w:r>
    </w:p>
    <w:p w:rsidR="00191DF8" w:rsidRPr="008305E1" w:rsidP="00690C44" w14:paraId="30C7C9BC" w14:textId="77777777">
      <w:pPr>
        <w:pStyle w:val="GuidanceBulletLevel1"/>
      </w:pPr>
      <w:r w:rsidRPr="00EC0CC3">
        <w:t>Records related</w:t>
      </w:r>
      <w:r w:rsidRPr="00EC0CC3">
        <w:rPr>
          <w:spacing w:val="-3"/>
        </w:rPr>
        <w:t xml:space="preserve"> </w:t>
      </w:r>
      <w:r w:rsidRPr="00EC0CC3">
        <w:t>to required training</w:t>
      </w:r>
      <w:r w:rsidRPr="00EC0CC3">
        <w:rPr>
          <w:spacing w:val="-3"/>
        </w:rPr>
        <w:t xml:space="preserve"> </w:t>
      </w:r>
      <w:r w:rsidRPr="00EC0CC3">
        <w:t>of</w:t>
      </w:r>
      <w:r w:rsidRPr="00EC0CC3">
        <w:rPr>
          <w:spacing w:val="-3"/>
        </w:rPr>
        <w:t xml:space="preserve"> </w:t>
      </w:r>
      <w:r w:rsidRPr="00EC0CC3">
        <w:t>personnel (§</w:t>
      </w:r>
      <w:r w:rsidRPr="00EC0CC3">
        <w:rPr>
          <w:spacing w:val="-2"/>
        </w:rPr>
        <w:t xml:space="preserve"> </w:t>
      </w:r>
      <w:r w:rsidRPr="00EC0CC3">
        <w:t>112.30(b)</w:t>
      </w:r>
      <w:r w:rsidRPr="00EC0CC3">
        <w:t>);</w:t>
      </w:r>
    </w:p>
    <w:p w:rsidR="00191DF8" w:rsidRPr="008305E1" w:rsidP="00690C44" w14:paraId="7B92F1F5" w14:textId="77777777">
      <w:pPr>
        <w:pStyle w:val="GuidanceBulletLevel1"/>
      </w:pPr>
      <w:r w:rsidRPr="00EC0CC3">
        <w:t>Documentation of</w:t>
      </w:r>
      <w:r w:rsidRPr="00EC0CC3">
        <w:rPr>
          <w:spacing w:val="-3"/>
        </w:rPr>
        <w:t xml:space="preserve"> </w:t>
      </w:r>
      <w:r w:rsidRPr="00EC0CC3">
        <w:t>the</w:t>
      </w:r>
      <w:r w:rsidRPr="00EC0CC3">
        <w:rPr>
          <w:spacing w:val="1"/>
        </w:rPr>
        <w:t xml:space="preserve"> </w:t>
      </w:r>
      <w:r w:rsidRPr="00EC0CC3">
        <w:t>results of</w:t>
      </w:r>
      <w:r w:rsidRPr="00EC0CC3">
        <w:rPr>
          <w:spacing w:val="-3"/>
        </w:rPr>
        <w:t xml:space="preserve"> </w:t>
      </w:r>
      <w:r w:rsidRPr="00EC0CC3">
        <w:t>all agricultural water testing</w:t>
      </w:r>
      <w:r w:rsidRPr="00EC0CC3">
        <w:rPr>
          <w:spacing w:val="-3"/>
        </w:rPr>
        <w:t xml:space="preserve"> </w:t>
      </w:r>
      <w:r w:rsidRPr="00EC0CC3">
        <w:t>(§ 112.50(b)(2)</w:t>
      </w:r>
      <w:r w:rsidRPr="00EC0CC3">
        <w:t>);</w:t>
      </w:r>
    </w:p>
    <w:p w:rsidR="00191DF8" w:rsidRPr="008305E1" w:rsidP="00690C44" w14:paraId="4F593AD7" w14:textId="77777777">
      <w:pPr>
        <w:pStyle w:val="GuidanceBulletLevel1"/>
      </w:pPr>
      <w:r w:rsidRPr="00EC0CC3">
        <w:t>Documentation of</w:t>
      </w:r>
      <w:r w:rsidRPr="00EC0CC3">
        <w:rPr>
          <w:spacing w:val="-3"/>
        </w:rPr>
        <w:t xml:space="preserve"> </w:t>
      </w:r>
      <w:r w:rsidRPr="00EC0CC3">
        <w:t>the</w:t>
      </w:r>
      <w:r w:rsidRPr="00EC0CC3">
        <w:rPr>
          <w:spacing w:val="1"/>
        </w:rPr>
        <w:t xml:space="preserve"> </w:t>
      </w:r>
      <w:r w:rsidRPr="00EC0CC3">
        <w:t>results of</w:t>
      </w:r>
      <w:r w:rsidRPr="00EC0CC3">
        <w:rPr>
          <w:spacing w:val="-3"/>
        </w:rPr>
        <w:t xml:space="preserve"> </w:t>
      </w:r>
      <w:r w:rsidRPr="00EC0CC3">
        <w:t>water</w:t>
      </w:r>
      <w:r w:rsidRPr="00EC0CC3">
        <w:rPr>
          <w:spacing w:val="-3"/>
        </w:rPr>
        <w:t xml:space="preserve"> </w:t>
      </w:r>
      <w:r w:rsidRPr="00EC0CC3">
        <w:t>treatment</w:t>
      </w:r>
      <w:r w:rsidRPr="00EC0CC3">
        <w:rPr>
          <w:spacing w:val="-2"/>
        </w:rPr>
        <w:t xml:space="preserve"> </w:t>
      </w:r>
      <w:r w:rsidRPr="00EC0CC3">
        <w:t>monitoring</w:t>
      </w:r>
      <w:r w:rsidRPr="00EC0CC3">
        <w:rPr>
          <w:spacing w:val="-3"/>
        </w:rPr>
        <w:t xml:space="preserve"> </w:t>
      </w:r>
      <w:r w:rsidRPr="00EC0CC3">
        <w:t>(§ 112.50(b)(4)</w:t>
      </w:r>
      <w:r w:rsidRPr="00EC0CC3">
        <w:t>);</w:t>
      </w:r>
    </w:p>
    <w:p w:rsidR="00191DF8" w:rsidRPr="008305E1" w:rsidP="00690C44" w14:paraId="2D33273E" w14:textId="77777777">
      <w:pPr>
        <w:pStyle w:val="GuidanceBulletLevel1"/>
      </w:pPr>
      <w:r w:rsidRPr="00EC0CC3">
        <w:t>Documentation of</w:t>
      </w:r>
      <w:r w:rsidRPr="00EC0CC3">
        <w:rPr>
          <w:spacing w:val="-3"/>
        </w:rPr>
        <w:t xml:space="preserve"> </w:t>
      </w:r>
      <w:r w:rsidRPr="00EC0CC3">
        <w:t>actions</w:t>
      </w:r>
      <w:r w:rsidRPr="00EC0CC3">
        <w:rPr>
          <w:spacing w:val="1"/>
        </w:rPr>
        <w:t xml:space="preserve"> </w:t>
      </w:r>
      <w:r w:rsidRPr="00EC0CC3">
        <w:rPr>
          <w:spacing w:val="-2"/>
        </w:rPr>
        <w:t>you</w:t>
      </w:r>
      <w:r w:rsidRPr="00EC0CC3">
        <w:t xml:space="preserve"> take</w:t>
      </w:r>
      <w:r w:rsidRPr="00EC0CC3">
        <w:rPr>
          <w:spacing w:val="1"/>
        </w:rPr>
        <w:t xml:space="preserve"> </w:t>
      </w:r>
      <w:r w:rsidRPr="00EC0CC3">
        <w:t xml:space="preserve">when </w:t>
      </w:r>
      <w:r w:rsidRPr="00EC0CC3">
        <w:rPr>
          <w:spacing w:val="-2"/>
        </w:rPr>
        <w:t>your</w:t>
      </w:r>
      <w:r w:rsidRPr="00EC0CC3">
        <w:t xml:space="preserve"> agricultural water does not meet the</w:t>
      </w:r>
      <w:r w:rsidRPr="00EC0CC3">
        <w:rPr>
          <w:spacing w:val="1"/>
        </w:rPr>
        <w:t xml:space="preserve"> </w:t>
      </w:r>
      <w:r w:rsidRPr="00EC0CC3">
        <w:t>water quality</w:t>
      </w:r>
      <w:r w:rsidRPr="00EC0CC3">
        <w:rPr>
          <w:spacing w:val="-5"/>
        </w:rPr>
        <w:t xml:space="preserve"> </w:t>
      </w:r>
      <w:r w:rsidRPr="00EC0CC3">
        <w:t>requirements (§112.50(b)(6)</w:t>
      </w:r>
      <w:r w:rsidRPr="00EC0CC3">
        <w:t>);</w:t>
      </w:r>
    </w:p>
    <w:p w:rsidR="00191DF8" w:rsidRPr="008305E1" w:rsidP="00690C44" w14:paraId="1E7546E6" w14:textId="11A97936">
      <w:pPr>
        <w:pStyle w:val="GuidanceBulletLevel1"/>
      </w:pPr>
      <w:r w:rsidRPr="00EC0CC3">
        <w:t xml:space="preserve">Documentation that </w:t>
      </w:r>
      <w:r w:rsidRPr="00EC0CC3">
        <w:t>process</w:t>
      </w:r>
      <w:r w:rsidRPr="00EC0CC3">
        <w:t xml:space="preserve"> controls were achieved for a</w:t>
      </w:r>
      <w:r w:rsidRPr="00EC0CC3">
        <w:rPr>
          <w:spacing w:val="1"/>
        </w:rPr>
        <w:t xml:space="preserve"> </w:t>
      </w:r>
      <w:r w:rsidRPr="00EC0CC3">
        <w:t>treated biological soil</w:t>
      </w:r>
      <w:r w:rsidRPr="00EC0CC3">
        <w:rPr>
          <w:spacing w:val="-2"/>
        </w:rPr>
        <w:t xml:space="preserve"> </w:t>
      </w:r>
      <w:r w:rsidRPr="00EC0CC3">
        <w:t>amendment of</w:t>
      </w:r>
      <w:r w:rsidRPr="00EC0CC3">
        <w:rPr>
          <w:spacing w:val="-3"/>
        </w:rPr>
        <w:t xml:space="preserve"> </w:t>
      </w:r>
      <w:r w:rsidRPr="00EC0CC3">
        <w:t xml:space="preserve">animal origin </w:t>
      </w:r>
      <w:r w:rsidRPr="00EC0CC3">
        <w:rPr>
          <w:spacing w:val="-2"/>
        </w:rPr>
        <w:t>you</w:t>
      </w:r>
      <w:r w:rsidRPr="00EC0CC3">
        <w:t xml:space="preserve"> produce</w:t>
      </w:r>
      <w:r w:rsidRPr="00EC0CC3">
        <w:rPr>
          <w:spacing w:val="1"/>
        </w:rPr>
        <w:t xml:space="preserve"> </w:t>
      </w:r>
      <w:r w:rsidRPr="00EC0CC3">
        <w:t xml:space="preserve">for </w:t>
      </w:r>
      <w:r w:rsidRPr="00EC0CC3">
        <w:rPr>
          <w:spacing w:val="-2"/>
        </w:rPr>
        <w:t>your own</w:t>
      </w:r>
      <w:r w:rsidRPr="00EC0CC3">
        <w:t xml:space="preserve"> covered </w:t>
      </w:r>
      <w:r w:rsidRPr="00EC0CC3" w:rsidR="3A7271F1">
        <w:t>sprout operation</w:t>
      </w:r>
      <w:r w:rsidRPr="00EC0CC3">
        <w:t>(s) (§ 112.60(b)(2));</w:t>
      </w:r>
    </w:p>
    <w:p w:rsidR="00191DF8" w:rsidRPr="008305E1" w:rsidP="00690C44" w14:paraId="142DA313" w14:textId="77777777">
      <w:pPr>
        <w:pStyle w:val="GuidanceBulletLevel1"/>
      </w:pPr>
      <w:r w:rsidRPr="00EC0CC3">
        <w:t>Documentation of</w:t>
      </w:r>
      <w:r w:rsidRPr="00EC0CC3">
        <w:rPr>
          <w:spacing w:val="-3"/>
        </w:rPr>
        <w:t xml:space="preserve"> </w:t>
      </w:r>
      <w:r w:rsidRPr="00EC0CC3">
        <w:t>cleaning</w:t>
      </w:r>
      <w:r w:rsidRPr="00EC0CC3">
        <w:rPr>
          <w:spacing w:val="-3"/>
        </w:rPr>
        <w:t xml:space="preserve"> </w:t>
      </w:r>
      <w:r w:rsidRPr="00EC0CC3">
        <w:t>and sanitizing</w:t>
      </w:r>
      <w:r w:rsidRPr="00EC0CC3">
        <w:rPr>
          <w:spacing w:val="-3"/>
        </w:rPr>
        <w:t xml:space="preserve"> </w:t>
      </w:r>
      <w:r w:rsidRPr="00EC0CC3">
        <w:t>of</w:t>
      </w:r>
      <w:r w:rsidRPr="00EC0CC3">
        <w:rPr>
          <w:spacing w:val="-3"/>
        </w:rPr>
        <w:t xml:space="preserve"> </w:t>
      </w:r>
      <w:r w:rsidRPr="00EC0CC3">
        <w:t>equipment (§§ 112.140(b)(1)</w:t>
      </w:r>
      <w:r w:rsidRPr="00EC0CC3">
        <w:rPr>
          <w:spacing w:val="-3"/>
        </w:rPr>
        <w:t xml:space="preserve"> </w:t>
      </w:r>
      <w:r w:rsidRPr="00EC0CC3">
        <w:t>and</w:t>
      </w:r>
      <w:r w:rsidRPr="00EC0CC3">
        <w:rPr>
          <w:spacing w:val="-3"/>
        </w:rPr>
        <w:t xml:space="preserve"> </w:t>
      </w:r>
      <w:r w:rsidRPr="00EC0CC3">
        <w:t>(2)</w:t>
      </w:r>
      <w:r w:rsidRPr="00EC0CC3">
        <w:t>);</w:t>
      </w:r>
    </w:p>
    <w:p w:rsidR="00191DF8" w:rsidRPr="008305E1" w:rsidP="00690C44" w14:paraId="35D5C840" w14:textId="77777777">
      <w:pPr>
        <w:pStyle w:val="GuidanceBulletLevel1"/>
      </w:pPr>
      <w:r w:rsidRPr="00EC0CC3">
        <w:t>Records related</w:t>
      </w:r>
      <w:r w:rsidRPr="00EC0CC3">
        <w:rPr>
          <w:spacing w:val="-3"/>
        </w:rPr>
        <w:t xml:space="preserve"> </w:t>
      </w:r>
      <w:r w:rsidRPr="00EC0CC3">
        <w:t>to seed treatment (§</w:t>
      </w:r>
      <w:r w:rsidRPr="00EC0CC3">
        <w:rPr>
          <w:spacing w:val="-3"/>
        </w:rPr>
        <w:t xml:space="preserve"> </w:t>
      </w:r>
      <w:r w:rsidRPr="00EC0CC3">
        <w:t>112.150(b)(1)</w:t>
      </w:r>
      <w:r w:rsidRPr="00EC0CC3">
        <w:t>);</w:t>
      </w:r>
    </w:p>
    <w:p w:rsidR="00191DF8" w:rsidRPr="008305E1" w:rsidP="00690C44" w14:paraId="65700981" w14:textId="77777777">
      <w:pPr>
        <w:pStyle w:val="GuidanceBulletLevel1"/>
      </w:pPr>
      <w:r w:rsidRPr="00EC0CC3">
        <w:t>Documentation of</w:t>
      </w:r>
      <w:r w:rsidRPr="00EC0CC3">
        <w:rPr>
          <w:spacing w:val="-3"/>
        </w:rPr>
        <w:t xml:space="preserve"> </w:t>
      </w:r>
      <w:r w:rsidRPr="00EC0CC3">
        <w:t>analytical test results for all sprout-specific</w:t>
      </w:r>
      <w:r w:rsidRPr="00EC0CC3">
        <w:rPr>
          <w:spacing w:val="1"/>
        </w:rPr>
        <w:t xml:space="preserve"> </w:t>
      </w:r>
      <w:r w:rsidRPr="00EC0CC3">
        <w:t>testing</w:t>
      </w:r>
      <w:r w:rsidRPr="00EC0CC3">
        <w:rPr>
          <w:spacing w:val="-3"/>
        </w:rPr>
        <w:t xml:space="preserve"> (including spent irrigation water testing and environmental monitoring) </w:t>
      </w:r>
      <w:r w:rsidRPr="00EC0CC3">
        <w:t>done</w:t>
      </w:r>
      <w:r w:rsidRPr="00EC0CC3">
        <w:rPr>
          <w:spacing w:val="1"/>
        </w:rPr>
        <w:t xml:space="preserve"> </w:t>
      </w:r>
      <w:r w:rsidRPr="00EC0CC3">
        <w:rPr>
          <w:spacing w:val="-2"/>
        </w:rPr>
        <w:t>under</w:t>
      </w:r>
      <w:r w:rsidRPr="00EC0CC3">
        <w:t xml:space="preserve"> Subpart M (§ 112.150(b)(4)); and,</w:t>
      </w:r>
    </w:p>
    <w:p w:rsidR="00191DF8" w:rsidRPr="008305E1" w:rsidP="00690C44" w14:paraId="162973EE" w14:textId="4270CF4F">
      <w:pPr>
        <w:pStyle w:val="GuidanceBulletLevel1"/>
      </w:pPr>
      <w:r w:rsidRPr="00EC0CC3">
        <w:t>Documentation of</w:t>
      </w:r>
      <w:r w:rsidRPr="00EC0CC3">
        <w:rPr>
          <w:spacing w:val="-3"/>
        </w:rPr>
        <w:t xml:space="preserve"> </w:t>
      </w:r>
      <w:r w:rsidRPr="00EC0CC3">
        <w:t>sprout-specific</w:t>
      </w:r>
      <w:r w:rsidRPr="00EC0CC3">
        <w:rPr>
          <w:spacing w:val="-2"/>
        </w:rPr>
        <w:t xml:space="preserve"> </w:t>
      </w:r>
      <w:r w:rsidRPr="00EC0CC3">
        <w:t xml:space="preserve">corrective actions </w:t>
      </w:r>
      <w:r w:rsidRPr="00EC0CC3">
        <w:rPr>
          <w:spacing w:val="-2"/>
        </w:rPr>
        <w:t>you</w:t>
      </w:r>
      <w:r w:rsidRPr="00EC0CC3">
        <w:t xml:space="preserve"> take</w:t>
      </w:r>
      <w:r w:rsidRPr="00EC0CC3">
        <w:rPr>
          <w:spacing w:val="1"/>
        </w:rPr>
        <w:t xml:space="preserve"> </w:t>
      </w:r>
      <w:r w:rsidRPr="00EC0CC3">
        <w:t>under Subpart M (§ 112.150(b)(6)).</w:t>
      </w:r>
    </w:p>
    <w:p w:rsidR="00191DF8" w:rsidRPr="00EC0CC3" w:rsidP="00E47C04" w14:paraId="78EB86DF" w14:textId="77777777">
      <w:pPr>
        <w:pStyle w:val="GuidanceParagraph"/>
      </w:pPr>
      <w:r w:rsidRPr="00EC0CC3">
        <w:t>The person reviewing records should first make sure that all the required records are kept and are complete, ensure that they were completed accurately and in a timely manner, consider whether the records suggest any problems that need to be corrected, and institute any corresponding corrective actions, as necessary. The reviewer should also ensure that the observations and results are consistent with the expected range for the activity, look for any trend that could lead to problems in the future if not adequately addressed, and institute preventive measures as necessary. For example, a supervisor reviews a seed treatment record for seed to which 19,000 ppm sodium hypochlorite should be applied and available chlorine concentration monitored to ensure proper treatment. However, the supervisor notes that the recorded value of sodium hypochlorite is 500 ppm. The supervisor should follow up with the worker who made the recording to determine whether there was a malfunction with the monitoring instrument, a difficulty by the worker in reading the instrument, a recording error (i.e., the record is not accurate), or an issue of not following the seed treatment protocol.</w:t>
      </w:r>
    </w:p>
    <w:p w:rsidR="00191DF8" w:rsidRPr="00F15FD5" w:rsidP="00F756C4" w14:paraId="0441EB50" w14:textId="559259F4">
      <w:pPr>
        <w:pStyle w:val="HHS508GuidanceOutline2"/>
      </w:pPr>
      <w:bookmarkStart w:id="212" w:name="B._Sprouts-Specific_Record_Requirements"/>
      <w:bookmarkStart w:id="213" w:name="_bookmark106"/>
      <w:bookmarkStart w:id="214" w:name="_Toc44439389"/>
      <w:bookmarkStart w:id="215" w:name="_Toc106094980"/>
      <w:bookmarkEnd w:id="212"/>
      <w:bookmarkEnd w:id="213"/>
      <w:r w:rsidRPr="00F15FD5">
        <w:t>Sprouts-Specific Record Requirements and Recommendations</w:t>
      </w:r>
      <w:bookmarkEnd w:id="214"/>
      <w:bookmarkEnd w:id="215"/>
    </w:p>
    <w:p w:rsidR="00191DF8" w:rsidRPr="00EC0CC3" w:rsidP="006B398F" w14:paraId="76CCF808" w14:textId="77777777">
      <w:pPr>
        <w:pStyle w:val="HHS508GuidanceOutline30"/>
        <w:numPr>
          <w:ilvl w:val="0"/>
          <w:numId w:val="14"/>
        </w:numPr>
      </w:pPr>
      <w:bookmarkStart w:id="216" w:name="_Toc44439390"/>
      <w:bookmarkStart w:id="217" w:name="_Toc106094981"/>
      <w:bookmarkStart w:id="218" w:name="_Hlk42109300"/>
      <w:r w:rsidRPr="00EC0CC3">
        <w:t>Enforcement Discretion for Requirements of Subpart M (applies to soil or substrate grown sprout types that are harvested by the customer before use)</w:t>
      </w:r>
      <w:bookmarkEnd w:id="216"/>
      <w:bookmarkEnd w:id="217"/>
    </w:p>
    <w:p w:rsidR="00191DF8" w:rsidRPr="00EC0CC3" w:rsidP="00E47C04" w14:paraId="305441AB" w14:textId="623C83BB">
      <w:pPr>
        <w:pStyle w:val="GuidanceParagraph"/>
        <w:rPr>
          <w:b/>
        </w:rPr>
      </w:pPr>
      <w:r w:rsidRPr="00EC0CC3">
        <w:t xml:space="preserve">If you produce sprouts that will be sold to </w:t>
      </w:r>
      <w:r w:rsidR="00114954">
        <w:t xml:space="preserve">a commercial entity </w:t>
      </w:r>
      <w:r w:rsidRPr="00EC0CC3">
        <w:t>in a tray that was used for growing the sprouts, that contains the soil/substrate and roots intact, and such sprouts are then to be cut above the soil and/or substrate line at the retail or other establishment immediately before use</w:t>
      </w:r>
      <w:r w:rsidRPr="001C51AD">
        <w:t>,</w:t>
      </w:r>
      <w:r w:rsidRPr="00EC0CC3">
        <w:rPr>
          <w:b/>
        </w:rPr>
        <w:t xml:space="preserve"> </w:t>
      </w:r>
      <w:r w:rsidR="00B242E4">
        <w:t xml:space="preserve">we intend to exercise enforcement discretion for the requirements of Subpart M </w:t>
      </w:r>
      <w:r w:rsidRPr="00EC0CC3">
        <w:t>provided you annually collect written assurances from your customers</w:t>
      </w:r>
      <w:r w:rsidR="00AD6C16">
        <w:t>,</w:t>
      </w:r>
      <w:r w:rsidRPr="00EC0CC3">
        <w:t xml:space="preserve"> stat</w:t>
      </w:r>
      <w:r w:rsidR="00AD6C16">
        <w:t>ing</w:t>
      </w:r>
      <w:r w:rsidRPr="00EC0CC3">
        <w:t xml:space="preserve"> </w:t>
      </w:r>
      <w:r w:rsidR="00AD6C16">
        <w:t xml:space="preserve">that </w:t>
      </w:r>
      <w:r w:rsidRPr="00EC0CC3">
        <w:t xml:space="preserve">the sprouts will be cut above </w:t>
      </w:r>
      <w:r w:rsidR="00095E70">
        <w:t xml:space="preserve">the </w:t>
      </w:r>
      <w:r w:rsidRPr="00EC0CC3">
        <w:t xml:space="preserve">soil </w:t>
      </w:r>
      <w:r w:rsidR="00095E70">
        <w:t>and/</w:t>
      </w:r>
      <w:r w:rsidRPr="00EC0CC3">
        <w:t>or substrate line before use.</w:t>
      </w:r>
      <w:bookmarkStart w:id="219" w:name="_Hlk42109342"/>
      <w:bookmarkEnd w:id="218"/>
    </w:p>
    <w:p w:rsidR="004F70E7" w:rsidP="006B398F" w14:paraId="2D5D58AD" w14:textId="77777777">
      <w:pPr>
        <w:pStyle w:val="HHS508GuidanceOutline30"/>
      </w:pPr>
      <w:bookmarkStart w:id="220" w:name="_Toc44439391"/>
      <w:bookmarkStart w:id="221" w:name="_Toc106094982"/>
      <w:r w:rsidRPr="00EC0CC3">
        <w:t>Records for Seeds for Sprouting</w:t>
      </w:r>
      <w:bookmarkEnd w:id="220"/>
      <w:bookmarkEnd w:id="221"/>
    </w:p>
    <w:p w:rsidR="004F70E7" w:rsidP="00E47C04" w14:paraId="2E1F820C" w14:textId="77777777">
      <w:pPr>
        <w:pStyle w:val="HHS508GuidanceOutline4"/>
        <w:numPr>
          <w:ilvl w:val="0"/>
          <w:numId w:val="41"/>
        </w:numPr>
      </w:pPr>
      <w:r w:rsidRPr="00EC0CC3">
        <w:t xml:space="preserve">Required </w:t>
      </w:r>
      <w:r w:rsidRPr="00EC0CC3" w:rsidR="00EB6291">
        <w:t>r</w:t>
      </w:r>
      <w:r w:rsidRPr="00EC0CC3">
        <w:t xml:space="preserve">ecords for </w:t>
      </w:r>
      <w:r w:rsidRPr="00EC0CC3" w:rsidR="00EB6291">
        <w:t>s</w:t>
      </w:r>
      <w:r w:rsidRPr="00EC0CC3">
        <w:t xml:space="preserve">eed for </w:t>
      </w:r>
      <w:r w:rsidRPr="00EC0CC3" w:rsidR="00EB6291">
        <w:t>s</w:t>
      </w:r>
      <w:r w:rsidRPr="00EC0CC3">
        <w:t>prouting</w:t>
      </w:r>
    </w:p>
    <w:p w:rsidR="00191DF8" w:rsidRPr="00EC0CC3" w:rsidP="00E47C04" w14:paraId="51003444" w14:textId="326A7747">
      <w:pPr>
        <w:pStyle w:val="GuidanceParagraph"/>
      </w:pPr>
      <w:r w:rsidRPr="008B5EFF">
        <w:t xml:space="preserve">Section 112.150(b)(1) requires that you establish and keep documentation of your treatment of seeds to reduce microorganisms of public health significance in the seeds, at your </w:t>
      </w:r>
      <w:r w:rsidR="401319CD">
        <w:t>sprout operation</w:t>
      </w:r>
      <w:r w:rsidRPr="008B5EFF">
        <w:t>; or alternatively, documentation (such as a Certificate of Conformance) from your seed supplier that seeds are treated to reduce microorganisms of public health significance and are appropriately handled and packaged following the treatment, in accordance with the requirements of § 112.142(e).</w:t>
      </w:r>
      <w:r w:rsidRPr="00EC0CC3">
        <w:t xml:space="preserve"> </w:t>
      </w:r>
      <w:r w:rsidRPr="00EC0CC3">
        <w:rPr>
          <w:spacing w:val="-1"/>
        </w:rPr>
        <w:t>Like</w:t>
      </w:r>
      <w:r w:rsidRPr="00EC0CC3">
        <w:rPr>
          <w:spacing w:val="1"/>
        </w:rPr>
        <w:t xml:space="preserve"> </w:t>
      </w:r>
      <w:r w:rsidRPr="00EC0CC3">
        <w:rPr>
          <w:spacing w:val="-1"/>
        </w:rPr>
        <w:t>all</w:t>
      </w:r>
      <w:r w:rsidRPr="00EC0CC3">
        <w:t xml:space="preserve"> </w:t>
      </w:r>
      <w:r w:rsidRPr="00EC0CC3">
        <w:rPr>
          <w:spacing w:val="-1"/>
        </w:rPr>
        <w:t>records</w:t>
      </w:r>
      <w:r w:rsidR="003020FB">
        <w:rPr>
          <w:spacing w:val="89"/>
        </w:rPr>
        <w:t xml:space="preserve"> </w:t>
      </w:r>
      <w:r w:rsidRPr="00EC0CC3">
        <w:rPr>
          <w:spacing w:val="-1"/>
        </w:rPr>
        <w:t>required</w:t>
      </w:r>
      <w:r w:rsidRPr="00EC0CC3">
        <w:t xml:space="preserve"> by</w:t>
      </w:r>
      <w:r w:rsidRPr="00EC0CC3">
        <w:rPr>
          <w:spacing w:val="-5"/>
        </w:rPr>
        <w:t xml:space="preserve"> </w:t>
      </w:r>
      <w:r w:rsidRPr="00EC0CC3">
        <w:t>the</w:t>
      </w:r>
      <w:r w:rsidRPr="00EC0CC3">
        <w:rPr>
          <w:spacing w:val="1"/>
        </w:rPr>
        <w:t xml:space="preserve"> </w:t>
      </w:r>
      <w:r w:rsidRPr="00EC0CC3">
        <w:rPr>
          <w:spacing w:val="-1"/>
        </w:rPr>
        <w:t>Produce</w:t>
      </w:r>
      <w:r w:rsidRPr="00EC0CC3">
        <w:rPr>
          <w:spacing w:val="1"/>
        </w:rPr>
        <w:t xml:space="preserve"> </w:t>
      </w:r>
      <w:r w:rsidRPr="00EC0CC3">
        <w:rPr>
          <w:spacing w:val="-1"/>
        </w:rPr>
        <w:t>Safety</w:t>
      </w:r>
      <w:r w:rsidRPr="00EC0CC3">
        <w:rPr>
          <w:spacing w:val="-5"/>
        </w:rPr>
        <w:t xml:space="preserve"> </w:t>
      </w:r>
      <w:r w:rsidRPr="00EC0CC3">
        <w:t xml:space="preserve">Rule, </w:t>
      </w:r>
      <w:r w:rsidRPr="00EC0CC3">
        <w:rPr>
          <w:spacing w:val="-1"/>
        </w:rPr>
        <w:t>seed</w:t>
      </w:r>
      <w:r w:rsidRPr="00EC0CC3">
        <w:rPr>
          <w:spacing w:val="-3"/>
        </w:rPr>
        <w:t xml:space="preserve"> </w:t>
      </w:r>
      <w:r w:rsidRPr="00EC0CC3">
        <w:rPr>
          <w:spacing w:val="-1"/>
        </w:rPr>
        <w:t>treatment</w:t>
      </w:r>
      <w:r w:rsidRPr="00EC0CC3">
        <w:rPr>
          <w:spacing w:val="-2"/>
        </w:rPr>
        <w:t xml:space="preserve"> </w:t>
      </w:r>
      <w:r w:rsidRPr="00EC0CC3">
        <w:t>records</w:t>
      </w:r>
      <w:r w:rsidRPr="00EC0CC3">
        <w:rPr>
          <w:spacing w:val="-1"/>
        </w:rPr>
        <w:t xml:space="preserve"> </w:t>
      </w:r>
      <w:bookmarkStart w:id="222" w:name="_Hlk39665337"/>
      <w:r w:rsidRPr="00EC0CC3">
        <w:rPr>
          <w:spacing w:val="-1"/>
        </w:rPr>
        <w:t>must</w:t>
      </w:r>
      <w:r w:rsidRPr="00EC0CC3">
        <w:t xml:space="preserve"> </w:t>
      </w:r>
      <w:r w:rsidRPr="00EC0CC3">
        <w:rPr>
          <w:spacing w:val="-1"/>
        </w:rPr>
        <w:t>comply</w:t>
      </w:r>
      <w:r w:rsidRPr="00EC0CC3">
        <w:rPr>
          <w:spacing w:val="-5"/>
        </w:rPr>
        <w:t xml:space="preserve"> </w:t>
      </w:r>
      <w:r w:rsidRPr="00EC0CC3">
        <w:rPr>
          <w:spacing w:val="-1"/>
        </w:rPr>
        <w:t>with</w:t>
      </w:r>
      <w:r w:rsidRPr="00EC0CC3">
        <w:t xml:space="preserve"> all</w:t>
      </w:r>
      <w:r w:rsidRPr="00EC0CC3">
        <w:rPr>
          <w:spacing w:val="-2"/>
        </w:rPr>
        <w:t xml:space="preserve"> </w:t>
      </w:r>
      <w:r w:rsidRPr="00EC0CC3">
        <w:rPr>
          <w:spacing w:val="-1"/>
        </w:rPr>
        <w:t>applicable</w:t>
      </w:r>
      <w:r w:rsidRPr="00EC0CC3">
        <w:rPr>
          <w:spacing w:val="69"/>
        </w:rPr>
        <w:t xml:space="preserve"> </w:t>
      </w:r>
      <w:r w:rsidRPr="00EC0CC3">
        <w:rPr>
          <w:spacing w:val="-1"/>
        </w:rPr>
        <w:t>requirements for</w:t>
      </w:r>
      <w:r w:rsidRPr="00EC0CC3">
        <w:t xml:space="preserve"> records</w:t>
      </w:r>
      <w:r w:rsidRPr="00EC0CC3">
        <w:rPr>
          <w:spacing w:val="-1"/>
        </w:rPr>
        <w:t xml:space="preserve"> in</w:t>
      </w:r>
      <w:r w:rsidRPr="00EC0CC3">
        <w:t xml:space="preserve"> </w:t>
      </w:r>
      <w:r w:rsidRPr="00EC0CC3">
        <w:rPr>
          <w:spacing w:val="-1"/>
        </w:rPr>
        <w:t>Subpart</w:t>
      </w:r>
      <w:r w:rsidRPr="00EC0CC3">
        <w:t xml:space="preserve"> O</w:t>
      </w:r>
      <w:r w:rsidRPr="00EC0CC3">
        <w:rPr>
          <w:spacing w:val="-1"/>
        </w:rPr>
        <w:t>.</w:t>
      </w:r>
      <w:r w:rsidRPr="00EC0CC3">
        <w:t xml:space="preserve"> </w:t>
      </w:r>
      <w:r w:rsidRPr="00EC0CC3">
        <w:rPr>
          <w:spacing w:val="-2"/>
        </w:rPr>
        <w:t>For</w:t>
      </w:r>
      <w:r w:rsidRPr="00EC0CC3">
        <w:t xml:space="preserve"> example, as applicable, these records must include</w:t>
      </w:r>
      <w:bookmarkEnd w:id="222"/>
      <w:r w:rsidRPr="00EC0CC3">
        <w:t xml:space="preserve">: </w:t>
      </w:r>
    </w:p>
    <w:p w:rsidR="00191DF8" w:rsidRPr="008305E1" w:rsidP="00690C44" w14:paraId="0FE1F716" w14:textId="11EB35BB">
      <w:pPr>
        <w:pStyle w:val="GuidanceBulletLevel1"/>
      </w:pPr>
      <w:r w:rsidRPr="00F64301">
        <w:t>T</w:t>
      </w:r>
      <w:r w:rsidRPr="00F64301">
        <w:t>he name and location of your sprout operation (§ 112.161(a)(1)(i)</w:t>
      </w:r>
      <w:r w:rsidRPr="00F64301">
        <w:t>);</w:t>
      </w:r>
    </w:p>
    <w:bookmarkEnd w:id="219"/>
    <w:p w:rsidR="00191DF8" w:rsidRPr="008305E1" w:rsidP="00690C44" w14:paraId="6AD0CD6C" w14:textId="474DDE44">
      <w:pPr>
        <w:pStyle w:val="GuidanceBulletLevel1"/>
      </w:pPr>
      <w:r w:rsidRPr="00F64301">
        <w:t>A</w:t>
      </w:r>
      <w:r w:rsidRPr="00F64301">
        <w:t xml:space="preserve">ctual values and observations obtained during monitoring (§ 112.161(a)(1)(ii)) (e.g., observations of treatment conditions and key parameters monitored during preparation and application of treatments (e.g., chemical composition of treatment solution, heating </w:t>
      </w:r>
      <w:r w:rsidRPr="00F64301">
        <w:t>temperature, equipment used, concentration of treatment solution, treatment time, pH of treatment solution, presence of agitation)</w:t>
      </w:r>
      <w:r w:rsidRPr="00F64301">
        <w:t>);</w:t>
      </w:r>
      <w:r w:rsidRPr="00F64301">
        <w:t xml:space="preserve"> </w:t>
      </w:r>
    </w:p>
    <w:p w:rsidR="00191DF8" w:rsidRPr="008305E1" w:rsidP="00690C44" w14:paraId="67659E8B" w14:textId="774AEA15">
      <w:pPr>
        <w:pStyle w:val="GuidanceBulletLevel1"/>
      </w:pPr>
      <w:r w:rsidRPr="00F64301">
        <w:t>A</w:t>
      </w:r>
      <w:r w:rsidRPr="00F64301">
        <w:t>n adequate description of the covered produce (§ 112.161(a)(1)(iii)) (e.g., the type of seed being treated, and, when available, any lot number or other identifier of the seed applicable to the record</w:t>
      </w:r>
      <w:r w:rsidRPr="00F64301">
        <w:t>);</w:t>
      </w:r>
      <w:r w:rsidRPr="00F64301">
        <w:t xml:space="preserve">  </w:t>
      </w:r>
    </w:p>
    <w:p w:rsidR="00191DF8" w:rsidRPr="008305E1" w:rsidP="00690C44" w14:paraId="40803381" w14:textId="616A072A">
      <w:pPr>
        <w:pStyle w:val="GuidanceBulletLevel1"/>
      </w:pPr>
      <w:r w:rsidRPr="00F64301">
        <w:t>T</w:t>
      </w:r>
      <w:r w:rsidRPr="00F64301">
        <w:t>he location of the area applicable to that record (§ 112.161(a)(1)(iv)) (e.g., the seed treatment room</w:t>
      </w:r>
      <w:r w:rsidRPr="00F64301">
        <w:t>);</w:t>
      </w:r>
      <w:r w:rsidRPr="00F64301">
        <w:t xml:space="preserve"> </w:t>
      </w:r>
    </w:p>
    <w:p w:rsidR="00191DF8" w:rsidRPr="008305E1" w:rsidP="00690C44" w14:paraId="1144C31E" w14:textId="44A5A3FD">
      <w:pPr>
        <w:pStyle w:val="GuidanceBulletLevel1"/>
      </w:pPr>
      <w:r w:rsidRPr="00F64301">
        <w:t>T</w:t>
      </w:r>
      <w:r w:rsidRPr="00F64301">
        <w:t>he date and time of the activity documented (§ 112.161(a)(1)(v)) (e.g., the date and time the treatment was applied); and</w:t>
      </w:r>
    </w:p>
    <w:p w:rsidR="00191DF8" w:rsidRPr="008305E1" w:rsidP="00690C44" w14:paraId="15FE14EB" w14:textId="366D6665">
      <w:pPr>
        <w:pStyle w:val="GuidanceBulletLevel1"/>
      </w:pPr>
      <w:bookmarkStart w:id="223" w:name="_Hlk39838723"/>
      <w:r w:rsidRPr="00F64301">
        <w:t xml:space="preserve">This record must be dated and signed or initialed by the person who performed the activity documented (§ 112.161(a)(4)) and must be reviewed, </w:t>
      </w:r>
      <w:r w:rsidRPr="00F64301">
        <w:t>dated</w:t>
      </w:r>
      <w:r w:rsidRPr="00F64301">
        <w:t xml:space="preserve"> and signed within a reasonable time after the records are made by a supervisor or responsible party (§ 112.161(b)). </w:t>
      </w:r>
    </w:p>
    <w:p w:rsidR="00191DF8" w:rsidRPr="00EC0CC3" w:rsidP="00E47C04" w14:paraId="4F7525A1" w14:textId="3F629212">
      <w:pPr>
        <w:pStyle w:val="GuidanceParagraph"/>
      </w:pPr>
      <w:bookmarkStart w:id="224" w:name="_Hlk42109397"/>
      <w:bookmarkEnd w:id="223"/>
      <w:r w:rsidRPr="00EC0CC3">
        <w:t xml:space="preserve">If you are relying on prior treatment of seeds by someone in the supply chain prior to your operation (e.g., a grower, distributor, or supplier of seeds), whether to fulfill the treatment requirement completely or for the purpose of considering such prior treatment when applying appropriate additional treatment at your operation in accordance with § 112.142(e)(2), you must obtain documentation (such as a Certificate of Conformance) from the grower, distributor, or supplier of seeds that the treatment was conducted using a scientifically valid method to reduce microorganisms of public health significance and that the treated seeds were handled and packaged, following the treatment, in a manner that minimizes the potential for contamination (§ 112.150(b)(1). Such records must </w:t>
      </w:r>
      <w:r w:rsidRPr="00EC0CC3">
        <w:rPr>
          <w:spacing w:val="-1"/>
        </w:rPr>
        <w:t>comply</w:t>
      </w:r>
      <w:r w:rsidRPr="00EC0CC3">
        <w:rPr>
          <w:spacing w:val="-5"/>
        </w:rPr>
        <w:t xml:space="preserve"> </w:t>
      </w:r>
      <w:r w:rsidRPr="00EC0CC3">
        <w:rPr>
          <w:spacing w:val="-1"/>
        </w:rPr>
        <w:t>with</w:t>
      </w:r>
      <w:r w:rsidRPr="00EC0CC3">
        <w:t xml:space="preserve"> all</w:t>
      </w:r>
      <w:r w:rsidRPr="00EC0CC3">
        <w:rPr>
          <w:spacing w:val="-2"/>
        </w:rPr>
        <w:t xml:space="preserve"> </w:t>
      </w:r>
      <w:r w:rsidRPr="00EC0CC3">
        <w:rPr>
          <w:spacing w:val="-1"/>
        </w:rPr>
        <w:t>applicable</w:t>
      </w:r>
      <w:r w:rsidRPr="00EC0CC3">
        <w:rPr>
          <w:spacing w:val="69"/>
        </w:rPr>
        <w:t xml:space="preserve"> </w:t>
      </w:r>
      <w:r w:rsidRPr="00EC0CC3">
        <w:rPr>
          <w:spacing w:val="-1"/>
        </w:rPr>
        <w:t>requirements for</w:t>
      </w:r>
      <w:r w:rsidRPr="00EC0CC3">
        <w:t xml:space="preserve"> records</w:t>
      </w:r>
      <w:r w:rsidRPr="00EC0CC3">
        <w:rPr>
          <w:spacing w:val="-1"/>
        </w:rPr>
        <w:t xml:space="preserve"> in</w:t>
      </w:r>
      <w:r w:rsidRPr="00EC0CC3">
        <w:t xml:space="preserve"> </w:t>
      </w:r>
      <w:r w:rsidRPr="00EC0CC3">
        <w:rPr>
          <w:spacing w:val="-1"/>
        </w:rPr>
        <w:t>Subpart</w:t>
      </w:r>
      <w:r w:rsidRPr="00EC0CC3">
        <w:t xml:space="preserve"> O</w:t>
      </w:r>
      <w:r w:rsidRPr="00EC0CC3">
        <w:rPr>
          <w:spacing w:val="-1"/>
        </w:rPr>
        <w:t>.</w:t>
      </w:r>
      <w:r w:rsidRPr="00EC0CC3">
        <w:t xml:space="preserve">  </w:t>
      </w:r>
      <w:r w:rsidRPr="00EC0CC3">
        <w:rPr>
          <w:spacing w:val="-2"/>
        </w:rPr>
        <w:t>For</w:t>
      </w:r>
      <w:r w:rsidRPr="00EC0CC3">
        <w:t xml:space="preserve"> example, as applicable, these records must:</w:t>
      </w:r>
    </w:p>
    <w:p w:rsidR="00191DF8" w:rsidRPr="008305E1" w:rsidP="00690C44" w14:paraId="5C317C69" w14:textId="7DAF2C3B">
      <w:pPr>
        <w:pStyle w:val="GuidanceBulletLevel1"/>
      </w:pPr>
      <w:r w:rsidRPr="00EC0CC3">
        <w:t xml:space="preserve">Be dated, and signed or initialed by the person who performed the activity documented (§ 112.161(a)(4)), e.g., a person from the grower, distributor or supplier of seeds that applied the seed treatment; and </w:t>
      </w:r>
    </w:p>
    <w:p w:rsidR="00191DF8" w:rsidRPr="008305E1" w:rsidP="00690C44" w14:paraId="717EA9B3" w14:textId="7D6019F7">
      <w:pPr>
        <w:pStyle w:val="GuidanceBulletLevel1"/>
      </w:pPr>
      <w:r w:rsidRPr="00EC0CC3">
        <w:t xml:space="preserve">Be reviewed, </w:t>
      </w:r>
      <w:r w:rsidRPr="00EC0CC3">
        <w:t>dated</w:t>
      </w:r>
      <w:r w:rsidRPr="00EC0CC3">
        <w:t xml:space="preserve"> and signed within a reasonable time after the records are made by a supervisor or responsible party (§ 112.161(b)). For example, a supervisor or responsible party at the sprout operation must review, </w:t>
      </w:r>
      <w:r w:rsidRPr="00EC0CC3">
        <w:t>date</w:t>
      </w:r>
      <w:r w:rsidRPr="00EC0CC3">
        <w:t xml:space="preserve"> and sign the Certificate of Conformance received for prior treatment of seeds by the grower, distributor or supplier of seeds. </w:t>
      </w:r>
    </w:p>
    <w:p w:rsidR="00191DF8" w:rsidRPr="00EC0CC3" w:rsidP="00E47C04" w14:paraId="234124E6" w14:textId="6E0D2A2E">
      <w:pPr>
        <w:pStyle w:val="GuidanceParagraph"/>
      </w:pPr>
      <w:r w:rsidRPr="00EC0CC3">
        <w:t xml:space="preserve">Section 112.150(b)(6) requires that you establish and keep records of certain corrective actions. These include those corrective actions taken in accordance with §§ 112.142(b) and (c) in response to contaminated seed and § 112.148. </w:t>
      </w:r>
      <w:bookmarkStart w:id="225" w:name="_Hlk39852585"/>
      <w:r w:rsidRPr="00EC0CC3">
        <w:t xml:space="preserve">Such </w:t>
      </w:r>
      <w:bookmarkStart w:id="226" w:name="_Hlk39669347"/>
      <w:r w:rsidRPr="00EC0CC3">
        <w:t xml:space="preserve">records must </w:t>
      </w:r>
      <w:r w:rsidRPr="00EC0CC3">
        <w:rPr>
          <w:spacing w:val="-1"/>
        </w:rPr>
        <w:t>comply</w:t>
      </w:r>
      <w:r w:rsidRPr="00EC0CC3">
        <w:rPr>
          <w:spacing w:val="-5"/>
        </w:rPr>
        <w:t xml:space="preserve"> </w:t>
      </w:r>
      <w:r w:rsidRPr="00EC0CC3">
        <w:rPr>
          <w:spacing w:val="-1"/>
        </w:rPr>
        <w:t>with</w:t>
      </w:r>
      <w:r w:rsidRPr="00EC0CC3">
        <w:t xml:space="preserve"> all</w:t>
      </w:r>
      <w:r w:rsidRPr="00EC0CC3">
        <w:rPr>
          <w:spacing w:val="-2"/>
        </w:rPr>
        <w:t xml:space="preserve"> </w:t>
      </w:r>
      <w:r w:rsidRPr="00EC0CC3">
        <w:rPr>
          <w:spacing w:val="-1"/>
        </w:rPr>
        <w:t>applicable</w:t>
      </w:r>
      <w:r w:rsidRPr="00EC0CC3">
        <w:rPr>
          <w:spacing w:val="69"/>
        </w:rPr>
        <w:t xml:space="preserve"> </w:t>
      </w:r>
      <w:r w:rsidRPr="00EC0CC3">
        <w:rPr>
          <w:spacing w:val="-1"/>
        </w:rPr>
        <w:t>requirements for</w:t>
      </w:r>
      <w:r w:rsidRPr="00EC0CC3">
        <w:t xml:space="preserve"> records</w:t>
      </w:r>
      <w:r w:rsidRPr="00EC0CC3">
        <w:rPr>
          <w:spacing w:val="-1"/>
        </w:rPr>
        <w:t xml:space="preserve"> in</w:t>
      </w:r>
      <w:r w:rsidRPr="00EC0CC3">
        <w:t xml:space="preserve"> </w:t>
      </w:r>
      <w:r w:rsidRPr="00EC0CC3">
        <w:rPr>
          <w:spacing w:val="-1"/>
        </w:rPr>
        <w:t>Subpart</w:t>
      </w:r>
      <w:r w:rsidRPr="00EC0CC3">
        <w:t xml:space="preserve"> O</w:t>
      </w:r>
      <w:r w:rsidRPr="00EC0CC3">
        <w:rPr>
          <w:spacing w:val="-1"/>
        </w:rPr>
        <w:t>.</w:t>
      </w:r>
      <w:r w:rsidRPr="00EC0CC3">
        <w:t xml:space="preserve"> </w:t>
      </w:r>
      <w:r w:rsidRPr="00EC0CC3">
        <w:rPr>
          <w:spacing w:val="-2"/>
        </w:rPr>
        <w:t>For</w:t>
      </w:r>
      <w:r w:rsidRPr="00EC0CC3">
        <w:t xml:space="preserve"> example, as applicable, these records must include:</w:t>
      </w:r>
      <w:bookmarkEnd w:id="226"/>
    </w:p>
    <w:bookmarkEnd w:id="225"/>
    <w:p w:rsidR="00191DF8" w:rsidRPr="008305E1" w:rsidP="00690C44" w14:paraId="1531628D" w14:textId="16A2C0B7">
      <w:pPr>
        <w:pStyle w:val="GuidanceBulletLevel1"/>
      </w:pPr>
      <w:r>
        <w:t>T</w:t>
      </w:r>
      <w:r w:rsidRPr="00EC0CC3">
        <w:t>he name and location of your sprout operation (§ 112.161(a)(1)(i)</w:t>
      </w:r>
      <w:r w:rsidRPr="00EC0CC3">
        <w:t>);</w:t>
      </w:r>
    </w:p>
    <w:p w:rsidR="00191DF8" w:rsidRPr="00EC0CC3" w:rsidP="00690C44" w14:paraId="229E6A48" w14:textId="4D22BBFB">
      <w:pPr>
        <w:pStyle w:val="GuidanceBulletLevel1"/>
      </w:pPr>
      <w:r>
        <w:t>A</w:t>
      </w:r>
      <w:r>
        <w:t xml:space="preserve">ctual values and observations obtained during monitoring (§ 112.161(a)(1)(ii)) (e.g., date/time, and person who provided the notification to the seed supplier, the information </w:t>
      </w:r>
      <w:r>
        <w:t>provided, and responses from the seed supplier after notification); if conducting follow</w:t>
      </w:r>
      <w:r w:rsidR="32E69C22">
        <w:t>-</w:t>
      </w:r>
      <w:r>
        <w:t xml:space="preserve">up actions to investigate the potential source of contamination, the actual findings of those follow-up actions; if you treat an affected lot of seeds with a process that is reasonably certain to achieve destruction or elimination in seeds of the most resistant microorganisms of public health significance, the records you keep to document this action must include the same content required for records documenting routine seed treatment (see above in this same section). Further, our recommended content for records related to routine seed treatment is also applicable to these </w:t>
      </w:r>
      <w:r>
        <w:t>records;</w:t>
      </w:r>
    </w:p>
    <w:bookmarkEnd w:id="224"/>
    <w:p w:rsidR="00191DF8" w:rsidRPr="000C1C05" w:rsidP="00690C44" w14:paraId="32600255" w14:textId="151E8957">
      <w:pPr>
        <w:pStyle w:val="GuidanceBulletLevel1"/>
      </w:pPr>
      <w:r>
        <w:t>A</w:t>
      </w:r>
      <w:r w:rsidRPr="00EC0CC3">
        <w:t>n adequate description of the covered produce (§ 112.161(a)(1)(iii)) (e.g., the type of seed affected, and, when available, any lot number or other identifier of the seed to which the record is applicable</w:t>
      </w:r>
      <w:r w:rsidRPr="00EC0CC3">
        <w:t>);</w:t>
      </w:r>
      <w:r w:rsidRPr="00EC0CC3">
        <w:t xml:space="preserve"> </w:t>
      </w:r>
    </w:p>
    <w:p w:rsidR="00191DF8" w:rsidRPr="000C1C05" w:rsidP="00690C44" w14:paraId="284636DF" w14:textId="48ECE262">
      <w:pPr>
        <w:pStyle w:val="GuidanceBulletLevel1"/>
      </w:pPr>
      <w:r>
        <w:t>T</w:t>
      </w:r>
      <w:r w:rsidRPr="00EC0CC3">
        <w:t xml:space="preserve">he location of the area applicable to that record (§ 112.161(a)(1)(iv)) (e.g., the seed treatment room if treating the seeds in compliance with § 112.142 (e)(1), or the areas of the sprout operation that were included in an investigation as part of a follow-up action undertaken in compliance with § 112.142(c)(2)); and </w:t>
      </w:r>
    </w:p>
    <w:p w:rsidR="00191DF8" w:rsidRPr="000C1C05" w:rsidP="00690C44" w14:paraId="28B3C122" w14:textId="02748E71">
      <w:pPr>
        <w:pStyle w:val="GuidanceBulletLevel1"/>
      </w:pPr>
      <w:r>
        <w:t>T</w:t>
      </w:r>
      <w:r w:rsidRPr="00EC0CC3">
        <w:t>he date and time at which you performed each activity (§ 112.161(a)(1)(v)) (e.g., notification of seed supplier, returning the affected seed lot to your supplier, destroying sprouts grown from the affected seed lot, treating seeds with a process reasonably certain to achieve destruction or elimination in seeds of the most resistant microorganisms of public health significance, or conducting follow up actions to investigate the potential source of the contamination).</w:t>
      </w:r>
    </w:p>
    <w:p w:rsidR="00191DF8" w:rsidRPr="00226489" w:rsidP="00E47C04" w14:paraId="13051111" w14:textId="4941854E">
      <w:pPr>
        <w:pStyle w:val="GuidanceParagraph"/>
      </w:pPr>
      <w:r w:rsidRPr="00320EE9">
        <w:rPr>
          <w:rStyle w:val="BodyTextChar"/>
          <w:rFonts w:eastAsiaTheme="minorHAnsi"/>
          <w:sz w:val="24"/>
          <w:szCs w:val="24"/>
        </w:rPr>
        <w:t xml:space="preserve">Section 112.150(b)(4) requires that you establish and keep records of all analytical tests conducted for purposes of compliance </w:t>
      </w:r>
      <w:r w:rsidRPr="00226489">
        <w:rPr>
          <w:rStyle w:val="BodyTextChar"/>
          <w:rFonts w:eastAsiaTheme="minorHAnsi"/>
          <w:sz w:val="24"/>
          <w:szCs w:val="24"/>
        </w:rPr>
        <w:t xml:space="preserve">with </w:t>
      </w:r>
      <w:r w:rsidR="00AD24BE">
        <w:rPr>
          <w:rStyle w:val="BodyTextChar"/>
          <w:rFonts w:eastAsiaTheme="minorHAnsi"/>
          <w:sz w:val="24"/>
          <w:szCs w:val="24"/>
        </w:rPr>
        <w:t>S</w:t>
      </w:r>
      <w:r w:rsidRPr="00226489" w:rsidR="00AD24BE">
        <w:rPr>
          <w:rStyle w:val="BodyTextChar"/>
          <w:rFonts w:eastAsiaTheme="minorHAnsi"/>
          <w:sz w:val="24"/>
          <w:szCs w:val="24"/>
        </w:rPr>
        <w:t xml:space="preserve">ubpart </w:t>
      </w:r>
      <w:r w:rsidRPr="00226489">
        <w:rPr>
          <w:rStyle w:val="BodyTextChar"/>
          <w:rFonts w:eastAsiaTheme="minorHAnsi"/>
          <w:sz w:val="24"/>
          <w:szCs w:val="24"/>
        </w:rPr>
        <w:t>M. This includes records of test results from</w:t>
      </w:r>
      <w:r w:rsidRPr="00226489">
        <w:t xml:space="preserve"> any testing conducted as part of follow-up actions related to suspected contamination of a seed lot with a pathogen in compliance with § 112.142(c)(2) (see also § 112.150(b)(6)). </w:t>
      </w:r>
    </w:p>
    <w:p w:rsidR="00191DF8" w:rsidRPr="00226489" w:rsidP="00E47C04" w14:paraId="1073FE9E" w14:textId="369B9267">
      <w:pPr>
        <w:pStyle w:val="HHS508GuidanceOutline4"/>
      </w:pPr>
      <w:r w:rsidRPr="00226489">
        <w:t xml:space="preserve">Recommended </w:t>
      </w:r>
      <w:r w:rsidRPr="00226489" w:rsidR="00EB6291">
        <w:t>r</w:t>
      </w:r>
      <w:r w:rsidRPr="00226489">
        <w:t xml:space="preserve">ecords for </w:t>
      </w:r>
      <w:r w:rsidRPr="00226489" w:rsidR="00EB6291">
        <w:t>s</w:t>
      </w:r>
      <w:r w:rsidRPr="00226489">
        <w:t xml:space="preserve">eeds for </w:t>
      </w:r>
      <w:r w:rsidRPr="00226489" w:rsidR="00EB6291">
        <w:t>s</w:t>
      </w:r>
      <w:r w:rsidRPr="00226489">
        <w:t>prouting</w:t>
      </w:r>
    </w:p>
    <w:p w:rsidR="00191DF8" w:rsidRPr="00226489" w:rsidP="00E47C04" w14:paraId="4CFBA4A0" w14:textId="4D25D5D0">
      <w:pPr>
        <w:pStyle w:val="GuidanceParagraph"/>
      </w:pPr>
      <w:r>
        <w:t xml:space="preserve">While not requirements of the Produce Safety Rule, we recommend these practices as prudent </w:t>
      </w:r>
      <w:r w:rsidR="0050312C">
        <w:t>for</w:t>
      </w:r>
      <w:r w:rsidR="00914D83">
        <w:t xml:space="preserve"> seeds used for sprouting. </w:t>
      </w:r>
    </w:p>
    <w:p w:rsidR="00191DF8" w:rsidRPr="000C1C05" w:rsidP="00690C44" w14:paraId="6CE774ED" w14:textId="7B1093C4">
      <w:pPr>
        <w:pStyle w:val="GuidanceBulletLevel1"/>
      </w:pPr>
      <w:r w:rsidRPr="00226489">
        <w:t xml:space="preserve">To ensure seed treatments </w:t>
      </w:r>
      <w:r w:rsidRPr="00226489" w:rsidR="00DE4CD2">
        <w:t>(as required under § 112.142(e))</w:t>
      </w:r>
      <w:r w:rsidRPr="00226489" w:rsidR="00D27EB8">
        <w:t xml:space="preserve"> </w:t>
      </w:r>
      <w:r w:rsidRPr="00226489">
        <w:t>are consistently applied correctly, if you treat seeds at your sprout operation, you should develop a written seed treatment Standard Operating Procedure</w:t>
      </w:r>
      <w:r w:rsidR="00C76295">
        <w:t xml:space="preserve"> (SOP)</w:t>
      </w:r>
      <w:r w:rsidRPr="00226489">
        <w:t xml:space="preserve">. See </w:t>
      </w:r>
      <w:r w:rsidR="00581BBF">
        <w:t>Section</w:t>
      </w:r>
      <w:r w:rsidRPr="00226489">
        <w:t xml:space="preserve"> V </w:t>
      </w:r>
      <w:r w:rsidR="005A2904">
        <w:t>(</w:t>
      </w:r>
      <w:r w:rsidRPr="00226489">
        <w:t>Seeds for Sprouting</w:t>
      </w:r>
      <w:r w:rsidR="005A2904">
        <w:t>)</w:t>
      </w:r>
      <w:r w:rsidRPr="00226489">
        <w:t xml:space="preserve"> for more information. </w:t>
      </w:r>
    </w:p>
    <w:p w:rsidR="00191DF8" w:rsidRPr="000C1C05" w:rsidP="00690C44" w14:paraId="067D8A08" w14:textId="63F10CD2">
      <w:pPr>
        <w:pStyle w:val="GuidanceBulletLevel1"/>
      </w:pPr>
      <w:r w:rsidRPr="00226489">
        <w:t xml:space="preserve">We recommend you develop a seed receiving program setting out the SOPs you follow to receive and inspect seed upon receipt and the criteria you use in determining whether to accept a shipment. We recommend that you use a seed receiving and inspection checklist for all incoming seed shipments to record and maintain information about the lot. An example of a seed </w:t>
      </w:r>
      <w:r w:rsidRPr="00226489">
        <w:t>receiving</w:t>
      </w:r>
      <w:r w:rsidRPr="00226489">
        <w:t xml:space="preserve"> and inspection checklist can be found in Section V.</w:t>
      </w:r>
      <w:r w:rsidRPr="00226489" w:rsidR="00000556">
        <w:t xml:space="preserve"> </w:t>
      </w:r>
      <w:r w:rsidRPr="00226489">
        <w:t>A.</w:t>
      </w:r>
      <w:r w:rsidRPr="00226489" w:rsidR="00000556">
        <w:t xml:space="preserve"> </w:t>
      </w:r>
      <w:r w:rsidR="00C712CF">
        <w:t>3</w:t>
      </w:r>
      <w:r w:rsidRPr="00226489">
        <w:t xml:space="preserve"> </w:t>
      </w:r>
      <w:r w:rsidR="00AC636C">
        <w:t>(</w:t>
      </w:r>
      <w:r w:rsidRPr="00226489">
        <w:t>Visual Inspection of Seeds and Their Packaging</w:t>
      </w:r>
      <w:r w:rsidR="00AC636C">
        <w:t>)</w:t>
      </w:r>
      <w:r w:rsidRPr="00226489">
        <w:t>.</w:t>
      </w:r>
    </w:p>
    <w:p w:rsidR="00191DF8" w:rsidRPr="000C1C05" w:rsidP="00690C44" w14:paraId="192517F8" w14:textId="70020E25">
      <w:pPr>
        <w:pStyle w:val="GuidanceBulletLevel1"/>
      </w:pPr>
      <w:bookmarkStart w:id="227" w:name="_Hlk42109461"/>
      <w:r>
        <w:t>To minimize the risk of contamination associated with seeds for sprouting, we recommend that you request copies of assurances from your seed suppliers that the seeds they provide were produced under GAPs and handled according to food safety best practices throughout harvesting, conditioning, storage, and transportation</w:t>
      </w:r>
      <w:r w:rsidR="005D5B43">
        <w:t xml:space="preserve"> (</w:t>
      </w:r>
      <w:r w:rsidRPr="00AE4379" w:rsidR="00AE4379">
        <w:fldChar w:fldCharType="begin"/>
      </w:r>
      <w:r w:rsidRPr="00AE4379" w:rsidR="00AE4379">
        <w:instrText xml:space="preserve"> REF _Ref117782908 \h </w:instrText>
      </w:r>
      <w:r w:rsidR="00AE4379">
        <w:instrText xml:space="preserve"> \* MERGEFORMAT </w:instrText>
      </w:r>
      <w:r w:rsidRPr="00AE4379" w:rsidR="00AE4379">
        <w:fldChar w:fldCharType="separate"/>
      </w:r>
      <w:r w:rsidRPr="00CE014D" w:rsidR="00891F20">
        <w:t xml:space="preserve">Ref. </w:t>
      </w:r>
      <w:r w:rsidR="00891F20">
        <w:rPr>
          <w:noProof/>
        </w:rPr>
        <w:t>17</w:t>
      </w:r>
      <w:r w:rsidRPr="00AE4379" w:rsidR="00AE4379">
        <w:fldChar w:fldCharType="end"/>
      </w:r>
      <w:r w:rsidRPr="00AE4379" w:rsidR="00AE4379">
        <w:t>)</w:t>
      </w:r>
      <w:r w:rsidRPr="00AE4379">
        <w:t>.</w:t>
      </w:r>
      <w:r>
        <w:t xml:space="preserve"> We recommend receiving and maintaining copies of assurances from your seed suppliers as a prudent practice when sourcing the seeds used for sprouting and as a practice to support § 112.142(a).</w:t>
      </w:r>
    </w:p>
    <w:bookmarkEnd w:id="227"/>
    <w:p w:rsidR="00283602" w:rsidRPr="000C1C05" w:rsidP="00690C44" w14:paraId="7DB6CD70" w14:textId="77777777">
      <w:pPr>
        <w:pStyle w:val="GuidanceBulletLevel1"/>
      </w:pPr>
      <w:r w:rsidRPr="00226489">
        <w:t xml:space="preserve">We recommend that you establish and keep sufficient records to allow you to maintain the lot identity of the seeds you receive and the sprouts you produce. We recommend that you maintain such records related to each lot of seeds for at least two years after your last use of the seed lot. See </w:t>
      </w:r>
      <w:r w:rsidR="00C712CF">
        <w:t>sub</w:t>
      </w:r>
      <w:r w:rsidRPr="00226489">
        <w:t xml:space="preserve">section C (Corrective Actions for Seeds That May be Contaminated with a Pathogen) of </w:t>
      </w:r>
      <w:r w:rsidR="00683606">
        <w:t>Section</w:t>
      </w:r>
      <w:r w:rsidRPr="00226489">
        <w:t xml:space="preserve"> V </w:t>
      </w:r>
      <w:r w:rsidR="00124CD4">
        <w:t>(</w:t>
      </w:r>
      <w:r w:rsidRPr="00226489">
        <w:t>Seeds for Sprouting</w:t>
      </w:r>
      <w:r w:rsidR="00124CD4">
        <w:t>)</w:t>
      </w:r>
      <w:r w:rsidRPr="00226489">
        <w:t xml:space="preserve"> for more information.</w:t>
      </w:r>
    </w:p>
    <w:p w:rsidR="00191DF8" w:rsidRPr="00226489" w:rsidP="00E47C04" w14:paraId="3F154E60" w14:textId="62D3C7BD">
      <w:pPr>
        <w:pStyle w:val="GuidanceParagraph"/>
      </w:pPr>
      <w:r>
        <w:t>Seed</w:t>
      </w:r>
      <w:r>
        <w:rPr>
          <w:spacing w:val="-3"/>
        </w:rPr>
        <w:t xml:space="preserve"> </w:t>
      </w:r>
      <w:r>
        <w:t>lot numbers are</w:t>
      </w:r>
      <w:r>
        <w:rPr>
          <w:spacing w:val="1"/>
        </w:rPr>
        <w:t xml:space="preserve"> </w:t>
      </w:r>
      <w:r>
        <w:t xml:space="preserve">typically assigned </w:t>
      </w:r>
      <w:r>
        <w:rPr>
          <w:spacing w:val="1"/>
        </w:rPr>
        <w:t>by</w:t>
      </w:r>
      <w:r>
        <w:rPr>
          <w:spacing w:val="-5"/>
        </w:rPr>
        <w:t xml:space="preserve"> </w:t>
      </w:r>
      <w:r>
        <w:t>seed suppliers. The</w:t>
      </w:r>
      <w:r>
        <w:rPr>
          <w:spacing w:val="1"/>
        </w:rPr>
        <w:t xml:space="preserve"> </w:t>
      </w:r>
      <w:r>
        <w:t>seed lot number may</w:t>
      </w:r>
      <w:r>
        <w:rPr>
          <w:spacing w:val="-3"/>
        </w:rPr>
        <w:t xml:space="preserve"> </w:t>
      </w:r>
      <w:r>
        <w:t>appear on seed packages, or on seed shipment</w:t>
      </w:r>
      <w:r>
        <w:rPr>
          <w:spacing w:val="45"/>
        </w:rPr>
        <w:t xml:space="preserve"> </w:t>
      </w:r>
      <w:r>
        <w:t>records. The</w:t>
      </w:r>
      <w:r>
        <w:rPr>
          <w:spacing w:val="1"/>
        </w:rPr>
        <w:t xml:space="preserve"> </w:t>
      </w:r>
      <w:r>
        <w:t>seed lot number allows both</w:t>
      </w:r>
      <w:r>
        <w:rPr>
          <w:spacing w:val="-3"/>
        </w:rPr>
        <w:t xml:space="preserve"> </w:t>
      </w:r>
      <w:r>
        <w:t>the</w:t>
      </w:r>
      <w:r>
        <w:rPr>
          <w:spacing w:val="1"/>
        </w:rPr>
        <w:t xml:space="preserve"> </w:t>
      </w:r>
      <w:r>
        <w:t>seed supplier and</w:t>
      </w:r>
      <w:r>
        <w:rPr>
          <w:spacing w:val="-3"/>
        </w:rPr>
        <w:t xml:space="preserve"> </w:t>
      </w:r>
      <w:r>
        <w:t>you</w:t>
      </w:r>
      <w:r>
        <w:rPr>
          <w:spacing w:val="-3"/>
        </w:rPr>
        <w:t xml:space="preserve"> </w:t>
      </w:r>
      <w:r>
        <w:t>to track seeds. Although not required by the Produce Safety Rule we</w:t>
      </w:r>
      <w:r>
        <w:rPr>
          <w:spacing w:val="1"/>
        </w:rPr>
        <w:t xml:space="preserve"> </w:t>
      </w:r>
      <w:r>
        <w:t>recommend that you keep sufficient records</w:t>
      </w:r>
      <w:r>
        <w:rPr>
          <w:spacing w:val="-4"/>
        </w:rPr>
        <w:t xml:space="preserve"> </w:t>
      </w:r>
      <w:r>
        <w:t>to connect your test results and corrective</w:t>
      </w:r>
      <w:r>
        <w:rPr>
          <w:spacing w:val="1"/>
        </w:rPr>
        <w:t xml:space="preserve"> </w:t>
      </w:r>
      <w:r>
        <w:t>actions to specific</w:t>
      </w:r>
      <w:r>
        <w:rPr>
          <w:spacing w:val="1"/>
        </w:rPr>
        <w:t xml:space="preserve"> </w:t>
      </w:r>
      <w:r>
        <w:t xml:space="preserve">seed lots whenever possible. In addition, FDA published a rule to establish additional traceability recordkeeping requirements (beyond what is already required in existing regulations) for persons who manufacture, process, pack, or hold foods the Agency has designated for inclusion on the Food Traceability List. </w:t>
      </w:r>
      <w:r w:rsidR="002B0177">
        <w:t>T</w:t>
      </w:r>
      <w:r>
        <w:t xml:space="preserve">he rule </w:t>
      </w:r>
      <w:r w:rsidR="002B0177">
        <w:t xml:space="preserve">will </w:t>
      </w:r>
      <w:r>
        <w:t xml:space="preserve">affect some sprout operations. For further information, see “Food Traceability List” at </w:t>
      </w:r>
      <w:hyperlink r:id="rId25" w:history="1">
        <w:r>
          <w:rPr>
            <w:rStyle w:val="Hyperlink"/>
          </w:rPr>
          <w:t>https://www.fda.gov/food/food-safety-modernization-act-fsma/food-traceability-list</w:t>
        </w:r>
      </w:hyperlink>
      <w:r>
        <w:t xml:space="preserve">. </w:t>
      </w:r>
      <w:r w:rsidRPr="00226489">
        <w:t xml:space="preserve"> </w:t>
      </w:r>
      <w:bookmarkStart w:id="228" w:name="_Hlk42109498"/>
    </w:p>
    <w:p w:rsidR="00191DF8" w:rsidRPr="00226489" w:rsidP="006B398F" w14:paraId="713A1FB0" w14:textId="77777777">
      <w:pPr>
        <w:pStyle w:val="HHS508GuidanceOutline30"/>
      </w:pPr>
      <w:bookmarkStart w:id="229" w:name="_Toc44439392"/>
      <w:bookmarkStart w:id="230" w:name="_Toc106094983"/>
      <w:r>
        <w:t>Required Records for Spent Sprout Irrigation Water</w:t>
      </w:r>
      <w:bookmarkEnd w:id="229"/>
      <w:bookmarkEnd w:id="230"/>
      <w:r>
        <w:t xml:space="preserve"> </w:t>
      </w:r>
    </w:p>
    <w:p w:rsidR="00191DF8" w:rsidRPr="00226489" w:rsidP="00E47C04" w14:paraId="5DDE9175" w14:textId="6A840516">
      <w:pPr>
        <w:pStyle w:val="GuidanceParagraph"/>
        <w:rPr>
          <w:rStyle w:val="BodyTextChar"/>
          <w:rFonts w:eastAsiaTheme="minorHAnsi"/>
          <w:sz w:val="24"/>
          <w:szCs w:val="24"/>
        </w:rPr>
      </w:pPr>
      <w:r w:rsidRPr="00226489">
        <w:rPr>
          <w:rStyle w:val="BodyTextChar"/>
          <w:rFonts w:eastAsiaTheme="minorHAnsi"/>
          <w:sz w:val="24"/>
          <w:szCs w:val="24"/>
        </w:rPr>
        <w:t>Section</w:t>
      </w:r>
      <w:r w:rsidRPr="00226489" w:rsidR="00DA2616">
        <w:rPr>
          <w:rStyle w:val="BodyTextChar"/>
          <w:rFonts w:eastAsiaTheme="minorHAnsi"/>
          <w:sz w:val="24"/>
          <w:szCs w:val="24"/>
        </w:rPr>
        <w:t>s</w:t>
      </w:r>
      <w:r w:rsidRPr="00226489">
        <w:rPr>
          <w:rStyle w:val="BodyTextChar"/>
          <w:rFonts w:eastAsiaTheme="minorHAnsi"/>
          <w:sz w:val="24"/>
          <w:szCs w:val="24"/>
        </w:rPr>
        <w:t xml:space="preserve"> 112.150(b)(3) and </w:t>
      </w:r>
      <w:r w:rsidRPr="00226489" w:rsidR="00DA2616">
        <w:rPr>
          <w:rStyle w:val="BodyTextChar"/>
          <w:rFonts w:eastAsiaTheme="minorHAnsi"/>
          <w:sz w:val="24"/>
          <w:szCs w:val="24"/>
        </w:rPr>
        <w:t>1</w:t>
      </w:r>
      <w:r w:rsidRPr="00226489">
        <w:rPr>
          <w:rStyle w:val="BodyTextChar"/>
          <w:rFonts w:eastAsiaTheme="minorHAnsi"/>
          <w:sz w:val="24"/>
          <w:szCs w:val="24"/>
        </w:rPr>
        <w:t>12.147(a) require that you establish and implement a written sampling plan that identifies the number and location of samples (of spent sprout irrigation water or sprouts) to be collected for each production batch of sprouts to ensure that the collected samples are representative of the production batch when testing for contamination.</w:t>
      </w:r>
    </w:p>
    <w:p w:rsidR="00191DF8" w:rsidRPr="00226489" w:rsidP="001126A5" w14:paraId="3E7F0C59" w14:textId="030E93E4">
      <w:pPr>
        <w:pStyle w:val="GuidanceBulletLevel1"/>
      </w:pPr>
      <w:r w:rsidRPr="00226489">
        <w:rPr>
          <w:rStyle w:val="BodyTextChar"/>
          <w:rFonts w:eastAsiaTheme="minorHAnsi"/>
          <w:sz w:val="24"/>
          <w:szCs w:val="24"/>
        </w:rPr>
        <w:t xml:space="preserve">The plan should identify: the </w:t>
      </w:r>
      <w:r w:rsidRPr="00226489">
        <w:t xml:space="preserve">sample type (e.g., </w:t>
      </w:r>
      <w:r w:rsidRPr="00226489" w:rsidR="00BD19C6">
        <w:t>spent sprout irrigation water</w:t>
      </w:r>
      <w:r w:rsidRPr="00226489">
        <w:t>, sprouts); pathogens to be tested; specific test methods to be used; person(s) responsible for collecting the sample; timing of sample collection (e.g., number of hours after start of growing cycle); procedures for aseptic technique; sampling tools to be used; laboratory to be used; and records to be kept).</w:t>
      </w:r>
    </w:p>
    <w:p w:rsidR="00191DF8" w:rsidRPr="00EB2773" w:rsidP="001126A5" w14:paraId="2B0979D1" w14:textId="082F850F">
      <w:pPr>
        <w:pStyle w:val="GuidanceBulletLevel1"/>
      </w:pPr>
      <w:r w:rsidRPr="00226489">
        <w:rPr>
          <w:rStyle w:val="BodyTextChar"/>
          <w:rFonts w:eastAsiaTheme="minorHAnsi"/>
          <w:sz w:val="24"/>
          <w:szCs w:val="24"/>
        </w:rPr>
        <w:t xml:space="preserve">Your sampling plan must include a corrective action plan, which must, at a minimum, require you to take the actions specified in § 112.148, and </w:t>
      </w:r>
      <w:r w:rsidRPr="00226489">
        <w:rPr>
          <w:rStyle w:val="BodyTextChar"/>
          <w:rFonts w:eastAsiaTheme="minorHAnsi"/>
          <w:sz w:val="24"/>
          <w:szCs w:val="24"/>
        </w:rPr>
        <w:t xml:space="preserve">must </w:t>
      </w:r>
      <w:r w:rsidRPr="00226489">
        <w:rPr>
          <w:rStyle w:val="BodyTextChar"/>
          <w:rFonts w:eastAsiaTheme="minorHAnsi"/>
          <w:sz w:val="24"/>
          <w:szCs w:val="24"/>
        </w:rPr>
        <w:t xml:space="preserve">detail when and how you will accomplish those actions, if the samples of spent sprout irrigation water or sprouts test positive for </w:t>
      </w:r>
      <w:r w:rsidRPr="00226489">
        <w:rPr>
          <w:rStyle w:val="BodyTextChar"/>
          <w:rFonts w:eastAsiaTheme="minorHAnsi"/>
          <w:i/>
          <w:sz w:val="24"/>
          <w:szCs w:val="24"/>
        </w:rPr>
        <w:t>E. coli</w:t>
      </w:r>
      <w:r w:rsidRPr="00226489">
        <w:rPr>
          <w:rStyle w:val="BodyTextChar"/>
          <w:rFonts w:eastAsiaTheme="minorHAnsi"/>
          <w:sz w:val="24"/>
          <w:szCs w:val="24"/>
        </w:rPr>
        <w:t xml:space="preserve"> O157:H7, </w:t>
      </w:r>
      <w:r w:rsidRPr="00226489">
        <w:rPr>
          <w:rStyle w:val="BodyTextChar"/>
          <w:rFonts w:eastAsiaTheme="minorHAnsi"/>
          <w:i/>
          <w:sz w:val="24"/>
          <w:szCs w:val="24"/>
        </w:rPr>
        <w:t>Salmonella</w:t>
      </w:r>
      <w:r w:rsidRPr="00226489">
        <w:rPr>
          <w:rStyle w:val="BodyTextChar"/>
          <w:rFonts w:eastAsiaTheme="minorHAnsi"/>
          <w:sz w:val="24"/>
          <w:szCs w:val="24"/>
        </w:rPr>
        <w:t xml:space="preserve"> spp., or a pathogen meeting the criteria in § 112.144(c). </w:t>
      </w:r>
      <w:r w:rsidRPr="00226489">
        <w:t>(</w:t>
      </w:r>
      <w:r w:rsidR="00073588">
        <w:t>s</w:t>
      </w:r>
      <w:r w:rsidRPr="00226489">
        <w:t>ee</w:t>
      </w:r>
      <w:r w:rsidRPr="00226489">
        <w:t xml:space="preserve"> </w:t>
      </w:r>
      <w:r w:rsidRPr="00226489" w:rsidR="007B5F9C">
        <w:t>Section</w:t>
      </w:r>
      <w:r w:rsidRPr="00226489">
        <w:t xml:space="preserve"> </w:t>
      </w:r>
      <w:r w:rsidRPr="00226489" w:rsidR="00641907">
        <w:t>V</w:t>
      </w:r>
      <w:r w:rsidRPr="00226489">
        <w:t xml:space="preserve"> </w:t>
      </w:r>
      <w:r w:rsidR="000814FC">
        <w:t xml:space="preserve">(Sampling and Testing of Spent Sprout Irrigation Water (or In-Process Sprouts)) </w:t>
      </w:r>
      <w:r w:rsidRPr="00EB2773">
        <w:t xml:space="preserve">of </w:t>
      </w:r>
      <w:r w:rsidRPr="00EB2773" w:rsidR="001368B9">
        <w:t xml:space="preserve">the draft </w:t>
      </w:r>
      <w:r w:rsidRPr="00EB2773" w:rsidR="001C6D81">
        <w:t xml:space="preserve">re-issued </w:t>
      </w:r>
      <w:r w:rsidRPr="00EB2773" w:rsidR="00C323A6">
        <w:t xml:space="preserve">sections </w:t>
      </w:r>
      <w:r w:rsidRPr="00EB2773" w:rsidR="00EA4029">
        <w:t>(</w:t>
      </w:r>
      <w:r w:rsidRPr="00EB2773" w:rsidR="00891F20">
        <w:fldChar w:fldCharType="begin"/>
      </w:r>
      <w:r w:rsidRPr="00EB2773" w:rsidR="00891F20">
        <w:instrText xml:space="preserve"> REF _Ref126308691 \h  \* MERGEFORMAT </w:instrText>
      </w:r>
      <w:r w:rsidRPr="00EB2773" w:rsidR="00891F20">
        <w:fldChar w:fldCharType="separate"/>
      </w:r>
      <w:r w:rsidRPr="00EB2773" w:rsidR="00891F20">
        <w:t xml:space="preserve">Ref. </w:t>
      </w:r>
      <w:r w:rsidRPr="00EB2773" w:rsidR="00891F20">
        <w:rPr>
          <w:noProof/>
        </w:rPr>
        <w:t>18</w:t>
      </w:r>
      <w:r w:rsidRPr="00EB2773" w:rsidR="00891F20">
        <w:fldChar w:fldCharType="end"/>
      </w:r>
      <w:r w:rsidRPr="00EB2773" w:rsidR="00EA4029">
        <w:t>)</w:t>
      </w:r>
      <w:r w:rsidRPr="00EB2773" w:rsidR="00557654">
        <w:t xml:space="preserve"> </w:t>
      </w:r>
      <w:r w:rsidRPr="00EB2773">
        <w:t>for additional information on the written sampling plan)</w:t>
      </w:r>
    </w:p>
    <w:bookmarkEnd w:id="228"/>
    <w:p w:rsidR="00191DF8" w:rsidRPr="00EC0CC3" w:rsidP="00E47C04" w14:paraId="25930558" w14:textId="72B132BE">
      <w:pPr>
        <w:pStyle w:val="GuidanceParagraph"/>
      </w:pPr>
      <w:r w:rsidRPr="00EC0CC3">
        <w:t xml:space="preserve">Section 112.150(b)(5) requires you to establish and keep documentation of any analytical methods used to test for </w:t>
      </w:r>
      <w:r w:rsidRPr="00EC0CC3">
        <w:rPr>
          <w:i/>
        </w:rPr>
        <w:t>E. coli</w:t>
      </w:r>
      <w:r w:rsidRPr="00EC0CC3">
        <w:t xml:space="preserve"> O157:H7 or </w:t>
      </w:r>
      <w:r w:rsidRPr="00EC0CC3">
        <w:rPr>
          <w:i/>
        </w:rPr>
        <w:t>Salmonella</w:t>
      </w:r>
      <w:r w:rsidRPr="00EC0CC3">
        <w:t xml:space="preserve"> species in lieu of the methods for sprout production batch testing that are incorporated by reference in §§ 112.152 and 112.153. </w:t>
      </w:r>
    </w:p>
    <w:p w:rsidR="00191DF8" w:rsidRPr="00EC0CC3" w:rsidP="001126A5" w14:paraId="1440C036" w14:textId="7AC64188">
      <w:pPr>
        <w:pStyle w:val="GuidanceBulletLevel1"/>
      </w:pPr>
      <w:r w:rsidRPr="00EC0CC3">
        <w:t xml:space="preserve">Such records should include: 1) the </w:t>
      </w:r>
      <w:r w:rsidRPr="00EC0CC3">
        <w:rPr>
          <w:spacing w:val="-1"/>
        </w:rPr>
        <w:t>name and identification number of the method validated</w:t>
      </w:r>
      <w:r w:rsidRPr="00EC0CC3">
        <w:rPr>
          <w:spacing w:val="-3"/>
        </w:rPr>
        <w:t xml:space="preserve"> </w:t>
      </w:r>
      <w:r w:rsidRPr="00EC0CC3">
        <w:t>by</w:t>
      </w:r>
      <w:r w:rsidRPr="00EC0CC3">
        <w:rPr>
          <w:spacing w:val="-5"/>
        </w:rPr>
        <w:t xml:space="preserve"> </w:t>
      </w:r>
      <w:r w:rsidR="00046965">
        <w:rPr>
          <w:spacing w:val="-5"/>
        </w:rPr>
        <w:t xml:space="preserve">a </w:t>
      </w:r>
      <w:r w:rsidRPr="00EC0CC3">
        <w:t>third party</w:t>
      </w:r>
      <w:r w:rsidRPr="00EC0CC3">
        <w:rPr>
          <w:spacing w:val="-5"/>
        </w:rPr>
        <w:t xml:space="preserve"> </w:t>
      </w:r>
      <w:r w:rsidRPr="00EC0CC3">
        <w:t>methods</w:t>
      </w:r>
      <w:r w:rsidRPr="00EC0CC3">
        <w:rPr>
          <w:spacing w:val="-1"/>
        </w:rPr>
        <w:t xml:space="preserve"> validation</w:t>
      </w:r>
      <w:r w:rsidRPr="00EC0CC3">
        <w:t xml:space="preserve"> </w:t>
      </w:r>
      <w:r w:rsidRPr="00EC0CC3">
        <w:rPr>
          <w:spacing w:val="-1"/>
        </w:rPr>
        <w:t>organization</w:t>
      </w:r>
      <w:r w:rsidRPr="00EC0CC3">
        <w:t>, or 2) the detailed</w:t>
      </w:r>
      <w:r w:rsidRPr="00EC0CC3">
        <w:t xml:space="preserve"> </w:t>
      </w:r>
      <w:r w:rsidRPr="00EC0CC3">
        <w:t xml:space="preserve">analytical procedures and information relevant to the determination of the scientific validity of the alternate method; </w:t>
      </w:r>
    </w:p>
    <w:p w:rsidR="00191DF8" w:rsidRPr="00EC0CC3" w:rsidP="001126A5" w14:paraId="131A96C9" w14:textId="4870B687">
      <w:pPr>
        <w:pStyle w:val="GuidanceBulletLevel1"/>
      </w:pPr>
      <w:r w:rsidRPr="00EC0CC3">
        <w:t>In addition, if you test spent sprout irrigation water (or in-process sprouts) for any other pathogen(s) meeting the criteria in § 112.144(c), you should keep records of the scientifically valid test method you used for such testing (§ 112.153(b)).</w:t>
      </w:r>
    </w:p>
    <w:p w:rsidR="00191DF8" w:rsidRPr="00EC0CC3" w:rsidP="00E47C04" w14:paraId="7E175536" w14:textId="6C4BBB19">
      <w:pPr>
        <w:pStyle w:val="GuidanceParagraph"/>
        <w:rPr>
          <w:rStyle w:val="BodyTextChar"/>
          <w:rFonts w:eastAsiaTheme="minorEastAsia"/>
          <w:spacing w:val="-1"/>
          <w:sz w:val="24"/>
          <w:szCs w:val="24"/>
        </w:rPr>
      </w:pPr>
      <w:r w:rsidRPr="0A6AD459">
        <w:rPr>
          <w:rStyle w:val="BodyTextChar"/>
          <w:rFonts w:eastAsiaTheme="minorEastAsia"/>
          <w:sz w:val="24"/>
          <w:szCs w:val="24"/>
        </w:rPr>
        <w:t xml:space="preserve">Section </w:t>
      </w:r>
      <w:bookmarkStart w:id="231" w:name="_Hlk39177361"/>
      <w:r w:rsidRPr="0A6AD459">
        <w:rPr>
          <w:rStyle w:val="BodyTextChar"/>
          <w:rFonts w:eastAsiaTheme="minorEastAsia"/>
          <w:sz w:val="24"/>
          <w:szCs w:val="24"/>
        </w:rPr>
        <w:t>112.150(b)(4)</w:t>
      </w:r>
      <w:bookmarkEnd w:id="231"/>
      <w:r w:rsidRPr="0A6AD459">
        <w:rPr>
          <w:rStyle w:val="BodyTextChar"/>
          <w:rFonts w:eastAsiaTheme="minorEastAsia"/>
          <w:sz w:val="24"/>
          <w:szCs w:val="24"/>
        </w:rPr>
        <w:t xml:space="preserve"> requires that you establish and keep records of all analytical tests conducted of spent sprout irrigation water or in-process sprouts for </w:t>
      </w:r>
      <w:r w:rsidRPr="0A6AD459">
        <w:rPr>
          <w:rStyle w:val="BodyTextChar"/>
          <w:rFonts w:eastAsiaTheme="minorEastAsia"/>
          <w:i/>
          <w:sz w:val="24"/>
          <w:szCs w:val="24"/>
        </w:rPr>
        <w:t>Salmonella</w:t>
      </w:r>
      <w:r w:rsidRPr="0A6AD459">
        <w:rPr>
          <w:rStyle w:val="BodyTextChar"/>
          <w:rFonts w:eastAsiaTheme="minorEastAsia"/>
          <w:sz w:val="24"/>
          <w:szCs w:val="24"/>
        </w:rPr>
        <w:t xml:space="preserve"> spp., </w:t>
      </w:r>
      <w:r w:rsidRPr="0A6AD459">
        <w:rPr>
          <w:rStyle w:val="BodyTextChar"/>
          <w:rFonts w:eastAsiaTheme="minorEastAsia"/>
          <w:i/>
          <w:sz w:val="24"/>
          <w:szCs w:val="24"/>
        </w:rPr>
        <w:t>E. coli</w:t>
      </w:r>
      <w:r w:rsidRPr="0A6AD459">
        <w:rPr>
          <w:rStyle w:val="BodyTextChar"/>
          <w:rFonts w:eastAsiaTheme="minorEastAsia"/>
          <w:sz w:val="24"/>
          <w:szCs w:val="24"/>
        </w:rPr>
        <w:t xml:space="preserve"> O157:H7 as required under </w:t>
      </w:r>
      <w:r w:rsidRPr="00EC0CC3">
        <w:t xml:space="preserve">§ </w:t>
      </w:r>
      <w:r w:rsidRPr="0A6AD459">
        <w:rPr>
          <w:rStyle w:val="BodyTextChar"/>
          <w:rFonts w:eastAsiaTheme="minorEastAsia"/>
          <w:sz w:val="24"/>
          <w:szCs w:val="24"/>
        </w:rPr>
        <w:t xml:space="preserve">112.144(b), and any additional pathogen required under </w:t>
      </w:r>
      <w:r w:rsidRPr="00EC0CC3">
        <w:t xml:space="preserve">§ </w:t>
      </w:r>
      <w:r w:rsidRPr="0A6AD459">
        <w:rPr>
          <w:rStyle w:val="BodyTextChar"/>
          <w:rFonts w:eastAsiaTheme="minorEastAsia"/>
          <w:sz w:val="24"/>
          <w:szCs w:val="24"/>
        </w:rPr>
        <w:t>112.144(c). The results must be documented whether they were conducted by a third</w:t>
      </w:r>
      <w:r w:rsidR="00A22F21">
        <w:rPr>
          <w:rStyle w:val="BodyTextChar"/>
          <w:rFonts w:eastAsiaTheme="minorEastAsia"/>
          <w:sz w:val="24"/>
          <w:szCs w:val="24"/>
        </w:rPr>
        <w:t xml:space="preserve"> </w:t>
      </w:r>
      <w:r w:rsidRPr="0A6AD459">
        <w:rPr>
          <w:rStyle w:val="BodyTextChar"/>
          <w:rFonts w:eastAsiaTheme="minorEastAsia"/>
          <w:sz w:val="24"/>
          <w:szCs w:val="24"/>
        </w:rPr>
        <w:t>party or your own (e.g., in-house</w:t>
      </w:r>
      <w:r w:rsidR="006D63A6">
        <w:rPr>
          <w:rStyle w:val="BodyTextChar"/>
          <w:rFonts w:eastAsiaTheme="minorEastAsia"/>
          <w:sz w:val="24"/>
          <w:szCs w:val="24"/>
        </w:rPr>
        <w:t>)</w:t>
      </w:r>
      <w:r w:rsidRPr="0A6AD459">
        <w:rPr>
          <w:rStyle w:val="BodyTextChar"/>
          <w:rFonts w:eastAsiaTheme="minorEastAsia"/>
          <w:sz w:val="24"/>
          <w:szCs w:val="24"/>
        </w:rPr>
        <w:t xml:space="preserve"> laboratory.</w:t>
      </w:r>
      <w:bookmarkStart w:id="232" w:name="_Hlk39177287"/>
      <w:r w:rsidRPr="0A6AD459">
        <w:rPr>
          <w:rStyle w:val="BodyTextChar"/>
          <w:rFonts w:eastAsiaTheme="minorEastAsia"/>
          <w:sz w:val="24"/>
          <w:szCs w:val="24"/>
        </w:rPr>
        <w:t xml:space="preserve"> Records of required pathogen test results for spent sprout irrigation water (or sprouts) </w:t>
      </w:r>
      <w:r w:rsidRPr="00EC0CC3">
        <w:t xml:space="preserve">must </w:t>
      </w:r>
      <w:r w:rsidRPr="00EC0CC3">
        <w:rPr>
          <w:spacing w:val="-1"/>
        </w:rPr>
        <w:t>comply</w:t>
      </w:r>
      <w:r w:rsidRPr="00EC0CC3">
        <w:rPr>
          <w:spacing w:val="-5"/>
        </w:rPr>
        <w:t xml:space="preserve"> </w:t>
      </w:r>
      <w:r w:rsidRPr="00EC0CC3">
        <w:rPr>
          <w:spacing w:val="-1"/>
        </w:rPr>
        <w:t>with</w:t>
      </w:r>
      <w:r w:rsidRPr="00EC0CC3">
        <w:t xml:space="preserve"> all</w:t>
      </w:r>
      <w:r w:rsidRPr="00EC0CC3">
        <w:rPr>
          <w:spacing w:val="-2"/>
        </w:rPr>
        <w:t xml:space="preserve"> </w:t>
      </w:r>
      <w:r w:rsidRPr="00EC0CC3">
        <w:rPr>
          <w:spacing w:val="-1"/>
        </w:rPr>
        <w:t>applicable</w:t>
      </w:r>
      <w:r w:rsidRPr="00EC0CC3">
        <w:rPr>
          <w:spacing w:val="69"/>
        </w:rPr>
        <w:t xml:space="preserve"> </w:t>
      </w:r>
      <w:r w:rsidRPr="00EC0CC3">
        <w:rPr>
          <w:spacing w:val="-1"/>
        </w:rPr>
        <w:t>requirements for</w:t>
      </w:r>
      <w:r w:rsidRPr="00EC0CC3">
        <w:t xml:space="preserve"> records</w:t>
      </w:r>
      <w:r w:rsidRPr="00EC0CC3">
        <w:rPr>
          <w:spacing w:val="-1"/>
        </w:rPr>
        <w:t xml:space="preserve"> in</w:t>
      </w:r>
      <w:r w:rsidRPr="00EC0CC3">
        <w:t xml:space="preserve"> </w:t>
      </w:r>
      <w:r w:rsidRPr="00EC0CC3">
        <w:rPr>
          <w:spacing w:val="-1"/>
        </w:rPr>
        <w:t>Subpart</w:t>
      </w:r>
      <w:r w:rsidRPr="00EC0CC3">
        <w:t xml:space="preserve"> O</w:t>
      </w:r>
      <w:r w:rsidRPr="00EC0CC3">
        <w:rPr>
          <w:spacing w:val="-1"/>
        </w:rPr>
        <w:t>.</w:t>
      </w:r>
      <w:r w:rsidRPr="00EC0CC3">
        <w:t xml:space="preserve"> </w:t>
      </w:r>
      <w:r>
        <w:t>For</w:t>
      </w:r>
      <w:r w:rsidRPr="00EC0CC3">
        <w:t xml:space="preserve"> example, as applicable, these records must include</w:t>
      </w:r>
      <w:r w:rsidRPr="0A6AD459">
        <w:rPr>
          <w:rStyle w:val="BodyTextChar"/>
          <w:rFonts w:eastAsiaTheme="minorEastAsia"/>
          <w:sz w:val="24"/>
          <w:szCs w:val="24"/>
        </w:rPr>
        <w:t>:</w:t>
      </w:r>
    </w:p>
    <w:p w:rsidR="00191DF8" w:rsidRPr="00A063CF" w:rsidP="00690C44" w14:paraId="602D01A9" w14:textId="2608B84F">
      <w:pPr>
        <w:pStyle w:val="GuidanceBulletLevel1"/>
      </w:pPr>
      <w:bookmarkStart w:id="233" w:name="_Hlk39176934"/>
      <w:bookmarkEnd w:id="232"/>
      <w:r w:rsidRPr="00EC0CC3">
        <w:t>The name and location of your sprout operation (§ 112.161(a)(1)(i)</w:t>
      </w:r>
      <w:r w:rsidRPr="00EC0CC3">
        <w:t>);</w:t>
      </w:r>
    </w:p>
    <w:p w:rsidR="00191DF8" w:rsidRPr="00A063CF" w:rsidP="00690C44" w14:paraId="39A592C7" w14:textId="0C97728D">
      <w:pPr>
        <w:pStyle w:val="GuidanceBulletLevel1"/>
      </w:pPr>
      <w:r w:rsidRPr="00EC0CC3">
        <w:t>Actual values and observations obtained (e.g., test results from spent sprout irrigation water (or sprouts) for each pathogen, including screening and confirmatory test results (if conducted))</w:t>
      </w:r>
      <w:r w:rsidR="000F1479">
        <w:t xml:space="preserve"> </w:t>
      </w:r>
      <w:r w:rsidRPr="00EC0CC3" w:rsidR="000F1479">
        <w:t>(§ 112.161(a)(1)(i</w:t>
      </w:r>
      <w:r w:rsidR="000F1479">
        <w:t>i</w:t>
      </w:r>
      <w:r w:rsidRPr="00EC0CC3" w:rsidR="000F1479">
        <w:t>)</w:t>
      </w:r>
      <w:r w:rsidRPr="00EC0CC3" w:rsidR="000F1479">
        <w:t>)</w:t>
      </w:r>
      <w:r w:rsidRPr="00EC0CC3">
        <w:t>;</w:t>
      </w:r>
    </w:p>
    <w:p w:rsidR="00191DF8" w:rsidRPr="00A063CF" w:rsidP="00690C44" w14:paraId="1FFCA2BA" w14:textId="495E6BA7">
      <w:pPr>
        <w:pStyle w:val="GuidanceBulletLevel1"/>
      </w:pPr>
      <w:bookmarkStart w:id="234" w:name="_Hlk39177304"/>
      <w:r w:rsidRPr="00EC0CC3">
        <w:t>An adequate description of covered produce applicable to the record</w:t>
      </w:r>
      <w:bookmarkEnd w:id="234"/>
      <w:r w:rsidRPr="00EC0CC3">
        <w:t xml:space="preserve"> (e.g., production batch number)</w:t>
      </w:r>
      <w:r w:rsidR="000F1479">
        <w:t xml:space="preserve"> </w:t>
      </w:r>
      <w:r w:rsidRPr="00EC0CC3" w:rsidR="000F1479">
        <w:t>(§ 112.161(a)(1)(i</w:t>
      </w:r>
      <w:r w:rsidR="000F1479">
        <w:t>ii</w:t>
      </w:r>
      <w:r w:rsidRPr="00EC0CC3" w:rsidR="000F1479">
        <w:t>)</w:t>
      </w:r>
      <w:r w:rsidRPr="00EC0CC3" w:rsidR="000F1479">
        <w:t>)</w:t>
      </w:r>
      <w:r w:rsidRPr="00EC0CC3">
        <w:t>;</w:t>
      </w:r>
    </w:p>
    <w:p w:rsidR="00191DF8" w:rsidRPr="00A063CF" w:rsidP="00690C44" w14:paraId="39FB8985" w14:textId="7B2802AF">
      <w:pPr>
        <w:pStyle w:val="GuidanceBulletLevel1"/>
      </w:pPr>
      <w:r w:rsidRPr="00EC0CC3">
        <w:t>Location of the growing area from which the sample was collected (e.g., growing unit and growing area/room information)</w:t>
      </w:r>
      <w:r w:rsidR="000F1479">
        <w:t xml:space="preserve"> </w:t>
      </w:r>
      <w:r w:rsidRPr="00EC0CC3" w:rsidR="000F1479">
        <w:t>(§ 112.161(a)(1)(i</w:t>
      </w:r>
      <w:r w:rsidR="000F1479">
        <w:t>v</w:t>
      </w:r>
      <w:r w:rsidRPr="00EC0CC3" w:rsidR="000F1479">
        <w:t>)</w:t>
      </w:r>
      <w:r w:rsidRPr="00EC0CC3" w:rsidR="000F1479">
        <w:t>)</w:t>
      </w:r>
      <w:r w:rsidRPr="00EC0CC3">
        <w:t>;</w:t>
      </w:r>
      <w:r w:rsidRPr="00EC0CC3">
        <w:t xml:space="preserve"> </w:t>
      </w:r>
    </w:p>
    <w:p w:rsidR="00191DF8" w:rsidRPr="00A063CF" w:rsidP="00690C44" w14:paraId="01D785E4" w14:textId="7E244FE8">
      <w:pPr>
        <w:pStyle w:val="GuidanceBulletLevel1"/>
        <w:rPr>
          <w:spacing w:val="-1"/>
        </w:rPr>
      </w:pPr>
      <w:r w:rsidRPr="00EC0CC3">
        <w:t>Date and time of activity documented (e.g., date and time of sample collection, and sample receipt and analysis by the testing lab)</w:t>
      </w:r>
      <w:r w:rsidR="000F1479">
        <w:t xml:space="preserve"> </w:t>
      </w:r>
      <w:r w:rsidRPr="00EC0CC3" w:rsidR="000F1479">
        <w:t>(§ 112.161(a)(1)(</w:t>
      </w:r>
      <w:r w:rsidR="000F1479">
        <w:t>v</w:t>
      </w:r>
      <w:r w:rsidRPr="00EC0CC3" w:rsidR="000F1479">
        <w:t>))</w:t>
      </w:r>
      <w:r w:rsidRPr="00EC0CC3">
        <w:t>; and</w:t>
      </w:r>
    </w:p>
    <w:bookmarkEnd w:id="233"/>
    <w:p w:rsidR="00DB53D9" w:rsidRPr="00A063CF" w:rsidP="00690C44" w14:paraId="3DDD5039" w14:textId="30559C4E">
      <w:pPr>
        <w:pStyle w:val="GuidanceBulletLevel1"/>
        <w:rPr>
          <w:rStyle w:val="BodyTextChar"/>
          <w:rFonts w:eastAsiaTheme="minorHAnsi"/>
          <w:color w:val="auto"/>
          <w:sz w:val="24"/>
        </w:rPr>
      </w:pPr>
      <w:r w:rsidRPr="00DB53D9">
        <w:rPr>
          <w:rStyle w:val="BodyTextChar"/>
          <w:rFonts w:eastAsiaTheme="minorHAnsi"/>
          <w:spacing w:val="-1"/>
          <w:sz w:val="24"/>
          <w:szCs w:val="24"/>
        </w:rPr>
        <w:t>In addition, such records must be dated, and signed or initialed by the person who performed the activity documented (e.g., the individual who conducted sample analysis (</w:t>
      </w:r>
      <w:r w:rsidRPr="00DB53D9">
        <w:rPr>
          <w:rStyle w:val="BodyTextChar"/>
          <w:rFonts w:eastAsiaTheme="minorHAnsi"/>
          <w:sz w:val="24"/>
          <w:szCs w:val="24"/>
        </w:rPr>
        <w:t>§ 112.161(a)(4)), and reviewed, dated, and signed, within a reasonable time after the records are made, by a supervisor or responsible party (§ 112.161(b)).</w:t>
      </w:r>
    </w:p>
    <w:p w:rsidR="00191DF8" w:rsidRPr="00DB53D9" w:rsidP="00E47C04" w14:paraId="3B72C9E4" w14:textId="2323B8B7">
      <w:pPr>
        <w:pStyle w:val="GuidanceParagraph"/>
      </w:pPr>
      <w:r w:rsidRPr="00DB53D9">
        <w:t xml:space="preserve">Section 112.150(b)(6) requires that you establish and keep records of </w:t>
      </w:r>
      <w:r w:rsidR="00752EAD">
        <w:t xml:space="preserve">corrective </w:t>
      </w:r>
      <w:r w:rsidRPr="00DB53D9">
        <w:t xml:space="preserve">actions you take in accordance with </w:t>
      </w:r>
      <w:r w:rsidRPr="00EC0CC3">
        <w:t>§§ 112.142(b) and (c)</w:t>
      </w:r>
      <w:r w:rsidR="00DD4D9C">
        <w:t>, 112.146</w:t>
      </w:r>
      <w:r w:rsidRPr="00EC0CC3" w:rsidR="00DD4D9C">
        <w:t xml:space="preserve"> </w:t>
      </w:r>
      <w:r w:rsidRPr="00EC0CC3">
        <w:t xml:space="preserve">and 112.148. </w:t>
      </w:r>
      <w:r w:rsidRPr="001914F8">
        <w:t xml:space="preserve">See </w:t>
      </w:r>
      <w:r w:rsidR="00315F3D">
        <w:t>subs</w:t>
      </w:r>
      <w:r w:rsidRPr="001914F8">
        <w:t xml:space="preserve">ection </w:t>
      </w:r>
      <w:r w:rsidRPr="001914F8" w:rsidR="001E03BD">
        <w:t>V.</w:t>
      </w:r>
      <w:r w:rsidRPr="001914F8" w:rsidR="00A51850">
        <w:t xml:space="preserve"> </w:t>
      </w:r>
      <w:r w:rsidR="000814FC">
        <w:t>G</w:t>
      </w:r>
      <w:r w:rsidRPr="001914F8" w:rsidR="00A51850">
        <w:t xml:space="preserve">. 3 </w:t>
      </w:r>
      <w:r w:rsidR="00315F3D">
        <w:t>(</w:t>
      </w:r>
      <w:r w:rsidRPr="001914F8">
        <w:t>Documenting</w:t>
      </w:r>
      <w:r w:rsidR="000814FC">
        <w:t xml:space="preserve"> </w:t>
      </w:r>
      <w:r w:rsidR="00000A6C">
        <w:t>your</w:t>
      </w:r>
      <w:r w:rsidRPr="001914F8">
        <w:t xml:space="preserve"> </w:t>
      </w:r>
      <w:r w:rsidR="00000A6C">
        <w:t>c</w:t>
      </w:r>
      <w:r w:rsidRPr="001914F8">
        <w:t xml:space="preserve">orrective </w:t>
      </w:r>
      <w:r w:rsidR="00000A6C">
        <w:t>a</w:t>
      </w:r>
      <w:r w:rsidRPr="001914F8">
        <w:t>ctions</w:t>
      </w:r>
      <w:r w:rsidR="00315F3D">
        <w:t>)</w:t>
      </w:r>
      <w:r w:rsidRPr="001914F8">
        <w:t xml:space="preserve"> in </w:t>
      </w:r>
      <w:r w:rsidRPr="001914F8" w:rsidR="007B5F9C">
        <w:t>Section</w:t>
      </w:r>
      <w:r w:rsidRPr="001914F8">
        <w:t xml:space="preserve"> </w:t>
      </w:r>
      <w:r w:rsidRPr="001914F8" w:rsidR="00CA6F99">
        <w:t>V</w:t>
      </w:r>
      <w:r w:rsidRPr="001914F8">
        <w:t xml:space="preserve"> </w:t>
      </w:r>
      <w:r w:rsidR="004B2329">
        <w:t>(</w:t>
      </w:r>
      <w:r w:rsidRPr="001914F8">
        <w:t xml:space="preserve">Sampling and Testing </w:t>
      </w:r>
      <w:r w:rsidRPr="001914F8" w:rsidR="006D7192">
        <w:t>o</w:t>
      </w:r>
      <w:r w:rsidRPr="001914F8">
        <w:t>f Spent Sprout Irrigation Water</w:t>
      </w:r>
      <w:r w:rsidR="000814FC">
        <w:t xml:space="preserve"> (or In-Process Sprouts)</w:t>
      </w:r>
      <w:r w:rsidR="004B2329">
        <w:t>)</w:t>
      </w:r>
      <w:r w:rsidRPr="001914F8" w:rsidR="001F4AED">
        <w:t xml:space="preserve"> </w:t>
      </w:r>
      <w:r w:rsidRPr="00EB2773" w:rsidR="001F4AED">
        <w:t xml:space="preserve">in </w:t>
      </w:r>
      <w:r w:rsidRPr="00EB2773" w:rsidR="004B2329">
        <w:t xml:space="preserve">the draft </w:t>
      </w:r>
      <w:r w:rsidRPr="00EB2773" w:rsidR="001F4AED">
        <w:t xml:space="preserve">re-issued </w:t>
      </w:r>
      <w:r w:rsidRPr="00EB2773" w:rsidR="00471953">
        <w:t xml:space="preserve">sections </w:t>
      </w:r>
      <w:r w:rsidRPr="00EB2773" w:rsidR="004B2329">
        <w:t>(</w:t>
      </w:r>
      <w:r w:rsidRPr="00EB2773" w:rsidR="00891F20">
        <w:fldChar w:fldCharType="begin"/>
      </w:r>
      <w:r w:rsidRPr="00EB2773" w:rsidR="00891F20">
        <w:instrText xml:space="preserve"> REF _Ref126308691 \h  \* MERGEFORMAT </w:instrText>
      </w:r>
      <w:r w:rsidRPr="00EB2773" w:rsidR="00891F20">
        <w:fldChar w:fldCharType="separate"/>
      </w:r>
      <w:r w:rsidRPr="00EB2773" w:rsidR="00891F20">
        <w:t xml:space="preserve">Ref. </w:t>
      </w:r>
      <w:r w:rsidRPr="00EB2773" w:rsidR="00891F20">
        <w:rPr>
          <w:noProof/>
        </w:rPr>
        <w:t>18</w:t>
      </w:r>
      <w:r w:rsidRPr="00EB2773" w:rsidR="00891F20">
        <w:fldChar w:fldCharType="end"/>
      </w:r>
      <w:r w:rsidRPr="00EB2773" w:rsidR="004B2329">
        <w:t>)</w:t>
      </w:r>
      <w:r w:rsidRPr="00EB2773">
        <w:t>.</w:t>
      </w:r>
      <w:r w:rsidRPr="00EC0CC3">
        <w:t xml:space="preserve"> </w:t>
      </w:r>
    </w:p>
    <w:p w:rsidR="00191DF8" w:rsidRPr="00EC0CC3" w:rsidP="00E47C04" w14:paraId="3DB7F0B7" w14:textId="34D7EE9A">
      <w:pPr>
        <w:pStyle w:val="GuidanceParagraph"/>
      </w:pPr>
      <w:bookmarkStart w:id="235" w:name="_Hlk33603047"/>
      <w:r w:rsidRPr="00EC0CC3">
        <w:t xml:space="preserve">Such records also must </w:t>
      </w:r>
      <w:r w:rsidRPr="00EC0CC3">
        <w:rPr>
          <w:spacing w:val="-1"/>
        </w:rPr>
        <w:t>comply</w:t>
      </w:r>
      <w:r w:rsidRPr="00EC0CC3">
        <w:rPr>
          <w:spacing w:val="-5"/>
        </w:rPr>
        <w:t xml:space="preserve"> </w:t>
      </w:r>
      <w:r w:rsidRPr="00EC0CC3">
        <w:rPr>
          <w:spacing w:val="-1"/>
        </w:rPr>
        <w:t>with</w:t>
      </w:r>
      <w:r w:rsidRPr="00EC0CC3">
        <w:t xml:space="preserve"> all</w:t>
      </w:r>
      <w:r w:rsidRPr="00EC0CC3">
        <w:rPr>
          <w:spacing w:val="-2"/>
        </w:rPr>
        <w:t xml:space="preserve"> </w:t>
      </w:r>
      <w:r w:rsidRPr="00EC0CC3">
        <w:rPr>
          <w:spacing w:val="-1"/>
        </w:rPr>
        <w:t>applicable</w:t>
      </w:r>
      <w:r w:rsidRPr="00EC0CC3">
        <w:rPr>
          <w:spacing w:val="69"/>
        </w:rPr>
        <w:t xml:space="preserve"> </w:t>
      </w:r>
      <w:r w:rsidRPr="00EC0CC3">
        <w:rPr>
          <w:spacing w:val="-1"/>
        </w:rPr>
        <w:t>requirements for</w:t>
      </w:r>
      <w:r w:rsidRPr="00EC0CC3">
        <w:t xml:space="preserve"> records</w:t>
      </w:r>
      <w:r w:rsidRPr="00EC0CC3">
        <w:rPr>
          <w:spacing w:val="-1"/>
        </w:rPr>
        <w:t xml:space="preserve"> in</w:t>
      </w:r>
      <w:r w:rsidRPr="00EC0CC3">
        <w:t xml:space="preserve"> </w:t>
      </w:r>
      <w:r w:rsidRPr="00EC0CC3">
        <w:rPr>
          <w:spacing w:val="-1"/>
        </w:rPr>
        <w:t>Subpart</w:t>
      </w:r>
      <w:r w:rsidRPr="00EC0CC3">
        <w:t xml:space="preserve"> O</w:t>
      </w:r>
      <w:r w:rsidRPr="00EC0CC3">
        <w:rPr>
          <w:spacing w:val="-1"/>
        </w:rPr>
        <w:t>.</w:t>
      </w:r>
      <w:r w:rsidRPr="00EC0CC3">
        <w:t xml:space="preserve">  </w:t>
      </w:r>
      <w:r w:rsidRPr="00EC0CC3">
        <w:rPr>
          <w:spacing w:val="-2"/>
        </w:rPr>
        <w:t>For</w:t>
      </w:r>
      <w:r w:rsidRPr="00EC0CC3">
        <w:t xml:space="preserve"> example, as applicable, these records must include:</w:t>
      </w:r>
    </w:p>
    <w:p w:rsidR="00191DF8" w:rsidRPr="001126A5" w:rsidP="00690C44" w14:paraId="549A81DC" w14:textId="459D7397">
      <w:pPr>
        <w:pStyle w:val="GuidanceBulletLevel1"/>
      </w:pPr>
      <w:r w:rsidRPr="00EC0CC3">
        <w:t>The name and location of your sprout operation (§ 112.161(a)(1)(i)</w:t>
      </w:r>
      <w:r w:rsidRPr="00EC0CC3">
        <w:t>);</w:t>
      </w:r>
    </w:p>
    <w:p w:rsidR="00191DF8" w:rsidRPr="00A063CF" w:rsidP="00690C44" w14:paraId="4674A58B" w14:textId="5F037E3A">
      <w:pPr>
        <w:pStyle w:val="GuidanceBulletLevel1"/>
      </w:pPr>
      <w:r w:rsidRPr="00EC0CC3">
        <w:t>Actual values and observations (e.g., see above Required Records for Seed for Sprouting for examples related to the seed lot; sanitizer concentration, post-</w:t>
      </w:r>
      <w:r w:rsidRPr="005C7CA5">
        <w:t xml:space="preserve">cleaning </w:t>
      </w:r>
      <w:r w:rsidRPr="001914F8">
        <w:t>and sanitizing</w:t>
      </w:r>
      <w:r w:rsidRPr="005C7CA5">
        <w:t xml:space="preserve"> ATP test results, observations related to actions taken to prevent reoccurrence of</w:t>
      </w:r>
      <w:r w:rsidRPr="00EC0CC3">
        <w:t xml:space="preserve"> contamination (e.g., employee retraining (see § 112.21(d)) and observ</w:t>
      </w:r>
      <w:r w:rsidR="008C39F0">
        <w:t>ation</w:t>
      </w:r>
      <w:r w:rsidRPr="00EC0CC3">
        <w:t xml:space="preserve"> for compliance with procedures</w:t>
      </w:r>
      <w:r w:rsidRPr="00EC0CC3" w:rsidR="002A2748">
        <w:t>)</w:t>
      </w:r>
      <w:r w:rsidRPr="00EC0CC3">
        <w:t>)</w:t>
      </w:r>
      <w:r w:rsidR="0086657B">
        <w:t xml:space="preserve"> </w:t>
      </w:r>
      <w:r w:rsidRPr="00EC0CC3" w:rsidR="0086657B">
        <w:t>(§ 112.161(a)(1)(i</w:t>
      </w:r>
      <w:r w:rsidR="0086657B">
        <w:t>i</w:t>
      </w:r>
      <w:r w:rsidRPr="00EC0CC3" w:rsidR="0086657B">
        <w:t>)</w:t>
      </w:r>
      <w:r w:rsidRPr="00EC0CC3" w:rsidR="0086657B">
        <w:t>)</w:t>
      </w:r>
      <w:r w:rsidRPr="00EC0CC3">
        <w:t>;</w:t>
      </w:r>
      <w:r w:rsidRPr="00EC0CC3">
        <w:t xml:space="preserve"> </w:t>
      </w:r>
    </w:p>
    <w:p w:rsidR="00191DF8" w:rsidRPr="00A063CF" w:rsidP="00690C44" w14:paraId="03FFB06C" w14:textId="7CA962AC">
      <w:pPr>
        <w:pStyle w:val="GuidanceBulletLevel1"/>
      </w:pPr>
      <w:r w:rsidRPr="00EC0CC3">
        <w:t>An adequate description of covered produce applicable to the record (e.g., affected sprout production batch number)</w:t>
      </w:r>
      <w:r w:rsidR="0086657B">
        <w:t xml:space="preserve"> </w:t>
      </w:r>
      <w:r w:rsidRPr="00EC0CC3" w:rsidR="0086657B">
        <w:t>(§ 112.161(a)(1)(i</w:t>
      </w:r>
      <w:r w:rsidR="0086657B">
        <w:t>ii</w:t>
      </w:r>
      <w:r w:rsidRPr="00EC0CC3" w:rsidR="0086657B">
        <w:t>)</w:t>
      </w:r>
      <w:r w:rsidRPr="00EC0CC3" w:rsidR="0086657B">
        <w:t>)</w:t>
      </w:r>
      <w:r w:rsidRPr="00EC0CC3">
        <w:t>;</w:t>
      </w:r>
    </w:p>
    <w:p w:rsidR="00191DF8" w:rsidRPr="00A063CF" w:rsidP="00690C44" w14:paraId="031FDA6F" w14:textId="0EFAE200">
      <w:pPr>
        <w:pStyle w:val="GuidanceBulletLevel1"/>
        <w:rPr>
          <w:spacing w:val="-1"/>
        </w:rPr>
      </w:pPr>
      <w:r w:rsidRPr="00EC0CC3">
        <w:t>Location of a specific growing area or other area applicable to the record (e.g., location or other identifiers for growing units and other surfaces cleaned and sanitized as part of corrective actions)</w:t>
      </w:r>
      <w:r w:rsidR="0086657B">
        <w:t xml:space="preserve"> </w:t>
      </w:r>
      <w:r w:rsidRPr="00EC0CC3" w:rsidR="0086657B">
        <w:t>(§ 112.161(a)(1)(i</w:t>
      </w:r>
      <w:r w:rsidR="0086657B">
        <w:t>v</w:t>
      </w:r>
      <w:r w:rsidRPr="00EC0CC3" w:rsidR="0086657B">
        <w:t>)</w:t>
      </w:r>
      <w:r w:rsidRPr="00EC0CC3" w:rsidR="0086657B">
        <w:t>)</w:t>
      </w:r>
      <w:r w:rsidRPr="00EC0CC3">
        <w:t>;</w:t>
      </w:r>
    </w:p>
    <w:p w:rsidR="00191DF8" w:rsidRPr="00A063CF" w:rsidP="00690C44" w14:paraId="780B7477" w14:textId="00EF705A">
      <w:pPr>
        <w:pStyle w:val="GuidanceBulletLevel1"/>
        <w:rPr>
          <w:spacing w:val="-1"/>
        </w:rPr>
      </w:pPr>
      <w:r w:rsidRPr="00EC0CC3">
        <w:t>Date and time of activity documented (e.g., when cleaning and sanitizing or employee re-training corrective actions were conducted)</w:t>
      </w:r>
      <w:r w:rsidR="0086657B">
        <w:t xml:space="preserve"> </w:t>
      </w:r>
      <w:r w:rsidRPr="00EC0CC3" w:rsidR="0086657B">
        <w:t>(§ 112.161(a)(1)(</w:t>
      </w:r>
      <w:r w:rsidR="0086657B">
        <w:t>v</w:t>
      </w:r>
      <w:r w:rsidRPr="00EC0CC3" w:rsidR="0086657B">
        <w:t>))</w:t>
      </w:r>
      <w:r w:rsidRPr="00EC0CC3">
        <w:t>; and</w:t>
      </w:r>
    </w:p>
    <w:p w:rsidR="00D7604F" w:rsidRPr="00A063CF" w:rsidP="00690C44" w14:paraId="71AD4C2D" w14:textId="1E3CE34E">
      <w:pPr>
        <w:pStyle w:val="GuidanceBulletLevel1"/>
      </w:pPr>
      <w:r>
        <w:t>In addition, such records must be dated, and signed or initialed by the person who performed the activity documented (e.g., the individual who reported positive test findings to the seed supplier; the individual who took steps to ensure a contaminated production batch of sprouts did not enter commerce (§ 112.161(a)(4)) and reviewed, dated, and signed within a reasonable time after the records are made, by a supervisor or responsible party (§ 112.161(b)).</w:t>
      </w:r>
      <w:r>
        <w:tab/>
      </w:r>
    </w:p>
    <w:p w:rsidR="007C5C95" w:rsidP="006B398F" w14:paraId="4397FD06" w14:textId="689798E5">
      <w:pPr>
        <w:pStyle w:val="HHS508GuidanceOutline30"/>
      </w:pPr>
      <w:bookmarkStart w:id="236" w:name="_Toc44439393"/>
      <w:bookmarkStart w:id="237" w:name="_Toc106094984"/>
      <w:bookmarkStart w:id="238" w:name="_Hlk37844434"/>
      <w:r w:rsidRPr="00EC0CC3">
        <w:t xml:space="preserve">Required </w:t>
      </w:r>
      <w:r w:rsidRPr="00EC0CC3" w:rsidR="00104ACB">
        <w:t>r</w:t>
      </w:r>
      <w:r w:rsidRPr="00EC0CC3">
        <w:t xml:space="preserve">ecords for </w:t>
      </w:r>
      <w:r w:rsidRPr="00EC0CC3" w:rsidR="00104ACB">
        <w:t>e</w:t>
      </w:r>
      <w:r w:rsidRPr="00EC0CC3">
        <w:t xml:space="preserve">nvironmental </w:t>
      </w:r>
      <w:r w:rsidRPr="00EC0CC3" w:rsidR="00104ACB">
        <w:t>m</w:t>
      </w:r>
      <w:r w:rsidRPr="00EC0CC3">
        <w:t>onitoring</w:t>
      </w:r>
      <w:bookmarkEnd w:id="236"/>
      <w:bookmarkEnd w:id="237"/>
    </w:p>
    <w:p w:rsidR="00191DF8" w:rsidRPr="00EC0CC3" w:rsidP="00E47C04" w14:paraId="5C20012F" w14:textId="4026E3E9">
      <w:pPr>
        <w:pStyle w:val="GuidanceParagraph"/>
      </w:pPr>
      <w:bookmarkStart w:id="239" w:name="_Hlk42109643"/>
      <w:r w:rsidRPr="00EC0CC3">
        <w:t>Sections 112.150(b)(2)</w:t>
      </w:r>
      <w:r w:rsidRPr="00EC0CC3">
        <w:t xml:space="preserve"> </w:t>
      </w:r>
      <w:r w:rsidRPr="00EC0CC3">
        <w:t>require</w:t>
      </w:r>
      <w:r w:rsidR="006C0811">
        <w:t>s</w:t>
      </w:r>
      <w:r w:rsidRPr="00EC0CC3">
        <w:t xml:space="preserve"> that you establish and keep a written environmental monitoring plan, </w:t>
      </w:r>
      <w:r w:rsidR="006C0811">
        <w:t xml:space="preserve">in accordance with section 112.145, </w:t>
      </w:r>
      <w:r w:rsidRPr="00EC0CC3">
        <w:t xml:space="preserve">which is designed to identify </w:t>
      </w:r>
      <w:r w:rsidRPr="007C5C95">
        <w:rPr>
          <w:i/>
        </w:rPr>
        <w:t>Listeria monocytogenes</w:t>
      </w:r>
      <w:r w:rsidRPr="00EC0CC3">
        <w:t xml:space="preserve"> if it is present in the growing, harvesting, packing, or holding environment. </w:t>
      </w:r>
    </w:p>
    <w:p w:rsidR="00191DF8" w:rsidRPr="00EC0CC3" w:rsidP="001126A5" w14:paraId="52DA4A74" w14:textId="77777777">
      <w:pPr>
        <w:pStyle w:val="GuidanceBulletLevel1"/>
      </w:pPr>
      <w:r w:rsidRPr="00EC0CC3">
        <w:t xml:space="preserve">Your environmental monitoring plan must be directed to sampling and testing for either </w:t>
      </w:r>
      <w:r w:rsidRPr="00EC0CC3">
        <w:rPr>
          <w:i/>
        </w:rPr>
        <w:t>Listeria</w:t>
      </w:r>
      <w:r w:rsidRPr="00EC0CC3">
        <w:t xml:space="preserve"> species or </w:t>
      </w:r>
      <w:r w:rsidRPr="00EC0CC3">
        <w:rPr>
          <w:i/>
        </w:rPr>
        <w:t>L. monocytogenes</w:t>
      </w:r>
      <w:r w:rsidRPr="00EC0CC3">
        <w:t xml:space="preserve"> and your written environmental monitoring plan must include a sampling plan, including what you will test collected samples for, how often you will collect environmental samples, and a list of sample collection sites §§ 112.145(b), 112.145(c)). Your written environmental monitoring plan must include a corrective action plan that, at a minimum, requires you to take the actions in § 112.146, and details when and how you will accomplish those actions, if the growing, harvesting, packing, or holding environment tests positive for </w:t>
      </w:r>
      <w:r w:rsidRPr="0089175E">
        <w:rPr>
          <w:i/>
        </w:rPr>
        <w:t>Listeria</w:t>
      </w:r>
      <w:r w:rsidRPr="00EC0CC3">
        <w:t xml:space="preserve"> species or </w:t>
      </w:r>
      <w:r w:rsidRPr="0089175E">
        <w:rPr>
          <w:i/>
        </w:rPr>
        <w:t>L. monocytogenes</w:t>
      </w:r>
      <w:r w:rsidRPr="00EC0CC3">
        <w:t>.</w:t>
      </w:r>
    </w:p>
    <w:p w:rsidR="00191DF8" w:rsidRPr="00EC0CC3" w:rsidP="001126A5" w14:paraId="1B6730F0" w14:textId="50B62960">
      <w:pPr>
        <w:pStyle w:val="GuidanceBulletLevel1"/>
      </w:pPr>
      <w:r w:rsidRPr="00EC0CC3">
        <w:t>The plan should identify the specific test methods to be used, the person(s) responsible for collecting the sample, sample collection method type (e.g., sponge v</w:t>
      </w:r>
      <w:r w:rsidR="0089175E">
        <w:t>s</w:t>
      </w:r>
      <w:r w:rsidRPr="00EC0CC3">
        <w:t>. swab sampling, whether any samples will be composited), procedures for aseptic technique, laboratory to be used, and records to be kept</w:t>
      </w:r>
      <w:r w:rsidR="6B6CBA38">
        <w:t>.</w:t>
      </w:r>
    </w:p>
    <w:p w:rsidR="00191DF8" w:rsidRPr="00EC0CC3" w:rsidP="001126A5" w14:paraId="60CD3722" w14:textId="70395DA2">
      <w:pPr>
        <w:pStyle w:val="GuidanceBulletLevel1"/>
      </w:pPr>
      <w:r w:rsidRPr="00EC0CC3">
        <w:t xml:space="preserve">Section 112.150(b)(5) requires that you establish and keep records of any analytical methods you use in lieu of the methods that are incorporated by reference in §112.152(a). For example, your records could specify that you are using one of the methods that FDA listed in “Equivalent Testing Methodologies for </w:t>
      </w:r>
      <w:r w:rsidRPr="00EC0CC3">
        <w:rPr>
          <w:i/>
        </w:rPr>
        <w:t xml:space="preserve">Listeria </w:t>
      </w:r>
      <w:r w:rsidRPr="00EC0CC3">
        <w:t xml:space="preserve">species and </w:t>
      </w:r>
      <w:r w:rsidRPr="00EC0CC3">
        <w:rPr>
          <w:i/>
        </w:rPr>
        <w:t>Listeria monocytogenes</w:t>
      </w:r>
      <w:r w:rsidRPr="00EC0CC3">
        <w:t xml:space="preserve"> in Environmental Samples” on our Internet </w:t>
      </w:r>
      <w:r w:rsidR="002C3512">
        <w:t>site</w:t>
      </w:r>
      <w:r w:rsidRPr="00EC0CC3">
        <w:t xml:space="preserve"> (</w:t>
      </w:r>
      <w:hyperlink r:id="rId16">
        <w:r w:rsidRPr="326B5FC1" w:rsidR="6B6CBA38">
          <w:rPr>
            <w:rStyle w:val="Hyperlink"/>
          </w:rPr>
          <w:t>https://www.fda.gov/food/laboratory-methods-food/equivalent-testing-methodologies-listeria-species-and-listeria-monocytogenes-environmental-samples</w:t>
        </w:r>
      </w:hyperlink>
      <w:r w:rsidR="6B6CBA38">
        <w:t>)</w:t>
      </w:r>
      <w:r w:rsidR="46AD75B8">
        <w:t>.</w:t>
      </w:r>
      <w:r w:rsidRPr="00EC0CC3">
        <w:t xml:space="preserve"> If the alternate method that you use is not listed by FDA, your records of any alternate analytical methods you use in lieu of the methods that are incorporated by reference in § 112.152(a) (§ 112.150(b)(5)) should include 1) name and identification number of the method validated by </w:t>
      </w:r>
      <w:r w:rsidR="00631777">
        <w:t xml:space="preserve">a </w:t>
      </w:r>
      <w:r w:rsidRPr="00EC0CC3">
        <w:t>third party methods validation organization, or 2) the detailed analytical procedures, an explanation of why the alternate method is at least equivalent to the reference method (such as a scientific study, or data or information regarding the sensitivity, specificity, and precision of the alternate method compared to the reference method), and any other relevant information supporting the use of the alternate method. (</w:t>
      </w:r>
      <w:r w:rsidR="00073588">
        <w:t>s</w:t>
      </w:r>
      <w:r w:rsidRPr="00EC0CC3">
        <w:t>ee</w:t>
      </w:r>
      <w:r w:rsidRPr="00EC0CC3">
        <w:t xml:space="preserve"> </w:t>
      </w:r>
      <w:r w:rsidR="007755D2">
        <w:t>Sectio</w:t>
      </w:r>
      <w:r w:rsidRPr="001914F8" w:rsidR="007755D2">
        <w:t>n</w:t>
      </w:r>
      <w:r w:rsidRPr="001914F8">
        <w:t xml:space="preserve"> </w:t>
      </w:r>
      <w:r w:rsidRPr="001914F8" w:rsidR="00EA1F3A">
        <w:t>VI</w:t>
      </w:r>
      <w:r w:rsidR="003D4570">
        <w:t xml:space="preserve"> (Environmental Monitoring)</w:t>
      </w:r>
      <w:r w:rsidRPr="001914F8">
        <w:t xml:space="preserve"> of this</w:t>
      </w:r>
      <w:r w:rsidRPr="00EC0CC3">
        <w:t xml:space="preserve"> guidance for additional information on the written environmental monitoring plan</w:t>
      </w:r>
      <w:bookmarkEnd w:id="239"/>
      <w:r w:rsidRPr="00EC0CC3">
        <w:t>).</w:t>
      </w:r>
    </w:p>
    <w:p w:rsidR="00191DF8" w:rsidRPr="00EC0CC3" w:rsidP="00E47C04" w14:paraId="3BC90C49" w14:textId="63CA0590">
      <w:pPr>
        <w:pStyle w:val="GuidanceParagraph"/>
      </w:pPr>
      <w:r w:rsidRPr="00EC0CC3">
        <w:t xml:space="preserve">Section 112.150(b)(4) requires that you establish and keep records of test results from environmental testing for </w:t>
      </w:r>
      <w:r w:rsidRPr="00EC0CC3">
        <w:rPr>
          <w:i/>
        </w:rPr>
        <w:t>Listeria</w:t>
      </w:r>
      <w:r w:rsidRPr="00EC0CC3">
        <w:t xml:space="preserve"> spp. or </w:t>
      </w:r>
      <w:r w:rsidRPr="00EC0CC3">
        <w:rPr>
          <w:i/>
        </w:rPr>
        <w:t>L. monocytogenes</w:t>
      </w:r>
      <w:r w:rsidRPr="00EC0CC3">
        <w:t xml:space="preserve"> you perform in compliance with §§ 112.144(a) and 112.145 or any additional testing conducted if you detect </w:t>
      </w:r>
      <w:r w:rsidRPr="00EC0CC3">
        <w:rPr>
          <w:i/>
        </w:rPr>
        <w:t>Listeria</w:t>
      </w:r>
      <w:r w:rsidRPr="00EC0CC3">
        <w:t xml:space="preserve"> spp. or </w:t>
      </w:r>
      <w:r w:rsidRPr="00EC0CC3">
        <w:rPr>
          <w:i/>
        </w:rPr>
        <w:t>L. monocytogenes</w:t>
      </w:r>
      <w:r w:rsidRPr="00EC0CC3">
        <w:t xml:space="preserve"> in the environment in compliance with § 112.146 (a), (c), (d), and (e). The results of all analytical tests must be documented, regardless of whether they were conducted by your own (e.g., in-house) laboratories or third</w:t>
      </w:r>
      <w:r w:rsidR="00F27187">
        <w:t>-</w:t>
      </w:r>
      <w:r w:rsidRPr="00EC0CC3">
        <w:t xml:space="preserve">party laboratories. Records of environmental monitoring tests must </w:t>
      </w:r>
      <w:r w:rsidRPr="00EC0CC3">
        <w:rPr>
          <w:spacing w:val="-1"/>
        </w:rPr>
        <w:t>comply</w:t>
      </w:r>
      <w:r w:rsidRPr="00EC0CC3">
        <w:rPr>
          <w:spacing w:val="-5"/>
        </w:rPr>
        <w:t xml:space="preserve"> </w:t>
      </w:r>
      <w:r w:rsidRPr="00EC0CC3">
        <w:rPr>
          <w:spacing w:val="-1"/>
        </w:rPr>
        <w:t>with</w:t>
      </w:r>
      <w:r w:rsidRPr="00EC0CC3">
        <w:t xml:space="preserve"> all</w:t>
      </w:r>
      <w:r w:rsidRPr="00EC0CC3">
        <w:rPr>
          <w:spacing w:val="-2"/>
        </w:rPr>
        <w:t xml:space="preserve"> </w:t>
      </w:r>
      <w:r w:rsidRPr="00EC0CC3">
        <w:rPr>
          <w:spacing w:val="-1"/>
        </w:rPr>
        <w:t>applicable</w:t>
      </w:r>
      <w:r w:rsidRPr="00EC0CC3">
        <w:rPr>
          <w:spacing w:val="69"/>
        </w:rPr>
        <w:t xml:space="preserve"> </w:t>
      </w:r>
      <w:r w:rsidRPr="00EC0CC3">
        <w:rPr>
          <w:spacing w:val="-1"/>
        </w:rPr>
        <w:t>requirements for</w:t>
      </w:r>
      <w:r w:rsidRPr="00EC0CC3">
        <w:t xml:space="preserve"> records</w:t>
      </w:r>
      <w:r w:rsidRPr="00EC0CC3">
        <w:rPr>
          <w:spacing w:val="-1"/>
        </w:rPr>
        <w:t xml:space="preserve"> in</w:t>
      </w:r>
      <w:r w:rsidRPr="00EC0CC3">
        <w:t xml:space="preserve"> </w:t>
      </w:r>
      <w:r w:rsidRPr="00EC0CC3">
        <w:rPr>
          <w:spacing w:val="-1"/>
        </w:rPr>
        <w:t>Subpart</w:t>
      </w:r>
      <w:r w:rsidRPr="00EC0CC3">
        <w:t xml:space="preserve"> O</w:t>
      </w:r>
      <w:r w:rsidRPr="00EC0CC3">
        <w:rPr>
          <w:spacing w:val="-1"/>
        </w:rPr>
        <w:t>.</w:t>
      </w:r>
      <w:r w:rsidRPr="00EC0CC3">
        <w:t xml:space="preserve"> </w:t>
      </w:r>
      <w:r w:rsidRPr="00EC0CC3">
        <w:rPr>
          <w:spacing w:val="-2"/>
        </w:rPr>
        <w:t>For</w:t>
      </w:r>
      <w:r w:rsidRPr="00EC0CC3">
        <w:t xml:space="preserve"> example, as applicable, these records must include:</w:t>
      </w:r>
    </w:p>
    <w:p w:rsidR="00191DF8" w:rsidRPr="00726FBF" w:rsidP="00690C44" w14:paraId="2AE92CCE" w14:textId="7BB09E95">
      <w:pPr>
        <w:pStyle w:val="GuidanceBulletLevel1"/>
      </w:pPr>
      <w:r w:rsidRPr="00EC0CC3">
        <w:t>The name and location of your sprout operation (§ 112.161(a)(1)(i)</w:t>
      </w:r>
      <w:r w:rsidRPr="00EC0CC3">
        <w:t>);</w:t>
      </w:r>
    </w:p>
    <w:p w:rsidR="00191DF8" w:rsidRPr="00726FBF" w:rsidP="00690C44" w14:paraId="4E689DF9" w14:textId="259666FA">
      <w:pPr>
        <w:pStyle w:val="GuidanceBulletLevel1"/>
      </w:pPr>
      <w:r w:rsidRPr="00EC0CC3">
        <w:t xml:space="preserve">Actual values and observations obtained (e.g., test results, including screening and confirmatory test results (if conducted), and any results for </w:t>
      </w:r>
      <w:r w:rsidRPr="00EC0CC3">
        <w:rPr>
          <w:i/>
        </w:rPr>
        <w:t>Listeria</w:t>
      </w:r>
      <w:r w:rsidRPr="00EC0CC3">
        <w:t xml:space="preserve"> spp. and </w:t>
      </w:r>
      <w:r w:rsidRPr="00EC0CC3">
        <w:rPr>
          <w:i/>
        </w:rPr>
        <w:t>L. monocytogenes</w:t>
      </w:r>
      <w:r w:rsidRPr="00EC0CC3">
        <w:t>)</w:t>
      </w:r>
      <w:r w:rsidR="00FE62EA">
        <w:t xml:space="preserve"> </w:t>
      </w:r>
      <w:r w:rsidRPr="00EC0CC3" w:rsidR="00FE62EA">
        <w:t>(§ 112.161(a)(1)(i</w:t>
      </w:r>
      <w:r w:rsidR="00FE62EA">
        <w:t>i</w:t>
      </w:r>
      <w:r w:rsidRPr="00EC0CC3" w:rsidR="00FE62EA">
        <w:t>)</w:t>
      </w:r>
      <w:r w:rsidRPr="00EC0CC3" w:rsidR="00FE62EA">
        <w:t>)</w:t>
      </w:r>
      <w:r w:rsidRPr="00EC0CC3">
        <w:t>;</w:t>
      </w:r>
    </w:p>
    <w:p w:rsidR="00191DF8" w:rsidRPr="00726FBF" w:rsidP="00690C44" w14:paraId="1E8129B5" w14:textId="792FDD99">
      <w:pPr>
        <w:pStyle w:val="GuidanceBulletLevel1"/>
      </w:pPr>
      <w:r w:rsidRPr="00EC0CC3">
        <w:t>An adequate description of covered produce applicable to the record (e.g., production batch number(s) of sprouts in production at the time of the environmental sample)</w:t>
      </w:r>
      <w:r w:rsidR="00FE62EA">
        <w:t xml:space="preserve"> </w:t>
      </w:r>
      <w:r w:rsidRPr="00EC0CC3" w:rsidR="00FE62EA">
        <w:t>(§ 112.161(a)(1)(i</w:t>
      </w:r>
      <w:r w:rsidR="00FE62EA">
        <w:t>ii</w:t>
      </w:r>
      <w:r w:rsidRPr="00EC0CC3" w:rsidR="00FE62EA">
        <w:t>)</w:t>
      </w:r>
      <w:r w:rsidRPr="00EC0CC3" w:rsidR="00FE62EA">
        <w:t>)</w:t>
      </w:r>
      <w:r w:rsidRPr="00EC0CC3">
        <w:t>;</w:t>
      </w:r>
    </w:p>
    <w:p w:rsidR="00191DF8" w:rsidRPr="00726FBF" w:rsidP="00690C44" w14:paraId="5C29CCD5" w14:textId="4FCDAE06">
      <w:pPr>
        <w:pStyle w:val="GuidanceBulletLevel1"/>
      </w:pPr>
      <w:r w:rsidRPr="00EC0CC3">
        <w:t>Location of the growing area or other area(s) applicable to the record (e.g., identification of each sampling site, including whether it is an FCS or non-FCS site, description of the room or area in the sprout operation)</w:t>
      </w:r>
      <w:r w:rsidR="00FE62EA">
        <w:t xml:space="preserve"> </w:t>
      </w:r>
      <w:r w:rsidRPr="00EC0CC3" w:rsidR="00FE62EA">
        <w:t>(§ 112.161(a)(1)(i</w:t>
      </w:r>
      <w:r w:rsidR="00FE62EA">
        <w:t>v</w:t>
      </w:r>
      <w:r w:rsidRPr="00EC0CC3" w:rsidR="00FE62EA">
        <w:t>))</w:t>
      </w:r>
      <w:r w:rsidRPr="00EC0CC3">
        <w:t>; and</w:t>
      </w:r>
    </w:p>
    <w:p w:rsidR="00191DF8" w:rsidRPr="00726FBF" w:rsidP="00690C44" w14:paraId="4AA3FD8A" w14:textId="683E632C">
      <w:pPr>
        <w:pStyle w:val="GuidanceBulletLevel1"/>
      </w:pPr>
      <w:r w:rsidRPr="00EC0CC3">
        <w:t>Date and time of the activity documented (e.g., date/time of sample collection, and sample receipt and analysis by the testing lab)</w:t>
      </w:r>
      <w:r w:rsidR="00FE62EA">
        <w:t xml:space="preserve"> </w:t>
      </w:r>
      <w:r w:rsidRPr="00EC0CC3" w:rsidR="00FE62EA">
        <w:t>(§ 112.161(a)(1)(</w:t>
      </w:r>
      <w:r w:rsidR="00FE62EA">
        <w:t>v</w:t>
      </w:r>
      <w:r w:rsidRPr="00EC0CC3" w:rsidR="00FE62EA">
        <w:t>))</w:t>
      </w:r>
      <w:r w:rsidRPr="00EC0CC3">
        <w:t>.</w:t>
      </w:r>
    </w:p>
    <w:p w:rsidR="00191DF8" w:rsidRPr="00EC0CC3" w:rsidP="00E47C04" w14:paraId="10428222" w14:textId="1E1E3D37">
      <w:pPr>
        <w:pStyle w:val="GuidanceParagraph"/>
      </w:pPr>
      <w:r w:rsidRPr="00EC0CC3">
        <w:t xml:space="preserve">Section 112.150(b)(6) requires that you establish and keep records of corrective actions conducted in accordance with the requirements of § 112.146. See </w:t>
      </w:r>
      <w:r w:rsidRPr="001914F8" w:rsidR="007755D2">
        <w:t>Section</w:t>
      </w:r>
      <w:r w:rsidRPr="001914F8">
        <w:t xml:space="preserve"> </w:t>
      </w:r>
      <w:r w:rsidRPr="001914F8" w:rsidR="0062733C">
        <w:t>VI</w:t>
      </w:r>
      <w:r w:rsidRPr="001914F8">
        <w:t xml:space="preserve"> </w:t>
      </w:r>
      <w:r w:rsidR="00313CEA">
        <w:t>(</w:t>
      </w:r>
      <w:r w:rsidRPr="001914F8">
        <w:t>Environmental</w:t>
      </w:r>
      <w:r w:rsidRPr="00EC0CC3">
        <w:t xml:space="preserve"> Monitoring</w:t>
      </w:r>
      <w:r w:rsidR="00313CEA">
        <w:t>)</w:t>
      </w:r>
      <w:r w:rsidRPr="00EC0CC3">
        <w:t xml:space="preserve"> for more information. Such records must include:</w:t>
      </w:r>
    </w:p>
    <w:p w:rsidR="00191DF8" w:rsidRPr="00726FBF" w:rsidP="00690C44" w14:paraId="732ACE56" w14:textId="77777777">
      <w:pPr>
        <w:pStyle w:val="GuidanceBulletLevel1"/>
      </w:pPr>
      <w:bookmarkStart w:id="240" w:name="_Hlk42109711"/>
      <w:r w:rsidRPr="00EC0CC3">
        <w:t>The name and location of your sprout operation (112.161(a)(1)(i)</w:t>
      </w:r>
      <w:r w:rsidRPr="00EC0CC3">
        <w:t>);</w:t>
      </w:r>
    </w:p>
    <w:p w:rsidR="00191DF8" w:rsidRPr="00726FBF" w:rsidP="00690C44" w14:paraId="4C3AB6E6" w14:textId="0F20446D">
      <w:pPr>
        <w:pStyle w:val="GuidanceBulletLevel1"/>
      </w:pPr>
      <w:r w:rsidRPr="00EC0CC3">
        <w:t xml:space="preserve">Actual values and observations obtained (e.g., observations and information related to a comprehensive investigation following repeated </w:t>
      </w:r>
      <w:r w:rsidRPr="00EC0CC3">
        <w:rPr>
          <w:i/>
        </w:rPr>
        <w:t>Listeria</w:t>
      </w:r>
      <w:r w:rsidRPr="00EC0CC3">
        <w:t xml:space="preserve"> spp. positive results on an FCS</w:t>
      </w:r>
      <w:r w:rsidRPr="00EC0CC3">
        <w:t xml:space="preserve">, such as the food and </w:t>
      </w:r>
      <w:r w:rsidRPr="00EC0CC3">
        <w:t>FCSs</w:t>
      </w:r>
      <w:r w:rsidRPr="00EC0CC3">
        <w:t xml:space="preserve"> potentially affected by the contamination event</w:t>
      </w:r>
      <w:r w:rsidRPr="00EC0CC3">
        <w:t>)</w:t>
      </w:r>
      <w:r w:rsidR="00FE62EA">
        <w:t xml:space="preserve"> </w:t>
      </w:r>
      <w:r w:rsidRPr="00EC0CC3" w:rsidR="00FE62EA">
        <w:t>(§ 112.161(a)(1)(i</w:t>
      </w:r>
      <w:r w:rsidR="00FE62EA">
        <w:t>i</w:t>
      </w:r>
      <w:r w:rsidRPr="00EC0CC3" w:rsidR="00FE62EA">
        <w:t>)</w:t>
      </w:r>
      <w:r w:rsidRPr="00EC0CC3" w:rsidR="00FE62EA">
        <w:t>)</w:t>
      </w:r>
      <w:r w:rsidRPr="00EC0CC3">
        <w:t>;</w:t>
      </w:r>
    </w:p>
    <w:bookmarkEnd w:id="240"/>
    <w:p w:rsidR="00191DF8" w:rsidRPr="00726FBF" w:rsidP="00690C44" w14:paraId="03876090" w14:textId="6338C762">
      <w:pPr>
        <w:pStyle w:val="GuidanceBulletLevel1"/>
      </w:pPr>
      <w:r w:rsidRPr="00EC0CC3">
        <w:t>An adequate description of covered produce applicable to the record (e.g., production batch number of sprouts in production at the time of the corrective action)</w:t>
      </w:r>
      <w:r w:rsidR="00FE62EA">
        <w:t xml:space="preserve"> </w:t>
      </w:r>
      <w:r w:rsidRPr="00EC0CC3" w:rsidR="00FE62EA">
        <w:t>(§ 112.161(a)(1)(i</w:t>
      </w:r>
      <w:r w:rsidR="00FE62EA">
        <w:t>ii</w:t>
      </w:r>
      <w:r w:rsidRPr="00EC0CC3" w:rsidR="00FE62EA">
        <w:t>)</w:t>
      </w:r>
      <w:r w:rsidRPr="00EC0CC3" w:rsidR="00FE62EA">
        <w:t>)</w:t>
      </w:r>
      <w:r w:rsidRPr="00EC0CC3">
        <w:t>;</w:t>
      </w:r>
    </w:p>
    <w:p w:rsidR="00191DF8" w:rsidRPr="00726FBF" w:rsidP="00690C44" w14:paraId="7B9020F7" w14:textId="401AA4C1">
      <w:pPr>
        <w:pStyle w:val="GuidanceBulletLevel1"/>
      </w:pPr>
      <w:r w:rsidRPr="00EC0CC3">
        <w:t>Location of a growing area or other area(s) applicable to the record (e.g., identification of locations sampled or subjected to intensified cleaning and sanitizing)</w:t>
      </w:r>
      <w:r w:rsidR="00FE62EA">
        <w:t xml:space="preserve"> </w:t>
      </w:r>
      <w:r w:rsidRPr="00EC0CC3" w:rsidR="00FE62EA">
        <w:t>(§ 112.161(a)(1)(i</w:t>
      </w:r>
      <w:r w:rsidR="00FE62EA">
        <w:t>v</w:t>
      </w:r>
      <w:r w:rsidRPr="00EC0CC3" w:rsidR="00FE62EA">
        <w:t>))</w:t>
      </w:r>
      <w:r w:rsidRPr="00EC0CC3">
        <w:t>; and</w:t>
      </w:r>
    </w:p>
    <w:p w:rsidR="00191DF8" w:rsidRPr="00726FBF" w:rsidP="00690C44" w14:paraId="634DADD2" w14:textId="19769538">
      <w:pPr>
        <w:pStyle w:val="GuidanceBulletLevel1"/>
      </w:pPr>
      <w:r w:rsidRPr="00EC0CC3">
        <w:t>Date and time of the activity documented (e.g., date/time of testing or intensified cleaning and sanitizing)</w:t>
      </w:r>
      <w:r w:rsidR="00FE62EA">
        <w:t xml:space="preserve"> </w:t>
      </w:r>
      <w:r w:rsidRPr="00EC0CC3" w:rsidR="00FE62EA">
        <w:t>(§ 112.161(a)(1)(</w:t>
      </w:r>
      <w:r w:rsidR="00FE62EA">
        <w:t>v</w:t>
      </w:r>
      <w:r w:rsidRPr="00EC0CC3" w:rsidR="00FE62EA">
        <w:t>))</w:t>
      </w:r>
      <w:r w:rsidRPr="00EC0CC3">
        <w:t xml:space="preserve">. </w:t>
      </w:r>
    </w:p>
    <w:p w:rsidR="00191DF8" w:rsidRPr="00EC0CC3" w:rsidP="00F756C4" w14:paraId="76742FF6" w14:textId="54BAAA88">
      <w:pPr>
        <w:pStyle w:val="HHS508GuidanceOutline2"/>
      </w:pPr>
      <w:bookmarkStart w:id="241" w:name="_Toc44439388"/>
      <w:bookmarkStart w:id="242" w:name="_Toc106094985"/>
      <w:bookmarkEnd w:id="235"/>
      <w:bookmarkEnd w:id="238"/>
      <w:r w:rsidRPr="00EC0CC3">
        <w:rPr>
          <w:spacing w:val="-1"/>
        </w:rPr>
        <w:t>Records Required</w:t>
      </w:r>
      <w:r w:rsidRPr="00EC0CC3">
        <w:t xml:space="preserve"> by Provisions Other Than Subpart M</w:t>
      </w:r>
      <w:bookmarkEnd w:id="241"/>
      <w:bookmarkEnd w:id="242"/>
    </w:p>
    <w:p w:rsidR="00191DF8" w:rsidRPr="00EC0CC3" w:rsidP="00E47C04" w14:paraId="3B47AACE" w14:textId="56E1238A">
      <w:pPr>
        <w:pStyle w:val="GuidanceParagraph"/>
      </w:pPr>
      <w:r w:rsidRPr="00EC0CC3">
        <w:t xml:space="preserve">The records required under the Produce Safety Rule are dependent, in part, on the nature of the practices and procedures related to the covered activities in your sprout operation and are listed here under the applicable section of the Produce Safety Rule. </w:t>
      </w:r>
      <w:r w:rsidR="003F4774">
        <w:t>Other r</w:t>
      </w:r>
      <w:r w:rsidRPr="00EC0CC3">
        <w:t xml:space="preserve">equired records that are </w:t>
      </w:r>
      <w:r w:rsidR="00452A24">
        <w:t xml:space="preserve">relevant </w:t>
      </w:r>
      <w:r w:rsidRPr="00EC0CC3">
        <w:t xml:space="preserve">to sprout operations are discussed </w:t>
      </w:r>
      <w:r w:rsidRPr="001914F8">
        <w:t>below.</w:t>
      </w:r>
    </w:p>
    <w:p w:rsidR="00191DF8" w:rsidRPr="009D367D" w:rsidP="002A2F14" w14:paraId="4024FBC5" w14:textId="161D3F93">
      <w:pPr>
        <w:pStyle w:val="StyleCaptionArial11pt6ptafter"/>
        <w:spacing w:after="240"/>
      </w:pPr>
      <w:r w:rsidRPr="009D367D">
        <w:t xml:space="preserve">Table </w:t>
      </w:r>
      <w:r w:rsidR="00816346">
        <w:t>6</w:t>
      </w:r>
      <w:r w:rsidRPr="009D367D">
        <w:t xml:space="preserve">. Records Required by Provisions Other </w:t>
      </w:r>
      <w:r w:rsidR="007977B6">
        <w:t>T</w:t>
      </w:r>
      <w:r w:rsidRPr="009D367D">
        <w:t>han Subpart M</w:t>
      </w:r>
    </w:p>
    <w:tbl>
      <w:tblPr>
        <w:tblStyle w:val="TableGrid"/>
        <w:tblW w:w="0" w:type="auto"/>
        <w:tblLook w:val="04A0"/>
      </w:tblPr>
      <w:tblGrid>
        <w:gridCol w:w="2125"/>
        <w:gridCol w:w="7225"/>
      </w:tblGrid>
      <w:tr w14:paraId="57FADFD5" w14:textId="77777777" w:rsidTr="00C2719B">
        <w:tblPrEx>
          <w:tblW w:w="0" w:type="auto"/>
          <w:tblLook w:val="04A0"/>
        </w:tblPrEx>
        <w:trPr>
          <w:tblHeader/>
        </w:trPr>
        <w:tc>
          <w:tcPr>
            <w:tcW w:w="2245" w:type="dxa"/>
            <w:shd w:val="pct10" w:color="auto" w:fill="auto"/>
          </w:tcPr>
          <w:p w:rsidR="00191DF8" w:rsidRPr="008573BE" w:rsidP="002F002E" w14:paraId="65DB9B37" w14:textId="77777777">
            <w:pPr>
              <w:spacing w:after="240"/>
              <w:jc w:val="center"/>
              <w:rPr>
                <w:rFonts w:ascii="Times New Roman" w:hAnsi="Times New Roman" w:cs="Times New Roman"/>
                <w:b/>
                <w:sz w:val="24"/>
                <w:szCs w:val="24"/>
              </w:rPr>
            </w:pPr>
            <w:r w:rsidRPr="008573BE">
              <w:rPr>
                <w:rFonts w:ascii="Times New Roman" w:hAnsi="Times New Roman" w:cs="Times New Roman"/>
                <w:b/>
                <w:sz w:val="24"/>
                <w:szCs w:val="24"/>
              </w:rPr>
              <w:t>Record Type</w:t>
            </w:r>
          </w:p>
        </w:tc>
        <w:tc>
          <w:tcPr>
            <w:tcW w:w="8165" w:type="dxa"/>
            <w:shd w:val="pct10" w:color="auto" w:fill="auto"/>
          </w:tcPr>
          <w:p w:rsidR="00191DF8" w:rsidRPr="008573BE" w:rsidP="002F002E" w14:paraId="34DE8757" w14:textId="77777777">
            <w:pPr>
              <w:spacing w:after="240"/>
              <w:jc w:val="center"/>
              <w:rPr>
                <w:rFonts w:ascii="Times New Roman" w:hAnsi="Times New Roman" w:cs="Times New Roman"/>
                <w:b/>
                <w:sz w:val="24"/>
                <w:szCs w:val="24"/>
              </w:rPr>
            </w:pPr>
            <w:r w:rsidRPr="008573BE">
              <w:rPr>
                <w:rFonts w:ascii="Times New Roman" w:hAnsi="Times New Roman" w:cs="Times New Roman"/>
                <w:b/>
                <w:sz w:val="24"/>
                <w:szCs w:val="24"/>
              </w:rPr>
              <w:t>Description</w:t>
            </w:r>
          </w:p>
        </w:tc>
      </w:tr>
      <w:tr w14:paraId="7531DC49" w14:textId="77777777" w:rsidTr="00CD75FC">
        <w:tblPrEx>
          <w:tblW w:w="0" w:type="auto"/>
          <w:tblLook w:val="04A0"/>
        </w:tblPrEx>
        <w:tc>
          <w:tcPr>
            <w:tcW w:w="2245" w:type="dxa"/>
          </w:tcPr>
          <w:p w:rsidR="00191DF8" w:rsidRPr="008573BE" w:rsidP="002A2F14" w14:paraId="4E69D64E"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Records relating to commercial processing exemption</w:t>
            </w:r>
          </w:p>
        </w:tc>
        <w:tc>
          <w:tcPr>
            <w:tcW w:w="8165" w:type="dxa"/>
          </w:tcPr>
          <w:p w:rsidR="00191DF8" w:rsidRPr="008573BE" w:rsidP="002A2F14" w14:paraId="4D4F45B4" w14:textId="31938678">
            <w:pPr>
              <w:spacing w:after="240"/>
              <w:rPr>
                <w:rFonts w:ascii="Times New Roman" w:hAnsi="Times New Roman" w:cs="Times New Roman"/>
                <w:b/>
                <w:bCs/>
                <w:sz w:val="24"/>
                <w:szCs w:val="24"/>
              </w:rPr>
            </w:pPr>
            <w:r w:rsidRPr="008573BE">
              <w:rPr>
                <w:rFonts w:ascii="Times New Roman" w:hAnsi="Times New Roman" w:cs="Times New Roman"/>
                <w:sz w:val="24"/>
                <w:szCs w:val="24"/>
              </w:rPr>
              <w:t xml:space="preserve">Section 112.2(b) requires </w:t>
            </w:r>
            <w:r w:rsidRPr="419D1AAE" w:rsidR="43438626">
              <w:rPr>
                <w:rFonts w:ascii="Times New Roman" w:hAnsi="Times New Roman" w:cs="Times New Roman"/>
                <w:sz w:val="24"/>
                <w:szCs w:val="24"/>
              </w:rPr>
              <w:t>spr</w:t>
            </w:r>
            <w:r w:rsidRPr="419D1AAE" w:rsidR="042F9E56">
              <w:rPr>
                <w:rFonts w:ascii="Times New Roman" w:hAnsi="Times New Roman" w:cs="Times New Roman"/>
                <w:sz w:val="24"/>
                <w:szCs w:val="24"/>
              </w:rPr>
              <w:t>out operation</w:t>
            </w:r>
            <w:r w:rsidRPr="008573BE">
              <w:rPr>
                <w:rFonts w:ascii="Times New Roman" w:hAnsi="Times New Roman" w:cs="Times New Roman"/>
                <w:sz w:val="24"/>
                <w:szCs w:val="24"/>
              </w:rPr>
              <w:t>s relying on the exemption for produce that receives commercial processing that adequately reduces the presence of microorganisms of public health significance, provided for in § 112.2(b), to establish and maintain documentation of: 1) their required disclosures to customers; and 2) annual written assurances obtained from customers.</w:t>
            </w:r>
          </w:p>
        </w:tc>
      </w:tr>
      <w:tr w14:paraId="1D7C9343" w14:textId="77777777" w:rsidTr="00CD75FC">
        <w:tblPrEx>
          <w:tblW w:w="0" w:type="auto"/>
          <w:tblLook w:val="04A0"/>
        </w:tblPrEx>
        <w:tc>
          <w:tcPr>
            <w:tcW w:w="2245" w:type="dxa"/>
          </w:tcPr>
          <w:p w:rsidR="00191DF8" w:rsidRPr="008573BE" w:rsidP="002A2F14" w14:paraId="14DCCAD1" w14:textId="77777777">
            <w:pPr>
              <w:spacing w:after="240"/>
              <w:rPr>
                <w:rFonts w:ascii="Times New Roman" w:hAnsi="Times New Roman" w:cs="Times New Roman"/>
                <w:sz w:val="24"/>
                <w:szCs w:val="24"/>
              </w:rPr>
            </w:pPr>
            <w:r w:rsidRPr="008573BE">
              <w:rPr>
                <w:rFonts w:ascii="Times New Roman" w:hAnsi="Times New Roman" w:cs="Times New Roman"/>
                <w:bCs/>
                <w:sz w:val="24"/>
                <w:szCs w:val="24"/>
              </w:rPr>
              <w:t>Records relating to eligibility</w:t>
            </w:r>
            <w:r w:rsidRPr="008573BE">
              <w:rPr>
                <w:rFonts w:ascii="Times New Roman" w:hAnsi="Times New Roman" w:cs="Times New Roman"/>
                <w:bCs/>
                <w:spacing w:val="-3"/>
                <w:sz w:val="24"/>
                <w:szCs w:val="24"/>
              </w:rPr>
              <w:t xml:space="preserve"> </w:t>
            </w:r>
            <w:r w:rsidRPr="008573BE">
              <w:rPr>
                <w:rFonts w:ascii="Times New Roman" w:hAnsi="Times New Roman" w:cs="Times New Roman"/>
                <w:bCs/>
                <w:sz w:val="24"/>
                <w:szCs w:val="24"/>
              </w:rPr>
              <w:t>for</w:t>
            </w:r>
            <w:r w:rsidRPr="008573BE">
              <w:rPr>
                <w:rFonts w:ascii="Times New Roman" w:hAnsi="Times New Roman" w:cs="Times New Roman"/>
                <w:bCs/>
                <w:spacing w:val="1"/>
                <w:sz w:val="24"/>
                <w:szCs w:val="24"/>
              </w:rPr>
              <w:t xml:space="preserve"> </w:t>
            </w:r>
            <w:r w:rsidRPr="008573BE">
              <w:rPr>
                <w:rFonts w:ascii="Times New Roman" w:hAnsi="Times New Roman" w:cs="Times New Roman"/>
                <w:bCs/>
                <w:sz w:val="24"/>
                <w:szCs w:val="24"/>
              </w:rPr>
              <w:t>qualified exemption</w:t>
            </w:r>
          </w:p>
        </w:tc>
        <w:tc>
          <w:tcPr>
            <w:tcW w:w="8165" w:type="dxa"/>
          </w:tcPr>
          <w:p w:rsidR="00191DF8" w:rsidRPr="008573BE" w:rsidP="002A2F14" w14:paraId="755D75C9" w14:textId="7B3D0250">
            <w:pPr>
              <w:spacing w:after="240"/>
              <w:rPr>
                <w:rFonts w:ascii="Times New Roman" w:hAnsi="Times New Roman" w:cs="Times New Roman"/>
                <w:b/>
                <w:bCs/>
                <w:sz w:val="24"/>
                <w:szCs w:val="24"/>
              </w:rPr>
            </w:pPr>
            <w:r w:rsidRPr="008573BE">
              <w:rPr>
                <w:rFonts w:ascii="Times New Roman" w:hAnsi="Times New Roman" w:cs="Times New Roman"/>
                <w:sz w:val="24"/>
                <w:szCs w:val="24"/>
              </w:rPr>
              <w:t xml:space="preserve">Section 112.7 requires </w:t>
            </w:r>
            <w:r w:rsidRPr="419D1AAE" w:rsidR="216AE6DC">
              <w:rPr>
                <w:rFonts w:ascii="Times New Roman" w:hAnsi="Times New Roman" w:cs="Times New Roman"/>
                <w:sz w:val="24"/>
                <w:szCs w:val="24"/>
              </w:rPr>
              <w:t>sprout operation</w:t>
            </w:r>
            <w:r w:rsidRPr="008573BE">
              <w:rPr>
                <w:rFonts w:ascii="Times New Roman" w:hAnsi="Times New Roman" w:cs="Times New Roman"/>
                <w:sz w:val="24"/>
                <w:szCs w:val="24"/>
              </w:rPr>
              <w:t>s eligible for the qualified exemption, provide</w:t>
            </w:r>
            <w:r w:rsidR="002B4B31">
              <w:rPr>
                <w:rFonts w:ascii="Times New Roman" w:hAnsi="Times New Roman" w:cs="Times New Roman"/>
                <w:sz w:val="24"/>
                <w:szCs w:val="24"/>
              </w:rPr>
              <w:t>d</w:t>
            </w:r>
            <w:r w:rsidRPr="008573BE">
              <w:rPr>
                <w:rFonts w:ascii="Times New Roman" w:hAnsi="Times New Roman" w:cs="Times New Roman"/>
                <w:sz w:val="24"/>
                <w:szCs w:val="24"/>
              </w:rPr>
              <w:t xml:space="preserve"> for in § 112.5, to establish and keep adequate records necessary to demonstrate that the </w:t>
            </w:r>
            <w:r w:rsidRPr="419D1AAE" w:rsidR="4527B2FB">
              <w:rPr>
                <w:rFonts w:ascii="Times New Roman" w:hAnsi="Times New Roman" w:cs="Times New Roman"/>
                <w:sz w:val="24"/>
                <w:szCs w:val="24"/>
              </w:rPr>
              <w:t>sprout operation</w:t>
            </w:r>
            <w:r w:rsidRPr="008573BE">
              <w:rPr>
                <w:rFonts w:ascii="Times New Roman" w:hAnsi="Times New Roman" w:cs="Times New Roman"/>
                <w:sz w:val="24"/>
                <w:szCs w:val="24"/>
              </w:rPr>
              <w:t xml:space="preserve"> satisfies the criteria for a qualified exemption (e.g., dated sales receipts), including a written record reflecting that the owner, operator, or agent in charge of the </w:t>
            </w:r>
            <w:r w:rsidRPr="419D1AAE" w:rsidR="0E7BB846">
              <w:rPr>
                <w:rFonts w:ascii="Times New Roman" w:hAnsi="Times New Roman" w:cs="Times New Roman"/>
                <w:sz w:val="24"/>
                <w:szCs w:val="24"/>
              </w:rPr>
              <w:t>sprout operation</w:t>
            </w:r>
            <w:r w:rsidRPr="008573BE">
              <w:rPr>
                <w:rFonts w:ascii="Times New Roman" w:hAnsi="Times New Roman" w:cs="Times New Roman"/>
                <w:sz w:val="24"/>
                <w:szCs w:val="24"/>
              </w:rPr>
              <w:t xml:space="preserve"> has performed an annual review and verification of the </w:t>
            </w:r>
            <w:r w:rsidRPr="419D1AAE" w:rsidR="36518CE5">
              <w:rPr>
                <w:rFonts w:ascii="Times New Roman" w:hAnsi="Times New Roman" w:cs="Times New Roman"/>
                <w:sz w:val="24"/>
                <w:szCs w:val="24"/>
              </w:rPr>
              <w:t>sprout operation</w:t>
            </w:r>
            <w:r w:rsidRPr="008573BE">
              <w:rPr>
                <w:rFonts w:ascii="Times New Roman" w:hAnsi="Times New Roman" w:cs="Times New Roman"/>
                <w:sz w:val="24"/>
                <w:szCs w:val="24"/>
              </w:rPr>
              <w:t>’s continued eligibility for the qualified exemption.</w:t>
            </w:r>
          </w:p>
        </w:tc>
      </w:tr>
      <w:tr w14:paraId="5F1121CD" w14:textId="77777777" w:rsidTr="00CD75FC">
        <w:tblPrEx>
          <w:tblW w:w="0" w:type="auto"/>
          <w:tblLook w:val="04A0"/>
        </w:tblPrEx>
        <w:tc>
          <w:tcPr>
            <w:tcW w:w="2245" w:type="dxa"/>
          </w:tcPr>
          <w:p w:rsidR="00191DF8" w:rsidRPr="008573BE" w:rsidP="002A2F14" w14:paraId="4F2A32E7"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Records relating to training</w:t>
            </w:r>
          </w:p>
        </w:tc>
        <w:tc>
          <w:tcPr>
            <w:tcW w:w="8165" w:type="dxa"/>
          </w:tcPr>
          <w:p w:rsidR="00191DF8" w:rsidRPr="008573BE" w:rsidP="001914F8" w14:paraId="23BE856B" w14:textId="46390B81">
            <w:pPr>
              <w:spacing w:after="240"/>
              <w:rPr>
                <w:rFonts w:ascii="Times New Roman" w:hAnsi="Times New Roman" w:cs="Times New Roman"/>
                <w:b/>
                <w:sz w:val="24"/>
                <w:szCs w:val="24"/>
              </w:rPr>
            </w:pPr>
            <w:r w:rsidRPr="008573BE">
              <w:rPr>
                <w:rFonts w:ascii="Times New Roman" w:hAnsi="Times New Roman" w:cs="Times New Roman"/>
                <w:sz w:val="24"/>
                <w:szCs w:val="24"/>
              </w:rPr>
              <w:t xml:space="preserve">Section 112.30 requires you to establish and keep records that document required training of personnel, required by §§ 112.21 and 112.22, </w:t>
            </w:r>
            <w:r w:rsidRPr="008573BE">
              <w:rPr>
                <w:rFonts w:ascii="Times New Roman" w:hAnsi="Times New Roman" w:cs="Times New Roman"/>
                <w:sz w:val="24"/>
                <w:szCs w:val="24"/>
              </w:rPr>
              <w:t>including the date of training, topics covered, and the persons(s) trained.</w:t>
            </w:r>
          </w:p>
        </w:tc>
      </w:tr>
      <w:tr w14:paraId="522175C5" w14:textId="77777777" w:rsidTr="00CD75FC">
        <w:tblPrEx>
          <w:tblW w:w="0" w:type="auto"/>
          <w:tblLook w:val="04A0"/>
        </w:tblPrEx>
        <w:tc>
          <w:tcPr>
            <w:tcW w:w="2245" w:type="dxa"/>
          </w:tcPr>
          <w:p w:rsidR="00191DF8" w:rsidRPr="008573BE" w:rsidP="002A2F14" w14:paraId="2F4A9DB3" w14:textId="6F4F3B99">
            <w:pPr>
              <w:spacing w:after="240"/>
              <w:rPr>
                <w:rFonts w:ascii="Times New Roman" w:hAnsi="Times New Roman" w:cs="Times New Roman"/>
                <w:sz w:val="24"/>
                <w:szCs w:val="24"/>
              </w:rPr>
            </w:pPr>
            <w:r w:rsidRPr="008573BE">
              <w:rPr>
                <w:rFonts w:ascii="Times New Roman" w:hAnsi="Times New Roman" w:cs="Times New Roman"/>
                <w:sz w:val="24"/>
                <w:szCs w:val="24"/>
              </w:rPr>
              <w:t xml:space="preserve">Records related to </w:t>
            </w:r>
            <w:r w:rsidR="00F940F3">
              <w:rPr>
                <w:rFonts w:ascii="Times New Roman" w:hAnsi="Times New Roman" w:cs="Times New Roman"/>
                <w:sz w:val="24"/>
                <w:szCs w:val="24"/>
              </w:rPr>
              <w:t>A</w:t>
            </w:r>
            <w:r w:rsidRPr="008573BE">
              <w:rPr>
                <w:rFonts w:ascii="Times New Roman" w:hAnsi="Times New Roman" w:cs="Times New Roman"/>
                <w:sz w:val="24"/>
                <w:szCs w:val="24"/>
              </w:rPr>
              <w:t>gricultural</w:t>
            </w:r>
            <w:r w:rsidRPr="008573BE">
              <w:rPr>
                <w:rFonts w:ascii="Times New Roman" w:hAnsi="Times New Roman" w:cs="Times New Roman"/>
                <w:spacing w:val="-2"/>
                <w:sz w:val="24"/>
                <w:szCs w:val="24"/>
              </w:rPr>
              <w:t xml:space="preserve"> </w:t>
            </w:r>
            <w:r w:rsidRPr="008573BE">
              <w:rPr>
                <w:rFonts w:ascii="Times New Roman" w:hAnsi="Times New Roman" w:cs="Times New Roman"/>
                <w:sz w:val="24"/>
                <w:szCs w:val="24"/>
              </w:rPr>
              <w:t>water</w:t>
            </w:r>
          </w:p>
        </w:tc>
        <w:tc>
          <w:tcPr>
            <w:tcW w:w="8165" w:type="dxa"/>
          </w:tcPr>
          <w:p w:rsidR="00191DF8" w:rsidRPr="008573BE" w:rsidP="002A2F14" w14:paraId="5C90A8E7" w14:textId="4F2F73D3">
            <w:pPr>
              <w:spacing w:after="240"/>
              <w:rPr>
                <w:rFonts w:ascii="Times New Roman" w:hAnsi="Times New Roman" w:cs="Times New Roman"/>
                <w:sz w:val="24"/>
                <w:szCs w:val="24"/>
              </w:rPr>
            </w:pPr>
            <w:r w:rsidRPr="008573BE">
              <w:rPr>
                <w:rFonts w:ascii="Times New Roman" w:hAnsi="Times New Roman" w:cs="Times New Roman"/>
                <w:sz w:val="24"/>
                <w:szCs w:val="24"/>
              </w:rPr>
              <w:t>Section 112.50(b)(1)</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requires</w:t>
            </w:r>
            <w:r w:rsidRPr="008573BE">
              <w:rPr>
                <w:rFonts w:ascii="Times New Roman" w:hAnsi="Times New Roman" w:cs="Times New Roman"/>
                <w:spacing w:val="1"/>
                <w:sz w:val="24"/>
                <w:szCs w:val="24"/>
              </w:rPr>
              <w:t xml:space="preserve"> </w:t>
            </w:r>
            <w:r w:rsidRPr="008573BE">
              <w:rPr>
                <w:rFonts w:ascii="Times New Roman" w:hAnsi="Times New Roman" w:cs="Times New Roman"/>
                <w:spacing w:val="-2"/>
                <w:sz w:val="24"/>
                <w:szCs w:val="24"/>
              </w:rPr>
              <w:t>you</w:t>
            </w:r>
            <w:r w:rsidRPr="008573BE">
              <w:rPr>
                <w:rFonts w:ascii="Times New Roman" w:hAnsi="Times New Roman" w:cs="Times New Roman"/>
                <w:sz w:val="24"/>
                <w:szCs w:val="24"/>
              </w:rPr>
              <w:t xml:space="preserve"> to establish and </w:t>
            </w:r>
            <w:r w:rsidRPr="008573BE">
              <w:rPr>
                <w:rFonts w:ascii="Times New Roman" w:hAnsi="Times New Roman" w:cs="Times New Roman"/>
                <w:spacing w:val="-2"/>
                <w:sz w:val="24"/>
                <w:szCs w:val="24"/>
              </w:rPr>
              <w:t>keep</w:t>
            </w:r>
            <w:r w:rsidRPr="008573BE">
              <w:rPr>
                <w:rFonts w:ascii="Times New Roman" w:hAnsi="Times New Roman" w:cs="Times New Roman"/>
                <w:sz w:val="24"/>
                <w:szCs w:val="24"/>
              </w:rPr>
              <w:t xml:space="preserve"> records of </w:t>
            </w:r>
            <w:r w:rsidRPr="008573BE">
              <w:rPr>
                <w:rFonts w:ascii="Times New Roman" w:hAnsi="Times New Roman" w:cs="Times New Roman"/>
                <w:spacing w:val="-2"/>
                <w:sz w:val="24"/>
                <w:szCs w:val="24"/>
              </w:rPr>
              <w:t>your</w:t>
            </w:r>
            <w:r w:rsidRPr="008573BE">
              <w:rPr>
                <w:rFonts w:ascii="Times New Roman" w:hAnsi="Times New Roman" w:cs="Times New Roman"/>
                <w:sz w:val="24"/>
                <w:szCs w:val="24"/>
              </w:rPr>
              <w:t xml:space="preserve"> </w:t>
            </w:r>
            <w:r w:rsidR="00F940F3">
              <w:rPr>
                <w:rFonts w:ascii="Times New Roman" w:hAnsi="Times New Roman" w:cs="Times New Roman"/>
                <w:sz w:val="24"/>
                <w:szCs w:val="24"/>
              </w:rPr>
              <w:t>A</w:t>
            </w:r>
            <w:r w:rsidRPr="008573BE">
              <w:rPr>
                <w:rFonts w:ascii="Times New Roman" w:hAnsi="Times New Roman" w:cs="Times New Roman"/>
                <w:sz w:val="24"/>
                <w:szCs w:val="24"/>
              </w:rPr>
              <w:t>gricultural</w:t>
            </w:r>
            <w:r w:rsidRPr="008573BE">
              <w:rPr>
                <w:rFonts w:ascii="Times New Roman" w:hAnsi="Times New Roman" w:cs="Times New Roman"/>
                <w:spacing w:val="65"/>
                <w:sz w:val="24"/>
                <w:szCs w:val="24"/>
              </w:rPr>
              <w:t xml:space="preserve"> </w:t>
            </w:r>
            <w:r w:rsidRPr="008573BE">
              <w:rPr>
                <w:rFonts w:ascii="Times New Roman" w:hAnsi="Times New Roman" w:cs="Times New Roman"/>
                <w:sz w:val="24"/>
                <w:szCs w:val="24"/>
              </w:rPr>
              <w:t xml:space="preserve">water </w:t>
            </w:r>
            <w:r w:rsidRPr="008573BE">
              <w:rPr>
                <w:rFonts w:ascii="Times New Roman" w:hAnsi="Times New Roman" w:cs="Times New Roman"/>
                <w:spacing w:val="-2"/>
                <w:sz w:val="24"/>
                <w:szCs w:val="24"/>
              </w:rPr>
              <w:t>system</w:t>
            </w:r>
            <w:r w:rsidRPr="008573BE">
              <w:rPr>
                <w:rFonts w:ascii="Times New Roman" w:hAnsi="Times New Roman" w:cs="Times New Roman"/>
                <w:sz w:val="24"/>
                <w:szCs w:val="24"/>
              </w:rPr>
              <w:t xml:space="preserve"> inspection findings, required by</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 xml:space="preserve">§ </w:t>
            </w:r>
            <w:r w:rsidRPr="008573BE">
              <w:rPr>
                <w:rFonts w:ascii="Times New Roman" w:hAnsi="Times New Roman" w:cs="Times New Roman"/>
                <w:sz w:val="24"/>
                <w:szCs w:val="24"/>
              </w:rPr>
              <w:t>112.42(a);</w:t>
            </w:r>
          </w:p>
          <w:p w:rsidR="00191DF8" w:rsidRPr="008573BE" w:rsidP="002A2F14" w14:paraId="5AC4AF18" w14:textId="3747937E">
            <w:pPr>
              <w:spacing w:after="240"/>
              <w:rPr>
                <w:rFonts w:ascii="Times New Roman" w:hAnsi="Times New Roman" w:cs="Times New Roman"/>
                <w:sz w:val="24"/>
                <w:szCs w:val="24"/>
              </w:rPr>
            </w:pPr>
            <w:r w:rsidRPr="008573BE">
              <w:rPr>
                <w:rFonts w:ascii="Times New Roman" w:hAnsi="Times New Roman" w:cs="Times New Roman"/>
                <w:sz w:val="24"/>
                <w:szCs w:val="24"/>
              </w:rPr>
              <w:t>Section 112.50(b)(2)</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requires you to establish and keep documentation of</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the</w:t>
            </w:r>
            <w:r w:rsidRPr="008573BE">
              <w:rPr>
                <w:rFonts w:ascii="Times New Roman" w:hAnsi="Times New Roman" w:cs="Times New Roman"/>
                <w:spacing w:val="1"/>
                <w:sz w:val="24"/>
                <w:szCs w:val="24"/>
              </w:rPr>
              <w:t xml:space="preserve"> </w:t>
            </w:r>
            <w:r w:rsidRPr="008573BE">
              <w:rPr>
                <w:rFonts w:ascii="Times New Roman" w:hAnsi="Times New Roman" w:cs="Times New Roman"/>
                <w:sz w:val="24"/>
                <w:szCs w:val="24"/>
              </w:rPr>
              <w:t>results of</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all</w:t>
            </w:r>
            <w:r w:rsidRPr="008573BE">
              <w:rPr>
                <w:rFonts w:ascii="Times New Roman" w:hAnsi="Times New Roman" w:cs="Times New Roman"/>
                <w:spacing w:val="-2"/>
                <w:sz w:val="24"/>
                <w:szCs w:val="24"/>
              </w:rPr>
              <w:t xml:space="preserve"> </w:t>
            </w:r>
            <w:r w:rsidRPr="008573BE">
              <w:rPr>
                <w:rFonts w:ascii="Times New Roman" w:hAnsi="Times New Roman" w:cs="Times New Roman"/>
                <w:sz w:val="24"/>
                <w:szCs w:val="24"/>
              </w:rPr>
              <w:t>analytical tests</w:t>
            </w:r>
            <w:r w:rsidRPr="008573BE">
              <w:rPr>
                <w:rFonts w:ascii="Times New Roman" w:hAnsi="Times New Roman" w:cs="Times New Roman"/>
                <w:spacing w:val="41"/>
                <w:sz w:val="24"/>
                <w:szCs w:val="24"/>
              </w:rPr>
              <w:t xml:space="preserve"> </w:t>
            </w:r>
            <w:r w:rsidRPr="008573BE">
              <w:rPr>
                <w:rFonts w:ascii="Times New Roman" w:hAnsi="Times New Roman" w:cs="Times New Roman"/>
                <w:sz w:val="24"/>
                <w:szCs w:val="24"/>
              </w:rPr>
              <w:t>conducted on</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agricultural</w:t>
            </w:r>
            <w:r w:rsidRPr="008573BE">
              <w:rPr>
                <w:rFonts w:ascii="Times New Roman" w:hAnsi="Times New Roman" w:cs="Times New Roman"/>
                <w:spacing w:val="-2"/>
                <w:sz w:val="24"/>
                <w:szCs w:val="24"/>
              </w:rPr>
              <w:t xml:space="preserve"> </w:t>
            </w:r>
            <w:r w:rsidRPr="008573BE">
              <w:rPr>
                <w:rFonts w:ascii="Times New Roman" w:hAnsi="Times New Roman" w:cs="Times New Roman"/>
                <w:sz w:val="24"/>
                <w:szCs w:val="24"/>
              </w:rPr>
              <w:t>water for purposes of</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compliance</w:t>
            </w:r>
            <w:r w:rsidRPr="008573BE">
              <w:rPr>
                <w:rFonts w:ascii="Times New Roman" w:hAnsi="Times New Roman" w:cs="Times New Roman"/>
                <w:spacing w:val="1"/>
                <w:sz w:val="24"/>
                <w:szCs w:val="24"/>
              </w:rPr>
              <w:t xml:space="preserve"> </w:t>
            </w:r>
            <w:r w:rsidRPr="008573BE">
              <w:rPr>
                <w:rFonts w:ascii="Times New Roman" w:hAnsi="Times New Roman" w:cs="Times New Roman"/>
                <w:sz w:val="24"/>
                <w:szCs w:val="24"/>
              </w:rPr>
              <w:t xml:space="preserve">with Subpart </w:t>
            </w:r>
            <w:r w:rsidRPr="008573BE">
              <w:rPr>
                <w:rFonts w:ascii="Times New Roman" w:hAnsi="Times New Roman" w:cs="Times New Roman"/>
                <w:sz w:val="24"/>
                <w:szCs w:val="24"/>
              </w:rPr>
              <w:t>E;</w:t>
            </w:r>
          </w:p>
          <w:p w:rsidR="00191DF8" w:rsidRPr="008573BE" w:rsidP="002A2F14" w14:paraId="6BB3901A" w14:textId="565B2611">
            <w:pPr>
              <w:spacing w:after="240"/>
              <w:rPr>
                <w:rFonts w:ascii="Times New Roman" w:hAnsi="Times New Roman" w:cs="Times New Roman"/>
                <w:sz w:val="24"/>
                <w:szCs w:val="24"/>
              </w:rPr>
            </w:pPr>
            <w:r w:rsidRPr="008573BE">
              <w:rPr>
                <w:rFonts w:ascii="Times New Roman" w:hAnsi="Times New Roman" w:cs="Times New Roman"/>
                <w:sz w:val="24"/>
                <w:szCs w:val="24"/>
              </w:rPr>
              <w:t>Section 112.50(b)(3)</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requires you to establish and keep documentation of</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scientific</w:t>
            </w:r>
            <w:r w:rsidRPr="008573BE">
              <w:rPr>
                <w:rFonts w:ascii="Times New Roman" w:hAnsi="Times New Roman" w:cs="Times New Roman"/>
                <w:spacing w:val="1"/>
                <w:sz w:val="24"/>
                <w:szCs w:val="24"/>
              </w:rPr>
              <w:t xml:space="preserve"> </w:t>
            </w:r>
            <w:r w:rsidRPr="008573BE">
              <w:rPr>
                <w:rFonts w:ascii="Times New Roman" w:hAnsi="Times New Roman" w:cs="Times New Roman"/>
                <w:sz w:val="24"/>
                <w:szCs w:val="24"/>
              </w:rPr>
              <w:t>data</w:t>
            </w:r>
            <w:r w:rsidRPr="008573BE">
              <w:rPr>
                <w:rFonts w:ascii="Times New Roman" w:hAnsi="Times New Roman" w:cs="Times New Roman"/>
                <w:spacing w:val="1"/>
                <w:sz w:val="24"/>
                <w:szCs w:val="24"/>
              </w:rPr>
              <w:t xml:space="preserve"> </w:t>
            </w:r>
            <w:r w:rsidRPr="008573BE">
              <w:rPr>
                <w:rFonts w:ascii="Times New Roman" w:hAnsi="Times New Roman" w:cs="Times New Roman"/>
                <w:sz w:val="24"/>
                <w:szCs w:val="24"/>
              </w:rPr>
              <w:t>or</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information you rel</w:t>
            </w:r>
            <w:r w:rsidR="00E80182">
              <w:rPr>
                <w:rFonts w:ascii="Times New Roman" w:hAnsi="Times New Roman" w:cs="Times New Roman"/>
                <w:sz w:val="24"/>
                <w:szCs w:val="24"/>
              </w:rPr>
              <w:t>y</w:t>
            </w:r>
            <w:r w:rsidRPr="008573BE">
              <w:rPr>
                <w:rFonts w:ascii="Times New Roman" w:hAnsi="Times New Roman" w:cs="Times New Roman"/>
                <w:spacing w:val="53"/>
                <w:sz w:val="24"/>
                <w:szCs w:val="24"/>
              </w:rPr>
              <w:t xml:space="preserve"> </w:t>
            </w:r>
            <w:r w:rsidRPr="008573BE">
              <w:rPr>
                <w:rFonts w:ascii="Times New Roman" w:hAnsi="Times New Roman" w:cs="Times New Roman"/>
                <w:sz w:val="24"/>
                <w:szCs w:val="24"/>
              </w:rPr>
              <w:t>on to support</w:t>
            </w:r>
            <w:r w:rsidRPr="008573BE">
              <w:rPr>
                <w:rFonts w:ascii="Times New Roman" w:hAnsi="Times New Roman" w:cs="Times New Roman"/>
                <w:spacing w:val="-2"/>
                <w:sz w:val="24"/>
                <w:szCs w:val="24"/>
              </w:rPr>
              <w:t xml:space="preserve"> </w:t>
            </w:r>
            <w:r w:rsidRPr="008573BE">
              <w:rPr>
                <w:rFonts w:ascii="Times New Roman" w:hAnsi="Times New Roman" w:cs="Times New Roman"/>
                <w:sz w:val="24"/>
                <w:szCs w:val="24"/>
              </w:rPr>
              <w:t>the</w:t>
            </w:r>
            <w:r w:rsidRPr="008573BE">
              <w:rPr>
                <w:rFonts w:ascii="Times New Roman" w:hAnsi="Times New Roman" w:cs="Times New Roman"/>
                <w:spacing w:val="-2"/>
                <w:sz w:val="24"/>
                <w:szCs w:val="24"/>
              </w:rPr>
              <w:t xml:space="preserve"> </w:t>
            </w:r>
            <w:r w:rsidRPr="008573BE">
              <w:rPr>
                <w:rFonts w:ascii="Times New Roman" w:hAnsi="Times New Roman" w:cs="Times New Roman"/>
                <w:sz w:val="24"/>
                <w:szCs w:val="24"/>
              </w:rPr>
              <w:t>adequacy</w:t>
            </w:r>
            <w:r w:rsidRPr="008573BE">
              <w:rPr>
                <w:rFonts w:ascii="Times New Roman" w:hAnsi="Times New Roman" w:cs="Times New Roman"/>
                <w:spacing w:val="-3"/>
                <w:sz w:val="24"/>
                <w:szCs w:val="24"/>
              </w:rPr>
              <w:t xml:space="preserve"> </w:t>
            </w:r>
            <w:r w:rsidRPr="008573BE">
              <w:rPr>
                <w:rFonts w:ascii="Times New Roman" w:hAnsi="Times New Roman" w:cs="Times New Roman"/>
                <w:spacing w:val="1"/>
                <w:sz w:val="24"/>
                <w:szCs w:val="24"/>
              </w:rPr>
              <w:t>of</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a</w:t>
            </w:r>
            <w:r w:rsidRPr="008573BE">
              <w:rPr>
                <w:rFonts w:ascii="Times New Roman" w:hAnsi="Times New Roman" w:cs="Times New Roman"/>
                <w:spacing w:val="1"/>
                <w:sz w:val="24"/>
                <w:szCs w:val="24"/>
              </w:rPr>
              <w:t xml:space="preserve"> </w:t>
            </w:r>
            <w:r w:rsidRPr="008573BE">
              <w:rPr>
                <w:rFonts w:ascii="Times New Roman" w:hAnsi="Times New Roman" w:cs="Times New Roman"/>
                <w:sz w:val="24"/>
                <w:szCs w:val="24"/>
              </w:rPr>
              <w:t>method used to satisfy</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the</w:t>
            </w:r>
            <w:r w:rsidRPr="008573BE">
              <w:rPr>
                <w:rFonts w:ascii="Times New Roman" w:hAnsi="Times New Roman" w:cs="Times New Roman"/>
                <w:spacing w:val="1"/>
                <w:sz w:val="24"/>
                <w:szCs w:val="24"/>
              </w:rPr>
              <w:t xml:space="preserve"> </w:t>
            </w:r>
            <w:r w:rsidRPr="008573BE">
              <w:rPr>
                <w:rFonts w:ascii="Times New Roman" w:hAnsi="Times New Roman" w:cs="Times New Roman"/>
                <w:sz w:val="24"/>
                <w:szCs w:val="24"/>
              </w:rPr>
              <w:t>requirements of</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w:t>
            </w:r>
            <w:r w:rsidRPr="008573BE">
              <w:rPr>
                <w:rFonts w:ascii="Times New Roman" w:hAnsi="Times New Roman" w:cs="Times New Roman"/>
                <w:spacing w:val="33"/>
                <w:sz w:val="24"/>
                <w:szCs w:val="24"/>
              </w:rPr>
              <w:t xml:space="preserve"> </w:t>
            </w:r>
            <w:r w:rsidRPr="008573BE">
              <w:rPr>
                <w:rFonts w:ascii="Times New Roman" w:hAnsi="Times New Roman" w:cs="Times New Roman"/>
                <w:sz w:val="24"/>
                <w:szCs w:val="24"/>
              </w:rPr>
              <w:t>112.43(a)(1)</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and (a)(2) for treating</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agricultural water.</w:t>
            </w:r>
            <w:r w:rsidR="00CD2C04">
              <w:rPr>
                <w:rFonts w:ascii="Times New Roman" w:hAnsi="Times New Roman" w:cs="Times New Roman"/>
                <w:sz w:val="24"/>
                <w:szCs w:val="24"/>
              </w:rPr>
              <w:t xml:space="preserve"> </w:t>
            </w:r>
          </w:p>
          <w:p w:rsidR="00191DF8" w:rsidRPr="008573BE" w:rsidP="002A2F14" w14:paraId="01095049" w14:textId="60E0DF1D">
            <w:pPr>
              <w:spacing w:after="240"/>
              <w:rPr>
                <w:rFonts w:ascii="Times New Roman" w:hAnsi="Times New Roman" w:cs="Times New Roman"/>
                <w:sz w:val="24"/>
                <w:szCs w:val="24"/>
              </w:rPr>
            </w:pPr>
            <w:r w:rsidRPr="008573BE">
              <w:rPr>
                <w:rFonts w:ascii="Times New Roman" w:hAnsi="Times New Roman" w:cs="Times New Roman"/>
                <w:sz w:val="24"/>
                <w:szCs w:val="24"/>
              </w:rPr>
              <w:t>Section 112.50(b)(4)</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requires you to establish and keep documentation of</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results of</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water treatment monitoring</w:t>
            </w:r>
            <w:r w:rsidR="009424B0">
              <w:rPr>
                <w:rFonts w:ascii="Times New Roman" w:hAnsi="Times New Roman" w:cs="Times New Roman"/>
                <w:sz w:val="24"/>
                <w:szCs w:val="24"/>
              </w:rPr>
              <w:t xml:space="preserve"> under </w:t>
            </w:r>
            <w:r w:rsidRPr="008573BE">
              <w:rPr>
                <w:rFonts w:ascii="Times New Roman" w:hAnsi="Times New Roman" w:cs="Times New Roman"/>
                <w:sz w:val="24"/>
                <w:szCs w:val="24"/>
              </w:rPr>
              <w:t xml:space="preserve">§ 112.43(b). </w:t>
            </w:r>
          </w:p>
          <w:p w:rsidR="00191DF8" w:rsidRPr="008573BE" w:rsidP="002A2F14" w14:paraId="522D93E8" w14:textId="04D94283">
            <w:pPr>
              <w:spacing w:after="240"/>
              <w:rPr>
                <w:rFonts w:ascii="Times New Roman" w:hAnsi="Times New Roman" w:cs="Times New Roman"/>
                <w:sz w:val="24"/>
                <w:szCs w:val="24"/>
              </w:rPr>
            </w:pPr>
            <w:r w:rsidRPr="008573BE">
              <w:rPr>
                <w:rFonts w:ascii="Times New Roman" w:hAnsi="Times New Roman" w:cs="Times New Roman"/>
                <w:sz w:val="24"/>
                <w:szCs w:val="24"/>
              </w:rPr>
              <w:t>Section 112.50(b)(6)</w:t>
            </w:r>
            <w:r w:rsidRPr="008573BE">
              <w:rPr>
                <w:rFonts w:ascii="Times New Roman" w:hAnsi="Times New Roman" w:cs="Times New Roman"/>
                <w:spacing w:val="-2"/>
                <w:sz w:val="24"/>
                <w:szCs w:val="24"/>
              </w:rPr>
              <w:t xml:space="preserve"> </w:t>
            </w:r>
            <w:r w:rsidRPr="008573BE">
              <w:rPr>
                <w:rFonts w:ascii="Times New Roman" w:hAnsi="Times New Roman" w:cs="Times New Roman"/>
                <w:sz w:val="24"/>
                <w:szCs w:val="24"/>
              </w:rPr>
              <w:t>requires</w:t>
            </w:r>
            <w:r w:rsidRPr="008573BE">
              <w:rPr>
                <w:rFonts w:ascii="Times New Roman" w:hAnsi="Times New Roman" w:cs="Times New Roman"/>
                <w:spacing w:val="1"/>
                <w:sz w:val="24"/>
                <w:szCs w:val="24"/>
              </w:rPr>
              <w:t xml:space="preserve"> </w:t>
            </w:r>
            <w:r w:rsidRPr="008573BE">
              <w:rPr>
                <w:rFonts w:ascii="Times New Roman" w:hAnsi="Times New Roman" w:cs="Times New Roman"/>
                <w:spacing w:val="-2"/>
                <w:sz w:val="24"/>
                <w:szCs w:val="24"/>
              </w:rPr>
              <w:t>you</w:t>
            </w:r>
            <w:r w:rsidRPr="008573BE">
              <w:rPr>
                <w:rFonts w:ascii="Times New Roman" w:hAnsi="Times New Roman" w:cs="Times New Roman"/>
                <w:sz w:val="24"/>
                <w:szCs w:val="24"/>
              </w:rPr>
              <w:t xml:space="preserve"> to establish and </w:t>
            </w:r>
            <w:r w:rsidRPr="008573BE">
              <w:rPr>
                <w:rFonts w:ascii="Times New Roman" w:hAnsi="Times New Roman" w:cs="Times New Roman"/>
                <w:spacing w:val="-2"/>
                <w:sz w:val="24"/>
                <w:szCs w:val="24"/>
              </w:rPr>
              <w:t>keep</w:t>
            </w:r>
            <w:r w:rsidRPr="008573BE">
              <w:rPr>
                <w:rFonts w:ascii="Times New Roman" w:hAnsi="Times New Roman" w:cs="Times New Roman"/>
                <w:sz w:val="24"/>
                <w:szCs w:val="24"/>
              </w:rPr>
              <w:t xml:space="preserve"> documentation of</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actions</w:t>
            </w:r>
            <w:r w:rsidRPr="008573BE">
              <w:rPr>
                <w:rFonts w:ascii="Times New Roman" w:hAnsi="Times New Roman" w:cs="Times New Roman"/>
                <w:spacing w:val="1"/>
                <w:sz w:val="24"/>
                <w:szCs w:val="24"/>
              </w:rPr>
              <w:t xml:space="preserve"> </w:t>
            </w:r>
            <w:r w:rsidRPr="008573BE">
              <w:rPr>
                <w:rFonts w:ascii="Times New Roman" w:hAnsi="Times New Roman" w:cs="Times New Roman"/>
                <w:spacing w:val="-2"/>
                <w:sz w:val="24"/>
                <w:szCs w:val="24"/>
              </w:rPr>
              <w:t>you</w:t>
            </w:r>
            <w:r w:rsidRPr="008573BE">
              <w:rPr>
                <w:rFonts w:ascii="Times New Roman" w:hAnsi="Times New Roman" w:cs="Times New Roman"/>
                <w:spacing w:val="45"/>
                <w:sz w:val="24"/>
                <w:szCs w:val="24"/>
              </w:rPr>
              <w:t xml:space="preserve"> </w:t>
            </w:r>
            <w:r w:rsidRPr="008573BE">
              <w:rPr>
                <w:rFonts w:ascii="Times New Roman" w:hAnsi="Times New Roman" w:cs="Times New Roman"/>
                <w:sz w:val="24"/>
                <w:szCs w:val="24"/>
              </w:rPr>
              <w:t>take</w:t>
            </w:r>
            <w:r w:rsidRPr="008573BE">
              <w:rPr>
                <w:rFonts w:ascii="Times New Roman" w:hAnsi="Times New Roman" w:cs="Times New Roman"/>
                <w:spacing w:val="1"/>
                <w:sz w:val="24"/>
                <w:szCs w:val="24"/>
              </w:rPr>
              <w:t xml:space="preserve"> </w:t>
            </w:r>
            <w:r w:rsidR="009424B0">
              <w:rPr>
                <w:rFonts w:ascii="Times New Roman" w:hAnsi="Times New Roman" w:cs="Times New Roman"/>
                <w:sz w:val="24"/>
                <w:szCs w:val="24"/>
              </w:rPr>
              <w:t>in accordance with</w:t>
            </w:r>
            <w:r w:rsidRPr="008573BE">
              <w:rPr>
                <w:rFonts w:ascii="Times New Roman" w:hAnsi="Times New Roman" w:cs="Times New Roman"/>
                <w:sz w:val="24"/>
                <w:szCs w:val="24"/>
              </w:rPr>
              <w:t>§ 112.45</w:t>
            </w:r>
            <w:r w:rsidR="009424B0">
              <w:rPr>
                <w:rFonts w:ascii="Times New Roman" w:hAnsi="Times New Roman" w:cs="Times New Roman"/>
                <w:sz w:val="24"/>
                <w:szCs w:val="24"/>
              </w:rPr>
              <w:t xml:space="preserve"> (measures taken if agricultural water does not meet the requirements of </w:t>
            </w:r>
            <w:r w:rsidRPr="008573BE" w:rsidR="009424B0">
              <w:rPr>
                <w:rFonts w:ascii="Times New Roman" w:hAnsi="Times New Roman" w:cs="Times New Roman"/>
                <w:sz w:val="24"/>
                <w:szCs w:val="24"/>
              </w:rPr>
              <w:t>§</w:t>
            </w:r>
            <w:r w:rsidR="009424B0">
              <w:rPr>
                <w:rFonts w:ascii="Times New Roman" w:hAnsi="Times New Roman" w:cs="Times New Roman"/>
                <w:sz w:val="24"/>
                <w:szCs w:val="24"/>
              </w:rPr>
              <w:t xml:space="preserve"> 112.41 or </w:t>
            </w:r>
            <w:r w:rsidRPr="008573BE" w:rsidR="009424B0">
              <w:rPr>
                <w:rFonts w:ascii="Times New Roman" w:hAnsi="Times New Roman" w:cs="Times New Roman"/>
                <w:sz w:val="24"/>
                <w:szCs w:val="24"/>
              </w:rPr>
              <w:t>§</w:t>
            </w:r>
            <w:r w:rsidR="009424B0">
              <w:rPr>
                <w:rFonts w:ascii="Times New Roman" w:hAnsi="Times New Roman" w:cs="Times New Roman"/>
                <w:sz w:val="24"/>
                <w:szCs w:val="24"/>
              </w:rPr>
              <w:t xml:space="preserve"> 112.44)</w:t>
            </w:r>
            <w:r w:rsidRPr="008573BE">
              <w:rPr>
                <w:rFonts w:ascii="Times New Roman" w:hAnsi="Times New Roman" w:cs="Times New Roman"/>
                <w:sz w:val="24"/>
                <w:szCs w:val="24"/>
              </w:rPr>
              <w:t>.</w:t>
            </w:r>
          </w:p>
          <w:p w:rsidR="00191DF8" w:rsidRPr="008573BE" w:rsidP="002A2F14" w14:paraId="69151A69" w14:textId="56220F18">
            <w:pPr>
              <w:spacing w:after="240"/>
              <w:rPr>
                <w:rFonts w:ascii="Times New Roman" w:hAnsi="Times New Roman" w:cs="Times New Roman"/>
                <w:sz w:val="24"/>
                <w:szCs w:val="24"/>
              </w:rPr>
            </w:pPr>
            <w:r w:rsidRPr="008573BE">
              <w:rPr>
                <w:rFonts w:ascii="Times New Roman" w:hAnsi="Times New Roman" w:cs="Times New Roman"/>
                <w:sz w:val="24"/>
                <w:szCs w:val="24"/>
              </w:rPr>
              <w:t>Section 112.50(b)(7)</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requires you to establish and keep annual documentation</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of</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the</w:t>
            </w:r>
            <w:r w:rsidRPr="008573BE">
              <w:rPr>
                <w:rFonts w:ascii="Times New Roman" w:hAnsi="Times New Roman" w:cs="Times New Roman"/>
                <w:spacing w:val="1"/>
                <w:sz w:val="24"/>
                <w:szCs w:val="24"/>
              </w:rPr>
              <w:t xml:space="preserve"> </w:t>
            </w:r>
            <w:r w:rsidRPr="008573BE">
              <w:rPr>
                <w:rFonts w:ascii="Times New Roman" w:hAnsi="Times New Roman" w:cs="Times New Roman"/>
                <w:sz w:val="24"/>
                <w:szCs w:val="24"/>
              </w:rPr>
              <w:t>results or</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certificates of</w:t>
            </w:r>
            <w:r w:rsidRPr="008573BE">
              <w:rPr>
                <w:rFonts w:ascii="Times New Roman" w:hAnsi="Times New Roman" w:cs="Times New Roman"/>
                <w:spacing w:val="51"/>
                <w:sz w:val="24"/>
                <w:szCs w:val="24"/>
              </w:rPr>
              <w:t xml:space="preserve"> </w:t>
            </w:r>
            <w:r w:rsidRPr="008573BE">
              <w:rPr>
                <w:rFonts w:ascii="Times New Roman" w:hAnsi="Times New Roman" w:cs="Times New Roman"/>
                <w:sz w:val="24"/>
                <w:szCs w:val="24"/>
              </w:rPr>
              <w:t>compliance</w:t>
            </w:r>
            <w:r w:rsidRPr="008573BE">
              <w:rPr>
                <w:rFonts w:ascii="Times New Roman" w:hAnsi="Times New Roman" w:cs="Times New Roman"/>
                <w:spacing w:val="1"/>
                <w:sz w:val="24"/>
                <w:szCs w:val="24"/>
              </w:rPr>
              <w:t xml:space="preserve"> </w:t>
            </w:r>
            <w:r w:rsidRPr="008573BE">
              <w:rPr>
                <w:rFonts w:ascii="Times New Roman" w:hAnsi="Times New Roman" w:cs="Times New Roman"/>
                <w:sz w:val="24"/>
                <w:szCs w:val="24"/>
              </w:rPr>
              <w:t>from</w:t>
            </w:r>
            <w:r w:rsidRPr="008573BE">
              <w:rPr>
                <w:rFonts w:ascii="Times New Roman" w:hAnsi="Times New Roman" w:cs="Times New Roman"/>
                <w:spacing w:val="-2"/>
                <w:sz w:val="24"/>
                <w:szCs w:val="24"/>
              </w:rPr>
              <w:t xml:space="preserve"> </w:t>
            </w:r>
            <w:r w:rsidRPr="008573BE">
              <w:rPr>
                <w:rFonts w:ascii="Times New Roman" w:hAnsi="Times New Roman" w:cs="Times New Roman"/>
                <w:sz w:val="24"/>
                <w:szCs w:val="24"/>
              </w:rPr>
              <w:t>a</w:t>
            </w:r>
            <w:r w:rsidRPr="008573BE">
              <w:rPr>
                <w:rFonts w:ascii="Times New Roman" w:hAnsi="Times New Roman" w:cs="Times New Roman"/>
                <w:spacing w:val="1"/>
                <w:sz w:val="24"/>
                <w:szCs w:val="24"/>
              </w:rPr>
              <w:t xml:space="preserve"> </w:t>
            </w:r>
            <w:r w:rsidRPr="008573BE">
              <w:rPr>
                <w:rFonts w:ascii="Times New Roman" w:hAnsi="Times New Roman" w:cs="Times New Roman"/>
                <w:sz w:val="24"/>
                <w:szCs w:val="24"/>
              </w:rPr>
              <w:t>Public</w:t>
            </w:r>
            <w:r w:rsidRPr="008573BE">
              <w:rPr>
                <w:rFonts w:ascii="Times New Roman" w:hAnsi="Times New Roman" w:cs="Times New Roman"/>
                <w:spacing w:val="-2"/>
                <w:sz w:val="24"/>
                <w:szCs w:val="24"/>
              </w:rPr>
              <w:t xml:space="preserve"> </w:t>
            </w:r>
            <w:r w:rsidRPr="008573BE">
              <w:rPr>
                <w:rFonts w:ascii="Times New Roman" w:hAnsi="Times New Roman" w:cs="Times New Roman"/>
                <w:sz w:val="24"/>
                <w:szCs w:val="24"/>
              </w:rPr>
              <w:t>Water System required</w:t>
            </w:r>
            <w:r w:rsidRPr="008573BE">
              <w:rPr>
                <w:rFonts w:ascii="Times New Roman" w:hAnsi="Times New Roman" w:cs="Times New Roman"/>
                <w:spacing w:val="-3"/>
                <w:sz w:val="24"/>
                <w:szCs w:val="24"/>
              </w:rPr>
              <w:t xml:space="preserve"> </w:t>
            </w:r>
            <w:r w:rsidR="00CB492D">
              <w:rPr>
                <w:rFonts w:ascii="Times New Roman" w:hAnsi="Times New Roman" w:cs="Times New Roman"/>
                <w:sz w:val="24"/>
                <w:szCs w:val="24"/>
              </w:rPr>
              <w:t>under</w:t>
            </w:r>
            <w:r w:rsidRPr="008573BE">
              <w:rPr>
                <w:rFonts w:ascii="Times New Roman" w:hAnsi="Times New Roman" w:cs="Times New Roman"/>
                <w:sz w:val="24"/>
                <w:szCs w:val="24"/>
              </w:rPr>
              <w:t xml:space="preserve"> § 112.46(a)(1) or (a)(2), if</w:t>
            </w:r>
            <w:r w:rsidRPr="008573BE">
              <w:rPr>
                <w:rFonts w:ascii="Times New Roman" w:hAnsi="Times New Roman" w:cs="Times New Roman"/>
                <w:spacing w:val="61"/>
                <w:sz w:val="24"/>
                <w:szCs w:val="24"/>
              </w:rPr>
              <w:t xml:space="preserve"> </w:t>
            </w:r>
            <w:r w:rsidRPr="008573BE">
              <w:rPr>
                <w:rFonts w:ascii="Times New Roman" w:hAnsi="Times New Roman" w:cs="Times New Roman"/>
                <w:sz w:val="24"/>
                <w:szCs w:val="24"/>
              </w:rPr>
              <w:t>applicable.; and</w:t>
            </w:r>
          </w:p>
          <w:p w:rsidR="00191DF8" w:rsidRPr="008573BE" w:rsidP="001914F8" w14:paraId="498017E5" w14:textId="24421DAF">
            <w:pPr>
              <w:spacing w:after="240"/>
              <w:rPr>
                <w:rFonts w:ascii="Times New Roman" w:hAnsi="Times New Roman" w:cs="Times New Roman"/>
                <w:b/>
                <w:sz w:val="24"/>
                <w:szCs w:val="24"/>
              </w:rPr>
            </w:pPr>
            <w:r w:rsidRPr="008573BE">
              <w:rPr>
                <w:rFonts w:ascii="Times New Roman" w:hAnsi="Times New Roman" w:cs="Times New Roman"/>
                <w:sz w:val="24"/>
                <w:szCs w:val="24"/>
              </w:rPr>
              <w:t>Section 112.50(b)(9)</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requires</w:t>
            </w:r>
            <w:r w:rsidRPr="008573BE">
              <w:rPr>
                <w:rFonts w:ascii="Times New Roman" w:hAnsi="Times New Roman" w:cs="Times New Roman"/>
                <w:spacing w:val="2"/>
                <w:sz w:val="24"/>
                <w:szCs w:val="24"/>
              </w:rPr>
              <w:t xml:space="preserve"> </w:t>
            </w:r>
            <w:r w:rsidRPr="008573BE">
              <w:rPr>
                <w:rFonts w:ascii="Times New Roman" w:hAnsi="Times New Roman" w:cs="Times New Roman"/>
                <w:spacing w:val="-2"/>
                <w:sz w:val="24"/>
                <w:szCs w:val="24"/>
              </w:rPr>
              <w:t>you</w:t>
            </w:r>
            <w:r w:rsidRPr="008573BE">
              <w:rPr>
                <w:rFonts w:ascii="Times New Roman" w:hAnsi="Times New Roman" w:cs="Times New Roman"/>
                <w:sz w:val="24"/>
                <w:szCs w:val="24"/>
              </w:rPr>
              <w:t xml:space="preserve"> to establish and </w:t>
            </w:r>
            <w:r w:rsidRPr="008573BE">
              <w:rPr>
                <w:rFonts w:ascii="Times New Roman" w:hAnsi="Times New Roman" w:cs="Times New Roman"/>
                <w:spacing w:val="-2"/>
                <w:sz w:val="24"/>
                <w:szCs w:val="24"/>
              </w:rPr>
              <w:t>keep</w:t>
            </w:r>
            <w:r w:rsidRPr="008573BE">
              <w:rPr>
                <w:rFonts w:ascii="Times New Roman" w:hAnsi="Times New Roman" w:cs="Times New Roman"/>
                <w:sz w:val="24"/>
                <w:szCs w:val="24"/>
              </w:rPr>
              <w:t xml:space="preserve"> documentation of</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any</w:t>
            </w:r>
            <w:r w:rsidRPr="008573BE">
              <w:rPr>
                <w:rFonts w:ascii="Times New Roman" w:hAnsi="Times New Roman" w:cs="Times New Roman"/>
                <w:spacing w:val="39"/>
                <w:sz w:val="24"/>
                <w:szCs w:val="24"/>
              </w:rPr>
              <w:t xml:space="preserve"> </w:t>
            </w:r>
            <w:r w:rsidRPr="008573BE">
              <w:rPr>
                <w:rFonts w:ascii="Times New Roman" w:hAnsi="Times New Roman" w:cs="Times New Roman"/>
                <w:sz w:val="24"/>
                <w:szCs w:val="24"/>
              </w:rPr>
              <w:t>analytical</w:t>
            </w:r>
            <w:r w:rsidRPr="008573BE">
              <w:rPr>
                <w:rFonts w:ascii="Times New Roman" w:hAnsi="Times New Roman" w:cs="Times New Roman"/>
                <w:spacing w:val="-2"/>
                <w:sz w:val="24"/>
                <w:szCs w:val="24"/>
              </w:rPr>
              <w:t xml:space="preserve"> </w:t>
            </w:r>
            <w:r w:rsidRPr="008573BE">
              <w:rPr>
                <w:rFonts w:ascii="Times New Roman" w:hAnsi="Times New Roman" w:cs="Times New Roman"/>
                <w:sz w:val="24"/>
                <w:szCs w:val="24"/>
              </w:rPr>
              <w:t>methods that you</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use</w:t>
            </w:r>
            <w:r w:rsidRPr="008573BE">
              <w:rPr>
                <w:rFonts w:ascii="Times New Roman" w:hAnsi="Times New Roman" w:cs="Times New Roman"/>
                <w:spacing w:val="1"/>
                <w:sz w:val="24"/>
                <w:szCs w:val="24"/>
              </w:rPr>
              <w:t xml:space="preserve"> </w:t>
            </w:r>
            <w:r w:rsidRPr="008573BE">
              <w:rPr>
                <w:rFonts w:ascii="Times New Roman" w:hAnsi="Times New Roman" w:cs="Times New Roman"/>
                <w:sz w:val="24"/>
                <w:szCs w:val="24"/>
              </w:rPr>
              <w:t>for</w:t>
            </w:r>
            <w:r w:rsidRPr="008573BE">
              <w:rPr>
                <w:rFonts w:ascii="Times New Roman" w:hAnsi="Times New Roman" w:cs="Times New Roman"/>
                <w:sz w:val="24"/>
                <w:szCs w:val="24"/>
              </w:rPr>
              <w:t xml:space="preserve"> </w:t>
            </w:r>
            <w:r w:rsidRPr="008573BE">
              <w:rPr>
                <w:rFonts w:ascii="Times New Roman" w:hAnsi="Times New Roman" w:cs="Times New Roman"/>
                <w:spacing w:val="-2"/>
                <w:sz w:val="24"/>
                <w:szCs w:val="24"/>
              </w:rPr>
              <w:t>water</w:t>
            </w:r>
            <w:r w:rsidRPr="008573BE">
              <w:rPr>
                <w:rFonts w:ascii="Times New Roman" w:hAnsi="Times New Roman" w:cs="Times New Roman"/>
                <w:sz w:val="24"/>
                <w:szCs w:val="24"/>
              </w:rPr>
              <w:t xml:space="preserve"> testing</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in lieu</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of</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the</w:t>
            </w:r>
            <w:r w:rsidRPr="008573BE">
              <w:rPr>
                <w:rFonts w:ascii="Times New Roman" w:hAnsi="Times New Roman" w:cs="Times New Roman"/>
                <w:spacing w:val="69"/>
                <w:sz w:val="24"/>
                <w:szCs w:val="24"/>
              </w:rPr>
              <w:t xml:space="preserve"> </w:t>
            </w:r>
            <w:r w:rsidRPr="008573BE">
              <w:rPr>
                <w:rFonts w:ascii="Times New Roman" w:hAnsi="Times New Roman" w:cs="Times New Roman"/>
                <w:sz w:val="24"/>
                <w:szCs w:val="24"/>
              </w:rPr>
              <w:t xml:space="preserve">method that is incorporated </w:t>
            </w:r>
            <w:r w:rsidRPr="008573BE">
              <w:rPr>
                <w:rFonts w:ascii="Times New Roman" w:hAnsi="Times New Roman" w:cs="Times New Roman"/>
                <w:spacing w:val="1"/>
                <w:sz w:val="24"/>
                <w:szCs w:val="24"/>
              </w:rPr>
              <w:t>by</w:t>
            </w:r>
            <w:r w:rsidRPr="008573BE">
              <w:rPr>
                <w:rFonts w:ascii="Times New Roman" w:hAnsi="Times New Roman" w:cs="Times New Roman"/>
                <w:spacing w:val="-5"/>
                <w:sz w:val="24"/>
                <w:szCs w:val="24"/>
              </w:rPr>
              <w:t xml:space="preserve"> </w:t>
            </w:r>
            <w:r w:rsidRPr="008573BE">
              <w:rPr>
                <w:rFonts w:ascii="Times New Roman" w:hAnsi="Times New Roman" w:cs="Times New Roman"/>
                <w:sz w:val="24"/>
                <w:szCs w:val="24"/>
              </w:rPr>
              <w:t>reference</w:t>
            </w:r>
            <w:r w:rsidRPr="008573BE">
              <w:rPr>
                <w:rFonts w:ascii="Times New Roman" w:hAnsi="Times New Roman" w:cs="Times New Roman"/>
                <w:spacing w:val="1"/>
                <w:sz w:val="24"/>
                <w:szCs w:val="24"/>
              </w:rPr>
              <w:t xml:space="preserve"> </w:t>
            </w:r>
            <w:r w:rsidRPr="008573BE">
              <w:rPr>
                <w:rFonts w:ascii="Times New Roman" w:hAnsi="Times New Roman" w:cs="Times New Roman"/>
                <w:sz w:val="24"/>
                <w:szCs w:val="24"/>
              </w:rPr>
              <w:t>in</w:t>
            </w:r>
            <w:r w:rsidRPr="008573BE">
              <w:rPr>
                <w:rFonts w:ascii="Times New Roman" w:hAnsi="Times New Roman" w:cs="Times New Roman"/>
                <w:spacing w:val="-3"/>
                <w:sz w:val="24"/>
                <w:szCs w:val="24"/>
              </w:rPr>
              <w:t xml:space="preserve"> </w:t>
            </w:r>
            <w:r w:rsidRPr="008573BE">
              <w:rPr>
                <w:rFonts w:ascii="Times New Roman" w:hAnsi="Times New Roman" w:cs="Times New Roman"/>
                <w:sz w:val="24"/>
                <w:szCs w:val="24"/>
              </w:rPr>
              <w:t>§ 112.151(a).</w:t>
            </w:r>
          </w:p>
        </w:tc>
      </w:tr>
      <w:tr w14:paraId="2E731DC2" w14:textId="77777777" w:rsidTr="00CD75FC">
        <w:tblPrEx>
          <w:tblW w:w="0" w:type="auto"/>
          <w:tblLook w:val="04A0"/>
        </w:tblPrEx>
        <w:tc>
          <w:tcPr>
            <w:tcW w:w="2245" w:type="dxa"/>
          </w:tcPr>
          <w:p w:rsidR="00191DF8" w:rsidRPr="008573BE" w:rsidP="002A2F14" w14:paraId="68AFEEA4" w14:textId="77777777">
            <w:pPr>
              <w:spacing w:after="240"/>
              <w:rPr>
                <w:rFonts w:ascii="Times New Roman" w:hAnsi="Times New Roman" w:cs="Times New Roman"/>
                <w:sz w:val="24"/>
                <w:szCs w:val="24"/>
              </w:rPr>
            </w:pPr>
            <w:r w:rsidRPr="008573BE">
              <w:rPr>
                <w:rFonts w:ascii="Times New Roman" w:hAnsi="Times New Roman" w:cs="Times New Roman"/>
                <w:bCs/>
                <w:sz w:val="24"/>
                <w:szCs w:val="24"/>
              </w:rPr>
              <w:t>Records related to biological soil amendments of</w:t>
            </w:r>
            <w:r w:rsidRPr="008573BE">
              <w:rPr>
                <w:rFonts w:ascii="Times New Roman" w:hAnsi="Times New Roman" w:cs="Times New Roman"/>
                <w:bCs/>
                <w:spacing w:val="2"/>
                <w:sz w:val="24"/>
                <w:szCs w:val="24"/>
              </w:rPr>
              <w:t xml:space="preserve"> </w:t>
            </w:r>
            <w:r w:rsidRPr="008573BE">
              <w:rPr>
                <w:rFonts w:ascii="Times New Roman" w:hAnsi="Times New Roman" w:cs="Times New Roman"/>
                <w:bCs/>
                <w:sz w:val="24"/>
                <w:szCs w:val="24"/>
              </w:rPr>
              <w:t>animal origin</w:t>
            </w:r>
          </w:p>
        </w:tc>
        <w:tc>
          <w:tcPr>
            <w:tcW w:w="8165" w:type="dxa"/>
          </w:tcPr>
          <w:p w:rsidR="00191DF8" w:rsidRPr="008573BE" w:rsidP="002A2F14" w14:paraId="4062EEE2" w14:textId="30C34D81">
            <w:pPr>
              <w:spacing w:after="240"/>
              <w:rPr>
                <w:rFonts w:ascii="Times New Roman" w:hAnsi="Times New Roman" w:cs="Times New Roman"/>
                <w:b/>
                <w:bCs/>
                <w:sz w:val="24"/>
                <w:szCs w:val="24"/>
              </w:rPr>
            </w:pPr>
            <w:r w:rsidRPr="008573BE">
              <w:rPr>
                <w:rFonts w:ascii="Times New Roman" w:hAnsi="Times New Roman" w:cs="Times New Roman"/>
                <w:sz w:val="24"/>
                <w:szCs w:val="24"/>
              </w:rPr>
              <w:t xml:space="preserve">Section 112.60 requires you to establish and keep certain documentation relating to any treated biological soil amendments of animal origin (BSAAO) you use (e.g., substrates). The required records differ based on whether treatment was conducted by you or by a third party. For a treated BSAAO supplied by a third party, you are required to establish and keep documentation (such as a Certificate of Conformance) at least annually that the process used to treat the BSAAO is a scientifically valid process that has been carried out with appropriate process monitoring, and that the BSAAO has been handled, conveyed, and stored in a manner and location to minimize the risk of contamination by an untreated or in process BSAAO (§ 112.60(b)(1)). For a treated BSAAO you produce for your own covered </w:t>
            </w:r>
            <w:r w:rsidRPr="419D1AAE" w:rsidR="4FA53305">
              <w:rPr>
                <w:rFonts w:ascii="Times New Roman" w:hAnsi="Times New Roman" w:cs="Times New Roman"/>
                <w:sz w:val="24"/>
                <w:szCs w:val="24"/>
              </w:rPr>
              <w:t>sprout operation</w:t>
            </w:r>
            <w:r w:rsidRPr="008573BE">
              <w:rPr>
                <w:rFonts w:ascii="Times New Roman" w:hAnsi="Times New Roman" w:cs="Times New Roman"/>
                <w:sz w:val="24"/>
                <w:szCs w:val="24"/>
              </w:rPr>
              <w:t>(s), you are required to establish and keep documentation that process controls were achieved (§ 112.60(b)(2)).</w:t>
            </w:r>
          </w:p>
        </w:tc>
      </w:tr>
      <w:tr w14:paraId="1AC30FC0" w14:textId="77777777" w:rsidTr="00CD75FC">
        <w:tblPrEx>
          <w:tblW w:w="0" w:type="auto"/>
          <w:tblLook w:val="04A0"/>
        </w:tblPrEx>
        <w:tc>
          <w:tcPr>
            <w:tcW w:w="2245" w:type="dxa"/>
          </w:tcPr>
          <w:p w:rsidR="00191DF8" w:rsidRPr="008573BE" w:rsidP="002A2F14" w14:paraId="11496429" w14:textId="77777777">
            <w:pPr>
              <w:spacing w:after="240"/>
              <w:rPr>
                <w:rFonts w:ascii="Times New Roman" w:hAnsi="Times New Roman" w:cs="Times New Roman"/>
                <w:sz w:val="24"/>
                <w:szCs w:val="24"/>
              </w:rPr>
            </w:pPr>
            <w:r w:rsidRPr="008573BE">
              <w:rPr>
                <w:rFonts w:ascii="Times New Roman" w:hAnsi="Times New Roman" w:cs="Times New Roman"/>
                <w:sz w:val="24"/>
                <w:szCs w:val="24"/>
              </w:rPr>
              <w:t xml:space="preserve">Records </w:t>
            </w:r>
            <w:r w:rsidRPr="008573BE">
              <w:rPr>
                <w:rFonts w:ascii="Times New Roman" w:hAnsi="Times New Roman" w:cs="Times New Roman"/>
                <w:spacing w:val="-2"/>
                <w:sz w:val="24"/>
                <w:szCs w:val="24"/>
              </w:rPr>
              <w:t>of</w:t>
            </w:r>
            <w:r w:rsidRPr="008573BE">
              <w:rPr>
                <w:rFonts w:ascii="Times New Roman" w:hAnsi="Times New Roman" w:cs="Times New Roman"/>
                <w:spacing w:val="2"/>
                <w:sz w:val="24"/>
                <w:szCs w:val="24"/>
              </w:rPr>
              <w:t xml:space="preserve"> </w:t>
            </w:r>
            <w:r w:rsidRPr="008573BE">
              <w:rPr>
                <w:rFonts w:ascii="Times New Roman" w:hAnsi="Times New Roman" w:cs="Times New Roman"/>
                <w:sz w:val="24"/>
                <w:szCs w:val="24"/>
              </w:rPr>
              <w:t>cleaning and</w:t>
            </w:r>
            <w:r w:rsidRPr="008573BE">
              <w:rPr>
                <w:rFonts w:ascii="Times New Roman" w:hAnsi="Times New Roman" w:cs="Times New Roman"/>
                <w:spacing w:val="-4"/>
                <w:sz w:val="24"/>
                <w:szCs w:val="24"/>
              </w:rPr>
              <w:t xml:space="preserve"> </w:t>
            </w:r>
            <w:r w:rsidRPr="008573BE">
              <w:rPr>
                <w:rFonts w:ascii="Times New Roman" w:hAnsi="Times New Roman" w:cs="Times New Roman"/>
                <w:sz w:val="24"/>
                <w:szCs w:val="24"/>
              </w:rPr>
              <w:t>sanitizing</w:t>
            </w:r>
          </w:p>
        </w:tc>
        <w:tc>
          <w:tcPr>
            <w:tcW w:w="8165" w:type="dxa"/>
          </w:tcPr>
          <w:p w:rsidR="00191DF8" w:rsidRPr="008573BE" w:rsidP="001914F8" w14:paraId="1B90BD83" w14:textId="5BCF03DA">
            <w:pPr>
              <w:spacing w:after="240"/>
              <w:rPr>
                <w:rFonts w:ascii="Times New Roman" w:hAnsi="Times New Roman" w:cs="Times New Roman"/>
                <w:b/>
                <w:sz w:val="24"/>
                <w:szCs w:val="24"/>
              </w:rPr>
            </w:pPr>
            <w:r w:rsidRPr="008573BE">
              <w:rPr>
                <w:rFonts w:ascii="Times New Roman" w:hAnsi="Times New Roman" w:cs="Times New Roman"/>
                <w:sz w:val="24"/>
                <w:szCs w:val="24"/>
              </w:rPr>
              <w:t xml:space="preserve">Section 112.140 requires you to establish and keep documentation of the date and method of cleaning and sanitizing of equipment subject to </w:t>
            </w:r>
            <w:r w:rsidR="00AD24BE">
              <w:rPr>
                <w:rFonts w:ascii="Times New Roman" w:hAnsi="Times New Roman" w:cs="Times New Roman"/>
                <w:sz w:val="24"/>
                <w:szCs w:val="24"/>
              </w:rPr>
              <w:t>S</w:t>
            </w:r>
            <w:r w:rsidRPr="008573BE" w:rsidR="00AD24BE">
              <w:rPr>
                <w:rFonts w:ascii="Times New Roman" w:hAnsi="Times New Roman" w:cs="Times New Roman"/>
                <w:sz w:val="24"/>
                <w:szCs w:val="24"/>
              </w:rPr>
              <w:t xml:space="preserve">ubpart </w:t>
            </w:r>
            <w:r w:rsidRPr="008573BE">
              <w:rPr>
                <w:rFonts w:ascii="Times New Roman" w:hAnsi="Times New Roman" w:cs="Times New Roman"/>
                <w:sz w:val="24"/>
                <w:szCs w:val="24"/>
              </w:rPr>
              <w:t xml:space="preserve">L used in </w:t>
            </w:r>
            <w:r w:rsidRPr="00F15630">
              <w:rPr>
                <w:rFonts w:ascii="Times New Roman" w:hAnsi="Times New Roman" w:cs="Times New Roman"/>
                <w:sz w:val="24"/>
                <w:szCs w:val="24"/>
              </w:rPr>
              <w:t>growing operations for sprouts and harvesting, packing, or holding for sprouts and other covered produce.</w:t>
            </w:r>
          </w:p>
        </w:tc>
      </w:tr>
    </w:tbl>
    <w:p w:rsidR="00191DF8" w:rsidRPr="00A07BE3" w:rsidP="00A16344" w14:paraId="6CA51CA8" w14:textId="7AE62CC8">
      <w:pPr>
        <w:pStyle w:val="HHS508GuidanceOutline1"/>
        <w:rPr>
          <w:lang w:bidi="en-US"/>
        </w:rPr>
      </w:pPr>
      <w:bookmarkStart w:id="243" w:name="_Toc44439394"/>
      <w:bookmarkStart w:id="244" w:name="_Toc106094986"/>
      <w:r w:rsidRPr="00A07BE3">
        <w:rPr>
          <w:lang w:bidi="en-US"/>
        </w:rPr>
        <w:t>Appendices</w:t>
      </w:r>
      <w:bookmarkEnd w:id="243"/>
      <w:bookmarkEnd w:id="244"/>
    </w:p>
    <w:p w:rsidR="00191DF8" w:rsidRPr="007522C1" w:rsidP="00C84B1B" w14:paraId="3944AC4E" w14:textId="7D53E9B6">
      <w:pPr>
        <w:rPr>
          <w:b/>
          <w:lang w:bidi="en-US"/>
        </w:rPr>
      </w:pPr>
      <w:r w:rsidRPr="007522C1">
        <w:rPr>
          <w:rFonts w:ascii="Times New Roman" w:hAnsi="Times New Roman" w:cs="Times New Roman"/>
          <w:b/>
          <w:sz w:val="24"/>
          <w:szCs w:val="24"/>
          <w:lang w:bidi="en-US"/>
        </w:rPr>
        <w:t>Appendix 1. Aseptic Sampling</w:t>
      </w:r>
    </w:p>
    <w:p w:rsidR="007522C1" w:rsidRPr="007522C1" w:rsidP="007522C1" w14:paraId="29BEF738" w14:textId="77777777">
      <w:pPr>
        <w:rPr>
          <w:rFonts w:ascii="Times New Roman" w:hAnsi="Times New Roman" w:cs="Times New Roman"/>
          <w:sz w:val="24"/>
          <w:szCs w:val="24"/>
          <w:lang w:bidi="en-US"/>
        </w:rPr>
      </w:pPr>
    </w:p>
    <w:p w:rsidR="00191DF8" w:rsidRPr="00EC0CC3" w:rsidP="00E47C04" w14:paraId="132A7780" w14:textId="77777777">
      <w:pPr>
        <w:pStyle w:val="GuidanceParagraph"/>
        <w:rPr>
          <w:lang w:bidi="en-US"/>
        </w:rPr>
      </w:pPr>
      <w:r w:rsidRPr="00EC0CC3">
        <w:rPr>
          <w:lang w:bidi="en-US"/>
        </w:rPr>
        <w:t>You must aseptically collect environmental samples (§ 112.145(d)) and samples of spent sprout irrigation water or sprouts (§ 112.147(b)). If you are required to test your agricultural water (§§ 112.44(a), 112.46(c)), you must aseptically collect agricultural water samples as well (§ 112.47(b)). Aseptic sampling is a sampling technique used to assure that the microbial load of a sample is not affected by the sampling method and/or the sample collector does not contaminate the source from which the sample is collected (including cross-contamination between sample sites). The use of sterile sampling implements and containers, and a prescribed sampling method, defines aseptic sampling (See 80 FR 74450 and references cited therein). Collected samples should also be handled in a manner to ensure samples are not contaminated during storage or during transportation to the laboratory.</w:t>
      </w:r>
    </w:p>
    <w:p w:rsidR="00191DF8" w:rsidRPr="007522C1" w:rsidP="007522C1" w14:paraId="613CCA88" w14:textId="77777777">
      <w:pPr>
        <w:rPr>
          <w:rFonts w:ascii="Times New Roman" w:hAnsi="Times New Roman" w:cs="Times New Roman"/>
          <w:b/>
          <w:sz w:val="24"/>
          <w:szCs w:val="24"/>
          <w:lang w:bidi="en-US"/>
        </w:rPr>
      </w:pPr>
      <w:r w:rsidRPr="007522C1">
        <w:rPr>
          <w:rFonts w:ascii="Times New Roman" w:hAnsi="Times New Roman" w:cs="Times New Roman"/>
          <w:b/>
          <w:sz w:val="24"/>
          <w:szCs w:val="24"/>
          <w:lang w:bidi="en-US"/>
        </w:rPr>
        <w:t>Sterile Equipment</w:t>
      </w:r>
    </w:p>
    <w:p w:rsidR="00BE7A69" w:rsidRPr="007E6747" w:rsidP="007E6747" w14:paraId="505D7686" w14:textId="77777777">
      <w:pPr>
        <w:rPr>
          <w:lang w:bidi="en-US"/>
        </w:rPr>
      </w:pPr>
    </w:p>
    <w:p w:rsidR="00191DF8" w:rsidRPr="001914F8" w:rsidP="00E47C04" w14:paraId="58E63C18" w14:textId="2906A50D">
      <w:pPr>
        <w:pStyle w:val="GuidanceParagraph"/>
        <w:rPr>
          <w:lang w:bidi="en-US"/>
        </w:rPr>
      </w:pPr>
      <w:r w:rsidRPr="00EC0CC3">
        <w:rPr>
          <w:lang w:bidi="en-US"/>
        </w:rPr>
        <w:t xml:space="preserve">The requirements in §§ 112.47(b),112.145(d) and 112.147(b) to collect samples “aseptically” mean that you must use </w:t>
      </w:r>
      <w:r w:rsidRPr="00136F97">
        <w:rPr>
          <w:lang w:bidi="en-US"/>
        </w:rPr>
        <w:t>sterile sampling equipment to collect the required samples. Note that “sterile” is not equivalent to “clean</w:t>
      </w:r>
      <w:r w:rsidRPr="00EC0CC3">
        <w:rPr>
          <w:lang w:bidi="en-US"/>
        </w:rPr>
        <w:t xml:space="preserve"> and sanitized.” Sterilization achieves a higher standard than cleaning and sanitizing. “Sterilization” refers to a validated process used to render a product free of all forms of viable microorganisms. In many cases, thermal methods, such as steam, are used to achieve sterilization (See Liquid Chemical Sterilization) (</w:t>
      </w:r>
      <w:r w:rsidR="00A62F31">
        <w:rPr>
          <w:lang w:bidi="en-US"/>
        </w:rPr>
        <w:fldChar w:fldCharType="begin"/>
      </w:r>
      <w:r w:rsidR="00A62F31">
        <w:rPr>
          <w:lang w:bidi="en-US"/>
        </w:rPr>
        <w:instrText xml:space="preserve"> REF _Ref51148927 \h </w:instrText>
      </w:r>
      <w:r w:rsidR="004B2A15">
        <w:rPr>
          <w:lang w:bidi="en-US"/>
        </w:rPr>
        <w:instrText xml:space="preserve"> \* MERGEFORMAT </w:instrText>
      </w:r>
      <w:r w:rsidR="00A62F31">
        <w:rPr>
          <w:lang w:bidi="en-US"/>
        </w:rPr>
        <w:fldChar w:fldCharType="separate"/>
      </w:r>
      <w:r w:rsidRPr="006E43DC" w:rsidR="00FB6D94">
        <w:t xml:space="preserve">Ref. </w:t>
      </w:r>
      <w:r w:rsidR="00FB6D94">
        <w:rPr>
          <w:noProof/>
        </w:rPr>
        <w:t>97</w:t>
      </w:r>
      <w:r w:rsidR="00A62F31">
        <w:rPr>
          <w:lang w:bidi="en-US"/>
        </w:rPr>
        <w:fldChar w:fldCharType="end"/>
      </w:r>
      <w:r w:rsidRPr="00EC0CC3">
        <w:rPr>
          <w:lang w:bidi="en-US"/>
        </w:rPr>
        <w:t>). “Sterile” refers to the end point achieved by a sterilizing process. You may purchase pre-packaged sterilized tools/equipment to use in sampling, or you may use (and re-use) tools and equipment for sampling that have been properly sterilized, such as in an autoclave or a dry heat oven. An autoclave is a piece of equipment that sterilizes</w:t>
      </w:r>
      <w:r w:rsidRPr="00EC0CC3">
        <w:rPr>
          <w:lang w:bidi="en-US"/>
        </w:rPr>
        <w:t xml:space="preserve"> </w:t>
      </w:r>
      <w:r w:rsidRPr="00EC0CC3">
        <w:rPr>
          <w:lang w:bidi="en-US"/>
        </w:rPr>
        <w:t>instruments and equipment by using highly pressurized saturated steam to achieve temperatures that effectively kill microorganisms. If you decide to use an autoclave, any responsible personnel should receive adequate training prior to the use of the autoclave. When used properly, autoclaves are safe and highly effective to use to sterilize sample containers or sampling equipment (e.g., cups or tongs) and can be cost-effective. Sampling equipment, such as stainless steel forceps, spatulas, and sample containers, can be sterilized using an autoclave (steam heat), for example, at 121 °C (250 °F) for 30 minutes at 15 psi, or for heat-resistant, dry materials in a dry-heat oven, for example, at 140 °C (284°F) for 3 hours (</w:t>
      </w:r>
      <w:r w:rsidR="00795A0B">
        <w:rPr>
          <w:lang w:bidi="en-US"/>
        </w:rPr>
        <w:fldChar w:fldCharType="begin"/>
      </w:r>
      <w:r w:rsidR="00795A0B">
        <w:rPr>
          <w:lang w:bidi="en-US"/>
        </w:rPr>
        <w:instrText xml:space="preserve"> REF _Ref51149014 \h </w:instrText>
      </w:r>
      <w:r w:rsidR="004B2A15">
        <w:rPr>
          <w:lang w:bidi="en-US"/>
        </w:rPr>
        <w:instrText xml:space="preserve"> \* MERGEFORMAT </w:instrText>
      </w:r>
      <w:r w:rsidR="00795A0B">
        <w:rPr>
          <w:lang w:bidi="en-US"/>
        </w:rPr>
        <w:fldChar w:fldCharType="separate"/>
      </w:r>
      <w:r w:rsidRPr="006E43DC" w:rsidR="00FB6D94">
        <w:t xml:space="preserve">Ref. </w:t>
      </w:r>
      <w:r w:rsidR="00FB6D94">
        <w:rPr>
          <w:noProof/>
        </w:rPr>
        <w:t>98</w:t>
      </w:r>
      <w:r w:rsidR="00795A0B">
        <w:rPr>
          <w:lang w:bidi="en-US"/>
        </w:rPr>
        <w:fldChar w:fldCharType="end"/>
      </w:r>
      <w:r w:rsidRPr="00EC0CC3">
        <w:rPr>
          <w:lang w:bidi="en-US"/>
        </w:rPr>
        <w:t xml:space="preserve">). If you choose to use an autoclave, you should follow the instructions provided by the manufacturer to ensure that sterilizing of sampling tools and equipment is effective. If you choose to sterilize your own sampling tools and equipment, you should package them prior to sterilization in a manner to prevent contamination post-sterilization (e.g., wrap them with </w:t>
      </w:r>
      <w:r w:rsidRPr="00EC0CC3">
        <w:rPr>
          <w:lang w:bidi="en-US"/>
        </w:rPr>
        <w:t>aluminum foil or Kraft paper, or placed in other sui</w:t>
      </w:r>
      <w:r w:rsidRPr="001914F8">
        <w:rPr>
          <w:lang w:bidi="en-US"/>
        </w:rPr>
        <w:t>table containers), and should only open their packaging immediately prior to use.</w:t>
      </w:r>
    </w:p>
    <w:p w:rsidR="00191DF8" w:rsidRPr="001914F8" w:rsidP="00E47C04" w14:paraId="6F5A601D" w14:textId="638C62E3">
      <w:pPr>
        <w:pStyle w:val="GuidanceParagraph"/>
        <w:rPr>
          <w:lang w:bidi="en-US"/>
        </w:rPr>
      </w:pPr>
      <w:r w:rsidRPr="001914F8">
        <w:rPr>
          <w:lang w:bidi="en-US"/>
        </w:rPr>
        <w:t xml:space="preserve">We recommend that you include your plans regarding use of sterilized sampling equipment in your written sampling plan for spent sprout irrigation water (or sprouts) (see </w:t>
      </w:r>
      <w:r w:rsidRPr="00286A6D" w:rsidR="006E3B0C">
        <w:rPr>
          <w:lang w:bidi="en-US"/>
        </w:rPr>
        <w:t>Section</w:t>
      </w:r>
      <w:r w:rsidRPr="00286A6D">
        <w:rPr>
          <w:lang w:bidi="en-US"/>
        </w:rPr>
        <w:t xml:space="preserve"> </w:t>
      </w:r>
      <w:r w:rsidRPr="00286A6D" w:rsidR="00B13F05">
        <w:rPr>
          <w:lang w:bidi="en-US"/>
        </w:rPr>
        <w:t>V</w:t>
      </w:r>
      <w:r w:rsidRPr="00286A6D">
        <w:rPr>
          <w:lang w:bidi="en-US"/>
        </w:rPr>
        <w:t xml:space="preserve"> (</w:t>
      </w:r>
      <w:r w:rsidRPr="00286A6D" w:rsidR="003D4570">
        <w:rPr>
          <w:lang w:bidi="en-US"/>
        </w:rPr>
        <w:t xml:space="preserve">Sampling and Testing of </w:t>
      </w:r>
      <w:r w:rsidRPr="00286A6D">
        <w:rPr>
          <w:lang w:bidi="en-US"/>
        </w:rPr>
        <w:t xml:space="preserve">Spent Sprout Irrigation Water </w:t>
      </w:r>
      <w:r w:rsidRPr="00286A6D" w:rsidR="003D4570">
        <w:rPr>
          <w:lang w:bidi="en-US"/>
        </w:rPr>
        <w:t>(</w:t>
      </w:r>
      <w:r w:rsidRPr="00286A6D">
        <w:rPr>
          <w:lang w:bidi="en-US"/>
        </w:rPr>
        <w:t>or In-Process Sprouts</w:t>
      </w:r>
      <w:r w:rsidRPr="00286A6D" w:rsidR="003D4570">
        <w:rPr>
          <w:lang w:bidi="en-US"/>
        </w:rPr>
        <w:t>)</w:t>
      </w:r>
      <w:r w:rsidRPr="00286A6D">
        <w:rPr>
          <w:lang w:bidi="en-US"/>
        </w:rPr>
        <w:t>)</w:t>
      </w:r>
      <w:r w:rsidRPr="00286A6D" w:rsidR="00B13F05">
        <w:rPr>
          <w:lang w:bidi="en-US"/>
        </w:rPr>
        <w:t xml:space="preserve"> in </w:t>
      </w:r>
      <w:r w:rsidRPr="00286A6D" w:rsidR="00536711">
        <w:rPr>
          <w:lang w:bidi="en-US"/>
        </w:rPr>
        <w:t xml:space="preserve">the draft </w:t>
      </w:r>
      <w:r w:rsidRPr="00286A6D" w:rsidR="00B13F05">
        <w:rPr>
          <w:lang w:bidi="en-US"/>
        </w:rPr>
        <w:t xml:space="preserve">re-issued </w:t>
      </w:r>
      <w:r w:rsidRPr="00286A6D" w:rsidR="00C712CF">
        <w:rPr>
          <w:lang w:bidi="en-US"/>
        </w:rPr>
        <w:t xml:space="preserve">sections </w:t>
      </w:r>
      <w:r w:rsidRPr="00286A6D" w:rsidR="00697C6A">
        <w:rPr>
          <w:lang w:bidi="en-US"/>
        </w:rPr>
        <w:t>(</w:t>
      </w:r>
      <w:r w:rsidRPr="00286A6D" w:rsidR="00891F20">
        <w:rPr>
          <w:lang w:bidi="en-US"/>
        </w:rPr>
        <w:fldChar w:fldCharType="begin"/>
      </w:r>
      <w:r w:rsidRPr="00286A6D" w:rsidR="00891F20">
        <w:rPr>
          <w:lang w:bidi="en-US"/>
        </w:rPr>
        <w:instrText xml:space="preserve"> REF _Ref126308691 \h  \* MERGEFORMAT </w:instrText>
      </w:r>
      <w:r w:rsidRPr="00286A6D" w:rsidR="00891F20">
        <w:rPr>
          <w:lang w:bidi="en-US"/>
        </w:rPr>
        <w:fldChar w:fldCharType="separate"/>
      </w:r>
      <w:r w:rsidRPr="00286A6D" w:rsidR="00891F20">
        <w:t xml:space="preserve">Ref. </w:t>
      </w:r>
      <w:r w:rsidRPr="00286A6D" w:rsidR="00891F20">
        <w:rPr>
          <w:noProof/>
        </w:rPr>
        <w:t>18</w:t>
      </w:r>
      <w:r w:rsidRPr="00286A6D" w:rsidR="00891F20">
        <w:rPr>
          <w:lang w:bidi="en-US"/>
        </w:rPr>
        <w:fldChar w:fldCharType="end"/>
      </w:r>
      <w:r w:rsidRPr="00286A6D" w:rsidR="00697C6A">
        <w:rPr>
          <w:lang w:bidi="en-US"/>
        </w:rPr>
        <w:t>)</w:t>
      </w:r>
      <w:r w:rsidRPr="00286A6D">
        <w:rPr>
          <w:lang w:bidi="en-US"/>
        </w:rPr>
        <w:t xml:space="preserve">) and your written environmental monitoring plan (see </w:t>
      </w:r>
      <w:r w:rsidRPr="00286A6D" w:rsidR="006E3B0C">
        <w:rPr>
          <w:lang w:bidi="en-US"/>
        </w:rPr>
        <w:t>Section</w:t>
      </w:r>
      <w:r w:rsidRPr="00286A6D">
        <w:rPr>
          <w:lang w:bidi="en-US"/>
        </w:rPr>
        <w:t xml:space="preserve"> </w:t>
      </w:r>
      <w:r w:rsidRPr="00286A6D" w:rsidR="00EA1F3A">
        <w:rPr>
          <w:lang w:bidi="en-US"/>
        </w:rPr>
        <w:t>VI</w:t>
      </w:r>
      <w:r w:rsidRPr="00286A6D">
        <w:rPr>
          <w:lang w:bidi="en-US"/>
        </w:rPr>
        <w:t xml:space="preserve"> (Environmental Monitoring)).</w:t>
      </w:r>
    </w:p>
    <w:p w:rsidR="00191DF8" w:rsidP="007522C1" w14:paraId="496A0745" w14:textId="77777777">
      <w:pPr>
        <w:rPr>
          <w:rFonts w:ascii="Times New Roman" w:hAnsi="Times New Roman" w:cs="Times New Roman"/>
          <w:b/>
          <w:sz w:val="24"/>
          <w:szCs w:val="24"/>
          <w:lang w:bidi="en-US"/>
        </w:rPr>
      </w:pPr>
      <w:r w:rsidRPr="007522C1">
        <w:rPr>
          <w:rFonts w:ascii="Times New Roman" w:hAnsi="Times New Roman" w:cs="Times New Roman"/>
          <w:b/>
          <w:sz w:val="24"/>
          <w:szCs w:val="24"/>
          <w:lang w:bidi="en-US"/>
        </w:rPr>
        <w:t>General Aseptic Sample Collection Procedures</w:t>
      </w:r>
    </w:p>
    <w:p w:rsidR="00BE7A69" w:rsidRPr="007522C1" w:rsidP="007522C1" w14:paraId="03BE4C2C" w14:textId="77777777">
      <w:pPr>
        <w:rPr>
          <w:rFonts w:ascii="Times New Roman" w:hAnsi="Times New Roman" w:cs="Times New Roman"/>
          <w:b/>
          <w:sz w:val="24"/>
          <w:szCs w:val="24"/>
          <w:lang w:bidi="en-US"/>
        </w:rPr>
      </w:pPr>
    </w:p>
    <w:p w:rsidR="00191DF8" w:rsidRPr="00EC0CC3" w:rsidP="00E47C04" w14:paraId="0945F806" w14:textId="64CE908D">
      <w:pPr>
        <w:pStyle w:val="GuidanceParagraph"/>
        <w:rPr>
          <w:lang w:bidi="en-US"/>
        </w:rPr>
      </w:pPr>
      <w:r w:rsidRPr="001914F8">
        <w:rPr>
          <w:lang w:bidi="en-US"/>
        </w:rPr>
        <w:t xml:space="preserve">The requirements in §§ 112.47(b), 112.145(d), and 112.147(b) to collect samples “aseptically” also mean that, in addition to using sterile equipment for sampling, you must use a sampling method that does not affect the microbial load of the sample collected and does not contaminate the source from which the sample is collected. We recommend that you include your procedures for </w:t>
      </w:r>
      <w:r w:rsidRPr="00286A6D">
        <w:rPr>
          <w:lang w:bidi="en-US"/>
        </w:rPr>
        <w:t xml:space="preserve">aseptic technique in your written sampling plan for spent sprout irrigation water (or sprouts) (see </w:t>
      </w:r>
      <w:r w:rsidRPr="00286A6D" w:rsidR="006E3B0C">
        <w:rPr>
          <w:lang w:bidi="en-US"/>
        </w:rPr>
        <w:t>Section</w:t>
      </w:r>
      <w:r w:rsidRPr="00286A6D">
        <w:rPr>
          <w:lang w:bidi="en-US"/>
        </w:rPr>
        <w:t xml:space="preserve"> </w:t>
      </w:r>
      <w:r w:rsidRPr="00286A6D" w:rsidR="00CE5875">
        <w:rPr>
          <w:lang w:bidi="en-US"/>
        </w:rPr>
        <w:t>V</w:t>
      </w:r>
      <w:r w:rsidRPr="00286A6D">
        <w:rPr>
          <w:lang w:bidi="en-US"/>
        </w:rPr>
        <w:t xml:space="preserve"> (</w:t>
      </w:r>
      <w:r w:rsidRPr="00286A6D" w:rsidR="003D4570">
        <w:rPr>
          <w:lang w:bidi="en-US"/>
        </w:rPr>
        <w:t xml:space="preserve">Sampling and Testing of </w:t>
      </w:r>
      <w:r w:rsidRPr="00286A6D">
        <w:rPr>
          <w:lang w:bidi="en-US"/>
        </w:rPr>
        <w:t xml:space="preserve">Spent Sprout Irrigation Water </w:t>
      </w:r>
      <w:r w:rsidRPr="00286A6D" w:rsidR="000814FC">
        <w:rPr>
          <w:lang w:bidi="en-US"/>
        </w:rPr>
        <w:t>(</w:t>
      </w:r>
      <w:r w:rsidRPr="00286A6D">
        <w:rPr>
          <w:lang w:bidi="en-US"/>
        </w:rPr>
        <w:t>or In-Process Sprouts</w:t>
      </w:r>
      <w:r w:rsidRPr="00286A6D" w:rsidR="000814FC">
        <w:rPr>
          <w:lang w:bidi="en-US"/>
        </w:rPr>
        <w:t>)</w:t>
      </w:r>
      <w:r w:rsidRPr="00286A6D">
        <w:rPr>
          <w:lang w:bidi="en-US"/>
        </w:rPr>
        <w:t>)</w:t>
      </w:r>
      <w:r w:rsidRPr="00286A6D" w:rsidR="00C20E5B">
        <w:rPr>
          <w:lang w:bidi="en-US"/>
        </w:rPr>
        <w:t xml:space="preserve"> in </w:t>
      </w:r>
      <w:r w:rsidRPr="00286A6D" w:rsidR="00F1284C">
        <w:rPr>
          <w:lang w:bidi="en-US"/>
        </w:rPr>
        <w:t xml:space="preserve">the draft </w:t>
      </w:r>
      <w:r w:rsidRPr="00286A6D" w:rsidR="00C20E5B">
        <w:rPr>
          <w:lang w:bidi="en-US"/>
        </w:rPr>
        <w:t xml:space="preserve">re-issued </w:t>
      </w:r>
      <w:r w:rsidRPr="00286A6D" w:rsidR="00F1284C">
        <w:rPr>
          <w:lang w:bidi="en-US"/>
        </w:rPr>
        <w:t>sections</w:t>
      </w:r>
      <w:r w:rsidRPr="00286A6D" w:rsidR="00F267ED">
        <w:rPr>
          <w:lang w:bidi="en-US"/>
        </w:rPr>
        <w:t xml:space="preserve"> (</w:t>
      </w:r>
      <w:r w:rsidRPr="00286A6D" w:rsidR="00891F20">
        <w:rPr>
          <w:lang w:bidi="en-US"/>
        </w:rPr>
        <w:fldChar w:fldCharType="begin"/>
      </w:r>
      <w:r w:rsidRPr="00286A6D" w:rsidR="00891F20">
        <w:rPr>
          <w:lang w:bidi="en-US"/>
        </w:rPr>
        <w:instrText xml:space="preserve"> REF _Ref126308691 \h  \* MERGEFORMAT </w:instrText>
      </w:r>
      <w:r w:rsidRPr="00286A6D" w:rsidR="00891F20">
        <w:rPr>
          <w:lang w:bidi="en-US"/>
        </w:rPr>
        <w:fldChar w:fldCharType="separate"/>
      </w:r>
      <w:r w:rsidRPr="00286A6D" w:rsidR="00891F20">
        <w:t xml:space="preserve">Ref. </w:t>
      </w:r>
      <w:r w:rsidRPr="00286A6D" w:rsidR="00891F20">
        <w:rPr>
          <w:noProof/>
        </w:rPr>
        <w:t>18</w:t>
      </w:r>
      <w:r w:rsidRPr="00286A6D" w:rsidR="00891F20">
        <w:rPr>
          <w:lang w:bidi="en-US"/>
        </w:rPr>
        <w:fldChar w:fldCharType="end"/>
      </w:r>
      <w:r w:rsidRPr="00286A6D" w:rsidR="00F267ED">
        <w:rPr>
          <w:lang w:bidi="en-US"/>
        </w:rPr>
        <w:t>)</w:t>
      </w:r>
      <w:r w:rsidRPr="00286A6D">
        <w:rPr>
          <w:lang w:bidi="en-US"/>
        </w:rPr>
        <w:t xml:space="preserve">) and your written environmental monitoring plan (see </w:t>
      </w:r>
      <w:r w:rsidRPr="00286A6D" w:rsidR="006E3B0C">
        <w:rPr>
          <w:lang w:bidi="en-US"/>
        </w:rPr>
        <w:t>Section</w:t>
      </w:r>
      <w:r w:rsidRPr="00286A6D">
        <w:rPr>
          <w:lang w:bidi="en-US"/>
        </w:rPr>
        <w:t xml:space="preserve"> </w:t>
      </w:r>
      <w:r w:rsidRPr="00286A6D" w:rsidR="00EA1F3A">
        <w:rPr>
          <w:lang w:bidi="en-US"/>
        </w:rPr>
        <w:t>VI</w:t>
      </w:r>
      <w:r w:rsidRPr="00286A6D">
        <w:rPr>
          <w:lang w:bidi="en-US"/>
        </w:rPr>
        <w:t xml:space="preserve"> (Environmental Monitoring)). We recommend</w:t>
      </w:r>
      <w:r w:rsidRPr="001914F8">
        <w:rPr>
          <w:lang w:bidi="en-US"/>
        </w:rPr>
        <w:t xml:space="preserve"> the following aseptic techniques, which are generally applicable</w:t>
      </w:r>
      <w:r w:rsidRPr="00EC0CC3">
        <w:rPr>
          <w:lang w:bidi="en-US"/>
        </w:rPr>
        <w:t xml:space="preserve"> to any kind of sampling:</w:t>
      </w:r>
    </w:p>
    <w:p w:rsidR="00191DF8" w:rsidRPr="00EC0CC3" w:rsidP="00E47C04" w14:paraId="6D3E7B68" w14:textId="58444CF0">
      <w:pPr>
        <w:pStyle w:val="GuidanceParagraph"/>
        <w:numPr>
          <w:ilvl w:val="0"/>
          <w:numId w:val="8"/>
        </w:numPr>
        <w:rPr>
          <w:lang w:bidi="en-US"/>
        </w:rPr>
      </w:pPr>
      <w:r w:rsidRPr="00EC0CC3">
        <w:rPr>
          <w:lang w:bidi="en-US"/>
        </w:rPr>
        <w:t xml:space="preserve">For activities in fully enclosed buildings, a sample collector should wear a clean lab coat, </w:t>
      </w:r>
      <w:r w:rsidR="00B33514">
        <w:rPr>
          <w:lang w:bidi="en-US"/>
        </w:rPr>
        <w:t xml:space="preserve">sterile </w:t>
      </w:r>
      <w:r w:rsidRPr="00EC0CC3">
        <w:rPr>
          <w:lang w:bidi="en-US"/>
        </w:rPr>
        <w:t>gloves, and a hair net to ensure he or she does not contaminate the samples.</w:t>
      </w:r>
    </w:p>
    <w:p w:rsidR="00191DF8" w:rsidRPr="00EC0CC3" w:rsidP="00E47C04" w14:paraId="11113002" w14:textId="4F48750B">
      <w:pPr>
        <w:pStyle w:val="GuidanceParagraph"/>
        <w:numPr>
          <w:ilvl w:val="0"/>
          <w:numId w:val="8"/>
        </w:numPr>
        <w:rPr>
          <w:lang w:bidi="en-US"/>
        </w:rPr>
      </w:pPr>
      <w:r w:rsidRPr="00EC0CC3">
        <w:rPr>
          <w:lang w:bidi="en-US"/>
        </w:rPr>
        <w:t xml:space="preserve">Hands should be washed immediately before sampling, and prior to putting on </w:t>
      </w:r>
      <w:r w:rsidR="00191D74">
        <w:rPr>
          <w:lang w:bidi="en-US"/>
        </w:rPr>
        <w:t xml:space="preserve">sterile </w:t>
      </w:r>
      <w:r w:rsidRPr="00EC0CC3">
        <w:rPr>
          <w:lang w:bidi="en-US"/>
        </w:rPr>
        <w:t xml:space="preserve"> gloves</w:t>
      </w:r>
      <w:r w:rsidRPr="00EC0CC3">
        <w:rPr>
          <w:lang w:bidi="en-US"/>
        </w:rPr>
        <w:t>. Gloves should be put on in a manner that does not contaminate the outside of the glove. Gloves should be properly disposed of after use.</w:t>
      </w:r>
    </w:p>
    <w:p w:rsidR="00191DF8" w:rsidRPr="00EC0CC3" w:rsidP="00E47C04" w14:paraId="5B6B6D81" w14:textId="77777777">
      <w:pPr>
        <w:pStyle w:val="GuidanceParagraph"/>
        <w:numPr>
          <w:ilvl w:val="0"/>
          <w:numId w:val="8"/>
        </w:numPr>
        <w:rPr>
          <w:lang w:bidi="en-US"/>
        </w:rPr>
      </w:pPr>
      <w:r w:rsidRPr="00EC0CC3">
        <w:rPr>
          <w:lang w:bidi="en-US"/>
        </w:rPr>
        <w:t>To prevent cross contamination, gloves should be changed between samples. In addition, you should change gloves if you touch any surfaces other than the sample sites, such as garbage, drains, or the floor.</w:t>
      </w:r>
    </w:p>
    <w:p w:rsidR="00191DF8" w:rsidRPr="00EC0CC3" w:rsidP="00E47C04" w14:paraId="4354D138" w14:textId="3AFFB783">
      <w:pPr>
        <w:pStyle w:val="GuidanceParagraph"/>
        <w:numPr>
          <w:ilvl w:val="0"/>
          <w:numId w:val="8"/>
        </w:numPr>
        <w:rPr>
          <w:lang w:bidi="en-US"/>
        </w:rPr>
      </w:pPr>
      <w:r w:rsidRPr="00EC0CC3">
        <w:rPr>
          <w:lang w:bidi="en-US"/>
        </w:rPr>
        <w:t xml:space="preserve">Hands should be kept away from mouth, nose, eyes, and face while collecting samples. </w:t>
      </w:r>
      <w:r w:rsidRPr="08279A7B" w:rsidR="25C80439">
        <w:rPr>
          <w:lang w:bidi="en-US"/>
        </w:rPr>
        <w:t>You should not</w:t>
      </w:r>
      <w:r w:rsidRPr="00EC0CC3">
        <w:rPr>
          <w:lang w:bidi="en-US"/>
        </w:rPr>
        <w:t xml:space="preserve"> cough or sneeze </w:t>
      </w:r>
      <w:r w:rsidRPr="2624F495" w:rsidR="2BA860AC">
        <w:rPr>
          <w:lang w:bidi="en-US"/>
        </w:rPr>
        <w:t>in the v</w:t>
      </w:r>
      <w:r w:rsidR="00B50FE2">
        <w:rPr>
          <w:lang w:bidi="en-US"/>
        </w:rPr>
        <w:t>i</w:t>
      </w:r>
      <w:r w:rsidRPr="2624F495" w:rsidR="2BA860AC">
        <w:rPr>
          <w:lang w:bidi="en-US"/>
        </w:rPr>
        <w:t>cinity of</w:t>
      </w:r>
      <w:r w:rsidRPr="00EC0CC3">
        <w:rPr>
          <w:lang w:bidi="en-US"/>
        </w:rPr>
        <w:t xml:space="preserve"> the samples, and if you do, discard the affected sample(s).</w:t>
      </w:r>
    </w:p>
    <w:p w:rsidR="00191DF8" w:rsidRPr="00EC0CC3" w:rsidP="00E47C04" w14:paraId="27EB25A4" w14:textId="77777777">
      <w:pPr>
        <w:pStyle w:val="GuidanceParagraph"/>
        <w:numPr>
          <w:ilvl w:val="0"/>
          <w:numId w:val="8"/>
        </w:numPr>
        <w:rPr>
          <w:lang w:bidi="en-US"/>
        </w:rPr>
      </w:pPr>
      <w:r w:rsidRPr="00EC0CC3">
        <w:rPr>
          <w:lang w:bidi="en-US"/>
        </w:rPr>
        <w:t xml:space="preserve">Sampling instruments should be </w:t>
      </w:r>
      <w:r w:rsidRPr="00EC0CC3">
        <w:rPr>
          <w:lang w:bidi="en-US"/>
        </w:rPr>
        <w:t>protected from contamination at all times</w:t>
      </w:r>
      <w:r w:rsidRPr="00EC0CC3">
        <w:rPr>
          <w:lang w:bidi="en-US"/>
        </w:rPr>
        <w:t xml:space="preserve"> before and during use. Either use them only once or sterilize them in between uses, so each sample will be taken by fresh and sterile utensils.</w:t>
      </w:r>
    </w:p>
    <w:p w:rsidR="00191DF8" w:rsidRPr="00EC0CC3" w:rsidP="00E47C04" w14:paraId="030FC552" w14:textId="77777777">
      <w:pPr>
        <w:pStyle w:val="GuidanceParagraph"/>
        <w:numPr>
          <w:ilvl w:val="0"/>
          <w:numId w:val="8"/>
        </w:numPr>
        <w:rPr>
          <w:lang w:bidi="en-US"/>
        </w:rPr>
      </w:pPr>
      <w:r w:rsidRPr="00EC0CC3">
        <w:rPr>
          <w:lang w:bidi="en-US"/>
        </w:rPr>
        <w:t>The type of sample containers used (e.g., bags, tubes, cups, flasks) should depend on the type of sample collected. You should use containers that are dry, leak-proof, wide-mouthed, and of a size suitable for the type of sample collected.</w:t>
      </w:r>
    </w:p>
    <w:p w:rsidR="00191DF8" w:rsidRPr="00EC0CC3" w:rsidP="002A2F14" w14:paraId="0F118BDF" w14:textId="77777777">
      <w:pPr>
        <w:numPr>
          <w:ilvl w:val="0"/>
          <w:numId w:val="3"/>
        </w:numPr>
        <w:spacing w:after="240"/>
        <w:rPr>
          <w:rFonts w:ascii="Times New Roman" w:hAnsi="Times New Roman" w:cs="Times New Roman"/>
          <w:sz w:val="24"/>
          <w:szCs w:val="24"/>
          <w:lang w:bidi="en-US"/>
        </w:rPr>
      </w:pPr>
      <w:r w:rsidRPr="00EC0CC3">
        <w:rPr>
          <w:rFonts w:ascii="Times New Roman" w:hAnsi="Times New Roman" w:cs="Times New Roman"/>
          <w:sz w:val="24"/>
          <w:szCs w:val="24"/>
          <w:lang w:bidi="en-US"/>
        </w:rPr>
        <w:t xml:space="preserve">The container should be properly labeled, such as with a marked strip of masking tape, prior to sampling to identify the sample information, such as the sample production batch, time, and the date of sampling. The container should be opened only sufficiently to collect the sample directly in the container, and then immediately </w:t>
      </w:r>
      <w:r w:rsidRPr="00EC0CC3">
        <w:rPr>
          <w:rFonts w:ascii="Times New Roman" w:hAnsi="Times New Roman" w:cs="Times New Roman"/>
          <w:sz w:val="24"/>
          <w:szCs w:val="24"/>
          <w:lang w:bidi="en-US"/>
        </w:rPr>
        <w:t>closed and sealed.</w:t>
      </w:r>
    </w:p>
    <w:p w:rsidR="00191DF8" w:rsidRPr="00EC0CC3" w:rsidP="002A2F14" w14:paraId="2F2F9C84" w14:textId="77777777">
      <w:pPr>
        <w:numPr>
          <w:ilvl w:val="0"/>
          <w:numId w:val="3"/>
        </w:numPr>
        <w:spacing w:after="240"/>
        <w:rPr>
          <w:rFonts w:ascii="Times New Roman" w:hAnsi="Times New Roman" w:cs="Times New Roman"/>
          <w:sz w:val="24"/>
          <w:szCs w:val="24"/>
          <w:lang w:bidi="en-US"/>
        </w:rPr>
      </w:pPr>
      <w:r w:rsidRPr="00EC0CC3">
        <w:rPr>
          <w:rFonts w:ascii="Times New Roman" w:hAnsi="Times New Roman" w:cs="Times New Roman"/>
          <w:sz w:val="24"/>
          <w:szCs w:val="24"/>
          <w:lang w:bidi="en-US"/>
        </w:rPr>
        <w:t>Containers such as plastic jars or metal cans that are leak-proof may be sealed.</w:t>
      </w:r>
    </w:p>
    <w:p w:rsidR="00191DF8" w:rsidRPr="00EC0CC3" w:rsidP="002A2F14" w14:paraId="50944EC4" w14:textId="77777777">
      <w:pPr>
        <w:numPr>
          <w:ilvl w:val="0"/>
          <w:numId w:val="3"/>
        </w:numPr>
        <w:spacing w:after="240"/>
        <w:rPr>
          <w:rFonts w:ascii="Times New Roman" w:hAnsi="Times New Roman" w:cs="Times New Roman"/>
          <w:sz w:val="24"/>
          <w:szCs w:val="24"/>
          <w:lang w:bidi="en-US"/>
        </w:rPr>
      </w:pPr>
      <w:r w:rsidRPr="00EC0CC3">
        <w:rPr>
          <w:rFonts w:ascii="Times New Roman" w:hAnsi="Times New Roman" w:cs="Times New Roman"/>
          <w:sz w:val="24"/>
          <w:szCs w:val="24"/>
          <w:lang w:bidi="en-US"/>
        </w:rPr>
        <w:t>If collecting samples in a container with a lid, the lid should not be placed on a counter.</w:t>
      </w:r>
    </w:p>
    <w:p w:rsidR="00191DF8" w:rsidRPr="00EC0CC3" w:rsidP="002A2F14" w14:paraId="649E94BC" w14:textId="77777777">
      <w:pPr>
        <w:numPr>
          <w:ilvl w:val="0"/>
          <w:numId w:val="3"/>
        </w:numPr>
        <w:tabs>
          <w:tab w:val="left" w:pos="1440"/>
        </w:tabs>
        <w:spacing w:after="240"/>
        <w:rPr>
          <w:rFonts w:ascii="Times New Roman" w:hAnsi="Times New Roman" w:cs="Times New Roman"/>
          <w:sz w:val="24"/>
          <w:szCs w:val="24"/>
          <w:lang w:bidi="en-US"/>
        </w:rPr>
      </w:pPr>
      <w:r w:rsidRPr="00EC0CC3">
        <w:rPr>
          <w:rFonts w:ascii="Times New Roman" w:hAnsi="Times New Roman" w:cs="Times New Roman"/>
          <w:sz w:val="24"/>
          <w:szCs w:val="24"/>
          <w:lang w:bidi="en-US"/>
        </w:rPr>
        <w:t>Whenever possible, avoid using glass containers, which may break and contaminate the sample, the source from which the sample was taken, and/or covered produce, including sprouts.</w:t>
      </w:r>
    </w:p>
    <w:p w:rsidR="00191DF8" w:rsidRPr="00EC0CC3" w:rsidP="00E47C04" w14:paraId="32BCE0D7" w14:textId="77777777">
      <w:pPr>
        <w:pStyle w:val="GuidanceParagraph"/>
        <w:numPr>
          <w:ilvl w:val="0"/>
          <w:numId w:val="8"/>
        </w:numPr>
        <w:rPr>
          <w:lang w:bidi="en-US"/>
        </w:rPr>
      </w:pPr>
      <w:r w:rsidRPr="00EC0CC3">
        <w:rPr>
          <w:lang w:bidi="en-US"/>
        </w:rPr>
        <w:t>Sample containers for water samples (i.e., agricultural water and spent sprout irrigation water) should not be overfilled, and you should leave an air space of 1 to 2 inches at the top to prevent overflow.</w:t>
      </w:r>
    </w:p>
    <w:p w:rsidR="00191DF8" w:rsidRPr="00EC0CC3" w:rsidP="00E47C04" w14:paraId="130A6B34" w14:textId="77777777">
      <w:pPr>
        <w:pStyle w:val="GuidanceParagraph"/>
        <w:numPr>
          <w:ilvl w:val="0"/>
          <w:numId w:val="8"/>
        </w:numPr>
        <w:rPr>
          <w:lang w:bidi="en-US"/>
        </w:rPr>
      </w:pPr>
      <w:r w:rsidRPr="00EC0CC3">
        <w:rPr>
          <w:lang w:bidi="en-US"/>
        </w:rPr>
        <w:t>For samples collected indoors, samples and sampling equipment should not be exposed to unfiltered air currents. When opening sterile sampling containers, you should work rapidly, open sterile sampling containers only to admit the sample and close it immediately.</w:t>
      </w:r>
    </w:p>
    <w:p w:rsidR="00191DF8" w:rsidRPr="00EC0CC3" w:rsidP="00E47C04" w14:paraId="11BF6E3A" w14:textId="77777777">
      <w:pPr>
        <w:pStyle w:val="GuidanceParagraph"/>
        <w:numPr>
          <w:ilvl w:val="0"/>
          <w:numId w:val="8"/>
        </w:numPr>
        <w:rPr>
          <w:lang w:bidi="en-US"/>
        </w:rPr>
      </w:pPr>
      <w:r w:rsidRPr="00EC0CC3">
        <w:rPr>
          <w:lang w:bidi="en-US"/>
        </w:rPr>
        <w:t xml:space="preserve">You should not touch the inside of the sterile sample container, </w:t>
      </w:r>
      <w:r w:rsidRPr="00EC0CC3">
        <w:rPr>
          <w:lang w:bidi="en-US"/>
        </w:rPr>
        <w:t>lip</w:t>
      </w:r>
      <w:r w:rsidRPr="00EC0CC3">
        <w:rPr>
          <w:lang w:bidi="en-US"/>
        </w:rPr>
        <w:t xml:space="preserve"> or lid. You should not allow fingers or anything except the sample to contact the inside of the sample container.</w:t>
      </w:r>
    </w:p>
    <w:p w:rsidR="00191DF8" w:rsidRPr="00EC0CC3" w:rsidP="00E47C04" w14:paraId="77F473B8" w14:textId="77777777">
      <w:pPr>
        <w:pStyle w:val="GuidanceParagraph"/>
        <w:numPr>
          <w:ilvl w:val="0"/>
          <w:numId w:val="8"/>
        </w:numPr>
        <w:rPr>
          <w:lang w:bidi="en-US"/>
        </w:rPr>
      </w:pPr>
      <w:r w:rsidRPr="00EC0CC3">
        <w:rPr>
          <w:lang w:bidi="en-US"/>
        </w:rPr>
        <w:t>You should not use a sample container that has fallen on the floor.</w:t>
      </w:r>
    </w:p>
    <w:p w:rsidR="00191DF8" w:rsidRPr="00EC0CC3" w:rsidP="00E47C04" w14:paraId="78085313" w14:textId="77777777">
      <w:pPr>
        <w:pStyle w:val="GuidanceParagraph"/>
        <w:numPr>
          <w:ilvl w:val="0"/>
          <w:numId w:val="8"/>
        </w:numPr>
        <w:rPr>
          <w:lang w:bidi="en-US"/>
        </w:rPr>
      </w:pPr>
      <w:r w:rsidRPr="00EC0CC3">
        <w:rPr>
          <w:lang w:bidi="en-US"/>
        </w:rPr>
        <w:t xml:space="preserve">You should not expose covered produce, including sprouts, or food contact surfaces to samples or hands after sampling. You must wash hands with soap and water following sample collection, because during sampling hands may have become contaminated in </w:t>
      </w:r>
      <w:r w:rsidR="0055670C">
        <w:rPr>
          <w:lang w:bidi="en-US"/>
        </w:rPr>
        <w:t xml:space="preserve">a </w:t>
      </w:r>
      <w:r w:rsidRPr="00EC0CC3">
        <w:rPr>
          <w:lang w:bidi="en-US"/>
        </w:rPr>
        <w:t>manner reasonably likely to lead to contamination of covered produce (§ 112.32(b)(3)(vi)).</w:t>
      </w:r>
    </w:p>
    <w:p w:rsidR="00191DF8" w:rsidRPr="00EC0CC3" w:rsidP="00E47C04" w14:paraId="7267FC35" w14:textId="41B22605">
      <w:pPr>
        <w:pStyle w:val="GuidanceParagraph"/>
        <w:numPr>
          <w:ilvl w:val="0"/>
          <w:numId w:val="8"/>
        </w:numPr>
        <w:rPr>
          <w:lang w:bidi="en-US"/>
        </w:rPr>
      </w:pPr>
      <w:r w:rsidRPr="00EC0CC3">
        <w:rPr>
          <w:lang w:bidi="en-US"/>
        </w:rPr>
        <w:t>Samples should be delivered to the laboratory promptly. You should ship the samples so that they are received by the laboratory within 24 hours from the time of sample collection and analyzed promptly. A delay of more than 24 hours between sample collection and the lab’s receipt may make the test results inaccurate (</w:t>
      </w:r>
      <w:r w:rsidR="009A2931">
        <w:rPr>
          <w:lang w:bidi="en-US"/>
        </w:rPr>
        <w:fldChar w:fldCharType="begin"/>
      </w:r>
      <w:r w:rsidR="009A2931">
        <w:rPr>
          <w:lang w:bidi="en-US"/>
        </w:rPr>
        <w:instrText xml:space="preserve"> REF _Ref51149109 \h </w:instrText>
      </w:r>
      <w:r w:rsidR="004B2A15">
        <w:rPr>
          <w:lang w:bidi="en-US"/>
        </w:rPr>
        <w:instrText xml:space="preserve"> \* MERGEFORMAT </w:instrText>
      </w:r>
      <w:r w:rsidR="009A2931">
        <w:rPr>
          <w:lang w:bidi="en-US"/>
        </w:rPr>
        <w:fldChar w:fldCharType="separate"/>
      </w:r>
      <w:r w:rsidRPr="006E43DC" w:rsidR="00FB6D94">
        <w:t xml:space="preserve">Ref. </w:t>
      </w:r>
      <w:r w:rsidR="00FB6D94">
        <w:rPr>
          <w:noProof/>
        </w:rPr>
        <w:t>99</w:t>
      </w:r>
      <w:r w:rsidR="009A2931">
        <w:rPr>
          <w:lang w:bidi="en-US"/>
        </w:rPr>
        <w:fldChar w:fldCharType="end"/>
      </w:r>
      <w:r w:rsidRPr="00EC0CC3">
        <w:rPr>
          <w:lang w:bidi="en-US"/>
        </w:rPr>
        <w:t>).</w:t>
      </w:r>
    </w:p>
    <w:p w:rsidR="00191DF8" w:rsidRPr="00EC0CC3" w:rsidP="00E47C04" w14:paraId="1A436448" w14:textId="270C3D5A">
      <w:pPr>
        <w:pStyle w:val="GuidanceParagraph"/>
        <w:numPr>
          <w:ilvl w:val="0"/>
          <w:numId w:val="8"/>
        </w:numPr>
        <w:rPr>
          <w:lang w:bidi="en-US"/>
        </w:rPr>
      </w:pPr>
      <w:r w:rsidRPr="00EC0CC3">
        <w:rPr>
          <w:lang w:bidi="en-US"/>
        </w:rPr>
        <w:t>Prior to and during delivery or shipment to a laboratory, you should hold your samples between 0 and 4.4 ºC (between 32 and 40 ºF). You should use sealed coolant packs in lieu of ice, as needed during delivery or shipment, to avoid the possibility of melting ice contaminating the sample. You should not freeze the samples.</w:t>
      </w:r>
    </w:p>
    <w:p w:rsidR="00191DF8" w:rsidP="007522C1" w14:paraId="6F545358" w14:textId="34358BF8">
      <w:pPr>
        <w:rPr>
          <w:rFonts w:ascii="Times New Roman" w:hAnsi="Times New Roman" w:cs="Times New Roman"/>
          <w:b/>
          <w:sz w:val="24"/>
          <w:szCs w:val="24"/>
          <w:lang w:bidi="en-US"/>
        </w:rPr>
      </w:pPr>
      <w:r w:rsidRPr="007522C1">
        <w:rPr>
          <w:rFonts w:ascii="Times New Roman" w:hAnsi="Times New Roman" w:cs="Times New Roman"/>
          <w:b/>
          <w:sz w:val="24"/>
          <w:szCs w:val="24"/>
          <w:lang w:bidi="en-US"/>
        </w:rPr>
        <w:t xml:space="preserve">Appendix 2. </w:t>
      </w:r>
      <w:r w:rsidRPr="007522C1">
        <w:rPr>
          <w:rFonts w:ascii="Times New Roman" w:hAnsi="Times New Roman" w:cs="Times New Roman"/>
          <w:b/>
          <w:sz w:val="24"/>
          <w:szCs w:val="24"/>
          <w:lang w:bidi="en-US"/>
        </w:rPr>
        <w:t>Collection Procedures – Environmental Sampling</w:t>
      </w:r>
    </w:p>
    <w:p w:rsidR="007522C1" w:rsidRPr="007522C1" w:rsidP="007522C1" w14:paraId="35C959E9" w14:textId="77777777">
      <w:pPr>
        <w:rPr>
          <w:rFonts w:ascii="Times New Roman" w:hAnsi="Times New Roman" w:cs="Times New Roman"/>
          <w:b/>
          <w:bCs/>
          <w:sz w:val="24"/>
          <w:szCs w:val="24"/>
          <w:lang w:bidi="en-US"/>
        </w:rPr>
      </w:pPr>
    </w:p>
    <w:p w:rsidR="00191DF8" w:rsidRPr="00352F94" w:rsidP="00E47C04" w14:paraId="6A397283" w14:textId="77777777">
      <w:pPr>
        <w:pStyle w:val="GuidanceParagraph"/>
      </w:pPr>
      <w:r w:rsidRPr="00EC0CC3">
        <w:rPr>
          <w:lang w:bidi="en-US"/>
        </w:rPr>
        <w:t xml:space="preserve">The two most common methods to collect environmental samples to test for </w:t>
      </w:r>
      <w:r w:rsidRPr="00EC0CC3">
        <w:rPr>
          <w:i/>
          <w:lang w:bidi="en-US"/>
        </w:rPr>
        <w:t xml:space="preserve">Listeria </w:t>
      </w:r>
      <w:r w:rsidRPr="00EC0CC3">
        <w:rPr>
          <w:lang w:bidi="en-US"/>
        </w:rPr>
        <w:t xml:space="preserve">spp. or </w:t>
      </w:r>
      <w:r w:rsidRPr="00EC0CC3">
        <w:rPr>
          <w:i/>
          <w:lang w:bidi="en-US"/>
        </w:rPr>
        <w:t>Listeria monocytogenes</w:t>
      </w:r>
      <w:r w:rsidRPr="00EC0CC3">
        <w:rPr>
          <w:lang w:bidi="en-US"/>
        </w:rPr>
        <w:t xml:space="preserve"> are “surface sponging” and “swabbing.” Another sampling method used is the “rinse” method. In general, the preferred method of sampling is surface sponging, but certain areas could be more appropriately sampled using a swab (e.g., head screws, small water collection points, screw holes, threaded </w:t>
      </w:r>
      <w:r w:rsidRPr="00EC0CC3">
        <w:rPr>
          <w:lang w:bidi="en-US"/>
        </w:rPr>
        <w:t>surfaces</w:t>
      </w:r>
      <w:r w:rsidRPr="00EC0CC3">
        <w:rPr>
          <w:lang w:bidi="en-US"/>
        </w:rPr>
        <w:t xml:space="preserve"> or interior corners of equipment) or rinse </w:t>
      </w:r>
      <w:r w:rsidRPr="00EC0CC3">
        <w:rPr>
          <w:lang w:bidi="en-US"/>
        </w:rPr>
        <w:t xml:space="preserve">method. For wet surfaces, you should wipe and absorb moisture and wet product and residue with a sponge. For dry surfaces, you should wipe the sample site area with a sponge or swab </w:t>
      </w:r>
      <w:r w:rsidRPr="00352F94">
        <w:t>moistened with Dey-</w:t>
      </w:r>
      <w:r w:rsidRPr="00352F94">
        <w:t>Engley</w:t>
      </w:r>
      <w:r w:rsidRPr="00352F94">
        <w:t xml:space="preserve"> (D/E) broth. The sample size of each site should be consistent with the testing methodology and the sample collection method being used. The recommended sample size for swabs is generally smaller (e.g., 1 inch by 1 inch) compared to sponges (e.g., 4 inches by 4 inches up to 12 inches by 12 inches). However, if collecting from surfaces with visible residue (e.g., dust, dirt, buildup of organic material), we recommend increasing the number of sponges and collecting from a smaller surface area for each sponge to improve the likelihood of detection.</w:t>
      </w:r>
    </w:p>
    <w:p w:rsidR="00352F94" w:rsidRPr="0086526D" w:rsidP="00E47C04" w14:paraId="77C78969" w14:textId="4DD9262B">
      <w:pPr>
        <w:pStyle w:val="GuidanceParagraph"/>
      </w:pPr>
      <w:r w:rsidRPr="0086526D">
        <w:t>If Sponge Sampling:</w:t>
      </w:r>
    </w:p>
    <w:p w:rsidR="00191DF8" w:rsidRPr="00EC0CC3" w:rsidP="00E47C04" w14:paraId="467EAD33" w14:textId="3A33FEEC">
      <w:pPr>
        <w:pStyle w:val="GuidanceParagraph"/>
        <w:numPr>
          <w:ilvl w:val="0"/>
          <w:numId w:val="9"/>
        </w:numPr>
        <w:rPr>
          <w:lang w:bidi="en-US"/>
        </w:rPr>
      </w:pPr>
      <w:r w:rsidRPr="00EC0CC3">
        <w:rPr>
          <w:lang w:bidi="en-US"/>
        </w:rPr>
        <w:t>You should wash and sanitize hands to the mid-forearm before you begin sampling. Aseptically place a glove on the hand used for swabbing.</w:t>
      </w:r>
    </w:p>
    <w:p w:rsidR="00191DF8" w:rsidRPr="00EC0CC3" w:rsidP="00E47C04" w14:paraId="04C74B3B" w14:textId="1E9A2BF8">
      <w:pPr>
        <w:pStyle w:val="GuidanceParagraph"/>
        <w:numPr>
          <w:ilvl w:val="0"/>
          <w:numId w:val="9"/>
        </w:numPr>
        <w:rPr>
          <w:lang w:bidi="en-US"/>
        </w:rPr>
      </w:pPr>
      <w:r w:rsidRPr="00EC0CC3">
        <w:rPr>
          <w:lang w:bidi="en-US"/>
        </w:rPr>
        <w:t>Using the ungloved hand, open the bag containing the sponge on a stick by pulling off the clear perforated strip at the top of the bag.</w:t>
      </w:r>
    </w:p>
    <w:p w:rsidR="00191DF8" w:rsidRPr="00EC0CC3" w:rsidP="00E47C04" w14:paraId="6C9DD7C5" w14:textId="77777777">
      <w:pPr>
        <w:pStyle w:val="GuidanceParagraph"/>
        <w:numPr>
          <w:ilvl w:val="0"/>
          <w:numId w:val="9"/>
        </w:numPr>
        <w:rPr>
          <w:lang w:bidi="en-US"/>
        </w:rPr>
      </w:pPr>
      <w:r w:rsidRPr="00EC0CC3">
        <w:rPr>
          <w:lang w:bidi="en-US"/>
        </w:rPr>
        <w:t>Pull apart the white tabs to open the mouth of the bag.</w:t>
      </w:r>
    </w:p>
    <w:p w:rsidR="00191DF8" w:rsidRPr="00EC0CC3" w:rsidP="00E47C04" w14:paraId="7E6B8963" w14:textId="77777777">
      <w:pPr>
        <w:pStyle w:val="GuidanceParagraph"/>
        <w:numPr>
          <w:ilvl w:val="0"/>
          <w:numId w:val="9"/>
        </w:numPr>
        <w:rPr>
          <w:lang w:bidi="en-US"/>
        </w:rPr>
      </w:pPr>
      <w:r w:rsidRPr="00EC0CC3">
        <w:rPr>
          <w:lang w:bidi="en-US"/>
        </w:rPr>
        <w:t>If not using pre-moistened sponges, aseptically pour 9-10 ml of sterile D/E or other neutralizing broth into the bag to hydrate the sponge, being careful not to contaminate the broth or sponge during the transfer.</w:t>
      </w:r>
    </w:p>
    <w:p w:rsidR="00191DF8" w:rsidRPr="00EC0CC3" w:rsidP="00E47C04" w14:paraId="7E829FA9" w14:textId="77777777">
      <w:pPr>
        <w:pStyle w:val="GuidanceParagraph"/>
        <w:numPr>
          <w:ilvl w:val="0"/>
          <w:numId w:val="9"/>
        </w:numPr>
        <w:rPr>
          <w:lang w:bidi="en-US"/>
        </w:rPr>
      </w:pPr>
      <w:r w:rsidRPr="00EC0CC3">
        <w:rPr>
          <w:lang w:bidi="en-US"/>
        </w:rPr>
        <w:t>Close the bag and evenly moisten sponges by hand massage.</w:t>
      </w:r>
    </w:p>
    <w:p w:rsidR="00191DF8" w:rsidRPr="00EC0CC3" w:rsidP="00E47C04" w14:paraId="74340A9B" w14:textId="77777777">
      <w:pPr>
        <w:pStyle w:val="GuidanceParagraph"/>
        <w:numPr>
          <w:ilvl w:val="0"/>
          <w:numId w:val="9"/>
        </w:numPr>
        <w:rPr>
          <w:lang w:bidi="en-US"/>
        </w:rPr>
      </w:pPr>
      <w:r w:rsidRPr="00EC0CC3">
        <w:rPr>
          <w:lang w:bidi="en-US"/>
        </w:rPr>
        <w:t>Position the sponge so that the handle is sticking out of the bag and close the bag around the stick.</w:t>
      </w:r>
    </w:p>
    <w:p w:rsidR="00191DF8" w:rsidRPr="00EC0CC3" w:rsidP="00E47C04" w14:paraId="0B87D206" w14:textId="77777777">
      <w:pPr>
        <w:pStyle w:val="GuidanceParagraph"/>
        <w:numPr>
          <w:ilvl w:val="0"/>
          <w:numId w:val="9"/>
        </w:numPr>
        <w:rPr>
          <w:lang w:bidi="en-US"/>
        </w:rPr>
      </w:pPr>
      <w:r w:rsidRPr="00EC0CC3">
        <w:rPr>
          <w:lang w:bidi="en-US"/>
        </w:rPr>
        <w:t>Through the bag, squeeze the excess broth gently out of the sponge. Do not let your hand go past the thumb stop on the stick.</w:t>
      </w:r>
    </w:p>
    <w:p w:rsidR="00191DF8" w:rsidRPr="00EC0CC3" w:rsidP="00E47C04" w14:paraId="7490F170" w14:textId="77777777">
      <w:pPr>
        <w:pStyle w:val="GuidanceParagraph"/>
        <w:numPr>
          <w:ilvl w:val="0"/>
          <w:numId w:val="9"/>
        </w:numPr>
        <w:rPr>
          <w:lang w:bidi="en-US"/>
        </w:rPr>
      </w:pPr>
      <w:r w:rsidRPr="00EC0CC3">
        <w:rPr>
          <w:lang w:bidi="en-US"/>
        </w:rPr>
        <w:t>Carefully take the sponge-stick out of the bag by grasping the stick and swab the area selected using firm and even pressure. Be careful to maintain sanitary conditions when sampling. Do not let your hand go past the thumb stop on the handle.</w:t>
      </w:r>
    </w:p>
    <w:p w:rsidR="00191DF8" w:rsidRPr="00EC0CC3" w:rsidP="00E47C04" w14:paraId="778B5DE7" w14:textId="77777777">
      <w:pPr>
        <w:pStyle w:val="GuidanceParagraph"/>
        <w:numPr>
          <w:ilvl w:val="0"/>
          <w:numId w:val="9"/>
        </w:numPr>
        <w:rPr>
          <w:lang w:bidi="en-US"/>
        </w:rPr>
      </w:pPr>
      <w:r w:rsidRPr="00EC0CC3">
        <w:rPr>
          <w:lang w:bidi="en-US"/>
        </w:rPr>
        <w:t>Swab the chosen area (e.g., between 4 inches by 4 inches up to 12 inches by 12 inches square of food contact or environmental surface area):</w:t>
      </w:r>
    </w:p>
    <w:p w:rsidR="00191DF8" w:rsidRPr="00EC0CC3" w:rsidP="00E47C04" w14:paraId="389E6FD0" w14:textId="77777777">
      <w:pPr>
        <w:pStyle w:val="GuidanceParagraph"/>
        <w:numPr>
          <w:ilvl w:val="0"/>
          <w:numId w:val="15"/>
        </w:numPr>
        <w:rPr>
          <w:lang w:bidi="en-US"/>
        </w:rPr>
      </w:pPr>
      <w:r w:rsidRPr="00EC0CC3">
        <w:rPr>
          <w:lang w:bidi="en-US"/>
        </w:rPr>
        <w:t>Sponge vertically (approximately 10 times); then</w:t>
      </w:r>
    </w:p>
    <w:p w:rsidR="00191DF8" w:rsidRPr="00EC0CC3" w:rsidP="00E47C04" w14:paraId="31345302" w14:textId="77777777">
      <w:pPr>
        <w:pStyle w:val="GuidanceParagraph"/>
        <w:numPr>
          <w:ilvl w:val="0"/>
          <w:numId w:val="15"/>
        </w:numPr>
        <w:rPr>
          <w:lang w:bidi="en-US"/>
        </w:rPr>
      </w:pPr>
      <w:r w:rsidRPr="00EC0CC3">
        <w:rPr>
          <w:lang w:bidi="en-US"/>
        </w:rPr>
        <w:t>Flip the sponge and use the other side to swab horizontally (approximately 10 times</w:t>
      </w:r>
      <w:r w:rsidRPr="00EC0CC3">
        <w:rPr>
          <w:lang w:bidi="en-US"/>
        </w:rPr>
        <w:t>);</w:t>
      </w:r>
    </w:p>
    <w:p w:rsidR="00191DF8" w:rsidRPr="00EC0CC3" w:rsidP="00E47C04" w14:paraId="3F614267" w14:textId="77777777">
      <w:pPr>
        <w:pStyle w:val="GuidanceParagraph"/>
        <w:numPr>
          <w:ilvl w:val="0"/>
          <w:numId w:val="15"/>
        </w:numPr>
        <w:rPr>
          <w:lang w:bidi="en-US"/>
        </w:rPr>
      </w:pPr>
      <w:r w:rsidRPr="00EC0CC3">
        <w:rPr>
          <w:lang w:bidi="en-US"/>
        </w:rPr>
        <w:t>Then move the sponge diagonally, using the same surface side as you used for horizontal (approximately 10 times).</w:t>
      </w:r>
    </w:p>
    <w:p w:rsidR="00191DF8" w:rsidRPr="00EC0CC3" w:rsidP="00E47C04" w14:paraId="113D389F" w14:textId="77777777">
      <w:pPr>
        <w:pStyle w:val="GuidanceParagraph"/>
        <w:numPr>
          <w:ilvl w:val="0"/>
          <w:numId w:val="9"/>
        </w:numPr>
        <w:rPr>
          <w:lang w:bidi="en-US"/>
        </w:rPr>
      </w:pPr>
      <w:r w:rsidRPr="00EC0CC3">
        <w:rPr>
          <w:lang w:bidi="en-US"/>
        </w:rPr>
        <w:t>Open the bag and insert the sponge portion into the bag.</w:t>
      </w:r>
    </w:p>
    <w:p w:rsidR="00191DF8" w:rsidRPr="00EC0CC3" w:rsidP="00E47C04" w14:paraId="74B1DF03" w14:textId="77777777">
      <w:pPr>
        <w:pStyle w:val="GuidanceParagraph"/>
        <w:numPr>
          <w:ilvl w:val="0"/>
          <w:numId w:val="9"/>
        </w:numPr>
        <w:rPr>
          <w:lang w:bidi="en-US"/>
        </w:rPr>
      </w:pPr>
      <w:r w:rsidRPr="00EC0CC3">
        <w:rPr>
          <w:lang w:bidi="en-US"/>
        </w:rPr>
        <w:t>Grip the sponge through the bag and bend the stick of the sponge back and forth with slight force, while gripping the sponge through the bag. The stick should break easily within the sponge. (Do not break the stick at the thumb stop.) Discard the broken stick. If the stick is sticking out above the sponge, discard this sample.</w:t>
      </w:r>
    </w:p>
    <w:p w:rsidR="00191DF8" w:rsidRPr="00EC0CC3" w:rsidP="00E47C04" w14:paraId="66C55938" w14:textId="77777777">
      <w:pPr>
        <w:pStyle w:val="GuidanceParagraph"/>
        <w:numPr>
          <w:ilvl w:val="0"/>
          <w:numId w:val="9"/>
        </w:numPr>
        <w:rPr>
          <w:lang w:bidi="en-US"/>
        </w:rPr>
      </w:pPr>
      <w:r w:rsidRPr="00EC0CC3">
        <w:rPr>
          <w:lang w:bidi="en-US"/>
        </w:rPr>
        <w:t>Squeeze as much air out of the bag as possible and fold the top of the bag down at least 3 times until it is folded all the way down to the sponge. Fold in the tabs to lock the fold in place.</w:t>
      </w:r>
    </w:p>
    <w:p w:rsidR="00191DF8" w:rsidRPr="00EC0CC3" w:rsidP="00E47C04" w14:paraId="3BFC9F2C" w14:textId="77777777">
      <w:pPr>
        <w:pStyle w:val="GuidanceParagraph"/>
        <w:numPr>
          <w:ilvl w:val="0"/>
          <w:numId w:val="9"/>
        </w:numPr>
        <w:rPr>
          <w:lang w:bidi="en-US"/>
        </w:rPr>
      </w:pPr>
      <w:r w:rsidRPr="00EC0CC3">
        <w:rPr>
          <w:lang w:bidi="en-US"/>
        </w:rPr>
        <w:t>Label the bag with the date and location of the sample.</w:t>
      </w:r>
    </w:p>
    <w:p w:rsidR="00191DF8" w:rsidRPr="00EC0CC3" w:rsidP="00E47C04" w14:paraId="65732F0D" w14:textId="77777777">
      <w:pPr>
        <w:pStyle w:val="GuidanceParagraph"/>
        <w:numPr>
          <w:ilvl w:val="0"/>
          <w:numId w:val="9"/>
        </w:numPr>
        <w:rPr>
          <w:lang w:bidi="en-US"/>
        </w:rPr>
      </w:pPr>
      <w:r w:rsidRPr="00EC0CC3">
        <w:rPr>
          <w:lang w:bidi="en-US"/>
        </w:rPr>
        <w:t>Take each new sample following the same steps in 1 – 13, starting by changing the glove on the gloved hand between samples.</w:t>
      </w:r>
    </w:p>
    <w:p w:rsidR="00191DF8" w:rsidRPr="00EC0CC3" w:rsidP="00E47C04" w14:paraId="0EE0FE49" w14:textId="71948847">
      <w:pPr>
        <w:pStyle w:val="GuidanceParagraph"/>
        <w:numPr>
          <w:ilvl w:val="0"/>
          <w:numId w:val="9"/>
        </w:numPr>
      </w:pPr>
      <w:r w:rsidRPr="00EC0CC3">
        <w:t>Prior to and during delivery or shipment</w:t>
      </w:r>
      <w:r w:rsidRPr="00EC0CC3">
        <w:t xml:space="preserve"> </w:t>
      </w:r>
      <w:r w:rsidRPr="00EC0CC3">
        <w:t xml:space="preserve">to a laboratory, samples should be kept refrigerated. Sealed coolant packs should be used in lieu of ice, as needed during delivery or shipment, to avoid the possibility of melting ice contaminating the sample. Samples should not be frozen. Samples should be shipped </w:t>
      </w:r>
      <w:r w:rsidRPr="00EC0CC3">
        <w:t>so that they are received by</w:t>
      </w:r>
      <w:r w:rsidRPr="00EC0CC3">
        <w:t xml:space="preserve"> the laboratory within 24 hours after sample collection. We recommend that the maximum timeframe between environmental sampling and analysis be 48 hours (</w:t>
      </w:r>
      <w:r w:rsidR="009A2931">
        <w:fldChar w:fldCharType="begin"/>
      </w:r>
      <w:r w:rsidR="009A2931">
        <w:instrText xml:space="preserve"> REF _Ref51148688 \h </w:instrText>
      </w:r>
      <w:r w:rsidR="004B2A15">
        <w:instrText xml:space="preserve"> \* MERGEFORMAT </w:instrText>
      </w:r>
      <w:r w:rsidR="009A2931">
        <w:fldChar w:fldCharType="separate"/>
      </w:r>
      <w:r w:rsidRPr="006E43DC" w:rsidR="00FB6D94">
        <w:t xml:space="preserve">Ref. </w:t>
      </w:r>
      <w:r w:rsidR="00FB6D94">
        <w:rPr>
          <w:noProof/>
        </w:rPr>
        <w:t>95</w:t>
      </w:r>
      <w:r w:rsidR="009A2931">
        <w:fldChar w:fldCharType="end"/>
      </w:r>
      <w:r w:rsidRPr="00EC0CC3">
        <w:t xml:space="preserve">). </w:t>
      </w:r>
    </w:p>
    <w:p w:rsidR="00352F94" w:rsidRPr="00A8312A" w:rsidP="002A2F14" w14:paraId="30053890" w14:textId="77777777">
      <w:pPr>
        <w:spacing w:after="240"/>
        <w:rPr>
          <w:rFonts w:ascii="Times New Roman" w:hAnsi="Times New Roman" w:cs="Times New Roman"/>
          <w:sz w:val="24"/>
          <w:szCs w:val="24"/>
          <w:lang w:bidi="en-US"/>
        </w:rPr>
      </w:pPr>
      <w:r w:rsidRPr="00A8312A">
        <w:rPr>
          <w:rFonts w:ascii="Times New Roman" w:hAnsi="Times New Roman" w:cs="Times New Roman"/>
          <w:sz w:val="24"/>
          <w:szCs w:val="24"/>
          <w:lang w:bidi="en-US"/>
        </w:rPr>
        <w:t>If Swab Sampling:</w:t>
      </w:r>
    </w:p>
    <w:p w:rsidR="00191DF8" w:rsidRPr="00EC0CC3" w:rsidP="00E47C04" w14:paraId="1B228C8D" w14:textId="69B06AFC">
      <w:pPr>
        <w:pStyle w:val="GuidanceParagraph"/>
        <w:numPr>
          <w:ilvl w:val="0"/>
          <w:numId w:val="10"/>
        </w:numPr>
        <w:rPr>
          <w:lang w:bidi="en-US"/>
        </w:rPr>
      </w:pPr>
      <w:r w:rsidRPr="00EC0CC3">
        <w:rPr>
          <w:lang w:bidi="en-US"/>
        </w:rPr>
        <w:t>You should wash and sanitize hands to the mid-forearm before you begin sampling. Aseptically place a glove on the hand used for swabbing.</w:t>
      </w:r>
    </w:p>
    <w:p w:rsidR="00191DF8" w:rsidRPr="00EC0CC3" w:rsidP="00E47C04" w14:paraId="1776B08D" w14:textId="77777777">
      <w:pPr>
        <w:pStyle w:val="GuidanceParagraph"/>
        <w:numPr>
          <w:ilvl w:val="0"/>
          <w:numId w:val="10"/>
        </w:numPr>
        <w:rPr>
          <w:lang w:bidi="en-US"/>
        </w:rPr>
      </w:pPr>
      <w:r w:rsidRPr="00EC0CC3">
        <w:rPr>
          <w:lang w:bidi="en-US"/>
        </w:rPr>
        <w:t>Using the ungloved hand, open the tube containing the swab.</w:t>
      </w:r>
    </w:p>
    <w:p w:rsidR="00191DF8" w:rsidRPr="00EC0CC3" w:rsidP="00E47C04" w14:paraId="3F5FD4F5" w14:textId="77777777">
      <w:pPr>
        <w:pStyle w:val="GuidanceParagraph"/>
        <w:numPr>
          <w:ilvl w:val="0"/>
          <w:numId w:val="10"/>
        </w:numPr>
        <w:rPr>
          <w:lang w:bidi="en-US"/>
        </w:rPr>
      </w:pPr>
      <w:r w:rsidRPr="00EC0CC3">
        <w:rPr>
          <w:lang w:bidi="en-US"/>
        </w:rPr>
        <w:t>If not using pre-moistened swabs, aseptically pour 9-10 ml of sterile D/E or other neutralizing broth into the tube to hydrate the swab or use sampling swabs that are already pre-moistened in 9-10 ml of D/E broth. If the D/E broth is not purple, discard the tube.</w:t>
      </w:r>
    </w:p>
    <w:p w:rsidR="00191DF8" w:rsidRPr="00EC0CC3" w:rsidP="00E47C04" w14:paraId="5A799CA2" w14:textId="3B762C3D">
      <w:pPr>
        <w:pStyle w:val="GuidanceParagraph"/>
        <w:numPr>
          <w:ilvl w:val="0"/>
          <w:numId w:val="10"/>
        </w:numPr>
        <w:rPr>
          <w:lang w:bidi="en-US"/>
        </w:rPr>
      </w:pPr>
      <w:r w:rsidRPr="00EC0CC3">
        <w:rPr>
          <w:lang w:bidi="en-US"/>
        </w:rPr>
        <w:t>Close the ca</w:t>
      </w:r>
      <w:r w:rsidR="003345A3">
        <w:rPr>
          <w:lang w:bidi="en-US"/>
        </w:rPr>
        <w:t>p</w:t>
      </w:r>
      <w:r w:rsidRPr="00EC0CC3">
        <w:rPr>
          <w:lang w:bidi="en-US"/>
        </w:rPr>
        <w:t xml:space="preserve"> of the tube and wait until the swab is moistened.</w:t>
      </w:r>
    </w:p>
    <w:p w:rsidR="00191DF8" w:rsidRPr="00EC0CC3" w:rsidP="00E47C04" w14:paraId="067AE6B2" w14:textId="77777777">
      <w:pPr>
        <w:pStyle w:val="GuidanceParagraph"/>
        <w:numPr>
          <w:ilvl w:val="0"/>
          <w:numId w:val="10"/>
        </w:numPr>
        <w:rPr>
          <w:lang w:bidi="en-US"/>
        </w:rPr>
      </w:pPr>
      <w:r w:rsidRPr="00EC0CC3">
        <w:rPr>
          <w:lang w:bidi="en-US"/>
        </w:rPr>
        <w:t>Carefully take the swab out of the tube and swab the area selected using firm and even pressure. Be careful to maintain sanitary conditions when sampling.</w:t>
      </w:r>
    </w:p>
    <w:p w:rsidR="00191DF8" w:rsidRPr="00EC0CC3" w:rsidP="00E47C04" w14:paraId="33F0E719" w14:textId="77777777">
      <w:pPr>
        <w:pStyle w:val="GuidanceParagraph"/>
        <w:numPr>
          <w:ilvl w:val="0"/>
          <w:numId w:val="10"/>
        </w:numPr>
        <w:rPr>
          <w:lang w:bidi="en-US"/>
        </w:rPr>
      </w:pPr>
      <w:r w:rsidRPr="00EC0CC3">
        <w:rPr>
          <w:lang w:bidi="en-US"/>
        </w:rPr>
        <w:t xml:space="preserve">Swab the chosen area (e.g., 1 inch by 1inch square of food contact or environmental surface area, or insert the swab into the crack, </w:t>
      </w:r>
      <w:r w:rsidRPr="00EC0CC3">
        <w:rPr>
          <w:lang w:bidi="en-US"/>
        </w:rPr>
        <w:t>crevice</w:t>
      </w:r>
      <w:r w:rsidRPr="00EC0CC3">
        <w:rPr>
          <w:lang w:bidi="en-US"/>
        </w:rPr>
        <w:t xml:space="preserve"> or hole) using firm and even pressure:</w:t>
      </w:r>
    </w:p>
    <w:p w:rsidR="00191DF8" w:rsidRPr="00EC0CC3" w:rsidP="00E47C04" w14:paraId="3BDE78E8" w14:textId="77777777">
      <w:pPr>
        <w:pStyle w:val="GuidanceParagraph"/>
        <w:numPr>
          <w:ilvl w:val="0"/>
          <w:numId w:val="16"/>
        </w:numPr>
        <w:rPr>
          <w:lang w:bidi="en-US"/>
        </w:rPr>
      </w:pPr>
      <w:r w:rsidRPr="00EC0CC3">
        <w:rPr>
          <w:lang w:bidi="en-US"/>
        </w:rPr>
        <w:t>Swab the 1 inch by 1inch surface vertically (approximately 10 times); then</w:t>
      </w:r>
    </w:p>
    <w:p w:rsidR="00191DF8" w:rsidRPr="00EC0CC3" w:rsidP="00E47C04" w14:paraId="60D1396A" w14:textId="77777777">
      <w:pPr>
        <w:pStyle w:val="GuidanceParagraph"/>
        <w:numPr>
          <w:ilvl w:val="0"/>
          <w:numId w:val="16"/>
        </w:numPr>
        <w:rPr>
          <w:lang w:bidi="en-US"/>
        </w:rPr>
      </w:pPr>
      <w:r w:rsidRPr="00EC0CC3">
        <w:rPr>
          <w:lang w:bidi="en-US"/>
        </w:rPr>
        <w:t>Rotate the swab and use the other side to swab horizontally (approximately 10 times); then</w:t>
      </w:r>
    </w:p>
    <w:p w:rsidR="00191DF8" w:rsidRPr="00EC0CC3" w:rsidP="00E47C04" w14:paraId="55948F3E" w14:textId="77777777">
      <w:pPr>
        <w:pStyle w:val="GuidanceParagraph"/>
        <w:numPr>
          <w:ilvl w:val="0"/>
          <w:numId w:val="16"/>
        </w:numPr>
        <w:rPr>
          <w:lang w:bidi="en-US"/>
        </w:rPr>
      </w:pPr>
      <w:r w:rsidRPr="00EC0CC3">
        <w:rPr>
          <w:lang w:bidi="en-US"/>
        </w:rPr>
        <w:t xml:space="preserve">Move the swab diagonally, using the same surface side as you used for horizontal (approximately 10 times). </w:t>
      </w:r>
    </w:p>
    <w:p w:rsidR="00191DF8" w:rsidRPr="00EC0CC3" w:rsidP="00E47C04" w14:paraId="3F482167" w14:textId="77777777">
      <w:pPr>
        <w:pStyle w:val="GuidanceParagraph"/>
        <w:numPr>
          <w:ilvl w:val="0"/>
          <w:numId w:val="16"/>
        </w:numPr>
        <w:rPr>
          <w:lang w:bidi="en-US"/>
        </w:rPr>
      </w:pPr>
      <w:r w:rsidRPr="00EC0CC3">
        <w:rPr>
          <w:lang w:bidi="en-US"/>
        </w:rPr>
        <w:t xml:space="preserve">For cracks, </w:t>
      </w:r>
      <w:r w:rsidRPr="00EC0CC3">
        <w:rPr>
          <w:lang w:bidi="en-US"/>
        </w:rPr>
        <w:t>crevices</w:t>
      </w:r>
      <w:r w:rsidRPr="00EC0CC3">
        <w:rPr>
          <w:lang w:bidi="en-US"/>
        </w:rPr>
        <w:t xml:space="preserve"> and holes, rotate the swab in the area as you move it around the area.</w:t>
      </w:r>
    </w:p>
    <w:p w:rsidR="00191DF8" w:rsidRPr="00EC0CC3" w:rsidP="00E47C04" w14:paraId="4D364B20" w14:textId="77777777">
      <w:pPr>
        <w:pStyle w:val="GuidanceParagraph"/>
        <w:numPr>
          <w:ilvl w:val="0"/>
          <w:numId w:val="10"/>
        </w:numPr>
        <w:rPr>
          <w:lang w:bidi="en-US"/>
        </w:rPr>
      </w:pPr>
      <w:r w:rsidRPr="00EC0CC3">
        <w:rPr>
          <w:lang w:bidi="en-US"/>
        </w:rPr>
        <w:t>Do not touch the outside of the opening of the tube; insert the swab portion into the tube.</w:t>
      </w:r>
    </w:p>
    <w:p w:rsidR="00191DF8" w:rsidRPr="00EC0CC3" w:rsidP="00E47C04" w14:paraId="36ECFB3E" w14:textId="77777777">
      <w:pPr>
        <w:pStyle w:val="GuidanceParagraph"/>
        <w:numPr>
          <w:ilvl w:val="0"/>
          <w:numId w:val="10"/>
        </w:numPr>
        <w:rPr>
          <w:lang w:bidi="en-US"/>
        </w:rPr>
      </w:pPr>
      <w:r w:rsidRPr="00EC0CC3">
        <w:rPr>
          <w:lang w:bidi="en-US"/>
        </w:rPr>
        <w:t>Close the cap of the tube.</w:t>
      </w:r>
    </w:p>
    <w:p w:rsidR="00191DF8" w:rsidRPr="00EC0CC3" w:rsidP="00E47C04" w14:paraId="3C6F5396" w14:textId="77777777">
      <w:pPr>
        <w:pStyle w:val="GuidanceParagraph"/>
        <w:numPr>
          <w:ilvl w:val="0"/>
          <w:numId w:val="10"/>
        </w:numPr>
        <w:rPr>
          <w:lang w:bidi="en-US"/>
        </w:rPr>
      </w:pPr>
      <w:r w:rsidRPr="00EC0CC3">
        <w:rPr>
          <w:lang w:bidi="en-US"/>
        </w:rPr>
        <w:t>Label the bag with the date and location of the sample.</w:t>
      </w:r>
    </w:p>
    <w:p w:rsidR="00191DF8" w:rsidRPr="00EC0CC3" w:rsidP="00E47C04" w14:paraId="15E68812" w14:textId="6F93E5A4">
      <w:pPr>
        <w:pStyle w:val="GuidanceParagraph"/>
        <w:numPr>
          <w:ilvl w:val="0"/>
          <w:numId w:val="10"/>
        </w:numPr>
        <w:rPr>
          <w:lang w:bidi="en-US"/>
        </w:rPr>
      </w:pPr>
      <w:r w:rsidRPr="00EC0CC3">
        <w:rPr>
          <w:lang w:bidi="en-US"/>
        </w:rPr>
        <w:t>Take each new sample following the same steps in 1 – 9, starting by changing the glove on the gloved hand between samples.</w:t>
      </w:r>
    </w:p>
    <w:p w:rsidR="00191DF8" w:rsidRPr="00EC0CC3" w:rsidP="00E47C04" w14:paraId="47FEE791" w14:textId="251F2332">
      <w:pPr>
        <w:pStyle w:val="GuidanceParagraph"/>
        <w:numPr>
          <w:ilvl w:val="0"/>
          <w:numId w:val="10"/>
        </w:numPr>
      </w:pPr>
      <w:r w:rsidRPr="00EC0CC3">
        <w:t>Prior to and during delivery or shipment</w:t>
      </w:r>
      <w:r w:rsidRPr="00EC0CC3">
        <w:t xml:space="preserve"> </w:t>
      </w:r>
      <w:r w:rsidRPr="00EC0CC3">
        <w:t xml:space="preserve">to a laboratory, samples should be kept refrigerated. Sealed coolant packs should be used in lieu of ice, as needed during delivery or shipment, to avoid the possibility of melting ice contaminating the sample. Samples should not be frozen. Samples should be shipped </w:t>
      </w:r>
      <w:r w:rsidRPr="00EC0CC3">
        <w:t>so that they are received by</w:t>
      </w:r>
      <w:r w:rsidRPr="00EC0CC3">
        <w:t xml:space="preserve"> the laboratory within 24 hours after sample collection. We recommend that the maximum timeframe between environmental sampling and analysis be 48 hours (</w:t>
      </w:r>
      <w:r w:rsidR="009A2931">
        <w:fldChar w:fldCharType="begin"/>
      </w:r>
      <w:r w:rsidR="009A2931">
        <w:instrText xml:space="preserve"> REF _Ref51148688 \h </w:instrText>
      </w:r>
      <w:r w:rsidR="004B2A15">
        <w:instrText xml:space="preserve"> \* MERGEFORMAT </w:instrText>
      </w:r>
      <w:r w:rsidR="009A2931">
        <w:fldChar w:fldCharType="separate"/>
      </w:r>
      <w:r w:rsidRPr="006E43DC" w:rsidR="00FB6D94">
        <w:t xml:space="preserve">Ref. </w:t>
      </w:r>
      <w:r w:rsidR="00FB6D94">
        <w:rPr>
          <w:noProof/>
        </w:rPr>
        <w:t>95</w:t>
      </w:r>
      <w:r w:rsidR="009A2931">
        <w:fldChar w:fldCharType="end"/>
      </w:r>
      <w:r w:rsidRPr="00EC0CC3">
        <w:t xml:space="preserve">). </w:t>
      </w:r>
    </w:p>
    <w:p w:rsidR="00191DF8" w:rsidRPr="009D5D78" w:rsidP="002A2F14" w14:paraId="27C44EBB" w14:textId="249D36E3">
      <w:pPr>
        <w:spacing w:after="240"/>
        <w:rPr>
          <w:rFonts w:ascii="Times New Roman" w:hAnsi="Times New Roman" w:cs="Times New Roman"/>
          <w:b/>
          <w:sz w:val="24"/>
          <w:szCs w:val="24"/>
          <w:lang w:bidi="en-US"/>
        </w:rPr>
      </w:pPr>
      <w:r w:rsidRPr="009D5D78">
        <w:rPr>
          <w:rFonts w:ascii="Times New Roman" w:hAnsi="Times New Roman" w:cs="Times New Roman"/>
          <w:b/>
          <w:sz w:val="24"/>
          <w:szCs w:val="24"/>
          <w:lang w:bidi="en-US"/>
        </w:rPr>
        <w:t>Collecting Rinse Samples</w:t>
      </w:r>
    </w:p>
    <w:p w:rsidR="00191DF8" w:rsidRPr="00EC0CC3" w:rsidP="00E47C04" w14:paraId="62FCFCCA" w14:textId="77777777">
      <w:pPr>
        <w:pStyle w:val="GuidanceParagraph"/>
        <w:rPr>
          <w:lang w:bidi="en-US"/>
        </w:rPr>
      </w:pPr>
      <w:r w:rsidRPr="00EC0CC3">
        <w:rPr>
          <w:lang w:bidi="en-US"/>
        </w:rPr>
        <w:t xml:space="preserve">To collect samples using a rinse technique, you should add small pieces from equipment (such as screws, </w:t>
      </w:r>
      <w:r w:rsidRPr="00EC0CC3">
        <w:rPr>
          <w:lang w:bidi="en-US"/>
        </w:rPr>
        <w:t>nuts</w:t>
      </w:r>
      <w:r w:rsidRPr="00EC0CC3">
        <w:rPr>
          <w:lang w:bidi="en-US"/>
        </w:rPr>
        <w:t xml:space="preserve"> or gaskets) directly to the bag containing D/E broth and hand massage the bag for sufficient time to remove soil and residues (approximately 1 minute). Then aseptically remove the items from the bag and subject the broth to analysis.</w:t>
      </w:r>
    </w:p>
    <w:p w:rsidR="00191DF8" w:rsidRPr="00EC0CC3" w:rsidP="00E47C04" w14:paraId="65D05B4E" w14:textId="1B959599">
      <w:pPr>
        <w:pStyle w:val="GuidanceParagraph"/>
        <w:rPr>
          <w:lang w:bidi="en-US"/>
        </w:rPr>
      </w:pPr>
      <w:r w:rsidRPr="00EC0CC3">
        <w:rPr>
          <w:lang w:bidi="en-US"/>
        </w:rPr>
        <w:t xml:space="preserve">In some situations, involving small cracks and crevices, it may help to use a plastic bulb transfer pipette. You should use tubes containing 10 mL sterile D/E broth in this procedure. You should pull the D/E broth into the pipette bulb and transfer the D/E broth to the crack or crevice, and then you should pull it back into the bulb. You should repeat this several times to thoroughly rinse the crack or crevice. </w:t>
      </w:r>
    </w:p>
    <w:p w:rsidR="00352F94" w:rsidRPr="009D5D78" w:rsidP="329E6BD8" w14:paraId="7456643C" w14:textId="5498D384">
      <w:pPr>
        <w:spacing w:after="240"/>
        <w:rPr>
          <w:rFonts w:ascii="Times New Roman" w:hAnsi="Times New Roman" w:cs="Times New Roman"/>
          <w:b/>
          <w:bCs/>
          <w:sz w:val="24"/>
          <w:szCs w:val="24"/>
          <w:lang w:bidi="en-US"/>
        </w:rPr>
      </w:pPr>
      <w:r w:rsidRPr="329E6BD8">
        <w:rPr>
          <w:rFonts w:ascii="Times New Roman" w:hAnsi="Times New Roman" w:cs="Times New Roman"/>
          <w:b/>
          <w:bCs/>
          <w:sz w:val="24"/>
          <w:szCs w:val="24"/>
          <w:lang w:bidi="en-US"/>
        </w:rPr>
        <w:t>Collecting Liquid Samples (Including Floor Drain Effluents)</w:t>
      </w:r>
    </w:p>
    <w:p w:rsidR="00191DF8" w:rsidRPr="00EC0CC3" w:rsidP="00E47C04" w14:paraId="24CEAABF" w14:textId="315041E4">
      <w:pPr>
        <w:pStyle w:val="GuidanceParagraph"/>
        <w:rPr>
          <w:lang w:bidi="en-US"/>
        </w:rPr>
      </w:pPr>
      <w:r w:rsidRPr="00EC0CC3">
        <w:rPr>
          <w:lang w:bidi="en-US"/>
        </w:rPr>
        <w:t>We recommend that you use a sterile plastic beaker or similar container to collect 110 + 5 ml of liquids, where possible, such as drainage effluents, standing water, melt water from thawed processing ice, and vacuum or drip pan condensate. We recommend that you immediately transfer the collected sample into a sterile screw-capped bottle and then chill and store the bottle at 5 degrees C (41 degrees F), including during transport to the testing laboratory.</w:t>
      </w:r>
    </w:p>
    <w:p w:rsidR="00352F94" w:rsidP="002A2F14" w14:paraId="5DB77A27" w14:textId="50134E66">
      <w:pPr>
        <w:spacing w:after="240"/>
        <w:rPr>
          <w:rFonts w:ascii="Times New Roman" w:hAnsi="Times New Roman" w:cs="Times New Roman"/>
          <w:b/>
          <w:sz w:val="24"/>
          <w:szCs w:val="24"/>
        </w:rPr>
      </w:pPr>
      <w:r w:rsidRPr="00E97984">
        <w:rPr>
          <w:rFonts w:ascii="Times New Roman" w:hAnsi="Times New Roman" w:cs="Times New Roman"/>
          <w:b/>
          <w:sz w:val="24"/>
          <w:szCs w:val="24"/>
        </w:rPr>
        <w:t>Preparing Samples Collected from Liquids</w:t>
      </w:r>
    </w:p>
    <w:p w:rsidR="00191DF8" w:rsidRPr="00352F94" w:rsidP="00E47C04" w14:paraId="29865503" w14:textId="57B9D648">
      <w:pPr>
        <w:pStyle w:val="GuidanceParagraph"/>
      </w:pPr>
      <w:r w:rsidRPr="00352F94">
        <w:t xml:space="preserve">For larger samples (e.g., 100 mL or greater), we recommend that you filter 100 ml of the collected liquid through one or more sterile </w:t>
      </w:r>
      <w:r w:rsidRPr="00352F94">
        <w:t>0.45 micron</w:t>
      </w:r>
      <w:r w:rsidRPr="00352F94">
        <w:t xml:space="preserve"> pore-diameter filters as soon as possible after sample collection. If particulate content is high (e.g., judging from the sample turbidity), we </w:t>
      </w:r>
      <w:r w:rsidRPr="00352F94">
        <w:t xml:space="preserve">recommend that you pass the liquid through a sterile glass pre-filter before the </w:t>
      </w:r>
      <w:r w:rsidRPr="00352F94">
        <w:t>0.45 micron</w:t>
      </w:r>
      <w:r w:rsidRPr="00352F94">
        <w:t xml:space="preserve"> filter. You should rinse a retained substance on the filter plus any pre-filter with 5-10 ml of D/E broth to remove any residual inhibitory substances. If necessary, you should cut the filters from the funnel devices, using sterile scalpels. You should put each filter and the pre-filter, if any, in a sterile bag (if you will use a Stomacher) or in a sterile container (such as a blender jar, if you use a blender). You should add 225 mL of UVM broth, and follow procedures in “Testing Methodology for </w:t>
      </w:r>
      <w:r w:rsidRPr="00605885">
        <w:rPr>
          <w:i/>
        </w:rPr>
        <w:t xml:space="preserve">Listeria </w:t>
      </w:r>
      <w:r w:rsidRPr="00352F94">
        <w:t xml:space="preserve">species of </w:t>
      </w:r>
      <w:r w:rsidRPr="00605885">
        <w:rPr>
          <w:i/>
        </w:rPr>
        <w:t>L. monocytogenes</w:t>
      </w:r>
      <w:r w:rsidRPr="00352F94">
        <w:t xml:space="preserve"> in Environmental Samples” (version 1, Oct 2015) (currently available at: </w:t>
      </w:r>
      <w:hyperlink r:id="rId26" w:history="1">
        <w:r w:rsidRPr="00A25CBC" w:rsidR="00D14F40">
          <w:rPr>
            <w:rStyle w:val="Hyperlink"/>
          </w:rPr>
          <w:t>https://www.fda.gov/media/94358/download</w:t>
        </w:r>
      </w:hyperlink>
      <w:r w:rsidRPr="00352F94">
        <w:t>) beginning with incubation of the primary enrichment.</w:t>
      </w:r>
    </w:p>
    <w:p w:rsidR="00191DF8" w:rsidRPr="00352F94" w:rsidP="00E47C04" w14:paraId="19CEDD6A" w14:textId="77777777">
      <w:pPr>
        <w:pStyle w:val="GuidanceParagraph"/>
      </w:pPr>
      <w:r w:rsidRPr="00352F94">
        <w:t xml:space="preserve">For small volumes of liquid samples, we recommend that you add the liquid sample to 225 mL of UVM broth and follow procedures in “Testing Methodology for </w:t>
      </w:r>
      <w:r w:rsidRPr="00B01D31">
        <w:rPr>
          <w:i/>
        </w:rPr>
        <w:t>Listeria</w:t>
      </w:r>
      <w:r w:rsidRPr="00352F94">
        <w:t xml:space="preserve"> species of </w:t>
      </w:r>
      <w:r w:rsidRPr="00B01D31">
        <w:rPr>
          <w:i/>
        </w:rPr>
        <w:t>L. monocytogenes</w:t>
      </w:r>
      <w:r w:rsidRPr="00352F94">
        <w:t xml:space="preserve"> in Environmental Samples” (version 1, Oct 2015) beginning with incubation of the primary enrichment.</w:t>
      </w:r>
    </w:p>
    <w:p w:rsidR="00191DF8" w:rsidRPr="002A2BC8" w:rsidP="003F6A1A" w14:paraId="1E20E49E" w14:textId="1EAB7B37">
      <w:pPr>
        <w:spacing w:after="240"/>
        <w:rPr>
          <w:rFonts w:ascii="Times New Roman" w:hAnsi="Times New Roman" w:cs="Times New Roman"/>
          <w:b/>
          <w:sz w:val="24"/>
          <w:szCs w:val="24"/>
        </w:rPr>
      </w:pPr>
      <w:bookmarkStart w:id="245" w:name="_bookmark111"/>
      <w:bookmarkStart w:id="246" w:name="_bookmark113"/>
      <w:bookmarkEnd w:id="245"/>
      <w:bookmarkEnd w:id="246"/>
      <w:r w:rsidRPr="000C3428">
        <w:rPr>
          <w:rFonts w:ascii="Times New Roman" w:hAnsi="Times New Roman" w:cs="Times New Roman"/>
          <w:b/>
          <w:sz w:val="24"/>
          <w:szCs w:val="24"/>
        </w:rPr>
        <w:t xml:space="preserve">Appendix </w:t>
      </w:r>
      <w:r w:rsidR="008512A5">
        <w:rPr>
          <w:rFonts w:ascii="Times New Roman" w:hAnsi="Times New Roman" w:cs="Times New Roman"/>
          <w:b/>
          <w:sz w:val="24"/>
          <w:szCs w:val="24"/>
        </w:rPr>
        <w:t>3</w:t>
      </w:r>
      <w:r w:rsidRPr="002A2BC8">
        <w:rPr>
          <w:rFonts w:ascii="Times New Roman" w:hAnsi="Times New Roman" w:cs="Times New Roman"/>
          <w:b/>
          <w:sz w:val="24"/>
          <w:szCs w:val="24"/>
        </w:rPr>
        <w:t xml:space="preserve">. Potential Sources of </w:t>
      </w:r>
      <w:r w:rsidRPr="002A2BC8">
        <w:rPr>
          <w:rFonts w:ascii="Times New Roman" w:hAnsi="Times New Roman" w:cs="Times New Roman"/>
          <w:b/>
          <w:i/>
          <w:sz w:val="24"/>
          <w:szCs w:val="24"/>
        </w:rPr>
        <w:t>L. monocytogenes</w:t>
      </w:r>
      <w:r w:rsidRPr="002A2BC8">
        <w:rPr>
          <w:rFonts w:ascii="Times New Roman" w:hAnsi="Times New Roman" w:cs="Times New Roman"/>
          <w:b/>
          <w:sz w:val="24"/>
          <w:szCs w:val="24"/>
        </w:rPr>
        <w:t xml:space="preserve"> for Sampling in a Sprout Operation</w:t>
      </w:r>
    </w:p>
    <w:p w:rsidR="00ED2B3D" w:rsidRPr="00352F94" w:rsidP="00E47C04" w14:paraId="08516241" w14:textId="1AC3D140">
      <w:pPr>
        <w:pStyle w:val="GuidanceParagraph"/>
      </w:pPr>
      <w:r w:rsidRPr="00352F94">
        <w:t xml:space="preserve">This table provides examples of possible food contact and non-food contact surfaces for use in developing a </w:t>
      </w:r>
      <w:r w:rsidRPr="00ED057F">
        <w:rPr>
          <w:i/>
        </w:rPr>
        <w:t xml:space="preserve">Listeria </w:t>
      </w:r>
      <w:r w:rsidRPr="00352F94">
        <w:t>environmental monitoring program. The list is not all-inclusive</w:t>
      </w:r>
      <w:r>
        <w:t xml:space="preserve"> </w:t>
      </w:r>
      <w:r w:rsidRPr="008E427B">
        <w:t xml:space="preserve">and is not intended to be determinative; rather, we provide the examples below as an aid. We recommend that firms develop their own robust assessments of the </w:t>
      </w:r>
      <w:r>
        <w:t xml:space="preserve">food </w:t>
      </w:r>
      <w:r w:rsidRPr="008E427B">
        <w:t xml:space="preserve">contact and non-food contact surfaces in their operations, as well as an understanding of appropriate zone </w:t>
      </w:r>
      <w:r>
        <w:t>designations</w:t>
      </w:r>
      <w:r w:rsidRPr="00352F94">
        <w:t>.</w:t>
      </w:r>
    </w:p>
    <w:p w:rsidR="00191DF8" w:rsidRPr="00955D5E" w:rsidP="004F1611" w14:paraId="000D28DB" w14:textId="7160A285">
      <w:pPr>
        <w:pStyle w:val="StyleCaptionArial11pt6ptafter"/>
        <w:rPr>
          <w:lang w:bidi="en-US"/>
        </w:rPr>
      </w:pPr>
      <w:r w:rsidRPr="00955D5E">
        <w:rPr>
          <w:lang w:bidi="en-US"/>
        </w:rPr>
        <w:t xml:space="preserve">Table </w:t>
      </w:r>
      <w:r w:rsidR="00D92B7D">
        <w:rPr>
          <w:lang w:bidi="en-US"/>
        </w:rPr>
        <w:t>7</w:t>
      </w:r>
      <w:r w:rsidRPr="00955D5E">
        <w:rPr>
          <w:lang w:bidi="en-US"/>
        </w:rPr>
        <w:t xml:space="preserve">. Potential Sources of </w:t>
      </w:r>
      <w:r w:rsidRPr="00955D5E">
        <w:rPr>
          <w:i/>
          <w:lang w:bidi="en-US"/>
        </w:rPr>
        <w:t xml:space="preserve">L. monocytogenes </w:t>
      </w:r>
      <w:r w:rsidRPr="00955D5E">
        <w:rPr>
          <w:lang w:bidi="en-US"/>
        </w:rPr>
        <w:t>in a Sprout Operation</w:t>
      </w:r>
      <w:r>
        <w:rPr>
          <w:rStyle w:val="FootnoteReference"/>
          <w:lang w:bidi="en-US"/>
        </w:rPr>
        <w:footnoteReference w:id="12"/>
      </w:r>
    </w:p>
    <w:tbl>
      <w:tblPr>
        <w:tblStyle w:val="TableGrid"/>
        <w:tblW w:w="9917" w:type="dxa"/>
        <w:tblLook w:val="04A0"/>
      </w:tblPr>
      <w:tblGrid>
        <w:gridCol w:w="2466"/>
        <w:gridCol w:w="1039"/>
        <w:gridCol w:w="990"/>
        <w:gridCol w:w="990"/>
        <w:gridCol w:w="990"/>
        <w:gridCol w:w="3442"/>
      </w:tblGrid>
      <w:tr w14:paraId="4EE9CA8A" w14:textId="77777777" w:rsidTr="00460BB6">
        <w:tblPrEx>
          <w:tblW w:w="9917" w:type="dxa"/>
          <w:tblLook w:val="04A0"/>
        </w:tblPrEx>
        <w:trPr>
          <w:trHeight w:val="255"/>
          <w:tblHeader/>
        </w:trPr>
        <w:tc>
          <w:tcPr>
            <w:tcW w:w="2466" w:type="dxa"/>
            <w:shd w:val="pct10" w:color="auto" w:fill="auto"/>
            <w:hideMark/>
          </w:tcPr>
          <w:p w:rsidR="00191DF8" w:rsidRPr="00FE4881" w:rsidP="00E47C04" w14:paraId="13E5040C" w14:textId="77777777">
            <w:pPr>
              <w:pStyle w:val="GuidanceParagraph"/>
            </w:pPr>
            <w:r w:rsidRPr="00FE4881">
              <w:t>Sample Location</w:t>
            </w:r>
          </w:p>
        </w:tc>
        <w:tc>
          <w:tcPr>
            <w:tcW w:w="1039" w:type="dxa"/>
            <w:shd w:val="pct10" w:color="auto" w:fill="auto"/>
            <w:hideMark/>
          </w:tcPr>
          <w:p w:rsidR="00191DF8" w:rsidRPr="00FE4881" w:rsidP="00E47C04" w14:paraId="53D8F376" w14:textId="77777777">
            <w:pPr>
              <w:pStyle w:val="GuidanceParagraph"/>
            </w:pPr>
            <w:r w:rsidRPr="00FE4881">
              <w:t>Zone 1</w:t>
            </w:r>
          </w:p>
        </w:tc>
        <w:tc>
          <w:tcPr>
            <w:tcW w:w="990" w:type="dxa"/>
            <w:shd w:val="pct10" w:color="auto" w:fill="auto"/>
            <w:hideMark/>
          </w:tcPr>
          <w:p w:rsidR="00191DF8" w:rsidRPr="00FE4881" w:rsidP="00E47C04" w14:paraId="4500D8B7" w14:textId="77777777">
            <w:pPr>
              <w:pStyle w:val="GuidanceParagraph"/>
            </w:pPr>
            <w:r w:rsidRPr="00FE4881">
              <w:t>Zone 2</w:t>
            </w:r>
          </w:p>
        </w:tc>
        <w:tc>
          <w:tcPr>
            <w:tcW w:w="990" w:type="dxa"/>
            <w:shd w:val="pct10" w:color="auto" w:fill="auto"/>
            <w:hideMark/>
          </w:tcPr>
          <w:p w:rsidR="00191DF8" w:rsidRPr="00FE4881" w:rsidP="00E47C04" w14:paraId="4C86CCDB" w14:textId="77777777">
            <w:pPr>
              <w:pStyle w:val="GuidanceParagraph"/>
            </w:pPr>
            <w:r w:rsidRPr="00FE4881">
              <w:t>Zone 3</w:t>
            </w:r>
          </w:p>
        </w:tc>
        <w:tc>
          <w:tcPr>
            <w:tcW w:w="990" w:type="dxa"/>
            <w:shd w:val="pct10" w:color="auto" w:fill="auto"/>
            <w:hideMark/>
          </w:tcPr>
          <w:p w:rsidR="00191DF8" w:rsidRPr="00FE4881" w:rsidP="00E47C04" w14:paraId="6A6DC85F" w14:textId="77777777">
            <w:pPr>
              <w:pStyle w:val="GuidanceParagraph"/>
            </w:pPr>
            <w:r w:rsidRPr="00FE4881">
              <w:t>Zone 4</w:t>
            </w:r>
          </w:p>
        </w:tc>
        <w:tc>
          <w:tcPr>
            <w:tcW w:w="3442" w:type="dxa"/>
            <w:shd w:val="pct10" w:color="auto" w:fill="auto"/>
            <w:hideMark/>
          </w:tcPr>
          <w:p w:rsidR="00191DF8" w:rsidRPr="00FE4881" w:rsidP="00E47C04" w14:paraId="10ACC40C" w14:textId="77777777">
            <w:pPr>
              <w:pStyle w:val="GuidanceParagraph"/>
            </w:pPr>
            <w:r w:rsidRPr="00FE4881">
              <w:t>Notes</w:t>
            </w:r>
          </w:p>
        </w:tc>
      </w:tr>
      <w:tr w14:paraId="7A28A3A8" w14:textId="77777777" w:rsidTr="329E6BD8">
        <w:tblPrEx>
          <w:tblW w:w="9917" w:type="dxa"/>
          <w:tblLook w:val="04A0"/>
        </w:tblPrEx>
        <w:trPr>
          <w:trHeight w:val="255"/>
        </w:trPr>
        <w:tc>
          <w:tcPr>
            <w:tcW w:w="2466" w:type="dxa"/>
            <w:hideMark/>
          </w:tcPr>
          <w:p w:rsidR="00191DF8" w:rsidRPr="00955D5E" w:rsidP="00E47C04" w14:paraId="7A0BE33A" w14:textId="77777777">
            <w:pPr>
              <w:pStyle w:val="GuidanceParagraph"/>
            </w:pPr>
            <w:r w:rsidRPr="00955D5E">
              <w:t>Aprons</w:t>
            </w:r>
          </w:p>
        </w:tc>
        <w:tc>
          <w:tcPr>
            <w:tcW w:w="1039" w:type="dxa"/>
            <w:hideMark/>
          </w:tcPr>
          <w:p w:rsidR="00191DF8" w:rsidRPr="00955D5E" w:rsidP="00E47C04" w14:paraId="351912C5" w14:textId="77777777">
            <w:pPr>
              <w:pStyle w:val="GuidanceParagraph"/>
            </w:pPr>
            <w:r w:rsidRPr="00955D5E">
              <w:t>X</w:t>
            </w:r>
          </w:p>
        </w:tc>
        <w:tc>
          <w:tcPr>
            <w:tcW w:w="990" w:type="dxa"/>
            <w:hideMark/>
          </w:tcPr>
          <w:p w:rsidR="00191DF8" w:rsidRPr="00955D5E" w:rsidP="00E47C04" w14:paraId="1DF1DC38" w14:textId="77777777">
            <w:pPr>
              <w:pStyle w:val="GuidanceParagraph"/>
            </w:pPr>
            <w:r w:rsidRPr="00955D5E">
              <w:t>X</w:t>
            </w:r>
          </w:p>
        </w:tc>
        <w:tc>
          <w:tcPr>
            <w:tcW w:w="990" w:type="dxa"/>
            <w:hideMark/>
          </w:tcPr>
          <w:p w:rsidR="00191DF8" w:rsidRPr="00955D5E" w:rsidP="00E47C04" w14:paraId="629A2336" w14:textId="77777777">
            <w:pPr>
              <w:pStyle w:val="GuidanceParagraph"/>
            </w:pPr>
          </w:p>
        </w:tc>
        <w:tc>
          <w:tcPr>
            <w:tcW w:w="990" w:type="dxa"/>
            <w:hideMark/>
          </w:tcPr>
          <w:p w:rsidR="00191DF8" w:rsidRPr="00955D5E" w:rsidP="00E47C04" w14:paraId="4E45CAC6" w14:textId="77777777">
            <w:pPr>
              <w:pStyle w:val="GuidanceParagraph"/>
            </w:pPr>
          </w:p>
        </w:tc>
        <w:tc>
          <w:tcPr>
            <w:tcW w:w="3442" w:type="dxa"/>
            <w:hideMark/>
          </w:tcPr>
          <w:p w:rsidR="00191DF8" w:rsidRPr="00955D5E" w:rsidP="00E47C04" w14:paraId="6680E6F1" w14:textId="77777777">
            <w:pPr>
              <w:pStyle w:val="GuidanceParagraph"/>
            </w:pPr>
            <w:r w:rsidRPr="00955D5E">
              <w:t>Aprons reasonably likely to contact sprouts would be considered Zone 1.</w:t>
            </w:r>
          </w:p>
        </w:tc>
      </w:tr>
      <w:tr w14:paraId="1BF6655C" w14:textId="77777777" w:rsidTr="329E6BD8">
        <w:tblPrEx>
          <w:tblW w:w="9917" w:type="dxa"/>
          <w:tblLook w:val="04A0"/>
        </w:tblPrEx>
        <w:trPr>
          <w:trHeight w:val="510"/>
        </w:trPr>
        <w:tc>
          <w:tcPr>
            <w:tcW w:w="2466" w:type="dxa"/>
            <w:hideMark/>
          </w:tcPr>
          <w:p w:rsidR="00191DF8" w:rsidRPr="00955D5E" w:rsidP="00E47C04" w14:paraId="041B6AC2" w14:textId="77777777">
            <w:pPr>
              <w:pStyle w:val="GuidanceParagraph"/>
            </w:pPr>
            <w:r w:rsidRPr="00955D5E">
              <w:t>Conveyors</w:t>
            </w:r>
          </w:p>
        </w:tc>
        <w:tc>
          <w:tcPr>
            <w:tcW w:w="1039" w:type="dxa"/>
            <w:hideMark/>
          </w:tcPr>
          <w:p w:rsidR="00191DF8" w:rsidRPr="00955D5E" w:rsidP="00E47C04" w14:paraId="2ADB385E" w14:textId="77777777">
            <w:pPr>
              <w:pStyle w:val="GuidanceParagraph"/>
            </w:pPr>
            <w:r w:rsidRPr="00955D5E">
              <w:t>X</w:t>
            </w:r>
          </w:p>
        </w:tc>
        <w:tc>
          <w:tcPr>
            <w:tcW w:w="990" w:type="dxa"/>
            <w:hideMark/>
          </w:tcPr>
          <w:p w:rsidR="00191DF8" w:rsidRPr="00955D5E" w:rsidP="00E47C04" w14:paraId="370E4837" w14:textId="77777777">
            <w:pPr>
              <w:pStyle w:val="GuidanceParagraph"/>
            </w:pPr>
            <w:r w:rsidRPr="00955D5E">
              <w:t>X</w:t>
            </w:r>
          </w:p>
        </w:tc>
        <w:tc>
          <w:tcPr>
            <w:tcW w:w="990" w:type="dxa"/>
            <w:hideMark/>
          </w:tcPr>
          <w:p w:rsidR="00191DF8" w:rsidRPr="00955D5E" w:rsidP="00E47C04" w14:paraId="39F52632" w14:textId="77777777">
            <w:pPr>
              <w:pStyle w:val="GuidanceParagraph"/>
            </w:pPr>
          </w:p>
        </w:tc>
        <w:tc>
          <w:tcPr>
            <w:tcW w:w="990" w:type="dxa"/>
            <w:hideMark/>
          </w:tcPr>
          <w:p w:rsidR="00191DF8" w:rsidRPr="00955D5E" w:rsidP="00E47C04" w14:paraId="0CC71932" w14:textId="77777777">
            <w:pPr>
              <w:pStyle w:val="GuidanceParagraph"/>
            </w:pPr>
          </w:p>
        </w:tc>
        <w:tc>
          <w:tcPr>
            <w:tcW w:w="3442" w:type="dxa"/>
            <w:hideMark/>
          </w:tcPr>
          <w:p w:rsidR="00191DF8" w:rsidRPr="00955D5E" w:rsidP="00E47C04" w14:paraId="4D1E3C26" w14:textId="77777777">
            <w:pPr>
              <w:pStyle w:val="GuidanceParagraph"/>
            </w:pPr>
            <w:r w:rsidRPr="00955D5E">
              <w:t>Fibrous and porous-type conveyor belts, hollow rollers for conveyances are of particular concern.</w:t>
            </w:r>
          </w:p>
        </w:tc>
      </w:tr>
      <w:tr w14:paraId="11E5E5DF" w14:textId="77777777" w:rsidTr="329E6BD8">
        <w:tblPrEx>
          <w:tblW w:w="9917" w:type="dxa"/>
          <w:tblLook w:val="04A0"/>
        </w:tblPrEx>
        <w:trPr>
          <w:trHeight w:val="765"/>
        </w:trPr>
        <w:tc>
          <w:tcPr>
            <w:tcW w:w="2466" w:type="dxa"/>
            <w:hideMark/>
          </w:tcPr>
          <w:p w:rsidR="00191DF8" w:rsidRPr="00955D5E" w:rsidP="00E47C04" w14:paraId="569B2EF2" w14:textId="05F74CFE">
            <w:pPr>
              <w:pStyle w:val="GuidanceParagraph"/>
            </w:pPr>
            <w:r>
              <w:t>Ceilings and shields from which condensate or drainage can drip onto the product</w:t>
            </w:r>
          </w:p>
        </w:tc>
        <w:tc>
          <w:tcPr>
            <w:tcW w:w="1039" w:type="dxa"/>
            <w:hideMark/>
          </w:tcPr>
          <w:p w:rsidR="00191DF8" w:rsidRPr="00955D5E" w:rsidP="00E47C04" w14:paraId="1A64E06B" w14:textId="77777777">
            <w:pPr>
              <w:pStyle w:val="GuidanceParagraph"/>
            </w:pPr>
            <w:r w:rsidRPr="00955D5E">
              <w:t>X</w:t>
            </w:r>
          </w:p>
        </w:tc>
        <w:tc>
          <w:tcPr>
            <w:tcW w:w="990" w:type="dxa"/>
            <w:hideMark/>
          </w:tcPr>
          <w:p w:rsidR="00191DF8" w:rsidRPr="00955D5E" w:rsidP="00E47C04" w14:paraId="2B022EEE" w14:textId="015435C8">
            <w:pPr>
              <w:pStyle w:val="GuidanceParagraph"/>
            </w:pPr>
          </w:p>
        </w:tc>
        <w:tc>
          <w:tcPr>
            <w:tcW w:w="990" w:type="dxa"/>
            <w:hideMark/>
          </w:tcPr>
          <w:p w:rsidR="00191DF8" w:rsidRPr="00955D5E" w:rsidP="00E47C04" w14:paraId="0DCF33EF" w14:textId="77777777">
            <w:pPr>
              <w:pStyle w:val="GuidanceParagraph"/>
            </w:pPr>
          </w:p>
        </w:tc>
        <w:tc>
          <w:tcPr>
            <w:tcW w:w="990" w:type="dxa"/>
            <w:hideMark/>
          </w:tcPr>
          <w:p w:rsidR="00191DF8" w:rsidRPr="00955D5E" w:rsidP="00E47C04" w14:paraId="610818A3" w14:textId="77777777">
            <w:pPr>
              <w:pStyle w:val="GuidanceParagraph"/>
            </w:pPr>
          </w:p>
        </w:tc>
        <w:tc>
          <w:tcPr>
            <w:tcW w:w="3442" w:type="dxa"/>
            <w:hideMark/>
          </w:tcPr>
          <w:p w:rsidR="00191DF8" w:rsidRPr="00955D5E" w:rsidP="00E47C04" w14:paraId="0EA603A1" w14:textId="77777777">
            <w:pPr>
              <w:pStyle w:val="GuidanceParagraph"/>
            </w:pPr>
            <w:r w:rsidRPr="00955D5E">
              <w:t>For the purpose of</w:t>
            </w:r>
            <w:r w:rsidRPr="00955D5E">
              <w:t xml:space="preserve"> your environmental monitoring program, we recommend you focus on the surfaces that directly contact the food </w:t>
            </w:r>
          </w:p>
        </w:tc>
      </w:tr>
      <w:tr w14:paraId="5FAA7DB6" w14:textId="77777777" w:rsidTr="329E6BD8">
        <w:tblPrEx>
          <w:tblW w:w="9917" w:type="dxa"/>
          <w:tblLook w:val="04A0"/>
        </w:tblPrEx>
        <w:trPr>
          <w:trHeight w:val="255"/>
        </w:trPr>
        <w:tc>
          <w:tcPr>
            <w:tcW w:w="2466" w:type="dxa"/>
          </w:tcPr>
          <w:p w:rsidR="00191DF8" w:rsidRPr="00955D5E" w:rsidP="00E47C04" w14:paraId="3BB06032" w14:textId="77777777">
            <w:pPr>
              <w:pStyle w:val="GuidanceParagraph"/>
            </w:pPr>
            <w:r w:rsidRPr="00955D5E">
              <w:t>Ceilings that are not above sprouts, overhead structures, and catwalks</w:t>
            </w:r>
          </w:p>
        </w:tc>
        <w:tc>
          <w:tcPr>
            <w:tcW w:w="1039" w:type="dxa"/>
          </w:tcPr>
          <w:p w:rsidR="00191DF8" w:rsidRPr="00955D5E" w:rsidP="00E47C04" w14:paraId="7867433D" w14:textId="77777777">
            <w:pPr>
              <w:pStyle w:val="GuidanceParagraph"/>
            </w:pPr>
          </w:p>
        </w:tc>
        <w:tc>
          <w:tcPr>
            <w:tcW w:w="990" w:type="dxa"/>
          </w:tcPr>
          <w:p w:rsidR="00191DF8" w:rsidRPr="00955D5E" w:rsidP="00E47C04" w14:paraId="2C8B7CA3" w14:textId="77777777">
            <w:pPr>
              <w:pStyle w:val="GuidanceParagraph"/>
            </w:pPr>
            <w:r w:rsidRPr="00955D5E">
              <w:t>X</w:t>
            </w:r>
          </w:p>
        </w:tc>
        <w:tc>
          <w:tcPr>
            <w:tcW w:w="990" w:type="dxa"/>
          </w:tcPr>
          <w:p w:rsidR="00191DF8" w:rsidRPr="00955D5E" w:rsidP="00E47C04" w14:paraId="7E394E41" w14:textId="77777777">
            <w:pPr>
              <w:pStyle w:val="GuidanceParagraph"/>
            </w:pPr>
            <w:r w:rsidRPr="00955D5E">
              <w:t>X</w:t>
            </w:r>
          </w:p>
        </w:tc>
        <w:tc>
          <w:tcPr>
            <w:tcW w:w="990" w:type="dxa"/>
          </w:tcPr>
          <w:p w:rsidR="00191DF8" w:rsidRPr="00955D5E" w:rsidP="00E47C04" w14:paraId="777C1A08" w14:textId="77777777">
            <w:pPr>
              <w:pStyle w:val="GuidanceParagraph"/>
            </w:pPr>
          </w:p>
        </w:tc>
        <w:tc>
          <w:tcPr>
            <w:tcW w:w="3442" w:type="dxa"/>
          </w:tcPr>
          <w:p w:rsidR="00191DF8" w:rsidRPr="00955D5E" w:rsidP="00E47C04" w14:paraId="6EFFA003" w14:textId="77777777">
            <w:pPr>
              <w:pStyle w:val="GuidanceParagraph"/>
            </w:pPr>
            <w:r w:rsidRPr="00955D5E">
              <w:t>Condensate drip pans are of particular concern.</w:t>
            </w:r>
          </w:p>
        </w:tc>
      </w:tr>
      <w:tr w14:paraId="0854A967" w14:textId="77777777" w:rsidTr="329E6BD8">
        <w:tblPrEx>
          <w:tblW w:w="9917" w:type="dxa"/>
          <w:tblLook w:val="04A0"/>
        </w:tblPrEx>
        <w:trPr>
          <w:trHeight w:val="255"/>
        </w:trPr>
        <w:tc>
          <w:tcPr>
            <w:tcW w:w="2466" w:type="dxa"/>
            <w:hideMark/>
          </w:tcPr>
          <w:p w:rsidR="00191DF8" w:rsidRPr="00955D5E" w:rsidP="00E47C04" w14:paraId="2AA59B3E" w14:textId="77777777">
            <w:pPr>
              <w:pStyle w:val="GuidanceParagraph"/>
            </w:pPr>
            <w:r w:rsidRPr="00955D5E">
              <w:t>Gloves</w:t>
            </w:r>
          </w:p>
        </w:tc>
        <w:tc>
          <w:tcPr>
            <w:tcW w:w="1039" w:type="dxa"/>
            <w:hideMark/>
          </w:tcPr>
          <w:p w:rsidR="00191DF8" w:rsidRPr="00955D5E" w:rsidP="00E47C04" w14:paraId="2E41511F" w14:textId="77777777">
            <w:pPr>
              <w:pStyle w:val="GuidanceParagraph"/>
            </w:pPr>
            <w:r w:rsidRPr="00955D5E">
              <w:t>X</w:t>
            </w:r>
          </w:p>
        </w:tc>
        <w:tc>
          <w:tcPr>
            <w:tcW w:w="990" w:type="dxa"/>
            <w:hideMark/>
          </w:tcPr>
          <w:p w:rsidR="00191DF8" w:rsidRPr="00955D5E" w:rsidP="00E47C04" w14:paraId="1AD1E390" w14:textId="77777777">
            <w:pPr>
              <w:pStyle w:val="GuidanceParagraph"/>
            </w:pPr>
            <w:r w:rsidRPr="00955D5E">
              <w:t>X</w:t>
            </w:r>
          </w:p>
        </w:tc>
        <w:tc>
          <w:tcPr>
            <w:tcW w:w="990" w:type="dxa"/>
            <w:hideMark/>
          </w:tcPr>
          <w:p w:rsidR="00191DF8" w:rsidRPr="00955D5E" w:rsidP="00E47C04" w14:paraId="0113C1DD" w14:textId="77777777">
            <w:pPr>
              <w:pStyle w:val="GuidanceParagraph"/>
            </w:pPr>
          </w:p>
        </w:tc>
        <w:tc>
          <w:tcPr>
            <w:tcW w:w="990" w:type="dxa"/>
            <w:hideMark/>
          </w:tcPr>
          <w:p w:rsidR="00191DF8" w:rsidRPr="00955D5E" w:rsidP="00E47C04" w14:paraId="6E00F7C0" w14:textId="77777777">
            <w:pPr>
              <w:pStyle w:val="GuidanceParagraph"/>
            </w:pPr>
          </w:p>
        </w:tc>
        <w:tc>
          <w:tcPr>
            <w:tcW w:w="3442" w:type="dxa"/>
            <w:hideMark/>
          </w:tcPr>
          <w:p w:rsidR="00191DF8" w:rsidRPr="00955D5E" w:rsidP="00E47C04" w14:paraId="362D70FF" w14:textId="77777777">
            <w:pPr>
              <w:pStyle w:val="GuidanceParagraph"/>
            </w:pPr>
            <w:r w:rsidRPr="00955D5E">
              <w:t>Gloves that are reasonably likely to contact sprouts would be considered Zone 1.</w:t>
            </w:r>
          </w:p>
        </w:tc>
      </w:tr>
      <w:tr w14:paraId="286D911A" w14:textId="77777777" w:rsidTr="329E6BD8">
        <w:tblPrEx>
          <w:tblW w:w="9917" w:type="dxa"/>
          <w:tblLook w:val="04A0"/>
        </w:tblPrEx>
        <w:trPr>
          <w:trHeight w:val="255"/>
        </w:trPr>
        <w:tc>
          <w:tcPr>
            <w:tcW w:w="2466" w:type="dxa"/>
            <w:hideMark/>
          </w:tcPr>
          <w:p w:rsidR="00191DF8" w:rsidRPr="00955D5E" w:rsidP="00E47C04" w14:paraId="32F381D3" w14:textId="77777777">
            <w:pPr>
              <w:pStyle w:val="GuidanceParagraph"/>
            </w:pPr>
            <w:r w:rsidRPr="00955D5E">
              <w:t>Growing bins or trays</w:t>
            </w:r>
          </w:p>
        </w:tc>
        <w:tc>
          <w:tcPr>
            <w:tcW w:w="1039" w:type="dxa"/>
            <w:hideMark/>
          </w:tcPr>
          <w:p w:rsidR="00191DF8" w:rsidRPr="00955D5E" w:rsidP="00E47C04" w14:paraId="42C85857" w14:textId="77777777">
            <w:pPr>
              <w:pStyle w:val="GuidanceParagraph"/>
            </w:pPr>
            <w:r w:rsidRPr="00955D5E">
              <w:t>X</w:t>
            </w:r>
          </w:p>
        </w:tc>
        <w:tc>
          <w:tcPr>
            <w:tcW w:w="990" w:type="dxa"/>
            <w:hideMark/>
          </w:tcPr>
          <w:p w:rsidR="00191DF8" w:rsidRPr="00955D5E" w:rsidP="00E47C04" w14:paraId="1AF1CF89" w14:textId="77777777">
            <w:pPr>
              <w:pStyle w:val="GuidanceParagraph"/>
            </w:pPr>
          </w:p>
        </w:tc>
        <w:tc>
          <w:tcPr>
            <w:tcW w:w="990" w:type="dxa"/>
            <w:hideMark/>
          </w:tcPr>
          <w:p w:rsidR="00191DF8" w:rsidRPr="00955D5E" w:rsidP="00E47C04" w14:paraId="49B36AA6" w14:textId="77777777">
            <w:pPr>
              <w:pStyle w:val="GuidanceParagraph"/>
            </w:pPr>
          </w:p>
        </w:tc>
        <w:tc>
          <w:tcPr>
            <w:tcW w:w="990" w:type="dxa"/>
            <w:hideMark/>
          </w:tcPr>
          <w:p w:rsidR="00191DF8" w:rsidRPr="00955D5E" w:rsidP="00E47C04" w14:paraId="030F3EC5" w14:textId="77777777">
            <w:pPr>
              <w:pStyle w:val="GuidanceParagraph"/>
            </w:pPr>
          </w:p>
        </w:tc>
        <w:tc>
          <w:tcPr>
            <w:tcW w:w="3442" w:type="dxa"/>
            <w:hideMark/>
          </w:tcPr>
          <w:p w:rsidR="00191DF8" w:rsidRPr="00955D5E" w:rsidP="00E47C04" w14:paraId="7AE7C495" w14:textId="77777777">
            <w:pPr>
              <w:pStyle w:val="GuidanceParagraph"/>
            </w:pPr>
          </w:p>
        </w:tc>
      </w:tr>
      <w:tr w14:paraId="229FCEF5" w14:textId="77777777" w:rsidTr="329E6BD8">
        <w:tblPrEx>
          <w:tblW w:w="9917" w:type="dxa"/>
          <w:tblLook w:val="04A0"/>
        </w:tblPrEx>
        <w:trPr>
          <w:trHeight w:val="255"/>
        </w:trPr>
        <w:tc>
          <w:tcPr>
            <w:tcW w:w="2466" w:type="dxa"/>
            <w:hideMark/>
          </w:tcPr>
          <w:p w:rsidR="00191DF8" w:rsidRPr="00955D5E" w:rsidP="00E47C04" w14:paraId="0E645E80" w14:textId="77777777">
            <w:pPr>
              <w:pStyle w:val="GuidanceParagraph"/>
            </w:pPr>
            <w:r w:rsidRPr="00955D5E">
              <w:t>Rotary drums</w:t>
            </w:r>
          </w:p>
        </w:tc>
        <w:tc>
          <w:tcPr>
            <w:tcW w:w="1039" w:type="dxa"/>
            <w:hideMark/>
          </w:tcPr>
          <w:p w:rsidR="00191DF8" w:rsidRPr="00955D5E" w:rsidP="00E47C04" w14:paraId="3B8A15FD" w14:textId="77777777">
            <w:pPr>
              <w:pStyle w:val="GuidanceParagraph"/>
            </w:pPr>
            <w:r w:rsidRPr="00955D5E">
              <w:t>X</w:t>
            </w:r>
          </w:p>
        </w:tc>
        <w:tc>
          <w:tcPr>
            <w:tcW w:w="990" w:type="dxa"/>
            <w:hideMark/>
          </w:tcPr>
          <w:p w:rsidR="00191DF8" w:rsidRPr="00955D5E" w:rsidP="00E47C04" w14:paraId="3B7A5B4F" w14:textId="77777777">
            <w:pPr>
              <w:pStyle w:val="GuidanceParagraph"/>
            </w:pPr>
          </w:p>
        </w:tc>
        <w:tc>
          <w:tcPr>
            <w:tcW w:w="990" w:type="dxa"/>
            <w:hideMark/>
          </w:tcPr>
          <w:p w:rsidR="00191DF8" w:rsidRPr="00955D5E" w:rsidP="00E47C04" w14:paraId="600DBBB7" w14:textId="77777777">
            <w:pPr>
              <w:pStyle w:val="GuidanceParagraph"/>
            </w:pPr>
          </w:p>
        </w:tc>
        <w:tc>
          <w:tcPr>
            <w:tcW w:w="990" w:type="dxa"/>
            <w:hideMark/>
          </w:tcPr>
          <w:p w:rsidR="00191DF8" w:rsidRPr="00955D5E" w:rsidP="00E47C04" w14:paraId="09E74967" w14:textId="77777777">
            <w:pPr>
              <w:pStyle w:val="GuidanceParagraph"/>
            </w:pPr>
          </w:p>
        </w:tc>
        <w:tc>
          <w:tcPr>
            <w:tcW w:w="3442" w:type="dxa"/>
            <w:hideMark/>
          </w:tcPr>
          <w:p w:rsidR="00191DF8" w:rsidRPr="00955D5E" w:rsidP="00E47C04" w14:paraId="08F7B9CE" w14:textId="77777777">
            <w:pPr>
              <w:pStyle w:val="GuidanceParagraph"/>
            </w:pPr>
          </w:p>
        </w:tc>
      </w:tr>
      <w:tr w14:paraId="5FCC1D20" w14:textId="77777777" w:rsidTr="329E6BD8">
        <w:tblPrEx>
          <w:tblW w:w="9917" w:type="dxa"/>
          <w:tblLook w:val="04A0"/>
        </w:tblPrEx>
        <w:trPr>
          <w:trHeight w:val="255"/>
        </w:trPr>
        <w:tc>
          <w:tcPr>
            <w:tcW w:w="2466" w:type="dxa"/>
            <w:hideMark/>
          </w:tcPr>
          <w:p w:rsidR="00191DF8" w:rsidRPr="00955D5E" w:rsidP="00E47C04" w14:paraId="67D34C8A" w14:textId="77777777">
            <w:pPr>
              <w:pStyle w:val="GuidanceParagraph"/>
            </w:pPr>
            <w:r w:rsidRPr="00955D5E">
              <w:t>Spin dryer (for sprouts)</w:t>
            </w:r>
          </w:p>
        </w:tc>
        <w:tc>
          <w:tcPr>
            <w:tcW w:w="1039" w:type="dxa"/>
            <w:hideMark/>
          </w:tcPr>
          <w:p w:rsidR="00191DF8" w:rsidRPr="00955D5E" w:rsidP="00E47C04" w14:paraId="302C4B89" w14:textId="77777777">
            <w:pPr>
              <w:pStyle w:val="GuidanceParagraph"/>
            </w:pPr>
            <w:r w:rsidRPr="00955D5E">
              <w:t>X</w:t>
            </w:r>
          </w:p>
        </w:tc>
        <w:tc>
          <w:tcPr>
            <w:tcW w:w="990" w:type="dxa"/>
            <w:hideMark/>
          </w:tcPr>
          <w:p w:rsidR="00191DF8" w:rsidRPr="00955D5E" w:rsidP="00E47C04" w14:paraId="2E5A94D9" w14:textId="77777777">
            <w:pPr>
              <w:pStyle w:val="GuidanceParagraph"/>
            </w:pPr>
          </w:p>
        </w:tc>
        <w:tc>
          <w:tcPr>
            <w:tcW w:w="990" w:type="dxa"/>
            <w:hideMark/>
          </w:tcPr>
          <w:p w:rsidR="00191DF8" w:rsidRPr="00955D5E" w:rsidP="00E47C04" w14:paraId="640D06A5" w14:textId="77777777">
            <w:pPr>
              <w:pStyle w:val="GuidanceParagraph"/>
            </w:pPr>
          </w:p>
        </w:tc>
        <w:tc>
          <w:tcPr>
            <w:tcW w:w="990" w:type="dxa"/>
            <w:hideMark/>
          </w:tcPr>
          <w:p w:rsidR="00191DF8" w:rsidRPr="00955D5E" w:rsidP="00E47C04" w14:paraId="62C4E286" w14:textId="77777777">
            <w:pPr>
              <w:pStyle w:val="GuidanceParagraph"/>
            </w:pPr>
          </w:p>
        </w:tc>
        <w:tc>
          <w:tcPr>
            <w:tcW w:w="3442" w:type="dxa"/>
            <w:hideMark/>
          </w:tcPr>
          <w:p w:rsidR="00191DF8" w:rsidRPr="00955D5E" w:rsidP="00E47C04" w14:paraId="36330ED0" w14:textId="77777777">
            <w:pPr>
              <w:pStyle w:val="GuidanceParagraph"/>
            </w:pPr>
          </w:p>
        </w:tc>
      </w:tr>
      <w:tr w14:paraId="230BBF17" w14:textId="77777777" w:rsidTr="329E6BD8">
        <w:tblPrEx>
          <w:tblW w:w="9917" w:type="dxa"/>
          <w:tblLook w:val="04A0"/>
        </w:tblPrEx>
        <w:trPr>
          <w:trHeight w:val="255"/>
        </w:trPr>
        <w:tc>
          <w:tcPr>
            <w:tcW w:w="2466" w:type="dxa"/>
            <w:hideMark/>
          </w:tcPr>
          <w:p w:rsidR="00191DF8" w:rsidRPr="00955D5E" w:rsidP="00E47C04" w14:paraId="34862D1E" w14:textId="77777777">
            <w:pPr>
              <w:pStyle w:val="GuidanceParagraph"/>
            </w:pPr>
            <w:r w:rsidRPr="00955D5E">
              <w:t>Tools for cleaning equipment</w:t>
            </w:r>
          </w:p>
        </w:tc>
        <w:tc>
          <w:tcPr>
            <w:tcW w:w="1039" w:type="dxa"/>
            <w:hideMark/>
          </w:tcPr>
          <w:p w:rsidR="00191DF8" w:rsidRPr="00955D5E" w:rsidP="00E47C04" w14:paraId="1A7D9F3C" w14:textId="77777777">
            <w:pPr>
              <w:pStyle w:val="GuidanceParagraph"/>
            </w:pPr>
          </w:p>
        </w:tc>
        <w:tc>
          <w:tcPr>
            <w:tcW w:w="990" w:type="dxa"/>
            <w:hideMark/>
          </w:tcPr>
          <w:p w:rsidR="00191DF8" w:rsidRPr="00955D5E" w:rsidP="00E47C04" w14:paraId="60527146" w14:textId="77777777">
            <w:pPr>
              <w:pStyle w:val="GuidanceParagraph"/>
            </w:pPr>
            <w:r w:rsidRPr="00955D5E">
              <w:t>X</w:t>
            </w:r>
          </w:p>
        </w:tc>
        <w:tc>
          <w:tcPr>
            <w:tcW w:w="990" w:type="dxa"/>
            <w:hideMark/>
          </w:tcPr>
          <w:p w:rsidR="00191DF8" w:rsidRPr="00955D5E" w:rsidP="00E47C04" w14:paraId="55D07846" w14:textId="77777777">
            <w:pPr>
              <w:pStyle w:val="GuidanceParagraph"/>
            </w:pPr>
          </w:p>
        </w:tc>
        <w:tc>
          <w:tcPr>
            <w:tcW w:w="990" w:type="dxa"/>
            <w:hideMark/>
          </w:tcPr>
          <w:p w:rsidR="00191DF8" w:rsidRPr="00955D5E" w:rsidP="00E47C04" w14:paraId="39A2FA35" w14:textId="77777777">
            <w:pPr>
              <w:pStyle w:val="GuidanceParagraph"/>
            </w:pPr>
          </w:p>
        </w:tc>
        <w:tc>
          <w:tcPr>
            <w:tcW w:w="3442" w:type="dxa"/>
            <w:hideMark/>
          </w:tcPr>
          <w:p w:rsidR="00191DF8" w:rsidRPr="00955D5E" w:rsidP="00E47C04" w14:paraId="3C65A8DB" w14:textId="5A2A4C48">
            <w:pPr>
              <w:pStyle w:val="GuidanceParagraph"/>
            </w:pPr>
            <w:r w:rsidRPr="00955D5E">
              <w:t>e.g.</w:t>
            </w:r>
            <w:r w:rsidRPr="00955D5E" w:rsidR="00EB76B5">
              <w:t>,</w:t>
            </w:r>
            <w:r w:rsidRPr="00955D5E">
              <w:t xml:space="preserve"> Brushes and scouring pads, cracked hoses</w:t>
            </w:r>
          </w:p>
        </w:tc>
      </w:tr>
      <w:tr w14:paraId="1CCFBEC8" w14:textId="77777777" w:rsidTr="329E6BD8">
        <w:tblPrEx>
          <w:tblW w:w="9917" w:type="dxa"/>
          <w:tblLook w:val="04A0"/>
        </w:tblPrEx>
        <w:trPr>
          <w:trHeight w:val="255"/>
        </w:trPr>
        <w:tc>
          <w:tcPr>
            <w:tcW w:w="2466" w:type="dxa"/>
            <w:hideMark/>
          </w:tcPr>
          <w:p w:rsidR="00191DF8" w:rsidRPr="00955D5E" w:rsidP="00E47C04" w14:paraId="14AE8D8E" w14:textId="77777777">
            <w:pPr>
              <w:pStyle w:val="GuidanceParagraph"/>
            </w:pPr>
            <w:r w:rsidRPr="00955D5E">
              <w:t>Utensils</w:t>
            </w:r>
          </w:p>
        </w:tc>
        <w:tc>
          <w:tcPr>
            <w:tcW w:w="1039" w:type="dxa"/>
            <w:hideMark/>
          </w:tcPr>
          <w:p w:rsidR="00191DF8" w:rsidRPr="00955D5E" w:rsidP="00E47C04" w14:paraId="07793CE8" w14:textId="77777777">
            <w:pPr>
              <w:pStyle w:val="GuidanceParagraph"/>
            </w:pPr>
            <w:r w:rsidRPr="00955D5E">
              <w:t>X</w:t>
            </w:r>
          </w:p>
        </w:tc>
        <w:tc>
          <w:tcPr>
            <w:tcW w:w="990" w:type="dxa"/>
            <w:hideMark/>
          </w:tcPr>
          <w:p w:rsidR="00191DF8" w:rsidRPr="00955D5E" w:rsidP="00E47C04" w14:paraId="51224C39" w14:textId="77777777">
            <w:pPr>
              <w:pStyle w:val="GuidanceParagraph"/>
            </w:pPr>
          </w:p>
        </w:tc>
        <w:tc>
          <w:tcPr>
            <w:tcW w:w="990" w:type="dxa"/>
            <w:hideMark/>
          </w:tcPr>
          <w:p w:rsidR="00191DF8" w:rsidRPr="00955D5E" w:rsidP="00E47C04" w14:paraId="2BD30C89" w14:textId="77777777">
            <w:pPr>
              <w:pStyle w:val="GuidanceParagraph"/>
            </w:pPr>
          </w:p>
        </w:tc>
        <w:tc>
          <w:tcPr>
            <w:tcW w:w="990" w:type="dxa"/>
            <w:hideMark/>
          </w:tcPr>
          <w:p w:rsidR="00191DF8" w:rsidRPr="00955D5E" w:rsidP="00E47C04" w14:paraId="5A94B7D6" w14:textId="77777777">
            <w:pPr>
              <w:pStyle w:val="GuidanceParagraph"/>
            </w:pPr>
          </w:p>
        </w:tc>
        <w:tc>
          <w:tcPr>
            <w:tcW w:w="3442" w:type="dxa"/>
            <w:hideMark/>
          </w:tcPr>
          <w:p w:rsidR="00191DF8" w:rsidRPr="00955D5E" w:rsidP="00E47C04" w14:paraId="165D854E" w14:textId="77777777">
            <w:pPr>
              <w:pStyle w:val="GuidanceParagraph"/>
            </w:pPr>
          </w:p>
        </w:tc>
      </w:tr>
      <w:tr w14:paraId="06EB093F" w14:textId="77777777" w:rsidTr="329E6BD8">
        <w:tblPrEx>
          <w:tblW w:w="9917" w:type="dxa"/>
          <w:tblLook w:val="04A0"/>
        </w:tblPrEx>
        <w:trPr>
          <w:trHeight w:val="255"/>
        </w:trPr>
        <w:tc>
          <w:tcPr>
            <w:tcW w:w="2466" w:type="dxa"/>
            <w:hideMark/>
          </w:tcPr>
          <w:p w:rsidR="00191DF8" w:rsidRPr="00955D5E" w:rsidP="00E47C04" w14:paraId="68D6B008" w14:textId="77777777">
            <w:pPr>
              <w:pStyle w:val="GuidanceParagraph"/>
            </w:pPr>
            <w:r w:rsidRPr="00955D5E">
              <w:t>Work table</w:t>
            </w:r>
          </w:p>
        </w:tc>
        <w:tc>
          <w:tcPr>
            <w:tcW w:w="1039" w:type="dxa"/>
            <w:hideMark/>
          </w:tcPr>
          <w:p w:rsidR="00191DF8" w:rsidRPr="00955D5E" w:rsidP="00E47C04" w14:paraId="0F2C17A6" w14:textId="77777777">
            <w:pPr>
              <w:pStyle w:val="GuidanceParagraph"/>
            </w:pPr>
            <w:r w:rsidRPr="00955D5E">
              <w:t>X</w:t>
            </w:r>
          </w:p>
        </w:tc>
        <w:tc>
          <w:tcPr>
            <w:tcW w:w="990" w:type="dxa"/>
            <w:hideMark/>
          </w:tcPr>
          <w:p w:rsidR="00191DF8" w:rsidRPr="00955D5E" w:rsidP="00E47C04" w14:paraId="2993EEA2" w14:textId="77777777">
            <w:pPr>
              <w:pStyle w:val="GuidanceParagraph"/>
            </w:pPr>
            <w:r w:rsidRPr="00955D5E">
              <w:t>X</w:t>
            </w:r>
          </w:p>
        </w:tc>
        <w:tc>
          <w:tcPr>
            <w:tcW w:w="990" w:type="dxa"/>
            <w:hideMark/>
          </w:tcPr>
          <w:p w:rsidR="00191DF8" w:rsidRPr="00955D5E" w:rsidP="00E47C04" w14:paraId="2B368097" w14:textId="77777777">
            <w:pPr>
              <w:pStyle w:val="GuidanceParagraph"/>
            </w:pPr>
          </w:p>
        </w:tc>
        <w:tc>
          <w:tcPr>
            <w:tcW w:w="990" w:type="dxa"/>
            <w:hideMark/>
          </w:tcPr>
          <w:p w:rsidR="00191DF8" w:rsidRPr="00955D5E" w:rsidP="00E47C04" w14:paraId="64EFDC1F" w14:textId="77777777">
            <w:pPr>
              <w:pStyle w:val="GuidanceParagraph"/>
            </w:pPr>
          </w:p>
        </w:tc>
        <w:tc>
          <w:tcPr>
            <w:tcW w:w="3442" w:type="dxa"/>
            <w:hideMark/>
          </w:tcPr>
          <w:p w:rsidR="00191DF8" w:rsidRPr="00955D5E" w:rsidP="00E47C04" w14:paraId="60DC8519" w14:textId="77777777">
            <w:pPr>
              <w:pStyle w:val="GuidanceParagraph"/>
            </w:pPr>
            <w:r w:rsidRPr="00955D5E">
              <w:t>The surface that is reasonably likely to contact sprouts is Zone 1; the underside and supports are Zone 2.</w:t>
            </w:r>
          </w:p>
        </w:tc>
      </w:tr>
      <w:tr w14:paraId="2F8499D2" w14:textId="77777777" w:rsidTr="329E6BD8">
        <w:tblPrEx>
          <w:tblW w:w="9917" w:type="dxa"/>
          <w:tblLook w:val="04A0"/>
        </w:tblPrEx>
        <w:trPr>
          <w:trHeight w:val="255"/>
        </w:trPr>
        <w:tc>
          <w:tcPr>
            <w:tcW w:w="2466" w:type="dxa"/>
            <w:hideMark/>
          </w:tcPr>
          <w:p w:rsidR="00191DF8" w:rsidRPr="00955D5E" w:rsidP="00E47C04" w14:paraId="01CE5E5A" w14:textId="77777777">
            <w:pPr>
              <w:pStyle w:val="GuidanceParagraph"/>
            </w:pPr>
            <w:r w:rsidRPr="00955D5E">
              <w:t>Walls</w:t>
            </w:r>
          </w:p>
        </w:tc>
        <w:tc>
          <w:tcPr>
            <w:tcW w:w="1039" w:type="dxa"/>
            <w:hideMark/>
          </w:tcPr>
          <w:p w:rsidR="00191DF8" w:rsidRPr="00955D5E" w:rsidP="00E47C04" w14:paraId="65065977" w14:textId="77777777">
            <w:pPr>
              <w:pStyle w:val="GuidanceParagraph"/>
            </w:pPr>
          </w:p>
        </w:tc>
        <w:tc>
          <w:tcPr>
            <w:tcW w:w="990" w:type="dxa"/>
            <w:hideMark/>
          </w:tcPr>
          <w:p w:rsidR="00191DF8" w:rsidRPr="00955D5E" w:rsidP="00E47C04" w14:paraId="3FA321F8" w14:textId="77777777">
            <w:pPr>
              <w:pStyle w:val="GuidanceParagraph"/>
            </w:pPr>
            <w:r w:rsidRPr="00955D5E">
              <w:t>X</w:t>
            </w:r>
          </w:p>
        </w:tc>
        <w:tc>
          <w:tcPr>
            <w:tcW w:w="990" w:type="dxa"/>
            <w:hideMark/>
          </w:tcPr>
          <w:p w:rsidR="00191DF8" w:rsidRPr="00955D5E" w:rsidP="00E47C04" w14:paraId="705AFB9C" w14:textId="77777777">
            <w:pPr>
              <w:pStyle w:val="GuidanceParagraph"/>
            </w:pPr>
            <w:r w:rsidRPr="00955D5E">
              <w:t>X</w:t>
            </w:r>
          </w:p>
        </w:tc>
        <w:tc>
          <w:tcPr>
            <w:tcW w:w="990" w:type="dxa"/>
            <w:hideMark/>
          </w:tcPr>
          <w:p w:rsidR="00191DF8" w:rsidRPr="00955D5E" w:rsidP="00E47C04" w14:paraId="6D738BAD" w14:textId="77777777">
            <w:pPr>
              <w:pStyle w:val="GuidanceParagraph"/>
            </w:pPr>
            <w:r w:rsidRPr="00955D5E">
              <w:t>X</w:t>
            </w:r>
          </w:p>
        </w:tc>
        <w:tc>
          <w:tcPr>
            <w:tcW w:w="3442" w:type="dxa"/>
            <w:hideMark/>
          </w:tcPr>
          <w:p w:rsidR="00191DF8" w:rsidRPr="00955D5E" w:rsidP="00E47C04" w14:paraId="04C25D5E" w14:textId="77777777">
            <w:pPr>
              <w:pStyle w:val="GuidanceParagraph"/>
            </w:pPr>
            <w:r w:rsidRPr="00955D5E">
              <w:t>Zone depends on proximity to food contact surfaces and food.</w:t>
            </w:r>
          </w:p>
        </w:tc>
      </w:tr>
      <w:tr w14:paraId="2D36D70A" w14:textId="77777777" w:rsidTr="329E6BD8">
        <w:tblPrEx>
          <w:tblW w:w="9917" w:type="dxa"/>
          <w:tblLook w:val="04A0"/>
        </w:tblPrEx>
        <w:trPr>
          <w:trHeight w:val="510"/>
        </w:trPr>
        <w:tc>
          <w:tcPr>
            <w:tcW w:w="2466" w:type="dxa"/>
            <w:hideMark/>
          </w:tcPr>
          <w:p w:rsidR="00191DF8" w:rsidRPr="00955D5E" w:rsidP="00E47C04" w14:paraId="0D0DC963" w14:textId="77777777">
            <w:pPr>
              <w:pStyle w:val="GuidanceParagraph"/>
            </w:pPr>
            <w:r w:rsidRPr="00955D5E">
              <w:t>Equipment housing or framework</w:t>
            </w:r>
          </w:p>
        </w:tc>
        <w:tc>
          <w:tcPr>
            <w:tcW w:w="1039" w:type="dxa"/>
            <w:hideMark/>
          </w:tcPr>
          <w:p w:rsidR="00191DF8" w:rsidRPr="00955D5E" w:rsidP="00E47C04" w14:paraId="64F38200" w14:textId="77777777">
            <w:pPr>
              <w:pStyle w:val="GuidanceParagraph"/>
            </w:pPr>
          </w:p>
        </w:tc>
        <w:tc>
          <w:tcPr>
            <w:tcW w:w="990" w:type="dxa"/>
            <w:hideMark/>
          </w:tcPr>
          <w:p w:rsidR="00191DF8" w:rsidRPr="00955D5E" w:rsidP="00E47C04" w14:paraId="6CCF2C30" w14:textId="77777777">
            <w:pPr>
              <w:pStyle w:val="GuidanceParagraph"/>
            </w:pPr>
            <w:r w:rsidRPr="00955D5E">
              <w:t>X</w:t>
            </w:r>
          </w:p>
        </w:tc>
        <w:tc>
          <w:tcPr>
            <w:tcW w:w="990" w:type="dxa"/>
            <w:hideMark/>
          </w:tcPr>
          <w:p w:rsidR="00191DF8" w:rsidRPr="00955D5E" w:rsidP="00E47C04" w14:paraId="62DF26BF" w14:textId="77777777">
            <w:pPr>
              <w:pStyle w:val="GuidanceParagraph"/>
            </w:pPr>
            <w:r w:rsidRPr="00955D5E">
              <w:t>X</w:t>
            </w:r>
          </w:p>
        </w:tc>
        <w:tc>
          <w:tcPr>
            <w:tcW w:w="990" w:type="dxa"/>
            <w:hideMark/>
          </w:tcPr>
          <w:p w:rsidR="00191DF8" w:rsidRPr="00955D5E" w:rsidP="00E47C04" w14:paraId="25DE4A3A" w14:textId="77777777">
            <w:pPr>
              <w:pStyle w:val="GuidanceParagraph"/>
            </w:pPr>
          </w:p>
        </w:tc>
        <w:tc>
          <w:tcPr>
            <w:tcW w:w="3442" w:type="dxa"/>
            <w:hideMark/>
          </w:tcPr>
          <w:p w:rsidR="00191DF8" w:rsidRPr="00955D5E" w:rsidP="00E47C04" w14:paraId="5BD24891" w14:textId="77777777">
            <w:pPr>
              <w:pStyle w:val="GuidanceParagraph"/>
            </w:pPr>
            <w:r w:rsidRPr="00955D5E">
              <w:t>Wet, rusting, or hollow framework, open bearings within equipment, motor housings, on/off switches are areas of particular concern.</w:t>
            </w:r>
          </w:p>
        </w:tc>
      </w:tr>
      <w:tr w14:paraId="2BE5DF29" w14:textId="77777777" w:rsidTr="329E6BD8">
        <w:tblPrEx>
          <w:tblW w:w="9917" w:type="dxa"/>
          <w:tblLook w:val="04A0"/>
        </w:tblPrEx>
        <w:trPr>
          <w:trHeight w:val="255"/>
        </w:trPr>
        <w:tc>
          <w:tcPr>
            <w:tcW w:w="2466" w:type="dxa"/>
            <w:hideMark/>
          </w:tcPr>
          <w:p w:rsidR="00191DF8" w:rsidRPr="00955D5E" w:rsidP="00E47C04" w14:paraId="2BE477D8" w14:textId="77777777">
            <w:pPr>
              <w:pStyle w:val="GuidanceParagraph"/>
            </w:pPr>
            <w:r w:rsidRPr="00955D5E">
              <w:t>Pallets</w:t>
            </w:r>
          </w:p>
        </w:tc>
        <w:tc>
          <w:tcPr>
            <w:tcW w:w="1039" w:type="dxa"/>
            <w:hideMark/>
          </w:tcPr>
          <w:p w:rsidR="00191DF8" w:rsidRPr="00955D5E" w:rsidP="00E47C04" w14:paraId="76D671CE" w14:textId="77777777">
            <w:pPr>
              <w:pStyle w:val="GuidanceParagraph"/>
            </w:pPr>
          </w:p>
        </w:tc>
        <w:tc>
          <w:tcPr>
            <w:tcW w:w="990" w:type="dxa"/>
            <w:hideMark/>
          </w:tcPr>
          <w:p w:rsidR="00191DF8" w:rsidRPr="00955D5E" w:rsidP="00E47C04" w14:paraId="1BD8F1F6" w14:textId="77777777">
            <w:pPr>
              <w:pStyle w:val="GuidanceParagraph"/>
            </w:pPr>
            <w:r w:rsidRPr="00955D5E">
              <w:t>X</w:t>
            </w:r>
          </w:p>
        </w:tc>
        <w:tc>
          <w:tcPr>
            <w:tcW w:w="990" w:type="dxa"/>
            <w:hideMark/>
          </w:tcPr>
          <w:p w:rsidR="00191DF8" w:rsidRPr="00955D5E" w:rsidP="00E47C04" w14:paraId="6CC7233C" w14:textId="77777777">
            <w:pPr>
              <w:pStyle w:val="GuidanceParagraph"/>
            </w:pPr>
            <w:r w:rsidRPr="00955D5E">
              <w:t>X</w:t>
            </w:r>
          </w:p>
        </w:tc>
        <w:tc>
          <w:tcPr>
            <w:tcW w:w="990" w:type="dxa"/>
            <w:hideMark/>
          </w:tcPr>
          <w:p w:rsidR="00191DF8" w:rsidRPr="00955D5E" w:rsidP="00E47C04" w14:paraId="2E9FAFD5" w14:textId="77777777">
            <w:pPr>
              <w:pStyle w:val="GuidanceParagraph"/>
            </w:pPr>
          </w:p>
        </w:tc>
        <w:tc>
          <w:tcPr>
            <w:tcW w:w="3442" w:type="dxa"/>
            <w:hideMark/>
          </w:tcPr>
          <w:p w:rsidR="00191DF8" w:rsidRPr="00955D5E" w:rsidP="00E47C04" w14:paraId="3F293BBF" w14:textId="77777777">
            <w:pPr>
              <w:pStyle w:val="GuidanceParagraph"/>
            </w:pPr>
          </w:p>
        </w:tc>
      </w:tr>
      <w:tr w14:paraId="530D6478" w14:textId="77777777" w:rsidTr="329E6BD8">
        <w:tblPrEx>
          <w:tblW w:w="9917" w:type="dxa"/>
          <w:tblLook w:val="04A0"/>
        </w:tblPrEx>
        <w:trPr>
          <w:trHeight w:val="255"/>
        </w:trPr>
        <w:tc>
          <w:tcPr>
            <w:tcW w:w="2466" w:type="dxa"/>
            <w:hideMark/>
          </w:tcPr>
          <w:p w:rsidR="00191DF8" w:rsidRPr="00955D5E" w:rsidP="00E47C04" w14:paraId="2CAEFA64" w14:textId="77777777">
            <w:pPr>
              <w:pStyle w:val="GuidanceParagraph"/>
            </w:pPr>
            <w:r w:rsidRPr="00955D5E">
              <w:t xml:space="preserve">Wash areas </w:t>
            </w:r>
          </w:p>
        </w:tc>
        <w:tc>
          <w:tcPr>
            <w:tcW w:w="1039" w:type="dxa"/>
            <w:hideMark/>
          </w:tcPr>
          <w:p w:rsidR="00191DF8" w:rsidRPr="00955D5E" w:rsidP="00E47C04" w14:paraId="4FC8A7A4" w14:textId="77777777">
            <w:pPr>
              <w:pStyle w:val="GuidanceParagraph"/>
            </w:pPr>
            <w:r w:rsidRPr="00955D5E">
              <w:t>X</w:t>
            </w:r>
          </w:p>
        </w:tc>
        <w:tc>
          <w:tcPr>
            <w:tcW w:w="990" w:type="dxa"/>
            <w:hideMark/>
          </w:tcPr>
          <w:p w:rsidR="00191DF8" w:rsidRPr="00955D5E" w:rsidP="00E47C04" w14:paraId="5FD42C32" w14:textId="77777777">
            <w:pPr>
              <w:pStyle w:val="GuidanceParagraph"/>
            </w:pPr>
            <w:r w:rsidRPr="00955D5E">
              <w:t>X</w:t>
            </w:r>
          </w:p>
        </w:tc>
        <w:tc>
          <w:tcPr>
            <w:tcW w:w="990" w:type="dxa"/>
            <w:hideMark/>
          </w:tcPr>
          <w:p w:rsidR="00191DF8" w:rsidRPr="00955D5E" w:rsidP="00E47C04" w14:paraId="69B07066" w14:textId="77777777">
            <w:pPr>
              <w:pStyle w:val="GuidanceParagraph"/>
            </w:pPr>
            <w:r w:rsidRPr="00955D5E">
              <w:t>X</w:t>
            </w:r>
          </w:p>
        </w:tc>
        <w:tc>
          <w:tcPr>
            <w:tcW w:w="990" w:type="dxa"/>
            <w:hideMark/>
          </w:tcPr>
          <w:p w:rsidR="00191DF8" w:rsidRPr="00955D5E" w:rsidP="00E47C04" w14:paraId="30D4EB06" w14:textId="77777777">
            <w:pPr>
              <w:pStyle w:val="GuidanceParagraph"/>
            </w:pPr>
          </w:p>
        </w:tc>
        <w:tc>
          <w:tcPr>
            <w:tcW w:w="3442" w:type="dxa"/>
            <w:hideMark/>
          </w:tcPr>
          <w:p w:rsidR="00191DF8" w:rsidRPr="00955D5E" w:rsidP="00E47C04" w14:paraId="73490338" w14:textId="77777777">
            <w:pPr>
              <w:pStyle w:val="GuidanceParagraph"/>
            </w:pPr>
            <w:r w:rsidRPr="00955D5E">
              <w:t>e.g., Washing tubs, sinks</w:t>
            </w:r>
          </w:p>
        </w:tc>
      </w:tr>
      <w:tr w14:paraId="316437BB" w14:textId="77777777" w:rsidTr="329E6BD8">
        <w:tblPrEx>
          <w:tblW w:w="9917" w:type="dxa"/>
          <w:tblLook w:val="04A0"/>
        </w:tblPrEx>
        <w:trPr>
          <w:trHeight w:val="255"/>
        </w:trPr>
        <w:tc>
          <w:tcPr>
            <w:tcW w:w="2466" w:type="dxa"/>
            <w:hideMark/>
          </w:tcPr>
          <w:p w:rsidR="00191DF8" w:rsidRPr="00955D5E" w:rsidP="00E47C04" w14:paraId="43D42370" w14:textId="77777777">
            <w:pPr>
              <w:pStyle w:val="GuidanceParagraph"/>
            </w:pPr>
            <w:r w:rsidRPr="00955D5E">
              <w:t>Maintenance tools</w:t>
            </w:r>
          </w:p>
        </w:tc>
        <w:tc>
          <w:tcPr>
            <w:tcW w:w="1039" w:type="dxa"/>
            <w:hideMark/>
          </w:tcPr>
          <w:p w:rsidR="00191DF8" w:rsidRPr="00955D5E" w:rsidP="00E47C04" w14:paraId="3C606358" w14:textId="77777777">
            <w:pPr>
              <w:pStyle w:val="GuidanceParagraph"/>
            </w:pPr>
          </w:p>
        </w:tc>
        <w:tc>
          <w:tcPr>
            <w:tcW w:w="990" w:type="dxa"/>
            <w:hideMark/>
          </w:tcPr>
          <w:p w:rsidR="00191DF8" w:rsidRPr="00955D5E" w:rsidP="00E47C04" w14:paraId="58CFF0C6" w14:textId="77777777">
            <w:pPr>
              <w:pStyle w:val="GuidanceParagraph"/>
            </w:pPr>
            <w:r w:rsidRPr="00955D5E">
              <w:t>X</w:t>
            </w:r>
          </w:p>
        </w:tc>
        <w:tc>
          <w:tcPr>
            <w:tcW w:w="990" w:type="dxa"/>
            <w:hideMark/>
          </w:tcPr>
          <w:p w:rsidR="00191DF8" w:rsidRPr="00955D5E" w:rsidP="00E47C04" w14:paraId="3C54B28C" w14:textId="77777777">
            <w:pPr>
              <w:pStyle w:val="GuidanceParagraph"/>
            </w:pPr>
            <w:r w:rsidRPr="00955D5E">
              <w:t>X</w:t>
            </w:r>
          </w:p>
        </w:tc>
        <w:tc>
          <w:tcPr>
            <w:tcW w:w="990" w:type="dxa"/>
            <w:hideMark/>
          </w:tcPr>
          <w:p w:rsidR="00191DF8" w:rsidRPr="00955D5E" w:rsidP="00E47C04" w14:paraId="18527DCD" w14:textId="77777777">
            <w:pPr>
              <w:pStyle w:val="GuidanceParagraph"/>
            </w:pPr>
          </w:p>
        </w:tc>
        <w:tc>
          <w:tcPr>
            <w:tcW w:w="3442" w:type="dxa"/>
            <w:hideMark/>
          </w:tcPr>
          <w:p w:rsidR="00191DF8" w:rsidRPr="00955D5E" w:rsidP="00E47C04" w14:paraId="2FB0EC41" w14:textId="77777777">
            <w:pPr>
              <w:pStyle w:val="GuidanceParagraph"/>
            </w:pPr>
            <w:r w:rsidRPr="00955D5E">
              <w:t>e.g., Wrenches and screw drivers</w:t>
            </w:r>
          </w:p>
        </w:tc>
      </w:tr>
      <w:tr w14:paraId="34E4BBBE" w14:textId="77777777" w:rsidTr="329E6BD8">
        <w:tblPrEx>
          <w:tblW w:w="9917" w:type="dxa"/>
          <w:tblLook w:val="04A0"/>
        </w:tblPrEx>
        <w:trPr>
          <w:trHeight w:val="510"/>
        </w:trPr>
        <w:tc>
          <w:tcPr>
            <w:tcW w:w="2466" w:type="dxa"/>
            <w:hideMark/>
          </w:tcPr>
          <w:p w:rsidR="00191DF8" w:rsidRPr="00955D5E" w:rsidP="00E47C04" w14:paraId="6CBACAA9" w14:textId="77777777">
            <w:pPr>
              <w:pStyle w:val="GuidanceParagraph"/>
            </w:pPr>
            <w:r w:rsidRPr="00955D5E">
              <w:t>Coolers</w:t>
            </w:r>
          </w:p>
        </w:tc>
        <w:tc>
          <w:tcPr>
            <w:tcW w:w="1039" w:type="dxa"/>
            <w:hideMark/>
          </w:tcPr>
          <w:p w:rsidR="00191DF8" w:rsidRPr="00955D5E" w:rsidP="00E47C04" w14:paraId="54FDAB68" w14:textId="77777777">
            <w:pPr>
              <w:pStyle w:val="GuidanceParagraph"/>
            </w:pPr>
          </w:p>
        </w:tc>
        <w:tc>
          <w:tcPr>
            <w:tcW w:w="990" w:type="dxa"/>
            <w:hideMark/>
          </w:tcPr>
          <w:p w:rsidR="00191DF8" w:rsidRPr="00955D5E" w:rsidP="00E47C04" w14:paraId="22A591EB" w14:textId="77777777">
            <w:pPr>
              <w:pStyle w:val="GuidanceParagraph"/>
            </w:pPr>
            <w:r w:rsidRPr="00955D5E">
              <w:t>X</w:t>
            </w:r>
          </w:p>
        </w:tc>
        <w:tc>
          <w:tcPr>
            <w:tcW w:w="990" w:type="dxa"/>
            <w:hideMark/>
          </w:tcPr>
          <w:p w:rsidR="00191DF8" w:rsidRPr="00955D5E" w:rsidP="00E47C04" w14:paraId="44DBB5BE" w14:textId="77777777">
            <w:pPr>
              <w:pStyle w:val="GuidanceParagraph"/>
            </w:pPr>
            <w:r w:rsidRPr="00955D5E">
              <w:t>X</w:t>
            </w:r>
          </w:p>
        </w:tc>
        <w:tc>
          <w:tcPr>
            <w:tcW w:w="990" w:type="dxa"/>
            <w:hideMark/>
          </w:tcPr>
          <w:p w:rsidR="00191DF8" w:rsidRPr="00955D5E" w:rsidP="00E47C04" w14:paraId="3BD81DE7" w14:textId="77777777">
            <w:pPr>
              <w:pStyle w:val="GuidanceParagraph"/>
            </w:pPr>
          </w:p>
        </w:tc>
        <w:tc>
          <w:tcPr>
            <w:tcW w:w="3442" w:type="dxa"/>
            <w:hideMark/>
          </w:tcPr>
          <w:p w:rsidR="00191DF8" w:rsidRPr="00955D5E" w:rsidP="00E47C04" w14:paraId="6D0005A0" w14:textId="77777777">
            <w:pPr>
              <w:pStyle w:val="GuidanceParagraph"/>
            </w:pPr>
            <w:r w:rsidRPr="00955D5E">
              <w:t>Wet insulation in walls or around pipes and cooling units, rubber seals around doors are of particular concern.</w:t>
            </w:r>
          </w:p>
        </w:tc>
      </w:tr>
      <w:tr w14:paraId="67CEE750" w14:textId="77777777" w:rsidTr="329E6BD8">
        <w:tblPrEx>
          <w:tblW w:w="9917" w:type="dxa"/>
          <w:tblLook w:val="04A0"/>
        </w:tblPrEx>
        <w:trPr>
          <w:trHeight w:val="510"/>
        </w:trPr>
        <w:tc>
          <w:tcPr>
            <w:tcW w:w="2466" w:type="dxa"/>
            <w:hideMark/>
          </w:tcPr>
          <w:p w:rsidR="00191DF8" w:rsidRPr="00955D5E" w:rsidP="00E47C04" w14:paraId="4603422A" w14:textId="77777777">
            <w:pPr>
              <w:pStyle w:val="GuidanceParagraph"/>
            </w:pPr>
            <w:r w:rsidRPr="00955D5E">
              <w:t>Floors and drains in the immediate vicinity of FCSs</w:t>
            </w:r>
          </w:p>
        </w:tc>
        <w:tc>
          <w:tcPr>
            <w:tcW w:w="1039" w:type="dxa"/>
            <w:hideMark/>
          </w:tcPr>
          <w:p w:rsidR="00191DF8" w:rsidRPr="00955D5E" w:rsidP="00E47C04" w14:paraId="060E0C72" w14:textId="77777777">
            <w:pPr>
              <w:pStyle w:val="GuidanceParagraph"/>
            </w:pPr>
          </w:p>
        </w:tc>
        <w:tc>
          <w:tcPr>
            <w:tcW w:w="990" w:type="dxa"/>
            <w:hideMark/>
          </w:tcPr>
          <w:p w:rsidR="00191DF8" w:rsidRPr="00955D5E" w:rsidP="00E47C04" w14:paraId="640013F4" w14:textId="77777777">
            <w:pPr>
              <w:pStyle w:val="GuidanceParagraph"/>
            </w:pPr>
            <w:r w:rsidRPr="00955D5E">
              <w:t>X</w:t>
            </w:r>
          </w:p>
        </w:tc>
        <w:tc>
          <w:tcPr>
            <w:tcW w:w="990" w:type="dxa"/>
            <w:hideMark/>
          </w:tcPr>
          <w:p w:rsidR="00191DF8" w:rsidRPr="00955D5E" w:rsidP="00E47C04" w14:paraId="720A6DBA" w14:textId="77777777">
            <w:pPr>
              <w:pStyle w:val="GuidanceParagraph"/>
            </w:pPr>
          </w:p>
        </w:tc>
        <w:tc>
          <w:tcPr>
            <w:tcW w:w="990" w:type="dxa"/>
            <w:hideMark/>
          </w:tcPr>
          <w:p w:rsidR="00191DF8" w:rsidRPr="00955D5E" w:rsidP="00E47C04" w14:paraId="15205C9A" w14:textId="77777777">
            <w:pPr>
              <w:pStyle w:val="GuidanceParagraph"/>
            </w:pPr>
          </w:p>
        </w:tc>
        <w:tc>
          <w:tcPr>
            <w:tcW w:w="3442" w:type="dxa"/>
            <w:hideMark/>
          </w:tcPr>
          <w:p w:rsidR="00191DF8" w:rsidRPr="00955D5E" w:rsidP="00E47C04" w14:paraId="158D464E" w14:textId="77777777">
            <w:pPr>
              <w:pStyle w:val="GuidanceParagraph"/>
            </w:pPr>
          </w:p>
        </w:tc>
      </w:tr>
      <w:tr w14:paraId="0F397067" w14:textId="77777777" w:rsidTr="329E6BD8">
        <w:tblPrEx>
          <w:tblW w:w="9917" w:type="dxa"/>
          <w:tblLook w:val="04A0"/>
        </w:tblPrEx>
        <w:trPr>
          <w:trHeight w:val="255"/>
        </w:trPr>
        <w:tc>
          <w:tcPr>
            <w:tcW w:w="2466" w:type="dxa"/>
          </w:tcPr>
          <w:p w:rsidR="00191DF8" w:rsidRPr="00955D5E" w:rsidP="00E47C04" w14:paraId="078CE51F" w14:textId="77777777">
            <w:pPr>
              <w:pStyle w:val="GuidanceParagraph"/>
            </w:pPr>
            <w:r w:rsidRPr="00955D5E">
              <w:t>Floors or drains in or near the production areas but not in the immediate vicinity of FCSs</w:t>
            </w:r>
          </w:p>
        </w:tc>
        <w:tc>
          <w:tcPr>
            <w:tcW w:w="1039" w:type="dxa"/>
          </w:tcPr>
          <w:p w:rsidR="00191DF8" w:rsidRPr="00955D5E" w:rsidP="00E47C04" w14:paraId="433E8FCF" w14:textId="77777777">
            <w:pPr>
              <w:pStyle w:val="GuidanceParagraph"/>
            </w:pPr>
          </w:p>
        </w:tc>
        <w:tc>
          <w:tcPr>
            <w:tcW w:w="990" w:type="dxa"/>
          </w:tcPr>
          <w:p w:rsidR="00191DF8" w:rsidRPr="00955D5E" w:rsidP="00E47C04" w14:paraId="521FBEDB" w14:textId="77777777">
            <w:pPr>
              <w:pStyle w:val="GuidanceParagraph"/>
            </w:pPr>
          </w:p>
        </w:tc>
        <w:tc>
          <w:tcPr>
            <w:tcW w:w="990" w:type="dxa"/>
          </w:tcPr>
          <w:p w:rsidR="00191DF8" w:rsidRPr="00955D5E" w:rsidP="00E47C04" w14:paraId="26E9BC6A" w14:textId="77777777">
            <w:pPr>
              <w:pStyle w:val="GuidanceParagraph"/>
            </w:pPr>
            <w:r w:rsidRPr="00955D5E">
              <w:t>X</w:t>
            </w:r>
          </w:p>
        </w:tc>
        <w:tc>
          <w:tcPr>
            <w:tcW w:w="990" w:type="dxa"/>
          </w:tcPr>
          <w:p w:rsidR="00191DF8" w:rsidRPr="00955D5E" w:rsidP="00E47C04" w14:paraId="6FEDF4B7" w14:textId="77777777">
            <w:pPr>
              <w:pStyle w:val="GuidanceParagraph"/>
            </w:pPr>
          </w:p>
        </w:tc>
        <w:tc>
          <w:tcPr>
            <w:tcW w:w="3442" w:type="dxa"/>
          </w:tcPr>
          <w:p w:rsidR="00191DF8" w:rsidRPr="00955D5E" w:rsidP="00E47C04" w14:paraId="16D1F1E4" w14:textId="77777777">
            <w:pPr>
              <w:pStyle w:val="GuidanceParagraph"/>
            </w:pPr>
          </w:p>
        </w:tc>
      </w:tr>
      <w:tr w14:paraId="55336577" w14:textId="77777777" w:rsidTr="329E6BD8">
        <w:tblPrEx>
          <w:tblW w:w="9917" w:type="dxa"/>
          <w:tblLook w:val="04A0"/>
        </w:tblPrEx>
        <w:trPr>
          <w:trHeight w:val="255"/>
        </w:trPr>
        <w:tc>
          <w:tcPr>
            <w:tcW w:w="2466" w:type="dxa"/>
            <w:hideMark/>
          </w:tcPr>
          <w:p w:rsidR="00191DF8" w:rsidRPr="00955D5E" w:rsidP="00E47C04" w14:paraId="2999D837" w14:textId="77777777">
            <w:pPr>
              <w:pStyle w:val="GuidanceParagraph"/>
            </w:pPr>
            <w:r w:rsidRPr="00955D5E">
              <w:t>Racks for trays</w:t>
            </w:r>
          </w:p>
        </w:tc>
        <w:tc>
          <w:tcPr>
            <w:tcW w:w="1039" w:type="dxa"/>
            <w:hideMark/>
          </w:tcPr>
          <w:p w:rsidR="00191DF8" w:rsidRPr="00955D5E" w:rsidP="00E47C04" w14:paraId="0E0883AF" w14:textId="77777777">
            <w:pPr>
              <w:pStyle w:val="GuidanceParagraph"/>
            </w:pPr>
          </w:p>
        </w:tc>
        <w:tc>
          <w:tcPr>
            <w:tcW w:w="990" w:type="dxa"/>
            <w:hideMark/>
          </w:tcPr>
          <w:p w:rsidR="00191DF8" w:rsidRPr="00955D5E" w:rsidP="00E47C04" w14:paraId="77B091E9" w14:textId="77777777">
            <w:pPr>
              <w:pStyle w:val="GuidanceParagraph"/>
            </w:pPr>
            <w:r w:rsidRPr="00955D5E">
              <w:t>X</w:t>
            </w:r>
          </w:p>
        </w:tc>
        <w:tc>
          <w:tcPr>
            <w:tcW w:w="990" w:type="dxa"/>
            <w:hideMark/>
          </w:tcPr>
          <w:p w:rsidR="00191DF8" w:rsidRPr="00955D5E" w:rsidP="00E47C04" w14:paraId="4BDA8078" w14:textId="77777777">
            <w:pPr>
              <w:pStyle w:val="GuidanceParagraph"/>
            </w:pPr>
          </w:p>
        </w:tc>
        <w:tc>
          <w:tcPr>
            <w:tcW w:w="990" w:type="dxa"/>
            <w:hideMark/>
          </w:tcPr>
          <w:p w:rsidR="00191DF8" w:rsidRPr="00955D5E" w:rsidP="00E47C04" w14:paraId="187F59EE" w14:textId="77777777">
            <w:pPr>
              <w:pStyle w:val="GuidanceParagraph"/>
            </w:pPr>
          </w:p>
        </w:tc>
        <w:tc>
          <w:tcPr>
            <w:tcW w:w="3442" w:type="dxa"/>
            <w:hideMark/>
          </w:tcPr>
          <w:p w:rsidR="00191DF8" w:rsidRPr="00955D5E" w:rsidP="00E47C04" w14:paraId="68A9CD3C" w14:textId="77777777">
            <w:pPr>
              <w:pStyle w:val="GuidanceParagraph"/>
            </w:pPr>
          </w:p>
        </w:tc>
      </w:tr>
      <w:tr w14:paraId="1C8DE067" w14:textId="77777777" w:rsidTr="329E6BD8">
        <w:tblPrEx>
          <w:tblW w:w="9917" w:type="dxa"/>
          <w:tblLook w:val="04A0"/>
        </w:tblPrEx>
        <w:trPr>
          <w:trHeight w:val="510"/>
        </w:trPr>
        <w:tc>
          <w:tcPr>
            <w:tcW w:w="2466" w:type="dxa"/>
            <w:hideMark/>
          </w:tcPr>
          <w:p w:rsidR="00191DF8" w:rsidRPr="00955D5E" w:rsidP="00E47C04" w14:paraId="2FC86AEF" w14:textId="77777777">
            <w:pPr>
              <w:pStyle w:val="GuidanceParagraph"/>
            </w:pPr>
            <w:r w:rsidRPr="00955D5E">
              <w:t>Surfaces employees handle prior to handling the product</w:t>
            </w:r>
          </w:p>
        </w:tc>
        <w:tc>
          <w:tcPr>
            <w:tcW w:w="1039" w:type="dxa"/>
            <w:hideMark/>
          </w:tcPr>
          <w:p w:rsidR="00191DF8" w:rsidRPr="00955D5E" w:rsidP="00E47C04" w14:paraId="36BB3176" w14:textId="77777777">
            <w:pPr>
              <w:pStyle w:val="GuidanceParagraph"/>
            </w:pPr>
          </w:p>
        </w:tc>
        <w:tc>
          <w:tcPr>
            <w:tcW w:w="990" w:type="dxa"/>
            <w:hideMark/>
          </w:tcPr>
          <w:p w:rsidR="00191DF8" w:rsidRPr="00955D5E" w:rsidP="00E47C04" w14:paraId="46653F27" w14:textId="77777777">
            <w:pPr>
              <w:pStyle w:val="GuidanceParagraph"/>
            </w:pPr>
            <w:r w:rsidRPr="00955D5E">
              <w:t>X</w:t>
            </w:r>
          </w:p>
        </w:tc>
        <w:tc>
          <w:tcPr>
            <w:tcW w:w="990" w:type="dxa"/>
            <w:hideMark/>
          </w:tcPr>
          <w:p w:rsidR="00191DF8" w:rsidRPr="00955D5E" w:rsidP="00E47C04" w14:paraId="3534995B" w14:textId="77777777">
            <w:pPr>
              <w:pStyle w:val="GuidanceParagraph"/>
            </w:pPr>
          </w:p>
        </w:tc>
        <w:tc>
          <w:tcPr>
            <w:tcW w:w="990" w:type="dxa"/>
            <w:hideMark/>
          </w:tcPr>
          <w:p w:rsidR="00191DF8" w:rsidRPr="00955D5E" w:rsidP="00E47C04" w14:paraId="3DEBF7E6" w14:textId="77777777">
            <w:pPr>
              <w:pStyle w:val="GuidanceParagraph"/>
            </w:pPr>
          </w:p>
        </w:tc>
        <w:tc>
          <w:tcPr>
            <w:tcW w:w="3442" w:type="dxa"/>
            <w:hideMark/>
          </w:tcPr>
          <w:p w:rsidR="00191DF8" w:rsidRPr="00955D5E" w:rsidP="00E47C04" w14:paraId="2092031B" w14:textId="77777777">
            <w:pPr>
              <w:pStyle w:val="GuidanceParagraph"/>
            </w:pPr>
          </w:p>
        </w:tc>
      </w:tr>
      <w:tr w14:paraId="530A331B" w14:textId="77777777" w:rsidTr="329E6BD8">
        <w:tblPrEx>
          <w:tblW w:w="9917" w:type="dxa"/>
          <w:tblLook w:val="04A0"/>
        </w:tblPrEx>
        <w:trPr>
          <w:trHeight w:val="255"/>
        </w:trPr>
        <w:tc>
          <w:tcPr>
            <w:tcW w:w="2466" w:type="dxa"/>
            <w:hideMark/>
          </w:tcPr>
          <w:p w:rsidR="00191DF8" w:rsidRPr="00955D5E" w:rsidP="00E47C04" w14:paraId="09E68EBC" w14:textId="77777777">
            <w:pPr>
              <w:pStyle w:val="GuidanceParagraph"/>
            </w:pPr>
            <w:r w:rsidRPr="00955D5E">
              <w:t>Forklifts</w:t>
            </w:r>
          </w:p>
        </w:tc>
        <w:tc>
          <w:tcPr>
            <w:tcW w:w="1039" w:type="dxa"/>
            <w:hideMark/>
          </w:tcPr>
          <w:p w:rsidR="00191DF8" w:rsidRPr="00955D5E" w:rsidP="00E47C04" w14:paraId="6CFE886D" w14:textId="77777777">
            <w:pPr>
              <w:pStyle w:val="GuidanceParagraph"/>
            </w:pPr>
          </w:p>
        </w:tc>
        <w:tc>
          <w:tcPr>
            <w:tcW w:w="990" w:type="dxa"/>
            <w:hideMark/>
          </w:tcPr>
          <w:p w:rsidR="00191DF8" w:rsidRPr="00955D5E" w:rsidP="00E47C04" w14:paraId="7BC4BE65" w14:textId="77777777">
            <w:pPr>
              <w:pStyle w:val="GuidanceParagraph"/>
            </w:pPr>
          </w:p>
        </w:tc>
        <w:tc>
          <w:tcPr>
            <w:tcW w:w="990" w:type="dxa"/>
            <w:hideMark/>
          </w:tcPr>
          <w:p w:rsidR="00191DF8" w:rsidRPr="00955D5E" w:rsidP="00E47C04" w14:paraId="45C9322F" w14:textId="77777777">
            <w:pPr>
              <w:pStyle w:val="GuidanceParagraph"/>
            </w:pPr>
            <w:r w:rsidRPr="00955D5E">
              <w:t>X</w:t>
            </w:r>
          </w:p>
        </w:tc>
        <w:tc>
          <w:tcPr>
            <w:tcW w:w="990" w:type="dxa"/>
            <w:hideMark/>
          </w:tcPr>
          <w:p w:rsidR="00191DF8" w:rsidRPr="00955D5E" w:rsidP="00E47C04" w14:paraId="52971AE7" w14:textId="77777777">
            <w:pPr>
              <w:pStyle w:val="GuidanceParagraph"/>
            </w:pPr>
            <w:r w:rsidRPr="00955D5E">
              <w:t>X</w:t>
            </w:r>
          </w:p>
        </w:tc>
        <w:tc>
          <w:tcPr>
            <w:tcW w:w="3442" w:type="dxa"/>
            <w:hideMark/>
          </w:tcPr>
          <w:p w:rsidR="00191DF8" w:rsidRPr="00955D5E" w:rsidP="00E47C04" w14:paraId="09EFE3FE" w14:textId="77777777">
            <w:pPr>
              <w:pStyle w:val="GuidanceParagraph"/>
            </w:pPr>
          </w:p>
        </w:tc>
      </w:tr>
      <w:tr w14:paraId="09A95901" w14:textId="77777777" w:rsidTr="329E6BD8">
        <w:tblPrEx>
          <w:tblW w:w="9917" w:type="dxa"/>
          <w:tblLook w:val="04A0"/>
        </w:tblPrEx>
        <w:trPr>
          <w:trHeight w:val="255"/>
        </w:trPr>
        <w:tc>
          <w:tcPr>
            <w:tcW w:w="2466" w:type="dxa"/>
            <w:hideMark/>
          </w:tcPr>
          <w:p w:rsidR="00191DF8" w:rsidRPr="00955D5E" w:rsidP="00E47C04" w14:paraId="4957769D" w14:textId="77777777">
            <w:pPr>
              <w:pStyle w:val="GuidanceParagraph"/>
            </w:pPr>
            <w:r w:rsidRPr="00955D5E">
              <w:t>Vacuum cleaners and floor scrubbers</w:t>
            </w:r>
          </w:p>
        </w:tc>
        <w:tc>
          <w:tcPr>
            <w:tcW w:w="1039" w:type="dxa"/>
            <w:hideMark/>
          </w:tcPr>
          <w:p w:rsidR="00191DF8" w:rsidRPr="00955D5E" w:rsidP="00E47C04" w14:paraId="3B6E3CC7" w14:textId="77777777">
            <w:pPr>
              <w:pStyle w:val="GuidanceParagraph"/>
            </w:pPr>
          </w:p>
        </w:tc>
        <w:tc>
          <w:tcPr>
            <w:tcW w:w="990" w:type="dxa"/>
            <w:hideMark/>
          </w:tcPr>
          <w:p w:rsidR="00191DF8" w:rsidRPr="00955D5E" w:rsidP="00E47C04" w14:paraId="0F1E6CAC" w14:textId="77777777">
            <w:pPr>
              <w:pStyle w:val="GuidanceParagraph"/>
            </w:pPr>
          </w:p>
        </w:tc>
        <w:tc>
          <w:tcPr>
            <w:tcW w:w="990" w:type="dxa"/>
            <w:hideMark/>
          </w:tcPr>
          <w:p w:rsidR="00191DF8" w:rsidRPr="00955D5E" w:rsidP="00E47C04" w14:paraId="1D3BB5D0" w14:textId="77777777">
            <w:pPr>
              <w:pStyle w:val="GuidanceParagraph"/>
            </w:pPr>
            <w:r w:rsidRPr="00955D5E">
              <w:t>X</w:t>
            </w:r>
          </w:p>
        </w:tc>
        <w:tc>
          <w:tcPr>
            <w:tcW w:w="990" w:type="dxa"/>
            <w:hideMark/>
          </w:tcPr>
          <w:p w:rsidR="00191DF8" w:rsidRPr="00955D5E" w:rsidP="00E47C04" w14:paraId="16BAB04D" w14:textId="77777777">
            <w:pPr>
              <w:pStyle w:val="GuidanceParagraph"/>
            </w:pPr>
            <w:r w:rsidRPr="00955D5E">
              <w:t>X</w:t>
            </w:r>
          </w:p>
        </w:tc>
        <w:tc>
          <w:tcPr>
            <w:tcW w:w="3442" w:type="dxa"/>
            <w:hideMark/>
          </w:tcPr>
          <w:p w:rsidR="00191DF8" w:rsidRPr="00955D5E" w:rsidP="00E47C04" w14:paraId="130A353E" w14:textId="77777777">
            <w:pPr>
              <w:pStyle w:val="GuidanceParagraph"/>
            </w:pPr>
          </w:p>
        </w:tc>
      </w:tr>
      <w:tr w14:paraId="1D859C99" w14:textId="77777777" w:rsidTr="329E6BD8">
        <w:tblPrEx>
          <w:tblW w:w="9917" w:type="dxa"/>
          <w:tblLook w:val="04A0"/>
        </w:tblPrEx>
        <w:trPr>
          <w:trHeight w:val="255"/>
        </w:trPr>
        <w:tc>
          <w:tcPr>
            <w:tcW w:w="2466" w:type="dxa"/>
            <w:hideMark/>
          </w:tcPr>
          <w:p w:rsidR="00191DF8" w:rsidRPr="00955D5E" w:rsidP="00E47C04" w14:paraId="40C827CC" w14:textId="77777777">
            <w:pPr>
              <w:pStyle w:val="GuidanceParagraph"/>
            </w:pPr>
            <w:r w:rsidRPr="00955D5E">
              <w:t xml:space="preserve">Trash cans </w:t>
            </w:r>
          </w:p>
        </w:tc>
        <w:tc>
          <w:tcPr>
            <w:tcW w:w="1039" w:type="dxa"/>
            <w:hideMark/>
          </w:tcPr>
          <w:p w:rsidR="00191DF8" w:rsidRPr="00955D5E" w:rsidP="00E47C04" w14:paraId="59AB8BEF" w14:textId="77777777">
            <w:pPr>
              <w:pStyle w:val="GuidanceParagraph"/>
            </w:pPr>
          </w:p>
        </w:tc>
        <w:tc>
          <w:tcPr>
            <w:tcW w:w="990" w:type="dxa"/>
            <w:hideMark/>
          </w:tcPr>
          <w:p w:rsidR="00191DF8" w:rsidRPr="00955D5E" w:rsidP="00E47C04" w14:paraId="25242CF6" w14:textId="77777777">
            <w:pPr>
              <w:pStyle w:val="GuidanceParagraph"/>
            </w:pPr>
          </w:p>
        </w:tc>
        <w:tc>
          <w:tcPr>
            <w:tcW w:w="990" w:type="dxa"/>
            <w:hideMark/>
          </w:tcPr>
          <w:p w:rsidR="00191DF8" w:rsidRPr="00955D5E" w:rsidP="00E47C04" w14:paraId="77DDAABC" w14:textId="77777777">
            <w:pPr>
              <w:pStyle w:val="GuidanceParagraph"/>
            </w:pPr>
            <w:r w:rsidRPr="00955D5E">
              <w:t>X</w:t>
            </w:r>
          </w:p>
        </w:tc>
        <w:tc>
          <w:tcPr>
            <w:tcW w:w="990" w:type="dxa"/>
            <w:hideMark/>
          </w:tcPr>
          <w:p w:rsidR="00191DF8" w:rsidRPr="00955D5E" w:rsidP="00E47C04" w14:paraId="0DEBF88B" w14:textId="77777777">
            <w:pPr>
              <w:pStyle w:val="GuidanceParagraph"/>
            </w:pPr>
            <w:r w:rsidRPr="00955D5E">
              <w:t>X</w:t>
            </w:r>
          </w:p>
        </w:tc>
        <w:tc>
          <w:tcPr>
            <w:tcW w:w="3442" w:type="dxa"/>
            <w:hideMark/>
          </w:tcPr>
          <w:p w:rsidR="00191DF8" w:rsidRPr="00955D5E" w:rsidP="00E47C04" w14:paraId="30AAA4EB" w14:textId="77777777">
            <w:pPr>
              <w:pStyle w:val="GuidanceParagraph"/>
            </w:pPr>
          </w:p>
        </w:tc>
      </w:tr>
      <w:tr w14:paraId="102406E2" w14:textId="77777777" w:rsidTr="329E6BD8">
        <w:tblPrEx>
          <w:tblW w:w="9917" w:type="dxa"/>
          <w:tblLook w:val="04A0"/>
        </w:tblPrEx>
        <w:trPr>
          <w:trHeight w:val="510"/>
        </w:trPr>
        <w:tc>
          <w:tcPr>
            <w:tcW w:w="2466" w:type="dxa"/>
            <w:hideMark/>
          </w:tcPr>
          <w:p w:rsidR="00191DF8" w:rsidRPr="00955D5E" w:rsidP="00E47C04" w14:paraId="29D5492A" w14:textId="77777777">
            <w:pPr>
              <w:pStyle w:val="GuidanceParagraph"/>
            </w:pPr>
            <w:r w:rsidRPr="00955D5E">
              <w:t>Hand trucks and carts that move in the production area</w:t>
            </w:r>
          </w:p>
        </w:tc>
        <w:tc>
          <w:tcPr>
            <w:tcW w:w="1039" w:type="dxa"/>
            <w:hideMark/>
          </w:tcPr>
          <w:p w:rsidR="00191DF8" w:rsidRPr="00955D5E" w:rsidP="00E47C04" w14:paraId="766490D8" w14:textId="77777777">
            <w:pPr>
              <w:pStyle w:val="GuidanceParagraph"/>
            </w:pPr>
          </w:p>
        </w:tc>
        <w:tc>
          <w:tcPr>
            <w:tcW w:w="990" w:type="dxa"/>
            <w:hideMark/>
          </w:tcPr>
          <w:p w:rsidR="00191DF8" w:rsidRPr="00955D5E" w:rsidP="00E47C04" w14:paraId="0B159E57" w14:textId="77777777">
            <w:pPr>
              <w:pStyle w:val="GuidanceParagraph"/>
            </w:pPr>
          </w:p>
        </w:tc>
        <w:tc>
          <w:tcPr>
            <w:tcW w:w="990" w:type="dxa"/>
            <w:hideMark/>
          </w:tcPr>
          <w:p w:rsidR="00191DF8" w:rsidRPr="00955D5E" w:rsidP="00E47C04" w14:paraId="57682A6C" w14:textId="77777777">
            <w:pPr>
              <w:pStyle w:val="GuidanceParagraph"/>
            </w:pPr>
            <w:r w:rsidRPr="00955D5E">
              <w:t>X</w:t>
            </w:r>
          </w:p>
        </w:tc>
        <w:tc>
          <w:tcPr>
            <w:tcW w:w="990" w:type="dxa"/>
            <w:hideMark/>
          </w:tcPr>
          <w:p w:rsidR="00191DF8" w:rsidRPr="00955D5E" w:rsidP="00E47C04" w14:paraId="523061A0" w14:textId="77777777">
            <w:pPr>
              <w:pStyle w:val="GuidanceParagraph"/>
            </w:pPr>
          </w:p>
        </w:tc>
        <w:tc>
          <w:tcPr>
            <w:tcW w:w="3442" w:type="dxa"/>
            <w:hideMark/>
          </w:tcPr>
          <w:p w:rsidR="00191DF8" w:rsidRPr="00955D5E" w:rsidP="00E47C04" w14:paraId="251E22A6" w14:textId="77777777">
            <w:pPr>
              <w:pStyle w:val="GuidanceParagraph"/>
            </w:pPr>
          </w:p>
        </w:tc>
      </w:tr>
      <w:tr w14:paraId="68C6B00D" w14:textId="77777777" w:rsidTr="329E6BD8">
        <w:tblPrEx>
          <w:tblW w:w="9917" w:type="dxa"/>
          <w:tblLook w:val="04A0"/>
        </w:tblPrEx>
        <w:trPr>
          <w:trHeight w:val="255"/>
        </w:trPr>
        <w:tc>
          <w:tcPr>
            <w:tcW w:w="2466" w:type="dxa"/>
            <w:hideMark/>
          </w:tcPr>
          <w:p w:rsidR="00191DF8" w:rsidRPr="00955D5E" w:rsidP="00E47C04" w14:paraId="5128D801" w14:textId="77777777">
            <w:pPr>
              <w:pStyle w:val="GuidanceParagraph"/>
            </w:pPr>
            <w:r w:rsidRPr="00955D5E">
              <w:t>Cafeterias</w:t>
            </w:r>
          </w:p>
        </w:tc>
        <w:tc>
          <w:tcPr>
            <w:tcW w:w="1039" w:type="dxa"/>
            <w:hideMark/>
          </w:tcPr>
          <w:p w:rsidR="00191DF8" w:rsidRPr="00955D5E" w:rsidP="00E47C04" w14:paraId="26F37847" w14:textId="77777777">
            <w:pPr>
              <w:pStyle w:val="GuidanceParagraph"/>
            </w:pPr>
          </w:p>
        </w:tc>
        <w:tc>
          <w:tcPr>
            <w:tcW w:w="990" w:type="dxa"/>
            <w:hideMark/>
          </w:tcPr>
          <w:p w:rsidR="00191DF8" w:rsidRPr="00955D5E" w:rsidP="00E47C04" w14:paraId="655A146E" w14:textId="77777777">
            <w:pPr>
              <w:pStyle w:val="GuidanceParagraph"/>
            </w:pPr>
          </w:p>
        </w:tc>
        <w:tc>
          <w:tcPr>
            <w:tcW w:w="990" w:type="dxa"/>
            <w:hideMark/>
          </w:tcPr>
          <w:p w:rsidR="00191DF8" w:rsidRPr="00955D5E" w:rsidP="00E47C04" w14:paraId="4BCEBB98" w14:textId="77777777">
            <w:pPr>
              <w:pStyle w:val="GuidanceParagraph"/>
            </w:pPr>
          </w:p>
        </w:tc>
        <w:tc>
          <w:tcPr>
            <w:tcW w:w="990" w:type="dxa"/>
            <w:hideMark/>
          </w:tcPr>
          <w:p w:rsidR="00191DF8" w:rsidRPr="00955D5E" w:rsidP="00E47C04" w14:paraId="54FF84D1" w14:textId="77777777">
            <w:pPr>
              <w:pStyle w:val="GuidanceParagraph"/>
            </w:pPr>
            <w:r w:rsidRPr="00955D5E">
              <w:t>X</w:t>
            </w:r>
          </w:p>
        </w:tc>
        <w:tc>
          <w:tcPr>
            <w:tcW w:w="3442" w:type="dxa"/>
            <w:hideMark/>
          </w:tcPr>
          <w:p w:rsidR="00191DF8" w:rsidRPr="00955D5E" w:rsidP="00E47C04" w14:paraId="69973485" w14:textId="77777777">
            <w:pPr>
              <w:pStyle w:val="GuidanceParagraph"/>
            </w:pPr>
          </w:p>
        </w:tc>
      </w:tr>
      <w:tr w14:paraId="7C8BC4AF" w14:textId="77777777" w:rsidTr="329E6BD8">
        <w:tblPrEx>
          <w:tblW w:w="9917" w:type="dxa"/>
          <w:tblLook w:val="04A0"/>
        </w:tblPrEx>
        <w:trPr>
          <w:trHeight w:val="255"/>
        </w:trPr>
        <w:tc>
          <w:tcPr>
            <w:tcW w:w="2466" w:type="dxa"/>
            <w:hideMark/>
          </w:tcPr>
          <w:p w:rsidR="00191DF8" w:rsidRPr="00955D5E" w:rsidP="00E47C04" w14:paraId="295CC57B" w14:textId="77777777">
            <w:pPr>
              <w:pStyle w:val="GuidanceParagraph"/>
            </w:pPr>
            <w:r w:rsidRPr="00955D5E">
              <w:t>Hallways outside the production area</w:t>
            </w:r>
          </w:p>
        </w:tc>
        <w:tc>
          <w:tcPr>
            <w:tcW w:w="1039" w:type="dxa"/>
            <w:hideMark/>
          </w:tcPr>
          <w:p w:rsidR="00191DF8" w:rsidRPr="00955D5E" w:rsidP="00E47C04" w14:paraId="6710C298" w14:textId="77777777">
            <w:pPr>
              <w:pStyle w:val="GuidanceParagraph"/>
            </w:pPr>
          </w:p>
        </w:tc>
        <w:tc>
          <w:tcPr>
            <w:tcW w:w="990" w:type="dxa"/>
            <w:hideMark/>
          </w:tcPr>
          <w:p w:rsidR="00191DF8" w:rsidRPr="00955D5E" w:rsidP="00E47C04" w14:paraId="090622EE" w14:textId="77777777">
            <w:pPr>
              <w:pStyle w:val="GuidanceParagraph"/>
            </w:pPr>
          </w:p>
        </w:tc>
        <w:tc>
          <w:tcPr>
            <w:tcW w:w="990" w:type="dxa"/>
            <w:hideMark/>
          </w:tcPr>
          <w:p w:rsidR="00191DF8" w:rsidRPr="00955D5E" w:rsidP="00E47C04" w14:paraId="4B76B28B" w14:textId="77777777">
            <w:pPr>
              <w:pStyle w:val="GuidanceParagraph"/>
            </w:pPr>
          </w:p>
        </w:tc>
        <w:tc>
          <w:tcPr>
            <w:tcW w:w="990" w:type="dxa"/>
            <w:hideMark/>
          </w:tcPr>
          <w:p w:rsidR="00191DF8" w:rsidRPr="00955D5E" w:rsidP="00E47C04" w14:paraId="23AC4D2C" w14:textId="77777777">
            <w:pPr>
              <w:pStyle w:val="GuidanceParagraph"/>
            </w:pPr>
            <w:r w:rsidRPr="00955D5E">
              <w:t>X</w:t>
            </w:r>
          </w:p>
        </w:tc>
        <w:tc>
          <w:tcPr>
            <w:tcW w:w="3442" w:type="dxa"/>
            <w:hideMark/>
          </w:tcPr>
          <w:p w:rsidR="00191DF8" w:rsidRPr="00955D5E" w:rsidP="00E47C04" w14:paraId="24196030" w14:textId="77777777">
            <w:pPr>
              <w:pStyle w:val="GuidanceParagraph"/>
            </w:pPr>
          </w:p>
        </w:tc>
      </w:tr>
      <w:tr w14:paraId="47D3C32C" w14:textId="77777777" w:rsidTr="329E6BD8">
        <w:tblPrEx>
          <w:tblW w:w="9917" w:type="dxa"/>
          <w:tblLook w:val="04A0"/>
        </w:tblPrEx>
        <w:trPr>
          <w:trHeight w:val="255"/>
        </w:trPr>
        <w:tc>
          <w:tcPr>
            <w:tcW w:w="2466" w:type="dxa"/>
            <w:hideMark/>
          </w:tcPr>
          <w:p w:rsidR="00191DF8" w:rsidRPr="00955D5E" w:rsidP="00E47C04" w14:paraId="19057712" w14:textId="77777777">
            <w:pPr>
              <w:pStyle w:val="GuidanceParagraph"/>
            </w:pPr>
            <w:r w:rsidRPr="00955D5E">
              <w:t>Locker rooms</w:t>
            </w:r>
          </w:p>
        </w:tc>
        <w:tc>
          <w:tcPr>
            <w:tcW w:w="1039" w:type="dxa"/>
            <w:hideMark/>
          </w:tcPr>
          <w:p w:rsidR="00191DF8" w:rsidRPr="00955D5E" w:rsidP="00E47C04" w14:paraId="01B5AD02" w14:textId="77777777">
            <w:pPr>
              <w:pStyle w:val="GuidanceParagraph"/>
            </w:pPr>
          </w:p>
        </w:tc>
        <w:tc>
          <w:tcPr>
            <w:tcW w:w="990" w:type="dxa"/>
            <w:hideMark/>
          </w:tcPr>
          <w:p w:rsidR="00191DF8" w:rsidRPr="00955D5E" w:rsidP="00E47C04" w14:paraId="31BAD36F" w14:textId="77777777">
            <w:pPr>
              <w:pStyle w:val="GuidanceParagraph"/>
            </w:pPr>
          </w:p>
        </w:tc>
        <w:tc>
          <w:tcPr>
            <w:tcW w:w="990" w:type="dxa"/>
            <w:hideMark/>
          </w:tcPr>
          <w:p w:rsidR="00191DF8" w:rsidRPr="00955D5E" w:rsidP="00E47C04" w14:paraId="674E1B85" w14:textId="77777777">
            <w:pPr>
              <w:pStyle w:val="GuidanceParagraph"/>
            </w:pPr>
          </w:p>
        </w:tc>
        <w:tc>
          <w:tcPr>
            <w:tcW w:w="990" w:type="dxa"/>
            <w:hideMark/>
          </w:tcPr>
          <w:p w:rsidR="00191DF8" w:rsidRPr="00955D5E" w:rsidP="00E47C04" w14:paraId="3A82B820" w14:textId="77777777">
            <w:pPr>
              <w:pStyle w:val="GuidanceParagraph"/>
            </w:pPr>
            <w:r w:rsidRPr="00955D5E">
              <w:t>X</w:t>
            </w:r>
          </w:p>
        </w:tc>
        <w:tc>
          <w:tcPr>
            <w:tcW w:w="3442" w:type="dxa"/>
            <w:hideMark/>
          </w:tcPr>
          <w:p w:rsidR="00191DF8" w:rsidRPr="00955D5E" w:rsidP="00E47C04" w14:paraId="43DE724D" w14:textId="77777777">
            <w:pPr>
              <w:pStyle w:val="GuidanceParagraph"/>
            </w:pPr>
          </w:p>
        </w:tc>
      </w:tr>
      <w:tr w14:paraId="30215477" w14:textId="77777777" w:rsidTr="329E6BD8">
        <w:tblPrEx>
          <w:tblW w:w="9917" w:type="dxa"/>
          <w:tblLook w:val="04A0"/>
        </w:tblPrEx>
        <w:trPr>
          <w:trHeight w:val="510"/>
        </w:trPr>
        <w:tc>
          <w:tcPr>
            <w:tcW w:w="2466" w:type="dxa"/>
            <w:hideMark/>
          </w:tcPr>
          <w:p w:rsidR="00191DF8" w:rsidRPr="00955D5E" w:rsidP="00E47C04" w14:paraId="21F3489A" w14:textId="51B12D9B">
            <w:pPr>
              <w:pStyle w:val="GuidanceParagraph"/>
            </w:pPr>
            <w:r w:rsidRPr="00955D5E">
              <w:t>Areas outside of the production area in which raw materials (e.g.</w:t>
            </w:r>
            <w:r w:rsidRPr="00955D5E" w:rsidR="00F11A40">
              <w:t>,</w:t>
            </w:r>
            <w:r w:rsidRPr="00955D5E">
              <w:t xml:space="preserve"> seeds) or finished products are stored or transported</w:t>
            </w:r>
          </w:p>
        </w:tc>
        <w:tc>
          <w:tcPr>
            <w:tcW w:w="1039" w:type="dxa"/>
            <w:hideMark/>
          </w:tcPr>
          <w:p w:rsidR="00191DF8" w:rsidRPr="00955D5E" w:rsidP="00E47C04" w14:paraId="0D34F8B7" w14:textId="77777777">
            <w:pPr>
              <w:pStyle w:val="GuidanceParagraph"/>
            </w:pPr>
          </w:p>
        </w:tc>
        <w:tc>
          <w:tcPr>
            <w:tcW w:w="990" w:type="dxa"/>
            <w:hideMark/>
          </w:tcPr>
          <w:p w:rsidR="00191DF8" w:rsidRPr="00955D5E" w:rsidP="00E47C04" w14:paraId="443643DF" w14:textId="77777777">
            <w:pPr>
              <w:pStyle w:val="GuidanceParagraph"/>
            </w:pPr>
            <w:r w:rsidRPr="00955D5E">
              <w:t>X</w:t>
            </w:r>
          </w:p>
        </w:tc>
        <w:tc>
          <w:tcPr>
            <w:tcW w:w="990" w:type="dxa"/>
            <w:hideMark/>
          </w:tcPr>
          <w:p w:rsidR="00191DF8" w:rsidRPr="00955D5E" w:rsidP="00E47C04" w14:paraId="70D68F1C" w14:textId="77777777">
            <w:pPr>
              <w:pStyle w:val="GuidanceParagraph"/>
            </w:pPr>
            <w:r w:rsidRPr="00955D5E">
              <w:t>X</w:t>
            </w:r>
          </w:p>
        </w:tc>
        <w:tc>
          <w:tcPr>
            <w:tcW w:w="990" w:type="dxa"/>
            <w:hideMark/>
          </w:tcPr>
          <w:p w:rsidR="00191DF8" w:rsidRPr="00955D5E" w:rsidP="00E47C04" w14:paraId="723D21DA" w14:textId="77777777">
            <w:pPr>
              <w:pStyle w:val="GuidanceParagraph"/>
            </w:pPr>
            <w:r w:rsidRPr="00955D5E">
              <w:t>X</w:t>
            </w:r>
          </w:p>
        </w:tc>
        <w:tc>
          <w:tcPr>
            <w:tcW w:w="3442" w:type="dxa"/>
            <w:hideMark/>
          </w:tcPr>
          <w:p w:rsidR="00191DF8" w:rsidRPr="00955D5E" w:rsidP="00E47C04" w14:paraId="2E488BA0" w14:textId="77777777">
            <w:pPr>
              <w:pStyle w:val="GuidanceParagraph"/>
            </w:pPr>
          </w:p>
        </w:tc>
      </w:tr>
    </w:tbl>
    <w:p w:rsidR="00387B58" w:rsidP="00387B58" w14:paraId="32133F93" w14:textId="77777777">
      <w:bookmarkStart w:id="247" w:name="_Hlk46752076"/>
      <w:bookmarkStart w:id="248" w:name="_Toc106094987"/>
      <w:bookmarkEnd w:id="247"/>
    </w:p>
    <w:p w:rsidR="00387B58" w14:paraId="2BF54E21" w14:textId="3A225652">
      <w:pPr>
        <w:widowControl/>
        <w:spacing w:after="200" w:line="276" w:lineRule="auto"/>
      </w:pPr>
      <w:r>
        <w:br w:type="page"/>
      </w:r>
    </w:p>
    <w:p w:rsidR="00387B58" w14:paraId="52566C58" w14:textId="77777777">
      <w:pPr>
        <w:widowControl/>
        <w:spacing w:after="200" w:line="276" w:lineRule="auto"/>
        <w:rPr>
          <w:rFonts w:ascii="Times New Roman" w:eastAsia="Times New Roman" w:hAnsi="Times New Roman" w:cs="Times New Roman"/>
          <w:b/>
          <w:bCs/>
          <w:sz w:val="32"/>
          <w:szCs w:val="27"/>
        </w:rPr>
      </w:pPr>
    </w:p>
    <w:p w:rsidR="00740DD3" w:rsidP="00A16344" w14:paraId="56675C9B" w14:textId="58873CAA">
      <w:pPr>
        <w:pStyle w:val="HHS508GuidanceOutline1"/>
      </w:pPr>
      <w:r>
        <w:t>References</w:t>
      </w:r>
      <w:bookmarkEnd w:id="248"/>
    </w:p>
    <w:p w:rsidR="00387B58" w:rsidRPr="00387B58" w:rsidP="00023100" w14:paraId="572F37A6" w14:textId="665E07BD">
      <w:pPr>
        <w:rPr>
          <w:rFonts w:ascii="Times New Roman" w:hAnsi="Times New Roman" w:cs="Times New Roman"/>
          <w:sz w:val="24"/>
          <w:szCs w:val="24"/>
        </w:rPr>
      </w:pPr>
      <w:r w:rsidRPr="00387B58">
        <w:rPr>
          <w:rFonts w:ascii="Times New Roman" w:hAnsi="Times New Roman" w:cs="Times New Roman"/>
          <w:sz w:val="24"/>
          <w:szCs w:val="24"/>
        </w:rPr>
        <w:t>The following references marked with an asterisk (*) are on display at the Dockets Management Staff (</w:t>
      </w:r>
      <w:r w:rsidR="00601CBA">
        <w:rPr>
          <w:rFonts w:ascii="Times New Roman" w:hAnsi="Times New Roman" w:cs="Times New Roman"/>
          <w:sz w:val="24"/>
          <w:szCs w:val="24"/>
        </w:rPr>
        <w:t>HFA-305</w:t>
      </w:r>
      <w:r w:rsidRPr="00387B58">
        <w:rPr>
          <w:rFonts w:ascii="Times New Roman" w:hAnsi="Times New Roman" w:cs="Times New Roman"/>
          <w:sz w:val="24"/>
          <w:szCs w:val="24"/>
        </w:rPr>
        <w:t>)</w:t>
      </w:r>
      <w:r w:rsidR="00181BB3">
        <w:rPr>
          <w:rFonts w:ascii="Times New Roman" w:hAnsi="Times New Roman" w:cs="Times New Roman"/>
          <w:sz w:val="24"/>
          <w:szCs w:val="24"/>
        </w:rPr>
        <w:t>, Food and Drug Administration, 5630 Fishers Lane, Rm. 1061, Rockville, MD 20852,</w:t>
      </w:r>
      <w:r w:rsidRPr="00387B58">
        <w:rPr>
          <w:rFonts w:ascii="Times New Roman" w:hAnsi="Times New Roman" w:cs="Times New Roman"/>
          <w:sz w:val="24"/>
          <w:szCs w:val="24"/>
        </w:rPr>
        <w:t xml:space="preserve"> </w:t>
      </w:r>
      <w:r w:rsidRPr="00BF0F6F" w:rsidR="00BF0F6F">
        <w:rPr>
          <w:rFonts w:ascii="Times New Roman" w:hAnsi="Times New Roman" w:cs="Times New Roman"/>
          <w:sz w:val="24"/>
          <w:szCs w:val="24"/>
        </w:rPr>
        <w:t xml:space="preserve">240-402-7500, </w:t>
      </w:r>
      <w:r w:rsidRPr="00387B58">
        <w:rPr>
          <w:rFonts w:ascii="Times New Roman" w:hAnsi="Times New Roman" w:cs="Times New Roman"/>
          <w:sz w:val="24"/>
          <w:szCs w:val="24"/>
        </w:rPr>
        <w:t xml:space="preserve">and are available for viewing by interested persons between 9 a.m. and 4 p.m., Monday through Friday; they also are available electronically at </w:t>
      </w:r>
      <w:hyperlink r:id="rId9" w:history="1">
        <w:r w:rsidRPr="00884D25" w:rsidR="003550C6">
          <w:rPr>
            <w:rStyle w:val="Hyperlink"/>
            <w:rFonts w:ascii="Times New Roman" w:hAnsi="Times New Roman" w:cs="Times New Roman"/>
            <w:sz w:val="24"/>
            <w:szCs w:val="24"/>
          </w:rPr>
          <w:t>https://www.regulations.gov</w:t>
        </w:r>
      </w:hyperlink>
      <w:r w:rsidR="003550C6">
        <w:rPr>
          <w:rFonts w:ascii="Times New Roman" w:hAnsi="Times New Roman" w:cs="Times New Roman"/>
          <w:sz w:val="24"/>
          <w:szCs w:val="24"/>
        </w:rPr>
        <w:t>.</w:t>
      </w:r>
      <w:r w:rsidRPr="00387B58">
        <w:rPr>
          <w:rFonts w:ascii="Times New Roman" w:hAnsi="Times New Roman" w:cs="Times New Roman"/>
          <w:sz w:val="24"/>
          <w:szCs w:val="24"/>
        </w:rPr>
        <w:t xml:space="preserve"> References without asterisks are not on public display at </w:t>
      </w:r>
      <w:hyperlink r:id="rId9" w:history="1">
        <w:r w:rsidRPr="00884D25" w:rsidR="003550C6">
          <w:rPr>
            <w:rStyle w:val="Hyperlink"/>
            <w:rFonts w:ascii="Times New Roman" w:hAnsi="Times New Roman" w:cs="Times New Roman"/>
            <w:sz w:val="24"/>
            <w:szCs w:val="24"/>
          </w:rPr>
          <w:t>https://www.regulations.gov</w:t>
        </w:r>
      </w:hyperlink>
      <w:r w:rsidR="003550C6">
        <w:rPr>
          <w:rFonts w:ascii="Times New Roman" w:hAnsi="Times New Roman" w:cs="Times New Roman"/>
          <w:sz w:val="24"/>
          <w:szCs w:val="24"/>
        </w:rPr>
        <w:t xml:space="preserve"> </w:t>
      </w:r>
      <w:r w:rsidRPr="00387B58">
        <w:rPr>
          <w:rFonts w:ascii="Times New Roman" w:hAnsi="Times New Roman" w:cs="Times New Roman"/>
          <w:sz w:val="24"/>
          <w:szCs w:val="24"/>
        </w:rPr>
        <w:t>because they have copyright restriction. Some may be available at the website address, if listed. References without asterisks are available for viewing only at the Dockets Management Staff. FDA has verified the website addresses, as of the date this document publishes in the Federal Register, but websites are subject to change over time.</w:t>
      </w:r>
    </w:p>
    <w:p w:rsidR="00387B58" w:rsidP="00387B58" w14:paraId="1F8C5C9C" w14:textId="5DD4FB67"/>
    <w:p w:rsidR="006922DB" w:rsidRPr="00387B58" w:rsidP="00387B58" w14:paraId="4EBD7A0E" w14:textId="77777777"/>
    <w:p w:rsidR="00AC422F" w:rsidRPr="006E43DC" w:rsidP="00E47C04" w14:paraId="09260B74" w14:textId="07ACB8D8">
      <w:pPr>
        <w:pStyle w:val="GuidanceParagraph"/>
        <w:rPr>
          <w:rStyle w:val="Hyperlink"/>
        </w:rPr>
      </w:pPr>
      <w:bookmarkStart w:id="249" w:name="_Ref51086090"/>
      <w:r w:rsidRPr="006E43DC">
        <w:t xml:space="preserve">Ref. </w:t>
      </w:r>
      <w:r w:rsidRPr="006E43DC">
        <w:fldChar w:fldCharType="begin"/>
      </w:r>
      <w:r w:rsidRPr="006E43DC">
        <w:instrText>SEQ Ref. \* ARABIC</w:instrText>
      </w:r>
      <w:r w:rsidRPr="006E43DC">
        <w:fldChar w:fldCharType="separate"/>
      </w:r>
      <w:r w:rsidR="001B1E2C">
        <w:rPr>
          <w:noProof/>
        </w:rPr>
        <w:t>1</w:t>
      </w:r>
      <w:r w:rsidRPr="006E43DC">
        <w:fldChar w:fldCharType="end"/>
      </w:r>
      <w:bookmarkEnd w:id="249"/>
      <w:r w:rsidRPr="006E43DC">
        <w:t xml:space="preserve">. Food and Drug Administration. 1998. </w:t>
      </w:r>
      <w:r w:rsidR="00E35FBF">
        <w:t>“</w:t>
      </w:r>
      <w:r w:rsidRPr="006E43DC">
        <w:t>Guidance for Industry: Guide to Minimize Microbial Food Safety Hazards for Fresh Fruits and Vegetables.</w:t>
      </w:r>
      <w:r w:rsidR="00E35FBF">
        <w:t>”</w:t>
      </w:r>
      <w:r w:rsidRPr="006E43DC">
        <w:t xml:space="preserve"> </w:t>
      </w:r>
      <w:r w:rsidR="00D25DC1">
        <w:t>A</w:t>
      </w:r>
      <w:r w:rsidRPr="006E43DC">
        <w:t xml:space="preserve">ccessed </w:t>
      </w:r>
      <w:r w:rsidR="00E03118">
        <w:t>October</w:t>
      </w:r>
      <w:r w:rsidRPr="006E43DC">
        <w:t xml:space="preserve"> </w:t>
      </w:r>
      <w:r w:rsidR="00E03118">
        <w:t>14</w:t>
      </w:r>
      <w:r w:rsidRPr="006E43DC">
        <w:t>, 202</w:t>
      </w:r>
      <w:r w:rsidR="00E03118">
        <w:t>1</w:t>
      </w:r>
      <w:r w:rsidRPr="006E43DC">
        <w:t xml:space="preserve">. </w:t>
      </w:r>
      <w:r w:rsidR="00CF0A3C">
        <w:t>(</w:t>
      </w:r>
      <w:hyperlink r:id="rId27" w:history="1">
        <w:r w:rsidRPr="00B46764" w:rsidR="00CF0A3C">
          <w:rPr>
            <w:rStyle w:val="Hyperlink"/>
          </w:rPr>
          <w:t>http://www.fda.gov/Food/GuidanceRegulation/GuidanceDocumentsRegulatoryInformation/ucm064574.htm</w:t>
        </w:r>
      </w:hyperlink>
      <w:r w:rsidR="00CF0A3C">
        <w:t>)</w:t>
      </w:r>
      <w:r w:rsidR="006532ED">
        <w:t>*</w:t>
      </w:r>
      <w:r w:rsidRPr="006E43DC">
        <w:rPr>
          <w:rStyle w:val="Hyperlink"/>
        </w:rPr>
        <w:t xml:space="preserve"> </w:t>
      </w:r>
    </w:p>
    <w:p w:rsidR="00AC422F" w:rsidRPr="006E43DC" w:rsidP="00E47C04" w14:paraId="13922900" w14:textId="15BE5A71">
      <w:pPr>
        <w:pStyle w:val="GuidanceParagraph"/>
      </w:pPr>
      <w:bookmarkStart w:id="250" w:name="_Ref51086174"/>
      <w:r w:rsidRPr="006E43DC">
        <w:t xml:space="preserve">Ref. </w:t>
      </w:r>
      <w:r w:rsidRPr="006E43DC">
        <w:fldChar w:fldCharType="begin"/>
      </w:r>
      <w:r w:rsidRPr="006E43DC">
        <w:instrText>SEQ Ref. \* ARABIC</w:instrText>
      </w:r>
      <w:r w:rsidRPr="006E43DC">
        <w:fldChar w:fldCharType="separate"/>
      </w:r>
      <w:r w:rsidR="001B1E2C">
        <w:rPr>
          <w:noProof/>
        </w:rPr>
        <w:t>2</w:t>
      </w:r>
      <w:r w:rsidRPr="006E43DC">
        <w:fldChar w:fldCharType="end"/>
      </w:r>
      <w:bookmarkEnd w:id="250"/>
      <w:r w:rsidRPr="006E43DC">
        <w:t xml:space="preserve">. National Advisory Committee on Microbiological Criteria for Foods. </w:t>
      </w:r>
      <w:r w:rsidR="00FB25D8">
        <w:t>1999.</w:t>
      </w:r>
      <w:r>
        <w:t xml:space="preserve"> </w:t>
      </w:r>
      <w:r w:rsidR="00E35FBF">
        <w:t>“</w:t>
      </w:r>
      <w:r w:rsidRPr="006E43DC">
        <w:t>Microbiological Safety Evaluations and Recommendations on Sprouted Seeds</w:t>
      </w:r>
      <w:r w:rsidR="00DC2A6B">
        <w:t>.</w:t>
      </w:r>
      <w:r w:rsidR="00E35FBF">
        <w:t>”</w:t>
      </w:r>
      <w:r w:rsidRPr="006E43DC" w:rsidR="00DF09C9">
        <w:t xml:space="preserve"> </w:t>
      </w:r>
      <w:r w:rsidRPr="006E43DC">
        <w:rPr>
          <w:i/>
        </w:rPr>
        <w:t>International Journal of Food Microbiology</w:t>
      </w:r>
      <w:r w:rsidRPr="006E43DC" w:rsidR="00DF09C9">
        <w:rPr>
          <w:i/>
        </w:rPr>
        <w:t xml:space="preserve"> </w:t>
      </w:r>
      <w:r w:rsidRPr="006E43DC">
        <w:t>52</w:t>
      </w:r>
      <w:r w:rsidRPr="006E43DC">
        <w:rPr>
          <w:iCs/>
        </w:rPr>
        <w:t xml:space="preserve"> </w:t>
      </w:r>
      <w:r w:rsidRPr="006E43DC">
        <w:t>(3):123-153.</w:t>
      </w:r>
    </w:p>
    <w:p w:rsidR="000D6143" w:rsidRPr="006E43DC" w:rsidP="00E47C04" w14:paraId="37D05937" w14:textId="1EFD880F">
      <w:pPr>
        <w:pStyle w:val="GuidanceParagraph"/>
      </w:pPr>
      <w:bookmarkStart w:id="251" w:name="_Ref51086226"/>
      <w:r w:rsidRPr="006E43DC">
        <w:t xml:space="preserve">Ref. </w:t>
      </w:r>
      <w:r w:rsidRPr="006E43DC">
        <w:fldChar w:fldCharType="begin"/>
      </w:r>
      <w:r w:rsidRPr="006E43DC">
        <w:instrText>SEQ Ref. \* ARABIC</w:instrText>
      </w:r>
      <w:r w:rsidRPr="006E43DC">
        <w:fldChar w:fldCharType="separate"/>
      </w:r>
      <w:r w:rsidR="001B1E2C">
        <w:rPr>
          <w:noProof/>
        </w:rPr>
        <w:t>3</w:t>
      </w:r>
      <w:r w:rsidRPr="006E43DC">
        <w:fldChar w:fldCharType="end"/>
      </w:r>
      <w:bookmarkEnd w:id="251"/>
      <w:r w:rsidRPr="006E43DC">
        <w:t>. D</w:t>
      </w:r>
      <w:r w:rsidR="00814CA4">
        <w:t>’</w:t>
      </w:r>
      <w:r w:rsidRPr="006E43DC">
        <w:t xml:space="preserve">Lima, C., et al. </w:t>
      </w:r>
      <w:r w:rsidR="00E35FBF">
        <w:t>“</w:t>
      </w:r>
      <w:r w:rsidRPr="006E43DC">
        <w:t>Memorandum to the File</w:t>
      </w:r>
      <w:r w:rsidRPr="006E43DC" w:rsidR="002E0F58">
        <w:t>:</w:t>
      </w:r>
      <w:r w:rsidRPr="006E43DC">
        <w:t xml:space="preserve"> Produce Related Outbreaks and </w:t>
      </w:r>
      <w:r w:rsidR="00653402">
        <w:t>I</w:t>
      </w:r>
      <w:r w:rsidRPr="006E43DC">
        <w:t>llnesses, December 2011.</w:t>
      </w:r>
      <w:r w:rsidR="00E35FBF">
        <w:t>”</w:t>
      </w:r>
      <w:r w:rsidRPr="006E43DC">
        <w:t xml:space="preserve"> Food and Drug </w:t>
      </w:r>
      <w:r w:rsidRPr="006E43DC">
        <w:t>Administration.</w:t>
      </w:r>
      <w:bookmarkStart w:id="252" w:name="_Ref51086250"/>
      <w:r w:rsidR="00F36BE1">
        <w:t>*</w:t>
      </w:r>
    </w:p>
    <w:p w:rsidR="00AC422F" w:rsidRPr="006E43DC" w:rsidP="00E47C04" w14:paraId="2F71E531" w14:textId="668EAEC8">
      <w:pPr>
        <w:pStyle w:val="GuidanceParagraph"/>
      </w:pPr>
      <w:bookmarkStart w:id="253" w:name="_Ref51247654"/>
      <w:r w:rsidRPr="006E43DC">
        <w:t xml:space="preserve">Ref. </w:t>
      </w:r>
      <w:r w:rsidRPr="006E43DC">
        <w:fldChar w:fldCharType="begin"/>
      </w:r>
      <w:r w:rsidRPr="006E43DC">
        <w:instrText>SEQ Ref. \* ARABIC</w:instrText>
      </w:r>
      <w:r w:rsidRPr="006E43DC">
        <w:fldChar w:fldCharType="separate"/>
      </w:r>
      <w:r w:rsidR="001B1E2C">
        <w:rPr>
          <w:noProof/>
        </w:rPr>
        <w:t>4</w:t>
      </w:r>
      <w:r w:rsidRPr="006E43DC">
        <w:fldChar w:fldCharType="end"/>
      </w:r>
      <w:bookmarkEnd w:id="252"/>
      <w:bookmarkEnd w:id="253"/>
      <w:r w:rsidRPr="006E43DC">
        <w:t xml:space="preserve">. Merriweather, S., et al. </w:t>
      </w:r>
      <w:r w:rsidR="00E35FBF">
        <w:t>“</w:t>
      </w:r>
      <w:r w:rsidRPr="006E43DC">
        <w:t>Memorandum to the File</w:t>
      </w:r>
      <w:r w:rsidRPr="006E43DC" w:rsidR="002E0F58">
        <w:t xml:space="preserve">: </w:t>
      </w:r>
      <w:r w:rsidRPr="006E43DC">
        <w:t>2011-2014 Produce Related Outbreaks and Illnesses, May 2015.</w:t>
      </w:r>
      <w:r w:rsidR="00E35FBF">
        <w:t>”</w:t>
      </w:r>
      <w:r w:rsidRPr="006E43DC">
        <w:t xml:space="preserve"> Food and Drug </w:t>
      </w:r>
      <w:r w:rsidRPr="006E43DC">
        <w:t>Administration.</w:t>
      </w:r>
      <w:r w:rsidR="001A10F5">
        <w:t>*</w:t>
      </w:r>
    </w:p>
    <w:p w:rsidR="00AC422F" w:rsidRPr="006E43DC" w:rsidP="00E47C04" w14:paraId="3F7249D7" w14:textId="0FD1F83C">
      <w:pPr>
        <w:pStyle w:val="GuidanceParagraph"/>
      </w:pPr>
      <w:bookmarkStart w:id="254" w:name="_Ref51086318"/>
      <w:r w:rsidRPr="006E43DC">
        <w:t xml:space="preserve">Ref. </w:t>
      </w:r>
      <w:r w:rsidRPr="006E43DC">
        <w:fldChar w:fldCharType="begin"/>
      </w:r>
      <w:r w:rsidRPr="006E43DC">
        <w:instrText>SEQ Ref. \* ARABIC</w:instrText>
      </w:r>
      <w:r w:rsidRPr="006E43DC">
        <w:fldChar w:fldCharType="separate"/>
      </w:r>
      <w:r w:rsidR="001B1E2C">
        <w:rPr>
          <w:noProof/>
        </w:rPr>
        <w:t>5</w:t>
      </w:r>
      <w:r w:rsidRPr="006E43DC">
        <w:fldChar w:fldCharType="end"/>
      </w:r>
      <w:bookmarkEnd w:id="254"/>
      <w:r w:rsidRPr="006E43DC">
        <w:t xml:space="preserve">. </w:t>
      </w:r>
      <w:r w:rsidRPr="006E43DC">
        <w:t>Gubernot</w:t>
      </w:r>
      <w:r w:rsidRPr="006E43DC">
        <w:t xml:space="preserve">, D., et al. </w:t>
      </w:r>
      <w:r w:rsidR="00E35FBF">
        <w:t>“</w:t>
      </w:r>
      <w:r w:rsidRPr="006E43DC">
        <w:t xml:space="preserve">Memorandum </w:t>
      </w:r>
      <w:r w:rsidRPr="006E43DC" w:rsidR="002E0F58">
        <w:t>to the File</w:t>
      </w:r>
      <w:r w:rsidRPr="006E43DC">
        <w:t>: 2015-2016 Sprout and Sprout-Derived Product Related Outbreak Data, July 2016.</w:t>
      </w:r>
      <w:r w:rsidR="00DE7D2C">
        <w:t>”</w:t>
      </w:r>
      <w:r w:rsidRPr="006E43DC">
        <w:t xml:space="preserve"> Food and Drug </w:t>
      </w:r>
      <w:r w:rsidRPr="006E43DC">
        <w:t>Administration.</w:t>
      </w:r>
      <w:r w:rsidR="001A10F5">
        <w:t>*</w:t>
      </w:r>
    </w:p>
    <w:p w:rsidR="00DA10BE" w:rsidRPr="006E43DC" w:rsidP="00E47C04" w14:paraId="62217DC1" w14:textId="7AFAB395">
      <w:pPr>
        <w:pStyle w:val="GuidanceParagraph"/>
      </w:pPr>
      <w:bookmarkStart w:id="255" w:name="_Ref85024199"/>
      <w:bookmarkStart w:id="256" w:name="_Ref51086345"/>
      <w:r w:rsidRPr="006E43DC">
        <w:t xml:space="preserve">Ref. </w:t>
      </w:r>
      <w:r>
        <w:fldChar w:fldCharType="begin"/>
      </w:r>
      <w:r>
        <w:instrText>SEQ Ref. \* ARABIC</w:instrText>
      </w:r>
      <w:r>
        <w:fldChar w:fldCharType="separate"/>
      </w:r>
      <w:r w:rsidR="001B1E2C">
        <w:rPr>
          <w:noProof/>
        </w:rPr>
        <w:t>6</w:t>
      </w:r>
      <w:r>
        <w:fldChar w:fldCharType="end"/>
      </w:r>
      <w:bookmarkEnd w:id="255"/>
      <w:r w:rsidRPr="006E43DC">
        <w:t xml:space="preserve">. </w:t>
      </w:r>
      <w:r w:rsidRPr="006E43DC">
        <w:t>Obenhuber</w:t>
      </w:r>
      <w:r w:rsidRPr="006E43DC">
        <w:t>, D., et al.</w:t>
      </w:r>
      <w:r w:rsidR="00A8768C">
        <w:t xml:space="preserve"> </w:t>
      </w:r>
      <w:r w:rsidR="00DE7D2C">
        <w:t>“</w:t>
      </w:r>
      <w:r w:rsidRPr="006E43DC">
        <w:t xml:space="preserve">Memorandum </w:t>
      </w:r>
      <w:r w:rsidRPr="006E43DC" w:rsidR="002E0F58">
        <w:t>to the File</w:t>
      </w:r>
      <w:r w:rsidRPr="006E43DC">
        <w:t>: August 2018-August 2020 Sprout Related Outbreak Data, October 13, 2020.</w:t>
      </w:r>
      <w:r w:rsidR="00DE7D2C">
        <w:t>”</w:t>
      </w:r>
      <w:r w:rsidRPr="006E43DC">
        <w:t xml:space="preserve"> Food and Drug </w:t>
      </w:r>
      <w:r w:rsidRPr="006E43DC">
        <w:t>Administration</w:t>
      </w:r>
      <w:r w:rsidRPr="006E43DC" w:rsidR="001F7D66">
        <w:t>.</w:t>
      </w:r>
      <w:r w:rsidR="001A10F5">
        <w:t>*</w:t>
      </w:r>
    </w:p>
    <w:p w:rsidR="008C794D" w:rsidRPr="006E43DC" w:rsidP="00E47C04" w14:paraId="436AE4E0" w14:textId="7EC85422">
      <w:pPr>
        <w:pStyle w:val="GuidanceParagraph"/>
      </w:pPr>
      <w:bookmarkStart w:id="257" w:name="_Ref85023399"/>
      <w:bookmarkStart w:id="258" w:name="_Hlk85023076"/>
      <w:bookmarkStart w:id="259" w:name="_Ref51086402"/>
      <w:bookmarkEnd w:id="256"/>
      <w:r w:rsidRPr="006E43DC">
        <w:t xml:space="preserve">Ref. </w:t>
      </w:r>
      <w:r>
        <w:fldChar w:fldCharType="begin"/>
      </w:r>
      <w:r>
        <w:instrText>SEQ Ref. \* ARABIC</w:instrText>
      </w:r>
      <w:r>
        <w:fldChar w:fldCharType="separate"/>
      </w:r>
      <w:r w:rsidR="001B1E2C">
        <w:rPr>
          <w:noProof/>
        </w:rPr>
        <w:t>7</w:t>
      </w:r>
      <w:r>
        <w:fldChar w:fldCharType="end"/>
      </w:r>
      <w:bookmarkEnd w:id="257"/>
      <w:r w:rsidRPr="006E43DC">
        <w:t xml:space="preserve">. </w:t>
      </w:r>
      <w:r w:rsidRPr="006E43DC">
        <w:t xml:space="preserve">Fatica, Marianne K., et al. </w:t>
      </w:r>
      <w:r w:rsidR="00DE7D2C">
        <w:t>“</w:t>
      </w:r>
      <w:r w:rsidRPr="006E43DC">
        <w:t xml:space="preserve">Memorandum </w:t>
      </w:r>
      <w:r w:rsidRPr="006E43DC" w:rsidR="002E0F58">
        <w:t>to the File</w:t>
      </w:r>
      <w:r w:rsidRPr="006E43DC">
        <w:t>: July-December 2016 Sprout Related Outbreak Data, February 16, 2017.</w:t>
      </w:r>
      <w:r w:rsidR="00DE7D2C">
        <w:t>”</w:t>
      </w:r>
      <w:r w:rsidRPr="006E43DC">
        <w:t xml:space="preserve"> Food and Drug </w:t>
      </w:r>
      <w:r w:rsidRPr="006E43DC">
        <w:t>Administration.</w:t>
      </w:r>
      <w:r w:rsidR="001A10F5">
        <w:t>*</w:t>
      </w:r>
    </w:p>
    <w:p w:rsidR="008C794D" w:rsidRPr="006E43DC" w:rsidP="002A2F14" w14:paraId="76DB35D8" w14:textId="6650AA0A">
      <w:pPr>
        <w:pStyle w:val="Caption"/>
        <w:spacing w:after="240"/>
        <w:rPr>
          <w:rFonts w:ascii="Times New Roman" w:hAnsi="Times New Roman" w:cs="Times New Roman"/>
          <w:b w:val="0"/>
          <w:color w:val="auto"/>
          <w:sz w:val="24"/>
          <w:szCs w:val="24"/>
        </w:rPr>
      </w:pPr>
      <w:bookmarkStart w:id="260" w:name="_Ref85023424"/>
      <w:r w:rsidRPr="006E43DC">
        <w:rPr>
          <w:rFonts w:ascii="Times New Roman" w:hAnsi="Times New Roman" w:cs="Times New Roman"/>
          <w:b w:val="0"/>
          <w:color w:val="auto"/>
          <w:sz w:val="24"/>
          <w:szCs w:val="24"/>
        </w:rPr>
        <w:t xml:space="preserve">Ref. </w:t>
      </w:r>
      <w:r w:rsidRPr="006E43DC">
        <w:rPr>
          <w:rFonts w:ascii="Times New Roman" w:hAnsi="Times New Roman" w:cs="Times New Roman"/>
          <w:b w:val="0"/>
          <w:color w:val="auto"/>
          <w:sz w:val="24"/>
          <w:szCs w:val="24"/>
        </w:rPr>
        <w:fldChar w:fldCharType="begin"/>
      </w:r>
      <w:r w:rsidRPr="006E43DC">
        <w:rPr>
          <w:rFonts w:ascii="Times New Roman" w:hAnsi="Times New Roman" w:cs="Times New Roman"/>
          <w:b w:val="0"/>
          <w:color w:val="auto"/>
          <w:sz w:val="24"/>
          <w:szCs w:val="24"/>
        </w:rPr>
        <w:instrText xml:space="preserve"> SEQ Ref. \* ARABIC </w:instrText>
      </w:r>
      <w:r w:rsidRPr="006E43DC">
        <w:rPr>
          <w:rFonts w:ascii="Times New Roman" w:hAnsi="Times New Roman" w:cs="Times New Roman"/>
          <w:b w:val="0"/>
          <w:color w:val="auto"/>
          <w:sz w:val="24"/>
          <w:szCs w:val="24"/>
        </w:rPr>
        <w:fldChar w:fldCharType="separate"/>
      </w:r>
      <w:r w:rsidR="001B1E2C">
        <w:rPr>
          <w:rFonts w:ascii="Times New Roman" w:hAnsi="Times New Roman" w:cs="Times New Roman"/>
          <w:b w:val="0"/>
          <w:noProof/>
          <w:color w:val="auto"/>
          <w:sz w:val="24"/>
          <w:szCs w:val="24"/>
        </w:rPr>
        <w:t>8</w:t>
      </w:r>
      <w:r w:rsidRPr="006E43DC">
        <w:rPr>
          <w:rFonts w:ascii="Times New Roman" w:hAnsi="Times New Roman" w:cs="Times New Roman"/>
          <w:b w:val="0"/>
          <w:color w:val="auto"/>
          <w:sz w:val="24"/>
          <w:szCs w:val="24"/>
        </w:rPr>
        <w:fldChar w:fldCharType="end"/>
      </w:r>
      <w:bookmarkEnd w:id="260"/>
      <w:r w:rsidRPr="006E43DC">
        <w:rPr>
          <w:rFonts w:ascii="Times New Roman" w:hAnsi="Times New Roman" w:cs="Times New Roman"/>
          <w:b w:val="0"/>
          <w:color w:val="auto"/>
          <w:sz w:val="24"/>
          <w:szCs w:val="24"/>
        </w:rPr>
        <w:t xml:space="preserve">. </w:t>
      </w:r>
      <w:r w:rsidRPr="006E43DC">
        <w:rPr>
          <w:rFonts w:ascii="Times New Roman" w:hAnsi="Times New Roman" w:cs="Times New Roman"/>
          <w:b w:val="0"/>
          <w:color w:val="auto"/>
          <w:sz w:val="24"/>
          <w:szCs w:val="24"/>
        </w:rPr>
        <w:t xml:space="preserve">Fatica, Marianne K., et al. </w:t>
      </w:r>
      <w:r w:rsidR="00DE7D2C">
        <w:rPr>
          <w:rFonts w:ascii="Times New Roman" w:hAnsi="Times New Roman" w:cs="Times New Roman"/>
          <w:b w:val="0"/>
          <w:color w:val="auto"/>
          <w:sz w:val="24"/>
          <w:szCs w:val="24"/>
        </w:rPr>
        <w:t>“</w:t>
      </w:r>
      <w:r w:rsidRPr="006E43DC">
        <w:rPr>
          <w:rFonts w:ascii="Times New Roman" w:hAnsi="Times New Roman" w:cs="Times New Roman"/>
          <w:b w:val="0"/>
          <w:color w:val="auto"/>
          <w:sz w:val="24"/>
          <w:szCs w:val="24"/>
        </w:rPr>
        <w:t xml:space="preserve">Memorandum </w:t>
      </w:r>
      <w:r w:rsidRPr="006E43DC" w:rsidR="002E0F58">
        <w:rPr>
          <w:rFonts w:ascii="Times New Roman" w:hAnsi="Times New Roman" w:cs="Times New Roman"/>
          <w:b w:val="0"/>
          <w:color w:val="auto"/>
          <w:sz w:val="24"/>
          <w:szCs w:val="24"/>
        </w:rPr>
        <w:t>to the File</w:t>
      </w:r>
      <w:r w:rsidRPr="006E43DC">
        <w:rPr>
          <w:rFonts w:ascii="Times New Roman" w:hAnsi="Times New Roman" w:cs="Times New Roman"/>
          <w:b w:val="0"/>
          <w:color w:val="auto"/>
          <w:sz w:val="24"/>
          <w:szCs w:val="24"/>
        </w:rPr>
        <w:t>:  January 2017-August 2018 Sprout Related Outbreak Data, September 12, 2018.</w:t>
      </w:r>
      <w:r w:rsidR="00DE7D2C">
        <w:rPr>
          <w:rFonts w:ascii="Times New Roman" w:hAnsi="Times New Roman" w:cs="Times New Roman"/>
          <w:b w:val="0"/>
          <w:color w:val="auto"/>
          <w:sz w:val="24"/>
          <w:szCs w:val="24"/>
        </w:rPr>
        <w:t>”</w:t>
      </w:r>
      <w:r w:rsidRPr="006E43DC">
        <w:rPr>
          <w:rFonts w:ascii="Times New Roman" w:hAnsi="Times New Roman" w:cs="Times New Roman"/>
          <w:b w:val="0"/>
          <w:color w:val="auto"/>
          <w:sz w:val="24"/>
          <w:szCs w:val="24"/>
        </w:rPr>
        <w:t xml:space="preserve"> Food and Drug </w:t>
      </w:r>
      <w:r w:rsidRPr="006E43DC">
        <w:rPr>
          <w:rFonts w:ascii="Times New Roman" w:hAnsi="Times New Roman" w:cs="Times New Roman"/>
          <w:b w:val="0"/>
          <w:color w:val="auto"/>
          <w:sz w:val="24"/>
          <w:szCs w:val="24"/>
        </w:rPr>
        <w:t>Administration.</w:t>
      </w:r>
      <w:r w:rsidR="001A10F5">
        <w:rPr>
          <w:rFonts w:ascii="Times New Roman" w:hAnsi="Times New Roman" w:cs="Times New Roman"/>
          <w:b w:val="0"/>
          <w:color w:val="auto"/>
          <w:sz w:val="24"/>
          <w:szCs w:val="24"/>
        </w:rPr>
        <w:t>*</w:t>
      </w:r>
      <w:r w:rsidRPr="006E43DC">
        <w:rPr>
          <w:rFonts w:ascii="Times New Roman" w:hAnsi="Times New Roman" w:cs="Times New Roman"/>
          <w:b w:val="0"/>
          <w:color w:val="auto"/>
          <w:sz w:val="24"/>
          <w:szCs w:val="24"/>
        </w:rPr>
        <w:t xml:space="preserve"> </w:t>
      </w:r>
    </w:p>
    <w:p w:rsidR="001C2784" w:rsidRPr="006E43DC" w:rsidP="002A2F14" w14:paraId="43A5A26C" w14:textId="3F982E0E">
      <w:pPr>
        <w:pStyle w:val="Caption"/>
        <w:spacing w:after="240"/>
        <w:rPr>
          <w:rFonts w:ascii="Times New Roman" w:hAnsi="Times New Roman" w:cs="Times New Roman"/>
          <w:b w:val="0"/>
          <w:sz w:val="24"/>
          <w:szCs w:val="24"/>
        </w:rPr>
      </w:pPr>
      <w:bookmarkStart w:id="261" w:name="_Ref85023503"/>
      <w:r w:rsidRPr="006E43DC">
        <w:rPr>
          <w:rFonts w:ascii="Times New Roman" w:hAnsi="Times New Roman" w:cs="Times New Roman"/>
          <w:b w:val="0"/>
          <w:color w:val="auto"/>
          <w:sz w:val="24"/>
          <w:szCs w:val="24"/>
        </w:rPr>
        <w:t xml:space="preserve">Ref. </w:t>
      </w:r>
      <w:r w:rsidRPr="006E43DC">
        <w:rPr>
          <w:rFonts w:ascii="Times New Roman" w:hAnsi="Times New Roman" w:cs="Times New Roman"/>
          <w:b w:val="0"/>
          <w:color w:val="auto"/>
          <w:sz w:val="24"/>
          <w:szCs w:val="24"/>
        </w:rPr>
        <w:fldChar w:fldCharType="begin"/>
      </w:r>
      <w:r w:rsidRPr="006E43DC">
        <w:rPr>
          <w:rFonts w:ascii="Times New Roman" w:hAnsi="Times New Roman" w:cs="Times New Roman"/>
          <w:b w:val="0"/>
          <w:color w:val="auto"/>
          <w:sz w:val="24"/>
          <w:szCs w:val="24"/>
        </w:rPr>
        <w:instrText xml:space="preserve"> SEQ Ref. \* ARABIC </w:instrText>
      </w:r>
      <w:r w:rsidRPr="006E43DC">
        <w:rPr>
          <w:rFonts w:ascii="Times New Roman" w:hAnsi="Times New Roman" w:cs="Times New Roman"/>
          <w:b w:val="0"/>
          <w:color w:val="auto"/>
          <w:sz w:val="24"/>
          <w:szCs w:val="24"/>
        </w:rPr>
        <w:fldChar w:fldCharType="separate"/>
      </w:r>
      <w:r w:rsidR="001B1E2C">
        <w:rPr>
          <w:rFonts w:ascii="Times New Roman" w:hAnsi="Times New Roman" w:cs="Times New Roman"/>
          <w:b w:val="0"/>
          <w:noProof/>
          <w:color w:val="auto"/>
          <w:sz w:val="24"/>
          <w:szCs w:val="24"/>
        </w:rPr>
        <w:t>9</w:t>
      </w:r>
      <w:r w:rsidRPr="006E43DC">
        <w:rPr>
          <w:rFonts w:ascii="Times New Roman" w:hAnsi="Times New Roman" w:cs="Times New Roman"/>
          <w:b w:val="0"/>
          <w:color w:val="auto"/>
          <w:sz w:val="24"/>
          <w:szCs w:val="24"/>
        </w:rPr>
        <w:fldChar w:fldCharType="end"/>
      </w:r>
      <w:bookmarkEnd w:id="261"/>
      <w:r w:rsidRPr="006E43DC">
        <w:rPr>
          <w:rFonts w:ascii="Times New Roman" w:hAnsi="Times New Roman" w:cs="Times New Roman"/>
          <w:b w:val="0"/>
          <w:color w:val="auto"/>
          <w:sz w:val="24"/>
          <w:szCs w:val="24"/>
        </w:rPr>
        <w:t xml:space="preserve">. </w:t>
      </w:r>
      <w:r w:rsidRPr="006E43DC" w:rsidR="008C794D">
        <w:rPr>
          <w:rFonts w:ascii="Times New Roman" w:hAnsi="Times New Roman" w:cs="Times New Roman"/>
          <w:b w:val="0"/>
          <w:color w:val="auto"/>
          <w:sz w:val="24"/>
          <w:szCs w:val="24"/>
        </w:rPr>
        <w:t xml:space="preserve">Centers for Disease Control and Prevention (CDC). </w:t>
      </w:r>
      <w:r w:rsidR="00DE7D2C">
        <w:rPr>
          <w:rFonts w:ascii="Times New Roman" w:hAnsi="Times New Roman" w:cs="Times New Roman"/>
          <w:b w:val="0"/>
          <w:color w:val="auto"/>
          <w:sz w:val="24"/>
          <w:szCs w:val="24"/>
        </w:rPr>
        <w:t>“</w:t>
      </w:r>
      <w:r w:rsidRPr="006E43DC" w:rsidR="008C794D">
        <w:rPr>
          <w:rFonts w:ascii="Times New Roman" w:hAnsi="Times New Roman" w:cs="Times New Roman"/>
          <w:b w:val="0"/>
          <w:color w:val="auto"/>
          <w:sz w:val="24"/>
          <w:szCs w:val="24"/>
        </w:rPr>
        <w:t>National Outbreak Reporting System (NORS)</w:t>
      </w:r>
      <w:r w:rsidR="00E80A77">
        <w:rPr>
          <w:rFonts w:ascii="Times New Roman" w:hAnsi="Times New Roman" w:cs="Times New Roman"/>
          <w:b w:val="0"/>
          <w:color w:val="auto"/>
          <w:sz w:val="24"/>
          <w:szCs w:val="24"/>
        </w:rPr>
        <w:t>.</w:t>
      </w:r>
      <w:r w:rsidR="00DE7D2C">
        <w:rPr>
          <w:rFonts w:ascii="Times New Roman" w:hAnsi="Times New Roman" w:cs="Times New Roman"/>
          <w:b w:val="0"/>
          <w:color w:val="auto"/>
          <w:sz w:val="24"/>
          <w:szCs w:val="24"/>
        </w:rPr>
        <w:t>”</w:t>
      </w:r>
      <w:r w:rsidRPr="006E43DC" w:rsidR="008C794D">
        <w:rPr>
          <w:rFonts w:ascii="Times New Roman" w:hAnsi="Times New Roman" w:cs="Times New Roman"/>
          <w:b w:val="0"/>
          <w:color w:val="auto"/>
          <w:sz w:val="24"/>
          <w:szCs w:val="24"/>
        </w:rPr>
        <w:t xml:space="preserve"> Last updated December 7, 2018. </w:t>
      </w:r>
      <w:r w:rsidR="00DE3BDB">
        <w:rPr>
          <w:rFonts w:ascii="Times New Roman" w:hAnsi="Times New Roman" w:cs="Times New Roman"/>
          <w:b w:val="0"/>
          <w:color w:val="auto"/>
          <w:sz w:val="24"/>
          <w:szCs w:val="24"/>
        </w:rPr>
        <w:t>A</w:t>
      </w:r>
      <w:r w:rsidRPr="006E43DC" w:rsidR="008C794D">
        <w:rPr>
          <w:rFonts w:ascii="Times New Roman" w:hAnsi="Times New Roman" w:cs="Times New Roman"/>
          <w:b w:val="0"/>
          <w:color w:val="auto"/>
          <w:sz w:val="24"/>
          <w:szCs w:val="24"/>
        </w:rPr>
        <w:t>ccessed on October 7, 2021</w:t>
      </w:r>
      <w:r w:rsidRPr="006E43DC" w:rsidR="00164C87">
        <w:rPr>
          <w:rFonts w:ascii="Times New Roman" w:hAnsi="Times New Roman" w:cs="Times New Roman"/>
          <w:b w:val="0"/>
          <w:color w:val="auto"/>
          <w:sz w:val="24"/>
          <w:szCs w:val="24"/>
        </w:rPr>
        <w:t>.</w:t>
      </w:r>
      <w:r w:rsidRPr="006E43DC" w:rsidR="008C794D">
        <w:rPr>
          <w:rFonts w:ascii="Times New Roman" w:hAnsi="Times New Roman" w:cs="Times New Roman"/>
          <w:b w:val="0"/>
          <w:color w:val="auto"/>
          <w:sz w:val="24"/>
          <w:szCs w:val="24"/>
        </w:rPr>
        <w:t xml:space="preserve"> </w:t>
      </w:r>
      <w:r w:rsidR="00DE3BDB">
        <w:rPr>
          <w:rFonts w:ascii="Times New Roman" w:hAnsi="Times New Roman" w:cs="Times New Roman"/>
          <w:b w:val="0"/>
          <w:color w:val="auto"/>
          <w:sz w:val="24"/>
          <w:szCs w:val="24"/>
        </w:rPr>
        <w:t>(</w:t>
      </w:r>
      <w:hyperlink r:id="rId28" w:history="1">
        <w:r w:rsidRPr="00B46764" w:rsidR="00DE3BDB">
          <w:rPr>
            <w:rStyle w:val="Hyperlink"/>
            <w:rFonts w:ascii="Times New Roman" w:hAnsi="Times New Roman" w:cs="Times New Roman"/>
            <w:b w:val="0"/>
            <w:sz w:val="24"/>
            <w:szCs w:val="24"/>
          </w:rPr>
          <w:t>https://wwwn.cdc.gov/norsdashboard/</w:t>
        </w:r>
      </w:hyperlink>
      <w:r w:rsidR="00DE3BDB">
        <w:rPr>
          <w:rFonts w:ascii="Times New Roman" w:hAnsi="Times New Roman" w:cs="Times New Roman"/>
          <w:b w:val="0"/>
          <w:sz w:val="24"/>
          <w:szCs w:val="24"/>
        </w:rPr>
        <w:t>)</w:t>
      </w:r>
      <w:r w:rsidR="001A10F5">
        <w:rPr>
          <w:rFonts w:ascii="Times New Roman" w:hAnsi="Times New Roman" w:cs="Times New Roman"/>
          <w:b w:val="0"/>
          <w:sz w:val="24"/>
          <w:szCs w:val="24"/>
        </w:rPr>
        <w:t>*</w:t>
      </w:r>
    </w:p>
    <w:p w:rsidR="008C794D" w:rsidRPr="006E43DC" w:rsidP="002A2F14" w14:paraId="6A4C15CC" w14:textId="324545BA">
      <w:pPr>
        <w:pStyle w:val="Caption"/>
        <w:spacing w:after="240"/>
        <w:rPr>
          <w:rFonts w:ascii="Times New Roman" w:hAnsi="Times New Roman" w:cs="Times New Roman"/>
          <w:b w:val="0"/>
          <w:color w:val="auto"/>
          <w:sz w:val="24"/>
          <w:szCs w:val="24"/>
        </w:rPr>
      </w:pPr>
      <w:bookmarkStart w:id="262" w:name="_Ref85023515"/>
      <w:r w:rsidRPr="006E43DC">
        <w:rPr>
          <w:rFonts w:ascii="Times New Roman" w:hAnsi="Times New Roman" w:cs="Times New Roman"/>
          <w:b w:val="0"/>
          <w:color w:val="auto"/>
          <w:sz w:val="24"/>
          <w:szCs w:val="24"/>
        </w:rPr>
        <w:t xml:space="preserve">Ref. </w:t>
      </w:r>
      <w:r w:rsidRPr="006E43DC">
        <w:rPr>
          <w:rFonts w:ascii="Times New Roman" w:hAnsi="Times New Roman" w:cs="Times New Roman"/>
          <w:b w:val="0"/>
          <w:color w:val="auto"/>
          <w:sz w:val="24"/>
          <w:szCs w:val="24"/>
        </w:rPr>
        <w:fldChar w:fldCharType="begin"/>
      </w:r>
      <w:r w:rsidRPr="006E43DC">
        <w:rPr>
          <w:rFonts w:ascii="Times New Roman" w:hAnsi="Times New Roman" w:cs="Times New Roman"/>
          <w:b w:val="0"/>
          <w:color w:val="auto"/>
          <w:sz w:val="24"/>
          <w:szCs w:val="24"/>
        </w:rPr>
        <w:instrText xml:space="preserve"> SEQ Ref. \* ARABIC </w:instrText>
      </w:r>
      <w:r w:rsidRPr="006E43DC">
        <w:rPr>
          <w:rFonts w:ascii="Times New Roman" w:hAnsi="Times New Roman" w:cs="Times New Roman"/>
          <w:b w:val="0"/>
          <w:color w:val="auto"/>
          <w:sz w:val="24"/>
          <w:szCs w:val="24"/>
        </w:rPr>
        <w:fldChar w:fldCharType="separate"/>
      </w:r>
      <w:r w:rsidR="001B1E2C">
        <w:rPr>
          <w:rFonts w:ascii="Times New Roman" w:hAnsi="Times New Roman" w:cs="Times New Roman"/>
          <w:b w:val="0"/>
          <w:noProof/>
          <w:color w:val="auto"/>
          <w:sz w:val="24"/>
          <w:szCs w:val="24"/>
        </w:rPr>
        <w:t>10</w:t>
      </w:r>
      <w:r w:rsidRPr="006E43DC">
        <w:rPr>
          <w:rFonts w:ascii="Times New Roman" w:hAnsi="Times New Roman" w:cs="Times New Roman"/>
          <w:b w:val="0"/>
          <w:color w:val="auto"/>
          <w:sz w:val="24"/>
          <w:szCs w:val="24"/>
        </w:rPr>
        <w:fldChar w:fldCharType="end"/>
      </w:r>
      <w:bookmarkEnd w:id="262"/>
      <w:r w:rsidRPr="006E43DC">
        <w:rPr>
          <w:rFonts w:ascii="Times New Roman" w:hAnsi="Times New Roman" w:cs="Times New Roman"/>
          <w:b w:val="0"/>
          <w:color w:val="auto"/>
          <w:sz w:val="24"/>
          <w:szCs w:val="24"/>
        </w:rPr>
        <w:t xml:space="preserve">. </w:t>
      </w:r>
      <w:r w:rsidRPr="006E43DC">
        <w:rPr>
          <w:rFonts w:ascii="Times New Roman" w:hAnsi="Times New Roman" w:cs="Times New Roman"/>
          <w:b w:val="0"/>
          <w:color w:val="auto"/>
          <w:sz w:val="24"/>
          <w:szCs w:val="24"/>
          <w:shd w:val="clear" w:color="auto" w:fill="FFFFFF"/>
        </w:rPr>
        <w:t xml:space="preserve">Foley, Catherine, et al. </w:t>
      </w:r>
      <w:r w:rsidR="00DE7D2C">
        <w:rPr>
          <w:rFonts w:ascii="Times New Roman" w:hAnsi="Times New Roman" w:cs="Times New Roman"/>
          <w:b w:val="0"/>
          <w:color w:val="auto"/>
          <w:sz w:val="24"/>
          <w:szCs w:val="24"/>
          <w:shd w:val="clear" w:color="auto" w:fill="FFFFFF"/>
        </w:rPr>
        <w:t>“</w:t>
      </w:r>
      <w:r w:rsidRPr="006E43DC">
        <w:rPr>
          <w:rFonts w:ascii="Times New Roman" w:hAnsi="Times New Roman" w:cs="Times New Roman"/>
          <w:b w:val="0"/>
          <w:color w:val="auto"/>
          <w:sz w:val="24"/>
          <w:szCs w:val="24"/>
          <w:shd w:val="clear" w:color="auto" w:fill="FFFFFF"/>
        </w:rPr>
        <w:t xml:space="preserve">Outbreak of </w:t>
      </w:r>
      <w:r w:rsidRPr="006E43DC">
        <w:rPr>
          <w:rFonts w:ascii="Times New Roman" w:hAnsi="Times New Roman" w:cs="Times New Roman"/>
          <w:b w:val="0"/>
          <w:i/>
          <w:iCs/>
          <w:color w:val="auto"/>
          <w:sz w:val="24"/>
          <w:szCs w:val="24"/>
          <w:shd w:val="clear" w:color="auto" w:fill="FFFFFF"/>
        </w:rPr>
        <w:t>Escherichia coli</w:t>
      </w:r>
      <w:r w:rsidRPr="006E43DC">
        <w:rPr>
          <w:rFonts w:ascii="Times New Roman" w:hAnsi="Times New Roman" w:cs="Times New Roman"/>
          <w:b w:val="0"/>
          <w:color w:val="auto"/>
          <w:sz w:val="24"/>
          <w:szCs w:val="24"/>
          <w:shd w:val="clear" w:color="auto" w:fill="FFFFFF"/>
        </w:rPr>
        <w:t xml:space="preserve"> O104: H4 infections associated with sprout consumption—Europe and North America, May–July 2011.</w:t>
      </w:r>
      <w:r w:rsidR="00DE7D2C">
        <w:rPr>
          <w:rFonts w:ascii="Times New Roman" w:hAnsi="Times New Roman" w:cs="Times New Roman"/>
          <w:b w:val="0"/>
          <w:color w:val="auto"/>
          <w:sz w:val="24"/>
          <w:szCs w:val="24"/>
          <w:shd w:val="clear" w:color="auto" w:fill="FFFFFF"/>
        </w:rPr>
        <w:t>”</w:t>
      </w:r>
      <w:r w:rsidRPr="006E43DC">
        <w:rPr>
          <w:rFonts w:ascii="Times New Roman" w:hAnsi="Times New Roman" w:cs="Times New Roman"/>
          <w:b w:val="0"/>
          <w:color w:val="auto"/>
          <w:sz w:val="24"/>
          <w:szCs w:val="24"/>
          <w:shd w:val="clear" w:color="auto" w:fill="FFFFFF"/>
        </w:rPr>
        <w:t> </w:t>
      </w:r>
      <w:r w:rsidRPr="006E43DC">
        <w:rPr>
          <w:rFonts w:ascii="Times New Roman" w:hAnsi="Times New Roman" w:cs="Times New Roman"/>
          <w:b w:val="0"/>
          <w:i/>
          <w:iCs/>
          <w:color w:val="auto"/>
          <w:sz w:val="24"/>
          <w:szCs w:val="24"/>
          <w:shd w:val="clear" w:color="auto" w:fill="FFFFFF"/>
        </w:rPr>
        <w:t>MMWR. Morbidity and mortality weekly report</w:t>
      </w:r>
      <w:r w:rsidRPr="006E43DC">
        <w:rPr>
          <w:rFonts w:ascii="Times New Roman" w:hAnsi="Times New Roman" w:cs="Times New Roman"/>
          <w:b w:val="0"/>
          <w:color w:val="auto"/>
          <w:sz w:val="24"/>
          <w:szCs w:val="24"/>
          <w:shd w:val="clear" w:color="auto" w:fill="FFFFFF"/>
        </w:rPr>
        <w:t> 62.50 (2013):1029</w:t>
      </w:r>
      <w:r w:rsidRPr="006E43DC" w:rsidR="00E66148">
        <w:rPr>
          <w:rFonts w:ascii="Times New Roman" w:hAnsi="Times New Roman" w:cs="Times New Roman"/>
          <w:b w:val="0"/>
          <w:color w:val="auto"/>
          <w:sz w:val="24"/>
          <w:szCs w:val="24"/>
          <w:shd w:val="clear" w:color="auto" w:fill="FFFFFF"/>
        </w:rPr>
        <w:t>-1031</w:t>
      </w:r>
      <w:r w:rsidRPr="006E43DC">
        <w:rPr>
          <w:rFonts w:ascii="Times New Roman" w:hAnsi="Times New Roman" w:cs="Times New Roman"/>
          <w:b w:val="0"/>
          <w:color w:val="auto"/>
          <w:sz w:val="24"/>
          <w:szCs w:val="24"/>
          <w:shd w:val="clear" w:color="auto" w:fill="FFFFFF"/>
        </w:rPr>
        <w:t>.</w:t>
      </w:r>
    </w:p>
    <w:p w:rsidR="00745F1C" w:rsidP="00E47C04" w14:paraId="771532F5" w14:textId="4C2BA28E">
      <w:pPr>
        <w:pStyle w:val="GuidanceParagraph"/>
      </w:pPr>
      <w:bookmarkStart w:id="263" w:name="_Ref85024627"/>
      <w:bookmarkEnd w:id="258"/>
      <w:r w:rsidRPr="006E43DC">
        <w:t xml:space="preserve">Ref. </w:t>
      </w:r>
      <w:r>
        <w:fldChar w:fldCharType="begin"/>
      </w:r>
      <w:r>
        <w:instrText>SEQ Ref. \* ARABIC</w:instrText>
      </w:r>
      <w:r>
        <w:fldChar w:fldCharType="separate"/>
      </w:r>
      <w:r w:rsidR="001B1E2C">
        <w:rPr>
          <w:noProof/>
        </w:rPr>
        <w:t>11</w:t>
      </w:r>
      <w:r>
        <w:fldChar w:fldCharType="end"/>
      </w:r>
      <w:bookmarkEnd w:id="263"/>
      <w:r w:rsidRPr="006E43DC">
        <w:t xml:space="preserve">. </w:t>
      </w:r>
      <w:r w:rsidRPr="006E43DC" w:rsidR="00F66AF6">
        <w:t>Obenhuber</w:t>
      </w:r>
      <w:r w:rsidRPr="006E43DC" w:rsidR="00F66AF6">
        <w:t xml:space="preserve">, D., et al. </w:t>
      </w:r>
      <w:r w:rsidR="00DE7D2C">
        <w:t>“</w:t>
      </w:r>
      <w:r w:rsidRPr="006E43DC" w:rsidR="00F66AF6">
        <w:t>Memorandum to the file</w:t>
      </w:r>
      <w:r w:rsidRPr="006E43DC" w:rsidR="00452437">
        <w:t>:</w:t>
      </w:r>
      <w:r w:rsidRPr="006E43DC" w:rsidR="00F66AF6">
        <w:t xml:space="preserve"> 2012-2020 Sprout-Related Outbreak Data</w:t>
      </w:r>
      <w:r w:rsidR="00D169F6">
        <w:t>, July 20, 2020</w:t>
      </w:r>
      <w:r w:rsidRPr="006E43DC" w:rsidR="00F66AF6">
        <w:t>.</w:t>
      </w:r>
      <w:r w:rsidR="00DE7D2C">
        <w:t>”</w:t>
      </w:r>
      <w:r w:rsidRPr="006E43DC" w:rsidR="00F66AF6">
        <w:t xml:space="preserve"> Food and Drug </w:t>
      </w:r>
      <w:r w:rsidRPr="006E43DC" w:rsidR="00F66AF6">
        <w:t>Administration.</w:t>
      </w:r>
      <w:r w:rsidR="001A10F5">
        <w:t>*</w:t>
      </w:r>
    </w:p>
    <w:p w:rsidR="00CE014D" w:rsidRPr="006D13D4" w:rsidP="00E47C04" w14:paraId="3C7D3817" w14:textId="7A304C82">
      <w:pPr>
        <w:pStyle w:val="GuidanceParagraph"/>
      </w:pPr>
      <w:bookmarkStart w:id="264" w:name="_Ref85119778"/>
      <w:r>
        <w:t xml:space="preserve">Ref. </w:t>
      </w:r>
      <w:r>
        <w:fldChar w:fldCharType="begin"/>
      </w:r>
      <w:r>
        <w:instrText>SEQ Ref. \* ARABIC</w:instrText>
      </w:r>
      <w:r>
        <w:fldChar w:fldCharType="separate"/>
      </w:r>
      <w:r w:rsidR="001B1E2C">
        <w:rPr>
          <w:noProof/>
        </w:rPr>
        <w:t>12</w:t>
      </w:r>
      <w:r>
        <w:fldChar w:fldCharType="end"/>
      </w:r>
      <w:bookmarkEnd w:id="264"/>
      <w:r>
        <w:t xml:space="preserve">. </w:t>
      </w:r>
      <w:r w:rsidRPr="006D13D4">
        <w:t>Food and Drug Administration</w:t>
      </w:r>
      <w:r w:rsidR="00580E8E">
        <w:t>.</w:t>
      </w:r>
      <w:r w:rsidRPr="006D13D4">
        <w:t xml:space="preserve"> 2014. </w:t>
      </w:r>
      <w:r w:rsidR="00DE7D2C">
        <w:t>“</w:t>
      </w:r>
      <w:r>
        <w:t>FDA Form 483, Inspectional Observations: Wholesome Soy Products Inc.</w:t>
      </w:r>
      <w:r w:rsidR="00DE7D2C">
        <w:t>”</w:t>
      </w:r>
      <w:r w:rsidRPr="006D13D4">
        <w:t xml:space="preserve"> </w:t>
      </w:r>
      <w:r w:rsidR="00DE3BDB">
        <w:t>A</w:t>
      </w:r>
      <w:r w:rsidRPr="006D13D4">
        <w:t xml:space="preserve">ccessed </w:t>
      </w:r>
      <w:r>
        <w:t>A</w:t>
      </w:r>
      <w:r w:rsidRPr="006D13D4">
        <w:t xml:space="preserve">ugust 24, 2021. </w:t>
      </w:r>
      <w:r w:rsidR="00DE3BDB">
        <w:t>(</w:t>
      </w:r>
      <w:hyperlink r:id="rId29" w:history="1">
        <w:r w:rsidRPr="00B46764" w:rsidR="00DE3BDB">
          <w:rPr>
            <w:rStyle w:val="Hyperlink"/>
          </w:rPr>
          <w:t>https://www.fda.gov/media/90409/download</w:t>
        </w:r>
      </w:hyperlink>
      <w:r w:rsidRPr="00DA3958" w:rsidR="00DA3958">
        <w:t>)</w:t>
      </w:r>
      <w:r w:rsidR="00060856">
        <w:t>*</w:t>
      </w:r>
      <w:r w:rsidRPr="00DA3958" w:rsidR="00DE3BDB">
        <w:rPr>
          <w:rStyle w:val="Hyperlink"/>
          <w:color w:val="auto"/>
        </w:rPr>
        <w:t xml:space="preserve"> </w:t>
      </w:r>
    </w:p>
    <w:p w:rsidR="00CE014D" w:rsidRPr="006D13D4" w:rsidP="00E47C04" w14:paraId="2ADDA6AB" w14:textId="29F41A5A">
      <w:pPr>
        <w:pStyle w:val="GuidanceParagraph"/>
      </w:pPr>
      <w:bookmarkStart w:id="265" w:name="_Ref85119790"/>
      <w:r>
        <w:t xml:space="preserve">Ref. </w:t>
      </w:r>
      <w:r>
        <w:fldChar w:fldCharType="begin"/>
      </w:r>
      <w:r>
        <w:instrText>SEQ Ref. \* ARABIC</w:instrText>
      </w:r>
      <w:r>
        <w:fldChar w:fldCharType="separate"/>
      </w:r>
      <w:r w:rsidR="001B1E2C">
        <w:rPr>
          <w:noProof/>
        </w:rPr>
        <w:t>13</w:t>
      </w:r>
      <w:r>
        <w:fldChar w:fldCharType="end"/>
      </w:r>
      <w:bookmarkEnd w:id="265"/>
      <w:r>
        <w:t xml:space="preserve">. </w:t>
      </w:r>
      <w:r w:rsidRPr="006D13D4">
        <w:t>Food and Drug Administration</w:t>
      </w:r>
      <w:r w:rsidR="00580E8E">
        <w:t>.</w:t>
      </w:r>
      <w:r w:rsidRPr="006D13D4">
        <w:t xml:space="preserve"> 2020. </w:t>
      </w:r>
      <w:r w:rsidR="00DE7D2C">
        <w:t>“</w:t>
      </w:r>
      <w:r w:rsidRPr="006D13D4">
        <w:t>Warning letter: Sprout Unlimited Inc.</w:t>
      </w:r>
      <w:r w:rsidR="00DE7D2C">
        <w:t>”</w:t>
      </w:r>
      <w:r w:rsidRPr="006D13D4">
        <w:t xml:space="preserve"> </w:t>
      </w:r>
      <w:r w:rsidR="00DA3958">
        <w:t>A</w:t>
      </w:r>
      <w:r w:rsidRPr="006D13D4">
        <w:t xml:space="preserve">ccessed August 24, 2021. </w:t>
      </w:r>
      <w:r w:rsidR="00DA3958">
        <w:t>(</w:t>
      </w:r>
      <w:hyperlink r:id="rId30" w:history="1">
        <w:r w:rsidRPr="00B46764" w:rsidR="00DA3958">
          <w:rPr>
            <w:rStyle w:val="Hyperlink"/>
          </w:rPr>
          <w:t>https://www.fda.gov/inspections-compliance-enforcement-and-criminal-investigations/warning-letters/sprouts-unlimited-inc-603883-02212020</w:t>
        </w:r>
      </w:hyperlink>
      <w:r w:rsidRPr="00812E2A" w:rsidR="00DA3958">
        <w:rPr>
          <w:rStyle w:val="Hyperlink"/>
          <w:color w:val="auto"/>
          <w:u w:val="none"/>
        </w:rPr>
        <w:t>)</w:t>
      </w:r>
      <w:r w:rsidR="00060856">
        <w:rPr>
          <w:rStyle w:val="Hyperlink"/>
          <w:color w:val="auto"/>
          <w:u w:val="none"/>
        </w:rPr>
        <w:t>*</w:t>
      </w:r>
    </w:p>
    <w:p w:rsidR="00CE014D" w:rsidRPr="00CE014D" w:rsidP="00E47C04" w14:paraId="144FBF92" w14:textId="14A3C3BE">
      <w:pPr>
        <w:pStyle w:val="GuidanceParagraph"/>
      </w:pPr>
      <w:bookmarkStart w:id="266" w:name="_Ref85119799"/>
      <w:r>
        <w:t xml:space="preserve">Ref. </w:t>
      </w:r>
      <w:r>
        <w:fldChar w:fldCharType="begin"/>
      </w:r>
      <w:r>
        <w:instrText>SEQ Ref. \* ARABIC</w:instrText>
      </w:r>
      <w:r>
        <w:fldChar w:fldCharType="separate"/>
      </w:r>
      <w:r w:rsidR="001B1E2C">
        <w:rPr>
          <w:noProof/>
        </w:rPr>
        <w:t>14</w:t>
      </w:r>
      <w:r>
        <w:fldChar w:fldCharType="end"/>
      </w:r>
      <w:bookmarkEnd w:id="266"/>
      <w:r>
        <w:t xml:space="preserve">. </w:t>
      </w:r>
      <w:r w:rsidRPr="006D13D4">
        <w:t>Food and Drug Administration</w:t>
      </w:r>
      <w:r w:rsidR="00580E8E">
        <w:t>.</w:t>
      </w:r>
      <w:r>
        <w:t xml:space="preserve"> </w:t>
      </w:r>
      <w:r w:rsidRPr="006D13D4">
        <w:t xml:space="preserve">2020. </w:t>
      </w:r>
      <w:r w:rsidR="00DE7D2C">
        <w:t>“</w:t>
      </w:r>
      <w:r w:rsidRPr="006D13D4">
        <w:t>Waning letter: Chicago Indoor Garden, Inc.</w:t>
      </w:r>
      <w:r w:rsidR="00DE7D2C">
        <w:t>”</w:t>
      </w:r>
      <w:r w:rsidRPr="006D13D4">
        <w:t xml:space="preserve"> </w:t>
      </w:r>
      <w:r w:rsidR="00DA3958">
        <w:t>A</w:t>
      </w:r>
      <w:r w:rsidRPr="006D13D4">
        <w:t xml:space="preserve">ccessed August 24, 2021. </w:t>
      </w:r>
      <w:r w:rsidR="00DA3958">
        <w:t>(</w:t>
      </w:r>
      <w:hyperlink r:id="rId31" w:history="1">
        <w:r w:rsidRPr="00B46764" w:rsidR="00DA3958">
          <w:rPr>
            <w:rStyle w:val="Hyperlink"/>
          </w:rPr>
          <w:t>https://www.fda.gov/inspections-compliance-enforcement-and-criminal-investigations/warning-letters/chicago-indoor-garden-inc-606992-07302020</w:t>
        </w:r>
      </w:hyperlink>
      <w:r w:rsidRPr="00812E2A" w:rsidR="00DA3958">
        <w:rPr>
          <w:rStyle w:val="Hyperlink"/>
          <w:color w:val="auto"/>
          <w:u w:val="none"/>
        </w:rPr>
        <w:t>)</w:t>
      </w:r>
      <w:r w:rsidR="00060856">
        <w:rPr>
          <w:rStyle w:val="Hyperlink"/>
          <w:color w:val="auto"/>
          <w:u w:val="none"/>
        </w:rPr>
        <w:t>*</w:t>
      </w:r>
    </w:p>
    <w:p w:rsidR="00232A37" w:rsidRPr="00780F7F" w:rsidP="00E47C04" w14:paraId="429E9E15" w14:textId="699909B7">
      <w:pPr>
        <w:pStyle w:val="GuidanceParagraph"/>
      </w:pPr>
      <w:bookmarkStart w:id="267" w:name="_Ref106021180"/>
      <w:bookmarkStart w:id="268" w:name="_Ref85027683"/>
      <w:bookmarkStart w:id="269" w:name="_Ref51086494"/>
      <w:bookmarkEnd w:id="259"/>
      <w:r>
        <w:t xml:space="preserve">Ref. </w:t>
      </w:r>
      <w:r>
        <w:fldChar w:fldCharType="begin"/>
      </w:r>
      <w:r>
        <w:instrText>SEQ Ref. \* ARABIC</w:instrText>
      </w:r>
      <w:r>
        <w:fldChar w:fldCharType="separate"/>
      </w:r>
      <w:r w:rsidR="001B1E2C">
        <w:rPr>
          <w:noProof/>
        </w:rPr>
        <w:t>15</w:t>
      </w:r>
      <w:r>
        <w:fldChar w:fldCharType="end"/>
      </w:r>
      <w:bookmarkEnd w:id="267"/>
      <w:r>
        <w:t xml:space="preserve">. </w:t>
      </w:r>
      <w:r w:rsidRPr="00780F7F">
        <w:t xml:space="preserve">Food and Drug Administration. 2009. </w:t>
      </w:r>
      <w:r>
        <w:t>“</w:t>
      </w:r>
      <w:r w:rsidRPr="00780F7F">
        <w:t xml:space="preserve">Letter from FDA to Seed Suppliers, Distributors, and </w:t>
      </w:r>
      <w:r w:rsidRPr="00780F7F">
        <w:t>Sprouters</w:t>
      </w:r>
      <w:r w:rsidRPr="00780F7F">
        <w:t>.</w:t>
      </w:r>
      <w:r>
        <w:t>”</w:t>
      </w:r>
      <w:r w:rsidRPr="00780F7F">
        <w:t xml:space="preserve"> </w:t>
      </w:r>
      <w:r>
        <w:t>A</w:t>
      </w:r>
      <w:r w:rsidRPr="00780F7F">
        <w:t xml:space="preserve">ccessed </w:t>
      </w:r>
      <w:r>
        <w:t>October 18</w:t>
      </w:r>
      <w:r w:rsidRPr="00780F7F">
        <w:t>, 202</w:t>
      </w:r>
      <w:r>
        <w:t>1</w:t>
      </w:r>
      <w:r w:rsidRPr="00780F7F">
        <w:t xml:space="preserve">. </w:t>
      </w:r>
      <w:r>
        <w:t>(</w:t>
      </w:r>
      <w:hyperlink r:id="rId32" w:history="1">
        <w:r w:rsidRPr="00B965F7">
          <w:rPr>
            <w:rStyle w:val="Hyperlink"/>
          </w:rPr>
          <w:t>http://wayback.archive-it.org/7993/20180908120136/https://www.fda.gov/Food/GuidanceRegulation/GuidanceDocumentsRegulatoryInformation/ProducePlantProducts/ucm078778.htm</w:t>
        </w:r>
      </w:hyperlink>
      <w:r>
        <w:t>)</w:t>
      </w:r>
      <w:r w:rsidR="00060856">
        <w:t>*</w:t>
      </w:r>
      <w:r w:rsidRPr="00780F7F">
        <w:t xml:space="preserve"> </w:t>
      </w:r>
    </w:p>
    <w:p w:rsidR="00232A37" w:rsidRPr="00780F7F" w:rsidP="00E47C04" w14:paraId="5A236F82" w14:textId="2F16AC70">
      <w:pPr>
        <w:pStyle w:val="GuidanceParagraph"/>
      </w:pPr>
      <w:bookmarkStart w:id="270" w:name="_Ref106021184"/>
      <w:r>
        <w:t xml:space="preserve">Ref. </w:t>
      </w:r>
      <w:r>
        <w:fldChar w:fldCharType="begin"/>
      </w:r>
      <w:r>
        <w:instrText>SEQ Ref. \* ARABIC</w:instrText>
      </w:r>
      <w:r>
        <w:fldChar w:fldCharType="separate"/>
      </w:r>
      <w:r w:rsidR="001B1E2C">
        <w:rPr>
          <w:noProof/>
        </w:rPr>
        <w:t>16</w:t>
      </w:r>
      <w:r>
        <w:fldChar w:fldCharType="end"/>
      </w:r>
      <w:bookmarkEnd w:id="270"/>
      <w:r>
        <w:t xml:space="preserve">. </w:t>
      </w:r>
      <w:r w:rsidRPr="00780F7F">
        <w:t xml:space="preserve">Food and Drug Administration, 1999. </w:t>
      </w:r>
      <w:r>
        <w:t>“</w:t>
      </w:r>
      <w:r w:rsidRPr="00780F7F">
        <w:t>Guidance for Industry: Sampling and Microbial Testing of Spent Irrigation Water During Sprout Operation</w:t>
      </w:r>
      <w:r>
        <w:t>.” (withdrawn)</w:t>
      </w:r>
      <w:r w:rsidR="00DB03F6">
        <w:t xml:space="preserve"> Accessed February </w:t>
      </w:r>
      <w:r w:rsidR="00D171F9">
        <w:t>14, 2023.</w:t>
      </w:r>
      <w:r w:rsidR="008A29D4">
        <w:t xml:space="preserve"> (</w:t>
      </w:r>
      <w:hyperlink r:id="rId33" w:history="1">
        <w:r w:rsidRPr="00AA7208" w:rsidR="008A29D4">
          <w:rPr>
            <w:rStyle w:val="Hyperlink"/>
          </w:rPr>
          <w:t>https://www.ifsh.iit.edu/sites/ifsh/files/departments/ssa/pdfs/fda1999_spent_irrigation_water.pdf</w:t>
        </w:r>
      </w:hyperlink>
      <w:r w:rsidR="008A29D4">
        <w:t>)</w:t>
      </w:r>
      <w:r w:rsidR="00060856">
        <w:t>*</w:t>
      </w:r>
    </w:p>
    <w:p w:rsidR="00441764" w:rsidRPr="006E43DC" w:rsidP="00E47C04" w14:paraId="45361E13" w14:textId="13E2214D">
      <w:pPr>
        <w:pStyle w:val="GuidanceParagraph"/>
      </w:pPr>
      <w:bookmarkStart w:id="271" w:name="_Ref106021307"/>
      <w:bookmarkStart w:id="272" w:name="_Ref117782908"/>
      <w:r w:rsidRPr="00CE014D">
        <w:t xml:space="preserve">Ref. </w:t>
      </w:r>
      <w:r>
        <w:fldChar w:fldCharType="begin"/>
      </w:r>
      <w:r>
        <w:instrText>SEQ Ref. \* ARABIC</w:instrText>
      </w:r>
      <w:r>
        <w:fldChar w:fldCharType="separate"/>
      </w:r>
      <w:r w:rsidR="001B1E2C">
        <w:rPr>
          <w:noProof/>
        </w:rPr>
        <w:t>17</w:t>
      </w:r>
      <w:r>
        <w:fldChar w:fldCharType="end"/>
      </w:r>
      <w:bookmarkEnd w:id="268"/>
      <w:bookmarkEnd w:id="271"/>
      <w:bookmarkEnd w:id="272"/>
      <w:r w:rsidRPr="00896A26">
        <w:t xml:space="preserve">. Food and Drug Administration. 2022. “Guidance for Industry: Reducing Microbial Food Safety Hazards in the Production of Seed for Sprouting.” Accessed </w:t>
      </w:r>
      <w:r w:rsidR="00094EC2">
        <w:t>October 28</w:t>
      </w:r>
      <w:r w:rsidRPr="00896A26">
        <w:t>, 2022. (</w:t>
      </w:r>
      <w:hyperlink r:id="rId34" w:history="1">
        <w:r w:rsidRPr="00896A26">
          <w:rPr>
            <w:rStyle w:val="Hyperlink"/>
          </w:rPr>
          <w:t>https://www.fda.gov/media/127972/download</w:t>
        </w:r>
      </w:hyperlink>
      <w:r w:rsidRPr="00896A26">
        <w:rPr>
          <w:rStyle w:val="Hyperlink"/>
          <w:color w:val="auto"/>
          <w:u w:val="none"/>
        </w:rPr>
        <w:t>)</w:t>
      </w:r>
      <w:r w:rsidR="00060856">
        <w:rPr>
          <w:rStyle w:val="Hyperlink"/>
          <w:color w:val="auto"/>
          <w:u w:val="none"/>
        </w:rPr>
        <w:t>*</w:t>
      </w:r>
    </w:p>
    <w:p w:rsidR="00AB6C5C" w:rsidP="00E47C04" w14:paraId="37BDE087" w14:textId="65244DEE">
      <w:pPr>
        <w:pStyle w:val="GuidanceParagraph"/>
      </w:pPr>
      <w:bookmarkStart w:id="273" w:name="_Ref126308691"/>
      <w:bookmarkStart w:id="274" w:name="_Ref117783073"/>
      <w:r>
        <w:t xml:space="preserve">Ref. </w:t>
      </w:r>
      <w:r>
        <w:fldChar w:fldCharType="begin"/>
      </w:r>
      <w:r>
        <w:instrText xml:space="preserve"> SEQ Ref. \* ARABIC </w:instrText>
      </w:r>
      <w:r>
        <w:fldChar w:fldCharType="separate"/>
      </w:r>
      <w:r w:rsidR="001B1E2C">
        <w:rPr>
          <w:noProof/>
        </w:rPr>
        <w:t>18</w:t>
      </w:r>
      <w:r w:rsidR="001B1E2C">
        <w:rPr>
          <w:noProof/>
        </w:rPr>
        <w:fldChar w:fldCharType="end"/>
      </w:r>
      <w:bookmarkEnd w:id="273"/>
      <w:r>
        <w:t xml:space="preserve">. </w:t>
      </w:r>
      <w:r w:rsidRPr="006E43DC">
        <w:t xml:space="preserve">Food and Drug Administration. </w:t>
      </w:r>
      <w:r>
        <w:t>2023</w:t>
      </w:r>
      <w:r w:rsidRPr="006E43DC">
        <w:t xml:space="preserve">. </w:t>
      </w:r>
      <w:r>
        <w:t xml:space="preserve">“Draft </w:t>
      </w:r>
      <w:r w:rsidRPr="006E43DC">
        <w:t xml:space="preserve">Guidance for Industry: </w:t>
      </w:r>
      <w:r>
        <w:t xml:space="preserve">Standards for the Growing, Harvesting, Packing, and Holding </w:t>
      </w:r>
      <w:r w:rsidR="007F64E4">
        <w:t>of</w:t>
      </w:r>
      <w:r>
        <w:t xml:space="preserve"> Sprouts for Human Consumption</w:t>
      </w:r>
      <w:r w:rsidRPr="006E43DC">
        <w:t>.</w:t>
      </w:r>
      <w:r>
        <w:t>”</w:t>
      </w:r>
      <w:r w:rsidRPr="006E43DC">
        <w:t xml:space="preserve"> </w:t>
      </w:r>
      <w:r>
        <w:t>A</w:t>
      </w:r>
      <w:r w:rsidRPr="006E43DC">
        <w:t xml:space="preserve">ccessed </w:t>
      </w:r>
      <w:r w:rsidRPr="00BF33F3">
        <w:t>XXXXX</w:t>
      </w:r>
      <w:r w:rsidRPr="006E43DC">
        <w:t>.</w:t>
      </w:r>
      <w:r>
        <w:t xml:space="preserve"> (Website)</w:t>
      </w:r>
      <w:r w:rsidR="00060856">
        <w:t>*</w:t>
      </w:r>
      <w:r>
        <w:t xml:space="preserve"> </w:t>
      </w:r>
    </w:p>
    <w:p w:rsidR="0038550D" w:rsidRPr="00CE014D" w:rsidP="00E47C04" w14:paraId="1B0F625A" w14:textId="66CD2D48">
      <w:pPr>
        <w:pStyle w:val="GuidanceParagraph"/>
        <w:rPr>
          <w:rStyle w:val="Hyperlink"/>
          <w:color w:val="auto"/>
          <w:u w:val="none"/>
        </w:rPr>
      </w:pPr>
      <w:bookmarkStart w:id="275" w:name="_Ref126308883"/>
      <w:r w:rsidRPr="00CE014D">
        <w:t xml:space="preserve">Ref. </w:t>
      </w:r>
      <w:r>
        <w:fldChar w:fldCharType="begin"/>
      </w:r>
      <w:r>
        <w:instrText>SEQ Ref. \* ARABIC</w:instrText>
      </w:r>
      <w:r>
        <w:fldChar w:fldCharType="separate"/>
      </w:r>
      <w:r w:rsidR="001B1E2C">
        <w:rPr>
          <w:noProof/>
        </w:rPr>
        <w:t>19</w:t>
      </w:r>
      <w:r>
        <w:fldChar w:fldCharType="end"/>
      </w:r>
      <w:bookmarkEnd w:id="274"/>
      <w:bookmarkEnd w:id="275"/>
      <w:r w:rsidRPr="00CE014D">
        <w:t xml:space="preserve">. </w:t>
      </w:r>
      <w:r w:rsidRPr="00CE014D" w:rsidR="000A5DEA">
        <w:t xml:space="preserve">Codex. 2010. </w:t>
      </w:r>
      <w:r w:rsidR="00DE7D2C">
        <w:t>“</w:t>
      </w:r>
      <w:r w:rsidRPr="00CE014D" w:rsidR="000A5DEA">
        <w:t>Code of Hygienic Practice for Fresh Fruits and Vegetables, CAC/RCP 53-2003, Annex II, Annex for Sprout Production.</w:t>
      </w:r>
      <w:r w:rsidR="00DE7D2C">
        <w:t>”</w:t>
      </w:r>
      <w:r w:rsidRPr="00CE014D" w:rsidR="000A5DEA">
        <w:t xml:space="preserve"> </w:t>
      </w:r>
      <w:r>
        <w:t>A</w:t>
      </w:r>
      <w:r w:rsidRPr="00CE014D">
        <w:t xml:space="preserve">ccessed </w:t>
      </w:r>
      <w:r>
        <w:t>February 14, 2023</w:t>
      </w:r>
      <w:r w:rsidRPr="00CE014D">
        <w:t xml:space="preserve">. </w:t>
      </w:r>
      <w:r>
        <w:t>(</w:t>
      </w:r>
      <w:hyperlink r:id="rId35" w:history="1">
        <w:r w:rsidRPr="00B93BEF">
          <w:rPr>
            <w:rStyle w:val="Hyperlink"/>
          </w:rPr>
          <w:t>https://www.fao.org/fao-who-codexalimentarius/sh-proxy/en/?lnk=1&amp;url=https%253A%252F%252Fworkspace.fao.org%252Fsites%252Fcodex%252FStandards%252FCXC%2B53-2003%252FCXC_053e.pdf</w:t>
        </w:r>
      </w:hyperlink>
      <w:r>
        <w:t xml:space="preserve">) </w:t>
      </w:r>
      <w:hyperlink w:history="1"/>
    </w:p>
    <w:p w:rsidR="000A5DEA" w:rsidRPr="006E43DC" w:rsidP="002A2F14" w14:paraId="5F693C80" w14:textId="4D6AE7DD">
      <w:pPr>
        <w:widowControl/>
        <w:spacing w:before="100" w:beforeAutospacing="1" w:after="240"/>
        <w:rPr>
          <w:rFonts w:ascii="Times New Roman" w:hAnsi="Times New Roman" w:cs="Times New Roman"/>
          <w:bCs/>
          <w:sz w:val="24"/>
          <w:szCs w:val="24"/>
        </w:rPr>
      </w:pPr>
      <w:bookmarkStart w:id="276" w:name="_Ref85027697"/>
      <w:r w:rsidRPr="006E43DC">
        <w:rPr>
          <w:rFonts w:ascii="Times New Roman" w:hAnsi="Times New Roman" w:cs="Times New Roman"/>
          <w:bCs/>
          <w:sz w:val="24"/>
          <w:szCs w:val="24"/>
        </w:rPr>
        <w:t xml:space="preserve">Ref. </w:t>
      </w:r>
      <w:r w:rsidRPr="006E43DC">
        <w:rPr>
          <w:rFonts w:ascii="Times New Roman" w:hAnsi="Times New Roman" w:cs="Times New Roman"/>
          <w:bCs/>
          <w:sz w:val="24"/>
          <w:szCs w:val="24"/>
        </w:rPr>
        <w:fldChar w:fldCharType="begin"/>
      </w:r>
      <w:r w:rsidRPr="006E43DC">
        <w:rPr>
          <w:rFonts w:ascii="Times New Roman" w:hAnsi="Times New Roman" w:cs="Times New Roman"/>
          <w:bCs/>
          <w:sz w:val="24"/>
          <w:szCs w:val="24"/>
        </w:rPr>
        <w:instrText xml:space="preserve"> SEQ Ref. \* ARABIC </w:instrText>
      </w:r>
      <w:r w:rsidRPr="006E43DC">
        <w:rPr>
          <w:rFonts w:ascii="Times New Roman" w:hAnsi="Times New Roman" w:cs="Times New Roman"/>
          <w:bCs/>
          <w:sz w:val="24"/>
          <w:szCs w:val="24"/>
        </w:rPr>
        <w:fldChar w:fldCharType="separate"/>
      </w:r>
      <w:r w:rsidR="001B1E2C">
        <w:rPr>
          <w:rFonts w:ascii="Times New Roman" w:hAnsi="Times New Roman" w:cs="Times New Roman"/>
          <w:bCs/>
          <w:noProof/>
          <w:sz w:val="24"/>
          <w:szCs w:val="24"/>
        </w:rPr>
        <w:t>20</w:t>
      </w:r>
      <w:r w:rsidRPr="006E43DC">
        <w:rPr>
          <w:rFonts w:ascii="Times New Roman" w:hAnsi="Times New Roman" w:cs="Times New Roman"/>
          <w:bCs/>
          <w:sz w:val="24"/>
          <w:szCs w:val="24"/>
        </w:rPr>
        <w:fldChar w:fldCharType="end"/>
      </w:r>
      <w:bookmarkEnd w:id="276"/>
      <w:r w:rsidRPr="006E43DC">
        <w:rPr>
          <w:rFonts w:ascii="Times New Roman" w:hAnsi="Times New Roman" w:cs="Times New Roman"/>
          <w:bCs/>
          <w:sz w:val="24"/>
          <w:szCs w:val="24"/>
        </w:rPr>
        <w:t xml:space="preserve">. </w:t>
      </w:r>
      <w:r w:rsidRPr="006E43DC">
        <w:rPr>
          <w:rFonts w:ascii="Times New Roman" w:hAnsi="Times New Roman" w:cs="Times New Roman"/>
          <w:bCs/>
          <w:sz w:val="24"/>
          <w:szCs w:val="24"/>
        </w:rPr>
        <w:t xml:space="preserve">IFSH Sprout Safety Task Force Best Practices Sub-committee. 2019. </w:t>
      </w:r>
      <w:r w:rsidR="00DE7D2C">
        <w:rPr>
          <w:rFonts w:ascii="Times New Roman" w:hAnsi="Times New Roman" w:cs="Times New Roman"/>
          <w:bCs/>
          <w:sz w:val="24"/>
          <w:szCs w:val="24"/>
        </w:rPr>
        <w:t>“</w:t>
      </w:r>
      <w:r w:rsidRPr="006E43DC">
        <w:rPr>
          <w:rFonts w:ascii="Times New Roman" w:hAnsi="Times New Roman" w:cs="Times New Roman"/>
          <w:bCs/>
          <w:sz w:val="24"/>
          <w:szCs w:val="24"/>
        </w:rPr>
        <w:t>US Sprout Industry Production Best Practices.</w:t>
      </w:r>
      <w:r w:rsidR="00DE7D2C">
        <w:rPr>
          <w:rFonts w:ascii="Times New Roman" w:hAnsi="Times New Roman" w:cs="Times New Roman"/>
          <w:bCs/>
          <w:sz w:val="24"/>
          <w:szCs w:val="24"/>
        </w:rPr>
        <w:t>”</w:t>
      </w:r>
      <w:r w:rsidRPr="006E43DC">
        <w:rPr>
          <w:rFonts w:ascii="Times New Roman" w:hAnsi="Times New Roman" w:cs="Times New Roman"/>
          <w:bCs/>
          <w:sz w:val="24"/>
          <w:szCs w:val="24"/>
        </w:rPr>
        <w:t xml:space="preserve"> </w:t>
      </w:r>
      <w:r w:rsidR="00DA3958">
        <w:rPr>
          <w:rFonts w:ascii="Times New Roman" w:hAnsi="Times New Roman" w:cs="Times New Roman"/>
          <w:bCs/>
          <w:sz w:val="24"/>
          <w:szCs w:val="24"/>
        </w:rPr>
        <w:t>A</w:t>
      </w:r>
      <w:r w:rsidRPr="006E43DC">
        <w:rPr>
          <w:rFonts w:ascii="Times New Roman" w:hAnsi="Times New Roman" w:cs="Times New Roman"/>
          <w:bCs/>
          <w:sz w:val="24"/>
          <w:szCs w:val="24"/>
        </w:rPr>
        <w:t xml:space="preserve">ccessed October 13, 2021. </w:t>
      </w:r>
      <w:r w:rsidR="00DA3958">
        <w:rPr>
          <w:rFonts w:ascii="Times New Roman" w:hAnsi="Times New Roman" w:cs="Times New Roman"/>
          <w:bCs/>
          <w:sz w:val="24"/>
          <w:szCs w:val="24"/>
        </w:rPr>
        <w:t>(</w:t>
      </w:r>
      <w:hyperlink r:id="rId36" w:history="1">
        <w:r w:rsidRPr="00AA7208" w:rsidR="007B3430">
          <w:rPr>
            <w:rStyle w:val="Hyperlink"/>
            <w:rFonts w:ascii="Times New Roman" w:hAnsi="Times New Roman" w:cs="Times New Roman"/>
            <w:bCs/>
            <w:sz w:val="24"/>
            <w:szCs w:val="24"/>
          </w:rPr>
          <w:t>https://www.ifsh.iit.edu/sites/ifsh/files/departments/Copyrighted%20US%20Sprout%20Industry%20Production%20Best%20PractiRef.ces%20052619.pdf</w:t>
        </w:r>
      </w:hyperlink>
      <w:r w:rsidRPr="00812E2A" w:rsidR="00DA3958">
        <w:rPr>
          <w:rStyle w:val="Hyperlink"/>
          <w:rFonts w:ascii="Times New Roman" w:hAnsi="Times New Roman" w:cs="Times New Roman"/>
          <w:bCs/>
          <w:color w:val="auto"/>
          <w:sz w:val="24"/>
          <w:szCs w:val="24"/>
          <w:u w:val="none"/>
        </w:rPr>
        <w:t>)</w:t>
      </w:r>
    </w:p>
    <w:p w:rsidR="000A5DEA" w:rsidP="002A2F14" w14:paraId="6342EEB7" w14:textId="2939E641">
      <w:pPr>
        <w:pStyle w:val="Caption"/>
        <w:spacing w:after="240"/>
        <w:rPr>
          <w:rStyle w:val="Hyperlink"/>
          <w:rFonts w:ascii="Times New Roman" w:hAnsi="Times New Roman" w:cs="Times New Roman"/>
          <w:b w:val="0"/>
          <w:color w:val="auto"/>
          <w:sz w:val="24"/>
          <w:szCs w:val="24"/>
          <w:u w:val="none"/>
        </w:rPr>
      </w:pPr>
      <w:bookmarkStart w:id="277" w:name="_Ref85027736"/>
      <w:bookmarkStart w:id="278" w:name="_Ref117783376"/>
      <w:r w:rsidRPr="006E43DC">
        <w:rPr>
          <w:rFonts w:ascii="Times New Roman" w:hAnsi="Times New Roman" w:cs="Times New Roman"/>
          <w:b w:val="0"/>
          <w:color w:val="auto"/>
          <w:sz w:val="24"/>
          <w:szCs w:val="24"/>
        </w:rPr>
        <w:t xml:space="preserve">Ref. </w:t>
      </w:r>
      <w:r w:rsidRPr="006E43DC">
        <w:rPr>
          <w:rFonts w:ascii="Times New Roman" w:hAnsi="Times New Roman" w:cs="Times New Roman"/>
          <w:b w:val="0"/>
          <w:color w:val="auto"/>
          <w:sz w:val="24"/>
          <w:szCs w:val="24"/>
        </w:rPr>
        <w:fldChar w:fldCharType="begin"/>
      </w:r>
      <w:r w:rsidRPr="006E43DC">
        <w:rPr>
          <w:rFonts w:ascii="Times New Roman" w:hAnsi="Times New Roman" w:cs="Times New Roman"/>
          <w:b w:val="0"/>
          <w:color w:val="auto"/>
          <w:sz w:val="24"/>
          <w:szCs w:val="24"/>
        </w:rPr>
        <w:instrText xml:space="preserve"> SEQ Ref. \* ARABIC </w:instrText>
      </w:r>
      <w:r w:rsidRPr="006E43DC">
        <w:rPr>
          <w:rFonts w:ascii="Times New Roman" w:hAnsi="Times New Roman" w:cs="Times New Roman"/>
          <w:b w:val="0"/>
          <w:color w:val="auto"/>
          <w:sz w:val="24"/>
          <w:szCs w:val="24"/>
        </w:rPr>
        <w:fldChar w:fldCharType="separate"/>
      </w:r>
      <w:r w:rsidR="001B1E2C">
        <w:rPr>
          <w:rFonts w:ascii="Times New Roman" w:hAnsi="Times New Roman" w:cs="Times New Roman"/>
          <w:b w:val="0"/>
          <w:noProof/>
          <w:color w:val="auto"/>
          <w:sz w:val="24"/>
          <w:szCs w:val="24"/>
        </w:rPr>
        <w:t>21</w:t>
      </w:r>
      <w:r w:rsidRPr="006E43DC">
        <w:rPr>
          <w:rFonts w:ascii="Times New Roman" w:hAnsi="Times New Roman" w:cs="Times New Roman"/>
          <w:b w:val="0"/>
          <w:color w:val="auto"/>
          <w:sz w:val="24"/>
          <w:szCs w:val="24"/>
        </w:rPr>
        <w:fldChar w:fldCharType="end"/>
      </w:r>
      <w:bookmarkEnd w:id="277"/>
      <w:bookmarkEnd w:id="278"/>
      <w:r w:rsidRPr="006E43DC">
        <w:rPr>
          <w:rFonts w:ascii="Times New Roman" w:hAnsi="Times New Roman" w:cs="Times New Roman"/>
          <w:b w:val="0"/>
          <w:color w:val="auto"/>
          <w:sz w:val="24"/>
          <w:szCs w:val="24"/>
        </w:rPr>
        <w:t xml:space="preserve">. </w:t>
      </w:r>
      <w:r w:rsidRPr="006E43DC">
        <w:rPr>
          <w:rFonts w:ascii="Times New Roman" w:hAnsi="Times New Roman" w:cs="Times New Roman"/>
          <w:b w:val="0"/>
          <w:color w:val="auto"/>
          <w:sz w:val="24"/>
          <w:szCs w:val="24"/>
        </w:rPr>
        <w:t xml:space="preserve">The European Sprouted Seeds Association (ESSA). 2017. </w:t>
      </w:r>
      <w:r w:rsidR="00DE7D2C">
        <w:rPr>
          <w:rFonts w:ascii="Times New Roman" w:hAnsi="Times New Roman" w:cs="Times New Roman"/>
          <w:b w:val="0"/>
          <w:color w:val="auto"/>
          <w:sz w:val="24"/>
          <w:szCs w:val="24"/>
        </w:rPr>
        <w:t>“</w:t>
      </w:r>
      <w:r w:rsidRPr="006E43DC">
        <w:rPr>
          <w:rFonts w:ascii="Times New Roman" w:eastAsia="Times New Roman" w:hAnsi="Times New Roman" w:cs="Times New Roman"/>
          <w:b w:val="0"/>
          <w:color w:val="auto"/>
          <w:sz w:val="24"/>
          <w:szCs w:val="24"/>
        </w:rPr>
        <w:t>ESSA Hygiene Guideline for the Production of Sprouts and Seeds for Sprouting (2017</w:t>
      </w:r>
      <w:r w:rsidRPr="006E43DC">
        <w:rPr>
          <w:rFonts w:ascii="Times New Roman" w:eastAsia="Times New Roman" w:hAnsi="Times New Roman" w:cs="Times New Roman"/>
          <w:b w:val="0"/>
          <w:color w:val="auto"/>
          <w:sz w:val="24"/>
          <w:szCs w:val="24"/>
        </w:rPr>
        <w:t>/(</w:t>
      </w:r>
      <w:r w:rsidRPr="006E43DC">
        <w:rPr>
          <w:rFonts w:ascii="Times New Roman" w:eastAsia="Times New Roman" w:hAnsi="Times New Roman" w:cs="Times New Roman"/>
          <w:b w:val="0"/>
          <w:color w:val="auto"/>
          <w:sz w:val="24"/>
          <w:szCs w:val="24"/>
        </w:rPr>
        <w:t>220/ 03), Section 2. Production of Seeds.</w:t>
      </w:r>
      <w:r w:rsidR="00DE7D2C">
        <w:rPr>
          <w:rFonts w:ascii="Times New Roman" w:eastAsia="Times New Roman" w:hAnsi="Times New Roman" w:cs="Times New Roman"/>
          <w:b w:val="0"/>
          <w:color w:val="auto"/>
          <w:sz w:val="24"/>
          <w:szCs w:val="24"/>
        </w:rPr>
        <w:t>”</w:t>
      </w:r>
      <w:r w:rsidRPr="006E43DC">
        <w:rPr>
          <w:rFonts w:ascii="Times New Roman" w:eastAsia="Times New Roman" w:hAnsi="Times New Roman" w:cs="Times New Roman"/>
          <w:b w:val="0"/>
          <w:color w:val="auto"/>
          <w:sz w:val="24"/>
          <w:szCs w:val="24"/>
        </w:rPr>
        <w:t xml:space="preserve"> Official Journal of the European Union. </w:t>
      </w:r>
      <w:r w:rsidR="00DA3958">
        <w:rPr>
          <w:rFonts w:ascii="Times New Roman" w:eastAsia="Times New Roman" w:hAnsi="Times New Roman" w:cs="Times New Roman"/>
          <w:b w:val="0"/>
          <w:color w:val="auto"/>
          <w:sz w:val="24"/>
          <w:szCs w:val="24"/>
        </w:rPr>
        <w:t>A</w:t>
      </w:r>
      <w:r w:rsidRPr="006E43DC">
        <w:rPr>
          <w:rFonts w:ascii="Times New Roman" w:eastAsia="Times New Roman" w:hAnsi="Times New Roman" w:cs="Times New Roman"/>
          <w:b w:val="0"/>
          <w:color w:val="auto"/>
          <w:sz w:val="24"/>
          <w:szCs w:val="24"/>
        </w:rPr>
        <w:t xml:space="preserve">ccessed October 13, 2021. </w:t>
      </w:r>
      <w:r w:rsidR="00DA3958">
        <w:rPr>
          <w:rFonts w:ascii="Times New Roman" w:eastAsia="Times New Roman" w:hAnsi="Times New Roman" w:cs="Times New Roman"/>
          <w:b w:val="0"/>
          <w:color w:val="auto"/>
          <w:sz w:val="24"/>
          <w:szCs w:val="24"/>
        </w:rPr>
        <w:t>(</w:t>
      </w:r>
      <w:hyperlink r:id="rId37" w:history="1">
        <w:r w:rsidRPr="00B46764" w:rsidR="00DA3958">
          <w:rPr>
            <w:rStyle w:val="Hyperlink"/>
            <w:rFonts w:ascii="Times New Roman" w:hAnsi="Times New Roman" w:cs="Times New Roman"/>
            <w:b w:val="0"/>
            <w:sz w:val="24"/>
            <w:szCs w:val="24"/>
          </w:rPr>
          <w:t>https://eur-lex.europa.eu/legal-content/EN/TXT/HTML/?uri=CELEX:52017XX0708(01)&amp;from=EN</w:t>
        </w:r>
      </w:hyperlink>
      <w:r w:rsidRPr="00812E2A" w:rsidR="00DA3958">
        <w:rPr>
          <w:rStyle w:val="Hyperlink"/>
          <w:rFonts w:ascii="Times New Roman" w:hAnsi="Times New Roman" w:cs="Times New Roman"/>
          <w:b w:val="0"/>
          <w:color w:val="auto"/>
          <w:sz w:val="24"/>
          <w:szCs w:val="24"/>
          <w:u w:val="none"/>
        </w:rPr>
        <w:t>)</w:t>
      </w:r>
      <w:r w:rsidR="00583073">
        <w:rPr>
          <w:rStyle w:val="Hyperlink"/>
          <w:rFonts w:ascii="Times New Roman" w:hAnsi="Times New Roman" w:cs="Times New Roman"/>
          <w:b w:val="0"/>
          <w:color w:val="auto"/>
          <w:sz w:val="24"/>
          <w:szCs w:val="24"/>
          <w:u w:val="none"/>
        </w:rPr>
        <w:t>*</w:t>
      </w:r>
    </w:p>
    <w:p w:rsidR="00EE6FFC" w:rsidP="00E47C04" w14:paraId="6D09D6C4" w14:textId="7DB4B911">
      <w:pPr>
        <w:pStyle w:val="GuidanceParagraph"/>
      </w:pPr>
      <w:bookmarkStart w:id="279" w:name="_Ref85028161"/>
      <w:bookmarkStart w:id="280" w:name="_Ref117783436"/>
      <w:bookmarkEnd w:id="269"/>
      <w:r w:rsidRPr="006E43DC">
        <w:t xml:space="preserve">Ref. </w:t>
      </w:r>
      <w:r>
        <w:fldChar w:fldCharType="begin"/>
      </w:r>
      <w:r>
        <w:instrText>SEQ Ref. \* ARABIC</w:instrText>
      </w:r>
      <w:r>
        <w:fldChar w:fldCharType="separate"/>
      </w:r>
      <w:r w:rsidR="001B1E2C">
        <w:rPr>
          <w:noProof/>
        </w:rPr>
        <w:t>22</w:t>
      </w:r>
      <w:r>
        <w:fldChar w:fldCharType="end"/>
      </w:r>
      <w:bookmarkEnd w:id="279"/>
      <w:bookmarkEnd w:id="280"/>
      <w:r w:rsidRPr="003D47C7">
        <w:t>. Food and Drug Administration. 2018. “Guidance for Industry: Standards for the Growing, Harvesting, Packing, and Produce for Human Consumption.” Last modified October 22, 2018. Accessed October 27, 2022. (</w:t>
      </w:r>
      <w:hyperlink r:id="rId38" w:history="1">
        <w:r w:rsidRPr="003D47C7">
          <w:rPr>
            <w:rStyle w:val="Hyperlink"/>
          </w:rPr>
          <w:t>https://www.fda.gov/regulatory-information/search-fda-guidance-documents/draft-guidance-industry-standards-growing-harvesting-packing-and-holding-produce-human-consumption</w:t>
        </w:r>
      </w:hyperlink>
      <w:r w:rsidRPr="003D47C7">
        <w:t>)</w:t>
      </w:r>
      <w:r w:rsidR="002A39E0">
        <w:t>*</w:t>
      </w:r>
    </w:p>
    <w:p w:rsidR="006F3F8D" w:rsidRPr="006E43DC" w:rsidP="00E47C04" w14:paraId="1924AEB8" w14:textId="67217AA7">
      <w:pPr>
        <w:pStyle w:val="GuidanceParagraph"/>
      </w:pPr>
      <w:bookmarkStart w:id="281" w:name="_Ref117862571"/>
      <w:r w:rsidRPr="006E43DC">
        <w:t xml:space="preserve">Ref. </w:t>
      </w:r>
      <w:r>
        <w:fldChar w:fldCharType="begin"/>
      </w:r>
      <w:r>
        <w:instrText>SEQ Ref. \* ARABIC</w:instrText>
      </w:r>
      <w:r>
        <w:fldChar w:fldCharType="separate"/>
      </w:r>
      <w:r w:rsidR="001B1E2C">
        <w:rPr>
          <w:noProof/>
        </w:rPr>
        <w:t>23</w:t>
      </w:r>
      <w:r>
        <w:fldChar w:fldCharType="end"/>
      </w:r>
      <w:bookmarkEnd w:id="281"/>
      <w:r w:rsidRPr="006E43DC">
        <w:t xml:space="preserve">. </w:t>
      </w:r>
      <w:r w:rsidRPr="006E43DC">
        <w:t xml:space="preserve">California Department of Public Health and Food and Drug Administration. 2000. </w:t>
      </w:r>
      <w:r w:rsidR="00DE7D2C">
        <w:t>“</w:t>
      </w:r>
      <w:r w:rsidRPr="006E43DC">
        <w:t>Safer Processing of Sprouts</w:t>
      </w:r>
      <w:r w:rsidR="00E8600B">
        <w:t>”</w:t>
      </w:r>
      <w:r w:rsidRPr="006E43DC">
        <w:t xml:space="preserve"> Video</w:t>
      </w:r>
      <w:r w:rsidR="008B17C1">
        <w:t xml:space="preserve"> Series</w:t>
      </w:r>
      <w:r w:rsidRPr="006E43DC">
        <w:t xml:space="preserve">. </w:t>
      </w:r>
      <w:r w:rsidR="00DA3958">
        <w:t>A</w:t>
      </w:r>
      <w:r w:rsidRPr="006E43DC">
        <w:t xml:space="preserve">ccessed </w:t>
      </w:r>
      <w:r w:rsidR="002A11D3">
        <w:t>October</w:t>
      </w:r>
      <w:r w:rsidRPr="006E43DC">
        <w:t xml:space="preserve"> </w:t>
      </w:r>
      <w:r w:rsidR="002A11D3">
        <w:t>18</w:t>
      </w:r>
      <w:r w:rsidRPr="006E43DC">
        <w:t>, 202</w:t>
      </w:r>
      <w:r w:rsidR="002A11D3">
        <w:t>1</w:t>
      </w:r>
      <w:r w:rsidRPr="006E43DC" w:rsidR="00445FD4">
        <w:t>.</w:t>
      </w:r>
      <w:r w:rsidRPr="006E43DC">
        <w:t xml:space="preserve"> </w:t>
      </w:r>
      <w:r w:rsidR="00DA3958">
        <w:t>(</w:t>
      </w:r>
      <w:hyperlink r:id="rId39" w:history="1">
        <w:r w:rsidRPr="00B965F7" w:rsidR="00EC2CD4">
          <w:rPr>
            <w:rStyle w:val="Hyperlink"/>
          </w:rPr>
          <w:t>https://www.ifsh.iit.edu/ssa/resources</w:t>
        </w:r>
      </w:hyperlink>
      <w:r w:rsidR="00EC2CD4">
        <w:t>)</w:t>
      </w:r>
    </w:p>
    <w:p w:rsidR="00C5617E" w:rsidRPr="00EB6EC8" w:rsidP="00E47C04" w14:paraId="453E2D38" w14:textId="63135092">
      <w:pPr>
        <w:pStyle w:val="GuidanceParagraph"/>
      </w:pPr>
      <w:bookmarkStart w:id="282" w:name="_Ref127276455"/>
      <w:bookmarkStart w:id="283" w:name="_Ref51087063"/>
      <w:r>
        <w:t xml:space="preserve">Ref. </w:t>
      </w:r>
      <w:r>
        <w:fldChar w:fldCharType="begin"/>
      </w:r>
      <w:r>
        <w:instrText xml:space="preserve"> SEQ Ref. \* ARABIC </w:instrText>
      </w:r>
      <w:r>
        <w:fldChar w:fldCharType="separate"/>
      </w:r>
      <w:r>
        <w:rPr>
          <w:noProof/>
        </w:rPr>
        <w:t>24</w:t>
      </w:r>
      <w:r>
        <w:rPr>
          <w:noProof/>
        </w:rPr>
        <w:fldChar w:fldCharType="end"/>
      </w:r>
      <w:bookmarkEnd w:id="282"/>
      <w:r>
        <w:t xml:space="preserve">. </w:t>
      </w:r>
      <w:r>
        <w:t xml:space="preserve"> </w:t>
      </w:r>
      <w:r w:rsidRPr="00EB6EC8">
        <w:t xml:space="preserve">Sprout Safety Alliance. 2017. </w:t>
      </w:r>
      <w:r w:rsidR="00DE7D2C">
        <w:t>“</w:t>
      </w:r>
      <w:r w:rsidRPr="00EB6EC8">
        <w:rPr>
          <w:shd w:val="clear" w:color="auto" w:fill="FFFFFF"/>
        </w:rPr>
        <w:t>Safer Sprout Production for Produce Safety Rule Compliance. Version 2.3</w:t>
      </w:r>
      <w:r w:rsidR="00E80A77">
        <w:rPr>
          <w:shd w:val="clear" w:color="auto" w:fill="FFFFFF"/>
        </w:rPr>
        <w:t>.</w:t>
      </w:r>
      <w:r w:rsidR="00DE7D2C">
        <w:rPr>
          <w:shd w:val="clear" w:color="auto" w:fill="FFFFFF"/>
        </w:rPr>
        <w:t>”</w:t>
      </w:r>
      <w:r w:rsidRPr="00EB6EC8">
        <w:rPr>
          <w:shd w:val="clear" w:color="auto" w:fill="FFFFFF"/>
        </w:rPr>
        <w:t xml:space="preserve"> </w:t>
      </w:r>
      <w:r w:rsidR="00DA3958">
        <w:rPr>
          <w:shd w:val="clear" w:color="auto" w:fill="FFFFFF"/>
        </w:rPr>
        <w:t>A</w:t>
      </w:r>
      <w:r w:rsidRPr="00EB6EC8">
        <w:rPr>
          <w:shd w:val="clear" w:color="auto" w:fill="FFFFFF"/>
        </w:rPr>
        <w:t xml:space="preserve">ccessed October 13, 2021. </w:t>
      </w:r>
      <w:r w:rsidR="00DA3958">
        <w:rPr>
          <w:shd w:val="clear" w:color="auto" w:fill="FFFFFF"/>
        </w:rPr>
        <w:t>(</w:t>
      </w:r>
      <w:hyperlink r:id="rId40" w:history="1">
        <w:r w:rsidRPr="00B46764" w:rsidR="00DA3958">
          <w:rPr>
            <w:rStyle w:val="Hyperlink"/>
            <w:rFonts w:cstheme="minorHAnsi"/>
            <w:shd w:val="clear" w:color="auto" w:fill="FFFFFF"/>
          </w:rPr>
          <w:t>https://d1vy0qa05cdjr5.cloudfront.net/c6f30ca0-84ae-4613-bec0-5439702d4b9e/FSPCA%20-%20Sprouts/SSA%20curriculum%20V2.3%20-%20For%20PRINT%20watermark%20optimized.pdf</w:t>
        </w:r>
      </w:hyperlink>
      <w:r w:rsidRPr="00812E2A" w:rsidR="00DA3958">
        <w:rPr>
          <w:rStyle w:val="Hyperlink"/>
          <w:rFonts w:cstheme="minorHAnsi"/>
          <w:color w:val="auto"/>
          <w:u w:val="none"/>
          <w:shd w:val="clear" w:color="auto" w:fill="FFFFFF"/>
        </w:rPr>
        <w:t>)</w:t>
      </w:r>
    </w:p>
    <w:p w:rsidR="006F3F8D" w:rsidRPr="006E43DC" w:rsidP="00E47C04" w14:paraId="168F50E8" w14:textId="69ED5442">
      <w:pPr>
        <w:pStyle w:val="GuidanceParagraph"/>
      </w:pPr>
      <w:bookmarkStart w:id="284" w:name="_Ref85120014"/>
      <w:r w:rsidRPr="006E43DC">
        <w:t xml:space="preserve">Ref. </w:t>
      </w:r>
      <w:r w:rsidRPr="006E43DC">
        <w:fldChar w:fldCharType="begin"/>
      </w:r>
      <w:r w:rsidRPr="006E43DC">
        <w:instrText>SEQ Ref. \* ARABIC</w:instrText>
      </w:r>
      <w:r w:rsidRPr="006E43DC">
        <w:fldChar w:fldCharType="separate"/>
      </w:r>
      <w:r w:rsidR="001B1E2C">
        <w:rPr>
          <w:noProof/>
        </w:rPr>
        <w:t>25</w:t>
      </w:r>
      <w:r w:rsidRPr="006E43DC">
        <w:fldChar w:fldCharType="end"/>
      </w:r>
      <w:bookmarkEnd w:id="283"/>
      <w:bookmarkEnd w:id="284"/>
      <w:r w:rsidRPr="006E43DC">
        <w:t xml:space="preserve">. Institute for Food Safety and Health. </w:t>
      </w:r>
      <w:r w:rsidR="00DE7D2C">
        <w:t>“</w:t>
      </w:r>
      <w:r w:rsidRPr="006E43DC">
        <w:t>IIT IFSH Launches FDA Funded Sprout Safety Alliance.</w:t>
      </w:r>
      <w:r w:rsidR="00DE7D2C">
        <w:t>”</w:t>
      </w:r>
      <w:r w:rsidRPr="006E43DC">
        <w:t xml:space="preserve"> </w:t>
      </w:r>
      <w:r w:rsidR="00DA3958">
        <w:t>A</w:t>
      </w:r>
      <w:r w:rsidRPr="006E43DC">
        <w:t xml:space="preserve">ccessed </w:t>
      </w:r>
      <w:r w:rsidR="00A411FB">
        <w:t>October 14</w:t>
      </w:r>
      <w:r w:rsidRPr="006E43DC">
        <w:t>, 202</w:t>
      </w:r>
      <w:r w:rsidR="00A411FB">
        <w:t>1</w:t>
      </w:r>
      <w:r w:rsidRPr="006E43DC">
        <w:t xml:space="preserve">. </w:t>
      </w:r>
      <w:r w:rsidR="00DA3958">
        <w:t>(</w:t>
      </w:r>
      <w:hyperlink r:id="rId41" w:history="1">
        <w:r w:rsidRPr="00B46764" w:rsidR="00DA3958">
          <w:rPr>
            <w:rStyle w:val="Hyperlink"/>
          </w:rPr>
          <w:t>https://www.ifsh.iit.edu/news/2012/02/iit-ifsh-launches-fda-funded-sprout-safety-alliance</w:t>
        </w:r>
      </w:hyperlink>
      <w:r w:rsidRPr="00812E2A" w:rsidR="00DA3958">
        <w:rPr>
          <w:rStyle w:val="Hyperlink"/>
          <w:color w:val="auto"/>
          <w:u w:val="none"/>
        </w:rPr>
        <w:t>)</w:t>
      </w:r>
      <w:r w:rsidR="00E42320">
        <w:rPr>
          <w:rStyle w:val="Hyperlink"/>
          <w:color w:val="auto"/>
          <w:u w:val="none"/>
        </w:rPr>
        <w:t>*</w:t>
      </w:r>
    </w:p>
    <w:p w:rsidR="006F3F8D" w:rsidRPr="006E43DC" w:rsidP="00E47C04" w14:paraId="131F813E" w14:textId="5A8F2B12">
      <w:pPr>
        <w:pStyle w:val="GuidanceParagraph"/>
      </w:pPr>
      <w:bookmarkStart w:id="285" w:name="_Ref51087097"/>
      <w:r w:rsidRPr="006E43DC">
        <w:t xml:space="preserve">Ref. </w:t>
      </w:r>
      <w:r w:rsidRPr="006E43DC">
        <w:fldChar w:fldCharType="begin"/>
      </w:r>
      <w:r w:rsidRPr="006E43DC">
        <w:instrText>SEQ Ref. \* ARABIC</w:instrText>
      </w:r>
      <w:r w:rsidRPr="006E43DC">
        <w:fldChar w:fldCharType="separate"/>
      </w:r>
      <w:r w:rsidR="001B1E2C">
        <w:rPr>
          <w:noProof/>
        </w:rPr>
        <w:t>26</w:t>
      </w:r>
      <w:r w:rsidRPr="006E43DC">
        <w:fldChar w:fldCharType="end"/>
      </w:r>
      <w:bookmarkEnd w:id="285"/>
      <w:r w:rsidRPr="006E43DC">
        <w:t xml:space="preserve">. Food and Drug Administration. 2015. </w:t>
      </w:r>
      <w:r w:rsidR="00572711">
        <w:t>“</w:t>
      </w:r>
      <w:r w:rsidRPr="006E43DC">
        <w:t>FDA's Strategy for FSMA Training.</w:t>
      </w:r>
      <w:r w:rsidR="00572711">
        <w:t>”</w:t>
      </w:r>
      <w:r w:rsidRPr="006E43DC">
        <w:t xml:space="preserve"> </w:t>
      </w:r>
      <w:r w:rsidR="00E86798">
        <w:t>A</w:t>
      </w:r>
      <w:r w:rsidRPr="006E43DC">
        <w:t xml:space="preserve">ccessed </w:t>
      </w:r>
      <w:r w:rsidR="00273096">
        <w:t>October</w:t>
      </w:r>
      <w:r w:rsidRPr="006E43DC">
        <w:t xml:space="preserve"> </w:t>
      </w:r>
      <w:r w:rsidR="00273096">
        <w:t>14</w:t>
      </w:r>
      <w:r w:rsidRPr="006E43DC">
        <w:t>, 202</w:t>
      </w:r>
      <w:r w:rsidR="00273096">
        <w:t>1</w:t>
      </w:r>
      <w:r w:rsidRPr="006E43DC">
        <w:t xml:space="preserve">. </w:t>
      </w:r>
      <w:r w:rsidR="00E86798">
        <w:t>(</w:t>
      </w:r>
      <w:hyperlink r:id="rId42" w:history="1">
        <w:r w:rsidRPr="00B46764" w:rsidR="00E86798">
          <w:rPr>
            <w:rStyle w:val="Hyperlink"/>
          </w:rPr>
          <w:t>http://www.fda.gov/Food/GuidanceRegulation/FSMA/ucm461513.htm</w:t>
        </w:r>
      </w:hyperlink>
      <w:r w:rsidRPr="00812E2A" w:rsidR="00E86798">
        <w:rPr>
          <w:rStyle w:val="Hyperlink"/>
          <w:color w:val="auto"/>
          <w:u w:val="none"/>
        </w:rPr>
        <w:t>)</w:t>
      </w:r>
      <w:r w:rsidR="00E42320">
        <w:rPr>
          <w:rStyle w:val="Hyperlink"/>
          <w:color w:val="auto"/>
          <w:u w:val="none"/>
        </w:rPr>
        <w:t>*</w:t>
      </w:r>
    </w:p>
    <w:p w:rsidR="00996A29" w:rsidRPr="00996A29" w:rsidP="00E47C04" w14:paraId="23465FCE" w14:textId="6EA948B8">
      <w:pPr>
        <w:pStyle w:val="GuidanceParagraph"/>
        <w:rPr>
          <w:rStyle w:val="Hyperlink"/>
        </w:rPr>
      </w:pPr>
      <w:bookmarkStart w:id="286" w:name="_Ref117862780"/>
      <w:bookmarkStart w:id="287" w:name="_Ref51087125"/>
      <w:r>
        <w:t xml:space="preserve">Ref. </w:t>
      </w:r>
      <w:r>
        <w:fldChar w:fldCharType="begin"/>
      </w:r>
      <w:r>
        <w:instrText xml:space="preserve"> SEQ Ref. \* ARABIC </w:instrText>
      </w:r>
      <w:r>
        <w:fldChar w:fldCharType="separate"/>
      </w:r>
      <w:r w:rsidR="001B1E2C">
        <w:rPr>
          <w:noProof/>
        </w:rPr>
        <w:t>27</w:t>
      </w:r>
      <w:r w:rsidR="001B1E2C">
        <w:rPr>
          <w:noProof/>
        </w:rPr>
        <w:fldChar w:fldCharType="end"/>
      </w:r>
      <w:bookmarkEnd w:id="286"/>
      <w:r>
        <w:t>. Sprout Safety Alliance. 202</w:t>
      </w:r>
      <w:r w:rsidR="00D5050A">
        <w:t>3</w:t>
      </w:r>
      <w:r>
        <w:t>. “</w:t>
      </w:r>
      <w:r w:rsidR="001C139F">
        <w:t>Food Safety Best Practices for Sprout Production</w:t>
      </w:r>
      <w:r>
        <w:t>” Video Series. Accessed XX. (</w:t>
      </w:r>
      <w:r>
        <w:fldChar w:fldCharType="begin"/>
      </w:r>
      <w:r>
        <w:instrText xml:space="preserve"> HYPERLINK "https://www.ifsh.iit.edu/ssa/resources" </w:instrText>
      </w:r>
      <w:r>
        <w:fldChar w:fldCharType="separate"/>
      </w:r>
      <w:r w:rsidRPr="00996A29">
        <w:rPr>
          <w:rStyle w:val="Hyperlink"/>
        </w:rPr>
        <w:t>https://www.ifsh.iit.edu/ssa/resources)</w:t>
      </w:r>
    </w:p>
    <w:p w:rsidR="006F3F8D" w:rsidRPr="006E43DC" w:rsidP="00E47C04" w14:paraId="3AADDA67" w14:textId="1B3BB34D">
      <w:pPr>
        <w:pStyle w:val="GuidanceParagraph"/>
      </w:pPr>
      <w:r>
        <w:fldChar w:fldCharType="end"/>
      </w:r>
      <w:bookmarkStart w:id="288" w:name="_Ref117862905"/>
      <w:r w:rsidRPr="006E43DC">
        <w:t xml:space="preserve">Ref. </w:t>
      </w:r>
      <w:r w:rsidRPr="006E43DC">
        <w:fldChar w:fldCharType="begin"/>
      </w:r>
      <w:r w:rsidRPr="006E43DC">
        <w:instrText>SEQ Ref. \* ARABIC</w:instrText>
      </w:r>
      <w:r w:rsidRPr="006E43DC">
        <w:fldChar w:fldCharType="separate"/>
      </w:r>
      <w:r w:rsidR="001B1E2C">
        <w:rPr>
          <w:noProof/>
        </w:rPr>
        <w:t>28</w:t>
      </w:r>
      <w:r w:rsidRPr="006E43DC">
        <w:fldChar w:fldCharType="end"/>
      </w:r>
      <w:bookmarkEnd w:id="287"/>
      <w:bookmarkEnd w:id="288"/>
      <w:r w:rsidRPr="006E43DC">
        <w:t xml:space="preserve">. </w:t>
      </w:r>
      <w:r w:rsidRPr="006E43DC">
        <w:t>Gradl</w:t>
      </w:r>
      <w:r w:rsidRPr="006E43DC">
        <w:t xml:space="preserve">, D.R., et al. </w:t>
      </w:r>
      <w:r w:rsidR="00D3149F">
        <w:t>2015.</w:t>
      </w:r>
      <w:r>
        <w:t xml:space="preserve"> </w:t>
      </w:r>
      <w:r w:rsidR="00DE7D2C">
        <w:t>“</w:t>
      </w:r>
      <w:r w:rsidRPr="006E43DC">
        <w:t xml:space="preserve">Survival of </w:t>
      </w:r>
      <w:r w:rsidRPr="006E43DC">
        <w:rPr>
          <w:i/>
        </w:rPr>
        <w:t>Salmonella</w:t>
      </w:r>
      <w:r w:rsidRPr="006E43DC">
        <w:t xml:space="preserve"> during Drying of Fresh Ginger Root (Zingiber officinale) and Storage of Ground Ginger</w:t>
      </w:r>
      <w:r w:rsidR="00D8170D">
        <w:t>.</w:t>
      </w:r>
      <w:r w:rsidR="00DE7D2C">
        <w:t>”</w:t>
      </w:r>
      <w:r w:rsidRPr="006E43DC">
        <w:t xml:space="preserve"> </w:t>
      </w:r>
      <w:r w:rsidRPr="006E43DC">
        <w:rPr>
          <w:i/>
        </w:rPr>
        <w:t xml:space="preserve">Journal of Food Protection </w:t>
      </w:r>
      <w:r w:rsidRPr="006E43DC">
        <w:t>78 (11):1954-1959.</w:t>
      </w:r>
    </w:p>
    <w:p w:rsidR="006F3F8D" w:rsidRPr="006E43DC" w:rsidP="00E47C04" w14:paraId="3AA061B5" w14:textId="5EB8D953">
      <w:pPr>
        <w:pStyle w:val="GuidanceParagraph"/>
      </w:pPr>
      <w:bookmarkStart w:id="289" w:name="_Ref51087138"/>
      <w:r w:rsidRPr="006E43DC">
        <w:t xml:space="preserve">Ref. </w:t>
      </w:r>
      <w:r w:rsidRPr="006E43DC">
        <w:fldChar w:fldCharType="begin"/>
      </w:r>
      <w:r w:rsidRPr="006E43DC">
        <w:instrText>SEQ Ref. \* ARABIC</w:instrText>
      </w:r>
      <w:r w:rsidRPr="006E43DC">
        <w:fldChar w:fldCharType="separate"/>
      </w:r>
      <w:r w:rsidR="001B1E2C">
        <w:rPr>
          <w:noProof/>
        </w:rPr>
        <w:t>29</w:t>
      </w:r>
      <w:r w:rsidRPr="006E43DC">
        <w:fldChar w:fldCharType="end"/>
      </w:r>
      <w:bookmarkEnd w:id="289"/>
      <w:r w:rsidRPr="006E43DC">
        <w:t xml:space="preserve">. Wang, C., et al. </w:t>
      </w:r>
      <w:r w:rsidR="00C175CA">
        <w:t>2016</w:t>
      </w:r>
      <w:r w:rsidR="00B736E5">
        <w:t xml:space="preserve">. </w:t>
      </w:r>
      <w:r w:rsidR="00DE7D2C">
        <w:t>“</w:t>
      </w:r>
      <w:r w:rsidRPr="006E43DC">
        <w:t xml:space="preserve">Growth and Survival of </w:t>
      </w:r>
      <w:r w:rsidRPr="006E43DC">
        <w:rPr>
          <w:i/>
        </w:rPr>
        <w:t>Salmonella</w:t>
      </w:r>
      <w:r w:rsidRPr="006E43DC">
        <w:t xml:space="preserve"> in Partially Sprouted Pumpkin, Sunflower, and Chia Seeds Subsequently Dried for Direct Consumption.</w:t>
      </w:r>
      <w:r w:rsidR="00DE7D2C">
        <w:t>”</w:t>
      </w:r>
      <w:r w:rsidRPr="006E43DC">
        <w:t xml:space="preserve"> Poster presented at the Institute for Food Technologists Conference in Chicago, IL, July.</w:t>
      </w:r>
    </w:p>
    <w:p w:rsidR="006F3F8D" w:rsidRPr="006E43DC" w:rsidP="00E47C04" w14:paraId="35D130C0" w14:textId="327F6729">
      <w:pPr>
        <w:pStyle w:val="GuidanceParagraph"/>
      </w:pPr>
      <w:bookmarkStart w:id="290" w:name="_Ref51087235"/>
      <w:r w:rsidRPr="006E43DC">
        <w:t xml:space="preserve">Ref. </w:t>
      </w:r>
      <w:r w:rsidRPr="006E43DC">
        <w:fldChar w:fldCharType="begin"/>
      </w:r>
      <w:r w:rsidRPr="006E43DC">
        <w:instrText>SEQ Ref. \* ARABIC</w:instrText>
      </w:r>
      <w:r w:rsidRPr="006E43DC">
        <w:fldChar w:fldCharType="separate"/>
      </w:r>
      <w:r w:rsidR="001B1E2C">
        <w:rPr>
          <w:noProof/>
        </w:rPr>
        <w:t>30</w:t>
      </w:r>
      <w:r w:rsidRPr="006E43DC">
        <w:fldChar w:fldCharType="end"/>
      </w:r>
      <w:bookmarkEnd w:id="290"/>
      <w:r w:rsidRPr="006E43DC">
        <w:t xml:space="preserve">. Liu, B., et al. </w:t>
      </w:r>
      <w:r w:rsidR="0055551C">
        <w:t>2007.</w:t>
      </w:r>
      <w:r w:rsidRPr="006F3F8D">
        <w:t xml:space="preserve"> </w:t>
      </w:r>
      <w:r w:rsidR="00DE7D2C">
        <w:t>“</w:t>
      </w:r>
      <w:r w:rsidRPr="006E43DC">
        <w:t xml:space="preserve">Mathematical Modeling and Assessment of Microbial Migration during the Sprouting of Alfalfa in Trays in a Nonuniformly Contaminated Seed Batch Using Enterobacter aerogenes as a Surrogate for </w:t>
      </w:r>
      <w:r w:rsidRPr="006E43DC">
        <w:rPr>
          <w:i/>
        </w:rPr>
        <w:t>Salmonella</w:t>
      </w:r>
      <w:r w:rsidRPr="006E43DC">
        <w:t xml:space="preserve"> Stanley</w:t>
      </w:r>
      <w:r w:rsidR="00D8170D">
        <w:t>.</w:t>
      </w:r>
      <w:r w:rsidR="00DE7D2C">
        <w:t>”</w:t>
      </w:r>
      <w:r w:rsidRPr="006E43DC">
        <w:t xml:space="preserve"> </w:t>
      </w:r>
      <w:r w:rsidRPr="006E43DC">
        <w:rPr>
          <w:i/>
        </w:rPr>
        <w:t xml:space="preserve">Journal of Food Protection </w:t>
      </w:r>
      <w:r w:rsidRPr="006E43DC">
        <w:t>70 (11):2602–2605.</w:t>
      </w:r>
    </w:p>
    <w:p w:rsidR="006F3F8D" w:rsidRPr="006E43DC" w:rsidP="00E47C04" w14:paraId="354800FB" w14:textId="175DA169">
      <w:pPr>
        <w:pStyle w:val="GuidanceParagraph"/>
      </w:pPr>
      <w:bookmarkStart w:id="291" w:name="_Ref51087250"/>
      <w:r w:rsidRPr="006E43DC">
        <w:t xml:space="preserve">Ref. </w:t>
      </w:r>
      <w:r w:rsidRPr="006E43DC">
        <w:fldChar w:fldCharType="begin"/>
      </w:r>
      <w:r w:rsidRPr="006E43DC">
        <w:instrText>SEQ Ref. \* ARABIC</w:instrText>
      </w:r>
      <w:r w:rsidRPr="006E43DC">
        <w:fldChar w:fldCharType="separate"/>
      </w:r>
      <w:r w:rsidR="001B1E2C">
        <w:rPr>
          <w:noProof/>
        </w:rPr>
        <w:t>31</w:t>
      </w:r>
      <w:r w:rsidRPr="006E43DC">
        <w:fldChar w:fldCharType="end"/>
      </w:r>
      <w:bookmarkEnd w:id="291"/>
      <w:r w:rsidRPr="006E43DC">
        <w:t xml:space="preserve">. Hora, R., et al. </w:t>
      </w:r>
      <w:r w:rsidR="0055551C">
        <w:t>2005.</w:t>
      </w:r>
      <w:r w:rsidRPr="006F3F8D">
        <w:t xml:space="preserve"> </w:t>
      </w:r>
      <w:r w:rsidR="00DE7D2C">
        <w:t>“</w:t>
      </w:r>
      <w:r w:rsidRPr="006E43DC">
        <w:t xml:space="preserve">Spatial Distribution of </w:t>
      </w:r>
      <w:r w:rsidRPr="006E43DC">
        <w:rPr>
          <w:i/>
        </w:rPr>
        <w:t>Salmonella</w:t>
      </w:r>
      <w:r w:rsidRPr="006E43DC">
        <w:t xml:space="preserve">, </w:t>
      </w:r>
      <w:r w:rsidRPr="006E43DC">
        <w:rPr>
          <w:i/>
        </w:rPr>
        <w:t>Escherichia coli</w:t>
      </w:r>
      <w:r w:rsidRPr="006E43DC">
        <w:t xml:space="preserve"> O157:H7, and Other Bacterial Populations in Commercial and Laboratory-Scale Sprouting Mung Bean Beds</w:t>
      </w:r>
      <w:r w:rsidR="00D8170D">
        <w:t>.</w:t>
      </w:r>
      <w:r w:rsidR="00DE7D2C">
        <w:t>”</w:t>
      </w:r>
      <w:r w:rsidRPr="006E43DC">
        <w:t xml:space="preserve"> </w:t>
      </w:r>
      <w:r w:rsidRPr="006E43DC">
        <w:rPr>
          <w:i/>
        </w:rPr>
        <w:t xml:space="preserve">Journal of Food Protection </w:t>
      </w:r>
      <w:r w:rsidRPr="006E43DC">
        <w:t>68 (12):2510–2518.</w:t>
      </w:r>
    </w:p>
    <w:p w:rsidR="006F3F8D" w:rsidRPr="006E43DC" w:rsidP="00E47C04" w14:paraId="265A5EBF" w14:textId="1F14A57E">
      <w:pPr>
        <w:pStyle w:val="GuidanceParagraph"/>
      </w:pPr>
      <w:bookmarkStart w:id="292" w:name="_Ref85095774"/>
      <w:r w:rsidRPr="006E43DC">
        <w:t xml:space="preserve">Ref. </w:t>
      </w:r>
      <w:r>
        <w:fldChar w:fldCharType="begin"/>
      </w:r>
      <w:r>
        <w:instrText>SEQ Ref. \* ARABIC</w:instrText>
      </w:r>
      <w:r>
        <w:fldChar w:fldCharType="separate"/>
      </w:r>
      <w:r w:rsidR="001B1E2C">
        <w:rPr>
          <w:noProof/>
        </w:rPr>
        <w:t>32</w:t>
      </w:r>
      <w:r>
        <w:fldChar w:fldCharType="end"/>
      </w:r>
      <w:bookmarkEnd w:id="292"/>
      <w:r w:rsidRPr="006E43DC">
        <w:t xml:space="preserve">. </w:t>
      </w:r>
      <w:r w:rsidRPr="006E43DC">
        <w:t xml:space="preserve">Food Standards Australia New Zealand. </w:t>
      </w:r>
      <w:r w:rsidR="004C0A61">
        <w:t>2011.</w:t>
      </w:r>
      <w:r w:rsidRPr="006F3F8D">
        <w:t xml:space="preserve"> </w:t>
      </w:r>
      <w:r w:rsidR="00DE7D2C">
        <w:t>“</w:t>
      </w:r>
      <w:r w:rsidRPr="006E43DC">
        <w:t>Proposal P1004, Primary Production and Processing Standard for Seed Sprouts, Approval Report.</w:t>
      </w:r>
      <w:r w:rsidR="00DE7D2C">
        <w:t>”</w:t>
      </w:r>
    </w:p>
    <w:p w:rsidR="00AC00DF" w:rsidP="00E47C04" w14:paraId="0461CBE1" w14:textId="4C017578">
      <w:pPr>
        <w:pStyle w:val="GuidanceParagraph"/>
      </w:pPr>
      <w:bookmarkStart w:id="293" w:name="_Ref51087560"/>
      <w:r w:rsidRPr="006E43DC">
        <w:t xml:space="preserve">Ref. </w:t>
      </w:r>
      <w:r w:rsidRPr="006E43DC">
        <w:fldChar w:fldCharType="begin"/>
      </w:r>
      <w:r w:rsidRPr="006E43DC">
        <w:instrText>SEQ Ref. \* ARABIC</w:instrText>
      </w:r>
      <w:r w:rsidRPr="006E43DC">
        <w:fldChar w:fldCharType="separate"/>
      </w:r>
      <w:r w:rsidR="001B1E2C">
        <w:rPr>
          <w:noProof/>
        </w:rPr>
        <w:t>33</w:t>
      </w:r>
      <w:r w:rsidRPr="006E43DC">
        <w:fldChar w:fldCharType="end"/>
      </w:r>
      <w:bookmarkEnd w:id="293"/>
      <w:r w:rsidRPr="006E43DC">
        <w:t xml:space="preserve">. Smith, M.A. </w:t>
      </w:r>
      <w:r w:rsidR="00483206">
        <w:t>2014.</w:t>
      </w:r>
      <w:r w:rsidRPr="006F3F8D">
        <w:t xml:space="preserve"> </w:t>
      </w:r>
      <w:r w:rsidR="003F1DB1">
        <w:t xml:space="preserve"> “</w:t>
      </w:r>
      <w:r w:rsidRPr="006E43DC">
        <w:t xml:space="preserve">Evolution of FDA’s Policy: Sprouts </w:t>
      </w:r>
      <w:r w:rsidR="00483206">
        <w:t>V</w:t>
      </w:r>
      <w:r w:rsidRPr="006E43DC">
        <w:t>ersus Microgreens.</w:t>
      </w:r>
      <w:r w:rsidR="003F1DB1">
        <w:t>”</w:t>
      </w:r>
      <w:r w:rsidRPr="006E43DC">
        <w:t xml:space="preserve"> </w:t>
      </w:r>
      <w:r w:rsidRPr="00AD166B" w:rsidR="006128A3">
        <w:t>Present</w:t>
      </w:r>
      <w:r w:rsidRPr="00AD166B" w:rsidR="00F52E13">
        <w:t>at</w:t>
      </w:r>
      <w:r w:rsidRPr="00AD166B" w:rsidR="00370617">
        <w:t>ion</w:t>
      </w:r>
      <w:r w:rsidRPr="00AD166B" w:rsidR="006128A3">
        <w:t xml:space="preserve"> </w:t>
      </w:r>
      <w:r w:rsidRPr="00AD166B" w:rsidR="00F52E13">
        <w:t>in</w:t>
      </w:r>
      <w:r w:rsidRPr="00AD166B" w:rsidR="00495D5F">
        <w:t xml:space="preserve"> </w:t>
      </w:r>
      <w:r w:rsidRPr="00AD166B" w:rsidR="00F52E13">
        <w:t>S</w:t>
      </w:r>
      <w:r w:rsidRPr="00AD166B" w:rsidR="00495D5F">
        <w:t xml:space="preserve">ymposium </w:t>
      </w:r>
      <w:r w:rsidRPr="00AD166B" w:rsidR="00CA1A21">
        <w:t>S31</w:t>
      </w:r>
      <w:r w:rsidRPr="00AD166B" w:rsidR="00BA6F61">
        <w:t xml:space="preserve">, </w:t>
      </w:r>
      <w:r w:rsidRPr="00AD166B" w:rsidR="00495D5F">
        <w:t>in</w:t>
      </w:r>
      <w:r w:rsidRPr="00AD166B" w:rsidR="00BA6F61">
        <w:t xml:space="preserve"> Microgreens and Sprouts under Microscope: Similarities and Differences in Botanic Structure, Agricultural Practices, and Food Safety Risks</w:t>
      </w:r>
      <w:r w:rsidR="00361477">
        <w:t>. Annual Meeting of the International Association for Food Protection</w:t>
      </w:r>
      <w:r w:rsidR="00001CD6">
        <w:t>,</w:t>
      </w:r>
      <w:r w:rsidRPr="006E43DC">
        <w:t xml:space="preserve"> </w:t>
      </w:r>
      <w:r w:rsidRPr="006E43DC" w:rsidR="00AD166B">
        <w:t>August 5</w:t>
      </w:r>
      <w:r w:rsidR="0090242A">
        <w:t>.</w:t>
      </w:r>
      <w:r w:rsidR="00AD166B">
        <w:t xml:space="preserve"> </w:t>
      </w:r>
      <w:r w:rsidRPr="006E43DC">
        <w:t>Indianapolis, IN.</w:t>
      </w:r>
    </w:p>
    <w:p w:rsidR="003F532D" w:rsidRPr="006E43DC" w:rsidP="00E47C04" w14:paraId="6FB97ED7" w14:textId="790C67C7">
      <w:pPr>
        <w:pStyle w:val="GuidanceParagraph"/>
      </w:pPr>
      <w:bookmarkStart w:id="294" w:name="_Ref89279730"/>
      <w:r>
        <w:t xml:space="preserve">Ref. </w:t>
      </w:r>
      <w:r>
        <w:fldChar w:fldCharType="begin"/>
      </w:r>
      <w:r>
        <w:instrText>SEQ Ref. \* ARABIC</w:instrText>
      </w:r>
      <w:r>
        <w:fldChar w:fldCharType="separate"/>
      </w:r>
      <w:r w:rsidR="001B1E2C">
        <w:rPr>
          <w:noProof/>
        </w:rPr>
        <w:t>34</w:t>
      </w:r>
      <w:r>
        <w:fldChar w:fldCharType="end"/>
      </w:r>
      <w:bookmarkEnd w:id="294"/>
      <w:r w:rsidRPr="006E43DC" w:rsidR="00F64178">
        <w:t xml:space="preserve"> </w:t>
      </w:r>
      <w:r w:rsidRPr="006E43DC">
        <w:t>Tompkin</w:t>
      </w:r>
      <w:r w:rsidRPr="006E43DC">
        <w:t xml:space="preserve">, R.B., et al. </w:t>
      </w:r>
      <w:r w:rsidR="00930570">
        <w:t>1999.</w:t>
      </w:r>
      <w:r>
        <w:t xml:space="preserve"> </w:t>
      </w:r>
      <w:r w:rsidR="00DE7D2C">
        <w:t>“</w:t>
      </w:r>
      <w:r w:rsidRPr="006E43DC">
        <w:t xml:space="preserve">Guidelines to Prevent Post-Processing Contamination from </w:t>
      </w:r>
      <w:r w:rsidRPr="006E43DC">
        <w:rPr>
          <w:i/>
        </w:rPr>
        <w:t>Listeria monocytogenes</w:t>
      </w:r>
      <w:r w:rsidR="006837D9">
        <w:t>.</w:t>
      </w:r>
      <w:r w:rsidR="00DE7D2C">
        <w:t>”</w:t>
      </w:r>
      <w:r w:rsidRPr="006E43DC">
        <w:t xml:space="preserve"> </w:t>
      </w:r>
      <w:r w:rsidRPr="006E43DC">
        <w:rPr>
          <w:i/>
        </w:rPr>
        <w:t xml:space="preserve">Dairy, Food and Environmental Sanitation </w:t>
      </w:r>
      <w:r w:rsidRPr="006E43DC">
        <w:t>19 (8):551-562.</w:t>
      </w:r>
    </w:p>
    <w:p w:rsidR="003F532D" w:rsidRPr="006E43DC" w:rsidP="00E47C04" w14:paraId="3A43E150" w14:textId="1C3FB8E0">
      <w:pPr>
        <w:pStyle w:val="GuidanceParagraph"/>
      </w:pPr>
      <w:bookmarkStart w:id="295" w:name="_Ref51098040"/>
      <w:r w:rsidRPr="006E43DC">
        <w:t xml:space="preserve">Ref. </w:t>
      </w:r>
      <w:r w:rsidRPr="006E43DC">
        <w:fldChar w:fldCharType="begin"/>
      </w:r>
      <w:r w:rsidRPr="006E43DC">
        <w:instrText>SEQ Ref. \* ARABIC</w:instrText>
      </w:r>
      <w:r w:rsidRPr="006E43DC">
        <w:fldChar w:fldCharType="separate"/>
      </w:r>
      <w:r w:rsidR="001B1E2C">
        <w:rPr>
          <w:noProof/>
        </w:rPr>
        <w:t>35</w:t>
      </w:r>
      <w:r w:rsidRPr="006E43DC">
        <w:fldChar w:fldCharType="end"/>
      </w:r>
      <w:bookmarkEnd w:id="295"/>
      <w:r w:rsidRPr="006E43DC">
        <w:t xml:space="preserve">. Marriott, N. and R.B. </w:t>
      </w:r>
      <w:r w:rsidRPr="006E43DC">
        <w:t>Gravani</w:t>
      </w:r>
      <w:r w:rsidRPr="006E43DC">
        <w:t xml:space="preserve">. </w:t>
      </w:r>
      <w:r w:rsidR="00930570">
        <w:t>2006.</w:t>
      </w:r>
      <w:r>
        <w:t xml:space="preserve"> </w:t>
      </w:r>
      <w:r w:rsidR="00DE7D2C">
        <w:t>“</w:t>
      </w:r>
      <w:r w:rsidRPr="006E43DC">
        <w:t>Fruit and Vegetable Processing Plant Sanitation.</w:t>
      </w:r>
      <w:r w:rsidR="00DE7D2C">
        <w:t>”</w:t>
      </w:r>
      <w:r w:rsidRPr="006E43DC">
        <w:t xml:space="preserve"> </w:t>
      </w:r>
      <w:r w:rsidRPr="006E43DC">
        <w:rPr>
          <w:i/>
        </w:rPr>
        <w:t>Principles of Food Sanitation</w:t>
      </w:r>
      <w:r w:rsidRPr="006E43DC">
        <w:t xml:space="preserve">, </w:t>
      </w:r>
      <w:r w:rsidRPr="006E43DC">
        <w:rPr>
          <w:i/>
        </w:rPr>
        <w:t>5th</w:t>
      </w:r>
      <w:r w:rsidRPr="006E43DC">
        <w:rPr>
          <w:i/>
          <w:vertAlign w:val="superscript"/>
        </w:rPr>
        <w:t xml:space="preserve"> </w:t>
      </w:r>
      <w:r w:rsidRPr="006E43DC">
        <w:rPr>
          <w:i/>
        </w:rPr>
        <w:t>edition</w:t>
      </w:r>
      <w:r w:rsidRPr="006E43DC">
        <w:t xml:space="preserve">, edited by N.G. Marriott and R.B. </w:t>
      </w:r>
      <w:r w:rsidRPr="006E43DC">
        <w:t>Gravani</w:t>
      </w:r>
      <w:r w:rsidRPr="006E43DC">
        <w:t>, pp 336-349. New York, New York: Springer.</w:t>
      </w:r>
    </w:p>
    <w:p w:rsidR="003F532D" w:rsidRPr="006E43DC" w:rsidP="00E47C04" w14:paraId="5927806B" w14:textId="08B2A499">
      <w:pPr>
        <w:pStyle w:val="GuidanceParagraph"/>
      </w:pPr>
      <w:bookmarkStart w:id="296" w:name="_Ref51098056"/>
      <w:r w:rsidRPr="006E43DC">
        <w:t xml:space="preserve">Ref. </w:t>
      </w:r>
      <w:r w:rsidRPr="006E43DC">
        <w:fldChar w:fldCharType="begin"/>
      </w:r>
      <w:r w:rsidRPr="006E43DC">
        <w:instrText>SEQ Ref. \* ARABIC</w:instrText>
      </w:r>
      <w:r w:rsidRPr="006E43DC">
        <w:fldChar w:fldCharType="separate"/>
      </w:r>
      <w:r w:rsidR="001B1E2C">
        <w:rPr>
          <w:noProof/>
        </w:rPr>
        <w:t>36</w:t>
      </w:r>
      <w:r w:rsidRPr="006E43DC">
        <w:fldChar w:fldCharType="end"/>
      </w:r>
      <w:bookmarkEnd w:id="296"/>
      <w:r w:rsidRPr="006E43DC">
        <w:t xml:space="preserve">. </w:t>
      </w:r>
      <w:r w:rsidRPr="006E43DC">
        <w:t xml:space="preserve">Stanfield. P. </w:t>
      </w:r>
      <w:r w:rsidR="00930570">
        <w:t>2002.</w:t>
      </w:r>
      <w:r>
        <w:t xml:space="preserve"> </w:t>
      </w:r>
      <w:r w:rsidR="00DE7D2C">
        <w:t>“</w:t>
      </w:r>
      <w:r w:rsidRPr="006E43DC">
        <w:t>Cleaning and Sanitizing a Food Plant.</w:t>
      </w:r>
      <w:r w:rsidR="00DE7D2C">
        <w:t>”</w:t>
      </w:r>
      <w:r w:rsidRPr="006E43DC">
        <w:t xml:space="preserve"> </w:t>
      </w:r>
      <w:r w:rsidRPr="006E43DC">
        <w:rPr>
          <w:i/>
        </w:rPr>
        <w:t>Food Plant Sanitation, 1st edition</w:t>
      </w:r>
      <w:r w:rsidRPr="006E43DC">
        <w:t>, edited by Y.H. Hui et al., pp 101-114. New York, New York: Marcel Dekker, Inc.</w:t>
      </w:r>
    </w:p>
    <w:p w:rsidR="003F532D" w:rsidRPr="006E43DC" w:rsidP="00E47C04" w14:paraId="5B767837" w14:textId="72FB47DD">
      <w:pPr>
        <w:pStyle w:val="GuidanceParagraph"/>
      </w:pPr>
      <w:bookmarkStart w:id="297" w:name="_Ref51098095"/>
      <w:r w:rsidRPr="006E43DC">
        <w:t xml:space="preserve">Ref. </w:t>
      </w:r>
      <w:r w:rsidRPr="006E43DC">
        <w:fldChar w:fldCharType="begin"/>
      </w:r>
      <w:r w:rsidRPr="006E43DC">
        <w:instrText>SEQ Ref. \* ARABIC</w:instrText>
      </w:r>
      <w:r w:rsidRPr="006E43DC">
        <w:fldChar w:fldCharType="separate"/>
      </w:r>
      <w:r w:rsidR="001B1E2C">
        <w:rPr>
          <w:noProof/>
        </w:rPr>
        <w:t>37</w:t>
      </w:r>
      <w:r w:rsidRPr="006E43DC">
        <w:fldChar w:fldCharType="end"/>
      </w:r>
      <w:bookmarkEnd w:id="297"/>
      <w:r w:rsidRPr="006E43DC">
        <w:t>. Dunsmore, D.G., et al</w:t>
      </w:r>
      <w:r>
        <w:t>.</w:t>
      </w:r>
      <w:r w:rsidR="00377B83">
        <w:t xml:space="preserve"> 1981</w:t>
      </w:r>
      <w:r w:rsidRPr="006E43DC">
        <w:t xml:space="preserve">. </w:t>
      </w:r>
      <w:r w:rsidR="00DE7D2C">
        <w:t>“</w:t>
      </w:r>
      <w:r w:rsidRPr="006E43DC">
        <w:t>Design and Performance of Systems for Cleaning</w:t>
      </w:r>
      <w:r w:rsidR="006837D9">
        <w:t>.</w:t>
      </w:r>
      <w:r w:rsidR="00DE7D2C">
        <w:t>”</w:t>
      </w:r>
      <w:r w:rsidRPr="006E43DC">
        <w:t xml:space="preserve"> </w:t>
      </w:r>
      <w:r w:rsidRPr="006E43DC">
        <w:rPr>
          <w:i/>
        </w:rPr>
        <w:t xml:space="preserve">Journal of Food Protection </w:t>
      </w:r>
      <w:r w:rsidRPr="006E43DC">
        <w:t>44 (3):220-240.</w:t>
      </w:r>
    </w:p>
    <w:p w:rsidR="006B22B0" w:rsidRPr="006E43DC" w:rsidP="00E47C04" w14:paraId="25472027" w14:textId="0F65AE00">
      <w:pPr>
        <w:pStyle w:val="GuidanceParagraph"/>
      </w:pPr>
      <w:bookmarkStart w:id="298" w:name="_Ref51098581"/>
      <w:r w:rsidRPr="006E43DC">
        <w:t xml:space="preserve">Ref. </w:t>
      </w:r>
      <w:r w:rsidRPr="006E43DC">
        <w:fldChar w:fldCharType="begin"/>
      </w:r>
      <w:r w:rsidRPr="006E43DC">
        <w:instrText>SEQ Ref. \* ARABIC</w:instrText>
      </w:r>
      <w:r w:rsidRPr="006E43DC">
        <w:fldChar w:fldCharType="separate"/>
      </w:r>
      <w:r w:rsidR="001B1E2C">
        <w:rPr>
          <w:noProof/>
        </w:rPr>
        <w:t>38</w:t>
      </w:r>
      <w:r w:rsidRPr="006E43DC">
        <w:fldChar w:fldCharType="end"/>
      </w:r>
      <w:bookmarkEnd w:id="298"/>
      <w:r w:rsidRPr="006E43DC">
        <w:t xml:space="preserve">. Dvorak, G. </w:t>
      </w:r>
      <w:r w:rsidR="00377B83">
        <w:t>2008</w:t>
      </w:r>
      <w:r w:rsidR="00234A2B">
        <w:t>.</w:t>
      </w:r>
      <w:r>
        <w:t xml:space="preserve"> </w:t>
      </w:r>
      <w:r w:rsidR="00DE7D2C">
        <w:t>“</w:t>
      </w:r>
      <w:r w:rsidRPr="006E43DC">
        <w:t>Disinfection 101.</w:t>
      </w:r>
      <w:r w:rsidR="00DE7D2C">
        <w:t>”</w:t>
      </w:r>
      <w:r w:rsidRPr="006E43DC">
        <w:t xml:space="preserve"> Center for Food Security and Public Health.</w:t>
      </w:r>
      <w:r>
        <w:t xml:space="preserve"> Accessed February 13, 2023. (</w:t>
      </w:r>
      <w:hyperlink r:id="rId43" w:history="1">
        <w:r w:rsidRPr="00AA7208" w:rsidR="0043745B">
          <w:rPr>
            <w:rStyle w:val="Hyperlink"/>
          </w:rPr>
          <w:t>https://www.cfsph.iastate.edu/Disinfection/Assets/Disinfection101.pdf</w:t>
        </w:r>
      </w:hyperlink>
      <w:r>
        <w:t>)</w:t>
      </w:r>
    </w:p>
    <w:p w:rsidR="003F532D" w:rsidRPr="006E43DC" w:rsidP="00E47C04" w14:paraId="61632264" w14:textId="30E3F232">
      <w:pPr>
        <w:pStyle w:val="GuidanceParagraph"/>
      </w:pPr>
      <w:bookmarkStart w:id="299" w:name="_Ref51098596"/>
      <w:r w:rsidRPr="006E43DC">
        <w:t xml:space="preserve">Ref. </w:t>
      </w:r>
      <w:r w:rsidRPr="006E43DC">
        <w:fldChar w:fldCharType="begin"/>
      </w:r>
      <w:r w:rsidRPr="006E43DC">
        <w:instrText>SEQ Ref. \* ARABIC</w:instrText>
      </w:r>
      <w:r w:rsidRPr="006E43DC">
        <w:fldChar w:fldCharType="separate"/>
      </w:r>
      <w:r w:rsidR="001B1E2C">
        <w:rPr>
          <w:noProof/>
        </w:rPr>
        <w:t>39</w:t>
      </w:r>
      <w:r w:rsidRPr="006E43DC">
        <w:fldChar w:fldCharType="end"/>
      </w:r>
      <w:bookmarkEnd w:id="299"/>
      <w:r w:rsidRPr="006E43DC">
        <w:t xml:space="preserve">. </w:t>
      </w:r>
      <w:r w:rsidRPr="006E43DC">
        <w:t>Kopper</w:t>
      </w:r>
      <w:r w:rsidR="00506956">
        <w:t>,</w:t>
      </w:r>
      <w:r w:rsidRPr="006E43DC">
        <w:t xml:space="preserve"> G</w:t>
      </w:r>
      <w:r>
        <w:t>.</w:t>
      </w:r>
      <w:r w:rsidR="007A50D8">
        <w:t>,</w:t>
      </w:r>
      <w:r w:rsidRPr="006E43DC">
        <w:t xml:space="preserve"> et al. </w:t>
      </w:r>
      <w:r w:rsidR="001B7FA4">
        <w:t>2013.</w:t>
      </w:r>
      <w:r>
        <w:t xml:space="preserve"> </w:t>
      </w:r>
      <w:r w:rsidR="00DE7D2C">
        <w:t>“</w:t>
      </w:r>
      <w:r w:rsidRPr="006E43DC">
        <w:t>Hygiene in Primary Production.</w:t>
      </w:r>
      <w:r w:rsidR="00DE7D2C">
        <w:t>”</w:t>
      </w:r>
      <w:r w:rsidRPr="006E43DC">
        <w:t xml:space="preserve"> </w:t>
      </w:r>
      <w:r w:rsidRPr="006E43DC">
        <w:rPr>
          <w:i/>
        </w:rPr>
        <w:t>Food Safety Management, 1</w:t>
      </w:r>
      <w:r w:rsidRPr="006E43DC">
        <w:rPr>
          <w:i/>
          <w:vertAlign w:val="superscript"/>
        </w:rPr>
        <w:t>st</w:t>
      </w:r>
      <w:r w:rsidRPr="006E43DC">
        <w:rPr>
          <w:i/>
        </w:rPr>
        <w:t xml:space="preserve"> edition</w:t>
      </w:r>
      <w:r w:rsidRPr="006E43DC">
        <w:t xml:space="preserve">, edited by Y. </w:t>
      </w:r>
      <w:r w:rsidRPr="006E43DC">
        <w:t>Motarjemi</w:t>
      </w:r>
      <w:r w:rsidRPr="006E43DC">
        <w:t xml:space="preserve"> and H. </w:t>
      </w:r>
      <w:r w:rsidRPr="006E43DC">
        <w:t>Lelieveld</w:t>
      </w:r>
      <w:r w:rsidRPr="006E43DC">
        <w:t>, pp 559-621. Waltham, Massachusetts: Academic Press.</w:t>
      </w:r>
    </w:p>
    <w:p w:rsidR="003F532D" w:rsidRPr="006E43DC" w:rsidP="00E47C04" w14:paraId="332B435A" w14:textId="7354A333">
      <w:pPr>
        <w:pStyle w:val="GuidanceParagraph"/>
      </w:pPr>
      <w:bookmarkStart w:id="300" w:name="_Ref51098641"/>
      <w:r w:rsidRPr="006E43DC">
        <w:t xml:space="preserve">Ref. </w:t>
      </w:r>
      <w:r w:rsidRPr="006E43DC">
        <w:fldChar w:fldCharType="begin"/>
      </w:r>
      <w:r w:rsidRPr="006E43DC">
        <w:instrText>SEQ Ref. \* ARABIC</w:instrText>
      </w:r>
      <w:r w:rsidRPr="006E43DC">
        <w:fldChar w:fldCharType="separate"/>
      </w:r>
      <w:r w:rsidR="001B1E2C">
        <w:rPr>
          <w:noProof/>
        </w:rPr>
        <w:t>40</w:t>
      </w:r>
      <w:r w:rsidRPr="006E43DC">
        <w:fldChar w:fldCharType="end"/>
      </w:r>
      <w:bookmarkEnd w:id="300"/>
      <w:r w:rsidRPr="006E43DC">
        <w:t xml:space="preserve">. Marriott, N. and R.B. </w:t>
      </w:r>
      <w:r w:rsidRPr="006E43DC">
        <w:t>Gravani</w:t>
      </w:r>
      <w:r w:rsidRPr="006E43DC">
        <w:t xml:space="preserve">. </w:t>
      </w:r>
      <w:r w:rsidR="006829A6">
        <w:t>2006.</w:t>
      </w:r>
      <w:r>
        <w:t xml:space="preserve"> </w:t>
      </w:r>
      <w:r w:rsidR="009C1554">
        <w:t>“</w:t>
      </w:r>
      <w:r w:rsidRPr="006E43DC">
        <w:t>Sanitizers.</w:t>
      </w:r>
      <w:r w:rsidR="009C1554">
        <w:t>”</w:t>
      </w:r>
      <w:r w:rsidRPr="006E43DC">
        <w:t xml:space="preserve"> </w:t>
      </w:r>
      <w:r w:rsidRPr="006E43DC">
        <w:rPr>
          <w:i/>
        </w:rPr>
        <w:t>Principles of Food Sanitation</w:t>
      </w:r>
      <w:r w:rsidRPr="006E43DC">
        <w:t xml:space="preserve">, </w:t>
      </w:r>
      <w:r w:rsidRPr="006E43DC">
        <w:rPr>
          <w:i/>
        </w:rPr>
        <w:t>5th</w:t>
      </w:r>
      <w:r w:rsidRPr="006E43DC">
        <w:rPr>
          <w:i/>
          <w:vertAlign w:val="superscript"/>
        </w:rPr>
        <w:t xml:space="preserve"> </w:t>
      </w:r>
      <w:r w:rsidRPr="006E43DC">
        <w:rPr>
          <w:i/>
        </w:rPr>
        <w:t>edition</w:t>
      </w:r>
      <w:r w:rsidRPr="006E43DC">
        <w:t xml:space="preserve">, edited by N.G. Marriott and R.B. </w:t>
      </w:r>
      <w:r w:rsidRPr="006E43DC">
        <w:t>Gravani</w:t>
      </w:r>
      <w:r w:rsidRPr="006E43DC">
        <w:t>, pp 165-189. New York, New York: Springer.</w:t>
      </w:r>
    </w:p>
    <w:p w:rsidR="003F532D" w:rsidRPr="006E43DC" w:rsidP="00E47C04" w14:paraId="1DC39230" w14:textId="457EF551">
      <w:pPr>
        <w:pStyle w:val="GuidanceParagraph"/>
      </w:pPr>
      <w:bookmarkStart w:id="301" w:name="_Ref51849054"/>
      <w:r w:rsidRPr="006E43DC">
        <w:t xml:space="preserve">Ref. </w:t>
      </w:r>
      <w:r w:rsidRPr="006E43DC">
        <w:fldChar w:fldCharType="begin"/>
      </w:r>
      <w:r w:rsidRPr="006E43DC">
        <w:instrText>SEQ Ref. \* ARABIC</w:instrText>
      </w:r>
      <w:r w:rsidRPr="006E43DC">
        <w:fldChar w:fldCharType="separate"/>
      </w:r>
      <w:r w:rsidR="001B1E2C">
        <w:rPr>
          <w:noProof/>
        </w:rPr>
        <w:t>41</w:t>
      </w:r>
      <w:r w:rsidRPr="006E43DC">
        <w:fldChar w:fldCharType="end"/>
      </w:r>
      <w:bookmarkEnd w:id="301"/>
      <w:r w:rsidRPr="006E43DC">
        <w:t xml:space="preserve">. </w:t>
      </w:r>
      <w:r w:rsidRPr="006E43DC" w:rsidR="007F4719">
        <w:t>Birkenhauer</w:t>
      </w:r>
      <w:r w:rsidRPr="006E43DC" w:rsidR="007F4719">
        <w:t>, E</w:t>
      </w:r>
      <w:r w:rsidR="006829A6">
        <w:t>.</w:t>
      </w:r>
      <w:r w:rsidR="007A50D8">
        <w:t>,</w:t>
      </w:r>
      <w:r w:rsidRPr="006E43DC" w:rsidR="007F4719">
        <w:t xml:space="preserve"> et al.</w:t>
      </w:r>
      <w:r w:rsidR="006829A6">
        <w:t xml:space="preserve"> 2015.</w:t>
      </w:r>
      <w:r w:rsidRPr="006E43DC" w:rsidR="007F4719">
        <w:t xml:space="preserve"> </w:t>
      </w:r>
      <w:r w:rsidR="009C1554">
        <w:t>“</w:t>
      </w:r>
      <w:r w:rsidRPr="006E43DC" w:rsidR="007F4719">
        <w:t>Prevention and Control of Biofilms in the Food Industry and Bio-Nanotechnology Approaches.</w:t>
      </w:r>
      <w:r w:rsidR="009C1554">
        <w:t>”</w:t>
      </w:r>
      <w:r w:rsidRPr="006E43DC" w:rsidR="007F4719">
        <w:t xml:space="preserve"> </w:t>
      </w:r>
      <w:r w:rsidRPr="006E43DC" w:rsidR="007F4719">
        <w:rPr>
          <w:i/>
        </w:rPr>
        <w:t>Biofilms in the Food Environment</w:t>
      </w:r>
      <w:r w:rsidRPr="006E43DC" w:rsidR="007F4719">
        <w:t xml:space="preserve">, </w:t>
      </w:r>
      <w:r w:rsidRPr="006E43DC" w:rsidR="007F4719">
        <w:rPr>
          <w:i/>
        </w:rPr>
        <w:t>2nd edition</w:t>
      </w:r>
      <w:r w:rsidRPr="006E43DC" w:rsidR="007F4719">
        <w:t xml:space="preserve">, edited by A.L. </w:t>
      </w:r>
      <w:r w:rsidRPr="006E43DC" w:rsidR="007F4719">
        <w:t>Pometto</w:t>
      </w:r>
      <w:r w:rsidRPr="006E43DC" w:rsidR="007F4719">
        <w:t xml:space="preserve"> III and A. </w:t>
      </w:r>
      <w:r w:rsidRPr="006E43DC" w:rsidR="007F4719">
        <w:t>Demirci</w:t>
      </w:r>
      <w:r w:rsidRPr="006E43DC" w:rsidR="007F4719">
        <w:t>, pp 84-130. United Kingdom: Wiley Blackwell.</w:t>
      </w:r>
    </w:p>
    <w:p w:rsidR="00F80F09" w:rsidRPr="006E43DC" w:rsidP="00E47C04" w14:paraId="64A1B9D6" w14:textId="0C2E4A2F">
      <w:pPr>
        <w:pStyle w:val="GuidanceParagraph"/>
      </w:pPr>
      <w:bookmarkStart w:id="302" w:name="_Ref51331155"/>
      <w:r w:rsidRPr="006E43DC">
        <w:t xml:space="preserve">Ref. </w:t>
      </w:r>
      <w:r w:rsidRPr="006E43DC">
        <w:fldChar w:fldCharType="begin"/>
      </w:r>
      <w:r w:rsidRPr="006E43DC">
        <w:instrText>SEQ Ref. \* ARABIC</w:instrText>
      </w:r>
      <w:r w:rsidRPr="006E43DC">
        <w:fldChar w:fldCharType="separate"/>
      </w:r>
      <w:r w:rsidR="001B1E2C">
        <w:rPr>
          <w:noProof/>
        </w:rPr>
        <w:t>42</w:t>
      </w:r>
      <w:r w:rsidRPr="006E43DC">
        <w:fldChar w:fldCharType="end"/>
      </w:r>
      <w:bookmarkEnd w:id="302"/>
      <w:r w:rsidRPr="006E43DC">
        <w:t xml:space="preserve">. </w:t>
      </w:r>
      <w:r w:rsidRPr="006E43DC">
        <w:t>McEgan</w:t>
      </w:r>
      <w:r w:rsidRPr="006E43DC">
        <w:t>, R., et al.</w:t>
      </w:r>
      <w:r w:rsidR="00365100">
        <w:t xml:space="preserve"> 2008</w:t>
      </w:r>
      <w:r w:rsidR="009C1554">
        <w:t>.</w:t>
      </w:r>
      <w:r w:rsidRPr="006E43DC">
        <w:t xml:space="preserve"> </w:t>
      </w:r>
      <w:r w:rsidR="009C1554">
        <w:t>“</w:t>
      </w:r>
      <w:r w:rsidRPr="006E43DC">
        <w:t>Composite versus Single Sampling of Spent Irrigation Water to Assess the Microbiological Status of Sprouting Mung Bean Beds</w:t>
      </w:r>
      <w:r w:rsidR="006837D9">
        <w:t>.</w:t>
      </w:r>
      <w:r w:rsidR="009C1554">
        <w:t>”</w:t>
      </w:r>
      <w:r w:rsidRPr="006E43DC">
        <w:t xml:space="preserve"> </w:t>
      </w:r>
      <w:r w:rsidRPr="006E43DC">
        <w:rPr>
          <w:i/>
        </w:rPr>
        <w:t>Journal of the Science of Food and Agriculture</w:t>
      </w:r>
      <w:r w:rsidRPr="006E43DC">
        <w:t>, 88 (9):1549-1553.</w:t>
      </w:r>
    </w:p>
    <w:p w:rsidR="00F80F09" w:rsidRPr="006E43DC" w:rsidP="00E47C04" w14:paraId="2B633304" w14:textId="57024447">
      <w:pPr>
        <w:pStyle w:val="GuidanceParagraph"/>
      </w:pPr>
      <w:bookmarkStart w:id="303" w:name="_Ref85029798"/>
      <w:r w:rsidRPr="006E43DC">
        <w:t xml:space="preserve">Ref. </w:t>
      </w:r>
      <w:r w:rsidRPr="006E43DC">
        <w:fldChar w:fldCharType="begin"/>
      </w:r>
      <w:r w:rsidRPr="006E43DC">
        <w:instrText>SEQ Ref. \* ARABIC</w:instrText>
      </w:r>
      <w:r w:rsidRPr="006E43DC">
        <w:fldChar w:fldCharType="separate"/>
      </w:r>
      <w:r w:rsidR="001B1E2C">
        <w:rPr>
          <w:noProof/>
        </w:rPr>
        <w:t>43</w:t>
      </w:r>
      <w:r w:rsidRPr="006E43DC">
        <w:fldChar w:fldCharType="end"/>
      </w:r>
      <w:bookmarkEnd w:id="303"/>
      <w:r w:rsidRPr="006E43DC">
        <w:t xml:space="preserve">. </w:t>
      </w:r>
      <w:r w:rsidRPr="006E43DC">
        <w:t xml:space="preserve">Hara-Kudo, Y., et al. </w:t>
      </w:r>
      <w:r w:rsidR="004A7C92">
        <w:t xml:space="preserve">1997. </w:t>
      </w:r>
      <w:r w:rsidR="009C1554">
        <w:t>“</w:t>
      </w:r>
      <w:r w:rsidRPr="006E43DC">
        <w:t xml:space="preserve">Potential Hazard of Radish Sprouts as a Vehicle of </w:t>
      </w:r>
      <w:r w:rsidRPr="006E43DC">
        <w:rPr>
          <w:i/>
        </w:rPr>
        <w:t>Escherichia coli</w:t>
      </w:r>
      <w:r w:rsidRPr="006E43DC">
        <w:t xml:space="preserve"> O157:H7</w:t>
      </w:r>
      <w:r w:rsidR="006837D9">
        <w:t>.</w:t>
      </w:r>
      <w:r w:rsidR="009C1554">
        <w:t>”</w:t>
      </w:r>
      <w:r w:rsidRPr="006E43DC">
        <w:t xml:space="preserve"> </w:t>
      </w:r>
      <w:r w:rsidRPr="006E43DC">
        <w:rPr>
          <w:i/>
        </w:rPr>
        <w:t>Journal of Food Protection</w:t>
      </w:r>
      <w:r w:rsidRPr="006E43DC">
        <w:t xml:space="preserve"> 60 (9):1125-1127.</w:t>
      </w:r>
    </w:p>
    <w:p w:rsidR="00F80F09" w:rsidRPr="005566D8" w:rsidP="00E47C04" w14:paraId="17A8E5FD" w14:textId="23414CB1">
      <w:pPr>
        <w:pStyle w:val="GuidanceParagraph"/>
        <w:rPr>
          <w:iCs/>
        </w:rPr>
      </w:pPr>
      <w:bookmarkStart w:id="304" w:name="_Ref51321444"/>
      <w:r w:rsidRPr="006E43DC">
        <w:t xml:space="preserve">Ref. </w:t>
      </w:r>
      <w:r w:rsidRPr="006E43DC">
        <w:fldChar w:fldCharType="begin"/>
      </w:r>
      <w:r w:rsidRPr="006E43DC">
        <w:instrText>SEQ Ref. \* ARABIC</w:instrText>
      </w:r>
      <w:r w:rsidRPr="006E43DC">
        <w:fldChar w:fldCharType="separate"/>
      </w:r>
      <w:r w:rsidR="001B1E2C">
        <w:rPr>
          <w:noProof/>
        </w:rPr>
        <w:t>44</w:t>
      </w:r>
      <w:r w:rsidRPr="006E43DC">
        <w:fldChar w:fldCharType="end"/>
      </w:r>
      <w:bookmarkEnd w:id="304"/>
      <w:r w:rsidRPr="006E43DC">
        <w:t xml:space="preserve">. </w:t>
      </w:r>
      <w:r w:rsidRPr="006E43DC">
        <w:t>Suslow, T.V. 1997</w:t>
      </w:r>
      <w:r w:rsidR="004A7C92">
        <w:t>.</w:t>
      </w:r>
      <w:r w:rsidRPr="006E43DC">
        <w:t xml:space="preserve"> </w:t>
      </w:r>
      <w:r w:rsidR="009C1554">
        <w:t>“</w:t>
      </w:r>
      <w:r w:rsidRPr="006E43DC">
        <w:t>Postharvest Chlorination: Basic Properties and Key Points for Effective Disinfection.</w:t>
      </w:r>
      <w:r w:rsidR="009C1554">
        <w:t>”</w:t>
      </w:r>
      <w:r w:rsidRPr="006E43DC">
        <w:t xml:space="preserve"> University of California, Division of Agriculture and Natural Resources.</w:t>
      </w:r>
      <w:r w:rsidRPr="006E43DC" w:rsidR="00DA3CBA">
        <w:t>"</w:t>
      </w:r>
      <w:r w:rsidRPr="006E43DC">
        <w:t xml:space="preserve"> </w:t>
      </w:r>
      <w:r w:rsidR="001B1375">
        <w:t>Publication 8003.</w:t>
      </w:r>
      <w:r w:rsidRPr="006E43DC">
        <w:t xml:space="preserve"> </w:t>
      </w:r>
      <w:r w:rsidR="00A61F6D">
        <w:t>A</w:t>
      </w:r>
      <w:r w:rsidRPr="006E43DC">
        <w:t xml:space="preserve">ccessed </w:t>
      </w:r>
      <w:r w:rsidR="008372A7">
        <w:t>October 15</w:t>
      </w:r>
      <w:r w:rsidRPr="006E43DC">
        <w:t>, 20</w:t>
      </w:r>
      <w:r w:rsidR="008372A7">
        <w:t>21</w:t>
      </w:r>
      <w:r w:rsidRPr="005566D8">
        <w:t xml:space="preserve">. </w:t>
      </w:r>
      <w:r w:rsidR="005566D8">
        <w:t>(</w:t>
      </w:r>
      <w:hyperlink r:id="rId44" w:history="1">
        <w:r w:rsidRPr="00B46764" w:rsidR="00F7416C">
          <w:rPr>
            <w:rStyle w:val="Hyperlink"/>
          </w:rPr>
          <w:t>https://ucfoodsafety.ucdavis.edu/sites/g/files/dgvnsk7366/files/inline-files/26414.pdf</w:t>
        </w:r>
      </w:hyperlink>
      <w:r w:rsidR="005566D8">
        <w:rPr>
          <w:iCs/>
        </w:rPr>
        <w:t>)</w:t>
      </w:r>
    </w:p>
    <w:p w:rsidR="00F80F09" w:rsidRPr="005566D8" w:rsidP="00E47C04" w14:paraId="458BE3F7" w14:textId="4A1AFCFE">
      <w:pPr>
        <w:pStyle w:val="GuidanceParagraph"/>
      </w:pPr>
      <w:bookmarkStart w:id="305" w:name="_Ref51321457"/>
      <w:r w:rsidRPr="006E43DC">
        <w:t xml:space="preserve">Ref. </w:t>
      </w:r>
      <w:r w:rsidRPr="006E43DC">
        <w:fldChar w:fldCharType="begin"/>
      </w:r>
      <w:r w:rsidRPr="006E43DC">
        <w:instrText>SEQ Ref. \* ARABIC</w:instrText>
      </w:r>
      <w:r w:rsidRPr="006E43DC">
        <w:fldChar w:fldCharType="separate"/>
      </w:r>
      <w:r w:rsidR="001B1E2C">
        <w:rPr>
          <w:noProof/>
        </w:rPr>
        <w:t>45</w:t>
      </w:r>
      <w:r w:rsidRPr="006E43DC">
        <w:fldChar w:fldCharType="end"/>
      </w:r>
      <w:bookmarkEnd w:id="305"/>
      <w:r w:rsidRPr="006E43DC">
        <w:t xml:space="preserve">. </w:t>
      </w:r>
      <w:r w:rsidRPr="006E43DC">
        <w:t>Suslow, T.V. 2001</w:t>
      </w:r>
      <w:r w:rsidR="00B9748F">
        <w:t>.</w:t>
      </w:r>
      <w:r w:rsidRPr="006E43DC">
        <w:t xml:space="preserve"> </w:t>
      </w:r>
      <w:r w:rsidR="009C1554">
        <w:t>“</w:t>
      </w:r>
      <w:r w:rsidRPr="006E43DC">
        <w:t>Water Disinfection: A Practical Approach to Calculating Dose Values for Preharvest and Postharvest Applications.</w:t>
      </w:r>
      <w:r w:rsidR="009C1554">
        <w:t>”</w:t>
      </w:r>
      <w:r w:rsidRPr="006E43DC">
        <w:t xml:space="preserve"> The University of California, Division of Agriculture and Natural Resources. </w:t>
      </w:r>
      <w:r w:rsidR="00753351">
        <w:t>Publication 7256</w:t>
      </w:r>
      <w:r w:rsidR="00EB4E54">
        <w:t>.</w:t>
      </w:r>
      <w:r>
        <w:t xml:space="preserve"> </w:t>
      </w:r>
      <w:r w:rsidR="005566D8">
        <w:t>A</w:t>
      </w:r>
      <w:r w:rsidRPr="006E43DC">
        <w:t xml:space="preserve">ccessed </w:t>
      </w:r>
      <w:r w:rsidR="008372A7">
        <w:t>October</w:t>
      </w:r>
      <w:r w:rsidRPr="006E43DC">
        <w:t xml:space="preserve"> </w:t>
      </w:r>
      <w:r w:rsidR="008372A7">
        <w:t>15</w:t>
      </w:r>
      <w:r w:rsidRPr="006E43DC">
        <w:t>, 202</w:t>
      </w:r>
      <w:r w:rsidR="008372A7">
        <w:t>1</w:t>
      </w:r>
      <w:r w:rsidRPr="006E43DC">
        <w:t xml:space="preserve">. </w:t>
      </w:r>
      <w:r w:rsidR="005566D8">
        <w:t>(</w:t>
      </w:r>
      <w:hyperlink r:id="rId45" w:history="1">
        <w:r w:rsidRPr="00B46764" w:rsidR="008372A7">
          <w:rPr>
            <w:rStyle w:val="Hyperlink"/>
          </w:rPr>
          <w:t>https://ucanr.edu/sites/Postharvest_Technology_Center_/files/232177.pdf</w:t>
        </w:r>
      </w:hyperlink>
      <w:r w:rsidR="002C2454">
        <w:t>)</w:t>
      </w:r>
      <w:r w:rsidR="008372A7">
        <w:t xml:space="preserve">    </w:t>
      </w:r>
    </w:p>
    <w:p w:rsidR="00F80F09" w:rsidRPr="00624B2C" w:rsidP="00E47C04" w14:paraId="22B55865" w14:textId="26E49383">
      <w:pPr>
        <w:pStyle w:val="GuidanceParagraph"/>
      </w:pPr>
      <w:bookmarkStart w:id="306" w:name="_Ref51321470"/>
      <w:r w:rsidRPr="006E43DC">
        <w:t xml:space="preserve">Ref. </w:t>
      </w:r>
      <w:r w:rsidRPr="006E43DC">
        <w:fldChar w:fldCharType="begin"/>
      </w:r>
      <w:r w:rsidRPr="006E43DC">
        <w:instrText>SEQ Ref. \* ARABIC</w:instrText>
      </w:r>
      <w:r w:rsidRPr="006E43DC">
        <w:fldChar w:fldCharType="separate"/>
      </w:r>
      <w:r w:rsidR="001B1E2C">
        <w:rPr>
          <w:noProof/>
        </w:rPr>
        <w:t>46</w:t>
      </w:r>
      <w:r w:rsidRPr="006E43DC">
        <w:fldChar w:fldCharType="end"/>
      </w:r>
      <w:bookmarkEnd w:id="306"/>
      <w:r w:rsidRPr="006E43DC">
        <w:t xml:space="preserve">. </w:t>
      </w:r>
      <w:r w:rsidRPr="006E43DC">
        <w:t xml:space="preserve">Ritenour, M.A., et al. 2002. </w:t>
      </w:r>
      <w:r w:rsidR="009C1554">
        <w:t>“</w:t>
      </w:r>
      <w:r w:rsidRPr="006E43DC">
        <w:t>Chlorine Use in Produce Packing Lines.</w:t>
      </w:r>
      <w:r w:rsidR="009C1554">
        <w:t>”</w:t>
      </w:r>
      <w:r w:rsidRPr="006E43DC">
        <w:t xml:space="preserve"> Institute of Food Safety and Agricultural Sciences, University of Florida. </w:t>
      </w:r>
      <w:r w:rsidR="0023518B">
        <w:t>HS-761</w:t>
      </w:r>
      <w:r w:rsidR="00FC2E72">
        <w:t xml:space="preserve">. </w:t>
      </w:r>
      <w:r w:rsidR="00FE6F0A">
        <w:t>A</w:t>
      </w:r>
      <w:r w:rsidRPr="006E43DC">
        <w:t xml:space="preserve">ccessed </w:t>
      </w:r>
      <w:r w:rsidR="00FE6F0A">
        <w:t>October 14</w:t>
      </w:r>
      <w:r w:rsidRPr="006E43DC">
        <w:t>, 202</w:t>
      </w:r>
      <w:r w:rsidR="00FE6F0A">
        <w:t>1</w:t>
      </w:r>
      <w:r w:rsidRPr="006E43DC">
        <w:t xml:space="preserve">. </w:t>
      </w:r>
      <w:r w:rsidR="00624B2C">
        <w:t>(</w:t>
      </w:r>
      <w:hyperlink r:id="rId46" w:history="1">
        <w:r w:rsidRPr="00B46764" w:rsidR="00624B2C">
          <w:rPr>
            <w:rStyle w:val="Hyperlink"/>
          </w:rPr>
          <w:t>https://journals.flvc.org/edis/article/view/108301/103581</w:t>
        </w:r>
      </w:hyperlink>
      <w:r w:rsidR="00624B2C">
        <w:t>)</w:t>
      </w:r>
    </w:p>
    <w:p w:rsidR="00F80F09" w:rsidRPr="006E43DC" w:rsidP="00E47C04" w14:paraId="220CD01E" w14:textId="502F638E">
      <w:pPr>
        <w:pStyle w:val="GuidanceParagraph"/>
      </w:pPr>
      <w:bookmarkStart w:id="307" w:name="_Ref51099167"/>
      <w:r w:rsidRPr="006E43DC">
        <w:t xml:space="preserve">Ref. </w:t>
      </w:r>
      <w:r w:rsidRPr="006E43DC">
        <w:fldChar w:fldCharType="begin"/>
      </w:r>
      <w:r w:rsidRPr="006E43DC">
        <w:instrText>SEQ Ref. \* ARABIC</w:instrText>
      </w:r>
      <w:r w:rsidRPr="006E43DC">
        <w:fldChar w:fldCharType="separate"/>
      </w:r>
      <w:r w:rsidR="001B1E2C">
        <w:rPr>
          <w:noProof/>
        </w:rPr>
        <w:t>47</w:t>
      </w:r>
      <w:r w:rsidRPr="006E43DC">
        <w:fldChar w:fldCharType="end"/>
      </w:r>
      <w:bookmarkEnd w:id="307"/>
      <w:r w:rsidRPr="006E43DC">
        <w:t xml:space="preserve">. University of Florida IFAS Extension. </w:t>
      </w:r>
      <w:r w:rsidR="009C1554">
        <w:t>“</w:t>
      </w:r>
      <w:r w:rsidRPr="006E43DC">
        <w:t>Citrus Postharvest and Handling.</w:t>
      </w:r>
      <w:r w:rsidR="00A66A82">
        <w:t>”</w:t>
      </w:r>
      <w:r w:rsidRPr="006E43DC">
        <w:t xml:space="preserve"> </w:t>
      </w:r>
      <w:r w:rsidR="00FA136A">
        <w:t>A</w:t>
      </w:r>
      <w:r w:rsidRPr="006E43DC">
        <w:t>ccessed</w:t>
      </w:r>
      <w:r w:rsidR="00DC41DA">
        <w:t xml:space="preserve"> October 15</w:t>
      </w:r>
      <w:r w:rsidRPr="006E43DC">
        <w:t>, 202</w:t>
      </w:r>
      <w:r w:rsidR="00DC41DA">
        <w:t>1</w:t>
      </w:r>
      <w:r w:rsidRPr="006E43DC">
        <w:t>.</w:t>
      </w:r>
      <w:r w:rsidR="00624B2C">
        <w:t xml:space="preserve"> (</w:t>
      </w:r>
      <w:hyperlink r:id="rId47" w:history="1">
        <w:r w:rsidRPr="00624B2C">
          <w:rPr>
            <w:rStyle w:val="Hyperlink"/>
          </w:rPr>
          <w:t>http://edis.ifas.ufl.edu/topic_citrus_post_harvest</w:t>
        </w:r>
      </w:hyperlink>
      <w:r w:rsidRPr="00FA136A" w:rsidR="00FA136A">
        <w:rPr>
          <w:iCs/>
        </w:rPr>
        <w:t>)</w:t>
      </w:r>
    </w:p>
    <w:p w:rsidR="005B7F71" w:rsidRPr="006E43DC" w:rsidP="00E47C04" w14:paraId="2B7854B0" w14:textId="44FDEAF5">
      <w:pPr>
        <w:pStyle w:val="GuidanceParagraph"/>
      </w:pPr>
      <w:bookmarkStart w:id="308" w:name="_Ref51099903"/>
      <w:r w:rsidRPr="006E43DC">
        <w:t xml:space="preserve">Ref. </w:t>
      </w:r>
      <w:r w:rsidRPr="006E43DC">
        <w:fldChar w:fldCharType="begin"/>
      </w:r>
      <w:r w:rsidRPr="006E43DC">
        <w:instrText>SEQ Ref. \* ARABIC</w:instrText>
      </w:r>
      <w:r w:rsidRPr="006E43DC">
        <w:fldChar w:fldCharType="separate"/>
      </w:r>
      <w:r w:rsidR="001B1E2C">
        <w:rPr>
          <w:noProof/>
        </w:rPr>
        <w:t>48</w:t>
      </w:r>
      <w:r w:rsidRPr="006E43DC">
        <w:fldChar w:fldCharType="end"/>
      </w:r>
      <w:bookmarkEnd w:id="308"/>
      <w:r w:rsidRPr="006E43DC">
        <w:t>. EFSA Panel on Biological Hazards (BIOHAZ</w:t>
      </w:r>
      <w:r w:rsidRPr="005B7F71">
        <w:t>)</w:t>
      </w:r>
      <w:r w:rsidR="00AF72FA">
        <w:t>. 2011.</w:t>
      </w:r>
      <w:r w:rsidRPr="006E43DC">
        <w:t xml:space="preserve"> </w:t>
      </w:r>
      <w:r w:rsidR="00A66A82">
        <w:t>“</w:t>
      </w:r>
      <w:r w:rsidRPr="006E43DC">
        <w:t xml:space="preserve">Scientific Opinion on the Risk Posed by Shiga Toxin Producing </w:t>
      </w:r>
      <w:r w:rsidRPr="006E43DC">
        <w:rPr>
          <w:i/>
        </w:rPr>
        <w:t xml:space="preserve">Escherichia coli </w:t>
      </w:r>
      <w:r w:rsidRPr="006E43DC">
        <w:t>(STEC) and Other Pathogenic Bacteria in Seeds and Sprouted Seeds</w:t>
      </w:r>
      <w:r w:rsidRPr="005B7F71">
        <w:t>.</w:t>
      </w:r>
      <w:r w:rsidR="00A66A82">
        <w:t>”</w:t>
      </w:r>
      <w:r w:rsidRPr="006E43DC">
        <w:t xml:space="preserve"> EFSA Journal</w:t>
      </w:r>
      <w:r w:rsidR="002272D0">
        <w:t xml:space="preserve">, </w:t>
      </w:r>
      <w:r w:rsidRPr="006E43DC">
        <w:t xml:space="preserve">9(11):2424. </w:t>
      </w:r>
    </w:p>
    <w:p w:rsidR="00C172CA" w:rsidRPr="006E43DC" w:rsidP="00E47C04" w14:paraId="0A67E74F" w14:textId="751A9315">
      <w:pPr>
        <w:pStyle w:val="GuidanceParagraph"/>
      </w:pPr>
      <w:bookmarkStart w:id="309" w:name="_Ref85030210"/>
      <w:bookmarkStart w:id="310" w:name="_Ref51100246"/>
      <w:r w:rsidRPr="006E43DC">
        <w:t xml:space="preserve">Ref. </w:t>
      </w:r>
      <w:r>
        <w:fldChar w:fldCharType="begin"/>
      </w:r>
      <w:r>
        <w:instrText>SEQ Ref. \* ARABIC</w:instrText>
      </w:r>
      <w:r>
        <w:fldChar w:fldCharType="separate"/>
      </w:r>
      <w:r w:rsidR="001B1E2C">
        <w:rPr>
          <w:noProof/>
        </w:rPr>
        <w:t>49</w:t>
      </w:r>
      <w:r>
        <w:fldChar w:fldCharType="end"/>
      </w:r>
      <w:bookmarkEnd w:id="309"/>
      <w:r w:rsidRPr="006E43DC">
        <w:t>. Bazaco</w:t>
      </w:r>
      <w:r w:rsidR="007B245F">
        <w:t>, M.C.,</w:t>
      </w:r>
      <w:r w:rsidRPr="006E43DC">
        <w:t xml:space="preserve"> et al. 2021</w:t>
      </w:r>
      <w:r w:rsidR="00BD4669">
        <w:t>.</w:t>
      </w:r>
      <w:r w:rsidRPr="006E43DC">
        <w:t xml:space="preserve"> </w:t>
      </w:r>
      <w:r w:rsidR="00A66A82">
        <w:t>“</w:t>
      </w:r>
      <w:r w:rsidRPr="006E43DC">
        <w:t>An Overview of Historic Foodborne Illness Outbreak Investigations Linked to the Consumption of Sprouts: 2012-2020.</w:t>
      </w:r>
      <w:r w:rsidR="00A66A82">
        <w:t>”</w:t>
      </w:r>
      <w:r w:rsidRPr="006E43DC">
        <w:t xml:space="preserve"> Food Safety </w:t>
      </w:r>
      <w:r w:rsidR="00537E23">
        <w:t>M</w:t>
      </w:r>
      <w:r w:rsidRPr="006E43DC">
        <w:t xml:space="preserve">agazine. </w:t>
      </w:r>
      <w:r w:rsidR="00A27049">
        <w:t xml:space="preserve">June/July. </w:t>
      </w:r>
      <w:r w:rsidR="00FA136A">
        <w:t>A</w:t>
      </w:r>
      <w:r w:rsidRPr="006E43DC">
        <w:t>ccessed September 23, 2021</w:t>
      </w:r>
      <w:r w:rsidR="00FA136A">
        <w:t>.</w:t>
      </w:r>
      <w:r w:rsidRPr="006E43DC">
        <w:t xml:space="preserve"> </w:t>
      </w:r>
      <w:r w:rsidR="00FA136A">
        <w:t>(</w:t>
      </w:r>
      <w:hyperlink r:id="rId48" w:history="1">
        <w:r w:rsidRPr="00B46764" w:rsidR="00FA136A">
          <w:rPr>
            <w:rStyle w:val="Hyperlink"/>
          </w:rPr>
          <w:t>https://www.food-safety.com/articles/7202-an-overview-of-historic-foodborne-illness-outbreak-investigations-linked-to-the-consumption-of-sprouts-20122020</w:t>
        </w:r>
      </w:hyperlink>
      <w:r w:rsidRPr="00FA136A" w:rsidR="00FA136A">
        <w:rPr>
          <w:rStyle w:val="Hyperlink"/>
          <w:color w:val="auto"/>
          <w:u w:val="none"/>
        </w:rPr>
        <w:t>)</w:t>
      </w:r>
      <w:r w:rsidR="00153329">
        <w:rPr>
          <w:rStyle w:val="Hyperlink"/>
          <w:color w:val="auto"/>
          <w:u w:val="none"/>
        </w:rPr>
        <w:t>*</w:t>
      </w:r>
    </w:p>
    <w:p w:rsidR="005B7F71" w:rsidRPr="006E43DC" w:rsidP="00E47C04" w14:paraId="2264FCE6" w14:textId="63AD02B3">
      <w:pPr>
        <w:pStyle w:val="GuidanceParagraph"/>
      </w:pPr>
      <w:bookmarkStart w:id="311" w:name="_Ref117784521"/>
      <w:r w:rsidRPr="006E43DC">
        <w:t xml:space="preserve">Ref. </w:t>
      </w:r>
      <w:r w:rsidRPr="006E43DC">
        <w:fldChar w:fldCharType="begin"/>
      </w:r>
      <w:r w:rsidRPr="006E43DC">
        <w:instrText>SEQ Ref. \* ARABIC</w:instrText>
      </w:r>
      <w:r w:rsidRPr="006E43DC">
        <w:fldChar w:fldCharType="separate"/>
      </w:r>
      <w:r w:rsidR="001B1E2C">
        <w:rPr>
          <w:noProof/>
        </w:rPr>
        <w:t>50</w:t>
      </w:r>
      <w:r w:rsidRPr="006E43DC">
        <w:fldChar w:fldCharType="end"/>
      </w:r>
      <w:bookmarkEnd w:id="310"/>
      <w:bookmarkEnd w:id="311"/>
      <w:r w:rsidRPr="006E43DC" w:rsidR="001663DA">
        <w:t xml:space="preserve">. </w:t>
      </w:r>
      <w:r w:rsidRPr="006E43DC" w:rsidR="00F64178">
        <w:t xml:space="preserve"> </w:t>
      </w:r>
      <w:r w:rsidRPr="006E43DC" w:rsidR="00B8181E">
        <w:t xml:space="preserve">Winthrop, K.L., et al. </w:t>
      </w:r>
      <w:r w:rsidR="004272B2">
        <w:t xml:space="preserve">2003. </w:t>
      </w:r>
      <w:r w:rsidR="00A66A82">
        <w:t>“</w:t>
      </w:r>
      <w:r w:rsidRPr="006E43DC" w:rsidR="00B8181E">
        <w:t>Alfalfa Sprouts and Salmonella Kottbus Infection: A Multistate Outbreak following Inadequate Seed Disinfection with Heat and Chlorine</w:t>
      </w:r>
      <w:r w:rsidR="006837D9">
        <w:t>.</w:t>
      </w:r>
      <w:r w:rsidR="00A66A82">
        <w:t>”</w:t>
      </w:r>
      <w:r w:rsidRPr="006E43DC" w:rsidR="00E20EC8">
        <w:t xml:space="preserve"> </w:t>
      </w:r>
      <w:r w:rsidRPr="006E43DC" w:rsidR="00B8181E">
        <w:rPr>
          <w:i/>
        </w:rPr>
        <w:t xml:space="preserve">Journal of Food Protection </w:t>
      </w:r>
      <w:r w:rsidRPr="006E43DC" w:rsidR="00B8181E">
        <w:t>66 (1):13-17.</w:t>
      </w:r>
    </w:p>
    <w:p w:rsidR="005B7F71" w:rsidRPr="006E43DC" w:rsidP="00E47C04" w14:paraId="1746B9A8" w14:textId="458FFBD0">
      <w:pPr>
        <w:pStyle w:val="GuidanceParagraph"/>
      </w:pPr>
      <w:bookmarkStart w:id="312" w:name="_Ref51144585"/>
      <w:r w:rsidRPr="006E43DC">
        <w:t xml:space="preserve">Ref. </w:t>
      </w:r>
      <w:r w:rsidRPr="006E43DC">
        <w:fldChar w:fldCharType="begin"/>
      </w:r>
      <w:r w:rsidRPr="006E43DC">
        <w:instrText>SEQ Ref. \* ARABIC</w:instrText>
      </w:r>
      <w:r w:rsidRPr="006E43DC">
        <w:fldChar w:fldCharType="separate"/>
      </w:r>
      <w:r w:rsidR="001B1E2C">
        <w:rPr>
          <w:noProof/>
        </w:rPr>
        <w:t>51</w:t>
      </w:r>
      <w:r w:rsidRPr="006E43DC">
        <w:fldChar w:fldCharType="end"/>
      </w:r>
      <w:bookmarkEnd w:id="312"/>
      <w:r w:rsidRPr="006E43DC">
        <w:t xml:space="preserve">. </w:t>
      </w:r>
      <w:r w:rsidRPr="006E43DC" w:rsidR="00B8181E">
        <w:t xml:space="preserve">Gill, C.J., et al. </w:t>
      </w:r>
      <w:r w:rsidR="00171E76">
        <w:t>2003.</w:t>
      </w:r>
      <w:r w:rsidR="00B8181E">
        <w:t xml:space="preserve"> </w:t>
      </w:r>
      <w:r w:rsidR="00A66A82">
        <w:t>“</w:t>
      </w:r>
      <w:r w:rsidRPr="006E43DC" w:rsidR="00B8181E">
        <w:t xml:space="preserve">Alfalfa Seed Decontamination in a </w:t>
      </w:r>
      <w:r w:rsidRPr="006E43DC" w:rsidR="00B8181E">
        <w:rPr>
          <w:i/>
        </w:rPr>
        <w:t>Salmonella</w:t>
      </w:r>
      <w:r w:rsidRPr="006E43DC" w:rsidR="00B8181E">
        <w:t xml:space="preserve"> Outbreak</w:t>
      </w:r>
      <w:r w:rsidR="006837D9">
        <w:t>.</w:t>
      </w:r>
      <w:r w:rsidR="00A66A82">
        <w:t>”</w:t>
      </w:r>
      <w:r w:rsidRPr="006E43DC" w:rsidR="00B8181E">
        <w:t xml:space="preserve"> </w:t>
      </w:r>
      <w:r w:rsidRPr="006E43DC" w:rsidR="00B8181E">
        <w:rPr>
          <w:i/>
        </w:rPr>
        <w:t xml:space="preserve">Emerging Infectious Diseases </w:t>
      </w:r>
      <w:r w:rsidRPr="006E43DC" w:rsidR="00B8181E">
        <w:t>9 (4):474-479.</w:t>
      </w:r>
    </w:p>
    <w:p w:rsidR="005B7F71" w:rsidRPr="006E43DC" w:rsidP="00E47C04" w14:paraId="0F4D1B0E" w14:textId="70789835">
      <w:pPr>
        <w:pStyle w:val="GuidanceParagraph"/>
      </w:pPr>
      <w:bookmarkStart w:id="313" w:name="_Ref51144615"/>
      <w:r w:rsidRPr="006E43DC">
        <w:t xml:space="preserve">Ref. </w:t>
      </w:r>
      <w:r w:rsidRPr="006E43DC">
        <w:fldChar w:fldCharType="begin"/>
      </w:r>
      <w:r w:rsidRPr="006E43DC">
        <w:instrText>SEQ Ref. \* ARABIC</w:instrText>
      </w:r>
      <w:r w:rsidRPr="006E43DC">
        <w:fldChar w:fldCharType="separate"/>
      </w:r>
      <w:r w:rsidR="001B1E2C">
        <w:rPr>
          <w:noProof/>
        </w:rPr>
        <w:t>52</w:t>
      </w:r>
      <w:r w:rsidRPr="006E43DC">
        <w:fldChar w:fldCharType="end"/>
      </w:r>
      <w:bookmarkEnd w:id="313"/>
      <w:r w:rsidRPr="006E43DC">
        <w:t xml:space="preserve">. </w:t>
      </w:r>
      <w:r w:rsidRPr="006E43DC" w:rsidR="00B8181E">
        <w:t xml:space="preserve">Brooks, J.T., et al. </w:t>
      </w:r>
      <w:r w:rsidR="00D52219">
        <w:t>2001.</w:t>
      </w:r>
      <w:r w:rsidRPr="005B7F71" w:rsidR="00B8181E">
        <w:t xml:space="preserve"> </w:t>
      </w:r>
      <w:r w:rsidR="00A66A82">
        <w:t>“</w:t>
      </w:r>
      <w:r w:rsidRPr="006E43DC" w:rsidR="00B8181E">
        <w:rPr>
          <w:i/>
        </w:rPr>
        <w:t>Salmonella</w:t>
      </w:r>
      <w:r w:rsidRPr="006E43DC" w:rsidR="00B8181E">
        <w:t xml:space="preserve"> Typhimurium Infections Transmitted by Chlorine-pretreated Clover Sprout Seeds</w:t>
      </w:r>
      <w:r w:rsidR="006837D9">
        <w:t>.</w:t>
      </w:r>
      <w:r w:rsidR="00A66A82">
        <w:t>”</w:t>
      </w:r>
      <w:r w:rsidRPr="006E43DC" w:rsidR="00B8181E">
        <w:t xml:space="preserve"> </w:t>
      </w:r>
      <w:r w:rsidRPr="006E43DC" w:rsidR="00B8181E">
        <w:rPr>
          <w:i/>
        </w:rPr>
        <w:t xml:space="preserve">American Journal of Epidemiology </w:t>
      </w:r>
      <w:r w:rsidRPr="006E43DC" w:rsidR="00B8181E">
        <w:t>154 (11):1020-1028, 2001.</w:t>
      </w:r>
    </w:p>
    <w:p w:rsidR="005B7F71" w:rsidRPr="006E43DC" w:rsidP="00E47C04" w14:paraId="1C13A455" w14:textId="5AE9268B">
      <w:pPr>
        <w:pStyle w:val="GuidanceParagraph"/>
      </w:pPr>
      <w:bookmarkStart w:id="314" w:name="_Ref51144636"/>
      <w:r w:rsidRPr="006E43DC">
        <w:t xml:space="preserve">Ref. </w:t>
      </w:r>
      <w:r w:rsidRPr="006E43DC">
        <w:fldChar w:fldCharType="begin"/>
      </w:r>
      <w:r w:rsidRPr="006E43DC">
        <w:instrText>SEQ Ref. \* ARABIC</w:instrText>
      </w:r>
      <w:r w:rsidRPr="006E43DC">
        <w:fldChar w:fldCharType="separate"/>
      </w:r>
      <w:r w:rsidR="001B1E2C">
        <w:rPr>
          <w:noProof/>
        </w:rPr>
        <w:t>53</w:t>
      </w:r>
      <w:r w:rsidRPr="006E43DC">
        <w:fldChar w:fldCharType="end"/>
      </w:r>
      <w:bookmarkEnd w:id="314"/>
      <w:r w:rsidRPr="006E43DC">
        <w:t xml:space="preserve">. </w:t>
      </w:r>
      <w:r w:rsidRPr="006E43DC" w:rsidR="00B8181E">
        <w:t xml:space="preserve">Montville, R., et al. </w:t>
      </w:r>
      <w:r w:rsidR="00AD03CD">
        <w:t>2005.</w:t>
      </w:r>
      <w:r w:rsidRPr="005B7F71" w:rsidR="00B8181E">
        <w:t xml:space="preserve"> </w:t>
      </w:r>
      <w:r w:rsidR="00A66A82">
        <w:t>“</w:t>
      </w:r>
      <w:r w:rsidRPr="006E43DC" w:rsidR="00B8181E">
        <w:t>Monte Carlo Simulation of Pathogen Behavior During the Sprout Production Process</w:t>
      </w:r>
      <w:r w:rsidR="006837D9">
        <w:t>.</w:t>
      </w:r>
      <w:r w:rsidR="00A66A82">
        <w:t>”</w:t>
      </w:r>
      <w:r w:rsidRPr="006E43DC" w:rsidR="00B8181E">
        <w:t xml:space="preserve"> </w:t>
      </w:r>
      <w:r w:rsidRPr="006E43DC" w:rsidR="00B8181E">
        <w:rPr>
          <w:i/>
        </w:rPr>
        <w:t xml:space="preserve">Applied and Environmental Microbiology </w:t>
      </w:r>
      <w:r w:rsidRPr="006E43DC" w:rsidR="00B8181E">
        <w:t>71 (2):746-753.</w:t>
      </w:r>
    </w:p>
    <w:p w:rsidR="005B7F71" w:rsidRPr="006E43DC" w:rsidP="00E47C04" w14:paraId="389405DB" w14:textId="4E4497FB">
      <w:pPr>
        <w:pStyle w:val="GuidanceParagraph"/>
      </w:pPr>
      <w:bookmarkStart w:id="315" w:name="_Ref51144689"/>
      <w:r w:rsidRPr="006E43DC">
        <w:t xml:space="preserve">Ref. </w:t>
      </w:r>
      <w:r w:rsidRPr="006E43DC">
        <w:fldChar w:fldCharType="begin"/>
      </w:r>
      <w:r w:rsidRPr="006E43DC">
        <w:instrText>SEQ Ref. \* ARABIC</w:instrText>
      </w:r>
      <w:r w:rsidRPr="006E43DC">
        <w:fldChar w:fldCharType="separate"/>
      </w:r>
      <w:r w:rsidR="001B1E2C">
        <w:rPr>
          <w:noProof/>
        </w:rPr>
        <w:t>54</w:t>
      </w:r>
      <w:r w:rsidRPr="006E43DC">
        <w:fldChar w:fldCharType="end"/>
      </w:r>
      <w:bookmarkEnd w:id="315"/>
      <w:r w:rsidRPr="006E43DC">
        <w:t xml:space="preserve">. </w:t>
      </w:r>
      <w:r w:rsidRPr="006E43DC" w:rsidR="00C373AA">
        <w:t xml:space="preserve">Fett, W.F. </w:t>
      </w:r>
      <w:r w:rsidR="00AD03CD">
        <w:t>2002.</w:t>
      </w:r>
      <w:r w:rsidR="00C373AA">
        <w:t xml:space="preserve"> </w:t>
      </w:r>
      <w:r w:rsidR="00A66A82">
        <w:t>“</w:t>
      </w:r>
      <w:r w:rsidRPr="006E43DC" w:rsidR="00C373AA">
        <w:t xml:space="preserve">Factors Affecting the Efficacy of Chlorine against </w:t>
      </w:r>
      <w:r w:rsidRPr="006E43DC" w:rsidR="00C373AA">
        <w:rPr>
          <w:i/>
        </w:rPr>
        <w:t>Escherichia coli</w:t>
      </w:r>
      <w:r w:rsidRPr="006E43DC" w:rsidR="00C373AA">
        <w:t xml:space="preserve"> O157:H7 and </w:t>
      </w:r>
      <w:r w:rsidRPr="0061171F" w:rsidR="00C373AA">
        <w:rPr>
          <w:i/>
          <w:iCs/>
        </w:rPr>
        <w:t>Salmonella</w:t>
      </w:r>
      <w:r w:rsidRPr="006E43DC" w:rsidR="00C373AA">
        <w:t xml:space="preserve"> on Alfalfa Seed</w:t>
      </w:r>
      <w:r w:rsidR="006837D9">
        <w:t>.</w:t>
      </w:r>
      <w:r w:rsidR="00A66A82">
        <w:t>”</w:t>
      </w:r>
      <w:r w:rsidRPr="006E43DC" w:rsidR="00C373AA">
        <w:t xml:space="preserve"> </w:t>
      </w:r>
      <w:r w:rsidRPr="006E43DC" w:rsidR="00C373AA">
        <w:rPr>
          <w:i/>
        </w:rPr>
        <w:t xml:space="preserve">Food Microbiology </w:t>
      </w:r>
      <w:r w:rsidRPr="006E43DC" w:rsidR="00C373AA">
        <w:t>19:135-</w:t>
      </w:r>
      <w:r w:rsidRPr="006E43DC" w:rsidR="00C373AA">
        <w:t>149.</w:t>
      </w:r>
      <w:r w:rsidR="00153329">
        <w:t>*</w:t>
      </w:r>
    </w:p>
    <w:p w:rsidR="005B7F71" w:rsidRPr="006E43DC" w:rsidP="00E47C04" w14:paraId="21B16625" w14:textId="3BDECD73">
      <w:pPr>
        <w:pStyle w:val="GuidanceParagraph"/>
      </w:pPr>
      <w:bookmarkStart w:id="316" w:name="_Ref51144713"/>
      <w:r w:rsidRPr="006E43DC">
        <w:t xml:space="preserve">Ref. </w:t>
      </w:r>
      <w:r w:rsidRPr="006E43DC">
        <w:fldChar w:fldCharType="begin"/>
      </w:r>
      <w:r w:rsidRPr="006E43DC">
        <w:instrText>SEQ Ref. \* ARABIC</w:instrText>
      </w:r>
      <w:r w:rsidRPr="006E43DC">
        <w:fldChar w:fldCharType="separate"/>
      </w:r>
      <w:r w:rsidR="001B1E2C">
        <w:rPr>
          <w:noProof/>
        </w:rPr>
        <w:t>55</w:t>
      </w:r>
      <w:r w:rsidRPr="006E43DC">
        <w:fldChar w:fldCharType="end"/>
      </w:r>
      <w:bookmarkEnd w:id="316"/>
      <w:r w:rsidRPr="006E43DC">
        <w:t xml:space="preserve">. </w:t>
      </w:r>
      <w:r w:rsidRPr="006E43DC" w:rsidR="00C373AA">
        <w:t xml:space="preserve">Chen, Y., et al. </w:t>
      </w:r>
      <w:r w:rsidR="00AD03CD">
        <w:t>2018.</w:t>
      </w:r>
      <w:r w:rsidR="00C373AA">
        <w:t xml:space="preserve"> </w:t>
      </w:r>
      <w:r w:rsidR="00A66A82">
        <w:t>“</w:t>
      </w:r>
      <w:r w:rsidRPr="006E43DC" w:rsidR="00C373AA">
        <w:t>Risk Assessment of Salmonellosis from Consumption of Alfalfa Sprouts and Evaluation of the Public Health Impact of Sprout Seed Treatment and Spent Irrigation Water Testing</w:t>
      </w:r>
      <w:r w:rsidR="006837D9">
        <w:t>.</w:t>
      </w:r>
      <w:r w:rsidR="00A66A82">
        <w:t>”</w:t>
      </w:r>
      <w:r w:rsidRPr="006E43DC" w:rsidR="00C373AA">
        <w:t xml:space="preserve"> </w:t>
      </w:r>
      <w:r w:rsidRPr="006E43DC" w:rsidR="00C373AA">
        <w:rPr>
          <w:i/>
        </w:rPr>
        <w:t>Risk Analysis</w:t>
      </w:r>
      <w:r w:rsidRPr="006E43DC" w:rsidR="00C373AA">
        <w:t xml:space="preserve"> 38 (8): 1738-</w:t>
      </w:r>
      <w:r w:rsidRPr="006E43DC" w:rsidR="00C373AA">
        <w:t>1757.</w:t>
      </w:r>
      <w:r w:rsidR="00D84117">
        <w:t>*</w:t>
      </w:r>
    </w:p>
    <w:p w:rsidR="005B7F71" w:rsidRPr="006E43DC" w:rsidP="00E47C04" w14:paraId="2DA86D23" w14:textId="580FED5C">
      <w:pPr>
        <w:pStyle w:val="GuidanceParagraph"/>
      </w:pPr>
      <w:bookmarkStart w:id="317" w:name="_Ref106027469"/>
      <w:r>
        <w:t xml:space="preserve">Ref. </w:t>
      </w:r>
      <w:r>
        <w:fldChar w:fldCharType="begin"/>
      </w:r>
      <w:r>
        <w:instrText>SEQ Ref. \* ARABIC</w:instrText>
      </w:r>
      <w:r>
        <w:fldChar w:fldCharType="separate"/>
      </w:r>
      <w:r w:rsidR="001B1E2C">
        <w:rPr>
          <w:noProof/>
        </w:rPr>
        <w:t>56</w:t>
      </w:r>
      <w:r>
        <w:fldChar w:fldCharType="end"/>
      </w:r>
      <w:bookmarkEnd w:id="317"/>
      <w:r>
        <w:t xml:space="preserve">. </w:t>
      </w:r>
      <w:r w:rsidRPr="006E43DC" w:rsidR="00C373AA">
        <w:t xml:space="preserve">Weiss, A., et al. </w:t>
      </w:r>
      <w:r w:rsidR="00CB0F36">
        <w:t>2005.</w:t>
      </w:r>
      <w:r w:rsidR="00C373AA">
        <w:t xml:space="preserve"> </w:t>
      </w:r>
      <w:r w:rsidR="00A66A82">
        <w:t>“</w:t>
      </w:r>
      <w:r w:rsidRPr="006E43DC" w:rsidR="00C373AA">
        <w:t xml:space="preserve">Efficacy of Heat Treatment in the Reduction of </w:t>
      </w:r>
      <w:r w:rsidRPr="006E43DC" w:rsidR="00C373AA">
        <w:rPr>
          <w:i/>
        </w:rPr>
        <w:t>Salmonellae</w:t>
      </w:r>
      <w:r w:rsidRPr="006E43DC" w:rsidR="00C373AA">
        <w:t xml:space="preserve"> and </w:t>
      </w:r>
      <w:r w:rsidRPr="006E43DC" w:rsidR="00C373AA">
        <w:rPr>
          <w:i/>
        </w:rPr>
        <w:t>Escherichia coli</w:t>
      </w:r>
      <w:r w:rsidRPr="006E43DC" w:rsidR="00C373AA">
        <w:t xml:space="preserve"> O157:H– on Alfalfa, Mung bean and Radish Seeds Used for Sprout Production</w:t>
      </w:r>
      <w:r w:rsidR="006837D9">
        <w:t>.</w:t>
      </w:r>
      <w:r w:rsidR="00A66A82">
        <w:t>”</w:t>
      </w:r>
      <w:r w:rsidRPr="006E43DC" w:rsidR="00C373AA">
        <w:t xml:space="preserve"> </w:t>
      </w:r>
      <w:r w:rsidRPr="006E43DC" w:rsidR="00C373AA">
        <w:rPr>
          <w:i/>
        </w:rPr>
        <w:t xml:space="preserve">European Food Research and Technology </w:t>
      </w:r>
      <w:r w:rsidRPr="006E43DC" w:rsidR="00C373AA">
        <w:t>221 (1):187-191.</w:t>
      </w:r>
    </w:p>
    <w:p w:rsidR="005B7F71" w:rsidRPr="006E43DC" w:rsidP="00E47C04" w14:paraId="316FAD6F" w14:textId="44655AE2">
      <w:pPr>
        <w:pStyle w:val="GuidanceParagraph"/>
      </w:pPr>
      <w:bookmarkStart w:id="318" w:name="_Ref51144827"/>
      <w:r w:rsidRPr="006E43DC">
        <w:t xml:space="preserve">Ref. </w:t>
      </w:r>
      <w:r w:rsidRPr="006E43DC">
        <w:fldChar w:fldCharType="begin"/>
      </w:r>
      <w:r w:rsidRPr="006E43DC">
        <w:instrText>SEQ Ref. \* ARABIC</w:instrText>
      </w:r>
      <w:r w:rsidRPr="006E43DC">
        <w:fldChar w:fldCharType="separate"/>
      </w:r>
      <w:r w:rsidR="001B1E2C">
        <w:rPr>
          <w:noProof/>
        </w:rPr>
        <w:t>57</w:t>
      </w:r>
      <w:r w:rsidRPr="006E43DC">
        <w:fldChar w:fldCharType="end"/>
      </w:r>
      <w:bookmarkEnd w:id="318"/>
      <w:r w:rsidRPr="006E43DC">
        <w:t xml:space="preserve">. </w:t>
      </w:r>
      <w:r w:rsidRPr="006E43DC" w:rsidR="00C373AA">
        <w:t xml:space="preserve">Bari, M.L., et al. </w:t>
      </w:r>
      <w:r w:rsidR="00CB0F36">
        <w:t>2010.</w:t>
      </w:r>
      <w:r w:rsidR="00C373AA">
        <w:t xml:space="preserve"> </w:t>
      </w:r>
      <w:r w:rsidR="00A66A82">
        <w:t>“</w:t>
      </w:r>
      <w:r w:rsidRPr="006E43DC" w:rsidR="00C373AA">
        <w:t>Practical Evaluation of Mung Bean Seed Pasteurization Method in Japan</w:t>
      </w:r>
      <w:r w:rsidR="002422BA">
        <w:t>.</w:t>
      </w:r>
      <w:r w:rsidR="00A66A82">
        <w:t>”</w:t>
      </w:r>
      <w:r w:rsidRPr="006E43DC" w:rsidR="00C373AA">
        <w:t xml:space="preserve"> </w:t>
      </w:r>
      <w:r w:rsidRPr="006E43DC" w:rsidR="00C373AA">
        <w:rPr>
          <w:i/>
        </w:rPr>
        <w:t xml:space="preserve">Journal of Food Protection </w:t>
      </w:r>
      <w:r w:rsidRPr="006E43DC" w:rsidR="00C373AA">
        <w:t>73 (4):752-757.</w:t>
      </w:r>
    </w:p>
    <w:p w:rsidR="005B7F71" w:rsidRPr="006E43DC" w:rsidP="00E47C04" w14:paraId="245D4D5F" w14:textId="7BDCA96D">
      <w:pPr>
        <w:pStyle w:val="GuidanceParagraph"/>
      </w:pPr>
      <w:bookmarkStart w:id="319" w:name="_Ref51144846"/>
      <w:r w:rsidRPr="006E43DC">
        <w:t xml:space="preserve">Ref. </w:t>
      </w:r>
      <w:r w:rsidRPr="006E43DC">
        <w:fldChar w:fldCharType="begin"/>
      </w:r>
      <w:r w:rsidRPr="006E43DC">
        <w:instrText>SEQ Ref. \* ARABIC</w:instrText>
      </w:r>
      <w:r w:rsidRPr="006E43DC">
        <w:fldChar w:fldCharType="separate"/>
      </w:r>
      <w:r w:rsidR="001B1E2C">
        <w:rPr>
          <w:noProof/>
        </w:rPr>
        <w:t>58</w:t>
      </w:r>
      <w:r w:rsidRPr="006E43DC">
        <w:fldChar w:fldCharType="end"/>
      </w:r>
      <w:bookmarkEnd w:id="319"/>
      <w:r w:rsidRPr="006E43DC">
        <w:t xml:space="preserve">. </w:t>
      </w:r>
      <w:r w:rsidRPr="006E43DC" w:rsidR="00C373AA">
        <w:t xml:space="preserve">Bari, L., et al. </w:t>
      </w:r>
      <w:r w:rsidR="00CB0F36">
        <w:t>2010.</w:t>
      </w:r>
      <w:r w:rsidR="00C373AA">
        <w:t xml:space="preserve"> </w:t>
      </w:r>
      <w:r w:rsidR="00A66A82">
        <w:t>“</w:t>
      </w:r>
      <w:r w:rsidRPr="006E43DC" w:rsidR="00C373AA">
        <w:t xml:space="preserve">Scale-Up Seed Decontamination Process to Inactivate </w:t>
      </w:r>
      <w:r w:rsidRPr="006E43DC" w:rsidR="00C373AA">
        <w:rPr>
          <w:i/>
        </w:rPr>
        <w:t>Escherichia coli</w:t>
      </w:r>
      <w:r w:rsidRPr="006E43DC" w:rsidR="00C373AA">
        <w:t xml:space="preserve"> O157:H7 and </w:t>
      </w:r>
      <w:r w:rsidRPr="006E43DC" w:rsidR="00C373AA">
        <w:rPr>
          <w:i/>
        </w:rPr>
        <w:t xml:space="preserve">Salmonella </w:t>
      </w:r>
      <w:r w:rsidRPr="006E43DC" w:rsidR="00C373AA">
        <w:t>Enteritidis on Mung Bean Seeds</w:t>
      </w:r>
      <w:r w:rsidR="002422BA">
        <w:t>.</w:t>
      </w:r>
      <w:r w:rsidR="00A66A82">
        <w:t>”</w:t>
      </w:r>
      <w:r w:rsidRPr="006E43DC" w:rsidR="00C373AA">
        <w:t xml:space="preserve"> </w:t>
      </w:r>
      <w:r w:rsidRPr="006E43DC" w:rsidR="00C373AA">
        <w:rPr>
          <w:i/>
        </w:rPr>
        <w:t xml:space="preserve">Foodborne Pathogen and Disease </w:t>
      </w:r>
      <w:r w:rsidRPr="006E43DC" w:rsidR="00C373AA">
        <w:t>7 (1):51-56.</w:t>
      </w:r>
    </w:p>
    <w:p w:rsidR="005B7F71" w:rsidRPr="006E43DC" w:rsidP="00E47C04" w14:paraId="2A6E0B62" w14:textId="592F6FB8">
      <w:pPr>
        <w:pStyle w:val="GuidanceParagraph"/>
      </w:pPr>
      <w:bookmarkStart w:id="320" w:name="_Ref51247382"/>
      <w:r w:rsidRPr="006E43DC">
        <w:t xml:space="preserve">Ref. </w:t>
      </w:r>
      <w:r w:rsidRPr="006E43DC">
        <w:fldChar w:fldCharType="begin"/>
      </w:r>
      <w:r w:rsidRPr="006E43DC">
        <w:instrText>SEQ Ref. \* ARABIC</w:instrText>
      </w:r>
      <w:r w:rsidRPr="006E43DC">
        <w:fldChar w:fldCharType="separate"/>
      </w:r>
      <w:r w:rsidR="001B1E2C">
        <w:rPr>
          <w:noProof/>
        </w:rPr>
        <w:t>59</w:t>
      </w:r>
      <w:r w:rsidRPr="006E43DC">
        <w:fldChar w:fldCharType="end"/>
      </w:r>
      <w:bookmarkEnd w:id="320"/>
      <w:r w:rsidRPr="006E43DC">
        <w:t xml:space="preserve">. </w:t>
      </w:r>
      <w:r w:rsidRPr="006E43DC" w:rsidR="00C373AA">
        <w:t xml:space="preserve">Environmental Protection Agency. </w:t>
      </w:r>
      <w:r w:rsidR="00A66A82">
        <w:t>“</w:t>
      </w:r>
      <w:r w:rsidRPr="006E43DC" w:rsidR="00C373AA">
        <w:t>Pesticide Registration Manual: Chapter 13 - Devices.</w:t>
      </w:r>
      <w:r w:rsidR="00A66A82">
        <w:t>”</w:t>
      </w:r>
      <w:r w:rsidRPr="006E43DC" w:rsidR="00C373AA">
        <w:t xml:space="preserve"> </w:t>
      </w:r>
      <w:r w:rsidR="00FD117F">
        <w:t>A</w:t>
      </w:r>
      <w:r w:rsidRPr="006E43DC" w:rsidR="00C373AA">
        <w:t xml:space="preserve">ccessed </w:t>
      </w:r>
      <w:r w:rsidR="006708D8">
        <w:t>October 14</w:t>
      </w:r>
      <w:r w:rsidRPr="006E43DC" w:rsidR="00C373AA">
        <w:t>, 202</w:t>
      </w:r>
      <w:r w:rsidR="006708D8">
        <w:t>1</w:t>
      </w:r>
      <w:r w:rsidRPr="006E43DC" w:rsidR="00C373AA">
        <w:t xml:space="preserve">. </w:t>
      </w:r>
      <w:r w:rsidR="00FD117F">
        <w:t>(</w:t>
      </w:r>
      <w:hyperlink r:id="rId49" w:history="1">
        <w:r w:rsidRPr="00B46764" w:rsidR="00FD117F">
          <w:rPr>
            <w:rStyle w:val="Hyperlink"/>
          </w:rPr>
          <w:t>https://www.epa.gov/pesticide-registration/pesticide-registration-manual-chapter-13-devices</w:t>
        </w:r>
      </w:hyperlink>
      <w:r w:rsidR="00FD117F">
        <w:t>)</w:t>
      </w:r>
      <w:r w:rsidR="00D84117">
        <w:t>*</w:t>
      </w:r>
    </w:p>
    <w:p w:rsidR="005B7F71" w:rsidRPr="006E43DC" w:rsidP="00E47C04" w14:paraId="5AB76838" w14:textId="5842FB5D">
      <w:pPr>
        <w:pStyle w:val="GuidanceParagraph"/>
      </w:pPr>
      <w:bookmarkStart w:id="321" w:name="_Ref51144889"/>
      <w:r w:rsidRPr="006E43DC">
        <w:t xml:space="preserve">Ref. </w:t>
      </w:r>
      <w:r w:rsidRPr="006E43DC">
        <w:fldChar w:fldCharType="begin"/>
      </w:r>
      <w:r w:rsidRPr="006E43DC">
        <w:instrText>SEQ Ref. \* ARABIC</w:instrText>
      </w:r>
      <w:r w:rsidRPr="006E43DC">
        <w:fldChar w:fldCharType="separate"/>
      </w:r>
      <w:r w:rsidR="001B1E2C">
        <w:rPr>
          <w:noProof/>
        </w:rPr>
        <w:t>60</w:t>
      </w:r>
      <w:r w:rsidRPr="006E43DC">
        <w:fldChar w:fldCharType="end"/>
      </w:r>
      <w:bookmarkEnd w:id="321"/>
      <w:r w:rsidRPr="006E43DC">
        <w:t xml:space="preserve">. </w:t>
      </w:r>
      <w:r w:rsidRPr="006E43DC" w:rsidR="00C373AA">
        <w:t xml:space="preserve">National Pesticide Information Center. </w:t>
      </w:r>
      <w:r w:rsidR="00A66A82">
        <w:t>“</w:t>
      </w:r>
      <w:r w:rsidRPr="006E43DC" w:rsidR="00C373AA">
        <w:t>State Pesticide Regulatory Agencies.</w:t>
      </w:r>
      <w:r w:rsidR="00A66A82">
        <w:t>”</w:t>
      </w:r>
      <w:r w:rsidRPr="006E43DC" w:rsidR="00C373AA">
        <w:t xml:space="preserve"> </w:t>
      </w:r>
      <w:r w:rsidR="00FD117F">
        <w:t>A</w:t>
      </w:r>
      <w:r w:rsidRPr="006E43DC" w:rsidR="00C373AA">
        <w:t>ccessed</w:t>
      </w:r>
      <w:r w:rsidRPr="006E43DC" w:rsidR="008F3334">
        <w:t xml:space="preserve"> </w:t>
      </w:r>
      <w:r w:rsidR="006E7AC2">
        <w:t>October 14</w:t>
      </w:r>
      <w:r w:rsidRPr="006E43DC" w:rsidR="008F3334">
        <w:t xml:space="preserve">, </w:t>
      </w:r>
      <w:r w:rsidRPr="006E43DC" w:rsidR="00C373AA">
        <w:t>202</w:t>
      </w:r>
      <w:r w:rsidR="006E7AC2">
        <w:t>1</w:t>
      </w:r>
      <w:r w:rsidRPr="006E43DC" w:rsidR="00C373AA">
        <w:t xml:space="preserve">. </w:t>
      </w:r>
      <w:r w:rsidR="00FD117F">
        <w:t>(</w:t>
      </w:r>
      <w:hyperlink r:id="rId50" w:history="1">
        <w:r w:rsidRPr="00B46764" w:rsidR="00FD117F">
          <w:rPr>
            <w:rStyle w:val="Hyperlink"/>
          </w:rPr>
          <w:t>http://npic.orst.edu/reg/state_agencies.html</w:t>
        </w:r>
      </w:hyperlink>
      <w:r w:rsidRPr="00FD117F" w:rsidR="00FD117F">
        <w:rPr>
          <w:rStyle w:val="Hyperlink"/>
          <w:color w:val="auto"/>
          <w:u w:val="none"/>
        </w:rPr>
        <w:t>)</w:t>
      </w:r>
    </w:p>
    <w:p w:rsidR="005B7F71" w:rsidRPr="006E43DC" w:rsidP="00E47C04" w14:paraId="49262055" w14:textId="204FCA45">
      <w:pPr>
        <w:pStyle w:val="GuidanceParagraph"/>
      </w:pPr>
      <w:bookmarkStart w:id="322" w:name="_Ref51247434"/>
      <w:r w:rsidRPr="006E43DC">
        <w:t xml:space="preserve">Ref. </w:t>
      </w:r>
      <w:r w:rsidRPr="006E43DC">
        <w:fldChar w:fldCharType="begin"/>
      </w:r>
      <w:r w:rsidRPr="006E43DC">
        <w:instrText>SEQ Ref. \* ARABIC</w:instrText>
      </w:r>
      <w:r w:rsidRPr="006E43DC">
        <w:fldChar w:fldCharType="separate"/>
      </w:r>
      <w:r w:rsidR="001B1E2C">
        <w:rPr>
          <w:noProof/>
        </w:rPr>
        <w:t>61</w:t>
      </w:r>
      <w:r w:rsidRPr="006E43DC">
        <w:fldChar w:fldCharType="end"/>
      </w:r>
      <w:bookmarkEnd w:id="322"/>
      <w:r w:rsidRPr="006E43DC">
        <w:t xml:space="preserve">. </w:t>
      </w:r>
      <w:r w:rsidRPr="006E43DC" w:rsidR="00C373AA">
        <w:t xml:space="preserve">Ding, H., et al. </w:t>
      </w:r>
      <w:r w:rsidR="005B3917">
        <w:t>2013.</w:t>
      </w:r>
      <w:r w:rsidR="00C373AA">
        <w:t xml:space="preserve"> </w:t>
      </w:r>
      <w:r w:rsidR="00A66A82">
        <w:t>“</w:t>
      </w:r>
      <w:r w:rsidRPr="006E43DC" w:rsidR="00C373AA">
        <w:t>Microbial Contamination in Sprouts: How Effective Is Seed Disinfection Treatment?</w:t>
      </w:r>
      <w:r w:rsidR="00A66A82">
        <w:t>”</w:t>
      </w:r>
      <w:r w:rsidRPr="006E43DC" w:rsidR="00C373AA">
        <w:t xml:space="preserve"> </w:t>
      </w:r>
      <w:r w:rsidRPr="006E43DC" w:rsidR="00C373AA">
        <w:rPr>
          <w:i/>
        </w:rPr>
        <w:t xml:space="preserve">Journal of Food Science </w:t>
      </w:r>
      <w:r w:rsidRPr="006E43DC" w:rsidR="00C373AA">
        <w:t>78 (4</w:t>
      </w:r>
      <w:r w:rsidRPr="006E43DC" w:rsidR="00C373AA">
        <w:t>):R</w:t>
      </w:r>
      <w:r w:rsidRPr="006E43DC" w:rsidR="00C373AA">
        <w:t>495-R501.</w:t>
      </w:r>
      <w:r w:rsidR="00D84117">
        <w:t>*</w:t>
      </w:r>
    </w:p>
    <w:p w:rsidR="005B7F71" w:rsidRPr="006E43DC" w:rsidP="00E47C04" w14:paraId="56B33D9C" w14:textId="2C757FC2">
      <w:pPr>
        <w:pStyle w:val="GuidanceParagraph"/>
      </w:pPr>
      <w:bookmarkStart w:id="323" w:name="_Ref51145197"/>
      <w:r w:rsidRPr="006E43DC">
        <w:t xml:space="preserve">Ref. </w:t>
      </w:r>
      <w:r w:rsidRPr="006E43DC">
        <w:fldChar w:fldCharType="begin"/>
      </w:r>
      <w:r w:rsidRPr="006E43DC">
        <w:instrText>SEQ Ref. \* ARABIC</w:instrText>
      </w:r>
      <w:r w:rsidRPr="006E43DC">
        <w:fldChar w:fldCharType="separate"/>
      </w:r>
      <w:r w:rsidR="001B1E2C">
        <w:rPr>
          <w:noProof/>
        </w:rPr>
        <w:t>62</w:t>
      </w:r>
      <w:r w:rsidRPr="006E43DC">
        <w:fldChar w:fldCharType="end"/>
      </w:r>
      <w:bookmarkEnd w:id="323"/>
      <w:r w:rsidRPr="006E43DC">
        <w:t xml:space="preserve">. </w:t>
      </w:r>
      <w:r w:rsidRPr="006E43DC" w:rsidR="00C373AA">
        <w:t>Neetoo</w:t>
      </w:r>
      <w:r w:rsidRPr="006E43DC" w:rsidR="00C373AA">
        <w:t xml:space="preserve">, H., et al. </w:t>
      </w:r>
      <w:r w:rsidR="005B3917">
        <w:t>2011.</w:t>
      </w:r>
      <w:r w:rsidR="00C373AA">
        <w:t xml:space="preserve"> </w:t>
      </w:r>
      <w:r w:rsidR="00A66A82">
        <w:t>“</w:t>
      </w:r>
      <w:r w:rsidRPr="006E43DC" w:rsidR="00C373AA">
        <w:t xml:space="preserve">Individual and Combined Application of Dry Heat with High Hydrostatic Pressure to Inactivate </w:t>
      </w:r>
      <w:r w:rsidRPr="006E43DC" w:rsidR="00C373AA">
        <w:rPr>
          <w:i/>
        </w:rPr>
        <w:t>Salmonella</w:t>
      </w:r>
      <w:r w:rsidRPr="006E43DC" w:rsidR="00C373AA">
        <w:t xml:space="preserve"> and </w:t>
      </w:r>
      <w:r w:rsidRPr="006E43DC" w:rsidR="00C373AA">
        <w:rPr>
          <w:i/>
        </w:rPr>
        <w:t>Escherichia coli</w:t>
      </w:r>
      <w:r w:rsidRPr="006E43DC" w:rsidR="00C373AA">
        <w:t xml:space="preserve"> O157:H7 on Alfalfa Seeds</w:t>
      </w:r>
      <w:r w:rsidR="00E558ED">
        <w:t>.</w:t>
      </w:r>
      <w:r w:rsidR="00A66A82">
        <w:t>”</w:t>
      </w:r>
      <w:r w:rsidRPr="006E43DC" w:rsidR="00C373AA">
        <w:t xml:space="preserve"> </w:t>
      </w:r>
      <w:r w:rsidRPr="006E43DC" w:rsidR="00C373AA">
        <w:rPr>
          <w:i/>
        </w:rPr>
        <w:t xml:space="preserve">Food Microbiology </w:t>
      </w:r>
      <w:r w:rsidRPr="006E43DC" w:rsidR="00C373AA">
        <w:t>28 (1):119-127.</w:t>
      </w:r>
    </w:p>
    <w:p w:rsidR="005B7F71" w:rsidRPr="006E43DC" w:rsidP="00E47C04" w14:paraId="354F769E" w14:textId="00D67148">
      <w:pPr>
        <w:pStyle w:val="GuidanceParagraph"/>
      </w:pPr>
      <w:bookmarkStart w:id="324" w:name="_Ref51145223"/>
      <w:r w:rsidRPr="006E43DC">
        <w:t xml:space="preserve">Ref. </w:t>
      </w:r>
      <w:r w:rsidRPr="006E43DC">
        <w:fldChar w:fldCharType="begin"/>
      </w:r>
      <w:r w:rsidRPr="006E43DC">
        <w:instrText>SEQ Ref. \* ARABIC</w:instrText>
      </w:r>
      <w:r w:rsidRPr="006E43DC">
        <w:fldChar w:fldCharType="separate"/>
      </w:r>
      <w:r w:rsidR="001B1E2C">
        <w:rPr>
          <w:noProof/>
        </w:rPr>
        <w:t>63</w:t>
      </w:r>
      <w:r w:rsidRPr="006E43DC">
        <w:fldChar w:fldCharType="end"/>
      </w:r>
      <w:bookmarkEnd w:id="324"/>
      <w:r w:rsidRPr="006E43DC">
        <w:t xml:space="preserve">. </w:t>
      </w:r>
      <w:r w:rsidRPr="006E43DC" w:rsidR="00C373AA">
        <w:t xml:space="preserve">Johanson, J., et al. </w:t>
      </w:r>
      <w:r w:rsidR="00E558ED">
        <w:t>“</w:t>
      </w:r>
      <w:r w:rsidRPr="006E43DC" w:rsidR="00C373AA">
        <w:t>Memorandum to the File</w:t>
      </w:r>
      <w:r w:rsidR="00FD117F">
        <w:t>:</w:t>
      </w:r>
      <w:r w:rsidRPr="006E43DC" w:rsidR="00C373AA">
        <w:t xml:space="preserve"> Review of Literature on Methods for Treatment of Seed Intended for Sprouting, October 2015.</w:t>
      </w:r>
      <w:r w:rsidR="00E558ED">
        <w:t>”</w:t>
      </w:r>
      <w:r w:rsidRPr="006E43DC" w:rsidR="00C373AA">
        <w:t xml:space="preserve"> Food and Drug </w:t>
      </w:r>
      <w:r w:rsidRPr="006E43DC" w:rsidR="00C373AA">
        <w:t>Administration.</w:t>
      </w:r>
      <w:r w:rsidR="00D84117">
        <w:t>*</w:t>
      </w:r>
    </w:p>
    <w:p w:rsidR="005B7F71" w:rsidRPr="006E43DC" w:rsidP="00E47C04" w14:paraId="44866949" w14:textId="3DD9A9E1">
      <w:pPr>
        <w:pStyle w:val="GuidanceParagraph"/>
      </w:pPr>
      <w:bookmarkStart w:id="325" w:name="_Ref51146841"/>
      <w:r w:rsidRPr="006E43DC">
        <w:t xml:space="preserve">Ref. </w:t>
      </w:r>
      <w:r w:rsidRPr="006E43DC">
        <w:fldChar w:fldCharType="begin"/>
      </w:r>
      <w:r w:rsidRPr="006E43DC">
        <w:instrText>SEQ Ref. \* ARABIC</w:instrText>
      </w:r>
      <w:r w:rsidRPr="006E43DC">
        <w:fldChar w:fldCharType="separate"/>
      </w:r>
      <w:r w:rsidR="001B1E2C">
        <w:rPr>
          <w:noProof/>
        </w:rPr>
        <w:t>64</w:t>
      </w:r>
      <w:r w:rsidRPr="006E43DC">
        <w:fldChar w:fldCharType="end"/>
      </w:r>
      <w:bookmarkEnd w:id="325"/>
      <w:r w:rsidRPr="006E43DC">
        <w:t xml:space="preserve">. </w:t>
      </w:r>
      <w:r w:rsidRPr="006E43DC" w:rsidR="00831CA2">
        <w:t>Rajkowski</w:t>
      </w:r>
      <w:r w:rsidRPr="006E43DC" w:rsidR="00831CA2">
        <w:t xml:space="preserve">, K.T., et al. </w:t>
      </w:r>
      <w:r w:rsidR="00C17AC8">
        <w:t>2012.</w:t>
      </w:r>
      <w:r w:rsidR="00831CA2">
        <w:t xml:space="preserve"> </w:t>
      </w:r>
      <w:r w:rsidR="00E558ED">
        <w:t>“</w:t>
      </w:r>
      <w:r w:rsidRPr="006E43DC" w:rsidR="00831CA2">
        <w:t>Irradiation of Seeds and Sprouts.</w:t>
      </w:r>
      <w:r w:rsidR="00E558ED">
        <w:t>”</w:t>
      </w:r>
      <w:r w:rsidRPr="006E43DC" w:rsidR="00831CA2">
        <w:t xml:space="preserve"> </w:t>
      </w:r>
      <w:r w:rsidRPr="006E43DC" w:rsidR="00831CA2">
        <w:rPr>
          <w:i/>
        </w:rPr>
        <w:t>Food Irradiation Research and Technology, 2nd Edition</w:t>
      </w:r>
      <w:r w:rsidRPr="006E43DC" w:rsidR="00831CA2">
        <w:t xml:space="preserve">, edited by X. Fan and C.H. Sommers, </w:t>
      </w:r>
      <w:r w:rsidR="00164FE9">
        <w:t>pp</w:t>
      </w:r>
      <w:r w:rsidR="005808CB">
        <w:t xml:space="preserve"> 295-</w:t>
      </w:r>
      <w:r w:rsidR="003768B5">
        <w:t>316</w:t>
      </w:r>
      <w:r w:rsidR="00164FE9">
        <w:t>.</w:t>
      </w:r>
      <w:r w:rsidR="00831CA2">
        <w:t xml:space="preserve"> </w:t>
      </w:r>
      <w:r w:rsidRPr="006E43DC" w:rsidR="00831CA2">
        <w:t>Hoboken, NJ, USA: John Wiley &amp; Sons, Inc.</w:t>
      </w:r>
    </w:p>
    <w:p w:rsidR="005B7F71" w:rsidRPr="006E43DC" w:rsidP="00E47C04" w14:paraId="7381DFD8" w14:textId="0914924D">
      <w:pPr>
        <w:pStyle w:val="GuidanceParagraph"/>
      </w:pPr>
      <w:bookmarkStart w:id="326" w:name="_Ref51146868"/>
      <w:r w:rsidRPr="006E43DC">
        <w:t xml:space="preserve">Ref. </w:t>
      </w:r>
      <w:r w:rsidRPr="006E43DC">
        <w:fldChar w:fldCharType="begin"/>
      </w:r>
      <w:r w:rsidRPr="006E43DC">
        <w:instrText>SEQ Ref. \* ARABIC</w:instrText>
      </w:r>
      <w:r w:rsidRPr="006E43DC">
        <w:fldChar w:fldCharType="separate"/>
      </w:r>
      <w:r w:rsidR="001B1E2C">
        <w:rPr>
          <w:noProof/>
        </w:rPr>
        <w:t>65</w:t>
      </w:r>
      <w:r w:rsidRPr="006E43DC">
        <w:fldChar w:fldCharType="end"/>
      </w:r>
      <w:bookmarkEnd w:id="326"/>
      <w:r w:rsidRPr="006E43DC">
        <w:t xml:space="preserve">. </w:t>
      </w:r>
      <w:r w:rsidRPr="006E43DC" w:rsidR="00831CA2">
        <w:t>Sikin</w:t>
      </w:r>
      <w:r w:rsidRPr="006E43DC" w:rsidR="00831CA2">
        <w:t xml:space="preserve">, A.M., et al. </w:t>
      </w:r>
      <w:r w:rsidR="00B637B9">
        <w:t>2013.</w:t>
      </w:r>
      <w:r w:rsidR="00831CA2">
        <w:t xml:space="preserve"> </w:t>
      </w:r>
      <w:r w:rsidR="00E558ED">
        <w:t>“</w:t>
      </w:r>
      <w:r w:rsidRPr="006E43DC" w:rsidR="00831CA2">
        <w:t>Current Intervention Strategies for the Microbial Safety of Sprouts</w:t>
      </w:r>
      <w:r w:rsidR="008245F8">
        <w:t>.</w:t>
      </w:r>
      <w:r w:rsidR="00E558ED">
        <w:t>”</w:t>
      </w:r>
      <w:r w:rsidRPr="006E43DC" w:rsidR="00831CA2">
        <w:t xml:space="preserve"> </w:t>
      </w:r>
      <w:r w:rsidRPr="006E43DC" w:rsidR="00831CA2">
        <w:rPr>
          <w:i/>
        </w:rPr>
        <w:t xml:space="preserve">Journal of Food Protection </w:t>
      </w:r>
      <w:r w:rsidRPr="006E43DC" w:rsidR="00831CA2">
        <w:t>76 (12):2099-2123.</w:t>
      </w:r>
    </w:p>
    <w:p w:rsidR="005B7F71" w:rsidRPr="006E43DC" w:rsidP="00E47C04" w14:paraId="587568DD" w14:textId="571F4CBF">
      <w:pPr>
        <w:pStyle w:val="GuidanceParagraph"/>
      </w:pPr>
      <w:bookmarkStart w:id="327" w:name="_Ref51146889"/>
      <w:r w:rsidRPr="006E43DC">
        <w:t xml:space="preserve">Ref. </w:t>
      </w:r>
      <w:r w:rsidRPr="006E43DC">
        <w:fldChar w:fldCharType="begin"/>
      </w:r>
      <w:r w:rsidRPr="006E43DC">
        <w:instrText>SEQ Ref. \* ARABIC</w:instrText>
      </w:r>
      <w:r w:rsidRPr="006E43DC">
        <w:fldChar w:fldCharType="separate"/>
      </w:r>
      <w:r w:rsidR="001B1E2C">
        <w:rPr>
          <w:noProof/>
        </w:rPr>
        <w:t>66</w:t>
      </w:r>
      <w:r w:rsidRPr="006E43DC">
        <w:fldChar w:fldCharType="end"/>
      </w:r>
      <w:bookmarkEnd w:id="327"/>
      <w:r w:rsidRPr="006E43DC">
        <w:t xml:space="preserve">. </w:t>
      </w:r>
      <w:r w:rsidRPr="006E43DC" w:rsidR="00831CA2">
        <w:t>Trząskowska</w:t>
      </w:r>
      <w:r w:rsidRPr="006E43DC" w:rsidR="00831CA2">
        <w:t>, M., et al</w:t>
      </w:r>
      <w:r w:rsidR="00831CA2">
        <w:t>.</w:t>
      </w:r>
      <w:r w:rsidR="00CC2BD1">
        <w:t xml:space="preserve"> 2018</w:t>
      </w:r>
      <w:r w:rsidRPr="006E43DC" w:rsidR="00831CA2">
        <w:t xml:space="preserve">. </w:t>
      </w:r>
      <w:r w:rsidR="00E558ED">
        <w:t>“</w:t>
      </w:r>
      <w:r w:rsidRPr="006E43DC" w:rsidR="00831CA2">
        <w:t xml:space="preserve">Pathogen reduction on mung bean reduction of </w:t>
      </w:r>
      <w:r w:rsidRPr="006E43DC" w:rsidR="00831CA2">
        <w:rPr>
          <w:i/>
        </w:rPr>
        <w:t>Escherichia coli</w:t>
      </w:r>
      <w:r w:rsidRPr="006E43DC" w:rsidR="00831CA2">
        <w:t xml:space="preserve"> O157: H7, </w:t>
      </w:r>
      <w:r w:rsidRPr="006E43DC" w:rsidR="00831CA2">
        <w:rPr>
          <w:i/>
        </w:rPr>
        <w:t>Salmonella</w:t>
      </w:r>
      <w:r w:rsidRPr="006E43DC" w:rsidR="00831CA2">
        <w:t xml:space="preserve"> </w:t>
      </w:r>
      <w:r w:rsidRPr="006E43DC" w:rsidR="00831CA2">
        <w:rPr>
          <w:i/>
        </w:rPr>
        <w:t>enterica</w:t>
      </w:r>
      <w:r w:rsidRPr="006E43DC" w:rsidR="00831CA2">
        <w:t xml:space="preserve"> and </w:t>
      </w:r>
      <w:r w:rsidRPr="006E43DC" w:rsidR="00831CA2">
        <w:rPr>
          <w:i/>
        </w:rPr>
        <w:t>Listeria monocytogenes</w:t>
      </w:r>
      <w:r w:rsidRPr="006E43DC" w:rsidR="00831CA2">
        <w:t xml:space="preserve"> on Mung Bean Using Combined Thermal and Chemical Treatments with Acetic Acid and Hydrogen Peroxide</w:t>
      </w:r>
      <w:r w:rsidR="00CB581A">
        <w:t>.</w:t>
      </w:r>
      <w:r w:rsidR="00E558ED">
        <w:t>”</w:t>
      </w:r>
      <w:r w:rsidRPr="006E43DC" w:rsidR="00522FB7">
        <w:t xml:space="preserve"> </w:t>
      </w:r>
      <w:r w:rsidRPr="006E43DC" w:rsidR="00831CA2">
        <w:rPr>
          <w:i/>
        </w:rPr>
        <w:t xml:space="preserve">Food </w:t>
      </w:r>
      <w:r w:rsidR="00CB581A">
        <w:rPr>
          <w:i/>
        </w:rPr>
        <w:t>M</w:t>
      </w:r>
      <w:r w:rsidRPr="006E43DC" w:rsidR="00831CA2">
        <w:rPr>
          <w:i/>
        </w:rPr>
        <w:t>icrobiology</w:t>
      </w:r>
      <w:r w:rsidRPr="006E43DC" w:rsidR="00E356F7">
        <w:rPr>
          <w:i/>
        </w:rPr>
        <w:t xml:space="preserve"> </w:t>
      </w:r>
      <w:r w:rsidRPr="006E43DC" w:rsidR="00831CA2">
        <w:t>76</w:t>
      </w:r>
      <w:r w:rsidRPr="006E43DC" w:rsidR="00831CA2">
        <w:rPr>
          <w:iCs/>
        </w:rPr>
        <w:t>:</w:t>
      </w:r>
      <w:r w:rsidRPr="006E43DC" w:rsidR="00831CA2">
        <w:t>62-68.</w:t>
      </w:r>
    </w:p>
    <w:p w:rsidR="005B7F71" w:rsidRPr="006E43DC" w:rsidP="00E47C04" w14:paraId="2B44C8D1" w14:textId="1226402F">
      <w:pPr>
        <w:pStyle w:val="GuidanceParagraph"/>
      </w:pPr>
      <w:bookmarkStart w:id="328" w:name="_Ref51146964"/>
      <w:r w:rsidRPr="006E43DC">
        <w:t xml:space="preserve">Ref. </w:t>
      </w:r>
      <w:r w:rsidRPr="006E43DC">
        <w:fldChar w:fldCharType="begin"/>
      </w:r>
      <w:r w:rsidRPr="006E43DC">
        <w:instrText>SEQ Ref. \* ARABIC</w:instrText>
      </w:r>
      <w:r w:rsidRPr="006E43DC">
        <w:fldChar w:fldCharType="separate"/>
      </w:r>
      <w:r w:rsidR="001B1E2C">
        <w:rPr>
          <w:noProof/>
        </w:rPr>
        <w:t>67</w:t>
      </w:r>
      <w:r w:rsidRPr="006E43DC">
        <w:fldChar w:fldCharType="end"/>
      </w:r>
      <w:bookmarkEnd w:id="328"/>
      <w:r w:rsidRPr="006E43DC">
        <w:t xml:space="preserve">. </w:t>
      </w:r>
      <w:r w:rsidRPr="006E43DC" w:rsidR="00831CA2">
        <w:t>Liao, C.H.</w:t>
      </w:r>
      <w:r w:rsidRPr="006E43DC" w:rsidR="00522FB7">
        <w:t xml:space="preserve"> </w:t>
      </w:r>
      <w:r w:rsidR="00CB581A">
        <w:t>2009.</w:t>
      </w:r>
      <w:r w:rsidRPr="00522FB7" w:rsidR="00522FB7">
        <w:t xml:space="preserve"> </w:t>
      </w:r>
      <w:r w:rsidR="00E558ED">
        <w:t>“</w:t>
      </w:r>
      <w:r w:rsidRPr="006E43DC" w:rsidR="00831CA2">
        <w:t>Acidified Sodium Chlorite as an Alternative to Chlorine for Elimination of Salmonella on Alfalfa Seeds</w:t>
      </w:r>
      <w:r w:rsidR="00CB581A">
        <w:t>.</w:t>
      </w:r>
      <w:r w:rsidR="00E558ED">
        <w:t>”</w:t>
      </w:r>
      <w:r w:rsidRPr="006E43DC" w:rsidR="00831CA2">
        <w:t xml:space="preserve"> </w:t>
      </w:r>
      <w:r w:rsidRPr="006E43DC" w:rsidR="00831CA2">
        <w:rPr>
          <w:i/>
        </w:rPr>
        <w:t xml:space="preserve">Food Microbiology and Safety </w:t>
      </w:r>
      <w:r w:rsidRPr="006E43DC" w:rsidR="00831CA2">
        <w:t>74 (4):M159-M</w:t>
      </w:r>
      <w:r w:rsidRPr="006E43DC" w:rsidR="00831CA2">
        <w:t>164.</w:t>
      </w:r>
      <w:r w:rsidR="00D84117">
        <w:t>*</w:t>
      </w:r>
    </w:p>
    <w:p w:rsidR="005B7F71" w:rsidRPr="006E43DC" w:rsidP="00E47C04" w14:paraId="08D8CE4C" w14:textId="49A6DB0C">
      <w:pPr>
        <w:pStyle w:val="GuidanceParagraph"/>
      </w:pPr>
      <w:bookmarkStart w:id="329" w:name="_Ref51146985"/>
      <w:r w:rsidRPr="006E43DC">
        <w:t xml:space="preserve">Ref. </w:t>
      </w:r>
      <w:r w:rsidRPr="006E43DC">
        <w:fldChar w:fldCharType="begin"/>
      </w:r>
      <w:r w:rsidRPr="006E43DC">
        <w:instrText>SEQ Ref. \* ARABIC</w:instrText>
      </w:r>
      <w:r w:rsidRPr="006E43DC">
        <w:fldChar w:fldCharType="separate"/>
      </w:r>
      <w:r w:rsidR="001B1E2C">
        <w:rPr>
          <w:noProof/>
        </w:rPr>
        <w:t>68</w:t>
      </w:r>
      <w:r w:rsidRPr="006E43DC">
        <w:fldChar w:fldCharType="end"/>
      </w:r>
      <w:bookmarkEnd w:id="329"/>
      <w:r w:rsidRPr="006E43DC">
        <w:t xml:space="preserve">. </w:t>
      </w:r>
      <w:r w:rsidRPr="006E43DC" w:rsidR="00831CA2">
        <w:t xml:space="preserve">Holliday, S.L., et al. </w:t>
      </w:r>
      <w:r w:rsidR="00CB581A">
        <w:t>20</w:t>
      </w:r>
      <w:r w:rsidR="000E3758">
        <w:t>0</w:t>
      </w:r>
      <w:r w:rsidR="00CB581A">
        <w:t>1.</w:t>
      </w:r>
      <w:r w:rsidR="00831CA2">
        <w:t xml:space="preserve"> </w:t>
      </w:r>
      <w:r w:rsidR="00E558ED">
        <w:t>“</w:t>
      </w:r>
      <w:r w:rsidRPr="006E43DC" w:rsidR="00831CA2">
        <w:t xml:space="preserve">Efficacy of Chemical Treatments in Eliminating </w:t>
      </w:r>
      <w:r w:rsidRPr="006E43DC" w:rsidR="00831CA2">
        <w:rPr>
          <w:i/>
        </w:rPr>
        <w:t xml:space="preserve">Salmonella </w:t>
      </w:r>
      <w:r w:rsidRPr="006E43DC" w:rsidR="00831CA2">
        <w:t xml:space="preserve">and </w:t>
      </w:r>
      <w:r w:rsidRPr="006E43DC" w:rsidR="00831CA2">
        <w:rPr>
          <w:i/>
        </w:rPr>
        <w:t>Escherichia coli</w:t>
      </w:r>
      <w:r w:rsidRPr="006E43DC" w:rsidR="00831CA2">
        <w:t xml:space="preserve"> O157:H7 in Scarified and Polished Alfalfa Seeds</w:t>
      </w:r>
      <w:r w:rsidR="000E3758">
        <w:t>.</w:t>
      </w:r>
      <w:r w:rsidR="00E558ED">
        <w:t>”</w:t>
      </w:r>
      <w:r w:rsidRPr="006E43DC" w:rsidR="00831CA2">
        <w:t xml:space="preserve"> </w:t>
      </w:r>
      <w:r w:rsidRPr="006E43DC" w:rsidR="00831CA2">
        <w:rPr>
          <w:i/>
        </w:rPr>
        <w:t xml:space="preserve">Journal of Food Protection </w:t>
      </w:r>
      <w:r w:rsidRPr="006E43DC" w:rsidR="00831CA2">
        <w:t>64 (10):1489-1495.</w:t>
      </w:r>
    </w:p>
    <w:p w:rsidR="005B7F71" w:rsidRPr="006E43DC" w:rsidP="00E47C04" w14:paraId="006F0152" w14:textId="335DA48C">
      <w:pPr>
        <w:pStyle w:val="GuidanceParagraph"/>
      </w:pPr>
      <w:bookmarkStart w:id="330" w:name="_Ref51147046"/>
      <w:r w:rsidRPr="006E43DC">
        <w:t xml:space="preserve">Ref. </w:t>
      </w:r>
      <w:r w:rsidRPr="006E43DC">
        <w:fldChar w:fldCharType="begin"/>
      </w:r>
      <w:r w:rsidRPr="006E43DC">
        <w:instrText>SEQ Ref. \* ARABIC</w:instrText>
      </w:r>
      <w:r w:rsidRPr="006E43DC">
        <w:fldChar w:fldCharType="separate"/>
      </w:r>
      <w:r w:rsidR="001B1E2C">
        <w:rPr>
          <w:noProof/>
        </w:rPr>
        <w:t>69</w:t>
      </w:r>
      <w:r w:rsidRPr="006E43DC">
        <w:fldChar w:fldCharType="end"/>
      </w:r>
      <w:bookmarkEnd w:id="330"/>
      <w:r w:rsidRPr="006E43DC">
        <w:t xml:space="preserve">. </w:t>
      </w:r>
      <w:r w:rsidRPr="006E43DC" w:rsidR="00831CA2">
        <w:t xml:space="preserve">Chang, S., et al. </w:t>
      </w:r>
      <w:r w:rsidR="00E558ED">
        <w:t>“</w:t>
      </w:r>
      <w:r w:rsidRPr="006E43DC" w:rsidR="00831CA2">
        <w:t xml:space="preserve">Inactivation of </w:t>
      </w:r>
      <w:r w:rsidRPr="006E43DC" w:rsidR="00831CA2">
        <w:rPr>
          <w:i/>
        </w:rPr>
        <w:t>Escherichia coli</w:t>
      </w:r>
      <w:r w:rsidRPr="006E43DC" w:rsidR="00831CA2">
        <w:t xml:space="preserve"> O157:H7 and </w:t>
      </w:r>
      <w:r w:rsidRPr="006E43DC" w:rsidR="00831CA2">
        <w:rPr>
          <w:i/>
        </w:rPr>
        <w:t>Salmonella</w:t>
      </w:r>
      <w:r w:rsidRPr="006E43DC" w:rsidR="00831CA2">
        <w:t xml:space="preserve"> spp. on Alfalfa Seeds by Caprylic acid and </w:t>
      </w:r>
      <w:r w:rsidRPr="006E43DC" w:rsidR="00831CA2">
        <w:t>Monocaprylin</w:t>
      </w:r>
      <w:r w:rsidR="00E558ED">
        <w:t>.”</w:t>
      </w:r>
      <w:r w:rsidRPr="006E43DC" w:rsidR="00831CA2">
        <w:t xml:space="preserve"> </w:t>
      </w:r>
      <w:r w:rsidRPr="006E43DC" w:rsidR="00831CA2">
        <w:rPr>
          <w:i/>
        </w:rPr>
        <w:t xml:space="preserve">International Journal of Food Microbiology </w:t>
      </w:r>
      <w:r w:rsidRPr="006E43DC" w:rsidR="00831CA2">
        <w:t>144:141-146, 2010.</w:t>
      </w:r>
    </w:p>
    <w:p w:rsidR="005B7F71" w:rsidRPr="006E43DC" w:rsidP="00E47C04" w14:paraId="3D9253BF" w14:textId="7CDE68ED">
      <w:pPr>
        <w:pStyle w:val="GuidanceParagraph"/>
      </w:pPr>
      <w:bookmarkStart w:id="331" w:name="_Ref51147082"/>
      <w:r w:rsidRPr="006E43DC">
        <w:t xml:space="preserve">Ref. </w:t>
      </w:r>
      <w:r w:rsidRPr="006E43DC">
        <w:fldChar w:fldCharType="begin"/>
      </w:r>
      <w:r w:rsidRPr="006E43DC">
        <w:instrText>SEQ Ref. \* ARABIC</w:instrText>
      </w:r>
      <w:r w:rsidRPr="006E43DC">
        <w:fldChar w:fldCharType="separate"/>
      </w:r>
      <w:r w:rsidR="001B1E2C">
        <w:rPr>
          <w:noProof/>
        </w:rPr>
        <w:t>70</w:t>
      </w:r>
      <w:r w:rsidRPr="006E43DC">
        <w:fldChar w:fldCharType="end"/>
      </w:r>
      <w:bookmarkEnd w:id="331"/>
      <w:r w:rsidRPr="006E43DC">
        <w:t xml:space="preserve">. </w:t>
      </w:r>
      <w:r w:rsidRPr="006E43DC" w:rsidR="00831CA2">
        <w:t>Nei</w:t>
      </w:r>
      <w:r w:rsidRPr="006E43DC" w:rsidR="00831CA2">
        <w:t xml:space="preserve">, D., et al. </w:t>
      </w:r>
      <w:r w:rsidR="000E3758">
        <w:t>2011.</w:t>
      </w:r>
      <w:r w:rsidR="00831CA2">
        <w:t xml:space="preserve"> </w:t>
      </w:r>
      <w:r w:rsidR="00E558ED">
        <w:t>“</w:t>
      </w:r>
      <w:r w:rsidRPr="006E43DC" w:rsidR="00831CA2">
        <w:t xml:space="preserve">Disinfection of Radish and Alfalfa Seeds Inoculated with </w:t>
      </w:r>
      <w:r w:rsidRPr="006E43DC" w:rsidR="00831CA2">
        <w:rPr>
          <w:i/>
        </w:rPr>
        <w:t>Escherichia coli</w:t>
      </w:r>
      <w:r w:rsidRPr="006E43DC" w:rsidR="00831CA2">
        <w:t xml:space="preserve"> O157:H7 and </w:t>
      </w:r>
      <w:r w:rsidRPr="006E43DC" w:rsidR="00831CA2">
        <w:rPr>
          <w:i/>
        </w:rPr>
        <w:t>Salmonella</w:t>
      </w:r>
      <w:r w:rsidRPr="006E43DC" w:rsidR="00831CA2">
        <w:t xml:space="preserve"> by a Gaseous Acetic Acid Treatment</w:t>
      </w:r>
      <w:r w:rsidR="000E3758">
        <w:t>.</w:t>
      </w:r>
      <w:r w:rsidR="00E558ED">
        <w:t>”</w:t>
      </w:r>
      <w:r w:rsidRPr="006E43DC" w:rsidR="00831CA2">
        <w:t xml:space="preserve"> </w:t>
      </w:r>
      <w:r w:rsidRPr="006E43DC" w:rsidR="00831CA2">
        <w:rPr>
          <w:i/>
        </w:rPr>
        <w:t xml:space="preserve">Foodborne Pathogens and Disease </w:t>
      </w:r>
      <w:r w:rsidRPr="006E43DC" w:rsidR="00831CA2">
        <w:t>8 (10):1089-1094.</w:t>
      </w:r>
    </w:p>
    <w:p w:rsidR="005B7F71" w:rsidRPr="006E43DC" w:rsidP="00E47C04" w14:paraId="31A39FA1" w14:textId="2E4BD6EE">
      <w:pPr>
        <w:pStyle w:val="GuidanceParagraph"/>
      </w:pPr>
      <w:bookmarkStart w:id="332" w:name="_Ref51147113"/>
      <w:r w:rsidRPr="006E43DC">
        <w:t xml:space="preserve">Ref. </w:t>
      </w:r>
      <w:r w:rsidRPr="006E43DC">
        <w:fldChar w:fldCharType="begin"/>
      </w:r>
      <w:r w:rsidRPr="006E43DC">
        <w:instrText>SEQ Ref. \* ARABIC</w:instrText>
      </w:r>
      <w:r w:rsidRPr="006E43DC">
        <w:fldChar w:fldCharType="separate"/>
      </w:r>
      <w:r w:rsidR="001B1E2C">
        <w:rPr>
          <w:noProof/>
        </w:rPr>
        <w:t>71</w:t>
      </w:r>
      <w:r w:rsidRPr="006E43DC">
        <w:fldChar w:fldCharType="end"/>
      </w:r>
      <w:bookmarkEnd w:id="332"/>
      <w:r w:rsidRPr="006E43DC">
        <w:t xml:space="preserve">. </w:t>
      </w:r>
      <w:r w:rsidRPr="006E43DC" w:rsidR="00831CA2">
        <w:t>Nei</w:t>
      </w:r>
      <w:r w:rsidRPr="006E43DC" w:rsidR="00831CA2">
        <w:t xml:space="preserve">, D., et al. </w:t>
      </w:r>
      <w:r w:rsidR="000E3758">
        <w:t>2014.</w:t>
      </w:r>
      <w:r w:rsidR="00831CA2">
        <w:t xml:space="preserve"> </w:t>
      </w:r>
      <w:r w:rsidR="00E558ED">
        <w:t>“</w:t>
      </w:r>
      <w:r w:rsidRPr="006E43DC" w:rsidR="00831CA2">
        <w:t xml:space="preserve">Large-Scale Gaseous Acetic Acid Treatment to Disinfect Alfalfa Seeds Inoculated with </w:t>
      </w:r>
      <w:r w:rsidRPr="006E43DC" w:rsidR="00831CA2">
        <w:rPr>
          <w:i/>
        </w:rPr>
        <w:t>Escherichia coli</w:t>
      </w:r>
      <w:r w:rsidR="00E558ED">
        <w:t>.”</w:t>
      </w:r>
      <w:r w:rsidRPr="006E43DC" w:rsidR="00831CA2">
        <w:t xml:space="preserve"> </w:t>
      </w:r>
      <w:r w:rsidRPr="006E43DC" w:rsidR="00831CA2">
        <w:rPr>
          <w:i/>
        </w:rPr>
        <w:t xml:space="preserve">Foodborne Pathogens and Disease </w:t>
      </w:r>
      <w:r w:rsidRPr="006E43DC" w:rsidR="00831CA2">
        <w:t>11 (4):332-334.</w:t>
      </w:r>
    </w:p>
    <w:p w:rsidR="005B7F71" w:rsidRPr="006E43DC" w:rsidP="00E47C04" w14:paraId="6D2FAF3D" w14:textId="45D13485">
      <w:pPr>
        <w:pStyle w:val="GuidanceParagraph"/>
      </w:pPr>
      <w:bookmarkStart w:id="333" w:name="_Ref51147166"/>
      <w:r w:rsidRPr="006E43DC">
        <w:t xml:space="preserve">Ref. </w:t>
      </w:r>
      <w:r w:rsidRPr="006E43DC">
        <w:fldChar w:fldCharType="begin"/>
      </w:r>
      <w:r w:rsidRPr="006E43DC">
        <w:instrText>SEQ Ref. \* ARABIC</w:instrText>
      </w:r>
      <w:r w:rsidRPr="006E43DC">
        <w:fldChar w:fldCharType="separate"/>
      </w:r>
      <w:r w:rsidR="001B1E2C">
        <w:rPr>
          <w:noProof/>
        </w:rPr>
        <w:t>72</w:t>
      </w:r>
      <w:r w:rsidRPr="006E43DC">
        <w:fldChar w:fldCharType="end"/>
      </w:r>
      <w:bookmarkEnd w:id="333"/>
      <w:r w:rsidRPr="006E43DC">
        <w:t xml:space="preserve">. </w:t>
      </w:r>
      <w:r w:rsidRPr="006E43DC" w:rsidR="00831CA2">
        <w:t>Beuchat</w:t>
      </w:r>
      <w:r w:rsidRPr="006E43DC" w:rsidR="00831CA2">
        <w:t xml:space="preserve">, L.R. </w:t>
      </w:r>
      <w:r w:rsidR="000E3758">
        <w:t>1997.</w:t>
      </w:r>
      <w:r w:rsidR="00831CA2">
        <w:t xml:space="preserve"> </w:t>
      </w:r>
      <w:r w:rsidR="00E558ED">
        <w:t>“</w:t>
      </w:r>
      <w:r w:rsidRPr="006E43DC" w:rsidR="00831CA2">
        <w:t xml:space="preserve">Short Communication: Comparison of Chemical Treatments to Kill </w:t>
      </w:r>
      <w:r w:rsidRPr="006E43DC" w:rsidR="00831CA2">
        <w:rPr>
          <w:i/>
        </w:rPr>
        <w:t>Salmonella</w:t>
      </w:r>
      <w:r w:rsidRPr="006E43DC" w:rsidR="00831CA2">
        <w:t xml:space="preserve"> on Alfalfa Seeds Destined for Sprout Production</w:t>
      </w:r>
      <w:r w:rsidR="000E3758">
        <w:t>.</w:t>
      </w:r>
      <w:r w:rsidR="00E558ED">
        <w:t>”</w:t>
      </w:r>
      <w:r w:rsidRPr="006E43DC" w:rsidR="00831CA2">
        <w:t xml:space="preserve"> </w:t>
      </w:r>
      <w:r w:rsidRPr="006E43DC" w:rsidR="00831CA2">
        <w:rPr>
          <w:i/>
        </w:rPr>
        <w:t xml:space="preserve">International Journal of Food Microbiology </w:t>
      </w:r>
      <w:r w:rsidRPr="006E43DC" w:rsidR="00831CA2">
        <w:t>34:329-333.</w:t>
      </w:r>
    </w:p>
    <w:p w:rsidR="005B7F71" w:rsidRPr="006E43DC" w:rsidP="00E47C04" w14:paraId="5962A980" w14:textId="15247808">
      <w:pPr>
        <w:pStyle w:val="GuidanceParagraph"/>
        <w:rPr>
          <w:rStyle w:val="Hyperlink"/>
        </w:rPr>
      </w:pPr>
      <w:bookmarkStart w:id="334" w:name="_Ref51147281"/>
      <w:r w:rsidRPr="006E43DC">
        <w:t xml:space="preserve">Ref. </w:t>
      </w:r>
      <w:r w:rsidRPr="006E43DC">
        <w:fldChar w:fldCharType="begin"/>
      </w:r>
      <w:r w:rsidRPr="006E43DC">
        <w:instrText>SEQ Ref. \* ARABIC</w:instrText>
      </w:r>
      <w:r w:rsidRPr="006E43DC">
        <w:fldChar w:fldCharType="separate"/>
      </w:r>
      <w:r w:rsidR="001B1E2C">
        <w:rPr>
          <w:noProof/>
        </w:rPr>
        <w:t>73</w:t>
      </w:r>
      <w:r w:rsidRPr="006E43DC">
        <w:fldChar w:fldCharType="end"/>
      </w:r>
      <w:bookmarkEnd w:id="334"/>
      <w:r w:rsidRPr="006E43DC">
        <w:t xml:space="preserve">. </w:t>
      </w:r>
      <w:r w:rsidRPr="006E43DC" w:rsidR="00831CA2">
        <w:t xml:space="preserve">Environmental Protection Agency (EPA). </w:t>
      </w:r>
      <w:r w:rsidR="00914CC7">
        <w:t xml:space="preserve">2018. </w:t>
      </w:r>
      <w:r w:rsidR="00E57D25">
        <w:t xml:space="preserve">Pesticide </w:t>
      </w:r>
      <w:r w:rsidR="00A06327">
        <w:t xml:space="preserve">Product Label, </w:t>
      </w:r>
      <w:r w:rsidRPr="006E43DC" w:rsidR="00831CA2">
        <w:t xml:space="preserve">Registration </w:t>
      </w:r>
      <w:r w:rsidR="00A06327">
        <w:t>N</w:t>
      </w:r>
      <w:r w:rsidRPr="006E43DC" w:rsidR="00831CA2">
        <w:t xml:space="preserve">umber 5813-114. Accessed </w:t>
      </w:r>
      <w:r w:rsidR="00F535D7">
        <w:t>October 14</w:t>
      </w:r>
      <w:r w:rsidR="003003F2">
        <w:t>, 202</w:t>
      </w:r>
      <w:r w:rsidR="00F535D7">
        <w:t>1</w:t>
      </w:r>
      <w:r w:rsidRPr="006E43DC" w:rsidR="00831CA2">
        <w:t xml:space="preserve">. </w:t>
      </w:r>
      <w:r w:rsidR="005E0573">
        <w:t>(</w:t>
      </w:r>
      <w:hyperlink r:id="rId51" w:history="1">
        <w:r w:rsidRPr="006E43DC" w:rsidR="00831CA2">
          <w:rPr>
            <w:rStyle w:val="Hyperlink"/>
          </w:rPr>
          <w:t>https://www3.epa.gov/pesticides/chem_search/ppls/005813-00114-20181030.pdf</w:t>
        </w:r>
      </w:hyperlink>
      <w:r w:rsidRPr="005E0573" w:rsidR="005E0573">
        <w:rPr>
          <w:rStyle w:val="Hyperlink"/>
          <w:color w:val="auto"/>
          <w:u w:val="none"/>
        </w:rPr>
        <w:t>)</w:t>
      </w:r>
      <w:r w:rsidR="00D84117">
        <w:rPr>
          <w:rStyle w:val="Hyperlink"/>
          <w:color w:val="auto"/>
          <w:u w:val="none"/>
        </w:rPr>
        <w:t>*</w:t>
      </w:r>
    </w:p>
    <w:p w:rsidR="00DD0244" w:rsidRPr="004B7FB2" w:rsidP="00E47C04" w14:paraId="7351339E" w14:textId="2FC203C0">
      <w:pPr>
        <w:pStyle w:val="GuidanceParagraph"/>
      </w:pPr>
      <w:bookmarkStart w:id="335" w:name="_Ref105764852"/>
      <w:bookmarkStart w:id="336" w:name="_Ref51147869"/>
      <w:r>
        <w:t xml:space="preserve">Ref. </w:t>
      </w:r>
      <w:r>
        <w:fldChar w:fldCharType="begin"/>
      </w:r>
      <w:r>
        <w:instrText>SEQ Ref. \* ARABIC</w:instrText>
      </w:r>
      <w:r>
        <w:fldChar w:fldCharType="separate"/>
      </w:r>
      <w:r w:rsidR="001B1E2C">
        <w:rPr>
          <w:noProof/>
        </w:rPr>
        <w:t>74</w:t>
      </w:r>
      <w:r>
        <w:fldChar w:fldCharType="end"/>
      </w:r>
      <w:bookmarkEnd w:id="335"/>
      <w:r>
        <w:t xml:space="preserve">. </w:t>
      </w:r>
      <w:r w:rsidRPr="004B7FB2">
        <w:t xml:space="preserve">Buchanan, R.L. 2000. “Acquisition of Microbiological Data to Enhance Food Safety.” </w:t>
      </w:r>
      <w:r w:rsidRPr="004B7FB2">
        <w:rPr>
          <w:i/>
        </w:rPr>
        <w:t xml:space="preserve">Journal of Food Protection </w:t>
      </w:r>
      <w:r w:rsidRPr="004B7FB2">
        <w:t>63 (6):832-</w:t>
      </w:r>
      <w:r w:rsidRPr="004B7FB2">
        <w:t>838.</w:t>
      </w:r>
      <w:r w:rsidR="002004E7">
        <w:t>*</w:t>
      </w:r>
    </w:p>
    <w:p w:rsidR="005F53C1" w:rsidRPr="006E43DC" w:rsidP="00E47C04" w14:paraId="27B7A7D7" w14:textId="3C47F614">
      <w:pPr>
        <w:pStyle w:val="GuidanceParagraph"/>
      </w:pPr>
      <w:bookmarkStart w:id="337" w:name="_Ref105766695"/>
      <w:r w:rsidRPr="006E43DC">
        <w:t xml:space="preserve">Ref. </w:t>
      </w:r>
      <w:r w:rsidRPr="006E43DC">
        <w:fldChar w:fldCharType="begin"/>
      </w:r>
      <w:r w:rsidRPr="006E43DC">
        <w:instrText>SEQ Ref. \* ARABIC</w:instrText>
      </w:r>
      <w:r w:rsidRPr="006E43DC">
        <w:fldChar w:fldCharType="separate"/>
      </w:r>
      <w:r w:rsidR="001B1E2C">
        <w:rPr>
          <w:noProof/>
        </w:rPr>
        <w:t>75</w:t>
      </w:r>
      <w:r w:rsidRPr="006E43DC">
        <w:fldChar w:fldCharType="end"/>
      </w:r>
      <w:bookmarkEnd w:id="336"/>
      <w:bookmarkEnd w:id="337"/>
      <w:r w:rsidRPr="006E43DC">
        <w:t xml:space="preserve">. Goulet, V., et al. </w:t>
      </w:r>
      <w:r w:rsidR="005C161A">
        <w:t>2012.</w:t>
      </w:r>
      <w:r w:rsidRPr="00D35B2A">
        <w:t xml:space="preserve"> </w:t>
      </w:r>
      <w:r w:rsidR="00E558ED">
        <w:t>“</w:t>
      </w:r>
      <w:r w:rsidRPr="006E43DC">
        <w:t>Incidence of Listeriosis and Related Mortality Among Groups at Risk of Acquiring Listeriosis</w:t>
      </w:r>
      <w:r w:rsidR="005C161A">
        <w:t>.</w:t>
      </w:r>
      <w:r w:rsidR="00E558ED">
        <w:t>”</w:t>
      </w:r>
      <w:r w:rsidRPr="006E43DC">
        <w:t xml:space="preserve"> </w:t>
      </w:r>
      <w:r w:rsidRPr="006E43DC">
        <w:rPr>
          <w:i/>
        </w:rPr>
        <w:t xml:space="preserve">Clinical Infectious Diseases </w:t>
      </w:r>
      <w:r w:rsidRPr="006E43DC">
        <w:t>54 (5):652-</w:t>
      </w:r>
      <w:r w:rsidR="00900DD0">
        <w:t>6</w:t>
      </w:r>
      <w:r w:rsidRPr="006E43DC">
        <w:t>60.</w:t>
      </w:r>
    </w:p>
    <w:p w:rsidR="005F53C1" w:rsidRPr="006E43DC" w:rsidP="00E47C04" w14:paraId="4BAEB3F4" w14:textId="2282F51A">
      <w:pPr>
        <w:pStyle w:val="GuidanceParagraph"/>
      </w:pPr>
      <w:bookmarkStart w:id="338" w:name="_Ref51147899"/>
      <w:r w:rsidRPr="006E43DC">
        <w:t xml:space="preserve">Ref. </w:t>
      </w:r>
      <w:r w:rsidRPr="006E43DC">
        <w:fldChar w:fldCharType="begin"/>
      </w:r>
      <w:r w:rsidRPr="006E43DC">
        <w:instrText>SEQ Ref. \* ARABIC</w:instrText>
      </w:r>
      <w:r w:rsidRPr="006E43DC">
        <w:fldChar w:fldCharType="separate"/>
      </w:r>
      <w:r w:rsidR="001B1E2C">
        <w:rPr>
          <w:noProof/>
        </w:rPr>
        <w:t>76</w:t>
      </w:r>
      <w:r w:rsidRPr="006E43DC">
        <w:fldChar w:fldCharType="end"/>
      </w:r>
      <w:bookmarkEnd w:id="338"/>
      <w:r w:rsidRPr="006E43DC">
        <w:t xml:space="preserve">. </w:t>
      </w:r>
      <w:r w:rsidRPr="006E43DC">
        <w:t>Pouillot</w:t>
      </w:r>
      <w:r w:rsidRPr="006E43DC">
        <w:t xml:space="preserve">, R., et al. </w:t>
      </w:r>
      <w:r w:rsidR="005C161A">
        <w:t>2012.</w:t>
      </w:r>
      <w:r w:rsidRPr="00D35B2A">
        <w:t xml:space="preserve"> </w:t>
      </w:r>
      <w:r w:rsidR="00E558ED">
        <w:t>“</w:t>
      </w:r>
      <w:r w:rsidRPr="006E43DC">
        <w:t>Relative Risk of Listeriosis in Foodborne Diseases Active Surveillance Network (</w:t>
      </w:r>
      <w:r w:rsidRPr="006E43DC">
        <w:t>FoodNet</w:t>
      </w:r>
      <w:r w:rsidRPr="006E43DC">
        <w:t>) Sites According to Age, Pregnancy and Ethnicity</w:t>
      </w:r>
      <w:r w:rsidR="005C161A">
        <w:t>.</w:t>
      </w:r>
      <w:r w:rsidR="00E558ED">
        <w:t>”</w:t>
      </w:r>
      <w:r w:rsidRPr="006E43DC">
        <w:t xml:space="preserve"> </w:t>
      </w:r>
      <w:r w:rsidRPr="006E43DC">
        <w:rPr>
          <w:i/>
        </w:rPr>
        <w:t xml:space="preserve">Clinical Infectious Diseases </w:t>
      </w:r>
      <w:r w:rsidRPr="006E43DC">
        <w:t>54 (S5</w:t>
      </w:r>
      <w:r w:rsidRPr="006E43DC">
        <w:t>):S</w:t>
      </w:r>
      <w:r w:rsidRPr="006E43DC">
        <w:t>405-</w:t>
      </w:r>
      <w:r w:rsidR="003F2635">
        <w:t>S4</w:t>
      </w:r>
      <w:r w:rsidRPr="006E43DC">
        <w:t>10.</w:t>
      </w:r>
      <w:r w:rsidR="002004E7">
        <w:t>*</w:t>
      </w:r>
    </w:p>
    <w:p w:rsidR="005F53C1" w:rsidRPr="006E43DC" w:rsidP="00E47C04" w14:paraId="083A711C" w14:textId="3DFE6CED">
      <w:pPr>
        <w:pStyle w:val="GuidanceParagraph"/>
      </w:pPr>
      <w:bookmarkStart w:id="339" w:name="_Ref51147936"/>
      <w:r w:rsidRPr="006E43DC">
        <w:t xml:space="preserve">Ref. </w:t>
      </w:r>
      <w:r w:rsidRPr="006E43DC">
        <w:fldChar w:fldCharType="begin"/>
      </w:r>
      <w:r w:rsidRPr="006E43DC">
        <w:instrText>SEQ Ref. \* ARABIC</w:instrText>
      </w:r>
      <w:r w:rsidRPr="006E43DC">
        <w:fldChar w:fldCharType="separate"/>
      </w:r>
      <w:r w:rsidR="001B1E2C">
        <w:rPr>
          <w:noProof/>
        </w:rPr>
        <w:t>77</w:t>
      </w:r>
      <w:r w:rsidRPr="006E43DC">
        <w:fldChar w:fldCharType="end"/>
      </w:r>
      <w:bookmarkEnd w:id="339"/>
      <w:r w:rsidRPr="006E43DC">
        <w:t xml:space="preserve">. </w:t>
      </w:r>
      <w:r w:rsidRPr="006E43DC">
        <w:t>Pouillot</w:t>
      </w:r>
      <w:r w:rsidRPr="006E43DC">
        <w:t xml:space="preserve">, R., et al. </w:t>
      </w:r>
      <w:r w:rsidR="005C161A">
        <w:t xml:space="preserve">2015. </w:t>
      </w:r>
      <w:r w:rsidR="00E558ED">
        <w:t>“</w:t>
      </w:r>
      <w:r w:rsidRPr="006E43DC">
        <w:rPr>
          <w:i/>
        </w:rPr>
        <w:t>Listeria monocytogenes</w:t>
      </w:r>
      <w:r w:rsidRPr="006E43DC">
        <w:t xml:space="preserve"> Dose Response Revisited - Incorporating Adjustments for Variability in Strain Virulence and Host Susceptibility</w:t>
      </w:r>
      <w:r w:rsidR="005C161A">
        <w:t>.</w:t>
      </w:r>
      <w:r w:rsidR="00E558ED">
        <w:t>”</w:t>
      </w:r>
      <w:r w:rsidRPr="006E43DC">
        <w:t xml:space="preserve"> </w:t>
      </w:r>
      <w:r w:rsidRPr="006E43DC">
        <w:rPr>
          <w:i/>
        </w:rPr>
        <w:t xml:space="preserve">Risk Analysis </w:t>
      </w:r>
      <w:r w:rsidRPr="006E43DC">
        <w:t>35 (1):90-</w:t>
      </w:r>
      <w:r w:rsidRPr="006E43DC">
        <w:t>108.</w:t>
      </w:r>
      <w:r w:rsidR="008233D8">
        <w:t>*</w:t>
      </w:r>
    </w:p>
    <w:p w:rsidR="005F53C1" w:rsidRPr="006E43DC" w:rsidP="00E47C04" w14:paraId="4511EE01" w14:textId="498AD3E6">
      <w:pPr>
        <w:pStyle w:val="GuidanceParagraph"/>
      </w:pPr>
      <w:bookmarkStart w:id="340" w:name="_Ref51148000"/>
      <w:r w:rsidRPr="006E43DC">
        <w:t xml:space="preserve">Ref. </w:t>
      </w:r>
      <w:r w:rsidRPr="006E43DC">
        <w:fldChar w:fldCharType="begin"/>
      </w:r>
      <w:r w:rsidRPr="006E43DC">
        <w:instrText>SEQ Ref. \* ARABIC</w:instrText>
      </w:r>
      <w:r w:rsidRPr="006E43DC">
        <w:fldChar w:fldCharType="separate"/>
      </w:r>
      <w:r w:rsidR="001B1E2C">
        <w:rPr>
          <w:noProof/>
        </w:rPr>
        <w:t>78</w:t>
      </w:r>
      <w:r w:rsidRPr="006E43DC">
        <w:fldChar w:fldCharType="end"/>
      </w:r>
      <w:bookmarkEnd w:id="340"/>
      <w:r w:rsidRPr="006E43DC">
        <w:t xml:space="preserve">. </w:t>
      </w:r>
      <w:r w:rsidRPr="006E43DC">
        <w:t xml:space="preserve">Food and Drug Administration, and USDA Food Safety and Inspection Service. 2003. </w:t>
      </w:r>
      <w:r w:rsidR="00E558ED">
        <w:t>“</w:t>
      </w:r>
      <w:r w:rsidRPr="006E43DC">
        <w:t xml:space="preserve">Quantitative Assessment of Relative Risk to Public Health from Foodborne </w:t>
      </w:r>
      <w:r w:rsidRPr="006E43DC">
        <w:rPr>
          <w:i/>
        </w:rPr>
        <w:t>Listeria monocytoge</w:t>
      </w:r>
      <w:r w:rsidRPr="006E43DC">
        <w:t>nes Among Selected Categories of Ready to Eat Foods.</w:t>
      </w:r>
      <w:r w:rsidR="00E558ED">
        <w:t>”</w:t>
      </w:r>
      <w:r w:rsidRPr="006E43DC">
        <w:t xml:space="preserve"> </w:t>
      </w:r>
      <w:r w:rsidR="005E0573">
        <w:t>A</w:t>
      </w:r>
      <w:r w:rsidRPr="006E43DC">
        <w:t xml:space="preserve">ccessed </w:t>
      </w:r>
      <w:r w:rsidR="00203B7D">
        <w:t>October 14</w:t>
      </w:r>
      <w:r w:rsidRPr="006E43DC">
        <w:t>, 202</w:t>
      </w:r>
      <w:r w:rsidR="00203B7D">
        <w:t>1</w:t>
      </w:r>
      <w:r w:rsidRPr="006E43DC">
        <w:t xml:space="preserve">. </w:t>
      </w:r>
      <w:r w:rsidR="005E0573">
        <w:t>(</w:t>
      </w:r>
      <w:hyperlink r:id="rId52" w:history="1">
        <w:r w:rsidRPr="00B46764" w:rsidR="005E0573">
          <w:rPr>
            <w:rStyle w:val="Hyperlink"/>
          </w:rPr>
          <w:t>https://www.fda.gov/food/cfsan-risk-safety-assessments/quantitative-assessment-relative-risk-public-health-foodborne-listeria-monocytogenes-among-selected</w:t>
        </w:r>
      </w:hyperlink>
      <w:r w:rsidR="005E0573">
        <w:t>)</w:t>
      </w:r>
      <w:r w:rsidR="002004E7">
        <w:t>*</w:t>
      </w:r>
    </w:p>
    <w:p w:rsidR="005F53C1" w:rsidRPr="006E43DC" w:rsidP="00E47C04" w14:paraId="5BE463FE" w14:textId="40247E16">
      <w:pPr>
        <w:pStyle w:val="GuidanceParagraph"/>
      </w:pPr>
      <w:bookmarkStart w:id="341" w:name="_Ref51148028"/>
      <w:r w:rsidRPr="006E43DC">
        <w:t xml:space="preserve">Ref. </w:t>
      </w:r>
      <w:r w:rsidRPr="006E43DC">
        <w:fldChar w:fldCharType="begin"/>
      </w:r>
      <w:r w:rsidRPr="006E43DC">
        <w:instrText>SEQ Ref. \* ARABIC</w:instrText>
      </w:r>
      <w:r w:rsidRPr="006E43DC">
        <w:fldChar w:fldCharType="separate"/>
      </w:r>
      <w:r w:rsidR="001B1E2C">
        <w:rPr>
          <w:noProof/>
        </w:rPr>
        <w:t>79</w:t>
      </w:r>
      <w:r w:rsidRPr="006E43DC">
        <w:fldChar w:fldCharType="end"/>
      </w:r>
      <w:bookmarkEnd w:id="341"/>
      <w:r w:rsidRPr="006E43DC">
        <w:t xml:space="preserve">. </w:t>
      </w:r>
      <w:r w:rsidRPr="006E43DC">
        <w:t xml:space="preserve">Centers for Disease Control and Prevention. 2015. </w:t>
      </w:r>
      <w:r w:rsidR="00E558ED">
        <w:t>“</w:t>
      </w:r>
      <w:r w:rsidRPr="006E43DC">
        <w:t>Wholesome Soy Products, Inc. Sprouts and Investigation of Human Listeriosis Cases (Final Update).</w:t>
      </w:r>
      <w:r w:rsidR="00E558ED">
        <w:t>”</w:t>
      </w:r>
      <w:r w:rsidRPr="006E43DC">
        <w:t xml:space="preserve"> </w:t>
      </w:r>
      <w:r w:rsidR="005E0573">
        <w:t>A</w:t>
      </w:r>
      <w:r w:rsidRPr="006E43DC">
        <w:t xml:space="preserve">ccessed </w:t>
      </w:r>
      <w:r w:rsidR="00203B7D">
        <w:t>October 14, 2021</w:t>
      </w:r>
      <w:r w:rsidRPr="006E43DC">
        <w:t xml:space="preserve">. </w:t>
      </w:r>
      <w:r w:rsidR="005E0573">
        <w:t>(</w:t>
      </w:r>
      <w:hyperlink r:id="rId53" w:history="1">
        <w:r w:rsidRPr="00B46764" w:rsidR="005E0573">
          <w:rPr>
            <w:rStyle w:val="Hyperlink"/>
          </w:rPr>
          <w:t>https://www.cdc.gov/listeria/outbreaks/bean-sprouts-11-14/index.html</w:t>
        </w:r>
      </w:hyperlink>
      <w:r w:rsidR="005E0573">
        <w:t>)</w:t>
      </w:r>
      <w:r w:rsidR="002004E7">
        <w:t>*</w:t>
      </w:r>
    </w:p>
    <w:p w:rsidR="005F53C1" w:rsidRPr="006E43DC" w:rsidP="00E47C04" w14:paraId="63DCF9FD" w14:textId="4D7A375C">
      <w:pPr>
        <w:pStyle w:val="GuidanceParagraph"/>
      </w:pPr>
      <w:bookmarkStart w:id="342" w:name="_Ref51148124"/>
      <w:r w:rsidRPr="006E43DC">
        <w:t xml:space="preserve">Ref. </w:t>
      </w:r>
      <w:r w:rsidRPr="006E43DC">
        <w:fldChar w:fldCharType="begin"/>
      </w:r>
      <w:r w:rsidRPr="006E43DC">
        <w:instrText>SEQ Ref. \* ARABIC</w:instrText>
      </w:r>
      <w:r w:rsidRPr="006E43DC">
        <w:fldChar w:fldCharType="separate"/>
      </w:r>
      <w:r w:rsidR="001B1E2C">
        <w:rPr>
          <w:noProof/>
        </w:rPr>
        <w:t>80</w:t>
      </w:r>
      <w:r w:rsidRPr="006E43DC">
        <w:fldChar w:fldCharType="end"/>
      </w:r>
      <w:bookmarkEnd w:id="342"/>
      <w:r w:rsidRPr="006E43DC">
        <w:t xml:space="preserve">. </w:t>
      </w:r>
      <w:r w:rsidRPr="006E43DC">
        <w:t xml:space="preserve">Food and Drug Administration. </w:t>
      </w:r>
      <w:r w:rsidR="00E558ED">
        <w:t>“</w:t>
      </w:r>
      <w:r w:rsidRPr="006E43DC">
        <w:t xml:space="preserve">Recalls: </w:t>
      </w:r>
      <w:r w:rsidRPr="006E43DC">
        <w:rPr>
          <w:i/>
        </w:rPr>
        <w:t>Listeria monocytogenes</w:t>
      </w:r>
      <w:r w:rsidRPr="006E43DC">
        <w:t xml:space="preserve"> in Sprouts.</w:t>
      </w:r>
      <w:r w:rsidR="00E558ED">
        <w:t>”</w:t>
      </w:r>
      <w:r w:rsidRPr="006E43DC">
        <w:t xml:space="preserve"> FDA Recall Enterprise </w:t>
      </w:r>
      <w:r w:rsidRPr="006E43DC">
        <w:t>System.</w:t>
      </w:r>
      <w:r w:rsidR="002004E7">
        <w:t>*</w:t>
      </w:r>
      <w:r w:rsidRPr="006E43DC">
        <w:t xml:space="preserve"> </w:t>
      </w:r>
      <w:r w:rsidR="00405510">
        <w:t xml:space="preserve"> </w:t>
      </w:r>
    </w:p>
    <w:p w:rsidR="005F53C1" w:rsidRPr="006E43DC" w:rsidP="00E47C04" w14:paraId="2F6F3C46" w14:textId="22FF94B7">
      <w:pPr>
        <w:pStyle w:val="GuidanceParagraph"/>
      </w:pPr>
      <w:bookmarkStart w:id="343" w:name="_Ref51148160"/>
      <w:r w:rsidRPr="006E43DC">
        <w:t xml:space="preserve">Ref. </w:t>
      </w:r>
      <w:r w:rsidRPr="006E43DC">
        <w:fldChar w:fldCharType="begin"/>
      </w:r>
      <w:r w:rsidRPr="006E43DC">
        <w:instrText>SEQ Ref. \* ARABIC</w:instrText>
      </w:r>
      <w:r w:rsidRPr="006E43DC">
        <w:fldChar w:fldCharType="separate"/>
      </w:r>
      <w:r w:rsidR="001B1E2C">
        <w:rPr>
          <w:noProof/>
        </w:rPr>
        <w:t>81</w:t>
      </w:r>
      <w:r w:rsidRPr="006E43DC">
        <w:fldChar w:fldCharType="end"/>
      </w:r>
      <w:bookmarkEnd w:id="343"/>
      <w:r w:rsidRPr="006E43DC">
        <w:t xml:space="preserve">. </w:t>
      </w:r>
      <w:r w:rsidRPr="006E43DC">
        <w:t xml:space="preserve">Weller, D., et al. </w:t>
      </w:r>
      <w:r w:rsidR="006F4235">
        <w:t>2016.</w:t>
      </w:r>
      <w:r w:rsidRPr="00D35B2A">
        <w:t xml:space="preserve"> </w:t>
      </w:r>
      <w:r w:rsidR="00E558ED">
        <w:t>“</w:t>
      </w:r>
      <w:r w:rsidRPr="006E43DC">
        <w:t xml:space="preserve">Validation of a Previously Developed Geospatial Model that Predicts the Prevalence of </w:t>
      </w:r>
      <w:r w:rsidRPr="006E43DC">
        <w:rPr>
          <w:i/>
        </w:rPr>
        <w:t>Listeria monocytogenes</w:t>
      </w:r>
      <w:r w:rsidRPr="006E43DC">
        <w:t xml:space="preserve"> in New York State Produce Fields</w:t>
      </w:r>
      <w:r w:rsidR="006F4235">
        <w:t>.</w:t>
      </w:r>
      <w:r w:rsidR="00E558ED">
        <w:t>”</w:t>
      </w:r>
      <w:r w:rsidRPr="006E43DC">
        <w:t xml:space="preserve"> </w:t>
      </w:r>
      <w:r w:rsidRPr="006E43DC">
        <w:rPr>
          <w:i/>
        </w:rPr>
        <w:t xml:space="preserve">Applied and Environmental Microbiology </w:t>
      </w:r>
      <w:r w:rsidRPr="006E43DC">
        <w:t>82 (3):797-807.</w:t>
      </w:r>
    </w:p>
    <w:p w:rsidR="005F53C1" w:rsidRPr="006E43DC" w:rsidP="00E47C04" w14:paraId="59680958" w14:textId="2EDDF678">
      <w:pPr>
        <w:pStyle w:val="GuidanceParagraph"/>
      </w:pPr>
      <w:bookmarkStart w:id="344" w:name="_Ref51148236"/>
      <w:r w:rsidRPr="006E43DC">
        <w:t xml:space="preserve">Ref. </w:t>
      </w:r>
      <w:r w:rsidRPr="006E43DC">
        <w:fldChar w:fldCharType="begin"/>
      </w:r>
      <w:r w:rsidRPr="006E43DC">
        <w:instrText>SEQ Ref. \* ARABIC</w:instrText>
      </w:r>
      <w:r w:rsidRPr="006E43DC">
        <w:fldChar w:fldCharType="separate"/>
      </w:r>
      <w:r w:rsidR="001B1E2C">
        <w:rPr>
          <w:noProof/>
        </w:rPr>
        <w:t>82</w:t>
      </w:r>
      <w:r w:rsidRPr="006E43DC">
        <w:fldChar w:fldCharType="end"/>
      </w:r>
      <w:bookmarkEnd w:id="344"/>
      <w:r w:rsidRPr="006E43DC">
        <w:t xml:space="preserve">. </w:t>
      </w:r>
      <w:r w:rsidRPr="006E43DC">
        <w:t xml:space="preserve">Weller, D., et al. </w:t>
      </w:r>
      <w:r w:rsidR="00B750BA">
        <w:t>2015.</w:t>
      </w:r>
      <w:r w:rsidRPr="00D35B2A">
        <w:t xml:space="preserve"> </w:t>
      </w:r>
      <w:r w:rsidR="00E558ED">
        <w:t>“</w:t>
      </w:r>
      <w:r w:rsidRPr="006E43DC">
        <w:t xml:space="preserve">Spatial and temporal factors associated with an increased prevalence of </w:t>
      </w:r>
      <w:r w:rsidRPr="006E43DC">
        <w:rPr>
          <w:i/>
        </w:rPr>
        <w:t>Listeria monocytogenes</w:t>
      </w:r>
      <w:r w:rsidRPr="006E43DC">
        <w:t xml:space="preserve"> in New York State spinach fields</w:t>
      </w:r>
      <w:r w:rsidR="00B750BA">
        <w:t>.</w:t>
      </w:r>
      <w:r w:rsidR="00E558ED">
        <w:t>”</w:t>
      </w:r>
      <w:r w:rsidRPr="006E43DC">
        <w:t xml:space="preserve"> </w:t>
      </w:r>
      <w:r w:rsidRPr="006E43DC">
        <w:rPr>
          <w:i/>
        </w:rPr>
        <w:t xml:space="preserve">Applied and Environmental Microbiology </w:t>
      </w:r>
      <w:r w:rsidRPr="006E43DC">
        <w:t>81 (17):6059-6069.</w:t>
      </w:r>
    </w:p>
    <w:p w:rsidR="005F53C1" w:rsidRPr="006E43DC" w:rsidP="00E47C04" w14:paraId="073B4C7D" w14:textId="79BE53B1">
      <w:pPr>
        <w:pStyle w:val="GuidanceParagraph"/>
      </w:pPr>
      <w:bookmarkStart w:id="345" w:name="_Ref51148258"/>
      <w:r w:rsidRPr="006E43DC">
        <w:t xml:space="preserve">Ref. </w:t>
      </w:r>
      <w:r w:rsidRPr="006E43DC">
        <w:fldChar w:fldCharType="begin"/>
      </w:r>
      <w:r w:rsidRPr="006E43DC">
        <w:instrText>SEQ Ref. \* ARABIC</w:instrText>
      </w:r>
      <w:r w:rsidRPr="006E43DC">
        <w:fldChar w:fldCharType="separate"/>
      </w:r>
      <w:r w:rsidR="001B1E2C">
        <w:rPr>
          <w:noProof/>
        </w:rPr>
        <w:t>83</w:t>
      </w:r>
      <w:r w:rsidRPr="006E43DC">
        <w:fldChar w:fldCharType="end"/>
      </w:r>
      <w:bookmarkEnd w:id="345"/>
      <w:r w:rsidRPr="006E43DC">
        <w:t xml:space="preserve">. </w:t>
      </w:r>
      <w:r w:rsidRPr="006E43DC">
        <w:t xml:space="preserve">Weller, D., et al. </w:t>
      </w:r>
      <w:r w:rsidR="00B750BA">
        <w:t>2015.</w:t>
      </w:r>
      <w:r w:rsidRPr="000C0ABB">
        <w:t xml:space="preserve"> </w:t>
      </w:r>
      <w:r w:rsidR="00E558ED">
        <w:t>“</w:t>
      </w:r>
      <w:r w:rsidRPr="006E43DC">
        <w:t xml:space="preserve">Irrigation </w:t>
      </w:r>
      <w:r w:rsidR="006A7C28">
        <w:t>i</w:t>
      </w:r>
      <w:r w:rsidRPr="006E43DC">
        <w:t xml:space="preserve">s Significantly Associated with an Increased Prevalence of </w:t>
      </w:r>
      <w:r w:rsidRPr="006E43DC">
        <w:rPr>
          <w:i/>
        </w:rPr>
        <w:t>Listeria monocytogenes</w:t>
      </w:r>
      <w:r w:rsidRPr="006E43DC">
        <w:t xml:space="preserve"> in Produce Production Environments in New York State</w:t>
      </w:r>
      <w:r w:rsidR="00FB3C7A">
        <w:t>.</w:t>
      </w:r>
      <w:r w:rsidR="00E558ED">
        <w:t>”</w:t>
      </w:r>
      <w:r w:rsidRPr="006E43DC">
        <w:t xml:space="preserve"> </w:t>
      </w:r>
      <w:r w:rsidRPr="006E43DC">
        <w:rPr>
          <w:i/>
        </w:rPr>
        <w:t xml:space="preserve">Journal of Food Protection </w:t>
      </w:r>
      <w:r w:rsidRPr="006E43DC">
        <w:t>78 (6):1132-1141.</w:t>
      </w:r>
    </w:p>
    <w:p w:rsidR="005F53C1" w:rsidRPr="006E43DC" w:rsidP="00E47C04" w14:paraId="08F210E2" w14:textId="63A04275">
      <w:pPr>
        <w:pStyle w:val="GuidanceParagraph"/>
      </w:pPr>
      <w:bookmarkStart w:id="346" w:name="_Ref51148293"/>
      <w:r w:rsidRPr="006E43DC">
        <w:t xml:space="preserve">Ref. </w:t>
      </w:r>
      <w:r w:rsidRPr="006E43DC">
        <w:fldChar w:fldCharType="begin"/>
      </w:r>
      <w:r w:rsidRPr="006E43DC">
        <w:instrText>SEQ Ref. \* ARABIC</w:instrText>
      </w:r>
      <w:r w:rsidRPr="006E43DC">
        <w:fldChar w:fldCharType="separate"/>
      </w:r>
      <w:r w:rsidR="001B1E2C">
        <w:rPr>
          <w:noProof/>
        </w:rPr>
        <w:t>84</w:t>
      </w:r>
      <w:r w:rsidRPr="006E43DC">
        <w:fldChar w:fldCharType="end"/>
      </w:r>
      <w:bookmarkEnd w:id="346"/>
      <w:r w:rsidRPr="006E43DC">
        <w:t xml:space="preserve">. </w:t>
      </w:r>
      <w:r w:rsidRPr="006E43DC">
        <w:t xml:space="preserve">National Advisory Committee on Microbiological Criteria for Foods. </w:t>
      </w:r>
      <w:r w:rsidR="00FB3C7A">
        <w:t>1991.</w:t>
      </w:r>
      <w:r w:rsidRPr="000C0ABB">
        <w:t xml:space="preserve"> </w:t>
      </w:r>
      <w:r w:rsidR="00E558ED">
        <w:t>“</w:t>
      </w:r>
      <w:r w:rsidRPr="006E43DC">
        <w:rPr>
          <w:i/>
        </w:rPr>
        <w:t>Listeria monocytogenes</w:t>
      </w:r>
      <w:r w:rsidRPr="006E43DC">
        <w:t>: Recommendations by the National Advisory Committee on Microbiological Criteria for Foods</w:t>
      </w:r>
      <w:r w:rsidR="00E86FF6">
        <w:t>.</w:t>
      </w:r>
      <w:r w:rsidR="00E04AD4">
        <w:t>”</w:t>
      </w:r>
      <w:r w:rsidRPr="006E43DC">
        <w:t xml:space="preserve"> </w:t>
      </w:r>
      <w:r w:rsidRPr="006E43DC">
        <w:rPr>
          <w:i/>
        </w:rPr>
        <w:t xml:space="preserve">International Journal of Food Microbiology </w:t>
      </w:r>
      <w:r w:rsidRPr="006E43DC">
        <w:t>14:185-246.</w:t>
      </w:r>
    </w:p>
    <w:p w:rsidR="005F53C1" w:rsidRPr="006E43DC" w:rsidP="00E47C04" w14:paraId="497E6DCA" w14:textId="67B90D71">
      <w:pPr>
        <w:pStyle w:val="GuidanceParagraph"/>
      </w:pPr>
      <w:bookmarkStart w:id="347" w:name="_Ref51148334"/>
      <w:r w:rsidRPr="006E43DC">
        <w:t xml:space="preserve">Ref. </w:t>
      </w:r>
      <w:r w:rsidRPr="006E43DC">
        <w:fldChar w:fldCharType="begin"/>
      </w:r>
      <w:r w:rsidRPr="006E43DC">
        <w:instrText>SEQ Ref. \* ARABIC</w:instrText>
      </w:r>
      <w:r w:rsidRPr="006E43DC">
        <w:fldChar w:fldCharType="separate"/>
      </w:r>
      <w:r w:rsidR="001B1E2C">
        <w:rPr>
          <w:noProof/>
        </w:rPr>
        <w:t>85</w:t>
      </w:r>
      <w:r w:rsidRPr="006E43DC">
        <w:fldChar w:fldCharType="end"/>
      </w:r>
      <w:bookmarkEnd w:id="347"/>
      <w:r w:rsidRPr="006E43DC">
        <w:t xml:space="preserve">. </w:t>
      </w:r>
      <w:r w:rsidRPr="006E43DC">
        <w:t xml:space="preserve">International Commission on Microbiological Specifications for Foods (ICMSF). </w:t>
      </w:r>
      <w:r w:rsidR="00E86FF6">
        <w:t xml:space="preserve">1996. </w:t>
      </w:r>
      <w:r w:rsidR="00E04AD4">
        <w:t>“</w:t>
      </w:r>
      <w:r w:rsidRPr="006E43DC">
        <w:t xml:space="preserve">Chapter 8. </w:t>
      </w:r>
      <w:r w:rsidRPr="006E43DC">
        <w:rPr>
          <w:i/>
        </w:rPr>
        <w:t>Listeria monocytogenes</w:t>
      </w:r>
      <w:r w:rsidRPr="006E43DC">
        <w:t>.</w:t>
      </w:r>
      <w:r w:rsidR="00E04AD4">
        <w:t>”</w:t>
      </w:r>
      <w:r w:rsidRPr="006E43DC">
        <w:t xml:space="preserve"> </w:t>
      </w:r>
      <w:r w:rsidRPr="006E43DC">
        <w:rPr>
          <w:i/>
        </w:rPr>
        <w:t>Microorganisms in Foods 5 - Characteristics of Microbial Pathogens</w:t>
      </w:r>
      <w:r w:rsidRPr="006E43DC">
        <w:t>, pp 141-182. London: Blackie Academic &amp; Professional.</w:t>
      </w:r>
    </w:p>
    <w:p w:rsidR="005F53C1" w:rsidRPr="006E43DC" w:rsidP="00E47C04" w14:paraId="1246C75C" w14:textId="690973BB">
      <w:pPr>
        <w:pStyle w:val="GuidanceParagraph"/>
      </w:pPr>
      <w:bookmarkStart w:id="348" w:name="_Ref51148354"/>
      <w:r w:rsidRPr="006E43DC">
        <w:t xml:space="preserve">Ref. </w:t>
      </w:r>
      <w:r w:rsidRPr="006E43DC">
        <w:fldChar w:fldCharType="begin"/>
      </w:r>
      <w:r w:rsidRPr="006E43DC">
        <w:instrText>SEQ Ref. \* ARABIC</w:instrText>
      </w:r>
      <w:r w:rsidRPr="006E43DC">
        <w:fldChar w:fldCharType="separate"/>
      </w:r>
      <w:r w:rsidR="001B1E2C">
        <w:rPr>
          <w:noProof/>
        </w:rPr>
        <w:t>86</w:t>
      </w:r>
      <w:r w:rsidRPr="006E43DC">
        <w:fldChar w:fldCharType="end"/>
      </w:r>
      <w:bookmarkEnd w:id="348"/>
      <w:r w:rsidRPr="006E43DC">
        <w:t xml:space="preserve">. </w:t>
      </w:r>
      <w:r w:rsidRPr="006E43DC">
        <w:t xml:space="preserve">Lado, B.H., et al. </w:t>
      </w:r>
      <w:r w:rsidR="00CE1EC7">
        <w:t>2007.</w:t>
      </w:r>
      <w:r w:rsidRPr="000C0ABB">
        <w:t xml:space="preserve"> </w:t>
      </w:r>
      <w:r w:rsidR="007166D2">
        <w:t>“</w:t>
      </w:r>
      <w:r w:rsidRPr="006E43DC">
        <w:t xml:space="preserve">Characteristics of </w:t>
      </w:r>
      <w:r w:rsidRPr="006E43DC">
        <w:rPr>
          <w:i/>
        </w:rPr>
        <w:t>Listeria monocytogenes</w:t>
      </w:r>
      <w:r w:rsidRPr="006E43DC">
        <w:t xml:space="preserve"> </w:t>
      </w:r>
      <w:r w:rsidR="006A7C28">
        <w:t>I</w:t>
      </w:r>
      <w:r w:rsidRPr="006E43DC">
        <w:t xml:space="preserve">mportant to </w:t>
      </w:r>
      <w:r w:rsidR="006A7C28">
        <w:t>F</w:t>
      </w:r>
      <w:r w:rsidRPr="000C0ABB">
        <w:t xml:space="preserve">ood </w:t>
      </w:r>
      <w:r w:rsidR="006A7C28">
        <w:t>P</w:t>
      </w:r>
      <w:r w:rsidRPr="006E43DC">
        <w:t>rocessors.</w:t>
      </w:r>
      <w:r w:rsidR="007166D2">
        <w:t>”</w:t>
      </w:r>
      <w:r w:rsidRPr="006E43DC">
        <w:t xml:space="preserve"> </w:t>
      </w:r>
      <w:r w:rsidRPr="006E43DC">
        <w:rPr>
          <w:i/>
        </w:rPr>
        <w:t>Listeria, Listeriosis, and Food Safety, 3rd edition</w:t>
      </w:r>
      <w:r w:rsidRPr="006E43DC">
        <w:t>, edited by E.T. eds Ryser and E.H. Marth, pp 157-213. Boca Raton, FL: CRC Press Taylor &amp; Francis Group.</w:t>
      </w:r>
    </w:p>
    <w:p w:rsidR="005F53C1" w:rsidRPr="006E43DC" w:rsidP="00E47C04" w14:paraId="405ADA41" w14:textId="08FFE7A8">
      <w:pPr>
        <w:pStyle w:val="GuidanceParagraph"/>
      </w:pPr>
      <w:bookmarkStart w:id="349" w:name="_Ref51148367"/>
      <w:r w:rsidRPr="006E43DC">
        <w:t xml:space="preserve">Ref. </w:t>
      </w:r>
      <w:r w:rsidRPr="006E43DC">
        <w:fldChar w:fldCharType="begin"/>
      </w:r>
      <w:r w:rsidRPr="006E43DC">
        <w:instrText>SEQ Ref. \* ARABIC</w:instrText>
      </w:r>
      <w:r w:rsidRPr="006E43DC">
        <w:fldChar w:fldCharType="separate"/>
      </w:r>
      <w:r w:rsidR="001B1E2C">
        <w:rPr>
          <w:noProof/>
        </w:rPr>
        <w:t>87</w:t>
      </w:r>
      <w:r w:rsidRPr="006E43DC">
        <w:fldChar w:fldCharType="end"/>
      </w:r>
      <w:bookmarkEnd w:id="349"/>
      <w:r w:rsidRPr="006E43DC">
        <w:t xml:space="preserve">. </w:t>
      </w:r>
      <w:r w:rsidRPr="006E43DC">
        <w:t>El-</w:t>
      </w:r>
      <w:r w:rsidRPr="006E43DC">
        <w:t>Kest</w:t>
      </w:r>
      <w:r w:rsidRPr="006E43DC">
        <w:t xml:space="preserve">, S.E., et al. </w:t>
      </w:r>
      <w:r w:rsidR="00CE1EC7">
        <w:t>1992.</w:t>
      </w:r>
      <w:r w:rsidRPr="000C0ABB">
        <w:t xml:space="preserve"> </w:t>
      </w:r>
      <w:r w:rsidR="007166D2">
        <w:t>“</w:t>
      </w:r>
      <w:r w:rsidRPr="006E43DC">
        <w:t xml:space="preserve">Freezing of </w:t>
      </w:r>
      <w:r w:rsidRPr="006E43DC">
        <w:rPr>
          <w:i/>
        </w:rPr>
        <w:t>Listeria monocytogenes</w:t>
      </w:r>
      <w:r w:rsidRPr="006E43DC">
        <w:t xml:space="preserve"> and Other Microorganisms: A Review</w:t>
      </w:r>
      <w:r w:rsidR="007E1982">
        <w:t>.</w:t>
      </w:r>
      <w:r w:rsidR="007166D2">
        <w:t>”</w:t>
      </w:r>
      <w:r w:rsidRPr="006E43DC">
        <w:t xml:space="preserve"> </w:t>
      </w:r>
      <w:r w:rsidRPr="006E43DC">
        <w:rPr>
          <w:i/>
        </w:rPr>
        <w:t xml:space="preserve">Journal of Food Protection </w:t>
      </w:r>
      <w:r w:rsidRPr="006E43DC">
        <w:t>55 (8):639-648.</w:t>
      </w:r>
    </w:p>
    <w:p w:rsidR="005F53C1" w:rsidRPr="006E43DC" w:rsidP="00E47C04" w14:paraId="7873D48A" w14:textId="6B9AB25E">
      <w:pPr>
        <w:pStyle w:val="GuidanceParagraph"/>
      </w:pPr>
      <w:bookmarkStart w:id="350" w:name="_Ref51148391"/>
      <w:r w:rsidRPr="006E43DC">
        <w:t xml:space="preserve">Ref. </w:t>
      </w:r>
      <w:r w:rsidRPr="006E43DC">
        <w:fldChar w:fldCharType="begin"/>
      </w:r>
      <w:r w:rsidRPr="006E43DC">
        <w:instrText>SEQ Ref. \* ARABIC</w:instrText>
      </w:r>
      <w:r w:rsidRPr="006E43DC">
        <w:fldChar w:fldCharType="separate"/>
      </w:r>
      <w:r w:rsidR="001B1E2C">
        <w:rPr>
          <w:noProof/>
        </w:rPr>
        <w:t>88</w:t>
      </w:r>
      <w:r w:rsidRPr="006E43DC">
        <w:fldChar w:fldCharType="end"/>
      </w:r>
      <w:bookmarkEnd w:id="350"/>
      <w:r w:rsidRPr="006E43DC">
        <w:t xml:space="preserve">. </w:t>
      </w:r>
      <w:r w:rsidRPr="006E43DC">
        <w:t xml:space="preserve">Institute for Food Technologists. 2001. </w:t>
      </w:r>
      <w:r w:rsidR="007166D2">
        <w:t>“</w:t>
      </w:r>
      <w:r w:rsidRPr="006E43DC">
        <w:t>Evaluation and Definition of Potentially Hazardous Foods, IFT/FDA Contract No. 223-98-2333.</w:t>
      </w:r>
      <w:r w:rsidR="007166D2">
        <w:t>”</w:t>
      </w:r>
      <w:r w:rsidRPr="006E43DC">
        <w:t xml:space="preserve"> </w:t>
      </w:r>
      <w:r w:rsidR="00D52104">
        <w:t>A</w:t>
      </w:r>
      <w:r w:rsidRPr="006E43DC">
        <w:t xml:space="preserve">ccessed </w:t>
      </w:r>
      <w:r w:rsidR="00647497">
        <w:t>October 14</w:t>
      </w:r>
      <w:r w:rsidRPr="006E43DC">
        <w:t>, 202</w:t>
      </w:r>
      <w:r w:rsidR="00647497">
        <w:t>1</w:t>
      </w:r>
      <w:r w:rsidRPr="006E43DC">
        <w:t xml:space="preserve">. </w:t>
      </w:r>
      <w:r w:rsidR="00D52104">
        <w:t>(</w:t>
      </w:r>
      <w:hyperlink r:id="rId54" w:history="1">
        <w:r w:rsidRPr="00B46764" w:rsidR="00D52104">
          <w:rPr>
            <w:rStyle w:val="Hyperlink"/>
          </w:rPr>
          <w:t>https://www.fda.gov/files/food/published/Evaluation-and-Definition-of-Potentially-Hazardous-Foods.pdf</w:t>
        </w:r>
      </w:hyperlink>
      <w:r w:rsidR="00D52104">
        <w:t>)</w:t>
      </w:r>
    </w:p>
    <w:p w:rsidR="005F53C1" w:rsidRPr="006E43DC" w:rsidP="00E47C04" w14:paraId="0EADA5AD" w14:textId="10A3388E">
      <w:pPr>
        <w:pStyle w:val="GuidanceParagraph"/>
      </w:pPr>
      <w:bookmarkStart w:id="351" w:name="_Ref51148411"/>
      <w:r w:rsidRPr="006E43DC">
        <w:t xml:space="preserve">Ref. </w:t>
      </w:r>
      <w:r w:rsidRPr="006E43DC">
        <w:fldChar w:fldCharType="begin"/>
      </w:r>
      <w:r w:rsidRPr="006E43DC">
        <w:instrText>SEQ Ref. \* ARABIC</w:instrText>
      </w:r>
      <w:r w:rsidRPr="006E43DC">
        <w:fldChar w:fldCharType="separate"/>
      </w:r>
      <w:r w:rsidR="001B1E2C">
        <w:rPr>
          <w:noProof/>
        </w:rPr>
        <w:t>89</w:t>
      </w:r>
      <w:r w:rsidRPr="006E43DC">
        <w:fldChar w:fldCharType="end"/>
      </w:r>
      <w:bookmarkEnd w:id="351"/>
      <w:r w:rsidRPr="006E43DC">
        <w:t xml:space="preserve">. </w:t>
      </w:r>
      <w:r w:rsidRPr="006E43DC">
        <w:t xml:space="preserve">Codex Alimentarius Commission. </w:t>
      </w:r>
      <w:r w:rsidR="007629A4">
        <w:t>2007.</w:t>
      </w:r>
      <w:r w:rsidRPr="000C0ABB">
        <w:t xml:space="preserve"> </w:t>
      </w:r>
      <w:r w:rsidR="007166D2">
        <w:t>“</w:t>
      </w:r>
      <w:r w:rsidRPr="006E43DC">
        <w:t xml:space="preserve">Guidelines on the Application of General Principles of Food Hygiene to the Control of </w:t>
      </w:r>
      <w:r w:rsidRPr="007A1B68">
        <w:rPr>
          <w:i/>
        </w:rPr>
        <w:t xml:space="preserve">Listeria </w:t>
      </w:r>
      <w:r w:rsidR="007629A4">
        <w:rPr>
          <w:i/>
          <w:iCs/>
        </w:rPr>
        <w:t>m</w:t>
      </w:r>
      <w:r w:rsidRPr="007A1B68">
        <w:rPr>
          <w:i/>
        </w:rPr>
        <w:t>onocytogenes</w:t>
      </w:r>
      <w:r w:rsidRPr="006E43DC">
        <w:t xml:space="preserve"> in Foods CAC/GL 61.</w:t>
      </w:r>
      <w:r w:rsidR="007166D2">
        <w:t>”</w:t>
      </w:r>
      <w:r w:rsidRPr="006E43DC">
        <w:t xml:space="preserve"> </w:t>
      </w:r>
      <w:r w:rsidR="005D4AFE">
        <w:t>Accessed February 14, 2023. (</w:t>
      </w:r>
      <w:hyperlink r:id="rId55" w:history="1">
        <w:r w:rsidRPr="00AA7208" w:rsidR="005D4AFE">
          <w:rPr>
            <w:rStyle w:val="Hyperlink"/>
          </w:rPr>
          <w:t>https://www.fao.org/fao-who-codexalimentarius/sh-proxy/en/?lnk=1&amp;url=https%253A%252F%252Fworkspace.fao.org%252Fsites%252Fcodex%252FStandards%252FCXG%2B61-2007%252FCXG_061e.pdf</w:t>
        </w:r>
      </w:hyperlink>
      <w:r w:rsidR="005D4AFE">
        <w:t>)</w:t>
      </w:r>
    </w:p>
    <w:p w:rsidR="005F53C1" w:rsidRPr="006E43DC" w:rsidP="00E47C04" w14:paraId="36B994EC" w14:textId="2E1DD7E6">
      <w:pPr>
        <w:pStyle w:val="GuidanceParagraph"/>
      </w:pPr>
      <w:bookmarkStart w:id="352" w:name="_Ref51148437"/>
      <w:r w:rsidRPr="006E43DC">
        <w:t xml:space="preserve">Ref. </w:t>
      </w:r>
      <w:r w:rsidRPr="006E43DC">
        <w:fldChar w:fldCharType="begin"/>
      </w:r>
      <w:r w:rsidRPr="006E43DC">
        <w:instrText>SEQ Ref. \* ARABIC</w:instrText>
      </w:r>
      <w:r w:rsidRPr="006E43DC">
        <w:fldChar w:fldCharType="separate"/>
      </w:r>
      <w:r w:rsidR="001B1E2C">
        <w:rPr>
          <w:noProof/>
        </w:rPr>
        <w:t>90</w:t>
      </w:r>
      <w:r w:rsidRPr="006E43DC">
        <w:fldChar w:fldCharType="end"/>
      </w:r>
      <w:bookmarkEnd w:id="352"/>
      <w:r w:rsidRPr="006E43DC">
        <w:t xml:space="preserve">. </w:t>
      </w:r>
      <w:r w:rsidRPr="006E43DC">
        <w:t>Carpentier</w:t>
      </w:r>
      <w:r w:rsidRPr="006E43DC">
        <w:t xml:space="preserve">, B., et al. </w:t>
      </w:r>
      <w:r w:rsidR="006A7C28">
        <w:t>1993.</w:t>
      </w:r>
      <w:r w:rsidRPr="000C0ABB">
        <w:t xml:space="preserve"> </w:t>
      </w:r>
      <w:r w:rsidR="007166D2">
        <w:t>“</w:t>
      </w:r>
      <w:r w:rsidRPr="006E43DC">
        <w:t xml:space="preserve">Biofilms and Their Consequences, with Particular Reference to Hygiene in the </w:t>
      </w:r>
      <w:r w:rsidR="006A7C28">
        <w:t>F</w:t>
      </w:r>
      <w:r w:rsidRPr="000C0ABB">
        <w:t xml:space="preserve">ood </w:t>
      </w:r>
      <w:r w:rsidR="006A7C28">
        <w:t>I</w:t>
      </w:r>
      <w:r w:rsidRPr="000C0ABB">
        <w:t>ndustry</w:t>
      </w:r>
      <w:r w:rsidR="006A7C28">
        <w:t>.</w:t>
      </w:r>
      <w:r w:rsidR="007166D2">
        <w:t>”</w:t>
      </w:r>
      <w:r w:rsidRPr="006E43DC">
        <w:t xml:space="preserve"> </w:t>
      </w:r>
      <w:r w:rsidRPr="006E43DC">
        <w:rPr>
          <w:i/>
        </w:rPr>
        <w:t xml:space="preserve">Journal of Applied Bacteriology </w:t>
      </w:r>
      <w:r w:rsidRPr="006E43DC">
        <w:t>75:499-511.</w:t>
      </w:r>
    </w:p>
    <w:p w:rsidR="005F53C1" w:rsidRPr="006E43DC" w:rsidP="00E47C04" w14:paraId="0892E89F" w14:textId="6FE6F069">
      <w:pPr>
        <w:pStyle w:val="GuidanceParagraph"/>
      </w:pPr>
      <w:bookmarkStart w:id="353" w:name="_Ref51148499"/>
      <w:r w:rsidRPr="006E43DC">
        <w:t xml:space="preserve">Ref. </w:t>
      </w:r>
      <w:r w:rsidRPr="006E43DC">
        <w:fldChar w:fldCharType="begin"/>
      </w:r>
      <w:r w:rsidRPr="006E43DC">
        <w:instrText>SEQ Ref. \* ARABIC</w:instrText>
      </w:r>
      <w:r w:rsidRPr="006E43DC">
        <w:fldChar w:fldCharType="separate"/>
      </w:r>
      <w:r w:rsidR="001B1E2C">
        <w:rPr>
          <w:noProof/>
        </w:rPr>
        <w:t>91</w:t>
      </w:r>
      <w:r w:rsidRPr="006E43DC">
        <w:fldChar w:fldCharType="end"/>
      </w:r>
      <w:bookmarkEnd w:id="353"/>
      <w:r w:rsidRPr="006E43DC">
        <w:t xml:space="preserve">. </w:t>
      </w:r>
      <w:r w:rsidRPr="006E43DC">
        <w:t>Carpentier</w:t>
      </w:r>
      <w:r w:rsidRPr="006E43DC">
        <w:t xml:space="preserve">, B., et al. </w:t>
      </w:r>
      <w:r w:rsidR="006A7C28">
        <w:t>2011.</w:t>
      </w:r>
      <w:r w:rsidRPr="000C0ABB">
        <w:t xml:space="preserve"> </w:t>
      </w:r>
      <w:r w:rsidR="007166D2">
        <w:t>“</w:t>
      </w:r>
      <w:r w:rsidRPr="006E43DC">
        <w:t xml:space="preserve">Review - Persistence of </w:t>
      </w:r>
      <w:r w:rsidRPr="006E43DC">
        <w:rPr>
          <w:i/>
        </w:rPr>
        <w:t>Listeria monocytogenes</w:t>
      </w:r>
      <w:r w:rsidRPr="006E43DC">
        <w:t xml:space="preserve"> in Food Industry Equipment and Premises</w:t>
      </w:r>
      <w:r w:rsidR="006A7C28">
        <w:t>.</w:t>
      </w:r>
      <w:r w:rsidR="007166D2">
        <w:t>”</w:t>
      </w:r>
      <w:r w:rsidRPr="006E43DC">
        <w:t xml:space="preserve"> </w:t>
      </w:r>
      <w:r w:rsidRPr="006E43DC">
        <w:rPr>
          <w:i/>
        </w:rPr>
        <w:t xml:space="preserve">International Journal of Food Microbiology </w:t>
      </w:r>
      <w:r w:rsidRPr="006E43DC">
        <w:t>145:1-8.</w:t>
      </w:r>
    </w:p>
    <w:p w:rsidR="005F53C1" w:rsidRPr="006E43DC" w:rsidP="00E47C04" w14:paraId="2B0DF3F5" w14:textId="2DA7DECD">
      <w:pPr>
        <w:pStyle w:val="GuidanceParagraph"/>
      </w:pPr>
      <w:bookmarkStart w:id="354" w:name="_Ref105767403"/>
      <w:r w:rsidRPr="006E43DC">
        <w:t xml:space="preserve">Ref. </w:t>
      </w:r>
      <w:r w:rsidRPr="006E43DC">
        <w:fldChar w:fldCharType="begin"/>
      </w:r>
      <w:r w:rsidRPr="006E43DC">
        <w:instrText>SEQ Ref. \* ARABIC</w:instrText>
      </w:r>
      <w:r w:rsidRPr="006E43DC">
        <w:fldChar w:fldCharType="separate"/>
      </w:r>
      <w:r w:rsidR="001B1E2C">
        <w:rPr>
          <w:noProof/>
        </w:rPr>
        <w:t>92</w:t>
      </w:r>
      <w:r w:rsidRPr="006E43DC">
        <w:fldChar w:fldCharType="end"/>
      </w:r>
      <w:bookmarkEnd w:id="354"/>
      <w:r w:rsidR="00340DDD">
        <w:t>.</w:t>
      </w:r>
      <w:r w:rsidRPr="006E43DC">
        <w:t xml:space="preserve"> </w:t>
      </w:r>
      <w:r w:rsidRPr="006E43DC">
        <w:t xml:space="preserve">United Fresh Produce Association. 2013. </w:t>
      </w:r>
      <w:r w:rsidR="007166D2">
        <w:t>“</w:t>
      </w:r>
      <w:r w:rsidRPr="006E43DC">
        <w:t xml:space="preserve">Guidance on Environmental </w:t>
      </w:r>
      <w:r w:rsidR="006A7C28">
        <w:t>M</w:t>
      </w:r>
      <w:r w:rsidRPr="006E43DC">
        <w:t xml:space="preserve">onitoring and Control of </w:t>
      </w:r>
      <w:r w:rsidRPr="006E43DC">
        <w:rPr>
          <w:i/>
        </w:rPr>
        <w:t xml:space="preserve">Listeria </w:t>
      </w:r>
      <w:r w:rsidRPr="006E43DC">
        <w:t>for the Fresh Produce Industry.</w:t>
      </w:r>
      <w:r w:rsidR="007166D2">
        <w:t>”</w:t>
      </w:r>
      <w:r w:rsidRPr="006E43DC">
        <w:t xml:space="preserve"> </w:t>
      </w:r>
      <w:r w:rsidR="00D52104">
        <w:t>A</w:t>
      </w:r>
      <w:r w:rsidRPr="006E43DC">
        <w:t xml:space="preserve">ccessed </w:t>
      </w:r>
      <w:r w:rsidR="00EB1399">
        <w:t>October</w:t>
      </w:r>
      <w:r w:rsidRPr="006E43DC">
        <w:t xml:space="preserve"> </w:t>
      </w:r>
      <w:r w:rsidR="00EB1399">
        <w:t>14</w:t>
      </w:r>
      <w:r w:rsidRPr="006E43DC">
        <w:t>, 202</w:t>
      </w:r>
      <w:r w:rsidR="00EB1399">
        <w:t>1</w:t>
      </w:r>
      <w:r w:rsidRPr="006E43DC">
        <w:t xml:space="preserve">. </w:t>
      </w:r>
      <w:r w:rsidR="00D52104">
        <w:t>(</w:t>
      </w:r>
      <w:hyperlink r:id="rId56" w:history="1">
        <w:r w:rsidRPr="00B46764" w:rsidR="00D52104">
          <w:rPr>
            <w:rStyle w:val="Hyperlink"/>
          </w:rPr>
          <w:t>http://www.centerforproducesafety.org/amass/documents/document/263/Listeria%20Guidance%20UFPA%202013.pdf</w:t>
        </w:r>
      </w:hyperlink>
      <w:r w:rsidRPr="00D52104" w:rsidR="00D52104">
        <w:rPr>
          <w:rStyle w:val="Hyperlink"/>
          <w:color w:val="auto"/>
          <w:u w:val="none"/>
        </w:rPr>
        <w:t>)</w:t>
      </w:r>
    </w:p>
    <w:p w:rsidR="005F53C1" w:rsidRPr="006E43DC" w:rsidP="00E47C04" w14:paraId="5154BA2C" w14:textId="65F98C1F">
      <w:pPr>
        <w:pStyle w:val="GuidanceParagraph"/>
      </w:pPr>
      <w:bookmarkStart w:id="355" w:name="_Ref51148636"/>
      <w:r w:rsidRPr="006E43DC">
        <w:t xml:space="preserve">Ref. </w:t>
      </w:r>
      <w:r w:rsidRPr="006E43DC">
        <w:fldChar w:fldCharType="begin"/>
      </w:r>
      <w:r w:rsidRPr="006E43DC">
        <w:instrText>SEQ Ref. \* ARABIC</w:instrText>
      </w:r>
      <w:r w:rsidRPr="006E43DC">
        <w:fldChar w:fldCharType="separate"/>
      </w:r>
      <w:r w:rsidR="001B1E2C">
        <w:rPr>
          <w:noProof/>
        </w:rPr>
        <w:t>93</w:t>
      </w:r>
      <w:r w:rsidRPr="006E43DC">
        <w:fldChar w:fldCharType="end"/>
      </w:r>
      <w:bookmarkEnd w:id="355"/>
      <w:r w:rsidRPr="006E43DC">
        <w:t xml:space="preserve">. </w:t>
      </w:r>
      <w:r w:rsidRPr="006E43DC">
        <w:t xml:space="preserve">Grocery Manufacturers Association. 2014. </w:t>
      </w:r>
      <w:r w:rsidR="007166D2">
        <w:t>“</w:t>
      </w:r>
      <w:r w:rsidRPr="006E43DC">
        <w:rPr>
          <w:i/>
        </w:rPr>
        <w:t>Listeria monocytogenes</w:t>
      </w:r>
      <w:r w:rsidRPr="006E43DC">
        <w:t xml:space="preserve"> </w:t>
      </w:r>
      <w:r w:rsidR="006A7C28">
        <w:t>G</w:t>
      </w:r>
      <w:r w:rsidRPr="006E43DC">
        <w:t xml:space="preserve">uidance on </w:t>
      </w:r>
      <w:r w:rsidR="006A7C28">
        <w:t>E</w:t>
      </w:r>
      <w:r w:rsidRPr="000C0ABB">
        <w:t xml:space="preserve">nvironmental </w:t>
      </w:r>
      <w:r w:rsidR="006A7C28">
        <w:t>M</w:t>
      </w:r>
      <w:r w:rsidRPr="000C0ABB">
        <w:t>onitoring</w:t>
      </w:r>
      <w:r w:rsidRPr="006E43DC">
        <w:t xml:space="preserve"> and </w:t>
      </w:r>
      <w:r w:rsidR="006A7C28">
        <w:t>C</w:t>
      </w:r>
      <w:r w:rsidRPr="000C0ABB">
        <w:t xml:space="preserve">orrective </w:t>
      </w:r>
      <w:r w:rsidR="006A7C28">
        <w:t>A</w:t>
      </w:r>
      <w:r w:rsidRPr="006E43DC">
        <w:t xml:space="preserve">ctions in </w:t>
      </w:r>
      <w:r w:rsidR="006A7C28">
        <w:t>A</w:t>
      </w:r>
      <w:r w:rsidRPr="006E43DC">
        <w:t xml:space="preserve">t-risk </w:t>
      </w:r>
      <w:r w:rsidR="006A7C28">
        <w:t>F</w:t>
      </w:r>
      <w:r w:rsidRPr="006E43DC">
        <w:t>oods.</w:t>
      </w:r>
      <w:r w:rsidR="007166D2">
        <w:t>”</w:t>
      </w:r>
      <w:r w:rsidRPr="006E43DC">
        <w:t xml:space="preserve"> </w:t>
      </w:r>
      <w:r w:rsidR="00D52104">
        <w:t>A</w:t>
      </w:r>
      <w:r w:rsidRPr="006E43DC">
        <w:t xml:space="preserve">ccessed </w:t>
      </w:r>
      <w:r w:rsidR="00EB1399">
        <w:t>October 14</w:t>
      </w:r>
      <w:r w:rsidRPr="006E43DC">
        <w:t>, 202</w:t>
      </w:r>
      <w:r w:rsidR="00EB1399">
        <w:t>1</w:t>
      </w:r>
      <w:r w:rsidRPr="006E43DC">
        <w:t xml:space="preserve">. </w:t>
      </w:r>
      <w:r w:rsidR="00D52104">
        <w:t>(</w:t>
      </w:r>
      <w:hyperlink r:id="rId57" w:history="1">
        <w:r w:rsidRPr="00B46764" w:rsidR="00D52104">
          <w:rPr>
            <w:rStyle w:val="Hyperlink"/>
          </w:rPr>
          <w:t>http://ucfoodsafety.ucdavis.edu/files/208833.pdf</w:t>
        </w:r>
      </w:hyperlink>
      <w:r w:rsidR="00D52104">
        <w:t>)</w:t>
      </w:r>
    </w:p>
    <w:p w:rsidR="005F53C1" w:rsidRPr="006E43DC" w:rsidP="00E47C04" w14:paraId="3A76FE5B" w14:textId="053803F8">
      <w:pPr>
        <w:pStyle w:val="GuidanceParagraph"/>
      </w:pPr>
      <w:bookmarkStart w:id="356" w:name="_Ref51148651"/>
      <w:r w:rsidRPr="006E43DC">
        <w:t xml:space="preserve">Ref. </w:t>
      </w:r>
      <w:r w:rsidRPr="006E43DC">
        <w:fldChar w:fldCharType="begin"/>
      </w:r>
      <w:r w:rsidRPr="006E43DC">
        <w:instrText>SEQ Ref. \* ARABIC</w:instrText>
      </w:r>
      <w:r w:rsidRPr="006E43DC">
        <w:fldChar w:fldCharType="separate"/>
      </w:r>
      <w:r w:rsidR="001B1E2C">
        <w:rPr>
          <w:noProof/>
        </w:rPr>
        <w:t>94</w:t>
      </w:r>
      <w:r w:rsidRPr="006E43DC">
        <w:fldChar w:fldCharType="end"/>
      </w:r>
      <w:bookmarkEnd w:id="356"/>
      <w:r w:rsidRPr="006E43DC">
        <w:t xml:space="preserve">. </w:t>
      </w:r>
      <w:r w:rsidRPr="006E43DC">
        <w:t>Tompkin</w:t>
      </w:r>
      <w:r w:rsidRPr="006E43DC">
        <w:t xml:space="preserve">, R.B. </w:t>
      </w:r>
      <w:r w:rsidR="00DB39C9">
        <w:t>2002.</w:t>
      </w:r>
      <w:r w:rsidRPr="000C0ABB">
        <w:t xml:space="preserve"> </w:t>
      </w:r>
      <w:r w:rsidR="007166D2">
        <w:t>“</w:t>
      </w:r>
      <w:r w:rsidRPr="006E43DC">
        <w:t xml:space="preserve">Control of </w:t>
      </w:r>
      <w:r w:rsidRPr="006E43DC">
        <w:rPr>
          <w:i/>
        </w:rPr>
        <w:t>Listeria monocytogenes</w:t>
      </w:r>
      <w:r w:rsidRPr="006E43DC">
        <w:t xml:space="preserve"> in the Food-Processing Environment</w:t>
      </w:r>
      <w:r w:rsidR="00DB39C9">
        <w:t>.</w:t>
      </w:r>
      <w:r w:rsidR="007166D2">
        <w:t>”</w:t>
      </w:r>
      <w:r w:rsidRPr="006E43DC">
        <w:t xml:space="preserve"> </w:t>
      </w:r>
      <w:r w:rsidRPr="006E43DC">
        <w:rPr>
          <w:i/>
        </w:rPr>
        <w:t>Journal of Food Protection</w:t>
      </w:r>
      <w:r w:rsidRPr="006E43DC">
        <w:t>, 65 (4):709–725.</w:t>
      </w:r>
    </w:p>
    <w:p w:rsidR="005F53C1" w:rsidRPr="006E43DC" w:rsidP="00E47C04" w14:paraId="0208B0C5" w14:textId="6E5D07FE">
      <w:pPr>
        <w:pStyle w:val="GuidanceParagraph"/>
      </w:pPr>
      <w:bookmarkStart w:id="357" w:name="_Ref51148688"/>
      <w:r w:rsidRPr="006E43DC">
        <w:t xml:space="preserve">Ref. </w:t>
      </w:r>
      <w:r w:rsidRPr="006E43DC">
        <w:fldChar w:fldCharType="begin"/>
      </w:r>
      <w:r w:rsidRPr="006E43DC">
        <w:instrText>SEQ Ref. \* ARABIC</w:instrText>
      </w:r>
      <w:r w:rsidRPr="006E43DC">
        <w:fldChar w:fldCharType="separate"/>
      </w:r>
      <w:r w:rsidR="001B1E2C">
        <w:rPr>
          <w:noProof/>
        </w:rPr>
        <w:t>95</w:t>
      </w:r>
      <w:r w:rsidRPr="006E43DC">
        <w:fldChar w:fldCharType="end"/>
      </w:r>
      <w:bookmarkEnd w:id="357"/>
      <w:r w:rsidRPr="006E43DC">
        <w:t xml:space="preserve">. </w:t>
      </w:r>
      <w:r w:rsidRPr="006E43DC">
        <w:t xml:space="preserve">Food and Drug Administration. </w:t>
      </w:r>
      <w:r w:rsidR="007166D2">
        <w:t>“</w:t>
      </w:r>
      <w:r w:rsidRPr="006E43DC">
        <w:t xml:space="preserve">BAM Chapter 10: Detection of </w:t>
      </w:r>
      <w:r w:rsidRPr="006E43DC">
        <w:rPr>
          <w:i/>
        </w:rPr>
        <w:t>Listeria monocytogenes</w:t>
      </w:r>
      <w:r w:rsidRPr="006E43DC">
        <w:t xml:space="preserve"> in Foods and Environmental Samples, and Enumeration of </w:t>
      </w:r>
      <w:r w:rsidRPr="006E43DC">
        <w:rPr>
          <w:i/>
        </w:rPr>
        <w:t>Listeria monocytogenes</w:t>
      </w:r>
      <w:r w:rsidRPr="006E43DC">
        <w:t xml:space="preserve"> in Foods.</w:t>
      </w:r>
      <w:r w:rsidR="004D2501">
        <w:t>”</w:t>
      </w:r>
      <w:r w:rsidRPr="006E43DC">
        <w:t xml:space="preserve"> Accessed </w:t>
      </w:r>
      <w:r w:rsidR="00DB0049">
        <w:t>October 14</w:t>
      </w:r>
      <w:r w:rsidRPr="006E43DC">
        <w:t>, 202</w:t>
      </w:r>
      <w:r w:rsidR="00DB0049">
        <w:t>1</w:t>
      </w:r>
      <w:r w:rsidRPr="006E43DC">
        <w:t xml:space="preserve">. </w:t>
      </w:r>
      <w:r w:rsidR="00D52104">
        <w:t>(</w:t>
      </w:r>
      <w:hyperlink r:id="rId19" w:history="1">
        <w:r w:rsidRPr="00B46764" w:rsidR="00D52104">
          <w:rPr>
            <w:rStyle w:val="Hyperlink"/>
          </w:rPr>
          <w:t>https://www.fda.gov/food/laboratory-methods-food/bam-chapter-10-detection-listeria-monocytogenes-foods-and-environmental-samples-and-enumeration</w:t>
        </w:r>
      </w:hyperlink>
      <w:r w:rsidRPr="002004E7" w:rsidR="00D52104">
        <w:rPr>
          <w:rStyle w:val="Hyperlink"/>
          <w:color w:val="auto"/>
          <w:u w:val="none"/>
        </w:rPr>
        <w:t>)</w:t>
      </w:r>
      <w:r w:rsidRPr="002004E7" w:rsidR="002004E7">
        <w:rPr>
          <w:rStyle w:val="Hyperlink"/>
          <w:color w:val="auto"/>
          <w:u w:val="none"/>
        </w:rPr>
        <w:t>*</w:t>
      </w:r>
    </w:p>
    <w:p w:rsidR="005F53C1" w:rsidRPr="006E43DC" w:rsidP="00E47C04" w14:paraId="22722287" w14:textId="69B827FA">
      <w:pPr>
        <w:pStyle w:val="GuidanceParagraph"/>
      </w:pPr>
      <w:bookmarkStart w:id="358" w:name="_Ref51148799"/>
      <w:r w:rsidRPr="006E43DC">
        <w:t xml:space="preserve">Ref. </w:t>
      </w:r>
      <w:r w:rsidRPr="006E43DC">
        <w:fldChar w:fldCharType="begin"/>
      </w:r>
      <w:r w:rsidRPr="006E43DC">
        <w:instrText>SEQ Ref. \* ARABIC</w:instrText>
      </w:r>
      <w:r w:rsidRPr="006E43DC">
        <w:fldChar w:fldCharType="separate"/>
      </w:r>
      <w:r w:rsidR="001B1E2C">
        <w:rPr>
          <w:noProof/>
        </w:rPr>
        <w:t>96</w:t>
      </w:r>
      <w:r w:rsidRPr="006E43DC">
        <w:fldChar w:fldCharType="end"/>
      </w:r>
      <w:bookmarkEnd w:id="358"/>
      <w:r w:rsidRPr="006E43DC">
        <w:t xml:space="preserve">. </w:t>
      </w:r>
      <w:r w:rsidRPr="006E43DC">
        <w:t xml:space="preserve">The International Commission on Microbiological Specifications for Foods (ICMSF). </w:t>
      </w:r>
      <w:r w:rsidR="00DB39C9">
        <w:t>2002.</w:t>
      </w:r>
      <w:r w:rsidRPr="000C0ABB">
        <w:t xml:space="preserve"> </w:t>
      </w:r>
      <w:r w:rsidR="004D2501">
        <w:t>“</w:t>
      </w:r>
      <w:r w:rsidRPr="006E43DC">
        <w:t>Chapter 8. Selection of cases and attributes plans.</w:t>
      </w:r>
      <w:r w:rsidR="004D2501">
        <w:t>”</w:t>
      </w:r>
      <w:r w:rsidRPr="006E43DC">
        <w:t xml:space="preserve"> </w:t>
      </w:r>
      <w:r w:rsidRPr="006E43DC">
        <w:rPr>
          <w:i/>
          <w:iCs/>
        </w:rPr>
        <w:t>Microorganisms in Foods 7 - Microbiological Testing in Food Safety Management</w:t>
      </w:r>
      <w:r w:rsidRPr="006E43DC">
        <w:t>. pp. 145-165. New York, NY: Kluwer Academic/Plenum.</w:t>
      </w:r>
    </w:p>
    <w:p w:rsidR="00A62F31" w:rsidRPr="006E43DC" w:rsidP="00E47C04" w14:paraId="49BBD212" w14:textId="5A3D45A1">
      <w:pPr>
        <w:pStyle w:val="GuidanceParagraph"/>
      </w:pPr>
      <w:bookmarkStart w:id="359" w:name="_Ref51148927"/>
      <w:r w:rsidRPr="006E43DC">
        <w:t xml:space="preserve">Ref. </w:t>
      </w:r>
      <w:r w:rsidRPr="006E43DC">
        <w:fldChar w:fldCharType="begin"/>
      </w:r>
      <w:r w:rsidRPr="006E43DC">
        <w:instrText>SEQ Ref. \* ARABIC</w:instrText>
      </w:r>
      <w:r w:rsidRPr="006E43DC">
        <w:fldChar w:fldCharType="separate"/>
      </w:r>
      <w:r w:rsidR="001B1E2C">
        <w:rPr>
          <w:noProof/>
        </w:rPr>
        <w:t>97</w:t>
      </w:r>
      <w:r w:rsidRPr="006E43DC">
        <w:fldChar w:fldCharType="end"/>
      </w:r>
      <w:bookmarkEnd w:id="359"/>
      <w:r w:rsidRPr="006E43DC">
        <w:t xml:space="preserve">. Food and Drug Administration. 2017. </w:t>
      </w:r>
      <w:r w:rsidR="004D2501">
        <w:t>“</w:t>
      </w:r>
      <w:r w:rsidRPr="006E43DC">
        <w:t>Liquid Chemical Sterilization.</w:t>
      </w:r>
      <w:r w:rsidR="004D2501">
        <w:t>”</w:t>
      </w:r>
      <w:r w:rsidRPr="006E43DC">
        <w:t xml:space="preserve"> </w:t>
      </w:r>
      <w:r w:rsidR="00D52104">
        <w:t>A</w:t>
      </w:r>
      <w:r w:rsidRPr="006E43DC">
        <w:t xml:space="preserve">ccessed </w:t>
      </w:r>
      <w:r w:rsidR="004334AD">
        <w:t>October 14</w:t>
      </w:r>
      <w:r w:rsidRPr="006E43DC">
        <w:t>, 202</w:t>
      </w:r>
      <w:r w:rsidR="004334AD">
        <w:t>1</w:t>
      </w:r>
      <w:r w:rsidRPr="006E43DC">
        <w:t xml:space="preserve">. </w:t>
      </w:r>
      <w:r w:rsidR="00D52104">
        <w:t>(</w:t>
      </w:r>
      <w:hyperlink r:id="rId58" w:history="1">
        <w:r w:rsidRPr="00B46764" w:rsidR="00D52104">
          <w:rPr>
            <w:rStyle w:val="Hyperlink"/>
          </w:rPr>
          <w:t>http://www.fda.gov/MedicalDevices/ProductsandMedicalProcedures/GeneralHospitalDevicesandSupplies/ucm208018.htm</w:t>
        </w:r>
      </w:hyperlink>
      <w:r w:rsidRPr="00D52104" w:rsidR="00D52104">
        <w:t>)</w:t>
      </w:r>
      <w:r w:rsidR="002004E7">
        <w:t>*</w:t>
      </w:r>
    </w:p>
    <w:p w:rsidR="00A62F31" w:rsidRPr="006E43DC" w:rsidP="00E47C04" w14:paraId="4576D4CE" w14:textId="1E591E2B">
      <w:pPr>
        <w:pStyle w:val="GuidanceParagraph"/>
      </w:pPr>
      <w:bookmarkStart w:id="360" w:name="_Ref51149014"/>
      <w:r w:rsidRPr="006E43DC">
        <w:t xml:space="preserve">Ref. </w:t>
      </w:r>
      <w:r w:rsidRPr="006E43DC">
        <w:fldChar w:fldCharType="begin"/>
      </w:r>
      <w:r w:rsidRPr="006E43DC">
        <w:instrText>SEQ Ref. \* ARABIC</w:instrText>
      </w:r>
      <w:r w:rsidRPr="006E43DC">
        <w:fldChar w:fldCharType="separate"/>
      </w:r>
      <w:r w:rsidR="001B1E2C">
        <w:rPr>
          <w:noProof/>
        </w:rPr>
        <w:t>98</w:t>
      </w:r>
      <w:r w:rsidRPr="006E43DC">
        <w:fldChar w:fldCharType="end"/>
      </w:r>
      <w:bookmarkEnd w:id="360"/>
      <w:r w:rsidRPr="006E43DC">
        <w:t xml:space="preserve">. World Health Organization. </w:t>
      </w:r>
      <w:r w:rsidR="006132EB">
        <w:t>2004.</w:t>
      </w:r>
      <w:r w:rsidRPr="006E43DC">
        <w:t xml:space="preserve"> </w:t>
      </w:r>
      <w:r w:rsidR="004D2501">
        <w:t>“</w:t>
      </w:r>
      <w:r w:rsidRPr="006E43DC">
        <w:t>Laboratory Biosafety Manual, Third Edition.</w:t>
      </w:r>
      <w:r w:rsidR="004D2501">
        <w:t>”</w:t>
      </w:r>
      <w:r w:rsidRPr="006E43DC">
        <w:t xml:space="preserve"> Geneva: WHO. </w:t>
      </w:r>
      <w:r w:rsidR="00D52104">
        <w:t>A</w:t>
      </w:r>
      <w:r w:rsidRPr="006E43DC">
        <w:t xml:space="preserve">ccessed </w:t>
      </w:r>
      <w:r w:rsidR="004334AD">
        <w:t>October 14</w:t>
      </w:r>
      <w:r w:rsidRPr="006E43DC">
        <w:t>, 202</w:t>
      </w:r>
      <w:r w:rsidR="004334AD">
        <w:t>1</w:t>
      </w:r>
      <w:r w:rsidRPr="006E43DC">
        <w:t xml:space="preserve">. </w:t>
      </w:r>
      <w:r w:rsidR="00D52104">
        <w:t>(</w:t>
      </w:r>
      <w:hyperlink r:id="rId59" w:history="1">
        <w:r w:rsidRPr="00B46764" w:rsidR="00D52104">
          <w:rPr>
            <w:rStyle w:val="Hyperlink"/>
          </w:rPr>
          <w:t>http://www.who.int/csr/resources/publications/biosafety/en/Biosafety7.pdf</w:t>
        </w:r>
      </w:hyperlink>
      <w:r w:rsidRPr="00D52104" w:rsidR="00D52104">
        <w:rPr>
          <w:rStyle w:val="Hyperlink"/>
          <w:color w:val="auto"/>
          <w:u w:val="none"/>
        </w:rPr>
        <w:t>)</w:t>
      </w:r>
    </w:p>
    <w:p w:rsidR="00AC422F" w:rsidP="00E47C04" w14:paraId="1B8286A1" w14:textId="11F48304">
      <w:pPr>
        <w:pStyle w:val="GuidanceParagraph"/>
        <w:rPr>
          <w:rStyle w:val="Hyperlink"/>
          <w:color w:val="auto"/>
          <w:u w:val="none"/>
        </w:rPr>
      </w:pPr>
      <w:bookmarkStart w:id="361" w:name="_Ref51149109"/>
      <w:r w:rsidRPr="006E43DC">
        <w:t xml:space="preserve">Ref. </w:t>
      </w:r>
      <w:r w:rsidRPr="006E43DC">
        <w:fldChar w:fldCharType="begin"/>
      </w:r>
      <w:r w:rsidRPr="006E43DC">
        <w:instrText>SEQ Ref. \* ARABIC</w:instrText>
      </w:r>
      <w:r w:rsidRPr="006E43DC">
        <w:fldChar w:fldCharType="separate"/>
      </w:r>
      <w:r w:rsidR="001B1E2C">
        <w:rPr>
          <w:noProof/>
        </w:rPr>
        <w:t>99</w:t>
      </w:r>
      <w:r w:rsidRPr="006E43DC">
        <w:fldChar w:fldCharType="end"/>
      </w:r>
      <w:bookmarkEnd w:id="361"/>
      <w:r w:rsidRPr="006E43DC">
        <w:t xml:space="preserve">. Food and Drug Administration. 2015. </w:t>
      </w:r>
      <w:r w:rsidR="004D2501">
        <w:t>“</w:t>
      </w:r>
      <w:r w:rsidRPr="006E43DC">
        <w:t>Chapter 4 - Sampling in Investigations Operations Manual 2015.</w:t>
      </w:r>
      <w:r w:rsidR="004D2501">
        <w:t>”</w:t>
      </w:r>
      <w:r w:rsidRPr="006E43DC">
        <w:t xml:space="preserve"> </w:t>
      </w:r>
      <w:r w:rsidR="00D52104">
        <w:t>A</w:t>
      </w:r>
      <w:r w:rsidRPr="006E43DC">
        <w:t xml:space="preserve">ccessed October </w:t>
      </w:r>
      <w:r w:rsidR="004063F0">
        <w:t>14</w:t>
      </w:r>
      <w:r w:rsidRPr="006E43DC">
        <w:t>, 20</w:t>
      </w:r>
      <w:r w:rsidR="004063F0">
        <w:t>21</w:t>
      </w:r>
      <w:r w:rsidRPr="006E43DC">
        <w:t xml:space="preserve">. </w:t>
      </w:r>
      <w:r w:rsidR="00D52104">
        <w:t>(</w:t>
      </w:r>
      <w:hyperlink r:id="rId60" w:history="1">
        <w:r w:rsidRPr="00B46764" w:rsidR="00D52104">
          <w:rPr>
            <w:rStyle w:val="Hyperlink"/>
          </w:rPr>
          <w:t>http://www.fda.gov/downloads/ICECI/Inspections/IOM/UCM123507.pdf</w:t>
        </w:r>
      </w:hyperlink>
      <w:r w:rsidRPr="00D52104" w:rsidR="00D52104">
        <w:rPr>
          <w:rStyle w:val="Hyperlink"/>
          <w:color w:val="auto"/>
          <w:u w:val="none"/>
        </w:rPr>
        <w:t>)</w:t>
      </w:r>
      <w:r w:rsidR="002004E7">
        <w:rPr>
          <w:rStyle w:val="Hyperlink"/>
          <w:color w:val="auto"/>
          <w:u w:val="none"/>
        </w:rPr>
        <w:t>*</w:t>
      </w:r>
    </w:p>
    <w:p w:rsidR="007C08B0" w:rsidRPr="006E43DC" w:rsidP="00E47C04" w14:paraId="6481EFA1" w14:textId="6E01EEEB">
      <w:pPr>
        <w:pStyle w:val="GuidanceParagraph"/>
      </w:pPr>
      <w:bookmarkStart w:id="362" w:name="_Ref90050984"/>
      <w:r>
        <w:t xml:space="preserve">Ref. </w:t>
      </w:r>
      <w:r>
        <w:fldChar w:fldCharType="begin"/>
      </w:r>
      <w:r>
        <w:instrText>SEQ Ref. \* ARABIC</w:instrText>
      </w:r>
      <w:r>
        <w:fldChar w:fldCharType="separate"/>
      </w:r>
      <w:r w:rsidR="001B1E2C">
        <w:rPr>
          <w:noProof/>
        </w:rPr>
        <w:t>100</w:t>
      </w:r>
      <w:r>
        <w:fldChar w:fldCharType="end"/>
      </w:r>
      <w:bookmarkEnd w:id="362"/>
      <w:r>
        <w:t xml:space="preserve">. </w:t>
      </w:r>
      <w:r w:rsidRPr="00F02B8B">
        <w:t>Food and Drug Administration. 2017. “Draft Guidance for Industry: Compliance with and Recommendations for Implementation of the Standards for the Growing, Harvesting, Packing, and Holding of Produce for Human Consumption for Sprout Operations.” Access December 9, 2021. (</w:t>
      </w:r>
      <w:hyperlink r:id="rId61" w:history="1">
        <w:r w:rsidRPr="00AF256A" w:rsidR="00B732E6">
          <w:rPr>
            <w:rStyle w:val="Hyperlink"/>
          </w:rPr>
          <w:t>https://www.fda.gov/regulatory-information/search-fda-guidance-documents/draft-guidance-industry-compliance-and-recommendations-implementation-standards-growing-harvesting</w:t>
        </w:r>
      </w:hyperlink>
      <w:r w:rsidRPr="00F02B8B">
        <w:t>)</w:t>
      </w:r>
      <w:r w:rsidR="000B3E41">
        <w:t>*</w:t>
      </w:r>
    </w:p>
    <w:sectPr w:rsidSect="00CD55AD">
      <w:headerReference w:type="default" r:id="rId62"/>
      <w:footerReference w:type="default" r:id="rId6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IN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62779397"/>
      <w:docPartObj>
        <w:docPartGallery w:val="Page Numbers (Bottom of Page)"/>
        <w:docPartUnique/>
      </w:docPartObj>
    </w:sdtPr>
    <w:sdtEndPr>
      <w:rPr>
        <w:noProof/>
      </w:rPr>
    </w:sdtEndPr>
    <w:sdtContent>
      <w:p w:rsidR="00FF2F57" w14:paraId="60A3736D" w14:textId="273AE6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F2F57" w14:paraId="2DBB0B7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211B3" w:rsidP="00191DF8" w14:paraId="2318AEF2" w14:textId="77777777">
      <w:r>
        <w:separator/>
      </w:r>
    </w:p>
  </w:footnote>
  <w:footnote w:type="continuationSeparator" w:id="1">
    <w:p w:rsidR="00E211B3" w:rsidP="00191DF8" w14:paraId="59ED40EC" w14:textId="77777777">
      <w:r>
        <w:continuationSeparator/>
      </w:r>
    </w:p>
  </w:footnote>
  <w:footnote w:type="continuationNotice" w:id="2">
    <w:p w:rsidR="00E211B3" w14:paraId="26FEF816" w14:textId="77777777"/>
  </w:footnote>
  <w:footnote w:id="3">
    <w:p w:rsidR="006361E3" w14:paraId="504792F3" w14:textId="10728C33">
      <w:pPr>
        <w:pStyle w:val="FootnoteText"/>
      </w:pPr>
      <w:r>
        <w:rPr>
          <w:rStyle w:val="FootnoteReference"/>
        </w:rPr>
        <w:footnoteRef/>
      </w:r>
      <w:r>
        <w:t xml:space="preserve"> </w:t>
      </w:r>
      <w:r w:rsidRPr="0023068A">
        <w:rPr>
          <w:rStyle w:val="A1"/>
          <w:rFonts w:ascii="Times New Roman" w:hAnsi="Times New Roman" w:cs="Times New Roman"/>
          <w:sz w:val="20"/>
          <w:szCs w:val="20"/>
        </w:rPr>
        <w:t xml:space="preserve">In the </w:t>
      </w:r>
      <w:r w:rsidRPr="00066272">
        <w:rPr>
          <w:rStyle w:val="A1"/>
          <w:rFonts w:ascii="Times New Roman" w:hAnsi="Times New Roman" w:cs="Times New Roman"/>
          <w:i/>
          <w:sz w:val="20"/>
          <w:szCs w:val="20"/>
        </w:rPr>
        <w:t>Federal Register</w:t>
      </w:r>
      <w:r w:rsidRPr="0023068A">
        <w:rPr>
          <w:rStyle w:val="A1"/>
          <w:rFonts w:ascii="Times New Roman" w:hAnsi="Times New Roman" w:cs="Times New Roman"/>
          <w:sz w:val="20"/>
          <w:szCs w:val="20"/>
        </w:rPr>
        <w:t xml:space="preserve"> of January 5, 2018 (83 FR 598), we published a notification of availability of a guidance document titled “Policy Regarding Certain Entities Subject to the Good Manufacturing Practice and Preventive Controls, Produce Safety, and/or Foreign Supplier Verification Programs.”</w:t>
      </w:r>
      <w:r>
        <w:rPr>
          <w:rStyle w:val="A1"/>
          <w:rFonts w:ascii="Times New Roman" w:hAnsi="Times New Roman" w:cs="Times New Roman"/>
          <w:sz w:val="20"/>
          <w:szCs w:val="20"/>
        </w:rPr>
        <w:t xml:space="preserve"> </w:t>
      </w:r>
      <w:r w:rsidRPr="0023068A">
        <w:rPr>
          <w:rStyle w:val="A1"/>
          <w:rFonts w:ascii="Times New Roman" w:hAnsi="Times New Roman" w:cs="Times New Roman"/>
          <w:sz w:val="20"/>
          <w:szCs w:val="20"/>
        </w:rPr>
        <w:t xml:space="preserve">In that guidance document, we stated that we intend to exercise enforcement discretion regarding </w:t>
      </w:r>
      <w:r w:rsidR="00FF6AE4">
        <w:rPr>
          <w:rStyle w:val="A1"/>
          <w:rFonts w:ascii="Times New Roman" w:hAnsi="Times New Roman" w:cs="Times New Roman"/>
          <w:sz w:val="20"/>
          <w:szCs w:val="20"/>
        </w:rPr>
        <w:t>certain</w:t>
      </w:r>
      <w:r w:rsidRPr="0023068A" w:rsidR="00FF6AE4">
        <w:rPr>
          <w:rStyle w:val="A1"/>
          <w:rFonts w:ascii="Times New Roman" w:hAnsi="Times New Roman" w:cs="Times New Roman"/>
          <w:sz w:val="20"/>
          <w:szCs w:val="20"/>
        </w:rPr>
        <w:t xml:space="preserve"> </w:t>
      </w:r>
      <w:r w:rsidRPr="0023068A">
        <w:rPr>
          <w:rStyle w:val="A1"/>
          <w:rFonts w:ascii="Times New Roman" w:hAnsi="Times New Roman" w:cs="Times New Roman"/>
          <w:sz w:val="20"/>
          <w:szCs w:val="20"/>
        </w:rPr>
        <w:t>written assurance requirements</w:t>
      </w:r>
      <w:r w:rsidR="00FF6AE4">
        <w:rPr>
          <w:rStyle w:val="A1"/>
          <w:rFonts w:ascii="Times New Roman" w:hAnsi="Times New Roman" w:cs="Times New Roman"/>
          <w:sz w:val="20"/>
          <w:szCs w:val="20"/>
        </w:rPr>
        <w:t>, including those in</w:t>
      </w:r>
      <w:r w:rsidRPr="0023068A">
        <w:rPr>
          <w:rStyle w:val="A1"/>
          <w:rFonts w:ascii="Times New Roman" w:hAnsi="Times New Roman" w:cs="Times New Roman"/>
          <w:sz w:val="20"/>
          <w:szCs w:val="20"/>
        </w:rPr>
        <w:t xml:space="preserve"> 21 CFR part 112 (the Produce Safety Rule).</w:t>
      </w:r>
      <w:r>
        <w:rPr>
          <w:rStyle w:val="A1"/>
          <w:rFonts w:ascii="Times New Roman" w:hAnsi="Times New Roman" w:cs="Times New Roman"/>
          <w:sz w:val="20"/>
          <w:szCs w:val="20"/>
        </w:rPr>
        <w:t xml:space="preserve"> </w:t>
      </w:r>
      <w:r w:rsidRPr="0023068A">
        <w:rPr>
          <w:rStyle w:val="A1"/>
          <w:rFonts w:ascii="Times New Roman" w:hAnsi="Times New Roman" w:cs="Times New Roman"/>
          <w:sz w:val="20"/>
          <w:szCs w:val="20"/>
        </w:rPr>
        <w:t xml:space="preserve">We intend to exercise such discretion until we can complete a rulemaking process to consider options for the assurance requirements. </w:t>
      </w:r>
      <w:hyperlink r:id="rId1" w:history="1">
        <w:r w:rsidRPr="00ED567F">
          <w:rPr>
            <w:rStyle w:val="Hyperlink"/>
            <w:rFonts w:ascii="Times New Roman" w:hAnsi="Times New Roman" w:cs="Times New Roman"/>
          </w:rPr>
          <w:t>https://www.fda.gov/regulatory-information/search-fda-guidance-documents/guidance-industry-policy-regarding-certain-entities-subject-current-good-manufacturing-practice-and</w:t>
        </w:r>
      </w:hyperlink>
      <w:r w:rsidR="000B0872">
        <w:rPr>
          <w:rStyle w:val="Hyperlink"/>
          <w:rFonts w:ascii="Times New Roman" w:hAnsi="Times New Roman" w:cs="Times New Roman"/>
        </w:rPr>
        <w:t xml:space="preserve">. </w:t>
      </w:r>
      <w:r w:rsidRPr="00F61766" w:rsidR="000B0872">
        <w:rPr>
          <w:rStyle w:val="A1"/>
          <w:rFonts w:ascii="Times New Roman" w:hAnsi="Times New Roman" w:cs="Times New Roman"/>
          <w:sz w:val="20"/>
          <w:szCs w:val="20"/>
        </w:rPr>
        <w:t xml:space="preserve">See also the </w:t>
      </w:r>
      <w:r w:rsidRPr="00F61766" w:rsidR="000B0872">
        <w:rPr>
          <w:rStyle w:val="A1"/>
          <w:rFonts w:ascii="Times New Roman" w:hAnsi="Times New Roman" w:cs="Times New Roman"/>
          <w:i/>
          <w:iCs/>
          <w:sz w:val="20"/>
          <w:szCs w:val="20"/>
        </w:rPr>
        <w:t>Federal Register</w:t>
      </w:r>
      <w:r w:rsidRPr="00F61766" w:rsidR="000B0872">
        <w:rPr>
          <w:rStyle w:val="A1"/>
          <w:rFonts w:ascii="Times New Roman" w:hAnsi="Times New Roman" w:cs="Times New Roman"/>
          <w:sz w:val="20"/>
          <w:szCs w:val="20"/>
        </w:rPr>
        <w:t xml:space="preserve"> of March 14, 2022 (87 FR 14169), in which we published a notification of availability of a guidance document titled “Current Good Manufacturing Practice and Preventive Controls, Foreign Supplier Verification Programs, Intentional Adulteration, and Produce Safety Regulations: Enforcement Policy Regarding Certain Provisions.”  In that guidance document, we restated our intent to exercise enforcement discretion with respect to the Produce Safety Rule assurance requirements, as previously indicated in the 2018 guidance document described immediately above.</w:t>
      </w:r>
      <w:r w:rsidR="00FF6AE4">
        <w:rPr>
          <w:rStyle w:val="A1"/>
          <w:rFonts w:ascii="Times New Roman" w:hAnsi="Times New Roman" w:cs="Times New Roman"/>
          <w:sz w:val="20"/>
          <w:szCs w:val="20"/>
        </w:rPr>
        <w:t xml:space="preserve"> </w:t>
      </w:r>
      <w:hyperlink r:id="rId2" w:history="1">
        <w:r w:rsidRPr="009B08AE" w:rsidR="00FF6AE4">
          <w:rPr>
            <w:rStyle w:val="Hyperlink"/>
            <w:rFonts w:ascii="Times New Roman" w:hAnsi="Times New Roman" w:cs="Times New Roman"/>
          </w:rPr>
          <w:t>https://www.fda.gov/regulatory-information/search-fda-guidance-documents/guidance-industry-current-good-manufacturing-practice-and-preventive-controls-foreign-supplier</w:t>
        </w:r>
      </w:hyperlink>
      <w:r w:rsidR="00FF6AE4">
        <w:rPr>
          <w:rStyle w:val="A1"/>
          <w:rFonts w:ascii="Times New Roman" w:hAnsi="Times New Roman" w:cs="Times New Roman"/>
          <w:sz w:val="20"/>
          <w:szCs w:val="20"/>
        </w:rPr>
        <w:t xml:space="preserve">. </w:t>
      </w:r>
    </w:p>
  </w:footnote>
  <w:footnote w:id="4">
    <w:p w:rsidR="004B65B1" w:rsidRPr="00D84614" w:rsidP="00150EB2" w14:paraId="786E0B12" w14:textId="7EFAAAB4">
      <w:pPr>
        <w:pStyle w:val="CommentText"/>
        <w:rPr>
          <w:rFonts w:ascii="Times New Roman" w:hAnsi="Times New Roman" w:cs="Times New Roman"/>
        </w:rPr>
      </w:pPr>
      <w:r w:rsidRPr="00D84614">
        <w:rPr>
          <w:rStyle w:val="FootnoteReference"/>
          <w:rFonts w:ascii="Times New Roman" w:hAnsi="Times New Roman" w:cs="Times New Roman"/>
        </w:rPr>
        <w:footnoteRef/>
      </w:r>
      <w:r w:rsidRPr="00D84614">
        <w:rPr>
          <w:rFonts w:ascii="Times New Roman" w:hAnsi="Times New Roman" w:cs="Times New Roman"/>
        </w:rPr>
        <w:t xml:space="preserve"> </w:t>
      </w:r>
      <w:r w:rsidRPr="00D84614" w:rsidR="00150EB2">
        <w:rPr>
          <w:rFonts w:ascii="Times New Roman" w:hAnsi="Times New Roman" w:cs="Times New Roman"/>
        </w:rPr>
        <w:t xml:space="preserve">In the </w:t>
      </w:r>
      <w:r w:rsidRPr="00D84614" w:rsidR="00150EB2">
        <w:rPr>
          <w:rFonts w:ascii="Times New Roman" w:hAnsi="Times New Roman" w:cs="Times New Roman"/>
          <w:i/>
        </w:rPr>
        <w:t>Federal Register</w:t>
      </w:r>
      <w:r w:rsidRPr="00D84614" w:rsidR="00150EB2">
        <w:rPr>
          <w:rFonts w:ascii="Times New Roman" w:hAnsi="Times New Roman" w:cs="Times New Roman"/>
        </w:rPr>
        <w:t xml:space="preserve"> on December 6, 2021, we issued a proposed rule that, if finalized, would amend certain pre-harvest agricultural requirements for covered produce (other than sprouts) (86 FR 69120). To ensure that interested parties can readily view the proposed pre-harvest agricultural water revisions, we also proposed to reorganize and replace subpart E in its entirety. Of note, this proposed rule would not substantively alter the standards established in part 112, subpart E, for agricultural water used for sprouts, for which the compliance dates have passed, or for agricultural water used during harvesting, packing, and holding activities, or for treatment of agricultural water.</w:t>
      </w:r>
    </w:p>
  </w:footnote>
  <w:footnote w:id="5">
    <w:p w:rsidR="00FF2F57" w:rsidP="00191DF8" w14:paraId="35F82842" w14:textId="3B8EBAF4">
      <w:pPr>
        <w:pStyle w:val="FootnoteText"/>
      </w:pPr>
      <w:r>
        <w:rPr>
          <w:rStyle w:val="FootnoteReference"/>
        </w:rPr>
        <w:footnoteRef/>
      </w:r>
      <w:r>
        <w:t xml:space="preserve"> </w:t>
      </w:r>
      <w:r>
        <w:rPr>
          <w:rFonts w:ascii="Times New Roman" w:eastAsia="Times New Roman" w:hAnsi="Times New Roman" w:cs="Times New Roman"/>
        </w:rPr>
        <w:t>21</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CFR</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179.26(b)(10)</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 xml:space="preserve">allows </w:t>
      </w:r>
      <w:r>
        <w:rPr>
          <w:rFonts w:ascii="Times New Roman" w:eastAsia="Times New Roman" w:hAnsi="Times New Roman" w:cs="Times New Roman"/>
          <w:spacing w:val="-1"/>
        </w:rPr>
        <w:t>seed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for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sprouting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to</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treated</w:t>
      </w:r>
      <w:r>
        <w:rPr>
          <w:rFonts w:ascii="Times New Roman" w:eastAsia="Times New Roman" w:hAnsi="Times New Roman" w:cs="Times New Roman"/>
        </w:rPr>
        <w:t xml:space="preserve"> </w:t>
      </w:r>
      <w:r>
        <w:rPr>
          <w:rFonts w:ascii="Times New Roman" w:eastAsia="Times New Roman" w:hAnsi="Times New Roman" w:cs="Times New Roman"/>
          <w:spacing w:val="-1"/>
        </w:rPr>
        <w:t>with</w:t>
      </w:r>
      <w:r>
        <w:rPr>
          <w:rFonts w:ascii="Times New Roman" w:eastAsia="Times New Roman" w:hAnsi="Times New Roman" w:cs="Times New Roman"/>
          <w:spacing w:val="-5"/>
        </w:rPr>
        <w:t xml:space="preserve"> </w:t>
      </w:r>
      <w:r>
        <w:rPr>
          <w:rFonts w:ascii="Times New Roman" w:eastAsia="Times New Roman" w:hAnsi="Times New Roman" w:cs="Times New Roman"/>
        </w:rPr>
        <w:t>ionizing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radiation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up</w:t>
      </w:r>
      <w:r>
        <w:rPr>
          <w:rFonts w:ascii="Times New Roman" w:eastAsia="Times New Roman" w:hAnsi="Times New Roman" w:cs="Times New Roman"/>
        </w:rPr>
        <w:t xml:space="preserve"> </w:t>
      </w:r>
      <w:r>
        <w:rPr>
          <w:rFonts w:ascii="Times New Roman" w:eastAsia="Times New Roman" w:hAnsi="Times New Roman" w:cs="Times New Roman"/>
          <w:spacing w:val="-1"/>
        </w:rPr>
        <w:t>to</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maximum</w:t>
      </w:r>
      <w:r>
        <w:rPr>
          <w:rFonts w:ascii="Times New Roman" w:eastAsia="Times New Roman" w:hAnsi="Times New Roman" w:cs="Times New Roman"/>
          <w:spacing w:val="-5"/>
        </w:rPr>
        <w:t xml:space="preserve"> </w:t>
      </w:r>
      <w:r>
        <w:rPr>
          <w:rFonts w:ascii="Times New Roman" w:eastAsia="Times New Roman" w:hAnsi="Times New Roman" w:cs="Times New Roman"/>
        </w:rPr>
        <w:t>dose</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8</w:t>
      </w:r>
      <w:r>
        <w:rPr>
          <w:rFonts w:ascii="Times New Roman" w:eastAsia="Times New Roman" w:hAnsi="Times New Roman" w:cs="Times New Roman"/>
          <w:spacing w:val="85"/>
          <w:w w:val="99"/>
        </w:rPr>
        <w:t xml:space="preserve"> </w:t>
      </w:r>
      <w:r>
        <w:rPr>
          <w:rFonts w:ascii="Times New Roman" w:eastAsia="Times New Roman" w:hAnsi="Times New Roman" w:cs="Times New Roman"/>
        </w:rPr>
        <w:t>kGy. We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note</w:t>
      </w:r>
      <w:r>
        <w:rPr>
          <w:rFonts w:ascii="Times New Roman" w:eastAsia="Times New Roman" w:hAnsi="Times New Roman" w:cs="Times New Roman"/>
          <w:spacing w:val="-4"/>
        </w:rPr>
        <w:t xml:space="preserve"> </w:t>
      </w:r>
      <w:r>
        <w:rPr>
          <w:rFonts w:ascii="Times New Roman" w:eastAsia="Times New Roman" w:hAnsi="Times New Roman" w:cs="Times New Roman"/>
        </w:rPr>
        <w:t>that</w:t>
      </w:r>
      <w:r>
        <w:rPr>
          <w:rFonts w:ascii="Times New Roman" w:eastAsia="Times New Roman" w:hAnsi="Times New Roman" w:cs="Times New Roman"/>
          <w:spacing w:val="-4"/>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codified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language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in</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regulation</w:t>
      </w:r>
      <w:r>
        <w:rPr>
          <w:rFonts w:ascii="Times New Roman" w:eastAsia="Times New Roman" w:hAnsi="Times New Roman" w:cs="Times New Roman"/>
          <w:spacing w:val="-3"/>
        </w:rPr>
        <w:t xml:space="preserve"> </w:t>
      </w:r>
      <w:r>
        <w:rPr>
          <w:rFonts w:ascii="Times New Roman" w:eastAsia="Times New Roman" w:hAnsi="Times New Roman" w:cs="Times New Roman"/>
        </w:rPr>
        <w:t>states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“seeds,”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but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for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4"/>
        </w:rPr>
        <w:t xml:space="preserve"> </w:t>
      </w:r>
      <w:r>
        <w:rPr>
          <w:rFonts w:ascii="Times New Roman" w:eastAsia="Times New Roman" w:hAnsi="Times New Roman" w:cs="Times New Roman"/>
        </w:rPr>
        <w:t>purposes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regulation,</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61"/>
          <w:w w:val="99"/>
        </w:rPr>
        <w:t xml:space="preserve"> </w:t>
      </w:r>
      <w:r>
        <w:rPr>
          <w:rFonts w:ascii="Times New Roman" w:eastAsia="Times New Roman" w:hAnsi="Times New Roman" w:cs="Times New Roman"/>
        </w:rPr>
        <w:t>FDA</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recognizes</w:t>
      </w:r>
      <w:r>
        <w:rPr>
          <w:rFonts w:ascii="Times New Roman" w:eastAsia="Times New Roman" w:hAnsi="Times New Roman" w:cs="Times New Roman"/>
          <w:spacing w:val="-5"/>
        </w:rPr>
        <w:t xml:space="preserve"> </w:t>
      </w:r>
      <w:r>
        <w:rPr>
          <w:rFonts w:ascii="Times New Roman" w:eastAsia="Times New Roman" w:hAnsi="Times New Roman" w:cs="Times New Roman"/>
        </w:rPr>
        <w:t>that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beans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for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sprouting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(e.g.,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mung</w:t>
      </w:r>
      <w:r>
        <w:rPr>
          <w:rFonts w:ascii="Times New Roman" w:eastAsia="Times New Roman" w:hAnsi="Times New Roman" w:cs="Times New Roman"/>
          <w:spacing w:val="-5"/>
        </w:rPr>
        <w:t xml:space="preserve"> </w:t>
      </w:r>
      <w:r>
        <w:rPr>
          <w:rFonts w:ascii="Times New Roman" w:eastAsia="Times New Roman" w:hAnsi="Times New Roman" w:cs="Times New Roman"/>
        </w:rPr>
        <w:t>bean</w:t>
      </w:r>
      <w:r>
        <w:rPr>
          <w:rFonts w:ascii="Times New Roman" w:eastAsia="Times New Roman" w:hAnsi="Times New Roman" w:cs="Times New Roman"/>
          <w:spacing w:val="-4"/>
        </w:rPr>
        <w:t xml:space="preserve"> </w:t>
      </w:r>
      <w:r>
        <w:rPr>
          <w:rFonts w:ascii="Times New Roman" w:eastAsia="Times New Roman" w:hAnsi="Times New Roman" w:cs="Times New Roman"/>
        </w:rPr>
        <w:t>seeds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used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for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sprouting)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would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also</w:t>
      </w:r>
      <w:r>
        <w:rPr>
          <w:rFonts w:ascii="Times New Roman" w:eastAsia="Times New Roman" w:hAnsi="Times New Roman" w:cs="Times New Roman"/>
          <w:spacing w:val="-3"/>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included.</w:t>
      </w:r>
      <w:r>
        <w:rPr>
          <w:rFonts w:ascii="Times New Roman" w:eastAsia="Times New Roman" w:hAnsi="Times New Roman" w:cs="Times New Roman"/>
          <w:spacing w:val="42"/>
        </w:rPr>
        <w:t xml:space="preserve"> </w:t>
      </w:r>
      <w:r>
        <w:rPr>
          <w:rFonts w:ascii="Times New Roman" w:eastAsia="Times New Roman" w:hAnsi="Times New Roman" w:cs="Times New Roman"/>
        </w:rPr>
        <w:t>For</w:t>
      </w:r>
      <w:r>
        <w:rPr>
          <w:rFonts w:ascii="Times New Roman" w:eastAsia="Times New Roman" w:hAnsi="Times New Roman" w:cs="Times New Roman"/>
          <w:spacing w:val="104"/>
          <w:w w:val="99"/>
        </w:rPr>
        <w:t xml:space="preserve"> </w:t>
      </w:r>
      <w:r>
        <w:rPr>
          <w:rFonts w:ascii="Times New Roman" w:eastAsia="Times New Roman" w:hAnsi="Times New Roman" w:cs="Times New Roman"/>
          <w:spacing w:val="-1"/>
        </w:rPr>
        <w:t>information</w:t>
      </w:r>
      <w:r>
        <w:rPr>
          <w:rFonts w:ascii="Times New Roman" w:eastAsia="Times New Roman" w:hAnsi="Times New Roman" w:cs="Times New Roman"/>
          <w:spacing w:val="-7"/>
        </w:rPr>
        <w:t xml:space="preserve"> </w:t>
      </w:r>
      <w:r>
        <w:rPr>
          <w:rFonts w:ascii="Times New Roman" w:eastAsia="Times New Roman" w:hAnsi="Times New Roman" w:cs="Times New Roman"/>
        </w:rPr>
        <w:t>about</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use</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non-ionizing</w:t>
      </w:r>
      <w:r>
        <w:rPr>
          <w:rFonts w:ascii="Times New Roman" w:eastAsia="Times New Roman" w:hAnsi="Times New Roman" w:cs="Times New Roman"/>
          <w:spacing w:val="-6"/>
        </w:rPr>
        <w:t xml:space="preserve"> </w:t>
      </w:r>
      <w:r>
        <w:rPr>
          <w:rFonts w:ascii="Times New Roman" w:eastAsia="Times New Roman" w:hAnsi="Times New Roman" w:cs="Times New Roman"/>
        </w:rPr>
        <w:t>sources</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7"/>
        </w:rPr>
        <w:t xml:space="preserve"> </w:t>
      </w:r>
      <w:r>
        <w:rPr>
          <w:rFonts w:ascii="Times New Roman" w:eastAsia="Times New Roman" w:hAnsi="Times New Roman" w:cs="Times New Roman"/>
        </w:rPr>
        <w:t>radiation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(such</w:t>
      </w:r>
      <w:r>
        <w:rPr>
          <w:rFonts w:ascii="Times New Roman" w:eastAsia="Times New Roman" w:hAnsi="Times New Roman" w:cs="Times New Roman"/>
          <w:spacing w:val="-6"/>
        </w:rPr>
        <w:t xml:space="preserve"> </w:t>
      </w:r>
      <w:r>
        <w:rPr>
          <w:rFonts w:ascii="Times New Roman" w:eastAsia="Times New Roman" w:hAnsi="Times New Roman" w:cs="Times New Roman"/>
        </w:rPr>
        <w:t>as</w:t>
      </w:r>
      <w:r>
        <w:rPr>
          <w:rFonts w:ascii="Times New Roman" w:eastAsia="Times New Roman" w:hAnsi="Times New Roman" w:cs="Times New Roman"/>
          <w:spacing w:val="-6"/>
        </w:rPr>
        <w:t xml:space="preserve"> </w:t>
      </w:r>
      <w:r>
        <w:rPr>
          <w:rFonts w:ascii="Times New Roman" w:eastAsia="Times New Roman" w:hAnsi="Times New Roman" w:cs="Times New Roman"/>
        </w:rPr>
        <w:t>UV</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light,</w:t>
      </w:r>
      <w:r>
        <w:rPr>
          <w:rFonts w:ascii="Times New Roman" w:eastAsia="Times New Roman" w:hAnsi="Times New Roman" w:cs="Times New Roman"/>
          <w:spacing w:val="-5"/>
        </w:rPr>
        <w:t xml:space="preserve"> </w:t>
      </w:r>
      <w:r>
        <w:rPr>
          <w:rFonts w:ascii="Times New Roman" w:eastAsia="Times New Roman" w:hAnsi="Times New Roman" w:cs="Times New Roman"/>
        </w:rPr>
        <w:t>radio</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frequency,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microwaves,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and</w:t>
      </w:r>
      <w:r>
        <w:rPr>
          <w:rFonts w:ascii="Times New Roman" w:eastAsia="Times New Roman" w:hAnsi="Times New Roman" w:cs="Times New Roman"/>
          <w:spacing w:val="79"/>
          <w:w w:val="99"/>
        </w:rPr>
        <w:t xml:space="preserve"> </w:t>
      </w:r>
      <w:r>
        <w:rPr>
          <w:rFonts w:ascii="Times New Roman" w:eastAsia="Times New Roman" w:hAnsi="Times New Roman" w:cs="Times New Roman"/>
          <w:spacing w:val="-1"/>
        </w:rPr>
        <w:t>pulsed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 xml:space="preserve">light) </w:t>
      </w:r>
      <w:r>
        <w:rPr>
          <w:rFonts w:ascii="Times New Roman" w:eastAsia="Times New Roman" w:hAnsi="Times New Roman" w:cs="Times New Roman"/>
          <w:spacing w:val="-2"/>
        </w:rPr>
        <w:t>we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refer</w:t>
      </w:r>
      <w:r>
        <w:rPr>
          <w:rFonts w:ascii="Times New Roman" w:eastAsia="Times New Roman" w:hAnsi="Times New Roman" w:cs="Times New Roman"/>
          <w:spacing w:val="-3"/>
        </w:rPr>
        <w:t xml:space="preserve"> </w:t>
      </w:r>
      <w:r>
        <w:rPr>
          <w:rFonts w:ascii="Times New Roman" w:eastAsia="Times New Roman" w:hAnsi="Times New Roman" w:cs="Times New Roman"/>
        </w:rPr>
        <w:t>the</w:t>
      </w:r>
      <w:r>
        <w:rPr>
          <w:rFonts w:ascii="Times New Roman" w:eastAsia="Times New Roman" w:hAnsi="Times New Roman" w:cs="Times New Roman"/>
          <w:spacing w:val="-4"/>
        </w:rPr>
        <w:t xml:space="preserve"> </w:t>
      </w:r>
      <w:r>
        <w:rPr>
          <w:rFonts w:ascii="Times New Roman" w:eastAsia="Times New Roman" w:hAnsi="Times New Roman" w:cs="Times New Roman"/>
        </w:rPr>
        <w:t>reader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to</w:t>
      </w:r>
      <w:r>
        <w:rPr>
          <w:rFonts w:ascii="Times New Roman" w:eastAsia="Times New Roman" w:hAnsi="Times New Roman" w:cs="Times New Roman"/>
          <w:spacing w:val="-3"/>
        </w:rPr>
        <w:t xml:space="preserve"> </w:t>
      </w:r>
      <w:r>
        <w:rPr>
          <w:rFonts w:ascii="Times New Roman" w:eastAsia="Times New Roman" w:hAnsi="Times New Roman" w:cs="Times New Roman"/>
        </w:rPr>
        <w:t>21</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CFR</w:t>
      </w:r>
      <w:r>
        <w:rPr>
          <w:rFonts w:ascii="Times New Roman" w:eastAsia="Times New Roman" w:hAnsi="Times New Roman" w:cs="Times New Roman"/>
          <w:spacing w:val="-5"/>
        </w:rPr>
        <w:t xml:space="preserve"> </w:t>
      </w:r>
      <w:r>
        <w:rPr>
          <w:rFonts w:ascii="Times New Roman" w:eastAsia="Times New Roman" w:hAnsi="Times New Roman" w:cs="Times New Roman"/>
        </w:rPr>
        <w:t>Part</w:t>
      </w:r>
      <w:r>
        <w:rPr>
          <w:rFonts w:ascii="Times New Roman" w:eastAsia="Times New Roman" w:hAnsi="Times New Roman" w:cs="Times New Roman"/>
          <w:spacing w:val="-3"/>
        </w:rPr>
        <w:t xml:space="preserve"> </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179</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more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 xml:space="preserve">generally. </w:t>
      </w:r>
      <w:r>
        <w:rPr>
          <w:rFonts w:ascii="Times New Roman" w:eastAsia="Times New Roman" w:hAnsi="Times New Roman" w:cs="Times New Roman"/>
        </w:rPr>
        <w:t>We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note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 xml:space="preserve">that while </w:t>
      </w:r>
      <w:r>
        <w:rPr>
          <w:rFonts w:ascii="Times New Roman" w:eastAsia="Times New Roman" w:hAnsi="Times New Roman" w:cs="Times New Roman"/>
        </w:rPr>
        <w:t>seeds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that have</w:t>
      </w:r>
      <w:r>
        <w:rPr>
          <w:rFonts w:ascii="Times New Roman" w:eastAsia="Times New Roman" w:hAnsi="Times New Roman" w:cs="Times New Roman"/>
          <w:spacing w:val="-4"/>
        </w:rPr>
        <w:t xml:space="preserve"> </w:t>
      </w:r>
      <w:r>
        <w:rPr>
          <w:rFonts w:ascii="Times New Roman" w:eastAsia="Times New Roman" w:hAnsi="Times New Roman" w:cs="Times New Roman"/>
        </w:rPr>
        <w:t>been</w:t>
      </w:r>
      <w:r>
        <w:rPr>
          <w:rFonts w:ascii="Times New Roman" w:eastAsia="Times New Roman" w:hAnsi="Times New Roman" w:cs="Times New Roman"/>
          <w:spacing w:val="65"/>
          <w:w w:val="99"/>
        </w:rPr>
        <w:t xml:space="preserve"> </w:t>
      </w:r>
      <w:r>
        <w:rPr>
          <w:rFonts w:ascii="Times New Roman" w:eastAsia="Times New Roman" w:hAnsi="Times New Roman" w:cs="Times New Roman"/>
          <w:spacing w:val="-1"/>
        </w:rPr>
        <w:t>treated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with</w:t>
      </w:r>
      <w:r>
        <w:rPr>
          <w:rFonts w:ascii="Times New Roman" w:eastAsia="Times New Roman" w:hAnsi="Times New Roman" w:cs="Times New Roman"/>
          <w:spacing w:val="-5"/>
        </w:rPr>
        <w:t xml:space="preserve"> </w:t>
      </w:r>
      <w:r>
        <w:rPr>
          <w:rFonts w:ascii="Times New Roman" w:eastAsia="Times New Roman" w:hAnsi="Times New Roman" w:cs="Times New Roman"/>
        </w:rPr>
        <w:t>ionizing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radiation must</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labeled with</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radura</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symbol</w:t>
      </w:r>
      <w:r>
        <w:rPr>
          <w:rFonts w:ascii="Times New Roman" w:eastAsia="Times New Roman" w:hAnsi="Times New Roman" w:cs="Times New Roman"/>
          <w:spacing w:val="-5"/>
        </w:rPr>
        <w:t xml:space="preserve"> </w:t>
      </w:r>
      <w:r>
        <w:rPr>
          <w:rFonts w:ascii="Times New Roman" w:eastAsia="Times New Roman" w:hAnsi="Times New Roman" w:cs="Times New Roman"/>
        </w:rPr>
        <w:t>along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with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either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statement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“Treated with</w:t>
      </w:r>
      <w:r>
        <w:rPr>
          <w:rFonts w:ascii="Times New Roman" w:eastAsia="Times New Roman" w:hAnsi="Times New Roman" w:cs="Times New Roman"/>
          <w:spacing w:val="93"/>
          <w:w w:val="99"/>
        </w:rPr>
        <w:t xml:space="preserve"> </w:t>
      </w:r>
      <w:r>
        <w:rPr>
          <w:rFonts w:ascii="Times New Roman" w:eastAsia="Times New Roman" w:hAnsi="Times New Roman" w:cs="Times New Roman"/>
          <w:spacing w:val="-1"/>
        </w:rPr>
        <w:t>radiation”</w:t>
      </w:r>
      <w:r>
        <w:rPr>
          <w:rFonts w:ascii="Times New Roman" w:eastAsia="Times New Roman" w:hAnsi="Times New Roman" w:cs="Times New Roman"/>
          <w:spacing w:val="-5"/>
        </w:rPr>
        <w:t xml:space="preserve"> </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statement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“Treated</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irradiation,”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sprouts</w:t>
      </w:r>
      <w:r>
        <w:rPr>
          <w:rFonts w:ascii="Times New Roman" w:eastAsia="Times New Roman" w:hAnsi="Times New Roman" w:cs="Times New Roman"/>
          <w:spacing w:val="-6"/>
        </w:rPr>
        <w:t xml:space="preserve"> </w:t>
      </w:r>
      <w:r>
        <w:rPr>
          <w:rFonts w:ascii="Times New Roman" w:eastAsia="Times New Roman" w:hAnsi="Times New Roman" w:cs="Times New Roman"/>
        </w:rPr>
        <w:t>that</w:t>
      </w:r>
      <w:r>
        <w:rPr>
          <w:rFonts w:ascii="Times New Roman" w:eastAsia="Times New Roman" w:hAnsi="Times New Roman" w:cs="Times New Roman"/>
          <w:spacing w:val="-4"/>
        </w:rPr>
        <w:t xml:space="preserve"> </w:t>
      </w:r>
      <w:r>
        <w:rPr>
          <w:rFonts w:ascii="Times New Roman" w:eastAsia="Times New Roman" w:hAnsi="Times New Roman" w:cs="Times New Roman"/>
        </w:rPr>
        <w:t>are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grown</w:t>
      </w:r>
      <w:r>
        <w:rPr>
          <w:rFonts w:ascii="Times New Roman" w:eastAsia="Times New Roman" w:hAnsi="Times New Roman" w:cs="Times New Roman"/>
          <w:spacing w:val="-4"/>
        </w:rPr>
        <w:t xml:space="preserve"> </w:t>
      </w:r>
      <w:r>
        <w:rPr>
          <w:rFonts w:ascii="Times New Roman" w:eastAsia="Times New Roman" w:hAnsi="Times New Roman" w:cs="Times New Roman"/>
        </w:rPr>
        <w:t>using</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irradiated</w:t>
      </w:r>
      <w:r>
        <w:rPr>
          <w:rFonts w:ascii="Times New Roman" w:eastAsia="Times New Roman" w:hAnsi="Times New Roman" w:cs="Times New Roman"/>
          <w:spacing w:val="-4"/>
        </w:rPr>
        <w:t xml:space="preserve"> </w:t>
      </w:r>
      <w:r>
        <w:rPr>
          <w:rFonts w:ascii="Times New Roman" w:eastAsia="Times New Roman" w:hAnsi="Times New Roman" w:cs="Times New Roman"/>
        </w:rPr>
        <w:t>seeds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need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not</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so</w:t>
      </w:r>
      <w:r>
        <w:rPr>
          <w:rFonts w:ascii="Times New Roman" w:eastAsia="Times New Roman" w:hAnsi="Times New Roman" w:cs="Times New Roman"/>
          <w:spacing w:val="103"/>
          <w:w w:val="99"/>
        </w:rPr>
        <w:t xml:space="preserve"> </w:t>
      </w:r>
      <w:r>
        <w:rPr>
          <w:rFonts w:ascii="Times New Roman" w:eastAsia="Times New Roman" w:hAnsi="Times New Roman" w:cs="Times New Roman"/>
          <w:spacing w:val="-1"/>
        </w:rPr>
        <w:t>labeled</w:t>
      </w:r>
      <w:r>
        <w:rPr>
          <w:rFonts w:ascii="Times New Roman" w:eastAsia="Times New Roman" w:hAnsi="Times New Roman" w:cs="Times New Roman"/>
          <w:spacing w:val="-2"/>
        </w:rPr>
        <w:t xml:space="preserve"> where</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sprouts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themselves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have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not</w:t>
      </w:r>
      <w:r>
        <w:rPr>
          <w:rFonts w:ascii="Times New Roman" w:eastAsia="Times New Roman" w:hAnsi="Times New Roman" w:cs="Times New Roman"/>
          <w:spacing w:val="-4"/>
        </w:rPr>
        <w:t xml:space="preserve"> </w:t>
      </w:r>
      <w:r>
        <w:rPr>
          <w:rFonts w:ascii="Times New Roman" w:eastAsia="Times New Roman" w:hAnsi="Times New Roman" w:cs="Times New Roman"/>
        </w:rPr>
        <w:t>been</w:t>
      </w:r>
      <w:r>
        <w:rPr>
          <w:rFonts w:ascii="Times New Roman" w:eastAsia="Times New Roman" w:hAnsi="Times New Roman" w:cs="Times New Roman"/>
          <w:spacing w:val="-6"/>
        </w:rPr>
        <w:t xml:space="preserve"> </w:t>
      </w:r>
      <w:r>
        <w:rPr>
          <w:rFonts w:ascii="Times New Roman" w:eastAsia="Times New Roman" w:hAnsi="Times New Roman" w:cs="Times New Roman"/>
        </w:rPr>
        <w:t>irradiated</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(see</w:t>
      </w:r>
      <w:r>
        <w:rPr>
          <w:rFonts w:ascii="Times New Roman" w:eastAsia="Times New Roman" w:hAnsi="Times New Roman" w:cs="Times New Roman"/>
          <w:spacing w:val="-4"/>
        </w:rPr>
        <w:t xml:space="preserve"> </w:t>
      </w:r>
      <w:r>
        <w:rPr>
          <w:rFonts w:ascii="Times New Roman" w:eastAsia="Times New Roman" w:hAnsi="Times New Roman" w:cs="Times New Roman"/>
        </w:rPr>
        <w:t>21</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CFR</w:t>
      </w:r>
      <w:r>
        <w:rPr>
          <w:rFonts w:ascii="Times New Roman" w:eastAsia="Times New Roman" w:hAnsi="Times New Roman" w:cs="Times New Roman"/>
          <w:spacing w:val="-6"/>
        </w:rPr>
        <w:t xml:space="preserve"> </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179.26(c)(2);</w:t>
      </w:r>
      <w:r>
        <w:rPr>
          <w:rFonts w:ascii="Times New Roman" w:eastAsia="Times New Roman" w:hAnsi="Times New Roman" w:cs="Times New Roman"/>
          <w:spacing w:val="-5"/>
        </w:rPr>
        <w:t xml:space="preserve"> </w:t>
      </w:r>
      <w:r>
        <w:rPr>
          <w:rFonts w:ascii="Times New Roman" w:eastAsia="Times New Roman" w:hAnsi="Times New Roman" w:cs="Times New Roman"/>
        </w:rPr>
        <w:t>65</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FR</w:t>
      </w:r>
      <w:r>
        <w:rPr>
          <w:rFonts w:ascii="Times New Roman" w:eastAsia="Times New Roman" w:hAnsi="Times New Roman" w:cs="Times New Roman"/>
          <w:spacing w:val="-5"/>
        </w:rPr>
        <w:t xml:space="preserve"> </w:t>
      </w:r>
      <w:r>
        <w:rPr>
          <w:rFonts w:ascii="Times New Roman" w:eastAsia="Times New Roman" w:hAnsi="Times New Roman" w:cs="Times New Roman"/>
        </w:rPr>
        <w:t>64605,</w:t>
      </w:r>
      <w:r>
        <w:rPr>
          <w:rFonts w:ascii="Times New Roman" w:eastAsia="Times New Roman" w:hAnsi="Times New Roman" w:cs="Times New Roman"/>
          <w:spacing w:val="-4"/>
        </w:rPr>
        <w:t xml:space="preserve"> </w:t>
      </w:r>
      <w:r>
        <w:rPr>
          <w:rFonts w:ascii="Times New Roman" w:eastAsia="Times New Roman" w:hAnsi="Times New Roman" w:cs="Times New Roman"/>
        </w:rPr>
        <w:t>at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64606-7</w:t>
      </w:r>
      <w:r>
        <w:rPr>
          <w:rFonts w:ascii="Times New Roman" w:eastAsia="Times New Roman" w:hAnsi="Times New Roman" w:cs="Times New Roman"/>
          <w:spacing w:val="101"/>
          <w:w w:val="99"/>
        </w:rPr>
        <w:t xml:space="preserve"> </w:t>
      </w:r>
      <w:r>
        <w:rPr>
          <w:rFonts w:ascii="Times New Roman" w:eastAsia="Times New Roman" w:hAnsi="Times New Roman" w:cs="Times New Roman"/>
          <w:spacing w:val="-1"/>
        </w:rPr>
        <w:t>(Oct.</w:t>
      </w:r>
      <w:r>
        <w:rPr>
          <w:rFonts w:ascii="Times New Roman" w:eastAsia="Times New Roman" w:hAnsi="Times New Roman" w:cs="Times New Roman"/>
          <w:spacing w:val="-6"/>
        </w:rPr>
        <w:t xml:space="preserve"> </w:t>
      </w:r>
      <w:r>
        <w:rPr>
          <w:rFonts w:ascii="Times New Roman" w:eastAsia="Times New Roman" w:hAnsi="Times New Roman" w:cs="Times New Roman"/>
        </w:rPr>
        <w:t>30,</w:t>
      </w:r>
      <w:r>
        <w:rPr>
          <w:rFonts w:ascii="Times New Roman" w:eastAsia="Times New Roman" w:hAnsi="Times New Roman" w:cs="Times New Roman"/>
          <w:spacing w:val="-8"/>
        </w:rPr>
        <w:t xml:space="preserve"> </w:t>
      </w:r>
      <w:r>
        <w:rPr>
          <w:rFonts w:ascii="Times New Roman" w:eastAsia="Times New Roman" w:hAnsi="Times New Roman" w:cs="Times New Roman"/>
        </w:rPr>
        <w:t>2000)).</w:t>
      </w:r>
    </w:p>
  </w:footnote>
  <w:footnote w:id="6">
    <w:p w:rsidR="00FF2F57" w:rsidRPr="00A30CAC" w:rsidP="00191DF8" w14:paraId="0C2D4897" w14:textId="320F93D3">
      <w:pPr>
        <w:pStyle w:val="FootnoteText"/>
        <w:rPr>
          <w:rFonts w:ascii="Times New Roman" w:hAnsi="Times New Roman" w:cs="Times New Roman"/>
        </w:rPr>
      </w:pPr>
      <w:r w:rsidRPr="00A30CAC">
        <w:rPr>
          <w:rStyle w:val="FootnoteReference"/>
          <w:rFonts w:ascii="Times New Roman" w:hAnsi="Times New Roman" w:cs="Times New Roman"/>
        </w:rPr>
        <w:footnoteRef/>
      </w:r>
      <w:r w:rsidRPr="00A30CAC">
        <w:rPr>
          <w:rFonts w:ascii="Times New Roman" w:hAnsi="Times New Roman" w:cs="Times New Roman"/>
        </w:rPr>
        <w:t xml:space="preserve"> </w:t>
      </w:r>
      <w:r w:rsidRPr="00A30CAC">
        <w:rPr>
          <w:rFonts w:ascii="Times New Roman" w:hAnsi="Times New Roman" w:cs="Times New Roman"/>
          <w:spacing w:val="-2"/>
        </w:rPr>
        <w:t>In</w:t>
      </w:r>
      <w:r w:rsidRPr="00A30CAC">
        <w:rPr>
          <w:rFonts w:ascii="Times New Roman" w:hAnsi="Times New Roman" w:cs="Times New Roman"/>
        </w:rPr>
        <w:t xml:space="preserve"> our prior </w:t>
      </w:r>
      <w:r w:rsidR="00700B60">
        <w:rPr>
          <w:rFonts w:ascii="Times New Roman" w:hAnsi="Times New Roman" w:cs="Times New Roman"/>
          <w:spacing w:val="-1"/>
        </w:rPr>
        <w:t>S</w:t>
      </w:r>
      <w:r w:rsidRPr="00A30CAC">
        <w:rPr>
          <w:rFonts w:ascii="Times New Roman" w:hAnsi="Times New Roman" w:cs="Times New Roman"/>
          <w:spacing w:val="-1"/>
        </w:rPr>
        <w:t xml:space="preserve">prout </w:t>
      </w:r>
      <w:r w:rsidR="00700B60">
        <w:rPr>
          <w:rFonts w:ascii="Times New Roman" w:hAnsi="Times New Roman" w:cs="Times New Roman"/>
          <w:spacing w:val="-1"/>
        </w:rPr>
        <w:t>G</w:t>
      </w:r>
      <w:r w:rsidRPr="00A30CAC">
        <w:rPr>
          <w:rFonts w:ascii="Times New Roman" w:hAnsi="Times New Roman" w:cs="Times New Roman"/>
          <w:spacing w:val="-1"/>
        </w:rPr>
        <w:t>uidances,</w:t>
      </w:r>
      <w:r w:rsidRPr="00A30CAC">
        <w:rPr>
          <w:rFonts w:ascii="Times New Roman" w:hAnsi="Times New Roman" w:cs="Times New Roman"/>
        </w:rPr>
        <w:t xml:space="preserve"> </w:t>
      </w:r>
      <w:r w:rsidRPr="00A30CAC">
        <w:rPr>
          <w:rFonts w:ascii="Times New Roman" w:hAnsi="Times New Roman" w:cs="Times New Roman"/>
          <w:spacing w:val="-1"/>
        </w:rPr>
        <w:t>we</w:t>
      </w:r>
      <w:r w:rsidRPr="00A30CAC">
        <w:rPr>
          <w:rFonts w:ascii="Times New Roman" w:hAnsi="Times New Roman" w:cs="Times New Roman"/>
          <w:spacing w:val="-2"/>
        </w:rPr>
        <w:t xml:space="preserve"> </w:t>
      </w:r>
      <w:r w:rsidRPr="00A30CAC">
        <w:rPr>
          <w:rFonts w:ascii="Times New Roman" w:hAnsi="Times New Roman" w:cs="Times New Roman"/>
          <w:spacing w:val="-1"/>
        </w:rPr>
        <w:t>cited</w:t>
      </w:r>
      <w:r w:rsidRPr="00A30CAC">
        <w:rPr>
          <w:rFonts w:ascii="Times New Roman" w:hAnsi="Times New Roman" w:cs="Times New Roman"/>
        </w:rPr>
        <w:t xml:space="preserve"> a</w:t>
      </w:r>
      <w:r w:rsidRPr="00A30CAC">
        <w:rPr>
          <w:rFonts w:ascii="Times New Roman" w:hAnsi="Times New Roman" w:cs="Times New Roman"/>
          <w:spacing w:val="1"/>
        </w:rPr>
        <w:t xml:space="preserve"> </w:t>
      </w:r>
      <w:r w:rsidRPr="00A30CAC">
        <w:rPr>
          <w:rFonts w:ascii="Times New Roman" w:hAnsi="Times New Roman" w:cs="Times New Roman"/>
          <w:spacing w:val="-1"/>
        </w:rPr>
        <w:t>20,000 ppm</w:t>
      </w:r>
      <w:r w:rsidRPr="00A30CAC">
        <w:rPr>
          <w:rFonts w:ascii="Times New Roman" w:hAnsi="Times New Roman" w:cs="Times New Roman"/>
        </w:rPr>
        <w:t xml:space="preserve"> </w:t>
      </w:r>
      <w:r w:rsidRPr="00A30CAC">
        <w:rPr>
          <w:rFonts w:ascii="Times New Roman" w:hAnsi="Times New Roman" w:cs="Times New Roman"/>
          <w:spacing w:val="-1"/>
        </w:rPr>
        <w:t>calcium</w:t>
      </w:r>
      <w:r w:rsidRPr="00A30CAC">
        <w:rPr>
          <w:rFonts w:ascii="Times New Roman" w:hAnsi="Times New Roman" w:cs="Times New Roman"/>
        </w:rPr>
        <w:t xml:space="preserve"> </w:t>
      </w:r>
      <w:r w:rsidRPr="00A30CAC">
        <w:rPr>
          <w:rFonts w:ascii="Times New Roman" w:hAnsi="Times New Roman" w:cs="Times New Roman"/>
          <w:spacing w:val="-1"/>
        </w:rPr>
        <w:t>hypochlorite</w:t>
      </w:r>
      <w:r w:rsidRPr="00A30CAC">
        <w:rPr>
          <w:rFonts w:ascii="Times New Roman" w:hAnsi="Times New Roman" w:cs="Times New Roman"/>
          <w:spacing w:val="1"/>
        </w:rPr>
        <w:t xml:space="preserve"> </w:t>
      </w:r>
      <w:r w:rsidRPr="00A30CAC">
        <w:rPr>
          <w:rFonts w:ascii="Times New Roman" w:hAnsi="Times New Roman" w:cs="Times New Roman"/>
          <w:spacing w:val="-1"/>
        </w:rPr>
        <w:t>treatment</w:t>
      </w:r>
      <w:r w:rsidRPr="00A30CAC">
        <w:rPr>
          <w:rFonts w:ascii="Times New Roman" w:hAnsi="Times New Roman" w:cs="Times New Roman"/>
        </w:rPr>
        <w:t xml:space="preserve"> as</w:t>
      </w:r>
      <w:r w:rsidRPr="00A30CAC">
        <w:rPr>
          <w:rFonts w:ascii="Times New Roman" w:hAnsi="Times New Roman" w:cs="Times New Roman"/>
          <w:spacing w:val="-1"/>
        </w:rPr>
        <w:t xml:space="preserve"> </w:t>
      </w:r>
      <w:r w:rsidRPr="00A30CAC">
        <w:rPr>
          <w:rFonts w:ascii="Times New Roman" w:hAnsi="Times New Roman" w:cs="Times New Roman"/>
        </w:rPr>
        <w:t>an</w:t>
      </w:r>
      <w:r w:rsidRPr="00A30CAC">
        <w:rPr>
          <w:rFonts w:ascii="Times New Roman" w:hAnsi="Times New Roman" w:cs="Times New Roman"/>
          <w:spacing w:val="55"/>
        </w:rPr>
        <w:t xml:space="preserve"> </w:t>
      </w:r>
      <w:r w:rsidRPr="00A30CAC">
        <w:rPr>
          <w:rFonts w:ascii="Times New Roman" w:hAnsi="Times New Roman" w:cs="Times New Roman"/>
          <w:spacing w:val="-1"/>
        </w:rPr>
        <w:t>example</w:t>
      </w:r>
      <w:r w:rsidRPr="00A30CAC">
        <w:rPr>
          <w:rFonts w:ascii="Times New Roman" w:hAnsi="Times New Roman" w:cs="Times New Roman"/>
          <w:spacing w:val="1"/>
        </w:rPr>
        <w:t xml:space="preserve"> </w:t>
      </w:r>
      <w:r w:rsidRPr="00A30CAC">
        <w:rPr>
          <w:rFonts w:ascii="Times New Roman" w:hAnsi="Times New Roman" w:cs="Times New Roman"/>
        </w:rPr>
        <w:t>of</w:t>
      </w:r>
      <w:r w:rsidRPr="00A30CAC">
        <w:rPr>
          <w:rFonts w:ascii="Times New Roman" w:hAnsi="Times New Roman" w:cs="Times New Roman"/>
          <w:spacing w:val="-3"/>
        </w:rPr>
        <w:t xml:space="preserve"> </w:t>
      </w:r>
      <w:r w:rsidRPr="00A30CAC">
        <w:rPr>
          <w:rFonts w:ascii="Times New Roman" w:hAnsi="Times New Roman" w:cs="Times New Roman"/>
        </w:rPr>
        <w:t xml:space="preserve">a </w:t>
      </w:r>
      <w:r w:rsidRPr="00A30CAC">
        <w:rPr>
          <w:rFonts w:ascii="Times New Roman" w:hAnsi="Times New Roman" w:cs="Times New Roman"/>
          <w:spacing w:val="-1"/>
          <w:sz w:val="24"/>
        </w:rPr>
        <w:t>seed</w:t>
      </w:r>
      <w:r w:rsidRPr="00A30CAC">
        <w:rPr>
          <w:rFonts w:ascii="Times New Roman" w:hAnsi="Times New Roman" w:cs="Times New Roman"/>
          <w:sz w:val="24"/>
        </w:rPr>
        <w:t xml:space="preserve"> </w:t>
      </w:r>
      <w:r w:rsidRPr="00A30CAC">
        <w:rPr>
          <w:rFonts w:ascii="Times New Roman" w:hAnsi="Times New Roman" w:cs="Times New Roman"/>
          <w:spacing w:val="-1"/>
        </w:rPr>
        <w:t>treatment.</w:t>
      </w:r>
      <w:r w:rsidRPr="00A30CAC">
        <w:rPr>
          <w:rFonts w:ascii="Times New Roman" w:hAnsi="Times New Roman" w:cs="Times New Roman"/>
          <w:spacing w:val="57"/>
        </w:rPr>
        <w:t xml:space="preserve"> </w:t>
      </w:r>
      <w:r w:rsidRPr="00A30CAC">
        <w:rPr>
          <w:rFonts w:ascii="Times New Roman" w:hAnsi="Times New Roman" w:cs="Times New Roman"/>
          <w:spacing w:val="-1"/>
        </w:rPr>
        <w:t>The</w:t>
      </w:r>
      <w:r w:rsidRPr="00A30CAC">
        <w:rPr>
          <w:rFonts w:ascii="Times New Roman" w:hAnsi="Times New Roman" w:cs="Times New Roman"/>
          <w:spacing w:val="1"/>
        </w:rPr>
        <w:t xml:space="preserve"> </w:t>
      </w:r>
      <w:r w:rsidRPr="00A30CAC">
        <w:rPr>
          <w:rFonts w:ascii="Times New Roman" w:hAnsi="Times New Roman" w:cs="Times New Roman"/>
          <w:spacing w:val="-1"/>
        </w:rPr>
        <w:t>EPA registration</w:t>
      </w:r>
      <w:r w:rsidRPr="00A30CAC">
        <w:rPr>
          <w:rFonts w:ascii="Times New Roman" w:hAnsi="Times New Roman" w:cs="Times New Roman"/>
        </w:rPr>
        <w:t xml:space="preserve"> </w:t>
      </w:r>
      <w:r w:rsidRPr="00A30CAC">
        <w:rPr>
          <w:rFonts w:ascii="Times New Roman" w:hAnsi="Times New Roman" w:cs="Times New Roman"/>
          <w:spacing w:val="-1"/>
        </w:rPr>
        <w:t>for</w:t>
      </w:r>
      <w:r w:rsidRPr="00A30CAC">
        <w:rPr>
          <w:rFonts w:ascii="Times New Roman" w:hAnsi="Times New Roman" w:cs="Times New Roman"/>
        </w:rPr>
        <w:t xml:space="preserve"> this</w:t>
      </w:r>
      <w:r w:rsidRPr="00A30CAC">
        <w:rPr>
          <w:rFonts w:ascii="Times New Roman" w:hAnsi="Times New Roman" w:cs="Times New Roman"/>
          <w:spacing w:val="-1"/>
        </w:rPr>
        <w:t xml:space="preserve"> treatment</w:t>
      </w:r>
      <w:r w:rsidRPr="00A30CAC">
        <w:rPr>
          <w:rFonts w:ascii="Times New Roman" w:hAnsi="Times New Roman" w:cs="Times New Roman"/>
        </w:rPr>
        <w:t xml:space="preserve"> has</w:t>
      </w:r>
      <w:r w:rsidRPr="00A30CAC">
        <w:rPr>
          <w:rFonts w:ascii="Times New Roman" w:hAnsi="Times New Roman" w:cs="Times New Roman"/>
          <w:spacing w:val="-1"/>
        </w:rPr>
        <w:t xml:space="preserve"> since</w:t>
      </w:r>
      <w:r w:rsidRPr="00A30CAC">
        <w:rPr>
          <w:rFonts w:ascii="Times New Roman" w:hAnsi="Times New Roman" w:cs="Times New Roman"/>
          <w:spacing w:val="-2"/>
        </w:rPr>
        <w:t xml:space="preserve"> </w:t>
      </w:r>
      <w:r w:rsidRPr="00A30CAC">
        <w:rPr>
          <w:rFonts w:ascii="Times New Roman" w:hAnsi="Times New Roman" w:cs="Times New Roman"/>
        </w:rPr>
        <w:t xml:space="preserve">been </w:t>
      </w:r>
      <w:r w:rsidRPr="00A30CAC">
        <w:rPr>
          <w:rFonts w:ascii="Times New Roman" w:hAnsi="Times New Roman" w:cs="Times New Roman"/>
          <w:spacing w:val="-1"/>
        </w:rPr>
        <w:t>updated</w:t>
      </w:r>
      <w:r w:rsidRPr="00A30CAC">
        <w:rPr>
          <w:rFonts w:ascii="Times New Roman" w:hAnsi="Times New Roman" w:cs="Times New Roman"/>
        </w:rPr>
        <w:t xml:space="preserve"> and </w:t>
      </w:r>
      <w:r w:rsidRPr="00A30CAC">
        <w:rPr>
          <w:rFonts w:ascii="Times New Roman" w:hAnsi="Times New Roman" w:cs="Times New Roman"/>
          <w:spacing w:val="-2"/>
        </w:rPr>
        <w:t>we</w:t>
      </w:r>
      <w:r w:rsidRPr="00A30CAC">
        <w:rPr>
          <w:rFonts w:ascii="Times New Roman" w:hAnsi="Times New Roman" w:cs="Times New Roman"/>
          <w:spacing w:val="49"/>
        </w:rPr>
        <w:t xml:space="preserve"> </w:t>
      </w:r>
      <w:r w:rsidRPr="00A30CAC">
        <w:rPr>
          <w:rFonts w:ascii="Times New Roman" w:hAnsi="Times New Roman" w:cs="Times New Roman"/>
          <w:spacing w:val="-1"/>
        </w:rPr>
        <w:t>refer</w:t>
      </w:r>
      <w:r w:rsidRPr="00A30CAC">
        <w:rPr>
          <w:rFonts w:ascii="Times New Roman" w:hAnsi="Times New Roman" w:cs="Times New Roman"/>
        </w:rPr>
        <w:t xml:space="preserve"> </w:t>
      </w:r>
      <w:r w:rsidRPr="00A30CAC">
        <w:rPr>
          <w:rFonts w:ascii="Times New Roman" w:hAnsi="Times New Roman" w:cs="Times New Roman"/>
          <w:spacing w:val="-1"/>
        </w:rPr>
        <w:t xml:space="preserve">readers </w:t>
      </w:r>
      <w:r w:rsidRPr="00A30CAC">
        <w:rPr>
          <w:rFonts w:ascii="Times New Roman" w:hAnsi="Times New Roman" w:cs="Times New Roman"/>
        </w:rPr>
        <w:t>to</w:t>
      </w:r>
      <w:r w:rsidRPr="00A30CAC">
        <w:rPr>
          <w:rFonts w:ascii="Times New Roman" w:hAnsi="Times New Roman" w:cs="Times New Roman"/>
          <w:spacing w:val="-3"/>
        </w:rPr>
        <w:t xml:space="preserve"> </w:t>
      </w:r>
      <w:r w:rsidRPr="00A30CAC">
        <w:rPr>
          <w:rFonts w:ascii="Times New Roman" w:hAnsi="Times New Roman" w:cs="Times New Roman"/>
          <w:spacing w:val="-1"/>
        </w:rPr>
        <w:t>EPA for</w:t>
      </w:r>
      <w:r w:rsidRPr="00A30CAC">
        <w:rPr>
          <w:rFonts w:ascii="Times New Roman" w:hAnsi="Times New Roman" w:cs="Times New Roman"/>
          <w:spacing w:val="2"/>
        </w:rPr>
        <w:t xml:space="preserve"> </w:t>
      </w:r>
      <w:r w:rsidRPr="00A30CAC">
        <w:rPr>
          <w:rFonts w:ascii="Times New Roman" w:hAnsi="Times New Roman" w:cs="Times New Roman"/>
        </w:rPr>
        <w:t>further</w:t>
      </w:r>
      <w:r w:rsidRPr="00A30CAC">
        <w:rPr>
          <w:rFonts w:ascii="Times New Roman" w:hAnsi="Times New Roman" w:cs="Times New Roman"/>
          <w:spacing w:val="-3"/>
        </w:rPr>
        <w:t xml:space="preserve"> </w:t>
      </w:r>
      <w:r w:rsidRPr="00A30CAC">
        <w:rPr>
          <w:rFonts w:ascii="Times New Roman" w:hAnsi="Times New Roman" w:cs="Times New Roman"/>
          <w:spacing w:val="-1"/>
        </w:rPr>
        <w:t>information on that registration.</w:t>
      </w:r>
    </w:p>
  </w:footnote>
  <w:footnote w:id="7">
    <w:p w:rsidR="00FF2F57" w:rsidRPr="009A0CC8" w:rsidP="00191DF8" w14:paraId="40468FD0" w14:textId="77777777">
      <w:pPr>
        <w:pStyle w:val="FootnoteText"/>
        <w:rPr>
          <w:rFonts w:ascii="Times New Roman" w:hAnsi="Times New Roman" w:cs="Times New Roman"/>
        </w:rPr>
      </w:pPr>
      <w:r w:rsidRPr="009A0CC8">
        <w:rPr>
          <w:rStyle w:val="FootnoteReference"/>
          <w:rFonts w:ascii="Times New Roman" w:hAnsi="Times New Roman" w:cs="Times New Roman"/>
        </w:rPr>
        <w:footnoteRef/>
      </w:r>
      <w:r w:rsidRPr="009A0CC8">
        <w:rPr>
          <w:rFonts w:ascii="Times New Roman" w:hAnsi="Times New Roman" w:cs="Times New Roman"/>
        </w:rPr>
        <w:t xml:space="preserve"> The confidence interval (CI) numbers are the lower and upper range of the estimate. The estimates in this risk assessment do not factor in interventions that industry is currently conducting; they are designed to compare the impact of different approaches. </w:t>
      </w:r>
    </w:p>
  </w:footnote>
  <w:footnote w:id="8">
    <w:p w:rsidR="00FF2F57" w:rsidRPr="0003249B" w:rsidP="00191DF8" w14:paraId="6E07F8EC" w14:textId="3443C2C8">
      <w:pPr>
        <w:pStyle w:val="FootnoteText"/>
        <w:rPr>
          <w:rFonts w:ascii="Times New Roman" w:hAnsi="Times New Roman" w:cs="Times New Roman"/>
        </w:rPr>
      </w:pPr>
      <w:r w:rsidRPr="0003249B">
        <w:rPr>
          <w:rStyle w:val="FootnoteReference"/>
          <w:rFonts w:ascii="Times New Roman" w:hAnsi="Times New Roman" w:cs="Times New Roman"/>
        </w:rPr>
        <w:footnoteRef/>
      </w:r>
      <w:r w:rsidRPr="0003249B">
        <w:rPr>
          <w:rFonts w:ascii="Times New Roman" w:hAnsi="Times New Roman" w:cs="Times New Roman"/>
        </w:rPr>
        <w:t xml:space="preserve"> Because websites are subject to change, it is possible that this specific website address will change. If you cannot access this document at that website, alternative websites where you currently can access this document include  </w:t>
      </w:r>
      <w:hyperlink r:id="rId3" w:history="1">
        <w:r w:rsidRPr="00F41B77">
          <w:rPr>
            <w:rStyle w:val="Hyperlink"/>
            <w:rFonts w:ascii="Times New Roman" w:hAnsi="Times New Roman" w:cs="Times New Roman"/>
          </w:rPr>
          <w:t>https://www.fda.gov/food/science-research-food/laboratory-methods-food</w:t>
        </w:r>
      </w:hyperlink>
      <w:r w:rsidRPr="0003249B">
        <w:rPr>
          <w:rFonts w:ascii="Times New Roman" w:hAnsi="Times New Roman" w:cs="Times New Roman"/>
        </w:rPr>
        <w:t>, and</w:t>
      </w:r>
      <w:r>
        <w:rPr>
          <w:rFonts w:ascii="Times New Roman" w:hAnsi="Times New Roman" w:cs="Times New Roman"/>
        </w:rPr>
        <w:t xml:space="preserve"> </w:t>
      </w:r>
      <w:hyperlink r:id="rId4" w:history="1">
        <w:r w:rsidRPr="00F67BCE">
          <w:rPr>
            <w:rStyle w:val="Hyperlink"/>
            <w:rFonts w:ascii="Times New Roman" w:hAnsi="Times New Roman" w:cs="Times New Roman"/>
          </w:rPr>
          <w:t>https://www.fda.gov/food/guidance-regulation-food-and-dietary-supplements/food-safety-modernization-act-fsma</w:t>
        </w:r>
      </w:hyperlink>
      <w:r w:rsidRPr="0003249B">
        <w:rPr>
          <w:rFonts w:ascii="Times New Roman" w:hAnsi="Times New Roman" w:cs="Times New Roman"/>
        </w:rPr>
        <w:t xml:space="preserve">. Alternatively, you can search on part or all of the title of the method, in the search box on FDA’s Web site at </w:t>
      </w:r>
      <w:hyperlink r:id="rId5" w:history="1">
        <w:r w:rsidRPr="00F67BCE">
          <w:rPr>
            <w:rStyle w:val="Hyperlink"/>
            <w:rFonts w:ascii="Times New Roman" w:hAnsi="Times New Roman" w:cs="Times New Roman"/>
          </w:rPr>
          <w:t>https://www.fda.gov/</w:t>
        </w:r>
      </w:hyperlink>
      <w:r w:rsidRPr="0003249B">
        <w:rPr>
          <w:rFonts w:ascii="Times New Roman" w:hAnsi="Times New Roman" w:cs="Times New Roman"/>
        </w:rPr>
        <w:t xml:space="preserve"> or using a generally available search engine.</w:t>
      </w:r>
    </w:p>
  </w:footnote>
  <w:footnote w:id="9">
    <w:p w:rsidR="00FF2F57" w:rsidRPr="0003249B" w:rsidP="00784640" w14:paraId="70DAF038" w14:textId="77777777">
      <w:pPr>
        <w:rPr>
          <w:rFonts w:ascii="Times New Roman" w:hAnsi="Times New Roman" w:cs="Times New Roman"/>
          <w:sz w:val="20"/>
          <w:szCs w:val="20"/>
        </w:rPr>
      </w:pPr>
      <w:r w:rsidRPr="0003249B">
        <w:rPr>
          <w:rStyle w:val="FootnoteReference"/>
          <w:rFonts w:ascii="Times New Roman" w:hAnsi="Times New Roman" w:cs="Times New Roman"/>
          <w:sz w:val="20"/>
          <w:szCs w:val="20"/>
        </w:rPr>
        <w:footnoteRef/>
      </w:r>
      <w:r>
        <w:rPr>
          <w:rFonts w:ascii="Times New Roman" w:hAnsi="Times New Roman" w:cs="Times New Roman"/>
        </w:rPr>
        <w:t xml:space="preserve"> </w:t>
      </w:r>
      <w:r w:rsidRPr="0003249B">
        <w:rPr>
          <w:rFonts w:ascii="Times New Roman" w:hAnsi="Times New Roman" w:cs="Times New Roman"/>
          <w:sz w:val="20"/>
          <w:szCs w:val="20"/>
        </w:rPr>
        <w:t>Alternative websites where you can currently access this document include:</w:t>
      </w:r>
    </w:p>
    <w:p w:rsidR="00FF2F57" w:rsidRPr="0003249B" w:rsidP="00784640" w14:paraId="2ED3D943" w14:textId="2DCA6C01">
      <w:pPr>
        <w:pStyle w:val="FootnoteText"/>
        <w:rPr>
          <w:rFonts w:ascii="Times New Roman" w:hAnsi="Times New Roman" w:cs="Times New Roman"/>
        </w:rPr>
      </w:pPr>
      <w:hyperlink r:id="rId6" w:history="1">
        <w:r w:rsidRPr="00067A37">
          <w:rPr>
            <w:rStyle w:val="Hyperlink"/>
            <w:rFonts w:ascii="Times New Roman" w:hAnsi="Times New Roman" w:cs="Times New Roman"/>
          </w:rPr>
          <w:t xml:space="preserve"> https://www.fda.gov/science-research/field-science-and-laboratories/method-validation-guidelines </w:t>
        </w:r>
      </w:hyperlink>
      <w:r w:rsidRPr="0003249B">
        <w:rPr>
          <w:rFonts w:ascii="Times New Roman" w:hAnsi="Times New Roman" w:cs="Times New Roman"/>
        </w:rPr>
        <w:t xml:space="preserve">and </w:t>
      </w:r>
      <w:hyperlink r:id="rId4" w:history="1">
        <w:r w:rsidRPr="00F67BCE">
          <w:rPr>
            <w:rStyle w:val="Hyperlink"/>
            <w:rFonts w:ascii="Times New Roman" w:hAnsi="Times New Roman" w:cs="Times New Roman"/>
          </w:rPr>
          <w:t>https://www.fda.gov/food/guidance-regulation-food-and-dietary-supplements/food-safety-modernization-act-fsma</w:t>
        </w:r>
      </w:hyperlink>
      <w:hyperlink r:id="rId7">
        <w:r w:rsidRPr="0003249B">
          <w:t>.</w:t>
        </w:r>
      </w:hyperlink>
      <w:r w:rsidRPr="0003249B">
        <w:rPr>
          <w:rFonts w:ascii="Times New Roman" w:hAnsi="Times New Roman" w:cs="Times New Roman"/>
        </w:rPr>
        <w:t xml:space="preserve"> Alternatively, you can search on part or all of the title of the method, in the search box on FDA’s Web site at</w:t>
      </w:r>
      <w:r>
        <w:rPr>
          <w:rFonts w:ascii="Times New Roman" w:hAnsi="Times New Roman" w:cs="Times New Roman"/>
        </w:rPr>
        <w:t xml:space="preserve"> </w:t>
      </w:r>
      <w:hyperlink r:id="rId5" w:history="1">
        <w:r w:rsidRPr="00F67BCE">
          <w:rPr>
            <w:rStyle w:val="Hyperlink"/>
            <w:rFonts w:ascii="Times New Roman" w:hAnsi="Times New Roman" w:cs="Times New Roman"/>
          </w:rPr>
          <w:t>https://www.fda.gov/</w:t>
        </w:r>
      </w:hyperlink>
      <w:r w:rsidRPr="0003249B">
        <w:rPr>
          <w:rFonts w:ascii="Times New Roman" w:hAnsi="Times New Roman" w:cs="Times New Roman"/>
        </w:rPr>
        <w:t xml:space="preserve"> or using a generally available search engine.</w:t>
      </w:r>
    </w:p>
  </w:footnote>
  <w:footnote w:id="10">
    <w:p w:rsidR="00FF2F57" w:rsidRPr="0003249B" w:rsidP="00191DF8" w14:paraId="1042B4E9" w14:textId="77777777">
      <w:pPr>
        <w:pStyle w:val="FootnoteText"/>
        <w:rPr>
          <w:rFonts w:ascii="Times New Roman" w:hAnsi="Times New Roman" w:cs="Times New Roman"/>
        </w:rPr>
      </w:pPr>
      <w:r w:rsidRPr="0003249B">
        <w:rPr>
          <w:rStyle w:val="FootnoteReference"/>
          <w:rFonts w:ascii="Times New Roman" w:hAnsi="Times New Roman" w:cs="Times New Roman"/>
        </w:rPr>
        <w:footnoteRef/>
      </w:r>
      <w:r w:rsidRPr="0003249B">
        <w:rPr>
          <w:rFonts w:ascii="Times New Roman" w:hAnsi="Times New Roman" w:cs="Times New Roman"/>
        </w:rPr>
        <w:t xml:space="preserve"> The FDA reference method provides options for testing for both </w:t>
      </w:r>
      <w:r w:rsidRPr="008B2BE8">
        <w:rPr>
          <w:rFonts w:ascii="Times New Roman" w:hAnsi="Times New Roman" w:cs="Times New Roman"/>
          <w:i/>
        </w:rPr>
        <w:t>Listeria</w:t>
      </w:r>
      <w:r w:rsidRPr="0003249B">
        <w:rPr>
          <w:rFonts w:ascii="Times New Roman" w:hAnsi="Times New Roman" w:cs="Times New Roman"/>
        </w:rPr>
        <w:t xml:space="preserve"> spp. and </w:t>
      </w:r>
      <w:r w:rsidRPr="008B2BE8">
        <w:rPr>
          <w:rFonts w:ascii="Times New Roman" w:hAnsi="Times New Roman" w:cs="Times New Roman"/>
          <w:i/>
        </w:rPr>
        <w:t>L. monocytogenes</w:t>
      </w:r>
      <w:r w:rsidRPr="0003249B">
        <w:rPr>
          <w:rFonts w:ascii="Times New Roman" w:hAnsi="Times New Roman" w:cs="Times New Roman"/>
        </w:rPr>
        <w:t xml:space="preserve">. They are described in the reference method in parallel, such that, for example, step I.E.1 describes part of the procedure for testing for </w:t>
      </w:r>
      <w:r w:rsidRPr="009B0B54">
        <w:rPr>
          <w:rFonts w:ascii="Times New Roman" w:hAnsi="Times New Roman" w:cs="Times New Roman"/>
          <w:i/>
        </w:rPr>
        <w:t>L. monocytogenes</w:t>
      </w:r>
      <w:r w:rsidRPr="0003249B">
        <w:rPr>
          <w:rFonts w:ascii="Times New Roman" w:hAnsi="Times New Roman" w:cs="Times New Roman"/>
        </w:rPr>
        <w:t xml:space="preserve"> while step I.E.2 describes part of the procedure for testing for </w:t>
      </w:r>
      <w:r w:rsidRPr="009B0B54">
        <w:rPr>
          <w:rFonts w:ascii="Times New Roman" w:hAnsi="Times New Roman" w:cs="Times New Roman"/>
          <w:i/>
        </w:rPr>
        <w:t>Listeria</w:t>
      </w:r>
      <w:r w:rsidRPr="0003249B">
        <w:rPr>
          <w:rFonts w:ascii="Times New Roman" w:hAnsi="Times New Roman" w:cs="Times New Roman"/>
        </w:rPr>
        <w:t xml:space="preserve"> spp. Thus, a “positive result for </w:t>
      </w:r>
      <w:r w:rsidRPr="009B0B54">
        <w:rPr>
          <w:rFonts w:ascii="Times New Roman" w:hAnsi="Times New Roman" w:cs="Times New Roman"/>
          <w:i/>
        </w:rPr>
        <w:t>Listeria</w:t>
      </w:r>
      <w:r w:rsidRPr="0003249B">
        <w:rPr>
          <w:rFonts w:ascii="Times New Roman" w:hAnsi="Times New Roman" w:cs="Times New Roman"/>
        </w:rPr>
        <w:t xml:space="preserve"> spp.” refers to completion of the reference method up to step I.F (or G, if applicable) including all steps relevant to </w:t>
      </w:r>
      <w:r w:rsidRPr="009B0B54">
        <w:rPr>
          <w:rFonts w:ascii="Times New Roman" w:hAnsi="Times New Roman" w:cs="Times New Roman"/>
          <w:i/>
        </w:rPr>
        <w:t>Listeria</w:t>
      </w:r>
      <w:r w:rsidRPr="0003249B">
        <w:rPr>
          <w:rFonts w:ascii="Times New Roman" w:hAnsi="Times New Roman" w:cs="Times New Roman"/>
        </w:rPr>
        <w:t xml:space="preserve"> spp.</w:t>
      </w:r>
    </w:p>
  </w:footnote>
  <w:footnote w:id="11">
    <w:p w:rsidR="00AC75C3" w:rsidRPr="0062538F" w14:paraId="30F2EA28" w14:textId="466A940F">
      <w:pPr>
        <w:pStyle w:val="FootnoteText"/>
        <w:rPr>
          <w:rFonts w:ascii="Times New Roman" w:hAnsi="Times New Roman" w:cs="Times New Roman"/>
        </w:rPr>
      </w:pPr>
      <w:r w:rsidRPr="0062538F">
        <w:rPr>
          <w:rStyle w:val="FootnoteReference"/>
          <w:rFonts w:ascii="Times New Roman" w:hAnsi="Times New Roman" w:cs="Times New Roman"/>
        </w:rPr>
        <w:footnoteRef/>
      </w:r>
      <w:r w:rsidRPr="0062538F">
        <w:rPr>
          <w:rFonts w:ascii="Times New Roman" w:hAnsi="Times New Roman" w:cs="Times New Roman"/>
        </w:rPr>
        <w:t xml:space="preserve"> </w:t>
      </w:r>
      <w:r w:rsidRPr="0062538F" w:rsidR="00C47213">
        <w:rPr>
          <w:rFonts w:ascii="Times New Roman" w:hAnsi="Times New Roman" w:cs="Times New Roman"/>
        </w:rPr>
        <w:t xml:space="preserve">FDA published a rule to establish additional traceability recordkeeping requirements (beyond what is already required in existing regulations) for persons who manufacture, process, pack, or hold foods the Agency has designated for inclusion on the Food Traceability List. </w:t>
      </w:r>
      <w:r w:rsidR="004169EA">
        <w:rPr>
          <w:rFonts w:ascii="Times New Roman" w:hAnsi="Times New Roman" w:cs="Times New Roman"/>
        </w:rPr>
        <w:t>T</w:t>
      </w:r>
      <w:r w:rsidRPr="0062538F" w:rsidR="00C47213">
        <w:rPr>
          <w:rFonts w:ascii="Times New Roman" w:hAnsi="Times New Roman" w:cs="Times New Roman"/>
        </w:rPr>
        <w:t xml:space="preserve">he rule </w:t>
      </w:r>
      <w:r w:rsidR="004169EA">
        <w:rPr>
          <w:rFonts w:ascii="Times New Roman" w:hAnsi="Times New Roman" w:cs="Times New Roman"/>
        </w:rPr>
        <w:t>will</w:t>
      </w:r>
      <w:r w:rsidRPr="0062538F" w:rsidR="00C47213">
        <w:rPr>
          <w:rFonts w:ascii="Times New Roman" w:hAnsi="Times New Roman" w:cs="Times New Roman"/>
        </w:rPr>
        <w:t xml:space="preserve"> affect some sprout operations. For further information, see “Food Traceability List” at </w:t>
      </w:r>
      <w:hyperlink r:id="rId8" w:history="1">
        <w:r w:rsidRPr="0062538F" w:rsidR="00C47213">
          <w:rPr>
            <w:rStyle w:val="Hyperlink"/>
            <w:rFonts w:ascii="Times New Roman" w:hAnsi="Times New Roman" w:cs="Times New Roman"/>
          </w:rPr>
          <w:t>https://www.fda.gov/food/food-safety-modernization-act-fsma/food-traceability-list</w:t>
        </w:r>
      </w:hyperlink>
      <w:r w:rsidRPr="0062538F" w:rsidR="00C47213">
        <w:rPr>
          <w:rFonts w:ascii="Times New Roman" w:hAnsi="Times New Roman" w:cs="Times New Roman"/>
        </w:rPr>
        <w:t>.</w:t>
      </w:r>
    </w:p>
  </w:footnote>
  <w:footnote w:id="12">
    <w:p w:rsidR="00FF2F57" w:rsidRPr="00197800" w:rsidP="00197800" w14:paraId="17A2A200" w14:textId="04AA8126">
      <w:pPr>
        <w:pStyle w:val="FootnoteText"/>
        <w:rPr>
          <w:rFonts w:ascii="Times New Roman" w:hAnsi="Times New Roman" w:cs="Times New Roman"/>
        </w:rPr>
      </w:pPr>
      <w:r w:rsidRPr="00197800">
        <w:rPr>
          <w:rStyle w:val="FootnoteReference"/>
          <w:rFonts w:ascii="Times New Roman" w:hAnsi="Times New Roman" w:cs="Times New Roman"/>
        </w:rPr>
        <w:footnoteRef/>
      </w:r>
      <w:r w:rsidRPr="00197800">
        <w:rPr>
          <w:rFonts w:ascii="Times New Roman" w:hAnsi="Times New Roman" w:cs="Times New Roman"/>
        </w:rPr>
        <w:t xml:space="preserve"> The table has been added to the document to facilitate a better understanding of </w:t>
      </w:r>
      <w:r>
        <w:rPr>
          <w:rFonts w:ascii="Times New Roman" w:hAnsi="Times New Roman" w:cs="Times New Roman"/>
        </w:rPr>
        <w:t>food contact surfaces (</w:t>
      </w:r>
      <w:r w:rsidRPr="00197800">
        <w:rPr>
          <w:rFonts w:ascii="Times New Roman" w:hAnsi="Times New Roman" w:cs="Times New Roman"/>
        </w:rPr>
        <w:t>FCSs</w:t>
      </w:r>
      <w:r>
        <w:rPr>
          <w:rFonts w:ascii="Times New Roman" w:hAnsi="Times New Roman" w:cs="Times New Roman"/>
        </w:rPr>
        <w:t>)</w:t>
      </w:r>
      <w:r w:rsidRPr="00197800">
        <w:rPr>
          <w:rFonts w:ascii="Times New Roman" w:hAnsi="Times New Roman" w:cs="Times New Roman"/>
        </w:rPr>
        <w:t xml:space="preserve"> and non-FCSs, and zone designations.  The contents are based on information that was available in the draft “Guidance for Industry: Compliance with and Recommendations for Implementation of the Standards for the Growing, Harvesting, Packing, and Holding of Produce for Human Consumption for Sprout </w:t>
      </w:r>
      <w:r w:rsidRPr="00234613">
        <w:rPr>
          <w:rFonts w:ascii="Times New Roman" w:hAnsi="Times New Roman" w:cs="Times New Roman"/>
        </w:rPr>
        <w:t>Operations” (</w:t>
      </w:r>
      <w:r w:rsidRPr="00234613" w:rsidR="00234613">
        <w:rPr>
          <w:rFonts w:ascii="Times New Roman" w:hAnsi="Times New Roman" w:cs="Times New Roman"/>
        </w:rPr>
        <w:fldChar w:fldCharType="begin"/>
      </w:r>
      <w:r w:rsidRPr="00234613" w:rsidR="00234613">
        <w:rPr>
          <w:rFonts w:ascii="Times New Roman" w:hAnsi="Times New Roman" w:cs="Times New Roman"/>
        </w:rPr>
        <w:instrText xml:space="preserve"> REF _Ref90050984 \h </w:instrText>
      </w:r>
      <w:r w:rsidR="00234613">
        <w:rPr>
          <w:rFonts w:ascii="Times New Roman" w:hAnsi="Times New Roman" w:cs="Times New Roman"/>
        </w:rPr>
        <w:instrText xml:space="preserve"> \* MERGEFORMAT </w:instrText>
      </w:r>
      <w:r w:rsidRPr="00234613" w:rsidR="00234613">
        <w:rPr>
          <w:rFonts w:ascii="Times New Roman" w:hAnsi="Times New Roman" w:cs="Times New Roman"/>
        </w:rPr>
        <w:fldChar w:fldCharType="separate"/>
      </w:r>
      <w:r w:rsidRPr="00FB6D94" w:rsidR="00FB6D94">
        <w:rPr>
          <w:rFonts w:ascii="Times New Roman" w:hAnsi="Times New Roman" w:cs="Times New Roman"/>
        </w:rPr>
        <w:t xml:space="preserve">Ref. </w:t>
      </w:r>
      <w:r w:rsidRPr="00FB6D94" w:rsidR="00FB6D94">
        <w:rPr>
          <w:rFonts w:ascii="Times New Roman" w:hAnsi="Times New Roman" w:cs="Times New Roman"/>
          <w:noProof/>
        </w:rPr>
        <w:t>100</w:t>
      </w:r>
      <w:r w:rsidRPr="00234613" w:rsidR="00234613">
        <w:rPr>
          <w:rFonts w:ascii="Times New Roman" w:hAnsi="Times New Roman" w:cs="Times New Roman"/>
        </w:rPr>
        <w:fldChar w:fldCharType="end"/>
      </w:r>
      <w:r w:rsidRPr="00234613">
        <w:rPr>
          <w:rFonts w:ascii="Times New Roman" w:hAnsi="Times New Roman" w:cs="Times New Roman"/>
        </w:rPr>
        <w:t>),</w:t>
      </w:r>
      <w:r w:rsidRPr="00197800">
        <w:rPr>
          <w:rFonts w:ascii="Times New Roman" w:hAnsi="Times New Roman" w:cs="Times New Roman"/>
        </w:rPr>
        <w:t xml:space="preserve"> and are now presented in a more user-friendly format.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F57" w:rsidRPr="00E63858" w:rsidP="00E63858" w14:paraId="5D0572E4" w14:textId="70D0115D">
    <w:pPr>
      <w:pStyle w:val="Header"/>
      <w:jc w:val="center"/>
      <w:rPr>
        <w:rFonts w:ascii="Times New Roman" w:hAnsi="Times New Roman" w:cs="Times New Roman"/>
        <w:i/>
        <w:sz w:val="24"/>
        <w:szCs w:val="24"/>
      </w:rPr>
    </w:pPr>
    <w:r w:rsidRPr="00E63858">
      <w:rPr>
        <w:rFonts w:ascii="Times New Roman" w:hAnsi="Times New Roman" w:cs="Times New Roman"/>
        <w:i/>
        <w:sz w:val="24"/>
        <w:szCs w:val="24"/>
      </w:rPr>
      <w:t>Contains Nonbinding Recommendations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12A75"/>
    <w:multiLevelType w:val="hybridMultilevel"/>
    <w:tmpl w:val="FD6265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437DF8"/>
    <w:multiLevelType w:val="hybridMultilevel"/>
    <w:tmpl w:val="C95A1F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7172FFB"/>
    <w:multiLevelType w:val="hybridMultilevel"/>
    <w:tmpl w:val="CBC2801A"/>
    <w:lvl w:ilvl="0">
      <w:start w:val="1"/>
      <w:numFmt w:val="lowerLetter"/>
      <w:lvlText w:val="%1."/>
      <w:lvlJc w:val="left"/>
      <w:pPr>
        <w:ind w:left="1710" w:hanging="360"/>
      </w:p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3">
    <w:nsid w:val="0B480B4F"/>
    <w:multiLevelType w:val="hybridMultilevel"/>
    <w:tmpl w:val="73D2B1FA"/>
    <w:lvl w:ilvl="0">
      <w:start w:val="1"/>
      <w:numFmt w:val="lowerLetter"/>
      <w:lvlText w:val="%1."/>
      <w:lvlJc w:val="left"/>
      <w:pPr>
        <w:ind w:left="1440" w:hanging="360"/>
      </w:pPr>
      <w:rPr>
        <w:rFonts w:hint="default"/>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CB36542"/>
    <w:multiLevelType w:val="hybridMultilevel"/>
    <w:tmpl w:val="1AE41AAE"/>
    <w:lvl w:ilvl="0">
      <w:start w:val="1"/>
      <w:numFmt w:val="lowerLetter"/>
      <w:pStyle w:val="HHS508GuidanceOutline4"/>
      <w:lvlText w:val="%1."/>
      <w:lvlJc w:val="left"/>
      <w:pPr>
        <w:ind w:left="1530" w:hanging="360"/>
      </w:pPr>
    </w:lvl>
    <w:lvl w:ilvl="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
    <w:nsid w:val="0FA675D1"/>
    <w:multiLevelType w:val="hybridMultilevel"/>
    <w:tmpl w:val="DD3E2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3332E1B"/>
    <w:multiLevelType w:val="hybridMultilevel"/>
    <w:tmpl w:val="AD985028"/>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17A13184"/>
    <w:multiLevelType w:val="hybridMultilevel"/>
    <w:tmpl w:val="C928A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E6780E"/>
    <w:multiLevelType w:val="hybridMultilevel"/>
    <w:tmpl w:val="AD985028"/>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19B270E4"/>
    <w:multiLevelType w:val="hybridMultilevel"/>
    <w:tmpl w:val="52DEA6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B1B0E04"/>
    <w:multiLevelType w:val="hybridMultilevel"/>
    <w:tmpl w:val="0FF0D8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D4C362A"/>
    <w:multiLevelType w:val="hybridMultilevel"/>
    <w:tmpl w:val="F9EA1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15549F"/>
    <w:multiLevelType w:val="hybridMultilevel"/>
    <w:tmpl w:val="3C58908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200A4C48"/>
    <w:multiLevelType w:val="hybridMultilevel"/>
    <w:tmpl w:val="304AFD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8C5D96"/>
    <w:multiLevelType w:val="hybridMultilevel"/>
    <w:tmpl w:val="13F27B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1851C15"/>
    <w:multiLevelType w:val="hybridMultilevel"/>
    <w:tmpl w:val="AD985028"/>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22206034"/>
    <w:multiLevelType w:val="hybridMultilevel"/>
    <w:tmpl w:val="0658AEE6"/>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23676BB2"/>
    <w:multiLevelType w:val="hybridMultilevel"/>
    <w:tmpl w:val="AFF017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5282D5A"/>
    <w:multiLevelType w:val="hybridMultilevel"/>
    <w:tmpl w:val="15BE987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555702E"/>
    <w:multiLevelType w:val="hybridMultilevel"/>
    <w:tmpl w:val="A29003E0"/>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76B5DB2"/>
    <w:multiLevelType w:val="hybridMultilevel"/>
    <w:tmpl w:val="97BA4F9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2A484ACC"/>
    <w:multiLevelType w:val="hybridMultilevel"/>
    <w:tmpl w:val="657A79BE"/>
    <w:lvl w:ilvl="0">
      <w:start w:val="1"/>
      <w:numFmt w:val="bullet"/>
      <w:lvlText w:val=""/>
      <w:lvlJc w:val="left"/>
      <w:pPr>
        <w:ind w:left="1080" w:hanging="360"/>
      </w:pPr>
      <w:rPr>
        <w:rFonts w:ascii="Symbol" w:hAnsi="Symbol" w:hint="default"/>
        <w:w w:val="100"/>
        <w:sz w:val="23"/>
        <w:szCs w:val="23"/>
        <w:lang w:val="en-US" w:eastAsia="en-US" w:bidi="en-US"/>
      </w:rPr>
    </w:lvl>
    <w:lvl w:ilvl="1">
      <w:start w:val="1"/>
      <w:numFmt w:val="bullet"/>
      <w:lvlText w:val=""/>
      <w:lvlJc w:val="left"/>
      <w:pPr>
        <w:ind w:left="1799" w:hanging="360"/>
      </w:pPr>
      <w:rPr>
        <w:rFonts w:ascii="Symbol" w:hAnsi="Symbol" w:hint="default"/>
        <w:w w:val="100"/>
        <w:sz w:val="23"/>
        <w:szCs w:val="23"/>
        <w:lang w:val="en-US" w:eastAsia="en-US" w:bidi="en-US"/>
      </w:rPr>
    </w:lvl>
    <w:lvl w:ilvl="2">
      <w:start w:val="0"/>
      <w:numFmt w:val="bullet"/>
      <w:lvlText w:val="•"/>
      <w:lvlJc w:val="left"/>
      <w:pPr>
        <w:ind w:left="2748" w:hanging="360"/>
      </w:pPr>
      <w:rPr>
        <w:rFonts w:hint="default"/>
        <w:lang w:val="en-US" w:eastAsia="en-US" w:bidi="en-US"/>
      </w:rPr>
    </w:lvl>
    <w:lvl w:ilvl="3">
      <w:start w:val="0"/>
      <w:numFmt w:val="bullet"/>
      <w:lvlText w:val="•"/>
      <w:lvlJc w:val="left"/>
      <w:pPr>
        <w:ind w:left="3697" w:hanging="360"/>
      </w:pPr>
      <w:rPr>
        <w:rFonts w:hint="default"/>
        <w:lang w:val="en-US" w:eastAsia="en-US" w:bidi="en-US"/>
      </w:rPr>
    </w:lvl>
    <w:lvl w:ilvl="4">
      <w:start w:val="0"/>
      <w:numFmt w:val="bullet"/>
      <w:lvlText w:val="•"/>
      <w:lvlJc w:val="left"/>
      <w:pPr>
        <w:ind w:left="4646" w:hanging="360"/>
      </w:pPr>
      <w:rPr>
        <w:rFonts w:hint="default"/>
        <w:lang w:val="en-US" w:eastAsia="en-US" w:bidi="en-US"/>
      </w:rPr>
    </w:lvl>
    <w:lvl w:ilvl="5">
      <w:start w:val="0"/>
      <w:numFmt w:val="bullet"/>
      <w:lvlText w:val="•"/>
      <w:lvlJc w:val="left"/>
      <w:pPr>
        <w:ind w:left="5595" w:hanging="360"/>
      </w:pPr>
      <w:rPr>
        <w:rFonts w:hint="default"/>
        <w:lang w:val="en-US" w:eastAsia="en-US" w:bidi="en-US"/>
      </w:rPr>
    </w:lvl>
    <w:lvl w:ilvl="6">
      <w:start w:val="0"/>
      <w:numFmt w:val="bullet"/>
      <w:lvlText w:val="•"/>
      <w:lvlJc w:val="left"/>
      <w:pPr>
        <w:ind w:left="6544" w:hanging="360"/>
      </w:pPr>
      <w:rPr>
        <w:rFonts w:hint="default"/>
        <w:lang w:val="en-US" w:eastAsia="en-US" w:bidi="en-US"/>
      </w:rPr>
    </w:lvl>
    <w:lvl w:ilvl="7">
      <w:start w:val="0"/>
      <w:numFmt w:val="bullet"/>
      <w:lvlText w:val="•"/>
      <w:lvlJc w:val="left"/>
      <w:pPr>
        <w:ind w:left="7493" w:hanging="360"/>
      </w:pPr>
      <w:rPr>
        <w:rFonts w:hint="default"/>
        <w:lang w:val="en-US" w:eastAsia="en-US" w:bidi="en-US"/>
      </w:rPr>
    </w:lvl>
    <w:lvl w:ilvl="8">
      <w:start w:val="0"/>
      <w:numFmt w:val="bullet"/>
      <w:lvlText w:val="•"/>
      <w:lvlJc w:val="left"/>
      <w:pPr>
        <w:ind w:left="8442" w:hanging="360"/>
      </w:pPr>
      <w:rPr>
        <w:rFonts w:hint="default"/>
        <w:lang w:val="en-US" w:eastAsia="en-US" w:bidi="en-US"/>
      </w:rPr>
    </w:lvl>
  </w:abstractNum>
  <w:abstractNum w:abstractNumId="22">
    <w:nsid w:val="2FDA69A8"/>
    <w:multiLevelType w:val="hybridMultilevel"/>
    <w:tmpl w:val="28DCFDD6"/>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31D02DF8"/>
    <w:multiLevelType w:val="hybridMultilevel"/>
    <w:tmpl w:val="1AAEEDAC"/>
    <w:lvl w:ilvl="0">
      <w:start w:val="1"/>
      <w:numFmt w:val="upperRoman"/>
      <w:pStyle w:val="HHS508GuidanceOutline1"/>
      <w:lvlText w:val="%1."/>
      <w:lvlJc w:val="right"/>
      <w:pPr>
        <w:ind w:left="360" w:hanging="144"/>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33CC65CC"/>
    <w:multiLevelType w:val="hybridMultilevel"/>
    <w:tmpl w:val="AD985028"/>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34933992"/>
    <w:multiLevelType w:val="hybridMultilevel"/>
    <w:tmpl w:val="B3E260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4DB662A"/>
    <w:multiLevelType w:val="hybridMultilevel"/>
    <w:tmpl w:val="3250A3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5140D4E"/>
    <w:multiLevelType w:val="hybridMultilevel"/>
    <w:tmpl w:val="5B961A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90770B5"/>
    <w:multiLevelType w:val="hybridMultilevel"/>
    <w:tmpl w:val="C51C66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A631DFE"/>
    <w:multiLevelType w:val="hybridMultilevel"/>
    <w:tmpl w:val="AD985028"/>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3B695C1B"/>
    <w:multiLevelType w:val="hybridMultilevel"/>
    <w:tmpl w:val="645A47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FF304FB"/>
    <w:multiLevelType w:val="hybridMultilevel"/>
    <w:tmpl w:val="6E844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0344C8D"/>
    <w:multiLevelType w:val="hybridMultilevel"/>
    <w:tmpl w:val="AD985028"/>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3">
    <w:nsid w:val="43A5521E"/>
    <w:multiLevelType w:val="hybridMultilevel"/>
    <w:tmpl w:val="7062D7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4733F44"/>
    <w:multiLevelType w:val="hybridMultilevel"/>
    <w:tmpl w:val="A658EAC8"/>
    <w:lvl w:ilvl="0">
      <w:start w:val="1"/>
      <w:numFmt w:val="bullet"/>
      <w:lvlText w:val=""/>
      <w:lvlJc w:val="left"/>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4C330EA3"/>
    <w:multiLevelType w:val="hybridMultilevel"/>
    <w:tmpl w:val="779E8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D545C51"/>
    <w:multiLevelType w:val="hybridMultilevel"/>
    <w:tmpl w:val="C31C9D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1461FB9"/>
    <w:multiLevelType w:val="hybridMultilevel"/>
    <w:tmpl w:val="AD985028"/>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8">
    <w:nsid w:val="56152D58"/>
    <w:multiLevelType w:val="hybridMultilevel"/>
    <w:tmpl w:val="AD985028"/>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57F237B6"/>
    <w:multiLevelType w:val="hybridMultilevel"/>
    <w:tmpl w:val="FFFFFFFF"/>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0">
    <w:nsid w:val="5A9C60DD"/>
    <w:multiLevelType w:val="hybridMultilevel"/>
    <w:tmpl w:val="03D07CE8"/>
    <w:lvl w:ilvl="0">
      <w:start w:val="1"/>
      <w:numFmt w:val="bullet"/>
      <w:pStyle w:val="GuidanceBulletLevel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B966454"/>
    <w:multiLevelType w:val="hybridMultilevel"/>
    <w:tmpl w:val="88721E40"/>
    <w:lvl w:ilvl="0">
      <w:start w:val="1"/>
      <w:numFmt w:val="lowerLetter"/>
      <w:lvlText w:val="%1."/>
      <w:lvlJc w:val="left"/>
      <w:pPr>
        <w:ind w:left="1350" w:hanging="360"/>
      </w:pPr>
    </w:lvl>
    <w:lvl w:ilvl="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42">
    <w:nsid w:val="5E5410EE"/>
    <w:multiLevelType w:val="hybridMultilevel"/>
    <w:tmpl w:val="AD985028"/>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5F5D2EF1"/>
    <w:multiLevelType w:val="hybridMultilevel"/>
    <w:tmpl w:val="2FECE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6941829"/>
    <w:multiLevelType w:val="hybridMultilevel"/>
    <w:tmpl w:val="6B52AB4C"/>
    <w:lvl w:ilvl="0">
      <w:start w:val="1"/>
      <w:numFmt w:val="decimal"/>
      <w:pStyle w:val="HHS508GuidanceOutline30"/>
      <w:lvlText w:val="%1."/>
      <w:lvlJc w:val="left"/>
      <w:pPr>
        <w:tabs>
          <w:tab w:val="num" w:pos="720"/>
        </w:tabs>
      </w:pPr>
    </w:lvl>
    <w:lvl w:ilvl="1">
      <w:start w:val="0"/>
      <w:numFmt w:val="decimal"/>
      <w:lvlJc w:val="left"/>
    </w:lvl>
    <w:lvl w:ilvl="2">
      <w:start w:val="0"/>
      <w:numFmt w:val="decimal"/>
      <w:lvlJc w:val="left"/>
    </w:lvl>
    <w:lvl w:ilvl="3">
      <w:start w:val="1"/>
      <w:numFmt w:val="lowerLetter"/>
      <w:lvlText w:val="%4."/>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6A3F3675"/>
    <w:multiLevelType w:val="hybridMultilevel"/>
    <w:tmpl w:val="AD985028"/>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6B237095"/>
    <w:multiLevelType w:val="hybridMultilevel"/>
    <w:tmpl w:val="FD043B9E"/>
    <w:lvl w:ilvl="0">
      <w:start w:val="0"/>
      <w:numFmt w:val="decimal"/>
      <w:lvlJc w:val="left"/>
    </w:lvl>
    <w:lvl w:ilvl="1">
      <w:start w:val="0"/>
      <w:numFmt w:val="decimal"/>
      <w:pStyle w:val="GuidanceBulletLevel2"/>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7">
    <w:nsid w:val="6C0139E5"/>
    <w:multiLevelType w:val="hybridMultilevel"/>
    <w:tmpl w:val="C2525B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CC3493E"/>
    <w:multiLevelType w:val="hybridMultilevel"/>
    <w:tmpl w:val="351E06DC"/>
    <w:lvl w:ilvl="0">
      <w:start w:val="1"/>
      <w:numFmt w:val="lowerRoman"/>
      <w:lvlText w:val="%1."/>
      <w:lvlJc w:val="left"/>
      <w:pPr>
        <w:ind w:left="1440" w:hanging="72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71E51D4B"/>
    <w:multiLevelType w:val="hybridMultilevel"/>
    <w:tmpl w:val="E9FA9F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83905B5"/>
    <w:multiLevelType w:val="hybridMultilevel"/>
    <w:tmpl w:val="BE1CCD86"/>
    <w:lvl w:ilvl="0">
      <w:start w:val="1"/>
      <w:numFmt w:val="upperLetter"/>
      <w:pStyle w:val="HHS508GuidanceOutline2"/>
      <w:lvlText w:val="%1."/>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1">
    <w:nsid w:val="79B6068E"/>
    <w:multiLevelType w:val="hybridMultilevel"/>
    <w:tmpl w:val="327E9DA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B123375"/>
    <w:multiLevelType w:val="hybridMultilevel"/>
    <w:tmpl w:val="A62C8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7B5073B5"/>
    <w:multiLevelType w:val="hybridMultilevel"/>
    <w:tmpl w:val="76842DD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47731370">
    <w:abstractNumId w:val="19"/>
  </w:num>
  <w:num w:numId="2" w16cid:durableId="1522091828">
    <w:abstractNumId w:val="44"/>
  </w:num>
  <w:num w:numId="3" w16cid:durableId="1439837531">
    <w:abstractNumId w:val="21"/>
  </w:num>
  <w:num w:numId="4" w16cid:durableId="1296371219">
    <w:abstractNumId w:val="23"/>
  </w:num>
  <w:num w:numId="5" w16cid:durableId="1816601013">
    <w:abstractNumId w:val="50"/>
  </w:num>
  <w:num w:numId="6" w16cid:durableId="362483278">
    <w:abstractNumId w:val="44"/>
    <w:lvlOverride w:ilvl="0">
      <w:startOverride w:val="1"/>
    </w:lvlOverride>
  </w:num>
  <w:num w:numId="7" w16cid:durableId="1298294954">
    <w:abstractNumId w:val="44"/>
    <w:lvlOverride w:ilvl="0">
      <w:startOverride w:val="1"/>
    </w:lvlOverride>
  </w:num>
  <w:num w:numId="8" w16cid:durableId="1397437074">
    <w:abstractNumId w:val="7"/>
  </w:num>
  <w:num w:numId="9" w16cid:durableId="985745002">
    <w:abstractNumId w:val="36"/>
  </w:num>
  <w:num w:numId="10" w16cid:durableId="356851954">
    <w:abstractNumId w:val="33"/>
  </w:num>
  <w:num w:numId="11" w16cid:durableId="567886894">
    <w:abstractNumId w:val="23"/>
  </w:num>
  <w:num w:numId="12" w16cid:durableId="1816676196">
    <w:abstractNumId w:val="20"/>
  </w:num>
  <w:num w:numId="13" w16cid:durableId="1877429283">
    <w:abstractNumId w:val="18"/>
  </w:num>
  <w:num w:numId="14" w16cid:durableId="1063680419">
    <w:abstractNumId w:val="44"/>
    <w:lvlOverride w:ilvl="0">
      <w:startOverride w:val="1"/>
    </w:lvlOverride>
  </w:num>
  <w:num w:numId="15" w16cid:durableId="697773998">
    <w:abstractNumId w:val="12"/>
  </w:num>
  <w:num w:numId="16" w16cid:durableId="2144998006">
    <w:abstractNumId w:val="9"/>
  </w:num>
  <w:num w:numId="17" w16cid:durableId="2048411915">
    <w:abstractNumId w:val="0"/>
  </w:num>
  <w:num w:numId="18" w16cid:durableId="1016806940">
    <w:abstractNumId w:val="46"/>
  </w:num>
  <w:num w:numId="19" w16cid:durableId="1713117832">
    <w:abstractNumId w:val="44"/>
    <w:lvlOverride w:ilvl="0">
      <w:startOverride w:val="1"/>
    </w:lvlOverride>
  </w:num>
  <w:num w:numId="20" w16cid:durableId="1065302354">
    <w:abstractNumId w:val="44"/>
    <w:lvlOverride w:ilvl="0">
      <w:startOverride w:val="1"/>
    </w:lvlOverride>
  </w:num>
  <w:num w:numId="21" w16cid:durableId="585847921">
    <w:abstractNumId w:val="5"/>
  </w:num>
  <w:num w:numId="22" w16cid:durableId="1718318246">
    <w:abstractNumId w:val="39"/>
  </w:num>
  <w:num w:numId="23" w16cid:durableId="1000354994">
    <w:abstractNumId w:val="50"/>
    <w:lvlOverride w:ilvl="0">
      <w:startOverride w:val="1"/>
    </w:lvlOverride>
  </w:num>
  <w:num w:numId="24" w16cid:durableId="423457172">
    <w:abstractNumId w:val="34"/>
  </w:num>
  <w:num w:numId="25" w16cid:durableId="1773739170">
    <w:abstractNumId w:val="16"/>
  </w:num>
  <w:num w:numId="26" w16cid:durableId="290861205">
    <w:abstractNumId w:val="22"/>
  </w:num>
  <w:num w:numId="27" w16cid:durableId="111554656">
    <w:abstractNumId w:val="50"/>
    <w:lvlOverride w:ilvl="0">
      <w:startOverride w:val="1"/>
    </w:lvlOverride>
  </w:num>
  <w:num w:numId="28" w16cid:durableId="1111049428">
    <w:abstractNumId w:val="50"/>
    <w:lvlOverride w:ilvl="0">
      <w:startOverride w:val="1"/>
    </w:lvlOverride>
  </w:num>
  <w:num w:numId="29" w16cid:durableId="656954358">
    <w:abstractNumId w:val="50"/>
    <w:lvlOverride w:ilvl="0">
      <w:startOverride w:val="1"/>
    </w:lvlOverride>
  </w:num>
  <w:num w:numId="30" w16cid:durableId="1973366283">
    <w:abstractNumId w:val="50"/>
    <w:lvlOverride w:ilvl="0">
      <w:startOverride w:val="1"/>
    </w:lvlOverride>
  </w:num>
  <w:num w:numId="31" w16cid:durableId="31267919">
    <w:abstractNumId w:val="13"/>
  </w:num>
  <w:num w:numId="32" w16cid:durableId="1976568303">
    <w:abstractNumId w:val="52"/>
  </w:num>
  <w:num w:numId="33" w16cid:durableId="2062628373">
    <w:abstractNumId w:val="4"/>
  </w:num>
  <w:num w:numId="34" w16cid:durableId="1037967069">
    <w:abstractNumId w:val="4"/>
    <w:lvlOverride w:ilvl="0">
      <w:startOverride w:val="1"/>
    </w:lvlOverride>
  </w:num>
  <w:num w:numId="35" w16cid:durableId="1238252069">
    <w:abstractNumId w:val="31"/>
  </w:num>
  <w:num w:numId="36" w16cid:durableId="610624636">
    <w:abstractNumId w:val="4"/>
    <w:lvlOverride w:ilvl="0">
      <w:startOverride w:val="1"/>
    </w:lvlOverride>
  </w:num>
  <w:num w:numId="37" w16cid:durableId="1904216617">
    <w:abstractNumId w:val="43"/>
  </w:num>
  <w:num w:numId="38" w16cid:durableId="2129883828">
    <w:abstractNumId w:val="27"/>
  </w:num>
  <w:num w:numId="39" w16cid:durableId="80760378">
    <w:abstractNumId w:val="4"/>
    <w:lvlOverride w:ilvl="0">
      <w:startOverride w:val="1"/>
    </w:lvlOverride>
  </w:num>
  <w:num w:numId="40" w16cid:durableId="423041803">
    <w:abstractNumId w:val="28"/>
  </w:num>
  <w:num w:numId="41" w16cid:durableId="374626778">
    <w:abstractNumId w:val="4"/>
    <w:lvlOverride w:ilvl="0">
      <w:startOverride w:val="1"/>
    </w:lvlOverride>
  </w:num>
  <w:num w:numId="42" w16cid:durableId="946422286">
    <w:abstractNumId w:val="35"/>
  </w:num>
  <w:num w:numId="43" w16cid:durableId="1876842568">
    <w:abstractNumId w:val="30"/>
  </w:num>
  <w:num w:numId="44" w16cid:durableId="453869439">
    <w:abstractNumId w:val="1"/>
  </w:num>
  <w:num w:numId="45" w16cid:durableId="1323854385">
    <w:abstractNumId w:val="17"/>
  </w:num>
  <w:num w:numId="46" w16cid:durableId="1620185377">
    <w:abstractNumId w:val="47"/>
  </w:num>
  <w:num w:numId="47" w16cid:durableId="1139155699">
    <w:abstractNumId w:val="26"/>
  </w:num>
  <w:num w:numId="48" w16cid:durableId="1212886141">
    <w:abstractNumId w:val="14"/>
  </w:num>
  <w:num w:numId="49" w16cid:durableId="1143961569">
    <w:abstractNumId w:val="49"/>
  </w:num>
  <w:num w:numId="50" w16cid:durableId="1292243316">
    <w:abstractNumId w:val="25"/>
  </w:num>
  <w:num w:numId="51" w16cid:durableId="1726374728">
    <w:abstractNumId w:val="11"/>
  </w:num>
  <w:num w:numId="52" w16cid:durableId="763261924">
    <w:abstractNumId w:val="10"/>
  </w:num>
  <w:num w:numId="53" w16cid:durableId="677773952">
    <w:abstractNumId w:val="44"/>
    <w:lvlOverride w:ilvl="0">
      <w:startOverride w:val="1"/>
    </w:lvlOverride>
  </w:num>
  <w:num w:numId="54" w16cid:durableId="896670929">
    <w:abstractNumId w:val="3"/>
  </w:num>
  <w:num w:numId="55" w16cid:durableId="2123835422">
    <w:abstractNumId w:val="3"/>
    <w:lvlOverride w:ilvl="0">
      <w:startOverride w:val="1"/>
    </w:lvlOverride>
  </w:num>
  <w:num w:numId="56" w16cid:durableId="924849365">
    <w:abstractNumId w:val="3"/>
    <w:lvlOverride w:ilvl="0">
      <w:startOverride w:val="1"/>
    </w:lvlOverride>
  </w:num>
  <w:num w:numId="57" w16cid:durableId="2064791220">
    <w:abstractNumId w:val="3"/>
    <w:lvlOverride w:ilvl="0">
      <w:startOverride w:val="1"/>
    </w:lvlOverride>
  </w:num>
  <w:num w:numId="58" w16cid:durableId="1580796948">
    <w:abstractNumId w:val="53"/>
  </w:num>
  <w:num w:numId="59" w16cid:durableId="573929157">
    <w:abstractNumId w:val="44"/>
    <w:lvlOverride w:ilvl="0">
      <w:startOverride w:val="1"/>
    </w:lvlOverride>
  </w:num>
  <w:num w:numId="60" w16cid:durableId="1050609933">
    <w:abstractNumId w:val="40"/>
  </w:num>
  <w:num w:numId="61" w16cid:durableId="1898513310">
    <w:abstractNumId w:val="2"/>
  </w:num>
  <w:num w:numId="62" w16cid:durableId="1756781402">
    <w:abstractNumId w:val="51"/>
  </w:num>
  <w:num w:numId="63" w16cid:durableId="277495517">
    <w:abstractNumId w:val="48"/>
  </w:num>
  <w:num w:numId="64" w16cid:durableId="1259096696">
    <w:abstractNumId w:val="29"/>
  </w:num>
  <w:num w:numId="65" w16cid:durableId="1380089514">
    <w:abstractNumId w:val="37"/>
  </w:num>
  <w:num w:numId="66" w16cid:durableId="735861779">
    <w:abstractNumId w:val="8"/>
  </w:num>
  <w:num w:numId="67" w16cid:durableId="1643535716">
    <w:abstractNumId w:val="24"/>
  </w:num>
  <w:num w:numId="68" w16cid:durableId="2038002619">
    <w:abstractNumId w:val="15"/>
  </w:num>
  <w:num w:numId="69" w16cid:durableId="804739595">
    <w:abstractNumId w:val="32"/>
  </w:num>
  <w:num w:numId="70" w16cid:durableId="1636526370">
    <w:abstractNumId w:val="6"/>
  </w:num>
  <w:num w:numId="71" w16cid:durableId="2139567881">
    <w:abstractNumId w:val="38"/>
  </w:num>
  <w:num w:numId="72" w16cid:durableId="510412815">
    <w:abstractNumId w:val="45"/>
  </w:num>
  <w:num w:numId="73" w16cid:durableId="1580826111">
    <w:abstractNumId w:val="42"/>
  </w:num>
  <w:num w:numId="74" w16cid:durableId="1863087884">
    <w:abstractNumId w:val="4"/>
  </w:num>
  <w:num w:numId="75" w16cid:durableId="1475878661">
    <w:abstractNumId w:val="4"/>
    <w:lvlOverride w:ilvl="0">
      <w:startOverride w:val="1"/>
    </w:lvlOverride>
  </w:num>
  <w:num w:numId="76" w16cid:durableId="1922640767">
    <w:abstractNumId w:val="4"/>
  </w:num>
  <w:num w:numId="77" w16cid:durableId="2061712072">
    <w:abstractNumId w:val="4"/>
  </w:num>
  <w:num w:numId="78" w16cid:durableId="245000657">
    <w:abstractNumId w:val="4"/>
  </w:num>
  <w:num w:numId="79" w16cid:durableId="1594901863">
    <w:abstractNumId w:val="4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F8"/>
    <w:rsid w:val="00000556"/>
    <w:rsid w:val="000005F9"/>
    <w:rsid w:val="00000846"/>
    <w:rsid w:val="000008F2"/>
    <w:rsid w:val="000009F0"/>
    <w:rsid w:val="00000A6C"/>
    <w:rsid w:val="00000DE8"/>
    <w:rsid w:val="0000108F"/>
    <w:rsid w:val="0000149D"/>
    <w:rsid w:val="000016E4"/>
    <w:rsid w:val="00001876"/>
    <w:rsid w:val="00001990"/>
    <w:rsid w:val="00001CD6"/>
    <w:rsid w:val="00001DFF"/>
    <w:rsid w:val="000021F2"/>
    <w:rsid w:val="00002637"/>
    <w:rsid w:val="0000267F"/>
    <w:rsid w:val="00002785"/>
    <w:rsid w:val="000028E7"/>
    <w:rsid w:val="0000292B"/>
    <w:rsid w:val="00002E21"/>
    <w:rsid w:val="00002F46"/>
    <w:rsid w:val="00003002"/>
    <w:rsid w:val="0000301C"/>
    <w:rsid w:val="0000336E"/>
    <w:rsid w:val="00003798"/>
    <w:rsid w:val="000037B4"/>
    <w:rsid w:val="00003B94"/>
    <w:rsid w:val="000041C5"/>
    <w:rsid w:val="00004435"/>
    <w:rsid w:val="00004772"/>
    <w:rsid w:val="00004A1F"/>
    <w:rsid w:val="00004B24"/>
    <w:rsid w:val="00004B51"/>
    <w:rsid w:val="00005C0E"/>
    <w:rsid w:val="00005CE1"/>
    <w:rsid w:val="00006856"/>
    <w:rsid w:val="0000696D"/>
    <w:rsid w:val="00007303"/>
    <w:rsid w:val="00007598"/>
    <w:rsid w:val="00007B06"/>
    <w:rsid w:val="00007BF4"/>
    <w:rsid w:val="00007D52"/>
    <w:rsid w:val="00007FA0"/>
    <w:rsid w:val="0001115D"/>
    <w:rsid w:val="0001174B"/>
    <w:rsid w:val="000119C2"/>
    <w:rsid w:val="000119F3"/>
    <w:rsid w:val="00011B01"/>
    <w:rsid w:val="00011CED"/>
    <w:rsid w:val="00011D8B"/>
    <w:rsid w:val="0001232C"/>
    <w:rsid w:val="00012363"/>
    <w:rsid w:val="00012678"/>
    <w:rsid w:val="0001314C"/>
    <w:rsid w:val="00013577"/>
    <w:rsid w:val="000139AE"/>
    <w:rsid w:val="00013A6C"/>
    <w:rsid w:val="00013E26"/>
    <w:rsid w:val="000142FF"/>
    <w:rsid w:val="00014593"/>
    <w:rsid w:val="0001470B"/>
    <w:rsid w:val="00014ABB"/>
    <w:rsid w:val="00014BC7"/>
    <w:rsid w:val="00015376"/>
    <w:rsid w:val="00015457"/>
    <w:rsid w:val="000157E4"/>
    <w:rsid w:val="0001580E"/>
    <w:rsid w:val="00015986"/>
    <w:rsid w:val="00015A68"/>
    <w:rsid w:val="00015B83"/>
    <w:rsid w:val="00015C7A"/>
    <w:rsid w:val="00015FA3"/>
    <w:rsid w:val="0001608A"/>
    <w:rsid w:val="000161E9"/>
    <w:rsid w:val="00016477"/>
    <w:rsid w:val="00016748"/>
    <w:rsid w:val="00016770"/>
    <w:rsid w:val="00017047"/>
    <w:rsid w:val="0001709F"/>
    <w:rsid w:val="00017547"/>
    <w:rsid w:val="000176A3"/>
    <w:rsid w:val="0001790C"/>
    <w:rsid w:val="00017B09"/>
    <w:rsid w:val="00020330"/>
    <w:rsid w:val="000204FE"/>
    <w:rsid w:val="0002063B"/>
    <w:rsid w:val="000207F5"/>
    <w:rsid w:val="00020892"/>
    <w:rsid w:val="00020953"/>
    <w:rsid w:val="00020B5A"/>
    <w:rsid w:val="00020D73"/>
    <w:rsid w:val="00021139"/>
    <w:rsid w:val="00021203"/>
    <w:rsid w:val="00021B4D"/>
    <w:rsid w:val="00021C5E"/>
    <w:rsid w:val="00022055"/>
    <w:rsid w:val="00022072"/>
    <w:rsid w:val="00022113"/>
    <w:rsid w:val="0002229F"/>
    <w:rsid w:val="000224B0"/>
    <w:rsid w:val="000225F0"/>
    <w:rsid w:val="000229D4"/>
    <w:rsid w:val="00023003"/>
    <w:rsid w:val="00023036"/>
    <w:rsid w:val="00023100"/>
    <w:rsid w:val="0002333F"/>
    <w:rsid w:val="00024251"/>
    <w:rsid w:val="000245F0"/>
    <w:rsid w:val="00024682"/>
    <w:rsid w:val="000248AA"/>
    <w:rsid w:val="000248BE"/>
    <w:rsid w:val="000249F5"/>
    <w:rsid w:val="00024AB5"/>
    <w:rsid w:val="00024E22"/>
    <w:rsid w:val="00024ED5"/>
    <w:rsid w:val="000251A8"/>
    <w:rsid w:val="000251EA"/>
    <w:rsid w:val="0002550F"/>
    <w:rsid w:val="000258F2"/>
    <w:rsid w:val="000259F4"/>
    <w:rsid w:val="00025AEB"/>
    <w:rsid w:val="00026080"/>
    <w:rsid w:val="00026727"/>
    <w:rsid w:val="000269AD"/>
    <w:rsid w:val="00026CD9"/>
    <w:rsid w:val="00026DB1"/>
    <w:rsid w:val="00027167"/>
    <w:rsid w:val="0002748E"/>
    <w:rsid w:val="00027A5D"/>
    <w:rsid w:val="00027B9F"/>
    <w:rsid w:val="00027BCA"/>
    <w:rsid w:val="00027C28"/>
    <w:rsid w:val="0003003C"/>
    <w:rsid w:val="000303F1"/>
    <w:rsid w:val="000305C1"/>
    <w:rsid w:val="0003081C"/>
    <w:rsid w:val="00030C50"/>
    <w:rsid w:val="00030C6B"/>
    <w:rsid w:val="000310F9"/>
    <w:rsid w:val="000314D9"/>
    <w:rsid w:val="00031599"/>
    <w:rsid w:val="000315A2"/>
    <w:rsid w:val="00031627"/>
    <w:rsid w:val="00031EE2"/>
    <w:rsid w:val="000320F1"/>
    <w:rsid w:val="00032256"/>
    <w:rsid w:val="00032283"/>
    <w:rsid w:val="0003238E"/>
    <w:rsid w:val="0003249B"/>
    <w:rsid w:val="00032549"/>
    <w:rsid w:val="000325B8"/>
    <w:rsid w:val="000328C8"/>
    <w:rsid w:val="000331FD"/>
    <w:rsid w:val="00033227"/>
    <w:rsid w:val="000332AA"/>
    <w:rsid w:val="000333D5"/>
    <w:rsid w:val="00033505"/>
    <w:rsid w:val="00033866"/>
    <w:rsid w:val="00033B13"/>
    <w:rsid w:val="00033F49"/>
    <w:rsid w:val="00033F79"/>
    <w:rsid w:val="00034317"/>
    <w:rsid w:val="000349D5"/>
    <w:rsid w:val="00034C60"/>
    <w:rsid w:val="00034E02"/>
    <w:rsid w:val="00034E41"/>
    <w:rsid w:val="00035492"/>
    <w:rsid w:val="00035A99"/>
    <w:rsid w:val="00035E33"/>
    <w:rsid w:val="00035EAB"/>
    <w:rsid w:val="00035F57"/>
    <w:rsid w:val="00035FE3"/>
    <w:rsid w:val="000364D2"/>
    <w:rsid w:val="0003652E"/>
    <w:rsid w:val="00036F79"/>
    <w:rsid w:val="0003724B"/>
    <w:rsid w:val="0003724D"/>
    <w:rsid w:val="00037813"/>
    <w:rsid w:val="00037A21"/>
    <w:rsid w:val="00037B61"/>
    <w:rsid w:val="00037D16"/>
    <w:rsid w:val="000400E8"/>
    <w:rsid w:val="00040113"/>
    <w:rsid w:val="000401F5"/>
    <w:rsid w:val="00040488"/>
    <w:rsid w:val="00040651"/>
    <w:rsid w:val="00040E61"/>
    <w:rsid w:val="00041293"/>
    <w:rsid w:val="000417A7"/>
    <w:rsid w:val="00041AB8"/>
    <w:rsid w:val="0004202C"/>
    <w:rsid w:val="00042161"/>
    <w:rsid w:val="0004253E"/>
    <w:rsid w:val="000427C1"/>
    <w:rsid w:val="00042A22"/>
    <w:rsid w:val="00042AA6"/>
    <w:rsid w:val="00043292"/>
    <w:rsid w:val="000436EC"/>
    <w:rsid w:val="000438ED"/>
    <w:rsid w:val="000438FF"/>
    <w:rsid w:val="00043A97"/>
    <w:rsid w:val="00043EA1"/>
    <w:rsid w:val="000440AA"/>
    <w:rsid w:val="0004432D"/>
    <w:rsid w:val="00044345"/>
    <w:rsid w:val="000448B3"/>
    <w:rsid w:val="0004541B"/>
    <w:rsid w:val="00045524"/>
    <w:rsid w:val="000457D3"/>
    <w:rsid w:val="00045831"/>
    <w:rsid w:val="00045916"/>
    <w:rsid w:val="00046132"/>
    <w:rsid w:val="000467F4"/>
    <w:rsid w:val="00046827"/>
    <w:rsid w:val="00046965"/>
    <w:rsid w:val="00046C38"/>
    <w:rsid w:val="00046DEC"/>
    <w:rsid w:val="00046FD3"/>
    <w:rsid w:val="00047464"/>
    <w:rsid w:val="000479E4"/>
    <w:rsid w:val="00047A02"/>
    <w:rsid w:val="00047F66"/>
    <w:rsid w:val="000501BE"/>
    <w:rsid w:val="0005044D"/>
    <w:rsid w:val="00050A1D"/>
    <w:rsid w:val="00050AD4"/>
    <w:rsid w:val="00050DA8"/>
    <w:rsid w:val="00050EBC"/>
    <w:rsid w:val="00050F9C"/>
    <w:rsid w:val="00051361"/>
    <w:rsid w:val="00051404"/>
    <w:rsid w:val="0005155C"/>
    <w:rsid w:val="00051695"/>
    <w:rsid w:val="00051B1B"/>
    <w:rsid w:val="00051CBD"/>
    <w:rsid w:val="00051FB4"/>
    <w:rsid w:val="00052079"/>
    <w:rsid w:val="000520A0"/>
    <w:rsid w:val="00052B67"/>
    <w:rsid w:val="000530BE"/>
    <w:rsid w:val="00053112"/>
    <w:rsid w:val="00053819"/>
    <w:rsid w:val="00053C2D"/>
    <w:rsid w:val="0005422E"/>
    <w:rsid w:val="00054401"/>
    <w:rsid w:val="00054687"/>
    <w:rsid w:val="000547B7"/>
    <w:rsid w:val="00054C6B"/>
    <w:rsid w:val="00054EA7"/>
    <w:rsid w:val="0005548F"/>
    <w:rsid w:val="0005550A"/>
    <w:rsid w:val="0005550D"/>
    <w:rsid w:val="000557D6"/>
    <w:rsid w:val="00055820"/>
    <w:rsid w:val="000558A9"/>
    <w:rsid w:val="00055942"/>
    <w:rsid w:val="00055AC1"/>
    <w:rsid w:val="0005633A"/>
    <w:rsid w:val="000563B8"/>
    <w:rsid w:val="0005668C"/>
    <w:rsid w:val="000569DA"/>
    <w:rsid w:val="00057293"/>
    <w:rsid w:val="0005773C"/>
    <w:rsid w:val="00057A4A"/>
    <w:rsid w:val="00057C04"/>
    <w:rsid w:val="00057CDF"/>
    <w:rsid w:val="00057EEE"/>
    <w:rsid w:val="00060443"/>
    <w:rsid w:val="000604EF"/>
    <w:rsid w:val="00060519"/>
    <w:rsid w:val="00060856"/>
    <w:rsid w:val="00060862"/>
    <w:rsid w:val="00060A7E"/>
    <w:rsid w:val="00060AC2"/>
    <w:rsid w:val="00060D3A"/>
    <w:rsid w:val="00060F62"/>
    <w:rsid w:val="0006101A"/>
    <w:rsid w:val="000610FF"/>
    <w:rsid w:val="000612C5"/>
    <w:rsid w:val="00061306"/>
    <w:rsid w:val="0006164C"/>
    <w:rsid w:val="00061A84"/>
    <w:rsid w:val="00061C69"/>
    <w:rsid w:val="00061ECA"/>
    <w:rsid w:val="0006242A"/>
    <w:rsid w:val="000625EC"/>
    <w:rsid w:val="00062B1D"/>
    <w:rsid w:val="00062CCF"/>
    <w:rsid w:val="00063B93"/>
    <w:rsid w:val="00063CA1"/>
    <w:rsid w:val="00063EBC"/>
    <w:rsid w:val="00063FB1"/>
    <w:rsid w:val="00064330"/>
    <w:rsid w:val="000647C0"/>
    <w:rsid w:val="00064977"/>
    <w:rsid w:val="0006497A"/>
    <w:rsid w:val="00064CB1"/>
    <w:rsid w:val="00064D13"/>
    <w:rsid w:val="000657E9"/>
    <w:rsid w:val="00065FFE"/>
    <w:rsid w:val="00066203"/>
    <w:rsid w:val="00066272"/>
    <w:rsid w:val="000664E0"/>
    <w:rsid w:val="00066543"/>
    <w:rsid w:val="00066AD0"/>
    <w:rsid w:val="00067106"/>
    <w:rsid w:val="00067305"/>
    <w:rsid w:val="00067A37"/>
    <w:rsid w:val="0007002C"/>
    <w:rsid w:val="000701FB"/>
    <w:rsid w:val="00070452"/>
    <w:rsid w:val="000710DC"/>
    <w:rsid w:val="00071283"/>
    <w:rsid w:val="000712C0"/>
    <w:rsid w:val="0007177A"/>
    <w:rsid w:val="00071870"/>
    <w:rsid w:val="00071A5A"/>
    <w:rsid w:val="00071AC4"/>
    <w:rsid w:val="00071F90"/>
    <w:rsid w:val="00072132"/>
    <w:rsid w:val="000723AB"/>
    <w:rsid w:val="000723FE"/>
    <w:rsid w:val="00072538"/>
    <w:rsid w:val="00072BAD"/>
    <w:rsid w:val="000731ED"/>
    <w:rsid w:val="0007349A"/>
    <w:rsid w:val="00073588"/>
    <w:rsid w:val="0007387B"/>
    <w:rsid w:val="00073AB1"/>
    <w:rsid w:val="00073E92"/>
    <w:rsid w:val="00073FE9"/>
    <w:rsid w:val="000746ED"/>
    <w:rsid w:val="00074764"/>
    <w:rsid w:val="00074957"/>
    <w:rsid w:val="000749FC"/>
    <w:rsid w:val="00074B04"/>
    <w:rsid w:val="00074C5A"/>
    <w:rsid w:val="00074D4C"/>
    <w:rsid w:val="00074E6C"/>
    <w:rsid w:val="00074F82"/>
    <w:rsid w:val="0007507B"/>
    <w:rsid w:val="0007517B"/>
    <w:rsid w:val="00075543"/>
    <w:rsid w:val="00075555"/>
    <w:rsid w:val="000759A9"/>
    <w:rsid w:val="000759EF"/>
    <w:rsid w:val="00076318"/>
    <w:rsid w:val="0007636A"/>
    <w:rsid w:val="0007655C"/>
    <w:rsid w:val="00076584"/>
    <w:rsid w:val="000765B7"/>
    <w:rsid w:val="0007668E"/>
    <w:rsid w:val="00076A26"/>
    <w:rsid w:val="00076AB5"/>
    <w:rsid w:val="00076EA3"/>
    <w:rsid w:val="00076F7F"/>
    <w:rsid w:val="00076FC6"/>
    <w:rsid w:val="00077751"/>
    <w:rsid w:val="00077763"/>
    <w:rsid w:val="00077B0A"/>
    <w:rsid w:val="00077BB5"/>
    <w:rsid w:val="00080583"/>
    <w:rsid w:val="00080B8D"/>
    <w:rsid w:val="00080BA6"/>
    <w:rsid w:val="00080BF8"/>
    <w:rsid w:val="00080D1E"/>
    <w:rsid w:val="00080EDA"/>
    <w:rsid w:val="000811E4"/>
    <w:rsid w:val="00081304"/>
    <w:rsid w:val="000814FC"/>
    <w:rsid w:val="00081831"/>
    <w:rsid w:val="00081F3F"/>
    <w:rsid w:val="00082077"/>
    <w:rsid w:val="00082203"/>
    <w:rsid w:val="00082311"/>
    <w:rsid w:val="00083371"/>
    <w:rsid w:val="00083943"/>
    <w:rsid w:val="000839EC"/>
    <w:rsid w:val="00083A36"/>
    <w:rsid w:val="00083B5F"/>
    <w:rsid w:val="00083F51"/>
    <w:rsid w:val="00084320"/>
    <w:rsid w:val="000848FE"/>
    <w:rsid w:val="000849EB"/>
    <w:rsid w:val="00085526"/>
    <w:rsid w:val="000857BA"/>
    <w:rsid w:val="00085805"/>
    <w:rsid w:val="00085925"/>
    <w:rsid w:val="00085D17"/>
    <w:rsid w:val="00085D79"/>
    <w:rsid w:val="00085F93"/>
    <w:rsid w:val="000863AD"/>
    <w:rsid w:val="0008670D"/>
    <w:rsid w:val="00086A07"/>
    <w:rsid w:val="00086A7B"/>
    <w:rsid w:val="0008776B"/>
    <w:rsid w:val="000877E3"/>
    <w:rsid w:val="00087D5C"/>
    <w:rsid w:val="00087F8F"/>
    <w:rsid w:val="000900AA"/>
    <w:rsid w:val="00090133"/>
    <w:rsid w:val="00090457"/>
    <w:rsid w:val="00090749"/>
    <w:rsid w:val="000909B0"/>
    <w:rsid w:val="00090C62"/>
    <w:rsid w:val="00090C8A"/>
    <w:rsid w:val="000910DA"/>
    <w:rsid w:val="000910EA"/>
    <w:rsid w:val="00091322"/>
    <w:rsid w:val="000913E2"/>
    <w:rsid w:val="00091726"/>
    <w:rsid w:val="00091759"/>
    <w:rsid w:val="0009183F"/>
    <w:rsid w:val="00091AD2"/>
    <w:rsid w:val="00091AFB"/>
    <w:rsid w:val="00092625"/>
    <w:rsid w:val="00092729"/>
    <w:rsid w:val="00092962"/>
    <w:rsid w:val="00092AB0"/>
    <w:rsid w:val="00092BA9"/>
    <w:rsid w:val="00092CA0"/>
    <w:rsid w:val="00092DBD"/>
    <w:rsid w:val="00092EEE"/>
    <w:rsid w:val="00093142"/>
    <w:rsid w:val="0009317B"/>
    <w:rsid w:val="0009328D"/>
    <w:rsid w:val="0009383E"/>
    <w:rsid w:val="00093B2F"/>
    <w:rsid w:val="00093C05"/>
    <w:rsid w:val="00093C2B"/>
    <w:rsid w:val="00093F5D"/>
    <w:rsid w:val="00094066"/>
    <w:rsid w:val="00094140"/>
    <w:rsid w:val="00094B45"/>
    <w:rsid w:val="00094D0B"/>
    <w:rsid w:val="00094EC2"/>
    <w:rsid w:val="000951F1"/>
    <w:rsid w:val="00095233"/>
    <w:rsid w:val="00095332"/>
    <w:rsid w:val="000954D5"/>
    <w:rsid w:val="000955CC"/>
    <w:rsid w:val="000955DD"/>
    <w:rsid w:val="000957C4"/>
    <w:rsid w:val="00095D5F"/>
    <w:rsid w:val="00095E70"/>
    <w:rsid w:val="00096544"/>
    <w:rsid w:val="00096B35"/>
    <w:rsid w:val="00096C5C"/>
    <w:rsid w:val="00096C8E"/>
    <w:rsid w:val="00096D90"/>
    <w:rsid w:val="00096DB6"/>
    <w:rsid w:val="00096DC3"/>
    <w:rsid w:val="000970CA"/>
    <w:rsid w:val="000970D5"/>
    <w:rsid w:val="000975A1"/>
    <w:rsid w:val="0009798B"/>
    <w:rsid w:val="000979A4"/>
    <w:rsid w:val="00097BC9"/>
    <w:rsid w:val="00097C0E"/>
    <w:rsid w:val="000A021D"/>
    <w:rsid w:val="000A0240"/>
    <w:rsid w:val="000A041A"/>
    <w:rsid w:val="000A04C5"/>
    <w:rsid w:val="000A0913"/>
    <w:rsid w:val="000A0E81"/>
    <w:rsid w:val="000A1170"/>
    <w:rsid w:val="000A142F"/>
    <w:rsid w:val="000A15DA"/>
    <w:rsid w:val="000A15ED"/>
    <w:rsid w:val="000A1833"/>
    <w:rsid w:val="000A18BE"/>
    <w:rsid w:val="000A1B7D"/>
    <w:rsid w:val="000A1EF5"/>
    <w:rsid w:val="000A202C"/>
    <w:rsid w:val="000A2250"/>
    <w:rsid w:val="000A2B09"/>
    <w:rsid w:val="000A2B4C"/>
    <w:rsid w:val="000A2CD4"/>
    <w:rsid w:val="000A2DDC"/>
    <w:rsid w:val="000A2ED9"/>
    <w:rsid w:val="000A2F9E"/>
    <w:rsid w:val="000A339A"/>
    <w:rsid w:val="000A34C8"/>
    <w:rsid w:val="000A372E"/>
    <w:rsid w:val="000A3747"/>
    <w:rsid w:val="000A3842"/>
    <w:rsid w:val="000A3875"/>
    <w:rsid w:val="000A48FD"/>
    <w:rsid w:val="000A4D3E"/>
    <w:rsid w:val="000A4DD9"/>
    <w:rsid w:val="000A4ECF"/>
    <w:rsid w:val="000A5657"/>
    <w:rsid w:val="000A5926"/>
    <w:rsid w:val="000A599E"/>
    <w:rsid w:val="000A5BD6"/>
    <w:rsid w:val="000A5C0E"/>
    <w:rsid w:val="000A5DEA"/>
    <w:rsid w:val="000A5E6B"/>
    <w:rsid w:val="000A6041"/>
    <w:rsid w:val="000A63D1"/>
    <w:rsid w:val="000A644B"/>
    <w:rsid w:val="000A6516"/>
    <w:rsid w:val="000A6884"/>
    <w:rsid w:val="000A6A1B"/>
    <w:rsid w:val="000A6A30"/>
    <w:rsid w:val="000A6E92"/>
    <w:rsid w:val="000A6EDF"/>
    <w:rsid w:val="000A763C"/>
    <w:rsid w:val="000A77B1"/>
    <w:rsid w:val="000A780E"/>
    <w:rsid w:val="000A78D9"/>
    <w:rsid w:val="000A7E07"/>
    <w:rsid w:val="000A7EEB"/>
    <w:rsid w:val="000A7FBA"/>
    <w:rsid w:val="000B0531"/>
    <w:rsid w:val="000B0872"/>
    <w:rsid w:val="000B0D00"/>
    <w:rsid w:val="000B0D59"/>
    <w:rsid w:val="000B260F"/>
    <w:rsid w:val="000B30D0"/>
    <w:rsid w:val="000B3215"/>
    <w:rsid w:val="000B34A4"/>
    <w:rsid w:val="000B3509"/>
    <w:rsid w:val="000B3667"/>
    <w:rsid w:val="000B3D82"/>
    <w:rsid w:val="000B3E41"/>
    <w:rsid w:val="000B41FD"/>
    <w:rsid w:val="000B42A3"/>
    <w:rsid w:val="000B4464"/>
    <w:rsid w:val="000B468D"/>
    <w:rsid w:val="000B5057"/>
    <w:rsid w:val="000B50FC"/>
    <w:rsid w:val="000B54A5"/>
    <w:rsid w:val="000B55BA"/>
    <w:rsid w:val="000B56B7"/>
    <w:rsid w:val="000B5710"/>
    <w:rsid w:val="000B593A"/>
    <w:rsid w:val="000B5B32"/>
    <w:rsid w:val="000B5B8D"/>
    <w:rsid w:val="000B613C"/>
    <w:rsid w:val="000B620E"/>
    <w:rsid w:val="000B65A7"/>
    <w:rsid w:val="000B6D5B"/>
    <w:rsid w:val="000B6D63"/>
    <w:rsid w:val="000B6D72"/>
    <w:rsid w:val="000B6EDC"/>
    <w:rsid w:val="000B7214"/>
    <w:rsid w:val="000B77D8"/>
    <w:rsid w:val="000B7A71"/>
    <w:rsid w:val="000B7BB0"/>
    <w:rsid w:val="000B7BB7"/>
    <w:rsid w:val="000B7C02"/>
    <w:rsid w:val="000B7C27"/>
    <w:rsid w:val="000B7CC8"/>
    <w:rsid w:val="000B7E16"/>
    <w:rsid w:val="000C02F8"/>
    <w:rsid w:val="000C048E"/>
    <w:rsid w:val="000C0609"/>
    <w:rsid w:val="000C0618"/>
    <w:rsid w:val="000C07CA"/>
    <w:rsid w:val="000C0ABB"/>
    <w:rsid w:val="000C0CCA"/>
    <w:rsid w:val="000C0D1A"/>
    <w:rsid w:val="000C0E24"/>
    <w:rsid w:val="000C1185"/>
    <w:rsid w:val="000C12BD"/>
    <w:rsid w:val="000C19FA"/>
    <w:rsid w:val="000C1A68"/>
    <w:rsid w:val="000C1C05"/>
    <w:rsid w:val="000C1C10"/>
    <w:rsid w:val="000C1DC8"/>
    <w:rsid w:val="000C1FCE"/>
    <w:rsid w:val="000C1FF9"/>
    <w:rsid w:val="000C2074"/>
    <w:rsid w:val="000C22D2"/>
    <w:rsid w:val="000C2367"/>
    <w:rsid w:val="000C2413"/>
    <w:rsid w:val="000C25C5"/>
    <w:rsid w:val="000C2716"/>
    <w:rsid w:val="000C2745"/>
    <w:rsid w:val="000C301A"/>
    <w:rsid w:val="000C3124"/>
    <w:rsid w:val="000C31E5"/>
    <w:rsid w:val="000C3428"/>
    <w:rsid w:val="000C3652"/>
    <w:rsid w:val="000C38AA"/>
    <w:rsid w:val="000C3BAF"/>
    <w:rsid w:val="000C411F"/>
    <w:rsid w:val="000C46C2"/>
    <w:rsid w:val="000C4734"/>
    <w:rsid w:val="000C4F85"/>
    <w:rsid w:val="000C510B"/>
    <w:rsid w:val="000C5404"/>
    <w:rsid w:val="000C5654"/>
    <w:rsid w:val="000C56CC"/>
    <w:rsid w:val="000C5935"/>
    <w:rsid w:val="000C5CC0"/>
    <w:rsid w:val="000C5D21"/>
    <w:rsid w:val="000C5E23"/>
    <w:rsid w:val="000C5FEF"/>
    <w:rsid w:val="000C609B"/>
    <w:rsid w:val="000C652A"/>
    <w:rsid w:val="000C671C"/>
    <w:rsid w:val="000C6BE4"/>
    <w:rsid w:val="000C6C46"/>
    <w:rsid w:val="000C6FB8"/>
    <w:rsid w:val="000C6FC2"/>
    <w:rsid w:val="000C7197"/>
    <w:rsid w:val="000C7442"/>
    <w:rsid w:val="000C7BC5"/>
    <w:rsid w:val="000D0344"/>
    <w:rsid w:val="000D07AE"/>
    <w:rsid w:val="000D097F"/>
    <w:rsid w:val="000D0A87"/>
    <w:rsid w:val="000D0D32"/>
    <w:rsid w:val="000D1024"/>
    <w:rsid w:val="000D1DC1"/>
    <w:rsid w:val="000D2183"/>
    <w:rsid w:val="000D21E5"/>
    <w:rsid w:val="000D2335"/>
    <w:rsid w:val="000D2418"/>
    <w:rsid w:val="000D25BE"/>
    <w:rsid w:val="000D292A"/>
    <w:rsid w:val="000D2A3E"/>
    <w:rsid w:val="000D3031"/>
    <w:rsid w:val="000D351E"/>
    <w:rsid w:val="000D35CE"/>
    <w:rsid w:val="000D3FE5"/>
    <w:rsid w:val="000D41DF"/>
    <w:rsid w:val="000D4223"/>
    <w:rsid w:val="000D43A2"/>
    <w:rsid w:val="000D4A78"/>
    <w:rsid w:val="000D4C6E"/>
    <w:rsid w:val="000D4E30"/>
    <w:rsid w:val="000D506E"/>
    <w:rsid w:val="000D59A0"/>
    <w:rsid w:val="000D5C98"/>
    <w:rsid w:val="000D5CE1"/>
    <w:rsid w:val="000D5D96"/>
    <w:rsid w:val="000D60E6"/>
    <w:rsid w:val="000D6143"/>
    <w:rsid w:val="000D6320"/>
    <w:rsid w:val="000D6A33"/>
    <w:rsid w:val="000D6A4B"/>
    <w:rsid w:val="000D6D16"/>
    <w:rsid w:val="000D708F"/>
    <w:rsid w:val="000D7A14"/>
    <w:rsid w:val="000D7A96"/>
    <w:rsid w:val="000D7A97"/>
    <w:rsid w:val="000D7C3E"/>
    <w:rsid w:val="000D7F0D"/>
    <w:rsid w:val="000E0393"/>
    <w:rsid w:val="000E03F0"/>
    <w:rsid w:val="000E0416"/>
    <w:rsid w:val="000E060D"/>
    <w:rsid w:val="000E073C"/>
    <w:rsid w:val="000E09B2"/>
    <w:rsid w:val="000E0E7B"/>
    <w:rsid w:val="000E0EAC"/>
    <w:rsid w:val="000E1653"/>
    <w:rsid w:val="000E17C1"/>
    <w:rsid w:val="000E1868"/>
    <w:rsid w:val="000E1A25"/>
    <w:rsid w:val="000E1A8A"/>
    <w:rsid w:val="000E1B81"/>
    <w:rsid w:val="000E1D71"/>
    <w:rsid w:val="000E1F7C"/>
    <w:rsid w:val="000E20F3"/>
    <w:rsid w:val="000E290D"/>
    <w:rsid w:val="000E2BE8"/>
    <w:rsid w:val="000E2D0F"/>
    <w:rsid w:val="000E2DA6"/>
    <w:rsid w:val="000E2F71"/>
    <w:rsid w:val="000E3362"/>
    <w:rsid w:val="000E338B"/>
    <w:rsid w:val="000E3758"/>
    <w:rsid w:val="000E4432"/>
    <w:rsid w:val="000E4935"/>
    <w:rsid w:val="000E4E18"/>
    <w:rsid w:val="000E50CB"/>
    <w:rsid w:val="000E51C4"/>
    <w:rsid w:val="000E55CD"/>
    <w:rsid w:val="000E5AD2"/>
    <w:rsid w:val="000E600B"/>
    <w:rsid w:val="000E61D9"/>
    <w:rsid w:val="000E6553"/>
    <w:rsid w:val="000E6652"/>
    <w:rsid w:val="000E6E24"/>
    <w:rsid w:val="000E7677"/>
    <w:rsid w:val="000E7CB6"/>
    <w:rsid w:val="000F007A"/>
    <w:rsid w:val="000F007F"/>
    <w:rsid w:val="000F0152"/>
    <w:rsid w:val="000F0597"/>
    <w:rsid w:val="000F07E9"/>
    <w:rsid w:val="000F0BCC"/>
    <w:rsid w:val="000F0BCD"/>
    <w:rsid w:val="000F0E44"/>
    <w:rsid w:val="000F1013"/>
    <w:rsid w:val="000F1375"/>
    <w:rsid w:val="000F1479"/>
    <w:rsid w:val="000F1579"/>
    <w:rsid w:val="000F17A7"/>
    <w:rsid w:val="000F19F7"/>
    <w:rsid w:val="000F1A07"/>
    <w:rsid w:val="000F1D9E"/>
    <w:rsid w:val="000F2017"/>
    <w:rsid w:val="000F2580"/>
    <w:rsid w:val="000F26A8"/>
    <w:rsid w:val="000F2917"/>
    <w:rsid w:val="000F29F8"/>
    <w:rsid w:val="000F2C3A"/>
    <w:rsid w:val="000F2E8E"/>
    <w:rsid w:val="000F2F45"/>
    <w:rsid w:val="000F30CD"/>
    <w:rsid w:val="000F3808"/>
    <w:rsid w:val="000F3C11"/>
    <w:rsid w:val="000F3CA7"/>
    <w:rsid w:val="000F3E3A"/>
    <w:rsid w:val="000F3ECA"/>
    <w:rsid w:val="000F42AA"/>
    <w:rsid w:val="000F48F1"/>
    <w:rsid w:val="000F4999"/>
    <w:rsid w:val="000F50D3"/>
    <w:rsid w:val="000F54A9"/>
    <w:rsid w:val="000F57EF"/>
    <w:rsid w:val="000F5A51"/>
    <w:rsid w:val="000F6159"/>
    <w:rsid w:val="000F629C"/>
    <w:rsid w:val="000F6350"/>
    <w:rsid w:val="000F663B"/>
    <w:rsid w:val="000F72D5"/>
    <w:rsid w:val="000F75FB"/>
    <w:rsid w:val="000F767C"/>
    <w:rsid w:val="000F791E"/>
    <w:rsid w:val="000F79AF"/>
    <w:rsid w:val="000F7CEF"/>
    <w:rsid w:val="000F7E71"/>
    <w:rsid w:val="000F7F69"/>
    <w:rsid w:val="000F904A"/>
    <w:rsid w:val="0010018A"/>
    <w:rsid w:val="001004D4"/>
    <w:rsid w:val="0010074B"/>
    <w:rsid w:val="001010E8"/>
    <w:rsid w:val="00101131"/>
    <w:rsid w:val="001011AB"/>
    <w:rsid w:val="001012F0"/>
    <w:rsid w:val="00101327"/>
    <w:rsid w:val="00101594"/>
    <w:rsid w:val="0010174A"/>
    <w:rsid w:val="0010185B"/>
    <w:rsid w:val="00101A34"/>
    <w:rsid w:val="00101AEE"/>
    <w:rsid w:val="00101DC8"/>
    <w:rsid w:val="00101E78"/>
    <w:rsid w:val="00102275"/>
    <w:rsid w:val="001023AB"/>
    <w:rsid w:val="00102693"/>
    <w:rsid w:val="001028FB"/>
    <w:rsid w:val="00102B40"/>
    <w:rsid w:val="00102B56"/>
    <w:rsid w:val="00102CAA"/>
    <w:rsid w:val="0010304D"/>
    <w:rsid w:val="001035C3"/>
    <w:rsid w:val="00103663"/>
    <w:rsid w:val="001036E6"/>
    <w:rsid w:val="001042D4"/>
    <w:rsid w:val="00104396"/>
    <w:rsid w:val="001043CC"/>
    <w:rsid w:val="001043D5"/>
    <w:rsid w:val="0010453E"/>
    <w:rsid w:val="00104A96"/>
    <w:rsid w:val="00104ACB"/>
    <w:rsid w:val="00104EAA"/>
    <w:rsid w:val="001053BF"/>
    <w:rsid w:val="001053CA"/>
    <w:rsid w:val="00105AF4"/>
    <w:rsid w:val="00105D6C"/>
    <w:rsid w:val="00106208"/>
    <w:rsid w:val="001062CD"/>
    <w:rsid w:val="001063CD"/>
    <w:rsid w:val="0010652B"/>
    <w:rsid w:val="001067E7"/>
    <w:rsid w:val="001068D4"/>
    <w:rsid w:val="00106EE2"/>
    <w:rsid w:val="001070EA"/>
    <w:rsid w:val="00107375"/>
    <w:rsid w:val="00107ACB"/>
    <w:rsid w:val="00107BC3"/>
    <w:rsid w:val="0011000D"/>
    <w:rsid w:val="00110333"/>
    <w:rsid w:val="0011049A"/>
    <w:rsid w:val="00110652"/>
    <w:rsid w:val="00110696"/>
    <w:rsid w:val="0011072D"/>
    <w:rsid w:val="001107A7"/>
    <w:rsid w:val="0011088E"/>
    <w:rsid w:val="00110CB4"/>
    <w:rsid w:val="00111003"/>
    <w:rsid w:val="00111535"/>
    <w:rsid w:val="00111A0B"/>
    <w:rsid w:val="00111BD2"/>
    <w:rsid w:val="00111D9E"/>
    <w:rsid w:val="00111E76"/>
    <w:rsid w:val="00112183"/>
    <w:rsid w:val="0011218A"/>
    <w:rsid w:val="001126A5"/>
    <w:rsid w:val="00112F6A"/>
    <w:rsid w:val="0011333B"/>
    <w:rsid w:val="001134DB"/>
    <w:rsid w:val="001134FD"/>
    <w:rsid w:val="00113DF4"/>
    <w:rsid w:val="00113EDB"/>
    <w:rsid w:val="00113F14"/>
    <w:rsid w:val="00114563"/>
    <w:rsid w:val="0011492B"/>
    <w:rsid w:val="00114954"/>
    <w:rsid w:val="00114D43"/>
    <w:rsid w:val="00115136"/>
    <w:rsid w:val="0011551D"/>
    <w:rsid w:val="00115C8A"/>
    <w:rsid w:val="00115DCA"/>
    <w:rsid w:val="00115DD6"/>
    <w:rsid w:val="001169DF"/>
    <w:rsid w:val="00116D92"/>
    <w:rsid w:val="00116DDD"/>
    <w:rsid w:val="00116ED2"/>
    <w:rsid w:val="00117106"/>
    <w:rsid w:val="00117459"/>
    <w:rsid w:val="0011766F"/>
    <w:rsid w:val="001179DB"/>
    <w:rsid w:val="00117BAA"/>
    <w:rsid w:val="00117D50"/>
    <w:rsid w:val="00117F1B"/>
    <w:rsid w:val="00120054"/>
    <w:rsid w:val="00120D29"/>
    <w:rsid w:val="00120E9D"/>
    <w:rsid w:val="0012146C"/>
    <w:rsid w:val="001214EB"/>
    <w:rsid w:val="00121A75"/>
    <w:rsid w:val="00121A85"/>
    <w:rsid w:val="00121E10"/>
    <w:rsid w:val="00121FDA"/>
    <w:rsid w:val="00122638"/>
    <w:rsid w:val="001227E3"/>
    <w:rsid w:val="00122B2C"/>
    <w:rsid w:val="00122CC3"/>
    <w:rsid w:val="00122D52"/>
    <w:rsid w:val="00122D63"/>
    <w:rsid w:val="00123014"/>
    <w:rsid w:val="0012399F"/>
    <w:rsid w:val="00123B44"/>
    <w:rsid w:val="00124CD4"/>
    <w:rsid w:val="00124E12"/>
    <w:rsid w:val="00124EBB"/>
    <w:rsid w:val="00125063"/>
    <w:rsid w:val="0012531D"/>
    <w:rsid w:val="001253F2"/>
    <w:rsid w:val="001255C0"/>
    <w:rsid w:val="001257D2"/>
    <w:rsid w:val="00125A88"/>
    <w:rsid w:val="0012605D"/>
    <w:rsid w:val="00126328"/>
    <w:rsid w:val="00126934"/>
    <w:rsid w:val="00126C5B"/>
    <w:rsid w:val="00126C65"/>
    <w:rsid w:val="00127043"/>
    <w:rsid w:val="001271AA"/>
    <w:rsid w:val="00127555"/>
    <w:rsid w:val="00127CC8"/>
    <w:rsid w:val="00130024"/>
    <w:rsid w:val="00130607"/>
    <w:rsid w:val="0013098C"/>
    <w:rsid w:val="001309EA"/>
    <w:rsid w:val="00130E95"/>
    <w:rsid w:val="00130FF7"/>
    <w:rsid w:val="0013106D"/>
    <w:rsid w:val="0013134D"/>
    <w:rsid w:val="001317D8"/>
    <w:rsid w:val="00131E4F"/>
    <w:rsid w:val="00132510"/>
    <w:rsid w:val="00132861"/>
    <w:rsid w:val="00133104"/>
    <w:rsid w:val="00133466"/>
    <w:rsid w:val="00133515"/>
    <w:rsid w:val="00133E6D"/>
    <w:rsid w:val="0013406E"/>
    <w:rsid w:val="0013422E"/>
    <w:rsid w:val="001342FB"/>
    <w:rsid w:val="00134431"/>
    <w:rsid w:val="00134524"/>
    <w:rsid w:val="0013473D"/>
    <w:rsid w:val="00134A27"/>
    <w:rsid w:val="00134B26"/>
    <w:rsid w:val="00134E45"/>
    <w:rsid w:val="001352D5"/>
    <w:rsid w:val="00135386"/>
    <w:rsid w:val="001353CF"/>
    <w:rsid w:val="00135572"/>
    <w:rsid w:val="001357E3"/>
    <w:rsid w:val="001357F8"/>
    <w:rsid w:val="00135F90"/>
    <w:rsid w:val="001360A3"/>
    <w:rsid w:val="0013642C"/>
    <w:rsid w:val="00136710"/>
    <w:rsid w:val="001368B9"/>
    <w:rsid w:val="00136DFF"/>
    <w:rsid w:val="00136F97"/>
    <w:rsid w:val="00137D8B"/>
    <w:rsid w:val="00140024"/>
    <w:rsid w:val="001402B1"/>
    <w:rsid w:val="00140AB6"/>
    <w:rsid w:val="00140BF3"/>
    <w:rsid w:val="001414F2"/>
    <w:rsid w:val="001417F3"/>
    <w:rsid w:val="00141A82"/>
    <w:rsid w:val="00141C95"/>
    <w:rsid w:val="001422F4"/>
    <w:rsid w:val="001427FA"/>
    <w:rsid w:val="00142917"/>
    <w:rsid w:val="00142B22"/>
    <w:rsid w:val="00142C9B"/>
    <w:rsid w:val="0014363A"/>
    <w:rsid w:val="001438A6"/>
    <w:rsid w:val="00143A5B"/>
    <w:rsid w:val="001440CC"/>
    <w:rsid w:val="00144113"/>
    <w:rsid w:val="0014447C"/>
    <w:rsid w:val="00144893"/>
    <w:rsid w:val="00144A58"/>
    <w:rsid w:val="00144CB6"/>
    <w:rsid w:val="00144CEE"/>
    <w:rsid w:val="00144DFE"/>
    <w:rsid w:val="00145382"/>
    <w:rsid w:val="001453BE"/>
    <w:rsid w:val="001453F1"/>
    <w:rsid w:val="00145F4F"/>
    <w:rsid w:val="001463C0"/>
    <w:rsid w:val="00146404"/>
    <w:rsid w:val="00146621"/>
    <w:rsid w:val="00146789"/>
    <w:rsid w:val="00146A6D"/>
    <w:rsid w:val="00146C75"/>
    <w:rsid w:val="0014710A"/>
    <w:rsid w:val="00147114"/>
    <w:rsid w:val="001471CA"/>
    <w:rsid w:val="001471F2"/>
    <w:rsid w:val="00147902"/>
    <w:rsid w:val="00147A40"/>
    <w:rsid w:val="00147A4E"/>
    <w:rsid w:val="00147A83"/>
    <w:rsid w:val="00147FCB"/>
    <w:rsid w:val="00150115"/>
    <w:rsid w:val="001506D9"/>
    <w:rsid w:val="0015082B"/>
    <w:rsid w:val="00150A30"/>
    <w:rsid w:val="00150D95"/>
    <w:rsid w:val="00150EB2"/>
    <w:rsid w:val="00150EB7"/>
    <w:rsid w:val="001510DC"/>
    <w:rsid w:val="0015157C"/>
    <w:rsid w:val="00151AE0"/>
    <w:rsid w:val="00151BCF"/>
    <w:rsid w:val="00151D39"/>
    <w:rsid w:val="00152007"/>
    <w:rsid w:val="00152647"/>
    <w:rsid w:val="00152658"/>
    <w:rsid w:val="00152E46"/>
    <w:rsid w:val="00152F4A"/>
    <w:rsid w:val="00153024"/>
    <w:rsid w:val="00153329"/>
    <w:rsid w:val="00153BB3"/>
    <w:rsid w:val="00153ECA"/>
    <w:rsid w:val="001541B9"/>
    <w:rsid w:val="0015455D"/>
    <w:rsid w:val="001545AB"/>
    <w:rsid w:val="0015492E"/>
    <w:rsid w:val="00154C8D"/>
    <w:rsid w:val="00154E4D"/>
    <w:rsid w:val="00154F02"/>
    <w:rsid w:val="001551CC"/>
    <w:rsid w:val="00155581"/>
    <w:rsid w:val="0015570A"/>
    <w:rsid w:val="001559B2"/>
    <w:rsid w:val="001560FD"/>
    <w:rsid w:val="001564AF"/>
    <w:rsid w:val="0015657D"/>
    <w:rsid w:val="0015673F"/>
    <w:rsid w:val="0015678A"/>
    <w:rsid w:val="00156882"/>
    <w:rsid w:val="00156B35"/>
    <w:rsid w:val="00156DA5"/>
    <w:rsid w:val="00156E66"/>
    <w:rsid w:val="001570D5"/>
    <w:rsid w:val="001573B6"/>
    <w:rsid w:val="0015766A"/>
    <w:rsid w:val="001576CD"/>
    <w:rsid w:val="00157853"/>
    <w:rsid w:val="0015797E"/>
    <w:rsid w:val="00157B3A"/>
    <w:rsid w:val="00157B3F"/>
    <w:rsid w:val="0016023C"/>
    <w:rsid w:val="00160601"/>
    <w:rsid w:val="00160660"/>
    <w:rsid w:val="00160B3F"/>
    <w:rsid w:val="00160C9B"/>
    <w:rsid w:val="00160EF0"/>
    <w:rsid w:val="00160F89"/>
    <w:rsid w:val="0016111B"/>
    <w:rsid w:val="00161276"/>
    <w:rsid w:val="001612A7"/>
    <w:rsid w:val="0016144F"/>
    <w:rsid w:val="00161474"/>
    <w:rsid w:val="0016151B"/>
    <w:rsid w:val="0016196B"/>
    <w:rsid w:val="00161A43"/>
    <w:rsid w:val="00161F39"/>
    <w:rsid w:val="0016215E"/>
    <w:rsid w:val="001623A5"/>
    <w:rsid w:val="00162662"/>
    <w:rsid w:val="0016269B"/>
    <w:rsid w:val="001626B3"/>
    <w:rsid w:val="00162A85"/>
    <w:rsid w:val="00163139"/>
    <w:rsid w:val="001632DE"/>
    <w:rsid w:val="001633F1"/>
    <w:rsid w:val="0016377E"/>
    <w:rsid w:val="0016390A"/>
    <w:rsid w:val="0016396D"/>
    <w:rsid w:val="00163CC0"/>
    <w:rsid w:val="00164579"/>
    <w:rsid w:val="00164612"/>
    <w:rsid w:val="001646C5"/>
    <w:rsid w:val="0016488C"/>
    <w:rsid w:val="00164A28"/>
    <w:rsid w:val="00164C87"/>
    <w:rsid w:val="00164F6E"/>
    <w:rsid w:val="00164FE9"/>
    <w:rsid w:val="001652CF"/>
    <w:rsid w:val="00165475"/>
    <w:rsid w:val="00165530"/>
    <w:rsid w:val="00165919"/>
    <w:rsid w:val="00165A58"/>
    <w:rsid w:val="00165DE5"/>
    <w:rsid w:val="00165E82"/>
    <w:rsid w:val="0016624B"/>
    <w:rsid w:val="001663DA"/>
    <w:rsid w:val="00166576"/>
    <w:rsid w:val="001666E4"/>
    <w:rsid w:val="001666E9"/>
    <w:rsid w:val="0016674D"/>
    <w:rsid w:val="00166C1C"/>
    <w:rsid w:val="001671BA"/>
    <w:rsid w:val="001671EF"/>
    <w:rsid w:val="001673FD"/>
    <w:rsid w:val="00170331"/>
    <w:rsid w:val="00170A84"/>
    <w:rsid w:val="00170C9D"/>
    <w:rsid w:val="00170E11"/>
    <w:rsid w:val="00171254"/>
    <w:rsid w:val="00171550"/>
    <w:rsid w:val="001718E0"/>
    <w:rsid w:val="00171C63"/>
    <w:rsid w:val="00171E76"/>
    <w:rsid w:val="00172639"/>
    <w:rsid w:val="001728B5"/>
    <w:rsid w:val="00172949"/>
    <w:rsid w:val="001729B9"/>
    <w:rsid w:val="00172CD9"/>
    <w:rsid w:val="00173627"/>
    <w:rsid w:val="00173B2C"/>
    <w:rsid w:val="0017411A"/>
    <w:rsid w:val="00174B26"/>
    <w:rsid w:val="00174D61"/>
    <w:rsid w:val="00174DA9"/>
    <w:rsid w:val="00174DE2"/>
    <w:rsid w:val="00174E8D"/>
    <w:rsid w:val="00174F59"/>
    <w:rsid w:val="00175179"/>
    <w:rsid w:val="00175241"/>
    <w:rsid w:val="00175393"/>
    <w:rsid w:val="0017551A"/>
    <w:rsid w:val="0017554B"/>
    <w:rsid w:val="00175C94"/>
    <w:rsid w:val="00175D11"/>
    <w:rsid w:val="00175D39"/>
    <w:rsid w:val="00175DE7"/>
    <w:rsid w:val="0017618A"/>
    <w:rsid w:val="001764D7"/>
    <w:rsid w:val="00176A5C"/>
    <w:rsid w:val="00176CE1"/>
    <w:rsid w:val="00176DA8"/>
    <w:rsid w:val="00177155"/>
    <w:rsid w:val="001771BA"/>
    <w:rsid w:val="001771FA"/>
    <w:rsid w:val="001772E1"/>
    <w:rsid w:val="00177662"/>
    <w:rsid w:val="00177870"/>
    <w:rsid w:val="0017792C"/>
    <w:rsid w:val="00177A37"/>
    <w:rsid w:val="00177AD0"/>
    <w:rsid w:val="00177C15"/>
    <w:rsid w:val="00177CFB"/>
    <w:rsid w:val="00177D99"/>
    <w:rsid w:val="00177D9A"/>
    <w:rsid w:val="00177DC2"/>
    <w:rsid w:val="00177FB4"/>
    <w:rsid w:val="00180162"/>
    <w:rsid w:val="00180329"/>
    <w:rsid w:val="001807C6"/>
    <w:rsid w:val="0018091B"/>
    <w:rsid w:val="00180BE6"/>
    <w:rsid w:val="001810A8"/>
    <w:rsid w:val="001814AD"/>
    <w:rsid w:val="0018175F"/>
    <w:rsid w:val="00181BB3"/>
    <w:rsid w:val="001820AB"/>
    <w:rsid w:val="00182102"/>
    <w:rsid w:val="00182172"/>
    <w:rsid w:val="001823C6"/>
    <w:rsid w:val="00182442"/>
    <w:rsid w:val="0018282C"/>
    <w:rsid w:val="00182967"/>
    <w:rsid w:val="00182D9F"/>
    <w:rsid w:val="00182F50"/>
    <w:rsid w:val="0018316B"/>
    <w:rsid w:val="0018351A"/>
    <w:rsid w:val="00183814"/>
    <w:rsid w:val="0018427F"/>
    <w:rsid w:val="001843DF"/>
    <w:rsid w:val="001844C8"/>
    <w:rsid w:val="001845DD"/>
    <w:rsid w:val="0018493F"/>
    <w:rsid w:val="00184B61"/>
    <w:rsid w:val="00184B7F"/>
    <w:rsid w:val="00184CBE"/>
    <w:rsid w:val="00184EF3"/>
    <w:rsid w:val="00185635"/>
    <w:rsid w:val="0018596D"/>
    <w:rsid w:val="00185D5C"/>
    <w:rsid w:val="00186096"/>
    <w:rsid w:val="001861D3"/>
    <w:rsid w:val="00186728"/>
    <w:rsid w:val="00186848"/>
    <w:rsid w:val="00186DD0"/>
    <w:rsid w:val="00186DF2"/>
    <w:rsid w:val="00186EB1"/>
    <w:rsid w:val="0018790D"/>
    <w:rsid w:val="00187A63"/>
    <w:rsid w:val="00187B55"/>
    <w:rsid w:val="00190061"/>
    <w:rsid w:val="0019031D"/>
    <w:rsid w:val="00190354"/>
    <w:rsid w:val="00190462"/>
    <w:rsid w:val="00190B75"/>
    <w:rsid w:val="00191348"/>
    <w:rsid w:val="001913DF"/>
    <w:rsid w:val="001914F8"/>
    <w:rsid w:val="00191B13"/>
    <w:rsid w:val="00191D74"/>
    <w:rsid w:val="00191DF8"/>
    <w:rsid w:val="0019204A"/>
    <w:rsid w:val="001923F6"/>
    <w:rsid w:val="001927D6"/>
    <w:rsid w:val="00192907"/>
    <w:rsid w:val="00192B70"/>
    <w:rsid w:val="00192DF2"/>
    <w:rsid w:val="00192E24"/>
    <w:rsid w:val="00192ECB"/>
    <w:rsid w:val="001931A8"/>
    <w:rsid w:val="00193485"/>
    <w:rsid w:val="00193723"/>
    <w:rsid w:val="0019476C"/>
    <w:rsid w:val="00194A45"/>
    <w:rsid w:val="00194BD7"/>
    <w:rsid w:val="00194F55"/>
    <w:rsid w:val="001950FF"/>
    <w:rsid w:val="001953B8"/>
    <w:rsid w:val="001953E2"/>
    <w:rsid w:val="001953E6"/>
    <w:rsid w:val="00195432"/>
    <w:rsid w:val="001954EE"/>
    <w:rsid w:val="00195BC9"/>
    <w:rsid w:val="00196677"/>
    <w:rsid w:val="001968D4"/>
    <w:rsid w:val="00196AE6"/>
    <w:rsid w:val="00196CC3"/>
    <w:rsid w:val="00196CDC"/>
    <w:rsid w:val="00196D96"/>
    <w:rsid w:val="00196E48"/>
    <w:rsid w:val="00196EE9"/>
    <w:rsid w:val="00197159"/>
    <w:rsid w:val="0019758F"/>
    <w:rsid w:val="00197800"/>
    <w:rsid w:val="00197CD9"/>
    <w:rsid w:val="00197EE9"/>
    <w:rsid w:val="001A01E3"/>
    <w:rsid w:val="001A030F"/>
    <w:rsid w:val="001A0510"/>
    <w:rsid w:val="001A058E"/>
    <w:rsid w:val="001A064F"/>
    <w:rsid w:val="001A072E"/>
    <w:rsid w:val="001A10F5"/>
    <w:rsid w:val="001A11A0"/>
    <w:rsid w:val="001A1BCF"/>
    <w:rsid w:val="001A1E9F"/>
    <w:rsid w:val="001A20EF"/>
    <w:rsid w:val="001A21C3"/>
    <w:rsid w:val="001A24F5"/>
    <w:rsid w:val="001A27BC"/>
    <w:rsid w:val="001A287F"/>
    <w:rsid w:val="001A2A2C"/>
    <w:rsid w:val="001A2A59"/>
    <w:rsid w:val="001A2BEE"/>
    <w:rsid w:val="001A2BF0"/>
    <w:rsid w:val="001A3056"/>
    <w:rsid w:val="001A31B0"/>
    <w:rsid w:val="001A3369"/>
    <w:rsid w:val="001A33BA"/>
    <w:rsid w:val="001A33DE"/>
    <w:rsid w:val="001A3A82"/>
    <w:rsid w:val="001A3C7A"/>
    <w:rsid w:val="001A4433"/>
    <w:rsid w:val="001A496C"/>
    <w:rsid w:val="001A4BF9"/>
    <w:rsid w:val="001A4C2B"/>
    <w:rsid w:val="001A4D81"/>
    <w:rsid w:val="001A4EF7"/>
    <w:rsid w:val="001A4FA0"/>
    <w:rsid w:val="001A54F1"/>
    <w:rsid w:val="001A566C"/>
    <w:rsid w:val="001A5772"/>
    <w:rsid w:val="001A6402"/>
    <w:rsid w:val="001A650E"/>
    <w:rsid w:val="001A65C5"/>
    <w:rsid w:val="001A6A09"/>
    <w:rsid w:val="001A6BF2"/>
    <w:rsid w:val="001A70A7"/>
    <w:rsid w:val="001A729E"/>
    <w:rsid w:val="001A7722"/>
    <w:rsid w:val="001A77F0"/>
    <w:rsid w:val="001A77FF"/>
    <w:rsid w:val="001A7BFE"/>
    <w:rsid w:val="001A7CB9"/>
    <w:rsid w:val="001A7CF1"/>
    <w:rsid w:val="001A7D5E"/>
    <w:rsid w:val="001A7DD0"/>
    <w:rsid w:val="001A7F74"/>
    <w:rsid w:val="001A7F9D"/>
    <w:rsid w:val="001B049F"/>
    <w:rsid w:val="001B055E"/>
    <w:rsid w:val="001B0611"/>
    <w:rsid w:val="001B068E"/>
    <w:rsid w:val="001B06B8"/>
    <w:rsid w:val="001B09FB"/>
    <w:rsid w:val="001B0CCF"/>
    <w:rsid w:val="001B1237"/>
    <w:rsid w:val="001B1375"/>
    <w:rsid w:val="001B1636"/>
    <w:rsid w:val="001B1872"/>
    <w:rsid w:val="001B194B"/>
    <w:rsid w:val="001B1E2C"/>
    <w:rsid w:val="001B21C9"/>
    <w:rsid w:val="001B2403"/>
    <w:rsid w:val="001B278D"/>
    <w:rsid w:val="001B27E8"/>
    <w:rsid w:val="001B2B67"/>
    <w:rsid w:val="001B3088"/>
    <w:rsid w:val="001B310A"/>
    <w:rsid w:val="001B36E0"/>
    <w:rsid w:val="001B3D2D"/>
    <w:rsid w:val="001B3E5E"/>
    <w:rsid w:val="001B3FD9"/>
    <w:rsid w:val="001B4107"/>
    <w:rsid w:val="001B4164"/>
    <w:rsid w:val="001B41D2"/>
    <w:rsid w:val="001B43D7"/>
    <w:rsid w:val="001B49F1"/>
    <w:rsid w:val="001B4CB2"/>
    <w:rsid w:val="001B5000"/>
    <w:rsid w:val="001B52F4"/>
    <w:rsid w:val="001B55CF"/>
    <w:rsid w:val="001B5FCF"/>
    <w:rsid w:val="001B61D8"/>
    <w:rsid w:val="001B622B"/>
    <w:rsid w:val="001B6323"/>
    <w:rsid w:val="001B63F3"/>
    <w:rsid w:val="001B6FFF"/>
    <w:rsid w:val="001B7740"/>
    <w:rsid w:val="001B78D4"/>
    <w:rsid w:val="001B7DD3"/>
    <w:rsid w:val="001B7E23"/>
    <w:rsid w:val="001B7FA4"/>
    <w:rsid w:val="001C0FDA"/>
    <w:rsid w:val="001C1214"/>
    <w:rsid w:val="001C139F"/>
    <w:rsid w:val="001C17B2"/>
    <w:rsid w:val="001C1AB4"/>
    <w:rsid w:val="001C1EEB"/>
    <w:rsid w:val="001C23EF"/>
    <w:rsid w:val="001C25C9"/>
    <w:rsid w:val="001C2784"/>
    <w:rsid w:val="001C2904"/>
    <w:rsid w:val="001C29F1"/>
    <w:rsid w:val="001C2B89"/>
    <w:rsid w:val="001C2D87"/>
    <w:rsid w:val="001C3047"/>
    <w:rsid w:val="001C33AB"/>
    <w:rsid w:val="001C3957"/>
    <w:rsid w:val="001C42F5"/>
    <w:rsid w:val="001C4410"/>
    <w:rsid w:val="001C45FF"/>
    <w:rsid w:val="001C4868"/>
    <w:rsid w:val="001C49B6"/>
    <w:rsid w:val="001C4A8D"/>
    <w:rsid w:val="001C4CA2"/>
    <w:rsid w:val="001C51AD"/>
    <w:rsid w:val="001C5825"/>
    <w:rsid w:val="001C59F7"/>
    <w:rsid w:val="001C5ABA"/>
    <w:rsid w:val="001C5D96"/>
    <w:rsid w:val="001C5F2F"/>
    <w:rsid w:val="001C5F5C"/>
    <w:rsid w:val="001C6117"/>
    <w:rsid w:val="001C611F"/>
    <w:rsid w:val="001C63D6"/>
    <w:rsid w:val="001C63F5"/>
    <w:rsid w:val="001C6491"/>
    <w:rsid w:val="001C64D1"/>
    <w:rsid w:val="001C67AC"/>
    <w:rsid w:val="001C6835"/>
    <w:rsid w:val="001C6A96"/>
    <w:rsid w:val="001C6B20"/>
    <w:rsid w:val="001C6D81"/>
    <w:rsid w:val="001C6DF1"/>
    <w:rsid w:val="001C709B"/>
    <w:rsid w:val="001C72EA"/>
    <w:rsid w:val="001C7484"/>
    <w:rsid w:val="001C775B"/>
    <w:rsid w:val="001C7DA5"/>
    <w:rsid w:val="001D016B"/>
    <w:rsid w:val="001D0223"/>
    <w:rsid w:val="001D0241"/>
    <w:rsid w:val="001D0415"/>
    <w:rsid w:val="001D064F"/>
    <w:rsid w:val="001D0AAE"/>
    <w:rsid w:val="001D0AD8"/>
    <w:rsid w:val="001D0C08"/>
    <w:rsid w:val="001D0C71"/>
    <w:rsid w:val="001D0C7F"/>
    <w:rsid w:val="001D0EAE"/>
    <w:rsid w:val="001D114B"/>
    <w:rsid w:val="001D19ED"/>
    <w:rsid w:val="001D1DE5"/>
    <w:rsid w:val="001D1F5E"/>
    <w:rsid w:val="001D2080"/>
    <w:rsid w:val="001D250F"/>
    <w:rsid w:val="001D2775"/>
    <w:rsid w:val="001D293D"/>
    <w:rsid w:val="001D29E5"/>
    <w:rsid w:val="001D331F"/>
    <w:rsid w:val="001D34DE"/>
    <w:rsid w:val="001D36E6"/>
    <w:rsid w:val="001D3986"/>
    <w:rsid w:val="001D39D5"/>
    <w:rsid w:val="001D3BC3"/>
    <w:rsid w:val="001D3E12"/>
    <w:rsid w:val="001D3E73"/>
    <w:rsid w:val="001D3F5F"/>
    <w:rsid w:val="001D400C"/>
    <w:rsid w:val="001D472D"/>
    <w:rsid w:val="001D4757"/>
    <w:rsid w:val="001D493C"/>
    <w:rsid w:val="001D4949"/>
    <w:rsid w:val="001D498B"/>
    <w:rsid w:val="001D49DC"/>
    <w:rsid w:val="001D4C59"/>
    <w:rsid w:val="001D4D79"/>
    <w:rsid w:val="001D4E30"/>
    <w:rsid w:val="001D4F2D"/>
    <w:rsid w:val="001D4FDE"/>
    <w:rsid w:val="001D5C3C"/>
    <w:rsid w:val="001D5CA2"/>
    <w:rsid w:val="001D603B"/>
    <w:rsid w:val="001D649C"/>
    <w:rsid w:val="001D68E7"/>
    <w:rsid w:val="001D6C27"/>
    <w:rsid w:val="001D6CF9"/>
    <w:rsid w:val="001D733E"/>
    <w:rsid w:val="001D739B"/>
    <w:rsid w:val="001D74EB"/>
    <w:rsid w:val="001D7AD3"/>
    <w:rsid w:val="001D7CFC"/>
    <w:rsid w:val="001D7D12"/>
    <w:rsid w:val="001D7ECA"/>
    <w:rsid w:val="001D7F23"/>
    <w:rsid w:val="001E0326"/>
    <w:rsid w:val="001E03BD"/>
    <w:rsid w:val="001E05CA"/>
    <w:rsid w:val="001E0626"/>
    <w:rsid w:val="001E06A1"/>
    <w:rsid w:val="001E0A3D"/>
    <w:rsid w:val="001E0AB4"/>
    <w:rsid w:val="001E0C8D"/>
    <w:rsid w:val="001E0D41"/>
    <w:rsid w:val="001E0EA3"/>
    <w:rsid w:val="001E0FF7"/>
    <w:rsid w:val="001E1970"/>
    <w:rsid w:val="001E1ACD"/>
    <w:rsid w:val="001E1B73"/>
    <w:rsid w:val="001E1B9D"/>
    <w:rsid w:val="001E1BFC"/>
    <w:rsid w:val="001E1C2F"/>
    <w:rsid w:val="001E2007"/>
    <w:rsid w:val="001E23D4"/>
    <w:rsid w:val="001E26C4"/>
    <w:rsid w:val="001E2846"/>
    <w:rsid w:val="001E2C4A"/>
    <w:rsid w:val="001E2DB8"/>
    <w:rsid w:val="001E36C6"/>
    <w:rsid w:val="001E36E0"/>
    <w:rsid w:val="001E3B17"/>
    <w:rsid w:val="001E3BD4"/>
    <w:rsid w:val="001E3C85"/>
    <w:rsid w:val="001E3FE6"/>
    <w:rsid w:val="001E4963"/>
    <w:rsid w:val="001E4999"/>
    <w:rsid w:val="001E4AA8"/>
    <w:rsid w:val="001E4E0D"/>
    <w:rsid w:val="001E511E"/>
    <w:rsid w:val="001E5357"/>
    <w:rsid w:val="001E5937"/>
    <w:rsid w:val="001E5B92"/>
    <w:rsid w:val="001E6159"/>
    <w:rsid w:val="001E667E"/>
    <w:rsid w:val="001E6791"/>
    <w:rsid w:val="001E68C9"/>
    <w:rsid w:val="001E6904"/>
    <w:rsid w:val="001E693D"/>
    <w:rsid w:val="001E6B12"/>
    <w:rsid w:val="001E6B20"/>
    <w:rsid w:val="001E71D0"/>
    <w:rsid w:val="001E7317"/>
    <w:rsid w:val="001E76F8"/>
    <w:rsid w:val="001E79E8"/>
    <w:rsid w:val="001E7AB3"/>
    <w:rsid w:val="001E7BFA"/>
    <w:rsid w:val="001E7DA6"/>
    <w:rsid w:val="001E7EF1"/>
    <w:rsid w:val="001F048E"/>
    <w:rsid w:val="001F049F"/>
    <w:rsid w:val="001F0532"/>
    <w:rsid w:val="001F0536"/>
    <w:rsid w:val="001F076A"/>
    <w:rsid w:val="001F09DA"/>
    <w:rsid w:val="001F0B30"/>
    <w:rsid w:val="001F0B63"/>
    <w:rsid w:val="001F0EAC"/>
    <w:rsid w:val="001F13CB"/>
    <w:rsid w:val="001F1422"/>
    <w:rsid w:val="001F160E"/>
    <w:rsid w:val="001F1A44"/>
    <w:rsid w:val="001F1F8D"/>
    <w:rsid w:val="001F204C"/>
    <w:rsid w:val="001F223C"/>
    <w:rsid w:val="001F22F4"/>
    <w:rsid w:val="001F3630"/>
    <w:rsid w:val="001F395E"/>
    <w:rsid w:val="001F3BA9"/>
    <w:rsid w:val="001F3E41"/>
    <w:rsid w:val="001F4035"/>
    <w:rsid w:val="001F42A0"/>
    <w:rsid w:val="001F468B"/>
    <w:rsid w:val="001F48D7"/>
    <w:rsid w:val="001F48DD"/>
    <w:rsid w:val="001F49FA"/>
    <w:rsid w:val="001F4A43"/>
    <w:rsid w:val="001F4AED"/>
    <w:rsid w:val="001F4B9C"/>
    <w:rsid w:val="001F4D5C"/>
    <w:rsid w:val="001F4E89"/>
    <w:rsid w:val="001F52A9"/>
    <w:rsid w:val="001F5310"/>
    <w:rsid w:val="001F5645"/>
    <w:rsid w:val="001F5698"/>
    <w:rsid w:val="001F5967"/>
    <w:rsid w:val="001F5A8F"/>
    <w:rsid w:val="001F5C19"/>
    <w:rsid w:val="001F5D3C"/>
    <w:rsid w:val="001F6283"/>
    <w:rsid w:val="001F6424"/>
    <w:rsid w:val="001F65FE"/>
    <w:rsid w:val="001F6754"/>
    <w:rsid w:val="001F6D58"/>
    <w:rsid w:val="001F725A"/>
    <w:rsid w:val="001F74B6"/>
    <w:rsid w:val="001F77BB"/>
    <w:rsid w:val="001F7AE7"/>
    <w:rsid w:val="001F7C6D"/>
    <w:rsid w:val="001F7D66"/>
    <w:rsid w:val="001F7E44"/>
    <w:rsid w:val="00200171"/>
    <w:rsid w:val="0020029B"/>
    <w:rsid w:val="002004E7"/>
    <w:rsid w:val="0020084C"/>
    <w:rsid w:val="00200899"/>
    <w:rsid w:val="00200920"/>
    <w:rsid w:val="00200A2E"/>
    <w:rsid w:val="00200F6D"/>
    <w:rsid w:val="002012C5"/>
    <w:rsid w:val="00201324"/>
    <w:rsid w:val="002016E6"/>
    <w:rsid w:val="002017D0"/>
    <w:rsid w:val="00201BA2"/>
    <w:rsid w:val="00201D1F"/>
    <w:rsid w:val="00201E84"/>
    <w:rsid w:val="00201FA5"/>
    <w:rsid w:val="00201FD5"/>
    <w:rsid w:val="0020234E"/>
    <w:rsid w:val="0020257D"/>
    <w:rsid w:val="002026D9"/>
    <w:rsid w:val="002028E2"/>
    <w:rsid w:val="00202E0B"/>
    <w:rsid w:val="00202E15"/>
    <w:rsid w:val="00202E5A"/>
    <w:rsid w:val="002030E3"/>
    <w:rsid w:val="00203644"/>
    <w:rsid w:val="00203A32"/>
    <w:rsid w:val="00203B7D"/>
    <w:rsid w:val="00203CF1"/>
    <w:rsid w:val="00203FB2"/>
    <w:rsid w:val="00204163"/>
    <w:rsid w:val="0020419E"/>
    <w:rsid w:val="0020430D"/>
    <w:rsid w:val="00204350"/>
    <w:rsid w:val="0020459B"/>
    <w:rsid w:val="00204B8B"/>
    <w:rsid w:val="0020505C"/>
    <w:rsid w:val="00205161"/>
    <w:rsid w:val="00205258"/>
    <w:rsid w:val="00205261"/>
    <w:rsid w:val="00205415"/>
    <w:rsid w:val="00205947"/>
    <w:rsid w:val="00205B48"/>
    <w:rsid w:val="0020620D"/>
    <w:rsid w:val="002064BC"/>
    <w:rsid w:val="002068E6"/>
    <w:rsid w:val="002069A4"/>
    <w:rsid w:val="00206B76"/>
    <w:rsid w:val="00206BF0"/>
    <w:rsid w:val="002071A6"/>
    <w:rsid w:val="002071D8"/>
    <w:rsid w:val="002073F6"/>
    <w:rsid w:val="002073F9"/>
    <w:rsid w:val="00207659"/>
    <w:rsid w:val="0020768A"/>
    <w:rsid w:val="00207CAF"/>
    <w:rsid w:val="00207ED2"/>
    <w:rsid w:val="00207F8A"/>
    <w:rsid w:val="00207FA3"/>
    <w:rsid w:val="00207FD5"/>
    <w:rsid w:val="00210CCF"/>
    <w:rsid w:val="00210EAC"/>
    <w:rsid w:val="0021112F"/>
    <w:rsid w:val="002111ED"/>
    <w:rsid w:val="00211359"/>
    <w:rsid w:val="002115E2"/>
    <w:rsid w:val="002116E2"/>
    <w:rsid w:val="00211C63"/>
    <w:rsid w:val="00211F32"/>
    <w:rsid w:val="0021245A"/>
    <w:rsid w:val="0021259D"/>
    <w:rsid w:val="00212836"/>
    <w:rsid w:val="00212BEF"/>
    <w:rsid w:val="00212CFB"/>
    <w:rsid w:val="0021329B"/>
    <w:rsid w:val="00213343"/>
    <w:rsid w:val="00213956"/>
    <w:rsid w:val="00213BFF"/>
    <w:rsid w:val="00213D1B"/>
    <w:rsid w:val="00213D1C"/>
    <w:rsid w:val="00214477"/>
    <w:rsid w:val="00214503"/>
    <w:rsid w:val="0021450D"/>
    <w:rsid w:val="00214735"/>
    <w:rsid w:val="0021495F"/>
    <w:rsid w:val="00214CDF"/>
    <w:rsid w:val="00214F42"/>
    <w:rsid w:val="002152F1"/>
    <w:rsid w:val="00215DB2"/>
    <w:rsid w:val="00215DC5"/>
    <w:rsid w:val="0021606F"/>
    <w:rsid w:val="00216170"/>
    <w:rsid w:val="0021684F"/>
    <w:rsid w:val="00216A3B"/>
    <w:rsid w:val="00216DA0"/>
    <w:rsid w:val="00217100"/>
    <w:rsid w:val="0021767B"/>
    <w:rsid w:val="00217802"/>
    <w:rsid w:val="00220468"/>
    <w:rsid w:val="00220565"/>
    <w:rsid w:val="00220B2E"/>
    <w:rsid w:val="00220BC1"/>
    <w:rsid w:val="002210A5"/>
    <w:rsid w:val="00221193"/>
    <w:rsid w:val="002211B9"/>
    <w:rsid w:val="00221930"/>
    <w:rsid w:val="00221AFB"/>
    <w:rsid w:val="00221FC0"/>
    <w:rsid w:val="0022266C"/>
    <w:rsid w:val="00222680"/>
    <w:rsid w:val="002226D1"/>
    <w:rsid w:val="00222792"/>
    <w:rsid w:val="002228DE"/>
    <w:rsid w:val="00222996"/>
    <w:rsid w:val="00222E38"/>
    <w:rsid w:val="00222F50"/>
    <w:rsid w:val="00223043"/>
    <w:rsid w:val="00223272"/>
    <w:rsid w:val="0022366A"/>
    <w:rsid w:val="002236B4"/>
    <w:rsid w:val="00224072"/>
    <w:rsid w:val="002245D5"/>
    <w:rsid w:val="0022488D"/>
    <w:rsid w:val="00224D2C"/>
    <w:rsid w:val="002251CC"/>
    <w:rsid w:val="002251EE"/>
    <w:rsid w:val="00225421"/>
    <w:rsid w:val="00225954"/>
    <w:rsid w:val="00225FE2"/>
    <w:rsid w:val="00225FE5"/>
    <w:rsid w:val="00226108"/>
    <w:rsid w:val="00226489"/>
    <w:rsid w:val="0022660C"/>
    <w:rsid w:val="002268BB"/>
    <w:rsid w:val="00226F86"/>
    <w:rsid w:val="002270E8"/>
    <w:rsid w:val="002272D0"/>
    <w:rsid w:val="00227332"/>
    <w:rsid w:val="00227787"/>
    <w:rsid w:val="00227850"/>
    <w:rsid w:val="00227975"/>
    <w:rsid w:val="00227BFC"/>
    <w:rsid w:val="00227FB9"/>
    <w:rsid w:val="002301E6"/>
    <w:rsid w:val="002304C3"/>
    <w:rsid w:val="0023068A"/>
    <w:rsid w:val="00230822"/>
    <w:rsid w:val="0023094D"/>
    <w:rsid w:val="00230AC0"/>
    <w:rsid w:val="00230CED"/>
    <w:rsid w:val="00230DB7"/>
    <w:rsid w:val="00230E6D"/>
    <w:rsid w:val="00230FDB"/>
    <w:rsid w:val="00231C4D"/>
    <w:rsid w:val="00231EA6"/>
    <w:rsid w:val="002320FB"/>
    <w:rsid w:val="002325CB"/>
    <w:rsid w:val="0023264D"/>
    <w:rsid w:val="00232A37"/>
    <w:rsid w:val="00232DB7"/>
    <w:rsid w:val="002330F9"/>
    <w:rsid w:val="002331B1"/>
    <w:rsid w:val="0023353B"/>
    <w:rsid w:val="0023386C"/>
    <w:rsid w:val="002338D5"/>
    <w:rsid w:val="00234493"/>
    <w:rsid w:val="00234613"/>
    <w:rsid w:val="002347BA"/>
    <w:rsid w:val="00234A2B"/>
    <w:rsid w:val="00234CA7"/>
    <w:rsid w:val="0023518B"/>
    <w:rsid w:val="00235321"/>
    <w:rsid w:val="002357A5"/>
    <w:rsid w:val="00235803"/>
    <w:rsid w:val="00235A2D"/>
    <w:rsid w:val="00235AD0"/>
    <w:rsid w:val="00235D8B"/>
    <w:rsid w:val="00235E90"/>
    <w:rsid w:val="002360E2"/>
    <w:rsid w:val="002362A8"/>
    <w:rsid w:val="002362D4"/>
    <w:rsid w:val="0023669C"/>
    <w:rsid w:val="00236994"/>
    <w:rsid w:val="00236BEA"/>
    <w:rsid w:val="00236F89"/>
    <w:rsid w:val="002372CE"/>
    <w:rsid w:val="00237571"/>
    <w:rsid w:val="00237596"/>
    <w:rsid w:val="00237894"/>
    <w:rsid w:val="002378AD"/>
    <w:rsid w:val="00237CE0"/>
    <w:rsid w:val="00237D9F"/>
    <w:rsid w:val="00240666"/>
    <w:rsid w:val="00240736"/>
    <w:rsid w:val="00240904"/>
    <w:rsid w:val="00240AD1"/>
    <w:rsid w:val="002410C4"/>
    <w:rsid w:val="00241164"/>
    <w:rsid w:val="00241380"/>
    <w:rsid w:val="002417C0"/>
    <w:rsid w:val="00241EF6"/>
    <w:rsid w:val="00241FCA"/>
    <w:rsid w:val="002422BA"/>
    <w:rsid w:val="002428FC"/>
    <w:rsid w:val="00242AB1"/>
    <w:rsid w:val="002430F8"/>
    <w:rsid w:val="002431D5"/>
    <w:rsid w:val="00243A85"/>
    <w:rsid w:val="00243B90"/>
    <w:rsid w:val="00243BC8"/>
    <w:rsid w:val="00243BDC"/>
    <w:rsid w:val="00243D93"/>
    <w:rsid w:val="00244055"/>
    <w:rsid w:val="00244179"/>
    <w:rsid w:val="0024474C"/>
    <w:rsid w:val="00244F46"/>
    <w:rsid w:val="00245363"/>
    <w:rsid w:val="002454DC"/>
    <w:rsid w:val="002455A2"/>
    <w:rsid w:val="00245716"/>
    <w:rsid w:val="002458FD"/>
    <w:rsid w:val="00245AA1"/>
    <w:rsid w:val="00245C2E"/>
    <w:rsid w:val="00245E02"/>
    <w:rsid w:val="00245E92"/>
    <w:rsid w:val="002460CC"/>
    <w:rsid w:val="00246468"/>
    <w:rsid w:val="002464D1"/>
    <w:rsid w:val="00246579"/>
    <w:rsid w:val="00246636"/>
    <w:rsid w:val="0024665B"/>
    <w:rsid w:val="002466DA"/>
    <w:rsid w:val="00246790"/>
    <w:rsid w:val="002467DC"/>
    <w:rsid w:val="00246869"/>
    <w:rsid w:val="002469D9"/>
    <w:rsid w:val="00246D73"/>
    <w:rsid w:val="00247389"/>
    <w:rsid w:val="0024749F"/>
    <w:rsid w:val="002475BF"/>
    <w:rsid w:val="00247A06"/>
    <w:rsid w:val="00247E62"/>
    <w:rsid w:val="00250079"/>
    <w:rsid w:val="002500F4"/>
    <w:rsid w:val="00250606"/>
    <w:rsid w:val="0025090E"/>
    <w:rsid w:val="00250D7B"/>
    <w:rsid w:val="002512E1"/>
    <w:rsid w:val="0025132E"/>
    <w:rsid w:val="002516D8"/>
    <w:rsid w:val="00252125"/>
    <w:rsid w:val="002523D6"/>
    <w:rsid w:val="0025243A"/>
    <w:rsid w:val="002525C6"/>
    <w:rsid w:val="0025272F"/>
    <w:rsid w:val="00252E00"/>
    <w:rsid w:val="002530AA"/>
    <w:rsid w:val="00253AB3"/>
    <w:rsid w:val="00253DB8"/>
    <w:rsid w:val="00253ECB"/>
    <w:rsid w:val="00253F9C"/>
    <w:rsid w:val="0025475A"/>
    <w:rsid w:val="002550F8"/>
    <w:rsid w:val="0025532A"/>
    <w:rsid w:val="00255551"/>
    <w:rsid w:val="00255A65"/>
    <w:rsid w:val="00255B4A"/>
    <w:rsid w:val="00256073"/>
    <w:rsid w:val="00256455"/>
    <w:rsid w:val="00256460"/>
    <w:rsid w:val="00256D91"/>
    <w:rsid w:val="00256E62"/>
    <w:rsid w:val="00257456"/>
    <w:rsid w:val="00257705"/>
    <w:rsid w:val="00257917"/>
    <w:rsid w:val="00257A3F"/>
    <w:rsid w:val="00257B3E"/>
    <w:rsid w:val="00257CF0"/>
    <w:rsid w:val="00257E21"/>
    <w:rsid w:val="00257FDA"/>
    <w:rsid w:val="00260683"/>
    <w:rsid w:val="00261539"/>
    <w:rsid w:val="002618CA"/>
    <w:rsid w:val="00261CC4"/>
    <w:rsid w:val="00261F9E"/>
    <w:rsid w:val="00262103"/>
    <w:rsid w:val="00262248"/>
    <w:rsid w:val="00262430"/>
    <w:rsid w:val="00262740"/>
    <w:rsid w:val="00262BE2"/>
    <w:rsid w:val="00262C16"/>
    <w:rsid w:val="00262C26"/>
    <w:rsid w:val="00262C9A"/>
    <w:rsid w:val="00262D41"/>
    <w:rsid w:val="00262E45"/>
    <w:rsid w:val="00262E53"/>
    <w:rsid w:val="00263010"/>
    <w:rsid w:val="0026332D"/>
    <w:rsid w:val="00263333"/>
    <w:rsid w:val="00263404"/>
    <w:rsid w:val="00263D3B"/>
    <w:rsid w:val="00263EC0"/>
    <w:rsid w:val="002640A3"/>
    <w:rsid w:val="0026447D"/>
    <w:rsid w:val="00264481"/>
    <w:rsid w:val="0026473E"/>
    <w:rsid w:val="0026474F"/>
    <w:rsid w:val="00264778"/>
    <w:rsid w:val="002649FB"/>
    <w:rsid w:val="002653AB"/>
    <w:rsid w:val="00265581"/>
    <w:rsid w:val="00265979"/>
    <w:rsid w:val="00265B74"/>
    <w:rsid w:val="00265BFE"/>
    <w:rsid w:val="0026600B"/>
    <w:rsid w:val="00266163"/>
    <w:rsid w:val="00266B1C"/>
    <w:rsid w:val="00266D3D"/>
    <w:rsid w:val="0026758C"/>
    <w:rsid w:val="002678FB"/>
    <w:rsid w:val="00267A01"/>
    <w:rsid w:val="00267E8B"/>
    <w:rsid w:val="00267F1D"/>
    <w:rsid w:val="0027002C"/>
    <w:rsid w:val="0027010D"/>
    <w:rsid w:val="00270138"/>
    <w:rsid w:val="00270327"/>
    <w:rsid w:val="00270878"/>
    <w:rsid w:val="00270BFC"/>
    <w:rsid w:val="00270E49"/>
    <w:rsid w:val="002710F3"/>
    <w:rsid w:val="0027128E"/>
    <w:rsid w:val="00271303"/>
    <w:rsid w:val="002714C9"/>
    <w:rsid w:val="00271891"/>
    <w:rsid w:val="00271E68"/>
    <w:rsid w:val="0027228C"/>
    <w:rsid w:val="0027287D"/>
    <w:rsid w:val="00272B41"/>
    <w:rsid w:val="00272C78"/>
    <w:rsid w:val="00272FF8"/>
    <w:rsid w:val="00273096"/>
    <w:rsid w:val="00273194"/>
    <w:rsid w:val="0027352B"/>
    <w:rsid w:val="00273530"/>
    <w:rsid w:val="002737B2"/>
    <w:rsid w:val="0027383C"/>
    <w:rsid w:val="00273842"/>
    <w:rsid w:val="00273B24"/>
    <w:rsid w:val="00273C94"/>
    <w:rsid w:val="00274636"/>
    <w:rsid w:val="00274813"/>
    <w:rsid w:val="002748FF"/>
    <w:rsid w:val="00274C71"/>
    <w:rsid w:val="00274CA1"/>
    <w:rsid w:val="00274DDA"/>
    <w:rsid w:val="00274FFA"/>
    <w:rsid w:val="002751ED"/>
    <w:rsid w:val="00275392"/>
    <w:rsid w:val="00275594"/>
    <w:rsid w:val="00275653"/>
    <w:rsid w:val="002758DE"/>
    <w:rsid w:val="00275C7D"/>
    <w:rsid w:val="00275DBF"/>
    <w:rsid w:val="00275FC0"/>
    <w:rsid w:val="002760E3"/>
    <w:rsid w:val="0027634C"/>
    <w:rsid w:val="0027657F"/>
    <w:rsid w:val="0027668E"/>
    <w:rsid w:val="00276743"/>
    <w:rsid w:val="002768E1"/>
    <w:rsid w:val="00276973"/>
    <w:rsid w:val="00276A7F"/>
    <w:rsid w:val="00276AD1"/>
    <w:rsid w:val="00276BB3"/>
    <w:rsid w:val="0027709B"/>
    <w:rsid w:val="00277269"/>
    <w:rsid w:val="002772D6"/>
    <w:rsid w:val="002773DB"/>
    <w:rsid w:val="0027754B"/>
    <w:rsid w:val="002776BD"/>
    <w:rsid w:val="00277CF5"/>
    <w:rsid w:val="00280302"/>
    <w:rsid w:val="002803A0"/>
    <w:rsid w:val="002804F3"/>
    <w:rsid w:val="00280628"/>
    <w:rsid w:val="00280691"/>
    <w:rsid w:val="00280A93"/>
    <w:rsid w:val="00280BEC"/>
    <w:rsid w:val="00280DC9"/>
    <w:rsid w:val="00280E3F"/>
    <w:rsid w:val="00281538"/>
    <w:rsid w:val="0028157F"/>
    <w:rsid w:val="0028183B"/>
    <w:rsid w:val="0028183C"/>
    <w:rsid w:val="00281A01"/>
    <w:rsid w:val="00281B52"/>
    <w:rsid w:val="00281EA2"/>
    <w:rsid w:val="00281FBA"/>
    <w:rsid w:val="002822D7"/>
    <w:rsid w:val="00282535"/>
    <w:rsid w:val="00282FE0"/>
    <w:rsid w:val="00282FE3"/>
    <w:rsid w:val="00283019"/>
    <w:rsid w:val="002830BA"/>
    <w:rsid w:val="002832E2"/>
    <w:rsid w:val="002832F9"/>
    <w:rsid w:val="00283348"/>
    <w:rsid w:val="00283379"/>
    <w:rsid w:val="00283602"/>
    <w:rsid w:val="00283863"/>
    <w:rsid w:val="00283885"/>
    <w:rsid w:val="00283A5A"/>
    <w:rsid w:val="00283B60"/>
    <w:rsid w:val="00284357"/>
    <w:rsid w:val="0028436E"/>
    <w:rsid w:val="0028447A"/>
    <w:rsid w:val="00284CE9"/>
    <w:rsid w:val="00284ED5"/>
    <w:rsid w:val="00284F0D"/>
    <w:rsid w:val="00284F56"/>
    <w:rsid w:val="0028563D"/>
    <w:rsid w:val="0028565E"/>
    <w:rsid w:val="00285822"/>
    <w:rsid w:val="002859F1"/>
    <w:rsid w:val="00285AA3"/>
    <w:rsid w:val="00285BEE"/>
    <w:rsid w:val="00286184"/>
    <w:rsid w:val="00286259"/>
    <w:rsid w:val="002866D1"/>
    <w:rsid w:val="00286A6D"/>
    <w:rsid w:val="00286BBA"/>
    <w:rsid w:val="00286DBA"/>
    <w:rsid w:val="00287503"/>
    <w:rsid w:val="00287671"/>
    <w:rsid w:val="002879FB"/>
    <w:rsid w:val="002879FD"/>
    <w:rsid w:val="00287EB7"/>
    <w:rsid w:val="00287FAE"/>
    <w:rsid w:val="00290316"/>
    <w:rsid w:val="002903BF"/>
    <w:rsid w:val="002903F8"/>
    <w:rsid w:val="00291307"/>
    <w:rsid w:val="002913A6"/>
    <w:rsid w:val="00291646"/>
    <w:rsid w:val="002916D5"/>
    <w:rsid w:val="002917E4"/>
    <w:rsid w:val="00291C0A"/>
    <w:rsid w:val="00291C2A"/>
    <w:rsid w:val="00291C30"/>
    <w:rsid w:val="002924D2"/>
    <w:rsid w:val="0029269C"/>
    <w:rsid w:val="002926D1"/>
    <w:rsid w:val="00292926"/>
    <w:rsid w:val="00292A8D"/>
    <w:rsid w:val="00292EBC"/>
    <w:rsid w:val="00293160"/>
    <w:rsid w:val="00293246"/>
    <w:rsid w:val="00293914"/>
    <w:rsid w:val="00293D82"/>
    <w:rsid w:val="0029405B"/>
    <w:rsid w:val="00294AC4"/>
    <w:rsid w:val="0029520F"/>
    <w:rsid w:val="002952D3"/>
    <w:rsid w:val="002959BE"/>
    <w:rsid w:val="00295FE2"/>
    <w:rsid w:val="0029639A"/>
    <w:rsid w:val="0029678E"/>
    <w:rsid w:val="00296ADA"/>
    <w:rsid w:val="00296B73"/>
    <w:rsid w:val="00296B90"/>
    <w:rsid w:val="00296C8C"/>
    <w:rsid w:val="00296E22"/>
    <w:rsid w:val="00296E7C"/>
    <w:rsid w:val="002977A6"/>
    <w:rsid w:val="0029797A"/>
    <w:rsid w:val="00297AC7"/>
    <w:rsid w:val="00297D4A"/>
    <w:rsid w:val="002A007F"/>
    <w:rsid w:val="002A0387"/>
    <w:rsid w:val="002A03D1"/>
    <w:rsid w:val="002A0422"/>
    <w:rsid w:val="002A04E4"/>
    <w:rsid w:val="002A0579"/>
    <w:rsid w:val="002A0973"/>
    <w:rsid w:val="002A0F24"/>
    <w:rsid w:val="002A10A8"/>
    <w:rsid w:val="002A11D3"/>
    <w:rsid w:val="002A139C"/>
    <w:rsid w:val="002A1A3F"/>
    <w:rsid w:val="002A1C1D"/>
    <w:rsid w:val="002A1E96"/>
    <w:rsid w:val="002A2626"/>
    <w:rsid w:val="002A2748"/>
    <w:rsid w:val="002A2892"/>
    <w:rsid w:val="002A29E7"/>
    <w:rsid w:val="002A2BC8"/>
    <w:rsid w:val="002A2DAF"/>
    <w:rsid w:val="002A2E81"/>
    <w:rsid w:val="002A2F14"/>
    <w:rsid w:val="002A30C8"/>
    <w:rsid w:val="002A3362"/>
    <w:rsid w:val="002A39E0"/>
    <w:rsid w:val="002A3F04"/>
    <w:rsid w:val="002A4039"/>
    <w:rsid w:val="002A429F"/>
    <w:rsid w:val="002A4963"/>
    <w:rsid w:val="002A4B08"/>
    <w:rsid w:val="002A4CA8"/>
    <w:rsid w:val="002A5196"/>
    <w:rsid w:val="002A53C5"/>
    <w:rsid w:val="002A57D5"/>
    <w:rsid w:val="002A5C80"/>
    <w:rsid w:val="002A5C8D"/>
    <w:rsid w:val="002A5E24"/>
    <w:rsid w:val="002A5E77"/>
    <w:rsid w:val="002A61F0"/>
    <w:rsid w:val="002A628B"/>
    <w:rsid w:val="002A634E"/>
    <w:rsid w:val="002A658F"/>
    <w:rsid w:val="002A65F1"/>
    <w:rsid w:val="002A67DF"/>
    <w:rsid w:val="002A68B9"/>
    <w:rsid w:val="002A6A56"/>
    <w:rsid w:val="002A6D52"/>
    <w:rsid w:val="002A734B"/>
    <w:rsid w:val="002A7F82"/>
    <w:rsid w:val="002B0069"/>
    <w:rsid w:val="002B0177"/>
    <w:rsid w:val="002B0664"/>
    <w:rsid w:val="002B083B"/>
    <w:rsid w:val="002B0932"/>
    <w:rsid w:val="002B0B33"/>
    <w:rsid w:val="002B0BC6"/>
    <w:rsid w:val="002B0CCF"/>
    <w:rsid w:val="002B0D27"/>
    <w:rsid w:val="002B1016"/>
    <w:rsid w:val="002B1078"/>
    <w:rsid w:val="002B1432"/>
    <w:rsid w:val="002B1668"/>
    <w:rsid w:val="002B19BB"/>
    <w:rsid w:val="002B1CC6"/>
    <w:rsid w:val="002B219F"/>
    <w:rsid w:val="002B252B"/>
    <w:rsid w:val="002B25D4"/>
    <w:rsid w:val="002B2916"/>
    <w:rsid w:val="002B29B5"/>
    <w:rsid w:val="002B2E41"/>
    <w:rsid w:val="002B327C"/>
    <w:rsid w:val="002B34D4"/>
    <w:rsid w:val="002B38BA"/>
    <w:rsid w:val="002B3D27"/>
    <w:rsid w:val="002B3D31"/>
    <w:rsid w:val="002B3E9E"/>
    <w:rsid w:val="002B3FFC"/>
    <w:rsid w:val="002B422A"/>
    <w:rsid w:val="002B4637"/>
    <w:rsid w:val="002B479B"/>
    <w:rsid w:val="002B4826"/>
    <w:rsid w:val="002B4895"/>
    <w:rsid w:val="002B4B31"/>
    <w:rsid w:val="002B4DDC"/>
    <w:rsid w:val="002B4E9C"/>
    <w:rsid w:val="002B508A"/>
    <w:rsid w:val="002B51B5"/>
    <w:rsid w:val="002B586B"/>
    <w:rsid w:val="002B5B33"/>
    <w:rsid w:val="002B6260"/>
    <w:rsid w:val="002B6308"/>
    <w:rsid w:val="002B6343"/>
    <w:rsid w:val="002B65FD"/>
    <w:rsid w:val="002B67CD"/>
    <w:rsid w:val="002B6B6E"/>
    <w:rsid w:val="002B6BC1"/>
    <w:rsid w:val="002B6D6F"/>
    <w:rsid w:val="002B6DC0"/>
    <w:rsid w:val="002B6F04"/>
    <w:rsid w:val="002B7336"/>
    <w:rsid w:val="002B73AA"/>
    <w:rsid w:val="002B742A"/>
    <w:rsid w:val="002B7458"/>
    <w:rsid w:val="002B7D9D"/>
    <w:rsid w:val="002B7FB9"/>
    <w:rsid w:val="002C03A2"/>
    <w:rsid w:val="002C0524"/>
    <w:rsid w:val="002C0711"/>
    <w:rsid w:val="002C0751"/>
    <w:rsid w:val="002C0852"/>
    <w:rsid w:val="002C0CA8"/>
    <w:rsid w:val="002C0D7F"/>
    <w:rsid w:val="002C0DCF"/>
    <w:rsid w:val="002C0DEC"/>
    <w:rsid w:val="002C10B0"/>
    <w:rsid w:val="002C115D"/>
    <w:rsid w:val="002C1820"/>
    <w:rsid w:val="002C1A78"/>
    <w:rsid w:val="002C1B1A"/>
    <w:rsid w:val="002C1D1F"/>
    <w:rsid w:val="002C1E45"/>
    <w:rsid w:val="002C2454"/>
    <w:rsid w:val="002C2480"/>
    <w:rsid w:val="002C2687"/>
    <w:rsid w:val="002C2AB4"/>
    <w:rsid w:val="002C2AF6"/>
    <w:rsid w:val="002C3512"/>
    <w:rsid w:val="002C3553"/>
    <w:rsid w:val="002C356E"/>
    <w:rsid w:val="002C3B4E"/>
    <w:rsid w:val="002C4105"/>
    <w:rsid w:val="002C4119"/>
    <w:rsid w:val="002C4250"/>
    <w:rsid w:val="002C4338"/>
    <w:rsid w:val="002C451F"/>
    <w:rsid w:val="002C4820"/>
    <w:rsid w:val="002C4E36"/>
    <w:rsid w:val="002C4EAD"/>
    <w:rsid w:val="002C4FDC"/>
    <w:rsid w:val="002C50A0"/>
    <w:rsid w:val="002C5182"/>
    <w:rsid w:val="002C5221"/>
    <w:rsid w:val="002C5255"/>
    <w:rsid w:val="002C54A4"/>
    <w:rsid w:val="002C55F2"/>
    <w:rsid w:val="002C5818"/>
    <w:rsid w:val="002C5F47"/>
    <w:rsid w:val="002C5F56"/>
    <w:rsid w:val="002C66A1"/>
    <w:rsid w:val="002C6726"/>
    <w:rsid w:val="002C6A71"/>
    <w:rsid w:val="002C6AB1"/>
    <w:rsid w:val="002C6AF3"/>
    <w:rsid w:val="002C6EC9"/>
    <w:rsid w:val="002C716C"/>
    <w:rsid w:val="002C72C9"/>
    <w:rsid w:val="002C735B"/>
    <w:rsid w:val="002C739F"/>
    <w:rsid w:val="002C7CA7"/>
    <w:rsid w:val="002C7E7E"/>
    <w:rsid w:val="002D0627"/>
    <w:rsid w:val="002D0845"/>
    <w:rsid w:val="002D08ED"/>
    <w:rsid w:val="002D0A5E"/>
    <w:rsid w:val="002D0B8F"/>
    <w:rsid w:val="002D108B"/>
    <w:rsid w:val="002D16F4"/>
    <w:rsid w:val="002D17DC"/>
    <w:rsid w:val="002D1C5E"/>
    <w:rsid w:val="002D1EC0"/>
    <w:rsid w:val="002D1FB6"/>
    <w:rsid w:val="002D20CC"/>
    <w:rsid w:val="002D27D6"/>
    <w:rsid w:val="002D2891"/>
    <w:rsid w:val="002D2A5E"/>
    <w:rsid w:val="002D2AD4"/>
    <w:rsid w:val="002D2BF4"/>
    <w:rsid w:val="002D2F4F"/>
    <w:rsid w:val="002D31A6"/>
    <w:rsid w:val="002D3284"/>
    <w:rsid w:val="002D32C3"/>
    <w:rsid w:val="002D3355"/>
    <w:rsid w:val="002D34D7"/>
    <w:rsid w:val="002D34F2"/>
    <w:rsid w:val="002D4151"/>
    <w:rsid w:val="002D44EC"/>
    <w:rsid w:val="002D4649"/>
    <w:rsid w:val="002D4C53"/>
    <w:rsid w:val="002D4E3E"/>
    <w:rsid w:val="002D4F96"/>
    <w:rsid w:val="002D5174"/>
    <w:rsid w:val="002D52C0"/>
    <w:rsid w:val="002D567E"/>
    <w:rsid w:val="002D56C3"/>
    <w:rsid w:val="002D56CA"/>
    <w:rsid w:val="002D59B0"/>
    <w:rsid w:val="002D5A04"/>
    <w:rsid w:val="002D5DB4"/>
    <w:rsid w:val="002D6595"/>
    <w:rsid w:val="002D6807"/>
    <w:rsid w:val="002D69CA"/>
    <w:rsid w:val="002D6BCB"/>
    <w:rsid w:val="002D6BF2"/>
    <w:rsid w:val="002D6DA9"/>
    <w:rsid w:val="002D7467"/>
    <w:rsid w:val="002D76D1"/>
    <w:rsid w:val="002D7F12"/>
    <w:rsid w:val="002E012D"/>
    <w:rsid w:val="002E0287"/>
    <w:rsid w:val="002E0531"/>
    <w:rsid w:val="002E0749"/>
    <w:rsid w:val="002E08A7"/>
    <w:rsid w:val="002E08B9"/>
    <w:rsid w:val="002E0F58"/>
    <w:rsid w:val="002E1435"/>
    <w:rsid w:val="002E1450"/>
    <w:rsid w:val="002E19F2"/>
    <w:rsid w:val="002E1B77"/>
    <w:rsid w:val="002E1C29"/>
    <w:rsid w:val="002E1C39"/>
    <w:rsid w:val="002E1DA6"/>
    <w:rsid w:val="002E2002"/>
    <w:rsid w:val="002E21CA"/>
    <w:rsid w:val="002E2283"/>
    <w:rsid w:val="002E239F"/>
    <w:rsid w:val="002E28D3"/>
    <w:rsid w:val="002E2BAF"/>
    <w:rsid w:val="002E2E8B"/>
    <w:rsid w:val="002E2F72"/>
    <w:rsid w:val="002E3045"/>
    <w:rsid w:val="002E309A"/>
    <w:rsid w:val="002E310F"/>
    <w:rsid w:val="002E3182"/>
    <w:rsid w:val="002E3358"/>
    <w:rsid w:val="002E3602"/>
    <w:rsid w:val="002E38DB"/>
    <w:rsid w:val="002E3B0A"/>
    <w:rsid w:val="002E4230"/>
    <w:rsid w:val="002E4660"/>
    <w:rsid w:val="002E5073"/>
    <w:rsid w:val="002E53BE"/>
    <w:rsid w:val="002E54EA"/>
    <w:rsid w:val="002E553C"/>
    <w:rsid w:val="002E5547"/>
    <w:rsid w:val="002E55DF"/>
    <w:rsid w:val="002E5962"/>
    <w:rsid w:val="002E5A2F"/>
    <w:rsid w:val="002E5AB6"/>
    <w:rsid w:val="002E6211"/>
    <w:rsid w:val="002E62C8"/>
    <w:rsid w:val="002E657D"/>
    <w:rsid w:val="002E65DE"/>
    <w:rsid w:val="002E66E0"/>
    <w:rsid w:val="002E68A5"/>
    <w:rsid w:val="002E6BDB"/>
    <w:rsid w:val="002E6F99"/>
    <w:rsid w:val="002E718A"/>
    <w:rsid w:val="002E7586"/>
    <w:rsid w:val="002E779D"/>
    <w:rsid w:val="002E791F"/>
    <w:rsid w:val="002E79BB"/>
    <w:rsid w:val="002E79E9"/>
    <w:rsid w:val="002E7B48"/>
    <w:rsid w:val="002F002E"/>
    <w:rsid w:val="002F037D"/>
    <w:rsid w:val="002F0699"/>
    <w:rsid w:val="002F0809"/>
    <w:rsid w:val="002F0957"/>
    <w:rsid w:val="002F0A04"/>
    <w:rsid w:val="002F0A68"/>
    <w:rsid w:val="002F0AA9"/>
    <w:rsid w:val="002F0ACC"/>
    <w:rsid w:val="002F0B5B"/>
    <w:rsid w:val="002F0BF5"/>
    <w:rsid w:val="002F0CDC"/>
    <w:rsid w:val="002F104B"/>
    <w:rsid w:val="002F1269"/>
    <w:rsid w:val="002F1F56"/>
    <w:rsid w:val="002F2A99"/>
    <w:rsid w:val="002F3832"/>
    <w:rsid w:val="002F3885"/>
    <w:rsid w:val="002F3B77"/>
    <w:rsid w:val="002F3BE7"/>
    <w:rsid w:val="002F3C04"/>
    <w:rsid w:val="002F412E"/>
    <w:rsid w:val="002F419B"/>
    <w:rsid w:val="002F41C9"/>
    <w:rsid w:val="002F42B6"/>
    <w:rsid w:val="002F42E9"/>
    <w:rsid w:val="002F4603"/>
    <w:rsid w:val="002F4812"/>
    <w:rsid w:val="002F4BDA"/>
    <w:rsid w:val="002F4E73"/>
    <w:rsid w:val="002F4E9A"/>
    <w:rsid w:val="002F4F86"/>
    <w:rsid w:val="002F506F"/>
    <w:rsid w:val="002F50C3"/>
    <w:rsid w:val="002F53C4"/>
    <w:rsid w:val="002F59E9"/>
    <w:rsid w:val="002F5ADA"/>
    <w:rsid w:val="002F5D84"/>
    <w:rsid w:val="002F5F0A"/>
    <w:rsid w:val="002F65E5"/>
    <w:rsid w:val="002F67D3"/>
    <w:rsid w:val="002F763D"/>
    <w:rsid w:val="002F7BF4"/>
    <w:rsid w:val="002F7E7D"/>
    <w:rsid w:val="003003B0"/>
    <w:rsid w:val="003003F2"/>
    <w:rsid w:val="00300811"/>
    <w:rsid w:val="003009B8"/>
    <w:rsid w:val="00300D18"/>
    <w:rsid w:val="00301368"/>
    <w:rsid w:val="00301395"/>
    <w:rsid w:val="00301505"/>
    <w:rsid w:val="0030175B"/>
    <w:rsid w:val="003019C8"/>
    <w:rsid w:val="00301BC0"/>
    <w:rsid w:val="00301D16"/>
    <w:rsid w:val="003020FB"/>
    <w:rsid w:val="0030232A"/>
    <w:rsid w:val="0030255F"/>
    <w:rsid w:val="003025E3"/>
    <w:rsid w:val="00302C42"/>
    <w:rsid w:val="00302CA5"/>
    <w:rsid w:val="00302FFB"/>
    <w:rsid w:val="0030306B"/>
    <w:rsid w:val="003030CA"/>
    <w:rsid w:val="00303543"/>
    <w:rsid w:val="003039BA"/>
    <w:rsid w:val="00304282"/>
    <w:rsid w:val="003047F6"/>
    <w:rsid w:val="0030485F"/>
    <w:rsid w:val="00304915"/>
    <w:rsid w:val="00304A75"/>
    <w:rsid w:val="00304ACB"/>
    <w:rsid w:val="00304ADB"/>
    <w:rsid w:val="00304FBB"/>
    <w:rsid w:val="003050D5"/>
    <w:rsid w:val="00305203"/>
    <w:rsid w:val="00305339"/>
    <w:rsid w:val="003053F5"/>
    <w:rsid w:val="00305451"/>
    <w:rsid w:val="003054B2"/>
    <w:rsid w:val="003054C1"/>
    <w:rsid w:val="00305558"/>
    <w:rsid w:val="00305A16"/>
    <w:rsid w:val="00305A5A"/>
    <w:rsid w:val="003061DB"/>
    <w:rsid w:val="00306A31"/>
    <w:rsid w:val="00306BC1"/>
    <w:rsid w:val="00306E04"/>
    <w:rsid w:val="003071FE"/>
    <w:rsid w:val="003072DA"/>
    <w:rsid w:val="003073BB"/>
    <w:rsid w:val="00307ABA"/>
    <w:rsid w:val="00307F97"/>
    <w:rsid w:val="003105E2"/>
    <w:rsid w:val="003116F9"/>
    <w:rsid w:val="00311855"/>
    <w:rsid w:val="0031189F"/>
    <w:rsid w:val="00311A57"/>
    <w:rsid w:val="00311B96"/>
    <w:rsid w:val="00311CB3"/>
    <w:rsid w:val="00311E59"/>
    <w:rsid w:val="003121B8"/>
    <w:rsid w:val="003121E0"/>
    <w:rsid w:val="003124CB"/>
    <w:rsid w:val="00312568"/>
    <w:rsid w:val="0031270D"/>
    <w:rsid w:val="00312950"/>
    <w:rsid w:val="0031298C"/>
    <w:rsid w:val="0031337B"/>
    <w:rsid w:val="00313BF6"/>
    <w:rsid w:val="00313C41"/>
    <w:rsid w:val="00313CEA"/>
    <w:rsid w:val="00314089"/>
    <w:rsid w:val="003141CF"/>
    <w:rsid w:val="003142CB"/>
    <w:rsid w:val="0031447C"/>
    <w:rsid w:val="00314788"/>
    <w:rsid w:val="00314808"/>
    <w:rsid w:val="0031480E"/>
    <w:rsid w:val="00314F5B"/>
    <w:rsid w:val="003154F9"/>
    <w:rsid w:val="0031575C"/>
    <w:rsid w:val="003157E5"/>
    <w:rsid w:val="00315D31"/>
    <w:rsid w:val="00315F3D"/>
    <w:rsid w:val="00316045"/>
    <w:rsid w:val="0031610C"/>
    <w:rsid w:val="00316289"/>
    <w:rsid w:val="00316454"/>
    <w:rsid w:val="00316568"/>
    <w:rsid w:val="003165E1"/>
    <w:rsid w:val="0031662D"/>
    <w:rsid w:val="00316659"/>
    <w:rsid w:val="00316841"/>
    <w:rsid w:val="003169EE"/>
    <w:rsid w:val="00316E13"/>
    <w:rsid w:val="00316EA8"/>
    <w:rsid w:val="0031709B"/>
    <w:rsid w:val="0031757B"/>
    <w:rsid w:val="003175C4"/>
    <w:rsid w:val="00317983"/>
    <w:rsid w:val="003179F6"/>
    <w:rsid w:val="00317B95"/>
    <w:rsid w:val="00317C2A"/>
    <w:rsid w:val="00317E3B"/>
    <w:rsid w:val="00317EB3"/>
    <w:rsid w:val="00320358"/>
    <w:rsid w:val="00320484"/>
    <w:rsid w:val="003204F5"/>
    <w:rsid w:val="003208E7"/>
    <w:rsid w:val="00320DD6"/>
    <w:rsid w:val="00320EE3"/>
    <w:rsid w:val="00320EE9"/>
    <w:rsid w:val="00321054"/>
    <w:rsid w:val="0032150F"/>
    <w:rsid w:val="00321B58"/>
    <w:rsid w:val="00321BC8"/>
    <w:rsid w:val="00321BF4"/>
    <w:rsid w:val="00321C22"/>
    <w:rsid w:val="00321ED7"/>
    <w:rsid w:val="00322161"/>
    <w:rsid w:val="0032286F"/>
    <w:rsid w:val="003228B0"/>
    <w:rsid w:val="00322973"/>
    <w:rsid w:val="00322BC3"/>
    <w:rsid w:val="00322C13"/>
    <w:rsid w:val="00322D97"/>
    <w:rsid w:val="00322F02"/>
    <w:rsid w:val="00323112"/>
    <w:rsid w:val="00323185"/>
    <w:rsid w:val="003231C2"/>
    <w:rsid w:val="00323282"/>
    <w:rsid w:val="003232E6"/>
    <w:rsid w:val="003234AC"/>
    <w:rsid w:val="00323A39"/>
    <w:rsid w:val="00323D12"/>
    <w:rsid w:val="00323D27"/>
    <w:rsid w:val="0032480E"/>
    <w:rsid w:val="00324822"/>
    <w:rsid w:val="00324A9E"/>
    <w:rsid w:val="00325CFE"/>
    <w:rsid w:val="00325DE6"/>
    <w:rsid w:val="00325EA1"/>
    <w:rsid w:val="0032603B"/>
    <w:rsid w:val="00326251"/>
    <w:rsid w:val="00326B7B"/>
    <w:rsid w:val="0032705D"/>
    <w:rsid w:val="003273DB"/>
    <w:rsid w:val="003274FE"/>
    <w:rsid w:val="003277CF"/>
    <w:rsid w:val="00327E9C"/>
    <w:rsid w:val="003301CA"/>
    <w:rsid w:val="003301F5"/>
    <w:rsid w:val="003304BC"/>
    <w:rsid w:val="00330552"/>
    <w:rsid w:val="003306FB"/>
    <w:rsid w:val="00330B63"/>
    <w:rsid w:val="00330BFF"/>
    <w:rsid w:val="00330C21"/>
    <w:rsid w:val="003316F7"/>
    <w:rsid w:val="00331CFF"/>
    <w:rsid w:val="00331EDC"/>
    <w:rsid w:val="003321A3"/>
    <w:rsid w:val="0033223E"/>
    <w:rsid w:val="0033294D"/>
    <w:rsid w:val="00332A12"/>
    <w:rsid w:val="00332E7F"/>
    <w:rsid w:val="003333AA"/>
    <w:rsid w:val="00333465"/>
    <w:rsid w:val="00333673"/>
    <w:rsid w:val="00333DED"/>
    <w:rsid w:val="00333E70"/>
    <w:rsid w:val="00333E99"/>
    <w:rsid w:val="00333EC3"/>
    <w:rsid w:val="00334005"/>
    <w:rsid w:val="003345A3"/>
    <w:rsid w:val="00334666"/>
    <w:rsid w:val="00334718"/>
    <w:rsid w:val="00334976"/>
    <w:rsid w:val="00334A51"/>
    <w:rsid w:val="00334AA5"/>
    <w:rsid w:val="00334B1C"/>
    <w:rsid w:val="00334F6E"/>
    <w:rsid w:val="00335012"/>
    <w:rsid w:val="003351B2"/>
    <w:rsid w:val="00335C56"/>
    <w:rsid w:val="00335CED"/>
    <w:rsid w:val="00335E1A"/>
    <w:rsid w:val="003360CA"/>
    <w:rsid w:val="003362DF"/>
    <w:rsid w:val="0033630E"/>
    <w:rsid w:val="00336681"/>
    <w:rsid w:val="00336867"/>
    <w:rsid w:val="00336C81"/>
    <w:rsid w:val="00336E95"/>
    <w:rsid w:val="00337163"/>
    <w:rsid w:val="00337296"/>
    <w:rsid w:val="00337361"/>
    <w:rsid w:val="0033766F"/>
    <w:rsid w:val="0033779A"/>
    <w:rsid w:val="00337880"/>
    <w:rsid w:val="00337902"/>
    <w:rsid w:val="00337C81"/>
    <w:rsid w:val="0034003A"/>
    <w:rsid w:val="003401F8"/>
    <w:rsid w:val="00340236"/>
    <w:rsid w:val="00340237"/>
    <w:rsid w:val="00340B7F"/>
    <w:rsid w:val="00340D49"/>
    <w:rsid w:val="00340DDD"/>
    <w:rsid w:val="00340E86"/>
    <w:rsid w:val="00340FC6"/>
    <w:rsid w:val="0034104A"/>
    <w:rsid w:val="003410BD"/>
    <w:rsid w:val="003410CA"/>
    <w:rsid w:val="003417CD"/>
    <w:rsid w:val="00341C20"/>
    <w:rsid w:val="00341EE8"/>
    <w:rsid w:val="00342581"/>
    <w:rsid w:val="003426CE"/>
    <w:rsid w:val="003427EC"/>
    <w:rsid w:val="00342A81"/>
    <w:rsid w:val="00342BDA"/>
    <w:rsid w:val="00342CDF"/>
    <w:rsid w:val="00342D24"/>
    <w:rsid w:val="00342D35"/>
    <w:rsid w:val="00342D75"/>
    <w:rsid w:val="00342E5E"/>
    <w:rsid w:val="003430E8"/>
    <w:rsid w:val="00343341"/>
    <w:rsid w:val="0034377D"/>
    <w:rsid w:val="00343B45"/>
    <w:rsid w:val="00343C8D"/>
    <w:rsid w:val="00343F45"/>
    <w:rsid w:val="00343FFD"/>
    <w:rsid w:val="0034449E"/>
    <w:rsid w:val="0034483D"/>
    <w:rsid w:val="0034487B"/>
    <w:rsid w:val="00344F13"/>
    <w:rsid w:val="00344F93"/>
    <w:rsid w:val="003450F6"/>
    <w:rsid w:val="00345665"/>
    <w:rsid w:val="00345D68"/>
    <w:rsid w:val="0034685F"/>
    <w:rsid w:val="00346C9E"/>
    <w:rsid w:val="00346F43"/>
    <w:rsid w:val="003474B4"/>
    <w:rsid w:val="003477AF"/>
    <w:rsid w:val="00347819"/>
    <w:rsid w:val="00347AEE"/>
    <w:rsid w:val="00347B60"/>
    <w:rsid w:val="00347CE0"/>
    <w:rsid w:val="00350077"/>
    <w:rsid w:val="0035023F"/>
    <w:rsid w:val="00350289"/>
    <w:rsid w:val="003505F8"/>
    <w:rsid w:val="00350919"/>
    <w:rsid w:val="003509BD"/>
    <w:rsid w:val="00350EBA"/>
    <w:rsid w:val="0035155C"/>
    <w:rsid w:val="0035178E"/>
    <w:rsid w:val="00351BB1"/>
    <w:rsid w:val="00351F2C"/>
    <w:rsid w:val="00352168"/>
    <w:rsid w:val="00352B3F"/>
    <w:rsid w:val="00352C34"/>
    <w:rsid w:val="00352F37"/>
    <w:rsid w:val="00352F94"/>
    <w:rsid w:val="003530F3"/>
    <w:rsid w:val="0035327A"/>
    <w:rsid w:val="00353AC3"/>
    <w:rsid w:val="00353B12"/>
    <w:rsid w:val="00353C43"/>
    <w:rsid w:val="00354318"/>
    <w:rsid w:val="003544C8"/>
    <w:rsid w:val="00354529"/>
    <w:rsid w:val="0035455F"/>
    <w:rsid w:val="00354A7C"/>
    <w:rsid w:val="00354E07"/>
    <w:rsid w:val="003550C6"/>
    <w:rsid w:val="003555F2"/>
    <w:rsid w:val="00355624"/>
    <w:rsid w:val="003556B7"/>
    <w:rsid w:val="003559E5"/>
    <w:rsid w:val="00355C50"/>
    <w:rsid w:val="00355C70"/>
    <w:rsid w:val="00356327"/>
    <w:rsid w:val="003564A5"/>
    <w:rsid w:val="00356953"/>
    <w:rsid w:val="00356A5D"/>
    <w:rsid w:val="00356D28"/>
    <w:rsid w:val="00357071"/>
    <w:rsid w:val="003572C4"/>
    <w:rsid w:val="003574CC"/>
    <w:rsid w:val="0035769C"/>
    <w:rsid w:val="00357778"/>
    <w:rsid w:val="003577D7"/>
    <w:rsid w:val="00357AA5"/>
    <w:rsid w:val="00357BA6"/>
    <w:rsid w:val="00357CEC"/>
    <w:rsid w:val="00357D04"/>
    <w:rsid w:val="00360039"/>
    <w:rsid w:val="0036061E"/>
    <w:rsid w:val="00360861"/>
    <w:rsid w:val="00360B91"/>
    <w:rsid w:val="0036110C"/>
    <w:rsid w:val="003611F2"/>
    <w:rsid w:val="00361477"/>
    <w:rsid w:val="00361674"/>
    <w:rsid w:val="003616DE"/>
    <w:rsid w:val="003616FC"/>
    <w:rsid w:val="003617EC"/>
    <w:rsid w:val="0036183B"/>
    <w:rsid w:val="00361DD2"/>
    <w:rsid w:val="00362091"/>
    <w:rsid w:val="00362432"/>
    <w:rsid w:val="003624AF"/>
    <w:rsid w:val="00362831"/>
    <w:rsid w:val="00362C96"/>
    <w:rsid w:val="00362D6D"/>
    <w:rsid w:val="00362E94"/>
    <w:rsid w:val="00363AEF"/>
    <w:rsid w:val="00363EB4"/>
    <w:rsid w:val="0036419B"/>
    <w:rsid w:val="003641D9"/>
    <w:rsid w:val="0036432F"/>
    <w:rsid w:val="003644D1"/>
    <w:rsid w:val="00364611"/>
    <w:rsid w:val="00364AD0"/>
    <w:rsid w:val="00364C7A"/>
    <w:rsid w:val="00364E19"/>
    <w:rsid w:val="00364F02"/>
    <w:rsid w:val="00365100"/>
    <w:rsid w:val="003653C2"/>
    <w:rsid w:val="00365759"/>
    <w:rsid w:val="00365FD8"/>
    <w:rsid w:val="00366033"/>
    <w:rsid w:val="003660C1"/>
    <w:rsid w:val="00366121"/>
    <w:rsid w:val="00366960"/>
    <w:rsid w:val="0036699F"/>
    <w:rsid w:val="00367AD4"/>
    <w:rsid w:val="00370041"/>
    <w:rsid w:val="0037009A"/>
    <w:rsid w:val="003702D9"/>
    <w:rsid w:val="00370396"/>
    <w:rsid w:val="0037056F"/>
    <w:rsid w:val="00370617"/>
    <w:rsid w:val="00370B27"/>
    <w:rsid w:val="00370B6B"/>
    <w:rsid w:val="00370C5E"/>
    <w:rsid w:val="0037124E"/>
    <w:rsid w:val="0037283A"/>
    <w:rsid w:val="0037289A"/>
    <w:rsid w:val="00372A16"/>
    <w:rsid w:val="00372AEA"/>
    <w:rsid w:val="00372B03"/>
    <w:rsid w:val="00372C46"/>
    <w:rsid w:val="003734C1"/>
    <w:rsid w:val="003735FC"/>
    <w:rsid w:val="003737EF"/>
    <w:rsid w:val="00373880"/>
    <w:rsid w:val="003738E3"/>
    <w:rsid w:val="00373935"/>
    <w:rsid w:val="00373C53"/>
    <w:rsid w:val="00373E5B"/>
    <w:rsid w:val="0037460D"/>
    <w:rsid w:val="00374674"/>
    <w:rsid w:val="0037473B"/>
    <w:rsid w:val="00374BE6"/>
    <w:rsid w:val="003751E8"/>
    <w:rsid w:val="00375561"/>
    <w:rsid w:val="003757C0"/>
    <w:rsid w:val="00375DCD"/>
    <w:rsid w:val="00375E40"/>
    <w:rsid w:val="003760FE"/>
    <w:rsid w:val="003765B5"/>
    <w:rsid w:val="00376651"/>
    <w:rsid w:val="003768B5"/>
    <w:rsid w:val="00376A6B"/>
    <w:rsid w:val="00376B7F"/>
    <w:rsid w:val="00376C0D"/>
    <w:rsid w:val="00376E02"/>
    <w:rsid w:val="003773BE"/>
    <w:rsid w:val="0037742F"/>
    <w:rsid w:val="00377A0F"/>
    <w:rsid w:val="00377B83"/>
    <w:rsid w:val="00377E27"/>
    <w:rsid w:val="00377E79"/>
    <w:rsid w:val="00377F61"/>
    <w:rsid w:val="003801B4"/>
    <w:rsid w:val="0038053E"/>
    <w:rsid w:val="00380668"/>
    <w:rsid w:val="003807AA"/>
    <w:rsid w:val="0038087B"/>
    <w:rsid w:val="00380A1A"/>
    <w:rsid w:val="00380BB2"/>
    <w:rsid w:val="003811CA"/>
    <w:rsid w:val="003811D3"/>
    <w:rsid w:val="00381681"/>
    <w:rsid w:val="003819C8"/>
    <w:rsid w:val="00381E85"/>
    <w:rsid w:val="00381FE9"/>
    <w:rsid w:val="003824F0"/>
    <w:rsid w:val="00382541"/>
    <w:rsid w:val="00382619"/>
    <w:rsid w:val="003828A3"/>
    <w:rsid w:val="00382ABF"/>
    <w:rsid w:val="0038313F"/>
    <w:rsid w:val="0038345E"/>
    <w:rsid w:val="00383E75"/>
    <w:rsid w:val="00384430"/>
    <w:rsid w:val="0038467E"/>
    <w:rsid w:val="003848E8"/>
    <w:rsid w:val="00384A7E"/>
    <w:rsid w:val="00384CC2"/>
    <w:rsid w:val="00384CD6"/>
    <w:rsid w:val="00384E3D"/>
    <w:rsid w:val="003852AC"/>
    <w:rsid w:val="003852B8"/>
    <w:rsid w:val="003852DD"/>
    <w:rsid w:val="0038532F"/>
    <w:rsid w:val="0038550D"/>
    <w:rsid w:val="00385536"/>
    <w:rsid w:val="0038558F"/>
    <w:rsid w:val="0038569E"/>
    <w:rsid w:val="003856A0"/>
    <w:rsid w:val="003857EE"/>
    <w:rsid w:val="0038592D"/>
    <w:rsid w:val="00385AD1"/>
    <w:rsid w:val="00385BCA"/>
    <w:rsid w:val="00385D68"/>
    <w:rsid w:val="00385E31"/>
    <w:rsid w:val="00385F7F"/>
    <w:rsid w:val="0038635A"/>
    <w:rsid w:val="00386604"/>
    <w:rsid w:val="0038662D"/>
    <w:rsid w:val="00386A8D"/>
    <w:rsid w:val="00386C58"/>
    <w:rsid w:val="00386D99"/>
    <w:rsid w:val="003871C7"/>
    <w:rsid w:val="00387645"/>
    <w:rsid w:val="00387950"/>
    <w:rsid w:val="00387A11"/>
    <w:rsid w:val="00387B58"/>
    <w:rsid w:val="00387EF8"/>
    <w:rsid w:val="003908A1"/>
    <w:rsid w:val="00390975"/>
    <w:rsid w:val="0039124D"/>
    <w:rsid w:val="003916E4"/>
    <w:rsid w:val="00391756"/>
    <w:rsid w:val="003925D5"/>
    <w:rsid w:val="00392887"/>
    <w:rsid w:val="003929BD"/>
    <w:rsid w:val="00392C04"/>
    <w:rsid w:val="00392C16"/>
    <w:rsid w:val="00392CF4"/>
    <w:rsid w:val="00392D76"/>
    <w:rsid w:val="00392E1A"/>
    <w:rsid w:val="0039301C"/>
    <w:rsid w:val="003933B7"/>
    <w:rsid w:val="0039383F"/>
    <w:rsid w:val="003938CC"/>
    <w:rsid w:val="00393ADB"/>
    <w:rsid w:val="00393D42"/>
    <w:rsid w:val="003940B8"/>
    <w:rsid w:val="003943E8"/>
    <w:rsid w:val="00394604"/>
    <w:rsid w:val="0039530B"/>
    <w:rsid w:val="00395789"/>
    <w:rsid w:val="00395B10"/>
    <w:rsid w:val="00395D3C"/>
    <w:rsid w:val="00395D8F"/>
    <w:rsid w:val="0039614C"/>
    <w:rsid w:val="003961BC"/>
    <w:rsid w:val="00396313"/>
    <w:rsid w:val="00396B81"/>
    <w:rsid w:val="00396CCD"/>
    <w:rsid w:val="00396FEE"/>
    <w:rsid w:val="0039709F"/>
    <w:rsid w:val="00397144"/>
    <w:rsid w:val="0039738F"/>
    <w:rsid w:val="003975CC"/>
    <w:rsid w:val="00397DDF"/>
    <w:rsid w:val="003A01CF"/>
    <w:rsid w:val="003A03F9"/>
    <w:rsid w:val="003A0679"/>
    <w:rsid w:val="003A0838"/>
    <w:rsid w:val="003A08A0"/>
    <w:rsid w:val="003A0BA3"/>
    <w:rsid w:val="003A0CEC"/>
    <w:rsid w:val="003A15C1"/>
    <w:rsid w:val="003A19EC"/>
    <w:rsid w:val="003A1B8F"/>
    <w:rsid w:val="003A1BDF"/>
    <w:rsid w:val="003A2392"/>
    <w:rsid w:val="003A23D1"/>
    <w:rsid w:val="003A246A"/>
    <w:rsid w:val="003A25F8"/>
    <w:rsid w:val="003A27FA"/>
    <w:rsid w:val="003A2848"/>
    <w:rsid w:val="003A2C2E"/>
    <w:rsid w:val="003A2C7F"/>
    <w:rsid w:val="003A2DE4"/>
    <w:rsid w:val="003A366A"/>
    <w:rsid w:val="003A3983"/>
    <w:rsid w:val="003A3A27"/>
    <w:rsid w:val="003A3A80"/>
    <w:rsid w:val="003A3E36"/>
    <w:rsid w:val="003A4010"/>
    <w:rsid w:val="003A4A54"/>
    <w:rsid w:val="003A4C64"/>
    <w:rsid w:val="003A4DE1"/>
    <w:rsid w:val="003A4E58"/>
    <w:rsid w:val="003A4EFD"/>
    <w:rsid w:val="003A4FCE"/>
    <w:rsid w:val="003A50A0"/>
    <w:rsid w:val="003A5254"/>
    <w:rsid w:val="003A5790"/>
    <w:rsid w:val="003A5DBE"/>
    <w:rsid w:val="003A67E5"/>
    <w:rsid w:val="003A68EB"/>
    <w:rsid w:val="003A705D"/>
    <w:rsid w:val="003A705E"/>
    <w:rsid w:val="003A710D"/>
    <w:rsid w:val="003A7266"/>
    <w:rsid w:val="003A779E"/>
    <w:rsid w:val="003A782A"/>
    <w:rsid w:val="003A794E"/>
    <w:rsid w:val="003A7984"/>
    <w:rsid w:val="003A7EFE"/>
    <w:rsid w:val="003B0183"/>
    <w:rsid w:val="003B025A"/>
    <w:rsid w:val="003B0354"/>
    <w:rsid w:val="003B036C"/>
    <w:rsid w:val="003B0627"/>
    <w:rsid w:val="003B082D"/>
    <w:rsid w:val="003B12F5"/>
    <w:rsid w:val="003B1379"/>
    <w:rsid w:val="003B15A2"/>
    <w:rsid w:val="003B1965"/>
    <w:rsid w:val="003B1B0E"/>
    <w:rsid w:val="003B1F05"/>
    <w:rsid w:val="003B2215"/>
    <w:rsid w:val="003B2499"/>
    <w:rsid w:val="003B2767"/>
    <w:rsid w:val="003B2ECB"/>
    <w:rsid w:val="003B2FC7"/>
    <w:rsid w:val="003B3243"/>
    <w:rsid w:val="003B38A8"/>
    <w:rsid w:val="003B3B9A"/>
    <w:rsid w:val="003B3EC0"/>
    <w:rsid w:val="003B41E8"/>
    <w:rsid w:val="003B44A4"/>
    <w:rsid w:val="003B4CE6"/>
    <w:rsid w:val="003B50A2"/>
    <w:rsid w:val="003B5500"/>
    <w:rsid w:val="003B556C"/>
    <w:rsid w:val="003B5917"/>
    <w:rsid w:val="003B5A84"/>
    <w:rsid w:val="003B5B0F"/>
    <w:rsid w:val="003B5BB3"/>
    <w:rsid w:val="003B664C"/>
    <w:rsid w:val="003B6AB0"/>
    <w:rsid w:val="003B6B76"/>
    <w:rsid w:val="003B6F94"/>
    <w:rsid w:val="003B71C2"/>
    <w:rsid w:val="003B7335"/>
    <w:rsid w:val="003B7435"/>
    <w:rsid w:val="003B7909"/>
    <w:rsid w:val="003B7A0C"/>
    <w:rsid w:val="003B7DEC"/>
    <w:rsid w:val="003C0487"/>
    <w:rsid w:val="003C0511"/>
    <w:rsid w:val="003C05A7"/>
    <w:rsid w:val="003C062F"/>
    <w:rsid w:val="003C0918"/>
    <w:rsid w:val="003C0BC3"/>
    <w:rsid w:val="003C0BDE"/>
    <w:rsid w:val="003C133A"/>
    <w:rsid w:val="003C148D"/>
    <w:rsid w:val="003C1A28"/>
    <w:rsid w:val="003C1BAF"/>
    <w:rsid w:val="003C1ED4"/>
    <w:rsid w:val="003C1ED6"/>
    <w:rsid w:val="003C1F74"/>
    <w:rsid w:val="003C20E4"/>
    <w:rsid w:val="003C2200"/>
    <w:rsid w:val="003C2558"/>
    <w:rsid w:val="003C28EB"/>
    <w:rsid w:val="003C2D17"/>
    <w:rsid w:val="003C31F6"/>
    <w:rsid w:val="003C32D7"/>
    <w:rsid w:val="003C33C1"/>
    <w:rsid w:val="003C352A"/>
    <w:rsid w:val="003C3740"/>
    <w:rsid w:val="003C38D9"/>
    <w:rsid w:val="003C3C05"/>
    <w:rsid w:val="003C3F82"/>
    <w:rsid w:val="003C4311"/>
    <w:rsid w:val="003C43F2"/>
    <w:rsid w:val="003C43F6"/>
    <w:rsid w:val="003C4637"/>
    <w:rsid w:val="003C4D2E"/>
    <w:rsid w:val="003C51AA"/>
    <w:rsid w:val="003C53AF"/>
    <w:rsid w:val="003C5866"/>
    <w:rsid w:val="003C5885"/>
    <w:rsid w:val="003C5A6E"/>
    <w:rsid w:val="003C5C90"/>
    <w:rsid w:val="003C60E3"/>
    <w:rsid w:val="003C6265"/>
    <w:rsid w:val="003C660A"/>
    <w:rsid w:val="003C67D5"/>
    <w:rsid w:val="003C6B1D"/>
    <w:rsid w:val="003C6BC7"/>
    <w:rsid w:val="003C744A"/>
    <w:rsid w:val="003C7450"/>
    <w:rsid w:val="003C75E8"/>
    <w:rsid w:val="003C75F8"/>
    <w:rsid w:val="003C780E"/>
    <w:rsid w:val="003C78A5"/>
    <w:rsid w:val="003D009B"/>
    <w:rsid w:val="003D0200"/>
    <w:rsid w:val="003D024C"/>
    <w:rsid w:val="003D029E"/>
    <w:rsid w:val="003D02E9"/>
    <w:rsid w:val="003D0361"/>
    <w:rsid w:val="003D0818"/>
    <w:rsid w:val="003D0AD9"/>
    <w:rsid w:val="003D1079"/>
    <w:rsid w:val="003D1084"/>
    <w:rsid w:val="003D1300"/>
    <w:rsid w:val="003D1437"/>
    <w:rsid w:val="003D1566"/>
    <w:rsid w:val="003D1640"/>
    <w:rsid w:val="003D175D"/>
    <w:rsid w:val="003D185F"/>
    <w:rsid w:val="003D1B42"/>
    <w:rsid w:val="003D1FDB"/>
    <w:rsid w:val="003D2113"/>
    <w:rsid w:val="003D224F"/>
    <w:rsid w:val="003D2333"/>
    <w:rsid w:val="003D236D"/>
    <w:rsid w:val="003D26D2"/>
    <w:rsid w:val="003D2A1F"/>
    <w:rsid w:val="003D2C9F"/>
    <w:rsid w:val="003D3014"/>
    <w:rsid w:val="003D303E"/>
    <w:rsid w:val="003D31EB"/>
    <w:rsid w:val="003D331B"/>
    <w:rsid w:val="003D3703"/>
    <w:rsid w:val="003D3A84"/>
    <w:rsid w:val="003D3AAF"/>
    <w:rsid w:val="003D3BA0"/>
    <w:rsid w:val="003D4570"/>
    <w:rsid w:val="003D47C7"/>
    <w:rsid w:val="003D4996"/>
    <w:rsid w:val="003D4E3D"/>
    <w:rsid w:val="003D557D"/>
    <w:rsid w:val="003D58FB"/>
    <w:rsid w:val="003D590E"/>
    <w:rsid w:val="003D598A"/>
    <w:rsid w:val="003D5C3C"/>
    <w:rsid w:val="003D5E53"/>
    <w:rsid w:val="003D5EF7"/>
    <w:rsid w:val="003D5F03"/>
    <w:rsid w:val="003D60A1"/>
    <w:rsid w:val="003D60D0"/>
    <w:rsid w:val="003D637F"/>
    <w:rsid w:val="003D641A"/>
    <w:rsid w:val="003D6D3E"/>
    <w:rsid w:val="003D7286"/>
    <w:rsid w:val="003D7418"/>
    <w:rsid w:val="003D7431"/>
    <w:rsid w:val="003D79A8"/>
    <w:rsid w:val="003D79B2"/>
    <w:rsid w:val="003E02E4"/>
    <w:rsid w:val="003E03F9"/>
    <w:rsid w:val="003E05D2"/>
    <w:rsid w:val="003E06E7"/>
    <w:rsid w:val="003E084B"/>
    <w:rsid w:val="003E11A6"/>
    <w:rsid w:val="003E127A"/>
    <w:rsid w:val="003E139E"/>
    <w:rsid w:val="003E17BC"/>
    <w:rsid w:val="003E17F4"/>
    <w:rsid w:val="003E1CB2"/>
    <w:rsid w:val="003E1E46"/>
    <w:rsid w:val="003E24D2"/>
    <w:rsid w:val="003E2811"/>
    <w:rsid w:val="003E2D46"/>
    <w:rsid w:val="003E2FC9"/>
    <w:rsid w:val="003E3034"/>
    <w:rsid w:val="003E38FD"/>
    <w:rsid w:val="003E3BC6"/>
    <w:rsid w:val="003E3FA9"/>
    <w:rsid w:val="003E4491"/>
    <w:rsid w:val="003E45A7"/>
    <w:rsid w:val="003E46ED"/>
    <w:rsid w:val="003E472E"/>
    <w:rsid w:val="003E4F4D"/>
    <w:rsid w:val="003E503E"/>
    <w:rsid w:val="003E55A1"/>
    <w:rsid w:val="003E5695"/>
    <w:rsid w:val="003E59EF"/>
    <w:rsid w:val="003E5B79"/>
    <w:rsid w:val="003E5DB9"/>
    <w:rsid w:val="003E6324"/>
    <w:rsid w:val="003E64F8"/>
    <w:rsid w:val="003E66B8"/>
    <w:rsid w:val="003E68A3"/>
    <w:rsid w:val="003E6E3F"/>
    <w:rsid w:val="003E73E4"/>
    <w:rsid w:val="003E7763"/>
    <w:rsid w:val="003E7994"/>
    <w:rsid w:val="003E7A6D"/>
    <w:rsid w:val="003E7AFE"/>
    <w:rsid w:val="003E7C52"/>
    <w:rsid w:val="003E7CA7"/>
    <w:rsid w:val="003E7D79"/>
    <w:rsid w:val="003F006F"/>
    <w:rsid w:val="003F0241"/>
    <w:rsid w:val="003F0647"/>
    <w:rsid w:val="003F076D"/>
    <w:rsid w:val="003F09E3"/>
    <w:rsid w:val="003F0A15"/>
    <w:rsid w:val="003F0FD4"/>
    <w:rsid w:val="003F1149"/>
    <w:rsid w:val="003F166E"/>
    <w:rsid w:val="003F1CF8"/>
    <w:rsid w:val="003F1DB1"/>
    <w:rsid w:val="003F210C"/>
    <w:rsid w:val="003F226F"/>
    <w:rsid w:val="003F23F4"/>
    <w:rsid w:val="003F2635"/>
    <w:rsid w:val="003F26B1"/>
    <w:rsid w:val="003F271B"/>
    <w:rsid w:val="003F28AB"/>
    <w:rsid w:val="003F29DE"/>
    <w:rsid w:val="003F309C"/>
    <w:rsid w:val="003F32F9"/>
    <w:rsid w:val="003F3354"/>
    <w:rsid w:val="003F33A2"/>
    <w:rsid w:val="003F35CE"/>
    <w:rsid w:val="003F394F"/>
    <w:rsid w:val="003F3BB6"/>
    <w:rsid w:val="003F4417"/>
    <w:rsid w:val="003F46E0"/>
    <w:rsid w:val="003F4774"/>
    <w:rsid w:val="003F49A9"/>
    <w:rsid w:val="003F4CE9"/>
    <w:rsid w:val="003F4F60"/>
    <w:rsid w:val="003F505D"/>
    <w:rsid w:val="003F532D"/>
    <w:rsid w:val="003F5439"/>
    <w:rsid w:val="003F55ED"/>
    <w:rsid w:val="003F5FB5"/>
    <w:rsid w:val="003F65CA"/>
    <w:rsid w:val="003F661A"/>
    <w:rsid w:val="003F6743"/>
    <w:rsid w:val="003F6A1A"/>
    <w:rsid w:val="003F6B7D"/>
    <w:rsid w:val="003F774A"/>
    <w:rsid w:val="003F7A29"/>
    <w:rsid w:val="003F7E94"/>
    <w:rsid w:val="0040002A"/>
    <w:rsid w:val="00400062"/>
    <w:rsid w:val="0040098F"/>
    <w:rsid w:val="00400B77"/>
    <w:rsid w:val="00400BAF"/>
    <w:rsid w:val="00400D9F"/>
    <w:rsid w:val="00401060"/>
    <w:rsid w:val="004010AA"/>
    <w:rsid w:val="00401722"/>
    <w:rsid w:val="0040193B"/>
    <w:rsid w:val="00401AC9"/>
    <w:rsid w:val="00401C82"/>
    <w:rsid w:val="00402333"/>
    <w:rsid w:val="00402C6F"/>
    <w:rsid w:val="00402D0E"/>
    <w:rsid w:val="00402E43"/>
    <w:rsid w:val="00402FC3"/>
    <w:rsid w:val="00403233"/>
    <w:rsid w:val="00403310"/>
    <w:rsid w:val="00403562"/>
    <w:rsid w:val="00403771"/>
    <w:rsid w:val="00403818"/>
    <w:rsid w:val="00403FD6"/>
    <w:rsid w:val="004041AB"/>
    <w:rsid w:val="00404244"/>
    <w:rsid w:val="004042A7"/>
    <w:rsid w:val="00404325"/>
    <w:rsid w:val="00404585"/>
    <w:rsid w:val="0040471A"/>
    <w:rsid w:val="00404789"/>
    <w:rsid w:val="00404803"/>
    <w:rsid w:val="004049F0"/>
    <w:rsid w:val="00404A02"/>
    <w:rsid w:val="00404DF8"/>
    <w:rsid w:val="00405015"/>
    <w:rsid w:val="00405084"/>
    <w:rsid w:val="00405510"/>
    <w:rsid w:val="0040564C"/>
    <w:rsid w:val="004056E2"/>
    <w:rsid w:val="00405AE1"/>
    <w:rsid w:val="004063F0"/>
    <w:rsid w:val="00406403"/>
    <w:rsid w:val="00406564"/>
    <w:rsid w:val="004069DA"/>
    <w:rsid w:val="004071E8"/>
    <w:rsid w:val="004108B3"/>
    <w:rsid w:val="00410925"/>
    <w:rsid w:val="00410BF7"/>
    <w:rsid w:val="00410C45"/>
    <w:rsid w:val="00410C9E"/>
    <w:rsid w:val="00411517"/>
    <w:rsid w:val="00411803"/>
    <w:rsid w:val="0041192A"/>
    <w:rsid w:val="00411B0B"/>
    <w:rsid w:val="0041267A"/>
    <w:rsid w:val="00412895"/>
    <w:rsid w:val="00412D55"/>
    <w:rsid w:val="00412DA6"/>
    <w:rsid w:val="00412F19"/>
    <w:rsid w:val="004136A2"/>
    <w:rsid w:val="00413815"/>
    <w:rsid w:val="004139B0"/>
    <w:rsid w:val="00413F50"/>
    <w:rsid w:val="0041462D"/>
    <w:rsid w:val="00414967"/>
    <w:rsid w:val="0041497A"/>
    <w:rsid w:val="00414BAF"/>
    <w:rsid w:val="00414DA5"/>
    <w:rsid w:val="00414DBE"/>
    <w:rsid w:val="004151D4"/>
    <w:rsid w:val="004155B4"/>
    <w:rsid w:val="00415BE2"/>
    <w:rsid w:val="00416900"/>
    <w:rsid w:val="004169EA"/>
    <w:rsid w:val="00416D7E"/>
    <w:rsid w:val="0041738B"/>
    <w:rsid w:val="0041758A"/>
    <w:rsid w:val="00417A44"/>
    <w:rsid w:val="00417C7D"/>
    <w:rsid w:val="00420118"/>
    <w:rsid w:val="0042013A"/>
    <w:rsid w:val="004205DE"/>
    <w:rsid w:val="00420A66"/>
    <w:rsid w:val="00421080"/>
    <w:rsid w:val="004215E4"/>
    <w:rsid w:val="00421A4C"/>
    <w:rsid w:val="00421D19"/>
    <w:rsid w:val="00421EB2"/>
    <w:rsid w:val="00422212"/>
    <w:rsid w:val="0042245B"/>
    <w:rsid w:val="00422877"/>
    <w:rsid w:val="00422D96"/>
    <w:rsid w:val="00422DA8"/>
    <w:rsid w:val="00422FD9"/>
    <w:rsid w:val="00423565"/>
    <w:rsid w:val="004238D4"/>
    <w:rsid w:val="0042403A"/>
    <w:rsid w:val="004241D8"/>
    <w:rsid w:val="004245F0"/>
    <w:rsid w:val="0042461F"/>
    <w:rsid w:val="00424688"/>
    <w:rsid w:val="00424953"/>
    <w:rsid w:val="00424A88"/>
    <w:rsid w:val="00424E88"/>
    <w:rsid w:val="004251C5"/>
    <w:rsid w:val="004252EC"/>
    <w:rsid w:val="00425461"/>
    <w:rsid w:val="004256CB"/>
    <w:rsid w:val="0042599F"/>
    <w:rsid w:val="00426AA2"/>
    <w:rsid w:val="00426B50"/>
    <w:rsid w:val="00426C97"/>
    <w:rsid w:val="00426C9B"/>
    <w:rsid w:val="00426F6C"/>
    <w:rsid w:val="004272B2"/>
    <w:rsid w:val="004273F5"/>
    <w:rsid w:val="0042770D"/>
    <w:rsid w:val="004278FD"/>
    <w:rsid w:val="004300C4"/>
    <w:rsid w:val="00430100"/>
    <w:rsid w:val="00430262"/>
    <w:rsid w:val="004302D0"/>
    <w:rsid w:val="004305E3"/>
    <w:rsid w:val="004307D1"/>
    <w:rsid w:val="00430A08"/>
    <w:rsid w:val="00430B0C"/>
    <w:rsid w:val="00430D41"/>
    <w:rsid w:val="00430FB6"/>
    <w:rsid w:val="00431052"/>
    <w:rsid w:val="00431482"/>
    <w:rsid w:val="00431BC9"/>
    <w:rsid w:val="00431C42"/>
    <w:rsid w:val="00431CBB"/>
    <w:rsid w:val="00432208"/>
    <w:rsid w:val="00432360"/>
    <w:rsid w:val="00432471"/>
    <w:rsid w:val="0043249F"/>
    <w:rsid w:val="00432907"/>
    <w:rsid w:val="00432ACF"/>
    <w:rsid w:val="00432B0F"/>
    <w:rsid w:val="0043303D"/>
    <w:rsid w:val="00433357"/>
    <w:rsid w:val="004334AD"/>
    <w:rsid w:val="0043371C"/>
    <w:rsid w:val="004337F8"/>
    <w:rsid w:val="0043397F"/>
    <w:rsid w:val="00433A98"/>
    <w:rsid w:val="00433BAC"/>
    <w:rsid w:val="00433C54"/>
    <w:rsid w:val="00433CF3"/>
    <w:rsid w:val="00433D87"/>
    <w:rsid w:val="00433E03"/>
    <w:rsid w:val="0043400C"/>
    <w:rsid w:val="0043409F"/>
    <w:rsid w:val="0043450C"/>
    <w:rsid w:val="00434DAB"/>
    <w:rsid w:val="00434E9E"/>
    <w:rsid w:val="00434F48"/>
    <w:rsid w:val="0043510C"/>
    <w:rsid w:val="00435316"/>
    <w:rsid w:val="0043555A"/>
    <w:rsid w:val="00435AFE"/>
    <w:rsid w:val="00435CEE"/>
    <w:rsid w:val="00436224"/>
    <w:rsid w:val="004363F7"/>
    <w:rsid w:val="004365CF"/>
    <w:rsid w:val="00436728"/>
    <w:rsid w:val="00436C31"/>
    <w:rsid w:val="00436E06"/>
    <w:rsid w:val="00437053"/>
    <w:rsid w:val="0043723E"/>
    <w:rsid w:val="004373B2"/>
    <w:rsid w:val="0043745B"/>
    <w:rsid w:val="004374C3"/>
    <w:rsid w:val="004379D4"/>
    <w:rsid w:val="00437B87"/>
    <w:rsid w:val="004400A3"/>
    <w:rsid w:val="00440108"/>
    <w:rsid w:val="00440620"/>
    <w:rsid w:val="004408AB"/>
    <w:rsid w:val="004408DC"/>
    <w:rsid w:val="00440E24"/>
    <w:rsid w:val="00441326"/>
    <w:rsid w:val="00441764"/>
    <w:rsid w:val="004418E2"/>
    <w:rsid w:val="004419B6"/>
    <w:rsid w:val="00441CE1"/>
    <w:rsid w:val="00442A95"/>
    <w:rsid w:val="00442CB9"/>
    <w:rsid w:val="00442DF0"/>
    <w:rsid w:val="00443506"/>
    <w:rsid w:val="00443BCB"/>
    <w:rsid w:val="00443E66"/>
    <w:rsid w:val="00444B05"/>
    <w:rsid w:val="00444BCC"/>
    <w:rsid w:val="00444D49"/>
    <w:rsid w:val="00444EF4"/>
    <w:rsid w:val="00445367"/>
    <w:rsid w:val="00445FD4"/>
    <w:rsid w:val="00446B8B"/>
    <w:rsid w:val="00447859"/>
    <w:rsid w:val="00447AB8"/>
    <w:rsid w:val="004500DC"/>
    <w:rsid w:val="00450380"/>
    <w:rsid w:val="004508CE"/>
    <w:rsid w:val="00450BB7"/>
    <w:rsid w:val="00450E34"/>
    <w:rsid w:val="004511C4"/>
    <w:rsid w:val="0045154C"/>
    <w:rsid w:val="00451AA8"/>
    <w:rsid w:val="00451BD6"/>
    <w:rsid w:val="004522AA"/>
    <w:rsid w:val="004523C9"/>
    <w:rsid w:val="00452437"/>
    <w:rsid w:val="00452939"/>
    <w:rsid w:val="00452A24"/>
    <w:rsid w:val="00452F17"/>
    <w:rsid w:val="0045324B"/>
    <w:rsid w:val="0045350D"/>
    <w:rsid w:val="004537AC"/>
    <w:rsid w:val="00453853"/>
    <w:rsid w:val="00453964"/>
    <w:rsid w:val="00453A1B"/>
    <w:rsid w:val="00453A89"/>
    <w:rsid w:val="00453B5C"/>
    <w:rsid w:val="00453B65"/>
    <w:rsid w:val="00453BAF"/>
    <w:rsid w:val="00453D7E"/>
    <w:rsid w:val="00453DE6"/>
    <w:rsid w:val="00453E43"/>
    <w:rsid w:val="00453F37"/>
    <w:rsid w:val="00454015"/>
    <w:rsid w:val="004541ED"/>
    <w:rsid w:val="004544F6"/>
    <w:rsid w:val="00454603"/>
    <w:rsid w:val="0045466C"/>
    <w:rsid w:val="00454844"/>
    <w:rsid w:val="00454944"/>
    <w:rsid w:val="00454C25"/>
    <w:rsid w:val="00454C49"/>
    <w:rsid w:val="00454E23"/>
    <w:rsid w:val="00454ECD"/>
    <w:rsid w:val="00454FD4"/>
    <w:rsid w:val="00454FFE"/>
    <w:rsid w:val="004550FE"/>
    <w:rsid w:val="00455267"/>
    <w:rsid w:val="004552D8"/>
    <w:rsid w:val="0045540F"/>
    <w:rsid w:val="00455491"/>
    <w:rsid w:val="004557CC"/>
    <w:rsid w:val="00455844"/>
    <w:rsid w:val="00455D6C"/>
    <w:rsid w:val="00456015"/>
    <w:rsid w:val="004567DC"/>
    <w:rsid w:val="0045688C"/>
    <w:rsid w:val="00456AD5"/>
    <w:rsid w:val="00456DE5"/>
    <w:rsid w:val="004578D6"/>
    <w:rsid w:val="00460343"/>
    <w:rsid w:val="00460382"/>
    <w:rsid w:val="0046048F"/>
    <w:rsid w:val="004604A4"/>
    <w:rsid w:val="0046064F"/>
    <w:rsid w:val="00460B54"/>
    <w:rsid w:val="00460BB6"/>
    <w:rsid w:val="00460C92"/>
    <w:rsid w:val="00460C97"/>
    <w:rsid w:val="00460D4D"/>
    <w:rsid w:val="00460E5D"/>
    <w:rsid w:val="00460F06"/>
    <w:rsid w:val="00461054"/>
    <w:rsid w:val="004613D0"/>
    <w:rsid w:val="004614BC"/>
    <w:rsid w:val="00461507"/>
    <w:rsid w:val="00461B67"/>
    <w:rsid w:val="00461B72"/>
    <w:rsid w:val="00461D96"/>
    <w:rsid w:val="0046218B"/>
    <w:rsid w:val="00462283"/>
    <w:rsid w:val="00462317"/>
    <w:rsid w:val="00462871"/>
    <w:rsid w:val="00462AA4"/>
    <w:rsid w:val="00462C0B"/>
    <w:rsid w:val="004631CD"/>
    <w:rsid w:val="004631FC"/>
    <w:rsid w:val="0046324C"/>
    <w:rsid w:val="004635D9"/>
    <w:rsid w:val="0046374A"/>
    <w:rsid w:val="00463885"/>
    <w:rsid w:val="004638BF"/>
    <w:rsid w:val="004639FB"/>
    <w:rsid w:val="00463C65"/>
    <w:rsid w:val="0046419D"/>
    <w:rsid w:val="00464B7B"/>
    <w:rsid w:val="00464C62"/>
    <w:rsid w:val="00464D17"/>
    <w:rsid w:val="00465203"/>
    <w:rsid w:val="0046565E"/>
    <w:rsid w:val="004657A2"/>
    <w:rsid w:val="00465A54"/>
    <w:rsid w:val="00465B50"/>
    <w:rsid w:val="00465DA7"/>
    <w:rsid w:val="00466124"/>
    <w:rsid w:val="004661CA"/>
    <w:rsid w:val="0046626F"/>
    <w:rsid w:val="004665AA"/>
    <w:rsid w:val="004670A2"/>
    <w:rsid w:val="00467288"/>
    <w:rsid w:val="0046735E"/>
    <w:rsid w:val="004677FB"/>
    <w:rsid w:val="004679A8"/>
    <w:rsid w:val="004679DF"/>
    <w:rsid w:val="00470228"/>
    <w:rsid w:val="0047074F"/>
    <w:rsid w:val="00470AEA"/>
    <w:rsid w:val="004717DA"/>
    <w:rsid w:val="00471953"/>
    <w:rsid w:val="00471D9B"/>
    <w:rsid w:val="00472181"/>
    <w:rsid w:val="004723AE"/>
    <w:rsid w:val="0047246E"/>
    <w:rsid w:val="00472614"/>
    <w:rsid w:val="004726B9"/>
    <w:rsid w:val="00472FC9"/>
    <w:rsid w:val="00472FE2"/>
    <w:rsid w:val="004734F1"/>
    <w:rsid w:val="004736B6"/>
    <w:rsid w:val="004736F2"/>
    <w:rsid w:val="004739CA"/>
    <w:rsid w:val="00473A69"/>
    <w:rsid w:val="00473A8A"/>
    <w:rsid w:val="00473CFD"/>
    <w:rsid w:val="00473FCB"/>
    <w:rsid w:val="004744AB"/>
    <w:rsid w:val="00474ABB"/>
    <w:rsid w:val="00474CE4"/>
    <w:rsid w:val="00474DB2"/>
    <w:rsid w:val="00474F20"/>
    <w:rsid w:val="0047512E"/>
    <w:rsid w:val="004758A2"/>
    <w:rsid w:val="00475BA9"/>
    <w:rsid w:val="00475BAF"/>
    <w:rsid w:val="00476998"/>
    <w:rsid w:val="00476C81"/>
    <w:rsid w:val="00476F33"/>
    <w:rsid w:val="00477112"/>
    <w:rsid w:val="00477208"/>
    <w:rsid w:val="004772BE"/>
    <w:rsid w:val="004773DA"/>
    <w:rsid w:val="00477839"/>
    <w:rsid w:val="00477923"/>
    <w:rsid w:val="00477AC1"/>
    <w:rsid w:val="00477D87"/>
    <w:rsid w:val="00480872"/>
    <w:rsid w:val="00480A38"/>
    <w:rsid w:val="00480D8E"/>
    <w:rsid w:val="004815C4"/>
    <w:rsid w:val="00481618"/>
    <w:rsid w:val="00481627"/>
    <w:rsid w:val="004816C4"/>
    <w:rsid w:val="0048216C"/>
    <w:rsid w:val="00482445"/>
    <w:rsid w:val="004826C9"/>
    <w:rsid w:val="00482795"/>
    <w:rsid w:val="00482A4E"/>
    <w:rsid w:val="00482CF9"/>
    <w:rsid w:val="00482EFD"/>
    <w:rsid w:val="00483206"/>
    <w:rsid w:val="00483397"/>
    <w:rsid w:val="00483AC3"/>
    <w:rsid w:val="00483B29"/>
    <w:rsid w:val="00483B67"/>
    <w:rsid w:val="00483CA7"/>
    <w:rsid w:val="00483D1E"/>
    <w:rsid w:val="0048414F"/>
    <w:rsid w:val="0048421A"/>
    <w:rsid w:val="00484629"/>
    <w:rsid w:val="00484748"/>
    <w:rsid w:val="004847F3"/>
    <w:rsid w:val="00484B52"/>
    <w:rsid w:val="00484CAC"/>
    <w:rsid w:val="00484CC6"/>
    <w:rsid w:val="00484D12"/>
    <w:rsid w:val="00485349"/>
    <w:rsid w:val="004853D5"/>
    <w:rsid w:val="00485463"/>
    <w:rsid w:val="00485585"/>
    <w:rsid w:val="00485808"/>
    <w:rsid w:val="004862AF"/>
    <w:rsid w:val="0048659A"/>
    <w:rsid w:val="0048691A"/>
    <w:rsid w:val="00486EA6"/>
    <w:rsid w:val="004870B1"/>
    <w:rsid w:val="00487581"/>
    <w:rsid w:val="00487783"/>
    <w:rsid w:val="004878BA"/>
    <w:rsid w:val="0049049F"/>
    <w:rsid w:val="004907D8"/>
    <w:rsid w:val="00490979"/>
    <w:rsid w:val="00490A60"/>
    <w:rsid w:val="00490F02"/>
    <w:rsid w:val="00491238"/>
    <w:rsid w:val="004914D6"/>
    <w:rsid w:val="00491847"/>
    <w:rsid w:val="00491911"/>
    <w:rsid w:val="00491A64"/>
    <w:rsid w:val="00491D86"/>
    <w:rsid w:val="00491DF3"/>
    <w:rsid w:val="00491E61"/>
    <w:rsid w:val="00491EAF"/>
    <w:rsid w:val="00491FB3"/>
    <w:rsid w:val="0049264D"/>
    <w:rsid w:val="00492A33"/>
    <w:rsid w:val="00492DBB"/>
    <w:rsid w:val="00493908"/>
    <w:rsid w:val="00493ABA"/>
    <w:rsid w:val="00493CC3"/>
    <w:rsid w:val="00493D4D"/>
    <w:rsid w:val="00493E36"/>
    <w:rsid w:val="00494136"/>
    <w:rsid w:val="0049413B"/>
    <w:rsid w:val="004947B6"/>
    <w:rsid w:val="00494CEA"/>
    <w:rsid w:val="0049514F"/>
    <w:rsid w:val="004957F8"/>
    <w:rsid w:val="00495D3D"/>
    <w:rsid w:val="00495D5F"/>
    <w:rsid w:val="00495F79"/>
    <w:rsid w:val="00496894"/>
    <w:rsid w:val="00496F92"/>
    <w:rsid w:val="004971DF"/>
    <w:rsid w:val="004975DA"/>
    <w:rsid w:val="004977B9"/>
    <w:rsid w:val="00497D8A"/>
    <w:rsid w:val="004A010F"/>
    <w:rsid w:val="004A0863"/>
    <w:rsid w:val="004A0B7E"/>
    <w:rsid w:val="004A0BAB"/>
    <w:rsid w:val="004A0CD0"/>
    <w:rsid w:val="004A0D06"/>
    <w:rsid w:val="004A0E56"/>
    <w:rsid w:val="004A10C4"/>
    <w:rsid w:val="004A141F"/>
    <w:rsid w:val="004A157D"/>
    <w:rsid w:val="004A17A2"/>
    <w:rsid w:val="004A1800"/>
    <w:rsid w:val="004A184C"/>
    <w:rsid w:val="004A1A05"/>
    <w:rsid w:val="004A1B6C"/>
    <w:rsid w:val="004A1D0C"/>
    <w:rsid w:val="004A2074"/>
    <w:rsid w:val="004A24CE"/>
    <w:rsid w:val="004A2823"/>
    <w:rsid w:val="004A2B7C"/>
    <w:rsid w:val="004A2CCC"/>
    <w:rsid w:val="004A2D2C"/>
    <w:rsid w:val="004A2D74"/>
    <w:rsid w:val="004A38E1"/>
    <w:rsid w:val="004A3927"/>
    <w:rsid w:val="004A3958"/>
    <w:rsid w:val="004A428D"/>
    <w:rsid w:val="004A4ED5"/>
    <w:rsid w:val="004A5031"/>
    <w:rsid w:val="004A50A9"/>
    <w:rsid w:val="004A55AF"/>
    <w:rsid w:val="004A59D4"/>
    <w:rsid w:val="004A5A63"/>
    <w:rsid w:val="004A5E39"/>
    <w:rsid w:val="004A5F01"/>
    <w:rsid w:val="004A61AB"/>
    <w:rsid w:val="004A6209"/>
    <w:rsid w:val="004A6C3D"/>
    <w:rsid w:val="004A6CEC"/>
    <w:rsid w:val="004A6DFB"/>
    <w:rsid w:val="004A733A"/>
    <w:rsid w:val="004A744F"/>
    <w:rsid w:val="004A7476"/>
    <w:rsid w:val="004A7AC8"/>
    <w:rsid w:val="004A7C92"/>
    <w:rsid w:val="004B0966"/>
    <w:rsid w:val="004B0A45"/>
    <w:rsid w:val="004B0B05"/>
    <w:rsid w:val="004B0CE8"/>
    <w:rsid w:val="004B0E17"/>
    <w:rsid w:val="004B0F70"/>
    <w:rsid w:val="004B12B3"/>
    <w:rsid w:val="004B1401"/>
    <w:rsid w:val="004B21BA"/>
    <w:rsid w:val="004B2329"/>
    <w:rsid w:val="004B23F0"/>
    <w:rsid w:val="004B23FF"/>
    <w:rsid w:val="004B26B7"/>
    <w:rsid w:val="004B2712"/>
    <w:rsid w:val="004B27C9"/>
    <w:rsid w:val="004B2A15"/>
    <w:rsid w:val="004B2BD7"/>
    <w:rsid w:val="004B2D33"/>
    <w:rsid w:val="004B2F5A"/>
    <w:rsid w:val="004B2FE0"/>
    <w:rsid w:val="004B344A"/>
    <w:rsid w:val="004B3765"/>
    <w:rsid w:val="004B3882"/>
    <w:rsid w:val="004B38A1"/>
    <w:rsid w:val="004B3B23"/>
    <w:rsid w:val="004B3F2E"/>
    <w:rsid w:val="004B412C"/>
    <w:rsid w:val="004B437A"/>
    <w:rsid w:val="004B458D"/>
    <w:rsid w:val="004B49DD"/>
    <w:rsid w:val="004B4AB4"/>
    <w:rsid w:val="004B4D09"/>
    <w:rsid w:val="004B55CB"/>
    <w:rsid w:val="004B57EB"/>
    <w:rsid w:val="004B57F4"/>
    <w:rsid w:val="004B5927"/>
    <w:rsid w:val="004B5C4D"/>
    <w:rsid w:val="004B5C7A"/>
    <w:rsid w:val="004B5D3D"/>
    <w:rsid w:val="004B5D7F"/>
    <w:rsid w:val="004B6019"/>
    <w:rsid w:val="004B6542"/>
    <w:rsid w:val="004B65B1"/>
    <w:rsid w:val="004B6614"/>
    <w:rsid w:val="004B6CA9"/>
    <w:rsid w:val="004B70CB"/>
    <w:rsid w:val="004B7201"/>
    <w:rsid w:val="004B793C"/>
    <w:rsid w:val="004B7B5C"/>
    <w:rsid w:val="004B7CE4"/>
    <w:rsid w:val="004B7FB2"/>
    <w:rsid w:val="004C04A2"/>
    <w:rsid w:val="004C0576"/>
    <w:rsid w:val="004C0A61"/>
    <w:rsid w:val="004C112D"/>
    <w:rsid w:val="004C1181"/>
    <w:rsid w:val="004C11A2"/>
    <w:rsid w:val="004C128D"/>
    <w:rsid w:val="004C129F"/>
    <w:rsid w:val="004C1505"/>
    <w:rsid w:val="004C1CD1"/>
    <w:rsid w:val="004C1DC3"/>
    <w:rsid w:val="004C1ED9"/>
    <w:rsid w:val="004C299E"/>
    <w:rsid w:val="004C33D1"/>
    <w:rsid w:val="004C351A"/>
    <w:rsid w:val="004C35C3"/>
    <w:rsid w:val="004C3A5E"/>
    <w:rsid w:val="004C3CAC"/>
    <w:rsid w:val="004C3D71"/>
    <w:rsid w:val="004C3DFC"/>
    <w:rsid w:val="004C40D8"/>
    <w:rsid w:val="004C4710"/>
    <w:rsid w:val="004C4741"/>
    <w:rsid w:val="004C4763"/>
    <w:rsid w:val="004C4812"/>
    <w:rsid w:val="004C488D"/>
    <w:rsid w:val="004C48E4"/>
    <w:rsid w:val="004C4BA9"/>
    <w:rsid w:val="004C4E13"/>
    <w:rsid w:val="004C505F"/>
    <w:rsid w:val="004C54B2"/>
    <w:rsid w:val="004C578B"/>
    <w:rsid w:val="004C590F"/>
    <w:rsid w:val="004C5C20"/>
    <w:rsid w:val="004C6CCC"/>
    <w:rsid w:val="004C6EC9"/>
    <w:rsid w:val="004C74B9"/>
    <w:rsid w:val="004C780B"/>
    <w:rsid w:val="004D0160"/>
    <w:rsid w:val="004D02D5"/>
    <w:rsid w:val="004D0697"/>
    <w:rsid w:val="004D0786"/>
    <w:rsid w:val="004D15DB"/>
    <w:rsid w:val="004D167A"/>
    <w:rsid w:val="004D17DF"/>
    <w:rsid w:val="004D1B17"/>
    <w:rsid w:val="004D1DDC"/>
    <w:rsid w:val="004D1E78"/>
    <w:rsid w:val="004D2501"/>
    <w:rsid w:val="004D2896"/>
    <w:rsid w:val="004D29FF"/>
    <w:rsid w:val="004D2C98"/>
    <w:rsid w:val="004D2CA2"/>
    <w:rsid w:val="004D3052"/>
    <w:rsid w:val="004D30AB"/>
    <w:rsid w:val="004D356F"/>
    <w:rsid w:val="004D36BF"/>
    <w:rsid w:val="004D3A61"/>
    <w:rsid w:val="004D3CB3"/>
    <w:rsid w:val="004D4103"/>
    <w:rsid w:val="004D46A6"/>
    <w:rsid w:val="004D4848"/>
    <w:rsid w:val="004D4957"/>
    <w:rsid w:val="004D49A9"/>
    <w:rsid w:val="004D4DF8"/>
    <w:rsid w:val="004D4FFF"/>
    <w:rsid w:val="004D518E"/>
    <w:rsid w:val="004D519A"/>
    <w:rsid w:val="004D6000"/>
    <w:rsid w:val="004D62E0"/>
    <w:rsid w:val="004D63E4"/>
    <w:rsid w:val="004D7495"/>
    <w:rsid w:val="004D7767"/>
    <w:rsid w:val="004D7802"/>
    <w:rsid w:val="004D794C"/>
    <w:rsid w:val="004D7AA5"/>
    <w:rsid w:val="004E0015"/>
    <w:rsid w:val="004E00FD"/>
    <w:rsid w:val="004E0398"/>
    <w:rsid w:val="004E0488"/>
    <w:rsid w:val="004E0671"/>
    <w:rsid w:val="004E09E4"/>
    <w:rsid w:val="004E0ABA"/>
    <w:rsid w:val="004E0E77"/>
    <w:rsid w:val="004E0EC3"/>
    <w:rsid w:val="004E13F8"/>
    <w:rsid w:val="004E16D8"/>
    <w:rsid w:val="004E17EC"/>
    <w:rsid w:val="004E1A7A"/>
    <w:rsid w:val="004E1C2E"/>
    <w:rsid w:val="004E1C70"/>
    <w:rsid w:val="004E1D5A"/>
    <w:rsid w:val="004E2469"/>
    <w:rsid w:val="004E2786"/>
    <w:rsid w:val="004E29CD"/>
    <w:rsid w:val="004E2B06"/>
    <w:rsid w:val="004E2BA6"/>
    <w:rsid w:val="004E2C44"/>
    <w:rsid w:val="004E2CC0"/>
    <w:rsid w:val="004E2CC1"/>
    <w:rsid w:val="004E3051"/>
    <w:rsid w:val="004E3056"/>
    <w:rsid w:val="004E3379"/>
    <w:rsid w:val="004E3B16"/>
    <w:rsid w:val="004E3E2C"/>
    <w:rsid w:val="004E3F7B"/>
    <w:rsid w:val="004E4600"/>
    <w:rsid w:val="004E4719"/>
    <w:rsid w:val="004E50AF"/>
    <w:rsid w:val="004E5352"/>
    <w:rsid w:val="004E55F1"/>
    <w:rsid w:val="004E574F"/>
    <w:rsid w:val="004E5A39"/>
    <w:rsid w:val="004E5A70"/>
    <w:rsid w:val="004E5C9A"/>
    <w:rsid w:val="004E635B"/>
    <w:rsid w:val="004E6479"/>
    <w:rsid w:val="004E64D8"/>
    <w:rsid w:val="004E66B0"/>
    <w:rsid w:val="004E6AD2"/>
    <w:rsid w:val="004E6DCA"/>
    <w:rsid w:val="004E7097"/>
    <w:rsid w:val="004E7201"/>
    <w:rsid w:val="004E782D"/>
    <w:rsid w:val="004E7931"/>
    <w:rsid w:val="004E79FC"/>
    <w:rsid w:val="004E7AE8"/>
    <w:rsid w:val="004E7D86"/>
    <w:rsid w:val="004F009A"/>
    <w:rsid w:val="004F04A4"/>
    <w:rsid w:val="004F0549"/>
    <w:rsid w:val="004F08E1"/>
    <w:rsid w:val="004F0AC2"/>
    <w:rsid w:val="004F1244"/>
    <w:rsid w:val="004F1336"/>
    <w:rsid w:val="004F1611"/>
    <w:rsid w:val="004F194B"/>
    <w:rsid w:val="004F1BB1"/>
    <w:rsid w:val="004F1FE2"/>
    <w:rsid w:val="004F20CC"/>
    <w:rsid w:val="004F24AF"/>
    <w:rsid w:val="004F254A"/>
    <w:rsid w:val="004F26A5"/>
    <w:rsid w:val="004F26EA"/>
    <w:rsid w:val="004F273C"/>
    <w:rsid w:val="004F2CF9"/>
    <w:rsid w:val="004F2DDD"/>
    <w:rsid w:val="004F2E95"/>
    <w:rsid w:val="004F37CE"/>
    <w:rsid w:val="004F3BB2"/>
    <w:rsid w:val="004F3D5E"/>
    <w:rsid w:val="004F3EC6"/>
    <w:rsid w:val="004F442D"/>
    <w:rsid w:val="004F456D"/>
    <w:rsid w:val="004F45E9"/>
    <w:rsid w:val="004F4B03"/>
    <w:rsid w:val="004F5092"/>
    <w:rsid w:val="004F5197"/>
    <w:rsid w:val="004F5299"/>
    <w:rsid w:val="004F52CD"/>
    <w:rsid w:val="004F59BB"/>
    <w:rsid w:val="004F5A80"/>
    <w:rsid w:val="004F5A8E"/>
    <w:rsid w:val="004F5D85"/>
    <w:rsid w:val="004F5D8F"/>
    <w:rsid w:val="004F5F87"/>
    <w:rsid w:val="004F606A"/>
    <w:rsid w:val="004F614D"/>
    <w:rsid w:val="004F63B2"/>
    <w:rsid w:val="004F6455"/>
    <w:rsid w:val="004F6779"/>
    <w:rsid w:val="004F6C7E"/>
    <w:rsid w:val="004F70B6"/>
    <w:rsid w:val="004F70E7"/>
    <w:rsid w:val="004F71CA"/>
    <w:rsid w:val="004F7657"/>
    <w:rsid w:val="004F77DE"/>
    <w:rsid w:val="004F7D4E"/>
    <w:rsid w:val="004F7E95"/>
    <w:rsid w:val="0050027D"/>
    <w:rsid w:val="005002EC"/>
    <w:rsid w:val="00500419"/>
    <w:rsid w:val="0050049F"/>
    <w:rsid w:val="005006D7"/>
    <w:rsid w:val="00500BFA"/>
    <w:rsid w:val="00500CB5"/>
    <w:rsid w:val="0050107D"/>
    <w:rsid w:val="005011DC"/>
    <w:rsid w:val="0050159B"/>
    <w:rsid w:val="005015A4"/>
    <w:rsid w:val="00501ADE"/>
    <w:rsid w:val="00501FBE"/>
    <w:rsid w:val="005021C0"/>
    <w:rsid w:val="005028E2"/>
    <w:rsid w:val="00502EFE"/>
    <w:rsid w:val="00502FA9"/>
    <w:rsid w:val="00503021"/>
    <w:rsid w:val="0050312C"/>
    <w:rsid w:val="00503148"/>
    <w:rsid w:val="00503597"/>
    <w:rsid w:val="005037ED"/>
    <w:rsid w:val="00503B2A"/>
    <w:rsid w:val="00503C27"/>
    <w:rsid w:val="00503CAB"/>
    <w:rsid w:val="00503D5C"/>
    <w:rsid w:val="00504260"/>
    <w:rsid w:val="005043BA"/>
    <w:rsid w:val="005045F8"/>
    <w:rsid w:val="00504840"/>
    <w:rsid w:val="005049BB"/>
    <w:rsid w:val="00504AA2"/>
    <w:rsid w:val="00505327"/>
    <w:rsid w:val="005053D5"/>
    <w:rsid w:val="00505DF2"/>
    <w:rsid w:val="00505F1E"/>
    <w:rsid w:val="005060BA"/>
    <w:rsid w:val="005061E9"/>
    <w:rsid w:val="0050647A"/>
    <w:rsid w:val="005065C9"/>
    <w:rsid w:val="00506787"/>
    <w:rsid w:val="00506818"/>
    <w:rsid w:val="00506956"/>
    <w:rsid w:val="00506AA6"/>
    <w:rsid w:val="00507209"/>
    <w:rsid w:val="00507493"/>
    <w:rsid w:val="005078FE"/>
    <w:rsid w:val="00507B33"/>
    <w:rsid w:val="005100DE"/>
    <w:rsid w:val="005100E1"/>
    <w:rsid w:val="00510504"/>
    <w:rsid w:val="00510ACF"/>
    <w:rsid w:val="00510E94"/>
    <w:rsid w:val="00511198"/>
    <w:rsid w:val="005111DD"/>
    <w:rsid w:val="00511766"/>
    <w:rsid w:val="00511863"/>
    <w:rsid w:val="00511AB0"/>
    <w:rsid w:val="00512057"/>
    <w:rsid w:val="00512679"/>
    <w:rsid w:val="00512718"/>
    <w:rsid w:val="005127EE"/>
    <w:rsid w:val="00512C7A"/>
    <w:rsid w:val="00512DE1"/>
    <w:rsid w:val="00513268"/>
    <w:rsid w:val="005132AD"/>
    <w:rsid w:val="00513488"/>
    <w:rsid w:val="005135C9"/>
    <w:rsid w:val="005138F5"/>
    <w:rsid w:val="00513AFA"/>
    <w:rsid w:val="00513E12"/>
    <w:rsid w:val="00513F91"/>
    <w:rsid w:val="0051405A"/>
    <w:rsid w:val="00514153"/>
    <w:rsid w:val="00514539"/>
    <w:rsid w:val="00514596"/>
    <w:rsid w:val="005147EE"/>
    <w:rsid w:val="00514EE6"/>
    <w:rsid w:val="00514F61"/>
    <w:rsid w:val="005150E0"/>
    <w:rsid w:val="005154D0"/>
    <w:rsid w:val="005157AE"/>
    <w:rsid w:val="00515F9D"/>
    <w:rsid w:val="005161A4"/>
    <w:rsid w:val="0051690D"/>
    <w:rsid w:val="00516DE1"/>
    <w:rsid w:val="005174F3"/>
    <w:rsid w:val="00517832"/>
    <w:rsid w:val="00517A7F"/>
    <w:rsid w:val="00517E05"/>
    <w:rsid w:val="00517F61"/>
    <w:rsid w:val="00520626"/>
    <w:rsid w:val="0052106D"/>
    <w:rsid w:val="00521576"/>
    <w:rsid w:val="00521BC1"/>
    <w:rsid w:val="00521BC2"/>
    <w:rsid w:val="00521DA3"/>
    <w:rsid w:val="00521F78"/>
    <w:rsid w:val="00521FF5"/>
    <w:rsid w:val="00522DFF"/>
    <w:rsid w:val="00522F80"/>
    <w:rsid w:val="00522FB7"/>
    <w:rsid w:val="00523680"/>
    <w:rsid w:val="00523B0D"/>
    <w:rsid w:val="00523D27"/>
    <w:rsid w:val="00523D98"/>
    <w:rsid w:val="00523DD5"/>
    <w:rsid w:val="00523DE4"/>
    <w:rsid w:val="005241F3"/>
    <w:rsid w:val="00524247"/>
    <w:rsid w:val="0052437C"/>
    <w:rsid w:val="005243EB"/>
    <w:rsid w:val="00524622"/>
    <w:rsid w:val="005246ED"/>
    <w:rsid w:val="00524736"/>
    <w:rsid w:val="00524CFF"/>
    <w:rsid w:val="00525182"/>
    <w:rsid w:val="005254C5"/>
    <w:rsid w:val="0052550A"/>
    <w:rsid w:val="00525642"/>
    <w:rsid w:val="00525727"/>
    <w:rsid w:val="005259E8"/>
    <w:rsid w:val="00525E2A"/>
    <w:rsid w:val="00525EDD"/>
    <w:rsid w:val="00526001"/>
    <w:rsid w:val="005269CE"/>
    <w:rsid w:val="00527097"/>
    <w:rsid w:val="00527224"/>
    <w:rsid w:val="0052779B"/>
    <w:rsid w:val="00527A69"/>
    <w:rsid w:val="00527D02"/>
    <w:rsid w:val="00527F95"/>
    <w:rsid w:val="005308C0"/>
    <w:rsid w:val="00530DAA"/>
    <w:rsid w:val="00531449"/>
    <w:rsid w:val="0053172B"/>
    <w:rsid w:val="00531944"/>
    <w:rsid w:val="005319A2"/>
    <w:rsid w:val="00531AF8"/>
    <w:rsid w:val="00531B5A"/>
    <w:rsid w:val="00531C7D"/>
    <w:rsid w:val="00532198"/>
    <w:rsid w:val="005322A7"/>
    <w:rsid w:val="00532399"/>
    <w:rsid w:val="00532457"/>
    <w:rsid w:val="005324E8"/>
    <w:rsid w:val="0053266D"/>
    <w:rsid w:val="005326FB"/>
    <w:rsid w:val="00532712"/>
    <w:rsid w:val="00532C6B"/>
    <w:rsid w:val="00532D0A"/>
    <w:rsid w:val="00532E55"/>
    <w:rsid w:val="00533123"/>
    <w:rsid w:val="00533186"/>
    <w:rsid w:val="005331A7"/>
    <w:rsid w:val="005332A5"/>
    <w:rsid w:val="005333BA"/>
    <w:rsid w:val="00533456"/>
    <w:rsid w:val="00533A63"/>
    <w:rsid w:val="00533C35"/>
    <w:rsid w:val="00533C7D"/>
    <w:rsid w:val="00533F8F"/>
    <w:rsid w:val="00534165"/>
    <w:rsid w:val="005346CB"/>
    <w:rsid w:val="005347B7"/>
    <w:rsid w:val="00534911"/>
    <w:rsid w:val="00534DC4"/>
    <w:rsid w:val="00534EAE"/>
    <w:rsid w:val="0053506A"/>
    <w:rsid w:val="005351F7"/>
    <w:rsid w:val="005357A1"/>
    <w:rsid w:val="00535C77"/>
    <w:rsid w:val="00535FD8"/>
    <w:rsid w:val="005366E7"/>
    <w:rsid w:val="00536711"/>
    <w:rsid w:val="00536C6B"/>
    <w:rsid w:val="00536D2D"/>
    <w:rsid w:val="0053720C"/>
    <w:rsid w:val="005372FF"/>
    <w:rsid w:val="00537B40"/>
    <w:rsid w:val="00537E23"/>
    <w:rsid w:val="00537F58"/>
    <w:rsid w:val="005383FD"/>
    <w:rsid w:val="00540025"/>
    <w:rsid w:val="005401BF"/>
    <w:rsid w:val="00540D31"/>
    <w:rsid w:val="00540E04"/>
    <w:rsid w:val="00540E97"/>
    <w:rsid w:val="005410EC"/>
    <w:rsid w:val="00541228"/>
    <w:rsid w:val="005415ED"/>
    <w:rsid w:val="0054163A"/>
    <w:rsid w:val="00541A42"/>
    <w:rsid w:val="00541AE0"/>
    <w:rsid w:val="00541B4C"/>
    <w:rsid w:val="0054240B"/>
    <w:rsid w:val="0054262E"/>
    <w:rsid w:val="005427FC"/>
    <w:rsid w:val="00542E5A"/>
    <w:rsid w:val="00543194"/>
    <w:rsid w:val="0054343A"/>
    <w:rsid w:val="0054349F"/>
    <w:rsid w:val="00543511"/>
    <w:rsid w:val="005438BF"/>
    <w:rsid w:val="00543E2B"/>
    <w:rsid w:val="00543FFC"/>
    <w:rsid w:val="00544276"/>
    <w:rsid w:val="005442DF"/>
    <w:rsid w:val="0054480A"/>
    <w:rsid w:val="00544854"/>
    <w:rsid w:val="00544B03"/>
    <w:rsid w:val="00544BF9"/>
    <w:rsid w:val="00544DAB"/>
    <w:rsid w:val="00544EDE"/>
    <w:rsid w:val="0054546C"/>
    <w:rsid w:val="00545F09"/>
    <w:rsid w:val="0054602E"/>
    <w:rsid w:val="005461A2"/>
    <w:rsid w:val="00546317"/>
    <w:rsid w:val="00546BBA"/>
    <w:rsid w:val="00546EB5"/>
    <w:rsid w:val="0054795A"/>
    <w:rsid w:val="00547A4F"/>
    <w:rsid w:val="00550005"/>
    <w:rsid w:val="00550204"/>
    <w:rsid w:val="005505BB"/>
    <w:rsid w:val="005508B7"/>
    <w:rsid w:val="005508BF"/>
    <w:rsid w:val="00550950"/>
    <w:rsid w:val="00550CF1"/>
    <w:rsid w:val="00550FBE"/>
    <w:rsid w:val="00551028"/>
    <w:rsid w:val="00551029"/>
    <w:rsid w:val="005512DA"/>
    <w:rsid w:val="00551364"/>
    <w:rsid w:val="00551456"/>
    <w:rsid w:val="0055172F"/>
    <w:rsid w:val="00551920"/>
    <w:rsid w:val="00551935"/>
    <w:rsid w:val="00551CEA"/>
    <w:rsid w:val="00551DC7"/>
    <w:rsid w:val="00551F91"/>
    <w:rsid w:val="00552E75"/>
    <w:rsid w:val="0055307E"/>
    <w:rsid w:val="005532FD"/>
    <w:rsid w:val="00553396"/>
    <w:rsid w:val="005537DA"/>
    <w:rsid w:val="00553E96"/>
    <w:rsid w:val="005542E6"/>
    <w:rsid w:val="005543F1"/>
    <w:rsid w:val="0055459A"/>
    <w:rsid w:val="00554815"/>
    <w:rsid w:val="00554868"/>
    <w:rsid w:val="005549CC"/>
    <w:rsid w:val="00554E9F"/>
    <w:rsid w:val="00554F4D"/>
    <w:rsid w:val="0055529B"/>
    <w:rsid w:val="005554CB"/>
    <w:rsid w:val="0055551C"/>
    <w:rsid w:val="00555681"/>
    <w:rsid w:val="0055569A"/>
    <w:rsid w:val="00555B56"/>
    <w:rsid w:val="00555CD6"/>
    <w:rsid w:val="005563D6"/>
    <w:rsid w:val="0055650F"/>
    <w:rsid w:val="005565D6"/>
    <w:rsid w:val="005566D8"/>
    <w:rsid w:val="0055670C"/>
    <w:rsid w:val="005567A4"/>
    <w:rsid w:val="00556861"/>
    <w:rsid w:val="00556D80"/>
    <w:rsid w:val="00557336"/>
    <w:rsid w:val="0055746C"/>
    <w:rsid w:val="00557654"/>
    <w:rsid w:val="0055781F"/>
    <w:rsid w:val="005579D0"/>
    <w:rsid w:val="00557B89"/>
    <w:rsid w:val="0055F371"/>
    <w:rsid w:val="0056049E"/>
    <w:rsid w:val="00560747"/>
    <w:rsid w:val="00560C01"/>
    <w:rsid w:val="00560F18"/>
    <w:rsid w:val="0056171A"/>
    <w:rsid w:val="00561AED"/>
    <w:rsid w:val="00561B71"/>
    <w:rsid w:val="00561B7B"/>
    <w:rsid w:val="00561F1B"/>
    <w:rsid w:val="005621D1"/>
    <w:rsid w:val="00562411"/>
    <w:rsid w:val="00562473"/>
    <w:rsid w:val="00562804"/>
    <w:rsid w:val="005628CA"/>
    <w:rsid w:val="00562EAD"/>
    <w:rsid w:val="0056316F"/>
    <w:rsid w:val="00563673"/>
    <w:rsid w:val="00563722"/>
    <w:rsid w:val="00563775"/>
    <w:rsid w:val="005641A0"/>
    <w:rsid w:val="005641F4"/>
    <w:rsid w:val="0056496B"/>
    <w:rsid w:val="00564A76"/>
    <w:rsid w:val="00564BBC"/>
    <w:rsid w:val="00564D18"/>
    <w:rsid w:val="00565044"/>
    <w:rsid w:val="00565560"/>
    <w:rsid w:val="00565790"/>
    <w:rsid w:val="0056582D"/>
    <w:rsid w:val="00565925"/>
    <w:rsid w:val="00565946"/>
    <w:rsid w:val="00565960"/>
    <w:rsid w:val="00565A37"/>
    <w:rsid w:val="00565B24"/>
    <w:rsid w:val="00565CF8"/>
    <w:rsid w:val="00565D19"/>
    <w:rsid w:val="00565F7C"/>
    <w:rsid w:val="0056613A"/>
    <w:rsid w:val="00566235"/>
    <w:rsid w:val="005666C6"/>
    <w:rsid w:val="00566DE9"/>
    <w:rsid w:val="00566E50"/>
    <w:rsid w:val="005676D6"/>
    <w:rsid w:val="00567940"/>
    <w:rsid w:val="00570047"/>
    <w:rsid w:val="005703D6"/>
    <w:rsid w:val="00570523"/>
    <w:rsid w:val="005705E6"/>
    <w:rsid w:val="005706C0"/>
    <w:rsid w:val="005709A0"/>
    <w:rsid w:val="0057100A"/>
    <w:rsid w:val="0057155A"/>
    <w:rsid w:val="00571595"/>
    <w:rsid w:val="00571671"/>
    <w:rsid w:val="00571831"/>
    <w:rsid w:val="0057188B"/>
    <w:rsid w:val="005719B6"/>
    <w:rsid w:val="005719B9"/>
    <w:rsid w:val="005719FB"/>
    <w:rsid w:val="00571C06"/>
    <w:rsid w:val="005723D9"/>
    <w:rsid w:val="00572711"/>
    <w:rsid w:val="00572924"/>
    <w:rsid w:val="005729F2"/>
    <w:rsid w:val="00572A99"/>
    <w:rsid w:val="00573058"/>
    <w:rsid w:val="0057305E"/>
    <w:rsid w:val="005730C0"/>
    <w:rsid w:val="0057311E"/>
    <w:rsid w:val="00573603"/>
    <w:rsid w:val="005738B3"/>
    <w:rsid w:val="00573AF0"/>
    <w:rsid w:val="00573E27"/>
    <w:rsid w:val="0057401E"/>
    <w:rsid w:val="00574301"/>
    <w:rsid w:val="005743E9"/>
    <w:rsid w:val="005744D7"/>
    <w:rsid w:val="0057478E"/>
    <w:rsid w:val="00574E04"/>
    <w:rsid w:val="005750BF"/>
    <w:rsid w:val="0057514E"/>
    <w:rsid w:val="0057528D"/>
    <w:rsid w:val="00575DE0"/>
    <w:rsid w:val="00575FA5"/>
    <w:rsid w:val="0057613A"/>
    <w:rsid w:val="00576176"/>
    <w:rsid w:val="00576607"/>
    <w:rsid w:val="00576D06"/>
    <w:rsid w:val="00576F92"/>
    <w:rsid w:val="00576FAD"/>
    <w:rsid w:val="00577792"/>
    <w:rsid w:val="005779C2"/>
    <w:rsid w:val="00577A13"/>
    <w:rsid w:val="00577C67"/>
    <w:rsid w:val="00577F11"/>
    <w:rsid w:val="005802B7"/>
    <w:rsid w:val="005804EC"/>
    <w:rsid w:val="00580803"/>
    <w:rsid w:val="0058089F"/>
    <w:rsid w:val="005808CB"/>
    <w:rsid w:val="00580C8C"/>
    <w:rsid w:val="00580DA8"/>
    <w:rsid w:val="00580E8E"/>
    <w:rsid w:val="00580F75"/>
    <w:rsid w:val="005812AB"/>
    <w:rsid w:val="00581390"/>
    <w:rsid w:val="005816F2"/>
    <w:rsid w:val="00581BBF"/>
    <w:rsid w:val="00581C09"/>
    <w:rsid w:val="00581C24"/>
    <w:rsid w:val="00581CE3"/>
    <w:rsid w:val="00581E5F"/>
    <w:rsid w:val="00581F4C"/>
    <w:rsid w:val="0058208E"/>
    <w:rsid w:val="00582302"/>
    <w:rsid w:val="005824CB"/>
    <w:rsid w:val="00583073"/>
    <w:rsid w:val="005830A6"/>
    <w:rsid w:val="005830DD"/>
    <w:rsid w:val="0058315E"/>
    <w:rsid w:val="00583492"/>
    <w:rsid w:val="00583B45"/>
    <w:rsid w:val="00583CCF"/>
    <w:rsid w:val="00584277"/>
    <w:rsid w:val="005844DD"/>
    <w:rsid w:val="005848BF"/>
    <w:rsid w:val="005848F4"/>
    <w:rsid w:val="00584D7F"/>
    <w:rsid w:val="0058513B"/>
    <w:rsid w:val="0058568A"/>
    <w:rsid w:val="00585996"/>
    <w:rsid w:val="00585A71"/>
    <w:rsid w:val="00585C81"/>
    <w:rsid w:val="00585DD2"/>
    <w:rsid w:val="00586008"/>
    <w:rsid w:val="00586418"/>
    <w:rsid w:val="005867B1"/>
    <w:rsid w:val="005867F6"/>
    <w:rsid w:val="00586DBE"/>
    <w:rsid w:val="005870F7"/>
    <w:rsid w:val="005871BE"/>
    <w:rsid w:val="005872AE"/>
    <w:rsid w:val="00587682"/>
    <w:rsid w:val="0058783E"/>
    <w:rsid w:val="00587AB5"/>
    <w:rsid w:val="00587E00"/>
    <w:rsid w:val="005904E6"/>
    <w:rsid w:val="00590610"/>
    <w:rsid w:val="00590698"/>
    <w:rsid w:val="0059094C"/>
    <w:rsid w:val="005914AD"/>
    <w:rsid w:val="005914BD"/>
    <w:rsid w:val="00591530"/>
    <w:rsid w:val="00591E4A"/>
    <w:rsid w:val="00592058"/>
    <w:rsid w:val="005924D7"/>
    <w:rsid w:val="00592591"/>
    <w:rsid w:val="005929CE"/>
    <w:rsid w:val="00592A10"/>
    <w:rsid w:val="00592E3A"/>
    <w:rsid w:val="00592E4E"/>
    <w:rsid w:val="00593419"/>
    <w:rsid w:val="00593510"/>
    <w:rsid w:val="00593BCB"/>
    <w:rsid w:val="00593C8F"/>
    <w:rsid w:val="0059412F"/>
    <w:rsid w:val="00594321"/>
    <w:rsid w:val="005944DD"/>
    <w:rsid w:val="00594603"/>
    <w:rsid w:val="005948BA"/>
    <w:rsid w:val="005948E2"/>
    <w:rsid w:val="00594951"/>
    <w:rsid w:val="00594978"/>
    <w:rsid w:val="00594FD9"/>
    <w:rsid w:val="00595527"/>
    <w:rsid w:val="00595603"/>
    <w:rsid w:val="00595822"/>
    <w:rsid w:val="005959D7"/>
    <w:rsid w:val="00596345"/>
    <w:rsid w:val="005966C2"/>
    <w:rsid w:val="00596E67"/>
    <w:rsid w:val="00596ED9"/>
    <w:rsid w:val="00596F15"/>
    <w:rsid w:val="0059701C"/>
    <w:rsid w:val="00597271"/>
    <w:rsid w:val="005978D2"/>
    <w:rsid w:val="00597CE5"/>
    <w:rsid w:val="005A028B"/>
    <w:rsid w:val="005A05BE"/>
    <w:rsid w:val="005A0C80"/>
    <w:rsid w:val="005A0CE7"/>
    <w:rsid w:val="005A14C8"/>
    <w:rsid w:val="005A1870"/>
    <w:rsid w:val="005A1F2E"/>
    <w:rsid w:val="005A1F88"/>
    <w:rsid w:val="005A22F7"/>
    <w:rsid w:val="005A264C"/>
    <w:rsid w:val="005A2904"/>
    <w:rsid w:val="005A308A"/>
    <w:rsid w:val="005A30E7"/>
    <w:rsid w:val="005A311B"/>
    <w:rsid w:val="005A3508"/>
    <w:rsid w:val="005A3C0E"/>
    <w:rsid w:val="005A3C94"/>
    <w:rsid w:val="005A3E19"/>
    <w:rsid w:val="005A46BD"/>
    <w:rsid w:val="005A4871"/>
    <w:rsid w:val="005A5330"/>
    <w:rsid w:val="005A5751"/>
    <w:rsid w:val="005A5902"/>
    <w:rsid w:val="005A5A88"/>
    <w:rsid w:val="005A5D23"/>
    <w:rsid w:val="005A5F10"/>
    <w:rsid w:val="005A6007"/>
    <w:rsid w:val="005A6290"/>
    <w:rsid w:val="005A6456"/>
    <w:rsid w:val="005A67C2"/>
    <w:rsid w:val="005A67D5"/>
    <w:rsid w:val="005A6A8E"/>
    <w:rsid w:val="005A6BCF"/>
    <w:rsid w:val="005A6C7E"/>
    <w:rsid w:val="005A6CB4"/>
    <w:rsid w:val="005A6ECA"/>
    <w:rsid w:val="005A7227"/>
    <w:rsid w:val="005A75C5"/>
    <w:rsid w:val="005A7AB1"/>
    <w:rsid w:val="005A7DE5"/>
    <w:rsid w:val="005B01A4"/>
    <w:rsid w:val="005B05A0"/>
    <w:rsid w:val="005B09A4"/>
    <w:rsid w:val="005B0E4C"/>
    <w:rsid w:val="005B142D"/>
    <w:rsid w:val="005B16A7"/>
    <w:rsid w:val="005B1896"/>
    <w:rsid w:val="005B1A21"/>
    <w:rsid w:val="005B1AC6"/>
    <w:rsid w:val="005B1EAC"/>
    <w:rsid w:val="005B2210"/>
    <w:rsid w:val="005B23B7"/>
    <w:rsid w:val="005B2C36"/>
    <w:rsid w:val="005B2D84"/>
    <w:rsid w:val="005B2E2D"/>
    <w:rsid w:val="005B363A"/>
    <w:rsid w:val="005B3917"/>
    <w:rsid w:val="005B3AE4"/>
    <w:rsid w:val="005B3BCB"/>
    <w:rsid w:val="005B3C5F"/>
    <w:rsid w:val="005B3F7A"/>
    <w:rsid w:val="005B40D1"/>
    <w:rsid w:val="005B4453"/>
    <w:rsid w:val="005B46CD"/>
    <w:rsid w:val="005B4AC7"/>
    <w:rsid w:val="005B4C35"/>
    <w:rsid w:val="005B4CC6"/>
    <w:rsid w:val="005B4FE4"/>
    <w:rsid w:val="005B5051"/>
    <w:rsid w:val="005B50B1"/>
    <w:rsid w:val="005B51B8"/>
    <w:rsid w:val="005B5496"/>
    <w:rsid w:val="005B5630"/>
    <w:rsid w:val="005B573A"/>
    <w:rsid w:val="005B5AD3"/>
    <w:rsid w:val="005B5D7A"/>
    <w:rsid w:val="005B5F6E"/>
    <w:rsid w:val="005B622D"/>
    <w:rsid w:val="005B6514"/>
    <w:rsid w:val="005B660D"/>
    <w:rsid w:val="005B66AC"/>
    <w:rsid w:val="005B6A0C"/>
    <w:rsid w:val="005B6FBC"/>
    <w:rsid w:val="005B775F"/>
    <w:rsid w:val="005B77A2"/>
    <w:rsid w:val="005B7860"/>
    <w:rsid w:val="005B7EE5"/>
    <w:rsid w:val="005B7F71"/>
    <w:rsid w:val="005C0001"/>
    <w:rsid w:val="005C08A2"/>
    <w:rsid w:val="005C09D5"/>
    <w:rsid w:val="005C0CDE"/>
    <w:rsid w:val="005C0F0B"/>
    <w:rsid w:val="005C161A"/>
    <w:rsid w:val="005C161B"/>
    <w:rsid w:val="005C19BC"/>
    <w:rsid w:val="005C1B0B"/>
    <w:rsid w:val="005C217C"/>
    <w:rsid w:val="005C22E7"/>
    <w:rsid w:val="005C250B"/>
    <w:rsid w:val="005C2946"/>
    <w:rsid w:val="005C2B32"/>
    <w:rsid w:val="005C313E"/>
    <w:rsid w:val="005C3280"/>
    <w:rsid w:val="005C32A1"/>
    <w:rsid w:val="005C3318"/>
    <w:rsid w:val="005C33C1"/>
    <w:rsid w:val="005C3756"/>
    <w:rsid w:val="005C3B96"/>
    <w:rsid w:val="005C3C7B"/>
    <w:rsid w:val="005C439D"/>
    <w:rsid w:val="005C4459"/>
    <w:rsid w:val="005C4484"/>
    <w:rsid w:val="005C44C4"/>
    <w:rsid w:val="005C4524"/>
    <w:rsid w:val="005C4999"/>
    <w:rsid w:val="005C4A4B"/>
    <w:rsid w:val="005C4B72"/>
    <w:rsid w:val="005C4CB0"/>
    <w:rsid w:val="005C4D7E"/>
    <w:rsid w:val="005C4DBA"/>
    <w:rsid w:val="005C4EC9"/>
    <w:rsid w:val="005C50CB"/>
    <w:rsid w:val="005C52AB"/>
    <w:rsid w:val="005C546F"/>
    <w:rsid w:val="005C5C7B"/>
    <w:rsid w:val="005C5CCB"/>
    <w:rsid w:val="005C6044"/>
    <w:rsid w:val="005C6066"/>
    <w:rsid w:val="005C63CF"/>
    <w:rsid w:val="005C642F"/>
    <w:rsid w:val="005C6759"/>
    <w:rsid w:val="005C682F"/>
    <w:rsid w:val="005C6A94"/>
    <w:rsid w:val="005C6D74"/>
    <w:rsid w:val="005C6FA1"/>
    <w:rsid w:val="005C7133"/>
    <w:rsid w:val="005C71AA"/>
    <w:rsid w:val="005C7267"/>
    <w:rsid w:val="005C74AD"/>
    <w:rsid w:val="005C7813"/>
    <w:rsid w:val="005C7A22"/>
    <w:rsid w:val="005C7CA5"/>
    <w:rsid w:val="005C7CD2"/>
    <w:rsid w:val="005C7EC6"/>
    <w:rsid w:val="005D03AF"/>
    <w:rsid w:val="005D0597"/>
    <w:rsid w:val="005D0788"/>
    <w:rsid w:val="005D0833"/>
    <w:rsid w:val="005D0B34"/>
    <w:rsid w:val="005D0F1C"/>
    <w:rsid w:val="005D1166"/>
    <w:rsid w:val="005D12F9"/>
    <w:rsid w:val="005D1AB0"/>
    <w:rsid w:val="005D1C0D"/>
    <w:rsid w:val="005D1E85"/>
    <w:rsid w:val="005D207D"/>
    <w:rsid w:val="005D2224"/>
    <w:rsid w:val="005D22BB"/>
    <w:rsid w:val="005D2A9F"/>
    <w:rsid w:val="005D2DBE"/>
    <w:rsid w:val="005D335A"/>
    <w:rsid w:val="005D3400"/>
    <w:rsid w:val="005D38FF"/>
    <w:rsid w:val="005D3D4D"/>
    <w:rsid w:val="005D3E10"/>
    <w:rsid w:val="005D441E"/>
    <w:rsid w:val="005D4441"/>
    <w:rsid w:val="005D4645"/>
    <w:rsid w:val="005D4712"/>
    <w:rsid w:val="005D4AFE"/>
    <w:rsid w:val="005D534F"/>
    <w:rsid w:val="005D539E"/>
    <w:rsid w:val="005D555E"/>
    <w:rsid w:val="005D569A"/>
    <w:rsid w:val="005D5B43"/>
    <w:rsid w:val="005D5BA1"/>
    <w:rsid w:val="005D5C0D"/>
    <w:rsid w:val="005D614B"/>
    <w:rsid w:val="005D6199"/>
    <w:rsid w:val="005D6385"/>
    <w:rsid w:val="005D6686"/>
    <w:rsid w:val="005D6701"/>
    <w:rsid w:val="005D672A"/>
    <w:rsid w:val="005D6AB7"/>
    <w:rsid w:val="005D6E94"/>
    <w:rsid w:val="005D6F7F"/>
    <w:rsid w:val="005D7476"/>
    <w:rsid w:val="005D76ED"/>
    <w:rsid w:val="005D77AA"/>
    <w:rsid w:val="005D7ABB"/>
    <w:rsid w:val="005D7BFC"/>
    <w:rsid w:val="005E02C3"/>
    <w:rsid w:val="005E02D3"/>
    <w:rsid w:val="005E0501"/>
    <w:rsid w:val="005E0573"/>
    <w:rsid w:val="005E0733"/>
    <w:rsid w:val="005E0861"/>
    <w:rsid w:val="005E0EB8"/>
    <w:rsid w:val="005E0EC2"/>
    <w:rsid w:val="005E1474"/>
    <w:rsid w:val="005E156A"/>
    <w:rsid w:val="005E1859"/>
    <w:rsid w:val="005E19DF"/>
    <w:rsid w:val="005E25D9"/>
    <w:rsid w:val="005E261E"/>
    <w:rsid w:val="005E2630"/>
    <w:rsid w:val="005E3293"/>
    <w:rsid w:val="005E36C8"/>
    <w:rsid w:val="005E390A"/>
    <w:rsid w:val="005E3CF7"/>
    <w:rsid w:val="005E3E75"/>
    <w:rsid w:val="005E484C"/>
    <w:rsid w:val="005E4A5E"/>
    <w:rsid w:val="005E4B09"/>
    <w:rsid w:val="005E4DBB"/>
    <w:rsid w:val="005E4EEC"/>
    <w:rsid w:val="005E5204"/>
    <w:rsid w:val="005E52E5"/>
    <w:rsid w:val="005E53C7"/>
    <w:rsid w:val="005E5642"/>
    <w:rsid w:val="005E5753"/>
    <w:rsid w:val="005E5B8C"/>
    <w:rsid w:val="005E5C43"/>
    <w:rsid w:val="005E6089"/>
    <w:rsid w:val="005E6444"/>
    <w:rsid w:val="005E6502"/>
    <w:rsid w:val="005E65DF"/>
    <w:rsid w:val="005E65F2"/>
    <w:rsid w:val="005E66BD"/>
    <w:rsid w:val="005E7113"/>
    <w:rsid w:val="005E72F8"/>
    <w:rsid w:val="005E75AC"/>
    <w:rsid w:val="005E75C7"/>
    <w:rsid w:val="005E7EF3"/>
    <w:rsid w:val="005E7F03"/>
    <w:rsid w:val="005F020A"/>
    <w:rsid w:val="005F05A8"/>
    <w:rsid w:val="005F0CAD"/>
    <w:rsid w:val="005F0E38"/>
    <w:rsid w:val="005F1477"/>
    <w:rsid w:val="005F1949"/>
    <w:rsid w:val="005F19B6"/>
    <w:rsid w:val="005F1A33"/>
    <w:rsid w:val="005F1C19"/>
    <w:rsid w:val="005F1D34"/>
    <w:rsid w:val="005F22FF"/>
    <w:rsid w:val="005F282D"/>
    <w:rsid w:val="005F2E42"/>
    <w:rsid w:val="005F3405"/>
    <w:rsid w:val="005F36B7"/>
    <w:rsid w:val="005F3868"/>
    <w:rsid w:val="005F3975"/>
    <w:rsid w:val="005F3D1F"/>
    <w:rsid w:val="005F3DB6"/>
    <w:rsid w:val="005F413B"/>
    <w:rsid w:val="005F43D2"/>
    <w:rsid w:val="005F4911"/>
    <w:rsid w:val="005F4D2E"/>
    <w:rsid w:val="005F4D69"/>
    <w:rsid w:val="005F4E62"/>
    <w:rsid w:val="005F4E7D"/>
    <w:rsid w:val="005F5301"/>
    <w:rsid w:val="005F53C1"/>
    <w:rsid w:val="005F5629"/>
    <w:rsid w:val="005F592B"/>
    <w:rsid w:val="005F6179"/>
    <w:rsid w:val="005F65B3"/>
    <w:rsid w:val="005F663F"/>
    <w:rsid w:val="005F6753"/>
    <w:rsid w:val="005F67A9"/>
    <w:rsid w:val="005F698D"/>
    <w:rsid w:val="005F7094"/>
    <w:rsid w:val="005F746C"/>
    <w:rsid w:val="005F7774"/>
    <w:rsid w:val="005F7E3B"/>
    <w:rsid w:val="005F7FD0"/>
    <w:rsid w:val="00600229"/>
    <w:rsid w:val="00600935"/>
    <w:rsid w:val="006009D1"/>
    <w:rsid w:val="00600B11"/>
    <w:rsid w:val="00601322"/>
    <w:rsid w:val="00601CBA"/>
    <w:rsid w:val="00601F5D"/>
    <w:rsid w:val="00601F89"/>
    <w:rsid w:val="006022F7"/>
    <w:rsid w:val="00602319"/>
    <w:rsid w:val="00602326"/>
    <w:rsid w:val="006028A4"/>
    <w:rsid w:val="00602B0F"/>
    <w:rsid w:val="00602B5D"/>
    <w:rsid w:val="00602D02"/>
    <w:rsid w:val="00602D16"/>
    <w:rsid w:val="00602D62"/>
    <w:rsid w:val="00602D7D"/>
    <w:rsid w:val="00602EEA"/>
    <w:rsid w:val="006031BD"/>
    <w:rsid w:val="006033CB"/>
    <w:rsid w:val="006035E7"/>
    <w:rsid w:val="00603AEE"/>
    <w:rsid w:val="00603DE9"/>
    <w:rsid w:val="006040E4"/>
    <w:rsid w:val="0060421D"/>
    <w:rsid w:val="006042B8"/>
    <w:rsid w:val="006042DF"/>
    <w:rsid w:val="006045DF"/>
    <w:rsid w:val="00604913"/>
    <w:rsid w:val="00604982"/>
    <w:rsid w:val="006051BA"/>
    <w:rsid w:val="006052C4"/>
    <w:rsid w:val="00605431"/>
    <w:rsid w:val="00605519"/>
    <w:rsid w:val="00605524"/>
    <w:rsid w:val="006055D6"/>
    <w:rsid w:val="0060576F"/>
    <w:rsid w:val="00605885"/>
    <w:rsid w:val="006058FC"/>
    <w:rsid w:val="00605C3B"/>
    <w:rsid w:val="00605E02"/>
    <w:rsid w:val="006060B3"/>
    <w:rsid w:val="00606404"/>
    <w:rsid w:val="00606B04"/>
    <w:rsid w:val="0060731A"/>
    <w:rsid w:val="0060765E"/>
    <w:rsid w:val="00607689"/>
    <w:rsid w:val="0060775A"/>
    <w:rsid w:val="00610216"/>
    <w:rsid w:val="006103EC"/>
    <w:rsid w:val="0061065D"/>
    <w:rsid w:val="00610D57"/>
    <w:rsid w:val="00610E58"/>
    <w:rsid w:val="00610FA4"/>
    <w:rsid w:val="006114A6"/>
    <w:rsid w:val="0061171F"/>
    <w:rsid w:val="006117B0"/>
    <w:rsid w:val="006118A1"/>
    <w:rsid w:val="00611932"/>
    <w:rsid w:val="00611957"/>
    <w:rsid w:val="00611996"/>
    <w:rsid w:val="00611ECB"/>
    <w:rsid w:val="00612408"/>
    <w:rsid w:val="006125BC"/>
    <w:rsid w:val="006128A3"/>
    <w:rsid w:val="00612965"/>
    <w:rsid w:val="00612DE0"/>
    <w:rsid w:val="006132EB"/>
    <w:rsid w:val="00613396"/>
    <w:rsid w:val="0061351C"/>
    <w:rsid w:val="0061357B"/>
    <w:rsid w:val="00613964"/>
    <w:rsid w:val="00613F34"/>
    <w:rsid w:val="0061403F"/>
    <w:rsid w:val="00614286"/>
    <w:rsid w:val="00614DE1"/>
    <w:rsid w:val="00615230"/>
    <w:rsid w:val="00615438"/>
    <w:rsid w:val="00615961"/>
    <w:rsid w:val="00615D7E"/>
    <w:rsid w:val="00615F32"/>
    <w:rsid w:val="006164AC"/>
    <w:rsid w:val="0061651F"/>
    <w:rsid w:val="00616959"/>
    <w:rsid w:val="00616DCF"/>
    <w:rsid w:val="00617619"/>
    <w:rsid w:val="006177AE"/>
    <w:rsid w:val="0061790C"/>
    <w:rsid w:val="00617B23"/>
    <w:rsid w:val="00620229"/>
    <w:rsid w:val="00620290"/>
    <w:rsid w:val="006205DA"/>
    <w:rsid w:val="00620935"/>
    <w:rsid w:val="00620A9B"/>
    <w:rsid w:val="00620AEA"/>
    <w:rsid w:val="00620E7B"/>
    <w:rsid w:val="00621634"/>
    <w:rsid w:val="0062173A"/>
    <w:rsid w:val="00621A5C"/>
    <w:rsid w:val="00621A9C"/>
    <w:rsid w:val="00621B97"/>
    <w:rsid w:val="00621C99"/>
    <w:rsid w:val="00622044"/>
    <w:rsid w:val="00622444"/>
    <w:rsid w:val="006224CA"/>
    <w:rsid w:val="006227CC"/>
    <w:rsid w:val="00622AD7"/>
    <w:rsid w:val="00622CCD"/>
    <w:rsid w:val="006232D7"/>
    <w:rsid w:val="006233FF"/>
    <w:rsid w:val="006235E0"/>
    <w:rsid w:val="00623C3D"/>
    <w:rsid w:val="00623E91"/>
    <w:rsid w:val="00624054"/>
    <w:rsid w:val="00624820"/>
    <w:rsid w:val="00624B2C"/>
    <w:rsid w:val="00624D6E"/>
    <w:rsid w:val="00625361"/>
    <w:rsid w:val="00625388"/>
    <w:rsid w:val="0062538F"/>
    <w:rsid w:val="006255EE"/>
    <w:rsid w:val="00625686"/>
    <w:rsid w:val="006256DE"/>
    <w:rsid w:val="006256E4"/>
    <w:rsid w:val="006259CD"/>
    <w:rsid w:val="00625A3A"/>
    <w:rsid w:val="00625AC1"/>
    <w:rsid w:val="00625AFC"/>
    <w:rsid w:val="00625F10"/>
    <w:rsid w:val="006260F9"/>
    <w:rsid w:val="006261DA"/>
    <w:rsid w:val="006262BA"/>
    <w:rsid w:val="0062637A"/>
    <w:rsid w:val="00626DA2"/>
    <w:rsid w:val="00626E84"/>
    <w:rsid w:val="00627049"/>
    <w:rsid w:val="0062733C"/>
    <w:rsid w:val="00627486"/>
    <w:rsid w:val="00627F29"/>
    <w:rsid w:val="00627F3B"/>
    <w:rsid w:val="006293C5"/>
    <w:rsid w:val="0063035D"/>
    <w:rsid w:val="00630711"/>
    <w:rsid w:val="0063087D"/>
    <w:rsid w:val="00630979"/>
    <w:rsid w:val="00630F8D"/>
    <w:rsid w:val="0063108C"/>
    <w:rsid w:val="006311DA"/>
    <w:rsid w:val="00631777"/>
    <w:rsid w:val="006317F6"/>
    <w:rsid w:val="006318B0"/>
    <w:rsid w:val="00631F48"/>
    <w:rsid w:val="0063215F"/>
    <w:rsid w:val="00632C0D"/>
    <w:rsid w:val="00632C47"/>
    <w:rsid w:val="00632E53"/>
    <w:rsid w:val="00632F5E"/>
    <w:rsid w:val="00633031"/>
    <w:rsid w:val="006330FA"/>
    <w:rsid w:val="00633829"/>
    <w:rsid w:val="00633917"/>
    <w:rsid w:val="00633A05"/>
    <w:rsid w:val="00633E6B"/>
    <w:rsid w:val="00633FD4"/>
    <w:rsid w:val="00634047"/>
    <w:rsid w:val="00634431"/>
    <w:rsid w:val="00634561"/>
    <w:rsid w:val="006345C7"/>
    <w:rsid w:val="0063484D"/>
    <w:rsid w:val="00634880"/>
    <w:rsid w:val="00634C37"/>
    <w:rsid w:val="00634E69"/>
    <w:rsid w:val="00634E8F"/>
    <w:rsid w:val="006353F6"/>
    <w:rsid w:val="0063541F"/>
    <w:rsid w:val="00635439"/>
    <w:rsid w:val="00635F23"/>
    <w:rsid w:val="00635F32"/>
    <w:rsid w:val="006361E3"/>
    <w:rsid w:val="006365D0"/>
    <w:rsid w:val="00636A04"/>
    <w:rsid w:val="00636C3A"/>
    <w:rsid w:val="00636C4B"/>
    <w:rsid w:val="00636E3B"/>
    <w:rsid w:val="00637335"/>
    <w:rsid w:val="00637585"/>
    <w:rsid w:val="00637598"/>
    <w:rsid w:val="00637608"/>
    <w:rsid w:val="00637625"/>
    <w:rsid w:val="00637852"/>
    <w:rsid w:val="00637A56"/>
    <w:rsid w:val="00637C8B"/>
    <w:rsid w:val="00637F75"/>
    <w:rsid w:val="00640099"/>
    <w:rsid w:val="006401D8"/>
    <w:rsid w:val="006405F8"/>
    <w:rsid w:val="006408A0"/>
    <w:rsid w:val="00640F83"/>
    <w:rsid w:val="00640F9D"/>
    <w:rsid w:val="0064105B"/>
    <w:rsid w:val="00641691"/>
    <w:rsid w:val="006416BF"/>
    <w:rsid w:val="00641907"/>
    <w:rsid w:val="00641989"/>
    <w:rsid w:val="00641B8E"/>
    <w:rsid w:val="00641BC4"/>
    <w:rsid w:val="00641D55"/>
    <w:rsid w:val="006421D4"/>
    <w:rsid w:val="00642233"/>
    <w:rsid w:val="006427DA"/>
    <w:rsid w:val="006428C9"/>
    <w:rsid w:val="00642C64"/>
    <w:rsid w:val="00642E1B"/>
    <w:rsid w:val="0064304A"/>
    <w:rsid w:val="006431A0"/>
    <w:rsid w:val="00643370"/>
    <w:rsid w:val="00643C4C"/>
    <w:rsid w:val="00644435"/>
    <w:rsid w:val="00644488"/>
    <w:rsid w:val="0064474B"/>
    <w:rsid w:val="006448DD"/>
    <w:rsid w:val="006448F7"/>
    <w:rsid w:val="00644A28"/>
    <w:rsid w:val="00644BB0"/>
    <w:rsid w:val="00644BFB"/>
    <w:rsid w:val="00644D3E"/>
    <w:rsid w:val="00644E05"/>
    <w:rsid w:val="00644F2A"/>
    <w:rsid w:val="00645392"/>
    <w:rsid w:val="00645467"/>
    <w:rsid w:val="006456AE"/>
    <w:rsid w:val="00645ADF"/>
    <w:rsid w:val="00645EAD"/>
    <w:rsid w:val="0064601E"/>
    <w:rsid w:val="0064623E"/>
    <w:rsid w:val="006463A6"/>
    <w:rsid w:val="00646456"/>
    <w:rsid w:val="00646CDF"/>
    <w:rsid w:val="00646F86"/>
    <w:rsid w:val="00646FED"/>
    <w:rsid w:val="00647177"/>
    <w:rsid w:val="006471AB"/>
    <w:rsid w:val="00647335"/>
    <w:rsid w:val="00647497"/>
    <w:rsid w:val="006475A2"/>
    <w:rsid w:val="00647C05"/>
    <w:rsid w:val="00647C48"/>
    <w:rsid w:val="00647DC6"/>
    <w:rsid w:val="0065051B"/>
    <w:rsid w:val="006505E0"/>
    <w:rsid w:val="0065089F"/>
    <w:rsid w:val="00650D1C"/>
    <w:rsid w:val="00650F1B"/>
    <w:rsid w:val="0065114F"/>
    <w:rsid w:val="00651173"/>
    <w:rsid w:val="006511C3"/>
    <w:rsid w:val="006511FB"/>
    <w:rsid w:val="00651264"/>
    <w:rsid w:val="006515A8"/>
    <w:rsid w:val="006516E7"/>
    <w:rsid w:val="00651A2D"/>
    <w:rsid w:val="00651A51"/>
    <w:rsid w:val="00651C9D"/>
    <w:rsid w:val="0065201D"/>
    <w:rsid w:val="006521BB"/>
    <w:rsid w:val="0065239D"/>
    <w:rsid w:val="006526A2"/>
    <w:rsid w:val="0065303C"/>
    <w:rsid w:val="0065307E"/>
    <w:rsid w:val="0065312E"/>
    <w:rsid w:val="0065329B"/>
    <w:rsid w:val="006532ED"/>
    <w:rsid w:val="00653402"/>
    <w:rsid w:val="00653502"/>
    <w:rsid w:val="0065361E"/>
    <w:rsid w:val="00653A90"/>
    <w:rsid w:val="00653CD8"/>
    <w:rsid w:val="00653DB1"/>
    <w:rsid w:val="006548C8"/>
    <w:rsid w:val="00654BE3"/>
    <w:rsid w:val="00654BE9"/>
    <w:rsid w:val="006550D3"/>
    <w:rsid w:val="006552F2"/>
    <w:rsid w:val="006554D2"/>
    <w:rsid w:val="006554FD"/>
    <w:rsid w:val="00655B0E"/>
    <w:rsid w:val="00656F29"/>
    <w:rsid w:val="00656F77"/>
    <w:rsid w:val="00657043"/>
    <w:rsid w:val="00657160"/>
    <w:rsid w:val="00657286"/>
    <w:rsid w:val="0065757B"/>
    <w:rsid w:val="006577F7"/>
    <w:rsid w:val="006579D3"/>
    <w:rsid w:val="00657BDF"/>
    <w:rsid w:val="00657D99"/>
    <w:rsid w:val="00657FA6"/>
    <w:rsid w:val="0066029A"/>
    <w:rsid w:val="0066029F"/>
    <w:rsid w:val="0066092D"/>
    <w:rsid w:val="006609AF"/>
    <w:rsid w:val="00660B5A"/>
    <w:rsid w:val="00660BD8"/>
    <w:rsid w:val="00660E34"/>
    <w:rsid w:val="006617A2"/>
    <w:rsid w:val="00661FE6"/>
    <w:rsid w:val="006620C8"/>
    <w:rsid w:val="00662214"/>
    <w:rsid w:val="00662869"/>
    <w:rsid w:val="00662C6F"/>
    <w:rsid w:val="00662FE6"/>
    <w:rsid w:val="00663A25"/>
    <w:rsid w:val="00663A56"/>
    <w:rsid w:val="00663B41"/>
    <w:rsid w:val="00663BAA"/>
    <w:rsid w:val="00663BFA"/>
    <w:rsid w:val="00663EC3"/>
    <w:rsid w:val="00664262"/>
    <w:rsid w:val="006646A3"/>
    <w:rsid w:val="006646F3"/>
    <w:rsid w:val="006646F8"/>
    <w:rsid w:val="0066486F"/>
    <w:rsid w:val="006652D2"/>
    <w:rsid w:val="00665445"/>
    <w:rsid w:val="006655AA"/>
    <w:rsid w:val="00665742"/>
    <w:rsid w:val="006658FB"/>
    <w:rsid w:val="00665C76"/>
    <w:rsid w:val="00666039"/>
    <w:rsid w:val="00666206"/>
    <w:rsid w:val="0066631C"/>
    <w:rsid w:val="0066668E"/>
    <w:rsid w:val="00666704"/>
    <w:rsid w:val="00666DD4"/>
    <w:rsid w:val="00666EA1"/>
    <w:rsid w:val="006670CC"/>
    <w:rsid w:val="006678D9"/>
    <w:rsid w:val="00667B71"/>
    <w:rsid w:val="00667EF2"/>
    <w:rsid w:val="00670313"/>
    <w:rsid w:val="006705C9"/>
    <w:rsid w:val="006706D7"/>
    <w:rsid w:val="006708D8"/>
    <w:rsid w:val="00670A96"/>
    <w:rsid w:val="00670B2F"/>
    <w:rsid w:val="00670BFF"/>
    <w:rsid w:val="00670F84"/>
    <w:rsid w:val="00671869"/>
    <w:rsid w:val="00671AFC"/>
    <w:rsid w:val="0067233A"/>
    <w:rsid w:val="006723F6"/>
    <w:rsid w:val="0067267E"/>
    <w:rsid w:val="00672B02"/>
    <w:rsid w:val="00672DFA"/>
    <w:rsid w:val="006731CF"/>
    <w:rsid w:val="00673428"/>
    <w:rsid w:val="0067380C"/>
    <w:rsid w:val="00673A6E"/>
    <w:rsid w:val="006755DC"/>
    <w:rsid w:val="0067579F"/>
    <w:rsid w:val="00675D92"/>
    <w:rsid w:val="006760F4"/>
    <w:rsid w:val="006761EE"/>
    <w:rsid w:val="00676590"/>
    <w:rsid w:val="00676838"/>
    <w:rsid w:val="00676D93"/>
    <w:rsid w:val="00677058"/>
    <w:rsid w:val="006772F3"/>
    <w:rsid w:val="006774F5"/>
    <w:rsid w:val="0067755E"/>
    <w:rsid w:val="006779B8"/>
    <w:rsid w:val="00677FF2"/>
    <w:rsid w:val="006801D3"/>
    <w:rsid w:val="006802B9"/>
    <w:rsid w:val="00680347"/>
    <w:rsid w:val="006803BE"/>
    <w:rsid w:val="006803DE"/>
    <w:rsid w:val="00680516"/>
    <w:rsid w:val="00680761"/>
    <w:rsid w:val="00680E7C"/>
    <w:rsid w:val="00681201"/>
    <w:rsid w:val="00681322"/>
    <w:rsid w:val="006814E0"/>
    <w:rsid w:val="00681A91"/>
    <w:rsid w:val="00681CA9"/>
    <w:rsid w:val="00681DBF"/>
    <w:rsid w:val="00682396"/>
    <w:rsid w:val="006829A6"/>
    <w:rsid w:val="006829A8"/>
    <w:rsid w:val="00683606"/>
    <w:rsid w:val="006837D9"/>
    <w:rsid w:val="00683AAE"/>
    <w:rsid w:val="00683D0A"/>
    <w:rsid w:val="00683F60"/>
    <w:rsid w:val="006843A8"/>
    <w:rsid w:val="00684BB5"/>
    <w:rsid w:val="00685177"/>
    <w:rsid w:val="00685378"/>
    <w:rsid w:val="0068565A"/>
    <w:rsid w:val="0068593A"/>
    <w:rsid w:val="006859E6"/>
    <w:rsid w:val="00685B94"/>
    <w:rsid w:val="00685E6E"/>
    <w:rsid w:val="00686480"/>
    <w:rsid w:val="00686A75"/>
    <w:rsid w:val="00686A9E"/>
    <w:rsid w:val="00687212"/>
    <w:rsid w:val="006872D5"/>
    <w:rsid w:val="0068758F"/>
    <w:rsid w:val="00687AB1"/>
    <w:rsid w:val="00687F8C"/>
    <w:rsid w:val="00687FD8"/>
    <w:rsid w:val="006900CA"/>
    <w:rsid w:val="0069071A"/>
    <w:rsid w:val="00690B1E"/>
    <w:rsid w:val="00690C44"/>
    <w:rsid w:val="00691031"/>
    <w:rsid w:val="0069123A"/>
    <w:rsid w:val="006912DA"/>
    <w:rsid w:val="006912F8"/>
    <w:rsid w:val="006916BF"/>
    <w:rsid w:val="0069194C"/>
    <w:rsid w:val="00691D33"/>
    <w:rsid w:val="006922DB"/>
    <w:rsid w:val="0069260E"/>
    <w:rsid w:val="0069285D"/>
    <w:rsid w:val="00692AB2"/>
    <w:rsid w:val="00692E60"/>
    <w:rsid w:val="00692EF4"/>
    <w:rsid w:val="00692F61"/>
    <w:rsid w:val="00693647"/>
    <w:rsid w:val="006936F8"/>
    <w:rsid w:val="00693B5C"/>
    <w:rsid w:val="00693D3D"/>
    <w:rsid w:val="00693DCD"/>
    <w:rsid w:val="00693F6A"/>
    <w:rsid w:val="00693F75"/>
    <w:rsid w:val="0069466A"/>
    <w:rsid w:val="0069486B"/>
    <w:rsid w:val="00694BF9"/>
    <w:rsid w:val="00694E5B"/>
    <w:rsid w:val="00694E9D"/>
    <w:rsid w:val="00695BFD"/>
    <w:rsid w:val="00695C2A"/>
    <w:rsid w:val="00695CEE"/>
    <w:rsid w:val="00695E40"/>
    <w:rsid w:val="006961BF"/>
    <w:rsid w:val="006962DC"/>
    <w:rsid w:val="006963CE"/>
    <w:rsid w:val="00696539"/>
    <w:rsid w:val="00696551"/>
    <w:rsid w:val="006966AE"/>
    <w:rsid w:val="006968D9"/>
    <w:rsid w:val="00696ADF"/>
    <w:rsid w:val="00696B6C"/>
    <w:rsid w:val="00696CDC"/>
    <w:rsid w:val="0069756B"/>
    <w:rsid w:val="006976A0"/>
    <w:rsid w:val="006979A4"/>
    <w:rsid w:val="006979EA"/>
    <w:rsid w:val="00697C6A"/>
    <w:rsid w:val="006A01B4"/>
    <w:rsid w:val="006A0741"/>
    <w:rsid w:val="006A07A7"/>
    <w:rsid w:val="006A07B7"/>
    <w:rsid w:val="006A0E12"/>
    <w:rsid w:val="006A1130"/>
    <w:rsid w:val="006A13F0"/>
    <w:rsid w:val="006A1769"/>
    <w:rsid w:val="006A17EB"/>
    <w:rsid w:val="006A1A23"/>
    <w:rsid w:val="006A1D21"/>
    <w:rsid w:val="006A1EC2"/>
    <w:rsid w:val="006A21CA"/>
    <w:rsid w:val="006A22C8"/>
    <w:rsid w:val="006A232C"/>
    <w:rsid w:val="006A26A3"/>
    <w:rsid w:val="006A2833"/>
    <w:rsid w:val="006A292F"/>
    <w:rsid w:val="006A2930"/>
    <w:rsid w:val="006A2A42"/>
    <w:rsid w:val="006A2EEE"/>
    <w:rsid w:val="006A3176"/>
    <w:rsid w:val="006A3257"/>
    <w:rsid w:val="006A3BB1"/>
    <w:rsid w:val="006A3E54"/>
    <w:rsid w:val="006A45AF"/>
    <w:rsid w:val="006A4BBD"/>
    <w:rsid w:val="006A4C26"/>
    <w:rsid w:val="006A4F26"/>
    <w:rsid w:val="006A5426"/>
    <w:rsid w:val="006A58CB"/>
    <w:rsid w:val="006A5F6C"/>
    <w:rsid w:val="006A60E8"/>
    <w:rsid w:val="006A69D2"/>
    <w:rsid w:val="006A700C"/>
    <w:rsid w:val="006A74CF"/>
    <w:rsid w:val="006A7945"/>
    <w:rsid w:val="006A7B4F"/>
    <w:rsid w:val="006A7C01"/>
    <w:rsid w:val="006A7C28"/>
    <w:rsid w:val="006A7D7F"/>
    <w:rsid w:val="006A7F11"/>
    <w:rsid w:val="006A7F17"/>
    <w:rsid w:val="006A7FF8"/>
    <w:rsid w:val="006B0011"/>
    <w:rsid w:val="006B057C"/>
    <w:rsid w:val="006B0ABD"/>
    <w:rsid w:val="006B0B97"/>
    <w:rsid w:val="006B0CD3"/>
    <w:rsid w:val="006B0FE6"/>
    <w:rsid w:val="006B1321"/>
    <w:rsid w:val="006B1649"/>
    <w:rsid w:val="006B19AD"/>
    <w:rsid w:val="006B1B01"/>
    <w:rsid w:val="006B1F01"/>
    <w:rsid w:val="006B2187"/>
    <w:rsid w:val="006B22B0"/>
    <w:rsid w:val="006B258C"/>
    <w:rsid w:val="006B277F"/>
    <w:rsid w:val="006B2FC8"/>
    <w:rsid w:val="006B3328"/>
    <w:rsid w:val="006B34B9"/>
    <w:rsid w:val="006B398F"/>
    <w:rsid w:val="006B3A7D"/>
    <w:rsid w:val="006B3BEC"/>
    <w:rsid w:val="006B3CA7"/>
    <w:rsid w:val="006B3CE3"/>
    <w:rsid w:val="006B4069"/>
    <w:rsid w:val="006B439C"/>
    <w:rsid w:val="006B4523"/>
    <w:rsid w:val="006B47CE"/>
    <w:rsid w:val="006B487E"/>
    <w:rsid w:val="006B495B"/>
    <w:rsid w:val="006B4A48"/>
    <w:rsid w:val="006B4A9A"/>
    <w:rsid w:val="006B514C"/>
    <w:rsid w:val="006B5760"/>
    <w:rsid w:val="006B5787"/>
    <w:rsid w:val="006B5D19"/>
    <w:rsid w:val="006B5DE2"/>
    <w:rsid w:val="006B6151"/>
    <w:rsid w:val="006B6326"/>
    <w:rsid w:val="006B63FA"/>
    <w:rsid w:val="006B644E"/>
    <w:rsid w:val="006B6515"/>
    <w:rsid w:val="006B6717"/>
    <w:rsid w:val="006B6A8A"/>
    <w:rsid w:val="006B6BBB"/>
    <w:rsid w:val="006B6CBD"/>
    <w:rsid w:val="006B6FF7"/>
    <w:rsid w:val="006B7424"/>
    <w:rsid w:val="006B76AF"/>
    <w:rsid w:val="006B77DA"/>
    <w:rsid w:val="006B795E"/>
    <w:rsid w:val="006C015A"/>
    <w:rsid w:val="006C031F"/>
    <w:rsid w:val="006C06E0"/>
    <w:rsid w:val="006C0811"/>
    <w:rsid w:val="006C0B35"/>
    <w:rsid w:val="006C0C68"/>
    <w:rsid w:val="006C0D3D"/>
    <w:rsid w:val="006C12A9"/>
    <w:rsid w:val="006C1465"/>
    <w:rsid w:val="006C1A39"/>
    <w:rsid w:val="006C1A79"/>
    <w:rsid w:val="006C1D30"/>
    <w:rsid w:val="006C1D88"/>
    <w:rsid w:val="006C1EEF"/>
    <w:rsid w:val="006C227C"/>
    <w:rsid w:val="006C2636"/>
    <w:rsid w:val="006C272C"/>
    <w:rsid w:val="006C29D9"/>
    <w:rsid w:val="006C3363"/>
    <w:rsid w:val="006C3546"/>
    <w:rsid w:val="006C3671"/>
    <w:rsid w:val="006C4159"/>
    <w:rsid w:val="006C42F4"/>
    <w:rsid w:val="006C42F6"/>
    <w:rsid w:val="006C4871"/>
    <w:rsid w:val="006C4AA6"/>
    <w:rsid w:val="006C4AAC"/>
    <w:rsid w:val="006C4FD0"/>
    <w:rsid w:val="006C55FF"/>
    <w:rsid w:val="006C561A"/>
    <w:rsid w:val="006C5B69"/>
    <w:rsid w:val="006C5CCE"/>
    <w:rsid w:val="006C5F0F"/>
    <w:rsid w:val="006C6132"/>
    <w:rsid w:val="006C63DD"/>
    <w:rsid w:val="006C64B1"/>
    <w:rsid w:val="006C6957"/>
    <w:rsid w:val="006C6DFF"/>
    <w:rsid w:val="006C76A2"/>
    <w:rsid w:val="006C7964"/>
    <w:rsid w:val="006D0024"/>
    <w:rsid w:val="006D00A7"/>
    <w:rsid w:val="006D02BB"/>
    <w:rsid w:val="006D0356"/>
    <w:rsid w:val="006D048C"/>
    <w:rsid w:val="006D07F5"/>
    <w:rsid w:val="006D08F9"/>
    <w:rsid w:val="006D0A25"/>
    <w:rsid w:val="006D0B16"/>
    <w:rsid w:val="006D0B59"/>
    <w:rsid w:val="006D0BE2"/>
    <w:rsid w:val="006D1066"/>
    <w:rsid w:val="006D107E"/>
    <w:rsid w:val="006D13D4"/>
    <w:rsid w:val="006D18C1"/>
    <w:rsid w:val="006D18EE"/>
    <w:rsid w:val="006D1995"/>
    <w:rsid w:val="006D1EF8"/>
    <w:rsid w:val="006D1F1E"/>
    <w:rsid w:val="006D23A5"/>
    <w:rsid w:val="006D23AC"/>
    <w:rsid w:val="006D23E2"/>
    <w:rsid w:val="006D2F2C"/>
    <w:rsid w:val="006D35DD"/>
    <w:rsid w:val="006D4074"/>
    <w:rsid w:val="006D417F"/>
    <w:rsid w:val="006D4347"/>
    <w:rsid w:val="006D4690"/>
    <w:rsid w:val="006D47A0"/>
    <w:rsid w:val="006D4AE7"/>
    <w:rsid w:val="006D4C95"/>
    <w:rsid w:val="006D4CC8"/>
    <w:rsid w:val="006D50C5"/>
    <w:rsid w:val="006D57F6"/>
    <w:rsid w:val="006D613C"/>
    <w:rsid w:val="006D6284"/>
    <w:rsid w:val="006D63A6"/>
    <w:rsid w:val="006D6404"/>
    <w:rsid w:val="006D68AF"/>
    <w:rsid w:val="006D6966"/>
    <w:rsid w:val="006D6A31"/>
    <w:rsid w:val="006D7192"/>
    <w:rsid w:val="006D7406"/>
    <w:rsid w:val="006D7563"/>
    <w:rsid w:val="006D7686"/>
    <w:rsid w:val="006D77C3"/>
    <w:rsid w:val="006D7D10"/>
    <w:rsid w:val="006D7E17"/>
    <w:rsid w:val="006E01BD"/>
    <w:rsid w:val="006E06CC"/>
    <w:rsid w:val="006E091A"/>
    <w:rsid w:val="006E1337"/>
    <w:rsid w:val="006E16A4"/>
    <w:rsid w:val="006E1CD6"/>
    <w:rsid w:val="006E2082"/>
    <w:rsid w:val="006E20B4"/>
    <w:rsid w:val="006E2210"/>
    <w:rsid w:val="006E2661"/>
    <w:rsid w:val="006E2A5B"/>
    <w:rsid w:val="006E2D6B"/>
    <w:rsid w:val="006E3212"/>
    <w:rsid w:val="006E3631"/>
    <w:rsid w:val="006E386D"/>
    <w:rsid w:val="006E39D1"/>
    <w:rsid w:val="006E3B0C"/>
    <w:rsid w:val="006E3C98"/>
    <w:rsid w:val="006E3E16"/>
    <w:rsid w:val="006E43DC"/>
    <w:rsid w:val="006E44E8"/>
    <w:rsid w:val="006E4737"/>
    <w:rsid w:val="006E476E"/>
    <w:rsid w:val="006E4967"/>
    <w:rsid w:val="006E4C8D"/>
    <w:rsid w:val="006E5409"/>
    <w:rsid w:val="006E540B"/>
    <w:rsid w:val="006E55DE"/>
    <w:rsid w:val="006E5B03"/>
    <w:rsid w:val="006E5DBC"/>
    <w:rsid w:val="006E5E18"/>
    <w:rsid w:val="006E5EE4"/>
    <w:rsid w:val="006E61DE"/>
    <w:rsid w:val="006E6232"/>
    <w:rsid w:val="006E6234"/>
    <w:rsid w:val="006E6336"/>
    <w:rsid w:val="006E647F"/>
    <w:rsid w:val="006E6522"/>
    <w:rsid w:val="006E6B23"/>
    <w:rsid w:val="006E78B2"/>
    <w:rsid w:val="006E7AC2"/>
    <w:rsid w:val="006E7DD1"/>
    <w:rsid w:val="006E7E5E"/>
    <w:rsid w:val="006F04A0"/>
    <w:rsid w:val="006F06EF"/>
    <w:rsid w:val="006F0A76"/>
    <w:rsid w:val="006F0C26"/>
    <w:rsid w:val="006F0CC0"/>
    <w:rsid w:val="006F1274"/>
    <w:rsid w:val="006F1640"/>
    <w:rsid w:val="006F281B"/>
    <w:rsid w:val="006F2CC6"/>
    <w:rsid w:val="006F2D87"/>
    <w:rsid w:val="006F35C9"/>
    <w:rsid w:val="006F37C1"/>
    <w:rsid w:val="006F3A0B"/>
    <w:rsid w:val="006F3A36"/>
    <w:rsid w:val="006F3B1D"/>
    <w:rsid w:val="006F3C45"/>
    <w:rsid w:val="006F3E37"/>
    <w:rsid w:val="006F3F8D"/>
    <w:rsid w:val="006F415C"/>
    <w:rsid w:val="006F4235"/>
    <w:rsid w:val="006F426F"/>
    <w:rsid w:val="006F48A1"/>
    <w:rsid w:val="006F49FE"/>
    <w:rsid w:val="006F4B43"/>
    <w:rsid w:val="006F4D97"/>
    <w:rsid w:val="006F4EE0"/>
    <w:rsid w:val="006F54ED"/>
    <w:rsid w:val="006F56A9"/>
    <w:rsid w:val="006F56C3"/>
    <w:rsid w:val="006F5ADB"/>
    <w:rsid w:val="006F5DAE"/>
    <w:rsid w:val="006F5F3D"/>
    <w:rsid w:val="006F5FFD"/>
    <w:rsid w:val="006F60C5"/>
    <w:rsid w:val="006F6181"/>
    <w:rsid w:val="006F6877"/>
    <w:rsid w:val="006F6DBB"/>
    <w:rsid w:val="006F6DF7"/>
    <w:rsid w:val="006F6F72"/>
    <w:rsid w:val="006F6F7E"/>
    <w:rsid w:val="006F6FD7"/>
    <w:rsid w:val="006F7344"/>
    <w:rsid w:val="006F7393"/>
    <w:rsid w:val="006F7524"/>
    <w:rsid w:val="006F75DC"/>
    <w:rsid w:val="006F765A"/>
    <w:rsid w:val="006F789A"/>
    <w:rsid w:val="0070037D"/>
    <w:rsid w:val="007005CF"/>
    <w:rsid w:val="0070070D"/>
    <w:rsid w:val="007008BC"/>
    <w:rsid w:val="00700A35"/>
    <w:rsid w:val="00700B60"/>
    <w:rsid w:val="00700C77"/>
    <w:rsid w:val="00700D8C"/>
    <w:rsid w:val="00700EB7"/>
    <w:rsid w:val="00701799"/>
    <w:rsid w:val="00701939"/>
    <w:rsid w:val="00701A01"/>
    <w:rsid w:val="00701B54"/>
    <w:rsid w:val="00701C7F"/>
    <w:rsid w:val="00701D85"/>
    <w:rsid w:val="007024C9"/>
    <w:rsid w:val="00702571"/>
    <w:rsid w:val="00702796"/>
    <w:rsid w:val="00702AD8"/>
    <w:rsid w:val="00702D6F"/>
    <w:rsid w:val="00702DC9"/>
    <w:rsid w:val="00702E5D"/>
    <w:rsid w:val="007032CD"/>
    <w:rsid w:val="007036D4"/>
    <w:rsid w:val="00703B2C"/>
    <w:rsid w:val="00703BCF"/>
    <w:rsid w:val="00703CD8"/>
    <w:rsid w:val="00703DD6"/>
    <w:rsid w:val="007047FB"/>
    <w:rsid w:val="00704806"/>
    <w:rsid w:val="007049ED"/>
    <w:rsid w:val="00704F45"/>
    <w:rsid w:val="00705882"/>
    <w:rsid w:val="007059A5"/>
    <w:rsid w:val="007059FC"/>
    <w:rsid w:val="00705AB7"/>
    <w:rsid w:val="00705B49"/>
    <w:rsid w:val="00706564"/>
    <w:rsid w:val="007066B5"/>
    <w:rsid w:val="00706FAE"/>
    <w:rsid w:val="00706FDF"/>
    <w:rsid w:val="00707108"/>
    <w:rsid w:val="007075D8"/>
    <w:rsid w:val="00707909"/>
    <w:rsid w:val="00707E21"/>
    <w:rsid w:val="00707E66"/>
    <w:rsid w:val="00707FF9"/>
    <w:rsid w:val="0071011A"/>
    <w:rsid w:val="007110F3"/>
    <w:rsid w:val="007113B1"/>
    <w:rsid w:val="00711403"/>
    <w:rsid w:val="007116C2"/>
    <w:rsid w:val="00711981"/>
    <w:rsid w:val="00711A94"/>
    <w:rsid w:val="00712226"/>
    <w:rsid w:val="007123C4"/>
    <w:rsid w:val="00712700"/>
    <w:rsid w:val="007129D7"/>
    <w:rsid w:val="00712BDA"/>
    <w:rsid w:val="00712DDD"/>
    <w:rsid w:val="00712FC3"/>
    <w:rsid w:val="00712FFC"/>
    <w:rsid w:val="00713708"/>
    <w:rsid w:val="007137F1"/>
    <w:rsid w:val="007138CF"/>
    <w:rsid w:val="0071395C"/>
    <w:rsid w:val="007140BA"/>
    <w:rsid w:val="007145F7"/>
    <w:rsid w:val="00714A89"/>
    <w:rsid w:val="00714BC3"/>
    <w:rsid w:val="007151FC"/>
    <w:rsid w:val="00715356"/>
    <w:rsid w:val="007155C8"/>
    <w:rsid w:val="00715A07"/>
    <w:rsid w:val="00715AE1"/>
    <w:rsid w:val="00715E56"/>
    <w:rsid w:val="0071613B"/>
    <w:rsid w:val="007163FE"/>
    <w:rsid w:val="007166D2"/>
    <w:rsid w:val="00716B4F"/>
    <w:rsid w:val="00716E66"/>
    <w:rsid w:val="0071748B"/>
    <w:rsid w:val="00717495"/>
    <w:rsid w:val="00717604"/>
    <w:rsid w:val="00717BFA"/>
    <w:rsid w:val="00717F6D"/>
    <w:rsid w:val="00720094"/>
    <w:rsid w:val="007204E8"/>
    <w:rsid w:val="007207AE"/>
    <w:rsid w:val="00720EF1"/>
    <w:rsid w:val="0072118D"/>
    <w:rsid w:val="00721B73"/>
    <w:rsid w:val="00721E70"/>
    <w:rsid w:val="007222B5"/>
    <w:rsid w:val="007223F0"/>
    <w:rsid w:val="0072252C"/>
    <w:rsid w:val="00722573"/>
    <w:rsid w:val="00723007"/>
    <w:rsid w:val="007230BE"/>
    <w:rsid w:val="007235C4"/>
    <w:rsid w:val="007236B2"/>
    <w:rsid w:val="00723863"/>
    <w:rsid w:val="007238B8"/>
    <w:rsid w:val="00723A4C"/>
    <w:rsid w:val="00723E27"/>
    <w:rsid w:val="00724074"/>
    <w:rsid w:val="00724124"/>
    <w:rsid w:val="007248DB"/>
    <w:rsid w:val="00724942"/>
    <w:rsid w:val="00725055"/>
    <w:rsid w:val="00725180"/>
    <w:rsid w:val="007256D9"/>
    <w:rsid w:val="007257F2"/>
    <w:rsid w:val="00725D1F"/>
    <w:rsid w:val="007260FB"/>
    <w:rsid w:val="007261B7"/>
    <w:rsid w:val="0072645F"/>
    <w:rsid w:val="0072668F"/>
    <w:rsid w:val="00726775"/>
    <w:rsid w:val="00726796"/>
    <w:rsid w:val="00726E63"/>
    <w:rsid w:val="00726F89"/>
    <w:rsid w:val="00726FBF"/>
    <w:rsid w:val="007272C6"/>
    <w:rsid w:val="007272D3"/>
    <w:rsid w:val="007275DB"/>
    <w:rsid w:val="00727A13"/>
    <w:rsid w:val="00727EE7"/>
    <w:rsid w:val="0073027C"/>
    <w:rsid w:val="00730282"/>
    <w:rsid w:val="00730307"/>
    <w:rsid w:val="00731011"/>
    <w:rsid w:val="0073106E"/>
    <w:rsid w:val="007310D2"/>
    <w:rsid w:val="00731180"/>
    <w:rsid w:val="00731356"/>
    <w:rsid w:val="00731484"/>
    <w:rsid w:val="007317A2"/>
    <w:rsid w:val="00731CBF"/>
    <w:rsid w:val="00731E7D"/>
    <w:rsid w:val="007321A7"/>
    <w:rsid w:val="0073251E"/>
    <w:rsid w:val="00732AAA"/>
    <w:rsid w:val="00732D32"/>
    <w:rsid w:val="00733042"/>
    <w:rsid w:val="007331AD"/>
    <w:rsid w:val="00734517"/>
    <w:rsid w:val="00734BB8"/>
    <w:rsid w:val="00734E4E"/>
    <w:rsid w:val="00735201"/>
    <w:rsid w:val="00735997"/>
    <w:rsid w:val="007359CA"/>
    <w:rsid w:val="00735A9E"/>
    <w:rsid w:val="00735C22"/>
    <w:rsid w:val="00735D6E"/>
    <w:rsid w:val="00736038"/>
    <w:rsid w:val="00736909"/>
    <w:rsid w:val="00736BE6"/>
    <w:rsid w:val="00736D11"/>
    <w:rsid w:val="007377E8"/>
    <w:rsid w:val="007378C3"/>
    <w:rsid w:val="00737AB3"/>
    <w:rsid w:val="00737D4D"/>
    <w:rsid w:val="00737D89"/>
    <w:rsid w:val="00737E08"/>
    <w:rsid w:val="00740663"/>
    <w:rsid w:val="00740765"/>
    <w:rsid w:val="007409A1"/>
    <w:rsid w:val="00740AEE"/>
    <w:rsid w:val="00740DD3"/>
    <w:rsid w:val="00740FAB"/>
    <w:rsid w:val="007413D7"/>
    <w:rsid w:val="0074171C"/>
    <w:rsid w:val="00741762"/>
    <w:rsid w:val="00741A09"/>
    <w:rsid w:val="0074211F"/>
    <w:rsid w:val="00742A2F"/>
    <w:rsid w:val="00742AA7"/>
    <w:rsid w:val="00742D40"/>
    <w:rsid w:val="00742EA7"/>
    <w:rsid w:val="00743191"/>
    <w:rsid w:val="007432BE"/>
    <w:rsid w:val="007434BF"/>
    <w:rsid w:val="007435D2"/>
    <w:rsid w:val="00743807"/>
    <w:rsid w:val="007439F6"/>
    <w:rsid w:val="00743D41"/>
    <w:rsid w:val="007440EE"/>
    <w:rsid w:val="007444B1"/>
    <w:rsid w:val="007449A9"/>
    <w:rsid w:val="0074538A"/>
    <w:rsid w:val="00745589"/>
    <w:rsid w:val="00745A34"/>
    <w:rsid w:val="00745D30"/>
    <w:rsid w:val="00745F1C"/>
    <w:rsid w:val="00746066"/>
    <w:rsid w:val="00746141"/>
    <w:rsid w:val="0074628B"/>
    <w:rsid w:val="007473EE"/>
    <w:rsid w:val="007476B2"/>
    <w:rsid w:val="00747727"/>
    <w:rsid w:val="00747855"/>
    <w:rsid w:val="00747E37"/>
    <w:rsid w:val="00747E51"/>
    <w:rsid w:val="00747F05"/>
    <w:rsid w:val="007504B7"/>
    <w:rsid w:val="007504E6"/>
    <w:rsid w:val="00750508"/>
    <w:rsid w:val="00750B5F"/>
    <w:rsid w:val="00750BC7"/>
    <w:rsid w:val="00750C64"/>
    <w:rsid w:val="00751248"/>
    <w:rsid w:val="007512E4"/>
    <w:rsid w:val="0075151F"/>
    <w:rsid w:val="0075167A"/>
    <w:rsid w:val="007516C7"/>
    <w:rsid w:val="00751925"/>
    <w:rsid w:val="007519FC"/>
    <w:rsid w:val="00751DC0"/>
    <w:rsid w:val="00751E79"/>
    <w:rsid w:val="007520E3"/>
    <w:rsid w:val="007520E6"/>
    <w:rsid w:val="007522C1"/>
    <w:rsid w:val="00752351"/>
    <w:rsid w:val="0075279A"/>
    <w:rsid w:val="00752DC1"/>
    <w:rsid w:val="00752DDC"/>
    <w:rsid w:val="00752EAD"/>
    <w:rsid w:val="0075320D"/>
    <w:rsid w:val="00753351"/>
    <w:rsid w:val="0075348D"/>
    <w:rsid w:val="007534AD"/>
    <w:rsid w:val="00753656"/>
    <w:rsid w:val="00753A32"/>
    <w:rsid w:val="00753AD8"/>
    <w:rsid w:val="00753CF2"/>
    <w:rsid w:val="007543F9"/>
    <w:rsid w:val="007545E9"/>
    <w:rsid w:val="0075488B"/>
    <w:rsid w:val="00754933"/>
    <w:rsid w:val="00754CDD"/>
    <w:rsid w:val="00754DE2"/>
    <w:rsid w:val="00754FC6"/>
    <w:rsid w:val="00755177"/>
    <w:rsid w:val="007557A7"/>
    <w:rsid w:val="00755873"/>
    <w:rsid w:val="007558D3"/>
    <w:rsid w:val="00755930"/>
    <w:rsid w:val="007559CC"/>
    <w:rsid w:val="007559FA"/>
    <w:rsid w:val="00755B96"/>
    <w:rsid w:val="00755BF2"/>
    <w:rsid w:val="00755CA7"/>
    <w:rsid w:val="00755D9A"/>
    <w:rsid w:val="007566CE"/>
    <w:rsid w:val="00756781"/>
    <w:rsid w:val="00756840"/>
    <w:rsid w:val="0075688B"/>
    <w:rsid w:val="00756DE1"/>
    <w:rsid w:val="00756F7D"/>
    <w:rsid w:val="007570EF"/>
    <w:rsid w:val="0075734C"/>
    <w:rsid w:val="0075781E"/>
    <w:rsid w:val="00757A75"/>
    <w:rsid w:val="00757AA2"/>
    <w:rsid w:val="0076007D"/>
    <w:rsid w:val="00760422"/>
    <w:rsid w:val="007604AB"/>
    <w:rsid w:val="0076052A"/>
    <w:rsid w:val="00760644"/>
    <w:rsid w:val="00760783"/>
    <w:rsid w:val="00760805"/>
    <w:rsid w:val="00760806"/>
    <w:rsid w:val="00760990"/>
    <w:rsid w:val="00760C19"/>
    <w:rsid w:val="00760C23"/>
    <w:rsid w:val="0076103C"/>
    <w:rsid w:val="00761251"/>
    <w:rsid w:val="00761568"/>
    <w:rsid w:val="00761610"/>
    <w:rsid w:val="00761745"/>
    <w:rsid w:val="0076241D"/>
    <w:rsid w:val="007629A4"/>
    <w:rsid w:val="00762B1C"/>
    <w:rsid w:val="0076316A"/>
    <w:rsid w:val="007634DF"/>
    <w:rsid w:val="007635CB"/>
    <w:rsid w:val="00763680"/>
    <w:rsid w:val="0076390C"/>
    <w:rsid w:val="00763C2D"/>
    <w:rsid w:val="00763F97"/>
    <w:rsid w:val="00764005"/>
    <w:rsid w:val="00764317"/>
    <w:rsid w:val="00764EFF"/>
    <w:rsid w:val="00764FBC"/>
    <w:rsid w:val="0076517F"/>
    <w:rsid w:val="007653D1"/>
    <w:rsid w:val="00765629"/>
    <w:rsid w:val="00765AD9"/>
    <w:rsid w:val="00765AE9"/>
    <w:rsid w:val="00765D4D"/>
    <w:rsid w:val="007661C1"/>
    <w:rsid w:val="0076662C"/>
    <w:rsid w:val="00766731"/>
    <w:rsid w:val="00766756"/>
    <w:rsid w:val="007667AC"/>
    <w:rsid w:val="00766818"/>
    <w:rsid w:val="00766D8B"/>
    <w:rsid w:val="00766E95"/>
    <w:rsid w:val="00766EAE"/>
    <w:rsid w:val="0076701F"/>
    <w:rsid w:val="00767114"/>
    <w:rsid w:val="007672A6"/>
    <w:rsid w:val="00767315"/>
    <w:rsid w:val="00767352"/>
    <w:rsid w:val="00767728"/>
    <w:rsid w:val="00767938"/>
    <w:rsid w:val="00767AB6"/>
    <w:rsid w:val="00767D56"/>
    <w:rsid w:val="0077053A"/>
    <w:rsid w:val="007705C3"/>
    <w:rsid w:val="0077068D"/>
    <w:rsid w:val="007708CD"/>
    <w:rsid w:val="007708F1"/>
    <w:rsid w:val="00770A53"/>
    <w:rsid w:val="00770D4D"/>
    <w:rsid w:val="0077151A"/>
    <w:rsid w:val="00771579"/>
    <w:rsid w:val="00771776"/>
    <w:rsid w:val="007717BF"/>
    <w:rsid w:val="00771810"/>
    <w:rsid w:val="00771A99"/>
    <w:rsid w:val="0077214E"/>
    <w:rsid w:val="00772312"/>
    <w:rsid w:val="00772784"/>
    <w:rsid w:val="00772B5C"/>
    <w:rsid w:val="00772BDC"/>
    <w:rsid w:val="00772D10"/>
    <w:rsid w:val="00772EFB"/>
    <w:rsid w:val="00772F0F"/>
    <w:rsid w:val="007737EA"/>
    <w:rsid w:val="00773C16"/>
    <w:rsid w:val="0077409C"/>
    <w:rsid w:val="007741CA"/>
    <w:rsid w:val="00774647"/>
    <w:rsid w:val="007748DB"/>
    <w:rsid w:val="00774C2E"/>
    <w:rsid w:val="00774C67"/>
    <w:rsid w:val="00774C93"/>
    <w:rsid w:val="00774FB1"/>
    <w:rsid w:val="0077511B"/>
    <w:rsid w:val="007755B8"/>
    <w:rsid w:val="007755C1"/>
    <w:rsid w:val="007755D2"/>
    <w:rsid w:val="007756B1"/>
    <w:rsid w:val="007757B1"/>
    <w:rsid w:val="00775B45"/>
    <w:rsid w:val="00775EEA"/>
    <w:rsid w:val="0077617B"/>
    <w:rsid w:val="00776191"/>
    <w:rsid w:val="00776564"/>
    <w:rsid w:val="00776A61"/>
    <w:rsid w:val="00776B59"/>
    <w:rsid w:val="007772C2"/>
    <w:rsid w:val="00777439"/>
    <w:rsid w:val="00777586"/>
    <w:rsid w:val="007777D8"/>
    <w:rsid w:val="007779A8"/>
    <w:rsid w:val="00777BAF"/>
    <w:rsid w:val="00777BC5"/>
    <w:rsid w:val="00777BE2"/>
    <w:rsid w:val="00777C4B"/>
    <w:rsid w:val="00777D32"/>
    <w:rsid w:val="00777E1C"/>
    <w:rsid w:val="00777FC9"/>
    <w:rsid w:val="00780101"/>
    <w:rsid w:val="00780271"/>
    <w:rsid w:val="00780671"/>
    <w:rsid w:val="00780E82"/>
    <w:rsid w:val="00780F7F"/>
    <w:rsid w:val="007810B4"/>
    <w:rsid w:val="007813C6"/>
    <w:rsid w:val="00781866"/>
    <w:rsid w:val="0078196E"/>
    <w:rsid w:val="00781D3B"/>
    <w:rsid w:val="00781D99"/>
    <w:rsid w:val="00781F73"/>
    <w:rsid w:val="0078248E"/>
    <w:rsid w:val="007824EE"/>
    <w:rsid w:val="00782ACB"/>
    <w:rsid w:val="00782D5D"/>
    <w:rsid w:val="0078336D"/>
    <w:rsid w:val="007833D6"/>
    <w:rsid w:val="00783423"/>
    <w:rsid w:val="007836D6"/>
    <w:rsid w:val="0078384A"/>
    <w:rsid w:val="00783B74"/>
    <w:rsid w:val="00784237"/>
    <w:rsid w:val="00784565"/>
    <w:rsid w:val="00784640"/>
    <w:rsid w:val="00784737"/>
    <w:rsid w:val="00784776"/>
    <w:rsid w:val="0078493B"/>
    <w:rsid w:val="00784956"/>
    <w:rsid w:val="00784E9B"/>
    <w:rsid w:val="00784FC7"/>
    <w:rsid w:val="0078518D"/>
    <w:rsid w:val="00785398"/>
    <w:rsid w:val="00785450"/>
    <w:rsid w:val="00785A13"/>
    <w:rsid w:val="00785B40"/>
    <w:rsid w:val="00785BFC"/>
    <w:rsid w:val="00785FAD"/>
    <w:rsid w:val="007866F3"/>
    <w:rsid w:val="00786801"/>
    <w:rsid w:val="00786A4A"/>
    <w:rsid w:val="00787421"/>
    <w:rsid w:val="007875F8"/>
    <w:rsid w:val="007876EC"/>
    <w:rsid w:val="00787721"/>
    <w:rsid w:val="007879F1"/>
    <w:rsid w:val="00787B30"/>
    <w:rsid w:val="00787CFD"/>
    <w:rsid w:val="00787D08"/>
    <w:rsid w:val="00787E5B"/>
    <w:rsid w:val="00787EA3"/>
    <w:rsid w:val="00787F5A"/>
    <w:rsid w:val="007901A9"/>
    <w:rsid w:val="00790769"/>
    <w:rsid w:val="007908AB"/>
    <w:rsid w:val="00790A74"/>
    <w:rsid w:val="007912B0"/>
    <w:rsid w:val="0079192F"/>
    <w:rsid w:val="0079206D"/>
    <w:rsid w:val="00792768"/>
    <w:rsid w:val="00792779"/>
    <w:rsid w:val="00792D5D"/>
    <w:rsid w:val="00793072"/>
    <w:rsid w:val="00793BEB"/>
    <w:rsid w:val="00794092"/>
    <w:rsid w:val="0079423E"/>
    <w:rsid w:val="00794295"/>
    <w:rsid w:val="007943F8"/>
    <w:rsid w:val="00794883"/>
    <w:rsid w:val="00794CDD"/>
    <w:rsid w:val="00794FB8"/>
    <w:rsid w:val="00795623"/>
    <w:rsid w:val="00795745"/>
    <w:rsid w:val="00795964"/>
    <w:rsid w:val="00795A0B"/>
    <w:rsid w:val="00795D93"/>
    <w:rsid w:val="00795F63"/>
    <w:rsid w:val="007967D7"/>
    <w:rsid w:val="00796E27"/>
    <w:rsid w:val="00797356"/>
    <w:rsid w:val="007977B6"/>
    <w:rsid w:val="0079795D"/>
    <w:rsid w:val="007A0234"/>
    <w:rsid w:val="007A06BD"/>
    <w:rsid w:val="007A0A38"/>
    <w:rsid w:val="007A0ABF"/>
    <w:rsid w:val="007A0B36"/>
    <w:rsid w:val="007A0C2B"/>
    <w:rsid w:val="007A0CB9"/>
    <w:rsid w:val="007A0FB7"/>
    <w:rsid w:val="007A1707"/>
    <w:rsid w:val="007A1A89"/>
    <w:rsid w:val="007A1B68"/>
    <w:rsid w:val="007A1C9C"/>
    <w:rsid w:val="007A21CC"/>
    <w:rsid w:val="007A2531"/>
    <w:rsid w:val="007A29E5"/>
    <w:rsid w:val="007A2C79"/>
    <w:rsid w:val="007A2CD4"/>
    <w:rsid w:val="007A2F54"/>
    <w:rsid w:val="007A2FD8"/>
    <w:rsid w:val="007A393F"/>
    <w:rsid w:val="007A3A62"/>
    <w:rsid w:val="007A3B1E"/>
    <w:rsid w:val="007A3E96"/>
    <w:rsid w:val="007A4597"/>
    <w:rsid w:val="007A46B9"/>
    <w:rsid w:val="007A4965"/>
    <w:rsid w:val="007A5019"/>
    <w:rsid w:val="007A50D8"/>
    <w:rsid w:val="007A51AC"/>
    <w:rsid w:val="007A543C"/>
    <w:rsid w:val="007A5449"/>
    <w:rsid w:val="007A593C"/>
    <w:rsid w:val="007A64D7"/>
    <w:rsid w:val="007A6578"/>
    <w:rsid w:val="007A662A"/>
    <w:rsid w:val="007A669A"/>
    <w:rsid w:val="007A681D"/>
    <w:rsid w:val="007A77AB"/>
    <w:rsid w:val="007A7B8E"/>
    <w:rsid w:val="007A7EA6"/>
    <w:rsid w:val="007A7FC7"/>
    <w:rsid w:val="007B011A"/>
    <w:rsid w:val="007B0192"/>
    <w:rsid w:val="007B0272"/>
    <w:rsid w:val="007B0381"/>
    <w:rsid w:val="007B071C"/>
    <w:rsid w:val="007B087A"/>
    <w:rsid w:val="007B08A6"/>
    <w:rsid w:val="007B105B"/>
    <w:rsid w:val="007B11C7"/>
    <w:rsid w:val="007B1292"/>
    <w:rsid w:val="007B1388"/>
    <w:rsid w:val="007B1843"/>
    <w:rsid w:val="007B1A63"/>
    <w:rsid w:val="007B1CED"/>
    <w:rsid w:val="007B1E3F"/>
    <w:rsid w:val="007B20B1"/>
    <w:rsid w:val="007B210A"/>
    <w:rsid w:val="007B2362"/>
    <w:rsid w:val="007B23B8"/>
    <w:rsid w:val="007B245F"/>
    <w:rsid w:val="007B2681"/>
    <w:rsid w:val="007B26E8"/>
    <w:rsid w:val="007B289B"/>
    <w:rsid w:val="007B2A15"/>
    <w:rsid w:val="007B3430"/>
    <w:rsid w:val="007B3774"/>
    <w:rsid w:val="007B3960"/>
    <w:rsid w:val="007B3DEB"/>
    <w:rsid w:val="007B3FC6"/>
    <w:rsid w:val="007B4089"/>
    <w:rsid w:val="007B4B12"/>
    <w:rsid w:val="007B4C06"/>
    <w:rsid w:val="007B4C7C"/>
    <w:rsid w:val="007B4E48"/>
    <w:rsid w:val="007B52E8"/>
    <w:rsid w:val="007B5418"/>
    <w:rsid w:val="007B59E1"/>
    <w:rsid w:val="007B5AF3"/>
    <w:rsid w:val="007B5D89"/>
    <w:rsid w:val="007B5F9C"/>
    <w:rsid w:val="007B631C"/>
    <w:rsid w:val="007B643B"/>
    <w:rsid w:val="007B6A80"/>
    <w:rsid w:val="007B6BFE"/>
    <w:rsid w:val="007B6F0D"/>
    <w:rsid w:val="007B6F94"/>
    <w:rsid w:val="007B7298"/>
    <w:rsid w:val="007B7477"/>
    <w:rsid w:val="007B7891"/>
    <w:rsid w:val="007B7A30"/>
    <w:rsid w:val="007B7DFA"/>
    <w:rsid w:val="007B7F6C"/>
    <w:rsid w:val="007C04B3"/>
    <w:rsid w:val="007C04BC"/>
    <w:rsid w:val="007C0503"/>
    <w:rsid w:val="007C06AA"/>
    <w:rsid w:val="007C08B0"/>
    <w:rsid w:val="007C0C24"/>
    <w:rsid w:val="007C0F81"/>
    <w:rsid w:val="007C180A"/>
    <w:rsid w:val="007C190A"/>
    <w:rsid w:val="007C19CC"/>
    <w:rsid w:val="007C2344"/>
    <w:rsid w:val="007C257A"/>
    <w:rsid w:val="007C25F4"/>
    <w:rsid w:val="007C2CBC"/>
    <w:rsid w:val="007C2CBF"/>
    <w:rsid w:val="007C3018"/>
    <w:rsid w:val="007C30AB"/>
    <w:rsid w:val="007C3439"/>
    <w:rsid w:val="007C35E6"/>
    <w:rsid w:val="007C36D9"/>
    <w:rsid w:val="007C3A9D"/>
    <w:rsid w:val="007C3CDD"/>
    <w:rsid w:val="007C3D88"/>
    <w:rsid w:val="007C3D94"/>
    <w:rsid w:val="007C454C"/>
    <w:rsid w:val="007C4705"/>
    <w:rsid w:val="007C4996"/>
    <w:rsid w:val="007C4A44"/>
    <w:rsid w:val="007C4B2A"/>
    <w:rsid w:val="007C4FE1"/>
    <w:rsid w:val="007C52CA"/>
    <w:rsid w:val="007C55B3"/>
    <w:rsid w:val="007C568D"/>
    <w:rsid w:val="007C56C1"/>
    <w:rsid w:val="007C5C19"/>
    <w:rsid w:val="007C5C95"/>
    <w:rsid w:val="007C5E62"/>
    <w:rsid w:val="007C63F2"/>
    <w:rsid w:val="007C63FE"/>
    <w:rsid w:val="007C6559"/>
    <w:rsid w:val="007C680A"/>
    <w:rsid w:val="007C6812"/>
    <w:rsid w:val="007C6842"/>
    <w:rsid w:val="007C6A33"/>
    <w:rsid w:val="007C6E6F"/>
    <w:rsid w:val="007C6F15"/>
    <w:rsid w:val="007C7056"/>
    <w:rsid w:val="007C7091"/>
    <w:rsid w:val="007C71DE"/>
    <w:rsid w:val="007C7AC8"/>
    <w:rsid w:val="007C7DF7"/>
    <w:rsid w:val="007C7FC4"/>
    <w:rsid w:val="007D0188"/>
    <w:rsid w:val="007D01A0"/>
    <w:rsid w:val="007D025F"/>
    <w:rsid w:val="007D0511"/>
    <w:rsid w:val="007D058B"/>
    <w:rsid w:val="007D0658"/>
    <w:rsid w:val="007D068C"/>
    <w:rsid w:val="007D0703"/>
    <w:rsid w:val="007D0DD0"/>
    <w:rsid w:val="007D0E51"/>
    <w:rsid w:val="007D0EA7"/>
    <w:rsid w:val="007D0FB7"/>
    <w:rsid w:val="007D1504"/>
    <w:rsid w:val="007D1631"/>
    <w:rsid w:val="007D1682"/>
    <w:rsid w:val="007D16B1"/>
    <w:rsid w:val="007D1838"/>
    <w:rsid w:val="007D1B58"/>
    <w:rsid w:val="007D1CD0"/>
    <w:rsid w:val="007D1CE5"/>
    <w:rsid w:val="007D1CEB"/>
    <w:rsid w:val="007D1D57"/>
    <w:rsid w:val="007D20A3"/>
    <w:rsid w:val="007D2106"/>
    <w:rsid w:val="007D225E"/>
    <w:rsid w:val="007D2723"/>
    <w:rsid w:val="007D2AC1"/>
    <w:rsid w:val="007D2FDD"/>
    <w:rsid w:val="007D34A4"/>
    <w:rsid w:val="007D374C"/>
    <w:rsid w:val="007D37A3"/>
    <w:rsid w:val="007D3941"/>
    <w:rsid w:val="007D4208"/>
    <w:rsid w:val="007D4333"/>
    <w:rsid w:val="007D43D2"/>
    <w:rsid w:val="007D48E0"/>
    <w:rsid w:val="007D4A1E"/>
    <w:rsid w:val="007D4B7A"/>
    <w:rsid w:val="007D4B81"/>
    <w:rsid w:val="007D59BD"/>
    <w:rsid w:val="007D5C42"/>
    <w:rsid w:val="007D5EF1"/>
    <w:rsid w:val="007D6225"/>
    <w:rsid w:val="007D63BD"/>
    <w:rsid w:val="007D6447"/>
    <w:rsid w:val="007D6777"/>
    <w:rsid w:val="007D68E8"/>
    <w:rsid w:val="007D6FF0"/>
    <w:rsid w:val="007D7119"/>
    <w:rsid w:val="007D75D8"/>
    <w:rsid w:val="007D7DB0"/>
    <w:rsid w:val="007D7E6C"/>
    <w:rsid w:val="007E00A5"/>
    <w:rsid w:val="007E030E"/>
    <w:rsid w:val="007E0992"/>
    <w:rsid w:val="007E0A74"/>
    <w:rsid w:val="007E0B0D"/>
    <w:rsid w:val="007E0B25"/>
    <w:rsid w:val="007E0C6C"/>
    <w:rsid w:val="007E120D"/>
    <w:rsid w:val="007E128A"/>
    <w:rsid w:val="007E1822"/>
    <w:rsid w:val="007E1913"/>
    <w:rsid w:val="007E1982"/>
    <w:rsid w:val="007E19CD"/>
    <w:rsid w:val="007E1A41"/>
    <w:rsid w:val="007E1ED9"/>
    <w:rsid w:val="007E2205"/>
    <w:rsid w:val="007E252B"/>
    <w:rsid w:val="007E275C"/>
    <w:rsid w:val="007E2816"/>
    <w:rsid w:val="007E29A0"/>
    <w:rsid w:val="007E2E8C"/>
    <w:rsid w:val="007E3388"/>
    <w:rsid w:val="007E37E9"/>
    <w:rsid w:val="007E3938"/>
    <w:rsid w:val="007E421A"/>
    <w:rsid w:val="007E445A"/>
    <w:rsid w:val="007E4622"/>
    <w:rsid w:val="007E46A0"/>
    <w:rsid w:val="007E4834"/>
    <w:rsid w:val="007E48C1"/>
    <w:rsid w:val="007E4BC8"/>
    <w:rsid w:val="007E4BE7"/>
    <w:rsid w:val="007E4DC5"/>
    <w:rsid w:val="007E4DFA"/>
    <w:rsid w:val="007E4E7A"/>
    <w:rsid w:val="007E5043"/>
    <w:rsid w:val="007E5450"/>
    <w:rsid w:val="007E54C9"/>
    <w:rsid w:val="007E5CF1"/>
    <w:rsid w:val="007E5E5D"/>
    <w:rsid w:val="007E614F"/>
    <w:rsid w:val="007E61ED"/>
    <w:rsid w:val="007E6210"/>
    <w:rsid w:val="007E622E"/>
    <w:rsid w:val="007E63E5"/>
    <w:rsid w:val="007E6668"/>
    <w:rsid w:val="007E6747"/>
    <w:rsid w:val="007E6777"/>
    <w:rsid w:val="007E68FD"/>
    <w:rsid w:val="007E6C90"/>
    <w:rsid w:val="007E6D98"/>
    <w:rsid w:val="007E6EF7"/>
    <w:rsid w:val="007E704C"/>
    <w:rsid w:val="007E7091"/>
    <w:rsid w:val="007E77C1"/>
    <w:rsid w:val="007E7FF4"/>
    <w:rsid w:val="007F02F1"/>
    <w:rsid w:val="007F0958"/>
    <w:rsid w:val="007F0B33"/>
    <w:rsid w:val="007F0B72"/>
    <w:rsid w:val="007F0CE0"/>
    <w:rsid w:val="007F0F34"/>
    <w:rsid w:val="007F0F3E"/>
    <w:rsid w:val="007F17E1"/>
    <w:rsid w:val="007F1836"/>
    <w:rsid w:val="007F1B3B"/>
    <w:rsid w:val="007F22B9"/>
    <w:rsid w:val="007F237A"/>
    <w:rsid w:val="007F23F4"/>
    <w:rsid w:val="007F248F"/>
    <w:rsid w:val="007F280F"/>
    <w:rsid w:val="007F2920"/>
    <w:rsid w:val="007F2A87"/>
    <w:rsid w:val="007F2AB6"/>
    <w:rsid w:val="007F2BF6"/>
    <w:rsid w:val="007F2BFD"/>
    <w:rsid w:val="007F2D3F"/>
    <w:rsid w:val="007F2F1A"/>
    <w:rsid w:val="007F3557"/>
    <w:rsid w:val="007F35F6"/>
    <w:rsid w:val="007F38A0"/>
    <w:rsid w:val="007F39D5"/>
    <w:rsid w:val="007F41B8"/>
    <w:rsid w:val="007F4285"/>
    <w:rsid w:val="007F42BF"/>
    <w:rsid w:val="007F45DC"/>
    <w:rsid w:val="007F4719"/>
    <w:rsid w:val="007F4881"/>
    <w:rsid w:val="007F4D81"/>
    <w:rsid w:val="007F4FA4"/>
    <w:rsid w:val="007F51F9"/>
    <w:rsid w:val="007F5370"/>
    <w:rsid w:val="007F5373"/>
    <w:rsid w:val="007F5454"/>
    <w:rsid w:val="007F58D7"/>
    <w:rsid w:val="007F594F"/>
    <w:rsid w:val="007F5CE3"/>
    <w:rsid w:val="007F5E12"/>
    <w:rsid w:val="007F60A9"/>
    <w:rsid w:val="007F64E4"/>
    <w:rsid w:val="007F663C"/>
    <w:rsid w:val="007F68A2"/>
    <w:rsid w:val="007F6B18"/>
    <w:rsid w:val="007F6C65"/>
    <w:rsid w:val="007F6EFB"/>
    <w:rsid w:val="007F72EE"/>
    <w:rsid w:val="007F79FF"/>
    <w:rsid w:val="007F7B30"/>
    <w:rsid w:val="007F7BA7"/>
    <w:rsid w:val="007F7E2D"/>
    <w:rsid w:val="007F7E34"/>
    <w:rsid w:val="00800232"/>
    <w:rsid w:val="008002BA"/>
    <w:rsid w:val="008002F1"/>
    <w:rsid w:val="00800777"/>
    <w:rsid w:val="008008E2"/>
    <w:rsid w:val="00801056"/>
    <w:rsid w:val="00801253"/>
    <w:rsid w:val="008013C2"/>
    <w:rsid w:val="0080173E"/>
    <w:rsid w:val="00801764"/>
    <w:rsid w:val="00801804"/>
    <w:rsid w:val="00801918"/>
    <w:rsid w:val="00801AFD"/>
    <w:rsid w:val="00801DF5"/>
    <w:rsid w:val="00801E3B"/>
    <w:rsid w:val="00802079"/>
    <w:rsid w:val="00802587"/>
    <w:rsid w:val="00802A20"/>
    <w:rsid w:val="00802C47"/>
    <w:rsid w:val="00802C59"/>
    <w:rsid w:val="00802C67"/>
    <w:rsid w:val="008036F7"/>
    <w:rsid w:val="00803C8C"/>
    <w:rsid w:val="0080425A"/>
    <w:rsid w:val="00804978"/>
    <w:rsid w:val="00804A15"/>
    <w:rsid w:val="00804BDD"/>
    <w:rsid w:val="00804D43"/>
    <w:rsid w:val="00804DC8"/>
    <w:rsid w:val="008050E9"/>
    <w:rsid w:val="008051CF"/>
    <w:rsid w:val="0080562F"/>
    <w:rsid w:val="00805F33"/>
    <w:rsid w:val="00806422"/>
    <w:rsid w:val="00806584"/>
    <w:rsid w:val="00806993"/>
    <w:rsid w:val="00806E6D"/>
    <w:rsid w:val="00806EFD"/>
    <w:rsid w:val="0080759A"/>
    <w:rsid w:val="00807DB9"/>
    <w:rsid w:val="00807DF6"/>
    <w:rsid w:val="00807F1D"/>
    <w:rsid w:val="008102C9"/>
    <w:rsid w:val="008105EB"/>
    <w:rsid w:val="00810B55"/>
    <w:rsid w:val="00810CDC"/>
    <w:rsid w:val="008110AA"/>
    <w:rsid w:val="00811257"/>
    <w:rsid w:val="008116AE"/>
    <w:rsid w:val="008119EA"/>
    <w:rsid w:val="0081205E"/>
    <w:rsid w:val="00812154"/>
    <w:rsid w:val="00812289"/>
    <w:rsid w:val="0081228F"/>
    <w:rsid w:val="00812552"/>
    <w:rsid w:val="008128A3"/>
    <w:rsid w:val="00812A1F"/>
    <w:rsid w:val="00812E2A"/>
    <w:rsid w:val="00813530"/>
    <w:rsid w:val="008137A4"/>
    <w:rsid w:val="008137C6"/>
    <w:rsid w:val="008138DB"/>
    <w:rsid w:val="0081395D"/>
    <w:rsid w:val="00813C85"/>
    <w:rsid w:val="00813D65"/>
    <w:rsid w:val="008145A6"/>
    <w:rsid w:val="008146F3"/>
    <w:rsid w:val="0081475B"/>
    <w:rsid w:val="00814BC0"/>
    <w:rsid w:val="00814CA4"/>
    <w:rsid w:val="00814D36"/>
    <w:rsid w:val="00814FB4"/>
    <w:rsid w:val="008154D6"/>
    <w:rsid w:val="008156D3"/>
    <w:rsid w:val="00815884"/>
    <w:rsid w:val="008158AB"/>
    <w:rsid w:val="008159C4"/>
    <w:rsid w:val="0081614C"/>
    <w:rsid w:val="00816182"/>
    <w:rsid w:val="0081622A"/>
    <w:rsid w:val="0081630E"/>
    <w:rsid w:val="00816346"/>
    <w:rsid w:val="008163E0"/>
    <w:rsid w:val="00816622"/>
    <w:rsid w:val="008166B4"/>
    <w:rsid w:val="008166DD"/>
    <w:rsid w:val="00816852"/>
    <w:rsid w:val="00816F67"/>
    <w:rsid w:val="00817053"/>
    <w:rsid w:val="008176C6"/>
    <w:rsid w:val="00817AFF"/>
    <w:rsid w:val="00817DBB"/>
    <w:rsid w:val="00817FAB"/>
    <w:rsid w:val="008201F9"/>
    <w:rsid w:val="00820222"/>
    <w:rsid w:val="00820341"/>
    <w:rsid w:val="00820525"/>
    <w:rsid w:val="008208DC"/>
    <w:rsid w:val="00820A1F"/>
    <w:rsid w:val="00820EBC"/>
    <w:rsid w:val="008210B7"/>
    <w:rsid w:val="008210FD"/>
    <w:rsid w:val="008212E8"/>
    <w:rsid w:val="00821350"/>
    <w:rsid w:val="00821365"/>
    <w:rsid w:val="008214D4"/>
    <w:rsid w:val="00821623"/>
    <w:rsid w:val="008218AC"/>
    <w:rsid w:val="00821BA8"/>
    <w:rsid w:val="00821CF6"/>
    <w:rsid w:val="008222DC"/>
    <w:rsid w:val="00822D03"/>
    <w:rsid w:val="00822EA9"/>
    <w:rsid w:val="008230DA"/>
    <w:rsid w:val="0082320E"/>
    <w:rsid w:val="00823342"/>
    <w:rsid w:val="008233D8"/>
    <w:rsid w:val="0082353C"/>
    <w:rsid w:val="00823EE0"/>
    <w:rsid w:val="00824116"/>
    <w:rsid w:val="008245F8"/>
    <w:rsid w:val="00824CAA"/>
    <w:rsid w:val="00824F1E"/>
    <w:rsid w:val="0082525F"/>
    <w:rsid w:val="008253CF"/>
    <w:rsid w:val="008255A1"/>
    <w:rsid w:val="00825E96"/>
    <w:rsid w:val="00825FEE"/>
    <w:rsid w:val="008260C9"/>
    <w:rsid w:val="00826148"/>
    <w:rsid w:val="00826287"/>
    <w:rsid w:val="00826835"/>
    <w:rsid w:val="0082685F"/>
    <w:rsid w:val="00826D11"/>
    <w:rsid w:val="00826E56"/>
    <w:rsid w:val="008274E7"/>
    <w:rsid w:val="008275F3"/>
    <w:rsid w:val="008279A2"/>
    <w:rsid w:val="00827B35"/>
    <w:rsid w:val="008300AB"/>
    <w:rsid w:val="008302B3"/>
    <w:rsid w:val="00830340"/>
    <w:rsid w:val="00830415"/>
    <w:rsid w:val="008305CA"/>
    <w:rsid w:val="008305E1"/>
    <w:rsid w:val="00830DCB"/>
    <w:rsid w:val="00830EEA"/>
    <w:rsid w:val="0083195F"/>
    <w:rsid w:val="00831CA2"/>
    <w:rsid w:val="00832574"/>
    <w:rsid w:val="008327A2"/>
    <w:rsid w:val="00832946"/>
    <w:rsid w:val="008329FA"/>
    <w:rsid w:val="00832E74"/>
    <w:rsid w:val="00832FDC"/>
    <w:rsid w:val="0083320E"/>
    <w:rsid w:val="008332CE"/>
    <w:rsid w:val="00833AA7"/>
    <w:rsid w:val="00833BDD"/>
    <w:rsid w:val="00833C1A"/>
    <w:rsid w:val="00833E2C"/>
    <w:rsid w:val="00833FBE"/>
    <w:rsid w:val="00834059"/>
    <w:rsid w:val="008342A8"/>
    <w:rsid w:val="008342B8"/>
    <w:rsid w:val="00834767"/>
    <w:rsid w:val="0083489C"/>
    <w:rsid w:val="00834D6F"/>
    <w:rsid w:val="00834EB3"/>
    <w:rsid w:val="00834F68"/>
    <w:rsid w:val="00834FA6"/>
    <w:rsid w:val="00834FDF"/>
    <w:rsid w:val="00835051"/>
    <w:rsid w:val="00835437"/>
    <w:rsid w:val="008354FF"/>
    <w:rsid w:val="00835766"/>
    <w:rsid w:val="00835CD2"/>
    <w:rsid w:val="008360CE"/>
    <w:rsid w:val="00836498"/>
    <w:rsid w:val="008366AB"/>
    <w:rsid w:val="00836937"/>
    <w:rsid w:val="00836C5E"/>
    <w:rsid w:val="00837023"/>
    <w:rsid w:val="008370FF"/>
    <w:rsid w:val="008372A7"/>
    <w:rsid w:val="00837456"/>
    <w:rsid w:val="00837920"/>
    <w:rsid w:val="00837D39"/>
    <w:rsid w:val="00837E15"/>
    <w:rsid w:val="00840094"/>
    <w:rsid w:val="0084014C"/>
    <w:rsid w:val="00840197"/>
    <w:rsid w:val="00840697"/>
    <w:rsid w:val="00840D70"/>
    <w:rsid w:val="00840DEC"/>
    <w:rsid w:val="00840EE5"/>
    <w:rsid w:val="0084166C"/>
    <w:rsid w:val="00841D6B"/>
    <w:rsid w:val="00842113"/>
    <w:rsid w:val="00842173"/>
    <w:rsid w:val="00842315"/>
    <w:rsid w:val="0084246A"/>
    <w:rsid w:val="00842A75"/>
    <w:rsid w:val="00842A80"/>
    <w:rsid w:val="00842BCA"/>
    <w:rsid w:val="00842C8F"/>
    <w:rsid w:val="00843161"/>
    <w:rsid w:val="0084340E"/>
    <w:rsid w:val="0084360C"/>
    <w:rsid w:val="00843699"/>
    <w:rsid w:val="008437DA"/>
    <w:rsid w:val="00843D0A"/>
    <w:rsid w:val="00843F14"/>
    <w:rsid w:val="00844287"/>
    <w:rsid w:val="00844347"/>
    <w:rsid w:val="0084450C"/>
    <w:rsid w:val="00844C12"/>
    <w:rsid w:val="00844CBA"/>
    <w:rsid w:val="00844DB8"/>
    <w:rsid w:val="0084501F"/>
    <w:rsid w:val="0084509B"/>
    <w:rsid w:val="0084519B"/>
    <w:rsid w:val="008452EA"/>
    <w:rsid w:val="00845337"/>
    <w:rsid w:val="0084552A"/>
    <w:rsid w:val="00845543"/>
    <w:rsid w:val="0084589A"/>
    <w:rsid w:val="008458E5"/>
    <w:rsid w:val="00845AB4"/>
    <w:rsid w:val="00845C6F"/>
    <w:rsid w:val="0084626A"/>
    <w:rsid w:val="008463FC"/>
    <w:rsid w:val="00846C4B"/>
    <w:rsid w:val="00846C58"/>
    <w:rsid w:val="008470AE"/>
    <w:rsid w:val="00847536"/>
    <w:rsid w:val="0084799C"/>
    <w:rsid w:val="00847ADB"/>
    <w:rsid w:val="00847E6D"/>
    <w:rsid w:val="00847EC8"/>
    <w:rsid w:val="00850B6D"/>
    <w:rsid w:val="00850BA1"/>
    <w:rsid w:val="008512A5"/>
    <w:rsid w:val="0085148F"/>
    <w:rsid w:val="00851552"/>
    <w:rsid w:val="008515FD"/>
    <w:rsid w:val="0085170C"/>
    <w:rsid w:val="00851A4E"/>
    <w:rsid w:val="00851CB1"/>
    <w:rsid w:val="00851DB0"/>
    <w:rsid w:val="00851DB5"/>
    <w:rsid w:val="00851F65"/>
    <w:rsid w:val="0085211A"/>
    <w:rsid w:val="008522B2"/>
    <w:rsid w:val="008522F1"/>
    <w:rsid w:val="00852CBD"/>
    <w:rsid w:val="00852DB8"/>
    <w:rsid w:val="00852E7E"/>
    <w:rsid w:val="00852E7F"/>
    <w:rsid w:val="008530B2"/>
    <w:rsid w:val="00853238"/>
    <w:rsid w:val="00853BF9"/>
    <w:rsid w:val="00853D8C"/>
    <w:rsid w:val="00853F38"/>
    <w:rsid w:val="0085423D"/>
    <w:rsid w:val="00854258"/>
    <w:rsid w:val="008544E1"/>
    <w:rsid w:val="00854783"/>
    <w:rsid w:val="00854B6F"/>
    <w:rsid w:val="00855003"/>
    <w:rsid w:val="008550B5"/>
    <w:rsid w:val="00855324"/>
    <w:rsid w:val="0085539C"/>
    <w:rsid w:val="008554E0"/>
    <w:rsid w:val="00855756"/>
    <w:rsid w:val="00855A51"/>
    <w:rsid w:val="00855C20"/>
    <w:rsid w:val="00855E6F"/>
    <w:rsid w:val="00856009"/>
    <w:rsid w:val="00856319"/>
    <w:rsid w:val="0085632F"/>
    <w:rsid w:val="0085643D"/>
    <w:rsid w:val="00856674"/>
    <w:rsid w:val="00856DE8"/>
    <w:rsid w:val="008570BD"/>
    <w:rsid w:val="008571CE"/>
    <w:rsid w:val="0085730B"/>
    <w:rsid w:val="008573BE"/>
    <w:rsid w:val="008575B8"/>
    <w:rsid w:val="00857A32"/>
    <w:rsid w:val="00857B51"/>
    <w:rsid w:val="00857C5D"/>
    <w:rsid w:val="00857EDB"/>
    <w:rsid w:val="00860DDE"/>
    <w:rsid w:val="00860FFF"/>
    <w:rsid w:val="00861348"/>
    <w:rsid w:val="0086142C"/>
    <w:rsid w:val="008615C6"/>
    <w:rsid w:val="008619D2"/>
    <w:rsid w:val="00861B90"/>
    <w:rsid w:val="00861CF7"/>
    <w:rsid w:val="00861E35"/>
    <w:rsid w:val="008621AE"/>
    <w:rsid w:val="008625AC"/>
    <w:rsid w:val="0086295C"/>
    <w:rsid w:val="00862AAE"/>
    <w:rsid w:val="00862D2C"/>
    <w:rsid w:val="00862FF5"/>
    <w:rsid w:val="00863CB9"/>
    <w:rsid w:val="00863E9B"/>
    <w:rsid w:val="008640E8"/>
    <w:rsid w:val="00864243"/>
    <w:rsid w:val="008642FD"/>
    <w:rsid w:val="00864461"/>
    <w:rsid w:val="008644CF"/>
    <w:rsid w:val="0086466E"/>
    <w:rsid w:val="00864F9D"/>
    <w:rsid w:val="0086526D"/>
    <w:rsid w:val="0086545E"/>
    <w:rsid w:val="00865547"/>
    <w:rsid w:val="00865693"/>
    <w:rsid w:val="008663D1"/>
    <w:rsid w:val="0086657B"/>
    <w:rsid w:val="008667CB"/>
    <w:rsid w:val="00866A00"/>
    <w:rsid w:val="00866A1B"/>
    <w:rsid w:val="00867283"/>
    <w:rsid w:val="0086763F"/>
    <w:rsid w:val="00867815"/>
    <w:rsid w:val="00867A0B"/>
    <w:rsid w:val="00867EC6"/>
    <w:rsid w:val="008700C0"/>
    <w:rsid w:val="00870158"/>
    <w:rsid w:val="00870468"/>
    <w:rsid w:val="00870C0C"/>
    <w:rsid w:val="00870F3F"/>
    <w:rsid w:val="0087131F"/>
    <w:rsid w:val="00871AF7"/>
    <w:rsid w:val="00871BB2"/>
    <w:rsid w:val="008721DD"/>
    <w:rsid w:val="00872210"/>
    <w:rsid w:val="008724C9"/>
    <w:rsid w:val="0087276B"/>
    <w:rsid w:val="00872AD0"/>
    <w:rsid w:val="00872FB1"/>
    <w:rsid w:val="00873415"/>
    <w:rsid w:val="00873E44"/>
    <w:rsid w:val="00874125"/>
    <w:rsid w:val="008741E3"/>
    <w:rsid w:val="008741F3"/>
    <w:rsid w:val="0087425D"/>
    <w:rsid w:val="0087433D"/>
    <w:rsid w:val="00874573"/>
    <w:rsid w:val="008746D7"/>
    <w:rsid w:val="008747B9"/>
    <w:rsid w:val="008748D1"/>
    <w:rsid w:val="00874BD1"/>
    <w:rsid w:val="00874BFA"/>
    <w:rsid w:val="0087586A"/>
    <w:rsid w:val="00875A46"/>
    <w:rsid w:val="00875D1D"/>
    <w:rsid w:val="00875F8B"/>
    <w:rsid w:val="00876306"/>
    <w:rsid w:val="00876A59"/>
    <w:rsid w:val="008775EA"/>
    <w:rsid w:val="00877605"/>
    <w:rsid w:val="00877981"/>
    <w:rsid w:val="00877A53"/>
    <w:rsid w:val="00877B21"/>
    <w:rsid w:val="00877D10"/>
    <w:rsid w:val="00880104"/>
    <w:rsid w:val="00880235"/>
    <w:rsid w:val="00880291"/>
    <w:rsid w:val="008802FB"/>
    <w:rsid w:val="0088035C"/>
    <w:rsid w:val="0088042C"/>
    <w:rsid w:val="0088046C"/>
    <w:rsid w:val="00880A78"/>
    <w:rsid w:val="00880A94"/>
    <w:rsid w:val="00880C23"/>
    <w:rsid w:val="0088113D"/>
    <w:rsid w:val="00881381"/>
    <w:rsid w:val="008815FC"/>
    <w:rsid w:val="008817A0"/>
    <w:rsid w:val="00881989"/>
    <w:rsid w:val="00881C75"/>
    <w:rsid w:val="00881F6E"/>
    <w:rsid w:val="008822A1"/>
    <w:rsid w:val="00882341"/>
    <w:rsid w:val="00882774"/>
    <w:rsid w:val="008829B6"/>
    <w:rsid w:val="00882BB1"/>
    <w:rsid w:val="00882E17"/>
    <w:rsid w:val="00882E46"/>
    <w:rsid w:val="00882F09"/>
    <w:rsid w:val="00882F4B"/>
    <w:rsid w:val="0088316B"/>
    <w:rsid w:val="008832DF"/>
    <w:rsid w:val="00883545"/>
    <w:rsid w:val="008838F7"/>
    <w:rsid w:val="0088390A"/>
    <w:rsid w:val="00883D64"/>
    <w:rsid w:val="00883F0E"/>
    <w:rsid w:val="008840C2"/>
    <w:rsid w:val="00884183"/>
    <w:rsid w:val="008846B6"/>
    <w:rsid w:val="00884D25"/>
    <w:rsid w:val="00884E66"/>
    <w:rsid w:val="00884EDA"/>
    <w:rsid w:val="00885054"/>
    <w:rsid w:val="008853EA"/>
    <w:rsid w:val="00885572"/>
    <w:rsid w:val="00885707"/>
    <w:rsid w:val="00885796"/>
    <w:rsid w:val="00885AC8"/>
    <w:rsid w:val="0088622E"/>
    <w:rsid w:val="00886387"/>
    <w:rsid w:val="00886490"/>
    <w:rsid w:val="00886512"/>
    <w:rsid w:val="00886986"/>
    <w:rsid w:val="00886A4D"/>
    <w:rsid w:val="00886C0D"/>
    <w:rsid w:val="00886C73"/>
    <w:rsid w:val="00886C78"/>
    <w:rsid w:val="00886E23"/>
    <w:rsid w:val="0088725A"/>
    <w:rsid w:val="00887571"/>
    <w:rsid w:val="008875E5"/>
    <w:rsid w:val="00887E5E"/>
    <w:rsid w:val="0089001D"/>
    <w:rsid w:val="0089018F"/>
    <w:rsid w:val="0089080F"/>
    <w:rsid w:val="00890936"/>
    <w:rsid w:val="0089110F"/>
    <w:rsid w:val="0089175E"/>
    <w:rsid w:val="0089179A"/>
    <w:rsid w:val="00891982"/>
    <w:rsid w:val="00891B92"/>
    <w:rsid w:val="00891E00"/>
    <w:rsid w:val="00891E35"/>
    <w:rsid w:val="00891F20"/>
    <w:rsid w:val="0089211F"/>
    <w:rsid w:val="00892311"/>
    <w:rsid w:val="0089233B"/>
    <w:rsid w:val="00892BF4"/>
    <w:rsid w:val="008931B6"/>
    <w:rsid w:val="00893A86"/>
    <w:rsid w:val="00893B58"/>
    <w:rsid w:val="00893D99"/>
    <w:rsid w:val="00893E46"/>
    <w:rsid w:val="0089407A"/>
    <w:rsid w:val="00894196"/>
    <w:rsid w:val="00894560"/>
    <w:rsid w:val="0089475E"/>
    <w:rsid w:val="008949CE"/>
    <w:rsid w:val="00894B31"/>
    <w:rsid w:val="00894D43"/>
    <w:rsid w:val="00894E5C"/>
    <w:rsid w:val="00894E87"/>
    <w:rsid w:val="008950D8"/>
    <w:rsid w:val="0089554E"/>
    <w:rsid w:val="00895602"/>
    <w:rsid w:val="00895E27"/>
    <w:rsid w:val="008964DB"/>
    <w:rsid w:val="008965E4"/>
    <w:rsid w:val="008968C3"/>
    <w:rsid w:val="00896A26"/>
    <w:rsid w:val="00896FC4"/>
    <w:rsid w:val="008970AC"/>
    <w:rsid w:val="00897136"/>
    <w:rsid w:val="00897148"/>
    <w:rsid w:val="008975A4"/>
    <w:rsid w:val="00897668"/>
    <w:rsid w:val="00897751"/>
    <w:rsid w:val="008979CF"/>
    <w:rsid w:val="00897A7F"/>
    <w:rsid w:val="00897D05"/>
    <w:rsid w:val="008A00C0"/>
    <w:rsid w:val="008A01C0"/>
    <w:rsid w:val="008A06DE"/>
    <w:rsid w:val="008A0B4B"/>
    <w:rsid w:val="008A0FE7"/>
    <w:rsid w:val="008A13CF"/>
    <w:rsid w:val="008A17C2"/>
    <w:rsid w:val="008A180F"/>
    <w:rsid w:val="008A2317"/>
    <w:rsid w:val="008A23E3"/>
    <w:rsid w:val="008A2475"/>
    <w:rsid w:val="008A2505"/>
    <w:rsid w:val="008A258E"/>
    <w:rsid w:val="008A26D0"/>
    <w:rsid w:val="008A2885"/>
    <w:rsid w:val="008A29D4"/>
    <w:rsid w:val="008A2A0C"/>
    <w:rsid w:val="008A2D2A"/>
    <w:rsid w:val="008A2EB9"/>
    <w:rsid w:val="008A30D0"/>
    <w:rsid w:val="008A35A4"/>
    <w:rsid w:val="008A35DC"/>
    <w:rsid w:val="008A36C3"/>
    <w:rsid w:val="008A383B"/>
    <w:rsid w:val="008A398E"/>
    <w:rsid w:val="008A3AAF"/>
    <w:rsid w:val="008A3BE6"/>
    <w:rsid w:val="008A4286"/>
    <w:rsid w:val="008A495E"/>
    <w:rsid w:val="008A4AFA"/>
    <w:rsid w:val="008A4B5F"/>
    <w:rsid w:val="008A4CC9"/>
    <w:rsid w:val="008A4E39"/>
    <w:rsid w:val="008A50F4"/>
    <w:rsid w:val="008A578B"/>
    <w:rsid w:val="008A57CA"/>
    <w:rsid w:val="008A5821"/>
    <w:rsid w:val="008A5863"/>
    <w:rsid w:val="008A620D"/>
    <w:rsid w:val="008A62BA"/>
    <w:rsid w:val="008A6568"/>
    <w:rsid w:val="008A6930"/>
    <w:rsid w:val="008A698E"/>
    <w:rsid w:val="008A6C0F"/>
    <w:rsid w:val="008A6E04"/>
    <w:rsid w:val="008A729A"/>
    <w:rsid w:val="008A75B0"/>
    <w:rsid w:val="008A7878"/>
    <w:rsid w:val="008A7F4A"/>
    <w:rsid w:val="008B01D6"/>
    <w:rsid w:val="008B0C0D"/>
    <w:rsid w:val="008B0D0A"/>
    <w:rsid w:val="008B0DC1"/>
    <w:rsid w:val="008B0DD8"/>
    <w:rsid w:val="008B10E3"/>
    <w:rsid w:val="008B1116"/>
    <w:rsid w:val="008B11BA"/>
    <w:rsid w:val="008B1270"/>
    <w:rsid w:val="008B1430"/>
    <w:rsid w:val="008B1693"/>
    <w:rsid w:val="008B17BC"/>
    <w:rsid w:val="008B17C1"/>
    <w:rsid w:val="008B188F"/>
    <w:rsid w:val="008B1948"/>
    <w:rsid w:val="008B1D78"/>
    <w:rsid w:val="008B2A3B"/>
    <w:rsid w:val="008B2BE8"/>
    <w:rsid w:val="008B2EB3"/>
    <w:rsid w:val="008B2FEE"/>
    <w:rsid w:val="008B3F9D"/>
    <w:rsid w:val="008B4389"/>
    <w:rsid w:val="008B442C"/>
    <w:rsid w:val="008B48CF"/>
    <w:rsid w:val="008B4A82"/>
    <w:rsid w:val="008B4BE3"/>
    <w:rsid w:val="008B50BE"/>
    <w:rsid w:val="008B511C"/>
    <w:rsid w:val="008B51A5"/>
    <w:rsid w:val="008B52CF"/>
    <w:rsid w:val="008B53D1"/>
    <w:rsid w:val="008B5506"/>
    <w:rsid w:val="008B5542"/>
    <w:rsid w:val="008B5551"/>
    <w:rsid w:val="008B5C7B"/>
    <w:rsid w:val="008B5EFF"/>
    <w:rsid w:val="008B5F7A"/>
    <w:rsid w:val="008B63A9"/>
    <w:rsid w:val="008B6767"/>
    <w:rsid w:val="008B6772"/>
    <w:rsid w:val="008B6A42"/>
    <w:rsid w:val="008B6DB5"/>
    <w:rsid w:val="008B6E17"/>
    <w:rsid w:val="008B6F95"/>
    <w:rsid w:val="008B7175"/>
    <w:rsid w:val="008B73F5"/>
    <w:rsid w:val="008B7541"/>
    <w:rsid w:val="008B7573"/>
    <w:rsid w:val="008B79D4"/>
    <w:rsid w:val="008B7D5A"/>
    <w:rsid w:val="008C026E"/>
    <w:rsid w:val="008C05CD"/>
    <w:rsid w:val="008C0901"/>
    <w:rsid w:val="008C0B52"/>
    <w:rsid w:val="008C0F35"/>
    <w:rsid w:val="008C119F"/>
    <w:rsid w:val="008C149F"/>
    <w:rsid w:val="008C1916"/>
    <w:rsid w:val="008C2505"/>
    <w:rsid w:val="008C2A3D"/>
    <w:rsid w:val="008C2B24"/>
    <w:rsid w:val="008C2FD1"/>
    <w:rsid w:val="008C37BA"/>
    <w:rsid w:val="008C382B"/>
    <w:rsid w:val="008C3841"/>
    <w:rsid w:val="008C39F0"/>
    <w:rsid w:val="008C3AE2"/>
    <w:rsid w:val="008C3E68"/>
    <w:rsid w:val="008C405A"/>
    <w:rsid w:val="008C42E0"/>
    <w:rsid w:val="008C511A"/>
    <w:rsid w:val="008C542F"/>
    <w:rsid w:val="008C6016"/>
    <w:rsid w:val="008C6707"/>
    <w:rsid w:val="008C681E"/>
    <w:rsid w:val="008C6822"/>
    <w:rsid w:val="008C6E85"/>
    <w:rsid w:val="008C7398"/>
    <w:rsid w:val="008C7679"/>
    <w:rsid w:val="008C76D8"/>
    <w:rsid w:val="008C794D"/>
    <w:rsid w:val="008C79FB"/>
    <w:rsid w:val="008C7DDC"/>
    <w:rsid w:val="008C7EAA"/>
    <w:rsid w:val="008D036F"/>
    <w:rsid w:val="008D0373"/>
    <w:rsid w:val="008D0416"/>
    <w:rsid w:val="008D0998"/>
    <w:rsid w:val="008D0B6C"/>
    <w:rsid w:val="008D0C67"/>
    <w:rsid w:val="008D0D3C"/>
    <w:rsid w:val="008D112C"/>
    <w:rsid w:val="008D1189"/>
    <w:rsid w:val="008D11A1"/>
    <w:rsid w:val="008D11D6"/>
    <w:rsid w:val="008D142F"/>
    <w:rsid w:val="008D147D"/>
    <w:rsid w:val="008D1DC4"/>
    <w:rsid w:val="008D1EB7"/>
    <w:rsid w:val="008D24B9"/>
    <w:rsid w:val="008D2533"/>
    <w:rsid w:val="008D25DE"/>
    <w:rsid w:val="008D2799"/>
    <w:rsid w:val="008D2988"/>
    <w:rsid w:val="008D2CEE"/>
    <w:rsid w:val="008D2E75"/>
    <w:rsid w:val="008D331B"/>
    <w:rsid w:val="008D3436"/>
    <w:rsid w:val="008D3524"/>
    <w:rsid w:val="008D373D"/>
    <w:rsid w:val="008D37CE"/>
    <w:rsid w:val="008D3996"/>
    <w:rsid w:val="008D3C8D"/>
    <w:rsid w:val="008D3E44"/>
    <w:rsid w:val="008D4064"/>
    <w:rsid w:val="008D4312"/>
    <w:rsid w:val="008D46CB"/>
    <w:rsid w:val="008D49C4"/>
    <w:rsid w:val="008D4CCD"/>
    <w:rsid w:val="008D569F"/>
    <w:rsid w:val="008D688B"/>
    <w:rsid w:val="008D6A8E"/>
    <w:rsid w:val="008D6A91"/>
    <w:rsid w:val="008D6BAB"/>
    <w:rsid w:val="008D6DC2"/>
    <w:rsid w:val="008D6F9E"/>
    <w:rsid w:val="008D74BF"/>
    <w:rsid w:val="008D75E5"/>
    <w:rsid w:val="008D784F"/>
    <w:rsid w:val="008D78C9"/>
    <w:rsid w:val="008D7936"/>
    <w:rsid w:val="008D798A"/>
    <w:rsid w:val="008D7FCC"/>
    <w:rsid w:val="008E10FC"/>
    <w:rsid w:val="008E1262"/>
    <w:rsid w:val="008E12F9"/>
    <w:rsid w:val="008E1650"/>
    <w:rsid w:val="008E1E3A"/>
    <w:rsid w:val="008E1E9A"/>
    <w:rsid w:val="008E203C"/>
    <w:rsid w:val="008E23FB"/>
    <w:rsid w:val="008E2481"/>
    <w:rsid w:val="008E2500"/>
    <w:rsid w:val="008E2740"/>
    <w:rsid w:val="008E2793"/>
    <w:rsid w:val="008E2A3D"/>
    <w:rsid w:val="008E2DB8"/>
    <w:rsid w:val="008E2DF0"/>
    <w:rsid w:val="008E3E00"/>
    <w:rsid w:val="008E3E5D"/>
    <w:rsid w:val="008E427B"/>
    <w:rsid w:val="008E4355"/>
    <w:rsid w:val="008E4F74"/>
    <w:rsid w:val="008E55BC"/>
    <w:rsid w:val="008E55E0"/>
    <w:rsid w:val="008E5616"/>
    <w:rsid w:val="008E5C14"/>
    <w:rsid w:val="008E5D9E"/>
    <w:rsid w:val="008E5DEA"/>
    <w:rsid w:val="008E5EA5"/>
    <w:rsid w:val="008E6180"/>
    <w:rsid w:val="008E62E7"/>
    <w:rsid w:val="008E6327"/>
    <w:rsid w:val="008E6D34"/>
    <w:rsid w:val="008E7203"/>
    <w:rsid w:val="008E741B"/>
    <w:rsid w:val="008E7B2F"/>
    <w:rsid w:val="008E7EFB"/>
    <w:rsid w:val="008E9C3B"/>
    <w:rsid w:val="008F027C"/>
    <w:rsid w:val="008F04F5"/>
    <w:rsid w:val="008F05D5"/>
    <w:rsid w:val="008F08D4"/>
    <w:rsid w:val="008F0AA5"/>
    <w:rsid w:val="008F0C3A"/>
    <w:rsid w:val="008F128C"/>
    <w:rsid w:val="008F1455"/>
    <w:rsid w:val="008F16DE"/>
    <w:rsid w:val="008F1A38"/>
    <w:rsid w:val="008F1CCE"/>
    <w:rsid w:val="008F1F2A"/>
    <w:rsid w:val="008F221C"/>
    <w:rsid w:val="008F227A"/>
    <w:rsid w:val="008F22CE"/>
    <w:rsid w:val="008F2847"/>
    <w:rsid w:val="008F2AF7"/>
    <w:rsid w:val="008F2D66"/>
    <w:rsid w:val="008F30FE"/>
    <w:rsid w:val="008F3334"/>
    <w:rsid w:val="008F35AF"/>
    <w:rsid w:val="008F3844"/>
    <w:rsid w:val="008F3902"/>
    <w:rsid w:val="008F3BF3"/>
    <w:rsid w:val="008F3E3F"/>
    <w:rsid w:val="008F416F"/>
    <w:rsid w:val="008F4965"/>
    <w:rsid w:val="008F4B9D"/>
    <w:rsid w:val="008F4BDA"/>
    <w:rsid w:val="008F4BEE"/>
    <w:rsid w:val="008F4D69"/>
    <w:rsid w:val="008F56B2"/>
    <w:rsid w:val="008F58D2"/>
    <w:rsid w:val="008F5B9D"/>
    <w:rsid w:val="008F5E48"/>
    <w:rsid w:val="008F62AF"/>
    <w:rsid w:val="008F62FA"/>
    <w:rsid w:val="008F6B71"/>
    <w:rsid w:val="008F711D"/>
    <w:rsid w:val="008F741C"/>
    <w:rsid w:val="008F7981"/>
    <w:rsid w:val="0090035F"/>
    <w:rsid w:val="00900DD0"/>
    <w:rsid w:val="00901008"/>
    <w:rsid w:val="009014AF"/>
    <w:rsid w:val="00901580"/>
    <w:rsid w:val="0090161D"/>
    <w:rsid w:val="00901798"/>
    <w:rsid w:val="009017A6"/>
    <w:rsid w:val="00901B21"/>
    <w:rsid w:val="00901B43"/>
    <w:rsid w:val="00901CBF"/>
    <w:rsid w:val="009020AB"/>
    <w:rsid w:val="0090224E"/>
    <w:rsid w:val="0090242A"/>
    <w:rsid w:val="00902634"/>
    <w:rsid w:val="00902D63"/>
    <w:rsid w:val="00902FD7"/>
    <w:rsid w:val="009030AA"/>
    <w:rsid w:val="00903446"/>
    <w:rsid w:val="0090354B"/>
    <w:rsid w:val="0090369D"/>
    <w:rsid w:val="00903971"/>
    <w:rsid w:val="00903AC5"/>
    <w:rsid w:val="00903AE6"/>
    <w:rsid w:val="00903D6A"/>
    <w:rsid w:val="00903EC8"/>
    <w:rsid w:val="009043D6"/>
    <w:rsid w:val="00904994"/>
    <w:rsid w:val="00904B3F"/>
    <w:rsid w:val="0090512A"/>
    <w:rsid w:val="00905276"/>
    <w:rsid w:val="00905514"/>
    <w:rsid w:val="009055D0"/>
    <w:rsid w:val="00905905"/>
    <w:rsid w:val="00905B35"/>
    <w:rsid w:val="00905B75"/>
    <w:rsid w:val="00905D59"/>
    <w:rsid w:val="00906082"/>
    <w:rsid w:val="009062B1"/>
    <w:rsid w:val="009062C0"/>
    <w:rsid w:val="00906301"/>
    <w:rsid w:val="00906499"/>
    <w:rsid w:val="00906A58"/>
    <w:rsid w:val="0090711D"/>
    <w:rsid w:val="0090717C"/>
    <w:rsid w:val="009071BE"/>
    <w:rsid w:val="009075A6"/>
    <w:rsid w:val="00907E5B"/>
    <w:rsid w:val="0091009A"/>
    <w:rsid w:val="00910345"/>
    <w:rsid w:val="0091034C"/>
    <w:rsid w:val="009103FF"/>
    <w:rsid w:val="00910A21"/>
    <w:rsid w:val="00910EAE"/>
    <w:rsid w:val="00911033"/>
    <w:rsid w:val="009113AF"/>
    <w:rsid w:val="00911618"/>
    <w:rsid w:val="009119AA"/>
    <w:rsid w:val="00911BEB"/>
    <w:rsid w:val="00911F22"/>
    <w:rsid w:val="00911F76"/>
    <w:rsid w:val="00911F7C"/>
    <w:rsid w:val="00912683"/>
    <w:rsid w:val="0091282F"/>
    <w:rsid w:val="0091326C"/>
    <w:rsid w:val="00913BC4"/>
    <w:rsid w:val="00913F9D"/>
    <w:rsid w:val="009142A1"/>
    <w:rsid w:val="0091434B"/>
    <w:rsid w:val="009143EB"/>
    <w:rsid w:val="009148DA"/>
    <w:rsid w:val="00914CC7"/>
    <w:rsid w:val="00914D83"/>
    <w:rsid w:val="00914DE2"/>
    <w:rsid w:val="00914E05"/>
    <w:rsid w:val="0091573B"/>
    <w:rsid w:val="00915778"/>
    <w:rsid w:val="0091580D"/>
    <w:rsid w:val="00915A9E"/>
    <w:rsid w:val="00915C48"/>
    <w:rsid w:val="00915ED7"/>
    <w:rsid w:val="00916352"/>
    <w:rsid w:val="009164F1"/>
    <w:rsid w:val="0091691B"/>
    <w:rsid w:val="00916944"/>
    <w:rsid w:val="00916AFA"/>
    <w:rsid w:val="00916DAB"/>
    <w:rsid w:val="00916EB9"/>
    <w:rsid w:val="009170E9"/>
    <w:rsid w:val="00917242"/>
    <w:rsid w:val="009173BB"/>
    <w:rsid w:val="00917502"/>
    <w:rsid w:val="00917697"/>
    <w:rsid w:val="009176F2"/>
    <w:rsid w:val="00917745"/>
    <w:rsid w:val="00917793"/>
    <w:rsid w:val="00920495"/>
    <w:rsid w:val="00920961"/>
    <w:rsid w:val="00920AAC"/>
    <w:rsid w:val="00920DC7"/>
    <w:rsid w:val="00920EE7"/>
    <w:rsid w:val="009211A3"/>
    <w:rsid w:val="00921283"/>
    <w:rsid w:val="0092147B"/>
    <w:rsid w:val="009214DA"/>
    <w:rsid w:val="00921F43"/>
    <w:rsid w:val="009220C7"/>
    <w:rsid w:val="0092213E"/>
    <w:rsid w:val="00922879"/>
    <w:rsid w:val="00922A38"/>
    <w:rsid w:val="00922B59"/>
    <w:rsid w:val="0092309F"/>
    <w:rsid w:val="009235B6"/>
    <w:rsid w:val="00923773"/>
    <w:rsid w:val="00923B37"/>
    <w:rsid w:val="009242B7"/>
    <w:rsid w:val="00924660"/>
    <w:rsid w:val="00924986"/>
    <w:rsid w:val="00924B78"/>
    <w:rsid w:val="009251B8"/>
    <w:rsid w:val="009252BE"/>
    <w:rsid w:val="00925D9A"/>
    <w:rsid w:val="00925E5B"/>
    <w:rsid w:val="00926379"/>
    <w:rsid w:val="00926895"/>
    <w:rsid w:val="009269B8"/>
    <w:rsid w:val="00926E34"/>
    <w:rsid w:val="0092711F"/>
    <w:rsid w:val="0092714C"/>
    <w:rsid w:val="00927186"/>
    <w:rsid w:val="009275AF"/>
    <w:rsid w:val="00927825"/>
    <w:rsid w:val="009279C3"/>
    <w:rsid w:val="009279E7"/>
    <w:rsid w:val="00927E03"/>
    <w:rsid w:val="009303D4"/>
    <w:rsid w:val="00930570"/>
    <w:rsid w:val="00930A71"/>
    <w:rsid w:val="00931098"/>
    <w:rsid w:val="00931115"/>
    <w:rsid w:val="00931116"/>
    <w:rsid w:val="009313CC"/>
    <w:rsid w:val="009320A4"/>
    <w:rsid w:val="00932110"/>
    <w:rsid w:val="00932397"/>
    <w:rsid w:val="009325F8"/>
    <w:rsid w:val="009328F5"/>
    <w:rsid w:val="00932E41"/>
    <w:rsid w:val="0093301D"/>
    <w:rsid w:val="0093310B"/>
    <w:rsid w:val="009332DB"/>
    <w:rsid w:val="009333BF"/>
    <w:rsid w:val="009335FC"/>
    <w:rsid w:val="0093367F"/>
    <w:rsid w:val="00933715"/>
    <w:rsid w:val="0093392B"/>
    <w:rsid w:val="00933B88"/>
    <w:rsid w:val="00933CDB"/>
    <w:rsid w:val="00933EFA"/>
    <w:rsid w:val="009344D5"/>
    <w:rsid w:val="009347A5"/>
    <w:rsid w:val="00934987"/>
    <w:rsid w:val="00934BEA"/>
    <w:rsid w:val="00934D4B"/>
    <w:rsid w:val="00934FBC"/>
    <w:rsid w:val="0093546A"/>
    <w:rsid w:val="009356B7"/>
    <w:rsid w:val="00935943"/>
    <w:rsid w:val="00935B0D"/>
    <w:rsid w:val="00935E28"/>
    <w:rsid w:val="009362CA"/>
    <w:rsid w:val="009365D3"/>
    <w:rsid w:val="00936D48"/>
    <w:rsid w:val="00937B3B"/>
    <w:rsid w:val="00937BD4"/>
    <w:rsid w:val="00937C1B"/>
    <w:rsid w:val="00937FB9"/>
    <w:rsid w:val="00940051"/>
    <w:rsid w:val="00940763"/>
    <w:rsid w:val="00940EFE"/>
    <w:rsid w:val="00940FA3"/>
    <w:rsid w:val="009411CD"/>
    <w:rsid w:val="009411FE"/>
    <w:rsid w:val="00941E18"/>
    <w:rsid w:val="00941EF1"/>
    <w:rsid w:val="00941FC7"/>
    <w:rsid w:val="00942053"/>
    <w:rsid w:val="009424B0"/>
    <w:rsid w:val="0094257D"/>
    <w:rsid w:val="00942A4D"/>
    <w:rsid w:val="00942E6A"/>
    <w:rsid w:val="00942FB8"/>
    <w:rsid w:val="00943272"/>
    <w:rsid w:val="00943787"/>
    <w:rsid w:val="00943C71"/>
    <w:rsid w:val="009442D4"/>
    <w:rsid w:val="00944464"/>
    <w:rsid w:val="009446DF"/>
    <w:rsid w:val="009449EB"/>
    <w:rsid w:val="00944A1C"/>
    <w:rsid w:val="00944A72"/>
    <w:rsid w:val="00944BAE"/>
    <w:rsid w:val="00944DB9"/>
    <w:rsid w:val="00944E55"/>
    <w:rsid w:val="00944EF0"/>
    <w:rsid w:val="00944FDA"/>
    <w:rsid w:val="00945051"/>
    <w:rsid w:val="00945469"/>
    <w:rsid w:val="00945474"/>
    <w:rsid w:val="0094575A"/>
    <w:rsid w:val="00945B91"/>
    <w:rsid w:val="00945C4E"/>
    <w:rsid w:val="00945ED2"/>
    <w:rsid w:val="009460EB"/>
    <w:rsid w:val="009462FE"/>
    <w:rsid w:val="009465A5"/>
    <w:rsid w:val="009465EC"/>
    <w:rsid w:val="00946775"/>
    <w:rsid w:val="009468A8"/>
    <w:rsid w:val="009469F5"/>
    <w:rsid w:val="00946C03"/>
    <w:rsid w:val="00946CB9"/>
    <w:rsid w:val="00946F22"/>
    <w:rsid w:val="00947123"/>
    <w:rsid w:val="0094724B"/>
    <w:rsid w:val="0094770E"/>
    <w:rsid w:val="009479E3"/>
    <w:rsid w:val="00947DE3"/>
    <w:rsid w:val="00947F6D"/>
    <w:rsid w:val="00950255"/>
    <w:rsid w:val="0095056D"/>
    <w:rsid w:val="00950589"/>
    <w:rsid w:val="00950692"/>
    <w:rsid w:val="00950846"/>
    <w:rsid w:val="00950A74"/>
    <w:rsid w:val="00950FB0"/>
    <w:rsid w:val="009513B2"/>
    <w:rsid w:val="009516C2"/>
    <w:rsid w:val="00951810"/>
    <w:rsid w:val="00951DA4"/>
    <w:rsid w:val="0095227A"/>
    <w:rsid w:val="00952423"/>
    <w:rsid w:val="009528BA"/>
    <w:rsid w:val="00952AA8"/>
    <w:rsid w:val="00952B9D"/>
    <w:rsid w:val="00952D81"/>
    <w:rsid w:val="0095340F"/>
    <w:rsid w:val="00953946"/>
    <w:rsid w:val="00953953"/>
    <w:rsid w:val="00954043"/>
    <w:rsid w:val="0095412B"/>
    <w:rsid w:val="009542DC"/>
    <w:rsid w:val="00954401"/>
    <w:rsid w:val="00954446"/>
    <w:rsid w:val="00954921"/>
    <w:rsid w:val="00954A50"/>
    <w:rsid w:val="00954B9E"/>
    <w:rsid w:val="00954C50"/>
    <w:rsid w:val="00954D92"/>
    <w:rsid w:val="00954FBD"/>
    <w:rsid w:val="00955395"/>
    <w:rsid w:val="00955C0A"/>
    <w:rsid w:val="00955D5E"/>
    <w:rsid w:val="00955D79"/>
    <w:rsid w:val="00956064"/>
    <w:rsid w:val="009561DE"/>
    <w:rsid w:val="0095625A"/>
    <w:rsid w:val="009562AC"/>
    <w:rsid w:val="009564F3"/>
    <w:rsid w:val="00956A4E"/>
    <w:rsid w:val="00956C2C"/>
    <w:rsid w:val="00956CAD"/>
    <w:rsid w:val="00956E83"/>
    <w:rsid w:val="0095701C"/>
    <w:rsid w:val="009570DE"/>
    <w:rsid w:val="009572A5"/>
    <w:rsid w:val="00957373"/>
    <w:rsid w:val="009575B9"/>
    <w:rsid w:val="00957631"/>
    <w:rsid w:val="009578FB"/>
    <w:rsid w:val="00957AE8"/>
    <w:rsid w:val="00957B00"/>
    <w:rsid w:val="00957B47"/>
    <w:rsid w:val="00957CDC"/>
    <w:rsid w:val="00960176"/>
    <w:rsid w:val="009603EF"/>
    <w:rsid w:val="0096060B"/>
    <w:rsid w:val="00960618"/>
    <w:rsid w:val="009606B6"/>
    <w:rsid w:val="009606DB"/>
    <w:rsid w:val="00960936"/>
    <w:rsid w:val="00960AD7"/>
    <w:rsid w:val="00960B60"/>
    <w:rsid w:val="00960BAD"/>
    <w:rsid w:val="00960EDF"/>
    <w:rsid w:val="00960F32"/>
    <w:rsid w:val="009614FB"/>
    <w:rsid w:val="00961C45"/>
    <w:rsid w:val="00961E6D"/>
    <w:rsid w:val="00962197"/>
    <w:rsid w:val="009621C7"/>
    <w:rsid w:val="009626BF"/>
    <w:rsid w:val="0096297F"/>
    <w:rsid w:val="00962AAE"/>
    <w:rsid w:val="00962CBB"/>
    <w:rsid w:val="00962DA6"/>
    <w:rsid w:val="00963108"/>
    <w:rsid w:val="00963186"/>
    <w:rsid w:val="009636F4"/>
    <w:rsid w:val="00963A87"/>
    <w:rsid w:val="00963E64"/>
    <w:rsid w:val="00963E90"/>
    <w:rsid w:val="00963FA1"/>
    <w:rsid w:val="009641A7"/>
    <w:rsid w:val="00964415"/>
    <w:rsid w:val="009648C9"/>
    <w:rsid w:val="0096491D"/>
    <w:rsid w:val="00964D8A"/>
    <w:rsid w:val="00964E15"/>
    <w:rsid w:val="00965AF9"/>
    <w:rsid w:val="00965B0E"/>
    <w:rsid w:val="00965F43"/>
    <w:rsid w:val="00966C25"/>
    <w:rsid w:val="00966EA9"/>
    <w:rsid w:val="00966ED8"/>
    <w:rsid w:val="00967101"/>
    <w:rsid w:val="00967352"/>
    <w:rsid w:val="00967613"/>
    <w:rsid w:val="00967BBF"/>
    <w:rsid w:val="00967C41"/>
    <w:rsid w:val="0097004A"/>
    <w:rsid w:val="00970333"/>
    <w:rsid w:val="009709DD"/>
    <w:rsid w:val="00970D57"/>
    <w:rsid w:val="00970F37"/>
    <w:rsid w:val="0097135F"/>
    <w:rsid w:val="00971405"/>
    <w:rsid w:val="00971B4A"/>
    <w:rsid w:val="00971CA5"/>
    <w:rsid w:val="00971E45"/>
    <w:rsid w:val="00971FBB"/>
    <w:rsid w:val="00972015"/>
    <w:rsid w:val="0097253F"/>
    <w:rsid w:val="0097284D"/>
    <w:rsid w:val="00973269"/>
    <w:rsid w:val="009732D1"/>
    <w:rsid w:val="009737B9"/>
    <w:rsid w:val="00973813"/>
    <w:rsid w:val="00973830"/>
    <w:rsid w:val="00974A1B"/>
    <w:rsid w:val="00974BF6"/>
    <w:rsid w:val="00975238"/>
    <w:rsid w:val="0097526F"/>
    <w:rsid w:val="009752EE"/>
    <w:rsid w:val="009752FC"/>
    <w:rsid w:val="009753BC"/>
    <w:rsid w:val="00975624"/>
    <w:rsid w:val="00975632"/>
    <w:rsid w:val="00975A13"/>
    <w:rsid w:val="00975D4C"/>
    <w:rsid w:val="00975D5B"/>
    <w:rsid w:val="00975E24"/>
    <w:rsid w:val="0097610C"/>
    <w:rsid w:val="009768B1"/>
    <w:rsid w:val="00976E54"/>
    <w:rsid w:val="00977E12"/>
    <w:rsid w:val="00977FA8"/>
    <w:rsid w:val="0098035A"/>
    <w:rsid w:val="009803D3"/>
    <w:rsid w:val="00980536"/>
    <w:rsid w:val="009809C2"/>
    <w:rsid w:val="00980A4B"/>
    <w:rsid w:val="00980CB4"/>
    <w:rsid w:val="00980DAB"/>
    <w:rsid w:val="0098114F"/>
    <w:rsid w:val="00981331"/>
    <w:rsid w:val="00981365"/>
    <w:rsid w:val="00981E03"/>
    <w:rsid w:val="00981F9E"/>
    <w:rsid w:val="009827CF"/>
    <w:rsid w:val="0098282E"/>
    <w:rsid w:val="0098288A"/>
    <w:rsid w:val="00982EE9"/>
    <w:rsid w:val="009831C2"/>
    <w:rsid w:val="00983310"/>
    <w:rsid w:val="009834B7"/>
    <w:rsid w:val="00983590"/>
    <w:rsid w:val="009835FF"/>
    <w:rsid w:val="00983ED0"/>
    <w:rsid w:val="00984217"/>
    <w:rsid w:val="009844E5"/>
    <w:rsid w:val="009844FB"/>
    <w:rsid w:val="00984912"/>
    <w:rsid w:val="00984989"/>
    <w:rsid w:val="00984BE8"/>
    <w:rsid w:val="00984F1E"/>
    <w:rsid w:val="00984F2C"/>
    <w:rsid w:val="0098501B"/>
    <w:rsid w:val="00985758"/>
    <w:rsid w:val="00985A6E"/>
    <w:rsid w:val="00986099"/>
    <w:rsid w:val="009860D4"/>
    <w:rsid w:val="00986191"/>
    <w:rsid w:val="00986739"/>
    <w:rsid w:val="00986DED"/>
    <w:rsid w:val="00987F21"/>
    <w:rsid w:val="00987FBB"/>
    <w:rsid w:val="0099029A"/>
    <w:rsid w:val="009906DC"/>
    <w:rsid w:val="009907A7"/>
    <w:rsid w:val="00990941"/>
    <w:rsid w:val="00990946"/>
    <w:rsid w:val="00990D2B"/>
    <w:rsid w:val="00990D59"/>
    <w:rsid w:val="00990E7D"/>
    <w:rsid w:val="0099191A"/>
    <w:rsid w:val="0099196F"/>
    <w:rsid w:val="00991C1C"/>
    <w:rsid w:val="00992396"/>
    <w:rsid w:val="00992573"/>
    <w:rsid w:val="009926BD"/>
    <w:rsid w:val="00992C21"/>
    <w:rsid w:val="00992C96"/>
    <w:rsid w:val="00993462"/>
    <w:rsid w:val="0099359F"/>
    <w:rsid w:val="009938C3"/>
    <w:rsid w:val="00994053"/>
    <w:rsid w:val="0099425D"/>
    <w:rsid w:val="009943B5"/>
    <w:rsid w:val="00994920"/>
    <w:rsid w:val="00994969"/>
    <w:rsid w:val="00994CF3"/>
    <w:rsid w:val="00994E90"/>
    <w:rsid w:val="009950D8"/>
    <w:rsid w:val="00996053"/>
    <w:rsid w:val="00996127"/>
    <w:rsid w:val="0099624B"/>
    <w:rsid w:val="009964B0"/>
    <w:rsid w:val="009965F2"/>
    <w:rsid w:val="0099681D"/>
    <w:rsid w:val="009968B1"/>
    <w:rsid w:val="00996991"/>
    <w:rsid w:val="00996A29"/>
    <w:rsid w:val="00996FA9"/>
    <w:rsid w:val="00996FD3"/>
    <w:rsid w:val="009971E1"/>
    <w:rsid w:val="00997681"/>
    <w:rsid w:val="009A0487"/>
    <w:rsid w:val="009A065D"/>
    <w:rsid w:val="009A0CC8"/>
    <w:rsid w:val="009A0DD9"/>
    <w:rsid w:val="009A0FF8"/>
    <w:rsid w:val="009A0FF9"/>
    <w:rsid w:val="009A11E8"/>
    <w:rsid w:val="009A1C19"/>
    <w:rsid w:val="009A1C48"/>
    <w:rsid w:val="009A1FBB"/>
    <w:rsid w:val="009A2089"/>
    <w:rsid w:val="009A21E4"/>
    <w:rsid w:val="009A2476"/>
    <w:rsid w:val="009A25C8"/>
    <w:rsid w:val="009A278A"/>
    <w:rsid w:val="009A27AE"/>
    <w:rsid w:val="009A27F1"/>
    <w:rsid w:val="009A28C5"/>
    <w:rsid w:val="009A2931"/>
    <w:rsid w:val="009A2B98"/>
    <w:rsid w:val="009A2E58"/>
    <w:rsid w:val="009A3091"/>
    <w:rsid w:val="009A3316"/>
    <w:rsid w:val="009A38E5"/>
    <w:rsid w:val="009A3BF2"/>
    <w:rsid w:val="009A3EC4"/>
    <w:rsid w:val="009A41A1"/>
    <w:rsid w:val="009A4BCD"/>
    <w:rsid w:val="009A4DF1"/>
    <w:rsid w:val="009A5074"/>
    <w:rsid w:val="009A51B8"/>
    <w:rsid w:val="009A51CF"/>
    <w:rsid w:val="009A54E6"/>
    <w:rsid w:val="009A56CB"/>
    <w:rsid w:val="009A5944"/>
    <w:rsid w:val="009A5C01"/>
    <w:rsid w:val="009A60FA"/>
    <w:rsid w:val="009A62AB"/>
    <w:rsid w:val="009A660D"/>
    <w:rsid w:val="009A689B"/>
    <w:rsid w:val="009A7156"/>
    <w:rsid w:val="009A71AF"/>
    <w:rsid w:val="009A71E2"/>
    <w:rsid w:val="009A72C4"/>
    <w:rsid w:val="009A76F0"/>
    <w:rsid w:val="009A7728"/>
    <w:rsid w:val="009A7769"/>
    <w:rsid w:val="009A783F"/>
    <w:rsid w:val="009A79A6"/>
    <w:rsid w:val="009A7A60"/>
    <w:rsid w:val="009A7AD2"/>
    <w:rsid w:val="009A7BBE"/>
    <w:rsid w:val="009A7F34"/>
    <w:rsid w:val="009B050C"/>
    <w:rsid w:val="009B051A"/>
    <w:rsid w:val="009B0590"/>
    <w:rsid w:val="009B08AE"/>
    <w:rsid w:val="009B0B54"/>
    <w:rsid w:val="009B1465"/>
    <w:rsid w:val="009B16CD"/>
    <w:rsid w:val="009B1B22"/>
    <w:rsid w:val="009B1F82"/>
    <w:rsid w:val="009B2B00"/>
    <w:rsid w:val="009B2D67"/>
    <w:rsid w:val="009B3018"/>
    <w:rsid w:val="009B30C8"/>
    <w:rsid w:val="009B3189"/>
    <w:rsid w:val="009B31F8"/>
    <w:rsid w:val="009B36B8"/>
    <w:rsid w:val="009B37AB"/>
    <w:rsid w:val="009B3CF8"/>
    <w:rsid w:val="009B3D65"/>
    <w:rsid w:val="009B3F9B"/>
    <w:rsid w:val="009B420A"/>
    <w:rsid w:val="009B4384"/>
    <w:rsid w:val="009B4A12"/>
    <w:rsid w:val="009B4A38"/>
    <w:rsid w:val="009B4A8B"/>
    <w:rsid w:val="009B4D05"/>
    <w:rsid w:val="009B4DDE"/>
    <w:rsid w:val="009B4F93"/>
    <w:rsid w:val="009B4FF2"/>
    <w:rsid w:val="009B50FA"/>
    <w:rsid w:val="009B574F"/>
    <w:rsid w:val="009B59F0"/>
    <w:rsid w:val="009B5A0C"/>
    <w:rsid w:val="009B5C36"/>
    <w:rsid w:val="009B631A"/>
    <w:rsid w:val="009B63BF"/>
    <w:rsid w:val="009B6450"/>
    <w:rsid w:val="009B65D4"/>
    <w:rsid w:val="009B674D"/>
    <w:rsid w:val="009B6831"/>
    <w:rsid w:val="009B6886"/>
    <w:rsid w:val="009B6A21"/>
    <w:rsid w:val="009B7286"/>
    <w:rsid w:val="009B7344"/>
    <w:rsid w:val="009B7502"/>
    <w:rsid w:val="009B7708"/>
    <w:rsid w:val="009B7862"/>
    <w:rsid w:val="009B7919"/>
    <w:rsid w:val="009B7BBD"/>
    <w:rsid w:val="009B7D25"/>
    <w:rsid w:val="009B7DF6"/>
    <w:rsid w:val="009C0312"/>
    <w:rsid w:val="009C0321"/>
    <w:rsid w:val="009C0605"/>
    <w:rsid w:val="009C0BAA"/>
    <w:rsid w:val="009C0D34"/>
    <w:rsid w:val="009C0F4D"/>
    <w:rsid w:val="009C104D"/>
    <w:rsid w:val="009C11A9"/>
    <w:rsid w:val="009C1216"/>
    <w:rsid w:val="009C1554"/>
    <w:rsid w:val="009C172B"/>
    <w:rsid w:val="009C1A3C"/>
    <w:rsid w:val="009C209A"/>
    <w:rsid w:val="009C270E"/>
    <w:rsid w:val="009C2CCB"/>
    <w:rsid w:val="009C32F8"/>
    <w:rsid w:val="009C37AC"/>
    <w:rsid w:val="009C388B"/>
    <w:rsid w:val="009C3B7C"/>
    <w:rsid w:val="009C3D2B"/>
    <w:rsid w:val="009C3E3A"/>
    <w:rsid w:val="009C3EDA"/>
    <w:rsid w:val="009C400B"/>
    <w:rsid w:val="009C40BF"/>
    <w:rsid w:val="009C454D"/>
    <w:rsid w:val="009C456C"/>
    <w:rsid w:val="009C4709"/>
    <w:rsid w:val="009C4725"/>
    <w:rsid w:val="009C4960"/>
    <w:rsid w:val="009C4BF1"/>
    <w:rsid w:val="009C4CA7"/>
    <w:rsid w:val="009C5270"/>
    <w:rsid w:val="009C52FF"/>
    <w:rsid w:val="009C535D"/>
    <w:rsid w:val="009C53D3"/>
    <w:rsid w:val="009C5542"/>
    <w:rsid w:val="009C56F3"/>
    <w:rsid w:val="009C5761"/>
    <w:rsid w:val="009C5933"/>
    <w:rsid w:val="009C5A9B"/>
    <w:rsid w:val="009C5D87"/>
    <w:rsid w:val="009C6097"/>
    <w:rsid w:val="009C6305"/>
    <w:rsid w:val="009C63A4"/>
    <w:rsid w:val="009C650D"/>
    <w:rsid w:val="009C6551"/>
    <w:rsid w:val="009C6C75"/>
    <w:rsid w:val="009C6E93"/>
    <w:rsid w:val="009C6F63"/>
    <w:rsid w:val="009C721D"/>
    <w:rsid w:val="009C7AF0"/>
    <w:rsid w:val="009C7B1B"/>
    <w:rsid w:val="009C7B6A"/>
    <w:rsid w:val="009C7C4C"/>
    <w:rsid w:val="009D04B0"/>
    <w:rsid w:val="009D0862"/>
    <w:rsid w:val="009D0A10"/>
    <w:rsid w:val="009D0D99"/>
    <w:rsid w:val="009D0E88"/>
    <w:rsid w:val="009D1131"/>
    <w:rsid w:val="009D1305"/>
    <w:rsid w:val="009D18B4"/>
    <w:rsid w:val="009D1C4A"/>
    <w:rsid w:val="009D22B5"/>
    <w:rsid w:val="009D261C"/>
    <w:rsid w:val="009D2737"/>
    <w:rsid w:val="009D2E5C"/>
    <w:rsid w:val="009D2FB0"/>
    <w:rsid w:val="009D3200"/>
    <w:rsid w:val="009D329D"/>
    <w:rsid w:val="009D367D"/>
    <w:rsid w:val="009D390F"/>
    <w:rsid w:val="009D3999"/>
    <w:rsid w:val="009D39C7"/>
    <w:rsid w:val="009D3B67"/>
    <w:rsid w:val="009D3CB3"/>
    <w:rsid w:val="009D4362"/>
    <w:rsid w:val="009D4848"/>
    <w:rsid w:val="009D4893"/>
    <w:rsid w:val="009D4CA5"/>
    <w:rsid w:val="009D4DD0"/>
    <w:rsid w:val="009D4FD1"/>
    <w:rsid w:val="009D5338"/>
    <w:rsid w:val="009D5547"/>
    <w:rsid w:val="009D561B"/>
    <w:rsid w:val="009D58B1"/>
    <w:rsid w:val="009D5D78"/>
    <w:rsid w:val="009D60E9"/>
    <w:rsid w:val="009D66BD"/>
    <w:rsid w:val="009D707C"/>
    <w:rsid w:val="009D7254"/>
    <w:rsid w:val="009D7437"/>
    <w:rsid w:val="009D75FD"/>
    <w:rsid w:val="009D784B"/>
    <w:rsid w:val="009D7DBB"/>
    <w:rsid w:val="009D7F26"/>
    <w:rsid w:val="009E0166"/>
    <w:rsid w:val="009E0514"/>
    <w:rsid w:val="009E051E"/>
    <w:rsid w:val="009E065B"/>
    <w:rsid w:val="009E07F4"/>
    <w:rsid w:val="009E0C37"/>
    <w:rsid w:val="009E0E2A"/>
    <w:rsid w:val="009E10AC"/>
    <w:rsid w:val="009E115E"/>
    <w:rsid w:val="009E1321"/>
    <w:rsid w:val="009E1354"/>
    <w:rsid w:val="009E15A6"/>
    <w:rsid w:val="009E18A1"/>
    <w:rsid w:val="009E1CDF"/>
    <w:rsid w:val="009E231C"/>
    <w:rsid w:val="009E235B"/>
    <w:rsid w:val="009E27E5"/>
    <w:rsid w:val="009E28CE"/>
    <w:rsid w:val="009E2AEC"/>
    <w:rsid w:val="009E2DE8"/>
    <w:rsid w:val="009E2EE5"/>
    <w:rsid w:val="009E351D"/>
    <w:rsid w:val="009E3725"/>
    <w:rsid w:val="009E3A88"/>
    <w:rsid w:val="009E3B57"/>
    <w:rsid w:val="009E3C34"/>
    <w:rsid w:val="009E3EB8"/>
    <w:rsid w:val="009E40F1"/>
    <w:rsid w:val="009E46A6"/>
    <w:rsid w:val="009E46CF"/>
    <w:rsid w:val="009E46DC"/>
    <w:rsid w:val="009E48A8"/>
    <w:rsid w:val="009E4A29"/>
    <w:rsid w:val="009E4E29"/>
    <w:rsid w:val="009E5145"/>
    <w:rsid w:val="009E51FD"/>
    <w:rsid w:val="009E5259"/>
    <w:rsid w:val="009E530B"/>
    <w:rsid w:val="009E5362"/>
    <w:rsid w:val="009E53DE"/>
    <w:rsid w:val="009E54C4"/>
    <w:rsid w:val="009E55FC"/>
    <w:rsid w:val="009E5685"/>
    <w:rsid w:val="009E589B"/>
    <w:rsid w:val="009E5BA8"/>
    <w:rsid w:val="009E5DF4"/>
    <w:rsid w:val="009E5E62"/>
    <w:rsid w:val="009E616E"/>
    <w:rsid w:val="009E62B2"/>
    <w:rsid w:val="009E68B2"/>
    <w:rsid w:val="009E6A08"/>
    <w:rsid w:val="009E6EFA"/>
    <w:rsid w:val="009E76D4"/>
    <w:rsid w:val="009E7A3C"/>
    <w:rsid w:val="009E7A92"/>
    <w:rsid w:val="009E7F5F"/>
    <w:rsid w:val="009F0326"/>
    <w:rsid w:val="009F0515"/>
    <w:rsid w:val="009F07B9"/>
    <w:rsid w:val="009F0A87"/>
    <w:rsid w:val="009F0F2F"/>
    <w:rsid w:val="009F1201"/>
    <w:rsid w:val="009F1552"/>
    <w:rsid w:val="009F17F5"/>
    <w:rsid w:val="009F1B14"/>
    <w:rsid w:val="009F1E91"/>
    <w:rsid w:val="009F3396"/>
    <w:rsid w:val="009F3C6F"/>
    <w:rsid w:val="009F4583"/>
    <w:rsid w:val="009F4927"/>
    <w:rsid w:val="009F4D8E"/>
    <w:rsid w:val="009F51E3"/>
    <w:rsid w:val="009F589D"/>
    <w:rsid w:val="009F5B66"/>
    <w:rsid w:val="009F5BA0"/>
    <w:rsid w:val="009F5BDC"/>
    <w:rsid w:val="009F5DFA"/>
    <w:rsid w:val="009F5F8D"/>
    <w:rsid w:val="009F60DE"/>
    <w:rsid w:val="009F6249"/>
    <w:rsid w:val="009F63AE"/>
    <w:rsid w:val="009F6D63"/>
    <w:rsid w:val="009F6D98"/>
    <w:rsid w:val="009F7049"/>
    <w:rsid w:val="009F712E"/>
    <w:rsid w:val="009F7227"/>
    <w:rsid w:val="009F73CB"/>
    <w:rsid w:val="009F77DC"/>
    <w:rsid w:val="009F781E"/>
    <w:rsid w:val="009F7BBE"/>
    <w:rsid w:val="00A00233"/>
    <w:rsid w:val="00A00A40"/>
    <w:rsid w:val="00A010A5"/>
    <w:rsid w:val="00A0121B"/>
    <w:rsid w:val="00A01294"/>
    <w:rsid w:val="00A01393"/>
    <w:rsid w:val="00A013D5"/>
    <w:rsid w:val="00A01441"/>
    <w:rsid w:val="00A015AF"/>
    <w:rsid w:val="00A01625"/>
    <w:rsid w:val="00A0168C"/>
    <w:rsid w:val="00A016A1"/>
    <w:rsid w:val="00A01867"/>
    <w:rsid w:val="00A0222E"/>
    <w:rsid w:val="00A02357"/>
    <w:rsid w:val="00A02C25"/>
    <w:rsid w:val="00A03401"/>
    <w:rsid w:val="00A03932"/>
    <w:rsid w:val="00A039BF"/>
    <w:rsid w:val="00A03A3D"/>
    <w:rsid w:val="00A03CF4"/>
    <w:rsid w:val="00A0417F"/>
    <w:rsid w:val="00A044A2"/>
    <w:rsid w:val="00A04603"/>
    <w:rsid w:val="00A04708"/>
    <w:rsid w:val="00A04860"/>
    <w:rsid w:val="00A04BCA"/>
    <w:rsid w:val="00A04EDE"/>
    <w:rsid w:val="00A04F5F"/>
    <w:rsid w:val="00A052DB"/>
    <w:rsid w:val="00A05932"/>
    <w:rsid w:val="00A05C92"/>
    <w:rsid w:val="00A05F3D"/>
    <w:rsid w:val="00A060DB"/>
    <w:rsid w:val="00A061AA"/>
    <w:rsid w:val="00A061B3"/>
    <w:rsid w:val="00A06327"/>
    <w:rsid w:val="00A063A7"/>
    <w:rsid w:val="00A063CF"/>
    <w:rsid w:val="00A0667C"/>
    <w:rsid w:val="00A06854"/>
    <w:rsid w:val="00A068D5"/>
    <w:rsid w:val="00A06B86"/>
    <w:rsid w:val="00A0745B"/>
    <w:rsid w:val="00A0754B"/>
    <w:rsid w:val="00A07870"/>
    <w:rsid w:val="00A07BE3"/>
    <w:rsid w:val="00A07C7F"/>
    <w:rsid w:val="00A07DDD"/>
    <w:rsid w:val="00A07EC3"/>
    <w:rsid w:val="00A100D8"/>
    <w:rsid w:val="00A101D2"/>
    <w:rsid w:val="00A106D7"/>
    <w:rsid w:val="00A106E7"/>
    <w:rsid w:val="00A10754"/>
    <w:rsid w:val="00A113D0"/>
    <w:rsid w:val="00A11536"/>
    <w:rsid w:val="00A11A52"/>
    <w:rsid w:val="00A11B22"/>
    <w:rsid w:val="00A11C42"/>
    <w:rsid w:val="00A11EAC"/>
    <w:rsid w:val="00A12186"/>
    <w:rsid w:val="00A122E8"/>
    <w:rsid w:val="00A12335"/>
    <w:rsid w:val="00A1255F"/>
    <w:rsid w:val="00A126E1"/>
    <w:rsid w:val="00A1290E"/>
    <w:rsid w:val="00A12E7F"/>
    <w:rsid w:val="00A130F0"/>
    <w:rsid w:val="00A130F1"/>
    <w:rsid w:val="00A1330F"/>
    <w:rsid w:val="00A133EB"/>
    <w:rsid w:val="00A1345D"/>
    <w:rsid w:val="00A136CA"/>
    <w:rsid w:val="00A13BEC"/>
    <w:rsid w:val="00A13E1C"/>
    <w:rsid w:val="00A14192"/>
    <w:rsid w:val="00A142C4"/>
    <w:rsid w:val="00A14313"/>
    <w:rsid w:val="00A15B0C"/>
    <w:rsid w:val="00A15E1C"/>
    <w:rsid w:val="00A15F0C"/>
    <w:rsid w:val="00A16344"/>
    <w:rsid w:val="00A163ED"/>
    <w:rsid w:val="00A167A5"/>
    <w:rsid w:val="00A16A2F"/>
    <w:rsid w:val="00A16AA3"/>
    <w:rsid w:val="00A16CFA"/>
    <w:rsid w:val="00A16F62"/>
    <w:rsid w:val="00A17003"/>
    <w:rsid w:val="00A171C4"/>
    <w:rsid w:val="00A17232"/>
    <w:rsid w:val="00A175DE"/>
    <w:rsid w:val="00A17685"/>
    <w:rsid w:val="00A176BE"/>
    <w:rsid w:val="00A17893"/>
    <w:rsid w:val="00A17A33"/>
    <w:rsid w:val="00A17A53"/>
    <w:rsid w:val="00A17E3B"/>
    <w:rsid w:val="00A200B5"/>
    <w:rsid w:val="00A2016B"/>
    <w:rsid w:val="00A20592"/>
    <w:rsid w:val="00A20C78"/>
    <w:rsid w:val="00A20E91"/>
    <w:rsid w:val="00A20EFC"/>
    <w:rsid w:val="00A210A1"/>
    <w:rsid w:val="00A217B9"/>
    <w:rsid w:val="00A21F36"/>
    <w:rsid w:val="00A22046"/>
    <w:rsid w:val="00A222D7"/>
    <w:rsid w:val="00A22C2B"/>
    <w:rsid w:val="00A22DF9"/>
    <w:rsid w:val="00A22F21"/>
    <w:rsid w:val="00A231AB"/>
    <w:rsid w:val="00A2354F"/>
    <w:rsid w:val="00A237AB"/>
    <w:rsid w:val="00A23A43"/>
    <w:rsid w:val="00A23A48"/>
    <w:rsid w:val="00A23B73"/>
    <w:rsid w:val="00A23BC6"/>
    <w:rsid w:val="00A23C5F"/>
    <w:rsid w:val="00A23CA7"/>
    <w:rsid w:val="00A23CEF"/>
    <w:rsid w:val="00A23E1D"/>
    <w:rsid w:val="00A23E80"/>
    <w:rsid w:val="00A240CD"/>
    <w:rsid w:val="00A241B6"/>
    <w:rsid w:val="00A24222"/>
    <w:rsid w:val="00A25001"/>
    <w:rsid w:val="00A25684"/>
    <w:rsid w:val="00A25842"/>
    <w:rsid w:val="00A25900"/>
    <w:rsid w:val="00A25964"/>
    <w:rsid w:val="00A259C7"/>
    <w:rsid w:val="00A25B4C"/>
    <w:rsid w:val="00A25C8E"/>
    <w:rsid w:val="00A25CBC"/>
    <w:rsid w:val="00A25E35"/>
    <w:rsid w:val="00A25E89"/>
    <w:rsid w:val="00A2639E"/>
    <w:rsid w:val="00A263EA"/>
    <w:rsid w:val="00A26A90"/>
    <w:rsid w:val="00A26A9D"/>
    <w:rsid w:val="00A26B34"/>
    <w:rsid w:val="00A27049"/>
    <w:rsid w:val="00A270F0"/>
    <w:rsid w:val="00A275C2"/>
    <w:rsid w:val="00A27605"/>
    <w:rsid w:val="00A2794A"/>
    <w:rsid w:val="00A27A31"/>
    <w:rsid w:val="00A27F40"/>
    <w:rsid w:val="00A302B4"/>
    <w:rsid w:val="00A30353"/>
    <w:rsid w:val="00A30CAC"/>
    <w:rsid w:val="00A30EC4"/>
    <w:rsid w:val="00A311CC"/>
    <w:rsid w:val="00A313FC"/>
    <w:rsid w:val="00A31546"/>
    <w:rsid w:val="00A315DE"/>
    <w:rsid w:val="00A31C1C"/>
    <w:rsid w:val="00A32073"/>
    <w:rsid w:val="00A320C5"/>
    <w:rsid w:val="00A3224D"/>
    <w:rsid w:val="00A324C7"/>
    <w:rsid w:val="00A32566"/>
    <w:rsid w:val="00A327B2"/>
    <w:rsid w:val="00A328BA"/>
    <w:rsid w:val="00A32D5D"/>
    <w:rsid w:val="00A33138"/>
    <w:rsid w:val="00A337E1"/>
    <w:rsid w:val="00A33DAB"/>
    <w:rsid w:val="00A340A3"/>
    <w:rsid w:val="00A341E9"/>
    <w:rsid w:val="00A34859"/>
    <w:rsid w:val="00A34F07"/>
    <w:rsid w:val="00A353FB"/>
    <w:rsid w:val="00A35594"/>
    <w:rsid w:val="00A3562F"/>
    <w:rsid w:val="00A3577F"/>
    <w:rsid w:val="00A35E58"/>
    <w:rsid w:val="00A364A8"/>
    <w:rsid w:val="00A3697D"/>
    <w:rsid w:val="00A36E84"/>
    <w:rsid w:val="00A37204"/>
    <w:rsid w:val="00A37230"/>
    <w:rsid w:val="00A3784D"/>
    <w:rsid w:val="00A40599"/>
    <w:rsid w:val="00A40797"/>
    <w:rsid w:val="00A40A25"/>
    <w:rsid w:val="00A40C54"/>
    <w:rsid w:val="00A40FC4"/>
    <w:rsid w:val="00A411FB"/>
    <w:rsid w:val="00A41539"/>
    <w:rsid w:val="00A416AF"/>
    <w:rsid w:val="00A418AD"/>
    <w:rsid w:val="00A421F2"/>
    <w:rsid w:val="00A424E6"/>
    <w:rsid w:val="00A424EA"/>
    <w:rsid w:val="00A42683"/>
    <w:rsid w:val="00A43242"/>
    <w:rsid w:val="00A43428"/>
    <w:rsid w:val="00A4355C"/>
    <w:rsid w:val="00A439E8"/>
    <w:rsid w:val="00A43C93"/>
    <w:rsid w:val="00A43EF5"/>
    <w:rsid w:val="00A43F73"/>
    <w:rsid w:val="00A458AD"/>
    <w:rsid w:val="00A458FA"/>
    <w:rsid w:val="00A45B6A"/>
    <w:rsid w:val="00A45C2A"/>
    <w:rsid w:val="00A45D32"/>
    <w:rsid w:val="00A45DE6"/>
    <w:rsid w:val="00A46110"/>
    <w:rsid w:val="00A4625D"/>
    <w:rsid w:val="00A463E1"/>
    <w:rsid w:val="00A46648"/>
    <w:rsid w:val="00A4669A"/>
    <w:rsid w:val="00A46BDD"/>
    <w:rsid w:val="00A46CB1"/>
    <w:rsid w:val="00A46E5D"/>
    <w:rsid w:val="00A46F35"/>
    <w:rsid w:val="00A473C0"/>
    <w:rsid w:val="00A47A8A"/>
    <w:rsid w:val="00A47BC0"/>
    <w:rsid w:val="00A47BCA"/>
    <w:rsid w:val="00A47C4B"/>
    <w:rsid w:val="00A47DB9"/>
    <w:rsid w:val="00A47FFD"/>
    <w:rsid w:val="00A50247"/>
    <w:rsid w:val="00A502B8"/>
    <w:rsid w:val="00A50308"/>
    <w:rsid w:val="00A50431"/>
    <w:rsid w:val="00A506CE"/>
    <w:rsid w:val="00A50B76"/>
    <w:rsid w:val="00A51766"/>
    <w:rsid w:val="00A51850"/>
    <w:rsid w:val="00A518CC"/>
    <w:rsid w:val="00A51A94"/>
    <w:rsid w:val="00A5208C"/>
    <w:rsid w:val="00A52279"/>
    <w:rsid w:val="00A52336"/>
    <w:rsid w:val="00A524CF"/>
    <w:rsid w:val="00A53145"/>
    <w:rsid w:val="00A531B5"/>
    <w:rsid w:val="00A53633"/>
    <w:rsid w:val="00A53683"/>
    <w:rsid w:val="00A53791"/>
    <w:rsid w:val="00A53B4D"/>
    <w:rsid w:val="00A53EA3"/>
    <w:rsid w:val="00A540DA"/>
    <w:rsid w:val="00A54120"/>
    <w:rsid w:val="00A54270"/>
    <w:rsid w:val="00A549E6"/>
    <w:rsid w:val="00A54B4F"/>
    <w:rsid w:val="00A54B7A"/>
    <w:rsid w:val="00A54CDD"/>
    <w:rsid w:val="00A54DD1"/>
    <w:rsid w:val="00A54DDC"/>
    <w:rsid w:val="00A54E64"/>
    <w:rsid w:val="00A54F31"/>
    <w:rsid w:val="00A54FD0"/>
    <w:rsid w:val="00A55113"/>
    <w:rsid w:val="00A556B1"/>
    <w:rsid w:val="00A5584C"/>
    <w:rsid w:val="00A56107"/>
    <w:rsid w:val="00A562CF"/>
    <w:rsid w:val="00A564C8"/>
    <w:rsid w:val="00A565BD"/>
    <w:rsid w:val="00A56C0A"/>
    <w:rsid w:val="00A56D58"/>
    <w:rsid w:val="00A56E94"/>
    <w:rsid w:val="00A5720A"/>
    <w:rsid w:val="00A572BA"/>
    <w:rsid w:val="00A57394"/>
    <w:rsid w:val="00A57484"/>
    <w:rsid w:val="00A5759D"/>
    <w:rsid w:val="00A57A3A"/>
    <w:rsid w:val="00A57B4C"/>
    <w:rsid w:val="00A57F53"/>
    <w:rsid w:val="00A57FF6"/>
    <w:rsid w:val="00A6003E"/>
    <w:rsid w:val="00A6016F"/>
    <w:rsid w:val="00A60488"/>
    <w:rsid w:val="00A60D6C"/>
    <w:rsid w:val="00A61607"/>
    <w:rsid w:val="00A61B98"/>
    <w:rsid w:val="00A61C42"/>
    <w:rsid w:val="00A61CE7"/>
    <w:rsid w:val="00A61E59"/>
    <w:rsid w:val="00A61F6D"/>
    <w:rsid w:val="00A61FA1"/>
    <w:rsid w:val="00A61FB4"/>
    <w:rsid w:val="00A6212C"/>
    <w:rsid w:val="00A622B9"/>
    <w:rsid w:val="00A62AC3"/>
    <w:rsid w:val="00A62F31"/>
    <w:rsid w:val="00A6309A"/>
    <w:rsid w:val="00A63815"/>
    <w:rsid w:val="00A639FE"/>
    <w:rsid w:val="00A63C2D"/>
    <w:rsid w:val="00A640DB"/>
    <w:rsid w:val="00A64368"/>
    <w:rsid w:val="00A644FF"/>
    <w:rsid w:val="00A6458C"/>
    <w:rsid w:val="00A64BC7"/>
    <w:rsid w:val="00A64E1B"/>
    <w:rsid w:val="00A64EB5"/>
    <w:rsid w:val="00A6502B"/>
    <w:rsid w:val="00A654DC"/>
    <w:rsid w:val="00A65666"/>
    <w:rsid w:val="00A6571A"/>
    <w:rsid w:val="00A658BD"/>
    <w:rsid w:val="00A6593F"/>
    <w:rsid w:val="00A65A7F"/>
    <w:rsid w:val="00A65ABD"/>
    <w:rsid w:val="00A65C6E"/>
    <w:rsid w:val="00A65F60"/>
    <w:rsid w:val="00A661F7"/>
    <w:rsid w:val="00A662AD"/>
    <w:rsid w:val="00A66A21"/>
    <w:rsid w:val="00A66A82"/>
    <w:rsid w:val="00A66C88"/>
    <w:rsid w:val="00A6727B"/>
    <w:rsid w:val="00A6741F"/>
    <w:rsid w:val="00A6744F"/>
    <w:rsid w:val="00A675B1"/>
    <w:rsid w:val="00A675FC"/>
    <w:rsid w:val="00A67929"/>
    <w:rsid w:val="00A67B7B"/>
    <w:rsid w:val="00A67BD9"/>
    <w:rsid w:val="00A7007C"/>
    <w:rsid w:val="00A700A5"/>
    <w:rsid w:val="00A700EC"/>
    <w:rsid w:val="00A701E5"/>
    <w:rsid w:val="00A7036F"/>
    <w:rsid w:val="00A704C1"/>
    <w:rsid w:val="00A705DA"/>
    <w:rsid w:val="00A70A5F"/>
    <w:rsid w:val="00A70E7B"/>
    <w:rsid w:val="00A70FFC"/>
    <w:rsid w:val="00A71842"/>
    <w:rsid w:val="00A719DC"/>
    <w:rsid w:val="00A71B5C"/>
    <w:rsid w:val="00A71CAA"/>
    <w:rsid w:val="00A71EE3"/>
    <w:rsid w:val="00A71FCD"/>
    <w:rsid w:val="00A720A1"/>
    <w:rsid w:val="00A724CF"/>
    <w:rsid w:val="00A725CC"/>
    <w:rsid w:val="00A727E7"/>
    <w:rsid w:val="00A72848"/>
    <w:rsid w:val="00A72955"/>
    <w:rsid w:val="00A72C63"/>
    <w:rsid w:val="00A731D2"/>
    <w:rsid w:val="00A736DB"/>
    <w:rsid w:val="00A737B4"/>
    <w:rsid w:val="00A738C6"/>
    <w:rsid w:val="00A73CF2"/>
    <w:rsid w:val="00A73D9A"/>
    <w:rsid w:val="00A74233"/>
    <w:rsid w:val="00A745F5"/>
    <w:rsid w:val="00A748F3"/>
    <w:rsid w:val="00A7493A"/>
    <w:rsid w:val="00A74999"/>
    <w:rsid w:val="00A749A3"/>
    <w:rsid w:val="00A74AFB"/>
    <w:rsid w:val="00A74B06"/>
    <w:rsid w:val="00A74C0F"/>
    <w:rsid w:val="00A753CF"/>
    <w:rsid w:val="00A75496"/>
    <w:rsid w:val="00A754B8"/>
    <w:rsid w:val="00A755FD"/>
    <w:rsid w:val="00A759AB"/>
    <w:rsid w:val="00A75C3F"/>
    <w:rsid w:val="00A75E61"/>
    <w:rsid w:val="00A7626D"/>
    <w:rsid w:val="00A7627E"/>
    <w:rsid w:val="00A762BD"/>
    <w:rsid w:val="00A76383"/>
    <w:rsid w:val="00A76441"/>
    <w:rsid w:val="00A765A7"/>
    <w:rsid w:val="00A766DE"/>
    <w:rsid w:val="00A76AD5"/>
    <w:rsid w:val="00A76B7E"/>
    <w:rsid w:val="00A76C2D"/>
    <w:rsid w:val="00A76C6F"/>
    <w:rsid w:val="00A76D78"/>
    <w:rsid w:val="00A770F6"/>
    <w:rsid w:val="00A7717B"/>
    <w:rsid w:val="00A772F2"/>
    <w:rsid w:val="00A77708"/>
    <w:rsid w:val="00A77C00"/>
    <w:rsid w:val="00A802A2"/>
    <w:rsid w:val="00A802A6"/>
    <w:rsid w:val="00A804C9"/>
    <w:rsid w:val="00A80504"/>
    <w:rsid w:val="00A80822"/>
    <w:rsid w:val="00A80B09"/>
    <w:rsid w:val="00A80C47"/>
    <w:rsid w:val="00A811C7"/>
    <w:rsid w:val="00A812D5"/>
    <w:rsid w:val="00A81456"/>
    <w:rsid w:val="00A81791"/>
    <w:rsid w:val="00A81FEA"/>
    <w:rsid w:val="00A821E7"/>
    <w:rsid w:val="00A827A6"/>
    <w:rsid w:val="00A829E4"/>
    <w:rsid w:val="00A82C5C"/>
    <w:rsid w:val="00A82C92"/>
    <w:rsid w:val="00A8300F"/>
    <w:rsid w:val="00A8312A"/>
    <w:rsid w:val="00A835E9"/>
    <w:rsid w:val="00A83731"/>
    <w:rsid w:val="00A83A0C"/>
    <w:rsid w:val="00A83BFA"/>
    <w:rsid w:val="00A83D80"/>
    <w:rsid w:val="00A8455C"/>
    <w:rsid w:val="00A845D4"/>
    <w:rsid w:val="00A846FB"/>
    <w:rsid w:val="00A84834"/>
    <w:rsid w:val="00A84F3A"/>
    <w:rsid w:val="00A85241"/>
    <w:rsid w:val="00A853C8"/>
    <w:rsid w:val="00A855A2"/>
    <w:rsid w:val="00A85626"/>
    <w:rsid w:val="00A85890"/>
    <w:rsid w:val="00A859DA"/>
    <w:rsid w:val="00A85CCC"/>
    <w:rsid w:val="00A861CA"/>
    <w:rsid w:val="00A86284"/>
    <w:rsid w:val="00A864B5"/>
    <w:rsid w:val="00A868BE"/>
    <w:rsid w:val="00A86B5C"/>
    <w:rsid w:val="00A86D56"/>
    <w:rsid w:val="00A86D9E"/>
    <w:rsid w:val="00A86FB3"/>
    <w:rsid w:val="00A871B5"/>
    <w:rsid w:val="00A87283"/>
    <w:rsid w:val="00A8728B"/>
    <w:rsid w:val="00A872B5"/>
    <w:rsid w:val="00A87340"/>
    <w:rsid w:val="00A8768C"/>
    <w:rsid w:val="00A878FC"/>
    <w:rsid w:val="00A87D80"/>
    <w:rsid w:val="00A901C4"/>
    <w:rsid w:val="00A904C7"/>
    <w:rsid w:val="00A906A4"/>
    <w:rsid w:val="00A90B6F"/>
    <w:rsid w:val="00A90CBA"/>
    <w:rsid w:val="00A90DB9"/>
    <w:rsid w:val="00A911B1"/>
    <w:rsid w:val="00A9153F"/>
    <w:rsid w:val="00A9160A"/>
    <w:rsid w:val="00A91722"/>
    <w:rsid w:val="00A918B5"/>
    <w:rsid w:val="00A91B44"/>
    <w:rsid w:val="00A91CB1"/>
    <w:rsid w:val="00A91CE0"/>
    <w:rsid w:val="00A91D06"/>
    <w:rsid w:val="00A91FC3"/>
    <w:rsid w:val="00A9206F"/>
    <w:rsid w:val="00A92119"/>
    <w:rsid w:val="00A925F5"/>
    <w:rsid w:val="00A927CB"/>
    <w:rsid w:val="00A92820"/>
    <w:rsid w:val="00A9299F"/>
    <w:rsid w:val="00A93075"/>
    <w:rsid w:val="00A932FA"/>
    <w:rsid w:val="00A93502"/>
    <w:rsid w:val="00A93529"/>
    <w:rsid w:val="00A93A29"/>
    <w:rsid w:val="00A93A7B"/>
    <w:rsid w:val="00A93E8E"/>
    <w:rsid w:val="00A9445C"/>
    <w:rsid w:val="00A94912"/>
    <w:rsid w:val="00A949B3"/>
    <w:rsid w:val="00A951F8"/>
    <w:rsid w:val="00A95396"/>
    <w:rsid w:val="00A95812"/>
    <w:rsid w:val="00A95AD8"/>
    <w:rsid w:val="00A95D20"/>
    <w:rsid w:val="00A961C0"/>
    <w:rsid w:val="00A96264"/>
    <w:rsid w:val="00A963EC"/>
    <w:rsid w:val="00A969A0"/>
    <w:rsid w:val="00A96B3B"/>
    <w:rsid w:val="00A96F5F"/>
    <w:rsid w:val="00A97357"/>
    <w:rsid w:val="00A97639"/>
    <w:rsid w:val="00A97AED"/>
    <w:rsid w:val="00A97C74"/>
    <w:rsid w:val="00A97E71"/>
    <w:rsid w:val="00A97FEC"/>
    <w:rsid w:val="00AA021B"/>
    <w:rsid w:val="00AA08E7"/>
    <w:rsid w:val="00AA091F"/>
    <w:rsid w:val="00AA0946"/>
    <w:rsid w:val="00AA0EC9"/>
    <w:rsid w:val="00AA0EFE"/>
    <w:rsid w:val="00AA0F0D"/>
    <w:rsid w:val="00AA0F91"/>
    <w:rsid w:val="00AA10C5"/>
    <w:rsid w:val="00AA10C7"/>
    <w:rsid w:val="00AA14AB"/>
    <w:rsid w:val="00AA15EF"/>
    <w:rsid w:val="00AA17D6"/>
    <w:rsid w:val="00AA1852"/>
    <w:rsid w:val="00AA1C0C"/>
    <w:rsid w:val="00AA1C23"/>
    <w:rsid w:val="00AA2657"/>
    <w:rsid w:val="00AA2770"/>
    <w:rsid w:val="00AA335F"/>
    <w:rsid w:val="00AA34C0"/>
    <w:rsid w:val="00AA3AA9"/>
    <w:rsid w:val="00AA4165"/>
    <w:rsid w:val="00AA4A9B"/>
    <w:rsid w:val="00AA5042"/>
    <w:rsid w:val="00AA5BF4"/>
    <w:rsid w:val="00AA5DC2"/>
    <w:rsid w:val="00AA6090"/>
    <w:rsid w:val="00AA629D"/>
    <w:rsid w:val="00AA634D"/>
    <w:rsid w:val="00AA665B"/>
    <w:rsid w:val="00AA68B9"/>
    <w:rsid w:val="00AA68DE"/>
    <w:rsid w:val="00AA696C"/>
    <w:rsid w:val="00AA6E48"/>
    <w:rsid w:val="00AA7208"/>
    <w:rsid w:val="00AA7438"/>
    <w:rsid w:val="00AA79F5"/>
    <w:rsid w:val="00AA7ABF"/>
    <w:rsid w:val="00AB0487"/>
    <w:rsid w:val="00AB0699"/>
    <w:rsid w:val="00AB0B2E"/>
    <w:rsid w:val="00AB0B83"/>
    <w:rsid w:val="00AB1489"/>
    <w:rsid w:val="00AB15D1"/>
    <w:rsid w:val="00AB1978"/>
    <w:rsid w:val="00AB1A4B"/>
    <w:rsid w:val="00AB1ACB"/>
    <w:rsid w:val="00AB1E3C"/>
    <w:rsid w:val="00AB20B4"/>
    <w:rsid w:val="00AB2B8B"/>
    <w:rsid w:val="00AB2EB3"/>
    <w:rsid w:val="00AB30E4"/>
    <w:rsid w:val="00AB319B"/>
    <w:rsid w:val="00AB319C"/>
    <w:rsid w:val="00AB348F"/>
    <w:rsid w:val="00AB3683"/>
    <w:rsid w:val="00AB39F3"/>
    <w:rsid w:val="00AB3F8D"/>
    <w:rsid w:val="00AB4040"/>
    <w:rsid w:val="00AB450D"/>
    <w:rsid w:val="00AB487E"/>
    <w:rsid w:val="00AB49B3"/>
    <w:rsid w:val="00AB4CC7"/>
    <w:rsid w:val="00AB4E74"/>
    <w:rsid w:val="00AB5258"/>
    <w:rsid w:val="00AB538B"/>
    <w:rsid w:val="00AB5634"/>
    <w:rsid w:val="00AB5754"/>
    <w:rsid w:val="00AB59B8"/>
    <w:rsid w:val="00AB5D3E"/>
    <w:rsid w:val="00AB603B"/>
    <w:rsid w:val="00AB62A5"/>
    <w:rsid w:val="00AB640D"/>
    <w:rsid w:val="00AB6564"/>
    <w:rsid w:val="00AB6B03"/>
    <w:rsid w:val="00AB6B34"/>
    <w:rsid w:val="00AB6BDE"/>
    <w:rsid w:val="00AB6C5C"/>
    <w:rsid w:val="00AB6D1A"/>
    <w:rsid w:val="00AB6D7F"/>
    <w:rsid w:val="00AB6EF2"/>
    <w:rsid w:val="00AB74BA"/>
    <w:rsid w:val="00AB7B06"/>
    <w:rsid w:val="00AC001F"/>
    <w:rsid w:val="00AC005D"/>
    <w:rsid w:val="00AC00DF"/>
    <w:rsid w:val="00AC07C9"/>
    <w:rsid w:val="00AC09CB"/>
    <w:rsid w:val="00AC0AF6"/>
    <w:rsid w:val="00AC0B42"/>
    <w:rsid w:val="00AC0B4B"/>
    <w:rsid w:val="00AC1ACA"/>
    <w:rsid w:val="00AC27C4"/>
    <w:rsid w:val="00AC2A01"/>
    <w:rsid w:val="00AC2BA6"/>
    <w:rsid w:val="00AC2FCE"/>
    <w:rsid w:val="00AC337F"/>
    <w:rsid w:val="00AC34C1"/>
    <w:rsid w:val="00AC35B2"/>
    <w:rsid w:val="00AC36A3"/>
    <w:rsid w:val="00AC39FE"/>
    <w:rsid w:val="00AC3DB9"/>
    <w:rsid w:val="00AC404A"/>
    <w:rsid w:val="00AC40A7"/>
    <w:rsid w:val="00AC422F"/>
    <w:rsid w:val="00AC46FF"/>
    <w:rsid w:val="00AC499B"/>
    <w:rsid w:val="00AC4A8C"/>
    <w:rsid w:val="00AC4C29"/>
    <w:rsid w:val="00AC4CF4"/>
    <w:rsid w:val="00AC4D6A"/>
    <w:rsid w:val="00AC51F7"/>
    <w:rsid w:val="00AC535E"/>
    <w:rsid w:val="00AC58BC"/>
    <w:rsid w:val="00AC5B23"/>
    <w:rsid w:val="00AC5B42"/>
    <w:rsid w:val="00AC5C44"/>
    <w:rsid w:val="00AC5C8F"/>
    <w:rsid w:val="00AC5D9C"/>
    <w:rsid w:val="00AC5E7F"/>
    <w:rsid w:val="00AC5FA6"/>
    <w:rsid w:val="00AC636C"/>
    <w:rsid w:val="00AC645F"/>
    <w:rsid w:val="00AC676C"/>
    <w:rsid w:val="00AC6908"/>
    <w:rsid w:val="00AC7378"/>
    <w:rsid w:val="00AC745D"/>
    <w:rsid w:val="00AC75C3"/>
    <w:rsid w:val="00AC761C"/>
    <w:rsid w:val="00AC7DF2"/>
    <w:rsid w:val="00AC7F39"/>
    <w:rsid w:val="00AD03CD"/>
    <w:rsid w:val="00AD045D"/>
    <w:rsid w:val="00AD0867"/>
    <w:rsid w:val="00AD0B4C"/>
    <w:rsid w:val="00AD1357"/>
    <w:rsid w:val="00AD166B"/>
    <w:rsid w:val="00AD172E"/>
    <w:rsid w:val="00AD1793"/>
    <w:rsid w:val="00AD195B"/>
    <w:rsid w:val="00AD1A1F"/>
    <w:rsid w:val="00AD1C08"/>
    <w:rsid w:val="00AD1EE8"/>
    <w:rsid w:val="00AD1EF3"/>
    <w:rsid w:val="00AD2180"/>
    <w:rsid w:val="00AD22B5"/>
    <w:rsid w:val="00AD24BE"/>
    <w:rsid w:val="00AD281A"/>
    <w:rsid w:val="00AD2957"/>
    <w:rsid w:val="00AD2A5E"/>
    <w:rsid w:val="00AD2CD7"/>
    <w:rsid w:val="00AD2EDE"/>
    <w:rsid w:val="00AD39BE"/>
    <w:rsid w:val="00AD39F1"/>
    <w:rsid w:val="00AD3AA7"/>
    <w:rsid w:val="00AD3AF0"/>
    <w:rsid w:val="00AD3C5C"/>
    <w:rsid w:val="00AD3CA7"/>
    <w:rsid w:val="00AD4090"/>
    <w:rsid w:val="00AD41B3"/>
    <w:rsid w:val="00AD436F"/>
    <w:rsid w:val="00AD4586"/>
    <w:rsid w:val="00AD46C0"/>
    <w:rsid w:val="00AD4B21"/>
    <w:rsid w:val="00AD4DB5"/>
    <w:rsid w:val="00AD4E30"/>
    <w:rsid w:val="00AD5B07"/>
    <w:rsid w:val="00AD5D5F"/>
    <w:rsid w:val="00AD60FE"/>
    <w:rsid w:val="00AD644D"/>
    <w:rsid w:val="00AD6784"/>
    <w:rsid w:val="00AD6C16"/>
    <w:rsid w:val="00AD6D1B"/>
    <w:rsid w:val="00AD6E26"/>
    <w:rsid w:val="00AD6FA1"/>
    <w:rsid w:val="00AD70E6"/>
    <w:rsid w:val="00AD7159"/>
    <w:rsid w:val="00AD71A3"/>
    <w:rsid w:val="00AD71E1"/>
    <w:rsid w:val="00AD73DA"/>
    <w:rsid w:val="00AD7755"/>
    <w:rsid w:val="00AD7A53"/>
    <w:rsid w:val="00AE0229"/>
    <w:rsid w:val="00AE0270"/>
    <w:rsid w:val="00AE0345"/>
    <w:rsid w:val="00AE035F"/>
    <w:rsid w:val="00AE049D"/>
    <w:rsid w:val="00AE081C"/>
    <w:rsid w:val="00AE094B"/>
    <w:rsid w:val="00AE0A85"/>
    <w:rsid w:val="00AE1344"/>
    <w:rsid w:val="00AE13C3"/>
    <w:rsid w:val="00AE14B3"/>
    <w:rsid w:val="00AE166E"/>
    <w:rsid w:val="00AE16EE"/>
    <w:rsid w:val="00AE173C"/>
    <w:rsid w:val="00AE1A14"/>
    <w:rsid w:val="00AE2766"/>
    <w:rsid w:val="00AE2A32"/>
    <w:rsid w:val="00AE2E5A"/>
    <w:rsid w:val="00AE3108"/>
    <w:rsid w:val="00AE3189"/>
    <w:rsid w:val="00AE31A1"/>
    <w:rsid w:val="00AE36A7"/>
    <w:rsid w:val="00AE3C26"/>
    <w:rsid w:val="00AE3E41"/>
    <w:rsid w:val="00AE4138"/>
    <w:rsid w:val="00AE434C"/>
    <w:rsid w:val="00AE4379"/>
    <w:rsid w:val="00AE441D"/>
    <w:rsid w:val="00AE450A"/>
    <w:rsid w:val="00AE4921"/>
    <w:rsid w:val="00AE4C41"/>
    <w:rsid w:val="00AE4E2C"/>
    <w:rsid w:val="00AE4E85"/>
    <w:rsid w:val="00AE4EE0"/>
    <w:rsid w:val="00AE55EF"/>
    <w:rsid w:val="00AE594D"/>
    <w:rsid w:val="00AE5B91"/>
    <w:rsid w:val="00AE5DA8"/>
    <w:rsid w:val="00AE5E8D"/>
    <w:rsid w:val="00AE5EB3"/>
    <w:rsid w:val="00AE668B"/>
    <w:rsid w:val="00AE6AD2"/>
    <w:rsid w:val="00AE7365"/>
    <w:rsid w:val="00AE752F"/>
    <w:rsid w:val="00AE7697"/>
    <w:rsid w:val="00AE79F2"/>
    <w:rsid w:val="00AE7EB6"/>
    <w:rsid w:val="00AF01A5"/>
    <w:rsid w:val="00AF02A8"/>
    <w:rsid w:val="00AF03D2"/>
    <w:rsid w:val="00AF0552"/>
    <w:rsid w:val="00AF0776"/>
    <w:rsid w:val="00AF07AE"/>
    <w:rsid w:val="00AF0AB8"/>
    <w:rsid w:val="00AF0D28"/>
    <w:rsid w:val="00AF0DB4"/>
    <w:rsid w:val="00AF1E00"/>
    <w:rsid w:val="00AF21C4"/>
    <w:rsid w:val="00AF23E8"/>
    <w:rsid w:val="00AF256A"/>
    <w:rsid w:val="00AF2649"/>
    <w:rsid w:val="00AF28B1"/>
    <w:rsid w:val="00AF2C35"/>
    <w:rsid w:val="00AF2E30"/>
    <w:rsid w:val="00AF2FD0"/>
    <w:rsid w:val="00AF3149"/>
    <w:rsid w:val="00AF38C5"/>
    <w:rsid w:val="00AF38C9"/>
    <w:rsid w:val="00AF395E"/>
    <w:rsid w:val="00AF3D6C"/>
    <w:rsid w:val="00AF417D"/>
    <w:rsid w:val="00AF4318"/>
    <w:rsid w:val="00AF4396"/>
    <w:rsid w:val="00AF43FC"/>
    <w:rsid w:val="00AF4457"/>
    <w:rsid w:val="00AF456A"/>
    <w:rsid w:val="00AF45E1"/>
    <w:rsid w:val="00AF493C"/>
    <w:rsid w:val="00AF4C50"/>
    <w:rsid w:val="00AF4E28"/>
    <w:rsid w:val="00AF4F56"/>
    <w:rsid w:val="00AF5576"/>
    <w:rsid w:val="00AF55A8"/>
    <w:rsid w:val="00AF598A"/>
    <w:rsid w:val="00AF598C"/>
    <w:rsid w:val="00AF59EA"/>
    <w:rsid w:val="00AF5D4E"/>
    <w:rsid w:val="00AF6060"/>
    <w:rsid w:val="00AF609B"/>
    <w:rsid w:val="00AF6960"/>
    <w:rsid w:val="00AF69B6"/>
    <w:rsid w:val="00AF6EBC"/>
    <w:rsid w:val="00AF6F6C"/>
    <w:rsid w:val="00AF724B"/>
    <w:rsid w:val="00AF72FA"/>
    <w:rsid w:val="00AF781A"/>
    <w:rsid w:val="00AF7DC4"/>
    <w:rsid w:val="00B004C1"/>
    <w:rsid w:val="00B007F6"/>
    <w:rsid w:val="00B01413"/>
    <w:rsid w:val="00B018C3"/>
    <w:rsid w:val="00B01D31"/>
    <w:rsid w:val="00B02040"/>
    <w:rsid w:val="00B024F4"/>
    <w:rsid w:val="00B02581"/>
    <w:rsid w:val="00B025B9"/>
    <w:rsid w:val="00B02A2D"/>
    <w:rsid w:val="00B02D09"/>
    <w:rsid w:val="00B02D91"/>
    <w:rsid w:val="00B03372"/>
    <w:rsid w:val="00B034A0"/>
    <w:rsid w:val="00B0371F"/>
    <w:rsid w:val="00B038BB"/>
    <w:rsid w:val="00B039A4"/>
    <w:rsid w:val="00B03EC3"/>
    <w:rsid w:val="00B040D9"/>
    <w:rsid w:val="00B0470F"/>
    <w:rsid w:val="00B04B32"/>
    <w:rsid w:val="00B04C2C"/>
    <w:rsid w:val="00B04D39"/>
    <w:rsid w:val="00B04E15"/>
    <w:rsid w:val="00B04EB5"/>
    <w:rsid w:val="00B053DA"/>
    <w:rsid w:val="00B054C2"/>
    <w:rsid w:val="00B05665"/>
    <w:rsid w:val="00B05948"/>
    <w:rsid w:val="00B059A4"/>
    <w:rsid w:val="00B05C88"/>
    <w:rsid w:val="00B05FBD"/>
    <w:rsid w:val="00B05FD3"/>
    <w:rsid w:val="00B065E4"/>
    <w:rsid w:val="00B06618"/>
    <w:rsid w:val="00B06A05"/>
    <w:rsid w:val="00B06B9A"/>
    <w:rsid w:val="00B06D0A"/>
    <w:rsid w:val="00B06E5A"/>
    <w:rsid w:val="00B06FB8"/>
    <w:rsid w:val="00B07199"/>
    <w:rsid w:val="00B0731E"/>
    <w:rsid w:val="00B073C3"/>
    <w:rsid w:val="00B07A83"/>
    <w:rsid w:val="00B07B8F"/>
    <w:rsid w:val="00B07C7C"/>
    <w:rsid w:val="00B106D7"/>
    <w:rsid w:val="00B10A33"/>
    <w:rsid w:val="00B10B5E"/>
    <w:rsid w:val="00B10B79"/>
    <w:rsid w:val="00B10F2E"/>
    <w:rsid w:val="00B1101B"/>
    <w:rsid w:val="00B110F0"/>
    <w:rsid w:val="00B1156C"/>
    <w:rsid w:val="00B117DE"/>
    <w:rsid w:val="00B118A9"/>
    <w:rsid w:val="00B119F3"/>
    <w:rsid w:val="00B11F21"/>
    <w:rsid w:val="00B12191"/>
    <w:rsid w:val="00B1254F"/>
    <w:rsid w:val="00B128AB"/>
    <w:rsid w:val="00B1296D"/>
    <w:rsid w:val="00B13214"/>
    <w:rsid w:val="00B135A7"/>
    <w:rsid w:val="00B13819"/>
    <w:rsid w:val="00B138A9"/>
    <w:rsid w:val="00B13B17"/>
    <w:rsid w:val="00B13D7E"/>
    <w:rsid w:val="00B13F05"/>
    <w:rsid w:val="00B14015"/>
    <w:rsid w:val="00B14228"/>
    <w:rsid w:val="00B1447D"/>
    <w:rsid w:val="00B14DB3"/>
    <w:rsid w:val="00B152FE"/>
    <w:rsid w:val="00B1535D"/>
    <w:rsid w:val="00B155AD"/>
    <w:rsid w:val="00B15864"/>
    <w:rsid w:val="00B15868"/>
    <w:rsid w:val="00B15BA2"/>
    <w:rsid w:val="00B15FDA"/>
    <w:rsid w:val="00B16701"/>
    <w:rsid w:val="00B1723A"/>
    <w:rsid w:val="00B17F80"/>
    <w:rsid w:val="00B20212"/>
    <w:rsid w:val="00B2035A"/>
    <w:rsid w:val="00B2051C"/>
    <w:rsid w:val="00B20A9B"/>
    <w:rsid w:val="00B20CDD"/>
    <w:rsid w:val="00B20FB1"/>
    <w:rsid w:val="00B210FC"/>
    <w:rsid w:val="00B21279"/>
    <w:rsid w:val="00B21693"/>
    <w:rsid w:val="00B21D43"/>
    <w:rsid w:val="00B21D6F"/>
    <w:rsid w:val="00B2218E"/>
    <w:rsid w:val="00B22299"/>
    <w:rsid w:val="00B222AF"/>
    <w:rsid w:val="00B222EF"/>
    <w:rsid w:val="00B2290F"/>
    <w:rsid w:val="00B22EAC"/>
    <w:rsid w:val="00B2331A"/>
    <w:rsid w:val="00B23713"/>
    <w:rsid w:val="00B239DA"/>
    <w:rsid w:val="00B23AF8"/>
    <w:rsid w:val="00B23E0E"/>
    <w:rsid w:val="00B242E4"/>
    <w:rsid w:val="00B24501"/>
    <w:rsid w:val="00B249CF"/>
    <w:rsid w:val="00B24CA6"/>
    <w:rsid w:val="00B24E58"/>
    <w:rsid w:val="00B24E7D"/>
    <w:rsid w:val="00B2529A"/>
    <w:rsid w:val="00B2530A"/>
    <w:rsid w:val="00B257F3"/>
    <w:rsid w:val="00B258D7"/>
    <w:rsid w:val="00B2596B"/>
    <w:rsid w:val="00B25A79"/>
    <w:rsid w:val="00B25F25"/>
    <w:rsid w:val="00B2602A"/>
    <w:rsid w:val="00B26480"/>
    <w:rsid w:val="00B2663F"/>
    <w:rsid w:val="00B26A18"/>
    <w:rsid w:val="00B26A51"/>
    <w:rsid w:val="00B26C06"/>
    <w:rsid w:val="00B26C4A"/>
    <w:rsid w:val="00B26E55"/>
    <w:rsid w:val="00B26F42"/>
    <w:rsid w:val="00B276C7"/>
    <w:rsid w:val="00B276CE"/>
    <w:rsid w:val="00B27824"/>
    <w:rsid w:val="00B279E2"/>
    <w:rsid w:val="00B279F8"/>
    <w:rsid w:val="00B27CC6"/>
    <w:rsid w:val="00B27DA3"/>
    <w:rsid w:val="00B3032A"/>
    <w:rsid w:val="00B3068C"/>
    <w:rsid w:val="00B309DB"/>
    <w:rsid w:val="00B312F7"/>
    <w:rsid w:val="00B31C50"/>
    <w:rsid w:val="00B31F23"/>
    <w:rsid w:val="00B31FC3"/>
    <w:rsid w:val="00B32014"/>
    <w:rsid w:val="00B32309"/>
    <w:rsid w:val="00B32359"/>
    <w:rsid w:val="00B3257D"/>
    <w:rsid w:val="00B32AF8"/>
    <w:rsid w:val="00B32D5B"/>
    <w:rsid w:val="00B330B6"/>
    <w:rsid w:val="00B33181"/>
    <w:rsid w:val="00B33407"/>
    <w:rsid w:val="00B3341C"/>
    <w:rsid w:val="00B33514"/>
    <w:rsid w:val="00B3358C"/>
    <w:rsid w:val="00B3359E"/>
    <w:rsid w:val="00B33AC2"/>
    <w:rsid w:val="00B33B42"/>
    <w:rsid w:val="00B33C3A"/>
    <w:rsid w:val="00B3407B"/>
    <w:rsid w:val="00B341BD"/>
    <w:rsid w:val="00B3454C"/>
    <w:rsid w:val="00B34733"/>
    <w:rsid w:val="00B34B86"/>
    <w:rsid w:val="00B34CED"/>
    <w:rsid w:val="00B34EA3"/>
    <w:rsid w:val="00B3514B"/>
    <w:rsid w:val="00B35334"/>
    <w:rsid w:val="00B3565B"/>
    <w:rsid w:val="00B35949"/>
    <w:rsid w:val="00B359FA"/>
    <w:rsid w:val="00B35B36"/>
    <w:rsid w:val="00B3614C"/>
    <w:rsid w:val="00B36321"/>
    <w:rsid w:val="00B36778"/>
    <w:rsid w:val="00B3680D"/>
    <w:rsid w:val="00B3688E"/>
    <w:rsid w:val="00B36AA5"/>
    <w:rsid w:val="00B36C0C"/>
    <w:rsid w:val="00B36EC1"/>
    <w:rsid w:val="00B3705A"/>
    <w:rsid w:val="00B37088"/>
    <w:rsid w:val="00B376B7"/>
    <w:rsid w:val="00B37CA6"/>
    <w:rsid w:val="00B37F0C"/>
    <w:rsid w:val="00B40616"/>
    <w:rsid w:val="00B407DD"/>
    <w:rsid w:val="00B40D32"/>
    <w:rsid w:val="00B411E0"/>
    <w:rsid w:val="00B41641"/>
    <w:rsid w:val="00B4192A"/>
    <w:rsid w:val="00B421E5"/>
    <w:rsid w:val="00B422B6"/>
    <w:rsid w:val="00B42434"/>
    <w:rsid w:val="00B4297F"/>
    <w:rsid w:val="00B42BCE"/>
    <w:rsid w:val="00B42D41"/>
    <w:rsid w:val="00B42E37"/>
    <w:rsid w:val="00B4309B"/>
    <w:rsid w:val="00B439A4"/>
    <w:rsid w:val="00B43B24"/>
    <w:rsid w:val="00B43D65"/>
    <w:rsid w:val="00B43ED4"/>
    <w:rsid w:val="00B44179"/>
    <w:rsid w:val="00B4481E"/>
    <w:rsid w:val="00B44A37"/>
    <w:rsid w:val="00B44AEA"/>
    <w:rsid w:val="00B44F85"/>
    <w:rsid w:val="00B45312"/>
    <w:rsid w:val="00B4552F"/>
    <w:rsid w:val="00B45633"/>
    <w:rsid w:val="00B45913"/>
    <w:rsid w:val="00B45979"/>
    <w:rsid w:val="00B45A5F"/>
    <w:rsid w:val="00B45AA5"/>
    <w:rsid w:val="00B45B4E"/>
    <w:rsid w:val="00B45E13"/>
    <w:rsid w:val="00B45F54"/>
    <w:rsid w:val="00B45F59"/>
    <w:rsid w:val="00B46194"/>
    <w:rsid w:val="00B46389"/>
    <w:rsid w:val="00B46764"/>
    <w:rsid w:val="00B467D5"/>
    <w:rsid w:val="00B46A03"/>
    <w:rsid w:val="00B470CC"/>
    <w:rsid w:val="00B4775F"/>
    <w:rsid w:val="00B47DE0"/>
    <w:rsid w:val="00B50015"/>
    <w:rsid w:val="00B500D0"/>
    <w:rsid w:val="00B503EE"/>
    <w:rsid w:val="00B50543"/>
    <w:rsid w:val="00B50C47"/>
    <w:rsid w:val="00B50DB9"/>
    <w:rsid w:val="00B50E2A"/>
    <w:rsid w:val="00B50FE2"/>
    <w:rsid w:val="00B5146E"/>
    <w:rsid w:val="00B51EF5"/>
    <w:rsid w:val="00B51F61"/>
    <w:rsid w:val="00B5243A"/>
    <w:rsid w:val="00B5246F"/>
    <w:rsid w:val="00B525A0"/>
    <w:rsid w:val="00B52E0A"/>
    <w:rsid w:val="00B52FF7"/>
    <w:rsid w:val="00B530C7"/>
    <w:rsid w:val="00B531B4"/>
    <w:rsid w:val="00B5336D"/>
    <w:rsid w:val="00B5376E"/>
    <w:rsid w:val="00B537D4"/>
    <w:rsid w:val="00B537E5"/>
    <w:rsid w:val="00B53BB2"/>
    <w:rsid w:val="00B53D5B"/>
    <w:rsid w:val="00B53FA9"/>
    <w:rsid w:val="00B54009"/>
    <w:rsid w:val="00B541F2"/>
    <w:rsid w:val="00B542BD"/>
    <w:rsid w:val="00B54461"/>
    <w:rsid w:val="00B54745"/>
    <w:rsid w:val="00B5484B"/>
    <w:rsid w:val="00B54EDF"/>
    <w:rsid w:val="00B5500D"/>
    <w:rsid w:val="00B551F2"/>
    <w:rsid w:val="00B55553"/>
    <w:rsid w:val="00B55BE5"/>
    <w:rsid w:val="00B55E20"/>
    <w:rsid w:val="00B55F89"/>
    <w:rsid w:val="00B560D1"/>
    <w:rsid w:val="00B56331"/>
    <w:rsid w:val="00B566D1"/>
    <w:rsid w:val="00B56F86"/>
    <w:rsid w:val="00B575C1"/>
    <w:rsid w:val="00B57643"/>
    <w:rsid w:val="00B578B3"/>
    <w:rsid w:val="00B5797C"/>
    <w:rsid w:val="00B57DA1"/>
    <w:rsid w:val="00B57FCF"/>
    <w:rsid w:val="00B6024A"/>
    <w:rsid w:val="00B604D8"/>
    <w:rsid w:val="00B60BF9"/>
    <w:rsid w:val="00B60F32"/>
    <w:rsid w:val="00B61028"/>
    <w:rsid w:val="00B612C2"/>
    <w:rsid w:val="00B61957"/>
    <w:rsid w:val="00B619C3"/>
    <w:rsid w:val="00B61AAB"/>
    <w:rsid w:val="00B61B70"/>
    <w:rsid w:val="00B61F36"/>
    <w:rsid w:val="00B62215"/>
    <w:rsid w:val="00B62575"/>
    <w:rsid w:val="00B625F7"/>
    <w:rsid w:val="00B62A89"/>
    <w:rsid w:val="00B637B9"/>
    <w:rsid w:val="00B63B13"/>
    <w:rsid w:val="00B6427B"/>
    <w:rsid w:val="00B64D1C"/>
    <w:rsid w:val="00B64E36"/>
    <w:rsid w:val="00B6526E"/>
    <w:rsid w:val="00B6568B"/>
    <w:rsid w:val="00B65770"/>
    <w:rsid w:val="00B65B74"/>
    <w:rsid w:val="00B65CF6"/>
    <w:rsid w:val="00B65F04"/>
    <w:rsid w:val="00B66335"/>
    <w:rsid w:val="00B668DB"/>
    <w:rsid w:val="00B66A83"/>
    <w:rsid w:val="00B66B97"/>
    <w:rsid w:val="00B670AA"/>
    <w:rsid w:val="00B672C1"/>
    <w:rsid w:val="00B672C7"/>
    <w:rsid w:val="00B67340"/>
    <w:rsid w:val="00B673DA"/>
    <w:rsid w:val="00B67D19"/>
    <w:rsid w:val="00B67DB8"/>
    <w:rsid w:val="00B67EA5"/>
    <w:rsid w:val="00B703E1"/>
    <w:rsid w:val="00B70948"/>
    <w:rsid w:val="00B70D98"/>
    <w:rsid w:val="00B715C7"/>
    <w:rsid w:val="00B715D1"/>
    <w:rsid w:val="00B71656"/>
    <w:rsid w:val="00B718D8"/>
    <w:rsid w:val="00B71B1B"/>
    <w:rsid w:val="00B71D7D"/>
    <w:rsid w:val="00B71DC2"/>
    <w:rsid w:val="00B72223"/>
    <w:rsid w:val="00B72336"/>
    <w:rsid w:val="00B723BB"/>
    <w:rsid w:val="00B7243C"/>
    <w:rsid w:val="00B7271D"/>
    <w:rsid w:val="00B72A9F"/>
    <w:rsid w:val="00B72B41"/>
    <w:rsid w:val="00B72BBC"/>
    <w:rsid w:val="00B72D3C"/>
    <w:rsid w:val="00B72E61"/>
    <w:rsid w:val="00B7329C"/>
    <w:rsid w:val="00B732E6"/>
    <w:rsid w:val="00B73543"/>
    <w:rsid w:val="00B736E5"/>
    <w:rsid w:val="00B739C1"/>
    <w:rsid w:val="00B73AFA"/>
    <w:rsid w:val="00B74797"/>
    <w:rsid w:val="00B74BB2"/>
    <w:rsid w:val="00B74DB9"/>
    <w:rsid w:val="00B74F36"/>
    <w:rsid w:val="00B750BA"/>
    <w:rsid w:val="00B752F3"/>
    <w:rsid w:val="00B7585B"/>
    <w:rsid w:val="00B75BE0"/>
    <w:rsid w:val="00B75F60"/>
    <w:rsid w:val="00B76475"/>
    <w:rsid w:val="00B76CA4"/>
    <w:rsid w:val="00B770AC"/>
    <w:rsid w:val="00B77103"/>
    <w:rsid w:val="00B77356"/>
    <w:rsid w:val="00B77436"/>
    <w:rsid w:val="00B778FA"/>
    <w:rsid w:val="00B77946"/>
    <w:rsid w:val="00B77960"/>
    <w:rsid w:val="00B77B83"/>
    <w:rsid w:val="00B80048"/>
    <w:rsid w:val="00B8060D"/>
    <w:rsid w:val="00B806EA"/>
    <w:rsid w:val="00B8071C"/>
    <w:rsid w:val="00B80A87"/>
    <w:rsid w:val="00B80D85"/>
    <w:rsid w:val="00B80E76"/>
    <w:rsid w:val="00B811F6"/>
    <w:rsid w:val="00B8125F"/>
    <w:rsid w:val="00B815B5"/>
    <w:rsid w:val="00B81627"/>
    <w:rsid w:val="00B8181E"/>
    <w:rsid w:val="00B825C7"/>
    <w:rsid w:val="00B829FA"/>
    <w:rsid w:val="00B82F8A"/>
    <w:rsid w:val="00B833CC"/>
    <w:rsid w:val="00B8353B"/>
    <w:rsid w:val="00B837D7"/>
    <w:rsid w:val="00B83A7C"/>
    <w:rsid w:val="00B83EDE"/>
    <w:rsid w:val="00B843FB"/>
    <w:rsid w:val="00B849DB"/>
    <w:rsid w:val="00B84B93"/>
    <w:rsid w:val="00B853CB"/>
    <w:rsid w:val="00B854BE"/>
    <w:rsid w:val="00B855F2"/>
    <w:rsid w:val="00B85B50"/>
    <w:rsid w:val="00B85C35"/>
    <w:rsid w:val="00B85FB9"/>
    <w:rsid w:val="00B85FF2"/>
    <w:rsid w:val="00B86250"/>
    <w:rsid w:val="00B8679D"/>
    <w:rsid w:val="00B86A40"/>
    <w:rsid w:val="00B86A98"/>
    <w:rsid w:val="00B86FE8"/>
    <w:rsid w:val="00B878B9"/>
    <w:rsid w:val="00B87D5B"/>
    <w:rsid w:val="00B87DD7"/>
    <w:rsid w:val="00B8F1E1"/>
    <w:rsid w:val="00B90011"/>
    <w:rsid w:val="00B905A1"/>
    <w:rsid w:val="00B9082A"/>
    <w:rsid w:val="00B908C7"/>
    <w:rsid w:val="00B90BB4"/>
    <w:rsid w:val="00B9105B"/>
    <w:rsid w:val="00B9139E"/>
    <w:rsid w:val="00B91764"/>
    <w:rsid w:val="00B917EB"/>
    <w:rsid w:val="00B9188F"/>
    <w:rsid w:val="00B918F3"/>
    <w:rsid w:val="00B91A31"/>
    <w:rsid w:val="00B91CFF"/>
    <w:rsid w:val="00B920CB"/>
    <w:rsid w:val="00B92150"/>
    <w:rsid w:val="00B922F2"/>
    <w:rsid w:val="00B92663"/>
    <w:rsid w:val="00B92787"/>
    <w:rsid w:val="00B92CC3"/>
    <w:rsid w:val="00B92F63"/>
    <w:rsid w:val="00B93278"/>
    <w:rsid w:val="00B933B6"/>
    <w:rsid w:val="00B93BEF"/>
    <w:rsid w:val="00B93CBD"/>
    <w:rsid w:val="00B93CC1"/>
    <w:rsid w:val="00B93D1C"/>
    <w:rsid w:val="00B93E49"/>
    <w:rsid w:val="00B9442F"/>
    <w:rsid w:val="00B946CE"/>
    <w:rsid w:val="00B946F7"/>
    <w:rsid w:val="00B94D61"/>
    <w:rsid w:val="00B95542"/>
    <w:rsid w:val="00B9584C"/>
    <w:rsid w:val="00B95D51"/>
    <w:rsid w:val="00B964DF"/>
    <w:rsid w:val="00B965F7"/>
    <w:rsid w:val="00B968A0"/>
    <w:rsid w:val="00B9748F"/>
    <w:rsid w:val="00B977A9"/>
    <w:rsid w:val="00B97B32"/>
    <w:rsid w:val="00B97C41"/>
    <w:rsid w:val="00B97EED"/>
    <w:rsid w:val="00B97F91"/>
    <w:rsid w:val="00BA0115"/>
    <w:rsid w:val="00BA0290"/>
    <w:rsid w:val="00BA05EA"/>
    <w:rsid w:val="00BA07BF"/>
    <w:rsid w:val="00BA0A72"/>
    <w:rsid w:val="00BA1030"/>
    <w:rsid w:val="00BA11AE"/>
    <w:rsid w:val="00BA155F"/>
    <w:rsid w:val="00BA15BA"/>
    <w:rsid w:val="00BA1713"/>
    <w:rsid w:val="00BA1EA2"/>
    <w:rsid w:val="00BA210D"/>
    <w:rsid w:val="00BA2668"/>
    <w:rsid w:val="00BA2919"/>
    <w:rsid w:val="00BA2C05"/>
    <w:rsid w:val="00BA2C8F"/>
    <w:rsid w:val="00BA2F45"/>
    <w:rsid w:val="00BA3449"/>
    <w:rsid w:val="00BA3546"/>
    <w:rsid w:val="00BA359A"/>
    <w:rsid w:val="00BA3823"/>
    <w:rsid w:val="00BA38CB"/>
    <w:rsid w:val="00BA3AC3"/>
    <w:rsid w:val="00BA3C54"/>
    <w:rsid w:val="00BA3E5D"/>
    <w:rsid w:val="00BA3F54"/>
    <w:rsid w:val="00BA4151"/>
    <w:rsid w:val="00BA42C6"/>
    <w:rsid w:val="00BA45E3"/>
    <w:rsid w:val="00BA4608"/>
    <w:rsid w:val="00BA478F"/>
    <w:rsid w:val="00BA4C54"/>
    <w:rsid w:val="00BA4D33"/>
    <w:rsid w:val="00BA4FEF"/>
    <w:rsid w:val="00BA597B"/>
    <w:rsid w:val="00BA5D32"/>
    <w:rsid w:val="00BA6115"/>
    <w:rsid w:val="00BA6500"/>
    <w:rsid w:val="00BA6517"/>
    <w:rsid w:val="00BA664A"/>
    <w:rsid w:val="00BA6C0A"/>
    <w:rsid w:val="00BA6F61"/>
    <w:rsid w:val="00BA71F2"/>
    <w:rsid w:val="00BA74CB"/>
    <w:rsid w:val="00BA75F3"/>
    <w:rsid w:val="00BA78FD"/>
    <w:rsid w:val="00BA7A05"/>
    <w:rsid w:val="00BA7B43"/>
    <w:rsid w:val="00BA7E5F"/>
    <w:rsid w:val="00BA7EB4"/>
    <w:rsid w:val="00BA7FB7"/>
    <w:rsid w:val="00BB00E1"/>
    <w:rsid w:val="00BB0A2F"/>
    <w:rsid w:val="00BB0D0E"/>
    <w:rsid w:val="00BB1079"/>
    <w:rsid w:val="00BB111E"/>
    <w:rsid w:val="00BB19ED"/>
    <w:rsid w:val="00BB1F32"/>
    <w:rsid w:val="00BB2158"/>
    <w:rsid w:val="00BB247D"/>
    <w:rsid w:val="00BB267A"/>
    <w:rsid w:val="00BB2A94"/>
    <w:rsid w:val="00BB2F1A"/>
    <w:rsid w:val="00BB33D7"/>
    <w:rsid w:val="00BB38C1"/>
    <w:rsid w:val="00BB39D9"/>
    <w:rsid w:val="00BB3E68"/>
    <w:rsid w:val="00BB41B8"/>
    <w:rsid w:val="00BB4248"/>
    <w:rsid w:val="00BB44AE"/>
    <w:rsid w:val="00BB46E7"/>
    <w:rsid w:val="00BB4AE1"/>
    <w:rsid w:val="00BB4B78"/>
    <w:rsid w:val="00BB510C"/>
    <w:rsid w:val="00BB53B2"/>
    <w:rsid w:val="00BB573D"/>
    <w:rsid w:val="00BB5B89"/>
    <w:rsid w:val="00BB5C26"/>
    <w:rsid w:val="00BB5C8D"/>
    <w:rsid w:val="00BB63FA"/>
    <w:rsid w:val="00BB6520"/>
    <w:rsid w:val="00BB682D"/>
    <w:rsid w:val="00BB6F7A"/>
    <w:rsid w:val="00BB70C1"/>
    <w:rsid w:val="00BB7535"/>
    <w:rsid w:val="00BB7630"/>
    <w:rsid w:val="00BB7D41"/>
    <w:rsid w:val="00BB7E2C"/>
    <w:rsid w:val="00BB7E7B"/>
    <w:rsid w:val="00BB7ED9"/>
    <w:rsid w:val="00BB7FE3"/>
    <w:rsid w:val="00BC00CB"/>
    <w:rsid w:val="00BC00DB"/>
    <w:rsid w:val="00BC0209"/>
    <w:rsid w:val="00BC063C"/>
    <w:rsid w:val="00BC078A"/>
    <w:rsid w:val="00BC07BF"/>
    <w:rsid w:val="00BC0801"/>
    <w:rsid w:val="00BC0865"/>
    <w:rsid w:val="00BC090D"/>
    <w:rsid w:val="00BC1279"/>
    <w:rsid w:val="00BC18F5"/>
    <w:rsid w:val="00BC1D22"/>
    <w:rsid w:val="00BC2205"/>
    <w:rsid w:val="00BC2596"/>
    <w:rsid w:val="00BC2629"/>
    <w:rsid w:val="00BC268B"/>
    <w:rsid w:val="00BC2F20"/>
    <w:rsid w:val="00BC34B0"/>
    <w:rsid w:val="00BC38C7"/>
    <w:rsid w:val="00BC3967"/>
    <w:rsid w:val="00BC3A8D"/>
    <w:rsid w:val="00BC4099"/>
    <w:rsid w:val="00BC420C"/>
    <w:rsid w:val="00BC440F"/>
    <w:rsid w:val="00BC4602"/>
    <w:rsid w:val="00BC49B5"/>
    <w:rsid w:val="00BC4A33"/>
    <w:rsid w:val="00BC4A53"/>
    <w:rsid w:val="00BC4A92"/>
    <w:rsid w:val="00BC4DA3"/>
    <w:rsid w:val="00BC4E91"/>
    <w:rsid w:val="00BC529A"/>
    <w:rsid w:val="00BC5673"/>
    <w:rsid w:val="00BC596E"/>
    <w:rsid w:val="00BC5A59"/>
    <w:rsid w:val="00BC5DF9"/>
    <w:rsid w:val="00BC659E"/>
    <w:rsid w:val="00BC6603"/>
    <w:rsid w:val="00BC6A3F"/>
    <w:rsid w:val="00BC6F58"/>
    <w:rsid w:val="00BC7271"/>
    <w:rsid w:val="00BC73C0"/>
    <w:rsid w:val="00BC73C7"/>
    <w:rsid w:val="00BC782E"/>
    <w:rsid w:val="00BC793C"/>
    <w:rsid w:val="00BC7ABE"/>
    <w:rsid w:val="00BC7CBD"/>
    <w:rsid w:val="00BC7FB6"/>
    <w:rsid w:val="00BD011A"/>
    <w:rsid w:val="00BD0139"/>
    <w:rsid w:val="00BD016A"/>
    <w:rsid w:val="00BD030F"/>
    <w:rsid w:val="00BD06EA"/>
    <w:rsid w:val="00BD0A56"/>
    <w:rsid w:val="00BD0B75"/>
    <w:rsid w:val="00BD0CE0"/>
    <w:rsid w:val="00BD149C"/>
    <w:rsid w:val="00BD14E1"/>
    <w:rsid w:val="00BD15EA"/>
    <w:rsid w:val="00BD166F"/>
    <w:rsid w:val="00BD19C6"/>
    <w:rsid w:val="00BD21CA"/>
    <w:rsid w:val="00BD274E"/>
    <w:rsid w:val="00BD2E09"/>
    <w:rsid w:val="00BD2E41"/>
    <w:rsid w:val="00BD2E99"/>
    <w:rsid w:val="00BD2EC1"/>
    <w:rsid w:val="00BD3093"/>
    <w:rsid w:val="00BD381E"/>
    <w:rsid w:val="00BD3DB1"/>
    <w:rsid w:val="00BD426E"/>
    <w:rsid w:val="00BD44E3"/>
    <w:rsid w:val="00BD4669"/>
    <w:rsid w:val="00BD4875"/>
    <w:rsid w:val="00BD4917"/>
    <w:rsid w:val="00BD4B49"/>
    <w:rsid w:val="00BD4D64"/>
    <w:rsid w:val="00BD4F63"/>
    <w:rsid w:val="00BD5573"/>
    <w:rsid w:val="00BD587B"/>
    <w:rsid w:val="00BD5C83"/>
    <w:rsid w:val="00BD5E95"/>
    <w:rsid w:val="00BD65A4"/>
    <w:rsid w:val="00BD68C4"/>
    <w:rsid w:val="00BD7229"/>
    <w:rsid w:val="00BD7503"/>
    <w:rsid w:val="00BD7703"/>
    <w:rsid w:val="00BD77BB"/>
    <w:rsid w:val="00BD7A78"/>
    <w:rsid w:val="00BD7AB8"/>
    <w:rsid w:val="00BE0384"/>
    <w:rsid w:val="00BE05AE"/>
    <w:rsid w:val="00BE07E1"/>
    <w:rsid w:val="00BE08A2"/>
    <w:rsid w:val="00BE09F9"/>
    <w:rsid w:val="00BE0A44"/>
    <w:rsid w:val="00BE0ACF"/>
    <w:rsid w:val="00BE0FCC"/>
    <w:rsid w:val="00BE1047"/>
    <w:rsid w:val="00BE1187"/>
    <w:rsid w:val="00BE156B"/>
    <w:rsid w:val="00BE1932"/>
    <w:rsid w:val="00BE1A25"/>
    <w:rsid w:val="00BE1A56"/>
    <w:rsid w:val="00BE1AD7"/>
    <w:rsid w:val="00BE1E5C"/>
    <w:rsid w:val="00BE2107"/>
    <w:rsid w:val="00BE22D4"/>
    <w:rsid w:val="00BE259C"/>
    <w:rsid w:val="00BE2AF3"/>
    <w:rsid w:val="00BE2B2A"/>
    <w:rsid w:val="00BE2B2E"/>
    <w:rsid w:val="00BE305D"/>
    <w:rsid w:val="00BE3357"/>
    <w:rsid w:val="00BE3636"/>
    <w:rsid w:val="00BE370C"/>
    <w:rsid w:val="00BE3866"/>
    <w:rsid w:val="00BE391D"/>
    <w:rsid w:val="00BE3F13"/>
    <w:rsid w:val="00BE3FA8"/>
    <w:rsid w:val="00BE41A6"/>
    <w:rsid w:val="00BE443E"/>
    <w:rsid w:val="00BE46F2"/>
    <w:rsid w:val="00BE47CC"/>
    <w:rsid w:val="00BE490A"/>
    <w:rsid w:val="00BE4AB0"/>
    <w:rsid w:val="00BE4B3A"/>
    <w:rsid w:val="00BE5DEB"/>
    <w:rsid w:val="00BE600D"/>
    <w:rsid w:val="00BE609E"/>
    <w:rsid w:val="00BE629D"/>
    <w:rsid w:val="00BE686B"/>
    <w:rsid w:val="00BE6D7D"/>
    <w:rsid w:val="00BE7086"/>
    <w:rsid w:val="00BE715C"/>
    <w:rsid w:val="00BE7164"/>
    <w:rsid w:val="00BE7404"/>
    <w:rsid w:val="00BE77DA"/>
    <w:rsid w:val="00BE788B"/>
    <w:rsid w:val="00BE791A"/>
    <w:rsid w:val="00BE7A69"/>
    <w:rsid w:val="00BE7CBB"/>
    <w:rsid w:val="00BE7F01"/>
    <w:rsid w:val="00BF064B"/>
    <w:rsid w:val="00BF0F6F"/>
    <w:rsid w:val="00BF1059"/>
    <w:rsid w:val="00BF134E"/>
    <w:rsid w:val="00BF169E"/>
    <w:rsid w:val="00BF1C9C"/>
    <w:rsid w:val="00BF1F76"/>
    <w:rsid w:val="00BF2043"/>
    <w:rsid w:val="00BF221F"/>
    <w:rsid w:val="00BF22E3"/>
    <w:rsid w:val="00BF2413"/>
    <w:rsid w:val="00BF26F6"/>
    <w:rsid w:val="00BF292E"/>
    <w:rsid w:val="00BF2C0A"/>
    <w:rsid w:val="00BF33F3"/>
    <w:rsid w:val="00BF346E"/>
    <w:rsid w:val="00BF3775"/>
    <w:rsid w:val="00BF3853"/>
    <w:rsid w:val="00BF40AF"/>
    <w:rsid w:val="00BF42A6"/>
    <w:rsid w:val="00BF439D"/>
    <w:rsid w:val="00BF47F4"/>
    <w:rsid w:val="00BF4896"/>
    <w:rsid w:val="00BF4E04"/>
    <w:rsid w:val="00BF5467"/>
    <w:rsid w:val="00BF5614"/>
    <w:rsid w:val="00BF5795"/>
    <w:rsid w:val="00BF57DC"/>
    <w:rsid w:val="00BF6294"/>
    <w:rsid w:val="00BF6418"/>
    <w:rsid w:val="00BF6AE9"/>
    <w:rsid w:val="00BF6D18"/>
    <w:rsid w:val="00C00146"/>
    <w:rsid w:val="00C00325"/>
    <w:rsid w:val="00C003A1"/>
    <w:rsid w:val="00C0054F"/>
    <w:rsid w:val="00C00557"/>
    <w:rsid w:val="00C0069A"/>
    <w:rsid w:val="00C00708"/>
    <w:rsid w:val="00C00721"/>
    <w:rsid w:val="00C008CA"/>
    <w:rsid w:val="00C00D46"/>
    <w:rsid w:val="00C00D5D"/>
    <w:rsid w:val="00C0104C"/>
    <w:rsid w:val="00C013A4"/>
    <w:rsid w:val="00C013CE"/>
    <w:rsid w:val="00C016C8"/>
    <w:rsid w:val="00C01C22"/>
    <w:rsid w:val="00C01CC5"/>
    <w:rsid w:val="00C0228A"/>
    <w:rsid w:val="00C024F0"/>
    <w:rsid w:val="00C02AAC"/>
    <w:rsid w:val="00C02B64"/>
    <w:rsid w:val="00C02E3F"/>
    <w:rsid w:val="00C02EE2"/>
    <w:rsid w:val="00C02F26"/>
    <w:rsid w:val="00C03176"/>
    <w:rsid w:val="00C0350E"/>
    <w:rsid w:val="00C03CD3"/>
    <w:rsid w:val="00C03EC2"/>
    <w:rsid w:val="00C03F89"/>
    <w:rsid w:val="00C04176"/>
    <w:rsid w:val="00C04979"/>
    <w:rsid w:val="00C04B82"/>
    <w:rsid w:val="00C04CC0"/>
    <w:rsid w:val="00C05073"/>
    <w:rsid w:val="00C05752"/>
    <w:rsid w:val="00C059AA"/>
    <w:rsid w:val="00C05A58"/>
    <w:rsid w:val="00C05A76"/>
    <w:rsid w:val="00C061ED"/>
    <w:rsid w:val="00C065F2"/>
    <w:rsid w:val="00C0745E"/>
    <w:rsid w:val="00C0751C"/>
    <w:rsid w:val="00C07E85"/>
    <w:rsid w:val="00C10201"/>
    <w:rsid w:val="00C1038B"/>
    <w:rsid w:val="00C1076A"/>
    <w:rsid w:val="00C10BBB"/>
    <w:rsid w:val="00C10D53"/>
    <w:rsid w:val="00C110ED"/>
    <w:rsid w:val="00C11447"/>
    <w:rsid w:val="00C11B22"/>
    <w:rsid w:val="00C11B50"/>
    <w:rsid w:val="00C1223F"/>
    <w:rsid w:val="00C12830"/>
    <w:rsid w:val="00C12FD3"/>
    <w:rsid w:val="00C13088"/>
    <w:rsid w:val="00C13143"/>
    <w:rsid w:val="00C131B1"/>
    <w:rsid w:val="00C1326E"/>
    <w:rsid w:val="00C1329E"/>
    <w:rsid w:val="00C13467"/>
    <w:rsid w:val="00C13594"/>
    <w:rsid w:val="00C13797"/>
    <w:rsid w:val="00C13A2D"/>
    <w:rsid w:val="00C13B1E"/>
    <w:rsid w:val="00C13CB4"/>
    <w:rsid w:val="00C13D3F"/>
    <w:rsid w:val="00C141FE"/>
    <w:rsid w:val="00C142B2"/>
    <w:rsid w:val="00C142D0"/>
    <w:rsid w:val="00C143C2"/>
    <w:rsid w:val="00C14483"/>
    <w:rsid w:val="00C1448E"/>
    <w:rsid w:val="00C14C96"/>
    <w:rsid w:val="00C14D84"/>
    <w:rsid w:val="00C14E0D"/>
    <w:rsid w:val="00C14F76"/>
    <w:rsid w:val="00C150D7"/>
    <w:rsid w:val="00C15271"/>
    <w:rsid w:val="00C1580E"/>
    <w:rsid w:val="00C159D7"/>
    <w:rsid w:val="00C15A42"/>
    <w:rsid w:val="00C15B79"/>
    <w:rsid w:val="00C15D53"/>
    <w:rsid w:val="00C1604F"/>
    <w:rsid w:val="00C16C6D"/>
    <w:rsid w:val="00C16FFB"/>
    <w:rsid w:val="00C17056"/>
    <w:rsid w:val="00C17161"/>
    <w:rsid w:val="00C172CA"/>
    <w:rsid w:val="00C173D4"/>
    <w:rsid w:val="00C174C7"/>
    <w:rsid w:val="00C175CA"/>
    <w:rsid w:val="00C17AC8"/>
    <w:rsid w:val="00C17B85"/>
    <w:rsid w:val="00C17D33"/>
    <w:rsid w:val="00C17D40"/>
    <w:rsid w:val="00C2031A"/>
    <w:rsid w:val="00C20574"/>
    <w:rsid w:val="00C207D4"/>
    <w:rsid w:val="00C20876"/>
    <w:rsid w:val="00C209BF"/>
    <w:rsid w:val="00C20DEF"/>
    <w:rsid w:val="00C20E1F"/>
    <w:rsid w:val="00C20E5B"/>
    <w:rsid w:val="00C20EB9"/>
    <w:rsid w:val="00C20F9E"/>
    <w:rsid w:val="00C2147D"/>
    <w:rsid w:val="00C216E4"/>
    <w:rsid w:val="00C21757"/>
    <w:rsid w:val="00C217D5"/>
    <w:rsid w:val="00C21906"/>
    <w:rsid w:val="00C219BD"/>
    <w:rsid w:val="00C22CA1"/>
    <w:rsid w:val="00C2309B"/>
    <w:rsid w:val="00C23247"/>
    <w:rsid w:val="00C23604"/>
    <w:rsid w:val="00C239E0"/>
    <w:rsid w:val="00C23BA2"/>
    <w:rsid w:val="00C23BC0"/>
    <w:rsid w:val="00C23F2B"/>
    <w:rsid w:val="00C243FE"/>
    <w:rsid w:val="00C24459"/>
    <w:rsid w:val="00C2457E"/>
    <w:rsid w:val="00C24A7A"/>
    <w:rsid w:val="00C24E3F"/>
    <w:rsid w:val="00C24F7A"/>
    <w:rsid w:val="00C24F95"/>
    <w:rsid w:val="00C25061"/>
    <w:rsid w:val="00C255A3"/>
    <w:rsid w:val="00C25887"/>
    <w:rsid w:val="00C258F8"/>
    <w:rsid w:val="00C25B9D"/>
    <w:rsid w:val="00C26620"/>
    <w:rsid w:val="00C26756"/>
    <w:rsid w:val="00C2691D"/>
    <w:rsid w:val="00C26969"/>
    <w:rsid w:val="00C26A3D"/>
    <w:rsid w:val="00C26D8F"/>
    <w:rsid w:val="00C26DAF"/>
    <w:rsid w:val="00C27036"/>
    <w:rsid w:val="00C2712C"/>
    <w:rsid w:val="00C2713D"/>
    <w:rsid w:val="00C2719B"/>
    <w:rsid w:val="00C27690"/>
    <w:rsid w:val="00C27741"/>
    <w:rsid w:val="00C27897"/>
    <w:rsid w:val="00C301FC"/>
    <w:rsid w:val="00C30216"/>
    <w:rsid w:val="00C304FC"/>
    <w:rsid w:val="00C305CE"/>
    <w:rsid w:val="00C3065A"/>
    <w:rsid w:val="00C306E5"/>
    <w:rsid w:val="00C307C0"/>
    <w:rsid w:val="00C30BB7"/>
    <w:rsid w:val="00C30E39"/>
    <w:rsid w:val="00C30E65"/>
    <w:rsid w:val="00C310C3"/>
    <w:rsid w:val="00C312BA"/>
    <w:rsid w:val="00C313D9"/>
    <w:rsid w:val="00C31416"/>
    <w:rsid w:val="00C31589"/>
    <w:rsid w:val="00C31A74"/>
    <w:rsid w:val="00C31C8C"/>
    <w:rsid w:val="00C31F40"/>
    <w:rsid w:val="00C321BD"/>
    <w:rsid w:val="00C323A6"/>
    <w:rsid w:val="00C3298F"/>
    <w:rsid w:val="00C329E6"/>
    <w:rsid w:val="00C335A8"/>
    <w:rsid w:val="00C33625"/>
    <w:rsid w:val="00C339FD"/>
    <w:rsid w:val="00C33C59"/>
    <w:rsid w:val="00C33E58"/>
    <w:rsid w:val="00C33FEC"/>
    <w:rsid w:val="00C3457E"/>
    <w:rsid w:val="00C34747"/>
    <w:rsid w:val="00C34D3E"/>
    <w:rsid w:val="00C34DFC"/>
    <w:rsid w:val="00C34E77"/>
    <w:rsid w:val="00C3512F"/>
    <w:rsid w:val="00C352FB"/>
    <w:rsid w:val="00C3561C"/>
    <w:rsid w:val="00C35CBD"/>
    <w:rsid w:val="00C35D09"/>
    <w:rsid w:val="00C35DD1"/>
    <w:rsid w:val="00C3642E"/>
    <w:rsid w:val="00C36714"/>
    <w:rsid w:val="00C36883"/>
    <w:rsid w:val="00C36A51"/>
    <w:rsid w:val="00C36BB4"/>
    <w:rsid w:val="00C36E54"/>
    <w:rsid w:val="00C36EA1"/>
    <w:rsid w:val="00C36EEA"/>
    <w:rsid w:val="00C36F2A"/>
    <w:rsid w:val="00C372BE"/>
    <w:rsid w:val="00C373AA"/>
    <w:rsid w:val="00C3772A"/>
    <w:rsid w:val="00C3798A"/>
    <w:rsid w:val="00C37A09"/>
    <w:rsid w:val="00C37E29"/>
    <w:rsid w:val="00C40003"/>
    <w:rsid w:val="00C400CD"/>
    <w:rsid w:val="00C401BE"/>
    <w:rsid w:val="00C4075B"/>
    <w:rsid w:val="00C407F0"/>
    <w:rsid w:val="00C40894"/>
    <w:rsid w:val="00C40A77"/>
    <w:rsid w:val="00C40E59"/>
    <w:rsid w:val="00C40FE1"/>
    <w:rsid w:val="00C41215"/>
    <w:rsid w:val="00C41358"/>
    <w:rsid w:val="00C41790"/>
    <w:rsid w:val="00C4188E"/>
    <w:rsid w:val="00C41A79"/>
    <w:rsid w:val="00C41CDC"/>
    <w:rsid w:val="00C41DA8"/>
    <w:rsid w:val="00C4237C"/>
    <w:rsid w:val="00C424E5"/>
    <w:rsid w:val="00C424FF"/>
    <w:rsid w:val="00C425C6"/>
    <w:rsid w:val="00C42A16"/>
    <w:rsid w:val="00C431EF"/>
    <w:rsid w:val="00C4358E"/>
    <w:rsid w:val="00C4370E"/>
    <w:rsid w:val="00C4374C"/>
    <w:rsid w:val="00C4389A"/>
    <w:rsid w:val="00C43AC3"/>
    <w:rsid w:val="00C43CBA"/>
    <w:rsid w:val="00C43FB7"/>
    <w:rsid w:val="00C43FDB"/>
    <w:rsid w:val="00C44597"/>
    <w:rsid w:val="00C4467F"/>
    <w:rsid w:val="00C44940"/>
    <w:rsid w:val="00C45018"/>
    <w:rsid w:val="00C45EB7"/>
    <w:rsid w:val="00C4609D"/>
    <w:rsid w:val="00C46316"/>
    <w:rsid w:val="00C46C53"/>
    <w:rsid w:val="00C46F1D"/>
    <w:rsid w:val="00C46F8D"/>
    <w:rsid w:val="00C46FA0"/>
    <w:rsid w:val="00C47049"/>
    <w:rsid w:val="00C47213"/>
    <w:rsid w:val="00C473C1"/>
    <w:rsid w:val="00C47507"/>
    <w:rsid w:val="00C4762D"/>
    <w:rsid w:val="00C47675"/>
    <w:rsid w:val="00C477B2"/>
    <w:rsid w:val="00C47976"/>
    <w:rsid w:val="00C47B0D"/>
    <w:rsid w:val="00C47B36"/>
    <w:rsid w:val="00C47FA7"/>
    <w:rsid w:val="00C47FD1"/>
    <w:rsid w:val="00C50123"/>
    <w:rsid w:val="00C50ED1"/>
    <w:rsid w:val="00C51083"/>
    <w:rsid w:val="00C513AF"/>
    <w:rsid w:val="00C51522"/>
    <w:rsid w:val="00C51859"/>
    <w:rsid w:val="00C51B5F"/>
    <w:rsid w:val="00C51C42"/>
    <w:rsid w:val="00C51CDA"/>
    <w:rsid w:val="00C521B8"/>
    <w:rsid w:val="00C52201"/>
    <w:rsid w:val="00C5260E"/>
    <w:rsid w:val="00C526DD"/>
    <w:rsid w:val="00C535B2"/>
    <w:rsid w:val="00C53742"/>
    <w:rsid w:val="00C53867"/>
    <w:rsid w:val="00C53935"/>
    <w:rsid w:val="00C53B3D"/>
    <w:rsid w:val="00C53C56"/>
    <w:rsid w:val="00C53C70"/>
    <w:rsid w:val="00C541F5"/>
    <w:rsid w:val="00C542F2"/>
    <w:rsid w:val="00C545F9"/>
    <w:rsid w:val="00C546C3"/>
    <w:rsid w:val="00C54752"/>
    <w:rsid w:val="00C548BB"/>
    <w:rsid w:val="00C54A47"/>
    <w:rsid w:val="00C54CDF"/>
    <w:rsid w:val="00C55008"/>
    <w:rsid w:val="00C554CB"/>
    <w:rsid w:val="00C55784"/>
    <w:rsid w:val="00C55A9D"/>
    <w:rsid w:val="00C560DF"/>
    <w:rsid w:val="00C5617E"/>
    <w:rsid w:val="00C56270"/>
    <w:rsid w:val="00C5648E"/>
    <w:rsid w:val="00C56751"/>
    <w:rsid w:val="00C569BC"/>
    <w:rsid w:val="00C56AAD"/>
    <w:rsid w:val="00C56B79"/>
    <w:rsid w:val="00C56C17"/>
    <w:rsid w:val="00C5704E"/>
    <w:rsid w:val="00C5772C"/>
    <w:rsid w:val="00C57929"/>
    <w:rsid w:val="00C57ED3"/>
    <w:rsid w:val="00C60297"/>
    <w:rsid w:val="00C60752"/>
    <w:rsid w:val="00C60AC0"/>
    <w:rsid w:val="00C60E8B"/>
    <w:rsid w:val="00C6107D"/>
    <w:rsid w:val="00C61122"/>
    <w:rsid w:val="00C614C6"/>
    <w:rsid w:val="00C6184E"/>
    <w:rsid w:val="00C62312"/>
    <w:rsid w:val="00C624A3"/>
    <w:rsid w:val="00C626C1"/>
    <w:rsid w:val="00C627B2"/>
    <w:rsid w:val="00C62BD2"/>
    <w:rsid w:val="00C62DCD"/>
    <w:rsid w:val="00C6350B"/>
    <w:rsid w:val="00C63818"/>
    <w:rsid w:val="00C63A7F"/>
    <w:rsid w:val="00C63F85"/>
    <w:rsid w:val="00C63FB4"/>
    <w:rsid w:val="00C641BD"/>
    <w:rsid w:val="00C64329"/>
    <w:rsid w:val="00C6439F"/>
    <w:rsid w:val="00C64503"/>
    <w:rsid w:val="00C6472B"/>
    <w:rsid w:val="00C6492F"/>
    <w:rsid w:val="00C64A91"/>
    <w:rsid w:val="00C64BF4"/>
    <w:rsid w:val="00C64D5A"/>
    <w:rsid w:val="00C65004"/>
    <w:rsid w:val="00C65362"/>
    <w:rsid w:val="00C65724"/>
    <w:rsid w:val="00C65C86"/>
    <w:rsid w:val="00C65D8D"/>
    <w:rsid w:val="00C66117"/>
    <w:rsid w:val="00C6614B"/>
    <w:rsid w:val="00C661FB"/>
    <w:rsid w:val="00C664BE"/>
    <w:rsid w:val="00C66BB4"/>
    <w:rsid w:val="00C66D08"/>
    <w:rsid w:val="00C66D8E"/>
    <w:rsid w:val="00C671CA"/>
    <w:rsid w:val="00C6799B"/>
    <w:rsid w:val="00C67B33"/>
    <w:rsid w:val="00C67C63"/>
    <w:rsid w:val="00C7019A"/>
    <w:rsid w:val="00C708F9"/>
    <w:rsid w:val="00C70D53"/>
    <w:rsid w:val="00C7123C"/>
    <w:rsid w:val="00C712CF"/>
    <w:rsid w:val="00C7188F"/>
    <w:rsid w:val="00C71893"/>
    <w:rsid w:val="00C71B3A"/>
    <w:rsid w:val="00C71C79"/>
    <w:rsid w:val="00C71E7A"/>
    <w:rsid w:val="00C72200"/>
    <w:rsid w:val="00C722C0"/>
    <w:rsid w:val="00C727D2"/>
    <w:rsid w:val="00C730D4"/>
    <w:rsid w:val="00C73112"/>
    <w:rsid w:val="00C733E8"/>
    <w:rsid w:val="00C73505"/>
    <w:rsid w:val="00C736C0"/>
    <w:rsid w:val="00C73757"/>
    <w:rsid w:val="00C739BA"/>
    <w:rsid w:val="00C73A13"/>
    <w:rsid w:val="00C73E27"/>
    <w:rsid w:val="00C746CF"/>
    <w:rsid w:val="00C747EB"/>
    <w:rsid w:val="00C75083"/>
    <w:rsid w:val="00C757B7"/>
    <w:rsid w:val="00C7592D"/>
    <w:rsid w:val="00C75D91"/>
    <w:rsid w:val="00C75DA6"/>
    <w:rsid w:val="00C75DB6"/>
    <w:rsid w:val="00C76244"/>
    <w:rsid w:val="00C76295"/>
    <w:rsid w:val="00C7638B"/>
    <w:rsid w:val="00C7656A"/>
    <w:rsid w:val="00C7662D"/>
    <w:rsid w:val="00C769FC"/>
    <w:rsid w:val="00C76C88"/>
    <w:rsid w:val="00C76ECB"/>
    <w:rsid w:val="00C76F82"/>
    <w:rsid w:val="00C76F98"/>
    <w:rsid w:val="00C770AC"/>
    <w:rsid w:val="00C7713B"/>
    <w:rsid w:val="00C7764E"/>
    <w:rsid w:val="00C77D1C"/>
    <w:rsid w:val="00C77D1E"/>
    <w:rsid w:val="00C8060E"/>
    <w:rsid w:val="00C8064D"/>
    <w:rsid w:val="00C8073B"/>
    <w:rsid w:val="00C80BC1"/>
    <w:rsid w:val="00C80C89"/>
    <w:rsid w:val="00C80ED9"/>
    <w:rsid w:val="00C80FC2"/>
    <w:rsid w:val="00C816AF"/>
    <w:rsid w:val="00C81903"/>
    <w:rsid w:val="00C82029"/>
    <w:rsid w:val="00C82216"/>
    <w:rsid w:val="00C82293"/>
    <w:rsid w:val="00C82306"/>
    <w:rsid w:val="00C8236B"/>
    <w:rsid w:val="00C8279E"/>
    <w:rsid w:val="00C82853"/>
    <w:rsid w:val="00C82E30"/>
    <w:rsid w:val="00C83390"/>
    <w:rsid w:val="00C83788"/>
    <w:rsid w:val="00C8384C"/>
    <w:rsid w:val="00C83AC9"/>
    <w:rsid w:val="00C83B10"/>
    <w:rsid w:val="00C83D29"/>
    <w:rsid w:val="00C83E60"/>
    <w:rsid w:val="00C842C9"/>
    <w:rsid w:val="00C8466F"/>
    <w:rsid w:val="00C84797"/>
    <w:rsid w:val="00C84A33"/>
    <w:rsid w:val="00C84B1B"/>
    <w:rsid w:val="00C84BB7"/>
    <w:rsid w:val="00C84BF1"/>
    <w:rsid w:val="00C84EDB"/>
    <w:rsid w:val="00C853A0"/>
    <w:rsid w:val="00C8566E"/>
    <w:rsid w:val="00C85685"/>
    <w:rsid w:val="00C858BE"/>
    <w:rsid w:val="00C85AE2"/>
    <w:rsid w:val="00C8634B"/>
    <w:rsid w:val="00C86502"/>
    <w:rsid w:val="00C86960"/>
    <w:rsid w:val="00C86FB3"/>
    <w:rsid w:val="00C86FC2"/>
    <w:rsid w:val="00C87330"/>
    <w:rsid w:val="00C874FA"/>
    <w:rsid w:val="00C8759D"/>
    <w:rsid w:val="00C876F0"/>
    <w:rsid w:val="00C8788E"/>
    <w:rsid w:val="00C901A5"/>
    <w:rsid w:val="00C90252"/>
    <w:rsid w:val="00C903C2"/>
    <w:rsid w:val="00C905EF"/>
    <w:rsid w:val="00C90613"/>
    <w:rsid w:val="00C90649"/>
    <w:rsid w:val="00C90CB6"/>
    <w:rsid w:val="00C90D37"/>
    <w:rsid w:val="00C91145"/>
    <w:rsid w:val="00C91155"/>
    <w:rsid w:val="00C912D3"/>
    <w:rsid w:val="00C914C8"/>
    <w:rsid w:val="00C91569"/>
    <w:rsid w:val="00C91851"/>
    <w:rsid w:val="00C9195C"/>
    <w:rsid w:val="00C9195F"/>
    <w:rsid w:val="00C91B33"/>
    <w:rsid w:val="00C91C4B"/>
    <w:rsid w:val="00C91DDD"/>
    <w:rsid w:val="00C91F48"/>
    <w:rsid w:val="00C9232B"/>
    <w:rsid w:val="00C92F38"/>
    <w:rsid w:val="00C93228"/>
    <w:rsid w:val="00C9359E"/>
    <w:rsid w:val="00C935BD"/>
    <w:rsid w:val="00C93612"/>
    <w:rsid w:val="00C9380E"/>
    <w:rsid w:val="00C93886"/>
    <w:rsid w:val="00C939D6"/>
    <w:rsid w:val="00C93B1F"/>
    <w:rsid w:val="00C93DB7"/>
    <w:rsid w:val="00C940A7"/>
    <w:rsid w:val="00C94AAF"/>
    <w:rsid w:val="00C94B0F"/>
    <w:rsid w:val="00C94C84"/>
    <w:rsid w:val="00C94E07"/>
    <w:rsid w:val="00C950F5"/>
    <w:rsid w:val="00C9523C"/>
    <w:rsid w:val="00C957F9"/>
    <w:rsid w:val="00C958EC"/>
    <w:rsid w:val="00C95E04"/>
    <w:rsid w:val="00C96022"/>
    <w:rsid w:val="00C960AC"/>
    <w:rsid w:val="00C963B1"/>
    <w:rsid w:val="00C963F6"/>
    <w:rsid w:val="00C966B5"/>
    <w:rsid w:val="00C96DB6"/>
    <w:rsid w:val="00C96E33"/>
    <w:rsid w:val="00C9728A"/>
    <w:rsid w:val="00C9736D"/>
    <w:rsid w:val="00C977B1"/>
    <w:rsid w:val="00C97A0D"/>
    <w:rsid w:val="00C97ABF"/>
    <w:rsid w:val="00C97D10"/>
    <w:rsid w:val="00C97EE7"/>
    <w:rsid w:val="00C97F87"/>
    <w:rsid w:val="00CA0175"/>
    <w:rsid w:val="00CA03E8"/>
    <w:rsid w:val="00CA040F"/>
    <w:rsid w:val="00CA0481"/>
    <w:rsid w:val="00CA05E2"/>
    <w:rsid w:val="00CA0F92"/>
    <w:rsid w:val="00CA10C6"/>
    <w:rsid w:val="00CA1141"/>
    <w:rsid w:val="00CA1540"/>
    <w:rsid w:val="00CA176D"/>
    <w:rsid w:val="00CA1778"/>
    <w:rsid w:val="00CA1810"/>
    <w:rsid w:val="00CA1910"/>
    <w:rsid w:val="00CA1A21"/>
    <w:rsid w:val="00CA1AA5"/>
    <w:rsid w:val="00CA22F9"/>
    <w:rsid w:val="00CA238B"/>
    <w:rsid w:val="00CA2C42"/>
    <w:rsid w:val="00CA30BB"/>
    <w:rsid w:val="00CA32B1"/>
    <w:rsid w:val="00CA3718"/>
    <w:rsid w:val="00CA398A"/>
    <w:rsid w:val="00CA39AE"/>
    <w:rsid w:val="00CA3E77"/>
    <w:rsid w:val="00CA3F40"/>
    <w:rsid w:val="00CA4108"/>
    <w:rsid w:val="00CA4502"/>
    <w:rsid w:val="00CA4697"/>
    <w:rsid w:val="00CA494B"/>
    <w:rsid w:val="00CA4C8B"/>
    <w:rsid w:val="00CA519F"/>
    <w:rsid w:val="00CA5654"/>
    <w:rsid w:val="00CA5821"/>
    <w:rsid w:val="00CA5A25"/>
    <w:rsid w:val="00CA5A43"/>
    <w:rsid w:val="00CA61CC"/>
    <w:rsid w:val="00CA6618"/>
    <w:rsid w:val="00CA6806"/>
    <w:rsid w:val="00CA6D03"/>
    <w:rsid w:val="00CA6F99"/>
    <w:rsid w:val="00CA70D6"/>
    <w:rsid w:val="00CA713B"/>
    <w:rsid w:val="00CA7862"/>
    <w:rsid w:val="00CA7E9F"/>
    <w:rsid w:val="00CB057E"/>
    <w:rsid w:val="00CB0940"/>
    <w:rsid w:val="00CB0AE4"/>
    <w:rsid w:val="00CB0B8F"/>
    <w:rsid w:val="00CB0BA9"/>
    <w:rsid w:val="00CB0F36"/>
    <w:rsid w:val="00CB11EE"/>
    <w:rsid w:val="00CB1714"/>
    <w:rsid w:val="00CB17F3"/>
    <w:rsid w:val="00CB1CCA"/>
    <w:rsid w:val="00CB1E96"/>
    <w:rsid w:val="00CB21C6"/>
    <w:rsid w:val="00CB25FA"/>
    <w:rsid w:val="00CB2780"/>
    <w:rsid w:val="00CB27D9"/>
    <w:rsid w:val="00CB3072"/>
    <w:rsid w:val="00CB3451"/>
    <w:rsid w:val="00CB3656"/>
    <w:rsid w:val="00CB39CB"/>
    <w:rsid w:val="00CB4077"/>
    <w:rsid w:val="00CB42BF"/>
    <w:rsid w:val="00CB45E1"/>
    <w:rsid w:val="00CB46F4"/>
    <w:rsid w:val="00CB4880"/>
    <w:rsid w:val="00CB492D"/>
    <w:rsid w:val="00CB4C33"/>
    <w:rsid w:val="00CB5545"/>
    <w:rsid w:val="00CB581A"/>
    <w:rsid w:val="00CB5881"/>
    <w:rsid w:val="00CB5BF6"/>
    <w:rsid w:val="00CB5BFC"/>
    <w:rsid w:val="00CB5C29"/>
    <w:rsid w:val="00CB60E6"/>
    <w:rsid w:val="00CB62F9"/>
    <w:rsid w:val="00CB63A5"/>
    <w:rsid w:val="00CB64C2"/>
    <w:rsid w:val="00CB651D"/>
    <w:rsid w:val="00CB6969"/>
    <w:rsid w:val="00CB6ABD"/>
    <w:rsid w:val="00CB6C4B"/>
    <w:rsid w:val="00CB6E9A"/>
    <w:rsid w:val="00CB6F86"/>
    <w:rsid w:val="00CB78E6"/>
    <w:rsid w:val="00CB7B4A"/>
    <w:rsid w:val="00CB7D17"/>
    <w:rsid w:val="00CB7D5A"/>
    <w:rsid w:val="00CBF817"/>
    <w:rsid w:val="00CC057F"/>
    <w:rsid w:val="00CC0745"/>
    <w:rsid w:val="00CC0D96"/>
    <w:rsid w:val="00CC10E2"/>
    <w:rsid w:val="00CC18FF"/>
    <w:rsid w:val="00CC1A29"/>
    <w:rsid w:val="00CC1FD0"/>
    <w:rsid w:val="00CC1FDA"/>
    <w:rsid w:val="00CC217E"/>
    <w:rsid w:val="00CC26A6"/>
    <w:rsid w:val="00CC278C"/>
    <w:rsid w:val="00CC2BD1"/>
    <w:rsid w:val="00CC2BDF"/>
    <w:rsid w:val="00CC2D1C"/>
    <w:rsid w:val="00CC2E65"/>
    <w:rsid w:val="00CC2FAC"/>
    <w:rsid w:val="00CC32A9"/>
    <w:rsid w:val="00CC3377"/>
    <w:rsid w:val="00CC3923"/>
    <w:rsid w:val="00CC446B"/>
    <w:rsid w:val="00CC4B6B"/>
    <w:rsid w:val="00CC4D04"/>
    <w:rsid w:val="00CC4F24"/>
    <w:rsid w:val="00CC55F3"/>
    <w:rsid w:val="00CC5E12"/>
    <w:rsid w:val="00CC603E"/>
    <w:rsid w:val="00CC607A"/>
    <w:rsid w:val="00CC625A"/>
    <w:rsid w:val="00CC6579"/>
    <w:rsid w:val="00CC6EB4"/>
    <w:rsid w:val="00CC7C8C"/>
    <w:rsid w:val="00CC7DC9"/>
    <w:rsid w:val="00CD0020"/>
    <w:rsid w:val="00CD0226"/>
    <w:rsid w:val="00CD03CA"/>
    <w:rsid w:val="00CD03EF"/>
    <w:rsid w:val="00CD0558"/>
    <w:rsid w:val="00CD0642"/>
    <w:rsid w:val="00CD0AC1"/>
    <w:rsid w:val="00CD12D2"/>
    <w:rsid w:val="00CD168B"/>
    <w:rsid w:val="00CD1B5C"/>
    <w:rsid w:val="00CD1F3B"/>
    <w:rsid w:val="00CD1FA9"/>
    <w:rsid w:val="00CD2377"/>
    <w:rsid w:val="00CD2524"/>
    <w:rsid w:val="00CD2A90"/>
    <w:rsid w:val="00CD2C04"/>
    <w:rsid w:val="00CD2DCA"/>
    <w:rsid w:val="00CD2E60"/>
    <w:rsid w:val="00CD3186"/>
    <w:rsid w:val="00CD35EB"/>
    <w:rsid w:val="00CD3625"/>
    <w:rsid w:val="00CD37CA"/>
    <w:rsid w:val="00CD3B53"/>
    <w:rsid w:val="00CD3BC1"/>
    <w:rsid w:val="00CD3C05"/>
    <w:rsid w:val="00CD3E48"/>
    <w:rsid w:val="00CD4035"/>
    <w:rsid w:val="00CD41FD"/>
    <w:rsid w:val="00CD4B83"/>
    <w:rsid w:val="00CD4D74"/>
    <w:rsid w:val="00CD53DB"/>
    <w:rsid w:val="00CD5507"/>
    <w:rsid w:val="00CD552D"/>
    <w:rsid w:val="00CD55AD"/>
    <w:rsid w:val="00CD5650"/>
    <w:rsid w:val="00CD59B0"/>
    <w:rsid w:val="00CD5A0A"/>
    <w:rsid w:val="00CD608A"/>
    <w:rsid w:val="00CD671A"/>
    <w:rsid w:val="00CD6892"/>
    <w:rsid w:val="00CD6A5F"/>
    <w:rsid w:val="00CD6A7D"/>
    <w:rsid w:val="00CD6FB4"/>
    <w:rsid w:val="00CD701E"/>
    <w:rsid w:val="00CD705A"/>
    <w:rsid w:val="00CD75FC"/>
    <w:rsid w:val="00CD78ED"/>
    <w:rsid w:val="00CD7A36"/>
    <w:rsid w:val="00CE014D"/>
    <w:rsid w:val="00CE0263"/>
    <w:rsid w:val="00CE02E7"/>
    <w:rsid w:val="00CE0A78"/>
    <w:rsid w:val="00CE1019"/>
    <w:rsid w:val="00CE123D"/>
    <w:rsid w:val="00CE196C"/>
    <w:rsid w:val="00CE1A5C"/>
    <w:rsid w:val="00CE1BD1"/>
    <w:rsid w:val="00CE1EC7"/>
    <w:rsid w:val="00CE2B1A"/>
    <w:rsid w:val="00CE2C81"/>
    <w:rsid w:val="00CE2DB0"/>
    <w:rsid w:val="00CE2DCC"/>
    <w:rsid w:val="00CE2F22"/>
    <w:rsid w:val="00CE3282"/>
    <w:rsid w:val="00CE34CB"/>
    <w:rsid w:val="00CE3C3B"/>
    <w:rsid w:val="00CE3FDA"/>
    <w:rsid w:val="00CE41BE"/>
    <w:rsid w:val="00CE43C7"/>
    <w:rsid w:val="00CE46AF"/>
    <w:rsid w:val="00CE487E"/>
    <w:rsid w:val="00CE4D51"/>
    <w:rsid w:val="00CE50CD"/>
    <w:rsid w:val="00CE50D8"/>
    <w:rsid w:val="00CE52AC"/>
    <w:rsid w:val="00CE559F"/>
    <w:rsid w:val="00CE5875"/>
    <w:rsid w:val="00CE58FC"/>
    <w:rsid w:val="00CE6628"/>
    <w:rsid w:val="00CE6E23"/>
    <w:rsid w:val="00CE6E27"/>
    <w:rsid w:val="00CE750A"/>
    <w:rsid w:val="00CE7553"/>
    <w:rsid w:val="00CE76BD"/>
    <w:rsid w:val="00CE7936"/>
    <w:rsid w:val="00CE7957"/>
    <w:rsid w:val="00CE7E28"/>
    <w:rsid w:val="00CF07ED"/>
    <w:rsid w:val="00CF08E4"/>
    <w:rsid w:val="00CF09B6"/>
    <w:rsid w:val="00CF0A3C"/>
    <w:rsid w:val="00CF0A6C"/>
    <w:rsid w:val="00CF0C18"/>
    <w:rsid w:val="00CF0C92"/>
    <w:rsid w:val="00CF129B"/>
    <w:rsid w:val="00CF14E9"/>
    <w:rsid w:val="00CF168C"/>
    <w:rsid w:val="00CF18DC"/>
    <w:rsid w:val="00CF19CF"/>
    <w:rsid w:val="00CF1A3A"/>
    <w:rsid w:val="00CF1B41"/>
    <w:rsid w:val="00CF1D6F"/>
    <w:rsid w:val="00CF1DE0"/>
    <w:rsid w:val="00CF1E59"/>
    <w:rsid w:val="00CF2343"/>
    <w:rsid w:val="00CF23C1"/>
    <w:rsid w:val="00CF24F4"/>
    <w:rsid w:val="00CF2587"/>
    <w:rsid w:val="00CF2822"/>
    <w:rsid w:val="00CF2B81"/>
    <w:rsid w:val="00CF2C73"/>
    <w:rsid w:val="00CF2D76"/>
    <w:rsid w:val="00CF2D86"/>
    <w:rsid w:val="00CF2F08"/>
    <w:rsid w:val="00CF306F"/>
    <w:rsid w:val="00CF3256"/>
    <w:rsid w:val="00CF3285"/>
    <w:rsid w:val="00CF372A"/>
    <w:rsid w:val="00CF383F"/>
    <w:rsid w:val="00CF39FB"/>
    <w:rsid w:val="00CF3BAE"/>
    <w:rsid w:val="00CF3BB3"/>
    <w:rsid w:val="00CF3FEF"/>
    <w:rsid w:val="00CF42E4"/>
    <w:rsid w:val="00CF461B"/>
    <w:rsid w:val="00CF474F"/>
    <w:rsid w:val="00CF4814"/>
    <w:rsid w:val="00CF4B8C"/>
    <w:rsid w:val="00CF4EC4"/>
    <w:rsid w:val="00CF5856"/>
    <w:rsid w:val="00CF59D6"/>
    <w:rsid w:val="00CF5B2B"/>
    <w:rsid w:val="00CF5C3A"/>
    <w:rsid w:val="00CF5D21"/>
    <w:rsid w:val="00CF5E36"/>
    <w:rsid w:val="00CF6033"/>
    <w:rsid w:val="00CF66E5"/>
    <w:rsid w:val="00CF69E1"/>
    <w:rsid w:val="00CF6B79"/>
    <w:rsid w:val="00CF6BC0"/>
    <w:rsid w:val="00CF6DDB"/>
    <w:rsid w:val="00CF6FCB"/>
    <w:rsid w:val="00CF747D"/>
    <w:rsid w:val="00CF76C3"/>
    <w:rsid w:val="00CF7943"/>
    <w:rsid w:val="00D00113"/>
    <w:rsid w:val="00D004CA"/>
    <w:rsid w:val="00D0086C"/>
    <w:rsid w:val="00D00AB7"/>
    <w:rsid w:val="00D0111F"/>
    <w:rsid w:val="00D01148"/>
    <w:rsid w:val="00D013C4"/>
    <w:rsid w:val="00D01946"/>
    <w:rsid w:val="00D0195C"/>
    <w:rsid w:val="00D01B99"/>
    <w:rsid w:val="00D01E8A"/>
    <w:rsid w:val="00D0275D"/>
    <w:rsid w:val="00D028AF"/>
    <w:rsid w:val="00D02935"/>
    <w:rsid w:val="00D02BDD"/>
    <w:rsid w:val="00D02E5E"/>
    <w:rsid w:val="00D0300A"/>
    <w:rsid w:val="00D0303E"/>
    <w:rsid w:val="00D035D6"/>
    <w:rsid w:val="00D0382A"/>
    <w:rsid w:val="00D0388D"/>
    <w:rsid w:val="00D03C4D"/>
    <w:rsid w:val="00D03D79"/>
    <w:rsid w:val="00D03F10"/>
    <w:rsid w:val="00D04565"/>
    <w:rsid w:val="00D04815"/>
    <w:rsid w:val="00D04A1B"/>
    <w:rsid w:val="00D04B8A"/>
    <w:rsid w:val="00D04BEC"/>
    <w:rsid w:val="00D0563E"/>
    <w:rsid w:val="00D05832"/>
    <w:rsid w:val="00D05A3F"/>
    <w:rsid w:val="00D05D40"/>
    <w:rsid w:val="00D05E27"/>
    <w:rsid w:val="00D05FA7"/>
    <w:rsid w:val="00D063BA"/>
    <w:rsid w:val="00D06B97"/>
    <w:rsid w:val="00D06C1C"/>
    <w:rsid w:val="00D06D49"/>
    <w:rsid w:val="00D07032"/>
    <w:rsid w:val="00D072A4"/>
    <w:rsid w:val="00D078AF"/>
    <w:rsid w:val="00D07CC6"/>
    <w:rsid w:val="00D10157"/>
    <w:rsid w:val="00D1028A"/>
    <w:rsid w:val="00D104B5"/>
    <w:rsid w:val="00D1177F"/>
    <w:rsid w:val="00D117C9"/>
    <w:rsid w:val="00D1184F"/>
    <w:rsid w:val="00D11902"/>
    <w:rsid w:val="00D1197E"/>
    <w:rsid w:val="00D119C1"/>
    <w:rsid w:val="00D11AA1"/>
    <w:rsid w:val="00D11BDE"/>
    <w:rsid w:val="00D11BF4"/>
    <w:rsid w:val="00D11E16"/>
    <w:rsid w:val="00D12136"/>
    <w:rsid w:val="00D122BD"/>
    <w:rsid w:val="00D122DE"/>
    <w:rsid w:val="00D12B61"/>
    <w:rsid w:val="00D12D9B"/>
    <w:rsid w:val="00D1334E"/>
    <w:rsid w:val="00D13690"/>
    <w:rsid w:val="00D136C4"/>
    <w:rsid w:val="00D1383B"/>
    <w:rsid w:val="00D13A40"/>
    <w:rsid w:val="00D13E81"/>
    <w:rsid w:val="00D140CB"/>
    <w:rsid w:val="00D14136"/>
    <w:rsid w:val="00D141A5"/>
    <w:rsid w:val="00D14326"/>
    <w:rsid w:val="00D144DB"/>
    <w:rsid w:val="00D14553"/>
    <w:rsid w:val="00D1496B"/>
    <w:rsid w:val="00D1497D"/>
    <w:rsid w:val="00D14AE0"/>
    <w:rsid w:val="00D14D8B"/>
    <w:rsid w:val="00D14F40"/>
    <w:rsid w:val="00D1538F"/>
    <w:rsid w:val="00D15570"/>
    <w:rsid w:val="00D15574"/>
    <w:rsid w:val="00D155C7"/>
    <w:rsid w:val="00D156A5"/>
    <w:rsid w:val="00D15BA9"/>
    <w:rsid w:val="00D16230"/>
    <w:rsid w:val="00D16231"/>
    <w:rsid w:val="00D1688F"/>
    <w:rsid w:val="00D169F6"/>
    <w:rsid w:val="00D16A26"/>
    <w:rsid w:val="00D16A28"/>
    <w:rsid w:val="00D16B9B"/>
    <w:rsid w:val="00D16EC3"/>
    <w:rsid w:val="00D171F9"/>
    <w:rsid w:val="00D1785C"/>
    <w:rsid w:val="00D17CC8"/>
    <w:rsid w:val="00D17D4A"/>
    <w:rsid w:val="00D20079"/>
    <w:rsid w:val="00D200E2"/>
    <w:rsid w:val="00D20680"/>
    <w:rsid w:val="00D20B49"/>
    <w:rsid w:val="00D21D11"/>
    <w:rsid w:val="00D21E8B"/>
    <w:rsid w:val="00D21F7A"/>
    <w:rsid w:val="00D2228E"/>
    <w:rsid w:val="00D22652"/>
    <w:rsid w:val="00D22B17"/>
    <w:rsid w:val="00D22B4E"/>
    <w:rsid w:val="00D22EA9"/>
    <w:rsid w:val="00D2304D"/>
    <w:rsid w:val="00D230E7"/>
    <w:rsid w:val="00D232E2"/>
    <w:rsid w:val="00D23825"/>
    <w:rsid w:val="00D23889"/>
    <w:rsid w:val="00D23FFF"/>
    <w:rsid w:val="00D24056"/>
    <w:rsid w:val="00D2406B"/>
    <w:rsid w:val="00D2457C"/>
    <w:rsid w:val="00D24672"/>
    <w:rsid w:val="00D24BBE"/>
    <w:rsid w:val="00D24DEC"/>
    <w:rsid w:val="00D24E64"/>
    <w:rsid w:val="00D24FA9"/>
    <w:rsid w:val="00D251E7"/>
    <w:rsid w:val="00D25877"/>
    <w:rsid w:val="00D2599F"/>
    <w:rsid w:val="00D25DC1"/>
    <w:rsid w:val="00D25F51"/>
    <w:rsid w:val="00D2605D"/>
    <w:rsid w:val="00D260F2"/>
    <w:rsid w:val="00D26298"/>
    <w:rsid w:val="00D263E4"/>
    <w:rsid w:val="00D26433"/>
    <w:rsid w:val="00D267AF"/>
    <w:rsid w:val="00D26A58"/>
    <w:rsid w:val="00D26B20"/>
    <w:rsid w:val="00D26C71"/>
    <w:rsid w:val="00D26ECB"/>
    <w:rsid w:val="00D26F2F"/>
    <w:rsid w:val="00D27557"/>
    <w:rsid w:val="00D275AA"/>
    <w:rsid w:val="00D2782C"/>
    <w:rsid w:val="00D27C7A"/>
    <w:rsid w:val="00D27EB8"/>
    <w:rsid w:val="00D27FE9"/>
    <w:rsid w:val="00D30261"/>
    <w:rsid w:val="00D303D4"/>
    <w:rsid w:val="00D30B10"/>
    <w:rsid w:val="00D30FBF"/>
    <w:rsid w:val="00D30FF7"/>
    <w:rsid w:val="00D31284"/>
    <w:rsid w:val="00D3149F"/>
    <w:rsid w:val="00D318EF"/>
    <w:rsid w:val="00D31CDF"/>
    <w:rsid w:val="00D3201E"/>
    <w:rsid w:val="00D32182"/>
    <w:rsid w:val="00D3228E"/>
    <w:rsid w:val="00D322CD"/>
    <w:rsid w:val="00D32411"/>
    <w:rsid w:val="00D32BB5"/>
    <w:rsid w:val="00D32C8E"/>
    <w:rsid w:val="00D32DC8"/>
    <w:rsid w:val="00D332EA"/>
    <w:rsid w:val="00D3368B"/>
    <w:rsid w:val="00D34796"/>
    <w:rsid w:val="00D348DA"/>
    <w:rsid w:val="00D348E8"/>
    <w:rsid w:val="00D349CB"/>
    <w:rsid w:val="00D34BEA"/>
    <w:rsid w:val="00D34FCD"/>
    <w:rsid w:val="00D351A3"/>
    <w:rsid w:val="00D3520F"/>
    <w:rsid w:val="00D35B2A"/>
    <w:rsid w:val="00D36506"/>
    <w:rsid w:val="00D365DB"/>
    <w:rsid w:val="00D368BC"/>
    <w:rsid w:val="00D36A59"/>
    <w:rsid w:val="00D36A88"/>
    <w:rsid w:val="00D36ABB"/>
    <w:rsid w:val="00D36EC6"/>
    <w:rsid w:val="00D37049"/>
    <w:rsid w:val="00D37620"/>
    <w:rsid w:val="00D37650"/>
    <w:rsid w:val="00D37D19"/>
    <w:rsid w:val="00D4036F"/>
    <w:rsid w:val="00D4050D"/>
    <w:rsid w:val="00D40763"/>
    <w:rsid w:val="00D407CA"/>
    <w:rsid w:val="00D409A1"/>
    <w:rsid w:val="00D40AE2"/>
    <w:rsid w:val="00D40DD4"/>
    <w:rsid w:val="00D40E8D"/>
    <w:rsid w:val="00D41005"/>
    <w:rsid w:val="00D41210"/>
    <w:rsid w:val="00D41570"/>
    <w:rsid w:val="00D415C3"/>
    <w:rsid w:val="00D41781"/>
    <w:rsid w:val="00D41E22"/>
    <w:rsid w:val="00D41F05"/>
    <w:rsid w:val="00D42189"/>
    <w:rsid w:val="00D422AB"/>
    <w:rsid w:val="00D422ED"/>
    <w:rsid w:val="00D42765"/>
    <w:rsid w:val="00D42830"/>
    <w:rsid w:val="00D42853"/>
    <w:rsid w:val="00D42977"/>
    <w:rsid w:val="00D42B5E"/>
    <w:rsid w:val="00D42B66"/>
    <w:rsid w:val="00D42CE4"/>
    <w:rsid w:val="00D43503"/>
    <w:rsid w:val="00D43545"/>
    <w:rsid w:val="00D436F9"/>
    <w:rsid w:val="00D4389D"/>
    <w:rsid w:val="00D43AEF"/>
    <w:rsid w:val="00D4403B"/>
    <w:rsid w:val="00D447FB"/>
    <w:rsid w:val="00D449AF"/>
    <w:rsid w:val="00D44D51"/>
    <w:rsid w:val="00D44E33"/>
    <w:rsid w:val="00D44ECA"/>
    <w:rsid w:val="00D452AA"/>
    <w:rsid w:val="00D45627"/>
    <w:rsid w:val="00D461F6"/>
    <w:rsid w:val="00D462B3"/>
    <w:rsid w:val="00D4646E"/>
    <w:rsid w:val="00D46700"/>
    <w:rsid w:val="00D468F1"/>
    <w:rsid w:val="00D46936"/>
    <w:rsid w:val="00D46CCD"/>
    <w:rsid w:val="00D46F1E"/>
    <w:rsid w:val="00D470FD"/>
    <w:rsid w:val="00D472FC"/>
    <w:rsid w:val="00D472FF"/>
    <w:rsid w:val="00D47361"/>
    <w:rsid w:val="00D47666"/>
    <w:rsid w:val="00D4768E"/>
    <w:rsid w:val="00D4779D"/>
    <w:rsid w:val="00D47AAB"/>
    <w:rsid w:val="00D47BAE"/>
    <w:rsid w:val="00D47DAD"/>
    <w:rsid w:val="00D50094"/>
    <w:rsid w:val="00D500F8"/>
    <w:rsid w:val="00D5050A"/>
    <w:rsid w:val="00D50D65"/>
    <w:rsid w:val="00D50D83"/>
    <w:rsid w:val="00D50F9C"/>
    <w:rsid w:val="00D5131E"/>
    <w:rsid w:val="00D5167E"/>
    <w:rsid w:val="00D51826"/>
    <w:rsid w:val="00D51C76"/>
    <w:rsid w:val="00D51D3A"/>
    <w:rsid w:val="00D51FA2"/>
    <w:rsid w:val="00D520D7"/>
    <w:rsid w:val="00D52104"/>
    <w:rsid w:val="00D52219"/>
    <w:rsid w:val="00D52255"/>
    <w:rsid w:val="00D5235A"/>
    <w:rsid w:val="00D5236F"/>
    <w:rsid w:val="00D52477"/>
    <w:rsid w:val="00D52FC1"/>
    <w:rsid w:val="00D53161"/>
    <w:rsid w:val="00D53D7F"/>
    <w:rsid w:val="00D53F3F"/>
    <w:rsid w:val="00D53F5D"/>
    <w:rsid w:val="00D54238"/>
    <w:rsid w:val="00D5435D"/>
    <w:rsid w:val="00D54EF7"/>
    <w:rsid w:val="00D550B3"/>
    <w:rsid w:val="00D5511D"/>
    <w:rsid w:val="00D551EF"/>
    <w:rsid w:val="00D55241"/>
    <w:rsid w:val="00D55475"/>
    <w:rsid w:val="00D55A6D"/>
    <w:rsid w:val="00D55B5D"/>
    <w:rsid w:val="00D5630A"/>
    <w:rsid w:val="00D5662D"/>
    <w:rsid w:val="00D56EE1"/>
    <w:rsid w:val="00D56F6F"/>
    <w:rsid w:val="00D577E9"/>
    <w:rsid w:val="00D57807"/>
    <w:rsid w:val="00D57923"/>
    <w:rsid w:val="00D60060"/>
    <w:rsid w:val="00D60199"/>
    <w:rsid w:val="00D603A8"/>
    <w:rsid w:val="00D60AB8"/>
    <w:rsid w:val="00D61082"/>
    <w:rsid w:val="00D6118B"/>
    <w:rsid w:val="00D61848"/>
    <w:rsid w:val="00D61BE0"/>
    <w:rsid w:val="00D61C55"/>
    <w:rsid w:val="00D61D94"/>
    <w:rsid w:val="00D62066"/>
    <w:rsid w:val="00D622A7"/>
    <w:rsid w:val="00D62609"/>
    <w:rsid w:val="00D62B89"/>
    <w:rsid w:val="00D62E56"/>
    <w:rsid w:val="00D6330C"/>
    <w:rsid w:val="00D63B99"/>
    <w:rsid w:val="00D6409B"/>
    <w:rsid w:val="00D6410D"/>
    <w:rsid w:val="00D6418B"/>
    <w:rsid w:val="00D64390"/>
    <w:rsid w:val="00D64BF6"/>
    <w:rsid w:val="00D64D6E"/>
    <w:rsid w:val="00D64EFF"/>
    <w:rsid w:val="00D6543B"/>
    <w:rsid w:val="00D65952"/>
    <w:rsid w:val="00D65A60"/>
    <w:rsid w:val="00D65B9D"/>
    <w:rsid w:val="00D65C27"/>
    <w:rsid w:val="00D662CA"/>
    <w:rsid w:val="00D663AC"/>
    <w:rsid w:val="00D663E6"/>
    <w:rsid w:val="00D664B8"/>
    <w:rsid w:val="00D66B05"/>
    <w:rsid w:val="00D66C02"/>
    <w:rsid w:val="00D66EC2"/>
    <w:rsid w:val="00D67741"/>
    <w:rsid w:val="00D678D5"/>
    <w:rsid w:val="00D67964"/>
    <w:rsid w:val="00D679F5"/>
    <w:rsid w:val="00D67D3A"/>
    <w:rsid w:val="00D67EE3"/>
    <w:rsid w:val="00D67FFB"/>
    <w:rsid w:val="00D700F5"/>
    <w:rsid w:val="00D703E3"/>
    <w:rsid w:val="00D708C8"/>
    <w:rsid w:val="00D709B1"/>
    <w:rsid w:val="00D70A52"/>
    <w:rsid w:val="00D70B98"/>
    <w:rsid w:val="00D70D43"/>
    <w:rsid w:val="00D712E8"/>
    <w:rsid w:val="00D71549"/>
    <w:rsid w:val="00D715D5"/>
    <w:rsid w:val="00D7172B"/>
    <w:rsid w:val="00D71963"/>
    <w:rsid w:val="00D7255A"/>
    <w:rsid w:val="00D72A1B"/>
    <w:rsid w:val="00D72C1B"/>
    <w:rsid w:val="00D72D77"/>
    <w:rsid w:val="00D72ECD"/>
    <w:rsid w:val="00D73384"/>
    <w:rsid w:val="00D733D6"/>
    <w:rsid w:val="00D73729"/>
    <w:rsid w:val="00D73B71"/>
    <w:rsid w:val="00D73B7B"/>
    <w:rsid w:val="00D73F74"/>
    <w:rsid w:val="00D74264"/>
    <w:rsid w:val="00D742FE"/>
    <w:rsid w:val="00D74618"/>
    <w:rsid w:val="00D74AC5"/>
    <w:rsid w:val="00D74DE2"/>
    <w:rsid w:val="00D75585"/>
    <w:rsid w:val="00D7562B"/>
    <w:rsid w:val="00D75A2F"/>
    <w:rsid w:val="00D75A71"/>
    <w:rsid w:val="00D75BA5"/>
    <w:rsid w:val="00D75E5B"/>
    <w:rsid w:val="00D75EB0"/>
    <w:rsid w:val="00D75F00"/>
    <w:rsid w:val="00D7604F"/>
    <w:rsid w:val="00D76392"/>
    <w:rsid w:val="00D76526"/>
    <w:rsid w:val="00D769E0"/>
    <w:rsid w:val="00D769E1"/>
    <w:rsid w:val="00D76CDC"/>
    <w:rsid w:val="00D77175"/>
    <w:rsid w:val="00D77330"/>
    <w:rsid w:val="00D77444"/>
    <w:rsid w:val="00D77563"/>
    <w:rsid w:val="00D77567"/>
    <w:rsid w:val="00D777BB"/>
    <w:rsid w:val="00D779C7"/>
    <w:rsid w:val="00D77A9B"/>
    <w:rsid w:val="00D77B1A"/>
    <w:rsid w:val="00D77C1D"/>
    <w:rsid w:val="00D803DF"/>
    <w:rsid w:val="00D806C4"/>
    <w:rsid w:val="00D80747"/>
    <w:rsid w:val="00D807A1"/>
    <w:rsid w:val="00D80B0C"/>
    <w:rsid w:val="00D80C8F"/>
    <w:rsid w:val="00D81003"/>
    <w:rsid w:val="00D81500"/>
    <w:rsid w:val="00D81588"/>
    <w:rsid w:val="00D8170D"/>
    <w:rsid w:val="00D817BA"/>
    <w:rsid w:val="00D81B43"/>
    <w:rsid w:val="00D81E5E"/>
    <w:rsid w:val="00D82537"/>
    <w:rsid w:val="00D829C1"/>
    <w:rsid w:val="00D82ADC"/>
    <w:rsid w:val="00D82B5A"/>
    <w:rsid w:val="00D82CBE"/>
    <w:rsid w:val="00D82E5D"/>
    <w:rsid w:val="00D82F7F"/>
    <w:rsid w:val="00D832B8"/>
    <w:rsid w:val="00D83653"/>
    <w:rsid w:val="00D8367D"/>
    <w:rsid w:val="00D83751"/>
    <w:rsid w:val="00D83AFB"/>
    <w:rsid w:val="00D83D9E"/>
    <w:rsid w:val="00D84117"/>
    <w:rsid w:val="00D8433C"/>
    <w:rsid w:val="00D84344"/>
    <w:rsid w:val="00D84614"/>
    <w:rsid w:val="00D849F9"/>
    <w:rsid w:val="00D84BF6"/>
    <w:rsid w:val="00D84C21"/>
    <w:rsid w:val="00D84C57"/>
    <w:rsid w:val="00D84E10"/>
    <w:rsid w:val="00D84F4A"/>
    <w:rsid w:val="00D854BE"/>
    <w:rsid w:val="00D85F86"/>
    <w:rsid w:val="00D85FB0"/>
    <w:rsid w:val="00D86259"/>
    <w:rsid w:val="00D8630B"/>
    <w:rsid w:val="00D86349"/>
    <w:rsid w:val="00D863CD"/>
    <w:rsid w:val="00D86402"/>
    <w:rsid w:val="00D864F3"/>
    <w:rsid w:val="00D867E6"/>
    <w:rsid w:val="00D86E72"/>
    <w:rsid w:val="00D86E81"/>
    <w:rsid w:val="00D86EA8"/>
    <w:rsid w:val="00D86FFF"/>
    <w:rsid w:val="00D8765D"/>
    <w:rsid w:val="00D87D2A"/>
    <w:rsid w:val="00D90079"/>
    <w:rsid w:val="00D903BF"/>
    <w:rsid w:val="00D904AB"/>
    <w:rsid w:val="00D9057C"/>
    <w:rsid w:val="00D905CD"/>
    <w:rsid w:val="00D90CE4"/>
    <w:rsid w:val="00D912EC"/>
    <w:rsid w:val="00D912F6"/>
    <w:rsid w:val="00D913C2"/>
    <w:rsid w:val="00D91464"/>
    <w:rsid w:val="00D9152F"/>
    <w:rsid w:val="00D91889"/>
    <w:rsid w:val="00D918D1"/>
    <w:rsid w:val="00D919CA"/>
    <w:rsid w:val="00D91A07"/>
    <w:rsid w:val="00D91CC6"/>
    <w:rsid w:val="00D9215E"/>
    <w:rsid w:val="00D9230C"/>
    <w:rsid w:val="00D92596"/>
    <w:rsid w:val="00D925AA"/>
    <w:rsid w:val="00D92639"/>
    <w:rsid w:val="00D928B5"/>
    <w:rsid w:val="00D928DD"/>
    <w:rsid w:val="00D92A61"/>
    <w:rsid w:val="00D92B7D"/>
    <w:rsid w:val="00D92BF0"/>
    <w:rsid w:val="00D92E05"/>
    <w:rsid w:val="00D92E64"/>
    <w:rsid w:val="00D93001"/>
    <w:rsid w:val="00D93295"/>
    <w:rsid w:val="00D93838"/>
    <w:rsid w:val="00D93BBA"/>
    <w:rsid w:val="00D9454E"/>
    <w:rsid w:val="00D9487C"/>
    <w:rsid w:val="00D94C50"/>
    <w:rsid w:val="00D95174"/>
    <w:rsid w:val="00D95501"/>
    <w:rsid w:val="00D956B1"/>
    <w:rsid w:val="00D95732"/>
    <w:rsid w:val="00D957AE"/>
    <w:rsid w:val="00D95F2B"/>
    <w:rsid w:val="00D9627F"/>
    <w:rsid w:val="00D96325"/>
    <w:rsid w:val="00D964C3"/>
    <w:rsid w:val="00D967D1"/>
    <w:rsid w:val="00D96B85"/>
    <w:rsid w:val="00D9753E"/>
    <w:rsid w:val="00D97686"/>
    <w:rsid w:val="00D9776C"/>
    <w:rsid w:val="00D97D2A"/>
    <w:rsid w:val="00D97E14"/>
    <w:rsid w:val="00DA038A"/>
    <w:rsid w:val="00DA0D88"/>
    <w:rsid w:val="00DA0E50"/>
    <w:rsid w:val="00DA0E98"/>
    <w:rsid w:val="00DA10BE"/>
    <w:rsid w:val="00DA1372"/>
    <w:rsid w:val="00DA1499"/>
    <w:rsid w:val="00DA1BD5"/>
    <w:rsid w:val="00DA1C5D"/>
    <w:rsid w:val="00DA1CB3"/>
    <w:rsid w:val="00DA1D2B"/>
    <w:rsid w:val="00DA1F37"/>
    <w:rsid w:val="00DA1F9A"/>
    <w:rsid w:val="00DA2340"/>
    <w:rsid w:val="00DA2616"/>
    <w:rsid w:val="00DA291B"/>
    <w:rsid w:val="00DA2D8D"/>
    <w:rsid w:val="00DA3751"/>
    <w:rsid w:val="00DA38DA"/>
    <w:rsid w:val="00DA3958"/>
    <w:rsid w:val="00DA3AC1"/>
    <w:rsid w:val="00DA3CBA"/>
    <w:rsid w:val="00DA3CE0"/>
    <w:rsid w:val="00DA3D40"/>
    <w:rsid w:val="00DA4478"/>
    <w:rsid w:val="00DA4B53"/>
    <w:rsid w:val="00DA4DFB"/>
    <w:rsid w:val="00DA507B"/>
    <w:rsid w:val="00DA527C"/>
    <w:rsid w:val="00DA5478"/>
    <w:rsid w:val="00DA54ED"/>
    <w:rsid w:val="00DA59EF"/>
    <w:rsid w:val="00DA5C59"/>
    <w:rsid w:val="00DA5E0E"/>
    <w:rsid w:val="00DA5F9B"/>
    <w:rsid w:val="00DA6DD7"/>
    <w:rsid w:val="00DA6F4A"/>
    <w:rsid w:val="00DA702D"/>
    <w:rsid w:val="00DA70A8"/>
    <w:rsid w:val="00DA7101"/>
    <w:rsid w:val="00DA7143"/>
    <w:rsid w:val="00DA7168"/>
    <w:rsid w:val="00DA7563"/>
    <w:rsid w:val="00DA7895"/>
    <w:rsid w:val="00DA7DA6"/>
    <w:rsid w:val="00DB0049"/>
    <w:rsid w:val="00DB03F6"/>
    <w:rsid w:val="00DB0A36"/>
    <w:rsid w:val="00DB0B94"/>
    <w:rsid w:val="00DB0C7F"/>
    <w:rsid w:val="00DB0D5F"/>
    <w:rsid w:val="00DB0F6F"/>
    <w:rsid w:val="00DB144B"/>
    <w:rsid w:val="00DB1A8F"/>
    <w:rsid w:val="00DB1EEF"/>
    <w:rsid w:val="00DB2171"/>
    <w:rsid w:val="00DB26D2"/>
    <w:rsid w:val="00DB2B17"/>
    <w:rsid w:val="00DB2BE5"/>
    <w:rsid w:val="00DB2FD1"/>
    <w:rsid w:val="00DB31A2"/>
    <w:rsid w:val="00DB35E7"/>
    <w:rsid w:val="00DB378E"/>
    <w:rsid w:val="00DB385D"/>
    <w:rsid w:val="00DB38CB"/>
    <w:rsid w:val="00DB3926"/>
    <w:rsid w:val="00DB399C"/>
    <w:rsid w:val="00DB39C9"/>
    <w:rsid w:val="00DB3EC7"/>
    <w:rsid w:val="00DB3FEE"/>
    <w:rsid w:val="00DB40D0"/>
    <w:rsid w:val="00DB41D3"/>
    <w:rsid w:val="00DB4236"/>
    <w:rsid w:val="00DB4477"/>
    <w:rsid w:val="00DB4577"/>
    <w:rsid w:val="00DB458C"/>
    <w:rsid w:val="00DB4774"/>
    <w:rsid w:val="00DB4978"/>
    <w:rsid w:val="00DB52EC"/>
    <w:rsid w:val="00DB5344"/>
    <w:rsid w:val="00DB53D9"/>
    <w:rsid w:val="00DB54F1"/>
    <w:rsid w:val="00DB5586"/>
    <w:rsid w:val="00DB567B"/>
    <w:rsid w:val="00DB5712"/>
    <w:rsid w:val="00DB58D3"/>
    <w:rsid w:val="00DB58FE"/>
    <w:rsid w:val="00DB5950"/>
    <w:rsid w:val="00DB5AA9"/>
    <w:rsid w:val="00DB5C95"/>
    <w:rsid w:val="00DB5CFD"/>
    <w:rsid w:val="00DB5DA4"/>
    <w:rsid w:val="00DB6033"/>
    <w:rsid w:val="00DB62D7"/>
    <w:rsid w:val="00DB68C9"/>
    <w:rsid w:val="00DB6D8E"/>
    <w:rsid w:val="00DB6E2D"/>
    <w:rsid w:val="00DB724E"/>
    <w:rsid w:val="00DB75E1"/>
    <w:rsid w:val="00DB7960"/>
    <w:rsid w:val="00DB7AFB"/>
    <w:rsid w:val="00DB7BFC"/>
    <w:rsid w:val="00DB7E2D"/>
    <w:rsid w:val="00DC006C"/>
    <w:rsid w:val="00DC00E1"/>
    <w:rsid w:val="00DC0529"/>
    <w:rsid w:val="00DC085E"/>
    <w:rsid w:val="00DC0BB9"/>
    <w:rsid w:val="00DC0CCE"/>
    <w:rsid w:val="00DC0E25"/>
    <w:rsid w:val="00DC1310"/>
    <w:rsid w:val="00DC13F7"/>
    <w:rsid w:val="00DC1933"/>
    <w:rsid w:val="00DC20AB"/>
    <w:rsid w:val="00DC20DF"/>
    <w:rsid w:val="00DC2630"/>
    <w:rsid w:val="00DC2A6B"/>
    <w:rsid w:val="00DC2C88"/>
    <w:rsid w:val="00DC30B1"/>
    <w:rsid w:val="00DC3260"/>
    <w:rsid w:val="00DC3644"/>
    <w:rsid w:val="00DC3880"/>
    <w:rsid w:val="00DC3939"/>
    <w:rsid w:val="00DC39F1"/>
    <w:rsid w:val="00DC3EE0"/>
    <w:rsid w:val="00DC411A"/>
    <w:rsid w:val="00DC41DA"/>
    <w:rsid w:val="00DC4234"/>
    <w:rsid w:val="00DC43A5"/>
    <w:rsid w:val="00DC4639"/>
    <w:rsid w:val="00DC466A"/>
    <w:rsid w:val="00DC4866"/>
    <w:rsid w:val="00DC493A"/>
    <w:rsid w:val="00DC49E0"/>
    <w:rsid w:val="00DC4DAC"/>
    <w:rsid w:val="00DC520F"/>
    <w:rsid w:val="00DC52D0"/>
    <w:rsid w:val="00DC535D"/>
    <w:rsid w:val="00DC5430"/>
    <w:rsid w:val="00DC5681"/>
    <w:rsid w:val="00DC56D5"/>
    <w:rsid w:val="00DC575D"/>
    <w:rsid w:val="00DC5908"/>
    <w:rsid w:val="00DC5B9D"/>
    <w:rsid w:val="00DC5C2E"/>
    <w:rsid w:val="00DC5DA5"/>
    <w:rsid w:val="00DC5DDB"/>
    <w:rsid w:val="00DC5E51"/>
    <w:rsid w:val="00DC6158"/>
    <w:rsid w:val="00DC647E"/>
    <w:rsid w:val="00DC66BB"/>
    <w:rsid w:val="00DC67E6"/>
    <w:rsid w:val="00DC6ABB"/>
    <w:rsid w:val="00DC7019"/>
    <w:rsid w:val="00DC745C"/>
    <w:rsid w:val="00DC7471"/>
    <w:rsid w:val="00DC7570"/>
    <w:rsid w:val="00DC757C"/>
    <w:rsid w:val="00DC7677"/>
    <w:rsid w:val="00DC77A3"/>
    <w:rsid w:val="00DC77BF"/>
    <w:rsid w:val="00DC787B"/>
    <w:rsid w:val="00DC79F6"/>
    <w:rsid w:val="00DC7B42"/>
    <w:rsid w:val="00DD0244"/>
    <w:rsid w:val="00DD0584"/>
    <w:rsid w:val="00DD0650"/>
    <w:rsid w:val="00DD06B3"/>
    <w:rsid w:val="00DD0867"/>
    <w:rsid w:val="00DD094D"/>
    <w:rsid w:val="00DD097D"/>
    <w:rsid w:val="00DD1562"/>
    <w:rsid w:val="00DD1B12"/>
    <w:rsid w:val="00DD1BEA"/>
    <w:rsid w:val="00DD1CC8"/>
    <w:rsid w:val="00DD1D12"/>
    <w:rsid w:val="00DD1E07"/>
    <w:rsid w:val="00DD22BD"/>
    <w:rsid w:val="00DD2309"/>
    <w:rsid w:val="00DD2374"/>
    <w:rsid w:val="00DD258D"/>
    <w:rsid w:val="00DD2BB5"/>
    <w:rsid w:val="00DD2CB4"/>
    <w:rsid w:val="00DD3271"/>
    <w:rsid w:val="00DD351D"/>
    <w:rsid w:val="00DD3821"/>
    <w:rsid w:val="00DD38A3"/>
    <w:rsid w:val="00DD3BC3"/>
    <w:rsid w:val="00DD3D04"/>
    <w:rsid w:val="00DD43EA"/>
    <w:rsid w:val="00DD46CD"/>
    <w:rsid w:val="00DD48B6"/>
    <w:rsid w:val="00DD4C7E"/>
    <w:rsid w:val="00DD4D9C"/>
    <w:rsid w:val="00DD4FA6"/>
    <w:rsid w:val="00DD4FB1"/>
    <w:rsid w:val="00DD5167"/>
    <w:rsid w:val="00DD55B5"/>
    <w:rsid w:val="00DD5819"/>
    <w:rsid w:val="00DD59BB"/>
    <w:rsid w:val="00DD5ACA"/>
    <w:rsid w:val="00DD5D44"/>
    <w:rsid w:val="00DD6305"/>
    <w:rsid w:val="00DD67C0"/>
    <w:rsid w:val="00DD6B94"/>
    <w:rsid w:val="00DD7701"/>
    <w:rsid w:val="00DD7919"/>
    <w:rsid w:val="00DD7FAD"/>
    <w:rsid w:val="00DE003A"/>
    <w:rsid w:val="00DE06E5"/>
    <w:rsid w:val="00DE0EC9"/>
    <w:rsid w:val="00DE122F"/>
    <w:rsid w:val="00DE13F3"/>
    <w:rsid w:val="00DE21C7"/>
    <w:rsid w:val="00DE22EA"/>
    <w:rsid w:val="00DE2351"/>
    <w:rsid w:val="00DE26D0"/>
    <w:rsid w:val="00DE28C3"/>
    <w:rsid w:val="00DE28E5"/>
    <w:rsid w:val="00DE290B"/>
    <w:rsid w:val="00DE2A08"/>
    <w:rsid w:val="00DE3191"/>
    <w:rsid w:val="00DE32EB"/>
    <w:rsid w:val="00DE38D4"/>
    <w:rsid w:val="00DE3BDB"/>
    <w:rsid w:val="00DE3C97"/>
    <w:rsid w:val="00DE3E15"/>
    <w:rsid w:val="00DE3FFE"/>
    <w:rsid w:val="00DE4599"/>
    <w:rsid w:val="00DE4AC9"/>
    <w:rsid w:val="00DE4CD2"/>
    <w:rsid w:val="00DE5119"/>
    <w:rsid w:val="00DE524F"/>
    <w:rsid w:val="00DE5684"/>
    <w:rsid w:val="00DE5B8C"/>
    <w:rsid w:val="00DE5E4C"/>
    <w:rsid w:val="00DE6286"/>
    <w:rsid w:val="00DE6513"/>
    <w:rsid w:val="00DE6710"/>
    <w:rsid w:val="00DE69CB"/>
    <w:rsid w:val="00DE6A38"/>
    <w:rsid w:val="00DE6CD6"/>
    <w:rsid w:val="00DE721F"/>
    <w:rsid w:val="00DE737F"/>
    <w:rsid w:val="00DE780D"/>
    <w:rsid w:val="00DE7D2C"/>
    <w:rsid w:val="00DE7D9A"/>
    <w:rsid w:val="00DF024C"/>
    <w:rsid w:val="00DF06B8"/>
    <w:rsid w:val="00DF089A"/>
    <w:rsid w:val="00DF09C9"/>
    <w:rsid w:val="00DF0AFA"/>
    <w:rsid w:val="00DF0AFC"/>
    <w:rsid w:val="00DF0B45"/>
    <w:rsid w:val="00DF0EEA"/>
    <w:rsid w:val="00DF0F6B"/>
    <w:rsid w:val="00DF0FEB"/>
    <w:rsid w:val="00DF1369"/>
    <w:rsid w:val="00DF142A"/>
    <w:rsid w:val="00DF1583"/>
    <w:rsid w:val="00DF178F"/>
    <w:rsid w:val="00DF1D57"/>
    <w:rsid w:val="00DF1D99"/>
    <w:rsid w:val="00DF1E6D"/>
    <w:rsid w:val="00DF1F78"/>
    <w:rsid w:val="00DF2016"/>
    <w:rsid w:val="00DF22FF"/>
    <w:rsid w:val="00DF271D"/>
    <w:rsid w:val="00DF2BF9"/>
    <w:rsid w:val="00DF2C1C"/>
    <w:rsid w:val="00DF2D93"/>
    <w:rsid w:val="00DF2DCC"/>
    <w:rsid w:val="00DF32B2"/>
    <w:rsid w:val="00DF3A14"/>
    <w:rsid w:val="00DF3A9C"/>
    <w:rsid w:val="00DF3D62"/>
    <w:rsid w:val="00DF3DC3"/>
    <w:rsid w:val="00DF3F9E"/>
    <w:rsid w:val="00DF4292"/>
    <w:rsid w:val="00DF42E1"/>
    <w:rsid w:val="00DF4577"/>
    <w:rsid w:val="00DF5319"/>
    <w:rsid w:val="00DF53A9"/>
    <w:rsid w:val="00DF555B"/>
    <w:rsid w:val="00DF5E43"/>
    <w:rsid w:val="00DF6611"/>
    <w:rsid w:val="00DF6DBE"/>
    <w:rsid w:val="00DF6F3E"/>
    <w:rsid w:val="00DF70FE"/>
    <w:rsid w:val="00DF740C"/>
    <w:rsid w:val="00DF7587"/>
    <w:rsid w:val="00DF7608"/>
    <w:rsid w:val="00DF7E1C"/>
    <w:rsid w:val="00DF7FB4"/>
    <w:rsid w:val="00E0046B"/>
    <w:rsid w:val="00E00566"/>
    <w:rsid w:val="00E0074E"/>
    <w:rsid w:val="00E00779"/>
    <w:rsid w:val="00E009F9"/>
    <w:rsid w:val="00E00C3E"/>
    <w:rsid w:val="00E00E2C"/>
    <w:rsid w:val="00E01373"/>
    <w:rsid w:val="00E014C1"/>
    <w:rsid w:val="00E01994"/>
    <w:rsid w:val="00E01D19"/>
    <w:rsid w:val="00E0246D"/>
    <w:rsid w:val="00E026CF"/>
    <w:rsid w:val="00E02898"/>
    <w:rsid w:val="00E02DC3"/>
    <w:rsid w:val="00E03118"/>
    <w:rsid w:val="00E032FA"/>
    <w:rsid w:val="00E0333E"/>
    <w:rsid w:val="00E0390D"/>
    <w:rsid w:val="00E0394B"/>
    <w:rsid w:val="00E044D0"/>
    <w:rsid w:val="00E04A77"/>
    <w:rsid w:val="00E04A7E"/>
    <w:rsid w:val="00E04AD4"/>
    <w:rsid w:val="00E050CE"/>
    <w:rsid w:val="00E0517F"/>
    <w:rsid w:val="00E05659"/>
    <w:rsid w:val="00E05AEF"/>
    <w:rsid w:val="00E05BAA"/>
    <w:rsid w:val="00E05FB7"/>
    <w:rsid w:val="00E0636E"/>
    <w:rsid w:val="00E063EB"/>
    <w:rsid w:val="00E0681B"/>
    <w:rsid w:val="00E06B1D"/>
    <w:rsid w:val="00E06C58"/>
    <w:rsid w:val="00E07082"/>
    <w:rsid w:val="00E071DC"/>
    <w:rsid w:val="00E0725B"/>
    <w:rsid w:val="00E07356"/>
    <w:rsid w:val="00E07BEE"/>
    <w:rsid w:val="00E10031"/>
    <w:rsid w:val="00E101D3"/>
    <w:rsid w:val="00E10665"/>
    <w:rsid w:val="00E1095A"/>
    <w:rsid w:val="00E10DB4"/>
    <w:rsid w:val="00E1112B"/>
    <w:rsid w:val="00E11136"/>
    <w:rsid w:val="00E11149"/>
    <w:rsid w:val="00E111D5"/>
    <w:rsid w:val="00E113E0"/>
    <w:rsid w:val="00E11508"/>
    <w:rsid w:val="00E11595"/>
    <w:rsid w:val="00E1182C"/>
    <w:rsid w:val="00E119CA"/>
    <w:rsid w:val="00E11C17"/>
    <w:rsid w:val="00E11CC0"/>
    <w:rsid w:val="00E1211B"/>
    <w:rsid w:val="00E12472"/>
    <w:rsid w:val="00E124E5"/>
    <w:rsid w:val="00E1264B"/>
    <w:rsid w:val="00E13180"/>
    <w:rsid w:val="00E13194"/>
    <w:rsid w:val="00E137DE"/>
    <w:rsid w:val="00E13C04"/>
    <w:rsid w:val="00E13C62"/>
    <w:rsid w:val="00E13E58"/>
    <w:rsid w:val="00E13F49"/>
    <w:rsid w:val="00E143A0"/>
    <w:rsid w:val="00E1464A"/>
    <w:rsid w:val="00E14923"/>
    <w:rsid w:val="00E14961"/>
    <w:rsid w:val="00E14CBC"/>
    <w:rsid w:val="00E14F35"/>
    <w:rsid w:val="00E14F4B"/>
    <w:rsid w:val="00E15062"/>
    <w:rsid w:val="00E1512C"/>
    <w:rsid w:val="00E1598D"/>
    <w:rsid w:val="00E15A05"/>
    <w:rsid w:val="00E15A71"/>
    <w:rsid w:val="00E15B78"/>
    <w:rsid w:val="00E15C72"/>
    <w:rsid w:val="00E15FAA"/>
    <w:rsid w:val="00E163B3"/>
    <w:rsid w:val="00E16568"/>
    <w:rsid w:val="00E16759"/>
    <w:rsid w:val="00E16999"/>
    <w:rsid w:val="00E169F5"/>
    <w:rsid w:val="00E16BE2"/>
    <w:rsid w:val="00E16E3E"/>
    <w:rsid w:val="00E17521"/>
    <w:rsid w:val="00E178C6"/>
    <w:rsid w:val="00E17BD4"/>
    <w:rsid w:val="00E17CC8"/>
    <w:rsid w:val="00E20876"/>
    <w:rsid w:val="00E20E86"/>
    <w:rsid w:val="00E20EC8"/>
    <w:rsid w:val="00E20F22"/>
    <w:rsid w:val="00E20FD3"/>
    <w:rsid w:val="00E210ED"/>
    <w:rsid w:val="00E211B3"/>
    <w:rsid w:val="00E21222"/>
    <w:rsid w:val="00E215AA"/>
    <w:rsid w:val="00E216B3"/>
    <w:rsid w:val="00E217FE"/>
    <w:rsid w:val="00E21C49"/>
    <w:rsid w:val="00E223B9"/>
    <w:rsid w:val="00E22667"/>
    <w:rsid w:val="00E2276E"/>
    <w:rsid w:val="00E227AF"/>
    <w:rsid w:val="00E22949"/>
    <w:rsid w:val="00E22A74"/>
    <w:rsid w:val="00E22A76"/>
    <w:rsid w:val="00E22DA9"/>
    <w:rsid w:val="00E22F62"/>
    <w:rsid w:val="00E22FC6"/>
    <w:rsid w:val="00E231C7"/>
    <w:rsid w:val="00E23258"/>
    <w:rsid w:val="00E232D4"/>
    <w:rsid w:val="00E2337C"/>
    <w:rsid w:val="00E23AD0"/>
    <w:rsid w:val="00E23BCE"/>
    <w:rsid w:val="00E23DFC"/>
    <w:rsid w:val="00E244A9"/>
    <w:rsid w:val="00E244EE"/>
    <w:rsid w:val="00E24BC2"/>
    <w:rsid w:val="00E24C52"/>
    <w:rsid w:val="00E250B9"/>
    <w:rsid w:val="00E2513C"/>
    <w:rsid w:val="00E259D4"/>
    <w:rsid w:val="00E25B34"/>
    <w:rsid w:val="00E2602F"/>
    <w:rsid w:val="00E2608A"/>
    <w:rsid w:val="00E260D1"/>
    <w:rsid w:val="00E262C3"/>
    <w:rsid w:val="00E2635B"/>
    <w:rsid w:val="00E2637E"/>
    <w:rsid w:val="00E26750"/>
    <w:rsid w:val="00E270B0"/>
    <w:rsid w:val="00E273E0"/>
    <w:rsid w:val="00E2741D"/>
    <w:rsid w:val="00E27581"/>
    <w:rsid w:val="00E27888"/>
    <w:rsid w:val="00E27BFA"/>
    <w:rsid w:val="00E27D5A"/>
    <w:rsid w:val="00E27F20"/>
    <w:rsid w:val="00E30617"/>
    <w:rsid w:val="00E307A2"/>
    <w:rsid w:val="00E30CD6"/>
    <w:rsid w:val="00E30D46"/>
    <w:rsid w:val="00E30D99"/>
    <w:rsid w:val="00E30E45"/>
    <w:rsid w:val="00E310BD"/>
    <w:rsid w:val="00E31365"/>
    <w:rsid w:val="00E315D0"/>
    <w:rsid w:val="00E31C32"/>
    <w:rsid w:val="00E31F58"/>
    <w:rsid w:val="00E328BA"/>
    <w:rsid w:val="00E33005"/>
    <w:rsid w:val="00E33362"/>
    <w:rsid w:val="00E33460"/>
    <w:rsid w:val="00E336D0"/>
    <w:rsid w:val="00E33A61"/>
    <w:rsid w:val="00E34034"/>
    <w:rsid w:val="00E340B0"/>
    <w:rsid w:val="00E347D7"/>
    <w:rsid w:val="00E34FE8"/>
    <w:rsid w:val="00E35267"/>
    <w:rsid w:val="00E353D0"/>
    <w:rsid w:val="00E3547B"/>
    <w:rsid w:val="00E356F7"/>
    <w:rsid w:val="00E35979"/>
    <w:rsid w:val="00E3599F"/>
    <w:rsid w:val="00E35A85"/>
    <w:rsid w:val="00E35BDB"/>
    <w:rsid w:val="00E35F42"/>
    <w:rsid w:val="00E35FBF"/>
    <w:rsid w:val="00E36740"/>
    <w:rsid w:val="00E36B07"/>
    <w:rsid w:val="00E36C48"/>
    <w:rsid w:val="00E36E0C"/>
    <w:rsid w:val="00E37863"/>
    <w:rsid w:val="00E37A06"/>
    <w:rsid w:val="00E37A58"/>
    <w:rsid w:val="00E37C42"/>
    <w:rsid w:val="00E37D2F"/>
    <w:rsid w:val="00E37F8E"/>
    <w:rsid w:val="00E37F9B"/>
    <w:rsid w:val="00E4003A"/>
    <w:rsid w:val="00E408CF"/>
    <w:rsid w:val="00E40AA8"/>
    <w:rsid w:val="00E40D9A"/>
    <w:rsid w:val="00E4124F"/>
    <w:rsid w:val="00E41350"/>
    <w:rsid w:val="00E4187A"/>
    <w:rsid w:val="00E418D8"/>
    <w:rsid w:val="00E419BE"/>
    <w:rsid w:val="00E421AB"/>
    <w:rsid w:val="00E42320"/>
    <w:rsid w:val="00E42600"/>
    <w:rsid w:val="00E42856"/>
    <w:rsid w:val="00E428A4"/>
    <w:rsid w:val="00E430EA"/>
    <w:rsid w:val="00E43263"/>
    <w:rsid w:val="00E433D5"/>
    <w:rsid w:val="00E4357D"/>
    <w:rsid w:val="00E437EF"/>
    <w:rsid w:val="00E43D11"/>
    <w:rsid w:val="00E44022"/>
    <w:rsid w:val="00E44191"/>
    <w:rsid w:val="00E44559"/>
    <w:rsid w:val="00E4462E"/>
    <w:rsid w:val="00E44A34"/>
    <w:rsid w:val="00E44DAA"/>
    <w:rsid w:val="00E456A5"/>
    <w:rsid w:val="00E458C2"/>
    <w:rsid w:val="00E4591B"/>
    <w:rsid w:val="00E4596A"/>
    <w:rsid w:val="00E45E44"/>
    <w:rsid w:val="00E460E1"/>
    <w:rsid w:val="00E4613F"/>
    <w:rsid w:val="00E462ED"/>
    <w:rsid w:val="00E462FA"/>
    <w:rsid w:val="00E46542"/>
    <w:rsid w:val="00E468F3"/>
    <w:rsid w:val="00E46B4C"/>
    <w:rsid w:val="00E46FA3"/>
    <w:rsid w:val="00E47197"/>
    <w:rsid w:val="00E47216"/>
    <w:rsid w:val="00E478F2"/>
    <w:rsid w:val="00E47954"/>
    <w:rsid w:val="00E47C04"/>
    <w:rsid w:val="00E47C8C"/>
    <w:rsid w:val="00E47CF5"/>
    <w:rsid w:val="00E47D1A"/>
    <w:rsid w:val="00E50362"/>
    <w:rsid w:val="00E503CC"/>
    <w:rsid w:val="00E50484"/>
    <w:rsid w:val="00E5060A"/>
    <w:rsid w:val="00E50E15"/>
    <w:rsid w:val="00E51100"/>
    <w:rsid w:val="00E511C7"/>
    <w:rsid w:val="00E5146B"/>
    <w:rsid w:val="00E5154D"/>
    <w:rsid w:val="00E517EE"/>
    <w:rsid w:val="00E5186A"/>
    <w:rsid w:val="00E518E7"/>
    <w:rsid w:val="00E52055"/>
    <w:rsid w:val="00E523C8"/>
    <w:rsid w:val="00E52B6E"/>
    <w:rsid w:val="00E52D5D"/>
    <w:rsid w:val="00E53362"/>
    <w:rsid w:val="00E5339E"/>
    <w:rsid w:val="00E53832"/>
    <w:rsid w:val="00E53C9C"/>
    <w:rsid w:val="00E53D8C"/>
    <w:rsid w:val="00E53ECE"/>
    <w:rsid w:val="00E53F00"/>
    <w:rsid w:val="00E54477"/>
    <w:rsid w:val="00E545F7"/>
    <w:rsid w:val="00E54A2F"/>
    <w:rsid w:val="00E54FF6"/>
    <w:rsid w:val="00E558ED"/>
    <w:rsid w:val="00E55904"/>
    <w:rsid w:val="00E56025"/>
    <w:rsid w:val="00E5629F"/>
    <w:rsid w:val="00E564B2"/>
    <w:rsid w:val="00E56759"/>
    <w:rsid w:val="00E56B3C"/>
    <w:rsid w:val="00E56D4A"/>
    <w:rsid w:val="00E56F05"/>
    <w:rsid w:val="00E57033"/>
    <w:rsid w:val="00E5750E"/>
    <w:rsid w:val="00E57859"/>
    <w:rsid w:val="00E5789F"/>
    <w:rsid w:val="00E57A82"/>
    <w:rsid w:val="00E57CF1"/>
    <w:rsid w:val="00E57D25"/>
    <w:rsid w:val="00E57EED"/>
    <w:rsid w:val="00E604D4"/>
    <w:rsid w:val="00E604DC"/>
    <w:rsid w:val="00E60D07"/>
    <w:rsid w:val="00E6164B"/>
    <w:rsid w:val="00E61698"/>
    <w:rsid w:val="00E6194B"/>
    <w:rsid w:val="00E61E46"/>
    <w:rsid w:val="00E62153"/>
    <w:rsid w:val="00E62D75"/>
    <w:rsid w:val="00E63119"/>
    <w:rsid w:val="00E6362D"/>
    <w:rsid w:val="00E63858"/>
    <w:rsid w:val="00E63880"/>
    <w:rsid w:val="00E638DD"/>
    <w:rsid w:val="00E63C06"/>
    <w:rsid w:val="00E64064"/>
    <w:rsid w:val="00E6513D"/>
    <w:rsid w:val="00E655B0"/>
    <w:rsid w:val="00E657B9"/>
    <w:rsid w:val="00E658AD"/>
    <w:rsid w:val="00E66148"/>
    <w:rsid w:val="00E6635B"/>
    <w:rsid w:val="00E6689C"/>
    <w:rsid w:val="00E66FA9"/>
    <w:rsid w:val="00E6743C"/>
    <w:rsid w:val="00E6780B"/>
    <w:rsid w:val="00E67ABD"/>
    <w:rsid w:val="00E67AEB"/>
    <w:rsid w:val="00E67C65"/>
    <w:rsid w:val="00E67D8D"/>
    <w:rsid w:val="00E700C0"/>
    <w:rsid w:val="00E70349"/>
    <w:rsid w:val="00E70779"/>
    <w:rsid w:val="00E7092E"/>
    <w:rsid w:val="00E70F71"/>
    <w:rsid w:val="00E71086"/>
    <w:rsid w:val="00E714F8"/>
    <w:rsid w:val="00E715CA"/>
    <w:rsid w:val="00E715E5"/>
    <w:rsid w:val="00E715F6"/>
    <w:rsid w:val="00E717A3"/>
    <w:rsid w:val="00E71937"/>
    <w:rsid w:val="00E719C8"/>
    <w:rsid w:val="00E719D7"/>
    <w:rsid w:val="00E71BF0"/>
    <w:rsid w:val="00E72730"/>
    <w:rsid w:val="00E728E8"/>
    <w:rsid w:val="00E72AF4"/>
    <w:rsid w:val="00E739C3"/>
    <w:rsid w:val="00E73A93"/>
    <w:rsid w:val="00E73B2C"/>
    <w:rsid w:val="00E73E9B"/>
    <w:rsid w:val="00E7409F"/>
    <w:rsid w:val="00E74312"/>
    <w:rsid w:val="00E7483E"/>
    <w:rsid w:val="00E748D5"/>
    <w:rsid w:val="00E74F36"/>
    <w:rsid w:val="00E7504F"/>
    <w:rsid w:val="00E7582F"/>
    <w:rsid w:val="00E75ADE"/>
    <w:rsid w:val="00E75D09"/>
    <w:rsid w:val="00E75E2F"/>
    <w:rsid w:val="00E75F47"/>
    <w:rsid w:val="00E76233"/>
    <w:rsid w:val="00E76506"/>
    <w:rsid w:val="00E76842"/>
    <w:rsid w:val="00E76877"/>
    <w:rsid w:val="00E76F3D"/>
    <w:rsid w:val="00E77327"/>
    <w:rsid w:val="00E7737B"/>
    <w:rsid w:val="00E7761C"/>
    <w:rsid w:val="00E77D36"/>
    <w:rsid w:val="00E77D70"/>
    <w:rsid w:val="00E77FC4"/>
    <w:rsid w:val="00E80182"/>
    <w:rsid w:val="00E803A3"/>
    <w:rsid w:val="00E80606"/>
    <w:rsid w:val="00E80A20"/>
    <w:rsid w:val="00E80A77"/>
    <w:rsid w:val="00E810E4"/>
    <w:rsid w:val="00E812D8"/>
    <w:rsid w:val="00E815AB"/>
    <w:rsid w:val="00E81A2A"/>
    <w:rsid w:val="00E81B74"/>
    <w:rsid w:val="00E81E32"/>
    <w:rsid w:val="00E8206C"/>
    <w:rsid w:val="00E82DBD"/>
    <w:rsid w:val="00E82EB8"/>
    <w:rsid w:val="00E83025"/>
    <w:rsid w:val="00E833E9"/>
    <w:rsid w:val="00E837B7"/>
    <w:rsid w:val="00E83EC9"/>
    <w:rsid w:val="00E84066"/>
    <w:rsid w:val="00E8411F"/>
    <w:rsid w:val="00E8477D"/>
    <w:rsid w:val="00E847C1"/>
    <w:rsid w:val="00E84B68"/>
    <w:rsid w:val="00E84C5A"/>
    <w:rsid w:val="00E84EE5"/>
    <w:rsid w:val="00E8504E"/>
    <w:rsid w:val="00E850BB"/>
    <w:rsid w:val="00E8530D"/>
    <w:rsid w:val="00E853A6"/>
    <w:rsid w:val="00E858DE"/>
    <w:rsid w:val="00E85B3D"/>
    <w:rsid w:val="00E85E80"/>
    <w:rsid w:val="00E8600B"/>
    <w:rsid w:val="00E86144"/>
    <w:rsid w:val="00E862E3"/>
    <w:rsid w:val="00E86364"/>
    <w:rsid w:val="00E86798"/>
    <w:rsid w:val="00E86AB1"/>
    <w:rsid w:val="00E86B59"/>
    <w:rsid w:val="00E86FF6"/>
    <w:rsid w:val="00E87091"/>
    <w:rsid w:val="00E872C2"/>
    <w:rsid w:val="00E873AE"/>
    <w:rsid w:val="00E876D4"/>
    <w:rsid w:val="00E876D9"/>
    <w:rsid w:val="00E87795"/>
    <w:rsid w:val="00E87803"/>
    <w:rsid w:val="00E879DB"/>
    <w:rsid w:val="00E87C76"/>
    <w:rsid w:val="00E9014C"/>
    <w:rsid w:val="00E90AC2"/>
    <w:rsid w:val="00E90E7F"/>
    <w:rsid w:val="00E911D1"/>
    <w:rsid w:val="00E9154D"/>
    <w:rsid w:val="00E91653"/>
    <w:rsid w:val="00E91ACC"/>
    <w:rsid w:val="00E91B6B"/>
    <w:rsid w:val="00E91BD8"/>
    <w:rsid w:val="00E91EF8"/>
    <w:rsid w:val="00E91FB3"/>
    <w:rsid w:val="00E921FF"/>
    <w:rsid w:val="00E9223D"/>
    <w:rsid w:val="00E92263"/>
    <w:rsid w:val="00E9227B"/>
    <w:rsid w:val="00E92462"/>
    <w:rsid w:val="00E92673"/>
    <w:rsid w:val="00E93593"/>
    <w:rsid w:val="00E93A16"/>
    <w:rsid w:val="00E93EF6"/>
    <w:rsid w:val="00E93FDD"/>
    <w:rsid w:val="00E9417B"/>
    <w:rsid w:val="00E9440E"/>
    <w:rsid w:val="00E94D5E"/>
    <w:rsid w:val="00E94E0D"/>
    <w:rsid w:val="00E9501A"/>
    <w:rsid w:val="00E95857"/>
    <w:rsid w:val="00E9587F"/>
    <w:rsid w:val="00E95EB0"/>
    <w:rsid w:val="00E964AD"/>
    <w:rsid w:val="00E96602"/>
    <w:rsid w:val="00E9680B"/>
    <w:rsid w:val="00E9699F"/>
    <w:rsid w:val="00E9770A"/>
    <w:rsid w:val="00E978BE"/>
    <w:rsid w:val="00E97984"/>
    <w:rsid w:val="00EA01B1"/>
    <w:rsid w:val="00EA0755"/>
    <w:rsid w:val="00EA0DFE"/>
    <w:rsid w:val="00EA14A2"/>
    <w:rsid w:val="00EA14E6"/>
    <w:rsid w:val="00EA15C8"/>
    <w:rsid w:val="00EA1786"/>
    <w:rsid w:val="00EA1BC4"/>
    <w:rsid w:val="00EA1E79"/>
    <w:rsid w:val="00EA1F3A"/>
    <w:rsid w:val="00EA2079"/>
    <w:rsid w:val="00EA2394"/>
    <w:rsid w:val="00EA26AB"/>
    <w:rsid w:val="00EA3381"/>
    <w:rsid w:val="00EA35BD"/>
    <w:rsid w:val="00EA36F2"/>
    <w:rsid w:val="00EA3805"/>
    <w:rsid w:val="00EA3996"/>
    <w:rsid w:val="00EA3E43"/>
    <w:rsid w:val="00EA3EC5"/>
    <w:rsid w:val="00EA4025"/>
    <w:rsid w:val="00EA4029"/>
    <w:rsid w:val="00EA4457"/>
    <w:rsid w:val="00EA48F9"/>
    <w:rsid w:val="00EA4CA8"/>
    <w:rsid w:val="00EA5069"/>
    <w:rsid w:val="00EA5127"/>
    <w:rsid w:val="00EA5297"/>
    <w:rsid w:val="00EA557E"/>
    <w:rsid w:val="00EA57FD"/>
    <w:rsid w:val="00EA6038"/>
    <w:rsid w:val="00EA6073"/>
    <w:rsid w:val="00EA6129"/>
    <w:rsid w:val="00EA6154"/>
    <w:rsid w:val="00EA6790"/>
    <w:rsid w:val="00EA6830"/>
    <w:rsid w:val="00EA6FF1"/>
    <w:rsid w:val="00EA726E"/>
    <w:rsid w:val="00EA74CD"/>
    <w:rsid w:val="00EA7570"/>
    <w:rsid w:val="00EA7A25"/>
    <w:rsid w:val="00EA7D44"/>
    <w:rsid w:val="00EA7E07"/>
    <w:rsid w:val="00EB00D7"/>
    <w:rsid w:val="00EB021A"/>
    <w:rsid w:val="00EB0225"/>
    <w:rsid w:val="00EB0AC4"/>
    <w:rsid w:val="00EB0E1F"/>
    <w:rsid w:val="00EB0E55"/>
    <w:rsid w:val="00EB1399"/>
    <w:rsid w:val="00EB143F"/>
    <w:rsid w:val="00EB1595"/>
    <w:rsid w:val="00EB1664"/>
    <w:rsid w:val="00EB19E9"/>
    <w:rsid w:val="00EB2585"/>
    <w:rsid w:val="00EB2773"/>
    <w:rsid w:val="00EB28E6"/>
    <w:rsid w:val="00EB2A89"/>
    <w:rsid w:val="00EB3504"/>
    <w:rsid w:val="00EB35DC"/>
    <w:rsid w:val="00EB35FF"/>
    <w:rsid w:val="00EB3793"/>
    <w:rsid w:val="00EB37DB"/>
    <w:rsid w:val="00EB3AE3"/>
    <w:rsid w:val="00EB3E52"/>
    <w:rsid w:val="00EB42CE"/>
    <w:rsid w:val="00EB4392"/>
    <w:rsid w:val="00EB4412"/>
    <w:rsid w:val="00EB4750"/>
    <w:rsid w:val="00EB4CBC"/>
    <w:rsid w:val="00EB4E54"/>
    <w:rsid w:val="00EB5235"/>
    <w:rsid w:val="00EB524B"/>
    <w:rsid w:val="00EB52C0"/>
    <w:rsid w:val="00EB5579"/>
    <w:rsid w:val="00EB55C5"/>
    <w:rsid w:val="00EB55E2"/>
    <w:rsid w:val="00EB5775"/>
    <w:rsid w:val="00EB5822"/>
    <w:rsid w:val="00EB5853"/>
    <w:rsid w:val="00EB58EE"/>
    <w:rsid w:val="00EB6275"/>
    <w:rsid w:val="00EB6291"/>
    <w:rsid w:val="00EB6306"/>
    <w:rsid w:val="00EB6718"/>
    <w:rsid w:val="00EB6EA0"/>
    <w:rsid w:val="00EB6EC2"/>
    <w:rsid w:val="00EB6EC8"/>
    <w:rsid w:val="00EB7438"/>
    <w:rsid w:val="00EB76B5"/>
    <w:rsid w:val="00EB781B"/>
    <w:rsid w:val="00EB7C83"/>
    <w:rsid w:val="00EB7CBF"/>
    <w:rsid w:val="00EB7D15"/>
    <w:rsid w:val="00EB7DAE"/>
    <w:rsid w:val="00EB7EF2"/>
    <w:rsid w:val="00EB7F44"/>
    <w:rsid w:val="00EC0383"/>
    <w:rsid w:val="00EC04BB"/>
    <w:rsid w:val="00EC0551"/>
    <w:rsid w:val="00EC05FD"/>
    <w:rsid w:val="00EC08DA"/>
    <w:rsid w:val="00EC0A1E"/>
    <w:rsid w:val="00EC0A75"/>
    <w:rsid w:val="00EC0CC3"/>
    <w:rsid w:val="00EC0E7A"/>
    <w:rsid w:val="00EC0F29"/>
    <w:rsid w:val="00EC101A"/>
    <w:rsid w:val="00EC10BC"/>
    <w:rsid w:val="00EC13A4"/>
    <w:rsid w:val="00EC1866"/>
    <w:rsid w:val="00EC1A8F"/>
    <w:rsid w:val="00EC2195"/>
    <w:rsid w:val="00EC2ACE"/>
    <w:rsid w:val="00EC2B56"/>
    <w:rsid w:val="00EC2CD4"/>
    <w:rsid w:val="00EC2D46"/>
    <w:rsid w:val="00EC3719"/>
    <w:rsid w:val="00EC379C"/>
    <w:rsid w:val="00EC3B32"/>
    <w:rsid w:val="00EC3DBC"/>
    <w:rsid w:val="00EC3DC8"/>
    <w:rsid w:val="00EC3F42"/>
    <w:rsid w:val="00EC3F45"/>
    <w:rsid w:val="00EC42FB"/>
    <w:rsid w:val="00EC4659"/>
    <w:rsid w:val="00EC46E6"/>
    <w:rsid w:val="00EC4CF1"/>
    <w:rsid w:val="00EC504B"/>
    <w:rsid w:val="00EC52CD"/>
    <w:rsid w:val="00EC56C8"/>
    <w:rsid w:val="00EC5B88"/>
    <w:rsid w:val="00EC5D67"/>
    <w:rsid w:val="00EC5E5B"/>
    <w:rsid w:val="00EC613F"/>
    <w:rsid w:val="00EC620D"/>
    <w:rsid w:val="00EC657F"/>
    <w:rsid w:val="00EC6970"/>
    <w:rsid w:val="00EC6B37"/>
    <w:rsid w:val="00EC6DFA"/>
    <w:rsid w:val="00EC6E73"/>
    <w:rsid w:val="00EC6FEE"/>
    <w:rsid w:val="00EC7102"/>
    <w:rsid w:val="00EC731F"/>
    <w:rsid w:val="00EC7843"/>
    <w:rsid w:val="00EC7A67"/>
    <w:rsid w:val="00EC7BF2"/>
    <w:rsid w:val="00EC7E1C"/>
    <w:rsid w:val="00EC7EE2"/>
    <w:rsid w:val="00EC7EF5"/>
    <w:rsid w:val="00ED0099"/>
    <w:rsid w:val="00ED02C5"/>
    <w:rsid w:val="00ED057F"/>
    <w:rsid w:val="00ED07D9"/>
    <w:rsid w:val="00ED08DB"/>
    <w:rsid w:val="00ED0A98"/>
    <w:rsid w:val="00ED0B4F"/>
    <w:rsid w:val="00ED166C"/>
    <w:rsid w:val="00ED178A"/>
    <w:rsid w:val="00ED179C"/>
    <w:rsid w:val="00ED1A16"/>
    <w:rsid w:val="00ED1FAC"/>
    <w:rsid w:val="00ED2130"/>
    <w:rsid w:val="00ED21BE"/>
    <w:rsid w:val="00ED225A"/>
    <w:rsid w:val="00ED265B"/>
    <w:rsid w:val="00ED278A"/>
    <w:rsid w:val="00ED2A1D"/>
    <w:rsid w:val="00ED2B3D"/>
    <w:rsid w:val="00ED2BAC"/>
    <w:rsid w:val="00ED2BC1"/>
    <w:rsid w:val="00ED2FE1"/>
    <w:rsid w:val="00ED3195"/>
    <w:rsid w:val="00ED3A58"/>
    <w:rsid w:val="00ED3E8C"/>
    <w:rsid w:val="00ED411B"/>
    <w:rsid w:val="00ED45F4"/>
    <w:rsid w:val="00ED46D6"/>
    <w:rsid w:val="00ED49D4"/>
    <w:rsid w:val="00ED4A44"/>
    <w:rsid w:val="00ED4A94"/>
    <w:rsid w:val="00ED4BE8"/>
    <w:rsid w:val="00ED4C12"/>
    <w:rsid w:val="00ED5291"/>
    <w:rsid w:val="00ED53E9"/>
    <w:rsid w:val="00ED5525"/>
    <w:rsid w:val="00ED567F"/>
    <w:rsid w:val="00ED57DE"/>
    <w:rsid w:val="00ED5CFC"/>
    <w:rsid w:val="00ED5FEF"/>
    <w:rsid w:val="00ED6C72"/>
    <w:rsid w:val="00ED6E4A"/>
    <w:rsid w:val="00ED755A"/>
    <w:rsid w:val="00ED7650"/>
    <w:rsid w:val="00ED7EC7"/>
    <w:rsid w:val="00EE0256"/>
    <w:rsid w:val="00EE0327"/>
    <w:rsid w:val="00EE038D"/>
    <w:rsid w:val="00EE03A9"/>
    <w:rsid w:val="00EE03E2"/>
    <w:rsid w:val="00EE0400"/>
    <w:rsid w:val="00EE04ED"/>
    <w:rsid w:val="00EE140E"/>
    <w:rsid w:val="00EE157B"/>
    <w:rsid w:val="00EE17BB"/>
    <w:rsid w:val="00EE1B04"/>
    <w:rsid w:val="00EE1BE1"/>
    <w:rsid w:val="00EE24B2"/>
    <w:rsid w:val="00EE286A"/>
    <w:rsid w:val="00EE2D5D"/>
    <w:rsid w:val="00EE2DEC"/>
    <w:rsid w:val="00EE303F"/>
    <w:rsid w:val="00EE3B34"/>
    <w:rsid w:val="00EE3EF2"/>
    <w:rsid w:val="00EE408B"/>
    <w:rsid w:val="00EE41BA"/>
    <w:rsid w:val="00EE420A"/>
    <w:rsid w:val="00EE42D3"/>
    <w:rsid w:val="00EE463F"/>
    <w:rsid w:val="00EE48A0"/>
    <w:rsid w:val="00EE492C"/>
    <w:rsid w:val="00EE499C"/>
    <w:rsid w:val="00EE4C54"/>
    <w:rsid w:val="00EE4D37"/>
    <w:rsid w:val="00EE536C"/>
    <w:rsid w:val="00EE56BF"/>
    <w:rsid w:val="00EE571E"/>
    <w:rsid w:val="00EE607E"/>
    <w:rsid w:val="00EE63E5"/>
    <w:rsid w:val="00EE66BC"/>
    <w:rsid w:val="00EE670E"/>
    <w:rsid w:val="00EE6D0D"/>
    <w:rsid w:val="00EE6FA2"/>
    <w:rsid w:val="00EE6FFC"/>
    <w:rsid w:val="00EE7112"/>
    <w:rsid w:val="00EE7270"/>
    <w:rsid w:val="00EE789A"/>
    <w:rsid w:val="00EE78D3"/>
    <w:rsid w:val="00EE7E26"/>
    <w:rsid w:val="00EE7EC0"/>
    <w:rsid w:val="00EF098A"/>
    <w:rsid w:val="00EF0AF6"/>
    <w:rsid w:val="00EF0F31"/>
    <w:rsid w:val="00EF1382"/>
    <w:rsid w:val="00EF1604"/>
    <w:rsid w:val="00EF1F56"/>
    <w:rsid w:val="00EF1F68"/>
    <w:rsid w:val="00EF2366"/>
    <w:rsid w:val="00EF267C"/>
    <w:rsid w:val="00EF2A29"/>
    <w:rsid w:val="00EF2AAA"/>
    <w:rsid w:val="00EF2B73"/>
    <w:rsid w:val="00EF2D5B"/>
    <w:rsid w:val="00EF2E5E"/>
    <w:rsid w:val="00EF2FC2"/>
    <w:rsid w:val="00EF305A"/>
    <w:rsid w:val="00EF3B1B"/>
    <w:rsid w:val="00EF3BF8"/>
    <w:rsid w:val="00EF3D95"/>
    <w:rsid w:val="00EF4229"/>
    <w:rsid w:val="00EF4282"/>
    <w:rsid w:val="00EF42A3"/>
    <w:rsid w:val="00EF498B"/>
    <w:rsid w:val="00EF4B29"/>
    <w:rsid w:val="00EF4BA9"/>
    <w:rsid w:val="00EF5710"/>
    <w:rsid w:val="00EF5967"/>
    <w:rsid w:val="00EF596E"/>
    <w:rsid w:val="00EF5CC5"/>
    <w:rsid w:val="00EF6689"/>
    <w:rsid w:val="00EF685A"/>
    <w:rsid w:val="00EF68B0"/>
    <w:rsid w:val="00EF6B03"/>
    <w:rsid w:val="00EF79D4"/>
    <w:rsid w:val="00F00608"/>
    <w:rsid w:val="00F0062B"/>
    <w:rsid w:val="00F00805"/>
    <w:rsid w:val="00F00C72"/>
    <w:rsid w:val="00F0111F"/>
    <w:rsid w:val="00F011C0"/>
    <w:rsid w:val="00F01288"/>
    <w:rsid w:val="00F012C7"/>
    <w:rsid w:val="00F01428"/>
    <w:rsid w:val="00F01553"/>
    <w:rsid w:val="00F0182C"/>
    <w:rsid w:val="00F01CD1"/>
    <w:rsid w:val="00F01E56"/>
    <w:rsid w:val="00F01EA6"/>
    <w:rsid w:val="00F01FE8"/>
    <w:rsid w:val="00F020D3"/>
    <w:rsid w:val="00F02145"/>
    <w:rsid w:val="00F0278D"/>
    <w:rsid w:val="00F02B8B"/>
    <w:rsid w:val="00F032BB"/>
    <w:rsid w:val="00F0352B"/>
    <w:rsid w:val="00F03558"/>
    <w:rsid w:val="00F035D8"/>
    <w:rsid w:val="00F03623"/>
    <w:rsid w:val="00F03C78"/>
    <w:rsid w:val="00F03CD5"/>
    <w:rsid w:val="00F03E44"/>
    <w:rsid w:val="00F03E4E"/>
    <w:rsid w:val="00F03F61"/>
    <w:rsid w:val="00F04185"/>
    <w:rsid w:val="00F0436D"/>
    <w:rsid w:val="00F0466E"/>
    <w:rsid w:val="00F04A66"/>
    <w:rsid w:val="00F04B72"/>
    <w:rsid w:val="00F04C6E"/>
    <w:rsid w:val="00F058C8"/>
    <w:rsid w:val="00F05A4F"/>
    <w:rsid w:val="00F05E4C"/>
    <w:rsid w:val="00F06582"/>
    <w:rsid w:val="00F06C92"/>
    <w:rsid w:val="00F0715F"/>
    <w:rsid w:val="00F0739D"/>
    <w:rsid w:val="00F0754F"/>
    <w:rsid w:val="00F078B6"/>
    <w:rsid w:val="00F07C25"/>
    <w:rsid w:val="00F07D37"/>
    <w:rsid w:val="00F07FF7"/>
    <w:rsid w:val="00F100AA"/>
    <w:rsid w:val="00F101FF"/>
    <w:rsid w:val="00F1036C"/>
    <w:rsid w:val="00F10612"/>
    <w:rsid w:val="00F10822"/>
    <w:rsid w:val="00F108D2"/>
    <w:rsid w:val="00F10950"/>
    <w:rsid w:val="00F10A31"/>
    <w:rsid w:val="00F10B2B"/>
    <w:rsid w:val="00F10C38"/>
    <w:rsid w:val="00F112F1"/>
    <w:rsid w:val="00F11740"/>
    <w:rsid w:val="00F1188E"/>
    <w:rsid w:val="00F11A40"/>
    <w:rsid w:val="00F11BA2"/>
    <w:rsid w:val="00F12512"/>
    <w:rsid w:val="00F126F9"/>
    <w:rsid w:val="00F12836"/>
    <w:rsid w:val="00F1284C"/>
    <w:rsid w:val="00F12F03"/>
    <w:rsid w:val="00F13181"/>
    <w:rsid w:val="00F13B61"/>
    <w:rsid w:val="00F13C13"/>
    <w:rsid w:val="00F13D56"/>
    <w:rsid w:val="00F13F59"/>
    <w:rsid w:val="00F142A3"/>
    <w:rsid w:val="00F142FA"/>
    <w:rsid w:val="00F144C8"/>
    <w:rsid w:val="00F144ED"/>
    <w:rsid w:val="00F145AC"/>
    <w:rsid w:val="00F1468A"/>
    <w:rsid w:val="00F149D0"/>
    <w:rsid w:val="00F153B8"/>
    <w:rsid w:val="00F15630"/>
    <w:rsid w:val="00F156F4"/>
    <w:rsid w:val="00F15CE6"/>
    <w:rsid w:val="00F15FD5"/>
    <w:rsid w:val="00F15FF5"/>
    <w:rsid w:val="00F16235"/>
    <w:rsid w:val="00F16252"/>
    <w:rsid w:val="00F165BB"/>
    <w:rsid w:val="00F1696C"/>
    <w:rsid w:val="00F16C38"/>
    <w:rsid w:val="00F170BB"/>
    <w:rsid w:val="00F176B2"/>
    <w:rsid w:val="00F1772E"/>
    <w:rsid w:val="00F17E0D"/>
    <w:rsid w:val="00F203BF"/>
    <w:rsid w:val="00F2050F"/>
    <w:rsid w:val="00F2053B"/>
    <w:rsid w:val="00F2062C"/>
    <w:rsid w:val="00F206DC"/>
    <w:rsid w:val="00F20A42"/>
    <w:rsid w:val="00F20A77"/>
    <w:rsid w:val="00F210DA"/>
    <w:rsid w:val="00F21116"/>
    <w:rsid w:val="00F21176"/>
    <w:rsid w:val="00F2144B"/>
    <w:rsid w:val="00F2185A"/>
    <w:rsid w:val="00F21D33"/>
    <w:rsid w:val="00F21DCF"/>
    <w:rsid w:val="00F22316"/>
    <w:rsid w:val="00F22518"/>
    <w:rsid w:val="00F2263D"/>
    <w:rsid w:val="00F22F55"/>
    <w:rsid w:val="00F22F68"/>
    <w:rsid w:val="00F23248"/>
    <w:rsid w:val="00F23618"/>
    <w:rsid w:val="00F23801"/>
    <w:rsid w:val="00F2387E"/>
    <w:rsid w:val="00F23A8B"/>
    <w:rsid w:val="00F23D55"/>
    <w:rsid w:val="00F23D94"/>
    <w:rsid w:val="00F23F5E"/>
    <w:rsid w:val="00F23F90"/>
    <w:rsid w:val="00F2410C"/>
    <w:rsid w:val="00F24133"/>
    <w:rsid w:val="00F2429E"/>
    <w:rsid w:val="00F24C95"/>
    <w:rsid w:val="00F24CB0"/>
    <w:rsid w:val="00F25097"/>
    <w:rsid w:val="00F2547E"/>
    <w:rsid w:val="00F25A7C"/>
    <w:rsid w:val="00F26026"/>
    <w:rsid w:val="00F26796"/>
    <w:rsid w:val="00F267E6"/>
    <w:rsid w:val="00F267ED"/>
    <w:rsid w:val="00F269B3"/>
    <w:rsid w:val="00F26B03"/>
    <w:rsid w:val="00F26C13"/>
    <w:rsid w:val="00F26C37"/>
    <w:rsid w:val="00F26CC8"/>
    <w:rsid w:val="00F26D04"/>
    <w:rsid w:val="00F26DF1"/>
    <w:rsid w:val="00F27187"/>
    <w:rsid w:val="00F27722"/>
    <w:rsid w:val="00F27986"/>
    <w:rsid w:val="00F27A60"/>
    <w:rsid w:val="00F27F27"/>
    <w:rsid w:val="00F3044C"/>
    <w:rsid w:val="00F304FD"/>
    <w:rsid w:val="00F30EA4"/>
    <w:rsid w:val="00F31582"/>
    <w:rsid w:val="00F31B2D"/>
    <w:rsid w:val="00F31C0E"/>
    <w:rsid w:val="00F326B9"/>
    <w:rsid w:val="00F328A0"/>
    <w:rsid w:val="00F32AC8"/>
    <w:rsid w:val="00F32DE2"/>
    <w:rsid w:val="00F3395C"/>
    <w:rsid w:val="00F33B96"/>
    <w:rsid w:val="00F33C46"/>
    <w:rsid w:val="00F33DAC"/>
    <w:rsid w:val="00F34051"/>
    <w:rsid w:val="00F345AA"/>
    <w:rsid w:val="00F3481C"/>
    <w:rsid w:val="00F34834"/>
    <w:rsid w:val="00F34DFB"/>
    <w:rsid w:val="00F35466"/>
    <w:rsid w:val="00F354EF"/>
    <w:rsid w:val="00F35711"/>
    <w:rsid w:val="00F35845"/>
    <w:rsid w:val="00F358CF"/>
    <w:rsid w:val="00F35941"/>
    <w:rsid w:val="00F368FC"/>
    <w:rsid w:val="00F36A1D"/>
    <w:rsid w:val="00F36BE1"/>
    <w:rsid w:val="00F36F52"/>
    <w:rsid w:val="00F3720A"/>
    <w:rsid w:val="00F37286"/>
    <w:rsid w:val="00F373F9"/>
    <w:rsid w:val="00F37838"/>
    <w:rsid w:val="00F37B8D"/>
    <w:rsid w:val="00F37C77"/>
    <w:rsid w:val="00F37DBF"/>
    <w:rsid w:val="00F37F67"/>
    <w:rsid w:val="00F37FB2"/>
    <w:rsid w:val="00F40069"/>
    <w:rsid w:val="00F401AB"/>
    <w:rsid w:val="00F403A2"/>
    <w:rsid w:val="00F4084B"/>
    <w:rsid w:val="00F4138E"/>
    <w:rsid w:val="00F4159C"/>
    <w:rsid w:val="00F41748"/>
    <w:rsid w:val="00F4176F"/>
    <w:rsid w:val="00F418AC"/>
    <w:rsid w:val="00F41A2C"/>
    <w:rsid w:val="00F41B77"/>
    <w:rsid w:val="00F41C19"/>
    <w:rsid w:val="00F41DC1"/>
    <w:rsid w:val="00F41EDC"/>
    <w:rsid w:val="00F4219F"/>
    <w:rsid w:val="00F42656"/>
    <w:rsid w:val="00F42CA9"/>
    <w:rsid w:val="00F43A4C"/>
    <w:rsid w:val="00F43B40"/>
    <w:rsid w:val="00F43C0E"/>
    <w:rsid w:val="00F44096"/>
    <w:rsid w:val="00F44556"/>
    <w:rsid w:val="00F44639"/>
    <w:rsid w:val="00F44856"/>
    <w:rsid w:val="00F44989"/>
    <w:rsid w:val="00F449E8"/>
    <w:rsid w:val="00F44E10"/>
    <w:rsid w:val="00F45202"/>
    <w:rsid w:val="00F45321"/>
    <w:rsid w:val="00F458F3"/>
    <w:rsid w:val="00F45950"/>
    <w:rsid w:val="00F46207"/>
    <w:rsid w:val="00F466D1"/>
    <w:rsid w:val="00F466EE"/>
    <w:rsid w:val="00F469F8"/>
    <w:rsid w:val="00F46A32"/>
    <w:rsid w:val="00F46A70"/>
    <w:rsid w:val="00F46A96"/>
    <w:rsid w:val="00F46F5C"/>
    <w:rsid w:val="00F47031"/>
    <w:rsid w:val="00F4721D"/>
    <w:rsid w:val="00F47419"/>
    <w:rsid w:val="00F47595"/>
    <w:rsid w:val="00F47B14"/>
    <w:rsid w:val="00F47B41"/>
    <w:rsid w:val="00F5001E"/>
    <w:rsid w:val="00F50082"/>
    <w:rsid w:val="00F508D5"/>
    <w:rsid w:val="00F50C8B"/>
    <w:rsid w:val="00F51F6E"/>
    <w:rsid w:val="00F52277"/>
    <w:rsid w:val="00F5233B"/>
    <w:rsid w:val="00F524BB"/>
    <w:rsid w:val="00F5288D"/>
    <w:rsid w:val="00F529A9"/>
    <w:rsid w:val="00F52BEC"/>
    <w:rsid w:val="00F52C73"/>
    <w:rsid w:val="00F52D1B"/>
    <w:rsid w:val="00F52DA3"/>
    <w:rsid w:val="00F52E13"/>
    <w:rsid w:val="00F530F1"/>
    <w:rsid w:val="00F535D7"/>
    <w:rsid w:val="00F535E3"/>
    <w:rsid w:val="00F537F0"/>
    <w:rsid w:val="00F53AA0"/>
    <w:rsid w:val="00F53AE3"/>
    <w:rsid w:val="00F53B51"/>
    <w:rsid w:val="00F53B98"/>
    <w:rsid w:val="00F53F0D"/>
    <w:rsid w:val="00F54000"/>
    <w:rsid w:val="00F54141"/>
    <w:rsid w:val="00F541B6"/>
    <w:rsid w:val="00F5421D"/>
    <w:rsid w:val="00F54290"/>
    <w:rsid w:val="00F54694"/>
    <w:rsid w:val="00F5470A"/>
    <w:rsid w:val="00F54B53"/>
    <w:rsid w:val="00F54E00"/>
    <w:rsid w:val="00F551AE"/>
    <w:rsid w:val="00F558C7"/>
    <w:rsid w:val="00F55C56"/>
    <w:rsid w:val="00F55E76"/>
    <w:rsid w:val="00F55EE2"/>
    <w:rsid w:val="00F55F90"/>
    <w:rsid w:val="00F562F0"/>
    <w:rsid w:val="00F564DB"/>
    <w:rsid w:val="00F56A47"/>
    <w:rsid w:val="00F56F7F"/>
    <w:rsid w:val="00F56FA5"/>
    <w:rsid w:val="00F570C0"/>
    <w:rsid w:val="00F571B8"/>
    <w:rsid w:val="00F5726C"/>
    <w:rsid w:val="00F575DF"/>
    <w:rsid w:val="00F57712"/>
    <w:rsid w:val="00F57890"/>
    <w:rsid w:val="00F578BE"/>
    <w:rsid w:val="00F5794E"/>
    <w:rsid w:val="00F57B10"/>
    <w:rsid w:val="00F608C0"/>
    <w:rsid w:val="00F60BFA"/>
    <w:rsid w:val="00F60EEC"/>
    <w:rsid w:val="00F6108D"/>
    <w:rsid w:val="00F61502"/>
    <w:rsid w:val="00F61705"/>
    <w:rsid w:val="00F61766"/>
    <w:rsid w:val="00F61B68"/>
    <w:rsid w:val="00F61E7D"/>
    <w:rsid w:val="00F62108"/>
    <w:rsid w:val="00F62494"/>
    <w:rsid w:val="00F6254C"/>
    <w:rsid w:val="00F627B3"/>
    <w:rsid w:val="00F627C9"/>
    <w:rsid w:val="00F62D4F"/>
    <w:rsid w:val="00F6309B"/>
    <w:rsid w:val="00F63110"/>
    <w:rsid w:val="00F6342F"/>
    <w:rsid w:val="00F63569"/>
    <w:rsid w:val="00F637B9"/>
    <w:rsid w:val="00F638B0"/>
    <w:rsid w:val="00F64178"/>
    <w:rsid w:val="00F64301"/>
    <w:rsid w:val="00F64314"/>
    <w:rsid w:val="00F64AC8"/>
    <w:rsid w:val="00F64C6F"/>
    <w:rsid w:val="00F6509D"/>
    <w:rsid w:val="00F650FE"/>
    <w:rsid w:val="00F65152"/>
    <w:rsid w:val="00F653C3"/>
    <w:rsid w:val="00F65747"/>
    <w:rsid w:val="00F657B1"/>
    <w:rsid w:val="00F65894"/>
    <w:rsid w:val="00F65C35"/>
    <w:rsid w:val="00F65CFA"/>
    <w:rsid w:val="00F66894"/>
    <w:rsid w:val="00F669A8"/>
    <w:rsid w:val="00F66AD0"/>
    <w:rsid w:val="00F66AF6"/>
    <w:rsid w:val="00F66B03"/>
    <w:rsid w:val="00F66DE8"/>
    <w:rsid w:val="00F66E78"/>
    <w:rsid w:val="00F66EB9"/>
    <w:rsid w:val="00F676E7"/>
    <w:rsid w:val="00F67834"/>
    <w:rsid w:val="00F679DF"/>
    <w:rsid w:val="00F67B37"/>
    <w:rsid w:val="00F67B4F"/>
    <w:rsid w:val="00F67BB4"/>
    <w:rsid w:val="00F67BCE"/>
    <w:rsid w:val="00F67C02"/>
    <w:rsid w:val="00F67DD6"/>
    <w:rsid w:val="00F67FF8"/>
    <w:rsid w:val="00F708B8"/>
    <w:rsid w:val="00F70F64"/>
    <w:rsid w:val="00F71113"/>
    <w:rsid w:val="00F71956"/>
    <w:rsid w:val="00F71BC8"/>
    <w:rsid w:val="00F71CBB"/>
    <w:rsid w:val="00F71DE9"/>
    <w:rsid w:val="00F72A3E"/>
    <w:rsid w:val="00F7306D"/>
    <w:rsid w:val="00F7322F"/>
    <w:rsid w:val="00F733C7"/>
    <w:rsid w:val="00F735D9"/>
    <w:rsid w:val="00F7361A"/>
    <w:rsid w:val="00F737E2"/>
    <w:rsid w:val="00F738C7"/>
    <w:rsid w:val="00F738CF"/>
    <w:rsid w:val="00F73EFA"/>
    <w:rsid w:val="00F73F5D"/>
    <w:rsid w:val="00F73F94"/>
    <w:rsid w:val="00F73FD4"/>
    <w:rsid w:val="00F7403A"/>
    <w:rsid w:val="00F740F1"/>
    <w:rsid w:val="00F7416C"/>
    <w:rsid w:val="00F742CC"/>
    <w:rsid w:val="00F745AA"/>
    <w:rsid w:val="00F745AB"/>
    <w:rsid w:val="00F74DE7"/>
    <w:rsid w:val="00F750B5"/>
    <w:rsid w:val="00F754B4"/>
    <w:rsid w:val="00F75697"/>
    <w:rsid w:val="00F756C4"/>
    <w:rsid w:val="00F75855"/>
    <w:rsid w:val="00F75C63"/>
    <w:rsid w:val="00F75F86"/>
    <w:rsid w:val="00F76249"/>
    <w:rsid w:val="00F762C9"/>
    <w:rsid w:val="00F7646F"/>
    <w:rsid w:val="00F7659F"/>
    <w:rsid w:val="00F770C9"/>
    <w:rsid w:val="00F77143"/>
    <w:rsid w:val="00F775B8"/>
    <w:rsid w:val="00F777D3"/>
    <w:rsid w:val="00F77969"/>
    <w:rsid w:val="00F77C1D"/>
    <w:rsid w:val="00F77DC0"/>
    <w:rsid w:val="00F80073"/>
    <w:rsid w:val="00F8093B"/>
    <w:rsid w:val="00F809B5"/>
    <w:rsid w:val="00F80C4B"/>
    <w:rsid w:val="00F80F09"/>
    <w:rsid w:val="00F816D4"/>
    <w:rsid w:val="00F818E2"/>
    <w:rsid w:val="00F8192A"/>
    <w:rsid w:val="00F81AA1"/>
    <w:rsid w:val="00F81D31"/>
    <w:rsid w:val="00F81E58"/>
    <w:rsid w:val="00F81F14"/>
    <w:rsid w:val="00F82060"/>
    <w:rsid w:val="00F82184"/>
    <w:rsid w:val="00F82386"/>
    <w:rsid w:val="00F8251E"/>
    <w:rsid w:val="00F82BD3"/>
    <w:rsid w:val="00F83417"/>
    <w:rsid w:val="00F839EE"/>
    <w:rsid w:val="00F83C54"/>
    <w:rsid w:val="00F83E70"/>
    <w:rsid w:val="00F83ED9"/>
    <w:rsid w:val="00F83F50"/>
    <w:rsid w:val="00F840F5"/>
    <w:rsid w:val="00F8425E"/>
    <w:rsid w:val="00F8436A"/>
    <w:rsid w:val="00F84478"/>
    <w:rsid w:val="00F845A5"/>
    <w:rsid w:val="00F8468E"/>
    <w:rsid w:val="00F84951"/>
    <w:rsid w:val="00F84ACA"/>
    <w:rsid w:val="00F84D0E"/>
    <w:rsid w:val="00F84DF8"/>
    <w:rsid w:val="00F84FFB"/>
    <w:rsid w:val="00F8568B"/>
    <w:rsid w:val="00F856E6"/>
    <w:rsid w:val="00F85825"/>
    <w:rsid w:val="00F8582F"/>
    <w:rsid w:val="00F8591D"/>
    <w:rsid w:val="00F85F71"/>
    <w:rsid w:val="00F860C8"/>
    <w:rsid w:val="00F86177"/>
    <w:rsid w:val="00F86519"/>
    <w:rsid w:val="00F866C1"/>
    <w:rsid w:val="00F869B8"/>
    <w:rsid w:val="00F86C7F"/>
    <w:rsid w:val="00F86F71"/>
    <w:rsid w:val="00F87082"/>
    <w:rsid w:val="00F876A7"/>
    <w:rsid w:val="00F8779C"/>
    <w:rsid w:val="00F87AD7"/>
    <w:rsid w:val="00F87F34"/>
    <w:rsid w:val="00F90126"/>
    <w:rsid w:val="00F903D0"/>
    <w:rsid w:val="00F903EA"/>
    <w:rsid w:val="00F90850"/>
    <w:rsid w:val="00F90A41"/>
    <w:rsid w:val="00F90C8F"/>
    <w:rsid w:val="00F90EC4"/>
    <w:rsid w:val="00F91213"/>
    <w:rsid w:val="00F915BE"/>
    <w:rsid w:val="00F91613"/>
    <w:rsid w:val="00F918A8"/>
    <w:rsid w:val="00F91B6D"/>
    <w:rsid w:val="00F92081"/>
    <w:rsid w:val="00F92A60"/>
    <w:rsid w:val="00F92A94"/>
    <w:rsid w:val="00F92CB4"/>
    <w:rsid w:val="00F932AA"/>
    <w:rsid w:val="00F9331E"/>
    <w:rsid w:val="00F93368"/>
    <w:rsid w:val="00F93631"/>
    <w:rsid w:val="00F936EB"/>
    <w:rsid w:val="00F93734"/>
    <w:rsid w:val="00F937F4"/>
    <w:rsid w:val="00F938C3"/>
    <w:rsid w:val="00F938F2"/>
    <w:rsid w:val="00F93B6D"/>
    <w:rsid w:val="00F940F3"/>
    <w:rsid w:val="00F9411F"/>
    <w:rsid w:val="00F94287"/>
    <w:rsid w:val="00F949A7"/>
    <w:rsid w:val="00F94B2A"/>
    <w:rsid w:val="00F94D7F"/>
    <w:rsid w:val="00F9529B"/>
    <w:rsid w:val="00F95686"/>
    <w:rsid w:val="00F95BE8"/>
    <w:rsid w:val="00F95FF9"/>
    <w:rsid w:val="00F96137"/>
    <w:rsid w:val="00F9644C"/>
    <w:rsid w:val="00F96566"/>
    <w:rsid w:val="00F9690F"/>
    <w:rsid w:val="00F96D33"/>
    <w:rsid w:val="00F96F60"/>
    <w:rsid w:val="00F970B6"/>
    <w:rsid w:val="00F974E8"/>
    <w:rsid w:val="00F97571"/>
    <w:rsid w:val="00FA0025"/>
    <w:rsid w:val="00FA045E"/>
    <w:rsid w:val="00FA0528"/>
    <w:rsid w:val="00FA0A94"/>
    <w:rsid w:val="00FA0FF7"/>
    <w:rsid w:val="00FA11BB"/>
    <w:rsid w:val="00FA136A"/>
    <w:rsid w:val="00FA1482"/>
    <w:rsid w:val="00FA1498"/>
    <w:rsid w:val="00FA191F"/>
    <w:rsid w:val="00FA2007"/>
    <w:rsid w:val="00FA2058"/>
    <w:rsid w:val="00FA20AA"/>
    <w:rsid w:val="00FA2236"/>
    <w:rsid w:val="00FA22DA"/>
    <w:rsid w:val="00FA2377"/>
    <w:rsid w:val="00FA23F9"/>
    <w:rsid w:val="00FA2647"/>
    <w:rsid w:val="00FA2785"/>
    <w:rsid w:val="00FA30C6"/>
    <w:rsid w:val="00FA3207"/>
    <w:rsid w:val="00FA329B"/>
    <w:rsid w:val="00FA37B2"/>
    <w:rsid w:val="00FA3868"/>
    <w:rsid w:val="00FA3A76"/>
    <w:rsid w:val="00FA3D0F"/>
    <w:rsid w:val="00FA4999"/>
    <w:rsid w:val="00FA4CB2"/>
    <w:rsid w:val="00FA5035"/>
    <w:rsid w:val="00FA52CF"/>
    <w:rsid w:val="00FA5BA4"/>
    <w:rsid w:val="00FA5C6F"/>
    <w:rsid w:val="00FA5D2F"/>
    <w:rsid w:val="00FA5F7A"/>
    <w:rsid w:val="00FA6090"/>
    <w:rsid w:val="00FA64F2"/>
    <w:rsid w:val="00FA68C4"/>
    <w:rsid w:val="00FA6DF5"/>
    <w:rsid w:val="00FA6E7F"/>
    <w:rsid w:val="00FA6F71"/>
    <w:rsid w:val="00FA701C"/>
    <w:rsid w:val="00FA70A5"/>
    <w:rsid w:val="00FA7378"/>
    <w:rsid w:val="00FA7749"/>
    <w:rsid w:val="00FA79D5"/>
    <w:rsid w:val="00FA7C7F"/>
    <w:rsid w:val="00FA7E26"/>
    <w:rsid w:val="00FB0081"/>
    <w:rsid w:val="00FB0397"/>
    <w:rsid w:val="00FB03CA"/>
    <w:rsid w:val="00FB0491"/>
    <w:rsid w:val="00FB04F5"/>
    <w:rsid w:val="00FB0948"/>
    <w:rsid w:val="00FB0B3B"/>
    <w:rsid w:val="00FB0D10"/>
    <w:rsid w:val="00FB129D"/>
    <w:rsid w:val="00FB13E8"/>
    <w:rsid w:val="00FB162B"/>
    <w:rsid w:val="00FB25D8"/>
    <w:rsid w:val="00FB2B36"/>
    <w:rsid w:val="00FB2E78"/>
    <w:rsid w:val="00FB2FB5"/>
    <w:rsid w:val="00FB3046"/>
    <w:rsid w:val="00FB3347"/>
    <w:rsid w:val="00FB378D"/>
    <w:rsid w:val="00FB37A4"/>
    <w:rsid w:val="00FB3ADF"/>
    <w:rsid w:val="00FB3C7A"/>
    <w:rsid w:val="00FB3D82"/>
    <w:rsid w:val="00FB3EDA"/>
    <w:rsid w:val="00FB4199"/>
    <w:rsid w:val="00FB424E"/>
    <w:rsid w:val="00FB49FE"/>
    <w:rsid w:val="00FB50D0"/>
    <w:rsid w:val="00FB5268"/>
    <w:rsid w:val="00FB5B84"/>
    <w:rsid w:val="00FB5C52"/>
    <w:rsid w:val="00FB5D50"/>
    <w:rsid w:val="00FB5DDF"/>
    <w:rsid w:val="00FB5EF3"/>
    <w:rsid w:val="00FB6259"/>
    <w:rsid w:val="00FB6315"/>
    <w:rsid w:val="00FB6537"/>
    <w:rsid w:val="00FB66EB"/>
    <w:rsid w:val="00FB66ED"/>
    <w:rsid w:val="00FB6D94"/>
    <w:rsid w:val="00FB6EDC"/>
    <w:rsid w:val="00FB7112"/>
    <w:rsid w:val="00FB729E"/>
    <w:rsid w:val="00FB754F"/>
    <w:rsid w:val="00FB75F9"/>
    <w:rsid w:val="00FB7781"/>
    <w:rsid w:val="00FB789F"/>
    <w:rsid w:val="00FB7956"/>
    <w:rsid w:val="00FB7E87"/>
    <w:rsid w:val="00FC043B"/>
    <w:rsid w:val="00FC05F2"/>
    <w:rsid w:val="00FC0ADC"/>
    <w:rsid w:val="00FC0D6B"/>
    <w:rsid w:val="00FC0FEB"/>
    <w:rsid w:val="00FC10CD"/>
    <w:rsid w:val="00FC10F2"/>
    <w:rsid w:val="00FC12E3"/>
    <w:rsid w:val="00FC1590"/>
    <w:rsid w:val="00FC15BD"/>
    <w:rsid w:val="00FC1BF5"/>
    <w:rsid w:val="00FC1E5D"/>
    <w:rsid w:val="00FC1FEE"/>
    <w:rsid w:val="00FC2092"/>
    <w:rsid w:val="00FC21CB"/>
    <w:rsid w:val="00FC22D3"/>
    <w:rsid w:val="00FC246D"/>
    <w:rsid w:val="00FC2557"/>
    <w:rsid w:val="00FC26FC"/>
    <w:rsid w:val="00FC29AB"/>
    <w:rsid w:val="00FC2E72"/>
    <w:rsid w:val="00FC2E8D"/>
    <w:rsid w:val="00FC2F6B"/>
    <w:rsid w:val="00FC301C"/>
    <w:rsid w:val="00FC3097"/>
    <w:rsid w:val="00FC3150"/>
    <w:rsid w:val="00FC3342"/>
    <w:rsid w:val="00FC36CB"/>
    <w:rsid w:val="00FC3B3C"/>
    <w:rsid w:val="00FC4C15"/>
    <w:rsid w:val="00FC4DC2"/>
    <w:rsid w:val="00FC50A4"/>
    <w:rsid w:val="00FC5283"/>
    <w:rsid w:val="00FC53C2"/>
    <w:rsid w:val="00FC5CEE"/>
    <w:rsid w:val="00FC5EA8"/>
    <w:rsid w:val="00FC617A"/>
    <w:rsid w:val="00FC61F4"/>
    <w:rsid w:val="00FC6396"/>
    <w:rsid w:val="00FC662B"/>
    <w:rsid w:val="00FC6726"/>
    <w:rsid w:val="00FC69A4"/>
    <w:rsid w:val="00FC6B5D"/>
    <w:rsid w:val="00FC6DAA"/>
    <w:rsid w:val="00FC6DDD"/>
    <w:rsid w:val="00FC6F80"/>
    <w:rsid w:val="00FC7473"/>
    <w:rsid w:val="00FC7BC9"/>
    <w:rsid w:val="00FC7FC4"/>
    <w:rsid w:val="00FD003D"/>
    <w:rsid w:val="00FD0284"/>
    <w:rsid w:val="00FD056D"/>
    <w:rsid w:val="00FD078D"/>
    <w:rsid w:val="00FD08A1"/>
    <w:rsid w:val="00FD0A55"/>
    <w:rsid w:val="00FD0C37"/>
    <w:rsid w:val="00FD0FED"/>
    <w:rsid w:val="00FD117F"/>
    <w:rsid w:val="00FD121B"/>
    <w:rsid w:val="00FD14F1"/>
    <w:rsid w:val="00FD15B2"/>
    <w:rsid w:val="00FD1B64"/>
    <w:rsid w:val="00FD1B70"/>
    <w:rsid w:val="00FD1BC4"/>
    <w:rsid w:val="00FD1E9A"/>
    <w:rsid w:val="00FD20DD"/>
    <w:rsid w:val="00FD2CBD"/>
    <w:rsid w:val="00FD2E62"/>
    <w:rsid w:val="00FD3B05"/>
    <w:rsid w:val="00FD3E21"/>
    <w:rsid w:val="00FD3F6D"/>
    <w:rsid w:val="00FD4074"/>
    <w:rsid w:val="00FD4C05"/>
    <w:rsid w:val="00FD4C9E"/>
    <w:rsid w:val="00FD4D42"/>
    <w:rsid w:val="00FD52BA"/>
    <w:rsid w:val="00FD5497"/>
    <w:rsid w:val="00FD5634"/>
    <w:rsid w:val="00FD5CA7"/>
    <w:rsid w:val="00FD6198"/>
    <w:rsid w:val="00FD65EC"/>
    <w:rsid w:val="00FD65ED"/>
    <w:rsid w:val="00FD6F5B"/>
    <w:rsid w:val="00FD756F"/>
    <w:rsid w:val="00FD7795"/>
    <w:rsid w:val="00FD79CA"/>
    <w:rsid w:val="00FD7BD7"/>
    <w:rsid w:val="00FD7DC4"/>
    <w:rsid w:val="00FD7E66"/>
    <w:rsid w:val="00FE0128"/>
    <w:rsid w:val="00FE029A"/>
    <w:rsid w:val="00FE04F5"/>
    <w:rsid w:val="00FE05EC"/>
    <w:rsid w:val="00FE099D"/>
    <w:rsid w:val="00FE0B22"/>
    <w:rsid w:val="00FE1036"/>
    <w:rsid w:val="00FE18DC"/>
    <w:rsid w:val="00FE1EE1"/>
    <w:rsid w:val="00FE2048"/>
    <w:rsid w:val="00FE22A2"/>
    <w:rsid w:val="00FE23E4"/>
    <w:rsid w:val="00FE2521"/>
    <w:rsid w:val="00FE275D"/>
    <w:rsid w:val="00FE2792"/>
    <w:rsid w:val="00FE2A01"/>
    <w:rsid w:val="00FE2A23"/>
    <w:rsid w:val="00FE2D5E"/>
    <w:rsid w:val="00FE2F36"/>
    <w:rsid w:val="00FE30E0"/>
    <w:rsid w:val="00FE30FF"/>
    <w:rsid w:val="00FE32C0"/>
    <w:rsid w:val="00FE36A5"/>
    <w:rsid w:val="00FE3AB0"/>
    <w:rsid w:val="00FE3CE3"/>
    <w:rsid w:val="00FE3D6F"/>
    <w:rsid w:val="00FE3DA2"/>
    <w:rsid w:val="00FE41D9"/>
    <w:rsid w:val="00FE44F6"/>
    <w:rsid w:val="00FE4624"/>
    <w:rsid w:val="00FE46DF"/>
    <w:rsid w:val="00FE4881"/>
    <w:rsid w:val="00FE4A62"/>
    <w:rsid w:val="00FE4B8F"/>
    <w:rsid w:val="00FE4F1C"/>
    <w:rsid w:val="00FE4FA6"/>
    <w:rsid w:val="00FE5330"/>
    <w:rsid w:val="00FE56CF"/>
    <w:rsid w:val="00FE58E3"/>
    <w:rsid w:val="00FE5974"/>
    <w:rsid w:val="00FE5C98"/>
    <w:rsid w:val="00FE5CE0"/>
    <w:rsid w:val="00FE5D84"/>
    <w:rsid w:val="00FE622D"/>
    <w:rsid w:val="00FE62EA"/>
    <w:rsid w:val="00FE6423"/>
    <w:rsid w:val="00FE650C"/>
    <w:rsid w:val="00FE695E"/>
    <w:rsid w:val="00FE6A7C"/>
    <w:rsid w:val="00FE6F0A"/>
    <w:rsid w:val="00FE6F7E"/>
    <w:rsid w:val="00FE6FC7"/>
    <w:rsid w:val="00FE706F"/>
    <w:rsid w:val="00FE7303"/>
    <w:rsid w:val="00FE7693"/>
    <w:rsid w:val="00FE7BB0"/>
    <w:rsid w:val="00FE7CBE"/>
    <w:rsid w:val="00FE7ECD"/>
    <w:rsid w:val="00FE7EE5"/>
    <w:rsid w:val="00FF0343"/>
    <w:rsid w:val="00FF0607"/>
    <w:rsid w:val="00FF06F4"/>
    <w:rsid w:val="00FF0871"/>
    <w:rsid w:val="00FF08AA"/>
    <w:rsid w:val="00FF08DC"/>
    <w:rsid w:val="00FF0FB0"/>
    <w:rsid w:val="00FF1C7D"/>
    <w:rsid w:val="00FF1EBF"/>
    <w:rsid w:val="00FF1FED"/>
    <w:rsid w:val="00FF2086"/>
    <w:rsid w:val="00FF2302"/>
    <w:rsid w:val="00FF2469"/>
    <w:rsid w:val="00FF25A7"/>
    <w:rsid w:val="00FF26B6"/>
    <w:rsid w:val="00FF2777"/>
    <w:rsid w:val="00FF2898"/>
    <w:rsid w:val="00FF2D88"/>
    <w:rsid w:val="00FF2ECD"/>
    <w:rsid w:val="00FF2F57"/>
    <w:rsid w:val="00FF3292"/>
    <w:rsid w:val="00FF32D8"/>
    <w:rsid w:val="00FF3449"/>
    <w:rsid w:val="00FF34B1"/>
    <w:rsid w:val="00FF3704"/>
    <w:rsid w:val="00FF3759"/>
    <w:rsid w:val="00FF3FF3"/>
    <w:rsid w:val="00FF41BB"/>
    <w:rsid w:val="00FF421E"/>
    <w:rsid w:val="00FF43F1"/>
    <w:rsid w:val="00FF4675"/>
    <w:rsid w:val="00FF4961"/>
    <w:rsid w:val="00FF4DB4"/>
    <w:rsid w:val="00FF4E74"/>
    <w:rsid w:val="00FF5310"/>
    <w:rsid w:val="00FF5493"/>
    <w:rsid w:val="00FF57D8"/>
    <w:rsid w:val="00FF5B99"/>
    <w:rsid w:val="00FF5EE2"/>
    <w:rsid w:val="00FF6220"/>
    <w:rsid w:val="00FF641D"/>
    <w:rsid w:val="00FF64EE"/>
    <w:rsid w:val="00FF663E"/>
    <w:rsid w:val="00FF668A"/>
    <w:rsid w:val="00FF66EC"/>
    <w:rsid w:val="00FF6745"/>
    <w:rsid w:val="00FF6AC9"/>
    <w:rsid w:val="00FF6AE4"/>
    <w:rsid w:val="00FF6E19"/>
    <w:rsid w:val="00FF6FB6"/>
    <w:rsid w:val="00FF7094"/>
    <w:rsid w:val="00FF75D8"/>
    <w:rsid w:val="00FF7B27"/>
    <w:rsid w:val="00FF7B5D"/>
    <w:rsid w:val="00FF7C92"/>
    <w:rsid w:val="00FF7E54"/>
    <w:rsid w:val="011A8AE8"/>
    <w:rsid w:val="012E211D"/>
    <w:rsid w:val="0147E386"/>
    <w:rsid w:val="0162F55F"/>
    <w:rsid w:val="019E3D6D"/>
    <w:rsid w:val="01D452A0"/>
    <w:rsid w:val="01F59B8F"/>
    <w:rsid w:val="01FF7063"/>
    <w:rsid w:val="02097154"/>
    <w:rsid w:val="0227538F"/>
    <w:rsid w:val="024123BF"/>
    <w:rsid w:val="0264B912"/>
    <w:rsid w:val="0267ED67"/>
    <w:rsid w:val="026C6577"/>
    <w:rsid w:val="02870D08"/>
    <w:rsid w:val="02984212"/>
    <w:rsid w:val="02DDC19C"/>
    <w:rsid w:val="02DE1EAD"/>
    <w:rsid w:val="02F670A4"/>
    <w:rsid w:val="02FB82D4"/>
    <w:rsid w:val="03115843"/>
    <w:rsid w:val="0313800B"/>
    <w:rsid w:val="03221E73"/>
    <w:rsid w:val="03235970"/>
    <w:rsid w:val="033049BC"/>
    <w:rsid w:val="0335DFA9"/>
    <w:rsid w:val="033FEC64"/>
    <w:rsid w:val="0354F79F"/>
    <w:rsid w:val="038929DD"/>
    <w:rsid w:val="039478C4"/>
    <w:rsid w:val="03A2FF6A"/>
    <w:rsid w:val="03AFD0ED"/>
    <w:rsid w:val="03BDE300"/>
    <w:rsid w:val="03CB66DE"/>
    <w:rsid w:val="03FC641F"/>
    <w:rsid w:val="04077254"/>
    <w:rsid w:val="0428A3F6"/>
    <w:rsid w:val="042F9E56"/>
    <w:rsid w:val="043B4EFC"/>
    <w:rsid w:val="04446227"/>
    <w:rsid w:val="0444AF8F"/>
    <w:rsid w:val="044C3210"/>
    <w:rsid w:val="045D0B1A"/>
    <w:rsid w:val="0468A71A"/>
    <w:rsid w:val="046ACB9E"/>
    <w:rsid w:val="0488C984"/>
    <w:rsid w:val="04A05AC6"/>
    <w:rsid w:val="04CDBE9D"/>
    <w:rsid w:val="04DFB7A4"/>
    <w:rsid w:val="04ECB29E"/>
    <w:rsid w:val="051D01E0"/>
    <w:rsid w:val="053C9B06"/>
    <w:rsid w:val="05436F56"/>
    <w:rsid w:val="054BC425"/>
    <w:rsid w:val="0566226D"/>
    <w:rsid w:val="05743990"/>
    <w:rsid w:val="05811036"/>
    <w:rsid w:val="05C10837"/>
    <w:rsid w:val="05E7154D"/>
    <w:rsid w:val="05EB181D"/>
    <w:rsid w:val="0618A867"/>
    <w:rsid w:val="062325A7"/>
    <w:rsid w:val="062BA2C3"/>
    <w:rsid w:val="063E6013"/>
    <w:rsid w:val="064E91E6"/>
    <w:rsid w:val="0654ABD6"/>
    <w:rsid w:val="065AB6D4"/>
    <w:rsid w:val="066331B3"/>
    <w:rsid w:val="066F691B"/>
    <w:rsid w:val="0680A3EC"/>
    <w:rsid w:val="0689F636"/>
    <w:rsid w:val="0691D17F"/>
    <w:rsid w:val="06AB92FC"/>
    <w:rsid w:val="06E95844"/>
    <w:rsid w:val="06F0B8FC"/>
    <w:rsid w:val="073352F7"/>
    <w:rsid w:val="0746488A"/>
    <w:rsid w:val="07B13384"/>
    <w:rsid w:val="07C1F9A9"/>
    <w:rsid w:val="07C797E9"/>
    <w:rsid w:val="07F03665"/>
    <w:rsid w:val="080B2C5E"/>
    <w:rsid w:val="08279A7B"/>
    <w:rsid w:val="0858A875"/>
    <w:rsid w:val="08A72E21"/>
    <w:rsid w:val="08B2BEE3"/>
    <w:rsid w:val="08DD16DA"/>
    <w:rsid w:val="08E1964B"/>
    <w:rsid w:val="090147CD"/>
    <w:rsid w:val="0938055D"/>
    <w:rsid w:val="094EB6FF"/>
    <w:rsid w:val="0960D125"/>
    <w:rsid w:val="098232C9"/>
    <w:rsid w:val="09956F6B"/>
    <w:rsid w:val="099A9B79"/>
    <w:rsid w:val="09B8EA43"/>
    <w:rsid w:val="09BA54FB"/>
    <w:rsid w:val="09C5C9F6"/>
    <w:rsid w:val="09D3F486"/>
    <w:rsid w:val="09D8D136"/>
    <w:rsid w:val="09EA7B2E"/>
    <w:rsid w:val="0A041FA2"/>
    <w:rsid w:val="0A13AF81"/>
    <w:rsid w:val="0A1AB1DD"/>
    <w:rsid w:val="0A211582"/>
    <w:rsid w:val="0A30AE65"/>
    <w:rsid w:val="0A6534DC"/>
    <w:rsid w:val="0A6AD459"/>
    <w:rsid w:val="0A9D51A1"/>
    <w:rsid w:val="0AAA716B"/>
    <w:rsid w:val="0AB69E18"/>
    <w:rsid w:val="0ABAABA7"/>
    <w:rsid w:val="0AC79928"/>
    <w:rsid w:val="0ACC258E"/>
    <w:rsid w:val="0ADDA354"/>
    <w:rsid w:val="0B1DB111"/>
    <w:rsid w:val="0B23E519"/>
    <w:rsid w:val="0B357E53"/>
    <w:rsid w:val="0B3F5BF4"/>
    <w:rsid w:val="0B3FE545"/>
    <w:rsid w:val="0B478812"/>
    <w:rsid w:val="0B4CB7C1"/>
    <w:rsid w:val="0B9D9C67"/>
    <w:rsid w:val="0BA5D730"/>
    <w:rsid w:val="0BD6A59F"/>
    <w:rsid w:val="0BE2D288"/>
    <w:rsid w:val="0C0DB735"/>
    <w:rsid w:val="0C252FA7"/>
    <w:rsid w:val="0C47F6F4"/>
    <w:rsid w:val="0C512B9B"/>
    <w:rsid w:val="0C6B48B1"/>
    <w:rsid w:val="0C6D9C63"/>
    <w:rsid w:val="0C704FF3"/>
    <w:rsid w:val="0C758E56"/>
    <w:rsid w:val="0C80CC0E"/>
    <w:rsid w:val="0CA4178C"/>
    <w:rsid w:val="0CA8D07A"/>
    <w:rsid w:val="0CED8645"/>
    <w:rsid w:val="0CEF258B"/>
    <w:rsid w:val="0D16AB8D"/>
    <w:rsid w:val="0D31CDB9"/>
    <w:rsid w:val="0D3E7FF4"/>
    <w:rsid w:val="0D5EB510"/>
    <w:rsid w:val="0D8A9024"/>
    <w:rsid w:val="0D929C40"/>
    <w:rsid w:val="0D9A1676"/>
    <w:rsid w:val="0DA746D4"/>
    <w:rsid w:val="0DAB2382"/>
    <w:rsid w:val="0DAFE22E"/>
    <w:rsid w:val="0DC53162"/>
    <w:rsid w:val="0E04015A"/>
    <w:rsid w:val="0E0D5B84"/>
    <w:rsid w:val="0E1AFCAB"/>
    <w:rsid w:val="0E2E459C"/>
    <w:rsid w:val="0E2E548F"/>
    <w:rsid w:val="0E304CE4"/>
    <w:rsid w:val="0E35B8D6"/>
    <w:rsid w:val="0E77B9DD"/>
    <w:rsid w:val="0E7BB846"/>
    <w:rsid w:val="0EB997F0"/>
    <w:rsid w:val="0EBC1A0B"/>
    <w:rsid w:val="0ECBE497"/>
    <w:rsid w:val="0ED9C52B"/>
    <w:rsid w:val="0EFE40A1"/>
    <w:rsid w:val="0F0104D6"/>
    <w:rsid w:val="0F0BFA09"/>
    <w:rsid w:val="0F0D14CD"/>
    <w:rsid w:val="0F18A680"/>
    <w:rsid w:val="0F2D53FB"/>
    <w:rsid w:val="0F41F0EE"/>
    <w:rsid w:val="0F6060E0"/>
    <w:rsid w:val="0F6A36FF"/>
    <w:rsid w:val="0F74583E"/>
    <w:rsid w:val="0F843199"/>
    <w:rsid w:val="0F89237C"/>
    <w:rsid w:val="0FA82D68"/>
    <w:rsid w:val="0FBC4C85"/>
    <w:rsid w:val="0FD05C64"/>
    <w:rsid w:val="0FD9380C"/>
    <w:rsid w:val="0FFF11B6"/>
    <w:rsid w:val="100203DD"/>
    <w:rsid w:val="100580CC"/>
    <w:rsid w:val="1046B0F9"/>
    <w:rsid w:val="1052398F"/>
    <w:rsid w:val="1066E501"/>
    <w:rsid w:val="107584DC"/>
    <w:rsid w:val="10855762"/>
    <w:rsid w:val="10896049"/>
    <w:rsid w:val="108E861B"/>
    <w:rsid w:val="108EB9BE"/>
    <w:rsid w:val="1092B1D3"/>
    <w:rsid w:val="10A30BDC"/>
    <w:rsid w:val="10B32358"/>
    <w:rsid w:val="10DB7140"/>
    <w:rsid w:val="10F82688"/>
    <w:rsid w:val="10F8AEA6"/>
    <w:rsid w:val="1111AEBA"/>
    <w:rsid w:val="1127E858"/>
    <w:rsid w:val="113510B2"/>
    <w:rsid w:val="117C0CB2"/>
    <w:rsid w:val="11898EB1"/>
    <w:rsid w:val="11A23989"/>
    <w:rsid w:val="11E3596E"/>
    <w:rsid w:val="11F35FE7"/>
    <w:rsid w:val="12055EA9"/>
    <w:rsid w:val="120569B9"/>
    <w:rsid w:val="120BFE25"/>
    <w:rsid w:val="1218FFF9"/>
    <w:rsid w:val="121C5289"/>
    <w:rsid w:val="122413A2"/>
    <w:rsid w:val="1230A9C2"/>
    <w:rsid w:val="123A418B"/>
    <w:rsid w:val="123AC9E2"/>
    <w:rsid w:val="12563E8F"/>
    <w:rsid w:val="125CC482"/>
    <w:rsid w:val="126284A4"/>
    <w:rsid w:val="12787E33"/>
    <w:rsid w:val="1279F27D"/>
    <w:rsid w:val="127D0D83"/>
    <w:rsid w:val="1281415E"/>
    <w:rsid w:val="128A37BF"/>
    <w:rsid w:val="128DC425"/>
    <w:rsid w:val="12CFDD7D"/>
    <w:rsid w:val="12D2E1B5"/>
    <w:rsid w:val="12D6F34D"/>
    <w:rsid w:val="12EA9630"/>
    <w:rsid w:val="131C20E9"/>
    <w:rsid w:val="1323BF3F"/>
    <w:rsid w:val="1375737C"/>
    <w:rsid w:val="13A5F04D"/>
    <w:rsid w:val="13BEFBDD"/>
    <w:rsid w:val="13F6C827"/>
    <w:rsid w:val="140C4C8E"/>
    <w:rsid w:val="145DB21D"/>
    <w:rsid w:val="1461BF9E"/>
    <w:rsid w:val="147030D9"/>
    <w:rsid w:val="14B6C75F"/>
    <w:rsid w:val="14D2B326"/>
    <w:rsid w:val="14EAA2FF"/>
    <w:rsid w:val="150491AD"/>
    <w:rsid w:val="1526D284"/>
    <w:rsid w:val="156B1201"/>
    <w:rsid w:val="1571E294"/>
    <w:rsid w:val="1580741C"/>
    <w:rsid w:val="15959103"/>
    <w:rsid w:val="1598AD22"/>
    <w:rsid w:val="15C65A9D"/>
    <w:rsid w:val="15CDAE00"/>
    <w:rsid w:val="15E7F1CE"/>
    <w:rsid w:val="15EF6786"/>
    <w:rsid w:val="15F08598"/>
    <w:rsid w:val="160998B8"/>
    <w:rsid w:val="160BD733"/>
    <w:rsid w:val="1623609E"/>
    <w:rsid w:val="162F7EAD"/>
    <w:rsid w:val="1645EBC3"/>
    <w:rsid w:val="1666ACCB"/>
    <w:rsid w:val="1667A5A4"/>
    <w:rsid w:val="1686D64B"/>
    <w:rsid w:val="16A89D5D"/>
    <w:rsid w:val="16B27EAB"/>
    <w:rsid w:val="16C634D9"/>
    <w:rsid w:val="16C7EEB0"/>
    <w:rsid w:val="16CFFB28"/>
    <w:rsid w:val="17038744"/>
    <w:rsid w:val="170FC9F5"/>
    <w:rsid w:val="174092ED"/>
    <w:rsid w:val="17655FB0"/>
    <w:rsid w:val="177A63C9"/>
    <w:rsid w:val="177EDF92"/>
    <w:rsid w:val="17BA4640"/>
    <w:rsid w:val="17BCD22D"/>
    <w:rsid w:val="17DBA287"/>
    <w:rsid w:val="17E1849F"/>
    <w:rsid w:val="1808BC08"/>
    <w:rsid w:val="1819D320"/>
    <w:rsid w:val="18288F60"/>
    <w:rsid w:val="185C2299"/>
    <w:rsid w:val="1888C9BC"/>
    <w:rsid w:val="1894602D"/>
    <w:rsid w:val="18A31D5B"/>
    <w:rsid w:val="18CC2D9D"/>
    <w:rsid w:val="18DF4E92"/>
    <w:rsid w:val="18FB12C5"/>
    <w:rsid w:val="192B9132"/>
    <w:rsid w:val="193D8D86"/>
    <w:rsid w:val="1954D12A"/>
    <w:rsid w:val="195FD753"/>
    <w:rsid w:val="197743E0"/>
    <w:rsid w:val="19968043"/>
    <w:rsid w:val="19DEB648"/>
    <w:rsid w:val="1A303289"/>
    <w:rsid w:val="1A402D70"/>
    <w:rsid w:val="1A4756A2"/>
    <w:rsid w:val="1A738336"/>
    <w:rsid w:val="1A76B59B"/>
    <w:rsid w:val="1A819C82"/>
    <w:rsid w:val="1A885B5D"/>
    <w:rsid w:val="1A95BED7"/>
    <w:rsid w:val="1ADBFE2A"/>
    <w:rsid w:val="1AEE2744"/>
    <w:rsid w:val="1AF97CA5"/>
    <w:rsid w:val="1AF9E717"/>
    <w:rsid w:val="1B070153"/>
    <w:rsid w:val="1B4B60CA"/>
    <w:rsid w:val="1B5C1912"/>
    <w:rsid w:val="1B5F09A6"/>
    <w:rsid w:val="1B5FCBD7"/>
    <w:rsid w:val="1B7F1E7E"/>
    <w:rsid w:val="1B82B32D"/>
    <w:rsid w:val="1B9DD138"/>
    <w:rsid w:val="1BBBDD29"/>
    <w:rsid w:val="1BBE3850"/>
    <w:rsid w:val="1BC1E27F"/>
    <w:rsid w:val="1BDE8911"/>
    <w:rsid w:val="1BDFB673"/>
    <w:rsid w:val="1BE97C36"/>
    <w:rsid w:val="1BF62A52"/>
    <w:rsid w:val="1C4D54AC"/>
    <w:rsid w:val="1C6F4E7B"/>
    <w:rsid w:val="1C76CF48"/>
    <w:rsid w:val="1C85ACAB"/>
    <w:rsid w:val="1C9BC49F"/>
    <w:rsid w:val="1C9C9781"/>
    <w:rsid w:val="1CA37473"/>
    <w:rsid w:val="1CC32AFD"/>
    <w:rsid w:val="1CC423D5"/>
    <w:rsid w:val="1CD39CAA"/>
    <w:rsid w:val="1CE648F6"/>
    <w:rsid w:val="1CEC8583"/>
    <w:rsid w:val="1CFA992C"/>
    <w:rsid w:val="1D0FA183"/>
    <w:rsid w:val="1D25116C"/>
    <w:rsid w:val="1D47ACA9"/>
    <w:rsid w:val="1DB8D734"/>
    <w:rsid w:val="1DB8E14A"/>
    <w:rsid w:val="1DDB3D17"/>
    <w:rsid w:val="1DDB4A53"/>
    <w:rsid w:val="1DE23A0F"/>
    <w:rsid w:val="1DFC78FA"/>
    <w:rsid w:val="1E1A9ED2"/>
    <w:rsid w:val="1E2731AE"/>
    <w:rsid w:val="1E950E06"/>
    <w:rsid w:val="1E9B47E8"/>
    <w:rsid w:val="1E9B9C96"/>
    <w:rsid w:val="1E9EC3C8"/>
    <w:rsid w:val="1EA05FAC"/>
    <w:rsid w:val="1EAB2782"/>
    <w:rsid w:val="1EB1E19C"/>
    <w:rsid w:val="1EC1682C"/>
    <w:rsid w:val="1EC67732"/>
    <w:rsid w:val="1EE0D679"/>
    <w:rsid w:val="1EEFE9CC"/>
    <w:rsid w:val="1F241BDC"/>
    <w:rsid w:val="1F354E4B"/>
    <w:rsid w:val="1F3990B1"/>
    <w:rsid w:val="1F7D7D90"/>
    <w:rsid w:val="1FA5FB3F"/>
    <w:rsid w:val="1FC9ED51"/>
    <w:rsid w:val="201F2D15"/>
    <w:rsid w:val="20218D43"/>
    <w:rsid w:val="202D7AC4"/>
    <w:rsid w:val="203B6652"/>
    <w:rsid w:val="20643C6A"/>
    <w:rsid w:val="20904E41"/>
    <w:rsid w:val="2091FDF8"/>
    <w:rsid w:val="20D56112"/>
    <w:rsid w:val="20E54A66"/>
    <w:rsid w:val="20F165F1"/>
    <w:rsid w:val="20FC4A84"/>
    <w:rsid w:val="21024949"/>
    <w:rsid w:val="213806D1"/>
    <w:rsid w:val="213A4B99"/>
    <w:rsid w:val="213BE1DB"/>
    <w:rsid w:val="216AE6DC"/>
    <w:rsid w:val="21887FDB"/>
    <w:rsid w:val="219291AF"/>
    <w:rsid w:val="21CB4A5F"/>
    <w:rsid w:val="21E5E4E0"/>
    <w:rsid w:val="21E9ABFE"/>
    <w:rsid w:val="22246C33"/>
    <w:rsid w:val="224369A8"/>
    <w:rsid w:val="2271AE18"/>
    <w:rsid w:val="227D3062"/>
    <w:rsid w:val="228AD44A"/>
    <w:rsid w:val="22B7E189"/>
    <w:rsid w:val="22BE51F5"/>
    <w:rsid w:val="22EB55A0"/>
    <w:rsid w:val="23323D1F"/>
    <w:rsid w:val="237BFA9E"/>
    <w:rsid w:val="23937967"/>
    <w:rsid w:val="2399CA56"/>
    <w:rsid w:val="239DCFA3"/>
    <w:rsid w:val="23B410AB"/>
    <w:rsid w:val="23C09DF9"/>
    <w:rsid w:val="23C41E7E"/>
    <w:rsid w:val="23D1822E"/>
    <w:rsid w:val="2402FD25"/>
    <w:rsid w:val="240B4134"/>
    <w:rsid w:val="24580758"/>
    <w:rsid w:val="24A39B1F"/>
    <w:rsid w:val="24BC3DB6"/>
    <w:rsid w:val="24EB2B7F"/>
    <w:rsid w:val="24ECB656"/>
    <w:rsid w:val="24F1785A"/>
    <w:rsid w:val="2500A256"/>
    <w:rsid w:val="2501D6C5"/>
    <w:rsid w:val="2528CB16"/>
    <w:rsid w:val="2545B836"/>
    <w:rsid w:val="2547F08B"/>
    <w:rsid w:val="254E3EBE"/>
    <w:rsid w:val="2561266A"/>
    <w:rsid w:val="258A0A6D"/>
    <w:rsid w:val="2591912D"/>
    <w:rsid w:val="25A8D235"/>
    <w:rsid w:val="25C80439"/>
    <w:rsid w:val="25DEE8D4"/>
    <w:rsid w:val="25FFB142"/>
    <w:rsid w:val="260766CC"/>
    <w:rsid w:val="2624F495"/>
    <w:rsid w:val="264205A3"/>
    <w:rsid w:val="265303E4"/>
    <w:rsid w:val="26671804"/>
    <w:rsid w:val="266E1969"/>
    <w:rsid w:val="269E2EB5"/>
    <w:rsid w:val="269FA194"/>
    <w:rsid w:val="26AB49D1"/>
    <w:rsid w:val="26C5D728"/>
    <w:rsid w:val="26C6A690"/>
    <w:rsid w:val="26CAE971"/>
    <w:rsid w:val="26CCC794"/>
    <w:rsid w:val="26E58FBC"/>
    <w:rsid w:val="26FA9977"/>
    <w:rsid w:val="2704601B"/>
    <w:rsid w:val="271149B9"/>
    <w:rsid w:val="27149ED3"/>
    <w:rsid w:val="272502D8"/>
    <w:rsid w:val="2731953E"/>
    <w:rsid w:val="273C697A"/>
    <w:rsid w:val="2742A892"/>
    <w:rsid w:val="278C8B84"/>
    <w:rsid w:val="280B406F"/>
    <w:rsid w:val="2817B6C6"/>
    <w:rsid w:val="282ED0B5"/>
    <w:rsid w:val="28378F27"/>
    <w:rsid w:val="283A0C01"/>
    <w:rsid w:val="284A52B1"/>
    <w:rsid w:val="28547D27"/>
    <w:rsid w:val="2858C5EA"/>
    <w:rsid w:val="2865EE7F"/>
    <w:rsid w:val="28684A4B"/>
    <w:rsid w:val="286BC4E4"/>
    <w:rsid w:val="2873F9D3"/>
    <w:rsid w:val="28E3020E"/>
    <w:rsid w:val="293258C7"/>
    <w:rsid w:val="2936E6F3"/>
    <w:rsid w:val="2938AA02"/>
    <w:rsid w:val="29C1B7D3"/>
    <w:rsid w:val="29C52474"/>
    <w:rsid w:val="29CB6C12"/>
    <w:rsid w:val="29D50F98"/>
    <w:rsid w:val="29DB780A"/>
    <w:rsid w:val="29DF38BA"/>
    <w:rsid w:val="29E42AF3"/>
    <w:rsid w:val="29E47149"/>
    <w:rsid w:val="29E85BFF"/>
    <w:rsid w:val="29ED1D66"/>
    <w:rsid w:val="29FB1587"/>
    <w:rsid w:val="29FB947A"/>
    <w:rsid w:val="29FFC3F8"/>
    <w:rsid w:val="2A043FD7"/>
    <w:rsid w:val="2A09F10A"/>
    <w:rsid w:val="2A13AE52"/>
    <w:rsid w:val="2A250E91"/>
    <w:rsid w:val="2A2F2322"/>
    <w:rsid w:val="2A4D6F03"/>
    <w:rsid w:val="2A520F46"/>
    <w:rsid w:val="2A9B794F"/>
    <w:rsid w:val="2AABCD0F"/>
    <w:rsid w:val="2AD483A9"/>
    <w:rsid w:val="2ADA571C"/>
    <w:rsid w:val="2B27A05D"/>
    <w:rsid w:val="2B3057BB"/>
    <w:rsid w:val="2B4249B7"/>
    <w:rsid w:val="2B452000"/>
    <w:rsid w:val="2B4D141D"/>
    <w:rsid w:val="2B4EF068"/>
    <w:rsid w:val="2B7F33A9"/>
    <w:rsid w:val="2B91E481"/>
    <w:rsid w:val="2BA860AC"/>
    <w:rsid w:val="2BB24EED"/>
    <w:rsid w:val="2BB3C476"/>
    <w:rsid w:val="2BF46033"/>
    <w:rsid w:val="2BF6B849"/>
    <w:rsid w:val="2BFA4E77"/>
    <w:rsid w:val="2C140A4D"/>
    <w:rsid w:val="2C347818"/>
    <w:rsid w:val="2C3B55E0"/>
    <w:rsid w:val="2C69241B"/>
    <w:rsid w:val="2C726846"/>
    <w:rsid w:val="2C887235"/>
    <w:rsid w:val="2C9F4EA9"/>
    <w:rsid w:val="2CC181ED"/>
    <w:rsid w:val="2CD27E13"/>
    <w:rsid w:val="2CD37DEE"/>
    <w:rsid w:val="2CD3EB2E"/>
    <w:rsid w:val="2CF396FD"/>
    <w:rsid w:val="2D23081C"/>
    <w:rsid w:val="2D3C0BBC"/>
    <w:rsid w:val="2D3F63CD"/>
    <w:rsid w:val="2D4D741B"/>
    <w:rsid w:val="2DCCD748"/>
    <w:rsid w:val="2DF0606A"/>
    <w:rsid w:val="2E135DCC"/>
    <w:rsid w:val="2E1EE4C6"/>
    <w:rsid w:val="2E241E7F"/>
    <w:rsid w:val="2E341531"/>
    <w:rsid w:val="2E526BDE"/>
    <w:rsid w:val="2E616DDC"/>
    <w:rsid w:val="2E78D23A"/>
    <w:rsid w:val="2E9288AB"/>
    <w:rsid w:val="2EC3774F"/>
    <w:rsid w:val="2ECEA588"/>
    <w:rsid w:val="2ED56B7F"/>
    <w:rsid w:val="2ED85FDC"/>
    <w:rsid w:val="2EE54AD2"/>
    <w:rsid w:val="2F3D31E8"/>
    <w:rsid w:val="2F3FF039"/>
    <w:rsid w:val="2F4AAC9D"/>
    <w:rsid w:val="2F539D2D"/>
    <w:rsid w:val="2F56B127"/>
    <w:rsid w:val="2F63A15F"/>
    <w:rsid w:val="2F6BCED7"/>
    <w:rsid w:val="2F7547B1"/>
    <w:rsid w:val="2F7992A4"/>
    <w:rsid w:val="2F9CF16A"/>
    <w:rsid w:val="2FA840C8"/>
    <w:rsid w:val="2FAA822B"/>
    <w:rsid w:val="2FF50D1E"/>
    <w:rsid w:val="30191110"/>
    <w:rsid w:val="303CBA8A"/>
    <w:rsid w:val="30626900"/>
    <w:rsid w:val="3094EE84"/>
    <w:rsid w:val="30E6D601"/>
    <w:rsid w:val="30FE30D9"/>
    <w:rsid w:val="31035F2C"/>
    <w:rsid w:val="3146C08F"/>
    <w:rsid w:val="314A4486"/>
    <w:rsid w:val="31647775"/>
    <w:rsid w:val="31991107"/>
    <w:rsid w:val="31A00F3C"/>
    <w:rsid w:val="31F7A28A"/>
    <w:rsid w:val="320CA35F"/>
    <w:rsid w:val="3246787C"/>
    <w:rsid w:val="324F5361"/>
    <w:rsid w:val="326B5FC1"/>
    <w:rsid w:val="329E6BD8"/>
    <w:rsid w:val="32B29A13"/>
    <w:rsid w:val="32B6A6D2"/>
    <w:rsid w:val="32C8CCDE"/>
    <w:rsid w:val="32D0AD53"/>
    <w:rsid w:val="32D49E69"/>
    <w:rsid w:val="32E69C22"/>
    <w:rsid w:val="331CF547"/>
    <w:rsid w:val="33201090"/>
    <w:rsid w:val="33355ACB"/>
    <w:rsid w:val="33381368"/>
    <w:rsid w:val="3345437A"/>
    <w:rsid w:val="3349F666"/>
    <w:rsid w:val="3396FBC8"/>
    <w:rsid w:val="339F0473"/>
    <w:rsid w:val="33BCC6FC"/>
    <w:rsid w:val="33CA458B"/>
    <w:rsid w:val="33D68E42"/>
    <w:rsid w:val="33DAA753"/>
    <w:rsid w:val="33E97D73"/>
    <w:rsid w:val="34354BAB"/>
    <w:rsid w:val="343FFEB0"/>
    <w:rsid w:val="34455B8F"/>
    <w:rsid w:val="345A997E"/>
    <w:rsid w:val="345D8301"/>
    <w:rsid w:val="3482A594"/>
    <w:rsid w:val="34CA5826"/>
    <w:rsid w:val="34F35D3E"/>
    <w:rsid w:val="34F91170"/>
    <w:rsid w:val="34FF6E99"/>
    <w:rsid w:val="352D7DC3"/>
    <w:rsid w:val="354B465D"/>
    <w:rsid w:val="35578B2A"/>
    <w:rsid w:val="356F7AF8"/>
    <w:rsid w:val="35CE17A3"/>
    <w:rsid w:val="35F55822"/>
    <w:rsid w:val="35F580F2"/>
    <w:rsid w:val="36518CE5"/>
    <w:rsid w:val="367A4F52"/>
    <w:rsid w:val="36A35E80"/>
    <w:rsid w:val="36B809F3"/>
    <w:rsid w:val="36CC4EE3"/>
    <w:rsid w:val="36CF98D4"/>
    <w:rsid w:val="371DA07B"/>
    <w:rsid w:val="3730CE30"/>
    <w:rsid w:val="3766C54F"/>
    <w:rsid w:val="376EBD6D"/>
    <w:rsid w:val="378310A1"/>
    <w:rsid w:val="37BCC3BE"/>
    <w:rsid w:val="37C1F18A"/>
    <w:rsid w:val="37C74D9F"/>
    <w:rsid w:val="37CF709F"/>
    <w:rsid w:val="37D4E6F9"/>
    <w:rsid w:val="37DC9F6A"/>
    <w:rsid w:val="380170A5"/>
    <w:rsid w:val="3807992B"/>
    <w:rsid w:val="3813D976"/>
    <w:rsid w:val="38450783"/>
    <w:rsid w:val="38B8365B"/>
    <w:rsid w:val="38DE5573"/>
    <w:rsid w:val="38E52863"/>
    <w:rsid w:val="390D0E73"/>
    <w:rsid w:val="3922E161"/>
    <w:rsid w:val="39360738"/>
    <w:rsid w:val="394D2BCD"/>
    <w:rsid w:val="398A95E8"/>
    <w:rsid w:val="398DFCD1"/>
    <w:rsid w:val="39A4223B"/>
    <w:rsid w:val="39B12753"/>
    <w:rsid w:val="39C6ECCD"/>
    <w:rsid w:val="39DE6700"/>
    <w:rsid w:val="39EDBD50"/>
    <w:rsid w:val="3A7271F1"/>
    <w:rsid w:val="3A7D321B"/>
    <w:rsid w:val="3A80DADB"/>
    <w:rsid w:val="3AD90807"/>
    <w:rsid w:val="3ADD3524"/>
    <w:rsid w:val="3ADFDE5B"/>
    <w:rsid w:val="3AE97978"/>
    <w:rsid w:val="3AF3C11E"/>
    <w:rsid w:val="3B01B404"/>
    <w:rsid w:val="3B07FF22"/>
    <w:rsid w:val="3B09E530"/>
    <w:rsid w:val="3B1D7F06"/>
    <w:rsid w:val="3B3EC630"/>
    <w:rsid w:val="3B56A99E"/>
    <w:rsid w:val="3B5773E7"/>
    <w:rsid w:val="3B79F929"/>
    <w:rsid w:val="3BBCC5CA"/>
    <w:rsid w:val="3BC6CEB7"/>
    <w:rsid w:val="3BFAF78F"/>
    <w:rsid w:val="3C0FB2DF"/>
    <w:rsid w:val="3C10060F"/>
    <w:rsid w:val="3C43028C"/>
    <w:rsid w:val="3C5732A5"/>
    <w:rsid w:val="3C5D2333"/>
    <w:rsid w:val="3C62BA8B"/>
    <w:rsid w:val="3C6D2C34"/>
    <w:rsid w:val="3C88A8B1"/>
    <w:rsid w:val="3C98C6DD"/>
    <w:rsid w:val="3C9B0D85"/>
    <w:rsid w:val="3CBCC90C"/>
    <w:rsid w:val="3CCC213E"/>
    <w:rsid w:val="3CFA1558"/>
    <w:rsid w:val="3D619137"/>
    <w:rsid w:val="3D822F80"/>
    <w:rsid w:val="3D884B1D"/>
    <w:rsid w:val="3D9992CD"/>
    <w:rsid w:val="3DC4CBFC"/>
    <w:rsid w:val="3DCAAD18"/>
    <w:rsid w:val="3DD5632E"/>
    <w:rsid w:val="3DFC9F34"/>
    <w:rsid w:val="3E131567"/>
    <w:rsid w:val="3E20047B"/>
    <w:rsid w:val="3E2D7909"/>
    <w:rsid w:val="3E5804E6"/>
    <w:rsid w:val="3E6DC95C"/>
    <w:rsid w:val="3E76813F"/>
    <w:rsid w:val="3E94F82E"/>
    <w:rsid w:val="3E99D1BA"/>
    <w:rsid w:val="3E9BD7EF"/>
    <w:rsid w:val="3E9FEAD9"/>
    <w:rsid w:val="3EF00B75"/>
    <w:rsid w:val="3F2F6426"/>
    <w:rsid w:val="3F45CA9D"/>
    <w:rsid w:val="3F5C6818"/>
    <w:rsid w:val="3F6824C1"/>
    <w:rsid w:val="3F8B1015"/>
    <w:rsid w:val="3FE268C4"/>
    <w:rsid w:val="3FEB582C"/>
    <w:rsid w:val="3FED2F38"/>
    <w:rsid w:val="401319CD"/>
    <w:rsid w:val="401FBD46"/>
    <w:rsid w:val="403ED24E"/>
    <w:rsid w:val="406BB41D"/>
    <w:rsid w:val="406CB1EA"/>
    <w:rsid w:val="408BF9B4"/>
    <w:rsid w:val="40A54C74"/>
    <w:rsid w:val="40BA9A16"/>
    <w:rsid w:val="40D04936"/>
    <w:rsid w:val="40F0F363"/>
    <w:rsid w:val="40F33CAB"/>
    <w:rsid w:val="40F65E0D"/>
    <w:rsid w:val="40F6B9D5"/>
    <w:rsid w:val="40F9188A"/>
    <w:rsid w:val="4107C5C2"/>
    <w:rsid w:val="412ADF18"/>
    <w:rsid w:val="412DA900"/>
    <w:rsid w:val="414669C9"/>
    <w:rsid w:val="4180811D"/>
    <w:rsid w:val="418EE937"/>
    <w:rsid w:val="4194DAB6"/>
    <w:rsid w:val="419D1AAE"/>
    <w:rsid w:val="41A94880"/>
    <w:rsid w:val="41CDDFD3"/>
    <w:rsid w:val="41D8C35A"/>
    <w:rsid w:val="42016A88"/>
    <w:rsid w:val="420260B2"/>
    <w:rsid w:val="4203D300"/>
    <w:rsid w:val="420F7124"/>
    <w:rsid w:val="42106CE1"/>
    <w:rsid w:val="42394B90"/>
    <w:rsid w:val="4243E819"/>
    <w:rsid w:val="424B4C7D"/>
    <w:rsid w:val="428BD630"/>
    <w:rsid w:val="429435F2"/>
    <w:rsid w:val="4298251C"/>
    <w:rsid w:val="42A9F6BB"/>
    <w:rsid w:val="42C5A1DC"/>
    <w:rsid w:val="42D7F05C"/>
    <w:rsid w:val="42DDD350"/>
    <w:rsid w:val="433C2794"/>
    <w:rsid w:val="433EAC8B"/>
    <w:rsid w:val="43438626"/>
    <w:rsid w:val="434504CC"/>
    <w:rsid w:val="434CB701"/>
    <w:rsid w:val="43586194"/>
    <w:rsid w:val="4368D7FC"/>
    <w:rsid w:val="437590B9"/>
    <w:rsid w:val="437961AD"/>
    <w:rsid w:val="43994972"/>
    <w:rsid w:val="439D23B0"/>
    <w:rsid w:val="43E52662"/>
    <w:rsid w:val="43E81C28"/>
    <w:rsid w:val="43F12BC8"/>
    <w:rsid w:val="44435086"/>
    <w:rsid w:val="446130AB"/>
    <w:rsid w:val="446EBEA7"/>
    <w:rsid w:val="447FFCA5"/>
    <w:rsid w:val="4490F2B3"/>
    <w:rsid w:val="44AE4C89"/>
    <w:rsid w:val="44B99F79"/>
    <w:rsid w:val="44F5BA49"/>
    <w:rsid w:val="45067E22"/>
    <w:rsid w:val="4511D337"/>
    <w:rsid w:val="4527B2FB"/>
    <w:rsid w:val="4557D2E6"/>
    <w:rsid w:val="45583ED8"/>
    <w:rsid w:val="455A83A7"/>
    <w:rsid w:val="457AF0B8"/>
    <w:rsid w:val="457E4379"/>
    <w:rsid w:val="45AE40AE"/>
    <w:rsid w:val="45B27C81"/>
    <w:rsid w:val="45BA5392"/>
    <w:rsid w:val="45C501C9"/>
    <w:rsid w:val="45FEFA45"/>
    <w:rsid w:val="4633BA30"/>
    <w:rsid w:val="465896C4"/>
    <w:rsid w:val="465D03F0"/>
    <w:rsid w:val="46A3E247"/>
    <w:rsid w:val="46ABF57E"/>
    <w:rsid w:val="46AD75B8"/>
    <w:rsid w:val="46EF322A"/>
    <w:rsid w:val="4741E851"/>
    <w:rsid w:val="4754622A"/>
    <w:rsid w:val="476C330C"/>
    <w:rsid w:val="4786DF40"/>
    <w:rsid w:val="478EC86E"/>
    <w:rsid w:val="4795D60C"/>
    <w:rsid w:val="4798CD0D"/>
    <w:rsid w:val="47DA7A1D"/>
    <w:rsid w:val="47F32EE9"/>
    <w:rsid w:val="47F85B96"/>
    <w:rsid w:val="48017EC5"/>
    <w:rsid w:val="482986D4"/>
    <w:rsid w:val="4834AF47"/>
    <w:rsid w:val="483B53C4"/>
    <w:rsid w:val="48690B19"/>
    <w:rsid w:val="48BA7022"/>
    <w:rsid w:val="48C40674"/>
    <w:rsid w:val="492D1CA7"/>
    <w:rsid w:val="49B76A29"/>
    <w:rsid w:val="49D790DF"/>
    <w:rsid w:val="49E6EDE8"/>
    <w:rsid w:val="4A02C836"/>
    <w:rsid w:val="4A0F9DE8"/>
    <w:rsid w:val="4A16D170"/>
    <w:rsid w:val="4A1A8643"/>
    <w:rsid w:val="4A696E82"/>
    <w:rsid w:val="4A721CAD"/>
    <w:rsid w:val="4A73CC13"/>
    <w:rsid w:val="4A796047"/>
    <w:rsid w:val="4A88B313"/>
    <w:rsid w:val="4A95E2A5"/>
    <w:rsid w:val="4A9B3A40"/>
    <w:rsid w:val="4AA9E954"/>
    <w:rsid w:val="4AADE670"/>
    <w:rsid w:val="4AD7BB91"/>
    <w:rsid w:val="4B02691D"/>
    <w:rsid w:val="4B04E24F"/>
    <w:rsid w:val="4B0EFD5D"/>
    <w:rsid w:val="4B1973A7"/>
    <w:rsid w:val="4B1E5657"/>
    <w:rsid w:val="4B1ECF2A"/>
    <w:rsid w:val="4B20840A"/>
    <w:rsid w:val="4B2C8024"/>
    <w:rsid w:val="4B8E41BF"/>
    <w:rsid w:val="4BA119C6"/>
    <w:rsid w:val="4BC5DF8A"/>
    <w:rsid w:val="4BFDCE12"/>
    <w:rsid w:val="4C209A33"/>
    <w:rsid w:val="4C4C2F65"/>
    <w:rsid w:val="4C58EA7F"/>
    <w:rsid w:val="4C67D902"/>
    <w:rsid w:val="4C799D0B"/>
    <w:rsid w:val="4CB24C07"/>
    <w:rsid w:val="4CCE93AB"/>
    <w:rsid w:val="4D109415"/>
    <w:rsid w:val="4D1492EF"/>
    <w:rsid w:val="4D1719B8"/>
    <w:rsid w:val="4D2F2D3E"/>
    <w:rsid w:val="4D6D76B9"/>
    <w:rsid w:val="4D6F10EB"/>
    <w:rsid w:val="4D8E9CD4"/>
    <w:rsid w:val="4D97B93E"/>
    <w:rsid w:val="4DAEE86E"/>
    <w:rsid w:val="4DB02DB6"/>
    <w:rsid w:val="4DB5C87A"/>
    <w:rsid w:val="4DCCA0B3"/>
    <w:rsid w:val="4DCFF6DB"/>
    <w:rsid w:val="4DD99728"/>
    <w:rsid w:val="4DED1C0A"/>
    <w:rsid w:val="4E05AE50"/>
    <w:rsid w:val="4E14E187"/>
    <w:rsid w:val="4E358A0C"/>
    <w:rsid w:val="4E3D130D"/>
    <w:rsid w:val="4E498A38"/>
    <w:rsid w:val="4E4CF463"/>
    <w:rsid w:val="4E4F67C5"/>
    <w:rsid w:val="4E6C6588"/>
    <w:rsid w:val="4E946471"/>
    <w:rsid w:val="4EA19DE7"/>
    <w:rsid w:val="4EA8E3B0"/>
    <w:rsid w:val="4EB09DC1"/>
    <w:rsid w:val="4EDF2B11"/>
    <w:rsid w:val="4EEA7DA8"/>
    <w:rsid w:val="4EF0DE2F"/>
    <w:rsid w:val="4EFB8534"/>
    <w:rsid w:val="4F035230"/>
    <w:rsid w:val="4F03F0E0"/>
    <w:rsid w:val="4F06E594"/>
    <w:rsid w:val="4F176E5E"/>
    <w:rsid w:val="4F1B0321"/>
    <w:rsid w:val="4F3588AA"/>
    <w:rsid w:val="4F4F7B67"/>
    <w:rsid w:val="4F56E071"/>
    <w:rsid w:val="4FA53305"/>
    <w:rsid w:val="4FA9B7A2"/>
    <w:rsid w:val="4FAE8937"/>
    <w:rsid w:val="4FE480CD"/>
    <w:rsid w:val="4FE98B27"/>
    <w:rsid w:val="5015607F"/>
    <w:rsid w:val="50208B64"/>
    <w:rsid w:val="503925EB"/>
    <w:rsid w:val="50793CC6"/>
    <w:rsid w:val="50810473"/>
    <w:rsid w:val="5085AEA4"/>
    <w:rsid w:val="509F104A"/>
    <w:rsid w:val="50C96BB4"/>
    <w:rsid w:val="50E00753"/>
    <w:rsid w:val="50E650C2"/>
    <w:rsid w:val="50F60722"/>
    <w:rsid w:val="510ED1E2"/>
    <w:rsid w:val="511FB69D"/>
    <w:rsid w:val="513AF96B"/>
    <w:rsid w:val="5145D60C"/>
    <w:rsid w:val="51465D6D"/>
    <w:rsid w:val="515C41B6"/>
    <w:rsid w:val="516332D5"/>
    <w:rsid w:val="517E00FE"/>
    <w:rsid w:val="518B3C05"/>
    <w:rsid w:val="518ED9A8"/>
    <w:rsid w:val="5193FD5B"/>
    <w:rsid w:val="519C65B3"/>
    <w:rsid w:val="51C3781F"/>
    <w:rsid w:val="520180B3"/>
    <w:rsid w:val="5206F51D"/>
    <w:rsid w:val="520E9F82"/>
    <w:rsid w:val="521353B5"/>
    <w:rsid w:val="525D0AFE"/>
    <w:rsid w:val="5261A318"/>
    <w:rsid w:val="527547C2"/>
    <w:rsid w:val="52958CA6"/>
    <w:rsid w:val="5297E260"/>
    <w:rsid w:val="52C829C4"/>
    <w:rsid w:val="52CDA974"/>
    <w:rsid w:val="52FB54C6"/>
    <w:rsid w:val="532C2AC3"/>
    <w:rsid w:val="533F9AEE"/>
    <w:rsid w:val="5353BD0B"/>
    <w:rsid w:val="53B919D3"/>
    <w:rsid w:val="53CF161E"/>
    <w:rsid w:val="53F91EF0"/>
    <w:rsid w:val="5406694B"/>
    <w:rsid w:val="5410450E"/>
    <w:rsid w:val="541FC2F8"/>
    <w:rsid w:val="5427A68A"/>
    <w:rsid w:val="542A2470"/>
    <w:rsid w:val="54465F73"/>
    <w:rsid w:val="5450C7A7"/>
    <w:rsid w:val="5453FF30"/>
    <w:rsid w:val="546FBADE"/>
    <w:rsid w:val="547925FD"/>
    <w:rsid w:val="548B3683"/>
    <w:rsid w:val="549B5FCA"/>
    <w:rsid w:val="54AC8645"/>
    <w:rsid w:val="54B039B7"/>
    <w:rsid w:val="54B37D72"/>
    <w:rsid w:val="54FFD7F4"/>
    <w:rsid w:val="5516F993"/>
    <w:rsid w:val="55211345"/>
    <w:rsid w:val="5552807A"/>
    <w:rsid w:val="55597E3C"/>
    <w:rsid w:val="555D314E"/>
    <w:rsid w:val="557C45B9"/>
    <w:rsid w:val="558DDCF9"/>
    <w:rsid w:val="55A5BB3A"/>
    <w:rsid w:val="55A7BC2A"/>
    <w:rsid w:val="55AD6480"/>
    <w:rsid w:val="55B6336C"/>
    <w:rsid w:val="55C0B2C5"/>
    <w:rsid w:val="55D23A16"/>
    <w:rsid w:val="55E9A6F5"/>
    <w:rsid w:val="55F75516"/>
    <w:rsid w:val="560D6469"/>
    <w:rsid w:val="56172276"/>
    <w:rsid w:val="5629C9AA"/>
    <w:rsid w:val="56431B44"/>
    <w:rsid w:val="565F6F70"/>
    <w:rsid w:val="56626274"/>
    <w:rsid w:val="569294FD"/>
    <w:rsid w:val="56CBB830"/>
    <w:rsid w:val="56D61AF9"/>
    <w:rsid w:val="56DAC560"/>
    <w:rsid w:val="570A2DB4"/>
    <w:rsid w:val="5717ADF1"/>
    <w:rsid w:val="5717F45E"/>
    <w:rsid w:val="572A0B3D"/>
    <w:rsid w:val="5741FF6A"/>
    <w:rsid w:val="579F7C68"/>
    <w:rsid w:val="57A0AD58"/>
    <w:rsid w:val="57A4207C"/>
    <w:rsid w:val="57AA059C"/>
    <w:rsid w:val="57C2374A"/>
    <w:rsid w:val="57C5213F"/>
    <w:rsid w:val="57DF8098"/>
    <w:rsid w:val="57EDDCC8"/>
    <w:rsid w:val="57EEC607"/>
    <w:rsid w:val="57FE8137"/>
    <w:rsid w:val="580D90EA"/>
    <w:rsid w:val="58164FC0"/>
    <w:rsid w:val="581CC76A"/>
    <w:rsid w:val="581CCFB7"/>
    <w:rsid w:val="5834F8D1"/>
    <w:rsid w:val="5839B0F2"/>
    <w:rsid w:val="584307D7"/>
    <w:rsid w:val="5854EE36"/>
    <w:rsid w:val="58DB1C62"/>
    <w:rsid w:val="58F0327C"/>
    <w:rsid w:val="59089E5C"/>
    <w:rsid w:val="591CAE18"/>
    <w:rsid w:val="59362AB9"/>
    <w:rsid w:val="595A50A7"/>
    <w:rsid w:val="5969B89D"/>
    <w:rsid w:val="596A8F78"/>
    <w:rsid w:val="59885318"/>
    <w:rsid w:val="59921418"/>
    <w:rsid w:val="59A778D5"/>
    <w:rsid w:val="59C07D3E"/>
    <w:rsid w:val="59CC6A8F"/>
    <w:rsid w:val="59D1998D"/>
    <w:rsid w:val="59F703A8"/>
    <w:rsid w:val="5A0C2BD9"/>
    <w:rsid w:val="5A24A700"/>
    <w:rsid w:val="5A32B011"/>
    <w:rsid w:val="5A40909A"/>
    <w:rsid w:val="5A6FB08D"/>
    <w:rsid w:val="5A842246"/>
    <w:rsid w:val="5A9A1B72"/>
    <w:rsid w:val="5AA2B2E9"/>
    <w:rsid w:val="5B005962"/>
    <w:rsid w:val="5B00866A"/>
    <w:rsid w:val="5B0FE74F"/>
    <w:rsid w:val="5B4D6FAD"/>
    <w:rsid w:val="5B7E8AFA"/>
    <w:rsid w:val="5B87EC04"/>
    <w:rsid w:val="5BA95898"/>
    <w:rsid w:val="5BB77A62"/>
    <w:rsid w:val="5BE4B522"/>
    <w:rsid w:val="5C2279D7"/>
    <w:rsid w:val="5C4AFA68"/>
    <w:rsid w:val="5C4E55BB"/>
    <w:rsid w:val="5C63346A"/>
    <w:rsid w:val="5C8A178E"/>
    <w:rsid w:val="5CB01673"/>
    <w:rsid w:val="5CCB8DEB"/>
    <w:rsid w:val="5CD834F5"/>
    <w:rsid w:val="5CD9ABF8"/>
    <w:rsid w:val="5CE57DD4"/>
    <w:rsid w:val="5CF6170B"/>
    <w:rsid w:val="5D41EC01"/>
    <w:rsid w:val="5D48C998"/>
    <w:rsid w:val="5D6B0CDE"/>
    <w:rsid w:val="5D96DA0E"/>
    <w:rsid w:val="5DA9C355"/>
    <w:rsid w:val="5DB0057F"/>
    <w:rsid w:val="5DC0AA09"/>
    <w:rsid w:val="5DC4BADF"/>
    <w:rsid w:val="5DE05382"/>
    <w:rsid w:val="5DF83BCE"/>
    <w:rsid w:val="5DFE50C3"/>
    <w:rsid w:val="5E0E2E68"/>
    <w:rsid w:val="5E2FC7E7"/>
    <w:rsid w:val="5E4AF3B8"/>
    <w:rsid w:val="5E4F31E1"/>
    <w:rsid w:val="5E506722"/>
    <w:rsid w:val="5E5CC772"/>
    <w:rsid w:val="5E91E76C"/>
    <w:rsid w:val="5EB0A0E8"/>
    <w:rsid w:val="5ECD262C"/>
    <w:rsid w:val="5EE8230A"/>
    <w:rsid w:val="5EED9BE2"/>
    <w:rsid w:val="5EEF523E"/>
    <w:rsid w:val="5EF06B5F"/>
    <w:rsid w:val="5EFF98F9"/>
    <w:rsid w:val="5F033833"/>
    <w:rsid w:val="5F074BAB"/>
    <w:rsid w:val="5F419EA6"/>
    <w:rsid w:val="5F8C3624"/>
    <w:rsid w:val="5F9DD490"/>
    <w:rsid w:val="5FA8625C"/>
    <w:rsid w:val="5FAC42D4"/>
    <w:rsid w:val="5FDB99FA"/>
    <w:rsid w:val="5FE1DE2E"/>
    <w:rsid w:val="5FF2F46B"/>
    <w:rsid w:val="6010E8FC"/>
    <w:rsid w:val="601857FB"/>
    <w:rsid w:val="602DB7CD"/>
    <w:rsid w:val="607AA9FE"/>
    <w:rsid w:val="607CD50D"/>
    <w:rsid w:val="60AC07E9"/>
    <w:rsid w:val="60AE1E7B"/>
    <w:rsid w:val="60EA26BA"/>
    <w:rsid w:val="60FAC7CC"/>
    <w:rsid w:val="6123AECE"/>
    <w:rsid w:val="6131A88F"/>
    <w:rsid w:val="614A5912"/>
    <w:rsid w:val="6158A03C"/>
    <w:rsid w:val="615C2823"/>
    <w:rsid w:val="6163EC35"/>
    <w:rsid w:val="61683A2A"/>
    <w:rsid w:val="61778704"/>
    <w:rsid w:val="617E3D33"/>
    <w:rsid w:val="61962FF0"/>
    <w:rsid w:val="619AC8FA"/>
    <w:rsid w:val="6215AC3F"/>
    <w:rsid w:val="625AA32E"/>
    <w:rsid w:val="626545FD"/>
    <w:rsid w:val="626BF893"/>
    <w:rsid w:val="626EFAC8"/>
    <w:rsid w:val="62B5ED71"/>
    <w:rsid w:val="63087DC9"/>
    <w:rsid w:val="632BAC44"/>
    <w:rsid w:val="63346D73"/>
    <w:rsid w:val="6338B609"/>
    <w:rsid w:val="633FEBA0"/>
    <w:rsid w:val="635EC983"/>
    <w:rsid w:val="636268FF"/>
    <w:rsid w:val="639DF5F7"/>
    <w:rsid w:val="639E8FC1"/>
    <w:rsid w:val="63A7DE1F"/>
    <w:rsid w:val="63ACE4ED"/>
    <w:rsid w:val="63CDFC56"/>
    <w:rsid w:val="63F58854"/>
    <w:rsid w:val="63FC6F4D"/>
    <w:rsid w:val="6411E87B"/>
    <w:rsid w:val="6430D83F"/>
    <w:rsid w:val="6494B33C"/>
    <w:rsid w:val="649DD482"/>
    <w:rsid w:val="64EECFA2"/>
    <w:rsid w:val="65072DB6"/>
    <w:rsid w:val="6509A1D5"/>
    <w:rsid w:val="65123E9E"/>
    <w:rsid w:val="654AE2DE"/>
    <w:rsid w:val="65B70FBF"/>
    <w:rsid w:val="65FE21A6"/>
    <w:rsid w:val="660A2891"/>
    <w:rsid w:val="66652DD2"/>
    <w:rsid w:val="667360CB"/>
    <w:rsid w:val="66802C9E"/>
    <w:rsid w:val="66B2E790"/>
    <w:rsid w:val="66BEFD62"/>
    <w:rsid w:val="66DEA224"/>
    <w:rsid w:val="66DFD591"/>
    <w:rsid w:val="66ED7071"/>
    <w:rsid w:val="66F71B01"/>
    <w:rsid w:val="67054591"/>
    <w:rsid w:val="670CE2F5"/>
    <w:rsid w:val="6712A349"/>
    <w:rsid w:val="672D473A"/>
    <w:rsid w:val="675465E3"/>
    <w:rsid w:val="67A826F8"/>
    <w:rsid w:val="67B63613"/>
    <w:rsid w:val="67DD93D5"/>
    <w:rsid w:val="67ED2F66"/>
    <w:rsid w:val="68070FB3"/>
    <w:rsid w:val="6808E20F"/>
    <w:rsid w:val="681BC72E"/>
    <w:rsid w:val="681F73DD"/>
    <w:rsid w:val="682B2D87"/>
    <w:rsid w:val="68382AC9"/>
    <w:rsid w:val="6870D2E1"/>
    <w:rsid w:val="68736223"/>
    <w:rsid w:val="687B57A3"/>
    <w:rsid w:val="68BCB552"/>
    <w:rsid w:val="68D253B2"/>
    <w:rsid w:val="68F34F68"/>
    <w:rsid w:val="691F5634"/>
    <w:rsid w:val="693AB5C4"/>
    <w:rsid w:val="694E4C4F"/>
    <w:rsid w:val="695707B3"/>
    <w:rsid w:val="6976490C"/>
    <w:rsid w:val="697DDAFD"/>
    <w:rsid w:val="69C20032"/>
    <w:rsid w:val="6A240B36"/>
    <w:rsid w:val="6A4A4FE4"/>
    <w:rsid w:val="6A63A10C"/>
    <w:rsid w:val="6A7951B3"/>
    <w:rsid w:val="6A7C37BC"/>
    <w:rsid w:val="6A892CBE"/>
    <w:rsid w:val="6A8C5855"/>
    <w:rsid w:val="6AA34438"/>
    <w:rsid w:val="6AAFCAF3"/>
    <w:rsid w:val="6AB29F3A"/>
    <w:rsid w:val="6AB43FA8"/>
    <w:rsid w:val="6AC21472"/>
    <w:rsid w:val="6AC97D95"/>
    <w:rsid w:val="6ACFF2A6"/>
    <w:rsid w:val="6AEF797D"/>
    <w:rsid w:val="6AFF4E08"/>
    <w:rsid w:val="6B409F4D"/>
    <w:rsid w:val="6B42823C"/>
    <w:rsid w:val="6B5A8955"/>
    <w:rsid w:val="6B5CF5D8"/>
    <w:rsid w:val="6B6360B3"/>
    <w:rsid w:val="6B6CBA38"/>
    <w:rsid w:val="6B776185"/>
    <w:rsid w:val="6B78BA43"/>
    <w:rsid w:val="6B800472"/>
    <w:rsid w:val="6BAB7E6D"/>
    <w:rsid w:val="6BAC08AD"/>
    <w:rsid w:val="6BBBBA40"/>
    <w:rsid w:val="6C1EDD08"/>
    <w:rsid w:val="6C7CE9D1"/>
    <w:rsid w:val="6CB6350E"/>
    <w:rsid w:val="6CCA8992"/>
    <w:rsid w:val="6CCA97C7"/>
    <w:rsid w:val="6CD3404B"/>
    <w:rsid w:val="6CD66265"/>
    <w:rsid w:val="6CE175C4"/>
    <w:rsid w:val="6CE24210"/>
    <w:rsid w:val="6CF5B389"/>
    <w:rsid w:val="6D021F42"/>
    <w:rsid w:val="6D09B0E7"/>
    <w:rsid w:val="6D1A2E31"/>
    <w:rsid w:val="6D345827"/>
    <w:rsid w:val="6D435BCE"/>
    <w:rsid w:val="6D4F3070"/>
    <w:rsid w:val="6D5719CD"/>
    <w:rsid w:val="6D766A20"/>
    <w:rsid w:val="6D7A1FB9"/>
    <w:rsid w:val="6D8C37D1"/>
    <w:rsid w:val="6D8EB77D"/>
    <w:rsid w:val="6D9C1DF4"/>
    <w:rsid w:val="6DA1F187"/>
    <w:rsid w:val="6DAA2FF6"/>
    <w:rsid w:val="6DB35A58"/>
    <w:rsid w:val="6DC61F45"/>
    <w:rsid w:val="6DD95E42"/>
    <w:rsid w:val="6DE5E374"/>
    <w:rsid w:val="6DED6130"/>
    <w:rsid w:val="6DF7A93D"/>
    <w:rsid w:val="6E4BB613"/>
    <w:rsid w:val="6E71BD0A"/>
    <w:rsid w:val="6E7B1D1B"/>
    <w:rsid w:val="6E7ED788"/>
    <w:rsid w:val="6EA61F3A"/>
    <w:rsid w:val="6EAF48BB"/>
    <w:rsid w:val="6EB82C80"/>
    <w:rsid w:val="6EC0864A"/>
    <w:rsid w:val="6EC7A2EB"/>
    <w:rsid w:val="6EC8B526"/>
    <w:rsid w:val="6F0072A3"/>
    <w:rsid w:val="6F0579B5"/>
    <w:rsid w:val="6F125402"/>
    <w:rsid w:val="6F212E1B"/>
    <w:rsid w:val="6F362746"/>
    <w:rsid w:val="6F4213B2"/>
    <w:rsid w:val="6F4B882E"/>
    <w:rsid w:val="6F5077A5"/>
    <w:rsid w:val="6F635C4F"/>
    <w:rsid w:val="6F9D2A33"/>
    <w:rsid w:val="6FB5937E"/>
    <w:rsid w:val="700A42AF"/>
    <w:rsid w:val="7064D290"/>
    <w:rsid w:val="707D1ABD"/>
    <w:rsid w:val="707E4A2C"/>
    <w:rsid w:val="7081F89C"/>
    <w:rsid w:val="70A23B9C"/>
    <w:rsid w:val="70A55361"/>
    <w:rsid w:val="70AE68AC"/>
    <w:rsid w:val="70D0885F"/>
    <w:rsid w:val="70E30B92"/>
    <w:rsid w:val="711375FE"/>
    <w:rsid w:val="711ECFB6"/>
    <w:rsid w:val="7128B7BF"/>
    <w:rsid w:val="71988121"/>
    <w:rsid w:val="71BC7CAE"/>
    <w:rsid w:val="71C16016"/>
    <w:rsid w:val="71C46DA4"/>
    <w:rsid w:val="71C8F74A"/>
    <w:rsid w:val="71D47FD0"/>
    <w:rsid w:val="71D70AF3"/>
    <w:rsid w:val="71E78A50"/>
    <w:rsid w:val="71EE60FE"/>
    <w:rsid w:val="71FED287"/>
    <w:rsid w:val="7244DF5C"/>
    <w:rsid w:val="7267B1F8"/>
    <w:rsid w:val="72832B29"/>
    <w:rsid w:val="7284A0B6"/>
    <w:rsid w:val="7303DDF0"/>
    <w:rsid w:val="7315DBA7"/>
    <w:rsid w:val="732D11FC"/>
    <w:rsid w:val="73397FA4"/>
    <w:rsid w:val="7343E37B"/>
    <w:rsid w:val="737862E7"/>
    <w:rsid w:val="7381806B"/>
    <w:rsid w:val="738BCB45"/>
    <w:rsid w:val="73E05976"/>
    <w:rsid w:val="73E5315B"/>
    <w:rsid w:val="73FEA8A0"/>
    <w:rsid w:val="741D7A26"/>
    <w:rsid w:val="7470ECDC"/>
    <w:rsid w:val="74876D57"/>
    <w:rsid w:val="7495DABB"/>
    <w:rsid w:val="74A6EB45"/>
    <w:rsid w:val="74AC9155"/>
    <w:rsid w:val="74B690C2"/>
    <w:rsid w:val="74C3BB0A"/>
    <w:rsid w:val="74C98B40"/>
    <w:rsid w:val="74EE3790"/>
    <w:rsid w:val="7503E98B"/>
    <w:rsid w:val="752C0E10"/>
    <w:rsid w:val="752C495D"/>
    <w:rsid w:val="752DAD28"/>
    <w:rsid w:val="7530BD60"/>
    <w:rsid w:val="755BA481"/>
    <w:rsid w:val="75793626"/>
    <w:rsid w:val="757F374D"/>
    <w:rsid w:val="75958CD3"/>
    <w:rsid w:val="75B42417"/>
    <w:rsid w:val="75CD7D81"/>
    <w:rsid w:val="75CF3193"/>
    <w:rsid w:val="75D115AA"/>
    <w:rsid w:val="75D5C104"/>
    <w:rsid w:val="75D7A749"/>
    <w:rsid w:val="75E1FADA"/>
    <w:rsid w:val="75F72B44"/>
    <w:rsid w:val="76063979"/>
    <w:rsid w:val="760BF61F"/>
    <w:rsid w:val="76171BA3"/>
    <w:rsid w:val="762758CD"/>
    <w:rsid w:val="76340D2D"/>
    <w:rsid w:val="7644463A"/>
    <w:rsid w:val="765273E1"/>
    <w:rsid w:val="76559DDD"/>
    <w:rsid w:val="7665257F"/>
    <w:rsid w:val="76823959"/>
    <w:rsid w:val="768AC630"/>
    <w:rsid w:val="76924B64"/>
    <w:rsid w:val="769BFA72"/>
    <w:rsid w:val="76A3FC6A"/>
    <w:rsid w:val="76A71335"/>
    <w:rsid w:val="76B88D6E"/>
    <w:rsid w:val="76F1E3FC"/>
    <w:rsid w:val="76F6F939"/>
    <w:rsid w:val="77100726"/>
    <w:rsid w:val="7759B1BF"/>
    <w:rsid w:val="7759D03F"/>
    <w:rsid w:val="777BBF76"/>
    <w:rsid w:val="77BCA62B"/>
    <w:rsid w:val="77CA17EB"/>
    <w:rsid w:val="77D4D566"/>
    <w:rsid w:val="77E21144"/>
    <w:rsid w:val="77E75733"/>
    <w:rsid w:val="77F0DCE7"/>
    <w:rsid w:val="7837FEE5"/>
    <w:rsid w:val="78517D7A"/>
    <w:rsid w:val="785F4EC0"/>
    <w:rsid w:val="7884A8B1"/>
    <w:rsid w:val="788AFA13"/>
    <w:rsid w:val="78974902"/>
    <w:rsid w:val="78AB56C0"/>
    <w:rsid w:val="78AB86ED"/>
    <w:rsid w:val="78FB1141"/>
    <w:rsid w:val="79053646"/>
    <w:rsid w:val="791722A4"/>
    <w:rsid w:val="7924408E"/>
    <w:rsid w:val="794683D5"/>
    <w:rsid w:val="794A4E22"/>
    <w:rsid w:val="7965DF5E"/>
    <w:rsid w:val="79661235"/>
    <w:rsid w:val="7966E955"/>
    <w:rsid w:val="79769DAA"/>
    <w:rsid w:val="79D6CAA7"/>
    <w:rsid w:val="79EB119B"/>
    <w:rsid w:val="79EF80DB"/>
    <w:rsid w:val="79FDB5FD"/>
    <w:rsid w:val="7A0314C3"/>
    <w:rsid w:val="7A31CDC8"/>
    <w:rsid w:val="7A5909FD"/>
    <w:rsid w:val="7A59F9F5"/>
    <w:rsid w:val="7A5E67A0"/>
    <w:rsid w:val="7A616C07"/>
    <w:rsid w:val="7A75845E"/>
    <w:rsid w:val="7A7B4157"/>
    <w:rsid w:val="7A7BBEA9"/>
    <w:rsid w:val="7A8D4979"/>
    <w:rsid w:val="7A8FCBD0"/>
    <w:rsid w:val="7A99A62C"/>
    <w:rsid w:val="7AA91961"/>
    <w:rsid w:val="7AB4A5DA"/>
    <w:rsid w:val="7ABA44E0"/>
    <w:rsid w:val="7AC41C92"/>
    <w:rsid w:val="7AC844F2"/>
    <w:rsid w:val="7ADE0300"/>
    <w:rsid w:val="7AE1B9E0"/>
    <w:rsid w:val="7AFD9B1C"/>
    <w:rsid w:val="7B2760CA"/>
    <w:rsid w:val="7B38B518"/>
    <w:rsid w:val="7B661B9B"/>
    <w:rsid w:val="7B75E554"/>
    <w:rsid w:val="7BD17D0E"/>
    <w:rsid w:val="7BDE0FA4"/>
    <w:rsid w:val="7BEFE623"/>
    <w:rsid w:val="7BFE7085"/>
    <w:rsid w:val="7C4077E0"/>
    <w:rsid w:val="7C8B5808"/>
    <w:rsid w:val="7C8F72D9"/>
    <w:rsid w:val="7CA955A8"/>
    <w:rsid w:val="7CB14AF9"/>
    <w:rsid w:val="7CB48DB7"/>
    <w:rsid w:val="7CB9834B"/>
    <w:rsid w:val="7CD1CACA"/>
    <w:rsid w:val="7CF35DB0"/>
    <w:rsid w:val="7CFB1313"/>
    <w:rsid w:val="7D153D66"/>
    <w:rsid w:val="7D1BA0EB"/>
    <w:rsid w:val="7D2A2142"/>
    <w:rsid w:val="7D557512"/>
    <w:rsid w:val="7D599624"/>
    <w:rsid w:val="7D5ADC82"/>
    <w:rsid w:val="7D6F5D2A"/>
    <w:rsid w:val="7D754DB6"/>
    <w:rsid w:val="7D758A4B"/>
    <w:rsid w:val="7D7957BE"/>
    <w:rsid w:val="7D9A4C43"/>
    <w:rsid w:val="7DB3250B"/>
    <w:rsid w:val="7DB9F61D"/>
    <w:rsid w:val="7DC0B38A"/>
    <w:rsid w:val="7DC8B1D7"/>
    <w:rsid w:val="7E350A5E"/>
    <w:rsid w:val="7E4A6B4E"/>
    <w:rsid w:val="7E604B37"/>
    <w:rsid w:val="7E6CB53B"/>
    <w:rsid w:val="7E88304B"/>
    <w:rsid w:val="7ECA92EF"/>
    <w:rsid w:val="7ECADF07"/>
    <w:rsid w:val="7ED11EFB"/>
    <w:rsid w:val="7EEBB311"/>
    <w:rsid w:val="7EF05D87"/>
    <w:rsid w:val="7F36C963"/>
    <w:rsid w:val="7F3B65DE"/>
    <w:rsid w:val="7F4086C6"/>
    <w:rsid w:val="7F4C4A1E"/>
    <w:rsid w:val="7F9D2858"/>
    <w:rsid w:val="7FAD6586"/>
    <w:rsid w:val="7FC82F23"/>
    <w:rsid w:val="7FD4B2C6"/>
    <w:rsid w:val="7FFA207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812072B"/>
  <w15:chartTrackingRefBased/>
  <w15:docId w15:val="{C22D9989-3FFC-475E-B172-BE4300A0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53ECA"/>
    <w:pPr>
      <w:widowControl w:val="0"/>
      <w:spacing w:after="0" w:line="240" w:lineRule="auto"/>
    </w:pPr>
  </w:style>
  <w:style w:type="paragraph" w:styleId="Heading1">
    <w:name w:val="heading 1"/>
    <w:basedOn w:val="Normal"/>
    <w:link w:val="Heading1Char"/>
    <w:uiPriority w:val="9"/>
    <w:qFormat/>
    <w:rsid w:val="00191DF8"/>
    <w:pPr>
      <w:ind w:left="1200" w:hanging="720"/>
      <w:outlineLvl w:val="0"/>
    </w:pPr>
    <w:rPr>
      <w:rFonts w:ascii="Times New Roman" w:eastAsia="Times New Roman" w:hAnsi="Times New Roman"/>
      <w:b/>
      <w:bCs/>
      <w:sz w:val="32"/>
      <w:szCs w:val="32"/>
    </w:rPr>
  </w:style>
  <w:style w:type="paragraph" w:styleId="Heading2">
    <w:name w:val="heading 2"/>
    <w:basedOn w:val="Normal"/>
    <w:link w:val="Heading2Char"/>
    <w:uiPriority w:val="9"/>
    <w:qFormat/>
    <w:rsid w:val="00191DF8"/>
    <w:pPr>
      <w:ind w:left="1560" w:hanging="720"/>
      <w:outlineLvl w:val="1"/>
    </w:pPr>
    <w:rPr>
      <w:rFonts w:ascii="Times New Roman" w:eastAsia="Times New Roman" w:hAnsi="Times New Roman"/>
      <w:b/>
      <w:bCs/>
      <w:sz w:val="28"/>
      <w:szCs w:val="24"/>
    </w:rPr>
  </w:style>
  <w:style w:type="paragraph" w:styleId="Heading3">
    <w:name w:val="heading 3"/>
    <w:basedOn w:val="Normal"/>
    <w:link w:val="Heading3Char"/>
    <w:uiPriority w:val="9"/>
    <w:qFormat/>
    <w:rsid w:val="00191DF8"/>
    <w:pPr>
      <w:ind w:left="2280" w:hanging="720"/>
      <w:outlineLvl w:val="2"/>
    </w:pPr>
    <w:rPr>
      <w:rFonts w:ascii="Times New Roman" w:eastAsia="Times New Roman" w:hAnsi="Times New Roman"/>
      <w:sz w:val="24"/>
      <w:szCs w:val="24"/>
    </w:rPr>
  </w:style>
  <w:style w:type="paragraph" w:styleId="Heading4">
    <w:name w:val="heading 4"/>
    <w:basedOn w:val="Normal"/>
    <w:link w:val="Heading4Char"/>
    <w:uiPriority w:val="9"/>
    <w:qFormat/>
    <w:rsid w:val="00191DF8"/>
    <w:pPr>
      <w:ind w:left="120"/>
      <w:outlineLvl w:val="3"/>
    </w:pPr>
    <w:rPr>
      <w:rFonts w:ascii="Times New Roman" w:eastAsia="Times New Roman" w:hAnsi="Times New Roman"/>
      <w:b/>
      <w:bCs/>
      <w:sz w:val="23"/>
      <w:szCs w:val="23"/>
    </w:rPr>
  </w:style>
  <w:style w:type="paragraph" w:styleId="Heading5">
    <w:name w:val="heading 5"/>
    <w:basedOn w:val="Normal"/>
    <w:next w:val="Normal"/>
    <w:link w:val="Heading5Char"/>
    <w:uiPriority w:val="9"/>
    <w:unhideWhenUsed/>
    <w:qFormat/>
    <w:rsid w:val="00191DF8"/>
    <w:pPr>
      <w:keepNext/>
      <w:keepLines/>
      <w:spacing w:before="40"/>
      <w:outlineLvl w:val="4"/>
    </w:pPr>
    <w:rPr>
      <w:rFonts w:ascii="Times New Roman" w:hAnsi="Times New Roman" w:eastAsiaTheme="majorEastAsia" w:cstheme="majorBidi"/>
    </w:rPr>
  </w:style>
  <w:style w:type="paragraph" w:styleId="Heading6">
    <w:name w:val="heading 6"/>
    <w:basedOn w:val="Normal"/>
    <w:next w:val="Normal"/>
    <w:link w:val="Heading6Char"/>
    <w:uiPriority w:val="9"/>
    <w:semiHidden/>
    <w:unhideWhenUsed/>
    <w:qFormat/>
    <w:rsid w:val="00191DF8"/>
    <w:pPr>
      <w:keepNext/>
      <w:keepLines/>
      <w:widowControl/>
      <w:spacing w:before="40" w:line="300" w:lineRule="auto"/>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91DF8"/>
    <w:pPr>
      <w:keepNext/>
      <w:keepLines/>
      <w:widowControl/>
      <w:spacing w:before="40" w:line="300" w:lineRule="auto"/>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91DF8"/>
    <w:pPr>
      <w:keepNext/>
      <w:keepLines/>
      <w:widowControl/>
      <w:spacing w:before="40" w:line="300" w:lineRule="auto"/>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191DF8"/>
    <w:pPr>
      <w:keepNext/>
      <w:keepLines/>
      <w:widowControl/>
      <w:spacing w:before="40" w:line="300" w:lineRule="auto"/>
      <w:outlineLvl w:val="8"/>
    </w:pPr>
    <w:rPr>
      <w:rFonts w:eastAsiaTheme="minorEastAsia"/>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DF8"/>
    <w:rPr>
      <w:rFonts w:ascii="Times New Roman" w:eastAsia="Times New Roman" w:hAnsi="Times New Roman"/>
      <w:b/>
      <w:bCs/>
      <w:sz w:val="32"/>
      <w:szCs w:val="32"/>
    </w:rPr>
  </w:style>
  <w:style w:type="character" w:customStyle="1" w:styleId="Heading2Char">
    <w:name w:val="Heading 2 Char"/>
    <w:basedOn w:val="DefaultParagraphFont"/>
    <w:link w:val="Heading2"/>
    <w:uiPriority w:val="9"/>
    <w:rsid w:val="00191DF8"/>
    <w:rPr>
      <w:rFonts w:ascii="Times New Roman" w:eastAsia="Times New Roman" w:hAnsi="Times New Roman"/>
      <w:b/>
      <w:bCs/>
      <w:sz w:val="28"/>
      <w:szCs w:val="24"/>
    </w:rPr>
  </w:style>
  <w:style w:type="character" w:customStyle="1" w:styleId="Heading3Char">
    <w:name w:val="Heading 3 Char"/>
    <w:basedOn w:val="DefaultParagraphFont"/>
    <w:link w:val="Heading3"/>
    <w:uiPriority w:val="9"/>
    <w:rsid w:val="00191DF8"/>
    <w:rPr>
      <w:rFonts w:ascii="Times New Roman" w:eastAsia="Times New Roman" w:hAnsi="Times New Roman"/>
      <w:sz w:val="24"/>
      <w:szCs w:val="24"/>
    </w:rPr>
  </w:style>
  <w:style w:type="character" w:customStyle="1" w:styleId="Heading4Char">
    <w:name w:val="Heading 4 Char"/>
    <w:basedOn w:val="DefaultParagraphFont"/>
    <w:link w:val="Heading4"/>
    <w:uiPriority w:val="9"/>
    <w:rsid w:val="00191DF8"/>
    <w:rPr>
      <w:rFonts w:ascii="Times New Roman" w:eastAsia="Times New Roman" w:hAnsi="Times New Roman"/>
      <w:b/>
      <w:bCs/>
      <w:sz w:val="23"/>
      <w:szCs w:val="23"/>
    </w:rPr>
  </w:style>
  <w:style w:type="character" w:customStyle="1" w:styleId="Heading5Char">
    <w:name w:val="Heading 5 Char"/>
    <w:basedOn w:val="DefaultParagraphFont"/>
    <w:link w:val="Heading5"/>
    <w:uiPriority w:val="9"/>
    <w:rsid w:val="00191DF8"/>
    <w:rPr>
      <w:rFonts w:ascii="Times New Roman" w:hAnsi="Times New Roman" w:eastAsiaTheme="majorEastAsia" w:cstheme="majorBidi"/>
    </w:rPr>
  </w:style>
  <w:style w:type="character" w:customStyle="1" w:styleId="Heading6Char">
    <w:name w:val="Heading 6 Char"/>
    <w:basedOn w:val="DefaultParagraphFont"/>
    <w:link w:val="Heading6"/>
    <w:uiPriority w:val="9"/>
    <w:semiHidden/>
    <w:rsid w:val="00191DF8"/>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91DF8"/>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91DF8"/>
    <w:rPr>
      <w:rFonts w:asciiTheme="majorHAnsi" w:eastAsiaTheme="majorEastAsia" w:hAnsiTheme="majorHAnsi" w:cstheme="majorBidi"/>
      <w:i/>
      <w:iCs/>
    </w:rPr>
  </w:style>
  <w:style w:type="character" w:customStyle="1" w:styleId="Heading9Char">
    <w:name w:val="Heading 9 Char"/>
    <w:basedOn w:val="DefaultParagraphFont"/>
    <w:link w:val="Heading9"/>
    <w:uiPriority w:val="9"/>
    <w:semiHidden/>
    <w:rsid w:val="00191DF8"/>
    <w:rPr>
      <w:rFonts w:eastAsiaTheme="minorEastAsia"/>
      <w:b/>
      <w:bCs/>
      <w:i/>
      <w:iCs/>
      <w:sz w:val="21"/>
      <w:szCs w:val="21"/>
    </w:rPr>
  </w:style>
  <w:style w:type="paragraph" w:styleId="TOC1">
    <w:name w:val="toc 1"/>
    <w:basedOn w:val="HHS508GuidanceOutline1"/>
    <w:next w:val="HHS508GuidanceOutline1"/>
    <w:uiPriority w:val="39"/>
    <w:qFormat/>
    <w:rsid w:val="0035023F"/>
    <w:pPr>
      <w:keepNext w:val="0"/>
      <w:widowControl w:val="0"/>
      <w:numPr>
        <w:numId w:val="0"/>
      </w:numPr>
      <w:spacing w:before="120" w:after="0"/>
      <w:outlineLvl w:val="9"/>
    </w:pPr>
    <w:rPr>
      <w:rFonts w:asciiTheme="minorHAnsi" w:eastAsiaTheme="minorHAnsi" w:hAnsiTheme="minorHAnsi" w:cstheme="minorHAnsi"/>
      <w:i/>
      <w:iCs/>
      <w:sz w:val="24"/>
      <w:szCs w:val="24"/>
    </w:rPr>
  </w:style>
  <w:style w:type="paragraph" w:styleId="TOC2">
    <w:name w:val="toc 2"/>
    <w:basedOn w:val="Normal"/>
    <w:uiPriority w:val="39"/>
    <w:qFormat/>
    <w:rsid w:val="00191DF8"/>
    <w:pPr>
      <w:spacing w:before="120"/>
      <w:ind w:left="220"/>
    </w:pPr>
    <w:rPr>
      <w:rFonts w:cstheme="minorHAnsi"/>
      <w:b/>
      <w:bCs/>
    </w:rPr>
  </w:style>
  <w:style w:type="paragraph" w:styleId="TOC3">
    <w:name w:val="toc 3"/>
    <w:basedOn w:val="Normal"/>
    <w:uiPriority w:val="39"/>
    <w:qFormat/>
    <w:rsid w:val="00191DF8"/>
    <w:pPr>
      <w:ind w:left="440"/>
    </w:pPr>
    <w:rPr>
      <w:rFonts w:cstheme="minorHAnsi"/>
      <w:sz w:val="20"/>
      <w:szCs w:val="20"/>
    </w:rPr>
  </w:style>
  <w:style w:type="paragraph" w:styleId="TOC4">
    <w:name w:val="toc 4"/>
    <w:basedOn w:val="Normal"/>
    <w:uiPriority w:val="39"/>
    <w:qFormat/>
    <w:rsid w:val="00191DF8"/>
    <w:pPr>
      <w:ind w:left="660"/>
    </w:pPr>
    <w:rPr>
      <w:rFonts w:cstheme="minorHAnsi"/>
      <w:sz w:val="20"/>
      <w:szCs w:val="20"/>
    </w:rPr>
  </w:style>
  <w:style w:type="paragraph" w:styleId="TOC5">
    <w:name w:val="toc 5"/>
    <w:basedOn w:val="Normal"/>
    <w:uiPriority w:val="39"/>
    <w:qFormat/>
    <w:rsid w:val="00191DF8"/>
    <w:pPr>
      <w:ind w:left="880"/>
    </w:pPr>
    <w:rPr>
      <w:rFonts w:cstheme="minorHAnsi"/>
      <w:sz w:val="20"/>
      <w:szCs w:val="20"/>
    </w:rPr>
  </w:style>
  <w:style w:type="paragraph" w:styleId="TOC6">
    <w:name w:val="toc 6"/>
    <w:basedOn w:val="Normal"/>
    <w:uiPriority w:val="39"/>
    <w:qFormat/>
    <w:rsid w:val="00191DF8"/>
    <w:pPr>
      <w:ind w:left="1100"/>
    </w:pPr>
    <w:rPr>
      <w:rFonts w:cstheme="minorHAnsi"/>
      <w:sz w:val="20"/>
      <w:szCs w:val="20"/>
    </w:rPr>
  </w:style>
  <w:style w:type="paragraph" w:styleId="BodyText">
    <w:name w:val="Body Text"/>
    <w:basedOn w:val="Normal"/>
    <w:link w:val="BodyTextChar"/>
    <w:uiPriority w:val="1"/>
    <w:qFormat/>
    <w:rsid w:val="00191DF8"/>
    <w:pPr>
      <w:ind w:left="119"/>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191DF8"/>
    <w:rPr>
      <w:rFonts w:ascii="Times New Roman" w:eastAsia="Times New Roman" w:hAnsi="Times New Roman"/>
      <w:sz w:val="23"/>
      <w:szCs w:val="23"/>
    </w:rPr>
  </w:style>
  <w:style w:type="paragraph" w:styleId="ListParagraph">
    <w:name w:val="List Paragraph"/>
    <w:basedOn w:val="Normal"/>
    <w:uiPriority w:val="34"/>
    <w:qFormat/>
    <w:rsid w:val="00191DF8"/>
  </w:style>
  <w:style w:type="paragraph" w:customStyle="1" w:styleId="TableParagraph">
    <w:name w:val="Table Paragraph"/>
    <w:basedOn w:val="Normal"/>
    <w:uiPriority w:val="1"/>
    <w:qFormat/>
    <w:rsid w:val="00191DF8"/>
  </w:style>
  <w:style w:type="character" w:styleId="CommentReference">
    <w:name w:val="annotation reference"/>
    <w:aliases w:val="Comment Text Style"/>
    <w:basedOn w:val="DefaultParagraphFont"/>
    <w:uiPriority w:val="99"/>
    <w:unhideWhenUsed/>
    <w:rsid w:val="00191DF8"/>
    <w:rPr>
      <w:sz w:val="16"/>
      <w:szCs w:val="16"/>
    </w:rPr>
  </w:style>
  <w:style w:type="paragraph" w:styleId="CommentText">
    <w:name w:val="annotation text"/>
    <w:basedOn w:val="Normal"/>
    <w:link w:val="CommentTextChar"/>
    <w:uiPriority w:val="99"/>
    <w:unhideWhenUsed/>
    <w:rsid w:val="00191DF8"/>
    <w:rPr>
      <w:sz w:val="20"/>
      <w:szCs w:val="20"/>
    </w:rPr>
  </w:style>
  <w:style w:type="character" w:customStyle="1" w:styleId="CommentTextChar">
    <w:name w:val="Comment Text Char"/>
    <w:basedOn w:val="DefaultParagraphFont"/>
    <w:link w:val="CommentText"/>
    <w:uiPriority w:val="99"/>
    <w:rsid w:val="00191DF8"/>
    <w:rPr>
      <w:sz w:val="20"/>
      <w:szCs w:val="20"/>
    </w:rPr>
  </w:style>
  <w:style w:type="paragraph" w:styleId="CommentSubject">
    <w:name w:val="annotation subject"/>
    <w:basedOn w:val="CommentText"/>
    <w:next w:val="CommentText"/>
    <w:link w:val="CommentSubjectChar"/>
    <w:uiPriority w:val="99"/>
    <w:semiHidden/>
    <w:unhideWhenUsed/>
    <w:rsid w:val="00191DF8"/>
    <w:rPr>
      <w:b/>
      <w:bCs/>
    </w:rPr>
  </w:style>
  <w:style w:type="character" w:customStyle="1" w:styleId="CommentSubjectChar">
    <w:name w:val="Comment Subject Char"/>
    <w:basedOn w:val="CommentTextChar"/>
    <w:link w:val="CommentSubject"/>
    <w:uiPriority w:val="99"/>
    <w:semiHidden/>
    <w:rsid w:val="00191DF8"/>
    <w:rPr>
      <w:b/>
      <w:bCs/>
      <w:sz w:val="20"/>
      <w:szCs w:val="20"/>
    </w:rPr>
  </w:style>
  <w:style w:type="paragraph" w:styleId="BalloonText">
    <w:name w:val="Balloon Text"/>
    <w:basedOn w:val="Normal"/>
    <w:link w:val="BalloonTextChar"/>
    <w:uiPriority w:val="99"/>
    <w:semiHidden/>
    <w:unhideWhenUsed/>
    <w:rsid w:val="00191D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DF8"/>
    <w:rPr>
      <w:rFonts w:ascii="Segoe UI" w:hAnsi="Segoe UI" w:cs="Segoe UI"/>
      <w:sz w:val="18"/>
      <w:szCs w:val="18"/>
    </w:rPr>
  </w:style>
  <w:style w:type="paragraph" w:styleId="Revision">
    <w:name w:val="Revision"/>
    <w:hidden/>
    <w:uiPriority w:val="99"/>
    <w:semiHidden/>
    <w:rsid w:val="00191DF8"/>
    <w:pPr>
      <w:spacing w:after="0" w:line="240" w:lineRule="auto"/>
    </w:pPr>
  </w:style>
  <w:style w:type="character" w:styleId="Hyperlink">
    <w:name w:val="Hyperlink"/>
    <w:basedOn w:val="DefaultParagraphFont"/>
    <w:uiPriority w:val="99"/>
    <w:unhideWhenUsed/>
    <w:rsid w:val="00191DF8"/>
    <w:rPr>
      <w:color w:val="0000FF" w:themeColor="hyperlink"/>
      <w:u w:val="single"/>
    </w:rPr>
  </w:style>
  <w:style w:type="character" w:styleId="UnresolvedMention">
    <w:name w:val="Unresolved Mention"/>
    <w:basedOn w:val="DefaultParagraphFont"/>
    <w:uiPriority w:val="99"/>
    <w:unhideWhenUsed/>
    <w:rsid w:val="00191DF8"/>
    <w:rPr>
      <w:color w:val="605E5C"/>
      <w:shd w:val="clear" w:color="auto" w:fill="E1DFDD"/>
    </w:rPr>
  </w:style>
  <w:style w:type="paragraph" w:styleId="Header">
    <w:name w:val="header"/>
    <w:basedOn w:val="Normal"/>
    <w:link w:val="HeaderChar"/>
    <w:uiPriority w:val="99"/>
    <w:unhideWhenUsed/>
    <w:rsid w:val="00191DF8"/>
    <w:pPr>
      <w:tabs>
        <w:tab w:val="center" w:pos="4680"/>
        <w:tab w:val="right" w:pos="9360"/>
      </w:tabs>
    </w:pPr>
  </w:style>
  <w:style w:type="character" w:customStyle="1" w:styleId="HeaderChar">
    <w:name w:val="Header Char"/>
    <w:basedOn w:val="DefaultParagraphFont"/>
    <w:link w:val="Header"/>
    <w:uiPriority w:val="99"/>
    <w:rsid w:val="00191DF8"/>
  </w:style>
  <w:style w:type="paragraph" w:styleId="Footer">
    <w:name w:val="footer"/>
    <w:basedOn w:val="Normal"/>
    <w:link w:val="FooterChar"/>
    <w:uiPriority w:val="99"/>
    <w:unhideWhenUsed/>
    <w:rsid w:val="00191DF8"/>
    <w:pPr>
      <w:tabs>
        <w:tab w:val="center" w:pos="4680"/>
        <w:tab w:val="right" w:pos="9360"/>
      </w:tabs>
    </w:pPr>
  </w:style>
  <w:style w:type="character" w:customStyle="1" w:styleId="FooterChar">
    <w:name w:val="Footer Char"/>
    <w:basedOn w:val="DefaultParagraphFont"/>
    <w:link w:val="Footer"/>
    <w:uiPriority w:val="99"/>
    <w:rsid w:val="00191DF8"/>
  </w:style>
  <w:style w:type="paragraph" w:styleId="FootnoteText">
    <w:name w:val="footnote text"/>
    <w:basedOn w:val="Normal"/>
    <w:link w:val="FootnoteTextChar"/>
    <w:uiPriority w:val="99"/>
    <w:unhideWhenUsed/>
    <w:rsid w:val="00191DF8"/>
    <w:rPr>
      <w:sz w:val="20"/>
      <w:szCs w:val="20"/>
    </w:rPr>
  </w:style>
  <w:style w:type="character" w:customStyle="1" w:styleId="FootnoteTextChar">
    <w:name w:val="Footnote Text Char"/>
    <w:basedOn w:val="DefaultParagraphFont"/>
    <w:link w:val="FootnoteText"/>
    <w:uiPriority w:val="99"/>
    <w:rsid w:val="00191DF8"/>
    <w:rPr>
      <w:sz w:val="20"/>
      <w:szCs w:val="20"/>
    </w:rPr>
  </w:style>
  <w:style w:type="character" w:styleId="FootnoteReference">
    <w:name w:val="footnote reference"/>
    <w:basedOn w:val="DefaultParagraphFont"/>
    <w:uiPriority w:val="99"/>
    <w:unhideWhenUsed/>
    <w:rsid w:val="00191DF8"/>
    <w:rPr>
      <w:vertAlign w:val="superscript"/>
    </w:rPr>
  </w:style>
  <w:style w:type="paragraph" w:customStyle="1" w:styleId="Default">
    <w:name w:val="Default"/>
    <w:rsid w:val="00191DF8"/>
    <w:pPr>
      <w:autoSpaceDE w:val="0"/>
      <w:autoSpaceDN w:val="0"/>
      <w:adjustRightInd w:val="0"/>
      <w:spacing w:after="0" w:line="240" w:lineRule="auto"/>
    </w:pPr>
    <w:rPr>
      <w:rFonts w:ascii="DIN Pro" w:hAnsi="DIN Pro" w:cs="DIN Pro"/>
      <w:color w:val="000000"/>
      <w:sz w:val="24"/>
      <w:szCs w:val="24"/>
    </w:rPr>
  </w:style>
  <w:style w:type="character" w:customStyle="1" w:styleId="A1">
    <w:name w:val="A1"/>
    <w:uiPriority w:val="99"/>
    <w:rsid w:val="00191DF8"/>
    <w:rPr>
      <w:rFonts w:cs="DIN Pro"/>
      <w:color w:val="000000"/>
      <w:sz w:val="14"/>
      <w:szCs w:val="14"/>
    </w:rPr>
  </w:style>
  <w:style w:type="character" w:customStyle="1" w:styleId="A2">
    <w:name w:val="A2"/>
    <w:uiPriority w:val="99"/>
    <w:rsid w:val="00191DF8"/>
    <w:rPr>
      <w:rFonts w:cs="DIN Pro"/>
      <w:color w:val="000000"/>
      <w:sz w:val="14"/>
      <w:szCs w:val="14"/>
      <w:u w:val="single"/>
    </w:rPr>
  </w:style>
  <w:style w:type="paragraph" w:customStyle="1" w:styleId="NormalDoubleSpaceIndentLine1">
    <w:name w:val="Normal Double Space Indent Line 1"/>
    <w:basedOn w:val="Normal"/>
    <w:link w:val="NormalDoubleSpaceIndentLine1Char"/>
    <w:autoRedefine/>
    <w:rsid w:val="00191DF8"/>
    <w:pPr>
      <w:widowControl/>
      <w:tabs>
        <w:tab w:val="left" w:pos="720"/>
      </w:tabs>
      <w:spacing w:line="480" w:lineRule="auto"/>
    </w:pPr>
    <w:rPr>
      <w:rFonts w:ascii="Times New Roman" w:eastAsia="Times New Roman" w:hAnsi="Times New Roman" w:cs="Times New Roman"/>
      <w:sz w:val="24"/>
      <w:szCs w:val="24"/>
    </w:rPr>
  </w:style>
  <w:style w:type="character" w:customStyle="1" w:styleId="NormalDoubleSpaceIndentLine1Char">
    <w:name w:val="Normal Double Space Indent Line 1 Char"/>
    <w:link w:val="NormalDoubleSpaceIndentLine1"/>
    <w:rsid w:val="00191DF8"/>
    <w:rPr>
      <w:rFonts w:ascii="Times New Roman" w:eastAsia="Times New Roman" w:hAnsi="Times New Roman" w:cs="Times New Roman"/>
      <w:sz w:val="24"/>
      <w:szCs w:val="24"/>
    </w:rPr>
  </w:style>
  <w:style w:type="character" w:customStyle="1" w:styleId="FRCodifiedIndent36ptChar">
    <w:name w:val="FR Codified Indent 36 pt Char"/>
    <w:link w:val="FRCodifiedIndent36pt"/>
    <w:rsid w:val="00191DF8"/>
  </w:style>
  <w:style w:type="paragraph" w:customStyle="1" w:styleId="FRCodifiedIndent36pt">
    <w:name w:val="FR Codified Indent 36 pt"/>
    <w:basedOn w:val="Normal"/>
    <w:link w:val="FRCodifiedIndent36ptChar"/>
    <w:autoRedefine/>
    <w:rsid w:val="00191DF8"/>
    <w:pPr>
      <w:widowControl/>
      <w:spacing w:line="480" w:lineRule="auto"/>
      <w:ind w:firstLine="720"/>
    </w:pPr>
  </w:style>
  <w:style w:type="character" w:styleId="FollowedHyperlink">
    <w:name w:val="FollowedHyperlink"/>
    <w:basedOn w:val="DefaultParagraphFont"/>
    <w:uiPriority w:val="99"/>
    <w:semiHidden/>
    <w:unhideWhenUsed/>
    <w:rsid w:val="00191DF8"/>
    <w:rPr>
      <w:color w:val="800080" w:themeColor="followedHyperlink"/>
      <w:u w:val="single"/>
    </w:rPr>
  </w:style>
  <w:style w:type="table" w:styleId="TableGrid">
    <w:name w:val="Table Grid"/>
    <w:basedOn w:val="TableNormal"/>
    <w:uiPriority w:val="39"/>
    <w:rsid w:val="00191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1DF8"/>
    <w:pPr>
      <w:widowControl w:val="0"/>
      <w:spacing w:after="0" w:line="240" w:lineRule="auto"/>
    </w:pPr>
  </w:style>
  <w:style w:type="character" w:styleId="PlaceholderText">
    <w:name w:val="Placeholder Text"/>
    <w:basedOn w:val="DefaultParagraphFont"/>
    <w:uiPriority w:val="99"/>
    <w:semiHidden/>
    <w:rsid w:val="00191DF8"/>
    <w:rPr>
      <w:color w:val="808080"/>
    </w:rPr>
  </w:style>
  <w:style w:type="paragraph" w:customStyle="1" w:styleId="GuidanceParagraph">
    <w:name w:val="Guidance Paragraph"/>
    <w:basedOn w:val="Normal"/>
    <w:link w:val="GuidanceParagraphChar"/>
    <w:autoRedefine/>
    <w:qFormat/>
    <w:rsid w:val="00E47C04"/>
    <w:pPr>
      <w:widowControl/>
      <w:tabs>
        <w:tab w:val="left" w:pos="4950"/>
      </w:tabs>
      <w:spacing w:after="240"/>
    </w:pPr>
    <w:rPr>
      <w:rFonts w:ascii="Times New Roman" w:eastAsia="Times New Roman" w:hAnsi="Times New Roman" w:cs="Times New Roman"/>
      <w:bCs/>
      <w:sz w:val="24"/>
      <w:szCs w:val="24"/>
    </w:rPr>
  </w:style>
  <w:style w:type="paragraph" w:customStyle="1" w:styleId="FSMAPCGuideBulletLevel1">
    <w:name w:val="FSMA PC Guide Bullet Level 1"/>
    <w:basedOn w:val="ListBullet"/>
    <w:autoRedefine/>
    <w:qFormat/>
    <w:rsid w:val="00191DF8"/>
    <w:pPr>
      <w:widowControl/>
      <w:numPr>
        <w:numId w:val="0"/>
      </w:numPr>
      <w:spacing w:after="120"/>
      <w:ind w:left="1559" w:hanging="360"/>
      <w:contextualSpacing w:val="0"/>
    </w:pPr>
    <w:rPr>
      <w:rFonts w:ascii="Arial" w:eastAsia="Times New Roman" w:hAnsi="Arial" w:cs="Arial"/>
      <w:color w:val="000000"/>
    </w:rPr>
  </w:style>
  <w:style w:type="paragraph" w:styleId="ListBullet">
    <w:name w:val="List Bullet"/>
    <w:basedOn w:val="Normal"/>
    <w:uiPriority w:val="99"/>
    <w:semiHidden/>
    <w:unhideWhenUsed/>
    <w:rsid w:val="00191DF8"/>
    <w:pPr>
      <w:numPr>
        <w:numId w:val="1"/>
      </w:numPr>
      <w:contextualSpacing/>
    </w:pPr>
  </w:style>
  <w:style w:type="paragraph" w:styleId="Caption">
    <w:name w:val="caption"/>
    <w:basedOn w:val="Normal"/>
    <w:next w:val="Normal"/>
    <w:uiPriority w:val="35"/>
    <w:unhideWhenUsed/>
    <w:qFormat/>
    <w:rsid w:val="00191DF8"/>
    <w:pPr>
      <w:widowControl/>
      <w:spacing w:after="160"/>
    </w:pPr>
    <w:rPr>
      <w:rFonts w:eastAsiaTheme="minorEastAsia"/>
      <w:b/>
      <w:bCs/>
      <w:color w:val="404040" w:themeColor="text1" w:themeTint="BF"/>
      <w:sz w:val="16"/>
      <w:szCs w:val="16"/>
    </w:rPr>
  </w:style>
  <w:style w:type="paragraph" w:styleId="Title">
    <w:name w:val="Title"/>
    <w:basedOn w:val="Normal"/>
    <w:next w:val="Normal"/>
    <w:link w:val="TitleChar"/>
    <w:uiPriority w:val="10"/>
    <w:qFormat/>
    <w:rsid w:val="00191DF8"/>
    <w:pPr>
      <w:widowControl/>
      <w:pBdr>
        <w:top w:val="single" w:sz="6" w:space="8" w:color="9BBB59" w:themeColor="accent3"/>
        <w:bottom w:val="single" w:sz="6" w:space="8" w:color="9BBB59" w:themeColor="accent3"/>
      </w:pBdr>
      <w:spacing w:after="400"/>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191DF8"/>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191DF8"/>
    <w:pPr>
      <w:widowControl/>
      <w:numPr>
        <w:ilvl w:val="1"/>
      </w:numPr>
      <w:spacing w:after="160" w:line="300" w:lineRule="auto"/>
      <w:jc w:val="center"/>
    </w:pPr>
    <w:rPr>
      <w:rFonts w:eastAsiaTheme="minorEastAsia"/>
      <w:color w:val="1F497D" w:themeColor="text2"/>
      <w:sz w:val="28"/>
      <w:szCs w:val="28"/>
    </w:rPr>
  </w:style>
  <w:style w:type="character" w:customStyle="1" w:styleId="SubtitleChar">
    <w:name w:val="Subtitle Char"/>
    <w:basedOn w:val="DefaultParagraphFont"/>
    <w:link w:val="Subtitle"/>
    <w:uiPriority w:val="11"/>
    <w:rsid w:val="00191DF8"/>
    <w:rPr>
      <w:rFonts w:eastAsiaTheme="minorEastAsia"/>
      <w:color w:val="1F497D" w:themeColor="text2"/>
      <w:sz w:val="28"/>
      <w:szCs w:val="28"/>
    </w:rPr>
  </w:style>
  <w:style w:type="character" w:styleId="Strong">
    <w:name w:val="Strong"/>
    <w:basedOn w:val="DefaultParagraphFont"/>
    <w:uiPriority w:val="22"/>
    <w:qFormat/>
    <w:rsid w:val="00191DF8"/>
    <w:rPr>
      <w:b/>
      <w:bCs/>
    </w:rPr>
  </w:style>
  <w:style w:type="character" w:styleId="Emphasis">
    <w:name w:val="Emphasis"/>
    <w:basedOn w:val="DefaultParagraphFont"/>
    <w:uiPriority w:val="20"/>
    <w:qFormat/>
    <w:rsid w:val="00191DF8"/>
    <w:rPr>
      <w:i/>
      <w:iCs/>
      <w:color w:val="000000" w:themeColor="text1"/>
    </w:rPr>
  </w:style>
  <w:style w:type="paragraph" w:styleId="Quote">
    <w:name w:val="Quote"/>
    <w:basedOn w:val="Normal"/>
    <w:next w:val="Normal"/>
    <w:link w:val="QuoteChar"/>
    <w:uiPriority w:val="29"/>
    <w:qFormat/>
    <w:rsid w:val="00191DF8"/>
    <w:pPr>
      <w:widowControl/>
      <w:spacing w:before="160" w:after="160" w:line="300" w:lineRule="auto"/>
      <w:ind w:left="720" w:right="720"/>
      <w:jc w:val="center"/>
    </w:pPr>
    <w:rPr>
      <w:rFonts w:eastAsiaTheme="minorEastAsia"/>
      <w:i/>
      <w:iCs/>
      <w:color w:val="76923C" w:themeColor="accent3" w:themeShade="BF"/>
      <w:sz w:val="24"/>
      <w:szCs w:val="24"/>
    </w:rPr>
  </w:style>
  <w:style w:type="character" w:customStyle="1" w:styleId="QuoteChar">
    <w:name w:val="Quote Char"/>
    <w:basedOn w:val="DefaultParagraphFont"/>
    <w:link w:val="Quote"/>
    <w:uiPriority w:val="29"/>
    <w:rsid w:val="00191DF8"/>
    <w:rPr>
      <w:rFonts w:eastAsiaTheme="minorEastAsia"/>
      <w:i/>
      <w:iCs/>
      <w:color w:val="76923C" w:themeColor="accent3" w:themeShade="BF"/>
      <w:sz w:val="24"/>
      <w:szCs w:val="24"/>
    </w:rPr>
  </w:style>
  <w:style w:type="paragraph" w:styleId="IntenseQuote">
    <w:name w:val="Intense Quote"/>
    <w:basedOn w:val="Normal"/>
    <w:next w:val="Normal"/>
    <w:link w:val="IntenseQuoteChar"/>
    <w:uiPriority w:val="30"/>
    <w:qFormat/>
    <w:rsid w:val="00191DF8"/>
    <w:pPr>
      <w:widowControl/>
      <w:spacing w:before="160" w:after="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191DF8"/>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191DF8"/>
    <w:rPr>
      <w:i/>
      <w:iCs/>
      <w:color w:val="595959" w:themeColor="text1" w:themeTint="A6"/>
    </w:rPr>
  </w:style>
  <w:style w:type="character" w:styleId="IntenseEmphasis">
    <w:name w:val="Intense Emphasis"/>
    <w:basedOn w:val="DefaultParagraphFont"/>
    <w:uiPriority w:val="21"/>
    <w:qFormat/>
    <w:rsid w:val="00191DF8"/>
    <w:rPr>
      <w:b/>
      <w:bCs/>
      <w:i/>
      <w:iCs/>
      <w:color w:val="auto"/>
    </w:rPr>
  </w:style>
  <w:style w:type="character" w:styleId="SubtleReference">
    <w:name w:val="Subtle Reference"/>
    <w:basedOn w:val="DefaultParagraphFont"/>
    <w:uiPriority w:val="31"/>
    <w:qFormat/>
    <w:rsid w:val="00191DF8"/>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191DF8"/>
    <w:rPr>
      <w:b/>
      <w:bCs/>
      <w:caps w:val="0"/>
      <w:smallCaps/>
      <w:color w:val="auto"/>
      <w:spacing w:val="0"/>
      <w:u w:val="single"/>
    </w:rPr>
  </w:style>
  <w:style w:type="character" w:styleId="BookTitle">
    <w:name w:val="Book Title"/>
    <w:basedOn w:val="DefaultParagraphFont"/>
    <w:uiPriority w:val="33"/>
    <w:qFormat/>
    <w:rsid w:val="00191DF8"/>
    <w:rPr>
      <w:b/>
      <w:bCs/>
      <w:caps w:val="0"/>
      <w:smallCaps/>
      <w:spacing w:val="0"/>
    </w:rPr>
  </w:style>
  <w:style w:type="paragraph" w:styleId="TOCHeading">
    <w:name w:val="TOC Heading"/>
    <w:basedOn w:val="Heading1"/>
    <w:next w:val="Normal"/>
    <w:uiPriority w:val="39"/>
    <w:unhideWhenUsed/>
    <w:qFormat/>
    <w:rsid w:val="00191DF8"/>
    <w:pPr>
      <w:keepNext/>
      <w:keepLines/>
      <w:widowControl/>
      <w:spacing w:before="320" w:after="80"/>
      <w:ind w:left="0" w:firstLine="0"/>
      <w:jc w:val="center"/>
      <w:outlineLvl w:val="9"/>
    </w:pPr>
    <w:rPr>
      <w:rFonts w:asciiTheme="majorHAnsi" w:eastAsiaTheme="majorEastAsia" w:hAnsiTheme="majorHAnsi" w:cstheme="majorBidi"/>
      <w:b w:val="0"/>
      <w:bCs w:val="0"/>
      <w:color w:val="365F91" w:themeColor="accent1" w:themeShade="BF"/>
      <w:sz w:val="40"/>
      <w:szCs w:val="40"/>
    </w:rPr>
  </w:style>
  <w:style w:type="paragraph" w:styleId="TOC7">
    <w:name w:val="toc 7"/>
    <w:basedOn w:val="Normal"/>
    <w:next w:val="Normal"/>
    <w:autoRedefine/>
    <w:uiPriority w:val="39"/>
    <w:unhideWhenUsed/>
    <w:rsid w:val="00191DF8"/>
    <w:pPr>
      <w:ind w:left="1320"/>
    </w:pPr>
    <w:rPr>
      <w:rFonts w:cstheme="minorHAnsi"/>
      <w:sz w:val="20"/>
      <w:szCs w:val="20"/>
    </w:rPr>
  </w:style>
  <w:style w:type="paragraph" w:styleId="TOC8">
    <w:name w:val="toc 8"/>
    <w:basedOn w:val="Normal"/>
    <w:next w:val="Normal"/>
    <w:autoRedefine/>
    <w:uiPriority w:val="39"/>
    <w:unhideWhenUsed/>
    <w:rsid w:val="00191DF8"/>
    <w:pPr>
      <w:ind w:left="1540"/>
    </w:pPr>
    <w:rPr>
      <w:rFonts w:cstheme="minorHAnsi"/>
      <w:sz w:val="20"/>
      <w:szCs w:val="20"/>
    </w:rPr>
  </w:style>
  <w:style w:type="paragraph" w:styleId="TOC9">
    <w:name w:val="toc 9"/>
    <w:basedOn w:val="Normal"/>
    <w:next w:val="Normal"/>
    <w:autoRedefine/>
    <w:uiPriority w:val="39"/>
    <w:unhideWhenUsed/>
    <w:rsid w:val="00191DF8"/>
    <w:pPr>
      <w:ind w:left="1760"/>
    </w:pPr>
    <w:rPr>
      <w:rFonts w:cstheme="minorHAnsi"/>
      <w:sz w:val="20"/>
      <w:szCs w:val="20"/>
    </w:rPr>
  </w:style>
  <w:style w:type="table" w:styleId="PlainTable1">
    <w:name w:val="Plain Table 1"/>
    <w:basedOn w:val="TableNormal"/>
    <w:uiPriority w:val="41"/>
    <w:rsid w:val="00191DF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191D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91DF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GuidanceParagraphChar">
    <w:name w:val="Guidance Paragraph Char"/>
    <w:basedOn w:val="DefaultParagraphFont"/>
    <w:link w:val="GuidanceParagraph"/>
    <w:rsid w:val="00E47C04"/>
    <w:rPr>
      <w:rFonts w:ascii="Times New Roman" w:eastAsia="Times New Roman" w:hAnsi="Times New Roman" w:cs="Times New Roman"/>
      <w:bCs/>
      <w:sz w:val="24"/>
      <w:szCs w:val="24"/>
    </w:rPr>
  </w:style>
  <w:style w:type="character" w:customStyle="1" w:styleId="infovalue2">
    <w:name w:val="info_value2"/>
    <w:basedOn w:val="DefaultParagraphFont"/>
    <w:rsid w:val="00191DF8"/>
  </w:style>
  <w:style w:type="paragraph" w:customStyle="1" w:styleId="HHS508GuidanceTitle">
    <w:name w:val="HHS 508 Guidance Title"/>
    <w:basedOn w:val="Heading1"/>
    <w:next w:val="Normal"/>
    <w:autoRedefine/>
    <w:rsid w:val="00BA3546"/>
    <w:pPr>
      <w:keepNext/>
      <w:widowControl/>
      <w:spacing w:before="120" w:after="360"/>
      <w:ind w:left="0" w:firstLine="0"/>
      <w:jc w:val="center"/>
    </w:pPr>
    <w:rPr>
      <w:rFonts w:cs="Times New Roman"/>
      <w:spacing w:val="-1"/>
      <w:kern w:val="32"/>
      <w:sz w:val="52"/>
      <w:szCs w:val="52"/>
    </w:rPr>
  </w:style>
  <w:style w:type="paragraph" w:customStyle="1" w:styleId="HHS508GuidanceOutline1">
    <w:name w:val="HHS 508 Guidance Outline 1"/>
    <w:basedOn w:val="Heading2"/>
    <w:next w:val="Normal"/>
    <w:autoRedefine/>
    <w:rsid w:val="00A16344"/>
    <w:pPr>
      <w:keepNext/>
      <w:widowControl/>
      <w:numPr>
        <w:numId w:val="11"/>
      </w:numPr>
      <w:tabs>
        <w:tab w:val="left" w:pos="450"/>
        <w:tab w:val="left" w:pos="540"/>
      </w:tabs>
      <w:spacing w:before="240" w:after="240"/>
      <w:ind w:hanging="180"/>
      <w:outlineLvl w:val="0"/>
    </w:pPr>
    <w:rPr>
      <w:rFonts w:cs="Times New Roman"/>
      <w:sz w:val="32"/>
      <w:szCs w:val="27"/>
    </w:rPr>
  </w:style>
  <w:style w:type="paragraph" w:customStyle="1" w:styleId="HHS508GuidanceOutline2">
    <w:name w:val="HHS 508 Guidance Outline 2"/>
    <w:basedOn w:val="Heading3"/>
    <w:next w:val="Normal"/>
    <w:autoRedefine/>
    <w:rsid w:val="00BA2C8F"/>
    <w:pPr>
      <w:keepNext/>
      <w:widowControl/>
      <w:numPr>
        <w:numId w:val="5"/>
      </w:numPr>
      <w:spacing w:before="240" w:after="240"/>
      <w:ind w:left="720" w:hanging="360"/>
    </w:pPr>
    <w:rPr>
      <w:rFonts w:cs="Times New Roman"/>
      <w:b/>
      <w:bCs/>
      <w:sz w:val="28"/>
      <w:szCs w:val="22"/>
    </w:rPr>
  </w:style>
  <w:style w:type="paragraph" w:customStyle="1" w:styleId="GuidanceBulletLevel1">
    <w:name w:val="Guidance Bullet Level 1"/>
    <w:basedOn w:val="ListBullet"/>
    <w:autoRedefine/>
    <w:rsid w:val="00690C44"/>
    <w:pPr>
      <w:widowControl/>
      <w:numPr>
        <w:numId w:val="60"/>
      </w:numPr>
      <w:spacing w:before="60" w:after="240"/>
      <w:ind w:hanging="720"/>
      <w:contextualSpacing w:val="0"/>
    </w:pPr>
    <w:rPr>
      <w:rFonts w:ascii="Times New Roman" w:hAnsi="Times New Roman" w:cs="Times New Roman"/>
      <w:color w:val="000000" w:themeColor="text1"/>
      <w:sz w:val="24"/>
      <w:szCs w:val="24"/>
    </w:rPr>
  </w:style>
  <w:style w:type="paragraph" w:customStyle="1" w:styleId="HHS508Guidanceoutline3">
    <w:name w:val="HHS 508 Guidance outline 3"/>
    <w:basedOn w:val="Heading3"/>
    <w:uiPriority w:val="1"/>
    <w:qFormat/>
    <w:rsid w:val="00BA2C8F"/>
    <w:pPr>
      <w:ind w:left="0" w:firstLine="0"/>
    </w:pPr>
    <w:rPr>
      <w:b/>
    </w:rPr>
  </w:style>
  <w:style w:type="paragraph" w:customStyle="1" w:styleId="HHS508GuidanceOutline30">
    <w:name w:val="HHS 508 Guidance Outline 3"/>
    <w:basedOn w:val="Heading4"/>
    <w:next w:val="Normal"/>
    <w:autoRedefine/>
    <w:rsid w:val="00BA2C8F"/>
    <w:pPr>
      <w:keepNext/>
      <w:widowControl/>
      <w:numPr>
        <w:numId w:val="2"/>
      </w:numPr>
      <w:tabs>
        <w:tab w:val="left" w:pos="990"/>
        <w:tab w:val="left" w:pos="1170"/>
      </w:tabs>
      <w:spacing w:before="240" w:after="240"/>
      <w:ind w:left="720"/>
    </w:pPr>
    <w:rPr>
      <w:rFonts w:cs="Times New Roman"/>
      <w:iCs/>
      <w:sz w:val="24"/>
      <w:szCs w:val="24"/>
    </w:rPr>
  </w:style>
  <w:style w:type="paragraph" w:customStyle="1" w:styleId="HHS508GuidanceOutline4">
    <w:name w:val="HHS 508 Guidance Outline 4"/>
    <w:basedOn w:val="GuidanceParagraph"/>
    <w:next w:val="Normal"/>
    <w:autoRedefine/>
    <w:rsid w:val="00DF5319"/>
    <w:pPr>
      <w:numPr>
        <w:numId w:val="33"/>
      </w:numPr>
      <w:tabs>
        <w:tab w:val="left" w:pos="1260"/>
        <w:tab w:val="left" w:pos="1440"/>
        <w:tab w:val="clear" w:pos="4950"/>
      </w:tabs>
    </w:pPr>
    <w:rPr>
      <w:b/>
      <w:bCs w:val="0"/>
      <w:iCs/>
    </w:rPr>
  </w:style>
  <w:style w:type="paragraph" w:customStyle="1" w:styleId="GuidanceBulletLevel2">
    <w:name w:val="Guidance Bullet Level 2"/>
    <w:basedOn w:val="ListBullet2"/>
    <w:autoRedefine/>
    <w:rsid w:val="00BA2C8F"/>
    <w:pPr>
      <w:widowControl/>
      <w:numPr>
        <w:ilvl w:val="1"/>
        <w:numId w:val="18"/>
      </w:numPr>
      <w:tabs>
        <w:tab w:val="num" w:pos="360"/>
      </w:tabs>
      <w:spacing w:after="240"/>
      <w:contextualSpacing w:val="0"/>
    </w:pPr>
    <w:rPr>
      <w:rFonts w:ascii="Times New Roman" w:eastAsia="Times New Roman" w:hAnsi="Times New Roman" w:cs="Times New Roman"/>
      <w:bCs/>
      <w:color w:val="000000"/>
      <w:sz w:val="24"/>
    </w:rPr>
  </w:style>
  <w:style w:type="paragraph" w:styleId="ListBullet2">
    <w:name w:val="List Bullet 2"/>
    <w:basedOn w:val="Normal"/>
    <w:uiPriority w:val="99"/>
    <w:semiHidden/>
    <w:unhideWhenUsed/>
    <w:rsid w:val="000F2F45"/>
    <w:pPr>
      <w:ind w:left="1080" w:hanging="360"/>
      <w:contextualSpacing/>
    </w:pPr>
  </w:style>
  <w:style w:type="paragraph" w:customStyle="1" w:styleId="StyleCaptionArial11pt6ptafter">
    <w:name w:val="Style Caption + Arial 11 pt + 6pt after"/>
    <w:basedOn w:val="Caption"/>
    <w:qFormat/>
    <w:rsid w:val="008573BE"/>
    <w:pPr>
      <w:spacing w:after="120"/>
    </w:pPr>
    <w:rPr>
      <w:rFonts w:ascii="Times New Roman" w:eastAsia="Times New Roman" w:hAnsi="Times New Roman" w:cs="Times New Roman"/>
      <w:bCs w:val="0"/>
      <w:color w:val="000000" w:themeColor="text1"/>
      <w:sz w:val="24"/>
      <w:szCs w:val="24"/>
    </w:rPr>
  </w:style>
  <w:style w:type="paragraph" w:customStyle="1" w:styleId="FRPreambleParaIndentFirstLine05inch">
    <w:name w:val="FR Preamble Para Indent First Line 0.5 inch"/>
    <w:basedOn w:val="Normal"/>
    <w:autoRedefine/>
    <w:rsid w:val="00845337"/>
    <w:pPr>
      <w:widowControl/>
      <w:spacing w:line="480" w:lineRule="auto"/>
      <w:ind w:firstLine="720"/>
    </w:pPr>
    <w:rPr>
      <w:rFonts w:ascii="Times New Roman" w:eastAsia="Times New Roman" w:hAnsi="Times New Roman" w:cs="Times New Roman"/>
      <w:sz w:val="24"/>
      <w:szCs w:val="20"/>
    </w:rPr>
  </w:style>
  <w:style w:type="character" w:styleId="Mention">
    <w:name w:val="Mention"/>
    <w:basedOn w:val="DefaultParagraphFont"/>
    <w:uiPriority w:val="99"/>
    <w:unhideWhenUsed/>
    <w:rsid w:val="004B70CB"/>
    <w:rPr>
      <w:color w:val="2B579A"/>
      <w:shd w:val="clear" w:color="auto" w:fill="E1DFDD"/>
    </w:rPr>
  </w:style>
  <w:style w:type="paragraph" w:customStyle="1" w:styleId="box">
    <w:name w:val="box"/>
    <w:basedOn w:val="BodyText"/>
    <w:rsid w:val="00686A9E"/>
    <w:pPr>
      <w:widowControl/>
      <w:pBdr>
        <w:top w:val="thinThickThinSmallGap" w:sz="24" w:space="1" w:color="auto"/>
        <w:left w:val="thinThickThinSmallGap" w:sz="24" w:space="4" w:color="auto"/>
        <w:bottom w:val="thinThickThinSmallGap" w:sz="24" w:space="1" w:color="auto"/>
        <w:right w:val="thinThickThinSmallGap" w:sz="24" w:space="4" w:color="auto"/>
      </w:pBdr>
      <w:ind w:left="0"/>
    </w:pPr>
    <w:rPr>
      <w:rFonts w:cs="Times New Roman"/>
      <w:bCs/>
      <w:color w:val="000000" w:themeColor="text1"/>
      <w:sz w:val="24"/>
      <w:szCs w:val="24"/>
    </w:rPr>
  </w:style>
  <w:style w:type="character" w:customStyle="1" w:styleId="normaltextrun">
    <w:name w:val="normaltextrun"/>
    <w:basedOn w:val="DefaultParagraphFont"/>
    <w:rsid w:val="00FE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da.gov/food/food-safety-modernization-act-fsma/fsma-technical-assistance-network-tan" TargetMode="External" /><Relationship Id="rId11" Type="http://schemas.openxmlformats.org/officeDocument/2006/relationships/hyperlink" Target="https://www.fda.gov/food/food-safety-modernization-act-fsma/fsma-inflation-adjusted-cut-offs" TargetMode="External" /><Relationship Id="rId12" Type="http://schemas.openxmlformats.org/officeDocument/2006/relationships/hyperlink" Target="https://www.fda.gov/media/94332/download" TargetMode="External" /><Relationship Id="rId13" Type="http://schemas.openxmlformats.org/officeDocument/2006/relationships/image" Target="media/image1.png" /><Relationship Id="rId14" Type="http://schemas.openxmlformats.org/officeDocument/2006/relationships/hyperlink" Target="https://www.fda.gov/food/laboratory-methods-food/equivalent-testing-methodology-agricultural-water" TargetMode="External" /><Relationship Id="rId15" Type="http://schemas.openxmlformats.org/officeDocument/2006/relationships/hyperlink" Target="https://iaspub.epa.gov/apex/pesticides/f?p=PPLS%3A1" TargetMode="External" /><Relationship Id="rId16" Type="http://schemas.openxmlformats.org/officeDocument/2006/relationships/hyperlink" Target="https://www.fda.gov/food/laboratory-methods-food/equivalent-testing-methodologies-listeria-species-and-listeria-monocytogenes-environmental-samples" TargetMode="External" /><Relationship Id="rId17" Type="http://schemas.openxmlformats.org/officeDocument/2006/relationships/hyperlink" Target="https://www.fda.gov/food/food-safety-modernization-act-fsma/fsma-final-rule-laboratory-accreditation-analyses-foods-laaf" TargetMode="External" /><Relationship Id="rId18" Type="http://schemas.openxmlformats.org/officeDocument/2006/relationships/hyperlink" Target="https://www.fda.gov/media/132369/download" TargetMode="External" /><Relationship Id="rId19" Type="http://schemas.openxmlformats.org/officeDocument/2006/relationships/hyperlink" Target="https://www.fda.gov/food/laboratory-methods-food/bam-chapter-10-detection-listeria-monocytogenes-foods-and-environmental-samples-and-enumeration" TargetMode="External" /><Relationship Id="rId2" Type="http://schemas.openxmlformats.org/officeDocument/2006/relationships/settings" Target="settings.xml" /><Relationship Id="rId20" Type="http://schemas.openxmlformats.org/officeDocument/2006/relationships/hyperlink" Target="https://www.fda.gov/media/83812/download" TargetMode="External" /><Relationship Id="rId21" Type="http://schemas.openxmlformats.org/officeDocument/2006/relationships/hyperlink" Target="https://www.fda.gov/food/guidance-regulation-food-and-dietary-supplements/food-safety-modernization-act-fsma" TargetMode="External" /><Relationship Id="rId22" Type="http://schemas.openxmlformats.org/officeDocument/2006/relationships/hyperlink" Target="https://www.fda.gov/food/science-research-food/laboratory-methods-food" TargetMode="External" /><Relationship Id="rId23" Type="http://schemas.openxmlformats.org/officeDocument/2006/relationships/image" Target="media/image2.jpeg" /><Relationship Id="rId24" Type="http://schemas.openxmlformats.org/officeDocument/2006/relationships/image" Target="media/image3.jpeg" /><Relationship Id="rId25" Type="http://schemas.openxmlformats.org/officeDocument/2006/relationships/hyperlink" Target="https://www.fda.gov/food/food-safety-modernization-act-fsma/food-traceability-list" TargetMode="External" /><Relationship Id="rId26" Type="http://schemas.openxmlformats.org/officeDocument/2006/relationships/hyperlink" Target="https://www.fda.gov/media/94358/download" TargetMode="External" /><Relationship Id="rId27" Type="http://schemas.openxmlformats.org/officeDocument/2006/relationships/hyperlink" Target="http://www.fda.gov/Food/GuidanceRegulation/GuidanceDocumentsRegulatoryInformation/ucm064574.htm" TargetMode="External" /><Relationship Id="rId28" Type="http://schemas.openxmlformats.org/officeDocument/2006/relationships/hyperlink" Target="https://wwwn.cdc.gov/norsdashboard/" TargetMode="External" /><Relationship Id="rId29" Type="http://schemas.openxmlformats.org/officeDocument/2006/relationships/hyperlink" Target="https://www.fda.gov/media/90409/download" TargetMode="External" /><Relationship Id="rId3" Type="http://schemas.openxmlformats.org/officeDocument/2006/relationships/webSettings" Target="webSettings.xml" /><Relationship Id="rId30" Type="http://schemas.openxmlformats.org/officeDocument/2006/relationships/hyperlink" Target="https://www.fda.gov/inspections-compliance-enforcement-and-criminal-investigations/warning-letters/sprouts-unlimited-inc-603883-02212020" TargetMode="External" /><Relationship Id="rId31" Type="http://schemas.openxmlformats.org/officeDocument/2006/relationships/hyperlink" Target="https://www.fda.gov/inspections-compliance-enforcement-and-criminal-investigations/warning-letters/chicago-indoor-garden-inc-606992-07302020" TargetMode="External" /><Relationship Id="rId32" Type="http://schemas.openxmlformats.org/officeDocument/2006/relationships/hyperlink" Target="http://wayback.archive-it.org/7993/20180908120136/https://www.fda.gov/Food/GuidanceRegulation/GuidanceDocumentsRegulatoryInformation/ProducePlantProducts/ucm078778.htm" TargetMode="External" /><Relationship Id="rId33" Type="http://schemas.openxmlformats.org/officeDocument/2006/relationships/hyperlink" Target="https://www.ifsh.iit.edu/sites/ifsh/files/departments/ssa/pdfs/fda1999_spent_irrigation_water.pdf" TargetMode="External" /><Relationship Id="rId34" Type="http://schemas.openxmlformats.org/officeDocument/2006/relationships/hyperlink" Target="https://www.fda.gov/media/127972/download" TargetMode="External" /><Relationship Id="rId35" Type="http://schemas.openxmlformats.org/officeDocument/2006/relationships/hyperlink" Target="https://www.fao.org/fao-who-codexalimentarius/sh-proxy/en/?lnk=1&amp;url=https%253A%252F%252Fworkspace.fao.org%252Fsites%252Fcodex%252FStandards%252FCXC%2B53-2003%252FCXC_053e.pdf" TargetMode="External" /><Relationship Id="rId36" Type="http://schemas.openxmlformats.org/officeDocument/2006/relationships/hyperlink" Target="https://www.ifsh.iit.edu/sites/ifsh/files/departments/Copyrighted%20US%20Sprout%20Industry%20Production%20Best%20PractiRef.ces%20052619.pdf" TargetMode="External" /><Relationship Id="rId37" Type="http://schemas.openxmlformats.org/officeDocument/2006/relationships/hyperlink" Target="https://eur-lex.europa.eu/legal-content/EN/TXT/HTML/?uri=CELEX:52017XX0708(01)&amp;from=EN" TargetMode="External" /><Relationship Id="rId38" Type="http://schemas.openxmlformats.org/officeDocument/2006/relationships/hyperlink" Target="https://www.fda.gov/regulatory-information/search-fda-guidance-documents/draft-guidance-industry-standards-growing-harvesting-packing-and-holding-produce-human-consumption" TargetMode="External" /><Relationship Id="rId39" Type="http://schemas.openxmlformats.org/officeDocument/2006/relationships/hyperlink" Target="https://www.ifsh.iit.edu/ssa/resources" TargetMode="External" /><Relationship Id="rId4" Type="http://schemas.openxmlformats.org/officeDocument/2006/relationships/fontTable" Target="fontTable.xml" /><Relationship Id="rId40" Type="http://schemas.openxmlformats.org/officeDocument/2006/relationships/hyperlink" Target="https://d1vy0qa05cdjr5.cloudfront.net/c6f30ca0-84ae-4613-bec0-5439702d4b9e/FSPCA%20-%20Sprouts/SSA%20curriculum%20V2.3%20-%20For%20PRINT%20watermark%20optimized.pdf" TargetMode="External" /><Relationship Id="rId41" Type="http://schemas.openxmlformats.org/officeDocument/2006/relationships/hyperlink" Target="https://www.ifsh.iit.edu/news/2012/02/iit-ifsh-launches-fda-funded-sprout-safety-alliance" TargetMode="External" /><Relationship Id="rId42" Type="http://schemas.openxmlformats.org/officeDocument/2006/relationships/hyperlink" Target="http://www.fda.gov/Food/GuidanceRegulation/FSMA/ucm461513.htm" TargetMode="External" /><Relationship Id="rId43" Type="http://schemas.openxmlformats.org/officeDocument/2006/relationships/hyperlink" Target="https://www.cfsph.iastate.edu/Disinfection/Assets/Disinfection101.pdf" TargetMode="External" /><Relationship Id="rId44" Type="http://schemas.openxmlformats.org/officeDocument/2006/relationships/hyperlink" Target="https://ucfoodsafety.ucdavis.edu/sites/g/files/dgvnsk7366/files/inline-files/26414.pdf" TargetMode="External" /><Relationship Id="rId45" Type="http://schemas.openxmlformats.org/officeDocument/2006/relationships/hyperlink" Target="https://ucanr.edu/sites/Postharvest_Technology_Center_/files/232177.pdf" TargetMode="External" /><Relationship Id="rId46" Type="http://schemas.openxmlformats.org/officeDocument/2006/relationships/hyperlink" Target="https://journals.flvc.org/edis/article/view/108301/103581" TargetMode="External" /><Relationship Id="rId47" Type="http://schemas.openxmlformats.org/officeDocument/2006/relationships/hyperlink" Target="http://edis.ifas.ufl.edu/topic_citrus_post_harvest" TargetMode="External" /><Relationship Id="rId48" Type="http://schemas.openxmlformats.org/officeDocument/2006/relationships/hyperlink" Target="https://www.food-safety.com/articles/7202-an-overview-of-historic-foodborne-illness-outbreak-investigations-linked-to-the-consumption-of-sprouts-20122020" TargetMode="External" /><Relationship Id="rId49" Type="http://schemas.openxmlformats.org/officeDocument/2006/relationships/hyperlink" Target="https://www.epa.gov/pesticide-registration/pesticide-registration-manual-chapter-13-devices" TargetMode="External" /><Relationship Id="rId5" Type="http://schemas.openxmlformats.org/officeDocument/2006/relationships/customXml" Target="../customXml/item1.xml" /><Relationship Id="rId50" Type="http://schemas.openxmlformats.org/officeDocument/2006/relationships/hyperlink" Target="http://npic.orst.edu/reg/state_agencies.html" TargetMode="External" /><Relationship Id="rId51" Type="http://schemas.openxmlformats.org/officeDocument/2006/relationships/hyperlink" Target="https://www3.epa.gov/pesticides/chem_search/ppls/005813-00114-20181030.pdf" TargetMode="External" /><Relationship Id="rId52" Type="http://schemas.openxmlformats.org/officeDocument/2006/relationships/hyperlink" Target="https://www.fda.gov/food/cfsan-risk-safety-assessments/quantitative-assessment-relative-risk-public-health-foodborne-listeria-monocytogenes-among-selected" TargetMode="External" /><Relationship Id="rId53" Type="http://schemas.openxmlformats.org/officeDocument/2006/relationships/hyperlink" Target="https://www.cdc.gov/listeria/outbreaks/bean-sprouts-11-14/index.html" TargetMode="External" /><Relationship Id="rId54" Type="http://schemas.openxmlformats.org/officeDocument/2006/relationships/hyperlink" Target="https://www.fda.gov/files/food/published/Evaluation-and-Definition-of-Potentially-Hazardous-Foods.pdf" TargetMode="External" /><Relationship Id="rId55" Type="http://schemas.openxmlformats.org/officeDocument/2006/relationships/hyperlink" Target="https://www.fao.org/fao-who-codexalimentarius/sh-proxy/en/?lnk=1&amp;url=https%253A%252F%252Fworkspace.fao.org%252Fsites%252Fcodex%252FStandards%252FCXG%2B61-2007%252FCXG_061e.pdf" TargetMode="External" /><Relationship Id="rId56" Type="http://schemas.openxmlformats.org/officeDocument/2006/relationships/hyperlink" Target="http://www.centerforproducesafety.org/amass/documents/document/263/Listeria%20Guidance%20UFPA%202013.pdf" TargetMode="External" /><Relationship Id="rId57" Type="http://schemas.openxmlformats.org/officeDocument/2006/relationships/hyperlink" Target="http://ucfoodsafety.ucdavis.edu/files/208833.pdf" TargetMode="External" /><Relationship Id="rId58" Type="http://schemas.openxmlformats.org/officeDocument/2006/relationships/hyperlink" Target="http://www.fda.gov/MedicalDevices/ProductsandMedicalProcedures/GeneralHospitalDevicesandSupplies/ucm208018.htm" TargetMode="External" /><Relationship Id="rId59" Type="http://schemas.openxmlformats.org/officeDocument/2006/relationships/hyperlink" Target="http://www.who.int/csr/resources/publications/biosafety/en/Biosafety7.pdf" TargetMode="External" /><Relationship Id="rId6" Type="http://schemas.openxmlformats.org/officeDocument/2006/relationships/customXml" Target="../customXml/item2.xml" /><Relationship Id="rId60" Type="http://schemas.openxmlformats.org/officeDocument/2006/relationships/hyperlink" Target="http://www.fda.gov/downloads/ICECI/Inspections/IOM/UCM123507.pdf" TargetMode="External" /><Relationship Id="rId61" Type="http://schemas.openxmlformats.org/officeDocument/2006/relationships/hyperlink" Target="https://www.fda.gov/regulatory-information/search-fda-guidance-documents/draft-guidance-industry-compliance-and-recommendations-implementation-standards-growing-harvesting" TargetMode="External" /><Relationship Id="rId62" Type="http://schemas.openxmlformats.org/officeDocument/2006/relationships/header" Target="header1.xml" /><Relationship Id="rId63" Type="http://schemas.openxmlformats.org/officeDocument/2006/relationships/footer" Target="footer1.xml" /><Relationship Id="rId64" Type="http://schemas.openxmlformats.org/officeDocument/2006/relationships/theme" Target="theme/theme1.xml" /><Relationship Id="rId65" Type="http://schemas.openxmlformats.org/officeDocument/2006/relationships/numbering" Target="numbering.xml" /><Relationship Id="rId66" Type="http://schemas.openxmlformats.org/officeDocument/2006/relationships/styles" Target="styles.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regulations.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fda.gov/regulatory-information/search-fda-guidance-documents/guidance-industry-policy-regarding-certain-entities-subject-current-good-manufacturing-practice-and" TargetMode="External" /><Relationship Id="rId2" Type="http://schemas.openxmlformats.org/officeDocument/2006/relationships/hyperlink" Target="https://www.fda.gov/regulatory-information/search-fda-guidance-documents/guidance-industry-current-good-manufacturing-practice-and-preventive-controls-foreign-supplier" TargetMode="External" /><Relationship Id="rId3" Type="http://schemas.openxmlformats.org/officeDocument/2006/relationships/hyperlink" Target="https://www.fda.gov/food/science-research-food/laboratory-methods-food" TargetMode="External" /><Relationship Id="rId4" Type="http://schemas.openxmlformats.org/officeDocument/2006/relationships/hyperlink" Target="https://www.fda.gov/food/guidance-regulation-food-and-dietary-supplements/food-safety-modernization-act-fsma" TargetMode="External" /><Relationship Id="rId5" Type="http://schemas.openxmlformats.org/officeDocument/2006/relationships/hyperlink" Target="https://www.fda.gov/" TargetMode="External" /><Relationship Id="rId6" Type="http://schemas.openxmlformats.org/officeDocument/2006/relationships/hyperlink" Target="https://www.fda.gov/science-research/field-science-and-laboratories/method-validation-guidelines" TargetMode="External" /><Relationship Id="rId7" Type="http://schemas.openxmlformats.org/officeDocument/2006/relationships/hyperlink" Target="http://www.fda.gov/fsma" TargetMode="External" /><Relationship Id="rId8" Type="http://schemas.openxmlformats.org/officeDocument/2006/relationships/hyperlink" Target="https://www.fda.gov/food/food-safety-modernization-act-fsma/food-traceability-li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867c8d-1cc9-4acd-a073-94634f6a764f" xsi:nil="true"/>
    <lcf76f155ced4ddcb4097134ff3c332f xmlns="ddde8ed0-7542-47ea-a329-519d1124442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6B3BF8226F7D4A8C4D0D11DBDC0844" ma:contentTypeVersion="15" ma:contentTypeDescription="Create a new document." ma:contentTypeScope="" ma:versionID="f7b12805a9af5d8f663b288f24dc3ad1">
  <xsd:schema xmlns:xsd="http://www.w3.org/2001/XMLSchema" xmlns:xs="http://www.w3.org/2001/XMLSchema" xmlns:p="http://schemas.microsoft.com/office/2006/metadata/properties" xmlns:ns1="http://schemas.microsoft.com/sharepoint/v3" xmlns:ns2="14c8ce7b-d2df-469d-b2c3-96f4c56193cb" xmlns:ns3="ddde8ed0-7542-47ea-a329-519d11244428" xmlns:ns4="20867c8d-1cc9-4acd-a073-94634f6a764f" targetNamespace="http://schemas.microsoft.com/office/2006/metadata/properties" ma:root="true" ma:fieldsID="58165ba3bcbb14fa76ee855ff702ccdb" ns1:_="" ns2:_="" ns3:_="" ns4:_="">
    <xsd:import namespace="http://schemas.microsoft.com/sharepoint/v3"/>
    <xsd:import namespace="14c8ce7b-d2df-469d-b2c3-96f4c56193cb"/>
    <xsd:import namespace="ddde8ed0-7542-47ea-a329-519d11244428"/>
    <xsd:import namespace="20867c8d-1cc9-4acd-a073-94634f6a76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8ce7b-d2df-469d-b2c3-96f4c56193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de8ed0-7542-47ea-a329-519d112444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cf906e-e933-44a8-8421-1c91ada6f12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67c8d-1cc9-4acd-a073-94634f6a764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6034e31-7151-4b08-95f6-9d31fc097c4c}" ma:internalName="TaxCatchAll" ma:showField="CatchAllData" ma:web="14c8ce7b-d2df-469d-b2c3-96f4c56193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ACB8D-6FFE-4807-AB2A-69B16AF47833}">
  <ds:schemaRefs>
    <ds:schemaRef ds:uri="http://schemas.microsoft.com/sharepoint/v3/contenttype/forms"/>
  </ds:schemaRefs>
</ds:datastoreItem>
</file>

<file path=customXml/itemProps2.xml><?xml version="1.0" encoding="utf-8"?>
<ds:datastoreItem xmlns:ds="http://schemas.openxmlformats.org/officeDocument/2006/customXml" ds:itemID="{00A4B8B9-AF0B-4165-BCF8-BC13C8E4A215}">
  <ds:schemaRefs>
    <ds:schemaRef ds:uri="http://schemas.microsoft.com/sharepoint/v3"/>
    <ds:schemaRef ds:uri="http://purl.org/dc/elements/1.1/"/>
    <ds:schemaRef ds:uri="ddde8ed0-7542-47ea-a329-519d11244428"/>
    <ds:schemaRef ds:uri="20867c8d-1cc9-4acd-a073-94634f6a764f"/>
    <ds:schemaRef ds:uri="http://schemas.microsoft.com/office/infopath/2007/PartnerControls"/>
    <ds:schemaRef ds:uri="http://purl.org/dc/terms/"/>
    <ds:schemaRef ds:uri="14c8ce7b-d2df-469d-b2c3-96f4c56193cb"/>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5EE2EED-F92F-49C7-914D-CFDB6E9FA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c8ce7b-d2df-469d-b2c3-96f4c56193cb"/>
    <ds:schemaRef ds:uri="ddde8ed0-7542-47ea-a329-519d11244428"/>
    <ds:schemaRef ds:uri="20867c8d-1cc9-4acd-a073-94634f6a7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CF344-EB49-48CE-BFF1-381AF685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45227</Words>
  <Characters>257800</Characters>
  <Application>Microsoft Office Word</Application>
  <DocSecurity>0</DocSecurity>
  <Lines>2148</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 Insook</dc:creator>
  <cp:lastModifiedBy>Capezzuto, JonnaLynn</cp:lastModifiedBy>
  <cp:revision>2</cp:revision>
  <cp:lastPrinted>2020-08-13T20:13:00Z</cp:lastPrinted>
  <dcterms:created xsi:type="dcterms:W3CDTF">2023-08-22T17:17:00Z</dcterms:created>
  <dcterms:modified xsi:type="dcterms:W3CDTF">2023-08-22T17:17:00Z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0x010100F36B3BF8226F7D4A8C4D0D11DBDC0844</vt:lpwstr>
  </property>
  <property fmtid="{D5CDD505-2E9C-101B-9397-08002B2CF9AE}" pid="3" name="MediaServiceImageTags">
    <vt:lpwstr/>
  </property>
</Properties>
</file>