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5AFD55CA" w14:textId="451C6DC4">
      <w:pPr>
        <w:jc w:val="center"/>
        <w:rPr>
          <w:rFonts w:eastAsia="Calibri"/>
        </w:rPr>
      </w:pPr>
      <w:r>
        <w:rPr>
          <w:rFonts w:eastAsia="Calibri"/>
        </w:rPr>
        <w:t>UNITED STATES FOOD &amp; DRUG ADMINISTRATION</w:t>
      </w:r>
    </w:p>
    <w:p w:rsidR="00357C8A" w:rsidP="00357C8A" w14:paraId="43D10AF0" w14:textId="77777777">
      <w:pPr>
        <w:jc w:val="center"/>
        <w:rPr>
          <w:rFonts w:eastAsia="Calibri"/>
        </w:rPr>
      </w:pPr>
    </w:p>
    <w:p w:rsidR="00357C8A" w:rsidP="00357C8A" w14:paraId="459D69E3" w14:textId="79AA6AE0">
      <w:pPr>
        <w:jc w:val="center"/>
        <w:rPr>
          <w:rFonts w:eastAsia="Calibri"/>
        </w:rPr>
      </w:pPr>
      <w:r>
        <w:rPr>
          <w:rFonts w:eastAsia="Calibri"/>
        </w:rPr>
        <w:t>Premarket Notification</w:t>
      </w:r>
      <w:r w:rsidR="000008BF">
        <w:rPr>
          <w:rFonts w:eastAsia="Calibri"/>
        </w:rPr>
        <w:t xml:space="preserve"> of Devices</w:t>
      </w:r>
    </w:p>
    <w:p w:rsidR="00357C8A" w:rsidP="00357C8A" w14:paraId="42F3F4FE" w14:textId="77777777">
      <w:pPr>
        <w:jc w:val="center"/>
        <w:rPr>
          <w:rFonts w:eastAsia="Calibri"/>
        </w:rPr>
      </w:pPr>
    </w:p>
    <w:p w:rsidR="00357C8A" w:rsidRPr="00750DEA" w:rsidP="00357C8A" w14:paraId="240A91B6" w14:textId="77777777">
      <w:pPr>
        <w:jc w:val="center"/>
        <w:rPr>
          <w:rFonts w:eastAsia="Calibri"/>
          <w:u w:val="single"/>
        </w:rPr>
      </w:pPr>
      <w:r w:rsidRPr="00750DEA">
        <w:rPr>
          <w:rFonts w:eastAsia="Calibri"/>
          <w:u w:val="single"/>
        </w:rPr>
        <w:t>OMB Control No. 0910-</w:t>
      </w:r>
      <w:r w:rsidRPr="00750DEA" w:rsidR="005D7262">
        <w:rPr>
          <w:rFonts w:eastAsia="Calibri"/>
          <w:u w:val="single"/>
        </w:rPr>
        <w:t>0120</w:t>
      </w:r>
    </w:p>
    <w:p w:rsidR="00357C8A" w:rsidP="00357C8A" w14:paraId="4484BA00" w14:textId="77777777">
      <w:pPr>
        <w:jc w:val="center"/>
        <w:rPr>
          <w:rFonts w:eastAsia="Calibri"/>
        </w:rPr>
      </w:pPr>
    </w:p>
    <w:p w:rsidR="00357C8A" w:rsidP="00357C8A" w14:paraId="32E06565" w14:textId="77777777">
      <w:pPr>
        <w:jc w:val="center"/>
        <w:rPr>
          <w:rFonts w:eastAsia="Calibri"/>
        </w:rPr>
      </w:pPr>
      <w:r w:rsidRPr="00357C8A">
        <w:rPr>
          <w:rFonts w:eastAsia="Calibri"/>
        </w:rPr>
        <w:t>SUPPORTING STATEMENT</w:t>
      </w:r>
    </w:p>
    <w:p w:rsidR="009B4DF2" w:rsidP="00357C8A" w14:paraId="659EB3E6" w14:textId="77777777">
      <w:pPr>
        <w:jc w:val="center"/>
        <w:rPr>
          <w:rFonts w:eastAsia="Calibri"/>
        </w:rPr>
      </w:pPr>
    </w:p>
    <w:p w:rsidR="009B4DF2" w:rsidRPr="00357C8A" w:rsidP="009B4DF2" w14:paraId="14686117" w14:textId="338F4363">
      <w:pPr>
        <w:rPr>
          <w:rFonts w:eastAsia="Calibri"/>
        </w:rPr>
      </w:pPr>
      <w:r w:rsidRPr="00750DEA">
        <w:rPr>
          <w:rFonts w:eastAsia="Calibri"/>
          <w:i/>
          <w:iCs/>
        </w:rPr>
        <w:t>Terms of Clearance</w:t>
      </w:r>
      <w:r>
        <w:rPr>
          <w:rFonts w:eastAsia="Calibri"/>
        </w:rPr>
        <w:t xml:space="preserve">: </w:t>
      </w:r>
      <w:r w:rsidR="005E72B3">
        <w:rPr>
          <w:rFonts w:eastAsia="Calibri"/>
        </w:rPr>
        <w:t xml:space="preserve"> OMB approved the information collection</w:t>
      </w:r>
      <w:r w:rsidR="005D7262">
        <w:t xml:space="preserve"> with the understanding that FDA add the OMB </w:t>
      </w:r>
      <w:r w:rsidR="001303FC">
        <w:t>c</w:t>
      </w:r>
      <w:r w:rsidR="005D7262">
        <w:t xml:space="preserve">ontrol </w:t>
      </w:r>
      <w:r w:rsidR="001303FC">
        <w:t>n</w:t>
      </w:r>
      <w:r w:rsidR="005D7262">
        <w:t xml:space="preserve">umber, </w:t>
      </w:r>
      <w:r w:rsidR="00094FE2">
        <w:t xml:space="preserve">its </w:t>
      </w:r>
      <w:r w:rsidR="005D7262">
        <w:t>expiration date</w:t>
      </w:r>
      <w:r w:rsidR="00430C46">
        <w:t>,</w:t>
      </w:r>
      <w:r w:rsidR="005D7262">
        <w:t xml:space="preserve"> and </w:t>
      </w:r>
      <w:r w:rsidR="00E9670B">
        <w:t xml:space="preserve">a </w:t>
      </w:r>
      <w:r w:rsidR="005D7262">
        <w:t>burden statement to eSTAR prior to implementation.</w:t>
      </w:r>
      <w:r w:rsidR="005D7262">
        <w:rPr>
          <w:rFonts w:eastAsia="Calibri"/>
        </w:rPr>
        <w:t xml:space="preserve">  </w:t>
      </w:r>
      <w:r w:rsidR="006405B7">
        <w:rPr>
          <w:rFonts w:eastAsia="Calibri"/>
        </w:rPr>
        <w:t xml:space="preserve">As reflected in </w:t>
      </w:r>
      <w:r w:rsidR="006F288C">
        <w:rPr>
          <w:rFonts w:eastAsia="Calibri"/>
        </w:rPr>
        <w:t xml:space="preserve">the </w:t>
      </w:r>
      <w:r w:rsidR="005D7262">
        <w:rPr>
          <w:rFonts w:eastAsia="Calibri"/>
        </w:rPr>
        <w:t>screen</w:t>
      </w:r>
      <w:r w:rsidR="00787A9A">
        <w:rPr>
          <w:rFonts w:eastAsia="Calibri"/>
        </w:rPr>
        <w:t>shot</w:t>
      </w:r>
      <w:r w:rsidR="005D7262">
        <w:rPr>
          <w:rFonts w:eastAsia="Calibri"/>
        </w:rPr>
        <w:t>/pdf of the webpage used to access eSTAR</w:t>
      </w:r>
      <w:r w:rsidR="006F288C">
        <w:rPr>
          <w:rFonts w:eastAsia="Calibri"/>
        </w:rPr>
        <w:t xml:space="preserve"> uploaded with our submission</w:t>
      </w:r>
      <w:r w:rsidR="005D7262">
        <w:rPr>
          <w:rFonts w:eastAsia="Calibri"/>
        </w:rPr>
        <w:t xml:space="preserve">, </w:t>
      </w:r>
      <w:r w:rsidR="003A7002">
        <w:rPr>
          <w:rFonts w:eastAsia="Calibri"/>
        </w:rPr>
        <w:t xml:space="preserve">we have ensured </w:t>
      </w:r>
      <w:r w:rsidR="00484522">
        <w:rPr>
          <w:rFonts w:eastAsia="Calibri"/>
        </w:rPr>
        <w:t>the</w:t>
      </w:r>
      <w:r w:rsidR="00DA23B3">
        <w:rPr>
          <w:rFonts w:eastAsia="Calibri"/>
        </w:rPr>
        <w:t xml:space="preserve"> requisite</w:t>
      </w:r>
      <w:r w:rsidR="00072198">
        <w:rPr>
          <w:rFonts w:eastAsia="Calibri"/>
        </w:rPr>
        <w:t xml:space="preserve"> </w:t>
      </w:r>
      <w:r w:rsidR="005D7262">
        <w:rPr>
          <w:rFonts w:eastAsia="Calibri"/>
        </w:rPr>
        <w:t>information</w:t>
      </w:r>
      <w:r w:rsidR="00C35346">
        <w:rPr>
          <w:rFonts w:eastAsia="Calibri"/>
        </w:rPr>
        <w:t xml:space="preserve"> is displayed</w:t>
      </w:r>
      <w:r w:rsidR="005D7262">
        <w:rPr>
          <w:rFonts w:eastAsia="Calibri"/>
        </w:rPr>
        <w:t>.</w:t>
      </w:r>
    </w:p>
    <w:p w:rsidR="00357C8A" w:rsidRPr="00357C8A" w:rsidP="00357C8A" w14:paraId="03615D5E" w14:textId="77777777">
      <w:pPr>
        <w:rPr>
          <w:rFonts w:eastAsia="Calibri"/>
          <w:b/>
        </w:rPr>
      </w:pPr>
    </w:p>
    <w:p w:rsidR="00357C8A" w:rsidP="000D79CC" w14:paraId="4947807E" w14:textId="77777777">
      <w:pPr>
        <w:rPr>
          <w:rFonts w:eastAsia="Calibri"/>
        </w:rPr>
      </w:pPr>
      <w:r w:rsidRPr="00357C8A">
        <w:rPr>
          <w:rFonts w:eastAsia="Calibri"/>
          <w:b/>
        </w:rPr>
        <w:t>Part A:  Justification</w:t>
      </w:r>
      <w:r w:rsidRPr="00357C8A">
        <w:rPr>
          <w:rFonts w:eastAsia="Calibri"/>
        </w:rPr>
        <w:t>:</w:t>
      </w:r>
    </w:p>
    <w:p w:rsidR="000D79CC" w:rsidRPr="00357C8A" w:rsidP="000D79CC" w14:paraId="57193518" w14:textId="77777777">
      <w:pPr>
        <w:rPr>
          <w:rFonts w:eastAsia="Calibri"/>
        </w:rPr>
      </w:pPr>
    </w:p>
    <w:p w:rsidR="00357C8A" w:rsidRPr="00357C8A" w:rsidP="006705EA" w14:paraId="7D16B2F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5D7262" w:rsidP="005D7262" w14:paraId="1C66B397" w14:textId="4A4809B7">
      <w:r w:rsidRPr="005C71CA">
        <w:rPr>
          <w:rFonts w:eastAsia="Calibri"/>
        </w:rPr>
        <w:t xml:space="preserve">This information collection </w:t>
      </w:r>
      <w:r w:rsidR="00C14C71">
        <w:rPr>
          <w:rFonts w:eastAsia="Calibri"/>
        </w:rPr>
        <w:t xml:space="preserve">helps </w:t>
      </w:r>
      <w:r w:rsidRPr="005C71CA">
        <w:rPr>
          <w:rFonts w:eastAsia="Calibri"/>
        </w:rPr>
        <w:t xml:space="preserve">support </w:t>
      </w:r>
      <w:r w:rsidR="00C14D3A">
        <w:rPr>
          <w:rFonts w:eastAsia="Calibri"/>
        </w:rPr>
        <w:t xml:space="preserve">implementation of </w:t>
      </w:r>
      <w:r w:rsidR="00BD279A">
        <w:rPr>
          <w:rFonts w:eastAsia="Calibri"/>
        </w:rPr>
        <w:t xml:space="preserve">statutory </w:t>
      </w:r>
      <w:r w:rsidR="00C14D3A">
        <w:rPr>
          <w:rFonts w:eastAsia="Calibri"/>
        </w:rPr>
        <w:t xml:space="preserve">provisions </w:t>
      </w:r>
      <w:r w:rsidR="00BD279A">
        <w:rPr>
          <w:rFonts w:eastAsia="Calibri"/>
        </w:rPr>
        <w:t xml:space="preserve">that govern premarket clearance of </w:t>
      </w:r>
      <w:r w:rsidR="008D5595">
        <w:rPr>
          <w:rFonts w:eastAsia="Calibri"/>
        </w:rPr>
        <w:t>devices</w:t>
      </w:r>
      <w:r w:rsidR="00852ED0">
        <w:rPr>
          <w:rFonts w:eastAsia="Calibri"/>
        </w:rPr>
        <w:t>.</w:t>
      </w:r>
      <w:r w:rsidR="00AC5082">
        <w:rPr>
          <w:rFonts w:eastAsia="Calibri"/>
        </w:rPr>
        <w:t xml:space="preserve">  </w:t>
      </w:r>
      <w:r w:rsidRPr="00C647A4">
        <w:t>Section 510(k) of the Federal Food, Drug, and Cosmetic Act (the FD&amp;C Act) and implementing regulation</w:t>
      </w:r>
      <w:r w:rsidR="000C003F">
        <w:t>s in</w:t>
      </w:r>
      <w:r w:rsidRPr="00C647A4">
        <w:t xml:space="preserve"> 21 CFR part 807</w:t>
      </w:r>
      <w:r w:rsidR="00AC5082">
        <w:t xml:space="preserve"> </w:t>
      </w:r>
      <w:r w:rsidRPr="00C647A4">
        <w:t>subpart E</w:t>
      </w:r>
      <w:r w:rsidR="00FD4FF7">
        <w:t xml:space="preserve"> (§§ 807.</w:t>
      </w:r>
      <w:r w:rsidR="007F2C97">
        <w:t>81 through 807.100)</w:t>
      </w:r>
      <w:r w:rsidRPr="00C647A4">
        <w:t xml:space="preserve">, </w:t>
      </w:r>
      <w:r w:rsidR="000C21A2">
        <w:t>establish premarket notification procedures</w:t>
      </w:r>
      <w:r w:rsidR="0071592E">
        <w:t xml:space="preserve">.  Persons </w:t>
      </w:r>
      <w:r w:rsidRPr="00C647A4">
        <w:t>who intend to market a medical device</w:t>
      </w:r>
      <w:r w:rsidR="006D6FA6">
        <w:t>, for which a Premarket Approval application (PMA) is not required, must</w:t>
      </w:r>
      <w:r w:rsidRPr="00C647A4">
        <w:t xml:space="preserve"> submit a premarket notification to the Food and Drug Administration </w:t>
      </w:r>
      <w:r w:rsidR="00852209">
        <w:t>(FDA)</w:t>
      </w:r>
      <w:r w:rsidR="001245C0">
        <w:t>, unless the device is exempt from 510(k)</w:t>
      </w:r>
      <w:r w:rsidR="009414DE">
        <w:t xml:space="preserve"> requirements and does not </w:t>
      </w:r>
      <w:r w:rsidR="00FA1412">
        <w:t>exceed the limitations of exemptions of the device classification regulations,</w:t>
      </w:r>
      <w:r w:rsidR="00852209">
        <w:t xml:space="preserve"> </w:t>
      </w:r>
      <w:r w:rsidRPr="00C647A4">
        <w:t>at least 90 days before proposing to begin the introduction or delivery for introduction into interstate commerce for commercial distribution of a device intended for human use.</w:t>
      </w:r>
      <w:r w:rsidR="00AC5082">
        <w:t xml:space="preserve">  </w:t>
      </w:r>
      <w:r w:rsidRPr="00C647A4">
        <w:t>Based on the information provided in the notification, FDA must determine whether the new device is substantially equivalent to a legally marketed device</w:t>
      </w:r>
      <w:r w:rsidR="002F67CE">
        <w:t>.</w:t>
      </w:r>
      <w:r w:rsidRPr="00C647A4">
        <w:t xml:space="preserve">  If </w:t>
      </w:r>
      <w:r w:rsidR="00E52E84">
        <w:t>a</w:t>
      </w:r>
      <w:r w:rsidR="00731100">
        <w:t xml:space="preserve"> </w:t>
      </w:r>
      <w:r w:rsidRPr="00C647A4">
        <w:t>device is determined to be not substantially equivalent to a legally marketed device, it must have an approved premarket approval application (PMA), Product Development Protocol,</w:t>
      </w:r>
      <w:r>
        <w:t xml:space="preserve"> Humanitarian Device Exemption (HDE), request for an evaluation of automatic class III designation (De Novo request),</w:t>
      </w:r>
      <w:r w:rsidRPr="00C647A4">
        <w:t xml:space="preserve"> or be reclassified into </w:t>
      </w:r>
      <w:r>
        <w:t>c</w:t>
      </w:r>
      <w:r w:rsidRPr="00C647A4">
        <w:t xml:space="preserve">lass I or </w:t>
      </w:r>
      <w:r>
        <w:t>c</w:t>
      </w:r>
      <w:r w:rsidRPr="00C647A4">
        <w:t>lass II before being marketed.</w:t>
      </w:r>
      <w:r w:rsidR="00AC5082">
        <w:t xml:space="preserve">  </w:t>
      </w:r>
      <w:r w:rsidR="004D231A">
        <w:t>The information collection also helps support implementation of s</w:t>
      </w:r>
      <w:r w:rsidR="007865E6">
        <w:t>ection 510(l)</w:t>
      </w:r>
      <w:r w:rsidR="004D231A">
        <w:t>, which</w:t>
      </w:r>
      <w:r w:rsidR="007865E6">
        <w:t xml:space="preserve"> provides for exemption from premarket notification.</w:t>
      </w:r>
    </w:p>
    <w:p w:rsidR="00D02303" w:rsidP="005D7262" w14:paraId="659BA0C8" w14:textId="1E73F81E"/>
    <w:p w:rsidR="00706E97" w:rsidP="005D7262" w14:paraId="01FF036B" w14:textId="05CBE10D">
      <w:r>
        <w:t>The following</w:t>
      </w:r>
      <w:r w:rsidR="00375A2B">
        <w:t xml:space="preserve"> instruments</w:t>
      </w:r>
      <w:r w:rsidR="00A6570B">
        <w:t xml:space="preserve"> are included in the information collection</w:t>
      </w:r>
      <w:r>
        <w:t>:</w:t>
      </w:r>
    </w:p>
    <w:p w:rsidR="00375A2B" w:rsidP="005D7262" w14:paraId="1F4A6C90" w14:textId="0F39425F"/>
    <w:p w:rsidR="00375A2B" w:rsidRPr="00E03D59" w:rsidP="00E03D59" w14:paraId="3F092D71" w14:textId="16267E76">
      <w:pPr>
        <w:pStyle w:val="ListParagraph"/>
        <w:numPr>
          <w:ilvl w:val="0"/>
          <w:numId w:val="15"/>
        </w:numPr>
        <w:spacing w:after="200"/>
        <w:rPr>
          <w:rFonts w:eastAsia="Calibri"/>
        </w:rPr>
      </w:pPr>
      <w:r w:rsidRPr="00E03D59">
        <w:rPr>
          <w:rFonts w:eastAsia="Calibri"/>
        </w:rPr>
        <w:t>Form FDA 3514 “</w:t>
      </w:r>
      <w:r w:rsidRPr="00AC5082">
        <w:rPr>
          <w:rFonts w:eastAsia="Calibri"/>
          <w:i/>
          <w:iCs/>
        </w:rPr>
        <w:t>CDRH Premarket Review Submission Cover Sheet</w:t>
      </w:r>
      <w:r w:rsidRPr="00E03D59">
        <w:rPr>
          <w:rFonts w:eastAsia="Calibri"/>
        </w:rPr>
        <w:t>”</w:t>
      </w:r>
    </w:p>
    <w:p w:rsidR="00375A2B" w:rsidRPr="00E03D59" w:rsidP="00E03D59" w14:paraId="5E210BEF" w14:textId="6E5F36B4">
      <w:pPr>
        <w:pStyle w:val="ListParagraph"/>
        <w:numPr>
          <w:ilvl w:val="0"/>
          <w:numId w:val="15"/>
        </w:numPr>
        <w:spacing w:after="200"/>
        <w:rPr>
          <w:rFonts w:eastAsia="Calibri"/>
        </w:rPr>
      </w:pPr>
      <w:r w:rsidRPr="00E03D59">
        <w:rPr>
          <w:rFonts w:eastAsia="Calibri"/>
        </w:rPr>
        <w:t>Form FDA 3881 “</w:t>
      </w:r>
      <w:r w:rsidRPr="00AC5082">
        <w:rPr>
          <w:rFonts w:eastAsia="Calibri"/>
          <w:i/>
          <w:iCs/>
        </w:rPr>
        <w:t>Indications for Use</w:t>
      </w:r>
      <w:r w:rsidRPr="00E03D59">
        <w:rPr>
          <w:rFonts w:eastAsia="Calibri"/>
        </w:rPr>
        <w:t>”</w:t>
      </w:r>
    </w:p>
    <w:p w:rsidR="00375A2B" w:rsidRPr="00E03D59" w:rsidP="00E03D59" w14:paraId="34D3BF65" w14:textId="07A71FF2">
      <w:pPr>
        <w:pStyle w:val="ListParagraph"/>
        <w:numPr>
          <w:ilvl w:val="0"/>
          <w:numId w:val="15"/>
        </w:numPr>
        <w:spacing w:after="200"/>
        <w:rPr>
          <w:rFonts w:eastAsia="Calibri"/>
        </w:rPr>
      </w:pPr>
      <w:r w:rsidRPr="00E03D59">
        <w:rPr>
          <w:rFonts w:eastAsia="Calibri"/>
        </w:rPr>
        <w:t>Voluntary eSTAR</w:t>
      </w:r>
      <w:r w:rsidR="0003774D">
        <w:rPr>
          <w:rFonts w:eastAsia="Calibri"/>
        </w:rPr>
        <w:t xml:space="preserve"> Program </w:t>
      </w:r>
      <w:r w:rsidRPr="00E03D59" w:rsidR="00352A31">
        <w:rPr>
          <w:rFonts w:eastAsia="Calibri"/>
        </w:rPr>
        <w:t>Interactive PDF Form</w:t>
      </w:r>
      <w:r w:rsidR="00BF0037">
        <w:rPr>
          <w:rFonts w:eastAsia="Calibri"/>
        </w:rPr>
        <w:t xml:space="preserve"> and </w:t>
      </w:r>
      <w:r w:rsidR="0003774D">
        <w:rPr>
          <w:rFonts w:eastAsia="Calibri"/>
        </w:rPr>
        <w:t>instructional webpage</w:t>
      </w:r>
    </w:p>
    <w:p w:rsidR="00375A2B" w:rsidRPr="00E03D59" w:rsidP="00E03D59" w14:paraId="3A624AED" w14:textId="6D1D53C7">
      <w:pPr>
        <w:pStyle w:val="ListParagraph"/>
        <w:numPr>
          <w:ilvl w:val="0"/>
          <w:numId w:val="15"/>
        </w:numPr>
        <w:spacing w:after="200"/>
        <w:rPr>
          <w:rFonts w:eastAsia="Calibri"/>
        </w:rPr>
      </w:pPr>
      <w:r w:rsidRPr="00E03D59">
        <w:rPr>
          <w:rFonts w:eastAsia="Calibri"/>
        </w:rPr>
        <w:t xml:space="preserve">Form </w:t>
      </w:r>
      <w:r w:rsidRPr="00E03D59">
        <w:rPr>
          <w:rFonts w:eastAsia="Calibri"/>
        </w:rPr>
        <w:t>FDA 4062 “</w:t>
      </w:r>
      <w:r w:rsidRPr="00AC5082">
        <w:rPr>
          <w:rFonts w:eastAsia="Calibri"/>
          <w:i/>
          <w:iCs/>
        </w:rPr>
        <w:t>Electronic Submission Template and Resource (eSTAR)</w:t>
      </w:r>
      <w:r w:rsidRPr="00E03D59">
        <w:rPr>
          <w:rFonts w:eastAsia="Calibri"/>
        </w:rPr>
        <w:t>” (for non-In Vitro Diagnostic (IVD) 510(k) submissions)</w:t>
      </w:r>
    </w:p>
    <w:p w:rsidR="00375A2B" w:rsidRPr="00BB7579" w:rsidP="005D7262" w14:paraId="22B40124" w14:textId="63653ADF">
      <w:pPr>
        <w:pStyle w:val="ListParagraph"/>
        <w:numPr>
          <w:ilvl w:val="0"/>
          <w:numId w:val="15"/>
        </w:numPr>
        <w:spacing w:after="200"/>
        <w:rPr>
          <w:rFonts w:eastAsia="Calibri"/>
        </w:rPr>
      </w:pPr>
      <w:r w:rsidRPr="00E03D59">
        <w:rPr>
          <w:rFonts w:eastAsia="Calibri"/>
        </w:rPr>
        <w:t xml:space="preserve">Form </w:t>
      </w:r>
      <w:r w:rsidRPr="00E03D59">
        <w:rPr>
          <w:rFonts w:eastAsia="Calibri"/>
        </w:rPr>
        <w:t>FDA 4078 “</w:t>
      </w:r>
      <w:r w:rsidRPr="00AC5082">
        <w:rPr>
          <w:rFonts w:eastAsia="Calibri"/>
          <w:i/>
          <w:iCs/>
        </w:rPr>
        <w:t>Electronic Submission Template and Resource (eSTAR)</w:t>
      </w:r>
      <w:r w:rsidRPr="00E03D59">
        <w:rPr>
          <w:rFonts w:eastAsia="Calibri"/>
        </w:rPr>
        <w:t>” (for In Vitro Diagnostic (IVD) 510(k) submissions)</w:t>
      </w:r>
    </w:p>
    <w:p w:rsidR="00AA29A4" w:rsidP="00AA29A4" w14:paraId="37808ACB" w14:textId="3CC62244">
      <w:r>
        <w:t>We are</w:t>
      </w:r>
      <w:r w:rsidRPr="002D63D8">
        <w:t xml:space="preserve"> revising the information collection to include </w:t>
      </w:r>
      <w:r w:rsidRPr="00C92498">
        <w:rPr>
          <w:b/>
          <w:bCs/>
        </w:rPr>
        <w:t>Form FDA 3674</w:t>
      </w:r>
      <w:r w:rsidRPr="00B40E42">
        <w:t xml:space="preserve"> “</w:t>
      </w:r>
      <w:r w:rsidRPr="00A401EB">
        <w:rPr>
          <w:i/>
          <w:iCs/>
        </w:rPr>
        <w:t>Certifications to Accompany Drug, Biological Product, and Medical Device Applications/Submissions</w:t>
      </w:r>
      <w:r>
        <w:t>.</w:t>
      </w:r>
      <w:r w:rsidRPr="00B40E42">
        <w:t>”</w:t>
      </w:r>
      <w:r>
        <w:t xml:space="preserve">  Under applicable authorities,</w:t>
      </w:r>
      <w:r w:rsidRPr="002D63D8">
        <w:t xml:space="preserve"> applications under sections 505, 515, or 520(m) of the FD&amp;C Act (21 U.S.C. 355, 360e, or 360j(m)), or under section 351 of the PHS Act (</w:t>
      </w:r>
      <w:r w:rsidRPr="001D4395">
        <w:t>42 U.S.C. 262)</w:t>
      </w:r>
      <w:r w:rsidRPr="002D63D8">
        <w:t>, or submission of a report under section 510(k) of the FD&amp;C Act, must be accompanied by a certification.  Where available, such certification must include the appropriate National Clinical Trial numbers.</w:t>
      </w:r>
    </w:p>
    <w:p w:rsidR="00AA29A4" w:rsidP="005D7262" w14:paraId="27282CA0" w14:textId="77777777"/>
    <w:p w:rsidR="009C399F" w:rsidP="005D7262" w14:paraId="25C7D967" w14:textId="3A34B4D7">
      <w:r>
        <w:t xml:space="preserve">The information collection also includes </w:t>
      </w:r>
      <w:r w:rsidR="00850B74">
        <w:t>an “</w:t>
      </w:r>
      <w:r w:rsidRPr="003F7142" w:rsidR="00850B74">
        <w:rPr>
          <w:i/>
          <w:iCs/>
        </w:rPr>
        <w:t>Acceptance Checklist</w:t>
      </w:r>
      <w:r w:rsidR="002D3284">
        <w:t>.”</w:t>
      </w:r>
      <w:r w:rsidR="00850B74">
        <w:t xml:space="preserve">  As discussed in the </w:t>
      </w:r>
      <w:r w:rsidRPr="00C73048">
        <w:t xml:space="preserve">guidance </w:t>
      </w:r>
      <w:r w:rsidR="00850B74">
        <w:t xml:space="preserve">document </w:t>
      </w:r>
      <w:r w:rsidRPr="00C73048">
        <w:t>“</w:t>
      </w:r>
      <w:r w:rsidRPr="003F7142">
        <w:rPr>
          <w:i/>
          <w:iCs/>
        </w:rPr>
        <w:t>Refuse to Accept Policy for 510(k)s</w:t>
      </w:r>
      <w:r w:rsidR="002D3284">
        <w:rPr>
          <w:i/>
          <w:iCs/>
        </w:rPr>
        <w:t>,</w:t>
      </w:r>
      <w:r w:rsidRPr="00C73048">
        <w:t>”</w:t>
      </w:r>
      <w:r w:rsidR="002D3284">
        <w:t xml:space="preserve"> (April 2022), </w:t>
      </w:r>
      <w:r w:rsidR="00D4501D">
        <w:t xml:space="preserve">we </w:t>
      </w:r>
      <w:r w:rsidRPr="00C73048">
        <w:t xml:space="preserve">believe the </w:t>
      </w:r>
      <w:r w:rsidR="002D3284">
        <w:t xml:space="preserve">checklist </w:t>
      </w:r>
      <w:r w:rsidRPr="00C73048">
        <w:t xml:space="preserve">can be </w:t>
      </w:r>
      <w:r w:rsidR="00130160">
        <w:t xml:space="preserve">a </w:t>
      </w:r>
      <w:r w:rsidRPr="00C73048">
        <w:t xml:space="preserve">helpful </w:t>
      </w:r>
      <w:r w:rsidR="00130160">
        <w:t xml:space="preserve">resource </w:t>
      </w:r>
      <w:r w:rsidRPr="00C73048">
        <w:t>for 510(k) submitters and may simplify preparation of the 510(k).</w:t>
      </w:r>
      <w:r w:rsidR="006A5A11">
        <w:t xml:space="preserve">  Similarly, </w:t>
      </w:r>
      <w:r w:rsidR="00D54B89">
        <w:t xml:space="preserve">the </w:t>
      </w:r>
      <w:r w:rsidR="00194E0A">
        <w:t xml:space="preserve">guidance </w:t>
      </w:r>
      <w:r w:rsidR="00D54B89">
        <w:t xml:space="preserve">document </w:t>
      </w:r>
      <w:r w:rsidR="00787184">
        <w:t>“</w:t>
      </w:r>
      <w:r w:rsidRPr="00787184" w:rsidR="00CE01AE">
        <w:rPr>
          <w:i/>
          <w:iCs/>
        </w:rPr>
        <w:t>Recognition and Withdraw of Voluntary Consensus Standards</w:t>
      </w:r>
      <w:r w:rsidR="00CE01AE">
        <w:t xml:space="preserve">,” (September 2020), </w:t>
      </w:r>
      <w:r w:rsidR="00194E0A">
        <w:t xml:space="preserve">communicates </w:t>
      </w:r>
      <w:r w:rsidRPr="001161C1" w:rsidR="001161C1">
        <w:t xml:space="preserve">procedures </w:t>
      </w:r>
      <w:r w:rsidR="00465C90">
        <w:t xml:space="preserve">followed </w:t>
      </w:r>
      <w:r w:rsidR="00F74714">
        <w:t xml:space="preserve">by </w:t>
      </w:r>
      <w:r w:rsidRPr="001161C1" w:rsidR="001161C1">
        <w:t xml:space="preserve">the Center for Devices and Radiological Health (CDRH) </w:t>
      </w:r>
      <w:r w:rsidR="00465C90">
        <w:t xml:space="preserve">when </w:t>
      </w:r>
      <w:r w:rsidRPr="001161C1" w:rsidR="001161C1">
        <w:t>request</w:t>
      </w:r>
      <w:r w:rsidR="00A67BFB">
        <w:t>s</w:t>
      </w:r>
      <w:r w:rsidRPr="001161C1" w:rsidR="001161C1">
        <w:t xml:space="preserve"> for recognition of a voluntary consensus standard for medical products</w:t>
      </w:r>
      <w:r w:rsidR="00A67BFB">
        <w:t xml:space="preserve"> are received</w:t>
      </w:r>
      <w:r w:rsidRPr="001161C1" w:rsidR="001161C1">
        <w:t>.</w:t>
      </w:r>
      <w:r w:rsidR="00A67BFB">
        <w:t xml:space="preserve">  </w:t>
      </w:r>
      <w:r w:rsidRPr="001161C1" w:rsidR="001161C1">
        <w:t>The guidance outlines principles for recognizing a standard wholly, partly, or not at all, as well as reasons and rationales for withdrawing a standard.</w:t>
      </w:r>
      <w:r w:rsidR="008863E4">
        <w:t xml:space="preserve">  </w:t>
      </w:r>
      <w:r w:rsidRPr="009C399F">
        <w:t>Section 514 of the FD&amp;C Act (21 U.S.C. 360d) allow</w:t>
      </w:r>
      <w:r>
        <w:t>s</w:t>
      </w:r>
      <w:r w:rsidRPr="009C399F">
        <w:t xml:space="preserve"> FDA to recognize consensus standards developed by international and national organizations for use in satisfying portions of device premarket review submissions including premarket notifications or other requirements.  </w:t>
      </w:r>
      <w:r>
        <w:t xml:space="preserve">We </w:t>
      </w:r>
      <w:r w:rsidRPr="009C399F">
        <w:t xml:space="preserve">publish and update the list of recognized standards regularly </w:t>
      </w:r>
      <w:r>
        <w:t xml:space="preserve">at </w:t>
      </w:r>
      <w:hyperlink r:id="rId6" w:history="1">
        <w:r w:rsidRPr="009C399F">
          <w:rPr>
            <w:rStyle w:val="Hyperlink"/>
            <w:lang w:val="en"/>
          </w:rPr>
          <w:t>https://www.fda.gov/MedicalDevices/DeviceRegulationandGuidance/Standards/ucm123792.htm</w:t>
        </w:r>
      </w:hyperlink>
      <w:r>
        <w:t xml:space="preserve">.  </w:t>
      </w:r>
      <w:r w:rsidRPr="00600A3F" w:rsidR="00600A3F">
        <w:t xml:space="preserve">As </w:t>
      </w:r>
      <w:r w:rsidR="00600A3F">
        <w:t>instructed in</w:t>
      </w:r>
      <w:r w:rsidRPr="00600A3F" w:rsidR="00600A3F">
        <w:t xml:space="preserve"> the guidance</w:t>
      </w:r>
      <w:r w:rsidR="008863E4">
        <w:t xml:space="preserve"> document</w:t>
      </w:r>
      <w:r w:rsidRPr="00600A3F" w:rsidR="00600A3F">
        <w:t xml:space="preserve">, any interested party may submit a request for recognition of a standard by mail </w:t>
      </w:r>
      <w:r w:rsidR="00E73E74">
        <w:t xml:space="preserve">directed </w:t>
      </w:r>
      <w:r w:rsidRPr="00600A3F" w:rsidR="00600A3F">
        <w:t>to the CDRH Standards Program (i.e., paper copy) or electronically via email to: CDRHStandardsStaff@fda.hhs.gov.</w:t>
      </w:r>
    </w:p>
    <w:p w:rsidR="00BA69BC" w:rsidP="005D7262" w14:paraId="1CEF1A3A" w14:textId="1991B4A7"/>
    <w:p w:rsidR="00BA69BC" w:rsidP="005D7262" w14:paraId="05CC30CE" w14:textId="2EF8A847">
      <w:r>
        <w:t xml:space="preserve">For efficiency of </w:t>
      </w:r>
      <w:r w:rsidR="00085BEE">
        <w:t xml:space="preserve">agency operations, we are </w:t>
      </w:r>
      <w:r w:rsidR="003D65D3">
        <w:t xml:space="preserve">also </w:t>
      </w:r>
      <w:r w:rsidR="00085BEE">
        <w:t xml:space="preserve">revising the information to include activities associated with </w:t>
      </w:r>
      <w:r w:rsidRPr="00085BEE" w:rsidR="00085BEE">
        <w:t>section 520(b) of the FD&amp;C Act (21 U.S.C. 360j(b), govern</w:t>
      </w:r>
      <w:r w:rsidR="00085BEE">
        <w:t>ing</w:t>
      </w:r>
      <w:r w:rsidRPr="00085BEE" w:rsidR="00085BEE">
        <w:t xml:space="preserve"> custom devices.</w:t>
      </w:r>
      <w:r w:rsidR="00085BEE">
        <w:t xml:space="preserve">  R</w:t>
      </w:r>
      <w:r w:rsidRPr="00085BEE" w:rsidR="00085BEE">
        <w:t xml:space="preserve">egulations in 21 CFR 812.3 define a custom device and </w:t>
      </w:r>
      <w:r w:rsidR="00085BEE">
        <w:t xml:space="preserve">implementing </w:t>
      </w:r>
      <w:r w:rsidRPr="00085BEE" w:rsidR="00085BEE">
        <w:t>regulations in 21 CFR part 807.85 provide for exemption</w:t>
      </w:r>
      <w:r w:rsidR="00085BEE">
        <w:t xml:space="preserve"> from premarket notification</w:t>
      </w:r>
      <w:r w:rsidRPr="00085BEE" w:rsidR="00085BEE">
        <w:t>.</w:t>
      </w:r>
      <w:r w:rsidR="00085BEE">
        <w:t xml:space="preserve">  </w:t>
      </w:r>
      <w:r w:rsidRPr="00085BEE" w:rsidR="00085BEE">
        <w:t>Section 520(b) also provides for the issuance of guidance.  The guidance document entitled, “</w:t>
      </w:r>
      <w:r w:rsidRPr="00085BEE" w:rsidR="00085BEE">
        <w:rPr>
          <w:i/>
          <w:iCs/>
        </w:rPr>
        <w:t>Custom Device Exemption</w:t>
      </w:r>
      <w:r w:rsidRPr="00085BEE" w:rsidR="00085BEE">
        <w:t xml:space="preserve">” (September 2014), and available for download at https://www.fda.gov/media/89897/download, explains how FDA interprets </w:t>
      </w:r>
      <w:r w:rsidR="00085BEE">
        <w:t>provisions in</w:t>
      </w:r>
      <w:r w:rsidRPr="00085BEE" w:rsidR="00085BEE">
        <w:t xml:space="preserve"> section 520(b)(2)(B) of the FD&amp;C Act; describes what information should be submitted in a Custom Device Annual Report (“</w:t>
      </w:r>
      <w:r w:rsidRPr="00AC5082" w:rsidR="00085BEE">
        <w:rPr>
          <w:i/>
          <w:iCs/>
        </w:rPr>
        <w:t>annual report</w:t>
      </w:r>
      <w:r w:rsidRPr="00085BEE" w:rsidR="00085BEE">
        <w:t>”); and provides recommendations on how to submit an annual report for devices distributed under the custom device exemption.</w:t>
      </w:r>
    </w:p>
    <w:p w:rsidR="00E83349" w:rsidP="00117258" w14:paraId="4A21BEEA" w14:textId="77777777"/>
    <w:p w:rsidR="00117258" w:rsidP="00117258" w14:paraId="0BA5FEF0" w14:textId="6A7CC97F">
      <w:r>
        <w:t>Finally, w</w:t>
      </w:r>
      <w:r w:rsidR="00A43D1B">
        <w:t>e discuss t</w:t>
      </w:r>
      <w:r w:rsidRPr="00176326">
        <w:t>he guidance document entitled, “</w:t>
      </w:r>
      <w:r w:rsidRPr="00E71608">
        <w:rPr>
          <w:i/>
          <w:iCs/>
        </w:rPr>
        <w:t>Transition Plan for Medical Devices That Fall Within Enforcement Policies Issued During the COVID-19 Public Health Emergency</w:t>
      </w:r>
      <w:r w:rsidRPr="00176326">
        <w:t xml:space="preserve">,” announced in the </w:t>
      </w:r>
      <w:r w:rsidRPr="00A43D1B">
        <w:rPr>
          <w:i/>
          <w:iCs/>
        </w:rPr>
        <w:t>Federal Register</w:t>
      </w:r>
      <w:r w:rsidRPr="00176326">
        <w:t xml:space="preserve"> of March 27, 2023 (88 FR </w:t>
      </w:r>
      <w:r w:rsidRPr="006B0ED2">
        <w:t>18153</w:t>
      </w:r>
      <w:r w:rsidRPr="001D4395">
        <w:t>)</w:t>
      </w:r>
      <w:r w:rsidR="009865EA">
        <w:t>,</w:t>
      </w:r>
      <w:r w:rsidRPr="00176326">
        <w:t xml:space="preserve"> </w:t>
      </w:r>
      <w:r w:rsidR="00BD5672">
        <w:t xml:space="preserve">which </w:t>
      </w:r>
      <w:r w:rsidRPr="00176326">
        <w:t xml:space="preserve">describes a phased approach intended to help avoid disruption in device supply and help facilitate compliance with applicable legal requirements.  The recommendations discussed in the guidance document result in the one-time collection of information intended to ensure an orderly and transparent transition from temporary policies established during the COVID-19 public health emergency to normal operations.  Because the information collection recommendations apply to specific medical </w:t>
      </w:r>
      <w:r w:rsidRPr="00176326">
        <w:t>devices already in distribution, we believe the information discussed is appropriately characterized as nonstandardized follow-up designed to clarify responses to approved collections of information, i.e., plans for compliance</w:t>
      </w:r>
      <w:r>
        <w:t xml:space="preserve"> with applicable requirements</w:t>
      </w:r>
      <w:r w:rsidRPr="00176326">
        <w:t xml:space="preserve"> unique to that distributed device.  We therefore believe the activity constitutes the collection of non-identical and/or follow-up information, as defined under 5 CFR 1320.3.  At the same time, we expect some degree of fluctuation in future submissions under 21 CFR </w:t>
      </w:r>
      <w:r w:rsidR="009865EA">
        <w:t>807 subpart E</w:t>
      </w:r>
      <w:r w:rsidRPr="00176326">
        <w:t>, as a result of implementation of the medical device transition plan.</w:t>
      </w:r>
    </w:p>
    <w:p w:rsidR="00117258" w:rsidP="00117258" w14:paraId="7A31EE30" w14:textId="77777777"/>
    <w:p w:rsidR="00357C8A" w:rsidP="00E83349" w14:paraId="688B9FB2" w14:textId="77777777">
      <w:r>
        <w:t>Accordingly, we are requesting OMB approval for the information collection activities included in the applicable regulations, and the guidance documents and agency forms discussed and identified in this supporting statement.</w:t>
      </w:r>
    </w:p>
    <w:p w:rsidR="00E83349" w:rsidRPr="00357C8A" w:rsidP="00E83349" w14:paraId="4F7A5E08" w14:textId="77777777">
      <w:pPr>
        <w:rPr>
          <w:rFonts w:eastAsia="Calibri"/>
          <w:color w:val="FF0000"/>
        </w:rPr>
      </w:pPr>
    </w:p>
    <w:p w:rsidR="00357C8A" w:rsidRPr="00357C8A" w:rsidP="006705EA" w14:paraId="2476481A"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5D7262" w:rsidRPr="00EB7535" w:rsidP="005D7262" w14:paraId="68B8D633" w14:textId="19FFC60C">
      <w:pPr>
        <w:spacing w:after="200"/>
        <w:rPr>
          <w:rFonts w:eastAsia="Calibri"/>
        </w:rPr>
      </w:pPr>
      <w:r w:rsidRPr="00436149">
        <w:rPr>
          <w:rFonts w:eastAsia="Calibri"/>
        </w:rPr>
        <w:t>FDA</w:t>
      </w:r>
      <w:r w:rsidR="002C160B">
        <w:rPr>
          <w:rFonts w:eastAsia="Calibri"/>
        </w:rPr>
        <w:t xml:space="preserve"> is mandated under the FD&amp;C Act to</w:t>
      </w:r>
      <w:r w:rsidRPr="00436149">
        <w:rPr>
          <w:rFonts w:eastAsia="Calibri"/>
        </w:rPr>
        <w:t xml:space="preserve"> make the final decision of whether a device is substantially equivalent or not substantially equivalent</w:t>
      </w:r>
      <w:r w:rsidR="007D126A">
        <w:rPr>
          <w:rFonts w:eastAsia="Calibri"/>
        </w:rPr>
        <w:t xml:space="preserve"> to a legally marketed device.</w:t>
      </w:r>
      <w:r w:rsidRPr="00EB7535">
        <w:rPr>
          <w:rFonts w:eastAsia="Calibri"/>
        </w:rPr>
        <w:t xml:space="preserve">  The premarket notification review process allows for scientific and/or medical review of devices, subject to 510(k) of the FD&amp;C Act, to confirm that the new devices are as safe and as effective as legally marketed predicate devices.  This review process, therefore, prevents potentially unsafe and/or ineffective devices, including those with fraudulent claims, from entering the U.S. market.</w:t>
      </w:r>
    </w:p>
    <w:p w:rsidR="00F00E32" w:rsidP="00AC5082" w14:paraId="422DAE5E" w14:textId="542711BD">
      <w:pPr>
        <w:widowControl w:val="0"/>
        <w:rPr>
          <w:rFonts w:eastAsia="Calibri"/>
        </w:rPr>
      </w:pPr>
      <w:r w:rsidRPr="00EB7535">
        <w:rPr>
          <w:rFonts w:eastAsia="Calibri"/>
        </w:rPr>
        <w:t xml:space="preserve">Additionally, </w:t>
      </w:r>
      <w:r w:rsidR="00305212">
        <w:rPr>
          <w:rFonts w:eastAsia="Calibri"/>
        </w:rPr>
        <w:t>we u</w:t>
      </w:r>
      <w:r w:rsidR="001100A7">
        <w:rPr>
          <w:rFonts w:eastAsia="Calibri"/>
        </w:rPr>
        <w:t xml:space="preserve">tilize submission instruments such as </w:t>
      </w:r>
      <w:r w:rsidR="001A3BD3">
        <w:rPr>
          <w:rFonts w:eastAsia="Calibri"/>
        </w:rPr>
        <w:t xml:space="preserve">forms, the </w:t>
      </w:r>
      <w:r w:rsidRPr="00247071" w:rsidR="00FB62C4">
        <w:rPr>
          <w:rFonts w:eastAsia="Calibri"/>
          <w:i/>
          <w:iCs/>
        </w:rPr>
        <w:t>Acceptance Checklist</w:t>
      </w:r>
      <w:r w:rsidR="00FB62C4">
        <w:rPr>
          <w:rFonts w:eastAsia="Calibri"/>
        </w:rPr>
        <w:t>, eSTAR,</w:t>
      </w:r>
      <w:r w:rsidR="001100A7">
        <w:rPr>
          <w:rFonts w:eastAsia="Calibri"/>
        </w:rPr>
        <w:t xml:space="preserve"> </w:t>
      </w:r>
      <w:r w:rsidR="001A3BD3">
        <w:rPr>
          <w:rFonts w:eastAsia="Calibri"/>
        </w:rPr>
        <w:t>and other web-based process enhancement</w:t>
      </w:r>
      <w:r w:rsidR="003F7142">
        <w:rPr>
          <w:rFonts w:eastAsia="Calibri"/>
        </w:rPr>
        <w:t xml:space="preserve"> tools</w:t>
      </w:r>
      <w:r w:rsidR="001A3BD3">
        <w:rPr>
          <w:rFonts w:eastAsia="Calibri"/>
        </w:rPr>
        <w:t xml:space="preserve"> </w:t>
      </w:r>
      <w:r w:rsidR="00404F92">
        <w:rPr>
          <w:rFonts w:eastAsia="Calibri"/>
        </w:rPr>
        <w:t xml:space="preserve">to </w:t>
      </w:r>
      <w:r w:rsidR="003F7142">
        <w:rPr>
          <w:rFonts w:eastAsia="Calibri"/>
        </w:rPr>
        <w:t xml:space="preserve">better focus </w:t>
      </w:r>
      <w:r w:rsidR="008153DF">
        <w:rPr>
          <w:rFonts w:eastAsia="Calibri"/>
        </w:rPr>
        <w:t xml:space="preserve">limited agency </w:t>
      </w:r>
      <w:r w:rsidRPr="00305212" w:rsidR="00305212">
        <w:rPr>
          <w:rFonts w:eastAsia="Calibri"/>
        </w:rPr>
        <w:t xml:space="preserve">resources on </w:t>
      </w:r>
      <w:r w:rsidR="008153DF">
        <w:rPr>
          <w:rFonts w:eastAsia="Calibri"/>
        </w:rPr>
        <w:t xml:space="preserve">reviewing </w:t>
      </w:r>
      <w:r w:rsidRPr="00305212" w:rsidR="00305212">
        <w:rPr>
          <w:rFonts w:eastAsia="Calibri"/>
        </w:rPr>
        <w:t>submissions.</w:t>
      </w:r>
      <w:r>
        <w:rPr>
          <w:rFonts w:eastAsia="Calibri"/>
        </w:rPr>
        <w:t xml:space="preserve">  </w:t>
      </w:r>
      <w:r w:rsidR="00440DFE">
        <w:rPr>
          <w:rFonts w:eastAsia="Calibri"/>
        </w:rPr>
        <w:t xml:space="preserve">We also </w:t>
      </w:r>
      <w:r w:rsidRPr="00EB7535">
        <w:rPr>
          <w:rFonts w:eastAsia="Calibri"/>
        </w:rPr>
        <w:t xml:space="preserve">encourage medical device sponsors to use FDA-recognized voluntary consensus standards in submissions, as conformity to relevant standards </w:t>
      </w:r>
      <w:r>
        <w:rPr>
          <w:rFonts w:eastAsia="Calibri"/>
        </w:rPr>
        <w:t xml:space="preserve">helps </w:t>
      </w:r>
      <w:r w:rsidRPr="00EB7535">
        <w:rPr>
          <w:rFonts w:eastAsia="Calibri"/>
        </w:rPr>
        <w:t>streamline regulatory review</w:t>
      </w:r>
      <w:r>
        <w:rPr>
          <w:rFonts w:eastAsia="Calibri"/>
        </w:rPr>
        <w:t>,</w:t>
      </w:r>
      <w:r w:rsidRPr="00EB7535">
        <w:rPr>
          <w:rFonts w:eastAsia="Calibri"/>
        </w:rPr>
        <w:t xml:space="preserve"> foster quality</w:t>
      </w:r>
      <w:r>
        <w:rPr>
          <w:rFonts w:eastAsia="Calibri"/>
        </w:rPr>
        <w:t xml:space="preserve">, and </w:t>
      </w:r>
      <w:r w:rsidRPr="00F00E32">
        <w:rPr>
          <w:rFonts w:eastAsia="Calibri"/>
        </w:rPr>
        <w:t xml:space="preserve">may </w:t>
      </w:r>
      <w:r w:rsidR="00395542">
        <w:rPr>
          <w:rFonts w:eastAsia="Calibri"/>
        </w:rPr>
        <w:t>facilitate</w:t>
      </w:r>
      <w:r w:rsidR="00F579D3">
        <w:rPr>
          <w:rFonts w:eastAsia="Calibri"/>
        </w:rPr>
        <w:t xml:space="preserve"> </w:t>
      </w:r>
      <w:r w:rsidRPr="00F00E32">
        <w:rPr>
          <w:rFonts w:eastAsia="Calibri"/>
        </w:rPr>
        <w:t>a manufacturer</w:t>
      </w:r>
      <w:r w:rsidR="00F579D3">
        <w:rPr>
          <w:rFonts w:eastAsia="Calibri"/>
        </w:rPr>
        <w:t xml:space="preserve">’s preparation of </w:t>
      </w:r>
      <w:r w:rsidRPr="00F00E32">
        <w:rPr>
          <w:rFonts w:eastAsia="Calibri"/>
        </w:rPr>
        <w:t>an Abbreviated 510(k)</w:t>
      </w:r>
      <w:r w:rsidR="00F579D3">
        <w:rPr>
          <w:rFonts w:eastAsia="Calibri"/>
        </w:rPr>
        <w:t xml:space="preserve"> submission</w:t>
      </w:r>
      <w:r w:rsidRPr="00F00E32">
        <w:rPr>
          <w:rFonts w:eastAsia="Calibri"/>
        </w:rPr>
        <w:t>.</w:t>
      </w:r>
    </w:p>
    <w:p w:rsidR="00AC5082" w:rsidP="00AC5082" w14:paraId="79E06E53" w14:textId="31F57138">
      <w:pPr>
        <w:widowControl w:val="0"/>
        <w:rPr>
          <w:rFonts w:eastAsia="Calibri"/>
        </w:rPr>
      </w:pPr>
    </w:p>
    <w:p w:rsidR="00AC5082" w:rsidP="00AC5082" w14:paraId="30054FFB" w14:textId="0729C0C8">
      <w:pPr>
        <w:widowControl w:val="0"/>
        <w:rPr>
          <w:rFonts w:eastAsia="Calibri"/>
        </w:rPr>
      </w:pPr>
      <w:r>
        <w:rPr>
          <w:rFonts w:eastAsia="Calibri"/>
        </w:rPr>
        <w:t>R</w:t>
      </w:r>
      <w:r w:rsidRPr="00EB7535">
        <w:rPr>
          <w:rFonts w:eastAsia="Calibri"/>
        </w:rPr>
        <w:t>espondents to th</w:t>
      </w:r>
      <w:r>
        <w:rPr>
          <w:rFonts w:eastAsia="Calibri"/>
        </w:rPr>
        <w:t>e</w:t>
      </w:r>
      <w:r w:rsidRPr="00EB7535">
        <w:rPr>
          <w:rFonts w:eastAsia="Calibri"/>
        </w:rPr>
        <w:t xml:space="preserve"> information collection are from private sector business</w:t>
      </w:r>
      <w:r>
        <w:rPr>
          <w:rFonts w:eastAsia="Calibri"/>
        </w:rPr>
        <w:t>es</w:t>
      </w:r>
      <w:r w:rsidRPr="00EB7535">
        <w:rPr>
          <w:rFonts w:eastAsia="Calibri"/>
        </w:rPr>
        <w:t xml:space="preserve"> or other for-profit</w:t>
      </w:r>
      <w:r>
        <w:rPr>
          <w:rFonts w:eastAsia="Calibri"/>
        </w:rPr>
        <w:t xml:space="preserve"> organizations</w:t>
      </w:r>
      <w:r w:rsidRPr="00EB7535">
        <w:rPr>
          <w:rFonts w:eastAsia="Calibri"/>
        </w:rPr>
        <w:t>.</w:t>
      </w:r>
    </w:p>
    <w:p w:rsidR="00AC5082" w:rsidRPr="00357C8A" w:rsidP="00AC5082" w14:paraId="2A95FED6" w14:textId="77777777">
      <w:pPr>
        <w:widowControl w:val="0"/>
        <w:rPr>
          <w:rFonts w:eastAsia="Calibri"/>
          <w:color w:val="FF0000"/>
        </w:rPr>
      </w:pPr>
    </w:p>
    <w:p w:rsidR="00357C8A" w:rsidRPr="00357C8A" w:rsidP="006705EA" w14:paraId="73AE59CB"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5006F5" w:rsidP="005D7262" w14:paraId="02B7B02B" w14:textId="4ADE4040">
      <w:pPr>
        <w:spacing w:after="200"/>
        <w:rPr>
          <w:rFonts w:eastAsia="Calibri"/>
        </w:rPr>
      </w:pPr>
      <w:r w:rsidRPr="007067B4">
        <w:rPr>
          <w:bCs/>
        </w:rPr>
        <w:t>Respondents can make single submissions in an electronic format that includes eCopies, submissions submitted on CD, DVD, or flash drive and mailed to FDA</w:t>
      </w:r>
      <w:r>
        <w:rPr>
          <w:bCs/>
        </w:rPr>
        <w:t>,</w:t>
      </w:r>
      <w:r w:rsidRPr="007067B4">
        <w:rPr>
          <w:bCs/>
        </w:rPr>
        <w:t xml:space="preserve"> and eSubmissions, submissions created using an electronic submission template (e.g., “electronic Submission Template and Resource” (eSTAR)).  Consistent with our authority in section 745A(b) of the FD&amp;C Act (21 U.S.C. 379k-1(b)), and performance goals found in our Medical Device User Fee Amendments</w:t>
      </w:r>
      <w:r>
        <w:rPr>
          <w:bCs/>
        </w:rPr>
        <w:t xml:space="preserve"> (MDUFA)</w:t>
      </w:r>
      <w:r w:rsidR="00AA351C">
        <w:rPr>
          <w:bCs/>
        </w:rPr>
        <w:t xml:space="preserve"> IV</w:t>
      </w:r>
      <w:r w:rsidRPr="007067B4">
        <w:rPr>
          <w:bCs/>
        </w:rPr>
        <w:t xml:space="preserve"> Commitment Letter, we developed eSTAR for use </w:t>
      </w:r>
      <w:r>
        <w:rPr>
          <w:bCs/>
        </w:rPr>
        <w:t>with</w:t>
      </w:r>
      <w:r w:rsidRPr="007067B4">
        <w:rPr>
          <w:bCs/>
        </w:rPr>
        <w:t xml:space="preserve"> the Center for Devices and Radiological Health Customer Collaboration Portal.  We use eSTAR as a tool to facilitate the preparation of submissions in electronic format (available on FDA’s website at </w:t>
      </w:r>
      <w:hyperlink r:id="rId7" w:history="1">
        <w:r w:rsidRPr="007B2BCF">
          <w:rPr>
            <w:rStyle w:val="Hyperlink"/>
            <w:bCs/>
          </w:rPr>
          <w:t>https://www.fda.gov/medical-devices/how-study-and-market-your-device/voluntary-estar-program</w:t>
        </w:r>
      </w:hyperlink>
      <w:r>
        <w:rPr>
          <w:bCs/>
        </w:rPr>
        <w:t xml:space="preserve"> </w:t>
      </w:r>
      <w:r w:rsidRPr="007067B4">
        <w:rPr>
          <w:bCs/>
        </w:rPr>
        <w:t>and identified as Form FDA 4062 “Electronic Submission Template and Resource (eSTAR)” (for Non-In Vitro Diagnostic submissions) and form FDA 4078 “Electronic Submission Template and Resource (eSTAR)” (for In Vitro Diagnostic submissions)).  We believe respondents’ use of eSTAR will significantly reduce burden attendant to application submissions by providing a uniform format for requisite elements and by enhancing user</w:t>
      </w:r>
      <w:r>
        <w:rPr>
          <w:bCs/>
        </w:rPr>
        <w:t xml:space="preserve"> </w:t>
      </w:r>
      <w:r w:rsidRPr="007067B4">
        <w:rPr>
          <w:bCs/>
        </w:rPr>
        <w:t xml:space="preserve">interface through the use of </w:t>
      </w:r>
      <w:r w:rsidRPr="007067B4">
        <w:rPr>
          <w:bCs/>
        </w:rPr>
        <w:t>modernized technology</w:t>
      </w:r>
      <w:r>
        <w:rPr>
          <w:bCs/>
        </w:rPr>
        <w:t xml:space="preserve">.  We continue to make process improvements and technological enhancements consistent with our MDUFA V Commitment letter found at </w:t>
      </w:r>
      <w:hyperlink r:id="rId8" w:history="1">
        <w:r w:rsidRPr="007B2BCF">
          <w:rPr>
            <w:rStyle w:val="Hyperlink"/>
            <w:bCs/>
          </w:rPr>
          <w:t>https://www.fda.gov/media/157074/download</w:t>
        </w:r>
      </w:hyperlink>
      <w:r>
        <w:rPr>
          <w:bCs/>
        </w:rPr>
        <w:t xml:space="preserve"> (included in OMB control number 0910-0511).</w:t>
      </w:r>
    </w:p>
    <w:p w:rsidR="00357C8A" w:rsidRPr="00357C8A" w:rsidP="0022425B" w14:paraId="5841AB08" w14:textId="590833D8">
      <w:pPr>
        <w:spacing w:after="200"/>
        <w:rPr>
          <w:rFonts w:eastAsia="Calibri"/>
          <w:color w:val="FF0000"/>
        </w:rPr>
      </w:pPr>
      <w:r>
        <w:rPr>
          <w:rFonts w:eastAsia="Calibri"/>
        </w:rPr>
        <w:t xml:space="preserve">We </w:t>
      </w:r>
      <w:r w:rsidRPr="00EB7535" w:rsidR="005D7262">
        <w:rPr>
          <w:rFonts w:eastAsia="Calibri"/>
        </w:rPr>
        <w:t>estimate 99% of the respondents will use electronic means to fulfill the</w:t>
      </w:r>
      <w:r>
        <w:rPr>
          <w:rFonts w:eastAsia="Calibri"/>
        </w:rPr>
        <w:t xml:space="preserve"> information collection</w:t>
      </w:r>
      <w:r w:rsidRPr="00EB7535" w:rsidR="005D7262">
        <w:rPr>
          <w:rFonts w:eastAsia="Calibri"/>
        </w:rPr>
        <w:t>.</w:t>
      </w:r>
    </w:p>
    <w:p w:rsidR="00357C8A" w:rsidRPr="00357C8A" w:rsidP="006705EA" w14:paraId="6A4B2BD1"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6F45A1" w:rsidRPr="0053380B" w:rsidP="006F45A1" w14:paraId="60DCEFED" w14:textId="02B438C4">
      <w:pPr>
        <w:spacing w:after="200"/>
        <w:rPr>
          <w:rFonts w:eastAsia="Calibri"/>
          <w:color w:val="FF0000"/>
        </w:rPr>
      </w:pPr>
      <w:r w:rsidRPr="005C71CA">
        <w:t>We are unaware of duplicative information collection.</w:t>
      </w:r>
      <w:r w:rsidR="00F00E32">
        <w:t xml:space="preserve">  Upon evaluation of our inventory, we note related information collection activity associated with</w:t>
      </w:r>
      <w:r w:rsidR="00085BEE">
        <w:t xml:space="preserve"> registration and listing requirements in 21 CFR part 807 subparts A through D</w:t>
      </w:r>
      <w:r w:rsidR="00F00E32">
        <w:t xml:space="preserve">.  </w:t>
      </w:r>
      <w:r w:rsidR="006D047C">
        <w:t>In t</w:t>
      </w:r>
      <w:r w:rsidR="00F00E32">
        <w:t xml:space="preserve">his information collection </w:t>
      </w:r>
      <w:r w:rsidR="006D047C">
        <w:t xml:space="preserve">we are specifically </w:t>
      </w:r>
      <w:r w:rsidR="00F00E32">
        <w:t>cover</w:t>
      </w:r>
      <w:r w:rsidR="006D047C">
        <w:t>ing</w:t>
      </w:r>
      <w:r w:rsidR="00F00E32">
        <w:t xml:space="preserve"> premarket notifications</w:t>
      </w:r>
      <w:r w:rsidR="00BA69BC">
        <w:t xml:space="preserve"> required </w:t>
      </w:r>
      <w:r w:rsidR="007A5801">
        <w:t xml:space="preserve">in </w:t>
      </w:r>
      <w:r w:rsidR="00085BEE">
        <w:t>21 CFR part 807 subpart E.</w:t>
      </w:r>
    </w:p>
    <w:p w:rsidR="00357C8A" w:rsidRPr="00357C8A" w:rsidP="006F45A1" w14:paraId="16ED52BB" w14:textId="77777777">
      <w:pPr>
        <w:keepNext/>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298B9E89" w14:textId="77777777">
      <w:pPr>
        <w:spacing w:after="200"/>
        <w:rPr>
          <w:rFonts w:eastAsia="Calibri"/>
        </w:rPr>
      </w:pPr>
      <w:r>
        <w:rPr>
          <w:bCs/>
        </w:rPr>
        <w:t>We do not believe the information collection imposes undue burden on small entities.  Respondents to the information collection submit user fees in conjunction with FDA review of premarket notification of medical devices. Under statutory provisions, small businesses may qualify for reduced fees.</w:t>
      </w:r>
    </w:p>
    <w:p w:rsidR="00357C8A" w:rsidRPr="00357C8A" w:rsidP="006705EA" w14:paraId="6C4DB5FF"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6F45A1" w:rsidRPr="00EB7535" w:rsidP="006F45A1" w14:paraId="7C4BFBBB" w14:textId="77777777">
      <w:pPr>
        <w:spacing w:after="200"/>
        <w:rPr>
          <w:rFonts w:eastAsia="Calibri"/>
        </w:rPr>
      </w:pPr>
      <w:r w:rsidRPr="000B2F6F">
        <w:t xml:space="preserve">The </w:t>
      </w:r>
      <w:r>
        <w:t>information collection is consistent with applicable statutory and regulatory requirements.</w:t>
      </w:r>
    </w:p>
    <w:p w:rsidR="00357C8A" w:rsidRPr="00357C8A" w:rsidP="006705EA" w14:paraId="062D41F2"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6F45A1" w:rsidP="0022425B" w14:paraId="11479F1C" w14:textId="77777777">
      <w:pPr>
        <w:spacing w:after="200"/>
        <w:rPr>
          <w:rFonts w:eastAsia="Calibri"/>
        </w:rPr>
      </w:pPr>
      <w:r w:rsidRPr="006F45A1">
        <w:rPr>
          <w:rFonts w:eastAsia="Calibri"/>
        </w:rPr>
        <w:t>There are no special circumstances for this collection of information.</w:t>
      </w:r>
    </w:p>
    <w:p w:rsidR="00357C8A" w:rsidRPr="00357C8A" w:rsidP="006705EA" w14:paraId="03AF9F83"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6F45A1" w:rsidP="008867E1" w14:paraId="038709C2" w14:textId="2D613A58">
      <w:pPr>
        <w:spacing w:after="200"/>
        <w:rPr>
          <w:rFonts w:eastAsia="Calibri"/>
        </w:rPr>
      </w:pPr>
      <w:r>
        <w:rPr>
          <w:rFonts w:eastAsia="Calibri"/>
        </w:rPr>
        <w:t>We</w:t>
      </w:r>
      <w:r w:rsidR="00484522">
        <w:rPr>
          <w:rFonts w:eastAsia="Calibri"/>
        </w:rPr>
        <w:t xml:space="preserve"> </w:t>
      </w:r>
      <w:r w:rsidR="00792947">
        <w:rPr>
          <w:rFonts w:eastAsia="Calibri"/>
        </w:rPr>
        <w:t xml:space="preserve">published a 60-day notice for public comment in the </w:t>
      </w:r>
      <w:r w:rsidRPr="009009E7" w:rsidR="00792947">
        <w:rPr>
          <w:rFonts w:eastAsia="Calibri"/>
          <w:i/>
        </w:rPr>
        <w:t>Federal Register</w:t>
      </w:r>
      <w:r w:rsidR="00792947">
        <w:rPr>
          <w:rFonts w:eastAsia="Calibri"/>
        </w:rPr>
        <w:t xml:space="preserve"> of </w:t>
      </w:r>
      <w:r w:rsidR="00B50839">
        <w:t>February 21, 2023, (88 FR 10517)</w:t>
      </w:r>
      <w:r w:rsidR="008867E1">
        <w:rPr>
          <w:rFonts w:eastAsia="Calibri"/>
        </w:rPr>
        <w:t xml:space="preserve">.  </w:t>
      </w:r>
      <w:r w:rsidR="009265B8">
        <w:rPr>
          <w:rFonts w:eastAsia="Calibri"/>
        </w:rPr>
        <w:t xml:space="preserve">In the </w:t>
      </w:r>
      <w:r w:rsidRPr="001129D9" w:rsidR="009265B8">
        <w:rPr>
          <w:rFonts w:eastAsia="Calibri"/>
          <w:i/>
          <w:iCs/>
        </w:rPr>
        <w:t>Federal Register</w:t>
      </w:r>
      <w:r w:rsidR="009265B8">
        <w:rPr>
          <w:rFonts w:eastAsia="Calibri"/>
        </w:rPr>
        <w:t xml:space="preserve"> of March </w:t>
      </w:r>
      <w:r w:rsidR="007F2542">
        <w:rPr>
          <w:rFonts w:eastAsia="Calibri"/>
        </w:rPr>
        <w:t>13, 2023 (88 FR</w:t>
      </w:r>
      <w:r w:rsidR="005B30F4">
        <w:rPr>
          <w:rFonts w:eastAsia="Calibri"/>
        </w:rPr>
        <w:t xml:space="preserve"> 15410</w:t>
      </w:r>
      <w:r w:rsidR="007F2542">
        <w:rPr>
          <w:rFonts w:eastAsia="Calibri"/>
        </w:rPr>
        <w:t xml:space="preserve">), we published a notice </w:t>
      </w:r>
      <w:r w:rsidR="002B7738">
        <w:rPr>
          <w:rFonts w:eastAsia="Calibri"/>
        </w:rPr>
        <w:t>inviting comment on information collection associated with custom device exemptions</w:t>
      </w:r>
      <w:r w:rsidR="001129D9">
        <w:rPr>
          <w:rFonts w:eastAsia="Calibri"/>
        </w:rPr>
        <w:t xml:space="preserve"> specifically</w:t>
      </w:r>
      <w:r w:rsidR="002B7738">
        <w:rPr>
          <w:rFonts w:eastAsia="Calibri"/>
        </w:rPr>
        <w:t xml:space="preserve">.  </w:t>
      </w:r>
      <w:r w:rsidR="008867E1">
        <w:rPr>
          <w:rFonts w:eastAsia="Calibri"/>
        </w:rPr>
        <w:t>No comments were received.</w:t>
      </w:r>
    </w:p>
    <w:p w:rsidR="00357C8A" w:rsidRPr="00357C8A" w:rsidP="006705EA" w14:paraId="6E8E0E8C"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6F45A1" w:rsidRPr="00357C8A" w:rsidP="006F45A1" w14:paraId="5AD0FE1B" w14:textId="77777777">
      <w:pPr>
        <w:spacing w:after="200"/>
        <w:rPr>
          <w:rFonts w:eastAsia="Calibri"/>
          <w:color w:val="FF0000"/>
        </w:rPr>
      </w:pPr>
      <w:r w:rsidRPr="002074FE">
        <w:rPr>
          <w:rFonts w:eastAsia="Calibri"/>
        </w:rPr>
        <w:t>There are no incentives, payments or gifts associated with this information collection.</w:t>
      </w:r>
    </w:p>
    <w:p w:rsidR="00357C8A" w:rsidRPr="00357C8A" w:rsidP="00AA351C" w14:paraId="1EB1255B" w14:textId="77777777">
      <w:pPr>
        <w:keepNext/>
        <w:numPr>
          <w:ilvl w:val="0"/>
          <w:numId w:val="6"/>
        </w:numPr>
        <w:spacing w:after="200" w:line="276" w:lineRule="auto"/>
        <w:rPr>
          <w:rFonts w:eastAsia="Calibri"/>
        </w:rPr>
      </w:pPr>
      <w:r w:rsidRPr="00357C8A">
        <w:rPr>
          <w:rFonts w:eastAsia="Calibri"/>
          <w:u w:val="single"/>
        </w:rPr>
        <w:t>Assurance of Confidentiality Provided to Respondents</w:t>
      </w:r>
    </w:p>
    <w:p w:rsidR="006B3A96" w:rsidRPr="00D77313" w:rsidP="006F45A1" w14:paraId="09BA42DE" w14:textId="77777777">
      <w:pPr>
        <w:rPr>
          <w:rFonts w:eastAsia="Calibri"/>
          <w:i/>
          <w:iCs/>
        </w:rPr>
      </w:pPr>
      <w:r w:rsidRPr="00D77313">
        <w:rPr>
          <w:rFonts w:eastAsia="Calibri"/>
          <w:i/>
          <w:iCs/>
        </w:rPr>
        <w:t>The Privacy Act of 1974</w:t>
      </w:r>
    </w:p>
    <w:p w:rsidR="006B3A96" w:rsidP="006F45A1" w14:paraId="6F4F3020" w14:textId="77777777">
      <w:pPr>
        <w:rPr>
          <w:rFonts w:eastAsia="Calibri"/>
        </w:rPr>
      </w:pPr>
    </w:p>
    <w:p w:rsidR="006F45A1" w:rsidRPr="007E6B04" w:rsidP="006F45A1" w14:paraId="0CF2DBD8" w14:textId="00702241">
      <w:pPr>
        <w:rPr>
          <w:rFonts w:eastAsia="Calibri"/>
        </w:rPr>
      </w:pPr>
      <w:r w:rsidRPr="007E6B04">
        <w:rPr>
          <w:rFonts w:eastAsia="Calibri"/>
        </w:rPr>
        <w:t xml:space="preserve">In preparing this </w:t>
      </w:r>
      <w:r w:rsidR="006B3A96">
        <w:rPr>
          <w:rFonts w:eastAsia="Calibri"/>
        </w:rPr>
        <w:t>s</w:t>
      </w:r>
      <w:r w:rsidRPr="007E6B04">
        <w:rPr>
          <w:rFonts w:eastAsia="Calibri"/>
        </w:rPr>
        <w:t xml:space="preserve">upporting </w:t>
      </w:r>
      <w:r w:rsidR="006B3A96">
        <w:rPr>
          <w:rFonts w:eastAsia="Calibri"/>
        </w:rPr>
        <w:t>s</w:t>
      </w:r>
      <w:r w:rsidRPr="007E6B04">
        <w:rPr>
          <w:rFonts w:eastAsia="Calibri"/>
        </w:rPr>
        <w:t>tatement, we consulted our Privacy Office to ensure appropriate identification and handling of information collected.</w:t>
      </w:r>
    </w:p>
    <w:p w:rsidR="006F45A1" w:rsidRPr="007E6B04" w:rsidP="006F45A1" w14:paraId="5BE8A165" w14:textId="77777777">
      <w:pPr>
        <w:rPr>
          <w:rFonts w:eastAsia="Calibri"/>
        </w:rPr>
      </w:pPr>
    </w:p>
    <w:p w:rsidR="006F45A1" w:rsidP="006F45A1" w14:paraId="068474D0" w14:textId="16022F42">
      <w:pPr>
        <w:rPr>
          <w:rFonts w:eastAsia="Calibri"/>
        </w:rPr>
      </w:pPr>
      <w:r>
        <w:rPr>
          <w:rFonts w:eastAsia="Calibri"/>
        </w:rPr>
        <w:t>Although t</w:t>
      </w:r>
      <w:r w:rsidRPr="007E6B04">
        <w:rPr>
          <w:rFonts w:eastAsia="Calibri"/>
        </w:rPr>
        <w:t>his ICR collects personally identifiable information (PII)</w:t>
      </w:r>
      <w:r>
        <w:rPr>
          <w:rFonts w:eastAsia="Calibri"/>
        </w:rPr>
        <w:t xml:space="preserve">, it </w:t>
      </w:r>
      <w:r w:rsidRPr="007E6B04">
        <w:rPr>
          <w:rFonts w:eastAsia="Calibri"/>
        </w:rPr>
        <w:t>is collected in the context of the subject individuals’ professional capacity and the FDA-related work perform</w:t>
      </w:r>
      <w:r>
        <w:rPr>
          <w:rFonts w:eastAsia="Calibri"/>
        </w:rPr>
        <w:t>ed</w:t>
      </w:r>
      <w:r w:rsidRPr="007E6B04">
        <w:rPr>
          <w:rFonts w:eastAsia="Calibri"/>
        </w:rPr>
        <w:t xml:space="preserve"> for their </w:t>
      </w:r>
      <w:r w:rsidRPr="007E6B04">
        <w:rPr>
          <w:rFonts w:eastAsia="Calibri"/>
        </w:rPr>
        <w:t xml:space="preserve">employer (e.g., point of contact at a regulated entity).  The PII submitted via Form FDA 3514 (CDRH Premarket Review Cover Sheet) is contact name, work telephone number, work email address, work address, and work fax number. </w:t>
      </w:r>
      <w:r w:rsidR="00D86C25">
        <w:rPr>
          <w:rFonts w:eastAsia="Calibri"/>
        </w:rPr>
        <w:t xml:space="preserve"> </w:t>
      </w:r>
      <w:r w:rsidRPr="007E6B04">
        <w:rPr>
          <w:rFonts w:eastAsia="Calibri"/>
        </w:rPr>
        <w:t xml:space="preserve">Form </w:t>
      </w:r>
      <w:r w:rsidR="00D86C25">
        <w:rPr>
          <w:rFonts w:eastAsia="Calibri"/>
        </w:rPr>
        <w:t xml:space="preserve">FDA </w:t>
      </w:r>
      <w:r w:rsidRPr="007E6B04">
        <w:rPr>
          <w:rFonts w:eastAsia="Calibri"/>
        </w:rPr>
        <w:t xml:space="preserve">3881 (Indications for Use) is used for this collection, but no PII is collected on this form. </w:t>
      </w:r>
      <w:r w:rsidR="00300BC6">
        <w:rPr>
          <w:rFonts w:eastAsia="Calibri"/>
        </w:rPr>
        <w:t xml:space="preserve"> We have </w:t>
      </w:r>
      <w:r w:rsidRPr="007E6B04">
        <w:rPr>
          <w:rFonts w:eastAsia="Calibri"/>
        </w:rPr>
        <w:t xml:space="preserve">determined that although PII is collected, the collection is not subject to the Privacy Act of 1974 and the particular notice and other requirements of the </w:t>
      </w:r>
      <w:r w:rsidR="00300BC6">
        <w:rPr>
          <w:rFonts w:eastAsia="Calibri"/>
        </w:rPr>
        <w:t xml:space="preserve">Privacy </w:t>
      </w:r>
      <w:r w:rsidRPr="007E6B04">
        <w:rPr>
          <w:rFonts w:eastAsia="Calibri"/>
        </w:rPr>
        <w:t xml:space="preserve">Act do not apply. </w:t>
      </w:r>
      <w:r w:rsidR="00D86C25">
        <w:rPr>
          <w:rFonts w:eastAsia="Calibri"/>
        </w:rPr>
        <w:t>,</w:t>
      </w:r>
      <w:r w:rsidRPr="007E6B04">
        <w:rPr>
          <w:rFonts w:eastAsia="Calibri"/>
        </w:rPr>
        <w:t xml:space="preserve">Specifically, </w:t>
      </w:r>
      <w:r w:rsidR="00CF743E">
        <w:rPr>
          <w:rFonts w:eastAsia="Calibri"/>
        </w:rPr>
        <w:t xml:space="preserve">neither </w:t>
      </w:r>
      <w:r w:rsidRPr="007E6B04">
        <w:rPr>
          <w:rFonts w:eastAsia="Calibri"/>
        </w:rPr>
        <w:t xml:space="preserve">the contractor </w:t>
      </w:r>
      <w:r w:rsidR="00CF743E">
        <w:rPr>
          <w:rFonts w:eastAsia="Calibri"/>
        </w:rPr>
        <w:t>n</w:t>
      </w:r>
      <w:r w:rsidRPr="007E6B04">
        <w:rPr>
          <w:rFonts w:eastAsia="Calibri"/>
        </w:rPr>
        <w:t>or FDA use</w:t>
      </w:r>
      <w:r w:rsidR="00CF743E">
        <w:rPr>
          <w:rFonts w:eastAsia="Calibri"/>
        </w:rPr>
        <w:t>s</w:t>
      </w:r>
      <w:r w:rsidRPr="007E6B04">
        <w:rPr>
          <w:rFonts w:eastAsia="Calibri"/>
        </w:rPr>
        <w:t xml:space="preserve"> name or any other personal identifier to retrieve records from the information collected. </w:t>
      </w:r>
      <w:r w:rsidR="00CF743E">
        <w:rPr>
          <w:rFonts w:eastAsia="Calibri"/>
        </w:rPr>
        <w:t xml:space="preserve"> </w:t>
      </w:r>
      <w:r w:rsidRPr="007E6B04">
        <w:rPr>
          <w:rFonts w:eastAsia="Calibri"/>
        </w:rPr>
        <w:t>Through appropriate form and webpage design, FDA limited submission fields and minimized the PII collected to protect the privacy of the individuals.</w:t>
      </w:r>
    </w:p>
    <w:p w:rsidR="006B3A96" w:rsidP="006F45A1" w14:paraId="01650DCE" w14:textId="089C9F7B">
      <w:pPr>
        <w:rPr>
          <w:rFonts w:eastAsia="Calibri"/>
        </w:rPr>
      </w:pPr>
    </w:p>
    <w:p w:rsidR="006B3A96" w:rsidRPr="00D77313" w:rsidP="006F45A1" w14:paraId="7B9EF617" w14:textId="6D0A76D5">
      <w:pPr>
        <w:rPr>
          <w:rFonts w:eastAsia="Calibri"/>
          <w:i/>
          <w:iCs/>
        </w:rPr>
      </w:pPr>
      <w:r w:rsidRPr="00D77313">
        <w:rPr>
          <w:rFonts w:eastAsia="Calibri"/>
          <w:i/>
          <w:iCs/>
        </w:rPr>
        <w:t>The Freedom of Information Act (FOIA)</w:t>
      </w:r>
    </w:p>
    <w:p w:rsidR="006F45A1" w:rsidRPr="007E6B04" w:rsidP="006F45A1" w14:paraId="2282103A" w14:textId="77777777">
      <w:pPr>
        <w:rPr>
          <w:rFonts w:eastAsia="Calibri"/>
        </w:rPr>
      </w:pPr>
    </w:p>
    <w:p w:rsidR="006F45A1" w:rsidP="006F45A1" w14:paraId="72B5518A" w14:textId="38A24CBA">
      <w:pPr>
        <w:rPr>
          <w:rFonts w:eastAsia="Calibri"/>
        </w:rPr>
      </w:pPr>
      <w:r w:rsidRPr="007E6B04">
        <w:rPr>
          <w:rFonts w:eastAsia="Calibri"/>
        </w:rPr>
        <w:t>Under FOIA (5 U.S.C. 552), the public has broad access to government documents. However, FOIA provides certain exemptions from mandatory public disclosure of government records (5 U.S.C. 552(b)(1-9)).</w:t>
      </w:r>
      <w:r w:rsidR="00D77313">
        <w:rPr>
          <w:rFonts w:eastAsia="Calibri"/>
        </w:rPr>
        <w:t xml:space="preserve">  </w:t>
      </w:r>
      <w:r w:rsidRPr="007E6B04">
        <w:rPr>
          <w:rFonts w:eastAsia="Calibri"/>
        </w:rPr>
        <w:t>FDA will make the fullest possible disclosure of records to the public, consistent with the rights of individuals to privacy, the property rights of persons in trade and confidential commercial or financial information.</w:t>
      </w:r>
    </w:p>
    <w:p w:rsidR="00357C8A" w:rsidP="0022425B" w14:paraId="31061E7C" w14:textId="77777777">
      <w:pPr>
        <w:rPr>
          <w:rFonts w:eastAsia="Calibri"/>
          <w:color w:val="FF0000"/>
        </w:rPr>
      </w:pPr>
    </w:p>
    <w:p w:rsidR="00357C8A" w:rsidRPr="006F45A1" w:rsidP="006705EA" w14:paraId="52CC3E8E" w14:textId="77777777">
      <w:pPr>
        <w:numPr>
          <w:ilvl w:val="0"/>
          <w:numId w:val="6"/>
        </w:numPr>
        <w:spacing w:after="200" w:line="276" w:lineRule="auto"/>
        <w:rPr>
          <w:rFonts w:eastAsia="Calibri"/>
          <w:iCs/>
        </w:rPr>
      </w:pPr>
      <w:r w:rsidRPr="00357C8A">
        <w:rPr>
          <w:rFonts w:eastAsia="Calibri"/>
          <w:u w:val="single"/>
        </w:rPr>
        <w:t>Justification for Sensitive Questions</w:t>
      </w:r>
    </w:p>
    <w:p w:rsidR="006F45A1" w:rsidP="006F45A1" w14:paraId="0088C0AE" w14:textId="5FEAEFF0">
      <w:pPr>
        <w:spacing w:after="200"/>
        <w:rPr>
          <w:rFonts w:eastAsia="Calibri"/>
          <w:iCs/>
        </w:rPr>
      </w:pPr>
      <w:r w:rsidRPr="006F45A1">
        <w:rPr>
          <w:rFonts w:eastAsia="Calibri"/>
          <w:iCs/>
        </w:rPr>
        <w:t>The collection of information does not involve sensitive questions.</w:t>
      </w:r>
    </w:p>
    <w:p w:rsidR="00D77313" w:rsidRPr="006F45A1" w:rsidP="006F45A1" w14:paraId="5303A9B8" w14:textId="1344DA3A">
      <w:pPr>
        <w:spacing w:after="200"/>
        <w:rPr>
          <w:rFonts w:eastAsia="Calibri"/>
          <w:iCs/>
          <w:color w:val="FF0000"/>
        </w:rPr>
      </w:pPr>
      <w:r>
        <w:rPr>
          <w:rFonts w:eastAsia="Calibri"/>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300355</wp:posOffset>
                </wp:positionV>
                <wp:extent cx="5316855" cy="3039110"/>
                <wp:effectExtent l="0" t="0" r="0" b="8890"/>
                <wp:wrapSquare wrapText="bothSides"/>
                <wp:docPr id="200" name="Text Box 200"/>
                <wp:cNvGraphicFramePr/>
                <a:graphic xmlns:a="http://schemas.openxmlformats.org/drawingml/2006/main">
                  <a:graphicData uri="http://schemas.microsoft.com/office/word/2010/wordprocessingShape">
                    <wps:wsp xmlns:wps="http://schemas.microsoft.com/office/word/2010/wordprocessingShape">
                      <wps:cNvSpPr txBox="1"/>
                      <wps:spPr>
                        <a:xfrm>
                          <a:off x="0" y="0"/>
                          <a:ext cx="5316855" cy="3039110"/>
                        </a:xfrm>
                        <a:prstGeom prst="rect">
                          <a:avLst/>
                        </a:prstGeom>
                        <a:noFill/>
                        <a:ln w="6350">
                          <a:noFill/>
                        </a:ln>
                        <a:effectLst/>
                      </wps:spPr>
                      <wps:txbx>
                        <w:txbxContent>
                          <w:p w:rsidR="00D77313" w:rsidP="00D77313" w14:textId="121266EE">
                            <w:pPr>
                              <w:rPr>
                                <w:caps/>
                                <w:color w:val="4472C4" w:themeColor="accent1"/>
                                <w:sz w:val="26"/>
                                <w:szCs w:val="26"/>
                              </w:rPr>
                            </w:pPr>
                            <w:r>
                              <w:rPr>
                                <w:caps/>
                                <w:color w:val="4472C4" w:themeColor="accent1"/>
                                <w:sz w:val="26"/>
                                <w:szCs w:val="26"/>
                              </w:rPr>
                              <w:t>BURDEN SUMMARY TABLE NEXT PAGE.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 o:spid="_x0000_s1025" type="#_x0000_t202" style="width:418.65pt;height:239.3pt;margin-top:23.65pt;margin-left:0;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inset=",7.2pt,,0">
                  <w:txbxContent>
                    <w:p w:rsidR="00D77313" w:rsidP="00D77313" w14:paraId="69D45EC7" w14:textId="121266EE">
                      <w:pPr>
                        <w:rPr>
                          <w:caps/>
                          <w:color w:val="4472C4" w:themeColor="accent1"/>
                          <w:sz w:val="26"/>
                          <w:szCs w:val="26"/>
                        </w:rPr>
                      </w:pPr>
                      <w:r>
                        <w:rPr>
                          <w:caps/>
                          <w:color w:val="4472C4" w:themeColor="accent1"/>
                          <w:sz w:val="26"/>
                          <w:szCs w:val="26"/>
                        </w:rPr>
                        <w:t>BURDEN SUMMARY TABLE NEXT PAGE.</w:t>
                      </w:r>
                    </w:p>
                  </w:txbxContent>
                </v:textbox>
                <w10:wrap type="square"/>
              </v:shape>
            </w:pict>
          </mc:Fallback>
        </mc:AlternateContent>
      </w:r>
    </w:p>
    <w:p w:rsidR="00357C8A" w:rsidRPr="00357C8A" w:rsidP="00AA351C" w14:paraId="195486B0" w14:textId="77777777">
      <w:pPr>
        <w:keepNext/>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747DB2" w:rsidP="00AA351C" w14:paraId="5ABFDF9C" w14:textId="77777777">
      <w:pPr>
        <w:keepNext/>
        <w:spacing w:after="200"/>
        <w:ind w:left="360"/>
        <w:rPr>
          <w:rFonts w:eastAsia="Calibri"/>
          <w:i/>
          <w:iCs/>
        </w:rPr>
      </w:pPr>
      <w:r w:rsidRPr="00747DB2">
        <w:rPr>
          <w:rFonts w:eastAsia="Calibri"/>
          <w:i/>
          <w:iCs/>
        </w:rPr>
        <w:t>12a.  Annualized Hour Burden Estimate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2"/>
        <w:gridCol w:w="968"/>
        <w:gridCol w:w="1352"/>
        <w:gridCol w:w="1544"/>
        <w:gridCol w:w="1256"/>
        <w:gridCol w:w="1311"/>
        <w:gridCol w:w="931"/>
      </w:tblGrid>
      <w:tr w14:paraId="22D6993A" w14:textId="77777777" w:rsidTr="0078198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9504" w:type="dxa"/>
            <w:gridSpan w:val="7"/>
            <w:tcBorders>
              <w:top w:val="nil"/>
              <w:left w:val="nil"/>
              <w:right w:val="nil"/>
            </w:tcBorders>
            <w:shd w:val="clear" w:color="auto" w:fill="auto"/>
          </w:tcPr>
          <w:p w:rsidR="00952AA2" w:rsidRPr="00C647A4" w:rsidP="005C7C23" w14:paraId="0DF24891" w14:textId="77777777">
            <w:pPr>
              <w:keepNext/>
              <w:jc w:val="center"/>
              <w:rPr>
                <w:sz w:val="20"/>
                <w:szCs w:val="20"/>
              </w:rPr>
            </w:pPr>
            <w:r w:rsidRPr="00C647A4">
              <w:rPr>
                <w:sz w:val="20"/>
                <w:szCs w:val="20"/>
              </w:rPr>
              <w:t>Table. 1—Estimated Annual Reporting Burden</w:t>
            </w:r>
          </w:p>
        </w:tc>
      </w:tr>
      <w:tr w14:paraId="2766528E" w14:textId="77777777" w:rsidTr="0078198B">
        <w:tblPrEx>
          <w:tblW w:w="5000" w:type="pct"/>
          <w:jc w:val="center"/>
          <w:tblLayout w:type="fixed"/>
          <w:tblLook w:val="04A0"/>
        </w:tblPrEx>
        <w:trPr>
          <w:cantSplit/>
          <w:tblHeader/>
          <w:jc w:val="center"/>
        </w:trPr>
        <w:tc>
          <w:tcPr>
            <w:tcW w:w="2142" w:type="dxa"/>
            <w:shd w:val="clear" w:color="auto" w:fill="auto"/>
          </w:tcPr>
          <w:p w:rsidR="00952AA2" w:rsidRPr="00C647A4" w:rsidP="005C7C23" w14:paraId="1DC1028A" w14:textId="77777777">
            <w:pPr>
              <w:keepNext/>
              <w:jc w:val="center"/>
              <w:rPr>
                <w:sz w:val="20"/>
                <w:szCs w:val="20"/>
              </w:rPr>
            </w:pPr>
            <w:r w:rsidRPr="00C647A4">
              <w:rPr>
                <w:sz w:val="20"/>
                <w:szCs w:val="20"/>
              </w:rPr>
              <w:t>Activity and 21 CFR Part/ Section</w:t>
            </w:r>
          </w:p>
        </w:tc>
        <w:tc>
          <w:tcPr>
            <w:tcW w:w="968" w:type="dxa"/>
            <w:shd w:val="clear" w:color="auto" w:fill="auto"/>
          </w:tcPr>
          <w:p w:rsidR="00952AA2" w:rsidRPr="00C647A4" w:rsidP="005C7C23" w14:paraId="108B3204" w14:textId="77777777">
            <w:pPr>
              <w:keepNext/>
              <w:jc w:val="center"/>
              <w:rPr>
                <w:sz w:val="20"/>
                <w:szCs w:val="20"/>
              </w:rPr>
            </w:pPr>
            <w:r w:rsidRPr="00C647A4">
              <w:rPr>
                <w:sz w:val="20"/>
                <w:szCs w:val="20"/>
              </w:rPr>
              <w:t>Form Number</w:t>
            </w:r>
          </w:p>
        </w:tc>
        <w:tc>
          <w:tcPr>
            <w:tcW w:w="1352" w:type="dxa"/>
            <w:shd w:val="clear" w:color="auto" w:fill="auto"/>
          </w:tcPr>
          <w:p w:rsidR="00952AA2" w:rsidRPr="00C647A4" w:rsidP="005C7C23" w14:paraId="470A7AAD" w14:textId="77777777">
            <w:pPr>
              <w:keepNext/>
              <w:jc w:val="center"/>
              <w:rPr>
                <w:sz w:val="20"/>
                <w:szCs w:val="20"/>
              </w:rPr>
            </w:pPr>
            <w:r w:rsidRPr="00C647A4">
              <w:rPr>
                <w:sz w:val="20"/>
                <w:szCs w:val="20"/>
              </w:rPr>
              <w:t>No. of Respondents</w:t>
            </w:r>
          </w:p>
        </w:tc>
        <w:tc>
          <w:tcPr>
            <w:tcW w:w="1544" w:type="dxa"/>
            <w:shd w:val="clear" w:color="auto" w:fill="auto"/>
          </w:tcPr>
          <w:p w:rsidR="00952AA2" w:rsidRPr="00C647A4" w:rsidP="005C7C23" w14:paraId="781113AA" w14:textId="77777777">
            <w:pPr>
              <w:keepNext/>
              <w:jc w:val="center"/>
              <w:rPr>
                <w:sz w:val="20"/>
                <w:szCs w:val="20"/>
              </w:rPr>
            </w:pPr>
            <w:r w:rsidRPr="00C647A4">
              <w:rPr>
                <w:sz w:val="20"/>
                <w:szCs w:val="20"/>
              </w:rPr>
              <w:t>No. of Responses per Respondent</w:t>
            </w:r>
          </w:p>
        </w:tc>
        <w:tc>
          <w:tcPr>
            <w:tcW w:w="1256" w:type="dxa"/>
            <w:shd w:val="clear" w:color="auto" w:fill="auto"/>
          </w:tcPr>
          <w:p w:rsidR="00952AA2" w:rsidRPr="00C647A4" w:rsidP="005C7C23" w14:paraId="422C5246" w14:textId="77777777">
            <w:pPr>
              <w:keepNext/>
              <w:jc w:val="center"/>
              <w:rPr>
                <w:sz w:val="20"/>
                <w:szCs w:val="20"/>
              </w:rPr>
            </w:pPr>
            <w:r w:rsidRPr="00C647A4">
              <w:rPr>
                <w:sz w:val="20"/>
                <w:szCs w:val="20"/>
              </w:rPr>
              <w:t>Total Annual Responses</w:t>
            </w:r>
          </w:p>
        </w:tc>
        <w:tc>
          <w:tcPr>
            <w:tcW w:w="1311" w:type="dxa"/>
            <w:shd w:val="clear" w:color="auto" w:fill="auto"/>
          </w:tcPr>
          <w:p w:rsidR="00952AA2" w:rsidRPr="00C647A4" w:rsidP="005C7C23" w14:paraId="395D2876" w14:textId="77777777">
            <w:pPr>
              <w:keepNext/>
              <w:jc w:val="center"/>
              <w:rPr>
                <w:sz w:val="20"/>
                <w:szCs w:val="20"/>
              </w:rPr>
            </w:pPr>
            <w:r w:rsidRPr="00C647A4">
              <w:rPr>
                <w:sz w:val="20"/>
                <w:szCs w:val="20"/>
              </w:rPr>
              <w:t>Average Burden per Response</w:t>
            </w:r>
          </w:p>
        </w:tc>
        <w:tc>
          <w:tcPr>
            <w:tcW w:w="931" w:type="dxa"/>
            <w:shd w:val="clear" w:color="auto" w:fill="auto"/>
          </w:tcPr>
          <w:p w:rsidR="00952AA2" w:rsidRPr="00C647A4" w:rsidP="005C7C23" w14:paraId="45E61953" w14:textId="77777777">
            <w:pPr>
              <w:keepNext/>
              <w:jc w:val="center"/>
              <w:rPr>
                <w:sz w:val="20"/>
                <w:szCs w:val="20"/>
              </w:rPr>
            </w:pPr>
            <w:r w:rsidRPr="00C647A4">
              <w:rPr>
                <w:sz w:val="20"/>
                <w:szCs w:val="20"/>
              </w:rPr>
              <w:t>Total Hours</w:t>
            </w:r>
          </w:p>
        </w:tc>
      </w:tr>
      <w:tr w14:paraId="2D2FFE74" w14:textId="77777777" w:rsidTr="0078198B">
        <w:tblPrEx>
          <w:tblW w:w="5000" w:type="pct"/>
          <w:jc w:val="center"/>
          <w:tblLayout w:type="fixed"/>
          <w:tblLook w:val="04A0"/>
        </w:tblPrEx>
        <w:trPr>
          <w:cantSplit/>
          <w:tblHeader/>
          <w:jc w:val="center"/>
        </w:trPr>
        <w:tc>
          <w:tcPr>
            <w:tcW w:w="9504" w:type="dxa"/>
            <w:gridSpan w:val="7"/>
            <w:shd w:val="clear" w:color="auto" w:fill="auto"/>
          </w:tcPr>
          <w:p w:rsidR="00952AA2" w:rsidRPr="00C647A4" w:rsidP="005C7C23" w14:paraId="1B79DD6A" w14:textId="77777777">
            <w:pPr>
              <w:keepNext/>
              <w:jc w:val="center"/>
              <w:rPr>
                <w:sz w:val="20"/>
                <w:szCs w:val="20"/>
              </w:rPr>
            </w:pPr>
            <w:r>
              <w:rPr>
                <w:sz w:val="20"/>
                <w:szCs w:val="20"/>
              </w:rPr>
              <w:t>21 CFR Part 807, Subpart E, PREMARKET NOTIFICATION PROCEDURES</w:t>
            </w:r>
          </w:p>
        </w:tc>
      </w:tr>
      <w:tr w14:paraId="3F4FA3FF" w14:textId="77777777" w:rsidTr="0078198B">
        <w:tblPrEx>
          <w:tblW w:w="5000" w:type="pct"/>
          <w:jc w:val="center"/>
          <w:tblLayout w:type="fixed"/>
          <w:tblLook w:val="04A0"/>
        </w:tblPrEx>
        <w:trPr>
          <w:cantSplit/>
          <w:jc w:val="center"/>
        </w:trPr>
        <w:tc>
          <w:tcPr>
            <w:tcW w:w="2142" w:type="dxa"/>
            <w:shd w:val="clear" w:color="auto" w:fill="auto"/>
          </w:tcPr>
          <w:p w:rsidR="00952AA2" w:rsidRPr="00C647A4" w:rsidP="005C7C23" w14:paraId="254184E7" w14:textId="77777777">
            <w:pPr>
              <w:keepNext/>
              <w:rPr>
                <w:sz w:val="20"/>
                <w:szCs w:val="20"/>
              </w:rPr>
            </w:pPr>
            <w:r>
              <w:rPr>
                <w:sz w:val="20"/>
                <w:szCs w:val="20"/>
              </w:rPr>
              <w:t xml:space="preserve">510(k) submission </w:t>
            </w:r>
            <w:r w:rsidRPr="00C647A4">
              <w:rPr>
                <w:sz w:val="20"/>
                <w:szCs w:val="20"/>
              </w:rPr>
              <w:t>(807 subpart E)</w:t>
            </w:r>
          </w:p>
        </w:tc>
        <w:tc>
          <w:tcPr>
            <w:tcW w:w="968" w:type="dxa"/>
            <w:shd w:val="clear" w:color="auto" w:fill="auto"/>
          </w:tcPr>
          <w:p w:rsidR="00952AA2" w:rsidRPr="00C647A4" w:rsidP="005C7C23" w14:paraId="5D9466CF" w14:textId="77777777">
            <w:pPr>
              <w:keepNext/>
              <w:rPr>
                <w:sz w:val="20"/>
                <w:szCs w:val="20"/>
              </w:rPr>
            </w:pPr>
            <w:r>
              <w:rPr>
                <w:sz w:val="20"/>
                <w:szCs w:val="20"/>
              </w:rPr>
              <w:t>FDA 3881</w:t>
            </w:r>
          </w:p>
        </w:tc>
        <w:tc>
          <w:tcPr>
            <w:tcW w:w="1352" w:type="dxa"/>
            <w:shd w:val="clear" w:color="auto" w:fill="auto"/>
          </w:tcPr>
          <w:p w:rsidR="00952AA2" w:rsidRPr="00C647A4" w:rsidP="005C7C23" w14:paraId="21390BB0" w14:textId="77777777">
            <w:pPr>
              <w:keepNext/>
              <w:jc w:val="right"/>
              <w:rPr>
                <w:sz w:val="20"/>
                <w:szCs w:val="20"/>
              </w:rPr>
            </w:pPr>
            <w:r>
              <w:rPr>
                <w:sz w:val="20"/>
                <w:szCs w:val="20"/>
              </w:rPr>
              <w:t>3,800</w:t>
            </w:r>
          </w:p>
        </w:tc>
        <w:tc>
          <w:tcPr>
            <w:tcW w:w="1544" w:type="dxa"/>
            <w:shd w:val="clear" w:color="auto" w:fill="auto"/>
          </w:tcPr>
          <w:p w:rsidR="00952AA2" w:rsidRPr="00C647A4" w:rsidP="005C7C23" w14:paraId="2482156A" w14:textId="77777777">
            <w:pPr>
              <w:keepNext/>
              <w:jc w:val="right"/>
              <w:rPr>
                <w:sz w:val="20"/>
                <w:szCs w:val="20"/>
              </w:rPr>
            </w:pPr>
            <w:r w:rsidRPr="00C647A4">
              <w:rPr>
                <w:sz w:val="20"/>
                <w:szCs w:val="20"/>
              </w:rPr>
              <w:t>1</w:t>
            </w:r>
          </w:p>
        </w:tc>
        <w:tc>
          <w:tcPr>
            <w:tcW w:w="1256" w:type="dxa"/>
            <w:shd w:val="clear" w:color="auto" w:fill="auto"/>
          </w:tcPr>
          <w:p w:rsidR="00952AA2" w:rsidRPr="00C647A4" w:rsidP="005C7C23" w14:paraId="2D7C3902" w14:textId="77777777">
            <w:pPr>
              <w:keepNext/>
              <w:jc w:val="right"/>
              <w:rPr>
                <w:sz w:val="20"/>
                <w:szCs w:val="20"/>
              </w:rPr>
            </w:pPr>
            <w:r>
              <w:rPr>
                <w:sz w:val="20"/>
                <w:szCs w:val="20"/>
              </w:rPr>
              <w:t>3,800</w:t>
            </w:r>
          </w:p>
        </w:tc>
        <w:tc>
          <w:tcPr>
            <w:tcW w:w="1311" w:type="dxa"/>
            <w:shd w:val="clear" w:color="auto" w:fill="auto"/>
          </w:tcPr>
          <w:p w:rsidR="00952AA2" w:rsidRPr="00C647A4" w:rsidP="005C7C23" w14:paraId="11A3CFBB" w14:textId="77777777">
            <w:pPr>
              <w:keepNext/>
              <w:jc w:val="right"/>
              <w:rPr>
                <w:sz w:val="20"/>
                <w:szCs w:val="20"/>
              </w:rPr>
            </w:pPr>
            <w:r w:rsidRPr="00C647A4">
              <w:rPr>
                <w:sz w:val="20"/>
                <w:szCs w:val="20"/>
              </w:rPr>
              <w:t>79</w:t>
            </w:r>
            <w:r>
              <w:rPr>
                <w:sz w:val="20"/>
                <w:szCs w:val="20"/>
              </w:rPr>
              <w:t>.25</w:t>
            </w:r>
          </w:p>
        </w:tc>
        <w:tc>
          <w:tcPr>
            <w:tcW w:w="931" w:type="dxa"/>
            <w:shd w:val="clear" w:color="auto" w:fill="auto"/>
          </w:tcPr>
          <w:p w:rsidR="00952AA2" w:rsidRPr="00C647A4" w:rsidP="005C7C23" w14:paraId="5464EFC8" w14:textId="77777777">
            <w:pPr>
              <w:keepNext/>
              <w:jc w:val="right"/>
              <w:rPr>
                <w:sz w:val="20"/>
                <w:szCs w:val="20"/>
              </w:rPr>
            </w:pPr>
            <w:r>
              <w:rPr>
                <w:sz w:val="20"/>
                <w:szCs w:val="20"/>
              </w:rPr>
              <w:t>301,150</w:t>
            </w:r>
          </w:p>
        </w:tc>
      </w:tr>
      <w:tr w14:paraId="3E160FFD" w14:textId="77777777" w:rsidTr="0078198B">
        <w:tblPrEx>
          <w:tblW w:w="5000" w:type="pct"/>
          <w:jc w:val="center"/>
          <w:tblLayout w:type="fixed"/>
          <w:tblLook w:val="04A0"/>
        </w:tblPrEx>
        <w:trPr>
          <w:cantSplit/>
          <w:jc w:val="center"/>
        </w:trPr>
        <w:tc>
          <w:tcPr>
            <w:tcW w:w="2142" w:type="dxa"/>
            <w:shd w:val="clear" w:color="auto" w:fill="auto"/>
          </w:tcPr>
          <w:p w:rsidR="00952AA2" w:rsidRPr="00C647A4" w:rsidP="005C7C23" w14:paraId="6D534D65" w14:textId="77777777">
            <w:pPr>
              <w:keepNext/>
              <w:rPr>
                <w:sz w:val="20"/>
                <w:szCs w:val="20"/>
              </w:rPr>
            </w:pPr>
            <w:r>
              <w:rPr>
                <w:sz w:val="20"/>
                <w:szCs w:val="20"/>
              </w:rPr>
              <w:t>S</w:t>
            </w:r>
            <w:r w:rsidRPr="00F92197">
              <w:rPr>
                <w:sz w:val="20"/>
                <w:szCs w:val="20"/>
              </w:rPr>
              <w:t xml:space="preserve">ummary cover sheet </w:t>
            </w:r>
            <w:r w:rsidRPr="00C647A4">
              <w:rPr>
                <w:sz w:val="20"/>
                <w:szCs w:val="20"/>
              </w:rPr>
              <w:t>(807.87)</w:t>
            </w:r>
          </w:p>
        </w:tc>
        <w:tc>
          <w:tcPr>
            <w:tcW w:w="968" w:type="dxa"/>
            <w:shd w:val="clear" w:color="auto" w:fill="auto"/>
          </w:tcPr>
          <w:p w:rsidR="00952AA2" w:rsidRPr="00C647A4" w:rsidP="005C7C23" w14:paraId="2FCCFAC7" w14:textId="77777777">
            <w:pPr>
              <w:keepNext/>
              <w:rPr>
                <w:sz w:val="20"/>
                <w:szCs w:val="20"/>
              </w:rPr>
            </w:pPr>
            <w:r w:rsidRPr="00C647A4">
              <w:rPr>
                <w:sz w:val="20"/>
                <w:szCs w:val="20"/>
              </w:rPr>
              <w:t>FDA 3514</w:t>
            </w:r>
          </w:p>
        </w:tc>
        <w:tc>
          <w:tcPr>
            <w:tcW w:w="1352" w:type="dxa"/>
            <w:shd w:val="clear" w:color="auto" w:fill="auto"/>
          </w:tcPr>
          <w:p w:rsidR="00952AA2" w:rsidRPr="00C647A4" w:rsidP="005C7C23" w14:paraId="65BD6B19" w14:textId="77777777">
            <w:pPr>
              <w:keepNext/>
              <w:jc w:val="right"/>
              <w:rPr>
                <w:sz w:val="20"/>
                <w:szCs w:val="20"/>
              </w:rPr>
            </w:pPr>
            <w:r>
              <w:rPr>
                <w:sz w:val="20"/>
                <w:szCs w:val="20"/>
              </w:rPr>
              <w:t>1,906</w:t>
            </w:r>
          </w:p>
        </w:tc>
        <w:tc>
          <w:tcPr>
            <w:tcW w:w="1544" w:type="dxa"/>
            <w:shd w:val="clear" w:color="auto" w:fill="auto"/>
          </w:tcPr>
          <w:p w:rsidR="00952AA2" w:rsidRPr="00C647A4" w:rsidP="005C7C23" w14:paraId="2EC290E0" w14:textId="77777777">
            <w:pPr>
              <w:keepNext/>
              <w:jc w:val="right"/>
              <w:rPr>
                <w:sz w:val="20"/>
                <w:szCs w:val="20"/>
              </w:rPr>
            </w:pPr>
            <w:r w:rsidRPr="00C647A4">
              <w:rPr>
                <w:sz w:val="20"/>
                <w:szCs w:val="20"/>
              </w:rPr>
              <w:t>1</w:t>
            </w:r>
          </w:p>
        </w:tc>
        <w:tc>
          <w:tcPr>
            <w:tcW w:w="1256" w:type="dxa"/>
            <w:shd w:val="clear" w:color="auto" w:fill="auto"/>
          </w:tcPr>
          <w:p w:rsidR="00952AA2" w:rsidRPr="00C647A4" w:rsidP="005C7C23" w14:paraId="793C9F56" w14:textId="77777777">
            <w:pPr>
              <w:keepNext/>
              <w:jc w:val="right"/>
              <w:rPr>
                <w:sz w:val="20"/>
                <w:szCs w:val="20"/>
              </w:rPr>
            </w:pPr>
            <w:r>
              <w:rPr>
                <w:sz w:val="20"/>
                <w:szCs w:val="20"/>
              </w:rPr>
              <w:t>1,906</w:t>
            </w:r>
          </w:p>
        </w:tc>
        <w:tc>
          <w:tcPr>
            <w:tcW w:w="1311" w:type="dxa"/>
            <w:shd w:val="clear" w:color="auto" w:fill="auto"/>
          </w:tcPr>
          <w:p w:rsidR="00952AA2" w:rsidRPr="00C647A4" w:rsidP="005C7C23" w14:paraId="25B9AEC3" w14:textId="77777777">
            <w:pPr>
              <w:keepNext/>
              <w:jc w:val="right"/>
              <w:rPr>
                <w:sz w:val="20"/>
                <w:szCs w:val="20"/>
              </w:rPr>
            </w:pPr>
            <w:r w:rsidRPr="00C647A4">
              <w:rPr>
                <w:sz w:val="20"/>
                <w:szCs w:val="20"/>
              </w:rPr>
              <w:t>0.5</w:t>
            </w:r>
          </w:p>
        </w:tc>
        <w:tc>
          <w:tcPr>
            <w:tcW w:w="931" w:type="dxa"/>
            <w:shd w:val="clear" w:color="auto" w:fill="auto"/>
          </w:tcPr>
          <w:p w:rsidR="00952AA2" w:rsidRPr="00C647A4" w:rsidP="005C7C23" w14:paraId="5F7246E1" w14:textId="77777777">
            <w:pPr>
              <w:keepNext/>
              <w:jc w:val="right"/>
              <w:rPr>
                <w:sz w:val="20"/>
                <w:szCs w:val="20"/>
              </w:rPr>
            </w:pPr>
            <w:r>
              <w:rPr>
                <w:sz w:val="20"/>
                <w:szCs w:val="20"/>
              </w:rPr>
              <w:t>953</w:t>
            </w:r>
          </w:p>
        </w:tc>
      </w:tr>
      <w:tr w14:paraId="15B8601F" w14:textId="77777777" w:rsidTr="0078198B">
        <w:tblPrEx>
          <w:tblW w:w="5000" w:type="pct"/>
          <w:jc w:val="center"/>
          <w:tblLayout w:type="fixed"/>
          <w:tblLook w:val="04A0"/>
        </w:tblPrEx>
        <w:trPr>
          <w:cantSplit/>
          <w:jc w:val="center"/>
        </w:trPr>
        <w:tc>
          <w:tcPr>
            <w:tcW w:w="2142" w:type="dxa"/>
            <w:shd w:val="clear" w:color="auto" w:fill="auto"/>
          </w:tcPr>
          <w:p w:rsidR="00952AA2" w:rsidRPr="00C647A4" w:rsidP="005C7C23" w14:paraId="6F70261D" w14:textId="77777777">
            <w:pPr>
              <w:keepNext/>
              <w:rPr>
                <w:sz w:val="20"/>
                <w:szCs w:val="20"/>
              </w:rPr>
            </w:pPr>
            <w:r>
              <w:rPr>
                <w:sz w:val="20"/>
                <w:szCs w:val="20"/>
              </w:rPr>
              <w:t xml:space="preserve">Status request </w:t>
            </w:r>
            <w:r w:rsidRPr="00C647A4">
              <w:rPr>
                <w:sz w:val="20"/>
                <w:szCs w:val="20"/>
              </w:rPr>
              <w:t>(807.90(a)(3))</w:t>
            </w:r>
          </w:p>
        </w:tc>
        <w:tc>
          <w:tcPr>
            <w:tcW w:w="968" w:type="dxa"/>
            <w:shd w:val="clear" w:color="auto" w:fill="auto"/>
          </w:tcPr>
          <w:p w:rsidR="00952AA2" w:rsidRPr="00C647A4" w:rsidP="005C7C23" w14:paraId="3C731222" w14:textId="77777777">
            <w:pPr>
              <w:keepNext/>
              <w:rPr>
                <w:sz w:val="20"/>
                <w:szCs w:val="20"/>
              </w:rPr>
            </w:pPr>
          </w:p>
        </w:tc>
        <w:tc>
          <w:tcPr>
            <w:tcW w:w="1352" w:type="dxa"/>
            <w:shd w:val="clear" w:color="auto" w:fill="auto"/>
          </w:tcPr>
          <w:p w:rsidR="00952AA2" w:rsidRPr="00C647A4" w:rsidP="005C7C23" w14:paraId="258B75E6" w14:textId="77777777">
            <w:pPr>
              <w:keepNext/>
              <w:jc w:val="right"/>
              <w:rPr>
                <w:sz w:val="20"/>
                <w:szCs w:val="20"/>
              </w:rPr>
            </w:pPr>
            <w:r>
              <w:rPr>
                <w:sz w:val="20"/>
                <w:szCs w:val="20"/>
              </w:rPr>
              <w:t>1</w:t>
            </w:r>
          </w:p>
        </w:tc>
        <w:tc>
          <w:tcPr>
            <w:tcW w:w="1544" w:type="dxa"/>
            <w:shd w:val="clear" w:color="auto" w:fill="auto"/>
          </w:tcPr>
          <w:p w:rsidR="00952AA2" w:rsidRPr="00C647A4" w:rsidP="005C7C23" w14:paraId="7236C055" w14:textId="77777777">
            <w:pPr>
              <w:keepNext/>
              <w:jc w:val="right"/>
              <w:rPr>
                <w:sz w:val="20"/>
                <w:szCs w:val="20"/>
              </w:rPr>
            </w:pPr>
            <w:r w:rsidRPr="00C647A4">
              <w:rPr>
                <w:sz w:val="20"/>
                <w:szCs w:val="20"/>
              </w:rPr>
              <w:t>1</w:t>
            </w:r>
          </w:p>
        </w:tc>
        <w:tc>
          <w:tcPr>
            <w:tcW w:w="1256" w:type="dxa"/>
            <w:shd w:val="clear" w:color="auto" w:fill="auto"/>
          </w:tcPr>
          <w:p w:rsidR="00952AA2" w:rsidRPr="00C647A4" w:rsidP="005C7C23" w14:paraId="397D7D88" w14:textId="77777777">
            <w:pPr>
              <w:keepNext/>
              <w:jc w:val="right"/>
              <w:rPr>
                <w:sz w:val="20"/>
                <w:szCs w:val="20"/>
              </w:rPr>
            </w:pPr>
            <w:r>
              <w:rPr>
                <w:sz w:val="20"/>
                <w:szCs w:val="20"/>
              </w:rPr>
              <w:t>1</w:t>
            </w:r>
          </w:p>
        </w:tc>
        <w:tc>
          <w:tcPr>
            <w:tcW w:w="1311" w:type="dxa"/>
            <w:shd w:val="clear" w:color="auto" w:fill="auto"/>
          </w:tcPr>
          <w:p w:rsidR="00952AA2" w:rsidRPr="00C647A4" w:rsidP="005C7C23" w14:paraId="1E459F9A" w14:textId="77777777">
            <w:pPr>
              <w:keepNext/>
              <w:jc w:val="right"/>
              <w:rPr>
                <w:sz w:val="20"/>
                <w:szCs w:val="20"/>
              </w:rPr>
            </w:pPr>
            <w:r w:rsidRPr="00C647A4">
              <w:rPr>
                <w:sz w:val="20"/>
                <w:szCs w:val="20"/>
              </w:rPr>
              <w:t>0.25</w:t>
            </w:r>
          </w:p>
        </w:tc>
        <w:tc>
          <w:tcPr>
            <w:tcW w:w="931" w:type="dxa"/>
            <w:shd w:val="clear" w:color="auto" w:fill="auto"/>
          </w:tcPr>
          <w:p w:rsidR="00952AA2" w:rsidRPr="00C647A4" w:rsidP="005C7C23" w14:paraId="70089E93" w14:textId="77777777">
            <w:pPr>
              <w:keepNext/>
              <w:jc w:val="right"/>
              <w:rPr>
                <w:sz w:val="20"/>
                <w:szCs w:val="20"/>
              </w:rPr>
            </w:pPr>
            <w:r>
              <w:rPr>
                <w:sz w:val="20"/>
                <w:szCs w:val="20"/>
              </w:rPr>
              <w:t>1</w:t>
            </w:r>
          </w:p>
        </w:tc>
      </w:tr>
      <w:tr w14:paraId="2B69FE1C" w14:textId="77777777" w:rsidTr="0078198B">
        <w:tblPrEx>
          <w:tblW w:w="5000" w:type="pct"/>
          <w:jc w:val="center"/>
          <w:tblLayout w:type="fixed"/>
          <w:tblLook w:val="04A0"/>
        </w:tblPrEx>
        <w:trPr>
          <w:cantSplit/>
          <w:jc w:val="center"/>
        </w:trPr>
        <w:tc>
          <w:tcPr>
            <w:tcW w:w="2142" w:type="dxa"/>
            <w:shd w:val="clear" w:color="auto" w:fill="auto"/>
          </w:tcPr>
          <w:p w:rsidR="00952AA2" w:rsidP="005C7C23" w14:paraId="5D4C3C55" w14:textId="77777777">
            <w:pPr>
              <w:keepNext/>
              <w:rPr>
                <w:sz w:val="20"/>
                <w:szCs w:val="20"/>
              </w:rPr>
            </w:pPr>
            <w:r>
              <w:rPr>
                <w:sz w:val="20"/>
                <w:szCs w:val="20"/>
              </w:rPr>
              <w:t>510(k) summary (807.92)</w:t>
            </w:r>
          </w:p>
        </w:tc>
        <w:tc>
          <w:tcPr>
            <w:tcW w:w="968" w:type="dxa"/>
            <w:shd w:val="clear" w:color="auto" w:fill="auto"/>
          </w:tcPr>
          <w:p w:rsidR="00952AA2" w:rsidRPr="00C647A4" w:rsidP="005C7C23" w14:paraId="50B37620" w14:textId="77777777">
            <w:pPr>
              <w:keepNext/>
              <w:rPr>
                <w:sz w:val="20"/>
                <w:szCs w:val="20"/>
              </w:rPr>
            </w:pPr>
          </w:p>
        </w:tc>
        <w:tc>
          <w:tcPr>
            <w:tcW w:w="1352" w:type="dxa"/>
            <w:shd w:val="clear" w:color="auto" w:fill="auto"/>
          </w:tcPr>
          <w:p w:rsidR="00952AA2" w:rsidP="005C7C23" w14:paraId="0FC77D06" w14:textId="77777777">
            <w:pPr>
              <w:keepNext/>
              <w:jc w:val="right"/>
              <w:rPr>
                <w:sz w:val="20"/>
                <w:szCs w:val="20"/>
              </w:rPr>
            </w:pPr>
            <w:r>
              <w:rPr>
                <w:sz w:val="20"/>
                <w:szCs w:val="20"/>
              </w:rPr>
              <w:t>2,725</w:t>
            </w:r>
          </w:p>
        </w:tc>
        <w:tc>
          <w:tcPr>
            <w:tcW w:w="1544" w:type="dxa"/>
            <w:shd w:val="clear" w:color="auto" w:fill="auto"/>
          </w:tcPr>
          <w:p w:rsidR="00952AA2" w:rsidRPr="00C647A4" w:rsidP="005C7C23" w14:paraId="73140906" w14:textId="77777777">
            <w:pPr>
              <w:keepNext/>
              <w:jc w:val="right"/>
              <w:rPr>
                <w:sz w:val="20"/>
                <w:szCs w:val="20"/>
              </w:rPr>
            </w:pPr>
            <w:r>
              <w:rPr>
                <w:sz w:val="20"/>
                <w:szCs w:val="20"/>
              </w:rPr>
              <w:t>1</w:t>
            </w:r>
          </w:p>
        </w:tc>
        <w:tc>
          <w:tcPr>
            <w:tcW w:w="1256" w:type="dxa"/>
            <w:shd w:val="clear" w:color="auto" w:fill="auto"/>
          </w:tcPr>
          <w:p w:rsidR="00952AA2" w:rsidP="005C7C23" w14:paraId="62AB0DB5" w14:textId="77777777">
            <w:pPr>
              <w:keepNext/>
              <w:jc w:val="right"/>
              <w:rPr>
                <w:sz w:val="20"/>
                <w:szCs w:val="20"/>
              </w:rPr>
            </w:pPr>
            <w:r>
              <w:rPr>
                <w:sz w:val="20"/>
                <w:szCs w:val="20"/>
              </w:rPr>
              <w:t>2,725</w:t>
            </w:r>
          </w:p>
        </w:tc>
        <w:tc>
          <w:tcPr>
            <w:tcW w:w="1311" w:type="dxa"/>
            <w:shd w:val="clear" w:color="auto" w:fill="auto"/>
          </w:tcPr>
          <w:p w:rsidR="00952AA2" w:rsidRPr="00C647A4" w:rsidP="005C7C23" w14:paraId="5739D38F" w14:textId="77777777">
            <w:pPr>
              <w:keepNext/>
              <w:jc w:val="right"/>
              <w:rPr>
                <w:sz w:val="20"/>
                <w:szCs w:val="20"/>
              </w:rPr>
            </w:pPr>
            <w:r>
              <w:rPr>
                <w:sz w:val="20"/>
                <w:szCs w:val="20"/>
              </w:rPr>
              <w:t>4</w:t>
            </w:r>
          </w:p>
        </w:tc>
        <w:tc>
          <w:tcPr>
            <w:tcW w:w="931" w:type="dxa"/>
            <w:shd w:val="clear" w:color="auto" w:fill="auto"/>
          </w:tcPr>
          <w:p w:rsidR="00952AA2" w:rsidP="005C7C23" w14:paraId="607609FC" w14:textId="77777777">
            <w:pPr>
              <w:keepNext/>
              <w:jc w:val="right"/>
              <w:rPr>
                <w:sz w:val="20"/>
                <w:szCs w:val="20"/>
              </w:rPr>
            </w:pPr>
            <w:r>
              <w:rPr>
                <w:sz w:val="20"/>
                <w:szCs w:val="20"/>
              </w:rPr>
              <w:t>10,900</w:t>
            </w:r>
          </w:p>
        </w:tc>
      </w:tr>
      <w:tr w14:paraId="7A57ADC0" w14:textId="77777777" w:rsidTr="0078198B">
        <w:tblPrEx>
          <w:tblW w:w="5000" w:type="pct"/>
          <w:jc w:val="center"/>
          <w:tblLayout w:type="fixed"/>
          <w:tblLook w:val="04A0"/>
        </w:tblPrEx>
        <w:trPr>
          <w:cantSplit/>
          <w:jc w:val="center"/>
        </w:trPr>
        <w:tc>
          <w:tcPr>
            <w:tcW w:w="2142" w:type="dxa"/>
            <w:shd w:val="clear" w:color="auto" w:fill="auto"/>
          </w:tcPr>
          <w:p w:rsidR="00952AA2" w:rsidRPr="00C647A4" w:rsidP="005C7C23" w14:paraId="1C4651CA" w14:textId="77777777">
            <w:pPr>
              <w:keepNext/>
              <w:rPr>
                <w:sz w:val="20"/>
                <w:szCs w:val="20"/>
              </w:rPr>
            </w:pPr>
            <w:r>
              <w:rPr>
                <w:sz w:val="20"/>
                <w:szCs w:val="20"/>
              </w:rPr>
              <w:t xml:space="preserve">510(k) statement </w:t>
            </w:r>
            <w:r w:rsidRPr="00C647A4">
              <w:rPr>
                <w:sz w:val="20"/>
                <w:szCs w:val="20"/>
              </w:rPr>
              <w:t>(807.93)</w:t>
            </w:r>
          </w:p>
        </w:tc>
        <w:tc>
          <w:tcPr>
            <w:tcW w:w="968" w:type="dxa"/>
            <w:shd w:val="clear" w:color="auto" w:fill="auto"/>
          </w:tcPr>
          <w:p w:rsidR="00952AA2" w:rsidRPr="00C647A4" w:rsidP="005C7C23" w14:paraId="50BC6F26" w14:textId="77777777">
            <w:pPr>
              <w:keepNext/>
              <w:rPr>
                <w:sz w:val="20"/>
                <w:szCs w:val="20"/>
              </w:rPr>
            </w:pPr>
          </w:p>
        </w:tc>
        <w:tc>
          <w:tcPr>
            <w:tcW w:w="1352" w:type="dxa"/>
            <w:shd w:val="clear" w:color="auto" w:fill="auto"/>
          </w:tcPr>
          <w:p w:rsidR="00952AA2" w:rsidRPr="00C647A4" w:rsidP="005C7C23" w14:paraId="6800EA8E" w14:textId="77777777">
            <w:pPr>
              <w:keepNext/>
              <w:jc w:val="right"/>
              <w:rPr>
                <w:sz w:val="20"/>
                <w:szCs w:val="20"/>
              </w:rPr>
            </w:pPr>
            <w:r>
              <w:rPr>
                <w:sz w:val="20"/>
                <w:szCs w:val="20"/>
              </w:rPr>
              <w:t>215</w:t>
            </w:r>
          </w:p>
        </w:tc>
        <w:tc>
          <w:tcPr>
            <w:tcW w:w="1544" w:type="dxa"/>
            <w:shd w:val="clear" w:color="auto" w:fill="auto"/>
          </w:tcPr>
          <w:p w:rsidR="00952AA2" w:rsidRPr="00C647A4" w:rsidP="005C7C23" w14:paraId="06333D0E" w14:textId="77777777">
            <w:pPr>
              <w:keepNext/>
              <w:jc w:val="right"/>
              <w:rPr>
                <w:sz w:val="20"/>
                <w:szCs w:val="20"/>
              </w:rPr>
            </w:pPr>
            <w:r w:rsidRPr="00C647A4">
              <w:rPr>
                <w:sz w:val="20"/>
                <w:szCs w:val="20"/>
              </w:rPr>
              <w:t>1</w:t>
            </w:r>
          </w:p>
        </w:tc>
        <w:tc>
          <w:tcPr>
            <w:tcW w:w="1256" w:type="dxa"/>
            <w:shd w:val="clear" w:color="auto" w:fill="auto"/>
          </w:tcPr>
          <w:p w:rsidR="00952AA2" w:rsidRPr="00C647A4" w:rsidP="005C7C23" w14:paraId="76B9F209" w14:textId="77777777">
            <w:pPr>
              <w:keepNext/>
              <w:jc w:val="right"/>
              <w:rPr>
                <w:sz w:val="20"/>
                <w:szCs w:val="20"/>
              </w:rPr>
            </w:pPr>
            <w:r>
              <w:rPr>
                <w:sz w:val="20"/>
                <w:szCs w:val="20"/>
              </w:rPr>
              <w:t>215</w:t>
            </w:r>
          </w:p>
        </w:tc>
        <w:tc>
          <w:tcPr>
            <w:tcW w:w="1311" w:type="dxa"/>
            <w:shd w:val="clear" w:color="auto" w:fill="auto"/>
          </w:tcPr>
          <w:p w:rsidR="00952AA2" w:rsidRPr="00C647A4" w:rsidP="005C7C23" w14:paraId="56874D10" w14:textId="77777777">
            <w:pPr>
              <w:keepNext/>
              <w:jc w:val="right"/>
              <w:rPr>
                <w:sz w:val="20"/>
                <w:szCs w:val="20"/>
              </w:rPr>
            </w:pPr>
            <w:r w:rsidRPr="00C647A4">
              <w:rPr>
                <w:sz w:val="20"/>
                <w:szCs w:val="20"/>
              </w:rPr>
              <w:t>10</w:t>
            </w:r>
          </w:p>
        </w:tc>
        <w:tc>
          <w:tcPr>
            <w:tcW w:w="931" w:type="dxa"/>
            <w:shd w:val="clear" w:color="auto" w:fill="auto"/>
          </w:tcPr>
          <w:p w:rsidR="00952AA2" w:rsidRPr="00C647A4" w:rsidP="005C7C23" w14:paraId="1FA43A27" w14:textId="77777777">
            <w:pPr>
              <w:keepNext/>
              <w:jc w:val="right"/>
              <w:rPr>
                <w:sz w:val="20"/>
                <w:szCs w:val="20"/>
              </w:rPr>
            </w:pPr>
            <w:r>
              <w:rPr>
                <w:sz w:val="20"/>
                <w:szCs w:val="20"/>
              </w:rPr>
              <w:t>2,150</w:t>
            </w:r>
          </w:p>
        </w:tc>
      </w:tr>
      <w:tr w14:paraId="17FFAD75" w14:textId="77777777" w:rsidTr="0078198B">
        <w:tblPrEx>
          <w:tblW w:w="5000" w:type="pct"/>
          <w:jc w:val="center"/>
          <w:tblLayout w:type="fixed"/>
          <w:tblLook w:val="04A0"/>
        </w:tblPrEx>
        <w:trPr>
          <w:cantSplit/>
          <w:jc w:val="center"/>
        </w:trPr>
        <w:tc>
          <w:tcPr>
            <w:tcW w:w="2142" w:type="dxa"/>
            <w:tcBorders>
              <w:top w:val="single" w:sz="4" w:space="0" w:color="auto"/>
              <w:left w:val="single" w:sz="4" w:space="0" w:color="auto"/>
              <w:bottom w:val="single" w:sz="4" w:space="0" w:color="auto"/>
              <w:right w:val="single" w:sz="4" w:space="0" w:color="auto"/>
            </w:tcBorders>
            <w:shd w:val="clear" w:color="auto" w:fill="auto"/>
          </w:tcPr>
          <w:p w:rsidR="00D17B6E" w:rsidP="00A72DA2" w14:paraId="10B198D0" w14:textId="77777777">
            <w:pPr>
              <w:keepNext/>
              <w:rPr>
                <w:sz w:val="20"/>
                <w:szCs w:val="20"/>
              </w:rPr>
            </w:pPr>
            <w:r>
              <w:rPr>
                <w:sz w:val="20"/>
                <w:szCs w:val="20"/>
              </w:rPr>
              <w:t>510(k) submission (807 subpart E)—using eSTAR format</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D17B6E" w:rsidP="00A72DA2" w14:paraId="084012FF" w14:textId="77777777">
            <w:pPr>
              <w:keepNext/>
              <w:rPr>
                <w:sz w:val="20"/>
                <w:szCs w:val="20"/>
              </w:rPr>
            </w:pPr>
            <w:r>
              <w:rPr>
                <w:sz w:val="20"/>
                <w:szCs w:val="20"/>
              </w:rPr>
              <w:t xml:space="preserve">FDA 4062, </w:t>
            </w:r>
          </w:p>
          <w:p w:rsidR="00D17B6E" w:rsidRPr="00C647A4" w:rsidP="00A72DA2" w14:paraId="1D25734A" w14:textId="77777777">
            <w:pPr>
              <w:keepNext/>
              <w:rPr>
                <w:sz w:val="20"/>
                <w:szCs w:val="20"/>
              </w:rPr>
            </w:pPr>
            <w:r>
              <w:rPr>
                <w:sz w:val="20"/>
                <w:szCs w:val="20"/>
              </w:rPr>
              <w:t>FDA 4078</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D17B6E" w:rsidP="00A72DA2" w14:paraId="40C4AFA1" w14:textId="77777777">
            <w:pPr>
              <w:keepNext/>
              <w:jc w:val="right"/>
              <w:rPr>
                <w:sz w:val="20"/>
                <w:szCs w:val="20"/>
              </w:rPr>
            </w:pPr>
            <w:r>
              <w:rPr>
                <w:sz w:val="20"/>
                <w:szCs w:val="20"/>
              </w:rPr>
              <w:t>100</w:t>
            </w:r>
          </w:p>
        </w:tc>
        <w:tc>
          <w:tcPr>
            <w:tcW w:w="1544" w:type="dxa"/>
            <w:tcBorders>
              <w:top w:val="single" w:sz="4" w:space="0" w:color="auto"/>
              <w:left w:val="single" w:sz="4" w:space="0" w:color="auto"/>
              <w:bottom w:val="single" w:sz="4" w:space="0" w:color="auto"/>
              <w:right w:val="single" w:sz="4" w:space="0" w:color="auto"/>
            </w:tcBorders>
            <w:shd w:val="clear" w:color="auto" w:fill="auto"/>
          </w:tcPr>
          <w:p w:rsidR="00D17B6E" w:rsidRPr="00C647A4" w:rsidP="00A72DA2" w14:paraId="549293D8" w14:textId="77777777">
            <w:pPr>
              <w:keepNext/>
              <w:jc w:val="right"/>
              <w:rPr>
                <w:sz w:val="20"/>
                <w:szCs w:val="20"/>
              </w:rPr>
            </w:pPr>
            <w:r>
              <w:rPr>
                <w:sz w:val="20"/>
                <w:szCs w:val="20"/>
              </w:rPr>
              <w:t>1</w:t>
            </w:r>
          </w:p>
        </w:tc>
        <w:tc>
          <w:tcPr>
            <w:tcW w:w="1256" w:type="dxa"/>
            <w:tcBorders>
              <w:top w:val="single" w:sz="4" w:space="0" w:color="auto"/>
              <w:left w:val="single" w:sz="4" w:space="0" w:color="auto"/>
              <w:bottom w:val="single" w:sz="4" w:space="0" w:color="auto"/>
              <w:right w:val="single" w:sz="4" w:space="0" w:color="auto"/>
            </w:tcBorders>
            <w:shd w:val="clear" w:color="auto" w:fill="auto"/>
          </w:tcPr>
          <w:p w:rsidR="00D17B6E" w:rsidP="00A72DA2" w14:paraId="163EB5F0" w14:textId="77777777">
            <w:pPr>
              <w:keepNext/>
              <w:jc w:val="right"/>
              <w:rPr>
                <w:sz w:val="20"/>
                <w:szCs w:val="20"/>
              </w:rPr>
            </w:pPr>
            <w:r>
              <w:rPr>
                <w:sz w:val="20"/>
                <w:szCs w:val="20"/>
              </w:rPr>
              <w:t>100</w:t>
            </w:r>
          </w:p>
        </w:tc>
        <w:tc>
          <w:tcPr>
            <w:tcW w:w="1311" w:type="dxa"/>
            <w:tcBorders>
              <w:top w:val="single" w:sz="4" w:space="0" w:color="auto"/>
              <w:left w:val="single" w:sz="4" w:space="0" w:color="auto"/>
              <w:bottom w:val="single" w:sz="4" w:space="0" w:color="auto"/>
              <w:right w:val="single" w:sz="4" w:space="0" w:color="auto"/>
            </w:tcBorders>
            <w:shd w:val="clear" w:color="auto" w:fill="auto"/>
          </w:tcPr>
          <w:p w:rsidR="00D17B6E" w:rsidRPr="00C647A4" w:rsidP="00A72DA2" w14:paraId="7ED68450" w14:textId="77777777">
            <w:pPr>
              <w:keepNext/>
              <w:jc w:val="right"/>
              <w:rPr>
                <w:sz w:val="20"/>
                <w:szCs w:val="20"/>
              </w:rPr>
            </w:pPr>
            <w:r>
              <w:rPr>
                <w:sz w:val="20"/>
                <w:szCs w:val="20"/>
              </w:rPr>
              <w:t>40</w:t>
            </w:r>
          </w:p>
        </w:tc>
        <w:tc>
          <w:tcPr>
            <w:tcW w:w="931" w:type="dxa"/>
            <w:tcBorders>
              <w:top w:val="single" w:sz="4" w:space="0" w:color="auto"/>
              <w:left w:val="single" w:sz="4" w:space="0" w:color="auto"/>
              <w:bottom w:val="single" w:sz="4" w:space="0" w:color="auto"/>
              <w:right w:val="single" w:sz="4" w:space="0" w:color="auto"/>
            </w:tcBorders>
            <w:shd w:val="clear" w:color="auto" w:fill="auto"/>
          </w:tcPr>
          <w:p w:rsidR="00D17B6E" w:rsidP="00A72DA2" w14:paraId="069EDFE3" w14:textId="77777777">
            <w:pPr>
              <w:keepNext/>
              <w:jc w:val="right"/>
              <w:rPr>
                <w:sz w:val="20"/>
                <w:szCs w:val="20"/>
              </w:rPr>
            </w:pPr>
            <w:r>
              <w:rPr>
                <w:sz w:val="20"/>
                <w:szCs w:val="20"/>
              </w:rPr>
              <w:t>4,000</w:t>
            </w:r>
          </w:p>
        </w:tc>
      </w:tr>
      <w:tr w14:paraId="1FEECCC8" w14:textId="77777777" w:rsidTr="0078198B">
        <w:tblPrEx>
          <w:tblW w:w="5000" w:type="pct"/>
          <w:jc w:val="center"/>
          <w:tblLayout w:type="fixed"/>
          <w:tblLook w:val="04A0"/>
        </w:tblPrEx>
        <w:trPr>
          <w:cantSplit/>
          <w:jc w:val="center"/>
        </w:trPr>
        <w:tc>
          <w:tcPr>
            <w:tcW w:w="9504" w:type="dxa"/>
            <w:gridSpan w:val="7"/>
            <w:shd w:val="clear" w:color="auto" w:fill="auto"/>
          </w:tcPr>
          <w:p w:rsidR="00952AA2" w:rsidP="005C7C23" w14:paraId="46AE1880" w14:textId="573DB32B">
            <w:pPr>
              <w:keepNext/>
              <w:jc w:val="center"/>
              <w:rPr>
                <w:sz w:val="20"/>
                <w:szCs w:val="20"/>
              </w:rPr>
            </w:pPr>
            <w:r>
              <w:rPr>
                <w:sz w:val="20"/>
                <w:szCs w:val="20"/>
              </w:rPr>
              <w:t>Guidance Document</w:t>
            </w:r>
            <w:r w:rsidR="00287A17">
              <w:rPr>
                <w:sz w:val="20"/>
                <w:szCs w:val="20"/>
              </w:rPr>
              <w:t xml:space="preserve"> Recommendations</w:t>
            </w:r>
            <w:r>
              <w:rPr>
                <w:sz w:val="20"/>
                <w:szCs w:val="20"/>
              </w:rPr>
              <w:t xml:space="preserve">: </w:t>
            </w:r>
          </w:p>
        </w:tc>
      </w:tr>
      <w:tr w14:paraId="28F72595" w14:textId="77777777" w:rsidTr="0078198B">
        <w:tblPrEx>
          <w:tblW w:w="5000" w:type="pct"/>
          <w:jc w:val="center"/>
          <w:tblLayout w:type="fixed"/>
          <w:tblLook w:val="04A0"/>
        </w:tblPrEx>
        <w:trPr>
          <w:cantSplit/>
          <w:jc w:val="center"/>
        </w:trPr>
        <w:tc>
          <w:tcPr>
            <w:tcW w:w="2142" w:type="dxa"/>
            <w:shd w:val="clear" w:color="auto" w:fill="auto"/>
          </w:tcPr>
          <w:p w:rsidR="00952AA2" w:rsidP="005C7C23" w14:paraId="2732C5D0" w14:textId="77777777">
            <w:pPr>
              <w:keepNext/>
              <w:rPr>
                <w:sz w:val="20"/>
                <w:szCs w:val="20"/>
              </w:rPr>
            </w:pPr>
            <w:r w:rsidRPr="00294DDC">
              <w:rPr>
                <w:sz w:val="20"/>
                <w:szCs w:val="20"/>
              </w:rPr>
              <w:t>Request for recognition of a voluntary consensus standard</w:t>
            </w:r>
          </w:p>
        </w:tc>
        <w:tc>
          <w:tcPr>
            <w:tcW w:w="968" w:type="dxa"/>
            <w:shd w:val="clear" w:color="auto" w:fill="auto"/>
          </w:tcPr>
          <w:p w:rsidR="00952AA2" w:rsidP="005C7C23" w14:paraId="61DB7608" w14:textId="77777777">
            <w:pPr>
              <w:keepNext/>
              <w:rPr>
                <w:sz w:val="20"/>
                <w:szCs w:val="20"/>
              </w:rPr>
            </w:pPr>
          </w:p>
        </w:tc>
        <w:tc>
          <w:tcPr>
            <w:tcW w:w="1352" w:type="dxa"/>
            <w:shd w:val="clear" w:color="auto" w:fill="auto"/>
          </w:tcPr>
          <w:p w:rsidR="00952AA2" w:rsidP="005C7C23" w14:paraId="3B4BF6F6" w14:textId="77777777">
            <w:pPr>
              <w:keepNext/>
              <w:jc w:val="right"/>
              <w:rPr>
                <w:sz w:val="20"/>
                <w:szCs w:val="20"/>
              </w:rPr>
            </w:pPr>
            <w:r>
              <w:rPr>
                <w:sz w:val="20"/>
                <w:szCs w:val="20"/>
              </w:rPr>
              <w:t>9</w:t>
            </w:r>
          </w:p>
        </w:tc>
        <w:tc>
          <w:tcPr>
            <w:tcW w:w="1544" w:type="dxa"/>
            <w:shd w:val="clear" w:color="auto" w:fill="auto"/>
          </w:tcPr>
          <w:p w:rsidR="00952AA2" w:rsidP="005C7C23" w14:paraId="6C4DFDFA" w14:textId="77777777">
            <w:pPr>
              <w:keepNext/>
              <w:jc w:val="right"/>
              <w:rPr>
                <w:sz w:val="20"/>
                <w:szCs w:val="20"/>
              </w:rPr>
            </w:pPr>
            <w:r>
              <w:rPr>
                <w:sz w:val="20"/>
                <w:szCs w:val="20"/>
              </w:rPr>
              <w:t>1</w:t>
            </w:r>
          </w:p>
        </w:tc>
        <w:tc>
          <w:tcPr>
            <w:tcW w:w="1256" w:type="dxa"/>
            <w:shd w:val="clear" w:color="auto" w:fill="auto"/>
          </w:tcPr>
          <w:p w:rsidR="00952AA2" w:rsidP="005C7C23" w14:paraId="07154C05" w14:textId="77777777">
            <w:pPr>
              <w:keepNext/>
              <w:jc w:val="right"/>
              <w:rPr>
                <w:sz w:val="20"/>
                <w:szCs w:val="20"/>
              </w:rPr>
            </w:pPr>
            <w:r>
              <w:rPr>
                <w:sz w:val="20"/>
                <w:szCs w:val="20"/>
              </w:rPr>
              <w:t>9</w:t>
            </w:r>
          </w:p>
        </w:tc>
        <w:tc>
          <w:tcPr>
            <w:tcW w:w="1311" w:type="dxa"/>
            <w:shd w:val="clear" w:color="auto" w:fill="auto"/>
          </w:tcPr>
          <w:p w:rsidR="00952AA2" w:rsidP="005C7C23" w14:paraId="57121A61" w14:textId="77777777">
            <w:pPr>
              <w:keepNext/>
              <w:jc w:val="right"/>
              <w:rPr>
                <w:sz w:val="20"/>
                <w:szCs w:val="20"/>
              </w:rPr>
            </w:pPr>
            <w:r>
              <w:rPr>
                <w:sz w:val="20"/>
                <w:szCs w:val="20"/>
              </w:rPr>
              <w:t>1</w:t>
            </w:r>
          </w:p>
        </w:tc>
        <w:tc>
          <w:tcPr>
            <w:tcW w:w="931" w:type="dxa"/>
            <w:shd w:val="clear" w:color="auto" w:fill="auto"/>
          </w:tcPr>
          <w:p w:rsidR="00952AA2" w:rsidP="005C7C23" w14:paraId="6C8AEEC6" w14:textId="77777777">
            <w:pPr>
              <w:keepNext/>
              <w:jc w:val="right"/>
              <w:rPr>
                <w:sz w:val="20"/>
                <w:szCs w:val="20"/>
              </w:rPr>
            </w:pPr>
            <w:r>
              <w:rPr>
                <w:sz w:val="20"/>
                <w:szCs w:val="20"/>
              </w:rPr>
              <w:t>9</w:t>
            </w:r>
          </w:p>
        </w:tc>
      </w:tr>
      <w:tr w14:paraId="1125B29E" w14:textId="77777777" w:rsidTr="0078198B">
        <w:tblPrEx>
          <w:tblW w:w="5000" w:type="pct"/>
          <w:jc w:val="center"/>
          <w:tblLayout w:type="fixed"/>
          <w:tblLook w:val="04A0"/>
        </w:tblPrEx>
        <w:trPr>
          <w:cantSplit/>
          <w:jc w:val="center"/>
        </w:trPr>
        <w:tc>
          <w:tcPr>
            <w:tcW w:w="2142" w:type="dxa"/>
            <w:shd w:val="clear" w:color="auto" w:fill="auto"/>
          </w:tcPr>
          <w:p w:rsidR="00287A17" w:rsidRPr="00294DDC" w:rsidP="005C7C23" w14:paraId="5E25E6C3" w14:textId="58F55897">
            <w:pPr>
              <w:keepNext/>
              <w:rPr>
                <w:sz w:val="20"/>
                <w:szCs w:val="20"/>
              </w:rPr>
            </w:pPr>
            <w:r>
              <w:rPr>
                <w:sz w:val="20"/>
                <w:szCs w:val="20"/>
              </w:rPr>
              <w:t>Annual reporting for custom devices under 520(b) of the FD&amp;C Act</w:t>
            </w:r>
          </w:p>
        </w:tc>
        <w:tc>
          <w:tcPr>
            <w:tcW w:w="968" w:type="dxa"/>
            <w:shd w:val="clear" w:color="auto" w:fill="auto"/>
          </w:tcPr>
          <w:p w:rsidR="00287A17" w:rsidP="005C7C23" w14:paraId="6F12B13C" w14:textId="0AC2F54D">
            <w:pPr>
              <w:keepNext/>
              <w:rPr>
                <w:sz w:val="20"/>
                <w:szCs w:val="20"/>
              </w:rPr>
            </w:pPr>
          </w:p>
        </w:tc>
        <w:tc>
          <w:tcPr>
            <w:tcW w:w="1352" w:type="dxa"/>
            <w:shd w:val="clear" w:color="auto" w:fill="auto"/>
          </w:tcPr>
          <w:p w:rsidR="00287A17" w:rsidP="005C7C23" w14:paraId="3B26484D" w14:textId="798D1A62">
            <w:pPr>
              <w:keepNext/>
              <w:jc w:val="right"/>
              <w:rPr>
                <w:sz w:val="20"/>
                <w:szCs w:val="20"/>
              </w:rPr>
            </w:pPr>
            <w:r>
              <w:rPr>
                <w:sz w:val="20"/>
                <w:szCs w:val="20"/>
              </w:rPr>
              <w:t>34</w:t>
            </w:r>
          </w:p>
        </w:tc>
        <w:tc>
          <w:tcPr>
            <w:tcW w:w="1544" w:type="dxa"/>
            <w:shd w:val="clear" w:color="auto" w:fill="auto"/>
          </w:tcPr>
          <w:p w:rsidR="00287A17" w:rsidP="005C7C23" w14:paraId="46B09567" w14:textId="7C45D522">
            <w:pPr>
              <w:keepNext/>
              <w:jc w:val="right"/>
              <w:rPr>
                <w:sz w:val="20"/>
                <w:szCs w:val="20"/>
              </w:rPr>
            </w:pPr>
            <w:r>
              <w:rPr>
                <w:sz w:val="20"/>
                <w:szCs w:val="20"/>
              </w:rPr>
              <w:t>1</w:t>
            </w:r>
          </w:p>
        </w:tc>
        <w:tc>
          <w:tcPr>
            <w:tcW w:w="1256" w:type="dxa"/>
            <w:shd w:val="clear" w:color="auto" w:fill="auto"/>
          </w:tcPr>
          <w:p w:rsidR="00287A17" w:rsidP="005C7C23" w14:paraId="7F606BAD" w14:textId="2142AD0C">
            <w:pPr>
              <w:keepNext/>
              <w:jc w:val="right"/>
              <w:rPr>
                <w:sz w:val="20"/>
                <w:szCs w:val="20"/>
              </w:rPr>
            </w:pPr>
            <w:r>
              <w:rPr>
                <w:sz w:val="20"/>
                <w:szCs w:val="20"/>
              </w:rPr>
              <w:t>34</w:t>
            </w:r>
          </w:p>
        </w:tc>
        <w:tc>
          <w:tcPr>
            <w:tcW w:w="1311" w:type="dxa"/>
            <w:shd w:val="clear" w:color="auto" w:fill="auto"/>
          </w:tcPr>
          <w:p w:rsidR="00287A17" w:rsidP="005C7C23" w14:paraId="310FD531" w14:textId="2943C9F7">
            <w:pPr>
              <w:keepNext/>
              <w:jc w:val="right"/>
              <w:rPr>
                <w:sz w:val="20"/>
                <w:szCs w:val="20"/>
              </w:rPr>
            </w:pPr>
            <w:r>
              <w:rPr>
                <w:sz w:val="20"/>
                <w:szCs w:val="20"/>
              </w:rPr>
              <w:t>40</w:t>
            </w:r>
          </w:p>
        </w:tc>
        <w:tc>
          <w:tcPr>
            <w:tcW w:w="931" w:type="dxa"/>
            <w:shd w:val="clear" w:color="auto" w:fill="auto"/>
          </w:tcPr>
          <w:p w:rsidR="00287A17" w:rsidP="005C7C23" w14:paraId="477290B1" w14:textId="723ED52F">
            <w:pPr>
              <w:keepNext/>
              <w:jc w:val="right"/>
              <w:rPr>
                <w:sz w:val="20"/>
                <w:szCs w:val="20"/>
              </w:rPr>
            </w:pPr>
            <w:r>
              <w:rPr>
                <w:sz w:val="20"/>
                <w:szCs w:val="20"/>
              </w:rPr>
              <w:t>1,360</w:t>
            </w:r>
          </w:p>
        </w:tc>
      </w:tr>
      <w:tr w14:paraId="66195A69" w14:textId="77777777" w:rsidTr="0078198B">
        <w:tblPrEx>
          <w:tblW w:w="5000" w:type="pct"/>
          <w:jc w:val="center"/>
          <w:tblLayout w:type="fixed"/>
          <w:tblLook w:val="04A0"/>
        </w:tblPrEx>
        <w:trPr>
          <w:cantSplit/>
          <w:jc w:val="center"/>
        </w:trPr>
        <w:tc>
          <w:tcPr>
            <w:tcW w:w="9504" w:type="dxa"/>
            <w:gridSpan w:val="7"/>
            <w:shd w:val="clear" w:color="auto" w:fill="auto"/>
          </w:tcPr>
          <w:p w:rsidR="00D17B6E" w:rsidP="00D17B6E" w14:paraId="2C697E27" w14:textId="77777777">
            <w:pPr>
              <w:keepNext/>
              <w:jc w:val="center"/>
              <w:rPr>
                <w:sz w:val="20"/>
                <w:szCs w:val="20"/>
              </w:rPr>
            </w:pPr>
            <w:r w:rsidRPr="00D17B6E">
              <w:rPr>
                <w:sz w:val="20"/>
                <w:szCs w:val="20"/>
              </w:rPr>
              <w:t>42 CFR part 11, Clinical Trials Registration and Results Information Submission, subparts D and E; and FDA Guidance “Form FDA 3674--Certifications To Accompany Drug, Biological Product, and Device Applications/Submissions”</w:t>
            </w:r>
          </w:p>
        </w:tc>
      </w:tr>
      <w:tr w14:paraId="656A1E2C" w14:textId="77777777" w:rsidTr="0078198B">
        <w:tblPrEx>
          <w:tblW w:w="5000" w:type="pct"/>
          <w:jc w:val="center"/>
          <w:tblLayout w:type="fixed"/>
          <w:tblLook w:val="04A0"/>
        </w:tblPrEx>
        <w:trPr>
          <w:cantSplit/>
          <w:jc w:val="center"/>
        </w:trPr>
        <w:tc>
          <w:tcPr>
            <w:tcW w:w="2142" w:type="dxa"/>
            <w:shd w:val="clear" w:color="auto" w:fill="auto"/>
          </w:tcPr>
          <w:p w:rsidR="00D17B6E" w:rsidRPr="00294DDC" w:rsidP="005C7C23" w14:paraId="75AE497B" w14:textId="77777777">
            <w:pPr>
              <w:keepNext/>
              <w:rPr>
                <w:sz w:val="20"/>
                <w:szCs w:val="20"/>
              </w:rPr>
            </w:pPr>
            <w:r w:rsidRPr="00D17B6E">
              <w:rPr>
                <w:sz w:val="20"/>
                <w:szCs w:val="20"/>
              </w:rPr>
              <w:t xml:space="preserve">Certification to accompany </w:t>
            </w:r>
            <w:r w:rsidR="00D51BA7">
              <w:rPr>
                <w:sz w:val="20"/>
                <w:szCs w:val="20"/>
              </w:rPr>
              <w:t>510(k)</w:t>
            </w:r>
            <w:r w:rsidRPr="00D17B6E">
              <w:rPr>
                <w:sz w:val="20"/>
                <w:szCs w:val="20"/>
              </w:rPr>
              <w:t xml:space="preserve"> submissions</w:t>
            </w:r>
          </w:p>
        </w:tc>
        <w:tc>
          <w:tcPr>
            <w:tcW w:w="968" w:type="dxa"/>
            <w:shd w:val="clear" w:color="auto" w:fill="auto"/>
          </w:tcPr>
          <w:p w:rsidR="00D17B6E" w:rsidP="005C7C23" w14:paraId="3A45DDA2" w14:textId="77777777">
            <w:pPr>
              <w:keepNext/>
              <w:rPr>
                <w:sz w:val="20"/>
                <w:szCs w:val="20"/>
              </w:rPr>
            </w:pPr>
            <w:r>
              <w:rPr>
                <w:sz w:val="20"/>
                <w:szCs w:val="20"/>
              </w:rPr>
              <w:t>FDA 3674</w:t>
            </w:r>
          </w:p>
        </w:tc>
        <w:tc>
          <w:tcPr>
            <w:tcW w:w="1352" w:type="dxa"/>
            <w:shd w:val="clear" w:color="auto" w:fill="auto"/>
          </w:tcPr>
          <w:p w:rsidR="00D17B6E" w:rsidP="005C7C23" w14:paraId="255463B3" w14:textId="77777777">
            <w:pPr>
              <w:keepNext/>
              <w:jc w:val="right"/>
              <w:rPr>
                <w:sz w:val="20"/>
                <w:szCs w:val="20"/>
              </w:rPr>
            </w:pPr>
            <w:r>
              <w:rPr>
                <w:sz w:val="20"/>
                <w:szCs w:val="20"/>
              </w:rPr>
              <w:t>3,800</w:t>
            </w:r>
          </w:p>
        </w:tc>
        <w:tc>
          <w:tcPr>
            <w:tcW w:w="1544" w:type="dxa"/>
            <w:shd w:val="clear" w:color="auto" w:fill="auto"/>
          </w:tcPr>
          <w:p w:rsidR="00D17B6E" w:rsidP="005C7C23" w14:paraId="31818752" w14:textId="77777777">
            <w:pPr>
              <w:keepNext/>
              <w:jc w:val="right"/>
              <w:rPr>
                <w:sz w:val="20"/>
                <w:szCs w:val="20"/>
              </w:rPr>
            </w:pPr>
            <w:r>
              <w:rPr>
                <w:sz w:val="20"/>
                <w:szCs w:val="20"/>
              </w:rPr>
              <w:t>1</w:t>
            </w:r>
          </w:p>
        </w:tc>
        <w:tc>
          <w:tcPr>
            <w:tcW w:w="1256" w:type="dxa"/>
            <w:shd w:val="clear" w:color="auto" w:fill="auto"/>
          </w:tcPr>
          <w:p w:rsidR="00D17B6E" w:rsidP="005C7C23" w14:paraId="51311E98" w14:textId="77777777">
            <w:pPr>
              <w:keepNext/>
              <w:jc w:val="right"/>
              <w:rPr>
                <w:sz w:val="20"/>
                <w:szCs w:val="20"/>
              </w:rPr>
            </w:pPr>
            <w:r>
              <w:rPr>
                <w:sz w:val="20"/>
                <w:szCs w:val="20"/>
              </w:rPr>
              <w:t>3,800</w:t>
            </w:r>
          </w:p>
        </w:tc>
        <w:tc>
          <w:tcPr>
            <w:tcW w:w="1311" w:type="dxa"/>
            <w:shd w:val="clear" w:color="auto" w:fill="auto"/>
          </w:tcPr>
          <w:p w:rsidR="00D17B6E" w:rsidP="005C7C23" w14:paraId="646F83D5" w14:textId="77777777">
            <w:pPr>
              <w:keepNext/>
              <w:jc w:val="right"/>
              <w:rPr>
                <w:sz w:val="20"/>
                <w:szCs w:val="20"/>
              </w:rPr>
            </w:pPr>
            <w:r>
              <w:rPr>
                <w:sz w:val="20"/>
                <w:szCs w:val="20"/>
              </w:rPr>
              <w:t>0.75</w:t>
            </w:r>
          </w:p>
          <w:p w:rsidR="00D51BA7" w:rsidP="005C7C23" w14:paraId="252181AF" w14:textId="77777777">
            <w:pPr>
              <w:keepNext/>
              <w:jc w:val="right"/>
              <w:rPr>
                <w:sz w:val="20"/>
                <w:szCs w:val="20"/>
              </w:rPr>
            </w:pPr>
            <w:r>
              <w:rPr>
                <w:sz w:val="20"/>
                <w:szCs w:val="20"/>
              </w:rPr>
              <w:t>(45 minutes)</w:t>
            </w:r>
          </w:p>
        </w:tc>
        <w:tc>
          <w:tcPr>
            <w:tcW w:w="931" w:type="dxa"/>
            <w:shd w:val="clear" w:color="auto" w:fill="auto"/>
          </w:tcPr>
          <w:p w:rsidR="00D17B6E" w:rsidP="005C7C23" w14:paraId="1178E15B" w14:textId="77777777">
            <w:pPr>
              <w:keepNext/>
              <w:jc w:val="right"/>
              <w:rPr>
                <w:sz w:val="20"/>
                <w:szCs w:val="20"/>
              </w:rPr>
            </w:pPr>
            <w:r>
              <w:rPr>
                <w:sz w:val="20"/>
                <w:szCs w:val="20"/>
              </w:rPr>
              <w:t>2,850</w:t>
            </w:r>
          </w:p>
        </w:tc>
      </w:tr>
      <w:tr w14:paraId="31CFC4EA" w14:textId="77777777" w:rsidTr="0078198B">
        <w:tblPrEx>
          <w:tblW w:w="5000" w:type="pct"/>
          <w:jc w:val="center"/>
          <w:tblLayout w:type="fixed"/>
          <w:tblLook w:val="04A0"/>
        </w:tblPrEx>
        <w:trPr>
          <w:cantSplit/>
          <w:jc w:val="center"/>
        </w:trPr>
        <w:tc>
          <w:tcPr>
            <w:tcW w:w="9504" w:type="dxa"/>
            <w:gridSpan w:val="7"/>
            <w:shd w:val="clear" w:color="auto" w:fill="auto"/>
          </w:tcPr>
          <w:p w:rsidR="00952AA2" w:rsidP="005C7C23" w14:paraId="33146E14" w14:textId="77777777">
            <w:pPr>
              <w:keepNext/>
              <w:jc w:val="center"/>
              <w:rPr>
                <w:sz w:val="20"/>
                <w:szCs w:val="20"/>
              </w:rPr>
            </w:pPr>
            <w:r>
              <w:rPr>
                <w:sz w:val="20"/>
                <w:szCs w:val="20"/>
              </w:rPr>
              <w:t>Electronic Submission Template and Resource (eSTAR)</w:t>
            </w:r>
          </w:p>
        </w:tc>
      </w:tr>
      <w:tr w14:paraId="1432DC35" w14:textId="77777777" w:rsidTr="0078198B">
        <w:tblPrEx>
          <w:tblW w:w="5000" w:type="pct"/>
          <w:jc w:val="center"/>
          <w:tblLayout w:type="fixed"/>
          <w:tblLook w:val="04A0"/>
        </w:tblPrEx>
        <w:trPr>
          <w:cantSplit/>
          <w:jc w:val="center"/>
        </w:trPr>
        <w:tc>
          <w:tcPr>
            <w:tcW w:w="2142" w:type="dxa"/>
            <w:shd w:val="clear" w:color="auto" w:fill="auto"/>
          </w:tcPr>
          <w:p w:rsidR="00952AA2" w:rsidP="005C7C23" w14:paraId="0AC22213" w14:textId="77777777">
            <w:pPr>
              <w:keepNext/>
              <w:rPr>
                <w:sz w:val="20"/>
                <w:szCs w:val="20"/>
              </w:rPr>
            </w:pPr>
            <w:r>
              <w:rPr>
                <w:sz w:val="20"/>
                <w:szCs w:val="20"/>
              </w:rPr>
              <w:t>eSTAR setup—one-time burden</w:t>
            </w:r>
          </w:p>
        </w:tc>
        <w:tc>
          <w:tcPr>
            <w:tcW w:w="968" w:type="dxa"/>
            <w:shd w:val="clear" w:color="auto" w:fill="auto"/>
          </w:tcPr>
          <w:p w:rsidR="00952AA2" w:rsidP="005C7C23" w14:paraId="54A1D6F1" w14:textId="77777777">
            <w:pPr>
              <w:keepNext/>
              <w:rPr>
                <w:sz w:val="20"/>
                <w:szCs w:val="20"/>
              </w:rPr>
            </w:pPr>
          </w:p>
        </w:tc>
        <w:tc>
          <w:tcPr>
            <w:tcW w:w="1352" w:type="dxa"/>
            <w:shd w:val="clear" w:color="auto" w:fill="auto"/>
          </w:tcPr>
          <w:p w:rsidR="00952AA2" w:rsidP="005C7C23" w14:paraId="5FBFC38D" w14:textId="77777777">
            <w:pPr>
              <w:keepNext/>
              <w:jc w:val="right"/>
              <w:rPr>
                <w:sz w:val="20"/>
                <w:szCs w:val="20"/>
              </w:rPr>
            </w:pPr>
            <w:r>
              <w:rPr>
                <w:sz w:val="20"/>
                <w:szCs w:val="20"/>
              </w:rPr>
              <w:t>80</w:t>
            </w:r>
          </w:p>
        </w:tc>
        <w:tc>
          <w:tcPr>
            <w:tcW w:w="1544" w:type="dxa"/>
            <w:shd w:val="clear" w:color="auto" w:fill="auto"/>
          </w:tcPr>
          <w:p w:rsidR="00952AA2" w:rsidP="005C7C23" w14:paraId="5ABDD68E" w14:textId="77777777">
            <w:pPr>
              <w:keepNext/>
              <w:jc w:val="right"/>
              <w:rPr>
                <w:sz w:val="20"/>
                <w:szCs w:val="20"/>
              </w:rPr>
            </w:pPr>
            <w:r>
              <w:rPr>
                <w:sz w:val="20"/>
                <w:szCs w:val="20"/>
              </w:rPr>
              <w:t>1</w:t>
            </w:r>
          </w:p>
        </w:tc>
        <w:tc>
          <w:tcPr>
            <w:tcW w:w="1256" w:type="dxa"/>
            <w:shd w:val="clear" w:color="auto" w:fill="auto"/>
          </w:tcPr>
          <w:p w:rsidR="00952AA2" w:rsidP="005C7C23" w14:paraId="3FDCF9BA" w14:textId="77777777">
            <w:pPr>
              <w:keepNext/>
              <w:jc w:val="right"/>
              <w:rPr>
                <w:sz w:val="20"/>
                <w:szCs w:val="20"/>
              </w:rPr>
            </w:pPr>
            <w:r>
              <w:rPr>
                <w:sz w:val="20"/>
                <w:szCs w:val="20"/>
              </w:rPr>
              <w:t>80</w:t>
            </w:r>
          </w:p>
        </w:tc>
        <w:tc>
          <w:tcPr>
            <w:tcW w:w="1311" w:type="dxa"/>
            <w:shd w:val="clear" w:color="auto" w:fill="auto"/>
          </w:tcPr>
          <w:p w:rsidR="00952AA2" w:rsidP="005C7C23" w14:paraId="1B651CE1" w14:textId="77777777">
            <w:pPr>
              <w:keepNext/>
              <w:jc w:val="right"/>
              <w:rPr>
                <w:sz w:val="20"/>
                <w:szCs w:val="20"/>
              </w:rPr>
            </w:pPr>
            <w:r>
              <w:rPr>
                <w:sz w:val="20"/>
                <w:szCs w:val="20"/>
              </w:rPr>
              <w:t xml:space="preserve">0.08 </w:t>
            </w:r>
          </w:p>
          <w:p w:rsidR="00952AA2" w:rsidP="005C7C23" w14:paraId="1111A215" w14:textId="77777777">
            <w:pPr>
              <w:keepNext/>
              <w:jc w:val="right"/>
              <w:rPr>
                <w:sz w:val="20"/>
                <w:szCs w:val="20"/>
              </w:rPr>
            </w:pPr>
            <w:r>
              <w:rPr>
                <w:sz w:val="20"/>
                <w:szCs w:val="20"/>
              </w:rPr>
              <w:t>(5 minutes)</w:t>
            </w:r>
          </w:p>
        </w:tc>
        <w:tc>
          <w:tcPr>
            <w:tcW w:w="931" w:type="dxa"/>
            <w:shd w:val="clear" w:color="auto" w:fill="auto"/>
          </w:tcPr>
          <w:p w:rsidR="00952AA2" w:rsidP="005C7C23" w14:paraId="6C83B7E6" w14:textId="77777777">
            <w:pPr>
              <w:keepNext/>
              <w:jc w:val="right"/>
              <w:rPr>
                <w:sz w:val="20"/>
                <w:szCs w:val="20"/>
              </w:rPr>
            </w:pPr>
            <w:r>
              <w:rPr>
                <w:sz w:val="20"/>
                <w:szCs w:val="20"/>
              </w:rPr>
              <w:t>6</w:t>
            </w:r>
          </w:p>
        </w:tc>
      </w:tr>
      <w:tr w14:paraId="0CD895F6" w14:textId="77777777" w:rsidTr="0078198B">
        <w:tblPrEx>
          <w:tblW w:w="5000" w:type="pct"/>
          <w:jc w:val="center"/>
          <w:tblLayout w:type="fixed"/>
          <w:tblLook w:val="04A0"/>
        </w:tblPrEx>
        <w:trPr>
          <w:cantSplit/>
          <w:jc w:val="center"/>
        </w:trPr>
        <w:tc>
          <w:tcPr>
            <w:tcW w:w="2142" w:type="dxa"/>
            <w:shd w:val="clear" w:color="auto" w:fill="auto"/>
          </w:tcPr>
          <w:p w:rsidR="0078198B" w:rsidP="005C7C23" w14:paraId="7E9A1486" w14:textId="7FC14BA5">
            <w:pPr>
              <w:keepNext/>
              <w:rPr>
                <w:sz w:val="20"/>
                <w:szCs w:val="20"/>
              </w:rPr>
            </w:pPr>
            <w:r>
              <w:rPr>
                <w:sz w:val="20"/>
                <w:szCs w:val="20"/>
              </w:rPr>
              <w:t>TOTAL</w:t>
            </w:r>
          </w:p>
        </w:tc>
        <w:tc>
          <w:tcPr>
            <w:tcW w:w="968" w:type="dxa"/>
            <w:shd w:val="clear" w:color="auto" w:fill="auto"/>
          </w:tcPr>
          <w:p w:rsidR="0078198B" w:rsidP="005C7C23" w14:paraId="78124D6A" w14:textId="77777777">
            <w:pPr>
              <w:keepNext/>
              <w:rPr>
                <w:sz w:val="20"/>
                <w:szCs w:val="20"/>
              </w:rPr>
            </w:pPr>
          </w:p>
        </w:tc>
        <w:tc>
          <w:tcPr>
            <w:tcW w:w="1352" w:type="dxa"/>
            <w:shd w:val="clear" w:color="auto" w:fill="auto"/>
          </w:tcPr>
          <w:p w:rsidR="0078198B" w:rsidP="005C7C23" w14:paraId="7130DBB5" w14:textId="77777777">
            <w:pPr>
              <w:keepNext/>
              <w:jc w:val="right"/>
              <w:rPr>
                <w:sz w:val="20"/>
                <w:szCs w:val="20"/>
              </w:rPr>
            </w:pPr>
          </w:p>
        </w:tc>
        <w:tc>
          <w:tcPr>
            <w:tcW w:w="1544" w:type="dxa"/>
            <w:shd w:val="clear" w:color="auto" w:fill="auto"/>
          </w:tcPr>
          <w:p w:rsidR="0078198B" w:rsidP="005C7C23" w14:paraId="7A69A6DC" w14:textId="77777777">
            <w:pPr>
              <w:keepNext/>
              <w:jc w:val="right"/>
              <w:rPr>
                <w:sz w:val="20"/>
                <w:szCs w:val="20"/>
              </w:rPr>
            </w:pPr>
          </w:p>
        </w:tc>
        <w:tc>
          <w:tcPr>
            <w:tcW w:w="1256" w:type="dxa"/>
            <w:shd w:val="clear" w:color="auto" w:fill="auto"/>
          </w:tcPr>
          <w:p w:rsidR="0078198B" w:rsidP="005C7C23" w14:paraId="42334CB8" w14:textId="393BC585">
            <w:pPr>
              <w:keepNext/>
              <w:jc w:val="right"/>
              <w:rPr>
                <w:sz w:val="20"/>
                <w:szCs w:val="20"/>
              </w:rPr>
            </w:pPr>
            <w:r>
              <w:rPr>
                <w:sz w:val="20"/>
                <w:szCs w:val="20"/>
              </w:rPr>
              <w:t>12,670</w:t>
            </w:r>
          </w:p>
        </w:tc>
        <w:tc>
          <w:tcPr>
            <w:tcW w:w="1311" w:type="dxa"/>
            <w:shd w:val="clear" w:color="auto" w:fill="auto"/>
          </w:tcPr>
          <w:p w:rsidR="0078198B" w:rsidP="005C7C23" w14:paraId="4512FFFE" w14:textId="77777777">
            <w:pPr>
              <w:keepNext/>
              <w:jc w:val="right"/>
              <w:rPr>
                <w:sz w:val="20"/>
                <w:szCs w:val="20"/>
              </w:rPr>
            </w:pPr>
          </w:p>
        </w:tc>
        <w:tc>
          <w:tcPr>
            <w:tcW w:w="931" w:type="dxa"/>
            <w:shd w:val="clear" w:color="auto" w:fill="auto"/>
          </w:tcPr>
          <w:p w:rsidR="0078198B" w:rsidP="005C7C23" w14:paraId="04F38240" w14:textId="578F41D3">
            <w:pPr>
              <w:keepNext/>
              <w:jc w:val="right"/>
              <w:rPr>
                <w:sz w:val="20"/>
                <w:szCs w:val="20"/>
              </w:rPr>
            </w:pPr>
            <w:r>
              <w:rPr>
                <w:sz w:val="20"/>
                <w:szCs w:val="20"/>
              </w:rPr>
              <w:t>323,379</w:t>
            </w:r>
          </w:p>
        </w:tc>
      </w:tr>
    </w:tbl>
    <w:p w:rsidR="009407C7" w:rsidP="00D77313" w14:paraId="7A6BEE5B" w14:textId="77777777">
      <w:pPr>
        <w:rPr>
          <w:rFonts w:eastAsia="Calibri"/>
        </w:rPr>
      </w:pPr>
    </w:p>
    <w:p w:rsidR="00D77313" w:rsidP="00D77313" w14:paraId="57722D5F" w14:textId="77777777">
      <w:r>
        <w:rPr>
          <w:rFonts w:eastAsia="Calibri"/>
        </w:rPr>
        <w:t>The regulations in 21 CFR 807 subpart E</w:t>
      </w:r>
      <w:r w:rsidR="004D231A">
        <w:rPr>
          <w:rFonts w:eastAsia="Calibri"/>
        </w:rPr>
        <w:t xml:space="preserve"> and the associated guidance documents</w:t>
      </w:r>
      <w:r>
        <w:rPr>
          <w:rFonts w:eastAsia="Calibri"/>
        </w:rPr>
        <w:t xml:space="preserve"> prescribe</w:t>
      </w:r>
      <w:r w:rsidR="00EA16B5">
        <w:rPr>
          <w:rFonts w:eastAsia="Calibri"/>
        </w:rPr>
        <w:t xml:space="preserve"> </w:t>
      </w:r>
      <w:r w:rsidR="0094432C">
        <w:rPr>
          <w:rFonts w:eastAsia="Calibri"/>
        </w:rPr>
        <w:t xml:space="preserve">specific </w:t>
      </w:r>
      <w:r w:rsidR="00EA16B5">
        <w:rPr>
          <w:rFonts w:eastAsia="Calibri"/>
        </w:rPr>
        <w:t>format and content elements necessary for FDA action on submissions</w:t>
      </w:r>
      <w:r w:rsidR="00F30E37">
        <w:rPr>
          <w:rFonts w:eastAsia="Calibri"/>
        </w:rPr>
        <w:t xml:space="preserve">.  </w:t>
      </w:r>
      <w:r w:rsidRPr="007E6B04" w:rsidR="009407C7">
        <w:rPr>
          <w:rFonts w:eastAsia="Calibri"/>
        </w:rPr>
        <w:t xml:space="preserve">Based on </w:t>
      </w:r>
      <w:r w:rsidR="009407C7">
        <w:rPr>
          <w:rFonts w:eastAsia="Calibri"/>
        </w:rPr>
        <w:t xml:space="preserve">recent </w:t>
      </w:r>
      <w:r w:rsidRPr="007E6B04" w:rsidR="009407C7">
        <w:rPr>
          <w:rFonts w:eastAsia="Calibri"/>
        </w:rPr>
        <w:t xml:space="preserve">trends, an estimated 3,800 submissions are expected each year.  </w:t>
      </w:r>
      <w:r w:rsidR="00F30E37">
        <w:rPr>
          <w:rFonts w:eastAsia="Calibri"/>
        </w:rPr>
        <w:t xml:space="preserve">Our </w:t>
      </w:r>
      <w:r w:rsidRPr="007E6B04" w:rsidR="009407C7">
        <w:rPr>
          <w:rFonts w:eastAsia="Calibri"/>
        </w:rPr>
        <w:t>administrative and technical staff, who are familiar with the requirements for submission of premarket notifications, estimate that it takes an average of 79.25 hours to prepare a submission.</w:t>
      </w:r>
      <w:r>
        <w:rPr>
          <w:rFonts w:eastAsia="Calibri"/>
        </w:rPr>
        <w:t xml:space="preserve">  </w:t>
      </w:r>
      <w:r w:rsidRPr="00463717" w:rsidR="00463717">
        <w:rPr>
          <w:rFonts w:eastAsia="Calibri"/>
        </w:rPr>
        <w:t>Because the PRA defines a recordkeeping requirement to include reporting those records to the Federal government</w:t>
      </w:r>
      <w:r w:rsidR="00BF0037">
        <w:rPr>
          <w:rFonts w:eastAsia="Calibri"/>
        </w:rPr>
        <w:t xml:space="preserve"> (5 CFR 1320.3(m))</w:t>
      </w:r>
      <w:r w:rsidRPr="00463717" w:rsidR="00463717">
        <w:rPr>
          <w:rFonts w:eastAsia="Calibri"/>
        </w:rPr>
        <w:t xml:space="preserve">, we account for </w:t>
      </w:r>
      <w:r w:rsidRPr="007E6B04" w:rsidR="009407C7">
        <w:rPr>
          <w:rFonts w:eastAsia="Calibri"/>
        </w:rPr>
        <w:t>burden</w:t>
      </w:r>
      <w:r w:rsidR="00576A90">
        <w:rPr>
          <w:rFonts w:eastAsia="Calibri"/>
        </w:rPr>
        <w:t xml:space="preserve"> </w:t>
      </w:r>
      <w:r w:rsidR="0041767F">
        <w:rPr>
          <w:rFonts w:eastAsia="Calibri"/>
        </w:rPr>
        <w:t>ass</w:t>
      </w:r>
      <w:r w:rsidR="000E669D">
        <w:rPr>
          <w:rFonts w:eastAsia="Calibri"/>
        </w:rPr>
        <w:t xml:space="preserve">ociated with </w:t>
      </w:r>
      <w:r w:rsidRPr="007E6B04" w:rsidR="009407C7">
        <w:rPr>
          <w:rFonts w:eastAsia="Calibri"/>
        </w:rPr>
        <w:t>prepar</w:t>
      </w:r>
      <w:r w:rsidR="00576A90">
        <w:rPr>
          <w:rFonts w:eastAsia="Calibri"/>
        </w:rPr>
        <w:t>ing</w:t>
      </w:r>
      <w:r w:rsidR="000E669D">
        <w:rPr>
          <w:rFonts w:eastAsia="Calibri"/>
        </w:rPr>
        <w:t>, transmi</w:t>
      </w:r>
      <w:r w:rsidR="00576A90">
        <w:rPr>
          <w:rFonts w:eastAsia="Calibri"/>
        </w:rPr>
        <w:t>tting</w:t>
      </w:r>
      <w:r w:rsidR="000E669D">
        <w:rPr>
          <w:rFonts w:eastAsia="Calibri"/>
        </w:rPr>
        <w:t>,</w:t>
      </w:r>
      <w:r w:rsidRPr="007E6B04" w:rsidR="009407C7">
        <w:rPr>
          <w:rFonts w:eastAsia="Calibri"/>
        </w:rPr>
        <w:t xml:space="preserve"> and responding to </w:t>
      </w:r>
      <w:r w:rsidR="00576A90">
        <w:rPr>
          <w:rFonts w:eastAsia="Calibri"/>
        </w:rPr>
        <w:t xml:space="preserve">follow-up </w:t>
      </w:r>
      <w:r w:rsidRPr="007E6B04" w:rsidR="009407C7">
        <w:rPr>
          <w:rFonts w:eastAsia="Calibri"/>
        </w:rPr>
        <w:t>requests from FDA for supplemental information</w:t>
      </w:r>
      <w:r w:rsidR="004D41B8">
        <w:rPr>
          <w:rFonts w:eastAsia="Calibri"/>
        </w:rPr>
        <w:t xml:space="preserve"> in our estimate</w:t>
      </w:r>
      <w:r w:rsidRPr="007E6B04" w:rsidR="009407C7">
        <w:rPr>
          <w:rFonts w:eastAsia="Calibri"/>
        </w:rPr>
        <w:t>.</w:t>
      </w:r>
      <w:r>
        <w:t xml:space="preserve">  </w:t>
      </w:r>
      <w:r w:rsidRPr="007E6B04" w:rsidR="009407C7">
        <w:rPr>
          <w:rFonts w:eastAsia="Calibri"/>
        </w:rPr>
        <w:t xml:space="preserve">We expect to receive approximately 100 510(k) submissions via eSTAR per year. </w:t>
      </w:r>
      <w:r w:rsidR="004F7D94">
        <w:rPr>
          <w:rFonts w:eastAsia="Calibri"/>
        </w:rPr>
        <w:t xml:space="preserve"> </w:t>
      </w:r>
      <w:r w:rsidRPr="007E6B04" w:rsidR="009407C7">
        <w:rPr>
          <w:rFonts w:eastAsia="Calibri"/>
        </w:rPr>
        <w:t xml:space="preserve">We estimate that eSTAR submissions </w:t>
      </w:r>
      <w:r w:rsidR="004F7D94">
        <w:rPr>
          <w:rFonts w:eastAsia="Calibri"/>
        </w:rPr>
        <w:t xml:space="preserve">require </w:t>
      </w:r>
      <w:r w:rsidRPr="007E6B04" w:rsidR="009407C7">
        <w:rPr>
          <w:rFonts w:eastAsia="Calibri"/>
        </w:rPr>
        <w:t>40 hours per submission.</w:t>
      </w:r>
      <w:r>
        <w:rPr>
          <w:rFonts w:eastAsia="Calibri"/>
        </w:rPr>
        <w:t xml:space="preserve">  </w:t>
      </w:r>
      <w:r w:rsidRPr="007E6B04" w:rsidR="009407C7">
        <w:rPr>
          <w:rFonts w:eastAsia="Calibri"/>
        </w:rPr>
        <w:t xml:space="preserve">Based on a </w:t>
      </w:r>
      <w:r w:rsidR="009407C7">
        <w:rPr>
          <w:rFonts w:eastAsia="Calibri"/>
        </w:rPr>
        <w:t xml:space="preserve">recent </w:t>
      </w:r>
      <w:r w:rsidRPr="007E6B04" w:rsidR="009407C7">
        <w:rPr>
          <w:rFonts w:eastAsia="Calibri"/>
        </w:rPr>
        <w:t xml:space="preserve">review of the summary cover </w:t>
      </w:r>
      <w:r w:rsidRPr="007E6B04" w:rsidR="009407C7">
        <w:rPr>
          <w:rFonts w:eastAsia="Calibri"/>
        </w:rPr>
        <w:t xml:space="preserve">sheet, </w:t>
      </w:r>
      <w:r w:rsidR="004D231A">
        <w:rPr>
          <w:rFonts w:eastAsia="Calibri"/>
        </w:rPr>
        <w:t xml:space="preserve">we </w:t>
      </w:r>
      <w:r w:rsidRPr="007E6B04" w:rsidR="009407C7">
        <w:rPr>
          <w:rFonts w:eastAsia="Calibri"/>
        </w:rPr>
        <w:t>estimate 1,906 summary cover sheets</w:t>
      </w:r>
      <w:r w:rsidR="004D231A">
        <w:rPr>
          <w:rFonts w:eastAsia="Calibri"/>
        </w:rPr>
        <w:t xml:space="preserve"> will be received annually.  We assume</w:t>
      </w:r>
      <w:r w:rsidRPr="007E6B04" w:rsidR="009407C7">
        <w:rPr>
          <w:rFonts w:eastAsia="Calibri"/>
        </w:rPr>
        <w:t>30 minutes are needed to complete the summary cover sheet.</w:t>
      </w:r>
      <w:r>
        <w:t xml:space="preserve">  </w:t>
      </w:r>
      <w:r w:rsidRPr="007E6B04" w:rsidR="009407C7">
        <w:rPr>
          <w:rFonts w:eastAsia="Calibri"/>
        </w:rPr>
        <w:t xml:space="preserve">Based on market trends, FDA estimates that 9 respondents </w:t>
      </w:r>
      <w:r w:rsidRPr="006A1521" w:rsidR="00175290">
        <w:rPr>
          <w:rFonts w:eastAsia="Calibri"/>
        </w:rPr>
        <w:t>will submit information pertaining to a request for recognition of a voluntary standard and that the activity requires an average of 1 hour</w:t>
      </w:r>
      <w:r w:rsidRPr="007E6B04" w:rsidR="009407C7">
        <w:rPr>
          <w:rFonts w:eastAsia="Calibri"/>
        </w:rPr>
        <w:t>.</w:t>
      </w:r>
      <w:r>
        <w:rPr>
          <w:lang w:val="en"/>
        </w:rPr>
        <w:t xml:space="preserve">  </w:t>
      </w:r>
      <w:r w:rsidR="009407C7">
        <w:rPr>
          <w:rFonts w:eastAsia="Calibri"/>
        </w:rPr>
        <w:t>W</w:t>
      </w:r>
      <w:r w:rsidRPr="007E6B04" w:rsidR="009407C7">
        <w:rPr>
          <w:rFonts w:eastAsia="Calibri"/>
        </w:rPr>
        <w:t>e estimate a one-time setup burden of 5 minutes for approximately 80 new eSTAR users annually.</w:t>
      </w:r>
    </w:p>
    <w:p w:rsidR="00D77313" w:rsidP="00D77313" w14:paraId="011655BB" w14:textId="77777777"/>
    <w:p w:rsidR="00D77313" w:rsidRPr="00747DB2" w:rsidP="00D77313" w14:paraId="1AD36DC4" w14:textId="77777777">
      <w:pPr>
        <w:ind w:firstLine="360"/>
        <w:rPr>
          <w:i/>
          <w:iCs/>
        </w:rPr>
      </w:pPr>
      <w:r w:rsidRPr="00747DB2">
        <w:rPr>
          <w:rFonts w:eastAsia="Calibri"/>
          <w:i/>
          <w:iCs/>
        </w:rPr>
        <w:t>12b.  Annualized Cost Burden Estimate</w:t>
      </w:r>
    </w:p>
    <w:p w:rsidR="00D77313" w:rsidP="00D77313" w14:paraId="34C2AACB" w14:textId="77777777">
      <w:pPr>
        <w:ind w:firstLine="360"/>
      </w:pPr>
    </w:p>
    <w:p w:rsidR="00421516" w:rsidRPr="00D77313" w:rsidP="00D77313" w14:paraId="20733745" w14:textId="3C26BA37">
      <w:pPr>
        <w:ind w:firstLine="360"/>
      </w:pPr>
      <w:r>
        <w:t xml:space="preserve">Assuming that activities identified in </w:t>
      </w:r>
      <w:r w:rsidRPr="00495E21">
        <w:rPr>
          <w:i/>
          <w:iCs/>
        </w:rPr>
        <w:t>12a</w:t>
      </w:r>
      <w:r>
        <w:t xml:space="preserve"> are performed by labor categories consistent with that of “</w:t>
      </w:r>
      <w:r w:rsidRPr="00F415F0">
        <w:rPr>
          <w:i/>
          <w:iCs/>
        </w:rPr>
        <w:t>Lawyer</w:t>
      </w:r>
      <w:r>
        <w:t xml:space="preserve">” (occupation code 23-1011) as defined by the </w:t>
      </w:r>
      <w:r w:rsidRPr="00FA661D">
        <w:t>Bureau of Labor Statistics (BLS)</w:t>
      </w:r>
      <w:r>
        <w:t xml:space="preserve">, we use a mean </w:t>
      </w:r>
      <w:r w:rsidRPr="00FA661D">
        <w:t>hourly wage rate of $</w:t>
      </w:r>
      <w:r>
        <w:t>78.74/hour</w:t>
      </w:r>
      <w:r w:rsidRPr="00FA661D">
        <w:t xml:space="preserve"> for a lawye</w:t>
      </w:r>
      <w:r>
        <w:t>r consistent with 2022 data for our calculations.</w:t>
      </w:r>
      <w:r>
        <w:rPr>
          <w:rStyle w:val="FootnoteReference"/>
        </w:rPr>
        <w:footnoteReference w:id="3"/>
      </w:r>
      <w:r>
        <w:t xml:space="preserve">  We factor this figure by two to account for </w:t>
      </w:r>
      <w:r w:rsidR="00FD722B">
        <w:t xml:space="preserve">benefits and </w:t>
      </w:r>
      <w:r>
        <w:t>overhead ($157.48), multiply the total by the annual burden hours and estimate annual respondent costs to be $</w:t>
      </w:r>
      <w:r w:rsidR="005006F5">
        <w:t>50,711,552 (rounded)</w:t>
      </w:r>
      <w:r>
        <w:t xml:space="preserve"> [$157.48 x </w:t>
      </w:r>
      <w:r w:rsidR="005006F5">
        <w:t>322,019</w:t>
      </w:r>
      <w:r>
        <w:t xml:space="preserve"> hours].</w:t>
      </w:r>
    </w:p>
    <w:p w:rsidR="006F45A1" w:rsidP="0022425B" w14:paraId="7F1C20F6" w14:textId="77777777">
      <w:pPr>
        <w:ind w:left="360"/>
        <w:rPr>
          <w:rFonts w:eastAsia="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5"/>
        <w:gridCol w:w="2164"/>
        <w:gridCol w:w="2224"/>
        <w:gridCol w:w="2221"/>
      </w:tblGrid>
      <w:tr w14:paraId="1E533C57" w14:textId="77777777" w:rsidTr="00766000">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2958" w:type="dxa"/>
            <w:shd w:val="clear" w:color="auto" w:fill="auto"/>
          </w:tcPr>
          <w:p w:rsidR="006F45A1" w:rsidRPr="00D77313" w:rsidP="00766000" w14:paraId="752987D5" w14:textId="77777777">
            <w:pPr>
              <w:jc w:val="center"/>
              <w:rPr>
                <w:sz w:val="22"/>
                <w:szCs w:val="22"/>
              </w:rPr>
            </w:pPr>
            <w:r w:rsidRPr="00D77313">
              <w:rPr>
                <w:sz w:val="22"/>
                <w:szCs w:val="22"/>
              </w:rPr>
              <w:t>Respondent Labor Category</w:t>
            </w:r>
          </w:p>
        </w:tc>
        <w:tc>
          <w:tcPr>
            <w:tcW w:w="2219" w:type="dxa"/>
            <w:shd w:val="clear" w:color="auto" w:fill="auto"/>
          </w:tcPr>
          <w:p w:rsidR="006F45A1" w:rsidRPr="00D77313" w:rsidP="00766000" w14:paraId="554CE9FE" w14:textId="77777777">
            <w:pPr>
              <w:jc w:val="center"/>
              <w:rPr>
                <w:sz w:val="22"/>
                <w:szCs w:val="22"/>
              </w:rPr>
            </w:pPr>
            <w:r w:rsidRPr="00D77313">
              <w:rPr>
                <w:sz w:val="22"/>
                <w:szCs w:val="22"/>
              </w:rPr>
              <w:t>Total Burden Hours</w:t>
            </w:r>
          </w:p>
        </w:tc>
        <w:tc>
          <w:tcPr>
            <w:tcW w:w="2282" w:type="dxa"/>
            <w:shd w:val="clear" w:color="auto" w:fill="auto"/>
          </w:tcPr>
          <w:p w:rsidR="006F45A1" w:rsidRPr="00D77313" w:rsidP="00766000" w14:paraId="02B9999B" w14:textId="77777777">
            <w:pPr>
              <w:jc w:val="center"/>
              <w:rPr>
                <w:sz w:val="22"/>
                <w:szCs w:val="22"/>
              </w:rPr>
            </w:pPr>
            <w:r w:rsidRPr="00D77313">
              <w:rPr>
                <w:sz w:val="22"/>
                <w:szCs w:val="22"/>
              </w:rPr>
              <w:t>Hourly Wage Rate</w:t>
            </w:r>
          </w:p>
        </w:tc>
        <w:tc>
          <w:tcPr>
            <w:tcW w:w="2261" w:type="dxa"/>
            <w:shd w:val="clear" w:color="auto" w:fill="auto"/>
          </w:tcPr>
          <w:p w:rsidR="006F45A1" w:rsidRPr="00D77313" w:rsidP="00766000" w14:paraId="25468B1A" w14:textId="77777777">
            <w:pPr>
              <w:jc w:val="center"/>
              <w:rPr>
                <w:sz w:val="22"/>
                <w:szCs w:val="22"/>
              </w:rPr>
            </w:pPr>
            <w:r w:rsidRPr="00D77313">
              <w:rPr>
                <w:sz w:val="22"/>
                <w:szCs w:val="22"/>
              </w:rPr>
              <w:t>Total Respondent Costs</w:t>
            </w:r>
          </w:p>
        </w:tc>
      </w:tr>
      <w:tr w14:paraId="65D48915" w14:textId="77777777" w:rsidTr="00766000">
        <w:tblPrEx>
          <w:tblW w:w="5000" w:type="pct"/>
          <w:jc w:val="center"/>
          <w:tblLook w:val="01E0"/>
        </w:tblPrEx>
        <w:trPr>
          <w:cantSplit/>
          <w:jc w:val="center"/>
        </w:trPr>
        <w:tc>
          <w:tcPr>
            <w:tcW w:w="2958" w:type="dxa"/>
            <w:shd w:val="clear" w:color="auto" w:fill="auto"/>
          </w:tcPr>
          <w:p w:rsidR="006F45A1" w:rsidRPr="00D77313" w:rsidP="00766000" w14:paraId="7A3EA28E" w14:textId="77777777">
            <w:pPr>
              <w:rPr>
                <w:sz w:val="22"/>
                <w:szCs w:val="22"/>
              </w:rPr>
            </w:pPr>
            <w:r w:rsidRPr="00D77313">
              <w:rPr>
                <w:sz w:val="22"/>
                <w:szCs w:val="22"/>
              </w:rPr>
              <w:t>Lawyer</w:t>
            </w:r>
          </w:p>
        </w:tc>
        <w:tc>
          <w:tcPr>
            <w:tcW w:w="2219" w:type="dxa"/>
            <w:shd w:val="clear" w:color="auto" w:fill="auto"/>
          </w:tcPr>
          <w:p w:rsidR="006F45A1" w:rsidRPr="00D77313" w:rsidP="00766000" w14:paraId="4FEF1054" w14:textId="77777777">
            <w:pPr>
              <w:jc w:val="right"/>
              <w:rPr>
                <w:sz w:val="22"/>
                <w:szCs w:val="22"/>
              </w:rPr>
            </w:pPr>
            <w:r w:rsidRPr="00D77313">
              <w:rPr>
                <w:sz w:val="22"/>
                <w:szCs w:val="22"/>
              </w:rPr>
              <w:t>322,019</w:t>
            </w:r>
          </w:p>
        </w:tc>
        <w:tc>
          <w:tcPr>
            <w:tcW w:w="2282" w:type="dxa"/>
            <w:shd w:val="clear" w:color="auto" w:fill="auto"/>
          </w:tcPr>
          <w:p w:rsidR="006F45A1" w:rsidRPr="00D77313" w:rsidP="00766000" w14:paraId="21525257" w14:textId="77777777">
            <w:pPr>
              <w:jc w:val="right"/>
              <w:rPr>
                <w:sz w:val="22"/>
                <w:szCs w:val="22"/>
              </w:rPr>
            </w:pPr>
            <w:r w:rsidRPr="00D77313">
              <w:rPr>
                <w:sz w:val="22"/>
                <w:szCs w:val="22"/>
              </w:rPr>
              <w:t>$</w:t>
            </w:r>
            <w:r w:rsidRPr="00D77313" w:rsidR="001B4636">
              <w:rPr>
                <w:sz w:val="22"/>
                <w:szCs w:val="22"/>
              </w:rPr>
              <w:t>157.48</w:t>
            </w:r>
          </w:p>
        </w:tc>
        <w:tc>
          <w:tcPr>
            <w:tcW w:w="2261" w:type="dxa"/>
            <w:shd w:val="clear" w:color="auto" w:fill="auto"/>
          </w:tcPr>
          <w:p w:rsidR="006F45A1" w:rsidRPr="00D77313" w:rsidP="00766000" w14:paraId="6E2D95B1" w14:textId="77777777">
            <w:pPr>
              <w:jc w:val="right"/>
              <w:rPr>
                <w:sz w:val="22"/>
                <w:szCs w:val="22"/>
              </w:rPr>
            </w:pPr>
            <w:r w:rsidRPr="00D77313">
              <w:rPr>
                <w:sz w:val="22"/>
                <w:szCs w:val="22"/>
              </w:rPr>
              <w:t>$50,711,552</w:t>
            </w:r>
          </w:p>
        </w:tc>
      </w:tr>
    </w:tbl>
    <w:p w:rsidR="00357C8A" w:rsidRPr="00357C8A" w:rsidP="00357C8A" w14:paraId="640C3E6B" w14:textId="77777777">
      <w:pPr>
        <w:rPr>
          <w:rFonts w:eastAsia="Calibri"/>
        </w:rPr>
      </w:pPr>
    </w:p>
    <w:p w:rsidR="00357C8A" w:rsidRPr="00357C8A" w:rsidP="006705EA" w14:paraId="44C380B0"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6F45A1" w:rsidP="006F45A1" w14:paraId="1B2CB668" w14:textId="77777777">
      <w:pPr>
        <w:spacing w:after="200"/>
        <w:rPr>
          <w:rFonts w:eastAsia="Calibri"/>
        </w:rPr>
      </w:pPr>
      <w:r w:rsidRPr="00C647A4">
        <w:t>There are no capital, start-up, operating or maintenance costs associated with this information collection.</w:t>
      </w:r>
    </w:p>
    <w:p w:rsidR="00357C8A" w:rsidRPr="00357C8A" w:rsidP="006705EA" w14:paraId="1D5E7EC9"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6F45A1" w:rsidRPr="007E6B04" w:rsidP="006F45A1" w14:paraId="4D32B80A" w14:textId="7AF62955">
      <w:pPr>
        <w:spacing w:after="200"/>
        <w:rPr>
          <w:rFonts w:eastAsia="Calibri"/>
        </w:rPr>
      </w:pPr>
      <w:r>
        <w:rPr>
          <w:rFonts w:eastAsia="Calibri"/>
        </w:rPr>
        <w:t xml:space="preserve">We </w:t>
      </w:r>
      <w:r w:rsidRPr="007E6B04">
        <w:rPr>
          <w:rFonts w:eastAsia="Calibri"/>
        </w:rPr>
        <w:t xml:space="preserve">estimate 251 full time equivalent (FTE) positions consisting of a combination of medical officers, dental officers, scientific, and engineering professionals and support staff are </w:t>
      </w:r>
      <w:r w:rsidR="00282112">
        <w:rPr>
          <w:rFonts w:eastAsia="Calibri"/>
        </w:rPr>
        <w:t xml:space="preserve">allocated to the </w:t>
      </w:r>
      <w:r w:rsidR="00184700">
        <w:rPr>
          <w:rFonts w:eastAsia="Calibri"/>
        </w:rPr>
        <w:t xml:space="preserve">administration of the information collection.  </w:t>
      </w:r>
      <w:r w:rsidR="00640F32">
        <w:rPr>
          <w:rFonts w:eastAsia="Calibri"/>
        </w:rPr>
        <w:t>Based on an internal cost model, we a</w:t>
      </w:r>
      <w:r w:rsidR="00184700">
        <w:rPr>
          <w:rFonts w:eastAsia="Calibri"/>
        </w:rPr>
        <w:t>ssum</w:t>
      </w:r>
      <w:r w:rsidR="00640F32">
        <w:rPr>
          <w:rFonts w:eastAsia="Calibri"/>
        </w:rPr>
        <w:t>e</w:t>
      </w:r>
      <w:r w:rsidR="00184700">
        <w:rPr>
          <w:rFonts w:eastAsia="Calibri"/>
        </w:rPr>
        <w:t xml:space="preserve"> </w:t>
      </w:r>
      <w:r w:rsidRPr="007E6B04">
        <w:rPr>
          <w:rFonts w:eastAsia="Calibri"/>
        </w:rPr>
        <w:t xml:space="preserve"> </w:t>
      </w:r>
      <w:r w:rsidR="00F064DA">
        <w:rPr>
          <w:rFonts w:eastAsia="Calibri"/>
        </w:rPr>
        <w:t xml:space="preserve">a fully-loaded </w:t>
      </w:r>
      <w:r w:rsidRPr="007E6B04">
        <w:rPr>
          <w:rFonts w:eastAsia="Calibri"/>
        </w:rPr>
        <w:t>cost of $</w:t>
      </w:r>
      <w:r>
        <w:rPr>
          <w:rFonts w:eastAsia="Calibri"/>
        </w:rPr>
        <w:t>297,561</w:t>
      </w:r>
      <w:r w:rsidRPr="007E6B04">
        <w:rPr>
          <w:rFonts w:eastAsia="Calibri"/>
        </w:rPr>
        <w:t xml:space="preserve"> per position</w:t>
      </w:r>
      <w:r w:rsidR="00183EFF">
        <w:rPr>
          <w:rFonts w:eastAsia="Calibri"/>
        </w:rPr>
        <w:t>.</w:t>
      </w:r>
      <w:r w:rsidR="005713D7">
        <w:rPr>
          <w:rFonts w:eastAsia="Calibri"/>
        </w:rPr>
        <w:t xml:space="preserve"> </w:t>
      </w:r>
      <w:r w:rsidR="00183EFF">
        <w:rPr>
          <w:rFonts w:eastAsia="Calibri"/>
        </w:rPr>
        <w:t>W</w:t>
      </w:r>
      <w:r w:rsidR="005713D7">
        <w:rPr>
          <w:rFonts w:eastAsia="Calibri"/>
        </w:rPr>
        <w:t xml:space="preserve">e calculate </w:t>
      </w:r>
      <w:r w:rsidRPr="007E6B04">
        <w:rPr>
          <w:rFonts w:eastAsia="Calibri"/>
        </w:rPr>
        <w:t>annual Federal cost</w:t>
      </w:r>
      <w:r w:rsidR="00CA3BDA">
        <w:rPr>
          <w:rFonts w:eastAsia="Calibri"/>
        </w:rPr>
        <w:t>s</w:t>
      </w:r>
      <w:r w:rsidRPr="007E6B04">
        <w:rPr>
          <w:rFonts w:eastAsia="Calibri"/>
        </w:rPr>
        <w:t xml:space="preserve"> </w:t>
      </w:r>
      <w:r w:rsidR="008D5C5F">
        <w:rPr>
          <w:rFonts w:eastAsia="Calibri"/>
        </w:rPr>
        <w:t xml:space="preserve">to be </w:t>
      </w:r>
      <w:r w:rsidRPr="007E6B04">
        <w:rPr>
          <w:rFonts w:eastAsia="Calibri"/>
        </w:rPr>
        <w:t>$</w:t>
      </w:r>
      <w:r>
        <w:rPr>
          <w:rFonts w:eastAsia="Calibri"/>
        </w:rPr>
        <w:t>74,687,811</w:t>
      </w:r>
      <w:r w:rsidRPr="007E6B04">
        <w:rPr>
          <w:rFonts w:eastAsia="Calibri"/>
        </w:rPr>
        <w:t>.</w:t>
      </w:r>
    </w:p>
    <w:p w:rsidR="00357C8A" w:rsidP="006705EA" w14:paraId="2DCB3B5D"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8563E4" w:rsidP="00985A11" w14:paraId="1FE015BB" w14:textId="1D708EA9">
      <w:pPr>
        <w:autoSpaceDE w:val="0"/>
        <w:autoSpaceDN w:val="0"/>
        <w:adjustRightInd w:val="0"/>
      </w:pPr>
      <w:r>
        <w:t xml:space="preserve">The information collection reflects </w:t>
      </w:r>
      <w:r w:rsidR="00436517">
        <w:t xml:space="preserve">program changes and adjustments.  </w:t>
      </w:r>
      <w:r w:rsidR="00A62209">
        <w:t xml:space="preserve">As a result of adding burden </w:t>
      </w:r>
      <w:r w:rsidR="005C5E46">
        <w:t>previously included under control nos. 0910-0616 (</w:t>
      </w:r>
      <w:r w:rsidR="002332EC">
        <w:t>submission certification element) and 0910-0767 (custom device</w:t>
      </w:r>
      <w:r w:rsidR="00DE12AB">
        <w:t xml:space="preserve"> exemptions), we have adjusted our burden </w:t>
      </w:r>
      <w:r w:rsidR="00FD13ED">
        <w:t>upward</w:t>
      </w:r>
      <w:r w:rsidR="005A29D1">
        <w:t xml:space="preserve">.  We have also made </w:t>
      </w:r>
      <w:r w:rsidR="00AA2714">
        <w:t xml:space="preserve">nominal </w:t>
      </w:r>
      <w:r w:rsidR="005A29D1">
        <w:t>adjustments</w:t>
      </w:r>
      <w:r w:rsidR="00AA2714">
        <w:t xml:space="preserve"> on </w:t>
      </w:r>
      <w:r w:rsidR="005A29D1">
        <w:t xml:space="preserve">individual provisions to reflect expected fluctuations </w:t>
      </w:r>
      <w:r w:rsidR="00243443">
        <w:t xml:space="preserve">in </w:t>
      </w:r>
      <w:r w:rsidR="005A29D1">
        <w:t>submission</w:t>
      </w:r>
      <w:r w:rsidR="00243443">
        <w:t>s</w:t>
      </w:r>
      <w:r w:rsidR="005A29D1">
        <w:t xml:space="preserve">.  </w:t>
      </w:r>
      <w:r w:rsidR="00243443">
        <w:t xml:space="preserve">Cumulatively these actions result in an </w:t>
      </w:r>
      <w:r>
        <w:t xml:space="preserve"> </w:t>
      </w:r>
      <w:r w:rsidRPr="008563E4">
        <w:t xml:space="preserve">overall increase of </w:t>
      </w:r>
      <w:r w:rsidR="005512BC">
        <w:t xml:space="preserve"> 3,671</w:t>
      </w:r>
      <w:r w:rsidRPr="008563E4">
        <w:t xml:space="preserve"> hours and a</w:t>
      </w:r>
      <w:r>
        <w:t xml:space="preserve"> </w:t>
      </w:r>
      <w:r w:rsidRPr="008563E4">
        <w:t xml:space="preserve">corresponding increase of </w:t>
      </w:r>
      <w:r w:rsidR="00465E3E">
        <w:t xml:space="preserve">4,210 </w:t>
      </w:r>
      <w:r>
        <w:t xml:space="preserve"> </w:t>
      </w:r>
      <w:r w:rsidRPr="008563E4">
        <w:t>responses</w:t>
      </w:r>
      <w:r w:rsidR="00985A11">
        <w:t xml:space="preserve"> annually</w:t>
      </w:r>
      <w:r w:rsidRPr="008563E4">
        <w:t xml:space="preserve">. </w:t>
      </w:r>
    </w:p>
    <w:p w:rsidR="00985A11" w:rsidP="00985A11" w14:paraId="009F31F0" w14:textId="77777777">
      <w:pPr>
        <w:autoSpaceDE w:val="0"/>
        <w:autoSpaceDN w:val="0"/>
        <w:adjustRightInd w:val="0"/>
        <w:rPr>
          <w:rFonts w:eastAsia="Calibri"/>
        </w:rPr>
      </w:pPr>
    </w:p>
    <w:p w:rsidR="00357C8A" w:rsidRPr="00357C8A" w:rsidP="006705EA" w14:paraId="72AE6E30"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357C8A" w14:paraId="28C61DAD" w14:textId="77777777">
      <w:pPr>
        <w:spacing w:after="200"/>
        <w:rPr>
          <w:rFonts w:eastAsia="Calibri"/>
          <w:color w:val="FF0000"/>
        </w:rPr>
      </w:pPr>
      <w:r w:rsidRPr="005C71CA">
        <w:rPr>
          <w:rFonts w:eastAsia="Calibri"/>
        </w:rPr>
        <w:t>This information collected will not be published or tabulated.</w:t>
      </w:r>
    </w:p>
    <w:p w:rsidR="00D77313" w14:paraId="0B372143" w14:textId="77777777">
      <w:pPr>
        <w:rPr>
          <w:rFonts w:eastAsia="Calibri"/>
          <w:u w:val="single"/>
        </w:rPr>
      </w:pPr>
      <w:r>
        <w:rPr>
          <w:rFonts w:eastAsia="Calibri"/>
          <w:u w:val="single"/>
        </w:rPr>
        <w:br w:type="page"/>
      </w:r>
    </w:p>
    <w:p w:rsidR="00357C8A" w:rsidRPr="00357C8A" w:rsidP="006705EA" w14:paraId="536D4199" w14:textId="7F50376C">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6F45A1" w:rsidP="00357C8A" w14:paraId="217A7CED" w14:textId="2FCB19D4">
      <w:pPr>
        <w:spacing w:after="200"/>
        <w:rPr>
          <w:rFonts w:eastAsia="Calibri"/>
        </w:rPr>
      </w:pPr>
      <w:r>
        <w:rPr>
          <w:color w:val="000000"/>
        </w:rPr>
        <w:t xml:space="preserve">The OMB control number, its expiration date, and an explanation of its significance will be displayed with the information collection as required by 5 CFR 1320.5.  </w:t>
      </w:r>
      <w:r w:rsidRPr="00F22D87">
        <w:rPr>
          <w:bCs/>
        </w:rPr>
        <w:t>Consistent with established practice</w:t>
      </w:r>
      <w:r w:rsidR="00985A11">
        <w:rPr>
          <w:bCs/>
        </w:rPr>
        <w:t>,</w:t>
      </w:r>
      <w:r w:rsidRPr="00F22D87">
        <w:rPr>
          <w:bCs/>
        </w:rPr>
        <w:t xml:space="preserve"> FDA</w:t>
      </w:r>
      <w:r>
        <w:rPr>
          <w:bCs/>
        </w:rPr>
        <w:t xml:space="preserve"> </w:t>
      </w:r>
      <w:r w:rsidRPr="00F22D87">
        <w:rPr>
          <w:bCs/>
        </w:rPr>
        <w:t>publish</w:t>
      </w:r>
      <w:r>
        <w:rPr>
          <w:bCs/>
        </w:rPr>
        <w:t>es</w:t>
      </w:r>
      <w:r w:rsidRPr="00F22D87">
        <w:rPr>
          <w:bCs/>
        </w:rPr>
        <w:t xml:space="preserve"> a </w:t>
      </w:r>
      <w:r w:rsidRPr="00BF0037">
        <w:rPr>
          <w:bCs/>
          <w:i/>
          <w:iCs/>
        </w:rPr>
        <w:t>Federal Register</w:t>
      </w:r>
      <w:r w:rsidRPr="00F22D87">
        <w:rPr>
          <w:bCs/>
        </w:rPr>
        <w:t xml:space="preserve"> notice announcing OMB approval of the information collection associated with </w:t>
      </w:r>
      <w:r>
        <w:rPr>
          <w:bCs/>
        </w:rPr>
        <w:t xml:space="preserve">its </w:t>
      </w:r>
      <w:r w:rsidRPr="00F22D87">
        <w:rPr>
          <w:bCs/>
        </w:rPr>
        <w:t>guidance document</w:t>
      </w:r>
      <w:r>
        <w:rPr>
          <w:bCs/>
        </w:rPr>
        <w:t>s</w:t>
      </w:r>
      <w:r w:rsidRPr="00F22D87">
        <w:rPr>
          <w:bCs/>
        </w:rPr>
        <w:t xml:space="preserve"> and will display in that notice both the OMB control number and its current expiration date.</w:t>
      </w:r>
      <w:r>
        <w:rPr>
          <w:bCs/>
        </w:rPr>
        <w:t xml:space="preserve">  </w:t>
      </w:r>
      <w:r w:rsidRPr="00F22D87">
        <w:rPr>
          <w:bCs/>
        </w:rPr>
        <w:t xml:space="preserve">In addition, the OMB control number will be displayed on the guidance document cover page and include a link to </w:t>
      </w:r>
      <w:hyperlink r:id="rId9" w:history="1">
        <w:r w:rsidRPr="00F22D87">
          <w:rPr>
            <w:rStyle w:val="Hyperlink"/>
            <w:bCs/>
          </w:rPr>
          <w:t>www.reginfo.gov</w:t>
        </w:r>
      </w:hyperlink>
      <w:r w:rsidRPr="00F22D87">
        <w:rPr>
          <w:bCs/>
        </w:rPr>
        <w:t xml:space="preserve"> to identify the current expiration date.</w:t>
      </w:r>
    </w:p>
    <w:p w:rsidR="00357C8A" w:rsidRPr="00357C8A" w:rsidP="006705EA" w14:paraId="73174A9D"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A05DF5" w:rsidRPr="00C20690" w:rsidP="00BF0037" w14:paraId="738C9B16" w14:textId="3D83DAB0">
      <w:pPr>
        <w:spacing w:after="200"/>
        <w:rPr>
          <w:rFonts w:eastAsia="Calibri"/>
        </w:rPr>
      </w:pPr>
      <w:r w:rsidRPr="007E59A8">
        <w:rPr>
          <w:rFonts w:eastAsia="Calibri"/>
        </w:rPr>
        <w:t>There are no exceptions to the certification</w:t>
      </w:r>
      <w:r>
        <w:rPr>
          <w:rFonts w:eastAsia="Calibri"/>
        </w:rPr>
        <w:t>.</w:t>
      </w:r>
    </w:p>
    <w:sectPr w:rsidSect="005A3F28">
      <w:footerReference w:type="even" r:id="rId10"/>
      <w:footerReference w:type="default" r:id="rId11"/>
      <w:pgSz w:w="12240" w:h="15840" w:code="1"/>
      <w:pgMar w:top="1440" w:right="1296"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A428D7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7262">
      <w:rPr>
        <w:rStyle w:val="PageNumber"/>
        <w:noProof/>
      </w:rPr>
      <w:t>1</w:t>
    </w:r>
    <w:r>
      <w:rPr>
        <w:rStyle w:val="PageNumber"/>
      </w:rPr>
      <w:fldChar w:fldCharType="end"/>
    </w:r>
  </w:p>
  <w:p w:rsidR="00E63DE5" w14:paraId="563ADB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4B4F3C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CF8B6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53C7" w14:paraId="553BEEB2" w14:textId="77777777">
      <w:r>
        <w:separator/>
      </w:r>
    </w:p>
  </w:footnote>
  <w:footnote w:type="continuationSeparator" w:id="1">
    <w:p w:rsidR="000E53C7" w14:paraId="15B0352E" w14:textId="77777777">
      <w:r>
        <w:continuationSeparator/>
      </w:r>
    </w:p>
  </w:footnote>
  <w:footnote w:type="continuationNotice" w:id="2">
    <w:p w:rsidR="00747C9A" w14:paraId="06B7F006" w14:textId="77777777"/>
  </w:footnote>
  <w:footnote w:id="3">
    <w:p w:rsidR="00421516" w14:paraId="13875CE5" w14:textId="77777777">
      <w:pPr>
        <w:pStyle w:val="FootnoteText"/>
      </w:pPr>
      <w:r>
        <w:rPr>
          <w:rStyle w:val="FootnoteReference"/>
        </w:rPr>
        <w:footnoteRef/>
      </w:r>
      <w:r>
        <w:t xml:space="preserve"> </w:t>
      </w:r>
      <w:r w:rsidRPr="007E6B04">
        <w:rPr>
          <w:rFonts w:eastAsia="Calibri"/>
        </w:rPr>
        <w:t xml:space="preserve">http://www.bls.gov/oes/current/oes_nat.htm, accessed </w:t>
      </w:r>
      <w:r>
        <w:rPr>
          <w:rFonts w:eastAsia="Calibri"/>
        </w:rPr>
        <w:t>5/1</w:t>
      </w:r>
      <w:r w:rsidRPr="007E6B04">
        <w:rPr>
          <w:rFonts w:eastAsia="Calibri"/>
        </w:rPr>
        <w:t>/</w:t>
      </w:r>
      <w:r>
        <w:rPr>
          <w:rFonts w:eastAsia="Calibri"/>
        </w:rPr>
        <w:t>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E213B91"/>
    <w:multiLevelType w:val="hybridMultilevel"/>
    <w:tmpl w:val="6E8A03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DA635E"/>
    <w:multiLevelType w:val="hybridMultilevel"/>
    <w:tmpl w:val="C3B471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nsid w:val="361C17A5"/>
    <w:multiLevelType w:val="hybridMultilevel"/>
    <w:tmpl w:val="754C83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BE97FA2"/>
    <w:multiLevelType w:val="hybridMultilevel"/>
    <w:tmpl w:val="DA022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E73010"/>
    <w:multiLevelType w:val="hybridMultilevel"/>
    <w:tmpl w:val="09846E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48555CD"/>
    <w:multiLevelType w:val="hybridMultilevel"/>
    <w:tmpl w:val="C9C664BE"/>
    <w:lvl w:ilvl="0">
      <w:start w:val="1"/>
      <w:numFmt w:val="bullet"/>
      <w:lvlText w:val=""/>
      <w:lvlJc w:val="left"/>
      <w:pPr>
        <w:ind w:left="1440" w:hanging="360"/>
      </w:pPr>
      <w:rPr>
        <w:rFonts w:ascii="Symbol" w:hAnsi="Symbol" w:hint="default"/>
      </w:rPr>
    </w:lvl>
    <w:lvl w:ilvl="1">
      <w:start w:val="0"/>
      <w:numFmt w:val="bullet"/>
      <w:lvlText w:val="•"/>
      <w:lvlJc w:val="left"/>
      <w:pPr>
        <w:ind w:left="2520" w:hanging="72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CC574DE"/>
    <w:multiLevelType w:val="hybridMultilevel"/>
    <w:tmpl w:val="6546C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687853">
    <w:abstractNumId w:val="10"/>
  </w:num>
  <w:num w:numId="2" w16cid:durableId="2045786954">
    <w:abstractNumId w:val="3"/>
  </w:num>
  <w:num w:numId="3" w16cid:durableId="1110665398">
    <w:abstractNumId w:val="11"/>
  </w:num>
  <w:num w:numId="4" w16cid:durableId="1601989151">
    <w:abstractNumId w:val="6"/>
  </w:num>
  <w:num w:numId="5" w16cid:durableId="2027829120">
    <w:abstractNumId w:val="13"/>
  </w:num>
  <w:num w:numId="6" w16cid:durableId="1466577849">
    <w:abstractNumId w:val="0"/>
  </w:num>
  <w:num w:numId="7" w16cid:durableId="65300954">
    <w:abstractNumId w:val="4"/>
  </w:num>
  <w:num w:numId="8" w16cid:durableId="601573000">
    <w:abstractNumId w:val="8"/>
  </w:num>
  <w:num w:numId="9" w16cid:durableId="229074059">
    <w:abstractNumId w:val="5"/>
  </w:num>
  <w:num w:numId="10" w16cid:durableId="81723547">
    <w:abstractNumId w:val="9"/>
  </w:num>
  <w:num w:numId="11" w16cid:durableId="2074808182">
    <w:abstractNumId w:val="1"/>
  </w:num>
  <w:num w:numId="12" w16cid:durableId="1246652918">
    <w:abstractNumId w:val="12"/>
  </w:num>
  <w:num w:numId="13" w16cid:durableId="1556353417">
    <w:abstractNumId w:val="2"/>
  </w:num>
  <w:num w:numId="14" w16cid:durableId="1789277950">
    <w:abstractNumId w:val="7"/>
  </w:num>
  <w:num w:numId="15" w16cid:durableId="101059611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569"/>
    <w:rsid w:val="000008BF"/>
    <w:rsid w:val="00005354"/>
    <w:rsid w:val="00005B63"/>
    <w:rsid w:val="000161E3"/>
    <w:rsid w:val="0002243E"/>
    <w:rsid w:val="00031A2C"/>
    <w:rsid w:val="0003774D"/>
    <w:rsid w:val="00040ECC"/>
    <w:rsid w:val="00042B93"/>
    <w:rsid w:val="00043C7F"/>
    <w:rsid w:val="000467A8"/>
    <w:rsid w:val="00060C61"/>
    <w:rsid w:val="000642C1"/>
    <w:rsid w:val="0006570F"/>
    <w:rsid w:val="00072198"/>
    <w:rsid w:val="00072F60"/>
    <w:rsid w:val="00075DE8"/>
    <w:rsid w:val="0008579A"/>
    <w:rsid w:val="00085BEE"/>
    <w:rsid w:val="00087439"/>
    <w:rsid w:val="000907AA"/>
    <w:rsid w:val="00094FE2"/>
    <w:rsid w:val="00096F3F"/>
    <w:rsid w:val="000B2570"/>
    <w:rsid w:val="000B2F6F"/>
    <w:rsid w:val="000B7D76"/>
    <w:rsid w:val="000C003F"/>
    <w:rsid w:val="000C1260"/>
    <w:rsid w:val="000C21A2"/>
    <w:rsid w:val="000C560C"/>
    <w:rsid w:val="000D080B"/>
    <w:rsid w:val="000D48FD"/>
    <w:rsid w:val="000D79CC"/>
    <w:rsid w:val="000E113F"/>
    <w:rsid w:val="000E1C64"/>
    <w:rsid w:val="000E53C7"/>
    <w:rsid w:val="000E669D"/>
    <w:rsid w:val="000F7119"/>
    <w:rsid w:val="00100739"/>
    <w:rsid w:val="0010493E"/>
    <w:rsid w:val="00105994"/>
    <w:rsid w:val="001075D3"/>
    <w:rsid w:val="00107885"/>
    <w:rsid w:val="001100A7"/>
    <w:rsid w:val="00111BB0"/>
    <w:rsid w:val="001129D9"/>
    <w:rsid w:val="001142C8"/>
    <w:rsid w:val="00114FC4"/>
    <w:rsid w:val="001161C1"/>
    <w:rsid w:val="00117258"/>
    <w:rsid w:val="00117D92"/>
    <w:rsid w:val="0012329C"/>
    <w:rsid w:val="001245C0"/>
    <w:rsid w:val="001253B9"/>
    <w:rsid w:val="00130160"/>
    <w:rsid w:val="001303FC"/>
    <w:rsid w:val="00131DA8"/>
    <w:rsid w:val="00134FA7"/>
    <w:rsid w:val="00137950"/>
    <w:rsid w:val="00141F58"/>
    <w:rsid w:val="0014509A"/>
    <w:rsid w:val="00147011"/>
    <w:rsid w:val="00152F29"/>
    <w:rsid w:val="00174B00"/>
    <w:rsid w:val="00174D54"/>
    <w:rsid w:val="00175290"/>
    <w:rsid w:val="00176326"/>
    <w:rsid w:val="0017702C"/>
    <w:rsid w:val="0018196B"/>
    <w:rsid w:val="00183EFF"/>
    <w:rsid w:val="00184700"/>
    <w:rsid w:val="00185270"/>
    <w:rsid w:val="00187E24"/>
    <w:rsid w:val="00194872"/>
    <w:rsid w:val="00194E0A"/>
    <w:rsid w:val="001A0E96"/>
    <w:rsid w:val="001A335B"/>
    <w:rsid w:val="001A3B5A"/>
    <w:rsid w:val="001A3BD3"/>
    <w:rsid w:val="001A458C"/>
    <w:rsid w:val="001A5E8F"/>
    <w:rsid w:val="001B1B38"/>
    <w:rsid w:val="001B4636"/>
    <w:rsid w:val="001B7CE9"/>
    <w:rsid w:val="001C780C"/>
    <w:rsid w:val="001D435C"/>
    <w:rsid w:val="001D4395"/>
    <w:rsid w:val="001D495A"/>
    <w:rsid w:val="001D4ADE"/>
    <w:rsid w:val="001D4F2D"/>
    <w:rsid w:val="001E244C"/>
    <w:rsid w:val="001F1437"/>
    <w:rsid w:val="00206799"/>
    <w:rsid w:val="002074FE"/>
    <w:rsid w:val="00207A15"/>
    <w:rsid w:val="00210039"/>
    <w:rsid w:val="0021223B"/>
    <w:rsid w:val="0022425B"/>
    <w:rsid w:val="00224DAF"/>
    <w:rsid w:val="002259EF"/>
    <w:rsid w:val="00232282"/>
    <w:rsid w:val="002332EC"/>
    <w:rsid w:val="002354F2"/>
    <w:rsid w:val="0023629B"/>
    <w:rsid w:val="00242ED1"/>
    <w:rsid w:val="00243443"/>
    <w:rsid w:val="002444BB"/>
    <w:rsid w:val="00247071"/>
    <w:rsid w:val="00250A40"/>
    <w:rsid w:val="00254069"/>
    <w:rsid w:val="00270748"/>
    <w:rsid w:val="002734E5"/>
    <w:rsid w:val="002746DB"/>
    <w:rsid w:val="00280CAF"/>
    <w:rsid w:val="00282112"/>
    <w:rsid w:val="00282F09"/>
    <w:rsid w:val="00284424"/>
    <w:rsid w:val="00287A17"/>
    <w:rsid w:val="00290D26"/>
    <w:rsid w:val="00291810"/>
    <w:rsid w:val="00294D62"/>
    <w:rsid w:val="00294DDC"/>
    <w:rsid w:val="00297532"/>
    <w:rsid w:val="00297FFD"/>
    <w:rsid w:val="002A1210"/>
    <w:rsid w:val="002A47D2"/>
    <w:rsid w:val="002A7FB5"/>
    <w:rsid w:val="002B2074"/>
    <w:rsid w:val="002B7738"/>
    <w:rsid w:val="002C160B"/>
    <w:rsid w:val="002C3B78"/>
    <w:rsid w:val="002D106A"/>
    <w:rsid w:val="002D14D8"/>
    <w:rsid w:val="002D3284"/>
    <w:rsid w:val="002D32A4"/>
    <w:rsid w:val="002D4799"/>
    <w:rsid w:val="002D63D8"/>
    <w:rsid w:val="002E3FA4"/>
    <w:rsid w:val="002E4539"/>
    <w:rsid w:val="002E53A5"/>
    <w:rsid w:val="002E5517"/>
    <w:rsid w:val="002E64B8"/>
    <w:rsid w:val="002E6834"/>
    <w:rsid w:val="002F67CE"/>
    <w:rsid w:val="002F6C66"/>
    <w:rsid w:val="002F73EB"/>
    <w:rsid w:val="00300BC6"/>
    <w:rsid w:val="00301101"/>
    <w:rsid w:val="00305212"/>
    <w:rsid w:val="00305DB7"/>
    <w:rsid w:val="003113FF"/>
    <w:rsid w:val="00312622"/>
    <w:rsid w:val="0032277F"/>
    <w:rsid w:val="003367C0"/>
    <w:rsid w:val="00336B69"/>
    <w:rsid w:val="0034302B"/>
    <w:rsid w:val="00350523"/>
    <w:rsid w:val="0035189D"/>
    <w:rsid w:val="00352A31"/>
    <w:rsid w:val="00355B62"/>
    <w:rsid w:val="00357C8A"/>
    <w:rsid w:val="00370FEF"/>
    <w:rsid w:val="003740BC"/>
    <w:rsid w:val="0037456B"/>
    <w:rsid w:val="00375A2B"/>
    <w:rsid w:val="003801A3"/>
    <w:rsid w:val="00383D90"/>
    <w:rsid w:val="00384AED"/>
    <w:rsid w:val="003870AE"/>
    <w:rsid w:val="00395542"/>
    <w:rsid w:val="003A1A27"/>
    <w:rsid w:val="003A50CC"/>
    <w:rsid w:val="003A5B15"/>
    <w:rsid w:val="003A7002"/>
    <w:rsid w:val="003B01D0"/>
    <w:rsid w:val="003B36D8"/>
    <w:rsid w:val="003B42B3"/>
    <w:rsid w:val="003B58E8"/>
    <w:rsid w:val="003B6384"/>
    <w:rsid w:val="003C0FE2"/>
    <w:rsid w:val="003C4EBB"/>
    <w:rsid w:val="003D05C6"/>
    <w:rsid w:val="003D1531"/>
    <w:rsid w:val="003D65D3"/>
    <w:rsid w:val="003E342C"/>
    <w:rsid w:val="003E391E"/>
    <w:rsid w:val="003E4EC6"/>
    <w:rsid w:val="003E527E"/>
    <w:rsid w:val="003E553E"/>
    <w:rsid w:val="003E7078"/>
    <w:rsid w:val="003F0022"/>
    <w:rsid w:val="003F2A53"/>
    <w:rsid w:val="003F3DF5"/>
    <w:rsid w:val="003F7142"/>
    <w:rsid w:val="003F73B8"/>
    <w:rsid w:val="00401AF1"/>
    <w:rsid w:val="0040297E"/>
    <w:rsid w:val="00404F92"/>
    <w:rsid w:val="00411D11"/>
    <w:rsid w:val="0041365C"/>
    <w:rsid w:val="00414494"/>
    <w:rsid w:val="00415E23"/>
    <w:rsid w:val="0041670D"/>
    <w:rsid w:val="0041767F"/>
    <w:rsid w:val="00420176"/>
    <w:rsid w:val="00421516"/>
    <w:rsid w:val="00423272"/>
    <w:rsid w:val="00424061"/>
    <w:rsid w:val="00430C46"/>
    <w:rsid w:val="0043594C"/>
    <w:rsid w:val="00436149"/>
    <w:rsid w:val="00436517"/>
    <w:rsid w:val="00440DFE"/>
    <w:rsid w:val="00441F09"/>
    <w:rsid w:val="00442A3C"/>
    <w:rsid w:val="00443969"/>
    <w:rsid w:val="00447D74"/>
    <w:rsid w:val="00450A74"/>
    <w:rsid w:val="00453DA5"/>
    <w:rsid w:val="004546BF"/>
    <w:rsid w:val="00456726"/>
    <w:rsid w:val="0046033D"/>
    <w:rsid w:val="00463717"/>
    <w:rsid w:val="00465350"/>
    <w:rsid w:val="00465C90"/>
    <w:rsid w:val="00465E3E"/>
    <w:rsid w:val="00470EEF"/>
    <w:rsid w:val="004764F0"/>
    <w:rsid w:val="00476B91"/>
    <w:rsid w:val="00484522"/>
    <w:rsid w:val="004846BF"/>
    <w:rsid w:val="00493515"/>
    <w:rsid w:val="00494912"/>
    <w:rsid w:val="00495E21"/>
    <w:rsid w:val="004A5323"/>
    <w:rsid w:val="004A5A99"/>
    <w:rsid w:val="004A7CD1"/>
    <w:rsid w:val="004B1A0C"/>
    <w:rsid w:val="004C6979"/>
    <w:rsid w:val="004D13A2"/>
    <w:rsid w:val="004D231A"/>
    <w:rsid w:val="004D3D28"/>
    <w:rsid w:val="004D3E7A"/>
    <w:rsid w:val="004D41B8"/>
    <w:rsid w:val="004D5347"/>
    <w:rsid w:val="004D6627"/>
    <w:rsid w:val="004E61C2"/>
    <w:rsid w:val="004E621C"/>
    <w:rsid w:val="004F181A"/>
    <w:rsid w:val="004F29F9"/>
    <w:rsid w:val="004F594B"/>
    <w:rsid w:val="004F61E1"/>
    <w:rsid w:val="004F7D94"/>
    <w:rsid w:val="005005A8"/>
    <w:rsid w:val="005006F5"/>
    <w:rsid w:val="00515128"/>
    <w:rsid w:val="00521704"/>
    <w:rsid w:val="0053014E"/>
    <w:rsid w:val="0053321E"/>
    <w:rsid w:val="0053380B"/>
    <w:rsid w:val="00534978"/>
    <w:rsid w:val="005352E6"/>
    <w:rsid w:val="005404D8"/>
    <w:rsid w:val="00540AA2"/>
    <w:rsid w:val="00541F98"/>
    <w:rsid w:val="00543194"/>
    <w:rsid w:val="00544138"/>
    <w:rsid w:val="00550A6B"/>
    <w:rsid w:val="005512BC"/>
    <w:rsid w:val="00554E34"/>
    <w:rsid w:val="00555853"/>
    <w:rsid w:val="00561928"/>
    <w:rsid w:val="00562D3C"/>
    <w:rsid w:val="005713D7"/>
    <w:rsid w:val="00576A90"/>
    <w:rsid w:val="005805D4"/>
    <w:rsid w:val="00584583"/>
    <w:rsid w:val="00590E90"/>
    <w:rsid w:val="00590EEB"/>
    <w:rsid w:val="00592E1C"/>
    <w:rsid w:val="00595333"/>
    <w:rsid w:val="005A0F35"/>
    <w:rsid w:val="005A1935"/>
    <w:rsid w:val="005A29D1"/>
    <w:rsid w:val="005A3B71"/>
    <w:rsid w:val="005A3F28"/>
    <w:rsid w:val="005A4099"/>
    <w:rsid w:val="005A4BA1"/>
    <w:rsid w:val="005B30F4"/>
    <w:rsid w:val="005C38B2"/>
    <w:rsid w:val="005C5029"/>
    <w:rsid w:val="005C55C2"/>
    <w:rsid w:val="005C5E46"/>
    <w:rsid w:val="005C71CA"/>
    <w:rsid w:val="005C745C"/>
    <w:rsid w:val="005C7C23"/>
    <w:rsid w:val="005D0855"/>
    <w:rsid w:val="005D4DF5"/>
    <w:rsid w:val="005D7262"/>
    <w:rsid w:val="005E148D"/>
    <w:rsid w:val="005E42BA"/>
    <w:rsid w:val="005E49B7"/>
    <w:rsid w:val="005E72B3"/>
    <w:rsid w:val="005F371B"/>
    <w:rsid w:val="00600A3F"/>
    <w:rsid w:val="00611046"/>
    <w:rsid w:val="00611D6B"/>
    <w:rsid w:val="00613808"/>
    <w:rsid w:val="00622DBE"/>
    <w:rsid w:val="006239E7"/>
    <w:rsid w:val="00625CFD"/>
    <w:rsid w:val="006326EC"/>
    <w:rsid w:val="00633C08"/>
    <w:rsid w:val="00636E54"/>
    <w:rsid w:val="006405B7"/>
    <w:rsid w:val="00640F32"/>
    <w:rsid w:val="00663A42"/>
    <w:rsid w:val="006641C7"/>
    <w:rsid w:val="00666A21"/>
    <w:rsid w:val="006677EC"/>
    <w:rsid w:val="006705EA"/>
    <w:rsid w:val="00670BE2"/>
    <w:rsid w:val="0067526D"/>
    <w:rsid w:val="006879AD"/>
    <w:rsid w:val="006916D9"/>
    <w:rsid w:val="00695D11"/>
    <w:rsid w:val="006A0E05"/>
    <w:rsid w:val="006A0F60"/>
    <w:rsid w:val="006A135A"/>
    <w:rsid w:val="006A1521"/>
    <w:rsid w:val="006A26C6"/>
    <w:rsid w:val="006A465A"/>
    <w:rsid w:val="006A5A11"/>
    <w:rsid w:val="006A7D5D"/>
    <w:rsid w:val="006B0ED2"/>
    <w:rsid w:val="006B3A96"/>
    <w:rsid w:val="006B57E7"/>
    <w:rsid w:val="006D047C"/>
    <w:rsid w:val="006D0C12"/>
    <w:rsid w:val="006D5D57"/>
    <w:rsid w:val="006D6FA6"/>
    <w:rsid w:val="006E2538"/>
    <w:rsid w:val="006E302F"/>
    <w:rsid w:val="006E56AE"/>
    <w:rsid w:val="006F288C"/>
    <w:rsid w:val="006F45A1"/>
    <w:rsid w:val="006F4D6D"/>
    <w:rsid w:val="00705086"/>
    <w:rsid w:val="007067B4"/>
    <w:rsid w:val="00706E97"/>
    <w:rsid w:val="0071592E"/>
    <w:rsid w:val="00722001"/>
    <w:rsid w:val="00723A6A"/>
    <w:rsid w:val="00725D84"/>
    <w:rsid w:val="00731100"/>
    <w:rsid w:val="00744525"/>
    <w:rsid w:val="0074601F"/>
    <w:rsid w:val="00747C9A"/>
    <w:rsid w:val="00747DB2"/>
    <w:rsid w:val="00747FA8"/>
    <w:rsid w:val="00750DEA"/>
    <w:rsid w:val="00751D2B"/>
    <w:rsid w:val="00751E66"/>
    <w:rsid w:val="00754497"/>
    <w:rsid w:val="00754B2E"/>
    <w:rsid w:val="00763E1B"/>
    <w:rsid w:val="00766000"/>
    <w:rsid w:val="00773201"/>
    <w:rsid w:val="007732B0"/>
    <w:rsid w:val="0078198B"/>
    <w:rsid w:val="007865E6"/>
    <w:rsid w:val="00787184"/>
    <w:rsid w:val="00787A9A"/>
    <w:rsid w:val="00787C39"/>
    <w:rsid w:val="00792947"/>
    <w:rsid w:val="00792A62"/>
    <w:rsid w:val="00795DF3"/>
    <w:rsid w:val="007A2AC7"/>
    <w:rsid w:val="007A373C"/>
    <w:rsid w:val="007A5801"/>
    <w:rsid w:val="007B225C"/>
    <w:rsid w:val="007B2BCF"/>
    <w:rsid w:val="007C6631"/>
    <w:rsid w:val="007C75B1"/>
    <w:rsid w:val="007D126A"/>
    <w:rsid w:val="007D3DFC"/>
    <w:rsid w:val="007D3EC5"/>
    <w:rsid w:val="007E1509"/>
    <w:rsid w:val="007E2F07"/>
    <w:rsid w:val="007E59A8"/>
    <w:rsid w:val="007E6B04"/>
    <w:rsid w:val="007F2542"/>
    <w:rsid w:val="007F2C4B"/>
    <w:rsid w:val="007F2C97"/>
    <w:rsid w:val="0080776D"/>
    <w:rsid w:val="00810145"/>
    <w:rsid w:val="008108FA"/>
    <w:rsid w:val="00810FF1"/>
    <w:rsid w:val="008153DF"/>
    <w:rsid w:val="00822336"/>
    <w:rsid w:val="00823DFA"/>
    <w:rsid w:val="00824DE0"/>
    <w:rsid w:val="00842DB7"/>
    <w:rsid w:val="00843752"/>
    <w:rsid w:val="0084479F"/>
    <w:rsid w:val="00847F15"/>
    <w:rsid w:val="00850B74"/>
    <w:rsid w:val="00852209"/>
    <w:rsid w:val="00852ED0"/>
    <w:rsid w:val="008546AE"/>
    <w:rsid w:val="008563E4"/>
    <w:rsid w:val="0085725E"/>
    <w:rsid w:val="00862A47"/>
    <w:rsid w:val="008634D2"/>
    <w:rsid w:val="00865AE8"/>
    <w:rsid w:val="00873D4F"/>
    <w:rsid w:val="0087509F"/>
    <w:rsid w:val="00885B09"/>
    <w:rsid w:val="008863E4"/>
    <w:rsid w:val="00886605"/>
    <w:rsid w:val="008867E1"/>
    <w:rsid w:val="008921EC"/>
    <w:rsid w:val="00892400"/>
    <w:rsid w:val="00897498"/>
    <w:rsid w:val="008A209D"/>
    <w:rsid w:val="008A22BB"/>
    <w:rsid w:val="008B035D"/>
    <w:rsid w:val="008B0DAC"/>
    <w:rsid w:val="008B0E29"/>
    <w:rsid w:val="008B0EFA"/>
    <w:rsid w:val="008B30AB"/>
    <w:rsid w:val="008B6FD4"/>
    <w:rsid w:val="008C24E4"/>
    <w:rsid w:val="008C3BB8"/>
    <w:rsid w:val="008C4B65"/>
    <w:rsid w:val="008D5595"/>
    <w:rsid w:val="008D5C5F"/>
    <w:rsid w:val="008E5F55"/>
    <w:rsid w:val="008E726C"/>
    <w:rsid w:val="008F3AF9"/>
    <w:rsid w:val="009009E7"/>
    <w:rsid w:val="00903004"/>
    <w:rsid w:val="009038D8"/>
    <w:rsid w:val="00905DEF"/>
    <w:rsid w:val="00906056"/>
    <w:rsid w:val="00906F56"/>
    <w:rsid w:val="0091016B"/>
    <w:rsid w:val="009122AE"/>
    <w:rsid w:val="00913B43"/>
    <w:rsid w:val="009265B8"/>
    <w:rsid w:val="00930203"/>
    <w:rsid w:val="009311D2"/>
    <w:rsid w:val="009311E6"/>
    <w:rsid w:val="00931275"/>
    <w:rsid w:val="00931DE9"/>
    <w:rsid w:val="009339D7"/>
    <w:rsid w:val="00936538"/>
    <w:rsid w:val="00936AC7"/>
    <w:rsid w:val="009407C7"/>
    <w:rsid w:val="009414DE"/>
    <w:rsid w:val="00943238"/>
    <w:rsid w:val="0094432C"/>
    <w:rsid w:val="00944983"/>
    <w:rsid w:val="0094526B"/>
    <w:rsid w:val="00947761"/>
    <w:rsid w:val="00952AA2"/>
    <w:rsid w:val="00952E39"/>
    <w:rsid w:val="00953B64"/>
    <w:rsid w:val="00956FD0"/>
    <w:rsid w:val="00962B54"/>
    <w:rsid w:val="00962F47"/>
    <w:rsid w:val="009646A7"/>
    <w:rsid w:val="00970A88"/>
    <w:rsid w:val="009818A1"/>
    <w:rsid w:val="00985A11"/>
    <w:rsid w:val="009865EA"/>
    <w:rsid w:val="009A1674"/>
    <w:rsid w:val="009B2483"/>
    <w:rsid w:val="009B38BE"/>
    <w:rsid w:val="009B4DF2"/>
    <w:rsid w:val="009B5490"/>
    <w:rsid w:val="009B778C"/>
    <w:rsid w:val="009C399F"/>
    <w:rsid w:val="009C5816"/>
    <w:rsid w:val="009C684F"/>
    <w:rsid w:val="009D074C"/>
    <w:rsid w:val="009D1822"/>
    <w:rsid w:val="009D6E73"/>
    <w:rsid w:val="009D7DF2"/>
    <w:rsid w:val="009E0C8F"/>
    <w:rsid w:val="009E43E5"/>
    <w:rsid w:val="009F1F1D"/>
    <w:rsid w:val="009F2B4F"/>
    <w:rsid w:val="009F3C63"/>
    <w:rsid w:val="009F66B5"/>
    <w:rsid w:val="00A02F10"/>
    <w:rsid w:val="00A05005"/>
    <w:rsid w:val="00A0530B"/>
    <w:rsid w:val="00A05DF5"/>
    <w:rsid w:val="00A1060C"/>
    <w:rsid w:val="00A16221"/>
    <w:rsid w:val="00A20A7D"/>
    <w:rsid w:val="00A264EA"/>
    <w:rsid w:val="00A27892"/>
    <w:rsid w:val="00A35D42"/>
    <w:rsid w:val="00A401EB"/>
    <w:rsid w:val="00A433AA"/>
    <w:rsid w:val="00A43D1B"/>
    <w:rsid w:val="00A4561D"/>
    <w:rsid w:val="00A46CCF"/>
    <w:rsid w:val="00A506DE"/>
    <w:rsid w:val="00A53451"/>
    <w:rsid w:val="00A551EB"/>
    <w:rsid w:val="00A62209"/>
    <w:rsid w:val="00A6570B"/>
    <w:rsid w:val="00A67BFB"/>
    <w:rsid w:val="00A70426"/>
    <w:rsid w:val="00A707CC"/>
    <w:rsid w:val="00A71410"/>
    <w:rsid w:val="00A72DA2"/>
    <w:rsid w:val="00A850D4"/>
    <w:rsid w:val="00A91E9A"/>
    <w:rsid w:val="00A937A1"/>
    <w:rsid w:val="00A93ED9"/>
    <w:rsid w:val="00A96221"/>
    <w:rsid w:val="00AA2714"/>
    <w:rsid w:val="00AA29A4"/>
    <w:rsid w:val="00AA351C"/>
    <w:rsid w:val="00AA6619"/>
    <w:rsid w:val="00AA7EBF"/>
    <w:rsid w:val="00AC2DBB"/>
    <w:rsid w:val="00AC5082"/>
    <w:rsid w:val="00AC6A99"/>
    <w:rsid w:val="00AD4095"/>
    <w:rsid w:val="00AD4769"/>
    <w:rsid w:val="00AD6048"/>
    <w:rsid w:val="00AF0A45"/>
    <w:rsid w:val="00AF4950"/>
    <w:rsid w:val="00AF64FB"/>
    <w:rsid w:val="00B055EF"/>
    <w:rsid w:val="00B06B5B"/>
    <w:rsid w:val="00B23769"/>
    <w:rsid w:val="00B31EE6"/>
    <w:rsid w:val="00B326D1"/>
    <w:rsid w:val="00B32B5D"/>
    <w:rsid w:val="00B40E42"/>
    <w:rsid w:val="00B41789"/>
    <w:rsid w:val="00B457AE"/>
    <w:rsid w:val="00B45FF4"/>
    <w:rsid w:val="00B50839"/>
    <w:rsid w:val="00B52593"/>
    <w:rsid w:val="00B54381"/>
    <w:rsid w:val="00B6776D"/>
    <w:rsid w:val="00B727FD"/>
    <w:rsid w:val="00B73212"/>
    <w:rsid w:val="00B8157B"/>
    <w:rsid w:val="00B81808"/>
    <w:rsid w:val="00B86DFA"/>
    <w:rsid w:val="00B936D0"/>
    <w:rsid w:val="00BA1B7D"/>
    <w:rsid w:val="00BA247C"/>
    <w:rsid w:val="00BA69BC"/>
    <w:rsid w:val="00BB15FB"/>
    <w:rsid w:val="00BB2C48"/>
    <w:rsid w:val="00BB46BD"/>
    <w:rsid w:val="00BB7579"/>
    <w:rsid w:val="00BC5D41"/>
    <w:rsid w:val="00BD279A"/>
    <w:rsid w:val="00BD3D5B"/>
    <w:rsid w:val="00BD478F"/>
    <w:rsid w:val="00BD5672"/>
    <w:rsid w:val="00BE3600"/>
    <w:rsid w:val="00BF0037"/>
    <w:rsid w:val="00BF105A"/>
    <w:rsid w:val="00BF36CA"/>
    <w:rsid w:val="00C01F6F"/>
    <w:rsid w:val="00C03412"/>
    <w:rsid w:val="00C041EA"/>
    <w:rsid w:val="00C07389"/>
    <w:rsid w:val="00C13BBD"/>
    <w:rsid w:val="00C13EDE"/>
    <w:rsid w:val="00C149AB"/>
    <w:rsid w:val="00C149B9"/>
    <w:rsid w:val="00C14C71"/>
    <w:rsid w:val="00C14D3A"/>
    <w:rsid w:val="00C15EFA"/>
    <w:rsid w:val="00C16929"/>
    <w:rsid w:val="00C204D7"/>
    <w:rsid w:val="00C20690"/>
    <w:rsid w:val="00C35346"/>
    <w:rsid w:val="00C36020"/>
    <w:rsid w:val="00C37D17"/>
    <w:rsid w:val="00C40694"/>
    <w:rsid w:val="00C40A0D"/>
    <w:rsid w:val="00C4166C"/>
    <w:rsid w:val="00C4204A"/>
    <w:rsid w:val="00C47659"/>
    <w:rsid w:val="00C479BF"/>
    <w:rsid w:val="00C5124B"/>
    <w:rsid w:val="00C602C2"/>
    <w:rsid w:val="00C647A4"/>
    <w:rsid w:val="00C70542"/>
    <w:rsid w:val="00C73048"/>
    <w:rsid w:val="00C75CBF"/>
    <w:rsid w:val="00C75DC3"/>
    <w:rsid w:val="00C92297"/>
    <w:rsid w:val="00C92498"/>
    <w:rsid w:val="00CA3BDA"/>
    <w:rsid w:val="00CA6232"/>
    <w:rsid w:val="00CC2894"/>
    <w:rsid w:val="00CC480D"/>
    <w:rsid w:val="00CD1FDE"/>
    <w:rsid w:val="00CD77C3"/>
    <w:rsid w:val="00CE01AE"/>
    <w:rsid w:val="00CE112C"/>
    <w:rsid w:val="00CE27E3"/>
    <w:rsid w:val="00CE2BE9"/>
    <w:rsid w:val="00CE5FCD"/>
    <w:rsid w:val="00CE76F0"/>
    <w:rsid w:val="00CF0C4A"/>
    <w:rsid w:val="00CF0DD0"/>
    <w:rsid w:val="00CF26AE"/>
    <w:rsid w:val="00CF55D4"/>
    <w:rsid w:val="00CF743E"/>
    <w:rsid w:val="00D02303"/>
    <w:rsid w:val="00D0402C"/>
    <w:rsid w:val="00D17B6E"/>
    <w:rsid w:val="00D42296"/>
    <w:rsid w:val="00D4501D"/>
    <w:rsid w:val="00D51BA7"/>
    <w:rsid w:val="00D54B89"/>
    <w:rsid w:val="00D6048D"/>
    <w:rsid w:val="00D608DA"/>
    <w:rsid w:val="00D61836"/>
    <w:rsid w:val="00D730BF"/>
    <w:rsid w:val="00D77313"/>
    <w:rsid w:val="00D852F4"/>
    <w:rsid w:val="00D86C25"/>
    <w:rsid w:val="00D8730F"/>
    <w:rsid w:val="00D92EE3"/>
    <w:rsid w:val="00D97C7E"/>
    <w:rsid w:val="00DA23B3"/>
    <w:rsid w:val="00DA5E3B"/>
    <w:rsid w:val="00DB1110"/>
    <w:rsid w:val="00DB1B94"/>
    <w:rsid w:val="00DB3730"/>
    <w:rsid w:val="00DC1543"/>
    <w:rsid w:val="00DC2F33"/>
    <w:rsid w:val="00DC371B"/>
    <w:rsid w:val="00DC3788"/>
    <w:rsid w:val="00DC59A8"/>
    <w:rsid w:val="00DC76C7"/>
    <w:rsid w:val="00DD09F5"/>
    <w:rsid w:val="00DD0E02"/>
    <w:rsid w:val="00DD4201"/>
    <w:rsid w:val="00DD5E9F"/>
    <w:rsid w:val="00DE12AB"/>
    <w:rsid w:val="00DE5711"/>
    <w:rsid w:val="00DE61B0"/>
    <w:rsid w:val="00DF5246"/>
    <w:rsid w:val="00E00EA0"/>
    <w:rsid w:val="00E021CB"/>
    <w:rsid w:val="00E03D59"/>
    <w:rsid w:val="00E067A0"/>
    <w:rsid w:val="00E138F1"/>
    <w:rsid w:val="00E169C1"/>
    <w:rsid w:val="00E2309D"/>
    <w:rsid w:val="00E26758"/>
    <w:rsid w:val="00E3426D"/>
    <w:rsid w:val="00E372EC"/>
    <w:rsid w:val="00E42742"/>
    <w:rsid w:val="00E4357B"/>
    <w:rsid w:val="00E443A7"/>
    <w:rsid w:val="00E45904"/>
    <w:rsid w:val="00E467C3"/>
    <w:rsid w:val="00E52323"/>
    <w:rsid w:val="00E52E84"/>
    <w:rsid w:val="00E63DE5"/>
    <w:rsid w:val="00E647AF"/>
    <w:rsid w:val="00E647C7"/>
    <w:rsid w:val="00E65A37"/>
    <w:rsid w:val="00E65EF7"/>
    <w:rsid w:val="00E70090"/>
    <w:rsid w:val="00E71608"/>
    <w:rsid w:val="00E71760"/>
    <w:rsid w:val="00E73E74"/>
    <w:rsid w:val="00E77B48"/>
    <w:rsid w:val="00E80E75"/>
    <w:rsid w:val="00E82068"/>
    <w:rsid w:val="00E82E95"/>
    <w:rsid w:val="00E83349"/>
    <w:rsid w:val="00E83E39"/>
    <w:rsid w:val="00E857FB"/>
    <w:rsid w:val="00E864C5"/>
    <w:rsid w:val="00E91799"/>
    <w:rsid w:val="00E9670B"/>
    <w:rsid w:val="00E97DF8"/>
    <w:rsid w:val="00EA11E3"/>
    <w:rsid w:val="00EA16B5"/>
    <w:rsid w:val="00EA21FE"/>
    <w:rsid w:val="00EA34E3"/>
    <w:rsid w:val="00EB4E5D"/>
    <w:rsid w:val="00EB5096"/>
    <w:rsid w:val="00EB7535"/>
    <w:rsid w:val="00EB7538"/>
    <w:rsid w:val="00EC00EF"/>
    <w:rsid w:val="00EC1868"/>
    <w:rsid w:val="00ED2037"/>
    <w:rsid w:val="00ED4608"/>
    <w:rsid w:val="00ED7D19"/>
    <w:rsid w:val="00EE16C6"/>
    <w:rsid w:val="00EE6468"/>
    <w:rsid w:val="00EF2674"/>
    <w:rsid w:val="00F00E32"/>
    <w:rsid w:val="00F064DA"/>
    <w:rsid w:val="00F06A7B"/>
    <w:rsid w:val="00F109D2"/>
    <w:rsid w:val="00F1299B"/>
    <w:rsid w:val="00F1488C"/>
    <w:rsid w:val="00F16A11"/>
    <w:rsid w:val="00F207A4"/>
    <w:rsid w:val="00F22D87"/>
    <w:rsid w:val="00F230CF"/>
    <w:rsid w:val="00F25173"/>
    <w:rsid w:val="00F30E37"/>
    <w:rsid w:val="00F355AC"/>
    <w:rsid w:val="00F40CF7"/>
    <w:rsid w:val="00F415F0"/>
    <w:rsid w:val="00F4301F"/>
    <w:rsid w:val="00F440D8"/>
    <w:rsid w:val="00F44194"/>
    <w:rsid w:val="00F55C93"/>
    <w:rsid w:val="00F55CB9"/>
    <w:rsid w:val="00F579D3"/>
    <w:rsid w:val="00F71A5A"/>
    <w:rsid w:val="00F73A1A"/>
    <w:rsid w:val="00F74714"/>
    <w:rsid w:val="00F769E0"/>
    <w:rsid w:val="00F84F57"/>
    <w:rsid w:val="00F85A1D"/>
    <w:rsid w:val="00F909FC"/>
    <w:rsid w:val="00F92197"/>
    <w:rsid w:val="00F930AC"/>
    <w:rsid w:val="00FA1412"/>
    <w:rsid w:val="00FA32DA"/>
    <w:rsid w:val="00FA4A46"/>
    <w:rsid w:val="00FA661D"/>
    <w:rsid w:val="00FA75FE"/>
    <w:rsid w:val="00FB1032"/>
    <w:rsid w:val="00FB1FCB"/>
    <w:rsid w:val="00FB39BC"/>
    <w:rsid w:val="00FB62C4"/>
    <w:rsid w:val="00FB6A53"/>
    <w:rsid w:val="00FC11CA"/>
    <w:rsid w:val="00FC6BDE"/>
    <w:rsid w:val="00FD05FB"/>
    <w:rsid w:val="00FD13ED"/>
    <w:rsid w:val="00FD241A"/>
    <w:rsid w:val="00FD4FF7"/>
    <w:rsid w:val="00FD722B"/>
    <w:rsid w:val="00FE0303"/>
    <w:rsid w:val="00FF5898"/>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5BD7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rsid w:val="003C0FE2"/>
    <w:pPr>
      <w:tabs>
        <w:tab w:val="center" w:pos="4680"/>
        <w:tab w:val="right" w:pos="9360"/>
      </w:tabs>
    </w:pPr>
  </w:style>
  <w:style w:type="character" w:customStyle="1" w:styleId="HeaderChar">
    <w:name w:val="Header Char"/>
    <w:link w:val="Header"/>
    <w:rsid w:val="003C0FE2"/>
    <w:rPr>
      <w:sz w:val="24"/>
      <w:szCs w:val="24"/>
    </w:rPr>
  </w:style>
  <w:style w:type="character" w:styleId="CommentReference">
    <w:name w:val="annotation reference"/>
    <w:uiPriority w:val="99"/>
    <w:rsid w:val="008867E1"/>
    <w:rPr>
      <w:sz w:val="16"/>
      <w:szCs w:val="16"/>
    </w:rPr>
  </w:style>
  <w:style w:type="paragraph" w:styleId="CommentText">
    <w:name w:val="annotation text"/>
    <w:basedOn w:val="Normal"/>
    <w:link w:val="CommentTextChar"/>
    <w:rsid w:val="008867E1"/>
    <w:rPr>
      <w:sz w:val="20"/>
      <w:szCs w:val="20"/>
    </w:rPr>
  </w:style>
  <w:style w:type="character" w:customStyle="1" w:styleId="CommentTextChar">
    <w:name w:val="Comment Text Char"/>
    <w:basedOn w:val="DefaultParagraphFont"/>
    <w:link w:val="CommentText"/>
    <w:rsid w:val="008867E1"/>
  </w:style>
  <w:style w:type="paragraph" w:styleId="CommentSubject">
    <w:name w:val="annotation subject"/>
    <w:basedOn w:val="CommentText"/>
    <w:next w:val="CommentText"/>
    <w:link w:val="CommentSubjectChar"/>
    <w:rsid w:val="008867E1"/>
    <w:rPr>
      <w:b/>
      <w:bCs/>
    </w:rPr>
  </w:style>
  <w:style w:type="character" w:customStyle="1" w:styleId="CommentSubjectChar">
    <w:name w:val="Comment Subject Char"/>
    <w:link w:val="CommentSubject"/>
    <w:rsid w:val="008867E1"/>
    <w:rPr>
      <w:b/>
      <w:bCs/>
    </w:rPr>
  </w:style>
  <w:style w:type="paragraph" w:styleId="FootnoteText">
    <w:name w:val="footnote text"/>
    <w:basedOn w:val="Normal"/>
    <w:link w:val="FootnoteTextChar"/>
    <w:rsid w:val="00384AED"/>
    <w:rPr>
      <w:sz w:val="20"/>
      <w:szCs w:val="20"/>
    </w:rPr>
  </w:style>
  <w:style w:type="character" w:customStyle="1" w:styleId="FootnoteTextChar">
    <w:name w:val="Footnote Text Char"/>
    <w:basedOn w:val="DefaultParagraphFont"/>
    <w:link w:val="FootnoteText"/>
    <w:rsid w:val="00384AED"/>
  </w:style>
  <w:style w:type="character" w:styleId="FootnoteReference">
    <w:name w:val="footnote reference"/>
    <w:rsid w:val="00384AED"/>
    <w:rPr>
      <w:vertAlign w:val="superscript"/>
    </w:rPr>
  </w:style>
  <w:style w:type="paragraph" w:styleId="Revision">
    <w:name w:val="Revision"/>
    <w:hidden/>
    <w:uiPriority w:val="99"/>
    <w:semiHidden/>
    <w:rsid w:val="005E72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a.gov/MedicalDevices/DeviceRegulationandGuidance/Standards/ucm123792.htm" TargetMode="External" /><Relationship Id="rId7" Type="http://schemas.openxmlformats.org/officeDocument/2006/relationships/hyperlink" Target="https://www.fda.gov/medical-devices/how-study-and-market-your-device/voluntary-estar-program" TargetMode="External" /><Relationship Id="rId8" Type="http://schemas.openxmlformats.org/officeDocument/2006/relationships/hyperlink" Target="https://www.fda.gov/media/157074/download" TargetMode="External" /><Relationship Id="rId9" Type="http://schemas.openxmlformats.org/officeDocument/2006/relationships/hyperlink" Target="file:///C:\Users\DHC\AppData\Local\Microsoft\Windows\INetCache\Content.Outlook\XEFAEWJD\www.reginf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5CD55-6912-4EE3-8EBB-30AB2CBE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2688</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2023-06-29T20:13:00Z</dcterms:created>
  <dcterms:modified xsi:type="dcterms:W3CDTF">2023-06-29T20:14:00Z</dcterms:modified>
</cp:coreProperties>
</file>