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2A9AB" w14:textId="2000A6A4" w:rsidR="00C479FF" w:rsidRPr="00D770E6" w:rsidRDefault="00C479FF" w:rsidP="00F45526">
      <w:pPr>
        <w:widowControl w:val="0"/>
        <w:tabs>
          <w:tab w:val="left" w:pos="4410"/>
          <w:tab w:val="left" w:pos="7020"/>
          <w:tab w:val="left" w:pos="8730"/>
        </w:tabs>
        <w:ind w:left="0" w:right="0"/>
        <w:jc w:val="center"/>
        <w:rPr>
          <w:b/>
          <w:sz w:val="56"/>
          <w:szCs w:val="56"/>
        </w:rPr>
      </w:pPr>
      <w:bookmarkStart w:id="0" w:name="_Toc479321895"/>
      <w:bookmarkStart w:id="1" w:name="_Toc418419347"/>
      <w:bookmarkStart w:id="2" w:name="_Toc411310361"/>
      <w:bookmarkStart w:id="3" w:name="_GoBack"/>
      <w:bookmarkEnd w:id="3"/>
      <w:r>
        <w:rPr>
          <w:b/>
          <w:sz w:val="56"/>
          <w:szCs w:val="56"/>
        </w:rPr>
        <w:t>Recognition and Withdrawal of Voluntary Consensus Standards</w:t>
      </w:r>
      <w:bookmarkEnd w:id="0"/>
    </w:p>
    <w:p w14:paraId="3D188E0E" w14:textId="6C330ACB" w:rsidR="00C479FF" w:rsidRPr="00AC4462" w:rsidRDefault="00C479FF" w:rsidP="00C479FF">
      <w:pPr>
        <w:widowControl w:val="0"/>
        <w:pBdr>
          <w:bottom w:val="single" w:sz="4" w:space="1" w:color="auto"/>
        </w:pBdr>
        <w:tabs>
          <w:tab w:val="left" w:pos="4410"/>
          <w:tab w:val="left" w:pos="7020"/>
        </w:tabs>
        <w:jc w:val="center"/>
      </w:pPr>
    </w:p>
    <w:p w14:paraId="720E901E" w14:textId="7A3A8B2F" w:rsidR="00C479FF" w:rsidRPr="00D770E6" w:rsidRDefault="00C479FF" w:rsidP="00F45526">
      <w:pPr>
        <w:widowControl w:val="0"/>
        <w:tabs>
          <w:tab w:val="left" w:pos="4410"/>
          <w:tab w:val="left" w:pos="7020"/>
        </w:tabs>
        <w:ind w:left="0" w:right="0"/>
        <w:jc w:val="center"/>
        <w:rPr>
          <w:b/>
          <w:sz w:val="56"/>
          <w:szCs w:val="56"/>
        </w:rPr>
      </w:pPr>
      <w:r w:rsidRPr="00D770E6">
        <w:rPr>
          <w:b/>
          <w:sz w:val="56"/>
          <w:szCs w:val="56"/>
        </w:rPr>
        <w:t xml:space="preserve">Guidance for Industry and </w:t>
      </w:r>
    </w:p>
    <w:p w14:paraId="33BBB15B" w14:textId="77777777" w:rsidR="00C479FF" w:rsidRPr="00D770E6" w:rsidRDefault="00C479FF" w:rsidP="00F45526">
      <w:pPr>
        <w:widowControl w:val="0"/>
        <w:tabs>
          <w:tab w:val="left" w:pos="4410"/>
          <w:tab w:val="left" w:pos="7020"/>
        </w:tabs>
        <w:ind w:left="0" w:right="0"/>
        <w:jc w:val="center"/>
        <w:rPr>
          <w:b/>
          <w:sz w:val="56"/>
          <w:szCs w:val="56"/>
        </w:rPr>
      </w:pPr>
      <w:r w:rsidRPr="00D770E6">
        <w:rPr>
          <w:b/>
          <w:sz w:val="56"/>
          <w:szCs w:val="56"/>
        </w:rPr>
        <w:t xml:space="preserve">Food and Drug Administration Staff </w:t>
      </w:r>
    </w:p>
    <w:p w14:paraId="6B0694BF" w14:textId="48B74328" w:rsidR="00257F75" w:rsidRPr="005D26AD" w:rsidRDefault="00AA667B" w:rsidP="00235A98">
      <w:pPr>
        <w:spacing w:after="172" w:line="259" w:lineRule="auto"/>
        <w:ind w:left="24" w:right="0"/>
        <w:jc w:val="center"/>
        <w:rPr>
          <w:b/>
          <w:sz w:val="28"/>
        </w:rPr>
      </w:pPr>
      <w:r w:rsidRPr="005D26AD">
        <w:rPr>
          <w:b/>
          <w:sz w:val="28"/>
        </w:rPr>
        <w:t xml:space="preserve">Document issued on </w:t>
      </w:r>
      <w:r w:rsidR="00E762C3" w:rsidRPr="005D26AD">
        <w:rPr>
          <w:b/>
          <w:sz w:val="28"/>
        </w:rPr>
        <w:t>[insert publication date of FR Notice]</w:t>
      </w:r>
      <w:r w:rsidRPr="005D26AD">
        <w:rPr>
          <w:b/>
          <w:sz w:val="28"/>
        </w:rPr>
        <w:t xml:space="preserve">.  </w:t>
      </w:r>
    </w:p>
    <w:p w14:paraId="2D18B42B" w14:textId="555A4B31" w:rsidR="003250D1" w:rsidRDefault="003250D1" w:rsidP="003250D1">
      <w:pPr>
        <w:ind w:left="0" w:right="0"/>
        <w:jc w:val="center"/>
        <w:rPr>
          <w:b/>
          <w:sz w:val="28"/>
        </w:rPr>
      </w:pPr>
      <w:r w:rsidRPr="00D770E6">
        <w:rPr>
          <w:b/>
          <w:sz w:val="28"/>
        </w:rPr>
        <w:t xml:space="preserve">The draft of this document was issued on </w:t>
      </w:r>
      <w:r w:rsidR="00C479FF">
        <w:rPr>
          <w:b/>
          <w:sz w:val="28"/>
        </w:rPr>
        <w:t>September 14, 2018</w:t>
      </w:r>
      <w:r w:rsidRPr="00D770E6">
        <w:rPr>
          <w:b/>
          <w:sz w:val="28"/>
        </w:rPr>
        <w:t>.</w:t>
      </w:r>
    </w:p>
    <w:p w14:paraId="3D334E92" w14:textId="56C8688E" w:rsidR="003250D1" w:rsidRPr="00157ADE" w:rsidRDefault="003250D1" w:rsidP="00157ADE">
      <w:pPr>
        <w:ind w:left="0" w:right="0"/>
        <w:jc w:val="center"/>
        <w:rPr>
          <w:b/>
          <w:sz w:val="28"/>
        </w:rPr>
      </w:pPr>
    </w:p>
    <w:p w14:paraId="394A0724" w14:textId="5C7C0CC2" w:rsidR="003250D1" w:rsidRDefault="003250D1" w:rsidP="003250D1">
      <w:pPr>
        <w:ind w:left="0" w:right="0"/>
        <w:jc w:val="center"/>
        <w:rPr>
          <w:b/>
          <w:sz w:val="28"/>
        </w:rPr>
      </w:pPr>
      <w:r w:rsidRPr="00D770E6">
        <w:rPr>
          <w:b/>
          <w:sz w:val="28"/>
        </w:rPr>
        <w:t xml:space="preserve">This document supersedes </w:t>
      </w:r>
      <w:r>
        <w:rPr>
          <w:b/>
          <w:sz w:val="28"/>
        </w:rPr>
        <w:t>“</w:t>
      </w:r>
      <w:bookmarkStart w:id="4" w:name="_Hlk9344670"/>
      <w:r>
        <w:rPr>
          <w:b/>
          <w:sz w:val="28"/>
        </w:rPr>
        <w:t>CDRH Standard Operating Procedures for the Identification and Evaluation of Candidate Consensus Standard for Recognition,” issued on September 17, 2007</w:t>
      </w:r>
      <w:bookmarkEnd w:id="4"/>
      <w:r>
        <w:rPr>
          <w:b/>
          <w:sz w:val="28"/>
        </w:rPr>
        <w:t>.</w:t>
      </w:r>
    </w:p>
    <w:p w14:paraId="691C1825" w14:textId="401A8AF2" w:rsidR="00C479FF" w:rsidRDefault="00C479FF" w:rsidP="003250D1">
      <w:pPr>
        <w:ind w:left="0" w:right="0"/>
        <w:jc w:val="center"/>
        <w:rPr>
          <w:b/>
          <w:sz w:val="28"/>
        </w:rPr>
      </w:pPr>
    </w:p>
    <w:p w14:paraId="55514320" w14:textId="052543DA" w:rsidR="00087212" w:rsidRDefault="00087212" w:rsidP="003250D1">
      <w:pPr>
        <w:ind w:left="0" w:right="0"/>
        <w:jc w:val="center"/>
        <w:rPr>
          <w:b/>
          <w:sz w:val="28"/>
        </w:rPr>
      </w:pPr>
      <w:r>
        <w:rPr>
          <w:noProof/>
        </w:rPr>
        <mc:AlternateContent>
          <mc:Choice Requires="wps">
            <w:drawing>
              <wp:inline distT="0" distB="0" distL="0" distR="0" wp14:anchorId="67885CC7" wp14:editId="222311B9">
                <wp:extent cx="5486400" cy="914400"/>
                <wp:effectExtent l="0" t="0" r="19050" b="19050"/>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solidFill>
                          <a:srgbClr val="FFFFFF"/>
                        </a:solidFill>
                        <a:ln w="9525">
                          <a:solidFill>
                            <a:srgbClr val="000000"/>
                          </a:solidFill>
                          <a:miter lim="800000"/>
                          <a:headEnd/>
                          <a:tailEnd/>
                        </a:ln>
                      </wps:spPr>
                      <wps:txbx>
                        <w:txbxContent>
                          <w:p w14:paraId="0710B57E" w14:textId="77777777" w:rsidR="00284217" w:rsidRDefault="00284217" w:rsidP="00087212">
                            <w:r w:rsidRPr="00455048">
                              <w:t xml:space="preserve">An </w:t>
                            </w:r>
                            <w:r>
                              <w:t>a</w:t>
                            </w:r>
                            <w:r w:rsidRPr="00455048">
                              <w:t>gency may not conduct or sponsor, and a person is not required to respond to, a collection of information unless it displays a currently valid OMB control number. The OMB control number for this information collection is 0910-xxxx (expires xx-xx-</w:t>
                            </w:r>
                            <w:proofErr w:type="spellStart"/>
                            <w:r w:rsidRPr="00455048">
                              <w:t>xxxx</w:t>
                            </w:r>
                            <w:proofErr w:type="spellEnd"/>
                            <w:r w:rsidRPr="00455048">
                              <w:t>).</w:t>
                            </w:r>
                          </w:p>
                          <w:p w14:paraId="270F5B7F" w14:textId="77777777" w:rsidR="00284217" w:rsidRDefault="00284217" w:rsidP="00087212"/>
                          <w:p w14:paraId="1335DDDF" w14:textId="77777777" w:rsidR="00284217" w:rsidRDefault="00284217" w:rsidP="00087212"/>
                        </w:txbxContent>
                      </wps:txbx>
                      <wps:bodyPr rot="0" vert="horz" wrap="square" lIns="91440" tIns="45720" rIns="91440" bIns="45720" anchor="t" anchorCtr="0" upright="1">
                        <a:noAutofit/>
                      </wps:bodyPr>
                    </wps:wsp>
                  </a:graphicData>
                </a:graphic>
              </wp:inline>
            </w:drawing>
          </mc:Choice>
          <mc:Fallback>
            <w:pict>
              <v:shapetype w14:anchorId="67885CC7" id="_x0000_t202" coordsize="21600,21600" o:spt="202" path="m,l,21600r21600,l21600,xe">
                <v:stroke joinstyle="miter"/>
                <v:path gradientshapeok="t" o:connecttype="rect"/>
              </v:shapetype>
              <v:shape id="Text Box 5" o:spid="_x0000_s1026" type="#_x0000_t202" style="width:6in;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">
                <v:textbox>
                  <w:txbxContent>
                    <w:p w14:paraId="0710B57E" w14:textId="77777777" w:rsidR="00284217" w:rsidRDefault="00284217" w:rsidP="00087212">
                      <w:r w:rsidRPr="00455048">
                        <w:t xml:space="preserve">An </w:t>
                      </w:r>
                      <w:r>
                        <w:t>a</w:t>
                      </w:r>
                      <w:r w:rsidRPr="00455048">
                        <w:t>gency may not conduct or sponsor, and a person is not required to respond to, a collection of information unless it displays a currently valid OMB control number. The OMB control number for this information collection is 0910-xxxx (expires xx-xx-xxxx).</w:t>
                      </w:r>
                    </w:p>
                    <w:p w14:paraId="270F5B7F" w14:textId="77777777" w:rsidR="00284217" w:rsidRDefault="00284217" w:rsidP="00087212"/>
                    <w:p w14:paraId="1335DDDF" w14:textId="77777777" w:rsidR="00284217" w:rsidRDefault="00284217" w:rsidP="00087212"/>
                  </w:txbxContent>
                </v:textbox>
                <w10:anchorlock/>
              </v:shape>
            </w:pict>
          </mc:Fallback>
        </mc:AlternateContent>
      </w:r>
    </w:p>
    <w:p w14:paraId="58F4BD99" w14:textId="77777777" w:rsidR="00087212" w:rsidRPr="00D770E6" w:rsidRDefault="00087212" w:rsidP="003250D1">
      <w:pPr>
        <w:ind w:left="0" w:right="0"/>
        <w:jc w:val="center"/>
        <w:rPr>
          <w:b/>
          <w:sz w:val="28"/>
        </w:rPr>
      </w:pPr>
    </w:p>
    <w:p w14:paraId="4E78B0CA" w14:textId="76FA3752" w:rsidR="00087212" w:rsidRDefault="00AA667B" w:rsidP="00866AA8">
      <w:pPr>
        <w:ind w:left="0" w:right="58"/>
      </w:pPr>
      <w:r w:rsidRPr="005D26AD">
        <w:t xml:space="preserve">For questions about this document, contact the Office of </w:t>
      </w:r>
      <w:r w:rsidR="002E5458">
        <w:t>Strategic Partnerships and Technology Innovation (OST) at</w:t>
      </w:r>
      <w:r w:rsidRPr="005D26AD">
        <w:t xml:space="preserve"> (301) 796-5600 or </w:t>
      </w:r>
      <w:r w:rsidR="00F96512">
        <w:t xml:space="preserve">the Standards and Conformity Assessment </w:t>
      </w:r>
      <w:r w:rsidR="00D8233D">
        <w:t xml:space="preserve">Program </w:t>
      </w:r>
      <w:r w:rsidR="00D8233D" w:rsidRPr="005D26AD">
        <w:t>by</w:t>
      </w:r>
      <w:r w:rsidRPr="005D26AD">
        <w:t xml:space="preserve"> e-mail at </w:t>
      </w:r>
      <w:r w:rsidRPr="005D26AD">
        <w:rPr>
          <w:color w:val="0000FF"/>
          <w:u w:val="single" w:color="0000FF"/>
        </w:rPr>
        <w:t>CDRHStandards</w:t>
      </w:r>
      <w:r w:rsidR="00643F08">
        <w:rPr>
          <w:color w:val="0000FF"/>
          <w:u w:val="single" w:color="0000FF"/>
        </w:rPr>
        <w:t>Staff</w:t>
      </w:r>
      <w:r w:rsidRPr="005D26AD">
        <w:rPr>
          <w:color w:val="0000FF"/>
          <w:u w:val="single" w:color="0000FF"/>
        </w:rPr>
        <w:t>@fda.hhs.gov</w:t>
      </w:r>
      <w:r w:rsidRPr="005D26AD">
        <w:t xml:space="preserve">. </w:t>
      </w:r>
    </w:p>
    <w:p w14:paraId="69E5EE87" w14:textId="77777777" w:rsidR="00087212" w:rsidRDefault="00087212" w:rsidP="00866AA8">
      <w:pPr>
        <w:ind w:left="0" w:right="58"/>
      </w:pPr>
    </w:p>
    <w:p w14:paraId="7A03114C" w14:textId="07232242" w:rsidR="00257F75" w:rsidRPr="005D26AD" w:rsidRDefault="00AA667B" w:rsidP="00866AA8">
      <w:pPr>
        <w:ind w:left="0" w:right="58"/>
      </w:pPr>
      <w:r w:rsidRPr="005D26AD">
        <w:t>For questions about this document regarding CBER-regulated devices, contact the Office of Communication, Outreach, and Development</w:t>
      </w:r>
      <w:r w:rsidR="00866AA8">
        <w:t xml:space="preserve"> </w:t>
      </w:r>
      <w:r w:rsidRPr="005D26AD">
        <w:t>(OCOD) at 1-800-835</w:t>
      </w:r>
      <w:r w:rsidR="00917DEB" w:rsidRPr="005D26AD">
        <w:t>-</w:t>
      </w:r>
      <w:r w:rsidRPr="005D26AD">
        <w:t xml:space="preserve">4709 or 240-402-8010. </w:t>
      </w:r>
    </w:p>
    <w:p w14:paraId="5BE39F9F" w14:textId="77777777" w:rsidR="00866AA8" w:rsidRDefault="00866AA8" w:rsidP="00866AA8">
      <w:pPr>
        <w:spacing w:after="0" w:line="259" w:lineRule="auto"/>
        <w:ind w:left="0" w:right="0" w:firstLine="0"/>
        <w:rPr>
          <w:b/>
          <w:sz w:val="28"/>
        </w:rPr>
      </w:pPr>
    </w:p>
    <w:p w14:paraId="163C5A19" w14:textId="48EA42DF" w:rsidR="00FB3B27" w:rsidRDefault="00AA667B" w:rsidP="00866AA8">
      <w:pPr>
        <w:spacing w:after="0" w:line="259" w:lineRule="auto"/>
        <w:ind w:left="0" w:right="0" w:firstLine="0"/>
        <w:rPr>
          <w:b/>
          <w:sz w:val="28"/>
        </w:rPr>
      </w:pPr>
      <w:r w:rsidRPr="005D26AD">
        <w:rPr>
          <w:sz w:val="16"/>
        </w:rPr>
        <w:t xml:space="preserve"> </w:t>
      </w:r>
    </w:p>
    <w:p w14:paraId="6DF4548A" w14:textId="04566874" w:rsidR="00257F75" w:rsidRPr="00235A98" w:rsidRDefault="00C479FF" w:rsidP="00866AA8">
      <w:pPr>
        <w:spacing w:after="0" w:line="259" w:lineRule="auto"/>
        <w:ind w:left="-5654" w:right="-13"/>
        <w:jc w:val="right"/>
      </w:pPr>
      <w:r>
        <w:rPr>
          <w:noProof/>
        </w:rPr>
        <w:drawing>
          <wp:anchor distT="0" distB="0" distL="114300" distR="114300" simplePos="0" relativeHeight="251663360" behindDoc="0" locked="0" layoutInCell="1" allowOverlap="1" wp14:anchorId="652CB936" wp14:editId="1FB41F05">
            <wp:simplePos x="0" y="0"/>
            <wp:positionH relativeFrom="column">
              <wp:posOffset>-9525</wp:posOffset>
            </wp:positionH>
            <wp:positionV relativeFrom="paragraph">
              <wp:posOffset>137795</wp:posOffset>
            </wp:positionV>
            <wp:extent cx="2369820" cy="495300"/>
            <wp:effectExtent l="0" t="0" r="0" b="0"/>
            <wp:wrapNone/>
            <wp:docPr id="6" name="Picture 6" descr="Food and Drug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od and Drug Administration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6982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A667B" w:rsidRPr="005D26AD">
        <w:rPr>
          <w:b/>
        </w:rPr>
        <w:t xml:space="preserve">U.S. Department of Health and Human Services </w:t>
      </w:r>
    </w:p>
    <w:p w14:paraId="515C33AF" w14:textId="31576CF3" w:rsidR="00257F75" w:rsidRPr="00235A98" w:rsidRDefault="00AA667B" w:rsidP="00866AA8">
      <w:pPr>
        <w:spacing w:after="0" w:line="259" w:lineRule="auto"/>
        <w:ind w:left="-5654" w:right="-13"/>
        <w:jc w:val="right"/>
      </w:pPr>
      <w:r w:rsidRPr="005D26AD">
        <w:rPr>
          <w:b/>
        </w:rPr>
        <w:t xml:space="preserve">Food and Drug Administration </w:t>
      </w:r>
    </w:p>
    <w:p w14:paraId="676B4CD0" w14:textId="5827438E" w:rsidR="00866AA8" w:rsidRDefault="00AA667B" w:rsidP="00866AA8">
      <w:pPr>
        <w:ind w:left="639" w:right="-13"/>
        <w:jc w:val="right"/>
        <w:rPr>
          <w:b/>
        </w:rPr>
      </w:pPr>
      <w:r w:rsidRPr="005D26AD">
        <w:rPr>
          <w:b/>
        </w:rPr>
        <w:t>Center for Devices and Radiological Health</w:t>
      </w:r>
      <w:r w:rsidR="00866AA8">
        <w:rPr>
          <w:b/>
        </w:rPr>
        <w:t xml:space="preserve"> </w:t>
      </w:r>
    </w:p>
    <w:p w14:paraId="59379CA9" w14:textId="5A8684C1" w:rsidR="00866AA8" w:rsidRDefault="00AA667B" w:rsidP="00866AA8">
      <w:pPr>
        <w:ind w:left="639" w:right="-13"/>
        <w:jc w:val="right"/>
      </w:pPr>
      <w:r w:rsidRPr="005D26AD">
        <w:rPr>
          <w:b/>
        </w:rPr>
        <w:t xml:space="preserve">Center for Biologics </w:t>
      </w:r>
      <w:r w:rsidR="00866AA8">
        <w:rPr>
          <w:b/>
        </w:rPr>
        <w:t>E</w:t>
      </w:r>
      <w:r w:rsidRPr="005D26AD">
        <w:rPr>
          <w:b/>
        </w:rPr>
        <w:t>valuation and Research</w:t>
      </w:r>
      <w:r w:rsidRPr="00235A98">
        <w:t xml:space="preserve"> </w:t>
      </w:r>
    </w:p>
    <w:p w14:paraId="3B0D5E87" w14:textId="5939BFAA" w:rsidR="003250D1" w:rsidRDefault="003250D1">
      <w:pPr>
        <w:spacing w:after="160" w:line="259" w:lineRule="auto"/>
        <w:ind w:left="0" w:right="0" w:firstLine="0"/>
        <w:rPr>
          <w:b/>
          <w:sz w:val="48"/>
        </w:rPr>
      </w:pPr>
      <w:bookmarkStart w:id="5" w:name="_Toc531165231"/>
      <w:bookmarkStart w:id="6" w:name="_Toc6928726"/>
      <w:r>
        <w:rPr>
          <w:sz w:val="48"/>
        </w:rPr>
        <w:br w:type="page"/>
      </w:r>
    </w:p>
    <w:p w14:paraId="253575C1" w14:textId="617E5BB2" w:rsidR="00257F75" w:rsidRPr="0055389B" w:rsidRDefault="00AA667B" w:rsidP="0055389B">
      <w:pPr>
        <w:jc w:val="center"/>
        <w:rPr>
          <w:b/>
          <w:sz w:val="48"/>
          <w:szCs w:val="48"/>
        </w:rPr>
      </w:pPr>
      <w:r w:rsidRPr="0055389B">
        <w:rPr>
          <w:b/>
          <w:sz w:val="48"/>
          <w:szCs w:val="48"/>
        </w:rPr>
        <w:lastRenderedPageBreak/>
        <w:t>Preface</w:t>
      </w:r>
      <w:bookmarkEnd w:id="5"/>
      <w:bookmarkEnd w:id="6"/>
    </w:p>
    <w:p w14:paraId="0EF3424F" w14:textId="647012FE" w:rsidR="00E762C3" w:rsidRPr="0055389B" w:rsidRDefault="00E762C3" w:rsidP="0055389B">
      <w:pPr>
        <w:ind w:left="0"/>
        <w:rPr>
          <w:b/>
          <w:sz w:val="36"/>
          <w:szCs w:val="36"/>
        </w:rPr>
      </w:pPr>
      <w:bookmarkStart w:id="7" w:name="_Toc531165232"/>
      <w:bookmarkStart w:id="8" w:name="_Toc6928727"/>
      <w:r w:rsidRPr="0055389B">
        <w:rPr>
          <w:b/>
          <w:sz w:val="36"/>
          <w:szCs w:val="36"/>
        </w:rPr>
        <w:t>Public Comment</w:t>
      </w:r>
      <w:bookmarkEnd w:id="7"/>
      <w:bookmarkEnd w:id="8"/>
    </w:p>
    <w:p w14:paraId="25439855" w14:textId="221BE362" w:rsidR="00E762C3" w:rsidRDefault="00E762C3" w:rsidP="00ED6E2B">
      <w:pPr>
        <w:ind w:left="0" w:firstLine="0"/>
        <w:rPr>
          <w:snapToGrid w:val="0"/>
        </w:rPr>
      </w:pPr>
      <w:r w:rsidRPr="005D26AD">
        <w:rPr>
          <w:snapToGrid w:val="0"/>
        </w:rPr>
        <w:t xml:space="preserve">You may submit electronic comments and suggestions at any time for Agency consideration to </w:t>
      </w:r>
      <w:hyperlink r:id="rId18" w:history="1">
        <w:r w:rsidRPr="005D26AD">
          <w:rPr>
            <w:rStyle w:val="Hyperlink"/>
            <w:snapToGrid w:val="0"/>
          </w:rPr>
          <w:t>https://www.regulations.gov</w:t>
        </w:r>
      </w:hyperlink>
      <w:r w:rsidRPr="005D26AD">
        <w:rPr>
          <w:snapToGrid w:val="0"/>
        </w:rPr>
        <w:t>.  Submit written comments to the Dockets Management Staff, Food and Drug Administration, 5630 Fishers Lane, Room 1061, (HFA-305), Rockville, MD 20852.  Identify all com</w:t>
      </w:r>
      <w:r w:rsidRPr="005D26AD">
        <w:t>ments with the docket number FDA-</w:t>
      </w:r>
      <w:r w:rsidR="002E5458">
        <w:t>2018-D-2936.</w:t>
      </w:r>
      <w:r w:rsidRPr="005D26AD">
        <w:t xml:space="preserve"> </w:t>
      </w:r>
      <w:r w:rsidRPr="005D26AD">
        <w:rPr>
          <w:snapToGrid w:val="0"/>
        </w:rPr>
        <w:t>Comments may not be acted upon by the Agency until the document is next revised or updated.</w:t>
      </w:r>
    </w:p>
    <w:p w14:paraId="277206A2" w14:textId="77777777" w:rsidR="000F307A" w:rsidRPr="005D26AD" w:rsidRDefault="000F307A" w:rsidP="00ED6E2B">
      <w:pPr>
        <w:ind w:left="0" w:firstLine="0"/>
        <w:rPr>
          <w:sz w:val="36"/>
        </w:rPr>
      </w:pPr>
    </w:p>
    <w:p w14:paraId="4EFCD1CB" w14:textId="77777777" w:rsidR="00257F75" w:rsidRPr="0055389B" w:rsidRDefault="00AA667B" w:rsidP="0055389B">
      <w:pPr>
        <w:ind w:left="0"/>
        <w:rPr>
          <w:b/>
          <w:sz w:val="36"/>
          <w:szCs w:val="36"/>
        </w:rPr>
      </w:pPr>
      <w:bookmarkStart w:id="9" w:name="_Toc531165233"/>
      <w:bookmarkStart w:id="10" w:name="_Toc6928728"/>
      <w:r w:rsidRPr="0055389B">
        <w:rPr>
          <w:b/>
          <w:sz w:val="36"/>
          <w:szCs w:val="36"/>
        </w:rPr>
        <w:t>Additional Copies</w:t>
      </w:r>
      <w:bookmarkEnd w:id="9"/>
      <w:bookmarkEnd w:id="10"/>
      <w:r w:rsidRPr="0055389B">
        <w:rPr>
          <w:b/>
          <w:sz w:val="36"/>
          <w:szCs w:val="36"/>
        </w:rPr>
        <w:t xml:space="preserve"> </w:t>
      </w:r>
    </w:p>
    <w:p w14:paraId="54093F06" w14:textId="77777777" w:rsidR="00257F75" w:rsidRPr="0055389B" w:rsidRDefault="00AA667B" w:rsidP="0055389B">
      <w:pPr>
        <w:ind w:left="0"/>
        <w:rPr>
          <w:b/>
          <w:sz w:val="28"/>
          <w:szCs w:val="28"/>
        </w:rPr>
      </w:pPr>
      <w:r w:rsidRPr="0055389B">
        <w:rPr>
          <w:b/>
          <w:sz w:val="28"/>
          <w:szCs w:val="28"/>
        </w:rPr>
        <w:t xml:space="preserve">CDRH </w:t>
      </w:r>
    </w:p>
    <w:p w14:paraId="01C3A0B3" w14:textId="475BC79E" w:rsidR="00257F75" w:rsidRPr="005D26AD" w:rsidRDefault="00AA667B" w:rsidP="00E2227F">
      <w:pPr>
        <w:spacing w:after="268"/>
        <w:ind w:left="0" w:right="464" w:firstLine="0"/>
      </w:pPr>
      <w:r w:rsidRPr="005D26AD">
        <w:t xml:space="preserve">Additional copies are available from the Internet. You may also send an e-mail request to </w:t>
      </w:r>
      <w:r w:rsidRPr="005D26AD">
        <w:rPr>
          <w:color w:val="0000FF"/>
          <w:u w:val="single" w:color="0000FF"/>
        </w:rPr>
        <w:t>CDRH-Guidance@fda.hhs.gov</w:t>
      </w:r>
      <w:r w:rsidRPr="005D26AD">
        <w:t xml:space="preserve"> to receive a copy of the guidance. Please use the document number 616 </w:t>
      </w:r>
      <w:r w:rsidR="00465860">
        <w:t>and complete title of the guidance in the request</w:t>
      </w:r>
      <w:r w:rsidRPr="005D26AD">
        <w:t xml:space="preserve">. </w:t>
      </w:r>
    </w:p>
    <w:p w14:paraId="48F8AC7F" w14:textId="77777777" w:rsidR="00E762C3" w:rsidRPr="0055389B" w:rsidRDefault="00E762C3" w:rsidP="0055389B">
      <w:pPr>
        <w:ind w:left="0"/>
        <w:rPr>
          <w:b/>
          <w:sz w:val="28"/>
          <w:szCs w:val="28"/>
        </w:rPr>
      </w:pPr>
      <w:r w:rsidRPr="0055389B">
        <w:rPr>
          <w:b/>
          <w:sz w:val="28"/>
          <w:szCs w:val="28"/>
        </w:rPr>
        <w:t>CBER</w:t>
      </w:r>
    </w:p>
    <w:p w14:paraId="06FE6A32" w14:textId="4E71FCBF" w:rsidR="00E762C3" w:rsidRPr="005D26AD" w:rsidRDefault="00E762C3" w:rsidP="00E2227F">
      <w:pPr>
        <w:ind w:left="0" w:firstLine="0"/>
      </w:pPr>
      <w:r w:rsidRPr="005D26AD">
        <w:t>Additional copies are available from the</w:t>
      </w:r>
      <w:r w:rsidRPr="00235A98">
        <w:rPr>
          <w:spacing w:val="-3"/>
        </w:rPr>
        <w:t xml:space="preserve"> </w:t>
      </w:r>
      <w:r w:rsidRPr="005D26AD">
        <w:t>Center</w:t>
      </w:r>
      <w:r w:rsidRPr="00235A98">
        <w:rPr>
          <w:spacing w:val="-6"/>
        </w:rPr>
        <w:t xml:space="preserve"> </w:t>
      </w:r>
      <w:r w:rsidRPr="005D26AD">
        <w:t>for</w:t>
      </w:r>
      <w:r w:rsidRPr="00235A98">
        <w:rPr>
          <w:spacing w:val="-3"/>
        </w:rPr>
        <w:t xml:space="preserve"> </w:t>
      </w:r>
      <w:r w:rsidRPr="005D26AD">
        <w:t>Biologics Evaluation</w:t>
      </w:r>
      <w:r w:rsidRPr="00235A98">
        <w:rPr>
          <w:spacing w:val="-10"/>
        </w:rPr>
        <w:t xml:space="preserve"> </w:t>
      </w:r>
      <w:r w:rsidRPr="005D26AD">
        <w:t>and</w:t>
      </w:r>
      <w:r w:rsidRPr="00235A98">
        <w:rPr>
          <w:spacing w:val="-3"/>
        </w:rPr>
        <w:t xml:space="preserve"> </w:t>
      </w:r>
      <w:r w:rsidRPr="005D26AD">
        <w:t>Research</w:t>
      </w:r>
      <w:r w:rsidRPr="00235A98">
        <w:rPr>
          <w:spacing w:val="-9"/>
        </w:rPr>
        <w:t xml:space="preserve"> </w:t>
      </w:r>
      <w:r w:rsidRPr="005D26AD">
        <w:t>(CBER)</w:t>
      </w:r>
      <w:r w:rsidRPr="00235A98">
        <w:rPr>
          <w:spacing w:val="-8"/>
        </w:rPr>
        <w:t xml:space="preserve">, </w:t>
      </w:r>
      <w:r w:rsidRPr="005D26AD">
        <w:t xml:space="preserve">Office of Communication, Outreach, and Development (OCOD), 10903 New Hampshire Ave., WO71, Room 3128, Silver Spring, MD 20903, or by calling 1-800-835-4709 or 240-402-8010, by email, </w:t>
      </w:r>
      <w:hyperlink r:id="rId19" w:history="1">
        <w:r w:rsidRPr="005D26AD">
          <w:rPr>
            <w:rStyle w:val="Hyperlink"/>
          </w:rPr>
          <w:t>ocod@fda.hhs.gov,</w:t>
        </w:r>
        <w:r w:rsidRPr="005D26AD">
          <w:rPr>
            <w:rStyle w:val="Hyperlink"/>
            <w:spacing w:val="-19"/>
          </w:rPr>
          <w:t xml:space="preserve"> </w:t>
        </w:r>
      </w:hyperlink>
      <w:r w:rsidRPr="005D26AD">
        <w:t xml:space="preserve">or from the Internet at </w:t>
      </w:r>
      <w:hyperlink r:id="rId20" w:history="1">
        <w:r w:rsidR="00683950" w:rsidRPr="009237BC">
          <w:rPr>
            <w:rStyle w:val="Hyperlink"/>
          </w:rPr>
          <w:t>https://www.fda.gov/vaccines-blood-biologics/guidance-compliance-regulatory-information-biologics/biologics-guidances</w:t>
        </w:r>
      </w:hyperlink>
      <w:r w:rsidR="00683950">
        <w:t xml:space="preserve">.  </w:t>
      </w:r>
    </w:p>
    <w:p w14:paraId="58BBCCA3" w14:textId="69AD90DC" w:rsidR="006F75D4" w:rsidRPr="00086039" w:rsidRDefault="00E762C3" w:rsidP="00086039">
      <w:pPr>
        <w:ind w:left="0"/>
        <w:jc w:val="center"/>
        <w:rPr>
          <w:b/>
          <w:sz w:val="36"/>
          <w:szCs w:val="36"/>
        </w:rPr>
      </w:pPr>
      <w:r w:rsidRPr="00235A98">
        <w:br w:type="page"/>
      </w:r>
      <w:bookmarkStart w:id="11" w:name="_Toc6928729"/>
      <w:r w:rsidR="006F75D4" w:rsidRPr="00086039">
        <w:rPr>
          <w:b/>
          <w:sz w:val="36"/>
          <w:szCs w:val="36"/>
        </w:rPr>
        <w:lastRenderedPageBreak/>
        <w:t>Table of Content</w:t>
      </w:r>
      <w:bookmarkEnd w:id="1"/>
      <w:bookmarkEnd w:id="2"/>
      <w:r w:rsidR="006F75D4" w:rsidRPr="00086039">
        <w:rPr>
          <w:b/>
          <w:sz w:val="36"/>
          <w:szCs w:val="36"/>
        </w:rPr>
        <w:t>s</w:t>
      </w:r>
      <w:bookmarkEnd w:id="11"/>
    </w:p>
    <w:p w14:paraId="3DE0423B" w14:textId="102980B5" w:rsidR="003344C1" w:rsidRDefault="00E762C3">
      <w:pPr>
        <w:pStyle w:val="TOC1"/>
        <w:rPr>
          <w:rFonts w:asciiTheme="minorHAnsi" w:eastAsiaTheme="minorEastAsia" w:hAnsiTheme="minorHAnsi" w:cstheme="minorBidi"/>
          <w:noProof/>
          <w:color w:val="auto"/>
          <w:sz w:val="22"/>
        </w:rPr>
      </w:pPr>
      <w:r w:rsidRPr="005D26AD">
        <w:fldChar w:fldCharType="begin"/>
      </w:r>
      <w:r w:rsidRPr="005D26AD">
        <w:instrText xml:space="preserve"> TOC \o "1-3" \h \z \u </w:instrText>
      </w:r>
      <w:r w:rsidRPr="005D26AD">
        <w:fldChar w:fldCharType="separate"/>
      </w:r>
      <w:hyperlink w:anchor="_Toc25664582" w:history="1">
        <w:r w:rsidR="003344C1" w:rsidRPr="00A305BA">
          <w:rPr>
            <w:rStyle w:val="Hyperlink"/>
            <w:noProof/>
          </w:rPr>
          <w:t>I.</w:t>
        </w:r>
        <w:r w:rsidR="003344C1" w:rsidRPr="00A305BA">
          <w:rPr>
            <w:rStyle w:val="Hyperlink"/>
            <w:rFonts w:ascii="Arial" w:eastAsia="Arial" w:hAnsi="Arial" w:cs="Arial"/>
            <w:noProof/>
          </w:rPr>
          <w:t xml:space="preserve"> </w:t>
        </w:r>
        <w:r w:rsidR="003344C1" w:rsidRPr="00A305BA">
          <w:rPr>
            <w:rStyle w:val="Hyperlink"/>
            <w:noProof/>
          </w:rPr>
          <w:t>Introduction</w:t>
        </w:r>
        <w:r w:rsidR="003344C1">
          <w:rPr>
            <w:noProof/>
            <w:webHidden/>
          </w:rPr>
          <w:tab/>
        </w:r>
        <w:r w:rsidR="003344C1">
          <w:rPr>
            <w:noProof/>
            <w:webHidden/>
          </w:rPr>
          <w:fldChar w:fldCharType="begin"/>
        </w:r>
        <w:r w:rsidR="003344C1">
          <w:rPr>
            <w:noProof/>
            <w:webHidden/>
          </w:rPr>
          <w:instrText xml:space="preserve"> PAGEREF _Toc25664582 \h </w:instrText>
        </w:r>
        <w:r w:rsidR="003344C1">
          <w:rPr>
            <w:noProof/>
            <w:webHidden/>
          </w:rPr>
        </w:r>
        <w:r w:rsidR="003344C1">
          <w:rPr>
            <w:noProof/>
            <w:webHidden/>
          </w:rPr>
          <w:fldChar w:fldCharType="separate"/>
        </w:r>
        <w:r w:rsidR="001421AC">
          <w:rPr>
            <w:noProof/>
            <w:webHidden/>
          </w:rPr>
          <w:t>1</w:t>
        </w:r>
        <w:r w:rsidR="003344C1">
          <w:rPr>
            <w:noProof/>
            <w:webHidden/>
          </w:rPr>
          <w:fldChar w:fldCharType="end"/>
        </w:r>
      </w:hyperlink>
    </w:p>
    <w:p w14:paraId="5F59B4F0" w14:textId="46E100D3" w:rsidR="003344C1" w:rsidRDefault="00AC302F">
      <w:pPr>
        <w:pStyle w:val="TOC1"/>
        <w:rPr>
          <w:rFonts w:asciiTheme="minorHAnsi" w:eastAsiaTheme="minorEastAsia" w:hAnsiTheme="minorHAnsi" w:cstheme="minorBidi"/>
          <w:noProof/>
          <w:color w:val="auto"/>
          <w:sz w:val="22"/>
        </w:rPr>
      </w:pPr>
      <w:hyperlink w:anchor="_Toc25664583" w:history="1">
        <w:r w:rsidR="003344C1" w:rsidRPr="00A305BA">
          <w:rPr>
            <w:rStyle w:val="Hyperlink"/>
            <w:noProof/>
          </w:rPr>
          <w:t>II.</w:t>
        </w:r>
        <w:r w:rsidR="003344C1" w:rsidRPr="00A305BA">
          <w:rPr>
            <w:rStyle w:val="Hyperlink"/>
            <w:rFonts w:ascii="Arial" w:eastAsia="Arial" w:hAnsi="Arial" w:cs="Arial"/>
            <w:noProof/>
          </w:rPr>
          <w:t xml:space="preserve"> </w:t>
        </w:r>
        <w:r w:rsidR="003344C1" w:rsidRPr="00A305BA">
          <w:rPr>
            <w:rStyle w:val="Hyperlink"/>
            <w:noProof/>
          </w:rPr>
          <w:t>Background</w:t>
        </w:r>
        <w:r w:rsidR="003344C1">
          <w:rPr>
            <w:noProof/>
            <w:webHidden/>
          </w:rPr>
          <w:tab/>
        </w:r>
        <w:r w:rsidR="003344C1">
          <w:rPr>
            <w:noProof/>
            <w:webHidden/>
          </w:rPr>
          <w:fldChar w:fldCharType="begin"/>
        </w:r>
        <w:r w:rsidR="003344C1">
          <w:rPr>
            <w:noProof/>
            <w:webHidden/>
          </w:rPr>
          <w:instrText xml:space="preserve"> PAGEREF _Toc25664583 \h </w:instrText>
        </w:r>
        <w:r w:rsidR="003344C1">
          <w:rPr>
            <w:noProof/>
            <w:webHidden/>
          </w:rPr>
        </w:r>
        <w:r w:rsidR="003344C1">
          <w:rPr>
            <w:noProof/>
            <w:webHidden/>
          </w:rPr>
          <w:fldChar w:fldCharType="separate"/>
        </w:r>
        <w:r w:rsidR="001421AC">
          <w:rPr>
            <w:noProof/>
            <w:webHidden/>
          </w:rPr>
          <w:t>1</w:t>
        </w:r>
        <w:r w:rsidR="003344C1">
          <w:rPr>
            <w:noProof/>
            <w:webHidden/>
          </w:rPr>
          <w:fldChar w:fldCharType="end"/>
        </w:r>
      </w:hyperlink>
    </w:p>
    <w:p w14:paraId="0F7F3D6C" w14:textId="697BCAE2" w:rsidR="003344C1" w:rsidRDefault="00AC302F">
      <w:pPr>
        <w:pStyle w:val="TOC1"/>
        <w:rPr>
          <w:rFonts w:asciiTheme="minorHAnsi" w:eastAsiaTheme="minorEastAsia" w:hAnsiTheme="minorHAnsi" w:cstheme="minorBidi"/>
          <w:noProof/>
          <w:color w:val="auto"/>
          <w:sz w:val="22"/>
        </w:rPr>
      </w:pPr>
      <w:hyperlink w:anchor="_Toc25664584" w:history="1">
        <w:r w:rsidR="003344C1" w:rsidRPr="00A305BA">
          <w:rPr>
            <w:rStyle w:val="Hyperlink"/>
            <w:noProof/>
          </w:rPr>
          <w:t>III.</w:t>
        </w:r>
        <w:r w:rsidR="003344C1" w:rsidRPr="00A305BA">
          <w:rPr>
            <w:rStyle w:val="Hyperlink"/>
            <w:rFonts w:ascii="Arial" w:eastAsia="Arial" w:hAnsi="Arial" w:cs="Arial"/>
            <w:noProof/>
          </w:rPr>
          <w:t xml:space="preserve"> </w:t>
        </w:r>
        <w:r w:rsidR="003344C1" w:rsidRPr="00A305BA">
          <w:rPr>
            <w:rStyle w:val="Hyperlink"/>
            <w:noProof/>
          </w:rPr>
          <w:t>Scope</w:t>
        </w:r>
        <w:r w:rsidR="003344C1">
          <w:rPr>
            <w:noProof/>
            <w:webHidden/>
          </w:rPr>
          <w:tab/>
        </w:r>
        <w:r w:rsidR="003344C1">
          <w:rPr>
            <w:noProof/>
            <w:webHidden/>
          </w:rPr>
          <w:fldChar w:fldCharType="begin"/>
        </w:r>
        <w:r w:rsidR="003344C1">
          <w:rPr>
            <w:noProof/>
            <w:webHidden/>
          </w:rPr>
          <w:instrText xml:space="preserve"> PAGEREF _Toc25664584 \h </w:instrText>
        </w:r>
        <w:r w:rsidR="003344C1">
          <w:rPr>
            <w:noProof/>
            <w:webHidden/>
          </w:rPr>
        </w:r>
        <w:r w:rsidR="003344C1">
          <w:rPr>
            <w:noProof/>
            <w:webHidden/>
          </w:rPr>
          <w:fldChar w:fldCharType="separate"/>
        </w:r>
        <w:r w:rsidR="001421AC">
          <w:rPr>
            <w:noProof/>
            <w:webHidden/>
          </w:rPr>
          <w:t>2</w:t>
        </w:r>
        <w:r w:rsidR="003344C1">
          <w:rPr>
            <w:noProof/>
            <w:webHidden/>
          </w:rPr>
          <w:fldChar w:fldCharType="end"/>
        </w:r>
      </w:hyperlink>
    </w:p>
    <w:p w14:paraId="1F6410BC" w14:textId="079ACC72" w:rsidR="003344C1" w:rsidRDefault="00AC302F">
      <w:pPr>
        <w:pStyle w:val="TOC1"/>
        <w:rPr>
          <w:rFonts w:asciiTheme="minorHAnsi" w:eastAsiaTheme="minorEastAsia" w:hAnsiTheme="minorHAnsi" w:cstheme="minorBidi"/>
          <w:noProof/>
          <w:color w:val="auto"/>
          <w:sz w:val="22"/>
        </w:rPr>
      </w:pPr>
      <w:hyperlink w:anchor="_Toc25664585" w:history="1">
        <w:r w:rsidR="003344C1" w:rsidRPr="00A305BA">
          <w:rPr>
            <w:rStyle w:val="Hyperlink"/>
            <w:noProof/>
          </w:rPr>
          <w:t>IV.</w:t>
        </w:r>
        <w:r w:rsidR="003344C1" w:rsidRPr="00A305BA">
          <w:rPr>
            <w:rStyle w:val="Hyperlink"/>
            <w:rFonts w:ascii="Arial" w:eastAsia="Arial" w:hAnsi="Arial" w:cs="Arial"/>
            <w:noProof/>
          </w:rPr>
          <w:t xml:space="preserve"> </w:t>
        </w:r>
        <w:r w:rsidR="003344C1" w:rsidRPr="00A305BA">
          <w:rPr>
            <w:rStyle w:val="Hyperlink"/>
            <w:noProof/>
          </w:rPr>
          <w:t>FDA Recognition of Standards</w:t>
        </w:r>
        <w:r w:rsidR="003344C1">
          <w:rPr>
            <w:noProof/>
            <w:webHidden/>
          </w:rPr>
          <w:tab/>
        </w:r>
        <w:r w:rsidR="003344C1">
          <w:rPr>
            <w:noProof/>
            <w:webHidden/>
          </w:rPr>
          <w:fldChar w:fldCharType="begin"/>
        </w:r>
        <w:r w:rsidR="003344C1">
          <w:rPr>
            <w:noProof/>
            <w:webHidden/>
          </w:rPr>
          <w:instrText xml:space="preserve"> PAGEREF _Toc25664585 \h </w:instrText>
        </w:r>
        <w:r w:rsidR="003344C1">
          <w:rPr>
            <w:noProof/>
            <w:webHidden/>
          </w:rPr>
        </w:r>
        <w:r w:rsidR="003344C1">
          <w:rPr>
            <w:noProof/>
            <w:webHidden/>
          </w:rPr>
          <w:fldChar w:fldCharType="separate"/>
        </w:r>
        <w:r w:rsidR="001421AC">
          <w:rPr>
            <w:noProof/>
            <w:webHidden/>
          </w:rPr>
          <w:t>2</w:t>
        </w:r>
        <w:r w:rsidR="003344C1">
          <w:rPr>
            <w:noProof/>
            <w:webHidden/>
          </w:rPr>
          <w:fldChar w:fldCharType="end"/>
        </w:r>
      </w:hyperlink>
    </w:p>
    <w:p w14:paraId="5CE2AE1F" w14:textId="2CAC4092" w:rsidR="003344C1" w:rsidRDefault="00AC302F">
      <w:pPr>
        <w:pStyle w:val="TOC2"/>
        <w:rPr>
          <w:rFonts w:asciiTheme="minorHAnsi" w:eastAsiaTheme="minorEastAsia" w:hAnsiTheme="minorHAnsi" w:cstheme="minorBidi"/>
          <w:noProof/>
          <w:color w:val="auto"/>
          <w:sz w:val="22"/>
        </w:rPr>
      </w:pPr>
      <w:hyperlink w:anchor="_Toc25664586" w:history="1">
        <w:r w:rsidR="003344C1" w:rsidRPr="00A305BA">
          <w:rPr>
            <w:rStyle w:val="Hyperlink"/>
            <w:noProof/>
          </w:rPr>
          <w:t>A.</w:t>
        </w:r>
        <w:r w:rsidR="003344C1" w:rsidRPr="00A305BA">
          <w:rPr>
            <w:rStyle w:val="Hyperlink"/>
            <w:rFonts w:ascii="Arial" w:eastAsia="Arial" w:hAnsi="Arial" w:cs="Arial"/>
            <w:noProof/>
          </w:rPr>
          <w:t xml:space="preserve"> </w:t>
        </w:r>
        <w:r w:rsidR="003344C1">
          <w:rPr>
            <w:rFonts w:asciiTheme="minorHAnsi" w:eastAsiaTheme="minorEastAsia" w:hAnsiTheme="minorHAnsi" w:cstheme="minorBidi"/>
            <w:noProof/>
            <w:color w:val="auto"/>
            <w:sz w:val="22"/>
          </w:rPr>
          <w:tab/>
        </w:r>
        <w:r w:rsidR="003344C1" w:rsidRPr="00A305BA">
          <w:rPr>
            <w:rStyle w:val="Hyperlink"/>
            <w:noProof/>
          </w:rPr>
          <w:t>Recognition</w:t>
        </w:r>
        <w:r w:rsidR="003344C1">
          <w:rPr>
            <w:noProof/>
            <w:webHidden/>
          </w:rPr>
          <w:tab/>
        </w:r>
        <w:r w:rsidR="003344C1">
          <w:rPr>
            <w:noProof/>
            <w:webHidden/>
          </w:rPr>
          <w:fldChar w:fldCharType="begin"/>
        </w:r>
        <w:r w:rsidR="003344C1">
          <w:rPr>
            <w:noProof/>
            <w:webHidden/>
          </w:rPr>
          <w:instrText xml:space="preserve"> PAGEREF _Toc25664586 \h </w:instrText>
        </w:r>
        <w:r w:rsidR="003344C1">
          <w:rPr>
            <w:noProof/>
            <w:webHidden/>
          </w:rPr>
        </w:r>
        <w:r w:rsidR="003344C1">
          <w:rPr>
            <w:noProof/>
            <w:webHidden/>
          </w:rPr>
          <w:fldChar w:fldCharType="separate"/>
        </w:r>
        <w:r w:rsidR="001421AC">
          <w:rPr>
            <w:noProof/>
            <w:webHidden/>
          </w:rPr>
          <w:t>4</w:t>
        </w:r>
        <w:r w:rsidR="003344C1">
          <w:rPr>
            <w:noProof/>
            <w:webHidden/>
          </w:rPr>
          <w:fldChar w:fldCharType="end"/>
        </w:r>
      </w:hyperlink>
    </w:p>
    <w:p w14:paraId="7F3ED371" w14:textId="6C3142D6" w:rsidR="003344C1" w:rsidRDefault="00AC302F">
      <w:pPr>
        <w:pStyle w:val="TOC2"/>
        <w:rPr>
          <w:rFonts w:asciiTheme="minorHAnsi" w:eastAsiaTheme="minorEastAsia" w:hAnsiTheme="minorHAnsi" w:cstheme="minorBidi"/>
          <w:noProof/>
          <w:color w:val="auto"/>
          <w:sz w:val="22"/>
        </w:rPr>
      </w:pPr>
      <w:hyperlink w:anchor="_Toc25664587" w:history="1">
        <w:r w:rsidR="003344C1" w:rsidRPr="00A305BA">
          <w:rPr>
            <w:rStyle w:val="Hyperlink"/>
            <w:noProof/>
          </w:rPr>
          <w:t>B.</w:t>
        </w:r>
        <w:r w:rsidR="003344C1" w:rsidRPr="00A305BA">
          <w:rPr>
            <w:rStyle w:val="Hyperlink"/>
            <w:rFonts w:ascii="Arial" w:eastAsia="Arial" w:hAnsi="Arial" w:cs="Arial"/>
            <w:noProof/>
          </w:rPr>
          <w:t xml:space="preserve"> </w:t>
        </w:r>
        <w:r w:rsidR="003344C1">
          <w:rPr>
            <w:rFonts w:asciiTheme="minorHAnsi" w:eastAsiaTheme="minorEastAsia" w:hAnsiTheme="minorHAnsi" w:cstheme="minorBidi"/>
            <w:noProof/>
            <w:color w:val="auto"/>
            <w:sz w:val="22"/>
          </w:rPr>
          <w:tab/>
        </w:r>
        <w:r w:rsidR="003344C1" w:rsidRPr="00A305BA">
          <w:rPr>
            <w:rStyle w:val="Hyperlink"/>
            <w:noProof/>
          </w:rPr>
          <w:t>Requesting Recognition</w:t>
        </w:r>
        <w:r w:rsidR="003344C1">
          <w:rPr>
            <w:noProof/>
            <w:webHidden/>
          </w:rPr>
          <w:tab/>
        </w:r>
        <w:r w:rsidR="003344C1">
          <w:rPr>
            <w:noProof/>
            <w:webHidden/>
          </w:rPr>
          <w:fldChar w:fldCharType="begin"/>
        </w:r>
        <w:r w:rsidR="003344C1">
          <w:rPr>
            <w:noProof/>
            <w:webHidden/>
          </w:rPr>
          <w:instrText xml:space="preserve"> PAGEREF _Toc25664587 \h </w:instrText>
        </w:r>
        <w:r w:rsidR="003344C1">
          <w:rPr>
            <w:noProof/>
            <w:webHidden/>
          </w:rPr>
        </w:r>
        <w:r w:rsidR="003344C1">
          <w:rPr>
            <w:noProof/>
            <w:webHidden/>
          </w:rPr>
          <w:fldChar w:fldCharType="separate"/>
        </w:r>
        <w:r w:rsidR="001421AC">
          <w:rPr>
            <w:noProof/>
            <w:webHidden/>
          </w:rPr>
          <w:t>5</w:t>
        </w:r>
        <w:r w:rsidR="003344C1">
          <w:rPr>
            <w:noProof/>
            <w:webHidden/>
          </w:rPr>
          <w:fldChar w:fldCharType="end"/>
        </w:r>
      </w:hyperlink>
    </w:p>
    <w:p w14:paraId="2842A3BE" w14:textId="03032265" w:rsidR="003344C1" w:rsidRDefault="00AC302F">
      <w:pPr>
        <w:pStyle w:val="TOC2"/>
        <w:rPr>
          <w:rFonts w:asciiTheme="minorHAnsi" w:eastAsiaTheme="minorEastAsia" w:hAnsiTheme="minorHAnsi" w:cstheme="minorBidi"/>
          <w:noProof/>
          <w:color w:val="auto"/>
          <w:sz w:val="22"/>
        </w:rPr>
      </w:pPr>
      <w:hyperlink w:anchor="_Toc25664588" w:history="1">
        <w:r w:rsidR="003344C1" w:rsidRPr="00A305BA">
          <w:rPr>
            <w:rStyle w:val="Hyperlink"/>
            <w:noProof/>
          </w:rPr>
          <w:t>C.</w:t>
        </w:r>
        <w:r w:rsidR="003344C1" w:rsidRPr="00A305BA">
          <w:rPr>
            <w:rStyle w:val="Hyperlink"/>
            <w:rFonts w:ascii="Arial" w:eastAsia="Arial" w:hAnsi="Arial" w:cs="Arial"/>
            <w:noProof/>
          </w:rPr>
          <w:t xml:space="preserve"> </w:t>
        </w:r>
        <w:r w:rsidR="003344C1">
          <w:rPr>
            <w:rFonts w:asciiTheme="minorHAnsi" w:eastAsiaTheme="minorEastAsia" w:hAnsiTheme="minorHAnsi" w:cstheme="minorBidi"/>
            <w:noProof/>
            <w:color w:val="auto"/>
            <w:sz w:val="22"/>
          </w:rPr>
          <w:tab/>
        </w:r>
        <w:r w:rsidR="003344C1" w:rsidRPr="00A305BA">
          <w:rPr>
            <w:rStyle w:val="Hyperlink"/>
            <w:noProof/>
          </w:rPr>
          <w:t>Extent of Recognition: Complete or Partial Recognition</w:t>
        </w:r>
        <w:r w:rsidR="003344C1">
          <w:rPr>
            <w:noProof/>
            <w:webHidden/>
          </w:rPr>
          <w:tab/>
        </w:r>
        <w:r w:rsidR="003344C1">
          <w:rPr>
            <w:noProof/>
            <w:webHidden/>
          </w:rPr>
          <w:fldChar w:fldCharType="begin"/>
        </w:r>
        <w:r w:rsidR="003344C1">
          <w:rPr>
            <w:noProof/>
            <w:webHidden/>
          </w:rPr>
          <w:instrText xml:space="preserve"> PAGEREF _Toc25664588 \h </w:instrText>
        </w:r>
        <w:r w:rsidR="003344C1">
          <w:rPr>
            <w:noProof/>
            <w:webHidden/>
          </w:rPr>
        </w:r>
        <w:r w:rsidR="003344C1">
          <w:rPr>
            <w:noProof/>
            <w:webHidden/>
          </w:rPr>
          <w:fldChar w:fldCharType="separate"/>
        </w:r>
        <w:r w:rsidR="001421AC">
          <w:rPr>
            <w:noProof/>
            <w:webHidden/>
          </w:rPr>
          <w:t>6</w:t>
        </w:r>
        <w:r w:rsidR="003344C1">
          <w:rPr>
            <w:noProof/>
            <w:webHidden/>
          </w:rPr>
          <w:fldChar w:fldCharType="end"/>
        </w:r>
      </w:hyperlink>
    </w:p>
    <w:p w14:paraId="1F907615" w14:textId="6FDD5C2C" w:rsidR="003344C1" w:rsidRDefault="00AC302F">
      <w:pPr>
        <w:pStyle w:val="TOC2"/>
        <w:rPr>
          <w:rFonts w:asciiTheme="minorHAnsi" w:eastAsiaTheme="minorEastAsia" w:hAnsiTheme="minorHAnsi" w:cstheme="minorBidi"/>
          <w:noProof/>
          <w:color w:val="auto"/>
          <w:sz w:val="22"/>
        </w:rPr>
      </w:pPr>
      <w:hyperlink w:anchor="_Toc25664589" w:history="1">
        <w:r w:rsidR="003344C1" w:rsidRPr="00A305BA">
          <w:rPr>
            <w:rStyle w:val="Hyperlink"/>
            <w:noProof/>
          </w:rPr>
          <w:t>D.</w:t>
        </w:r>
        <w:r w:rsidR="003344C1" w:rsidRPr="00A305BA">
          <w:rPr>
            <w:rStyle w:val="Hyperlink"/>
            <w:rFonts w:ascii="Arial" w:eastAsia="Arial" w:hAnsi="Arial" w:cs="Arial"/>
            <w:noProof/>
          </w:rPr>
          <w:t xml:space="preserve"> </w:t>
        </w:r>
        <w:r w:rsidR="003344C1">
          <w:rPr>
            <w:rFonts w:asciiTheme="minorHAnsi" w:eastAsiaTheme="minorEastAsia" w:hAnsiTheme="minorHAnsi" w:cstheme="minorBidi"/>
            <w:noProof/>
            <w:color w:val="auto"/>
            <w:sz w:val="22"/>
          </w:rPr>
          <w:tab/>
        </w:r>
        <w:r w:rsidR="003344C1" w:rsidRPr="00A305BA">
          <w:rPr>
            <w:rStyle w:val="Hyperlink"/>
            <w:noProof/>
          </w:rPr>
          <w:t>Non-Recognition</w:t>
        </w:r>
        <w:r w:rsidR="003344C1">
          <w:rPr>
            <w:noProof/>
            <w:webHidden/>
          </w:rPr>
          <w:tab/>
        </w:r>
        <w:r w:rsidR="003344C1">
          <w:rPr>
            <w:noProof/>
            <w:webHidden/>
          </w:rPr>
          <w:fldChar w:fldCharType="begin"/>
        </w:r>
        <w:r w:rsidR="003344C1">
          <w:rPr>
            <w:noProof/>
            <w:webHidden/>
          </w:rPr>
          <w:instrText xml:space="preserve"> PAGEREF _Toc25664589 \h </w:instrText>
        </w:r>
        <w:r w:rsidR="003344C1">
          <w:rPr>
            <w:noProof/>
            <w:webHidden/>
          </w:rPr>
        </w:r>
        <w:r w:rsidR="003344C1">
          <w:rPr>
            <w:noProof/>
            <w:webHidden/>
          </w:rPr>
          <w:fldChar w:fldCharType="separate"/>
        </w:r>
        <w:r w:rsidR="001421AC">
          <w:rPr>
            <w:noProof/>
            <w:webHidden/>
          </w:rPr>
          <w:t>6</w:t>
        </w:r>
        <w:r w:rsidR="003344C1">
          <w:rPr>
            <w:noProof/>
            <w:webHidden/>
          </w:rPr>
          <w:fldChar w:fldCharType="end"/>
        </w:r>
      </w:hyperlink>
    </w:p>
    <w:p w14:paraId="040ED71A" w14:textId="16A1FA45" w:rsidR="003344C1" w:rsidRDefault="00AC302F">
      <w:pPr>
        <w:pStyle w:val="TOC2"/>
        <w:rPr>
          <w:rFonts w:asciiTheme="minorHAnsi" w:eastAsiaTheme="minorEastAsia" w:hAnsiTheme="minorHAnsi" w:cstheme="minorBidi"/>
          <w:noProof/>
          <w:color w:val="auto"/>
          <w:sz w:val="22"/>
        </w:rPr>
      </w:pPr>
      <w:hyperlink w:anchor="_Toc25664590" w:history="1">
        <w:r w:rsidR="003344C1" w:rsidRPr="00A305BA">
          <w:rPr>
            <w:rStyle w:val="Hyperlink"/>
            <w:noProof/>
          </w:rPr>
          <w:t>E.</w:t>
        </w:r>
        <w:r w:rsidR="003344C1" w:rsidRPr="00A305BA">
          <w:rPr>
            <w:rStyle w:val="Hyperlink"/>
            <w:rFonts w:ascii="Arial" w:eastAsia="Arial" w:hAnsi="Arial" w:cs="Arial"/>
            <w:noProof/>
          </w:rPr>
          <w:t xml:space="preserve"> </w:t>
        </w:r>
        <w:r w:rsidR="003344C1">
          <w:rPr>
            <w:rFonts w:asciiTheme="minorHAnsi" w:eastAsiaTheme="minorEastAsia" w:hAnsiTheme="minorHAnsi" w:cstheme="minorBidi"/>
            <w:noProof/>
            <w:color w:val="auto"/>
            <w:sz w:val="22"/>
          </w:rPr>
          <w:tab/>
        </w:r>
        <w:r w:rsidR="003344C1" w:rsidRPr="00A305BA">
          <w:rPr>
            <w:rStyle w:val="Hyperlink"/>
            <w:noProof/>
          </w:rPr>
          <w:t>Notification of Determination</w:t>
        </w:r>
        <w:r w:rsidR="003344C1">
          <w:rPr>
            <w:noProof/>
            <w:webHidden/>
          </w:rPr>
          <w:tab/>
        </w:r>
        <w:r w:rsidR="003344C1">
          <w:rPr>
            <w:noProof/>
            <w:webHidden/>
          </w:rPr>
          <w:fldChar w:fldCharType="begin"/>
        </w:r>
        <w:r w:rsidR="003344C1">
          <w:rPr>
            <w:noProof/>
            <w:webHidden/>
          </w:rPr>
          <w:instrText xml:space="preserve"> PAGEREF _Toc25664590 \h </w:instrText>
        </w:r>
        <w:r w:rsidR="003344C1">
          <w:rPr>
            <w:noProof/>
            <w:webHidden/>
          </w:rPr>
        </w:r>
        <w:r w:rsidR="003344C1">
          <w:rPr>
            <w:noProof/>
            <w:webHidden/>
          </w:rPr>
          <w:fldChar w:fldCharType="separate"/>
        </w:r>
        <w:r w:rsidR="001421AC">
          <w:rPr>
            <w:noProof/>
            <w:webHidden/>
          </w:rPr>
          <w:t>7</w:t>
        </w:r>
        <w:r w:rsidR="003344C1">
          <w:rPr>
            <w:noProof/>
            <w:webHidden/>
          </w:rPr>
          <w:fldChar w:fldCharType="end"/>
        </w:r>
      </w:hyperlink>
    </w:p>
    <w:p w14:paraId="485EC142" w14:textId="65CCF334" w:rsidR="003344C1" w:rsidRDefault="00AC302F">
      <w:pPr>
        <w:pStyle w:val="TOC1"/>
        <w:rPr>
          <w:rFonts w:asciiTheme="minorHAnsi" w:eastAsiaTheme="minorEastAsia" w:hAnsiTheme="minorHAnsi" w:cstheme="minorBidi"/>
          <w:noProof/>
          <w:color w:val="auto"/>
          <w:sz w:val="22"/>
        </w:rPr>
      </w:pPr>
      <w:hyperlink w:anchor="_Toc25664591" w:history="1">
        <w:r w:rsidR="003344C1" w:rsidRPr="00A305BA">
          <w:rPr>
            <w:rStyle w:val="Hyperlink"/>
            <w:noProof/>
          </w:rPr>
          <w:t>V.</w:t>
        </w:r>
        <w:r w:rsidR="003344C1" w:rsidRPr="00A305BA">
          <w:rPr>
            <w:rStyle w:val="Hyperlink"/>
            <w:rFonts w:ascii="Arial" w:eastAsia="Arial" w:hAnsi="Arial" w:cs="Arial"/>
            <w:noProof/>
          </w:rPr>
          <w:t xml:space="preserve"> </w:t>
        </w:r>
        <w:r w:rsidR="003344C1" w:rsidRPr="00A305BA">
          <w:rPr>
            <w:rStyle w:val="Hyperlink"/>
            <w:noProof/>
          </w:rPr>
          <w:t>Supplementary Information</w:t>
        </w:r>
        <w:r w:rsidR="003344C1">
          <w:rPr>
            <w:noProof/>
            <w:webHidden/>
          </w:rPr>
          <w:tab/>
        </w:r>
        <w:r w:rsidR="003344C1">
          <w:rPr>
            <w:noProof/>
            <w:webHidden/>
          </w:rPr>
          <w:fldChar w:fldCharType="begin"/>
        </w:r>
        <w:r w:rsidR="003344C1">
          <w:rPr>
            <w:noProof/>
            <w:webHidden/>
          </w:rPr>
          <w:instrText xml:space="preserve"> PAGEREF _Toc25664591 \h </w:instrText>
        </w:r>
        <w:r w:rsidR="003344C1">
          <w:rPr>
            <w:noProof/>
            <w:webHidden/>
          </w:rPr>
        </w:r>
        <w:r w:rsidR="003344C1">
          <w:rPr>
            <w:noProof/>
            <w:webHidden/>
          </w:rPr>
          <w:fldChar w:fldCharType="separate"/>
        </w:r>
        <w:r w:rsidR="001421AC">
          <w:rPr>
            <w:noProof/>
            <w:webHidden/>
          </w:rPr>
          <w:t>7</w:t>
        </w:r>
        <w:r w:rsidR="003344C1">
          <w:rPr>
            <w:noProof/>
            <w:webHidden/>
          </w:rPr>
          <w:fldChar w:fldCharType="end"/>
        </w:r>
      </w:hyperlink>
    </w:p>
    <w:p w14:paraId="7628DF62" w14:textId="441FE39C" w:rsidR="003344C1" w:rsidRDefault="00AC302F">
      <w:pPr>
        <w:pStyle w:val="TOC2"/>
        <w:rPr>
          <w:rFonts w:asciiTheme="minorHAnsi" w:eastAsiaTheme="minorEastAsia" w:hAnsiTheme="minorHAnsi" w:cstheme="minorBidi"/>
          <w:noProof/>
          <w:color w:val="auto"/>
          <w:sz w:val="22"/>
        </w:rPr>
      </w:pPr>
      <w:hyperlink w:anchor="_Toc25664592" w:history="1">
        <w:r w:rsidR="003344C1" w:rsidRPr="00A305BA">
          <w:rPr>
            <w:rStyle w:val="Hyperlink"/>
            <w:noProof/>
          </w:rPr>
          <w:t>A.</w:t>
        </w:r>
        <w:r w:rsidR="003344C1" w:rsidRPr="00A305BA">
          <w:rPr>
            <w:rStyle w:val="Hyperlink"/>
            <w:rFonts w:ascii="Arial" w:eastAsia="Arial" w:hAnsi="Arial" w:cs="Arial"/>
            <w:noProof/>
          </w:rPr>
          <w:t xml:space="preserve"> </w:t>
        </w:r>
        <w:r w:rsidR="003344C1">
          <w:rPr>
            <w:rFonts w:asciiTheme="minorHAnsi" w:eastAsiaTheme="minorEastAsia" w:hAnsiTheme="minorHAnsi" w:cstheme="minorBidi"/>
            <w:noProof/>
            <w:color w:val="auto"/>
            <w:sz w:val="22"/>
          </w:rPr>
          <w:tab/>
        </w:r>
        <w:r w:rsidR="003344C1" w:rsidRPr="00A305BA">
          <w:rPr>
            <w:rStyle w:val="Hyperlink"/>
            <w:noProof/>
          </w:rPr>
          <w:t>Essential Information Provided</w:t>
        </w:r>
        <w:r w:rsidR="003344C1">
          <w:rPr>
            <w:noProof/>
            <w:webHidden/>
          </w:rPr>
          <w:tab/>
        </w:r>
        <w:r w:rsidR="003344C1">
          <w:rPr>
            <w:noProof/>
            <w:webHidden/>
          </w:rPr>
          <w:fldChar w:fldCharType="begin"/>
        </w:r>
        <w:r w:rsidR="003344C1">
          <w:rPr>
            <w:noProof/>
            <w:webHidden/>
          </w:rPr>
          <w:instrText xml:space="preserve"> PAGEREF _Toc25664592 \h </w:instrText>
        </w:r>
        <w:r w:rsidR="003344C1">
          <w:rPr>
            <w:noProof/>
            <w:webHidden/>
          </w:rPr>
        </w:r>
        <w:r w:rsidR="003344C1">
          <w:rPr>
            <w:noProof/>
            <w:webHidden/>
          </w:rPr>
          <w:fldChar w:fldCharType="separate"/>
        </w:r>
        <w:r w:rsidR="001421AC">
          <w:rPr>
            <w:noProof/>
            <w:webHidden/>
          </w:rPr>
          <w:t>7</w:t>
        </w:r>
        <w:r w:rsidR="003344C1">
          <w:rPr>
            <w:noProof/>
            <w:webHidden/>
          </w:rPr>
          <w:fldChar w:fldCharType="end"/>
        </w:r>
      </w:hyperlink>
    </w:p>
    <w:p w14:paraId="190EADB6" w14:textId="135C9491" w:rsidR="003344C1" w:rsidRDefault="00AC302F">
      <w:pPr>
        <w:pStyle w:val="TOC2"/>
        <w:rPr>
          <w:rFonts w:asciiTheme="minorHAnsi" w:eastAsiaTheme="minorEastAsia" w:hAnsiTheme="minorHAnsi" w:cstheme="minorBidi"/>
          <w:noProof/>
          <w:color w:val="auto"/>
          <w:sz w:val="22"/>
        </w:rPr>
      </w:pPr>
      <w:hyperlink w:anchor="_Toc25664593" w:history="1">
        <w:r w:rsidR="003344C1" w:rsidRPr="00A305BA">
          <w:rPr>
            <w:rStyle w:val="Hyperlink"/>
            <w:noProof/>
          </w:rPr>
          <w:t>B.</w:t>
        </w:r>
        <w:r w:rsidR="003344C1" w:rsidRPr="00A305BA">
          <w:rPr>
            <w:rStyle w:val="Hyperlink"/>
            <w:rFonts w:ascii="Arial" w:eastAsia="Arial" w:hAnsi="Arial" w:cs="Arial"/>
            <w:noProof/>
          </w:rPr>
          <w:t xml:space="preserve"> </w:t>
        </w:r>
        <w:r w:rsidR="003344C1">
          <w:rPr>
            <w:rFonts w:asciiTheme="minorHAnsi" w:eastAsiaTheme="minorEastAsia" w:hAnsiTheme="minorHAnsi" w:cstheme="minorBidi"/>
            <w:noProof/>
            <w:color w:val="auto"/>
            <w:sz w:val="22"/>
          </w:rPr>
          <w:tab/>
        </w:r>
        <w:r w:rsidR="003344C1" w:rsidRPr="00A305BA">
          <w:rPr>
            <w:rStyle w:val="Hyperlink"/>
            <w:noProof/>
          </w:rPr>
          <w:t>Scope</w:t>
        </w:r>
        <w:r w:rsidR="003344C1">
          <w:rPr>
            <w:noProof/>
            <w:webHidden/>
          </w:rPr>
          <w:tab/>
        </w:r>
        <w:r w:rsidR="003344C1">
          <w:rPr>
            <w:noProof/>
            <w:webHidden/>
          </w:rPr>
          <w:fldChar w:fldCharType="begin"/>
        </w:r>
        <w:r w:rsidR="003344C1">
          <w:rPr>
            <w:noProof/>
            <w:webHidden/>
          </w:rPr>
          <w:instrText xml:space="preserve"> PAGEREF _Toc25664593 \h </w:instrText>
        </w:r>
        <w:r w:rsidR="003344C1">
          <w:rPr>
            <w:noProof/>
            <w:webHidden/>
          </w:rPr>
        </w:r>
        <w:r w:rsidR="003344C1">
          <w:rPr>
            <w:noProof/>
            <w:webHidden/>
          </w:rPr>
          <w:fldChar w:fldCharType="separate"/>
        </w:r>
        <w:r w:rsidR="001421AC">
          <w:rPr>
            <w:noProof/>
            <w:webHidden/>
          </w:rPr>
          <w:t>8</w:t>
        </w:r>
        <w:r w:rsidR="003344C1">
          <w:rPr>
            <w:noProof/>
            <w:webHidden/>
          </w:rPr>
          <w:fldChar w:fldCharType="end"/>
        </w:r>
      </w:hyperlink>
    </w:p>
    <w:p w14:paraId="632AE360" w14:textId="062C8799" w:rsidR="003344C1" w:rsidRDefault="00AC302F">
      <w:pPr>
        <w:pStyle w:val="TOC2"/>
        <w:rPr>
          <w:rFonts w:asciiTheme="minorHAnsi" w:eastAsiaTheme="minorEastAsia" w:hAnsiTheme="minorHAnsi" w:cstheme="minorBidi"/>
          <w:noProof/>
          <w:color w:val="auto"/>
          <w:sz w:val="22"/>
        </w:rPr>
      </w:pPr>
      <w:hyperlink w:anchor="_Toc25664594" w:history="1">
        <w:r w:rsidR="003344C1" w:rsidRPr="00A305BA">
          <w:rPr>
            <w:rStyle w:val="Hyperlink"/>
            <w:noProof/>
          </w:rPr>
          <w:t>C.</w:t>
        </w:r>
        <w:r w:rsidR="003344C1" w:rsidRPr="00A305BA">
          <w:rPr>
            <w:rStyle w:val="Hyperlink"/>
            <w:rFonts w:ascii="Arial" w:eastAsia="Arial" w:hAnsi="Arial" w:cs="Arial"/>
            <w:noProof/>
          </w:rPr>
          <w:t xml:space="preserve"> </w:t>
        </w:r>
        <w:r w:rsidR="003344C1">
          <w:rPr>
            <w:rFonts w:asciiTheme="minorHAnsi" w:eastAsiaTheme="minorEastAsia" w:hAnsiTheme="minorHAnsi" w:cstheme="minorBidi"/>
            <w:noProof/>
            <w:color w:val="auto"/>
            <w:sz w:val="22"/>
          </w:rPr>
          <w:tab/>
        </w:r>
        <w:r w:rsidR="003344C1" w:rsidRPr="00A305BA">
          <w:rPr>
            <w:rStyle w:val="Hyperlink"/>
            <w:noProof/>
          </w:rPr>
          <w:t xml:space="preserve">FDA Decision Making Rationale </w:t>
        </w:r>
        <w:r w:rsidR="003344C1">
          <w:rPr>
            <w:noProof/>
            <w:webHidden/>
          </w:rPr>
          <w:tab/>
        </w:r>
        <w:r w:rsidR="003344C1">
          <w:rPr>
            <w:noProof/>
            <w:webHidden/>
          </w:rPr>
          <w:fldChar w:fldCharType="begin"/>
        </w:r>
        <w:r w:rsidR="003344C1">
          <w:rPr>
            <w:noProof/>
            <w:webHidden/>
          </w:rPr>
          <w:instrText xml:space="preserve"> PAGEREF _Toc25664594 \h </w:instrText>
        </w:r>
        <w:r w:rsidR="003344C1">
          <w:rPr>
            <w:noProof/>
            <w:webHidden/>
          </w:rPr>
        </w:r>
        <w:r w:rsidR="003344C1">
          <w:rPr>
            <w:noProof/>
            <w:webHidden/>
          </w:rPr>
          <w:fldChar w:fldCharType="separate"/>
        </w:r>
        <w:r w:rsidR="001421AC">
          <w:rPr>
            <w:noProof/>
            <w:webHidden/>
          </w:rPr>
          <w:t>8</w:t>
        </w:r>
        <w:r w:rsidR="003344C1">
          <w:rPr>
            <w:noProof/>
            <w:webHidden/>
          </w:rPr>
          <w:fldChar w:fldCharType="end"/>
        </w:r>
      </w:hyperlink>
    </w:p>
    <w:p w14:paraId="7F61C5EB" w14:textId="6A0FDE25" w:rsidR="003344C1" w:rsidRDefault="00AC302F">
      <w:pPr>
        <w:pStyle w:val="TOC1"/>
        <w:rPr>
          <w:rFonts w:asciiTheme="minorHAnsi" w:eastAsiaTheme="minorEastAsia" w:hAnsiTheme="minorHAnsi" w:cstheme="minorBidi"/>
          <w:noProof/>
          <w:color w:val="auto"/>
          <w:sz w:val="22"/>
        </w:rPr>
      </w:pPr>
      <w:hyperlink w:anchor="_Toc25664595" w:history="1">
        <w:r w:rsidR="003344C1" w:rsidRPr="00A305BA">
          <w:rPr>
            <w:rStyle w:val="Hyperlink"/>
            <w:noProof/>
          </w:rPr>
          <w:t>VI.</w:t>
        </w:r>
        <w:r w:rsidR="003344C1" w:rsidRPr="00A305BA">
          <w:rPr>
            <w:rStyle w:val="Hyperlink"/>
            <w:rFonts w:ascii="Arial" w:eastAsia="Arial" w:hAnsi="Arial" w:cs="Arial"/>
            <w:noProof/>
          </w:rPr>
          <w:t xml:space="preserve"> </w:t>
        </w:r>
        <w:r w:rsidR="003344C1" w:rsidRPr="00A305BA">
          <w:rPr>
            <w:rStyle w:val="Hyperlink"/>
            <w:noProof/>
          </w:rPr>
          <w:t>Withdrawal of Recognition</w:t>
        </w:r>
        <w:r w:rsidR="003344C1">
          <w:rPr>
            <w:noProof/>
            <w:webHidden/>
          </w:rPr>
          <w:tab/>
        </w:r>
        <w:r w:rsidR="003344C1">
          <w:rPr>
            <w:noProof/>
            <w:webHidden/>
          </w:rPr>
          <w:fldChar w:fldCharType="begin"/>
        </w:r>
        <w:r w:rsidR="003344C1">
          <w:rPr>
            <w:noProof/>
            <w:webHidden/>
          </w:rPr>
          <w:instrText xml:space="preserve"> PAGEREF _Toc25664595 \h </w:instrText>
        </w:r>
        <w:r w:rsidR="003344C1">
          <w:rPr>
            <w:noProof/>
            <w:webHidden/>
          </w:rPr>
        </w:r>
        <w:r w:rsidR="003344C1">
          <w:rPr>
            <w:noProof/>
            <w:webHidden/>
          </w:rPr>
          <w:fldChar w:fldCharType="separate"/>
        </w:r>
        <w:r w:rsidR="001421AC">
          <w:rPr>
            <w:noProof/>
            <w:webHidden/>
          </w:rPr>
          <w:t>8</w:t>
        </w:r>
        <w:r w:rsidR="003344C1">
          <w:rPr>
            <w:noProof/>
            <w:webHidden/>
          </w:rPr>
          <w:fldChar w:fldCharType="end"/>
        </w:r>
      </w:hyperlink>
    </w:p>
    <w:p w14:paraId="64F2C5B9" w14:textId="16647360" w:rsidR="003344C1" w:rsidRDefault="00AC302F">
      <w:pPr>
        <w:pStyle w:val="TOC2"/>
        <w:rPr>
          <w:rFonts w:asciiTheme="minorHAnsi" w:eastAsiaTheme="minorEastAsia" w:hAnsiTheme="minorHAnsi" w:cstheme="minorBidi"/>
          <w:noProof/>
          <w:color w:val="auto"/>
          <w:sz w:val="22"/>
        </w:rPr>
      </w:pPr>
      <w:hyperlink w:anchor="_Toc25664596" w:history="1">
        <w:r w:rsidR="003344C1" w:rsidRPr="00A305BA">
          <w:rPr>
            <w:rStyle w:val="Hyperlink"/>
            <w:noProof/>
          </w:rPr>
          <w:t>A.</w:t>
        </w:r>
        <w:r w:rsidR="003344C1">
          <w:rPr>
            <w:rFonts w:asciiTheme="minorHAnsi" w:eastAsiaTheme="minorEastAsia" w:hAnsiTheme="minorHAnsi" w:cstheme="minorBidi"/>
            <w:noProof/>
            <w:color w:val="auto"/>
            <w:sz w:val="22"/>
          </w:rPr>
          <w:tab/>
        </w:r>
        <w:r w:rsidR="003344C1" w:rsidRPr="00A305BA">
          <w:rPr>
            <w:rStyle w:val="Hyperlink"/>
            <w:noProof/>
          </w:rPr>
          <w:t>FDA-Recognized Consensus Standard Replaced by New Version</w:t>
        </w:r>
        <w:r w:rsidR="003344C1">
          <w:rPr>
            <w:noProof/>
            <w:webHidden/>
          </w:rPr>
          <w:tab/>
        </w:r>
        <w:r w:rsidR="003344C1">
          <w:rPr>
            <w:noProof/>
            <w:webHidden/>
          </w:rPr>
          <w:fldChar w:fldCharType="begin"/>
        </w:r>
        <w:r w:rsidR="003344C1">
          <w:rPr>
            <w:noProof/>
            <w:webHidden/>
          </w:rPr>
          <w:instrText xml:space="preserve"> PAGEREF _Toc25664596 \h </w:instrText>
        </w:r>
        <w:r w:rsidR="003344C1">
          <w:rPr>
            <w:noProof/>
            <w:webHidden/>
          </w:rPr>
        </w:r>
        <w:r w:rsidR="003344C1">
          <w:rPr>
            <w:noProof/>
            <w:webHidden/>
          </w:rPr>
          <w:fldChar w:fldCharType="separate"/>
        </w:r>
        <w:r w:rsidR="001421AC">
          <w:rPr>
            <w:noProof/>
            <w:webHidden/>
          </w:rPr>
          <w:t>8</w:t>
        </w:r>
        <w:r w:rsidR="003344C1">
          <w:rPr>
            <w:noProof/>
            <w:webHidden/>
          </w:rPr>
          <w:fldChar w:fldCharType="end"/>
        </w:r>
      </w:hyperlink>
    </w:p>
    <w:p w14:paraId="50984610" w14:textId="09E493C9" w:rsidR="003344C1" w:rsidRDefault="00AC302F">
      <w:pPr>
        <w:pStyle w:val="TOC2"/>
        <w:rPr>
          <w:rFonts w:asciiTheme="minorHAnsi" w:eastAsiaTheme="minorEastAsia" w:hAnsiTheme="minorHAnsi" w:cstheme="minorBidi"/>
          <w:noProof/>
          <w:color w:val="auto"/>
          <w:sz w:val="22"/>
        </w:rPr>
      </w:pPr>
      <w:hyperlink w:anchor="_Toc25664597" w:history="1">
        <w:r w:rsidR="003344C1" w:rsidRPr="00A305BA">
          <w:rPr>
            <w:rStyle w:val="Hyperlink"/>
            <w:noProof/>
          </w:rPr>
          <w:t>B.</w:t>
        </w:r>
        <w:r w:rsidR="003344C1">
          <w:rPr>
            <w:rFonts w:asciiTheme="minorHAnsi" w:eastAsiaTheme="minorEastAsia" w:hAnsiTheme="minorHAnsi" w:cstheme="minorBidi"/>
            <w:noProof/>
            <w:color w:val="auto"/>
            <w:sz w:val="22"/>
          </w:rPr>
          <w:tab/>
        </w:r>
        <w:r w:rsidR="003344C1" w:rsidRPr="00A305BA">
          <w:rPr>
            <w:rStyle w:val="Hyperlink"/>
            <w:noProof/>
          </w:rPr>
          <w:t>FDA-Recognized Consensus Standard “no longer appropriate for meeting a requirement”</w:t>
        </w:r>
        <w:r w:rsidR="003344C1">
          <w:rPr>
            <w:noProof/>
            <w:webHidden/>
          </w:rPr>
          <w:tab/>
        </w:r>
        <w:r w:rsidR="003344C1">
          <w:rPr>
            <w:noProof/>
            <w:webHidden/>
          </w:rPr>
          <w:fldChar w:fldCharType="begin"/>
        </w:r>
        <w:r w:rsidR="003344C1">
          <w:rPr>
            <w:noProof/>
            <w:webHidden/>
          </w:rPr>
          <w:instrText xml:space="preserve"> PAGEREF _Toc25664597 \h </w:instrText>
        </w:r>
        <w:r w:rsidR="003344C1">
          <w:rPr>
            <w:noProof/>
            <w:webHidden/>
          </w:rPr>
        </w:r>
        <w:r w:rsidR="003344C1">
          <w:rPr>
            <w:noProof/>
            <w:webHidden/>
          </w:rPr>
          <w:fldChar w:fldCharType="separate"/>
        </w:r>
        <w:r w:rsidR="001421AC">
          <w:rPr>
            <w:noProof/>
            <w:webHidden/>
          </w:rPr>
          <w:t>9</w:t>
        </w:r>
        <w:r w:rsidR="003344C1">
          <w:rPr>
            <w:noProof/>
            <w:webHidden/>
          </w:rPr>
          <w:fldChar w:fldCharType="end"/>
        </w:r>
      </w:hyperlink>
    </w:p>
    <w:p w14:paraId="7CC4B750" w14:textId="5253B5B8" w:rsidR="003344C1" w:rsidRDefault="00AC302F">
      <w:pPr>
        <w:pStyle w:val="TOC1"/>
        <w:tabs>
          <w:tab w:val="left" w:pos="660"/>
        </w:tabs>
        <w:rPr>
          <w:rFonts w:asciiTheme="minorHAnsi" w:eastAsiaTheme="minorEastAsia" w:hAnsiTheme="minorHAnsi" w:cstheme="minorBidi"/>
          <w:noProof/>
          <w:color w:val="auto"/>
          <w:sz w:val="22"/>
        </w:rPr>
      </w:pPr>
      <w:hyperlink w:anchor="_Toc25664598" w:history="1">
        <w:r w:rsidR="003344C1" w:rsidRPr="00A305BA">
          <w:rPr>
            <w:rStyle w:val="Hyperlink"/>
            <w:noProof/>
          </w:rPr>
          <w:t>VII.</w:t>
        </w:r>
        <w:r w:rsidR="003344C1">
          <w:rPr>
            <w:rFonts w:asciiTheme="minorHAnsi" w:eastAsiaTheme="minorEastAsia" w:hAnsiTheme="minorHAnsi" w:cstheme="minorBidi"/>
            <w:noProof/>
            <w:color w:val="auto"/>
            <w:sz w:val="22"/>
          </w:rPr>
          <w:tab/>
        </w:r>
        <w:r w:rsidR="003344C1" w:rsidRPr="00A305BA">
          <w:rPr>
            <w:rStyle w:val="Hyperlink"/>
            <w:noProof/>
          </w:rPr>
          <w:t>Paperwork Reduction Act of 1995</w:t>
        </w:r>
        <w:r w:rsidR="003344C1">
          <w:rPr>
            <w:noProof/>
            <w:webHidden/>
          </w:rPr>
          <w:tab/>
        </w:r>
        <w:r w:rsidR="003344C1">
          <w:rPr>
            <w:noProof/>
            <w:webHidden/>
          </w:rPr>
          <w:fldChar w:fldCharType="begin"/>
        </w:r>
        <w:r w:rsidR="003344C1">
          <w:rPr>
            <w:noProof/>
            <w:webHidden/>
          </w:rPr>
          <w:instrText xml:space="preserve"> PAGEREF _Toc25664598 \h </w:instrText>
        </w:r>
        <w:r w:rsidR="003344C1">
          <w:rPr>
            <w:noProof/>
            <w:webHidden/>
          </w:rPr>
        </w:r>
        <w:r w:rsidR="003344C1">
          <w:rPr>
            <w:noProof/>
            <w:webHidden/>
          </w:rPr>
          <w:fldChar w:fldCharType="separate"/>
        </w:r>
        <w:r w:rsidR="001421AC">
          <w:rPr>
            <w:noProof/>
            <w:webHidden/>
          </w:rPr>
          <w:t>9</w:t>
        </w:r>
        <w:r w:rsidR="003344C1">
          <w:rPr>
            <w:noProof/>
            <w:webHidden/>
          </w:rPr>
          <w:fldChar w:fldCharType="end"/>
        </w:r>
      </w:hyperlink>
    </w:p>
    <w:p w14:paraId="6495FAF2" w14:textId="7B387671" w:rsidR="00E762C3" w:rsidRPr="005D26AD" w:rsidRDefault="00E762C3">
      <w:pPr>
        <w:spacing w:after="160" w:line="259" w:lineRule="auto"/>
        <w:ind w:left="0" w:right="0" w:firstLine="0"/>
      </w:pPr>
      <w:r w:rsidRPr="005D26AD">
        <w:fldChar w:fldCharType="end"/>
      </w:r>
    </w:p>
    <w:p w14:paraId="68C9093A" w14:textId="77777777" w:rsidR="00E762C3" w:rsidRPr="005D26AD" w:rsidRDefault="00E762C3">
      <w:pPr>
        <w:spacing w:after="160" w:line="259" w:lineRule="auto"/>
        <w:ind w:left="0" w:right="0" w:firstLine="0"/>
      </w:pPr>
    </w:p>
    <w:p w14:paraId="0373E4D1" w14:textId="77777777" w:rsidR="00257F75" w:rsidRPr="005D26AD" w:rsidRDefault="00257F75">
      <w:pPr>
        <w:sectPr w:rsidR="00257F75" w:rsidRPr="005D26AD" w:rsidSect="00866AA8">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81" w:footer="720" w:gutter="0"/>
          <w:cols w:space="720"/>
          <w:titlePg/>
          <w:docGrid w:linePitch="326"/>
        </w:sectPr>
      </w:pPr>
    </w:p>
    <w:p w14:paraId="411BBEA2" w14:textId="5486581B" w:rsidR="007B3136" w:rsidRPr="00D770E6" w:rsidRDefault="007B3136" w:rsidP="007B3136">
      <w:pPr>
        <w:jc w:val="center"/>
        <w:rPr>
          <w:b/>
          <w:sz w:val="56"/>
          <w:szCs w:val="56"/>
        </w:rPr>
      </w:pPr>
      <w:r>
        <w:rPr>
          <w:b/>
          <w:sz w:val="56"/>
          <w:szCs w:val="56"/>
        </w:rPr>
        <w:lastRenderedPageBreak/>
        <w:t>Recognition and Withdrawal of Voluntary Consensus Standards</w:t>
      </w:r>
      <w:r w:rsidR="0081415A">
        <w:rPr>
          <w:b/>
          <w:sz w:val="56"/>
          <w:szCs w:val="56"/>
        </w:rPr>
        <w:t xml:space="preserve"> </w:t>
      </w:r>
    </w:p>
    <w:p w14:paraId="58A58CA0" w14:textId="00F1864B" w:rsidR="007B3136" w:rsidRDefault="007B3136" w:rsidP="007B3136">
      <w:pPr>
        <w:widowControl w:val="0"/>
        <w:pBdr>
          <w:bottom w:val="single" w:sz="4" w:space="1" w:color="auto"/>
        </w:pBdr>
        <w:tabs>
          <w:tab w:val="left" w:pos="4410"/>
          <w:tab w:val="left" w:pos="7020"/>
        </w:tabs>
        <w:jc w:val="center"/>
        <w:rPr>
          <w:b/>
          <w:sz w:val="16"/>
          <w:szCs w:val="16"/>
        </w:rPr>
      </w:pPr>
    </w:p>
    <w:p w14:paraId="6210AD6A" w14:textId="4CB9A17E" w:rsidR="007B3136" w:rsidRPr="00D770E6" w:rsidRDefault="007B3136" w:rsidP="007B3136">
      <w:pPr>
        <w:jc w:val="center"/>
        <w:rPr>
          <w:b/>
          <w:sz w:val="56"/>
          <w:szCs w:val="56"/>
        </w:rPr>
      </w:pPr>
      <w:r w:rsidRPr="00D770E6">
        <w:rPr>
          <w:b/>
          <w:sz w:val="56"/>
          <w:szCs w:val="56"/>
        </w:rPr>
        <w:t>Guidance for Industry and</w:t>
      </w:r>
    </w:p>
    <w:p w14:paraId="34D9ACCD" w14:textId="77777777" w:rsidR="007B3136" w:rsidRPr="00D770E6" w:rsidRDefault="007B3136" w:rsidP="00CF2A4A">
      <w:pPr>
        <w:ind w:left="0" w:right="-30"/>
        <w:jc w:val="center"/>
        <w:rPr>
          <w:b/>
          <w:sz w:val="56"/>
          <w:szCs w:val="56"/>
        </w:rPr>
      </w:pPr>
      <w:r w:rsidRPr="00D770E6">
        <w:rPr>
          <w:b/>
          <w:sz w:val="56"/>
          <w:szCs w:val="56"/>
        </w:rPr>
        <w:t>Food and Drug Administration Staff</w:t>
      </w:r>
    </w:p>
    <w:p w14:paraId="7D13769B" w14:textId="77777777" w:rsidR="006F75D4" w:rsidRPr="005D26AD" w:rsidRDefault="006F75D4" w:rsidP="006F75D4"/>
    <w:p w14:paraId="6EBA1117" w14:textId="5BAFBCA8" w:rsidR="006F75D4" w:rsidRPr="005D26AD" w:rsidRDefault="006F75D4" w:rsidP="006F75D4">
      <w:pPr>
        <w:pStyle w:val="box"/>
        <w:rPr>
          <w:b/>
          <w:i/>
          <w:sz w:val="24"/>
        </w:rPr>
      </w:pPr>
      <w:r w:rsidRPr="005D26AD">
        <w:rPr>
          <w:b/>
          <w:i/>
          <w:sz w:val="24"/>
        </w:rPr>
        <w:t xml:space="preserve">This guidance represents the current thinking of the Food and Drug Administration (FDA or Agency) on this topic.  It does not establish any rights for any person and is not binding on FDA or the public.  You can use an alternative approach if it satisfies the requirements of the applicable statutes and regulations.  To discuss an alternative approach, contact the FDA staff or Office responsible for this guidance as listed on the title page. </w:t>
      </w:r>
    </w:p>
    <w:p w14:paraId="732E9810" w14:textId="77777777" w:rsidR="006F75D4" w:rsidRPr="005D26AD" w:rsidRDefault="006F75D4">
      <w:pPr>
        <w:spacing w:after="147" w:line="259" w:lineRule="auto"/>
        <w:ind w:left="-29" w:right="0" w:firstLine="0"/>
      </w:pPr>
    </w:p>
    <w:p w14:paraId="5D8C8FA1" w14:textId="77777777" w:rsidR="00257F75" w:rsidRPr="002760AB" w:rsidRDefault="00AA667B" w:rsidP="002760AB">
      <w:pPr>
        <w:pStyle w:val="Heading1"/>
        <w:jc w:val="left"/>
        <w:rPr>
          <w:sz w:val="36"/>
          <w:szCs w:val="36"/>
        </w:rPr>
      </w:pPr>
      <w:bookmarkStart w:id="12" w:name="_Toc6928732"/>
      <w:bookmarkStart w:id="13" w:name="_Toc25664582"/>
      <w:r w:rsidRPr="002760AB">
        <w:rPr>
          <w:sz w:val="36"/>
          <w:szCs w:val="36"/>
        </w:rPr>
        <w:t>I.</w:t>
      </w:r>
      <w:r w:rsidR="00DC0210" w:rsidRPr="002760AB">
        <w:rPr>
          <w:rFonts w:ascii="Arial" w:eastAsia="Arial" w:hAnsi="Arial" w:cs="Arial"/>
          <w:sz w:val="36"/>
          <w:szCs w:val="36"/>
        </w:rPr>
        <w:t xml:space="preserve"> </w:t>
      </w:r>
      <w:bookmarkStart w:id="14" w:name="_Toc334461114"/>
      <w:bookmarkStart w:id="15" w:name="_Toc294613589"/>
      <w:bookmarkStart w:id="16" w:name="_Toc287954626"/>
      <w:bookmarkStart w:id="17" w:name="_Toc283809229"/>
      <w:bookmarkStart w:id="18" w:name="_Toc282028380"/>
      <w:bookmarkStart w:id="19" w:name="_Toc274822598"/>
      <w:bookmarkStart w:id="20" w:name="_Toc479321897"/>
      <w:bookmarkStart w:id="21" w:name="_Toc485023800"/>
      <w:bookmarkStart w:id="22" w:name="_Toc505847568"/>
      <w:bookmarkStart w:id="23" w:name="_Toc501552205"/>
      <w:bookmarkStart w:id="24" w:name="_Toc512340313"/>
      <w:bookmarkStart w:id="25" w:name="_Toc519597102"/>
      <w:bookmarkStart w:id="26" w:name="OLE_LINK4"/>
      <w:bookmarkStart w:id="27" w:name="OLE_LINK3"/>
      <w:bookmarkStart w:id="28" w:name="_Toc462221103"/>
      <w:r w:rsidRPr="002760AB">
        <w:rPr>
          <w:sz w:val="36"/>
          <w:szCs w:val="36"/>
        </w:rPr>
        <w:t>Introduction</w:t>
      </w:r>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2760AB">
        <w:rPr>
          <w:sz w:val="36"/>
          <w:szCs w:val="36"/>
        </w:rPr>
        <w:t xml:space="preserve"> </w:t>
      </w:r>
    </w:p>
    <w:p w14:paraId="746EEA07" w14:textId="1C45E501" w:rsidR="00257F75" w:rsidRDefault="00AA667B" w:rsidP="00235A98">
      <w:pPr>
        <w:spacing w:after="228"/>
        <w:ind w:left="-5" w:right="58"/>
      </w:pPr>
      <w:r w:rsidRPr="005D26AD">
        <w:t>The Food and Drug Administration (FDA) developed this document to provide guidance to industry and FDA staff about the procedures the Center for Devices and Radiological Health (CDRH) follows when we receive a request for recognition of a voluntary consensus standard</w:t>
      </w:r>
      <w:r w:rsidR="00B96F78">
        <w:t xml:space="preserve"> for medical </w:t>
      </w:r>
      <w:r w:rsidR="001D4C2F">
        <w:t>products</w:t>
      </w:r>
      <w:r w:rsidRPr="005D26AD">
        <w:t>.</w:t>
      </w:r>
      <w:r w:rsidRPr="00235A98">
        <w:rPr>
          <w:vertAlign w:val="superscript"/>
        </w:rPr>
        <w:footnoteReference w:id="2"/>
      </w:r>
      <w:r w:rsidRPr="005D26AD">
        <w:t xml:space="preserve"> The guidance outlines principles for recognizing a standard wholly, partly, or not at all, as well as reasons and rationales for withdrawing a standard. </w:t>
      </w:r>
    </w:p>
    <w:p w14:paraId="7FFC3700" w14:textId="0131CD85" w:rsidR="008D407F" w:rsidRDefault="008D407F" w:rsidP="00235A98">
      <w:pPr>
        <w:spacing w:after="228"/>
        <w:ind w:left="-5" w:right="58"/>
      </w:pPr>
      <w:r w:rsidRPr="00F3225E">
        <w:t xml:space="preserve">For the current edition of the FDA-recognized standard(s) referenced in this document, see the </w:t>
      </w:r>
      <w:hyperlink r:id="rId27" w:history="1">
        <w:r w:rsidRPr="002D4CDD">
          <w:rPr>
            <w:rStyle w:val="Hyperlink"/>
            <w:szCs w:val="24"/>
          </w:rPr>
          <w:t>FDA Recognized Consensus Standards Database</w:t>
        </w:r>
      </w:hyperlink>
      <w:r w:rsidRPr="00F3225E">
        <w:t>.</w:t>
      </w:r>
      <w:r>
        <w:rPr>
          <w:rStyle w:val="FootnoteReference"/>
          <w:szCs w:val="24"/>
        </w:rPr>
        <w:footnoteReference w:id="3"/>
      </w:r>
      <w:r>
        <w:t xml:space="preserve"> </w:t>
      </w:r>
      <w:r w:rsidRPr="00F3225E">
        <w:t xml:space="preserve">  </w:t>
      </w:r>
    </w:p>
    <w:p w14:paraId="5E1506E0" w14:textId="6A112A5A" w:rsidR="00257F75" w:rsidRPr="005D26AD" w:rsidRDefault="00AA667B" w:rsidP="00235A98">
      <w:pPr>
        <w:spacing w:after="360"/>
        <w:ind w:left="-5" w:right="58"/>
      </w:pPr>
      <w:r w:rsidRPr="005D26AD">
        <w:t xml:space="preserve">FDA’s guidance documents, including this guidance, do not establish legally enforceable responsibilities. Instead, </w:t>
      </w:r>
      <w:proofErr w:type="spellStart"/>
      <w:r w:rsidRPr="005D26AD">
        <w:t>guidances</w:t>
      </w:r>
      <w:proofErr w:type="spellEnd"/>
      <w:r w:rsidRPr="005D26AD">
        <w:t xml:space="preserve"> describe the Agency’s current thinking on a topic and should be viewed only as recommendations, unless specific regulatory or statutory requirements are cited. The use of the word </w:t>
      </w:r>
      <w:r w:rsidRPr="005D26AD">
        <w:rPr>
          <w:i/>
        </w:rPr>
        <w:t>should</w:t>
      </w:r>
      <w:r w:rsidRPr="005D26AD">
        <w:t xml:space="preserve"> in Agency guidance means that something is suggested or recommended, but not required. </w:t>
      </w:r>
    </w:p>
    <w:p w14:paraId="67B5B4C9" w14:textId="77777777" w:rsidR="00257F75" w:rsidRPr="002760AB" w:rsidRDefault="00AA667B" w:rsidP="002760AB">
      <w:pPr>
        <w:pStyle w:val="Heading1"/>
        <w:jc w:val="left"/>
        <w:rPr>
          <w:sz w:val="36"/>
          <w:szCs w:val="36"/>
        </w:rPr>
      </w:pPr>
      <w:bookmarkStart w:id="29" w:name="_Toc6928733"/>
      <w:bookmarkStart w:id="30" w:name="_Toc25664583"/>
      <w:bookmarkEnd w:id="26"/>
      <w:bookmarkEnd w:id="27"/>
      <w:r w:rsidRPr="002760AB">
        <w:rPr>
          <w:sz w:val="36"/>
          <w:szCs w:val="36"/>
        </w:rPr>
        <w:t>II.</w:t>
      </w:r>
      <w:r w:rsidRPr="002760AB">
        <w:rPr>
          <w:rFonts w:ascii="Arial" w:eastAsia="Arial" w:hAnsi="Arial" w:cs="Arial"/>
          <w:sz w:val="36"/>
          <w:szCs w:val="36"/>
        </w:rPr>
        <w:t xml:space="preserve"> </w:t>
      </w:r>
      <w:bookmarkStart w:id="31" w:name="_Toc334461115"/>
      <w:bookmarkStart w:id="32" w:name="_Toc294613590"/>
      <w:bookmarkStart w:id="33" w:name="_Toc287954627"/>
      <w:bookmarkStart w:id="34" w:name="_Toc283809230"/>
      <w:bookmarkStart w:id="35" w:name="_Toc282028381"/>
      <w:bookmarkStart w:id="36" w:name="_Toc274822599"/>
      <w:bookmarkStart w:id="37" w:name="_Toc479321898"/>
      <w:bookmarkStart w:id="38" w:name="_Toc485023801"/>
      <w:bookmarkStart w:id="39" w:name="_Toc505847569"/>
      <w:bookmarkStart w:id="40" w:name="_Toc501552206"/>
      <w:bookmarkStart w:id="41" w:name="_Toc512340314"/>
      <w:bookmarkStart w:id="42" w:name="_Toc519597103"/>
      <w:r w:rsidRPr="002760AB">
        <w:rPr>
          <w:sz w:val="36"/>
          <w:szCs w:val="36"/>
        </w:rPr>
        <w:t>Background</w:t>
      </w:r>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2760AB">
        <w:rPr>
          <w:sz w:val="36"/>
          <w:szCs w:val="36"/>
        </w:rPr>
        <w:t xml:space="preserve"> </w:t>
      </w:r>
    </w:p>
    <w:p w14:paraId="40E57510" w14:textId="406F0FC9" w:rsidR="00257F75" w:rsidRDefault="00AA667B" w:rsidP="00235A98">
      <w:pPr>
        <w:ind w:left="-5" w:right="58"/>
      </w:pPr>
      <w:r w:rsidRPr="005D26AD">
        <w:t xml:space="preserve">Congress enacted the Food and Drug Administration Modernization Act of 1997 (FDAMA) (Pub. L. 105-115) and the 21st Century Cures Act </w:t>
      </w:r>
      <w:r w:rsidR="002037EB">
        <w:t>of</w:t>
      </w:r>
      <w:r w:rsidRPr="005D26AD">
        <w:t xml:space="preserve"> 2016 (Pub. L. 114-255). These acts </w:t>
      </w:r>
      <w:r w:rsidRPr="005D26AD">
        <w:lastRenderedPageBreak/>
        <w:t xml:space="preserve">amended the Federal Food, Drug, and Cosmetic Act (FD&amp;C Act) by amending section 514(c), 21 U.S.C. 360d(c), regarding the recognition of standards. </w:t>
      </w:r>
    </w:p>
    <w:p w14:paraId="33B43D8B" w14:textId="77777777" w:rsidR="00470BAF" w:rsidRPr="005D26AD" w:rsidRDefault="00470BAF" w:rsidP="00235A98">
      <w:pPr>
        <w:ind w:left="-5" w:right="58"/>
      </w:pPr>
    </w:p>
    <w:p w14:paraId="200D1557" w14:textId="7FBD633D" w:rsidR="00EA54F4" w:rsidRPr="00EA54F4" w:rsidRDefault="00AA667B" w:rsidP="00235A98">
      <w:pPr>
        <w:spacing w:after="230"/>
        <w:ind w:left="-5" w:right="58"/>
        <w:rPr>
          <w:szCs w:val="24"/>
        </w:rPr>
      </w:pPr>
      <w:r w:rsidRPr="005D26AD">
        <w:t>The term “</w:t>
      </w:r>
      <w:proofErr w:type="gramStart"/>
      <w:r w:rsidRPr="005D26AD">
        <w:t>recognize</w:t>
      </w:r>
      <w:proofErr w:type="gramEnd"/>
      <w:r w:rsidRPr="005D26AD">
        <w:t xml:space="preserve">” in section 514(c) of the FD&amp;C Act refers to FDA’s identification of standards as appropriate for manufacturers </w:t>
      </w:r>
      <w:r w:rsidRPr="00A462D9">
        <w:t>of products</w:t>
      </w:r>
      <w:r w:rsidRPr="001D232B">
        <w:t xml:space="preserve"> </w:t>
      </w:r>
      <w:r w:rsidRPr="005D26AD">
        <w:t xml:space="preserve">to declare conformance to meet relevant requirements under the FD&amp;C Act, including premarket submission requirements. </w:t>
      </w:r>
      <w:r w:rsidR="00EA54F4" w:rsidRPr="00F90DDC">
        <w:rPr>
          <w:szCs w:val="24"/>
        </w:rPr>
        <w:t xml:space="preserve">This guidance refers to voluntary consensus standards recognized by FDA in the </w:t>
      </w:r>
      <w:r w:rsidR="00EA54F4" w:rsidRPr="00F90DDC">
        <w:rPr>
          <w:i/>
          <w:iCs/>
          <w:szCs w:val="24"/>
        </w:rPr>
        <w:t xml:space="preserve">Federal Register </w:t>
      </w:r>
      <w:r w:rsidR="00EA54F4" w:rsidRPr="00F90DDC">
        <w:rPr>
          <w:szCs w:val="24"/>
        </w:rPr>
        <w:t>in accordance with section 514(c) of the FD&amp;C Act as “FDA-recognized consensus standards.”</w:t>
      </w:r>
    </w:p>
    <w:p w14:paraId="56747C4B" w14:textId="36D3DBCE" w:rsidR="00257F75" w:rsidRPr="005D26AD" w:rsidRDefault="008825FE" w:rsidP="00235A98">
      <w:pPr>
        <w:spacing w:after="360"/>
        <w:ind w:left="-5" w:right="58"/>
      </w:pPr>
      <w:r w:rsidRPr="005D26AD">
        <w:t>CDRH’s Standards and Conformity Assessment Program (S-CAP)</w:t>
      </w:r>
      <w:r w:rsidR="00AA667B" w:rsidRPr="005D26AD">
        <w:t xml:space="preserve"> furthers the aim of international harmonization because the same standards (or international equivalents) are relied upon by sponsors to meet other countries’ regulatory requirements when appropriate. For example, adherence to such standards is an optional method of meeting </w:t>
      </w:r>
      <w:r w:rsidR="00FD770E" w:rsidRPr="00FD770E">
        <w:t>the General Safety and Performance Requirements (“GSPR”) under the European Medical Device Regulation (“EU MDR”)</w:t>
      </w:r>
      <w:r w:rsidR="00AA667B" w:rsidRPr="005D26AD">
        <w:t xml:space="preserve">. </w:t>
      </w:r>
    </w:p>
    <w:p w14:paraId="4DD11D64" w14:textId="77777777" w:rsidR="00257F75" w:rsidRPr="002760AB" w:rsidRDefault="00AA667B" w:rsidP="002760AB">
      <w:pPr>
        <w:pStyle w:val="Heading1"/>
        <w:jc w:val="left"/>
        <w:rPr>
          <w:sz w:val="36"/>
          <w:szCs w:val="36"/>
        </w:rPr>
      </w:pPr>
      <w:bookmarkStart w:id="43" w:name="_Toc6928734"/>
      <w:bookmarkStart w:id="44" w:name="_Toc25664584"/>
      <w:r w:rsidRPr="002760AB">
        <w:rPr>
          <w:sz w:val="36"/>
          <w:szCs w:val="36"/>
        </w:rPr>
        <w:t>III.</w:t>
      </w:r>
      <w:r w:rsidRPr="002760AB">
        <w:rPr>
          <w:rFonts w:ascii="Arial" w:eastAsia="Arial" w:hAnsi="Arial" w:cs="Arial"/>
          <w:sz w:val="36"/>
          <w:szCs w:val="36"/>
        </w:rPr>
        <w:t xml:space="preserve"> </w:t>
      </w:r>
      <w:bookmarkStart w:id="45" w:name="_Toc334461124"/>
      <w:bookmarkStart w:id="46" w:name="_Toc479321899"/>
      <w:bookmarkStart w:id="47" w:name="_Toc485023802"/>
      <w:bookmarkStart w:id="48" w:name="_Toc505847570"/>
      <w:bookmarkStart w:id="49" w:name="_Toc501552207"/>
      <w:bookmarkStart w:id="50" w:name="_Toc512340315"/>
      <w:bookmarkStart w:id="51" w:name="_Toc519597104"/>
      <w:bookmarkStart w:id="52" w:name="_Toc294613591"/>
      <w:bookmarkStart w:id="53" w:name="_Toc287954628"/>
      <w:bookmarkStart w:id="54" w:name="_Toc283809231"/>
      <w:bookmarkStart w:id="55" w:name="_Toc282028382"/>
      <w:r w:rsidRPr="002760AB">
        <w:rPr>
          <w:sz w:val="36"/>
          <w:szCs w:val="36"/>
        </w:rPr>
        <w:t>S</w:t>
      </w:r>
      <w:bookmarkEnd w:id="45"/>
      <w:r w:rsidRPr="002760AB">
        <w:rPr>
          <w:sz w:val="36"/>
          <w:szCs w:val="36"/>
        </w:rPr>
        <w:t>cope</w:t>
      </w:r>
      <w:bookmarkEnd w:id="43"/>
      <w:bookmarkEnd w:id="44"/>
      <w:bookmarkEnd w:id="46"/>
      <w:bookmarkEnd w:id="47"/>
      <w:bookmarkEnd w:id="48"/>
      <w:bookmarkEnd w:id="49"/>
      <w:bookmarkEnd w:id="50"/>
      <w:bookmarkEnd w:id="51"/>
      <w:r w:rsidRPr="002760AB">
        <w:rPr>
          <w:sz w:val="36"/>
          <w:szCs w:val="36"/>
        </w:rPr>
        <w:t xml:space="preserve"> </w:t>
      </w:r>
    </w:p>
    <w:p w14:paraId="6A615E7E" w14:textId="406AFC56" w:rsidR="00257F75" w:rsidRDefault="00AA667B" w:rsidP="00235A98">
      <w:pPr>
        <w:spacing w:after="360"/>
        <w:ind w:left="-5" w:right="58"/>
      </w:pPr>
      <w:r w:rsidRPr="005D26AD">
        <w:t xml:space="preserve">This guidance describes the procedures that FDA </w:t>
      </w:r>
      <w:r w:rsidR="008827FD" w:rsidRPr="005D26AD">
        <w:t>follows,</w:t>
      </w:r>
      <w:r w:rsidRPr="005D26AD">
        <w:t xml:space="preserve"> and the actions FDA may take during its review and evaluation of requests for standards recognition or the </w:t>
      </w:r>
      <w:r w:rsidR="00D33DFE">
        <w:t>withdrawal of</w:t>
      </w:r>
      <w:r w:rsidRPr="005D26AD">
        <w:t xml:space="preserve"> recognition. This guidance provides further clarity and explanation about the regulatory framework, policies, and practices </w:t>
      </w:r>
      <w:r w:rsidR="001C2A1D">
        <w:t>regarding FDA’s recognition and withdrawal of recognition of voluntary consensus standards.</w:t>
      </w:r>
      <w:r w:rsidRPr="005D26AD">
        <w:t xml:space="preserve"> </w:t>
      </w:r>
    </w:p>
    <w:p w14:paraId="3472E775" w14:textId="77777777" w:rsidR="00257F75" w:rsidRPr="002760AB" w:rsidRDefault="00AA667B" w:rsidP="002760AB">
      <w:pPr>
        <w:pStyle w:val="Heading1"/>
        <w:jc w:val="left"/>
        <w:rPr>
          <w:sz w:val="36"/>
          <w:szCs w:val="36"/>
        </w:rPr>
      </w:pPr>
      <w:bookmarkStart w:id="56" w:name="_Toc6928735"/>
      <w:bookmarkStart w:id="57" w:name="_Toc25664585"/>
      <w:r w:rsidRPr="002760AB">
        <w:rPr>
          <w:sz w:val="36"/>
          <w:szCs w:val="36"/>
        </w:rPr>
        <w:t>IV.</w:t>
      </w:r>
      <w:r w:rsidRPr="002760AB">
        <w:rPr>
          <w:rFonts w:ascii="Arial" w:eastAsia="Arial" w:hAnsi="Arial" w:cs="Arial"/>
          <w:sz w:val="36"/>
          <w:szCs w:val="36"/>
        </w:rPr>
        <w:t xml:space="preserve"> </w:t>
      </w:r>
      <w:bookmarkStart w:id="58" w:name="_Toc479321900"/>
      <w:bookmarkStart w:id="59" w:name="_Toc485023803"/>
      <w:bookmarkStart w:id="60" w:name="_Toc505847571"/>
      <w:bookmarkStart w:id="61" w:name="_Toc501552208"/>
      <w:bookmarkStart w:id="62" w:name="_Toc512340316"/>
      <w:bookmarkStart w:id="63" w:name="_Toc519597105"/>
      <w:r w:rsidRPr="002760AB">
        <w:rPr>
          <w:sz w:val="36"/>
          <w:szCs w:val="36"/>
        </w:rPr>
        <w:t>FDA Recognition of Standards</w:t>
      </w:r>
      <w:bookmarkEnd w:id="56"/>
      <w:bookmarkEnd w:id="57"/>
      <w:bookmarkEnd w:id="58"/>
      <w:bookmarkEnd w:id="59"/>
      <w:bookmarkEnd w:id="60"/>
      <w:bookmarkEnd w:id="61"/>
      <w:bookmarkEnd w:id="62"/>
      <w:bookmarkEnd w:id="63"/>
      <w:r w:rsidRPr="002760AB">
        <w:rPr>
          <w:sz w:val="36"/>
          <w:szCs w:val="36"/>
        </w:rPr>
        <w:t xml:space="preserve"> </w:t>
      </w:r>
    </w:p>
    <w:bookmarkEnd w:id="52"/>
    <w:bookmarkEnd w:id="53"/>
    <w:bookmarkEnd w:id="54"/>
    <w:bookmarkEnd w:id="55"/>
    <w:p w14:paraId="37264B9F" w14:textId="4EA00644" w:rsidR="00257F75" w:rsidRPr="005D26AD" w:rsidRDefault="00D33DFE" w:rsidP="00235A98">
      <w:pPr>
        <w:spacing w:after="237"/>
        <w:ind w:left="-5" w:right="58"/>
      </w:pPr>
      <w:r>
        <w:t xml:space="preserve">The Agency recognizes </w:t>
      </w:r>
      <w:r w:rsidR="00A52A4D">
        <w:t xml:space="preserve">voluntary </w:t>
      </w:r>
      <w:r>
        <w:t xml:space="preserve">consensus standards to help facilitate meeting requirements under the statute or regulations. </w:t>
      </w:r>
      <w:r w:rsidR="00AA667B" w:rsidRPr="005D26AD">
        <w:t xml:space="preserve">The use of </w:t>
      </w:r>
      <w:r w:rsidR="00C62946">
        <w:t>FDA-</w:t>
      </w:r>
      <w:r w:rsidR="00AA667B" w:rsidRPr="005D26AD">
        <w:t>recognized</w:t>
      </w:r>
      <w:r w:rsidR="003D2018" w:rsidRPr="005D26AD">
        <w:t xml:space="preserve"> </w:t>
      </w:r>
      <w:r w:rsidR="00AA667B" w:rsidRPr="005D26AD">
        <w:t xml:space="preserve">consensus standards can increase predictability, streamline premarket review, provide clearer regulatory expectations, facilitate market entry for safe and effective </w:t>
      </w:r>
      <w:r w:rsidR="00AA667B" w:rsidRPr="00A462D9">
        <w:t>medical products,</w:t>
      </w:r>
      <w:r w:rsidR="00AA667B" w:rsidRPr="005D26AD">
        <w:t xml:space="preserve"> and promote international harmonization. FDA considers for recognition voluntary consensus standards, i.e., standards </w:t>
      </w:r>
      <w:r w:rsidR="003D2018" w:rsidRPr="005D26AD">
        <w:t xml:space="preserve">that are </w:t>
      </w:r>
      <w:r w:rsidR="00AA667B" w:rsidRPr="005D26AD">
        <w:t xml:space="preserve">developed by </w:t>
      </w:r>
      <w:r>
        <w:t xml:space="preserve">voluntary </w:t>
      </w:r>
      <w:r w:rsidR="00AA667B" w:rsidRPr="005D26AD">
        <w:t xml:space="preserve">consensus standards </w:t>
      </w:r>
      <w:r>
        <w:t>bodies.</w:t>
      </w:r>
      <w:r w:rsidR="00AA667B" w:rsidRPr="005D26AD">
        <w:t xml:space="preserve"> These bodies are defined as any organization that plans, develops, establishes, or coordinates standards using </w:t>
      </w:r>
      <w:r w:rsidR="003D2018" w:rsidRPr="005D26AD">
        <w:t xml:space="preserve">a </w:t>
      </w:r>
      <w:r>
        <w:t xml:space="preserve">voluntary consensus standards development </w:t>
      </w:r>
      <w:r w:rsidR="00AA667B" w:rsidRPr="005D26AD">
        <w:t xml:space="preserve">process that </w:t>
      </w:r>
      <w:r>
        <w:t>includes the attributes or elements</w:t>
      </w:r>
      <w:r w:rsidR="00AA667B" w:rsidRPr="005D26AD">
        <w:t xml:space="preserve"> outlined in the </w:t>
      </w:r>
      <w:r>
        <w:t>OMB Circular A- 119, Federal Participation in the Development and Use of Voluntary Consensus Standards and in Conformity Assessment Activities.</w:t>
      </w:r>
      <w:r w:rsidR="00272420">
        <w:rPr>
          <w:rStyle w:val="FootnoteReference"/>
        </w:rPr>
        <w:footnoteReference w:id="4"/>
      </w:r>
      <w:r>
        <w:t xml:space="preserve"> We believe</w:t>
      </w:r>
      <w:r w:rsidR="00BD3838" w:rsidRPr="005D26AD">
        <w:t xml:space="preserve"> these </w:t>
      </w:r>
      <w:r>
        <w:t>attributes or elements help ensure that standards</w:t>
      </w:r>
      <w:r w:rsidR="00B47E48">
        <w:t xml:space="preserve"> recognized by FDA</w:t>
      </w:r>
      <w:r w:rsidR="00BD3838" w:rsidRPr="005D26AD">
        <w:t xml:space="preserve"> </w:t>
      </w:r>
      <w:r w:rsidR="00AA667B" w:rsidRPr="005D26AD">
        <w:t>are fair and relevant</w:t>
      </w:r>
      <w:r w:rsidR="006E5ACF" w:rsidRPr="005D26AD">
        <w:t xml:space="preserve"> and useful for regulatory purposes. This</w:t>
      </w:r>
      <w:r w:rsidR="00AA667B" w:rsidRPr="005D26AD">
        <w:t xml:space="preserve"> in turn encourages their use by manufacturers </w:t>
      </w:r>
      <w:r w:rsidR="006E5ACF" w:rsidRPr="005D26AD">
        <w:t>and advances opportunities for national and international</w:t>
      </w:r>
      <w:r w:rsidR="00AA667B" w:rsidRPr="005D26AD">
        <w:t xml:space="preserve"> harmonization. Specifically, these attributes or elements are</w:t>
      </w:r>
      <w:r w:rsidR="00F61937">
        <w:t>:</w:t>
      </w:r>
      <w:r w:rsidR="00AA667B" w:rsidRPr="005D26AD">
        <w:t xml:space="preserve"> </w:t>
      </w:r>
    </w:p>
    <w:p w14:paraId="532FDD9D" w14:textId="1CA32644" w:rsidR="00257F75" w:rsidRPr="005D26AD" w:rsidRDefault="00AA667B" w:rsidP="00235A98">
      <w:pPr>
        <w:numPr>
          <w:ilvl w:val="0"/>
          <w:numId w:val="1"/>
        </w:numPr>
        <w:ind w:right="58" w:hanging="360"/>
      </w:pPr>
      <w:r w:rsidRPr="005D26AD">
        <w:rPr>
          <w:i/>
        </w:rPr>
        <w:t>Openness</w:t>
      </w:r>
      <w:r w:rsidRPr="005D26AD">
        <w:t>. The procedures or processes used are open to interested parties. Such parties are provided meaningful opportunities to participate in standards development on a non</w:t>
      </w:r>
      <w:r w:rsidR="00E1629F" w:rsidRPr="005D26AD">
        <w:t>-</w:t>
      </w:r>
      <w:r w:rsidRPr="005D26AD">
        <w:lastRenderedPageBreak/>
        <w:t xml:space="preserve">discriminatory basis. The procedures or processes for participating in standards development and for developing the standard are transparent. </w:t>
      </w:r>
    </w:p>
    <w:p w14:paraId="6E55BB7B" w14:textId="77777777" w:rsidR="00257F75" w:rsidRPr="005D26AD" w:rsidRDefault="00AA667B" w:rsidP="00235A98">
      <w:pPr>
        <w:numPr>
          <w:ilvl w:val="0"/>
          <w:numId w:val="1"/>
        </w:numPr>
        <w:ind w:right="58" w:hanging="360"/>
      </w:pPr>
      <w:r w:rsidRPr="005D26AD">
        <w:rPr>
          <w:i/>
        </w:rPr>
        <w:t>Balance</w:t>
      </w:r>
      <w:r w:rsidRPr="00235A98">
        <w:t>.</w:t>
      </w:r>
      <w:r w:rsidRPr="005D26AD">
        <w:t xml:space="preserve"> The standards development process should be balanced. Specifically, there should be meaningful involvement from a broad range of parties, with no single interest dominating the decision-making. </w:t>
      </w:r>
    </w:p>
    <w:p w14:paraId="6A0649A7" w14:textId="3231E431" w:rsidR="00257F75" w:rsidRPr="005D26AD" w:rsidRDefault="00AA667B" w:rsidP="00235A98">
      <w:pPr>
        <w:numPr>
          <w:ilvl w:val="0"/>
          <w:numId w:val="1"/>
        </w:numPr>
        <w:ind w:right="58" w:hanging="360"/>
      </w:pPr>
      <w:r w:rsidRPr="005D26AD">
        <w:rPr>
          <w:i/>
        </w:rPr>
        <w:t>Due Process</w:t>
      </w:r>
      <w:r w:rsidRPr="005D26AD">
        <w:t>. Due process shall include documented and publicly</w:t>
      </w:r>
      <w:r w:rsidR="00E1629F" w:rsidRPr="005D26AD">
        <w:t xml:space="preserve"> </w:t>
      </w:r>
      <w:r w:rsidRPr="005D26AD">
        <w:t xml:space="preserve">available policies and procedures, adequate notice of meetings and standards development, </w:t>
      </w:r>
      <w:proofErr w:type="gramStart"/>
      <w:r w:rsidRPr="005D26AD">
        <w:t>sufficient</w:t>
      </w:r>
      <w:proofErr w:type="gramEnd"/>
      <w:r w:rsidRPr="005D26AD">
        <w:t xml:space="preserve"> time to review drafts and prepare views and objections, access to views and objections of other participants, and a fair and impartial process for resolving conflicting views. </w:t>
      </w:r>
    </w:p>
    <w:p w14:paraId="0E448222" w14:textId="77777777" w:rsidR="00257F75" w:rsidRPr="005D26AD" w:rsidRDefault="00AA667B" w:rsidP="00235A98">
      <w:pPr>
        <w:numPr>
          <w:ilvl w:val="0"/>
          <w:numId w:val="1"/>
        </w:numPr>
        <w:ind w:right="58" w:hanging="360"/>
      </w:pPr>
      <w:r w:rsidRPr="005D26AD">
        <w:rPr>
          <w:i/>
        </w:rPr>
        <w:t>Appeals Process</w:t>
      </w:r>
      <w:r w:rsidRPr="00235A98">
        <w:rPr>
          <w:i/>
        </w:rPr>
        <w:t>.</w:t>
      </w:r>
      <w:r w:rsidRPr="005D26AD">
        <w:t xml:space="preserve"> An appeals process shall be available for the impartial handling of procedural appeals. </w:t>
      </w:r>
    </w:p>
    <w:p w14:paraId="75410C7E" w14:textId="2896B6F8" w:rsidR="00257F75" w:rsidRPr="005D26AD" w:rsidRDefault="00AA667B" w:rsidP="00235A98">
      <w:pPr>
        <w:numPr>
          <w:ilvl w:val="0"/>
          <w:numId w:val="1"/>
        </w:numPr>
        <w:spacing w:after="230"/>
        <w:ind w:right="58" w:hanging="360"/>
      </w:pPr>
      <w:r w:rsidRPr="005D26AD">
        <w:rPr>
          <w:i/>
        </w:rPr>
        <w:t>Consensus</w:t>
      </w:r>
      <w:r w:rsidRPr="00235A98">
        <w:rPr>
          <w:i/>
        </w:rPr>
        <w:t>.</w:t>
      </w:r>
      <w:r w:rsidRPr="005D26AD">
        <w:t xml:space="preserve"> Consensus is defined as general agreement, but not necessarily unanimity. During the development of consensus, comments and objections are considered using fair, impartial, open, and transparent processes. </w:t>
      </w:r>
    </w:p>
    <w:p w14:paraId="5B893C2D" w14:textId="0532B956" w:rsidR="00257F75" w:rsidRPr="005D26AD" w:rsidRDefault="00AA667B" w:rsidP="00235A98">
      <w:pPr>
        <w:spacing w:after="267"/>
        <w:ind w:left="-5" w:right="58"/>
      </w:pPr>
      <w:r w:rsidRPr="005D26AD">
        <w:t>These elements apply to activities related to the development of voluntary consensus standards nationally or internationally. For example, the International Electrotechnical Commission (IEC</w:t>
      </w:r>
      <w:r w:rsidR="005B10B7" w:rsidRPr="005D26AD">
        <w:t>), International</w:t>
      </w:r>
      <w:r w:rsidRPr="005D26AD">
        <w:t xml:space="preserve"> Organization for Standardization (ISO)</w:t>
      </w:r>
      <w:r w:rsidR="005B10B7" w:rsidRPr="005D26AD">
        <w:t xml:space="preserve">, </w:t>
      </w:r>
      <w:r w:rsidR="00F96512" w:rsidRPr="00F96512">
        <w:t>Institute of Electrical and Electronics Engineers</w:t>
      </w:r>
      <w:r w:rsidR="00F96512">
        <w:t xml:space="preserve"> (</w:t>
      </w:r>
      <w:r w:rsidR="00622CAF" w:rsidRPr="005D26AD">
        <w:t>IEEE</w:t>
      </w:r>
      <w:r w:rsidR="00F96512">
        <w:t>)</w:t>
      </w:r>
      <w:r w:rsidR="00622CAF" w:rsidRPr="005D26AD">
        <w:t xml:space="preserve"> </w:t>
      </w:r>
      <w:r w:rsidR="005B10B7" w:rsidRPr="005D26AD">
        <w:t xml:space="preserve">and ASTM International, </w:t>
      </w:r>
      <w:r w:rsidRPr="005D26AD">
        <w:t xml:space="preserve">usually develop standards that meet these criteria, as do standards developed </w:t>
      </w:r>
      <w:r w:rsidR="00A4563C">
        <w:t>in adherence with</w:t>
      </w:r>
      <w:r w:rsidR="00A4563C" w:rsidRPr="005D26AD">
        <w:t xml:space="preserve"> </w:t>
      </w:r>
      <w:r w:rsidRPr="005D26AD">
        <w:t xml:space="preserve">the </w:t>
      </w:r>
      <w:hyperlink r:id="rId28" w:history="1">
        <w:r w:rsidRPr="00292B94">
          <w:rPr>
            <w:rStyle w:val="Hyperlink"/>
          </w:rPr>
          <w:t>American National Standards Institute (ANSI)</w:t>
        </w:r>
        <w:r w:rsidR="006E5ACF" w:rsidRPr="00292B94">
          <w:rPr>
            <w:rStyle w:val="Hyperlink"/>
          </w:rPr>
          <w:t xml:space="preserve"> Essential Requirements</w:t>
        </w:r>
      </w:hyperlink>
      <w:r w:rsidR="006C0C6D">
        <w:t>.</w:t>
      </w:r>
      <w:r w:rsidR="006E5ACF" w:rsidRPr="00157ADE">
        <w:rPr>
          <w:vertAlign w:val="superscript"/>
        </w:rPr>
        <w:footnoteReference w:id="5"/>
      </w:r>
      <w:r w:rsidRPr="005D26AD">
        <w:t xml:space="preserve"> FDA </w:t>
      </w:r>
      <w:r w:rsidR="00AE2CDB" w:rsidRPr="005D26AD">
        <w:t>may also</w:t>
      </w:r>
      <w:r w:rsidRPr="005D26AD">
        <w:t xml:space="preserve"> </w:t>
      </w:r>
      <w:r w:rsidR="00916524" w:rsidRPr="005D26AD">
        <w:t>recognize</w:t>
      </w:r>
      <w:r w:rsidRPr="005D26AD">
        <w:t xml:space="preserve"> standards developed in the private sector,</w:t>
      </w:r>
      <w:r w:rsidR="001712A7" w:rsidRPr="005D26AD">
        <w:t xml:space="preserve"> for example,</w:t>
      </w:r>
      <w:r w:rsidRPr="005D26AD">
        <w:t xml:space="preserve"> </w:t>
      </w:r>
      <w:r w:rsidR="006D2669">
        <w:t xml:space="preserve">by </w:t>
      </w:r>
      <w:r w:rsidR="001712A7" w:rsidRPr="005D26AD">
        <w:t xml:space="preserve">professional societies, industry associations and other organizations such </w:t>
      </w:r>
      <w:r w:rsidR="00916524" w:rsidRPr="005D26AD">
        <w:t>as The</w:t>
      </w:r>
      <w:r w:rsidRPr="005D26AD">
        <w:t xml:space="preserve"> United States </w:t>
      </w:r>
      <w:r w:rsidR="00190680" w:rsidRPr="005D26AD">
        <w:t>Pharmacopeia</w:t>
      </w:r>
      <w:r w:rsidRPr="005D26AD">
        <w:t xml:space="preserve"> Convention (USP), that meet the criteria </w:t>
      </w:r>
      <w:r w:rsidR="00272420">
        <w:t>discussed</w:t>
      </w:r>
      <w:r w:rsidR="00AE2CDB" w:rsidRPr="005D26AD">
        <w:t xml:space="preserve"> </w:t>
      </w:r>
      <w:r w:rsidRPr="005D26AD">
        <w:t xml:space="preserve">in OMB Circular A-119. </w:t>
      </w:r>
    </w:p>
    <w:p w14:paraId="3AD674AC" w14:textId="66C355E3" w:rsidR="00257F75" w:rsidRPr="005D26AD" w:rsidRDefault="00AE2CDB" w:rsidP="00235A98">
      <w:pPr>
        <w:spacing w:after="270"/>
        <w:ind w:left="-5" w:right="58"/>
      </w:pPr>
      <w:r w:rsidRPr="005D26AD">
        <w:t>FDA prioritizes international and U</w:t>
      </w:r>
      <w:r w:rsidR="006C0C6D">
        <w:t>.</w:t>
      </w:r>
      <w:r w:rsidRPr="005D26AD">
        <w:t>S</w:t>
      </w:r>
      <w:r w:rsidR="006C0C6D">
        <w:t>.</w:t>
      </w:r>
      <w:r w:rsidRPr="005D26AD">
        <w:t xml:space="preserve"> </w:t>
      </w:r>
      <w:r w:rsidR="00755768">
        <w:t xml:space="preserve">voluntary </w:t>
      </w:r>
      <w:r w:rsidRPr="005D26AD">
        <w:t xml:space="preserve">consensus standards for recognition; however, </w:t>
      </w:r>
      <w:r w:rsidR="00AA667B" w:rsidRPr="005D26AD">
        <w:t xml:space="preserve">FDA may consider national standards of other countries when no international or U.S. national equivalent standard is available. </w:t>
      </w:r>
      <w:r w:rsidRPr="005D26AD">
        <w:t>Note</w:t>
      </w:r>
      <w:r w:rsidR="00272420">
        <w:t xml:space="preserve"> that, in other cases,</w:t>
      </w:r>
      <w:r w:rsidR="00AA667B" w:rsidRPr="005D26AD">
        <w:t xml:space="preserve"> an international standard </w:t>
      </w:r>
      <w:r w:rsidR="00272420">
        <w:t>that another country</w:t>
      </w:r>
      <w:r w:rsidR="002B0850">
        <w:t xml:space="preserve"> or region</w:t>
      </w:r>
      <w:r w:rsidR="00272420">
        <w:t xml:space="preserve"> adopts</w:t>
      </w:r>
      <w:r w:rsidR="00C047CA" w:rsidRPr="005D26AD">
        <w:t xml:space="preserve"> </w:t>
      </w:r>
      <w:r w:rsidR="00AA667B" w:rsidRPr="005D26AD">
        <w:t xml:space="preserve">may be identical to </w:t>
      </w:r>
      <w:r w:rsidR="00272420">
        <w:t>standards</w:t>
      </w:r>
      <w:r w:rsidR="000F543E" w:rsidRPr="005D26AD">
        <w:t xml:space="preserve"> recognized </w:t>
      </w:r>
      <w:r w:rsidR="00272420">
        <w:t>by FDA, e.g., ISO or IEC standards adopted as European Standards (EN/ISO), German standards (DIN/EN/ISO, DIN/ISO</w:t>
      </w:r>
      <w:r w:rsidR="00681684">
        <w:rPr>
          <w:rStyle w:val="FootnoteReference"/>
        </w:rPr>
        <w:footnoteReference w:id="6"/>
      </w:r>
      <w:r w:rsidR="00272420">
        <w:t>), or British standards (BS/ISO); however</w:t>
      </w:r>
      <w:r w:rsidR="000F543E" w:rsidRPr="005D26AD">
        <w:t>,</w:t>
      </w:r>
      <w:r w:rsidR="00AA667B" w:rsidRPr="005D26AD">
        <w:t xml:space="preserve"> we will not </w:t>
      </w:r>
      <w:r w:rsidR="00272420">
        <w:t xml:space="preserve">ordinarily recognize </w:t>
      </w:r>
      <w:r w:rsidR="00AA667B" w:rsidRPr="005D26AD">
        <w:t xml:space="preserve">the </w:t>
      </w:r>
      <w:r w:rsidR="00272420">
        <w:t xml:space="preserve">identical international standard separately. </w:t>
      </w:r>
      <w:r w:rsidR="008C522C">
        <w:t>T</w:t>
      </w:r>
      <w:r w:rsidR="00C047CA" w:rsidRPr="005D26AD">
        <w:t xml:space="preserve">hese standards may be used as </w:t>
      </w:r>
      <w:r w:rsidR="008C522C">
        <w:t xml:space="preserve">described </w:t>
      </w:r>
      <w:r w:rsidR="00C047CA" w:rsidRPr="005D26AD">
        <w:t xml:space="preserve">in the </w:t>
      </w:r>
      <w:r w:rsidR="00623E5E">
        <w:t>FDA guidance document, “</w:t>
      </w:r>
      <w:hyperlink r:id="rId29" w:history="1">
        <w:r w:rsidR="00C047CA" w:rsidRPr="008C522C">
          <w:rPr>
            <w:rStyle w:val="Hyperlink"/>
          </w:rPr>
          <w:t>Appropriate Use of Voluntary Consensus Standards</w:t>
        </w:r>
        <w:r w:rsidR="00623E5E" w:rsidRPr="008C522C">
          <w:rPr>
            <w:rStyle w:val="Hyperlink"/>
          </w:rPr>
          <w:t xml:space="preserve"> in Premarket Submission</w:t>
        </w:r>
        <w:r w:rsidR="006B5E08">
          <w:rPr>
            <w:rStyle w:val="Hyperlink"/>
          </w:rPr>
          <w:t>s for Medical Device</w:t>
        </w:r>
        <w:r w:rsidR="00623E5E" w:rsidRPr="008C522C">
          <w:rPr>
            <w:rStyle w:val="Hyperlink"/>
          </w:rPr>
          <w:t>s</w:t>
        </w:r>
      </w:hyperlink>
      <w:r w:rsidR="00623E5E">
        <w:t>.”</w:t>
      </w:r>
      <w:r w:rsidR="00C047CA" w:rsidRPr="005D26AD">
        <w:rPr>
          <w:rStyle w:val="FootnoteReference"/>
        </w:rPr>
        <w:footnoteReference w:id="7"/>
      </w:r>
      <w:r w:rsidR="00C047CA" w:rsidRPr="005D26AD">
        <w:t xml:space="preserve"> </w:t>
      </w:r>
      <w:r w:rsidR="002B0850">
        <w:t>A sponsor should discuss with FDA its plans to use a national standard of another country, along with any other standards issues.</w:t>
      </w:r>
    </w:p>
    <w:p w14:paraId="20256D9B" w14:textId="500FD0CE" w:rsidR="00717736" w:rsidRDefault="00AA667B" w:rsidP="00235A98">
      <w:pPr>
        <w:ind w:left="-5" w:right="58"/>
      </w:pPr>
      <w:r w:rsidRPr="005D26AD">
        <w:t xml:space="preserve">FDA does not ordinarily consider normative references, i.e., standards referenced </w:t>
      </w:r>
      <w:r w:rsidR="007751CC">
        <w:t>with</w:t>
      </w:r>
      <w:r w:rsidRPr="005D26AD">
        <w:t xml:space="preserve">in an </w:t>
      </w:r>
      <w:r w:rsidR="006F75D4" w:rsidRPr="005D26AD">
        <w:t>FDA</w:t>
      </w:r>
      <w:r w:rsidR="002E69AE">
        <w:t>-</w:t>
      </w:r>
      <w:r w:rsidR="006F75D4" w:rsidRPr="005D26AD">
        <w:t>recognized</w:t>
      </w:r>
      <w:r w:rsidRPr="005D26AD">
        <w:t xml:space="preserve"> </w:t>
      </w:r>
      <w:r w:rsidR="00B47E48">
        <w:t xml:space="preserve">consensus </w:t>
      </w:r>
      <w:r w:rsidRPr="005D26AD">
        <w:t>standard, for separate recognition. This is because</w:t>
      </w:r>
      <w:r w:rsidR="00272420">
        <w:t xml:space="preserve"> normative references do not typically refer to an entire standard; rather,</w:t>
      </w:r>
      <w:r w:rsidRPr="005D26AD">
        <w:t xml:space="preserve"> normative references typically refer to a specific clause or clauses.</w:t>
      </w:r>
      <w:r w:rsidR="00652917">
        <w:t xml:space="preserve"> </w:t>
      </w:r>
      <w:r w:rsidRPr="005D26AD">
        <w:t>The citation of the normative reference within the FDA-</w:t>
      </w:r>
      <w:r w:rsidRPr="005D26AD">
        <w:lastRenderedPageBreak/>
        <w:t>recognized</w:t>
      </w:r>
      <w:r w:rsidR="00B47E48">
        <w:t xml:space="preserve"> consensus</w:t>
      </w:r>
      <w:r w:rsidRPr="005D26AD">
        <w:t xml:space="preserve"> standard will provide information about the extent to which the normative reference applies.</w:t>
      </w:r>
      <w:r w:rsidR="00EF57BD">
        <w:t xml:space="preserve"> </w:t>
      </w:r>
    </w:p>
    <w:p w14:paraId="00D9A0D2" w14:textId="77777777" w:rsidR="00717736" w:rsidRDefault="00717736" w:rsidP="00235A98">
      <w:pPr>
        <w:ind w:left="-5" w:right="58"/>
      </w:pPr>
    </w:p>
    <w:p w14:paraId="5D47DA9D" w14:textId="0BDD185C" w:rsidR="00656E58" w:rsidRDefault="00717736" w:rsidP="00235A98">
      <w:pPr>
        <w:ind w:left="-5" w:right="58"/>
      </w:pPr>
      <w:r>
        <w:t>In limited circumstances, FDA-recognized consensus standard</w:t>
      </w:r>
      <w:r w:rsidR="00656E58">
        <w:t>s are</w:t>
      </w:r>
      <w:r>
        <w:t xml:space="preserve"> referenced within other </w:t>
      </w:r>
      <w:r w:rsidR="00656E58">
        <w:t>standards recognized by FDA</w:t>
      </w:r>
      <w:r>
        <w:t xml:space="preserve">.  In these circumstances, </w:t>
      </w:r>
      <w:r w:rsidR="00D50C55" w:rsidRPr="00D50C55">
        <w:t>manufacturers and others might wish to refer to more</w:t>
      </w:r>
      <w:r w:rsidR="00A30A63">
        <w:t xml:space="preserve"> </w:t>
      </w:r>
      <w:r w:rsidR="00D50C55" w:rsidRPr="00D50C55">
        <w:t>recent versions of the normative reference</w:t>
      </w:r>
      <w:r w:rsidR="008539DB">
        <w:t xml:space="preserve"> that have been recognized by FDA</w:t>
      </w:r>
      <w:r w:rsidR="00406485">
        <w:t xml:space="preserve">.  More </w:t>
      </w:r>
      <w:r w:rsidR="00D50C55" w:rsidRPr="00D50C55">
        <w:t xml:space="preserve">recent versions </w:t>
      </w:r>
      <w:r w:rsidR="00406485">
        <w:t xml:space="preserve">of the normative reference </w:t>
      </w:r>
      <w:r w:rsidR="00D50C55" w:rsidRPr="00D50C55">
        <w:t>may address emerging issues of safety or technology before the currently-recognized standard is updated to incorporate more-recent normative references</w:t>
      </w:r>
      <w:r w:rsidR="000D367F">
        <w:t xml:space="preserve">. </w:t>
      </w:r>
    </w:p>
    <w:p w14:paraId="718A591D" w14:textId="77777777" w:rsidR="00656E58" w:rsidRDefault="00656E58" w:rsidP="00235A98">
      <w:pPr>
        <w:ind w:left="-5" w:right="58"/>
      </w:pPr>
    </w:p>
    <w:p w14:paraId="3E3FE067" w14:textId="274D4D77" w:rsidR="00656E58" w:rsidRDefault="00656E58" w:rsidP="00235A98">
      <w:pPr>
        <w:ind w:left="-5" w:right="58"/>
      </w:pPr>
      <w:r>
        <w:t>For example, the 60601 family of standards includes multiple collaterals</w:t>
      </w:r>
      <w:r w:rsidR="00A5029C">
        <w:rPr>
          <w:rStyle w:val="FootnoteReference"/>
        </w:rPr>
        <w:footnoteReference w:id="8"/>
      </w:r>
      <w:r>
        <w:t xml:space="preserve"> describing general testing for basic safety and essential performance and many particulars</w:t>
      </w:r>
      <w:r w:rsidR="00A5029C">
        <w:rPr>
          <w:rStyle w:val="FootnoteReference"/>
        </w:rPr>
        <w:footnoteReference w:id="9"/>
      </w:r>
      <w:r>
        <w:t xml:space="preserve"> describing specific test methods by product type and application. A </w:t>
      </w:r>
      <w:proofErr w:type="gramStart"/>
      <w:r>
        <w:t>particular typically</w:t>
      </w:r>
      <w:proofErr w:type="gramEnd"/>
      <w:r>
        <w:t xml:space="preserve"> includes reference to a collateral</w:t>
      </w:r>
      <w:r w:rsidR="00D64CCD">
        <w:t>, and a</w:t>
      </w:r>
      <w:r>
        <w:t xml:space="preserve"> collateral is </w:t>
      </w:r>
      <w:r w:rsidR="00D64CCD">
        <w:t>typically</w:t>
      </w:r>
      <w:r>
        <w:t xml:space="preserve"> updated prior to the particulars that reference it. </w:t>
      </w:r>
      <w:r w:rsidR="00D64CCD">
        <w:t>In the circumstance in which a manufacture</w:t>
      </w:r>
      <w:r w:rsidR="005E142E">
        <w:t>r</w:t>
      </w:r>
      <w:r w:rsidR="00D64CCD">
        <w:t xml:space="preserve"> is using a </w:t>
      </w:r>
      <w:proofErr w:type="gramStart"/>
      <w:r w:rsidR="00D64CCD">
        <w:t>particular that</w:t>
      </w:r>
      <w:proofErr w:type="gramEnd"/>
      <w:r w:rsidR="00D64CCD">
        <w:t xml:space="preserve"> references a collateral and both standards are recognized by FDA, a manufacture</w:t>
      </w:r>
      <w:r w:rsidR="005E142E">
        <w:t>r</w:t>
      </w:r>
      <w:r w:rsidR="00D64CCD">
        <w:t xml:space="preserve"> may wish to refer to the most recent version of the collateral that has been recognized by FDA.</w:t>
      </w:r>
      <w:r>
        <w:t xml:space="preserve"> </w:t>
      </w:r>
    </w:p>
    <w:p w14:paraId="5174C6BB" w14:textId="77777777" w:rsidR="00656E58" w:rsidRDefault="00656E58" w:rsidP="00235A98">
      <w:pPr>
        <w:ind w:left="-5" w:right="58"/>
      </w:pPr>
    </w:p>
    <w:p w14:paraId="4473A682" w14:textId="586DCEA8" w:rsidR="00257F75" w:rsidRDefault="00AA667B" w:rsidP="00235A98">
      <w:pPr>
        <w:ind w:left="-5" w:right="58"/>
      </w:pPr>
      <w:r w:rsidRPr="005D26AD">
        <w:t>You will</w:t>
      </w:r>
      <w:r w:rsidR="00272420">
        <w:t xml:space="preserve"> likely</w:t>
      </w:r>
      <w:r w:rsidRPr="005D26AD">
        <w:t xml:space="preserve"> need knowledge of the normative references or referenced documents to appropriately apply that standard.   </w:t>
      </w:r>
      <w:r w:rsidR="00656E58" w:rsidRPr="00656E58">
        <w:t xml:space="preserve"> </w:t>
      </w:r>
    </w:p>
    <w:p w14:paraId="08575E1B" w14:textId="24A9C581" w:rsidR="00C860E1" w:rsidRDefault="00FA76D5" w:rsidP="00C860E1">
      <w:pPr>
        <w:ind w:left="-5" w:right="58"/>
      </w:pPr>
      <w:r>
        <w:rPr>
          <w:rFonts w:ascii="Segoe UI" w:hAnsi="Segoe UI" w:cs="Segoe UI"/>
          <w:sz w:val="20"/>
          <w:szCs w:val="20"/>
        </w:rPr>
        <w:t xml:space="preserve"> </w:t>
      </w:r>
    </w:p>
    <w:p w14:paraId="23C79D26" w14:textId="77777777" w:rsidR="00257F75" w:rsidRPr="00774190" w:rsidRDefault="00AA667B" w:rsidP="00774190">
      <w:pPr>
        <w:pStyle w:val="Heading2"/>
        <w:rPr>
          <w:sz w:val="32"/>
          <w:szCs w:val="32"/>
        </w:rPr>
      </w:pPr>
      <w:r w:rsidRPr="00774190">
        <w:rPr>
          <w:rFonts w:ascii="Calibri" w:eastAsia="Calibri" w:hAnsi="Calibri" w:cs="Calibri"/>
          <w:sz w:val="32"/>
          <w:szCs w:val="32"/>
        </w:rPr>
        <w:tab/>
      </w:r>
      <w:bookmarkStart w:id="64" w:name="_Toc6928736"/>
      <w:bookmarkStart w:id="65" w:name="_Toc25664586"/>
      <w:r w:rsidRPr="00774190">
        <w:rPr>
          <w:sz w:val="32"/>
          <w:szCs w:val="32"/>
        </w:rPr>
        <w:t>A.</w:t>
      </w:r>
      <w:r w:rsidRPr="00774190">
        <w:rPr>
          <w:rFonts w:ascii="Arial" w:eastAsia="Arial" w:hAnsi="Arial" w:cs="Arial"/>
          <w:sz w:val="32"/>
          <w:szCs w:val="32"/>
        </w:rPr>
        <w:t xml:space="preserve"> </w:t>
      </w:r>
      <w:r w:rsidRPr="00774190">
        <w:rPr>
          <w:rFonts w:ascii="Arial" w:eastAsia="Arial" w:hAnsi="Arial" w:cs="Arial"/>
          <w:sz w:val="32"/>
          <w:szCs w:val="32"/>
        </w:rPr>
        <w:tab/>
      </w:r>
      <w:bookmarkStart w:id="66" w:name="_Toc519597106"/>
      <w:r w:rsidRPr="00774190">
        <w:rPr>
          <w:sz w:val="32"/>
          <w:szCs w:val="32"/>
        </w:rPr>
        <w:t>Recognition</w:t>
      </w:r>
      <w:bookmarkEnd w:id="64"/>
      <w:bookmarkEnd w:id="65"/>
      <w:bookmarkEnd w:id="66"/>
      <w:r w:rsidRPr="00774190">
        <w:rPr>
          <w:sz w:val="32"/>
          <w:szCs w:val="32"/>
        </w:rPr>
        <w:t xml:space="preserve"> </w:t>
      </w:r>
    </w:p>
    <w:p w14:paraId="697CD19D" w14:textId="3260EEDB" w:rsidR="00741631" w:rsidRDefault="00741631" w:rsidP="00DB524E">
      <w:pPr>
        <w:ind w:left="0" w:firstLine="0"/>
      </w:pPr>
      <w:r>
        <w:t xml:space="preserve">FDA recognizes standards by publication of a recognition list in the </w:t>
      </w:r>
      <w:r w:rsidRPr="009435B1">
        <w:rPr>
          <w:i/>
        </w:rPr>
        <w:t>Federal Register</w:t>
      </w:r>
      <w:r>
        <w:t>. FDA will publish the recognition list at least annually.</w:t>
      </w:r>
    </w:p>
    <w:p w14:paraId="748266E6" w14:textId="77777777" w:rsidR="00741631" w:rsidRDefault="00741631" w:rsidP="00741631"/>
    <w:p w14:paraId="3BE47F11" w14:textId="742173C7" w:rsidR="008F5BF5" w:rsidRPr="005D26AD" w:rsidRDefault="00213AD7" w:rsidP="000B3FBD">
      <w:pPr>
        <w:spacing w:after="379"/>
        <w:ind w:left="-5" w:right="58"/>
      </w:pPr>
      <w:r w:rsidRPr="00213AD7">
        <w:t xml:space="preserve">A list of consensus standards that FDA has recognized or </w:t>
      </w:r>
      <w:r w:rsidR="00721621">
        <w:t>decided</w:t>
      </w:r>
      <w:r w:rsidRPr="00213AD7">
        <w:t xml:space="preserve"> to recognize is available on the FDA Recognized Consensus Standards Database Web site.</w:t>
      </w:r>
      <w:r w:rsidR="000B3FBD">
        <w:rPr>
          <w:rStyle w:val="FootnoteReference"/>
        </w:rPr>
        <w:footnoteReference w:id="10"/>
      </w:r>
      <w:r w:rsidR="00721621">
        <w:t xml:space="preserve"> </w:t>
      </w:r>
      <w:r w:rsidR="000B3FBD">
        <w:rPr>
          <w:spacing w:val="-9"/>
        </w:rPr>
        <w:t xml:space="preserve"> </w:t>
      </w:r>
      <w:r w:rsidRPr="00213AD7">
        <w:t xml:space="preserve">Such standards are those that FDA has recognized by notice published in the </w:t>
      </w:r>
      <w:r w:rsidRPr="009435B1">
        <w:rPr>
          <w:i/>
        </w:rPr>
        <w:t>Federal Register</w:t>
      </w:r>
      <w:r w:rsidRPr="00213AD7">
        <w:t xml:space="preserve"> or that FDA has decided to recognize but for which recognition is pending (because a periodic notice has not yet appeared in the </w:t>
      </w:r>
      <w:r w:rsidRPr="009435B1">
        <w:rPr>
          <w:i/>
        </w:rPr>
        <w:t>Federal Register</w:t>
      </w:r>
      <w:r w:rsidRPr="00213AD7">
        <w:t xml:space="preserve">).  The database will provide the most up-to-date list of suitable standards because, after FDA has decided to recognize a standard, we will update our online database to reflect the decision even before recognition of the standard.  The database will include a </w:t>
      </w:r>
      <w:r w:rsidRPr="00213AD7">
        <w:lastRenderedPageBreak/>
        <w:t xml:space="preserve">recognition number and a supplemental information sheet (SIS) for each decision, including for cases for which recognition is </w:t>
      </w:r>
      <w:r w:rsidR="00190680" w:rsidRPr="00213AD7">
        <w:t>pending.</w:t>
      </w:r>
      <w:r w:rsidR="00741631">
        <w:rPr>
          <w:rStyle w:val="FootnoteReference"/>
        </w:rPr>
        <w:footnoteReference w:id="11"/>
      </w:r>
    </w:p>
    <w:p w14:paraId="47EB74DC" w14:textId="77777777" w:rsidR="00257F75" w:rsidRPr="00774190" w:rsidRDefault="00AA667B" w:rsidP="00774190">
      <w:pPr>
        <w:pStyle w:val="Heading2"/>
        <w:rPr>
          <w:sz w:val="32"/>
          <w:szCs w:val="32"/>
        </w:rPr>
      </w:pPr>
      <w:r w:rsidRPr="00774190">
        <w:rPr>
          <w:rFonts w:ascii="Calibri" w:eastAsia="Calibri" w:hAnsi="Calibri" w:cs="Calibri"/>
          <w:sz w:val="32"/>
          <w:szCs w:val="32"/>
        </w:rPr>
        <w:tab/>
      </w:r>
      <w:bookmarkStart w:id="67" w:name="_Toc6928737"/>
      <w:bookmarkStart w:id="68" w:name="_Toc25664587"/>
      <w:r w:rsidRPr="00774190">
        <w:rPr>
          <w:sz w:val="32"/>
          <w:szCs w:val="32"/>
        </w:rPr>
        <w:t>B.</w:t>
      </w:r>
      <w:r w:rsidRPr="00774190">
        <w:rPr>
          <w:rFonts w:ascii="Arial" w:eastAsia="Arial" w:hAnsi="Arial" w:cs="Arial"/>
          <w:sz w:val="32"/>
          <w:szCs w:val="32"/>
        </w:rPr>
        <w:t xml:space="preserve"> </w:t>
      </w:r>
      <w:r w:rsidRPr="00774190">
        <w:rPr>
          <w:rFonts w:ascii="Arial" w:eastAsia="Arial" w:hAnsi="Arial" w:cs="Arial"/>
          <w:sz w:val="32"/>
          <w:szCs w:val="32"/>
        </w:rPr>
        <w:tab/>
      </w:r>
      <w:bookmarkStart w:id="69" w:name="_Toc512340317"/>
      <w:bookmarkStart w:id="70" w:name="_Toc479321901"/>
      <w:bookmarkStart w:id="71" w:name="_Toc512340318"/>
      <w:bookmarkStart w:id="72" w:name="_Toc519597107"/>
      <w:bookmarkEnd w:id="69"/>
      <w:r w:rsidRPr="00774190">
        <w:rPr>
          <w:sz w:val="32"/>
          <w:szCs w:val="32"/>
        </w:rPr>
        <w:t>Request</w:t>
      </w:r>
      <w:bookmarkEnd w:id="70"/>
      <w:bookmarkEnd w:id="71"/>
      <w:r w:rsidRPr="00774190">
        <w:rPr>
          <w:sz w:val="32"/>
          <w:szCs w:val="32"/>
        </w:rPr>
        <w:t>ing Recognition</w:t>
      </w:r>
      <w:bookmarkEnd w:id="67"/>
      <w:bookmarkEnd w:id="68"/>
      <w:bookmarkEnd w:id="72"/>
      <w:r w:rsidRPr="00774190">
        <w:rPr>
          <w:sz w:val="32"/>
          <w:szCs w:val="32"/>
        </w:rPr>
        <w:t xml:space="preserve"> </w:t>
      </w:r>
    </w:p>
    <w:p w14:paraId="2EEEF2EA" w14:textId="0EB01D32" w:rsidR="00257F75" w:rsidRPr="005D26AD" w:rsidRDefault="00AA667B" w:rsidP="00235A98">
      <w:pPr>
        <w:spacing w:after="271"/>
        <w:ind w:left="-5" w:right="58"/>
      </w:pPr>
      <w:r w:rsidRPr="005D26AD">
        <w:t>Any interested party may request recognition of a standard. A re</w:t>
      </w:r>
      <w:r w:rsidR="00917F2C" w:rsidRPr="005D26AD">
        <w:t>quest</w:t>
      </w:r>
      <w:r w:rsidRPr="005D26AD">
        <w:t xml:space="preserve"> for recognition of a standard should, at a minimum, contain the following information:  </w:t>
      </w:r>
    </w:p>
    <w:p w14:paraId="1FE9D06E" w14:textId="77777777" w:rsidR="00257F75" w:rsidRPr="005D26AD" w:rsidRDefault="00AA667B" w:rsidP="006A6682">
      <w:pPr>
        <w:pStyle w:val="ListParagraph"/>
        <w:numPr>
          <w:ilvl w:val="0"/>
          <w:numId w:val="25"/>
        </w:numPr>
        <w:ind w:left="540" w:right="58"/>
      </w:pPr>
      <w:r w:rsidRPr="005D26AD">
        <w:t xml:space="preserve">name and electronic or mailing address of the requestor </w:t>
      </w:r>
    </w:p>
    <w:p w14:paraId="67EDC222" w14:textId="77777777" w:rsidR="00257F75" w:rsidRPr="005D26AD" w:rsidRDefault="00AA667B" w:rsidP="006A6682">
      <w:pPr>
        <w:pStyle w:val="ListParagraph"/>
        <w:numPr>
          <w:ilvl w:val="0"/>
          <w:numId w:val="25"/>
        </w:numPr>
        <w:ind w:left="540" w:right="58"/>
      </w:pPr>
      <w:r w:rsidRPr="005D26AD">
        <w:t xml:space="preserve">title of the standard  </w:t>
      </w:r>
    </w:p>
    <w:p w14:paraId="273D78B5" w14:textId="331EBF81" w:rsidR="00257F75" w:rsidRPr="005D26AD" w:rsidRDefault="00AA667B" w:rsidP="006A6682">
      <w:pPr>
        <w:pStyle w:val="ListParagraph"/>
        <w:numPr>
          <w:ilvl w:val="0"/>
          <w:numId w:val="25"/>
        </w:numPr>
        <w:ind w:left="540" w:right="58"/>
      </w:pPr>
      <w:r w:rsidRPr="005D26AD">
        <w:t xml:space="preserve">any reference number and date  </w:t>
      </w:r>
    </w:p>
    <w:p w14:paraId="7C4C6FDF" w14:textId="610CDBD8" w:rsidR="00257F75" w:rsidRPr="005D26AD" w:rsidRDefault="00AA667B" w:rsidP="006A6682">
      <w:pPr>
        <w:pStyle w:val="ListParagraph"/>
        <w:numPr>
          <w:ilvl w:val="0"/>
          <w:numId w:val="25"/>
        </w:numPr>
        <w:ind w:left="540" w:right="58"/>
      </w:pPr>
      <w:r w:rsidRPr="005D26AD">
        <w:t xml:space="preserve">proposed list of </w:t>
      </w:r>
      <w:r w:rsidR="00D21F42">
        <w:t xml:space="preserve">product </w:t>
      </w:r>
      <w:r w:rsidR="005E142E">
        <w:t>type</w:t>
      </w:r>
      <w:r w:rsidRPr="005D26AD">
        <w:t xml:space="preserve">s for which a </w:t>
      </w:r>
      <w:r w:rsidR="00C85CDC">
        <w:t>D</w:t>
      </w:r>
      <w:r w:rsidR="00E15CB2">
        <w:t xml:space="preserve">eclaration of </w:t>
      </w:r>
      <w:r w:rsidR="00C85CDC">
        <w:t>C</w:t>
      </w:r>
      <w:r w:rsidR="00E15CB2">
        <w:t>onformity</w:t>
      </w:r>
      <w:r w:rsidR="005E142E">
        <w:t xml:space="preserve"> (DOC)</w:t>
      </w:r>
      <w:r w:rsidRPr="005D26AD">
        <w:t xml:space="preserve"> should routinely apply  </w:t>
      </w:r>
    </w:p>
    <w:p w14:paraId="1B6CC017" w14:textId="669A62E2" w:rsidR="00257F75" w:rsidRPr="005D26AD" w:rsidRDefault="00AA667B" w:rsidP="006A6682">
      <w:pPr>
        <w:pStyle w:val="ListParagraph"/>
        <w:numPr>
          <w:ilvl w:val="0"/>
          <w:numId w:val="25"/>
        </w:numPr>
        <w:ind w:left="540" w:right="58"/>
      </w:pPr>
      <w:r w:rsidRPr="005D26AD">
        <w:t xml:space="preserve">basis for recognition, e.g., including the scientific, technical, regulatory, or other basis for </w:t>
      </w:r>
      <w:r w:rsidR="00322CF6" w:rsidRPr="005D26AD">
        <w:t xml:space="preserve">the </w:t>
      </w:r>
      <w:r w:rsidRPr="005D26AD">
        <w:t xml:space="preserve">request </w:t>
      </w:r>
    </w:p>
    <w:p w14:paraId="3611F26C" w14:textId="455AD671" w:rsidR="00257F75" w:rsidRPr="005D26AD" w:rsidRDefault="00AA667B" w:rsidP="006A6682">
      <w:pPr>
        <w:pStyle w:val="ListParagraph"/>
        <w:numPr>
          <w:ilvl w:val="0"/>
          <w:numId w:val="25"/>
        </w:numPr>
        <w:spacing w:after="270"/>
        <w:ind w:left="540" w:right="58"/>
      </w:pPr>
      <w:r w:rsidRPr="005D26AD">
        <w:t xml:space="preserve">a brief identification of the testing or performance or other characteristics of the </w:t>
      </w:r>
      <w:r w:rsidR="00D21F42">
        <w:t>product</w:t>
      </w:r>
      <w:r w:rsidRPr="005D26AD">
        <w:t xml:space="preserve">(s) or process(es), that would be addressed by a </w:t>
      </w:r>
      <w:r w:rsidR="005E142E">
        <w:t>DOC</w:t>
      </w:r>
      <w:r w:rsidRPr="005D26AD">
        <w:t xml:space="preserve">.  </w:t>
      </w:r>
    </w:p>
    <w:p w14:paraId="698DD852" w14:textId="2EF09B58" w:rsidR="00257F75" w:rsidRPr="005D26AD" w:rsidRDefault="00AA667B" w:rsidP="00235A98">
      <w:pPr>
        <w:spacing w:after="271"/>
        <w:ind w:left="-5" w:right="58"/>
      </w:pPr>
      <w:r w:rsidRPr="005D26AD">
        <w:t xml:space="preserve">Additional advice on procedures for requesting standards for recognition may be found at </w:t>
      </w:r>
      <w:hyperlink r:id="rId30" w:history="1">
        <w:r w:rsidR="00652917" w:rsidRPr="002B78D8">
          <w:rPr>
            <w:rStyle w:val="Hyperlink"/>
          </w:rPr>
          <w:t>https://www.fda.gov/medical-devices/standards-and-conformity-assessment-program/recognition-standard</w:t>
        </w:r>
      </w:hyperlink>
      <w:r w:rsidR="00652917">
        <w:t xml:space="preserve">. </w:t>
      </w:r>
      <w:r w:rsidRPr="005D26AD">
        <w:t xml:space="preserve">Requests may be submitted by mail in writing to the </w:t>
      </w:r>
      <w:r w:rsidR="00B13A0D">
        <w:t>Standards and Conformity Assessment Program (</w:t>
      </w:r>
      <w:r w:rsidR="00322CF6" w:rsidRPr="005D26AD">
        <w:t>S-CAP</w:t>
      </w:r>
      <w:r w:rsidR="00B13A0D">
        <w:t>)</w:t>
      </w:r>
      <w:r w:rsidRPr="005D26AD">
        <w:t xml:space="preserve"> at the address below or electronically through </w:t>
      </w:r>
      <w:r w:rsidRPr="00235A98">
        <w:rPr>
          <w:color w:val="0000FF"/>
          <w:u w:val="single" w:color="0000FF"/>
        </w:rPr>
        <w:t>CDRHStandardsStaff@fda.hhs.gov.</w:t>
      </w:r>
      <w:r w:rsidRPr="005D26AD">
        <w:t xml:space="preserve"> </w:t>
      </w:r>
    </w:p>
    <w:p w14:paraId="01B0BFBF" w14:textId="77A3B8B4" w:rsidR="00257F75" w:rsidRPr="005D26AD" w:rsidRDefault="00AA667B" w:rsidP="00235A98">
      <w:pPr>
        <w:ind w:left="730" w:right="58"/>
      </w:pPr>
      <w:r w:rsidRPr="005D26AD">
        <w:t xml:space="preserve">Standards </w:t>
      </w:r>
      <w:r w:rsidR="00E1629F" w:rsidRPr="005D26AD">
        <w:t xml:space="preserve">and Conformity Assessment </w:t>
      </w:r>
      <w:r w:rsidRPr="005D26AD">
        <w:t>Program</w:t>
      </w:r>
    </w:p>
    <w:p w14:paraId="74B8C2D2" w14:textId="5EF1C65A" w:rsidR="00257F75" w:rsidRPr="005D26AD" w:rsidRDefault="00AA667B" w:rsidP="00235A98">
      <w:pPr>
        <w:ind w:left="730" w:right="58"/>
      </w:pPr>
      <w:r w:rsidRPr="005D26AD">
        <w:t xml:space="preserve">Office of </w:t>
      </w:r>
      <w:r w:rsidR="00B13A0D">
        <w:t>Strategic Partnerships and Technology Innovation</w:t>
      </w:r>
      <w:r w:rsidRPr="005D26AD">
        <w:t xml:space="preserve"> </w:t>
      </w:r>
    </w:p>
    <w:p w14:paraId="6F16FA95" w14:textId="7C53595C" w:rsidR="00257F75" w:rsidRPr="005D26AD" w:rsidRDefault="00AA667B" w:rsidP="00235A98">
      <w:pPr>
        <w:ind w:left="730" w:right="58"/>
      </w:pPr>
      <w:r w:rsidRPr="005D26AD">
        <w:t xml:space="preserve">Center for Devices and Radiological Health </w:t>
      </w:r>
    </w:p>
    <w:p w14:paraId="5F98267B" w14:textId="2498297E" w:rsidR="00257F75" w:rsidRPr="005D26AD" w:rsidRDefault="00AA667B" w:rsidP="00235A98">
      <w:pPr>
        <w:ind w:left="730" w:right="58"/>
      </w:pPr>
      <w:r w:rsidRPr="005D26AD">
        <w:t xml:space="preserve">10903 New Hampshire Avenue </w:t>
      </w:r>
    </w:p>
    <w:p w14:paraId="6B091C5D" w14:textId="7C7C7F0B" w:rsidR="00257F75" w:rsidRPr="005D26AD" w:rsidRDefault="00AA667B" w:rsidP="00235A98">
      <w:pPr>
        <w:ind w:left="730" w:right="58"/>
      </w:pPr>
      <w:r w:rsidRPr="005D26AD">
        <w:t xml:space="preserve">WO66 </w:t>
      </w:r>
    </w:p>
    <w:p w14:paraId="57921A43" w14:textId="77777777" w:rsidR="00257F75" w:rsidRPr="005D26AD" w:rsidRDefault="00AA667B" w:rsidP="00235A98">
      <w:pPr>
        <w:ind w:left="730" w:right="58"/>
      </w:pPr>
      <w:r w:rsidRPr="005D26AD">
        <w:t xml:space="preserve">Silver Spring, MD 20993-0002 </w:t>
      </w:r>
    </w:p>
    <w:p w14:paraId="1B066D8F" w14:textId="77777777" w:rsidR="00E1629F" w:rsidRPr="005D26AD" w:rsidRDefault="00E1629F" w:rsidP="00235A98">
      <w:pPr>
        <w:ind w:left="730" w:right="58"/>
      </w:pPr>
    </w:p>
    <w:p w14:paraId="60A5CC08" w14:textId="11C0EAD1" w:rsidR="00257F75" w:rsidRPr="005D26AD" w:rsidRDefault="00AA667B" w:rsidP="00235A98">
      <w:pPr>
        <w:spacing w:after="271"/>
        <w:ind w:left="-5" w:right="58"/>
      </w:pPr>
      <w:r w:rsidRPr="005D26AD">
        <w:t xml:space="preserve">In general, FDA will not automatically request copies of the standard submitted for recognition. However, there may be </w:t>
      </w:r>
      <w:r w:rsidR="005E142E">
        <w:t xml:space="preserve">certain </w:t>
      </w:r>
      <w:r w:rsidRPr="005D26AD">
        <w:t xml:space="preserve">standards </w:t>
      </w:r>
      <w:r w:rsidR="00BE3562">
        <w:t>to which</w:t>
      </w:r>
      <w:r w:rsidRPr="005D26AD">
        <w:t xml:space="preserve"> the Agency does not have access</w:t>
      </w:r>
      <w:r w:rsidR="00E15CB2">
        <w:t xml:space="preserve">, such as country specific standards. </w:t>
      </w:r>
      <w:r w:rsidR="002B22DB">
        <w:t>Therefore</w:t>
      </w:r>
      <w:r w:rsidR="002B22DB" w:rsidRPr="005D26AD">
        <w:t>; we</w:t>
      </w:r>
      <w:r w:rsidRPr="005D26AD">
        <w:t xml:space="preserve"> recommend contacting S</w:t>
      </w:r>
      <w:r w:rsidR="00322CF6" w:rsidRPr="005D26AD">
        <w:t>-</w:t>
      </w:r>
      <w:r w:rsidR="00E1629F" w:rsidRPr="005D26AD">
        <w:t>CA</w:t>
      </w:r>
      <w:r w:rsidRPr="005D26AD">
        <w:t xml:space="preserve">P </w:t>
      </w:r>
      <w:r w:rsidR="00586DBC">
        <w:t xml:space="preserve">at </w:t>
      </w:r>
      <w:r w:rsidR="00586DBC" w:rsidRPr="005D26AD">
        <w:rPr>
          <w:color w:val="0000FF"/>
          <w:u w:val="single" w:color="0000FF"/>
        </w:rPr>
        <w:t>CDRHStandards</w:t>
      </w:r>
      <w:r w:rsidR="006C09B4">
        <w:rPr>
          <w:color w:val="0000FF"/>
          <w:u w:val="single" w:color="0000FF"/>
        </w:rPr>
        <w:t>Staff</w:t>
      </w:r>
      <w:r w:rsidR="00586DBC" w:rsidRPr="005D26AD">
        <w:rPr>
          <w:color w:val="0000FF"/>
          <w:u w:val="single" w:color="0000FF"/>
        </w:rPr>
        <w:t>@fda.hhs.gov</w:t>
      </w:r>
      <w:r w:rsidR="00586DBC" w:rsidRPr="005D26AD">
        <w:t xml:space="preserve"> </w:t>
      </w:r>
      <w:r w:rsidRPr="005D26AD">
        <w:t xml:space="preserve">prior to submitting a standards recognition request to determine whether the Agency has access to the standard.  </w:t>
      </w:r>
    </w:p>
    <w:p w14:paraId="7077C9E8" w14:textId="30FD211A" w:rsidR="00B635E3" w:rsidRDefault="00AA667B" w:rsidP="00DA2C80">
      <w:pPr>
        <w:ind w:left="-5" w:right="58"/>
      </w:pPr>
      <w:r w:rsidRPr="005D26AD">
        <w:t xml:space="preserve">When the Agency receives a request for recognition of a standard, </w:t>
      </w:r>
      <w:r w:rsidR="005E142E">
        <w:t>we</w:t>
      </w:r>
      <w:r w:rsidR="001712A7" w:rsidRPr="005D26AD">
        <w:t xml:space="preserve"> </w:t>
      </w:r>
      <w:r w:rsidR="00BE3562">
        <w:t>intend to</w:t>
      </w:r>
      <w:r w:rsidRPr="005D26AD">
        <w:t xml:space="preserve"> mail or email an</w:t>
      </w:r>
      <w:r w:rsidR="00DA2C80">
        <w:t xml:space="preserve"> </w:t>
      </w:r>
      <w:r w:rsidRPr="005D26AD">
        <w:t xml:space="preserve">Acknowledgment Letter to the contact person identified in the request. The Acknowledgment </w:t>
      </w:r>
      <w:r w:rsidRPr="005D26AD">
        <w:lastRenderedPageBreak/>
        <w:t xml:space="preserve">Letter will identify the date of receipt (this is the date that FDA received the request), the title of the standard, and a contact person at FDA who is assigned to oversee the recognition request. </w:t>
      </w:r>
    </w:p>
    <w:p w14:paraId="058C99C4" w14:textId="26F3C275" w:rsidR="00257F75" w:rsidRPr="005D26AD" w:rsidRDefault="00AA667B" w:rsidP="00DA2C80">
      <w:pPr>
        <w:ind w:left="-5" w:right="58"/>
      </w:pPr>
      <w:r w:rsidRPr="005D26AD">
        <w:t xml:space="preserve"> </w:t>
      </w:r>
    </w:p>
    <w:p w14:paraId="7DF3A760" w14:textId="77777777" w:rsidR="00257F75" w:rsidRPr="00774190" w:rsidRDefault="00AA667B" w:rsidP="00774190">
      <w:pPr>
        <w:pStyle w:val="Heading2"/>
        <w:rPr>
          <w:sz w:val="32"/>
          <w:szCs w:val="32"/>
        </w:rPr>
      </w:pPr>
      <w:r w:rsidRPr="00774190">
        <w:rPr>
          <w:rFonts w:ascii="Calibri" w:eastAsia="Calibri" w:hAnsi="Calibri" w:cs="Calibri"/>
          <w:sz w:val="32"/>
          <w:szCs w:val="32"/>
        </w:rPr>
        <w:tab/>
      </w:r>
      <w:bookmarkStart w:id="73" w:name="_Toc6928738"/>
      <w:bookmarkStart w:id="74" w:name="_Toc25664588"/>
      <w:r w:rsidRPr="00774190">
        <w:rPr>
          <w:sz w:val="32"/>
          <w:szCs w:val="32"/>
        </w:rPr>
        <w:t>C.</w:t>
      </w:r>
      <w:r w:rsidRPr="00774190">
        <w:rPr>
          <w:rFonts w:ascii="Arial" w:eastAsia="Arial" w:hAnsi="Arial" w:cs="Arial"/>
          <w:sz w:val="32"/>
          <w:szCs w:val="32"/>
        </w:rPr>
        <w:t xml:space="preserve"> </w:t>
      </w:r>
      <w:r w:rsidRPr="00774190">
        <w:rPr>
          <w:rFonts w:ascii="Arial" w:eastAsia="Arial" w:hAnsi="Arial" w:cs="Arial"/>
          <w:sz w:val="32"/>
          <w:szCs w:val="32"/>
        </w:rPr>
        <w:tab/>
      </w:r>
      <w:bookmarkStart w:id="75" w:name="_Toc479321903"/>
      <w:bookmarkStart w:id="76" w:name="_Toc485023805"/>
      <w:bookmarkStart w:id="77" w:name="_Toc505847573"/>
      <w:bookmarkStart w:id="78" w:name="_Toc501552210"/>
      <w:bookmarkStart w:id="79" w:name="_Toc512340319"/>
      <w:bookmarkStart w:id="80" w:name="_Toc519597108"/>
      <w:r w:rsidRPr="00774190">
        <w:rPr>
          <w:sz w:val="32"/>
          <w:szCs w:val="32"/>
        </w:rPr>
        <w:t>Extent of Recognition: Complete or Partial Recognition</w:t>
      </w:r>
      <w:bookmarkEnd w:id="73"/>
      <w:bookmarkEnd w:id="74"/>
      <w:bookmarkEnd w:id="75"/>
      <w:bookmarkEnd w:id="76"/>
      <w:bookmarkEnd w:id="77"/>
      <w:bookmarkEnd w:id="78"/>
      <w:bookmarkEnd w:id="79"/>
      <w:bookmarkEnd w:id="80"/>
      <w:r w:rsidRPr="00774190">
        <w:rPr>
          <w:sz w:val="32"/>
          <w:szCs w:val="32"/>
        </w:rPr>
        <w:t xml:space="preserve"> </w:t>
      </w:r>
    </w:p>
    <w:p w14:paraId="07691067" w14:textId="009A6B64" w:rsidR="00257F75" w:rsidRPr="005D26AD" w:rsidRDefault="00FB027D" w:rsidP="00235A98">
      <w:pPr>
        <w:spacing w:after="230"/>
        <w:ind w:left="-5" w:right="58"/>
      </w:pPr>
      <w:r>
        <w:t xml:space="preserve">FDA </w:t>
      </w:r>
      <w:r w:rsidR="00C613CF">
        <w:t>may</w:t>
      </w:r>
      <w:r>
        <w:t xml:space="preserve"> </w:t>
      </w:r>
      <w:r w:rsidR="00AA667B" w:rsidRPr="005D26AD">
        <w:t>recogni</w:t>
      </w:r>
      <w:r>
        <w:t>ze</w:t>
      </w:r>
      <w:r w:rsidR="00C96B0C">
        <w:t xml:space="preserve"> or decide to recognize </w:t>
      </w:r>
      <w:r w:rsidR="00C613CF">
        <w:t xml:space="preserve">all or part of </w:t>
      </w:r>
      <w:r w:rsidR="00C96B0C">
        <w:t>a st</w:t>
      </w:r>
      <w:r w:rsidR="00BB7805">
        <w:t>andard</w:t>
      </w:r>
      <w:r w:rsidR="00C613CF">
        <w:t>.</w:t>
      </w:r>
      <w:r w:rsidR="007E31F5">
        <w:rPr>
          <w:rStyle w:val="FootnoteReference"/>
        </w:rPr>
        <w:footnoteReference w:id="12"/>
      </w:r>
      <w:r w:rsidR="00AA667B" w:rsidRPr="005D26AD">
        <w:t xml:space="preserve"> The extent of recognition (EOR) is FDA’s determination regarding which parts of a standard are appropriate for recognition. </w:t>
      </w:r>
      <w:r w:rsidR="006E13FE">
        <w:t>Within this context, “recognize” is a specific term derived from section 514(c) of the FD&amp;C Act, referring to the process for FDA identification of standards</w:t>
      </w:r>
      <w:r w:rsidR="005C3721">
        <w:t>,</w:t>
      </w:r>
      <w:r w:rsidR="00932DBD">
        <w:t xml:space="preserve"> which demonstrate scientific and technical merit</w:t>
      </w:r>
      <w:r w:rsidR="005C3721">
        <w:t>,</w:t>
      </w:r>
      <w:r w:rsidR="006E13FE">
        <w:t xml:space="preserve"> that manufacturers of medical </w:t>
      </w:r>
      <w:r w:rsidR="00D21F42">
        <w:t xml:space="preserve">products </w:t>
      </w:r>
      <w:r w:rsidR="006E13FE">
        <w:t xml:space="preserve">may cite to meet relevant requirements of the FD&amp;C Act and implementing regulations. </w:t>
      </w:r>
      <w:r w:rsidR="00AA667B" w:rsidRPr="005D26AD">
        <w:t xml:space="preserve">The EOR section of the Supplementary Information Sheet (SIS) specifies the extent to which a standard is recognized. See section V for more information about the supplementary information. </w:t>
      </w:r>
    </w:p>
    <w:p w14:paraId="64A70314" w14:textId="546B5EC1" w:rsidR="00257F75" w:rsidRDefault="00710B44" w:rsidP="00235A98">
      <w:pPr>
        <w:spacing w:after="230"/>
        <w:ind w:left="-5" w:right="58"/>
      </w:pPr>
      <w:r w:rsidRPr="005D26AD">
        <w:t xml:space="preserve">S-CAP </w:t>
      </w:r>
      <w:r w:rsidR="00AA667B" w:rsidRPr="005D26AD">
        <w:t xml:space="preserve">is responsible for reviewing and recommending the supplementary information that accompanies each </w:t>
      </w:r>
      <w:r w:rsidR="006E13FE">
        <w:t xml:space="preserve">standard that is </w:t>
      </w:r>
      <w:r w:rsidR="00AE6C7C" w:rsidRPr="005D26AD">
        <w:t>recognized</w:t>
      </w:r>
      <w:r w:rsidR="00AA667B" w:rsidRPr="005D26AD">
        <w:t xml:space="preserve">. </w:t>
      </w:r>
      <w:r w:rsidRPr="005D26AD">
        <w:t>S-CAP</w:t>
      </w:r>
      <w:r w:rsidR="00AA667B" w:rsidRPr="005D26AD">
        <w:t xml:space="preserve"> staff</w:t>
      </w:r>
      <w:r w:rsidR="00917F2C" w:rsidRPr="005D26AD">
        <w:t xml:space="preserve"> may</w:t>
      </w:r>
      <w:r w:rsidR="00AA667B" w:rsidRPr="005D26AD">
        <w:t xml:space="preserve"> contact the submitter for additional clarification regarding the request for recognition.  </w:t>
      </w:r>
    </w:p>
    <w:p w14:paraId="762DF0ED" w14:textId="77777777" w:rsidR="00257F75" w:rsidRPr="00235A98" w:rsidRDefault="00AA667B" w:rsidP="00235A98">
      <w:pPr>
        <w:pStyle w:val="Heading4"/>
        <w:ind w:left="-5"/>
      </w:pPr>
      <w:r w:rsidRPr="00235A98">
        <w:t>Complete Recognition</w:t>
      </w:r>
      <w:r w:rsidRPr="005D26AD">
        <w:t xml:space="preserve"> </w:t>
      </w:r>
    </w:p>
    <w:p w14:paraId="5B80AC0E" w14:textId="4398A0C3" w:rsidR="00257F75" w:rsidRPr="005D26AD" w:rsidRDefault="00AA667B" w:rsidP="00235A98">
      <w:pPr>
        <w:spacing w:after="230"/>
        <w:ind w:left="-5" w:right="58"/>
      </w:pPr>
      <w:r w:rsidRPr="005D26AD">
        <w:t xml:space="preserve">For a standard that can be recognized </w:t>
      </w:r>
      <w:r w:rsidR="00735669" w:rsidRPr="005D26AD">
        <w:t>in its entirety</w:t>
      </w:r>
      <w:r w:rsidRPr="005D26AD">
        <w:t xml:space="preserve"> the EOR will state “Complete Standard</w:t>
      </w:r>
      <w:r w:rsidR="00C0790C" w:rsidRPr="005D26AD">
        <w:t>” followed by the basis for that determination.  FDA may have more than one reason for its de</w:t>
      </w:r>
      <w:r w:rsidR="00021DEC">
        <w:t>termination</w:t>
      </w:r>
      <w:r w:rsidR="00C0790C" w:rsidRPr="005D26AD">
        <w:t>.</w:t>
      </w:r>
      <w:r w:rsidR="007E31F5">
        <w:rPr>
          <w:rStyle w:val="FootnoteReference"/>
        </w:rPr>
        <w:footnoteReference w:id="13"/>
      </w:r>
      <w:r w:rsidR="007E31F5">
        <w:t xml:space="preserve"> </w:t>
      </w:r>
    </w:p>
    <w:p w14:paraId="72558DF1" w14:textId="77777777" w:rsidR="00257F75" w:rsidRPr="00235A98" w:rsidRDefault="00AA667B" w:rsidP="00235A98">
      <w:pPr>
        <w:pStyle w:val="Heading4"/>
        <w:ind w:left="-5"/>
      </w:pPr>
      <w:r w:rsidRPr="00235A98">
        <w:t>Partial Recognition</w:t>
      </w:r>
      <w:r w:rsidRPr="005D26AD">
        <w:t xml:space="preserve"> </w:t>
      </w:r>
    </w:p>
    <w:p w14:paraId="5733563A" w14:textId="3723A2C0" w:rsidR="00257F75" w:rsidRPr="005D26AD" w:rsidRDefault="00AA667B" w:rsidP="00235A98">
      <w:pPr>
        <w:spacing w:after="348"/>
        <w:ind w:left="-5" w:right="58"/>
      </w:pPr>
      <w:r w:rsidRPr="005D26AD">
        <w:t>For a standard that can be recognized in part, the EOR will state</w:t>
      </w:r>
      <w:r w:rsidR="005C3E9E" w:rsidRPr="005D26AD">
        <w:t xml:space="preserve"> “Partial Recognition” followed </w:t>
      </w:r>
      <w:r w:rsidR="00916524" w:rsidRPr="005D26AD">
        <w:t xml:space="preserve">with </w:t>
      </w:r>
      <w:r w:rsidR="005C3E9E" w:rsidRPr="005D26AD">
        <w:t xml:space="preserve">text that lists </w:t>
      </w:r>
      <w:r w:rsidRPr="005D26AD">
        <w:t>th</w:t>
      </w:r>
      <w:r w:rsidR="005C3E9E" w:rsidRPr="005D26AD">
        <w:t>e</w:t>
      </w:r>
      <w:r w:rsidRPr="005D26AD">
        <w:t xml:space="preserve"> part</w:t>
      </w:r>
      <w:r w:rsidR="005C3E9E" w:rsidRPr="005D26AD">
        <w:t>(</w:t>
      </w:r>
      <w:r w:rsidRPr="005D26AD">
        <w:t>s</w:t>
      </w:r>
      <w:r w:rsidR="005C3E9E" w:rsidRPr="005D26AD">
        <w:t>)</w:t>
      </w:r>
      <w:r w:rsidRPr="005D26AD">
        <w:t xml:space="preserve"> of the standard that </w:t>
      </w:r>
      <w:r w:rsidR="005C3E9E" w:rsidRPr="005D26AD">
        <w:t>is/</w:t>
      </w:r>
      <w:r w:rsidRPr="005D26AD">
        <w:t>are not recognized</w:t>
      </w:r>
      <w:r w:rsidR="00AE6C7C" w:rsidRPr="005D26AD">
        <w:t>. The titles and numbers of non-recognized sections or clauses</w:t>
      </w:r>
      <w:r w:rsidR="005C3E9E" w:rsidRPr="005D26AD">
        <w:t xml:space="preserve"> </w:t>
      </w:r>
      <w:r w:rsidR="00BB7805">
        <w:t xml:space="preserve">of the standard </w:t>
      </w:r>
      <w:r w:rsidRPr="005D26AD">
        <w:t>will be listed sequentially as they appear in the standard</w:t>
      </w:r>
      <w:r w:rsidR="005D28A9" w:rsidRPr="005D26AD">
        <w:t xml:space="preserve"> stating that they are not recognized</w:t>
      </w:r>
      <w:r w:rsidRPr="005D26AD">
        <w:t xml:space="preserve">. </w:t>
      </w:r>
      <w:r w:rsidR="005D5B02" w:rsidRPr="005D26AD">
        <w:t xml:space="preserve">FDA will provide its </w:t>
      </w:r>
      <w:r w:rsidR="005C3E9E" w:rsidRPr="005D26AD">
        <w:t xml:space="preserve">rationale </w:t>
      </w:r>
      <w:r w:rsidR="00BB7805">
        <w:t xml:space="preserve">(basis for that determination) </w:t>
      </w:r>
      <w:r w:rsidR="005D5B02" w:rsidRPr="005D26AD">
        <w:t xml:space="preserve">for the </w:t>
      </w:r>
      <w:r w:rsidR="0089633D">
        <w:t>part(s) of the standard that are and are not recognized.</w:t>
      </w:r>
      <w:r w:rsidR="005D5B02" w:rsidRPr="005D26AD">
        <w:t xml:space="preserve">  </w:t>
      </w:r>
      <w:r w:rsidR="001E2600" w:rsidRPr="005D26AD">
        <w:t xml:space="preserve"> </w:t>
      </w:r>
    </w:p>
    <w:p w14:paraId="2F42422D" w14:textId="77777777" w:rsidR="00257F75" w:rsidRPr="00774190" w:rsidRDefault="00AA667B" w:rsidP="00774190">
      <w:pPr>
        <w:pStyle w:val="Heading2"/>
        <w:rPr>
          <w:sz w:val="32"/>
          <w:szCs w:val="32"/>
        </w:rPr>
      </w:pPr>
      <w:r w:rsidRPr="00774190">
        <w:rPr>
          <w:rFonts w:ascii="Calibri" w:eastAsia="Calibri" w:hAnsi="Calibri" w:cs="Calibri"/>
          <w:sz w:val="32"/>
          <w:szCs w:val="32"/>
        </w:rPr>
        <w:tab/>
      </w:r>
      <w:bookmarkStart w:id="81" w:name="_Toc6928739"/>
      <w:bookmarkStart w:id="82" w:name="_Toc25664589"/>
      <w:r w:rsidRPr="00774190">
        <w:rPr>
          <w:sz w:val="32"/>
          <w:szCs w:val="32"/>
        </w:rPr>
        <w:t>D.</w:t>
      </w:r>
      <w:r w:rsidRPr="00774190">
        <w:rPr>
          <w:rFonts w:ascii="Arial" w:eastAsia="Arial" w:hAnsi="Arial" w:cs="Arial"/>
          <w:sz w:val="32"/>
          <w:szCs w:val="32"/>
        </w:rPr>
        <w:t xml:space="preserve"> </w:t>
      </w:r>
      <w:r w:rsidRPr="00774190">
        <w:rPr>
          <w:rFonts w:ascii="Arial" w:eastAsia="Arial" w:hAnsi="Arial" w:cs="Arial"/>
          <w:sz w:val="32"/>
          <w:szCs w:val="32"/>
        </w:rPr>
        <w:tab/>
      </w:r>
      <w:bookmarkStart w:id="83" w:name="_Toc479321904"/>
      <w:bookmarkStart w:id="84" w:name="_Toc485023806"/>
      <w:bookmarkStart w:id="85" w:name="_Toc505847574"/>
      <w:bookmarkStart w:id="86" w:name="_Toc501552211"/>
      <w:bookmarkStart w:id="87" w:name="_Toc512340320"/>
      <w:bookmarkStart w:id="88" w:name="_Toc519597109"/>
      <w:r w:rsidRPr="00774190">
        <w:rPr>
          <w:sz w:val="32"/>
          <w:szCs w:val="32"/>
        </w:rPr>
        <w:t>Non-Recognition</w:t>
      </w:r>
      <w:bookmarkEnd w:id="81"/>
      <w:bookmarkEnd w:id="82"/>
      <w:bookmarkEnd w:id="83"/>
      <w:bookmarkEnd w:id="84"/>
      <w:bookmarkEnd w:id="85"/>
      <w:bookmarkEnd w:id="86"/>
      <w:bookmarkEnd w:id="87"/>
      <w:bookmarkEnd w:id="88"/>
      <w:r w:rsidRPr="00774190">
        <w:rPr>
          <w:sz w:val="32"/>
          <w:szCs w:val="32"/>
        </w:rPr>
        <w:t xml:space="preserve"> </w:t>
      </w:r>
    </w:p>
    <w:p w14:paraId="1BF183F4" w14:textId="5F126AC6" w:rsidR="00257F75" w:rsidRPr="005D26AD" w:rsidRDefault="00AA667B" w:rsidP="00235A98">
      <w:pPr>
        <w:spacing w:after="342"/>
        <w:ind w:left="-5" w:right="58"/>
      </w:pPr>
      <w:r w:rsidRPr="005D26AD">
        <w:t>Non-recognition</w:t>
      </w:r>
      <w:r w:rsidR="0053500F" w:rsidRPr="005D26AD">
        <w:t xml:space="preserve"> of a standard, while i</w:t>
      </w:r>
      <w:r w:rsidR="00C613CF">
        <w:t>t</w:t>
      </w:r>
      <w:r w:rsidR="0053500F" w:rsidRPr="005D26AD">
        <w:t xml:space="preserve"> does not preclude the appropriate use of a standard under general use,</w:t>
      </w:r>
      <w:r w:rsidR="0053500F" w:rsidRPr="005D26AD">
        <w:rPr>
          <w:rStyle w:val="FootnoteReference"/>
        </w:rPr>
        <w:footnoteReference w:id="14"/>
      </w:r>
      <w:r w:rsidRPr="005D26AD">
        <w:t xml:space="preserve"> means that the standard generally does not satisfy or would not be helpful in satisfying </w:t>
      </w:r>
      <w:r w:rsidR="00710B44" w:rsidRPr="005D26AD">
        <w:t>a</w:t>
      </w:r>
      <w:r w:rsidR="009A4BED">
        <w:t xml:space="preserve"> </w:t>
      </w:r>
      <w:r w:rsidR="006E13FE">
        <w:t>portion of</w:t>
      </w:r>
      <w:r w:rsidR="00021DEC">
        <w:t xml:space="preserve"> </w:t>
      </w:r>
      <w:r w:rsidR="009A4BED">
        <w:t xml:space="preserve">the </w:t>
      </w:r>
      <w:r w:rsidR="006E13FE">
        <w:t>statute or regulations.</w:t>
      </w:r>
      <w:r w:rsidRPr="005D26AD">
        <w:t xml:space="preserve"> FDA’s rationale for this decision will be communicated to the submitter of the request and the decision will be </w:t>
      </w:r>
      <w:r w:rsidR="0053500F" w:rsidRPr="005D26AD">
        <w:t xml:space="preserve">listed </w:t>
      </w:r>
      <w:r w:rsidRPr="005D26AD">
        <w:t xml:space="preserve">on the </w:t>
      </w:r>
      <w:hyperlink r:id="rId31" w:history="1">
        <w:r w:rsidR="0053500F" w:rsidRPr="00562FDF">
          <w:rPr>
            <w:rStyle w:val="Hyperlink"/>
          </w:rPr>
          <w:t>Non-</w:t>
        </w:r>
        <w:r w:rsidR="0053500F" w:rsidRPr="00562FDF">
          <w:rPr>
            <w:rStyle w:val="Hyperlink"/>
          </w:rPr>
          <w:lastRenderedPageBreak/>
          <w:t xml:space="preserve">Recognized </w:t>
        </w:r>
        <w:r w:rsidRPr="00562FDF">
          <w:rPr>
            <w:rStyle w:val="Hyperlink"/>
          </w:rPr>
          <w:t xml:space="preserve">Standards </w:t>
        </w:r>
        <w:r w:rsidR="0053500F" w:rsidRPr="00562FDF">
          <w:rPr>
            <w:rStyle w:val="Hyperlink"/>
          </w:rPr>
          <w:t>database</w:t>
        </w:r>
      </w:hyperlink>
      <w:r w:rsidRPr="005D26AD">
        <w:t>.</w:t>
      </w:r>
      <w:r w:rsidR="0053500F" w:rsidRPr="005D26AD">
        <w:rPr>
          <w:rStyle w:val="FootnoteReference"/>
        </w:rPr>
        <w:footnoteReference w:id="15"/>
      </w:r>
      <w:r w:rsidRPr="005D26AD">
        <w:t xml:space="preserve"> FDA will explain the technical, scientific, regulatory, or other basis for the decision.</w:t>
      </w:r>
      <w:r w:rsidRPr="00235A98">
        <w:rPr>
          <w:vertAlign w:val="superscript"/>
        </w:rPr>
        <w:footnoteReference w:id="16"/>
      </w:r>
      <w:r w:rsidRPr="005D26AD">
        <w:t xml:space="preserve"> If the standard contains specifications or methods that are not scientifically acceptable, not technically feasible, or </w:t>
      </w:r>
      <w:r w:rsidR="005D5B02" w:rsidRPr="005D26AD">
        <w:t>conflict with</w:t>
      </w:r>
      <w:r w:rsidRPr="005D26AD">
        <w:t xml:space="preserve"> existing </w:t>
      </w:r>
      <w:r w:rsidR="00B47E48">
        <w:t>FDA-</w:t>
      </w:r>
      <w:r w:rsidRPr="005D26AD">
        <w:t xml:space="preserve">recognized </w:t>
      </w:r>
      <w:r w:rsidR="00B47E48">
        <w:t xml:space="preserve">consensus </w:t>
      </w:r>
      <w:r w:rsidRPr="005D26AD">
        <w:t xml:space="preserve">standards, existing published policies, regulation, or the statute, FDA </w:t>
      </w:r>
      <w:r w:rsidR="006E13FE">
        <w:t>generally would</w:t>
      </w:r>
      <w:r w:rsidR="002D790C" w:rsidRPr="005D26AD">
        <w:t xml:space="preserve"> </w:t>
      </w:r>
      <w:r w:rsidRPr="005D26AD">
        <w:t xml:space="preserve">not recognize the standard. FDA may also decide not to recognize a standard that creates a barrier to domestic or international trade or that impedes innovation or technical progress. If </w:t>
      </w:r>
      <w:r w:rsidR="002D790C" w:rsidRPr="005D26AD">
        <w:t xml:space="preserve">FDA </w:t>
      </w:r>
      <w:r w:rsidRPr="005D26AD">
        <w:t>decide</w:t>
      </w:r>
      <w:r w:rsidR="002D790C" w:rsidRPr="005D26AD">
        <w:t>s</w:t>
      </w:r>
      <w:r w:rsidRPr="005D26AD">
        <w:t xml:space="preserve"> not to recognize a standard, it would not receive a recognition number. </w:t>
      </w:r>
    </w:p>
    <w:p w14:paraId="1B5FE5AF" w14:textId="6AE05B1E" w:rsidR="00257F75" w:rsidRPr="00774190" w:rsidRDefault="00AA667B" w:rsidP="00774190">
      <w:pPr>
        <w:pStyle w:val="Heading2"/>
        <w:rPr>
          <w:sz w:val="32"/>
          <w:szCs w:val="32"/>
        </w:rPr>
      </w:pPr>
      <w:r w:rsidRPr="00774190">
        <w:rPr>
          <w:rFonts w:ascii="Calibri" w:eastAsia="Calibri" w:hAnsi="Calibri" w:cs="Calibri"/>
          <w:sz w:val="32"/>
          <w:szCs w:val="32"/>
        </w:rPr>
        <w:tab/>
      </w:r>
      <w:bookmarkStart w:id="89" w:name="_Toc6928740"/>
      <w:bookmarkStart w:id="90" w:name="_Toc25664590"/>
      <w:r w:rsidRPr="00774190">
        <w:rPr>
          <w:sz w:val="32"/>
          <w:szCs w:val="32"/>
        </w:rPr>
        <w:t>E.</w:t>
      </w:r>
      <w:r w:rsidRPr="00774190">
        <w:rPr>
          <w:rFonts w:ascii="Arial" w:eastAsia="Arial" w:hAnsi="Arial" w:cs="Arial"/>
          <w:sz w:val="32"/>
          <w:szCs w:val="32"/>
        </w:rPr>
        <w:t xml:space="preserve"> </w:t>
      </w:r>
      <w:r w:rsidRPr="00774190">
        <w:rPr>
          <w:rFonts w:ascii="Arial" w:eastAsia="Arial" w:hAnsi="Arial" w:cs="Arial"/>
          <w:sz w:val="32"/>
          <w:szCs w:val="32"/>
        </w:rPr>
        <w:tab/>
      </w:r>
      <w:bookmarkStart w:id="91" w:name="_Toc479321905"/>
      <w:bookmarkStart w:id="92" w:name="_Toc485023807"/>
      <w:bookmarkStart w:id="93" w:name="_Toc505847575"/>
      <w:bookmarkStart w:id="94" w:name="_Toc501552212"/>
      <w:bookmarkStart w:id="95" w:name="_Toc512340321"/>
      <w:bookmarkStart w:id="96" w:name="_Toc519597110"/>
      <w:r w:rsidRPr="00774190">
        <w:rPr>
          <w:sz w:val="32"/>
          <w:szCs w:val="32"/>
        </w:rPr>
        <w:t xml:space="preserve">Notification of </w:t>
      </w:r>
      <w:bookmarkEnd w:id="91"/>
      <w:bookmarkEnd w:id="92"/>
      <w:bookmarkEnd w:id="93"/>
      <w:bookmarkEnd w:id="94"/>
      <w:bookmarkEnd w:id="95"/>
      <w:bookmarkEnd w:id="96"/>
      <w:r w:rsidRPr="00774190">
        <w:rPr>
          <w:sz w:val="32"/>
          <w:szCs w:val="32"/>
        </w:rPr>
        <w:t>De</w:t>
      </w:r>
      <w:r w:rsidR="00021DEC">
        <w:rPr>
          <w:sz w:val="32"/>
          <w:szCs w:val="32"/>
        </w:rPr>
        <w:t>termination</w:t>
      </w:r>
      <w:bookmarkEnd w:id="89"/>
      <w:bookmarkEnd w:id="90"/>
      <w:r w:rsidRPr="00774190">
        <w:rPr>
          <w:sz w:val="32"/>
          <w:szCs w:val="32"/>
        </w:rPr>
        <w:t xml:space="preserve"> </w:t>
      </w:r>
    </w:p>
    <w:p w14:paraId="48FB2D56" w14:textId="51965DA7" w:rsidR="00257F75" w:rsidRPr="005D26AD" w:rsidRDefault="00E31E76" w:rsidP="00021DEC">
      <w:pPr>
        <w:spacing w:after="360"/>
        <w:ind w:left="-5" w:right="58"/>
      </w:pPr>
      <w:r>
        <w:t xml:space="preserve">The statute directs </w:t>
      </w:r>
      <w:r w:rsidR="00AA667B" w:rsidRPr="005D26AD">
        <w:t>FDA</w:t>
      </w:r>
      <w:r w:rsidR="00CE37AD">
        <w:t xml:space="preserve"> </w:t>
      </w:r>
      <w:r>
        <w:t>to</w:t>
      </w:r>
      <w:r w:rsidR="00824F0C" w:rsidRPr="005D26AD">
        <w:t xml:space="preserve"> </w:t>
      </w:r>
      <w:proofErr w:type="gramStart"/>
      <w:r w:rsidR="00AA667B" w:rsidRPr="005D26AD">
        <w:t>make a de</w:t>
      </w:r>
      <w:r w:rsidR="00021DEC">
        <w:t>termination</w:t>
      </w:r>
      <w:proofErr w:type="gramEnd"/>
      <w:r w:rsidR="00AA667B" w:rsidRPr="005D26AD">
        <w:t xml:space="preserve"> on recognition (complete or partial) or non-recognition no later than 60 calendar days from the date the request was received. When such a de</w:t>
      </w:r>
      <w:r w:rsidR="00021DEC">
        <w:t>termination</w:t>
      </w:r>
      <w:r w:rsidR="00AA667B" w:rsidRPr="005D26AD">
        <w:t xml:space="preserve"> is made, the Agency will issue the de</w:t>
      </w:r>
      <w:r w:rsidR="00021DEC">
        <w:t>termination</w:t>
      </w:r>
      <w:r w:rsidR="00AA667B" w:rsidRPr="005D26AD">
        <w:t xml:space="preserve"> letter to the submitter by mail using the mailing address provided or electronically using the email address provided.</w:t>
      </w:r>
      <w:r w:rsidR="00021DEC">
        <w:t xml:space="preserve"> </w:t>
      </w:r>
      <w:r w:rsidR="00AA667B" w:rsidRPr="005D26AD">
        <w:t xml:space="preserve">We will </w:t>
      </w:r>
      <w:r w:rsidR="00F943C6">
        <w:t>officially</w:t>
      </w:r>
      <w:r w:rsidR="00AA667B" w:rsidRPr="005D26AD">
        <w:t xml:space="preserve"> recognize the standard (completely or partially) </w:t>
      </w:r>
      <w:r w:rsidR="00F943C6">
        <w:t>by</w:t>
      </w:r>
      <w:r w:rsidR="00AA667B" w:rsidRPr="005D26AD">
        <w:t xml:space="preserve"> subsequent </w:t>
      </w:r>
      <w:r w:rsidR="00F943C6">
        <w:t>publication</w:t>
      </w:r>
      <w:r w:rsidR="00AA667B" w:rsidRPr="005D26AD">
        <w:t xml:space="preserve"> in the </w:t>
      </w:r>
      <w:r w:rsidR="00AA667B" w:rsidRPr="005D26AD">
        <w:rPr>
          <w:i/>
        </w:rPr>
        <w:t>Federal Register</w:t>
      </w:r>
      <w:r w:rsidR="00AA667B" w:rsidRPr="005D26AD">
        <w:t xml:space="preserve">. </w:t>
      </w:r>
      <w:r w:rsidR="00021DEC" w:rsidRPr="006B640E">
        <w:rPr>
          <w:color w:val="auto"/>
        </w:rPr>
        <w:t>Note that the de</w:t>
      </w:r>
      <w:r w:rsidR="00021DEC">
        <w:rPr>
          <w:color w:val="auto"/>
        </w:rPr>
        <w:t xml:space="preserve">termination </w:t>
      </w:r>
      <w:r w:rsidR="00021DEC" w:rsidRPr="006B640E">
        <w:rPr>
          <w:color w:val="auto"/>
        </w:rPr>
        <w:t xml:space="preserve">(and corresponding update to our database) may precede </w:t>
      </w:r>
      <w:r w:rsidR="00DF1AF0">
        <w:rPr>
          <w:color w:val="auto"/>
        </w:rPr>
        <w:t xml:space="preserve">recognition via </w:t>
      </w:r>
      <w:r w:rsidR="00021DEC" w:rsidRPr="006B640E">
        <w:rPr>
          <w:color w:val="auto"/>
        </w:rPr>
        <w:t xml:space="preserve">publication of the standard in the </w:t>
      </w:r>
      <w:r w:rsidR="00021DEC" w:rsidRPr="006B640E">
        <w:rPr>
          <w:i/>
          <w:color w:val="auto"/>
        </w:rPr>
        <w:t>Federal Register</w:t>
      </w:r>
      <w:r w:rsidR="00D052C8">
        <w:rPr>
          <w:color w:val="auto"/>
        </w:rPr>
        <w:t xml:space="preserve"> through updates to the </w:t>
      </w:r>
      <w:hyperlink r:id="rId32" w:history="1">
        <w:r w:rsidR="00D052C8" w:rsidRPr="00DA03F9">
          <w:rPr>
            <w:rStyle w:val="Hyperlink"/>
          </w:rPr>
          <w:t>FDA Recognized Consensus Standards Database for Medical Devices</w:t>
        </w:r>
      </w:hyperlink>
      <w:r w:rsidR="00021DEC" w:rsidRPr="006B640E">
        <w:rPr>
          <w:color w:val="auto"/>
        </w:rPr>
        <w:t>.</w:t>
      </w:r>
      <w:r w:rsidR="00DA03F9">
        <w:rPr>
          <w:rStyle w:val="FootnoteReference"/>
          <w:color w:val="auto"/>
        </w:rPr>
        <w:footnoteReference w:id="17"/>
      </w:r>
      <w:r w:rsidR="00021DEC" w:rsidRPr="006B640E">
        <w:rPr>
          <w:color w:val="auto"/>
        </w:rPr>
        <w:t xml:space="preserve"> </w:t>
      </w:r>
      <w:r w:rsidR="00021DEC" w:rsidDel="00021DEC">
        <w:rPr>
          <w:rStyle w:val="CommentReference"/>
        </w:rPr>
        <w:t xml:space="preserve"> </w:t>
      </w:r>
    </w:p>
    <w:p w14:paraId="67071003" w14:textId="77777777" w:rsidR="00257F75" w:rsidRPr="002760AB" w:rsidRDefault="00AA667B" w:rsidP="00021DEC">
      <w:pPr>
        <w:pStyle w:val="Heading1"/>
        <w:jc w:val="left"/>
        <w:rPr>
          <w:sz w:val="36"/>
          <w:szCs w:val="36"/>
        </w:rPr>
      </w:pPr>
      <w:bookmarkStart w:id="97" w:name="_Toc6928741"/>
      <w:bookmarkStart w:id="98" w:name="_Toc25664591"/>
      <w:r w:rsidRPr="002760AB">
        <w:rPr>
          <w:sz w:val="36"/>
          <w:szCs w:val="36"/>
        </w:rPr>
        <w:t>V.</w:t>
      </w:r>
      <w:r w:rsidRPr="002760AB">
        <w:rPr>
          <w:rFonts w:ascii="Arial" w:eastAsia="Arial" w:hAnsi="Arial" w:cs="Arial"/>
          <w:sz w:val="36"/>
          <w:szCs w:val="36"/>
        </w:rPr>
        <w:t xml:space="preserve"> </w:t>
      </w:r>
      <w:bookmarkStart w:id="99" w:name="_Toc479321906"/>
      <w:bookmarkStart w:id="100" w:name="_Toc485023808"/>
      <w:bookmarkStart w:id="101" w:name="_Toc505847576"/>
      <w:bookmarkStart w:id="102" w:name="_Toc501552213"/>
      <w:bookmarkStart w:id="103" w:name="_Toc512340322"/>
      <w:bookmarkStart w:id="104" w:name="_Toc519597111"/>
      <w:r w:rsidRPr="002760AB">
        <w:rPr>
          <w:sz w:val="36"/>
          <w:szCs w:val="36"/>
        </w:rPr>
        <w:t>Supplementary Information</w:t>
      </w:r>
      <w:bookmarkEnd w:id="97"/>
      <w:bookmarkEnd w:id="98"/>
      <w:bookmarkEnd w:id="99"/>
      <w:bookmarkEnd w:id="100"/>
      <w:bookmarkEnd w:id="101"/>
      <w:bookmarkEnd w:id="102"/>
      <w:bookmarkEnd w:id="103"/>
      <w:bookmarkEnd w:id="104"/>
      <w:r w:rsidRPr="002760AB">
        <w:rPr>
          <w:sz w:val="36"/>
          <w:szCs w:val="36"/>
        </w:rPr>
        <w:t xml:space="preserve"> </w:t>
      </w:r>
    </w:p>
    <w:p w14:paraId="14FE1FC7" w14:textId="5BFAB65D" w:rsidR="00257F75" w:rsidRPr="005D26AD" w:rsidRDefault="00AA667B" w:rsidP="00021DEC">
      <w:pPr>
        <w:spacing w:after="389"/>
        <w:ind w:left="-5" w:right="58"/>
      </w:pPr>
      <w:r w:rsidRPr="005D26AD">
        <w:t>The recognition of a standard</w:t>
      </w:r>
      <w:r w:rsidR="009932E2">
        <w:t xml:space="preserve"> typically</w:t>
      </w:r>
      <w:r w:rsidRPr="005D26AD">
        <w:t xml:space="preserve"> includes a Supplemental Information Sheet (SIS) for each standard recognized. This document</w:t>
      </w:r>
      <w:r w:rsidR="006E13FE">
        <w:t>, developed by FDA</w:t>
      </w:r>
      <w:r w:rsidRPr="005D26AD">
        <w:t xml:space="preserve"> is intended to assist manufacturers and </w:t>
      </w:r>
      <w:r w:rsidRPr="0021678F">
        <w:t>product developers</w:t>
      </w:r>
      <w:r w:rsidRPr="005D26AD">
        <w:t xml:space="preserve"> should they elect to use standards in their development, manufacturing, or for other purposes. The SIS includes the standard’s scope and other helpful information. The SIS for most vertical standards, e.g., </w:t>
      </w:r>
      <w:r w:rsidR="00D21F42">
        <w:t>product</w:t>
      </w:r>
      <w:r w:rsidRPr="005D26AD">
        <w:t xml:space="preserve">-specific standards, includes a list of relevant regulations and product codes for which the standard may be applicable. </w:t>
      </w:r>
      <w:r w:rsidR="006E13FE">
        <w:t xml:space="preserve">Although the Agency makes every effort to keep the list in the SIS current, note that new product codes are continually being created, and as such the list may not always be up to date. The list of product codes is intended to provide examples of </w:t>
      </w:r>
      <w:r w:rsidR="006E13FE" w:rsidRPr="007B2A1E">
        <w:t>products</w:t>
      </w:r>
      <w:r w:rsidR="006E13FE">
        <w:t xml:space="preserve"> for which the standard may be applicable</w:t>
      </w:r>
      <w:r w:rsidR="00F44A7A">
        <w:t xml:space="preserve"> and </w:t>
      </w:r>
      <w:r w:rsidR="009932E2">
        <w:t xml:space="preserve">is </w:t>
      </w:r>
      <w:r w:rsidR="00F44A7A">
        <w:t xml:space="preserve">not </w:t>
      </w:r>
      <w:r w:rsidR="009932E2">
        <w:t xml:space="preserve">intended </w:t>
      </w:r>
      <w:r w:rsidR="00F44A7A">
        <w:t xml:space="preserve">to be </w:t>
      </w:r>
      <w:r w:rsidR="00875880" w:rsidRPr="005D26AD">
        <w:t>exhaustive.</w:t>
      </w:r>
      <w:r w:rsidR="009A4BED" w:rsidRPr="009A4BED">
        <w:t xml:space="preserve"> </w:t>
      </w:r>
      <w:r w:rsidRPr="005D26AD">
        <w:t>Product codes and regulations are typically not provided for horizontal standards, e.g., biocompatibility or sterility standards, because maintaining a representative list would be impractical given the number of products impacted.</w:t>
      </w:r>
      <w:r w:rsidR="009A4BED">
        <w:t xml:space="preserve"> </w:t>
      </w:r>
    </w:p>
    <w:p w14:paraId="7415E337" w14:textId="77777777" w:rsidR="00257F75" w:rsidRPr="00774190" w:rsidRDefault="00AA667B" w:rsidP="00774190">
      <w:pPr>
        <w:pStyle w:val="Heading2"/>
        <w:rPr>
          <w:sz w:val="32"/>
          <w:szCs w:val="32"/>
        </w:rPr>
      </w:pPr>
      <w:r w:rsidRPr="00774190">
        <w:rPr>
          <w:rFonts w:ascii="Calibri" w:eastAsia="Calibri" w:hAnsi="Calibri" w:cs="Calibri"/>
          <w:sz w:val="32"/>
          <w:szCs w:val="32"/>
        </w:rPr>
        <w:tab/>
      </w:r>
      <w:bookmarkStart w:id="105" w:name="_Toc6928742"/>
      <w:bookmarkStart w:id="106" w:name="_Toc25664592"/>
      <w:r w:rsidRPr="00774190">
        <w:rPr>
          <w:sz w:val="32"/>
          <w:szCs w:val="32"/>
        </w:rPr>
        <w:t>A.</w:t>
      </w:r>
      <w:r w:rsidRPr="00774190">
        <w:rPr>
          <w:rFonts w:ascii="Arial" w:eastAsia="Arial" w:hAnsi="Arial" w:cs="Arial"/>
          <w:sz w:val="32"/>
          <w:szCs w:val="32"/>
        </w:rPr>
        <w:t xml:space="preserve"> </w:t>
      </w:r>
      <w:r w:rsidRPr="00774190">
        <w:rPr>
          <w:rFonts w:ascii="Arial" w:eastAsia="Arial" w:hAnsi="Arial" w:cs="Arial"/>
          <w:sz w:val="32"/>
          <w:szCs w:val="32"/>
        </w:rPr>
        <w:tab/>
      </w:r>
      <w:bookmarkStart w:id="107" w:name="_Toc479321907"/>
      <w:bookmarkStart w:id="108" w:name="_Toc485023809"/>
      <w:bookmarkStart w:id="109" w:name="_Toc505847577"/>
      <w:bookmarkStart w:id="110" w:name="_Toc501552214"/>
      <w:bookmarkStart w:id="111" w:name="_Toc512340323"/>
      <w:bookmarkStart w:id="112" w:name="_Toc519597112"/>
      <w:r w:rsidRPr="00774190">
        <w:rPr>
          <w:sz w:val="32"/>
          <w:szCs w:val="32"/>
        </w:rPr>
        <w:t>Essential Information Provided</w:t>
      </w:r>
      <w:bookmarkEnd w:id="105"/>
      <w:bookmarkEnd w:id="106"/>
      <w:bookmarkEnd w:id="107"/>
      <w:bookmarkEnd w:id="108"/>
      <w:bookmarkEnd w:id="109"/>
      <w:bookmarkEnd w:id="110"/>
      <w:bookmarkEnd w:id="111"/>
      <w:bookmarkEnd w:id="112"/>
      <w:r w:rsidRPr="00774190">
        <w:rPr>
          <w:sz w:val="32"/>
          <w:szCs w:val="32"/>
        </w:rPr>
        <w:t xml:space="preserve"> </w:t>
      </w:r>
    </w:p>
    <w:p w14:paraId="06BAB197" w14:textId="64CD4E63" w:rsidR="00257F75" w:rsidRDefault="00AA667B" w:rsidP="00235A98">
      <w:pPr>
        <w:spacing w:after="255"/>
        <w:ind w:left="-5" w:right="58"/>
      </w:pPr>
      <w:r w:rsidRPr="005D26AD">
        <w:t>The SIS</w:t>
      </w:r>
      <w:r w:rsidR="009932E2">
        <w:t xml:space="preserve"> typically</w:t>
      </w:r>
      <w:r w:rsidRPr="005D26AD">
        <w:t xml:space="preserve"> includes essential information such as </w:t>
      </w:r>
      <w:r w:rsidR="00090735" w:rsidRPr="005D26AD">
        <w:t>the</w:t>
      </w:r>
      <w:r w:rsidR="002C3145" w:rsidRPr="005D26AD">
        <w:t xml:space="preserve"> </w:t>
      </w:r>
      <w:r w:rsidRPr="005D26AD">
        <w:t>recognition number</w:t>
      </w:r>
      <w:r w:rsidR="002C3145" w:rsidRPr="005D26AD">
        <w:t xml:space="preserve"> and </w:t>
      </w:r>
      <w:r w:rsidR="00A74C36">
        <w:t xml:space="preserve">FDA </w:t>
      </w:r>
      <w:r w:rsidR="002C3145" w:rsidRPr="005D26AD">
        <w:t>Specialty Task Group (STG)</w:t>
      </w:r>
      <w:r w:rsidRPr="005D26AD">
        <w:t xml:space="preserve">. Other information </w:t>
      </w:r>
      <w:r w:rsidR="00403F32">
        <w:t xml:space="preserve">may </w:t>
      </w:r>
      <w:r w:rsidRPr="005D26AD">
        <w:t xml:space="preserve">include the standard’s designation number, </w:t>
      </w:r>
      <w:r w:rsidRPr="005D26AD">
        <w:lastRenderedPageBreak/>
        <w:t>date of publication, title</w:t>
      </w:r>
      <w:r w:rsidR="00090735" w:rsidRPr="005D26AD">
        <w:t>, scope, U</w:t>
      </w:r>
      <w:r w:rsidR="00091D43">
        <w:t>.</w:t>
      </w:r>
      <w:r w:rsidR="00090735" w:rsidRPr="005D26AD">
        <w:t>S</w:t>
      </w:r>
      <w:r w:rsidR="00091D43">
        <w:t>.</w:t>
      </w:r>
      <w:r w:rsidR="00090735" w:rsidRPr="005D26AD">
        <w:t xml:space="preserve"> </w:t>
      </w:r>
      <w:r w:rsidR="00101FB4" w:rsidRPr="005D26AD">
        <w:t xml:space="preserve">parallel </w:t>
      </w:r>
      <w:r w:rsidR="00090735" w:rsidRPr="005D26AD">
        <w:t>adoption (if any),</w:t>
      </w:r>
      <w:r w:rsidR="00090735" w:rsidRPr="005D26AD">
        <w:rPr>
          <w:vertAlign w:val="superscript"/>
        </w:rPr>
        <w:footnoteReference w:id="18"/>
      </w:r>
      <w:r w:rsidR="00090735" w:rsidRPr="005D26AD">
        <w:t xml:space="preserve"> extent</w:t>
      </w:r>
      <w:r w:rsidR="00403F32">
        <w:t xml:space="preserve"> of recognition (complete or partial)</w:t>
      </w:r>
      <w:r w:rsidR="00101FB4" w:rsidRPr="005D26AD">
        <w:t>,</w:t>
      </w:r>
      <w:r w:rsidR="00090735" w:rsidRPr="005D26AD">
        <w:t xml:space="preserve"> rational</w:t>
      </w:r>
      <w:r w:rsidR="00101FB4" w:rsidRPr="005D26AD">
        <w:t>e</w:t>
      </w:r>
      <w:r w:rsidR="00403F32">
        <w:t xml:space="preserve"> for recognition</w:t>
      </w:r>
      <w:r w:rsidR="00266E47">
        <w:t>,</w:t>
      </w:r>
      <w:r w:rsidR="00266E47">
        <w:rPr>
          <w:rStyle w:val="FootnoteReference"/>
        </w:rPr>
        <w:footnoteReference w:id="19"/>
      </w:r>
      <w:r w:rsidR="00266E47">
        <w:t xml:space="preserve"> </w:t>
      </w:r>
      <w:r w:rsidR="00090735" w:rsidRPr="005D26AD">
        <w:t xml:space="preserve">date of recognition, </w:t>
      </w:r>
      <w:r w:rsidR="00403F32">
        <w:t xml:space="preserve">and </w:t>
      </w:r>
      <w:r w:rsidR="00090735" w:rsidRPr="005D26AD">
        <w:t>transition periods</w:t>
      </w:r>
      <w:r w:rsidR="00A74C36">
        <w:t xml:space="preserve"> (if any)</w:t>
      </w:r>
      <w:r w:rsidR="009A4BED">
        <w:t>.</w:t>
      </w:r>
      <w:r w:rsidR="00090735" w:rsidRPr="005D26AD">
        <w:rPr>
          <w:vertAlign w:val="superscript"/>
        </w:rPr>
        <w:footnoteReference w:id="20"/>
      </w:r>
      <w:r w:rsidR="00090735" w:rsidRPr="005D26AD">
        <w:t xml:space="preserve">  </w:t>
      </w:r>
      <w:r w:rsidRPr="005D26AD">
        <w:t xml:space="preserve"> </w:t>
      </w:r>
    </w:p>
    <w:p w14:paraId="0B397635" w14:textId="16E8DFD5" w:rsidR="00257F75" w:rsidRPr="00774190" w:rsidRDefault="00AA667B" w:rsidP="00774190">
      <w:pPr>
        <w:pStyle w:val="Heading2"/>
        <w:rPr>
          <w:sz w:val="32"/>
          <w:szCs w:val="32"/>
        </w:rPr>
      </w:pPr>
      <w:r w:rsidRPr="00774190">
        <w:rPr>
          <w:rFonts w:ascii="Calibri" w:eastAsia="Calibri" w:hAnsi="Calibri" w:cs="Calibri"/>
          <w:sz w:val="32"/>
          <w:szCs w:val="32"/>
        </w:rPr>
        <w:tab/>
      </w:r>
      <w:bookmarkStart w:id="113" w:name="_Toc6928743"/>
      <w:bookmarkStart w:id="114" w:name="_Toc25664593"/>
      <w:r w:rsidRPr="00774190">
        <w:rPr>
          <w:sz w:val="32"/>
          <w:szCs w:val="32"/>
        </w:rPr>
        <w:t>B.</w:t>
      </w:r>
      <w:r w:rsidRPr="00774190">
        <w:rPr>
          <w:rFonts w:ascii="Arial" w:eastAsia="Arial" w:hAnsi="Arial" w:cs="Arial"/>
          <w:sz w:val="32"/>
          <w:szCs w:val="32"/>
        </w:rPr>
        <w:t xml:space="preserve"> </w:t>
      </w:r>
      <w:r w:rsidRPr="00774190">
        <w:rPr>
          <w:rFonts w:ascii="Arial" w:eastAsia="Arial" w:hAnsi="Arial" w:cs="Arial"/>
          <w:sz w:val="32"/>
          <w:szCs w:val="32"/>
        </w:rPr>
        <w:tab/>
      </w:r>
      <w:bookmarkStart w:id="115" w:name="_Toc479321908"/>
      <w:bookmarkStart w:id="116" w:name="_Toc485023810"/>
      <w:bookmarkStart w:id="117" w:name="_Toc505847578"/>
      <w:bookmarkStart w:id="118" w:name="_Toc501552215"/>
      <w:bookmarkStart w:id="119" w:name="_Toc512340324"/>
      <w:bookmarkStart w:id="120" w:name="_Toc519597113"/>
      <w:r w:rsidRPr="00774190">
        <w:rPr>
          <w:sz w:val="32"/>
          <w:szCs w:val="32"/>
        </w:rPr>
        <w:t>Scope</w:t>
      </w:r>
      <w:bookmarkEnd w:id="113"/>
      <w:bookmarkEnd w:id="114"/>
      <w:bookmarkEnd w:id="115"/>
      <w:bookmarkEnd w:id="116"/>
      <w:bookmarkEnd w:id="117"/>
      <w:bookmarkEnd w:id="118"/>
      <w:bookmarkEnd w:id="119"/>
      <w:bookmarkEnd w:id="120"/>
      <w:r w:rsidRPr="00774190">
        <w:rPr>
          <w:sz w:val="32"/>
          <w:szCs w:val="32"/>
        </w:rPr>
        <w:t xml:space="preserve"> </w:t>
      </w:r>
    </w:p>
    <w:p w14:paraId="36788BA6" w14:textId="34AB2511" w:rsidR="00257F75" w:rsidRDefault="00AA667B" w:rsidP="0057085E">
      <w:pPr>
        <w:ind w:left="0" w:firstLine="0"/>
      </w:pPr>
      <w:r w:rsidRPr="005D26AD">
        <w:t xml:space="preserve">FDA </w:t>
      </w:r>
      <w:r w:rsidR="00DF1AF0">
        <w:t>intends to</w:t>
      </w:r>
      <w:r w:rsidRPr="005D26AD">
        <w:t xml:space="preserve"> include the standard’s scope in the SIS to assist manufacturers </w:t>
      </w:r>
      <w:r w:rsidR="00101FB4" w:rsidRPr="005D26AD">
        <w:t xml:space="preserve">and FDA staff </w:t>
      </w:r>
      <w:r w:rsidRPr="005D26AD">
        <w:t>in</w:t>
      </w:r>
      <w:r w:rsidR="00055E8F">
        <w:t xml:space="preserve"> </w:t>
      </w:r>
      <w:r w:rsidRPr="005D26AD">
        <w:t xml:space="preserve">determining </w:t>
      </w:r>
      <w:r w:rsidR="00C0790C" w:rsidRPr="005D26AD">
        <w:t>whether</w:t>
      </w:r>
      <w:r w:rsidRPr="005D26AD">
        <w:t xml:space="preserve"> the standard may be useful to them</w:t>
      </w:r>
      <w:r w:rsidR="00616A88">
        <w:t>.</w:t>
      </w:r>
      <w:r w:rsidRPr="005D26AD">
        <w:t xml:space="preserve"> Where a standard’s scope is</w:t>
      </w:r>
      <w:r w:rsidR="00055E8F">
        <w:t xml:space="preserve"> </w:t>
      </w:r>
      <w:r w:rsidRPr="005D26AD">
        <w:t>extensive, the main body of the scope will be included with reference to the website where the</w:t>
      </w:r>
      <w:r w:rsidR="00055E8F">
        <w:t xml:space="preserve"> </w:t>
      </w:r>
      <w:r w:rsidRPr="005D26AD">
        <w:t xml:space="preserve">entire scope can be located.   </w:t>
      </w:r>
    </w:p>
    <w:p w14:paraId="26D3D52C" w14:textId="77777777" w:rsidR="00403F32" w:rsidRPr="005D26AD" w:rsidRDefault="00403F32" w:rsidP="0057085E">
      <w:pPr>
        <w:ind w:left="0" w:firstLine="0"/>
      </w:pPr>
    </w:p>
    <w:p w14:paraId="49922237" w14:textId="5BD816DF" w:rsidR="00257F75" w:rsidRPr="00774190" w:rsidRDefault="00AA667B" w:rsidP="00774190">
      <w:pPr>
        <w:pStyle w:val="Heading2"/>
        <w:rPr>
          <w:sz w:val="32"/>
          <w:szCs w:val="32"/>
        </w:rPr>
      </w:pPr>
      <w:r w:rsidRPr="00774190">
        <w:rPr>
          <w:rFonts w:ascii="Calibri" w:eastAsia="Calibri" w:hAnsi="Calibri" w:cs="Calibri"/>
          <w:sz w:val="32"/>
          <w:szCs w:val="32"/>
        </w:rPr>
        <w:tab/>
      </w:r>
      <w:bookmarkStart w:id="121" w:name="_Toc6928744"/>
      <w:bookmarkStart w:id="122" w:name="_Toc25664594"/>
      <w:r w:rsidRPr="00774190">
        <w:rPr>
          <w:sz w:val="32"/>
          <w:szCs w:val="32"/>
        </w:rPr>
        <w:t>C.</w:t>
      </w:r>
      <w:r w:rsidRPr="00774190">
        <w:rPr>
          <w:rFonts w:ascii="Arial" w:eastAsia="Arial" w:hAnsi="Arial" w:cs="Arial"/>
          <w:sz w:val="32"/>
          <w:szCs w:val="32"/>
        </w:rPr>
        <w:t xml:space="preserve"> </w:t>
      </w:r>
      <w:r w:rsidRPr="00774190">
        <w:rPr>
          <w:rFonts w:ascii="Arial" w:eastAsia="Arial" w:hAnsi="Arial" w:cs="Arial"/>
          <w:sz w:val="32"/>
          <w:szCs w:val="32"/>
        </w:rPr>
        <w:tab/>
      </w:r>
      <w:bookmarkStart w:id="123" w:name="_Toc479321909"/>
      <w:bookmarkStart w:id="124" w:name="_Toc485023811"/>
      <w:bookmarkStart w:id="125" w:name="_Toc505847579"/>
      <w:bookmarkStart w:id="126" w:name="_Toc501552216"/>
      <w:bookmarkStart w:id="127" w:name="_Toc512340325"/>
      <w:bookmarkStart w:id="128" w:name="_Toc519597114"/>
      <w:r w:rsidRPr="00774190">
        <w:rPr>
          <w:sz w:val="32"/>
          <w:szCs w:val="32"/>
        </w:rPr>
        <w:t>FDA Decision Making Rationale</w:t>
      </w:r>
      <w:bookmarkEnd w:id="121"/>
      <w:bookmarkEnd w:id="123"/>
      <w:bookmarkEnd w:id="124"/>
      <w:bookmarkEnd w:id="125"/>
      <w:bookmarkEnd w:id="126"/>
      <w:bookmarkEnd w:id="127"/>
      <w:bookmarkEnd w:id="128"/>
      <w:r w:rsidRPr="00774190">
        <w:rPr>
          <w:sz w:val="32"/>
          <w:szCs w:val="32"/>
        </w:rPr>
        <w:t xml:space="preserve"> </w:t>
      </w:r>
      <w:bookmarkEnd w:id="122"/>
    </w:p>
    <w:p w14:paraId="16718219" w14:textId="5162A589" w:rsidR="00C860E1" w:rsidRPr="005D26AD" w:rsidRDefault="00AA667B" w:rsidP="00157ADE">
      <w:pPr>
        <w:spacing w:after="261"/>
        <w:ind w:left="-5" w:right="58"/>
      </w:pPr>
      <w:r w:rsidRPr="005D26AD">
        <w:t>Recognition of a voluntary</w:t>
      </w:r>
      <w:r w:rsidR="00055E8F">
        <w:t xml:space="preserve"> </w:t>
      </w:r>
      <w:r w:rsidRPr="005D26AD">
        <w:t>consensus standard, either in whole or in part, can help facilitate meeting a requirement under the</w:t>
      </w:r>
      <w:r w:rsidR="00055E8F">
        <w:t xml:space="preserve"> </w:t>
      </w:r>
      <w:r w:rsidR="00101FB4" w:rsidRPr="005D26AD">
        <w:t xml:space="preserve">FD&amp;C Act </w:t>
      </w:r>
      <w:r w:rsidRPr="005D26AD">
        <w:t xml:space="preserve">or implementing regulations. </w:t>
      </w:r>
      <w:r w:rsidR="00BD0ED6" w:rsidRPr="005D26AD">
        <w:t xml:space="preserve"> </w:t>
      </w:r>
      <w:r w:rsidR="00C860E1" w:rsidRPr="005D26AD">
        <w:t xml:space="preserve">Reasons for recognition are many and varied. </w:t>
      </w:r>
      <w:r w:rsidR="00ED53EB">
        <w:t>For example, t</w:t>
      </w:r>
      <w:r w:rsidR="00C860E1" w:rsidRPr="005D26AD">
        <w:t xml:space="preserve">he standard may satisfy </w:t>
      </w:r>
      <w:r w:rsidR="00ED53EB">
        <w:t xml:space="preserve">requirements regarding </w:t>
      </w:r>
      <w:r w:rsidR="00C860E1" w:rsidRPr="005D26AD">
        <w:t xml:space="preserve">performance </w:t>
      </w:r>
      <w:r w:rsidR="009D6549">
        <w:t>specification</w:t>
      </w:r>
      <w:r w:rsidR="00A74C36">
        <w:t>s</w:t>
      </w:r>
      <w:r w:rsidR="00ED53EB">
        <w:t>, labeling</w:t>
      </w:r>
      <w:r w:rsidR="00C860E1" w:rsidRPr="005D26AD">
        <w:t xml:space="preserve">, </w:t>
      </w:r>
      <w:r w:rsidR="00ED53EB">
        <w:t xml:space="preserve">informed consent, or post market activity. A standard may be relevant for </w:t>
      </w:r>
      <w:r w:rsidR="00C860E1" w:rsidRPr="005D26AD">
        <w:t xml:space="preserve">a specific device, group of like devices, or a broad range of devices and medical </w:t>
      </w:r>
      <w:r w:rsidR="00C860E1" w:rsidRPr="008650CE">
        <w:t>product</w:t>
      </w:r>
      <w:r w:rsidR="00C860E1" w:rsidRPr="00190680">
        <w:t>s.</w:t>
      </w:r>
      <w:r w:rsidR="00C860E1" w:rsidRPr="005D26AD">
        <w:t xml:space="preserve"> </w:t>
      </w:r>
      <w:r w:rsidR="00ED53EB">
        <w:t>A</w:t>
      </w:r>
      <w:r w:rsidR="00C860E1" w:rsidRPr="005D26AD">
        <w:t xml:space="preserve"> standard may</w:t>
      </w:r>
      <w:r w:rsidR="00ED53EB">
        <w:t xml:space="preserve"> also</w:t>
      </w:r>
      <w:r w:rsidR="00C860E1" w:rsidRPr="005D26AD">
        <w:t xml:space="preserve"> </w:t>
      </w:r>
      <w:r w:rsidR="00ED53EB">
        <w:t>satisfy requirements related to</w:t>
      </w:r>
      <w:r w:rsidR="00C860E1" w:rsidRPr="005D26AD">
        <w:t xml:space="preserve"> Quality Systems Regulations, </w:t>
      </w:r>
      <w:r w:rsidR="00ED53EB">
        <w:t>risk management, or Good Laboratory Practices</w:t>
      </w:r>
      <w:r w:rsidR="00A74C36">
        <w:t>, as examples</w:t>
      </w:r>
      <w:r w:rsidR="00ED53EB">
        <w:t xml:space="preserve">. </w:t>
      </w:r>
    </w:p>
    <w:p w14:paraId="3096509A" w14:textId="24B9C449" w:rsidR="00B80A0B" w:rsidRDefault="00C860E1" w:rsidP="00235A98">
      <w:pPr>
        <w:spacing w:after="261"/>
        <w:ind w:left="-5" w:right="58"/>
      </w:pPr>
      <w:r w:rsidRPr="005D26AD">
        <w:t>FDA will provide its rationale for recognition of the standard in the SIS, including the scientific, technical, regulatory, or other basis, as applicable</w:t>
      </w:r>
      <w:r w:rsidR="000D6830">
        <w:t>.</w:t>
      </w:r>
      <w:r w:rsidR="002E4386">
        <w:t xml:space="preserve"> </w:t>
      </w:r>
      <w:r w:rsidR="00E9086E">
        <w:t>For the regulatory basis,</w:t>
      </w:r>
      <w:r w:rsidR="002E4386">
        <w:t xml:space="preserve"> FDA </w:t>
      </w:r>
      <w:r w:rsidR="00DF1AF0">
        <w:t>intends to</w:t>
      </w:r>
      <w:r w:rsidR="002E4386">
        <w:t xml:space="preserve"> provide supporting information illustrating the standard’s regulatory applicability. For example, how the standard(s) is/are relevant to FDA regulatory processes, guidance and/or supportive publications.</w:t>
      </w:r>
    </w:p>
    <w:p w14:paraId="19F6CB27" w14:textId="77777777" w:rsidR="00257F75" w:rsidRPr="002760AB" w:rsidRDefault="00AA667B" w:rsidP="002760AB">
      <w:pPr>
        <w:pStyle w:val="Heading1"/>
        <w:jc w:val="left"/>
        <w:rPr>
          <w:sz w:val="36"/>
          <w:szCs w:val="36"/>
        </w:rPr>
      </w:pPr>
      <w:bookmarkStart w:id="129" w:name="_Toc6928745"/>
      <w:bookmarkStart w:id="130" w:name="_Toc25664595"/>
      <w:r w:rsidRPr="002760AB">
        <w:rPr>
          <w:sz w:val="36"/>
          <w:szCs w:val="36"/>
        </w:rPr>
        <w:t>VI.</w:t>
      </w:r>
      <w:r w:rsidRPr="002760AB">
        <w:rPr>
          <w:rFonts w:ascii="Arial" w:eastAsia="Arial" w:hAnsi="Arial" w:cs="Arial"/>
          <w:sz w:val="36"/>
          <w:szCs w:val="36"/>
        </w:rPr>
        <w:t xml:space="preserve"> </w:t>
      </w:r>
      <w:bookmarkStart w:id="131" w:name="_Toc479321910"/>
      <w:bookmarkStart w:id="132" w:name="_Toc485023812"/>
      <w:bookmarkStart w:id="133" w:name="_Toc505847580"/>
      <w:bookmarkStart w:id="134" w:name="_Toc501552217"/>
      <w:bookmarkStart w:id="135" w:name="_Toc512340326"/>
      <w:bookmarkStart w:id="136" w:name="_Toc519597115"/>
      <w:r w:rsidRPr="002760AB">
        <w:rPr>
          <w:sz w:val="36"/>
          <w:szCs w:val="36"/>
        </w:rPr>
        <w:t>Withdrawal of Recognition</w:t>
      </w:r>
      <w:bookmarkEnd w:id="129"/>
      <w:bookmarkEnd w:id="130"/>
      <w:bookmarkEnd w:id="131"/>
      <w:bookmarkEnd w:id="132"/>
      <w:bookmarkEnd w:id="133"/>
      <w:bookmarkEnd w:id="134"/>
      <w:bookmarkEnd w:id="135"/>
      <w:bookmarkEnd w:id="136"/>
      <w:r w:rsidRPr="002760AB">
        <w:rPr>
          <w:sz w:val="36"/>
          <w:szCs w:val="36"/>
        </w:rPr>
        <w:t xml:space="preserve"> </w:t>
      </w:r>
    </w:p>
    <w:p w14:paraId="1EAE8FAD" w14:textId="11D9E947" w:rsidR="00616947" w:rsidRDefault="00AA667B" w:rsidP="00235A98">
      <w:pPr>
        <w:spacing w:after="271"/>
        <w:ind w:left="-5" w:right="58"/>
      </w:pPr>
      <w:r w:rsidRPr="005D26AD">
        <w:t xml:space="preserve">FDA may withdraw recognition of </w:t>
      </w:r>
      <w:r w:rsidR="004D374C">
        <w:t>a previously</w:t>
      </w:r>
      <w:r w:rsidR="00B47E48">
        <w:t xml:space="preserve"> </w:t>
      </w:r>
      <w:r w:rsidRPr="005D26AD">
        <w:t>recognized standard if the Agency determines that the standard is no longer appropriate</w:t>
      </w:r>
      <w:r w:rsidR="00E862F9">
        <w:t xml:space="preserve"> to support a D</w:t>
      </w:r>
      <w:r w:rsidR="007E31F5">
        <w:t>OC</w:t>
      </w:r>
      <w:r w:rsidRPr="005D26AD">
        <w:t xml:space="preserve"> </w:t>
      </w:r>
      <w:r w:rsidR="004D374C">
        <w:t>for meeting</w:t>
      </w:r>
      <w:r w:rsidRPr="005D26AD">
        <w:t xml:space="preserve"> a requirement regarding devices under the FD&amp;C Act (see section 514(c)(2</w:t>
      </w:r>
      <w:r w:rsidR="004D374C">
        <w:t>)).</w:t>
      </w:r>
      <w:r w:rsidRPr="005D26AD">
        <w:t xml:space="preserve"> The two primary situations where FDA may make this determination</w:t>
      </w:r>
      <w:r w:rsidR="00533787">
        <w:t xml:space="preserve"> are</w:t>
      </w:r>
      <w:r w:rsidR="00616947">
        <w:t xml:space="preserve"> described below</w:t>
      </w:r>
      <w:r w:rsidRPr="005D26AD">
        <w:t xml:space="preserve">. </w:t>
      </w:r>
      <w:r w:rsidR="00F0221C">
        <w:t xml:space="preserve"> </w:t>
      </w:r>
    </w:p>
    <w:p w14:paraId="5FB2D896" w14:textId="2A954CA5" w:rsidR="00616947" w:rsidRPr="00470BAF" w:rsidRDefault="00616947" w:rsidP="00616947">
      <w:pPr>
        <w:pStyle w:val="Heading2"/>
        <w:numPr>
          <w:ilvl w:val="0"/>
          <w:numId w:val="35"/>
        </w:numPr>
        <w:rPr>
          <w:sz w:val="32"/>
          <w:szCs w:val="32"/>
        </w:rPr>
      </w:pPr>
      <w:bookmarkStart w:id="137" w:name="_Toc25664596"/>
      <w:r w:rsidRPr="00470BAF">
        <w:rPr>
          <w:sz w:val="32"/>
          <w:szCs w:val="32"/>
        </w:rPr>
        <w:t xml:space="preserve">FDA-Recognized Consensus Standard Replaced by New </w:t>
      </w:r>
      <w:r w:rsidR="00CE17DE" w:rsidRPr="00470BAF">
        <w:rPr>
          <w:sz w:val="32"/>
          <w:szCs w:val="32"/>
        </w:rPr>
        <w:t>Version</w:t>
      </w:r>
      <w:bookmarkEnd w:id="137"/>
    </w:p>
    <w:p w14:paraId="2A08F655" w14:textId="4E56902F" w:rsidR="004E44FC" w:rsidRDefault="00616947" w:rsidP="00235A98">
      <w:pPr>
        <w:spacing w:after="271"/>
        <w:ind w:left="-5" w:right="58"/>
      </w:pPr>
      <w:r>
        <w:t>W</w:t>
      </w:r>
      <w:r w:rsidR="00AA667B" w:rsidRPr="005D26AD">
        <w:t>hen an SDO issues</w:t>
      </w:r>
      <w:r w:rsidR="007A4894" w:rsidRPr="005D26AD">
        <w:t xml:space="preserve"> </w:t>
      </w:r>
      <w:r w:rsidR="00AA667B" w:rsidRPr="005D26AD">
        <w:t xml:space="preserve">a new </w:t>
      </w:r>
      <w:r w:rsidR="00CE17DE">
        <w:t>version</w:t>
      </w:r>
      <w:r w:rsidR="003F605F">
        <w:t xml:space="preserve"> or revision</w:t>
      </w:r>
      <w:r w:rsidR="001B5501">
        <w:t xml:space="preserve"> that supersedes </w:t>
      </w:r>
      <w:r w:rsidR="004D374C">
        <w:t>a standard recognized by FDA</w:t>
      </w:r>
      <w:r>
        <w:t xml:space="preserve">, </w:t>
      </w:r>
      <w:r w:rsidR="004D374C">
        <w:t xml:space="preserve">FDA </w:t>
      </w:r>
      <w:r w:rsidR="004E44FC">
        <w:t xml:space="preserve">reviews the changes and </w:t>
      </w:r>
      <w:r w:rsidR="004D374C">
        <w:t xml:space="preserve">decides </w:t>
      </w:r>
      <w:r>
        <w:t xml:space="preserve">whether </w:t>
      </w:r>
      <w:r w:rsidR="004D374C">
        <w:t xml:space="preserve">to recognize the new </w:t>
      </w:r>
      <w:r w:rsidR="00CE17DE">
        <w:t>version</w:t>
      </w:r>
      <w:r>
        <w:t xml:space="preserve">. If the new </w:t>
      </w:r>
      <w:r w:rsidR="00CE17DE">
        <w:t>version</w:t>
      </w:r>
      <w:r>
        <w:t xml:space="preserve"> </w:t>
      </w:r>
      <w:r>
        <w:lastRenderedPageBreak/>
        <w:t>is recognized</w:t>
      </w:r>
      <w:r w:rsidR="004D374C">
        <w:t xml:space="preserve">, we will announce the change, i.e., recognition of the new </w:t>
      </w:r>
      <w:r w:rsidR="00CE17DE">
        <w:t>version</w:t>
      </w:r>
      <w:r w:rsidR="004D374C">
        <w:t xml:space="preserve"> and (usually) withdrawal of the</w:t>
      </w:r>
      <w:r w:rsidR="007A4894" w:rsidRPr="005D26AD">
        <w:t xml:space="preserve"> older </w:t>
      </w:r>
      <w:r w:rsidR="00CE17DE">
        <w:t>version</w:t>
      </w:r>
      <w:r w:rsidR="004D374C">
        <w:t xml:space="preserve">, in a notice published in the </w:t>
      </w:r>
      <w:r w:rsidR="004D374C" w:rsidRPr="004D374C">
        <w:rPr>
          <w:i/>
        </w:rPr>
        <w:t>Federal Register</w:t>
      </w:r>
      <w:r w:rsidR="004D374C">
        <w:t>.</w:t>
      </w:r>
      <w:r w:rsidR="00AA667B" w:rsidRPr="005D26AD">
        <w:t xml:space="preserve"> We will add the new </w:t>
      </w:r>
      <w:r w:rsidR="00CE17DE">
        <w:t>version</w:t>
      </w:r>
      <w:r w:rsidR="00AA667B" w:rsidRPr="005D26AD">
        <w:t xml:space="preserve"> to the Recognized Consensus Standards </w:t>
      </w:r>
      <w:r w:rsidR="009435B1" w:rsidRPr="005D26AD">
        <w:t>database,</w:t>
      </w:r>
      <w:r w:rsidR="00AA667B" w:rsidRPr="005D26AD">
        <w:t xml:space="preserve"> and we will </w:t>
      </w:r>
      <w:r w:rsidR="004E44FC">
        <w:t>remove</w:t>
      </w:r>
      <w:r w:rsidR="008C3255" w:rsidRPr="005D26AD">
        <w:t xml:space="preserve"> </w:t>
      </w:r>
      <w:r w:rsidR="00AA667B" w:rsidRPr="005D26AD">
        <w:t xml:space="preserve">the older </w:t>
      </w:r>
      <w:r w:rsidR="00CE17DE">
        <w:t>version</w:t>
      </w:r>
      <w:r w:rsidR="00F85540">
        <w:t xml:space="preserve"> from the database.</w:t>
      </w:r>
      <w:r w:rsidR="00AA667B" w:rsidRPr="005D26AD">
        <w:t xml:space="preserve"> </w:t>
      </w:r>
    </w:p>
    <w:p w14:paraId="6D39E3AA" w14:textId="430298E9" w:rsidR="00AC6B02" w:rsidRDefault="00AA667B" w:rsidP="00AC6B02">
      <w:pPr>
        <w:spacing w:after="271"/>
        <w:ind w:left="-5" w:right="58"/>
      </w:pPr>
      <w:r w:rsidRPr="005D26AD">
        <w:t>FDA may provide a transition period during which both the old</w:t>
      </w:r>
      <w:r w:rsidR="00511751" w:rsidRPr="005D26AD">
        <w:t xml:space="preserve"> </w:t>
      </w:r>
      <w:r w:rsidRPr="005D26AD">
        <w:t xml:space="preserve">and new </w:t>
      </w:r>
      <w:r w:rsidR="00CE17DE">
        <w:t>version</w:t>
      </w:r>
      <w:r w:rsidR="004D374C">
        <w:t>s</w:t>
      </w:r>
      <w:r w:rsidRPr="005D26AD">
        <w:t xml:space="preserve"> of </w:t>
      </w:r>
      <w:r w:rsidR="004D374C">
        <w:t>a</w:t>
      </w:r>
      <w:r w:rsidRPr="005D26AD">
        <w:t xml:space="preserve"> standard are recognized</w:t>
      </w:r>
      <w:r w:rsidR="004E44FC">
        <w:t xml:space="preserve">. </w:t>
      </w:r>
      <w:r w:rsidR="006B640E">
        <w:t xml:space="preserve">This means that, per 514(c)(1)(A), a DOC may be submitted for either FDA-recognized consensus standard (i.e., the new or the older version). Once we withdraw recognition of the old version, a </w:t>
      </w:r>
      <w:r w:rsidR="00A74C36">
        <w:t>DOC</w:t>
      </w:r>
      <w:r w:rsidR="006B640E">
        <w:t xml:space="preserve"> </w:t>
      </w:r>
      <w:r w:rsidR="00A74C36">
        <w:t>to the old version of the standard</w:t>
      </w:r>
      <w:r w:rsidR="006B640E">
        <w:t xml:space="preserve"> will no longer be acceptable for future submissions. </w:t>
      </w:r>
      <w:r w:rsidR="00712315">
        <w:t>The transition period, if any, will be included in the SIS.</w:t>
      </w:r>
      <w:r w:rsidR="00A31238">
        <w:t xml:space="preserve"> </w:t>
      </w:r>
      <w:r w:rsidR="00AC6B02">
        <w:t xml:space="preserve">Note that a transition period is only applicable to standards </w:t>
      </w:r>
      <w:r w:rsidR="00CF073C">
        <w:t xml:space="preserve">whose recognition is </w:t>
      </w:r>
      <w:r w:rsidR="00AC6B02">
        <w:t xml:space="preserve">being withdrawn. </w:t>
      </w:r>
      <w:r w:rsidR="00F0221C">
        <w:t xml:space="preserve"> </w:t>
      </w:r>
    </w:p>
    <w:p w14:paraId="465DE6E5" w14:textId="421F9BDE" w:rsidR="00354A40" w:rsidRDefault="00354A40" w:rsidP="00354A40">
      <w:pPr>
        <w:spacing w:after="271"/>
        <w:ind w:left="-5" w:right="58"/>
        <w:rPr>
          <w:highlight w:val="green"/>
        </w:rPr>
      </w:pPr>
      <w:r w:rsidRPr="00C06A83">
        <w:t xml:space="preserve">When determining the timing of a transition period, FDA considers the public health impact of delaying implementation of significant scientific updates and the difficulty manufacturers may face while implementing the specific changes in the new </w:t>
      </w:r>
      <w:r w:rsidR="00CE17DE">
        <w:t>version</w:t>
      </w:r>
      <w:r w:rsidRPr="00C06A83">
        <w:t xml:space="preserve"> compared to the older </w:t>
      </w:r>
      <w:r w:rsidR="00CE17DE">
        <w:t>version</w:t>
      </w:r>
      <w:r w:rsidRPr="00C06A83">
        <w:t xml:space="preserve">. For example, a </w:t>
      </w:r>
      <w:r w:rsidR="00AC6B02" w:rsidRPr="00C06A83">
        <w:t>standard</w:t>
      </w:r>
      <w:r w:rsidRPr="00C06A83">
        <w:t xml:space="preserve"> with only minor</w:t>
      </w:r>
      <w:r w:rsidR="00AC6B02">
        <w:t xml:space="preserve"> technical</w:t>
      </w:r>
      <w:r w:rsidRPr="00C06A83">
        <w:t xml:space="preserve"> or editorial changes may have a shorter transition period tha</w:t>
      </w:r>
      <w:r w:rsidR="003F605F">
        <w:t>n</w:t>
      </w:r>
      <w:r w:rsidRPr="00C06A83">
        <w:t xml:space="preserve"> a standard with changes that may take longer to implement.  When a change to the standard impacts an emergent public health issue, FDA may assign a shortened or no transition period to respond to the issue with appropriate timeliness.</w:t>
      </w:r>
      <w:r w:rsidRPr="005D26AD">
        <w:t xml:space="preserve"> </w:t>
      </w:r>
      <w:r w:rsidR="00AC6B02">
        <w:t xml:space="preserve">For additional discussion regarding transition periods, please see </w:t>
      </w:r>
      <w:r>
        <w:t xml:space="preserve">the </w:t>
      </w:r>
      <w:r w:rsidR="00805FC8">
        <w:t xml:space="preserve">FDA </w:t>
      </w:r>
      <w:r>
        <w:t xml:space="preserve">guidance </w:t>
      </w:r>
      <w:r w:rsidR="00805FC8">
        <w:t xml:space="preserve">document </w:t>
      </w:r>
      <w:r>
        <w:t>“</w:t>
      </w:r>
      <w:hyperlink r:id="rId33" w:history="1">
        <w:r w:rsidRPr="008862FE">
          <w:rPr>
            <w:rStyle w:val="Hyperlink"/>
          </w:rPr>
          <w:t>Appropriate Use of Voluntary Consensus Standards in Premarket Submissions for Medical Devices</w:t>
        </w:r>
      </w:hyperlink>
      <w:r>
        <w:t>.</w:t>
      </w:r>
      <w:r w:rsidR="00E36A25">
        <w:rPr>
          <w:rStyle w:val="FootnoteReference"/>
        </w:rPr>
        <w:footnoteReference w:id="21"/>
      </w:r>
      <w:r>
        <w:t xml:space="preserve">” </w:t>
      </w:r>
      <w:r w:rsidR="00F0221C">
        <w:t xml:space="preserve"> </w:t>
      </w:r>
      <w:r w:rsidRPr="00192604">
        <w:rPr>
          <w:highlight w:val="green"/>
        </w:rPr>
        <w:t xml:space="preserve"> </w:t>
      </w:r>
    </w:p>
    <w:p w14:paraId="78DDCA34" w14:textId="398725D5" w:rsidR="00354026" w:rsidRPr="00F0221C" w:rsidRDefault="00354026" w:rsidP="00354026">
      <w:pPr>
        <w:spacing w:after="271"/>
        <w:ind w:left="-5" w:right="58"/>
        <w:rPr>
          <w:szCs w:val="24"/>
        </w:rPr>
      </w:pPr>
      <w:r w:rsidRPr="00F0221C">
        <w:rPr>
          <w:szCs w:val="24"/>
        </w:rPr>
        <w:t xml:space="preserve">Standards may be revised after marketing authorization is granted. </w:t>
      </w:r>
      <w:r>
        <w:rPr>
          <w:szCs w:val="24"/>
        </w:rPr>
        <w:t xml:space="preserve">As discussed in section VIII. of the </w:t>
      </w:r>
      <w:r>
        <w:t>FDA guidance document “</w:t>
      </w:r>
      <w:hyperlink r:id="rId34" w:history="1">
        <w:r w:rsidRPr="008862FE">
          <w:rPr>
            <w:rStyle w:val="Hyperlink"/>
          </w:rPr>
          <w:t>Appropriate Use of Voluntary Consensus Standards in Premarket Submissions for Medical Devices</w:t>
        </w:r>
      </w:hyperlink>
      <w:r w:rsidRPr="00477FAD">
        <w:rPr>
          <w:rStyle w:val="Hyperlink"/>
        </w:rPr>
        <w:t>,</w:t>
      </w:r>
      <w:r w:rsidRPr="00477FAD">
        <w:t>”</w:t>
      </w:r>
      <w:r w:rsidRPr="00C93627">
        <w:t xml:space="preserve"> </w:t>
      </w:r>
      <w:r w:rsidRPr="00477FAD">
        <w:rPr>
          <w:szCs w:val="24"/>
        </w:rPr>
        <w:t>changes</w:t>
      </w:r>
      <w:r w:rsidRPr="00F0221C">
        <w:rPr>
          <w:szCs w:val="24"/>
        </w:rPr>
        <w:t xml:space="preserve"> in a recognized consensus standard do not retroactively affect a </w:t>
      </w:r>
      <w:r w:rsidRPr="008650CE">
        <w:rPr>
          <w:szCs w:val="24"/>
        </w:rPr>
        <w:t>product’s</w:t>
      </w:r>
      <w:r w:rsidRPr="00F0221C">
        <w:rPr>
          <w:szCs w:val="24"/>
        </w:rPr>
        <w:t xml:space="preserve"> clearance or approval status</w:t>
      </w:r>
      <w:r>
        <w:rPr>
          <w:szCs w:val="24"/>
        </w:rPr>
        <w:t xml:space="preserve">. </w:t>
      </w:r>
    </w:p>
    <w:p w14:paraId="3F5FC620" w14:textId="4412C585" w:rsidR="004E44FC" w:rsidRPr="00470BAF" w:rsidRDefault="004E44FC" w:rsidP="004E44FC">
      <w:pPr>
        <w:pStyle w:val="Heading2"/>
        <w:numPr>
          <w:ilvl w:val="0"/>
          <w:numId w:val="35"/>
        </w:numPr>
        <w:rPr>
          <w:sz w:val="32"/>
          <w:szCs w:val="32"/>
        </w:rPr>
      </w:pPr>
      <w:bookmarkStart w:id="138" w:name="_Toc25664597"/>
      <w:r w:rsidRPr="00470BAF">
        <w:rPr>
          <w:sz w:val="32"/>
          <w:szCs w:val="32"/>
        </w:rPr>
        <w:t>FDA-Recognized Consensus Standard “no longer appropriate for meeting a requirement”</w:t>
      </w:r>
      <w:bookmarkEnd w:id="138"/>
    </w:p>
    <w:p w14:paraId="1F52931D" w14:textId="66C7FD1C" w:rsidR="004D321A" w:rsidRPr="005D26AD" w:rsidRDefault="00150200" w:rsidP="00872D81">
      <w:pPr>
        <w:ind w:left="0" w:firstLine="0"/>
      </w:pPr>
      <w:r>
        <w:t xml:space="preserve">FDA may </w:t>
      </w:r>
      <w:r w:rsidR="00553D54" w:rsidRPr="005D26AD">
        <w:t>withdraw</w:t>
      </w:r>
      <w:r>
        <w:t xml:space="preserve"> recognition of a standard if it </w:t>
      </w:r>
      <w:r w:rsidR="00553D54" w:rsidRPr="005D26AD">
        <w:t xml:space="preserve">determines that the standard is </w:t>
      </w:r>
      <w:r w:rsidR="004D374C">
        <w:t>“</w:t>
      </w:r>
      <w:r w:rsidR="00553D54" w:rsidRPr="005D26AD">
        <w:t>no longer appropriate for meeting a requirement regarding devices</w:t>
      </w:r>
      <w:r w:rsidR="004D374C">
        <w:t>”</w:t>
      </w:r>
      <w:r w:rsidR="00553D54" w:rsidRPr="005D26AD">
        <w:t xml:space="preserve"> (section 514</w:t>
      </w:r>
      <w:r w:rsidR="00877CA2">
        <w:t>(c)</w:t>
      </w:r>
      <w:r w:rsidR="00553D54" w:rsidRPr="005D26AD">
        <w:t>(2) of the FD&amp;C Act</w:t>
      </w:r>
      <w:r w:rsidR="004D374C">
        <w:t>).</w:t>
      </w:r>
      <w:r w:rsidR="00553D54" w:rsidRPr="005D26AD">
        <w:t xml:space="preserve"> </w:t>
      </w:r>
      <w:r w:rsidR="0090495A">
        <w:t xml:space="preserve"> </w:t>
      </w:r>
      <w:r w:rsidR="00D24455" w:rsidRPr="005D26AD">
        <w:t xml:space="preserve">In such an instance, a notice would be published in the </w:t>
      </w:r>
      <w:r w:rsidR="00D24455" w:rsidRPr="00021BE9">
        <w:rPr>
          <w:i/>
        </w:rPr>
        <w:t>Federal Register</w:t>
      </w:r>
      <w:r w:rsidR="00D24455" w:rsidRPr="005D26AD">
        <w:t xml:space="preserve"> withdrawing FDA recognition.</w:t>
      </w:r>
      <w:bookmarkEnd w:id="28"/>
      <w:r w:rsidR="00553D54" w:rsidRPr="005D26AD">
        <w:t xml:space="preserve"> </w:t>
      </w:r>
      <w:r w:rsidR="002A675F">
        <w:t xml:space="preserve"> Use of non-recognized standard</w:t>
      </w:r>
      <w:r w:rsidR="00621D18">
        <w:t>s</w:t>
      </w:r>
      <w:r w:rsidR="002A675F">
        <w:t xml:space="preserve"> are discussed in </w:t>
      </w:r>
      <w:r w:rsidR="00805FC8">
        <w:t xml:space="preserve">the FDA </w:t>
      </w:r>
      <w:r w:rsidR="00C336ED">
        <w:t xml:space="preserve">guidance </w:t>
      </w:r>
      <w:r w:rsidR="00805FC8">
        <w:t>document</w:t>
      </w:r>
      <w:r w:rsidR="00C336ED">
        <w:t xml:space="preserve"> “</w:t>
      </w:r>
      <w:hyperlink r:id="rId35" w:history="1">
        <w:r w:rsidR="00805FC8" w:rsidRPr="008862FE">
          <w:rPr>
            <w:rStyle w:val="Hyperlink"/>
          </w:rPr>
          <w:t>Appropriate Use of Voluntary Consensus Standards in Premarket Submissions for Medical Devices</w:t>
        </w:r>
      </w:hyperlink>
      <w:r w:rsidR="00C336ED">
        <w:t>.”</w:t>
      </w:r>
      <w:bookmarkStart w:id="139" w:name="_Hlk7792910"/>
    </w:p>
    <w:p w14:paraId="2D389342" w14:textId="77777777" w:rsidR="00F7108B" w:rsidRPr="00F7108B" w:rsidRDefault="00F7108B" w:rsidP="00F7108B">
      <w:bookmarkStart w:id="140" w:name="_Toc7533533"/>
      <w:bookmarkStart w:id="141" w:name="_Toc7533534"/>
      <w:bookmarkStart w:id="142" w:name="_Toc7533535"/>
      <w:bookmarkStart w:id="143" w:name="_Toc7533537"/>
      <w:bookmarkStart w:id="144" w:name="_Toc7533538"/>
      <w:bookmarkEnd w:id="140"/>
      <w:bookmarkEnd w:id="141"/>
      <w:bookmarkEnd w:id="142"/>
      <w:bookmarkEnd w:id="143"/>
      <w:bookmarkEnd w:id="144"/>
    </w:p>
    <w:p w14:paraId="69C3582A" w14:textId="38C45604" w:rsidR="00586270" w:rsidRPr="00F7108B" w:rsidRDefault="00F7108B" w:rsidP="00F7108B">
      <w:pPr>
        <w:pStyle w:val="Heading1"/>
        <w:jc w:val="left"/>
        <w:rPr>
          <w:sz w:val="36"/>
          <w:szCs w:val="36"/>
        </w:rPr>
      </w:pPr>
      <w:r>
        <w:rPr>
          <w:sz w:val="36"/>
          <w:szCs w:val="36"/>
        </w:rPr>
        <w:t>VII.</w:t>
      </w:r>
      <w:r w:rsidR="00073473" w:rsidRPr="00F7108B">
        <w:rPr>
          <w:sz w:val="36"/>
          <w:szCs w:val="36"/>
        </w:rPr>
        <w:t xml:space="preserve"> </w:t>
      </w:r>
      <w:bookmarkStart w:id="145" w:name="_Toc25664598"/>
      <w:bookmarkEnd w:id="139"/>
      <w:r w:rsidR="00586270" w:rsidRPr="00F7108B">
        <w:rPr>
          <w:sz w:val="36"/>
          <w:szCs w:val="36"/>
        </w:rPr>
        <w:t>Paperwork Reduction Act of 1995</w:t>
      </w:r>
      <w:bookmarkEnd w:id="145"/>
    </w:p>
    <w:p w14:paraId="061A36CD" w14:textId="77777777" w:rsidR="00586270" w:rsidRDefault="00586270" w:rsidP="00586270"/>
    <w:p w14:paraId="36B50D65" w14:textId="2146177B" w:rsidR="00586270" w:rsidRDefault="00586270" w:rsidP="00586270">
      <w:pPr>
        <w:pStyle w:val="Default"/>
        <w:rPr>
          <w:sz w:val="23"/>
          <w:szCs w:val="23"/>
        </w:rPr>
      </w:pPr>
      <w:r>
        <w:rPr>
          <w:sz w:val="23"/>
          <w:szCs w:val="23"/>
        </w:rPr>
        <w:t xml:space="preserve">This </w:t>
      </w:r>
      <w:bookmarkStart w:id="146" w:name="_Hlk33618592"/>
      <w:r>
        <w:rPr>
          <w:sz w:val="23"/>
          <w:szCs w:val="23"/>
        </w:rPr>
        <w:t xml:space="preserve">guidance contains information collection provisions that are subject to review by the </w:t>
      </w:r>
      <w:bookmarkEnd w:id="146"/>
      <w:r>
        <w:rPr>
          <w:sz w:val="23"/>
          <w:szCs w:val="23"/>
        </w:rPr>
        <w:t>Office of Management and Budget (OMB) under the Paperwork Reduction Act of 1995 (44 U.S.C. 3501-352</w:t>
      </w:r>
      <w:r w:rsidR="00B145B6">
        <w:rPr>
          <w:sz w:val="23"/>
          <w:szCs w:val="23"/>
        </w:rPr>
        <w:t>1</w:t>
      </w:r>
      <w:r>
        <w:rPr>
          <w:sz w:val="23"/>
          <w:szCs w:val="23"/>
        </w:rPr>
        <w:t xml:space="preserve">). </w:t>
      </w:r>
    </w:p>
    <w:p w14:paraId="5ACFBB00" w14:textId="77777777" w:rsidR="00586270" w:rsidRDefault="00586270" w:rsidP="00586270">
      <w:pPr>
        <w:pStyle w:val="Default"/>
        <w:rPr>
          <w:sz w:val="23"/>
          <w:szCs w:val="23"/>
        </w:rPr>
      </w:pPr>
    </w:p>
    <w:p w14:paraId="6E45CAA3" w14:textId="455FF6EF" w:rsidR="00586270" w:rsidRDefault="00586270" w:rsidP="00586270">
      <w:pPr>
        <w:pStyle w:val="Default"/>
        <w:rPr>
          <w:sz w:val="23"/>
          <w:szCs w:val="23"/>
        </w:rPr>
      </w:pPr>
      <w:r>
        <w:rPr>
          <w:sz w:val="23"/>
          <w:szCs w:val="23"/>
        </w:rPr>
        <w:lastRenderedPageBreak/>
        <w:t xml:space="preserve">The time required to complete this information collection is estimated to be 1 hour per request. Send comments regarding this burden estimate or suggestions for reducing this burden to: </w:t>
      </w:r>
    </w:p>
    <w:p w14:paraId="0D90FD34" w14:textId="77777777" w:rsidR="00F7108B" w:rsidRDefault="00F7108B" w:rsidP="00586270">
      <w:pPr>
        <w:pStyle w:val="Default"/>
        <w:rPr>
          <w:sz w:val="23"/>
          <w:szCs w:val="23"/>
        </w:rPr>
      </w:pPr>
    </w:p>
    <w:p w14:paraId="067BAEAD" w14:textId="77777777" w:rsidR="00586270" w:rsidRDefault="00586270" w:rsidP="00586270">
      <w:pPr>
        <w:pStyle w:val="Default"/>
        <w:rPr>
          <w:sz w:val="23"/>
          <w:szCs w:val="23"/>
        </w:rPr>
      </w:pPr>
      <w:r>
        <w:rPr>
          <w:sz w:val="23"/>
          <w:szCs w:val="23"/>
        </w:rPr>
        <w:t xml:space="preserve">FDA PRA Staff, </w:t>
      </w:r>
    </w:p>
    <w:p w14:paraId="51E8E635" w14:textId="77777777" w:rsidR="00586270" w:rsidRDefault="00586270" w:rsidP="00586270">
      <w:pPr>
        <w:pStyle w:val="Default"/>
        <w:rPr>
          <w:sz w:val="23"/>
          <w:szCs w:val="23"/>
        </w:rPr>
      </w:pPr>
      <w:r>
        <w:rPr>
          <w:sz w:val="23"/>
          <w:szCs w:val="23"/>
        </w:rPr>
        <w:t xml:space="preserve">Office of Operations, </w:t>
      </w:r>
    </w:p>
    <w:p w14:paraId="6ED46468" w14:textId="77777777" w:rsidR="00586270" w:rsidRDefault="00586270" w:rsidP="00586270">
      <w:pPr>
        <w:pStyle w:val="Default"/>
        <w:rPr>
          <w:sz w:val="23"/>
          <w:szCs w:val="23"/>
        </w:rPr>
      </w:pPr>
      <w:r>
        <w:rPr>
          <w:sz w:val="23"/>
          <w:szCs w:val="23"/>
        </w:rPr>
        <w:t xml:space="preserve">Food and Drug Administration, </w:t>
      </w:r>
    </w:p>
    <w:p w14:paraId="651CCBDC" w14:textId="77777777" w:rsidR="00586270" w:rsidRDefault="00586270" w:rsidP="00586270">
      <w:pPr>
        <w:pStyle w:val="Default"/>
        <w:rPr>
          <w:color w:val="0000FF"/>
          <w:sz w:val="23"/>
          <w:szCs w:val="23"/>
        </w:rPr>
      </w:pPr>
      <w:r>
        <w:rPr>
          <w:color w:val="0000FF"/>
          <w:sz w:val="23"/>
          <w:szCs w:val="23"/>
        </w:rPr>
        <w:t xml:space="preserve">PRAStaff@fda.hhs.gov </w:t>
      </w:r>
    </w:p>
    <w:p w14:paraId="1CC5AE49" w14:textId="77777777" w:rsidR="00586270" w:rsidRDefault="00586270" w:rsidP="00586270">
      <w:pPr>
        <w:rPr>
          <w:sz w:val="23"/>
          <w:szCs w:val="23"/>
        </w:rPr>
      </w:pPr>
    </w:p>
    <w:p w14:paraId="66BBE78E" w14:textId="123081FB" w:rsidR="00586270" w:rsidRDefault="00586270" w:rsidP="00586270">
      <w:pPr>
        <w:spacing w:after="0" w:line="240" w:lineRule="auto"/>
        <w:ind w:left="0" w:right="0" w:firstLine="0"/>
        <w:rPr>
          <w:rFonts w:eastAsiaTheme="minorEastAsia"/>
          <w:color w:val="auto"/>
          <w:szCs w:val="24"/>
        </w:rPr>
      </w:pPr>
      <w:r>
        <w:rPr>
          <w:sz w:val="23"/>
          <w:szCs w:val="23"/>
        </w:rPr>
        <w:t xml:space="preserve">An agency may not conduct or sponsor, and a person is not required to respond to, a collection of information unless it displays a currently valid OMB control number. </w:t>
      </w:r>
      <w:r>
        <w:rPr>
          <w:szCs w:val="24"/>
        </w:rPr>
        <w:t>The OMB control number for this information collection is 0910-xxxx (expires xx-xx-</w:t>
      </w:r>
      <w:proofErr w:type="spellStart"/>
      <w:r>
        <w:rPr>
          <w:szCs w:val="24"/>
        </w:rPr>
        <w:t>xxxx</w:t>
      </w:r>
      <w:proofErr w:type="spellEnd"/>
      <w:r>
        <w:rPr>
          <w:szCs w:val="24"/>
        </w:rPr>
        <w:t>).</w:t>
      </w:r>
      <w:r>
        <w:rPr>
          <w:rFonts w:eastAsiaTheme="minorEastAsia"/>
          <w:color w:val="auto"/>
          <w:szCs w:val="24"/>
        </w:rPr>
        <w:t xml:space="preserve"> </w:t>
      </w:r>
    </w:p>
    <w:p w14:paraId="0A0EB561" w14:textId="45B9651B" w:rsidR="00257F75" w:rsidRDefault="00257F75" w:rsidP="00073473">
      <w:pPr>
        <w:ind w:left="0" w:firstLine="0"/>
      </w:pPr>
    </w:p>
    <w:sectPr w:rsidR="00257F75" w:rsidSect="00216F71">
      <w:headerReference w:type="even" r:id="rId36"/>
      <w:headerReference w:type="default" r:id="rId37"/>
      <w:footerReference w:type="even" r:id="rId38"/>
      <w:footerReference w:type="default" r:id="rId39"/>
      <w:headerReference w:type="first" r:id="rId40"/>
      <w:footerReference w:type="first" r:id="rId41"/>
      <w:pgSz w:w="12240" w:h="15840"/>
      <w:pgMar w:top="1880" w:right="1380" w:bottom="721" w:left="1440" w:header="781" w:footer="72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2DD8A" w14:textId="77777777" w:rsidR="004D348B" w:rsidRDefault="004D348B" w:rsidP="00235A98">
      <w:pPr>
        <w:spacing w:after="0" w:line="240" w:lineRule="auto"/>
      </w:pPr>
      <w:r>
        <w:separator/>
      </w:r>
    </w:p>
  </w:endnote>
  <w:endnote w:type="continuationSeparator" w:id="0">
    <w:p w14:paraId="1AF90872" w14:textId="77777777" w:rsidR="004D348B" w:rsidRDefault="004D348B" w:rsidP="00235A98">
      <w:pPr>
        <w:spacing w:after="0" w:line="240" w:lineRule="auto"/>
      </w:pPr>
      <w:r>
        <w:continuationSeparator/>
      </w:r>
    </w:p>
  </w:endnote>
  <w:endnote w:type="continuationNotice" w:id="1">
    <w:p w14:paraId="621A013F" w14:textId="77777777" w:rsidR="004D348B" w:rsidRDefault="004D348B" w:rsidP="00487C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8F2FF" w14:textId="77777777" w:rsidR="00284217" w:rsidRDefault="00284217">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F2D49" w14:textId="388F2DCE" w:rsidR="00284217" w:rsidRDefault="00284217">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8D2E2" w14:textId="77777777" w:rsidR="00284217" w:rsidRDefault="00284217">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FEE82" w14:textId="77777777" w:rsidR="00284217" w:rsidRDefault="00284217" w:rsidP="00235A98">
    <w:pPr>
      <w:tabs>
        <w:tab w:val="right" w:pos="9420"/>
      </w:tabs>
      <w:spacing w:after="0" w:line="259" w:lineRule="auto"/>
      <w:ind w:left="0" w:right="0"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06554" w14:textId="2FAB9D22" w:rsidR="00284217" w:rsidRDefault="00284217" w:rsidP="00235A98">
    <w:pPr>
      <w:tabs>
        <w:tab w:val="right" w:pos="9420"/>
      </w:tabs>
      <w:spacing w:after="0" w:line="259" w:lineRule="auto"/>
      <w:ind w:left="0" w:right="0" w:firstLine="0"/>
    </w:pPr>
    <w:r>
      <w:t xml:space="preserve"> </w:t>
    </w:r>
    <w:r>
      <w:tab/>
    </w:r>
    <w:r w:rsidRPr="00C93627">
      <w:rPr>
        <w:color w:val="auto"/>
      </w:rPr>
      <w:fldChar w:fldCharType="begin"/>
    </w:r>
    <w:r>
      <w:instrText xml:space="preserve"> PAGE   \* MERGEFORMAT </w:instrText>
    </w:r>
    <w:r w:rsidRPr="00C93627">
      <w:rPr>
        <w:color w:val="auto"/>
      </w:rPr>
      <w:fldChar w:fldCharType="separate"/>
    </w:r>
    <w:r>
      <w:rPr>
        <w:noProof/>
      </w:rPr>
      <w:t>2</w:t>
    </w:r>
    <w:r w:rsidRPr="00C93627">
      <w:rPr>
        <w:color w:val="auto"/>
      </w:rP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BAB95" w14:textId="77777777" w:rsidR="00284217" w:rsidRDefault="00284217" w:rsidP="00235A98">
    <w:pPr>
      <w:tabs>
        <w:tab w:val="right" w:pos="9420"/>
      </w:tabs>
      <w:spacing w:after="0" w:line="259" w:lineRule="auto"/>
      <w:ind w:left="0" w:right="0"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297EA" w14:textId="77777777" w:rsidR="004D348B" w:rsidRDefault="004D348B" w:rsidP="00235A98">
      <w:pPr>
        <w:spacing w:after="0" w:line="276" w:lineRule="auto"/>
        <w:ind w:left="0" w:right="0" w:firstLine="0"/>
      </w:pPr>
      <w:r>
        <w:separator/>
      </w:r>
    </w:p>
  </w:footnote>
  <w:footnote w:type="continuationSeparator" w:id="0">
    <w:p w14:paraId="058BD5FF" w14:textId="77777777" w:rsidR="004D348B" w:rsidRDefault="004D348B" w:rsidP="00235A98">
      <w:pPr>
        <w:spacing w:after="0" w:line="276" w:lineRule="auto"/>
        <w:ind w:left="0" w:right="0" w:firstLine="0"/>
      </w:pPr>
      <w:r>
        <w:continuationSeparator/>
      </w:r>
    </w:p>
  </w:footnote>
  <w:footnote w:type="continuationNotice" w:id="1">
    <w:p w14:paraId="0AD0A64F" w14:textId="77777777" w:rsidR="004D348B" w:rsidRDefault="004D348B" w:rsidP="00235A98">
      <w:pPr>
        <w:spacing w:after="0" w:line="240" w:lineRule="auto"/>
      </w:pPr>
    </w:p>
  </w:footnote>
  <w:footnote w:id="2">
    <w:p w14:paraId="32E16ACE" w14:textId="60D94996" w:rsidR="00284217" w:rsidRPr="00190680" w:rsidRDefault="00284217" w:rsidP="001D4C2F">
      <w:pPr>
        <w:pStyle w:val="FootnoteText"/>
      </w:pPr>
      <w:r w:rsidRPr="00216F71">
        <w:rPr>
          <w:rStyle w:val="footnotemark"/>
        </w:rPr>
        <w:footnoteRef/>
      </w:r>
      <w:r>
        <w:t xml:space="preserve"> All requests for recognition of a voluntary consensus standard for medical devices are managed by CDRH, including any requests for recognition of a standard that would apply to a device regulated by CBER</w:t>
      </w:r>
      <w:r w:rsidRPr="00190680">
        <w:t xml:space="preserve">. In this guidance, “product” refers to medical devices including those that are </w:t>
      </w:r>
      <w:r w:rsidR="00EA6365">
        <w:t>licensed</w:t>
      </w:r>
      <w:r w:rsidRPr="00190680">
        <w:t xml:space="preserve"> as biological products under section 351 of the Public Health Service (PHS) Act.</w:t>
      </w:r>
    </w:p>
  </w:footnote>
  <w:footnote w:id="3">
    <w:p w14:paraId="1417322E" w14:textId="77777777" w:rsidR="00284217" w:rsidRDefault="00284217" w:rsidP="008D407F">
      <w:pPr>
        <w:pStyle w:val="FootnoteText"/>
      </w:pPr>
      <w:r w:rsidRPr="00190680">
        <w:rPr>
          <w:rStyle w:val="FootnoteReference"/>
        </w:rPr>
        <w:footnoteRef/>
      </w:r>
      <w:r w:rsidRPr="00190680">
        <w:t xml:space="preserve"> Available at </w:t>
      </w:r>
      <w:hyperlink r:id="rId1" w:history="1">
        <w:r w:rsidRPr="00190680">
          <w:rPr>
            <w:rStyle w:val="Hyperlink"/>
          </w:rPr>
          <w:t>https://www.accessdata.fda.gov/scripts/cdrh/cfdocs/cfStandards/search.cfm</w:t>
        </w:r>
      </w:hyperlink>
      <w:r w:rsidRPr="00767550">
        <w:t xml:space="preserve"> </w:t>
      </w:r>
    </w:p>
  </w:footnote>
  <w:footnote w:id="4">
    <w:p w14:paraId="13B8EE12" w14:textId="3732FA4B" w:rsidR="00284217" w:rsidRPr="00272420" w:rsidRDefault="00284217" w:rsidP="00272420">
      <w:pPr>
        <w:spacing w:before="94"/>
        <w:ind w:left="0"/>
        <w:rPr>
          <w:sz w:val="20"/>
        </w:rPr>
      </w:pPr>
      <w:r>
        <w:rPr>
          <w:rStyle w:val="FootnoteReference"/>
        </w:rPr>
        <w:footnoteRef/>
      </w:r>
      <w:r w:rsidRPr="00623E5E">
        <w:rPr>
          <w:sz w:val="20"/>
          <w:szCs w:val="20"/>
        </w:rPr>
        <w:t xml:space="preserve"> </w:t>
      </w:r>
      <w:hyperlink r:id="rId2" w:history="1">
        <w:r w:rsidR="0023418F" w:rsidRPr="00AF18E4">
          <w:rPr>
            <w:rStyle w:val="Hyperlink"/>
            <w:sz w:val="20"/>
            <w:szCs w:val="20"/>
          </w:rPr>
          <w:t>https://www.nist.gov/system/files/revised_circular_a-119_as_of_01-22-2016.pdf</w:t>
        </w:r>
      </w:hyperlink>
      <w:r w:rsidR="0023418F">
        <w:rPr>
          <w:sz w:val="20"/>
          <w:szCs w:val="20"/>
        </w:rPr>
        <w:t xml:space="preserve"> </w:t>
      </w:r>
    </w:p>
  </w:footnote>
  <w:footnote w:id="5">
    <w:p w14:paraId="64715EAD" w14:textId="748B1BC3" w:rsidR="00284217" w:rsidRPr="00157ADE" w:rsidRDefault="00284217" w:rsidP="00F944D9">
      <w:pPr>
        <w:pStyle w:val="footnotedescription"/>
        <w:spacing w:after="0" w:line="258" w:lineRule="auto"/>
      </w:pPr>
      <w:r w:rsidRPr="00157ADE">
        <w:rPr>
          <w:rStyle w:val="footnotemark"/>
        </w:rPr>
        <w:footnoteRef/>
      </w:r>
      <w:r>
        <w:t xml:space="preserve"> </w:t>
      </w:r>
      <w:hyperlink r:id="rId3" w:history="1">
        <w:r w:rsidRPr="00A4563C">
          <w:rPr>
            <w:rStyle w:val="Hyperlink"/>
          </w:rPr>
          <w:t>https://www.ansi.org/essentialrequirements</w:t>
        </w:r>
      </w:hyperlink>
      <w:r>
        <w:rPr>
          <w:color w:val="0000FF"/>
          <w:u w:val="single" w:color="0000FF"/>
        </w:rPr>
        <w:t xml:space="preserve"> </w:t>
      </w:r>
    </w:p>
  </w:footnote>
  <w:footnote w:id="6">
    <w:p w14:paraId="7052465C" w14:textId="57BDEAAD" w:rsidR="00284217" w:rsidRPr="00681684" w:rsidRDefault="00284217" w:rsidP="00F944D9">
      <w:pPr>
        <w:spacing w:after="0"/>
        <w:ind w:left="0"/>
        <w:rPr>
          <w:sz w:val="20"/>
        </w:rPr>
      </w:pPr>
      <w:r>
        <w:rPr>
          <w:rStyle w:val="FootnoteReference"/>
        </w:rPr>
        <w:footnoteRef/>
      </w:r>
      <w:r>
        <w:t xml:space="preserve"> </w:t>
      </w:r>
      <w:r>
        <w:rPr>
          <w:color w:val="303030"/>
          <w:sz w:val="20"/>
        </w:rPr>
        <w:t>Deutsches Institut für Normung e.V. (German Institute for Standardization)</w:t>
      </w:r>
    </w:p>
  </w:footnote>
  <w:footnote w:id="7">
    <w:p w14:paraId="6BE463C7" w14:textId="1753B062" w:rsidR="00284217" w:rsidRDefault="00284217">
      <w:pPr>
        <w:pStyle w:val="FootnoteText"/>
      </w:pPr>
      <w:r>
        <w:rPr>
          <w:rStyle w:val="FootnoteReference"/>
        </w:rPr>
        <w:footnoteRef/>
      </w:r>
      <w:r>
        <w:t xml:space="preserve"> </w:t>
      </w:r>
      <w:hyperlink r:id="rId4" w:history="1">
        <w:r w:rsidRPr="009534C4">
          <w:rPr>
            <w:rStyle w:val="Hyperlink"/>
          </w:rPr>
          <w:t>https://www.fda.gov/regulatory-information/search-fda-guidance-documents/appropriate-use-voluntary-consensus-standards-premarket-submissions-medical-devices</w:t>
        </w:r>
      </w:hyperlink>
    </w:p>
  </w:footnote>
  <w:footnote w:id="8">
    <w:p w14:paraId="36B23AF6" w14:textId="377E9867" w:rsidR="00284217" w:rsidRDefault="00284217">
      <w:pPr>
        <w:pStyle w:val="FootnoteText"/>
      </w:pPr>
      <w:r>
        <w:rPr>
          <w:rStyle w:val="FootnoteReference"/>
        </w:rPr>
        <w:footnoteRef/>
      </w:r>
      <w:r>
        <w:t xml:space="preserve"> </w:t>
      </w:r>
      <w:r>
        <w:rPr>
          <w:szCs w:val="20"/>
        </w:rPr>
        <w:t xml:space="preserve">An IEC collateral standard is defined as a standard that addresses additional basic safety and essential performance requirements that are common to a subgroup of medical electrical equipment; or a standard that addresses additional basic safety and essential performance requirements that deal with characteristics of medical electrical equipment or medical electrical systems that are not fully covered by the general standard. See ANSI/AAMI ES60601-1:2005/(R) 2012 and A1 2012, C1:2009/(R) 2012 and A2:2010/(R) 2012 (Consolidated Text): </w:t>
      </w:r>
      <w:r>
        <w:rPr>
          <w:i/>
          <w:iCs/>
          <w:szCs w:val="20"/>
        </w:rPr>
        <w:t xml:space="preserve">Medical electrical equipment—Part 1: General requirements for basic safety and essential performance </w:t>
      </w:r>
      <w:r>
        <w:rPr>
          <w:szCs w:val="20"/>
        </w:rPr>
        <w:t xml:space="preserve">(IEC 60601-1:2005, MOD). </w:t>
      </w:r>
      <w:r>
        <w:t xml:space="preserve"> </w:t>
      </w:r>
    </w:p>
  </w:footnote>
  <w:footnote w:id="9">
    <w:p w14:paraId="16D0BE29" w14:textId="5C83D46E" w:rsidR="00284217" w:rsidRDefault="00284217">
      <w:pPr>
        <w:pStyle w:val="FootnoteText"/>
      </w:pPr>
      <w:r>
        <w:rPr>
          <w:rStyle w:val="FootnoteReference"/>
        </w:rPr>
        <w:footnoteRef/>
      </w:r>
      <w:r>
        <w:t xml:space="preserve"> </w:t>
      </w:r>
      <w:r>
        <w:rPr>
          <w:szCs w:val="20"/>
        </w:rPr>
        <w:t xml:space="preserve">An IEC particular standard is defined as a standard that addresses additional basic safety and essential performance requirements that deal with characteristics of particular medical electrical equipment that are not covered by the general standard. </w:t>
      </w:r>
      <w:r>
        <w:t xml:space="preserve"> </w:t>
      </w:r>
    </w:p>
  </w:footnote>
  <w:footnote w:id="10">
    <w:p w14:paraId="21DB8FC2" w14:textId="77777777" w:rsidR="00284217" w:rsidRDefault="00284217" w:rsidP="000B3FBD">
      <w:pPr>
        <w:pStyle w:val="FootnoteText"/>
      </w:pPr>
      <w:r>
        <w:rPr>
          <w:rStyle w:val="FootnoteReference"/>
        </w:rPr>
        <w:footnoteRef/>
      </w:r>
      <w:r>
        <w:t xml:space="preserve"> FDA Recognized Consensus Standards Database for Medical Devices: </w:t>
      </w:r>
      <w:hyperlink r:id="rId5" w:history="1">
        <w:r w:rsidRPr="009237BC">
          <w:rPr>
            <w:rStyle w:val="Hyperlink"/>
          </w:rPr>
          <w:t>https://www.accessdata.fda.gov/scripts/cdrh/cfdocs/cfstandards/search.cfm</w:t>
        </w:r>
      </w:hyperlink>
      <w:r>
        <w:t xml:space="preserve"> </w:t>
      </w:r>
    </w:p>
  </w:footnote>
  <w:footnote w:id="11">
    <w:p w14:paraId="2E2B8C9B" w14:textId="25BA205F" w:rsidR="00284217" w:rsidRDefault="00284217" w:rsidP="00741631">
      <w:pPr>
        <w:spacing w:before="94"/>
        <w:ind w:left="0" w:right="1088"/>
        <w:rPr>
          <w:sz w:val="20"/>
        </w:rPr>
      </w:pPr>
      <w:r>
        <w:rPr>
          <w:rStyle w:val="FootnoteReference"/>
        </w:rPr>
        <w:footnoteRef/>
      </w:r>
      <w:r>
        <w:t xml:space="preserve"> </w:t>
      </w:r>
      <w:r>
        <w:rPr>
          <w:sz w:val="20"/>
        </w:rPr>
        <w:t xml:space="preserve">A sponsor may rely on an unrecognized standard. For more information, see the FDA guidance document, “Appropriate Use of Voluntary Consensus Standards in Premarket Submissions for Medical Devices,” </w:t>
      </w:r>
      <w:hyperlink r:id="rId6" w:history="1">
        <w:r w:rsidRPr="00624CA9">
          <w:rPr>
            <w:rStyle w:val="Hyperlink"/>
            <w:sz w:val="20"/>
          </w:rPr>
          <w:t>https://www.fda.gov/regulatory-information/search-fda-guidance-documents/appropriate-use-voluntary-consensus-standards-premarket-submissions-medical-devices</w:t>
        </w:r>
      </w:hyperlink>
      <w:r>
        <w:rPr>
          <w:sz w:val="20"/>
        </w:rPr>
        <w:t xml:space="preserve"> </w:t>
      </w:r>
    </w:p>
    <w:p w14:paraId="764556B5" w14:textId="77777777" w:rsidR="00284217" w:rsidRDefault="00284217">
      <w:pPr>
        <w:pStyle w:val="FootnoteText"/>
      </w:pPr>
    </w:p>
  </w:footnote>
  <w:footnote w:id="12">
    <w:p w14:paraId="13E2E428" w14:textId="21041E0F" w:rsidR="00284217" w:rsidRDefault="00284217">
      <w:pPr>
        <w:pStyle w:val="FootnoteText"/>
      </w:pPr>
      <w:r>
        <w:rPr>
          <w:rStyle w:val="FootnoteReference"/>
        </w:rPr>
        <w:footnoteRef/>
      </w:r>
      <w:r>
        <w:t xml:space="preserve"> See the FDA guidance document “Appropriate Use of Voluntary Consensus Standards in Premarket Submissions for Medical Devices.”</w:t>
      </w:r>
    </w:p>
  </w:footnote>
  <w:footnote w:id="13">
    <w:p w14:paraId="5038F080" w14:textId="4F1B98D9" w:rsidR="00284217" w:rsidRDefault="00284217">
      <w:pPr>
        <w:pStyle w:val="FootnoteText"/>
      </w:pPr>
      <w:r>
        <w:rPr>
          <w:rStyle w:val="FootnoteReference"/>
        </w:rPr>
        <w:footnoteRef/>
      </w:r>
      <w:r>
        <w:t xml:space="preserve">  The Supplementary Information Sheet (SIS) (discussed in Section V. of this guidance) includes a section titled “</w:t>
      </w:r>
      <w:r w:rsidRPr="007E31F5">
        <w:t>Rationale for Recognitio</w:t>
      </w:r>
      <w:r>
        <w:t>n,” which i</w:t>
      </w:r>
      <w:r w:rsidRPr="007E31F5">
        <w:t xml:space="preserve">s considered the </w:t>
      </w:r>
      <w:r>
        <w:t>“</w:t>
      </w:r>
      <w:r w:rsidRPr="007E31F5">
        <w:t xml:space="preserve">basis for </w:t>
      </w:r>
      <w:r>
        <w:t>such</w:t>
      </w:r>
      <w:r w:rsidRPr="007E31F5">
        <w:t xml:space="preserve"> determination</w:t>
      </w:r>
      <w:r>
        <w:t>” discussed</w:t>
      </w:r>
      <w:r w:rsidRPr="007E31F5">
        <w:t xml:space="preserve"> 514(c)(1)(C)(ii)(II).  </w:t>
      </w:r>
    </w:p>
  </w:footnote>
  <w:footnote w:id="14">
    <w:p w14:paraId="0445EA45" w14:textId="616D33E5" w:rsidR="00284217" w:rsidRDefault="00284217">
      <w:pPr>
        <w:pStyle w:val="FootnoteText"/>
      </w:pPr>
      <w:r>
        <w:rPr>
          <w:rStyle w:val="FootnoteReference"/>
        </w:rPr>
        <w:footnoteRef/>
      </w:r>
      <w:r>
        <w:t xml:space="preserve"> See the FDA guidance document “Appropriate Use of Voluntary Consensus Standards in Premarket Submissions for Medical Devices.”</w:t>
      </w:r>
    </w:p>
  </w:footnote>
  <w:footnote w:id="15">
    <w:p w14:paraId="0938FE16" w14:textId="23BA49C1" w:rsidR="00284217" w:rsidRDefault="00284217">
      <w:pPr>
        <w:pStyle w:val="FootnoteText"/>
      </w:pPr>
      <w:r>
        <w:rPr>
          <w:rStyle w:val="FootnoteReference"/>
        </w:rPr>
        <w:footnoteRef/>
      </w:r>
      <w:r>
        <w:t xml:space="preserve"> See Non-Recognized Standards database, </w:t>
      </w:r>
      <w:hyperlink r:id="rId7" w:history="1">
        <w:r w:rsidR="00DA03F9" w:rsidRPr="00AF18E4">
          <w:rPr>
            <w:rStyle w:val="Hyperlink"/>
          </w:rPr>
          <w:t>https://www.accessdata.fda.gov/scripts/cdrh/cfdocs/cfstandards/nr_results.cfm</w:t>
        </w:r>
      </w:hyperlink>
      <w:r w:rsidR="00DA03F9">
        <w:t xml:space="preserve"> </w:t>
      </w:r>
    </w:p>
  </w:footnote>
  <w:footnote w:id="16">
    <w:p w14:paraId="6A783B20" w14:textId="7D24761C" w:rsidR="00284217" w:rsidRPr="00235A98" w:rsidRDefault="00284217" w:rsidP="00235A98">
      <w:pPr>
        <w:pStyle w:val="footnotedescription"/>
        <w:spacing w:after="0"/>
      </w:pPr>
      <w:r w:rsidRPr="00235A98">
        <w:rPr>
          <w:rStyle w:val="footnotemark"/>
        </w:rPr>
        <w:footnoteRef/>
      </w:r>
      <w:r>
        <w:t xml:space="preserve"> </w:t>
      </w:r>
      <w:r w:rsidRPr="00235A98">
        <w:t>See section 514(c)(1)(C)(ii)</w:t>
      </w:r>
      <w:r>
        <w:t xml:space="preserve"> and (D)</w:t>
      </w:r>
      <w:r w:rsidRPr="00235A98">
        <w:t xml:space="preserve"> of the FD&amp;C Act.</w:t>
      </w:r>
      <w:r>
        <w:t xml:space="preserve"> </w:t>
      </w:r>
    </w:p>
  </w:footnote>
  <w:footnote w:id="17">
    <w:p w14:paraId="1093A3E4" w14:textId="749786E4" w:rsidR="00DA03F9" w:rsidRDefault="00DA03F9">
      <w:pPr>
        <w:pStyle w:val="FootnoteText"/>
      </w:pPr>
      <w:r>
        <w:rPr>
          <w:rStyle w:val="FootnoteReference"/>
        </w:rPr>
        <w:footnoteRef/>
      </w:r>
      <w:r>
        <w:t xml:space="preserve"> </w:t>
      </w:r>
      <w:hyperlink r:id="rId8" w:history="1">
        <w:r w:rsidR="00C64755" w:rsidRPr="00AF18E4">
          <w:rPr>
            <w:rStyle w:val="Hyperlink"/>
          </w:rPr>
          <w:t>https://www.accessdata.fda.gov/scripts/cdrh/cfdocs/cfstandards/search.cfm</w:t>
        </w:r>
      </w:hyperlink>
      <w:r>
        <w:rPr>
          <w:rStyle w:val="Hyperlink"/>
        </w:rPr>
        <w:t xml:space="preserve"> </w:t>
      </w:r>
    </w:p>
  </w:footnote>
  <w:footnote w:id="18">
    <w:p w14:paraId="2181301D" w14:textId="2B9D5EF4" w:rsidR="00284217" w:rsidRDefault="00284217" w:rsidP="00090735">
      <w:pPr>
        <w:pStyle w:val="footnotedescription"/>
        <w:spacing w:after="34" w:line="252" w:lineRule="auto"/>
        <w:ind w:right="57"/>
      </w:pPr>
      <w:r>
        <w:rPr>
          <w:rStyle w:val="footnotemark"/>
        </w:rPr>
        <w:footnoteRef/>
      </w:r>
      <w:r>
        <w:t xml:space="preserve"> “Identical” or “parallel” U.S. adoption is when the United States, through ANSI, adopts (“in parallel”) a standard published by an international SDO, such as ISO or IEC, without modification to its content. FDA will update the SIS of the international standard on our website when either ANSI or a U.S. SDO publishes the parallel adoption. Since such standards are identical, we will not ordinarily assign a separate recognition number or separately announce recognition in the </w:t>
      </w:r>
      <w:r>
        <w:rPr>
          <w:i/>
        </w:rPr>
        <w:t>Federal Register</w:t>
      </w:r>
      <w:r>
        <w:t xml:space="preserve">. </w:t>
      </w:r>
    </w:p>
  </w:footnote>
  <w:footnote w:id="19">
    <w:p w14:paraId="06EEBE67" w14:textId="3BC0A847" w:rsidR="00284217" w:rsidRDefault="00284217">
      <w:pPr>
        <w:pStyle w:val="FootnoteText"/>
      </w:pPr>
      <w:r>
        <w:rPr>
          <w:rStyle w:val="FootnoteReference"/>
        </w:rPr>
        <w:footnoteRef/>
      </w:r>
      <w:r>
        <w:t xml:space="preserve"> See section 514(c)(1)(C)(ii) of the FD&amp;C Act.</w:t>
      </w:r>
    </w:p>
  </w:footnote>
  <w:footnote w:id="20">
    <w:p w14:paraId="741F9B2E" w14:textId="77777777" w:rsidR="00284217" w:rsidRDefault="00284217" w:rsidP="00090735">
      <w:pPr>
        <w:pStyle w:val="footnotedescription"/>
        <w:spacing w:after="17"/>
      </w:pPr>
      <w:r>
        <w:rPr>
          <w:rStyle w:val="footnotemark"/>
        </w:rPr>
        <w:footnoteRef/>
      </w:r>
      <w:r>
        <w:t xml:space="preserve"> For further information regarding transition periods of recognized standards, please refer to the FDA guidance, </w:t>
      </w:r>
    </w:p>
    <w:p w14:paraId="08C434E6" w14:textId="102A071A" w:rsidR="00284217" w:rsidRDefault="00284217" w:rsidP="00055E8F">
      <w:pPr>
        <w:pStyle w:val="footnotedescription"/>
        <w:spacing w:after="0"/>
      </w:pPr>
      <w:r>
        <w:t xml:space="preserve">“Appropriate Use of Voluntary Consensus Standards in Premarket Submissions for Medical Devices.”  </w:t>
      </w:r>
    </w:p>
  </w:footnote>
  <w:footnote w:id="21">
    <w:p w14:paraId="51AB63AC" w14:textId="3533824F" w:rsidR="00E36A25" w:rsidRDefault="00E36A25">
      <w:pPr>
        <w:pStyle w:val="FootnoteText"/>
      </w:pPr>
      <w:r>
        <w:rPr>
          <w:rStyle w:val="FootnoteReference"/>
        </w:rPr>
        <w:footnoteRef/>
      </w:r>
      <w:r>
        <w:t xml:space="preserve"> </w:t>
      </w:r>
      <w:hyperlink r:id="rId9" w:history="1">
        <w:r w:rsidRPr="00AF18E4">
          <w:rPr>
            <w:rStyle w:val="Hyperlink"/>
          </w:rPr>
          <w:t>https://www.fda.gov/regulatory-information/search-fda-guidance-documents/appropriate-use-voluntary-consensus-standards-premarket-submissions-medical-devices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51F67" w14:textId="7AFA407B" w:rsidR="00284217" w:rsidRDefault="00284217">
    <w:pPr>
      <w:spacing w:after="252" w:line="259" w:lineRule="auto"/>
      <w:ind w:left="15" w:right="0" w:firstLine="0"/>
      <w:jc w:val="center"/>
    </w:pPr>
    <w:r>
      <w:rPr>
        <w:b/>
        <w:i/>
      </w:rPr>
      <w:t xml:space="preserve">Contains Nonbinding Recommendations </w:t>
    </w:r>
  </w:p>
  <w:p w14:paraId="1E42AA9B" w14:textId="77777777" w:rsidR="00284217" w:rsidRDefault="00284217">
    <w:pPr>
      <w:spacing w:after="0" w:line="259" w:lineRule="auto"/>
      <w:ind w:left="13" w:right="0" w:firstLine="0"/>
      <w:jc w:val="center"/>
    </w:pPr>
    <w:r>
      <w:rPr>
        <w:i/>
      </w:rPr>
      <w:t>Draft – Not for Implementation</w:t>
    </w:r>
    <w:r>
      <w:rPr>
        <w:b/>
        <w: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4EC6A" w14:textId="6D88B5B4" w:rsidR="00284217" w:rsidRDefault="00284217">
    <w:pPr>
      <w:spacing w:after="252" w:line="259" w:lineRule="auto"/>
      <w:ind w:left="15" w:right="0" w:firstLine="0"/>
      <w:jc w:val="center"/>
    </w:pPr>
    <w:r>
      <w:rPr>
        <w:b/>
        <w:i/>
      </w:rPr>
      <w:t xml:space="preserve">Contains Nonbinding Recommendations </w:t>
    </w:r>
  </w:p>
  <w:p w14:paraId="552E6B29" w14:textId="30AFA085" w:rsidR="00284217" w:rsidRDefault="00284217">
    <w:pPr>
      <w:spacing w:after="0" w:line="259" w:lineRule="auto"/>
      <w:ind w:left="13" w:right="0" w:firstLine="0"/>
      <w:jc w:val="center"/>
    </w:pPr>
    <w:r>
      <w:rPr>
        <w:b/>
        <w: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A4DF5" w14:textId="3F041441" w:rsidR="00284217" w:rsidRDefault="00284217">
    <w:pPr>
      <w:spacing w:after="0" w:line="259" w:lineRule="auto"/>
      <w:ind w:left="15" w:right="0" w:firstLine="0"/>
      <w:jc w:val="center"/>
    </w:pPr>
    <w:r>
      <w:rPr>
        <w:b/>
        <w:i/>
      </w:rPr>
      <w:t xml:space="preserve">Contains Nonbinding Recommendations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99E2F" w14:textId="1A89E9C4" w:rsidR="00284217" w:rsidRDefault="00284217">
    <w:pPr>
      <w:spacing w:after="252" w:line="259" w:lineRule="auto"/>
      <w:ind w:left="0" w:right="58" w:firstLine="0"/>
      <w:jc w:val="center"/>
    </w:pPr>
    <w:r>
      <w:rPr>
        <w:b/>
        <w:i/>
      </w:rPr>
      <w:t xml:space="preserve">Contains Nonbinding Recommendations </w:t>
    </w:r>
  </w:p>
  <w:p w14:paraId="3E864153" w14:textId="77777777" w:rsidR="00284217" w:rsidRDefault="00284217" w:rsidP="00235A98">
    <w:pPr>
      <w:spacing w:after="0" w:line="259" w:lineRule="auto"/>
      <w:ind w:left="0" w:right="60" w:firstLine="0"/>
      <w:jc w:val="center"/>
    </w:pPr>
    <w:r>
      <w:rPr>
        <w:i/>
      </w:rPr>
      <w:t>Draft – Not for Implementation</w:t>
    </w:r>
    <w:r>
      <w:rPr>
        <w:b/>
        <w:i/>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52E98" w14:textId="54DCFB98" w:rsidR="00284217" w:rsidRDefault="00284217" w:rsidP="00235A98">
    <w:pPr>
      <w:spacing w:after="252" w:line="259" w:lineRule="auto"/>
      <w:ind w:left="0" w:right="58" w:firstLine="0"/>
      <w:jc w:val="center"/>
    </w:pPr>
    <w:r>
      <w:rPr>
        <w:b/>
        <w:i/>
      </w:rPr>
      <w:t xml:space="preserve">Contains Nonbinding Recommendations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C76EE" w14:textId="4D493A86" w:rsidR="00284217" w:rsidRDefault="00284217">
    <w:pPr>
      <w:spacing w:after="252" w:line="259" w:lineRule="auto"/>
      <w:ind w:left="0" w:right="58" w:firstLine="0"/>
      <w:jc w:val="center"/>
    </w:pPr>
    <w:r>
      <w:rPr>
        <w:b/>
        <w:i/>
      </w:rPr>
      <w:t xml:space="preserve">Contains Nonbinding Recommendations </w:t>
    </w:r>
  </w:p>
  <w:p w14:paraId="078B684C" w14:textId="0D571414" w:rsidR="00284217" w:rsidRDefault="00284217" w:rsidP="00235A98">
    <w:pPr>
      <w:spacing w:after="0" w:line="259" w:lineRule="auto"/>
      <w:ind w:left="0" w:right="60" w:firstLine="0"/>
      <w:jc w:val="center"/>
    </w:pPr>
    <w:r>
      <w:rPr>
        <w:i/>
      </w:rPr>
      <w:t>Draft – Not for Implementation</w:t>
    </w:r>
    <w:r>
      <w:rPr>
        <w:b/>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1E3A"/>
    <w:multiLevelType w:val="hybridMultilevel"/>
    <w:tmpl w:val="231E9858"/>
    <w:lvl w:ilvl="0" w:tplc="BC3E0C60">
      <w:start w:val="1"/>
      <w:numFmt w:val="upp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52212F9"/>
    <w:multiLevelType w:val="hybridMultilevel"/>
    <w:tmpl w:val="752698A2"/>
    <w:lvl w:ilvl="0" w:tplc="04090015">
      <w:start w:val="1"/>
      <w:numFmt w:val="upperLetter"/>
      <w:lvlText w:val="%1."/>
      <w:lvlJc w:val="left"/>
      <w:pPr>
        <w:ind w:left="1339" w:hanging="360"/>
      </w:p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2" w15:restartNumberingAfterBreak="0">
    <w:nsid w:val="08C65380"/>
    <w:multiLevelType w:val="hybridMultilevel"/>
    <w:tmpl w:val="2F72B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997660"/>
    <w:multiLevelType w:val="hybridMultilevel"/>
    <w:tmpl w:val="1ACEC30A"/>
    <w:lvl w:ilvl="0" w:tplc="DD9E9C9A">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E8B1F6">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D32B51C">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524632">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9A3DA0">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C8AEF2">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0811AC">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C0EBD4">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7C0E36">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AA4737"/>
    <w:multiLevelType w:val="hybridMultilevel"/>
    <w:tmpl w:val="2016410C"/>
    <w:lvl w:ilvl="0" w:tplc="8B3630C6">
      <w:start w:val="1"/>
      <w:numFmt w:val="bullet"/>
      <w:lvlText w:val=""/>
      <w:lvlJc w:val="left"/>
      <w:pPr>
        <w:ind w:left="720" w:hanging="360"/>
      </w:pPr>
      <w:rPr>
        <w:rFonts w:ascii="Symbol" w:hAnsi="Symbol" w:hint="default"/>
      </w:rPr>
    </w:lvl>
    <w:lvl w:ilvl="1" w:tplc="F5F44FCE">
      <w:start w:val="1"/>
      <w:numFmt w:val="bullet"/>
      <w:pStyle w:val="Bullet2"/>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F20F46"/>
    <w:multiLevelType w:val="hybridMultilevel"/>
    <w:tmpl w:val="30BE45AA"/>
    <w:lvl w:ilvl="0" w:tplc="14322A62">
      <w:start w:val="1"/>
      <w:numFmt w:val="bullet"/>
      <w:lvlText w:val="•"/>
      <w:lvlJc w:val="left"/>
      <w:pPr>
        <w:tabs>
          <w:tab w:val="num" w:pos="720"/>
        </w:tabs>
        <w:ind w:left="720" w:hanging="360"/>
      </w:pPr>
      <w:rPr>
        <w:rFonts w:ascii="Arial" w:hAnsi="Arial" w:cs="Times New Roman" w:hint="default"/>
      </w:rPr>
    </w:lvl>
    <w:lvl w:ilvl="1" w:tplc="349E1900">
      <w:start w:val="1"/>
      <w:numFmt w:val="bullet"/>
      <w:lvlText w:val="•"/>
      <w:lvlJc w:val="left"/>
      <w:pPr>
        <w:tabs>
          <w:tab w:val="num" w:pos="1440"/>
        </w:tabs>
        <w:ind w:left="1440" w:hanging="360"/>
      </w:pPr>
      <w:rPr>
        <w:rFonts w:ascii="Arial" w:hAnsi="Arial" w:cs="Times New Roman" w:hint="default"/>
      </w:rPr>
    </w:lvl>
    <w:lvl w:ilvl="2" w:tplc="64BC12B0">
      <w:start w:val="1"/>
      <w:numFmt w:val="bullet"/>
      <w:lvlText w:val="•"/>
      <w:lvlJc w:val="left"/>
      <w:pPr>
        <w:tabs>
          <w:tab w:val="num" w:pos="2160"/>
        </w:tabs>
        <w:ind w:left="2160" w:hanging="360"/>
      </w:pPr>
      <w:rPr>
        <w:rFonts w:ascii="Arial" w:hAnsi="Arial" w:cs="Times New Roman" w:hint="default"/>
      </w:rPr>
    </w:lvl>
    <w:lvl w:ilvl="3" w:tplc="66B2579E">
      <w:start w:val="1"/>
      <w:numFmt w:val="bullet"/>
      <w:lvlText w:val="•"/>
      <w:lvlJc w:val="left"/>
      <w:pPr>
        <w:tabs>
          <w:tab w:val="num" w:pos="2880"/>
        </w:tabs>
        <w:ind w:left="2880" w:hanging="360"/>
      </w:pPr>
      <w:rPr>
        <w:rFonts w:ascii="Arial" w:hAnsi="Arial" w:cs="Times New Roman" w:hint="default"/>
      </w:rPr>
    </w:lvl>
    <w:lvl w:ilvl="4" w:tplc="A6941072">
      <w:start w:val="1"/>
      <w:numFmt w:val="bullet"/>
      <w:lvlText w:val="•"/>
      <w:lvlJc w:val="left"/>
      <w:pPr>
        <w:tabs>
          <w:tab w:val="num" w:pos="3600"/>
        </w:tabs>
        <w:ind w:left="3600" w:hanging="360"/>
      </w:pPr>
      <w:rPr>
        <w:rFonts w:ascii="Arial" w:hAnsi="Arial" w:cs="Times New Roman" w:hint="default"/>
      </w:rPr>
    </w:lvl>
    <w:lvl w:ilvl="5" w:tplc="688E90E6">
      <w:start w:val="1"/>
      <w:numFmt w:val="bullet"/>
      <w:lvlText w:val="•"/>
      <w:lvlJc w:val="left"/>
      <w:pPr>
        <w:tabs>
          <w:tab w:val="num" w:pos="4320"/>
        </w:tabs>
        <w:ind w:left="4320" w:hanging="360"/>
      </w:pPr>
      <w:rPr>
        <w:rFonts w:ascii="Arial" w:hAnsi="Arial" w:cs="Times New Roman" w:hint="default"/>
      </w:rPr>
    </w:lvl>
    <w:lvl w:ilvl="6" w:tplc="7132EFD0">
      <w:start w:val="1"/>
      <w:numFmt w:val="bullet"/>
      <w:lvlText w:val="•"/>
      <w:lvlJc w:val="left"/>
      <w:pPr>
        <w:tabs>
          <w:tab w:val="num" w:pos="5040"/>
        </w:tabs>
        <w:ind w:left="5040" w:hanging="360"/>
      </w:pPr>
      <w:rPr>
        <w:rFonts w:ascii="Arial" w:hAnsi="Arial" w:cs="Times New Roman" w:hint="default"/>
      </w:rPr>
    </w:lvl>
    <w:lvl w:ilvl="7" w:tplc="906A943E">
      <w:start w:val="1"/>
      <w:numFmt w:val="bullet"/>
      <w:lvlText w:val="•"/>
      <w:lvlJc w:val="left"/>
      <w:pPr>
        <w:tabs>
          <w:tab w:val="num" w:pos="5760"/>
        </w:tabs>
        <w:ind w:left="5760" w:hanging="360"/>
      </w:pPr>
      <w:rPr>
        <w:rFonts w:ascii="Arial" w:hAnsi="Arial" w:cs="Times New Roman" w:hint="default"/>
      </w:rPr>
    </w:lvl>
    <w:lvl w:ilvl="8" w:tplc="77DCA496">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21881576"/>
    <w:multiLevelType w:val="hybridMultilevel"/>
    <w:tmpl w:val="EE2A5990"/>
    <w:lvl w:ilvl="0" w:tplc="519C1E7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88003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A4ED73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8A8265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06589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17A7E6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F4255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5C7CD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0A41C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27476D9"/>
    <w:multiLevelType w:val="hybridMultilevel"/>
    <w:tmpl w:val="05D4E4B6"/>
    <w:lvl w:ilvl="0" w:tplc="9E18AFFC">
      <w:numFmt w:val="bullet"/>
      <w:lvlText w:val="-"/>
      <w:lvlJc w:val="left"/>
      <w:pPr>
        <w:ind w:left="979" w:hanging="360"/>
      </w:pPr>
      <w:rPr>
        <w:rFonts w:ascii="Times New Roman" w:eastAsia="Times New Roman" w:hAnsi="Times New Roman" w:cs="Times New Roman"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8" w15:restartNumberingAfterBreak="0">
    <w:nsid w:val="23936EFD"/>
    <w:multiLevelType w:val="hybridMultilevel"/>
    <w:tmpl w:val="8AC42594"/>
    <w:lvl w:ilvl="0" w:tplc="A1E69A36">
      <w:start w:val="2"/>
      <w:numFmt w:val="bullet"/>
      <w:lvlText w:val="-"/>
      <w:lvlJc w:val="left"/>
      <w:pPr>
        <w:ind w:left="345" w:hanging="360"/>
      </w:pPr>
      <w:rPr>
        <w:rFonts w:ascii="Times New Roman" w:eastAsia="Times New Roman" w:hAnsi="Times New Roman" w:cs="Times New Roman"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9" w15:restartNumberingAfterBreak="0">
    <w:nsid w:val="28767104"/>
    <w:multiLevelType w:val="hybridMultilevel"/>
    <w:tmpl w:val="D54AF9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9F0183"/>
    <w:multiLevelType w:val="hybridMultilevel"/>
    <w:tmpl w:val="403CCC4A"/>
    <w:lvl w:ilvl="0" w:tplc="A64A03E8">
      <w:start w:val="1"/>
      <w:numFmt w:val="bullet"/>
      <w:lvlText w:val="•"/>
      <w:lvlJc w:val="left"/>
      <w:pPr>
        <w:tabs>
          <w:tab w:val="num" w:pos="720"/>
        </w:tabs>
        <w:ind w:left="720" w:hanging="360"/>
      </w:pPr>
      <w:rPr>
        <w:rFonts w:ascii="Arial" w:hAnsi="Arial" w:cs="Times New Roman" w:hint="default"/>
      </w:rPr>
    </w:lvl>
    <w:lvl w:ilvl="1" w:tplc="28C2EB08">
      <w:start w:val="1"/>
      <w:numFmt w:val="bullet"/>
      <w:lvlText w:val="•"/>
      <w:lvlJc w:val="left"/>
      <w:pPr>
        <w:tabs>
          <w:tab w:val="num" w:pos="1440"/>
        </w:tabs>
        <w:ind w:left="1440" w:hanging="360"/>
      </w:pPr>
      <w:rPr>
        <w:rFonts w:ascii="Arial" w:hAnsi="Arial" w:cs="Times New Roman" w:hint="default"/>
      </w:rPr>
    </w:lvl>
    <w:lvl w:ilvl="2" w:tplc="2ECA4826">
      <w:start w:val="1"/>
      <w:numFmt w:val="bullet"/>
      <w:lvlText w:val="•"/>
      <w:lvlJc w:val="left"/>
      <w:pPr>
        <w:tabs>
          <w:tab w:val="num" w:pos="2160"/>
        </w:tabs>
        <w:ind w:left="2160" w:hanging="360"/>
      </w:pPr>
      <w:rPr>
        <w:rFonts w:ascii="Arial" w:hAnsi="Arial" w:cs="Times New Roman" w:hint="default"/>
      </w:rPr>
    </w:lvl>
    <w:lvl w:ilvl="3" w:tplc="4C04C3A2">
      <w:start w:val="1"/>
      <w:numFmt w:val="bullet"/>
      <w:lvlText w:val="•"/>
      <w:lvlJc w:val="left"/>
      <w:pPr>
        <w:tabs>
          <w:tab w:val="num" w:pos="2880"/>
        </w:tabs>
        <w:ind w:left="2880" w:hanging="360"/>
      </w:pPr>
      <w:rPr>
        <w:rFonts w:ascii="Arial" w:hAnsi="Arial" w:cs="Times New Roman" w:hint="default"/>
      </w:rPr>
    </w:lvl>
    <w:lvl w:ilvl="4" w:tplc="C3120BBE">
      <w:start w:val="1"/>
      <w:numFmt w:val="bullet"/>
      <w:lvlText w:val="•"/>
      <w:lvlJc w:val="left"/>
      <w:pPr>
        <w:tabs>
          <w:tab w:val="num" w:pos="3600"/>
        </w:tabs>
        <w:ind w:left="3600" w:hanging="360"/>
      </w:pPr>
      <w:rPr>
        <w:rFonts w:ascii="Arial" w:hAnsi="Arial" w:cs="Times New Roman" w:hint="default"/>
      </w:rPr>
    </w:lvl>
    <w:lvl w:ilvl="5" w:tplc="D03897CC">
      <w:start w:val="1"/>
      <w:numFmt w:val="bullet"/>
      <w:lvlText w:val="•"/>
      <w:lvlJc w:val="left"/>
      <w:pPr>
        <w:tabs>
          <w:tab w:val="num" w:pos="4320"/>
        </w:tabs>
        <w:ind w:left="4320" w:hanging="360"/>
      </w:pPr>
      <w:rPr>
        <w:rFonts w:ascii="Arial" w:hAnsi="Arial" w:cs="Times New Roman" w:hint="default"/>
      </w:rPr>
    </w:lvl>
    <w:lvl w:ilvl="6" w:tplc="F28ECD10">
      <w:start w:val="1"/>
      <w:numFmt w:val="bullet"/>
      <w:lvlText w:val="•"/>
      <w:lvlJc w:val="left"/>
      <w:pPr>
        <w:tabs>
          <w:tab w:val="num" w:pos="5040"/>
        </w:tabs>
        <w:ind w:left="5040" w:hanging="360"/>
      </w:pPr>
      <w:rPr>
        <w:rFonts w:ascii="Arial" w:hAnsi="Arial" w:cs="Times New Roman" w:hint="default"/>
      </w:rPr>
    </w:lvl>
    <w:lvl w:ilvl="7" w:tplc="618A8AA6">
      <w:start w:val="1"/>
      <w:numFmt w:val="bullet"/>
      <w:lvlText w:val="•"/>
      <w:lvlJc w:val="left"/>
      <w:pPr>
        <w:tabs>
          <w:tab w:val="num" w:pos="5760"/>
        </w:tabs>
        <w:ind w:left="5760" w:hanging="360"/>
      </w:pPr>
      <w:rPr>
        <w:rFonts w:ascii="Arial" w:hAnsi="Arial" w:cs="Times New Roman" w:hint="default"/>
      </w:rPr>
    </w:lvl>
    <w:lvl w:ilvl="8" w:tplc="92E25F3C">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332960E5"/>
    <w:multiLevelType w:val="hybridMultilevel"/>
    <w:tmpl w:val="0B96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237FAA"/>
    <w:multiLevelType w:val="hybridMultilevel"/>
    <w:tmpl w:val="F0942804"/>
    <w:lvl w:ilvl="0" w:tplc="F4FAD264">
      <w:start w:val="4"/>
      <w:numFmt w:val="bullet"/>
      <w:lvlText w:val="-"/>
      <w:lvlJc w:val="left"/>
      <w:pPr>
        <w:ind w:left="979" w:hanging="360"/>
      </w:pPr>
      <w:rPr>
        <w:rFonts w:ascii="Times New Roman" w:eastAsia="Times New Roman" w:hAnsi="Times New Roman" w:cs="Times New Roman"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13" w15:restartNumberingAfterBreak="0">
    <w:nsid w:val="388E6F04"/>
    <w:multiLevelType w:val="hybridMultilevel"/>
    <w:tmpl w:val="87BE08C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B1A1430"/>
    <w:multiLevelType w:val="hybridMultilevel"/>
    <w:tmpl w:val="EE26CA10"/>
    <w:lvl w:ilvl="0" w:tplc="D52474D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E168BD"/>
    <w:multiLevelType w:val="hybridMultilevel"/>
    <w:tmpl w:val="C99C0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C2473D0"/>
    <w:multiLevelType w:val="hybridMultilevel"/>
    <w:tmpl w:val="7F4E4A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F1A14F4"/>
    <w:multiLevelType w:val="hybridMultilevel"/>
    <w:tmpl w:val="2F94968A"/>
    <w:lvl w:ilvl="0" w:tplc="A9E8D754">
      <w:start w:val="7"/>
      <w:numFmt w:val="upperRoman"/>
      <w:lvlText w:val="%1."/>
      <w:lvlJc w:val="left"/>
      <w:pPr>
        <w:ind w:left="720" w:hanging="72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49EF20A7"/>
    <w:multiLevelType w:val="hybridMultilevel"/>
    <w:tmpl w:val="96526B5A"/>
    <w:lvl w:ilvl="0" w:tplc="637C0A2C">
      <w:start w:val="1"/>
      <w:numFmt w:val="upperLetter"/>
      <w:lvlText w:val="%1."/>
      <w:lvlJc w:val="left"/>
      <w:pPr>
        <w:ind w:left="979" w:hanging="360"/>
      </w:pPr>
      <w:rPr>
        <w:rFonts w:hint="default"/>
      </w:r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19" w15:restartNumberingAfterBreak="0">
    <w:nsid w:val="55E6242B"/>
    <w:multiLevelType w:val="hybridMultilevel"/>
    <w:tmpl w:val="9BE2B852"/>
    <w:lvl w:ilvl="0" w:tplc="DFAEC816">
      <w:start w:val="1"/>
      <w:numFmt w:val="upperLetter"/>
      <w:lvlText w:val="%1."/>
      <w:lvlJc w:val="left"/>
      <w:pPr>
        <w:ind w:left="1009" w:hanging="390"/>
      </w:pPr>
      <w:rPr>
        <w:rFonts w:hint="default"/>
      </w:r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20" w15:restartNumberingAfterBreak="0">
    <w:nsid w:val="573A1F00"/>
    <w:multiLevelType w:val="hybridMultilevel"/>
    <w:tmpl w:val="EA520514"/>
    <w:lvl w:ilvl="0" w:tplc="439E666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E63CB2">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CAD5E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0CBD3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006B44">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A4179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02269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AA3722">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A00986">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BF33BCA"/>
    <w:multiLevelType w:val="multilevel"/>
    <w:tmpl w:val="F9A0F49A"/>
    <w:lvl w:ilvl="0">
      <w:start w:val="1"/>
      <w:numFmt w:val="upperRoman"/>
      <w:lvlText w:val="%1."/>
      <w:lvlJc w:val="left"/>
      <w:pPr>
        <w:ind w:left="0" w:firstLine="0"/>
      </w:pPr>
      <w:rPr>
        <w:rFonts w:hint="default"/>
        <w:sz w:val="36"/>
        <w:szCs w:val="36"/>
      </w:rPr>
    </w:lvl>
    <w:lvl w:ilvl="1">
      <w:start w:val="1"/>
      <w:numFmt w:val="upperLetter"/>
      <w:lvlText w:val="%2."/>
      <w:lvlJc w:val="left"/>
      <w:pPr>
        <w:ind w:left="1440" w:hanging="72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color w:val="auto"/>
      </w:rPr>
    </w:lvl>
    <w:lvl w:ilvl="4">
      <w:start w:val="1"/>
      <w:numFmt w:val="decimal"/>
      <w:lvlText w:val="(%5)"/>
      <w:lvlJc w:val="left"/>
      <w:pPr>
        <w:ind w:left="2160" w:hanging="72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2" w15:restartNumberingAfterBreak="0">
    <w:nsid w:val="5C847D80"/>
    <w:multiLevelType w:val="hybridMultilevel"/>
    <w:tmpl w:val="49FE064A"/>
    <w:lvl w:ilvl="0" w:tplc="9468EACE">
      <w:start w:val="1"/>
      <w:numFmt w:val="bullet"/>
      <w:pStyle w:val="Bullet1"/>
      <w:lvlText w:val=""/>
      <w:lvlJc w:val="left"/>
      <w:pPr>
        <w:ind w:left="720" w:hanging="360"/>
      </w:pPr>
      <w:rPr>
        <w:rFonts w:ascii="Symbol" w:hAnsi="Symbol" w:hint="default"/>
      </w:rPr>
    </w:lvl>
    <w:lvl w:ilvl="1" w:tplc="384078FC">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F221E5"/>
    <w:multiLevelType w:val="hybridMultilevel"/>
    <w:tmpl w:val="02527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733EC9"/>
    <w:multiLevelType w:val="hybridMultilevel"/>
    <w:tmpl w:val="C534D816"/>
    <w:lvl w:ilvl="0" w:tplc="0D26A85C">
      <w:start w:val="1"/>
      <w:numFmt w:val="bullet"/>
      <w:lvlText w:val=""/>
      <w:lvlJc w:val="left"/>
      <w:pPr>
        <w:tabs>
          <w:tab w:val="num" w:pos="360"/>
        </w:tabs>
        <w:ind w:left="360" w:hanging="360"/>
      </w:pPr>
      <w:rPr>
        <w:rFonts w:ascii="Symbol" w:hAnsi="Symbol" w:hint="default"/>
        <w:sz w:val="18"/>
        <w:szCs w:val="18"/>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679E6C62"/>
    <w:multiLevelType w:val="hybridMultilevel"/>
    <w:tmpl w:val="6B84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60455E"/>
    <w:multiLevelType w:val="multilevel"/>
    <w:tmpl w:val="152A3FF6"/>
    <w:lvl w:ilvl="0">
      <w:start w:val="1"/>
      <w:numFmt w:val="upperLetter"/>
      <w:lvlText w:val="%1."/>
      <w:lvlJc w:val="left"/>
      <w:pPr>
        <w:ind w:left="216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27" w15:restartNumberingAfterBreak="0">
    <w:nsid w:val="6D006D2E"/>
    <w:multiLevelType w:val="hybridMultilevel"/>
    <w:tmpl w:val="1E621086"/>
    <w:lvl w:ilvl="0" w:tplc="CA4074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A01061"/>
    <w:multiLevelType w:val="hybridMultilevel"/>
    <w:tmpl w:val="034CB624"/>
    <w:lvl w:ilvl="0" w:tplc="E434505A">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AD730A"/>
    <w:multiLevelType w:val="hybridMultilevel"/>
    <w:tmpl w:val="49C0B5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74D31117"/>
    <w:multiLevelType w:val="hybridMultilevel"/>
    <w:tmpl w:val="A12EF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56C7548"/>
    <w:multiLevelType w:val="hybridMultilevel"/>
    <w:tmpl w:val="353E1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085FB2"/>
    <w:multiLevelType w:val="hybridMultilevel"/>
    <w:tmpl w:val="0D7C9B3E"/>
    <w:lvl w:ilvl="0" w:tplc="29E8FD1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88866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A0887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C8F1E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16C9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82ABE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56FB6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E0616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369A7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A8E7B08"/>
    <w:multiLevelType w:val="hybridMultilevel"/>
    <w:tmpl w:val="8EFE3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FD7B0C"/>
    <w:multiLevelType w:val="hybridMultilevel"/>
    <w:tmpl w:val="872AE8B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6"/>
  </w:num>
  <w:num w:numId="3">
    <w:abstractNumId w:val="3"/>
  </w:num>
  <w:num w:numId="4">
    <w:abstractNumId w:val="20"/>
  </w:num>
  <w:num w:numId="5">
    <w:abstractNumId w:val="21"/>
  </w:num>
  <w:num w:numId="6">
    <w:abstractNumId w:val="3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5"/>
  </w:num>
  <w:num w:numId="10">
    <w:abstractNumId w:val="0"/>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4"/>
  </w:num>
  <w:num w:numId="16">
    <w:abstractNumId w:val="3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
  </w:num>
  <w:num w:numId="26">
    <w:abstractNumId w:val="7"/>
  </w:num>
  <w:num w:numId="27">
    <w:abstractNumId w:val="16"/>
  </w:num>
  <w:num w:numId="28">
    <w:abstractNumId w:val="9"/>
  </w:num>
  <w:num w:numId="29">
    <w:abstractNumId w:val="1"/>
  </w:num>
  <w:num w:numId="30">
    <w:abstractNumId w:val="19"/>
  </w:num>
  <w:num w:numId="31">
    <w:abstractNumId w:val="13"/>
  </w:num>
  <w:num w:numId="32">
    <w:abstractNumId w:val="27"/>
  </w:num>
  <w:num w:numId="33">
    <w:abstractNumId w:val="14"/>
  </w:num>
  <w:num w:numId="34">
    <w:abstractNumId w:val="12"/>
  </w:num>
  <w:num w:numId="35">
    <w:abstractNumId w:val="18"/>
  </w:num>
  <w:num w:numId="36">
    <w:abstractNumId w:val="8"/>
  </w:num>
  <w:num w:numId="37">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33"/>
  </w:num>
  <w:num w:numId="40">
    <w:abstractNumId w:val="29"/>
  </w:num>
  <w:num w:numId="41">
    <w:abstractNumId w:val="5"/>
  </w:num>
  <w:num w:numId="42">
    <w:abstractNumId w:val="10"/>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F75"/>
    <w:rsid w:val="000017BE"/>
    <w:rsid w:val="00005128"/>
    <w:rsid w:val="00005587"/>
    <w:rsid w:val="00011F35"/>
    <w:rsid w:val="00013E01"/>
    <w:rsid w:val="0001513F"/>
    <w:rsid w:val="00017E9F"/>
    <w:rsid w:val="00021BE9"/>
    <w:rsid w:val="00021DEC"/>
    <w:rsid w:val="00023E52"/>
    <w:rsid w:val="000265CE"/>
    <w:rsid w:val="000322EA"/>
    <w:rsid w:val="00032C2A"/>
    <w:rsid w:val="00033AF9"/>
    <w:rsid w:val="00033C9C"/>
    <w:rsid w:val="0003682E"/>
    <w:rsid w:val="00036E72"/>
    <w:rsid w:val="00036EC8"/>
    <w:rsid w:val="00037028"/>
    <w:rsid w:val="000403E5"/>
    <w:rsid w:val="00040C26"/>
    <w:rsid w:val="00041AED"/>
    <w:rsid w:val="00043914"/>
    <w:rsid w:val="00052EFA"/>
    <w:rsid w:val="0005310E"/>
    <w:rsid w:val="00055E8F"/>
    <w:rsid w:val="00061A77"/>
    <w:rsid w:val="00062D3A"/>
    <w:rsid w:val="00062D66"/>
    <w:rsid w:val="00062E4E"/>
    <w:rsid w:val="00065B50"/>
    <w:rsid w:val="00065CB7"/>
    <w:rsid w:val="00066718"/>
    <w:rsid w:val="00067F34"/>
    <w:rsid w:val="000706B8"/>
    <w:rsid w:val="00070FEA"/>
    <w:rsid w:val="00073473"/>
    <w:rsid w:val="000826F9"/>
    <w:rsid w:val="00083C95"/>
    <w:rsid w:val="00086011"/>
    <w:rsid w:val="00086039"/>
    <w:rsid w:val="00087212"/>
    <w:rsid w:val="00090735"/>
    <w:rsid w:val="00091D43"/>
    <w:rsid w:val="000940C2"/>
    <w:rsid w:val="0009770E"/>
    <w:rsid w:val="000A0C67"/>
    <w:rsid w:val="000A0D36"/>
    <w:rsid w:val="000A167F"/>
    <w:rsid w:val="000A3CE2"/>
    <w:rsid w:val="000A57EA"/>
    <w:rsid w:val="000A61CE"/>
    <w:rsid w:val="000B02A6"/>
    <w:rsid w:val="000B137F"/>
    <w:rsid w:val="000B3FBD"/>
    <w:rsid w:val="000B750F"/>
    <w:rsid w:val="000B7648"/>
    <w:rsid w:val="000B7837"/>
    <w:rsid w:val="000C114E"/>
    <w:rsid w:val="000C265A"/>
    <w:rsid w:val="000C3139"/>
    <w:rsid w:val="000C392E"/>
    <w:rsid w:val="000C3B9A"/>
    <w:rsid w:val="000C732C"/>
    <w:rsid w:val="000D118C"/>
    <w:rsid w:val="000D2760"/>
    <w:rsid w:val="000D2F3E"/>
    <w:rsid w:val="000D367F"/>
    <w:rsid w:val="000D6830"/>
    <w:rsid w:val="000E09D1"/>
    <w:rsid w:val="000E1507"/>
    <w:rsid w:val="000E2061"/>
    <w:rsid w:val="000E5F8B"/>
    <w:rsid w:val="000F307A"/>
    <w:rsid w:val="000F4478"/>
    <w:rsid w:val="000F543E"/>
    <w:rsid w:val="000F5C5C"/>
    <w:rsid w:val="000F670C"/>
    <w:rsid w:val="000F677A"/>
    <w:rsid w:val="000F6CDE"/>
    <w:rsid w:val="000F7C1F"/>
    <w:rsid w:val="00100269"/>
    <w:rsid w:val="00101D41"/>
    <w:rsid w:val="00101FB4"/>
    <w:rsid w:val="00102A65"/>
    <w:rsid w:val="00103796"/>
    <w:rsid w:val="00104845"/>
    <w:rsid w:val="00111FCC"/>
    <w:rsid w:val="0011258E"/>
    <w:rsid w:val="001129D1"/>
    <w:rsid w:val="00113F28"/>
    <w:rsid w:val="00120023"/>
    <w:rsid w:val="00123F26"/>
    <w:rsid w:val="0012455D"/>
    <w:rsid w:val="001268E1"/>
    <w:rsid w:val="0013025D"/>
    <w:rsid w:val="0013429F"/>
    <w:rsid w:val="001343EB"/>
    <w:rsid w:val="00136B45"/>
    <w:rsid w:val="00137357"/>
    <w:rsid w:val="001407F5"/>
    <w:rsid w:val="00140C61"/>
    <w:rsid w:val="00141C86"/>
    <w:rsid w:val="001421AC"/>
    <w:rsid w:val="0014276C"/>
    <w:rsid w:val="001470AB"/>
    <w:rsid w:val="00147631"/>
    <w:rsid w:val="00150200"/>
    <w:rsid w:val="001522E7"/>
    <w:rsid w:val="0015301D"/>
    <w:rsid w:val="001537AF"/>
    <w:rsid w:val="0015398D"/>
    <w:rsid w:val="0015487F"/>
    <w:rsid w:val="00155B94"/>
    <w:rsid w:val="00155F87"/>
    <w:rsid w:val="00157ADE"/>
    <w:rsid w:val="00157B5D"/>
    <w:rsid w:val="001644EB"/>
    <w:rsid w:val="0016562F"/>
    <w:rsid w:val="001663AA"/>
    <w:rsid w:val="001671AA"/>
    <w:rsid w:val="00167517"/>
    <w:rsid w:val="00167CB5"/>
    <w:rsid w:val="001712A7"/>
    <w:rsid w:val="0017144D"/>
    <w:rsid w:val="00175B8F"/>
    <w:rsid w:val="00176BFB"/>
    <w:rsid w:val="00176FF6"/>
    <w:rsid w:val="00180635"/>
    <w:rsid w:val="00183EE2"/>
    <w:rsid w:val="001875EE"/>
    <w:rsid w:val="00190680"/>
    <w:rsid w:val="00191403"/>
    <w:rsid w:val="00191648"/>
    <w:rsid w:val="00192604"/>
    <w:rsid w:val="001927CC"/>
    <w:rsid w:val="0019576B"/>
    <w:rsid w:val="00196A47"/>
    <w:rsid w:val="00197A5D"/>
    <w:rsid w:val="001A013B"/>
    <w:rsid w:val="001A1657"/>
    <w:rsid w:val="001A1676"/>
    <w:rsid w:val="001A2433"/>
    <w:rsid w:val="001A36DB"/>
    <w:rsid w:val="001A7C55"/>
    <w:rsid w:val="001B020A"/>
    <w:rsid w:val="001B5501"/>
    <w:rsid w:val="001B6494"/>
    <w:rsid w:val="001B6D16"/>
    <w:rsid w:val="001C0ECB"/>
    <w:rsid w:val="001C2A1D"/>
    <w:rsid w:val="001C31C9"/>
    <w:rsid w:val="001C38C3"/>
    <w:rsid w:val="001C496F"/>
    <w:rsid w:val="001C55B5"/>
    <w:rsid w:val="001C63BD"/>
    <w:rsid w:val="001C70F6"/>
    <w:rsid w:val="001C7364"/>
    <w:rsid w:val="001C7B8F"/>
    <w:rsid w:val="001D232B"/>
    <w:rsid w:val="001D2384"/>
    <w:rsid w:val="001D29B0"/>
    <w:rsid w:val="001D4571"/>
    <w:rsid w:val="001D4C2F"/>
    <w:rsid w:val="001D4FB8"/>
    <w:rsid w:val="001D6BFE"/>
    <w:rsid w:val="001D6D1B"/>
    <w:rsid w:val="001D6F8D"/>
    <w:rsid w:val="001D7148"/>
    <w:rsid w:val="001D7715"/>
    <w:rsid w:val="001D7D0A"/>
    <w:rsid w:val="001E15F1"/>
    <w:rsid w:val="001E2600"/>
    <w:rsid w:val="001E3F2E"/>
    <w:rsid w:val="001E547A"/>
    <w:rsid w:val="001F1752"/>
    <w:rsid w:val="001F2B40"/>
    <w:rsid w:val="001F3DD5"/>
    <w:rsid w:val="001F54C6"/>
    <w:rsid w:val="001F7320"/>
    <w:rsid w:val="001F770B"/>
    <w:rsid w:val="001F7A55"/>
    <w:rsid w:val="001F7B31"/>
    <w:rsid w:val="001F7F03"/>
    <w:rsid w:val="00203391"/>
    <w:rsid w:val="002037EB"/>
    <w:rsid w:val="00206B11"/>
    <w:rsid w:val="00206D32"/>
    <w:rsid w:val="002079E0"/>
    <w:rsid w:val="00213AD7"/>
    <w:rsid w:val="00213CEE"/>
    <w:rsid w:val="0021482A"/>
    <w:rsid w:val="00214D12"/>
    <w:rsid w:val="0021678F"/>
    <w:rsid w:val="00216F71"/>
    <w:rsid w:val="00220683"/>
    <w:rsid w:val="00223A0A"/>
    <w:rsid w:val="00224B47"/>
    <w:rsid w:val="00227114"/>
    <w:rsid w:val="00232E07"/>
    <w:rsid w:val="002334FE"/>
    <w:rsid w:val="0023418F"/>
    <w:rsid w:val="00235266"/>
    <w:rsid w:val="00235A98"/>
    <w:rsid w:val="00237BEC"/>
    <w:rsid w:val="00241CCD"/>
    <w:rsid w:val="0024384A"/>
    <w:rsid w:val="00243C69"/>
    <w:rsid w:val="002440E7"/>
    <w:rsid w:val="00244479"/>
    <w:rsid w:val="0024515B"/>
    <w:rsid w:val="002458AA"/>
    <w:rsid w:val="00245A43"/>
    <w:rsid w:val="00247BDF"/>
    <w:rsid w:val="002503F1"/>
    <w:rsid w:val="002540E2"/>
    <w:rsid w:val="00255B1D"/>
    <w:rsid w:val="002566F1"/>
    <w:rsid w:val="00256C85"/>
    <w:rsid w:val="00257118"/>
    <w:rsid w:val="0025736B"/>
    <w:rsid w:val="00257D2F"/>
    <w:rsid w:val="00257F75"/>
    <w:rsid w:val="0026063A"/>
    <w:rsid w:val="00262339"/>
    <w:rsid w:val="0026381E"/>
    <w:rsid w:val="00266E47"/>
    <w:rsid w:val="002679F9"/>
    <w:rsid w:val="00272420"/>
    <w:rsid w:val="00272975"/>
    <w:rsid w:val="00273751"/>
    <w:rsid w:val="0027543E"/>
    <w:rsid w:val="002760AB"/>
    <w:rsid w:val="002803B8"/>
    <w:rsid w:val="00280B92"/>
    <w:rsid w:val="0028127A"/>
    <w:rsid w:val="00282667"/>
    <w:rsid w:val="00284217"/>
    <w:rsid w:val="00285117"/>
    <w:rsid w:val="002864BF"/>
    <w:rsid w:val="002907C0"/>
    <w:rsid w:val="00290FC0"/>
    <w:rsid w:val="00292631"/>
    <w:rsid w:val="00292B94"/>
    <w:rsid w:val="0029467B"/>
    <w:rsid w:val="00294E9F"/>
    <w:rsid w:val="00294FBF"/>
    <w:rsid w:val="0029586E"/>
    <w:rsid w:val="002A2482"/>
    <w:rsid w:val="002A43B4"/>
    <w:rsid w:val="002A675F"/>
    <w:rsid w:val="002A6FC3"/>
    <w:rsid w:val="002B0850"/>
    <w:rsid w:val="002B1199"/>
    <w:rsid w:val="002B171D"/>
    <w:rsid w:val="002B22DB"/>
    <w:rsid w:val="002B2BFA"/>
    <w:rsid w:val="002B3196"/>
    <w:rsid w:val="002B595A"/>
    <w:rsid w:val="002C020C"/>
    <w:rsid w:val="002C0890"/>
    <w:rsid w:val="002C25A4"/>
    <w:rsid w:val="002C3145"/>
    <w:rsid w:val="002C4902"/>
    <w:rsid w:val="002D00D2"/>
    <w:rsid w:val="002D3907"/>
    <w:rsid w:val="002D790C"/>
    <w:rsid w:val="002E0378"/>
    <w:rsid w:val="002E04A1"/>
    <w:rsid w:val="002E1526"/>
    <w:rsid w:val="002E2628"/>
    <w:rsid w:val="002E4386"/>
    <w:rsid w:val="002E5458"/>
    <w:rsid w:val="002E54CE"/>
    <w:rsid w:val="002E55FF"/>
    <w:rsid w:val="002E69AE"/>
    <w:rsid w:val="002F04BB"/>
    <w:rsid w:val="002F07FC"/>
    <w:rsid w:val="002F104F"/>
    <w:rsid w:val="002F215C"/>
    <w:rsid w:val="002F26C1"/>
    <w:rsid w:val="00304033"/>
    <w:rsid w:val="00313705"/>
    <w:rsid w:val="0031370D"/>
    <w:rsid w:val="0031464E"/>
    <w:rsid w:val="00317538"/>
    <w:rsid w:val="0032005E"/>
    <w:rsid w:val="00320CE2"/>
    <w:rsid w:val="0032174E"/>
    <w:rsid w:val="00322CF6"/>
    <w:rsid w:val="003250D1"/>
    <w:rsid w:val="00331461"/>
    <w:rsid w:val="003344C1"/>
    <w:rsid w:val="0033503A"/>
    <w:rsid w:val="0033698D"/>
    <w:rsid w:val="00337105"/>
    <w:rsid w:val="00340F98"/>
    <w:rsid w:val="003506A9"/>
    <w:rsid w:val="00352704"/>
    <w:rsid w:val="00352C6F"/>
    <w:rsid w:val="00354026"/>
    <w:rsid w:val="003547C0"/>
    <w:rsid w:val="00354A40"/>
    <w:rsid w:val="003562BC"/>
    <w:rsid w:val="00361E59"/>
    <w:rsid w:val="00362388"/>
    <w:rsid w:val="0036353B"/>
    <w:rsid w:val="00365413"/>
    <w:rsid w:val="0036579F"/>
    <w:rsid w:val="00366842"/>
    <w:rsid w:val="0037014C"/>
    <w:rsid w:val="00370A01"/>
    <w:rsid w:val="003763FF"/>
    <w:rsid w:val="00377309"/>
    <w:rsid w:val="00380E8F"/>
    <w:rsid w:val="00384347"/>
    <w:rsid w:val="00384D96"/>
    <w:rsid w:val="00385CA9"/>
    <w:rsid w:val="00387321"/>
    <w:rsid w:val="003905FB"/>
    <w:rsid w:val="003963FF"/>
    <w:rsid w:val="003A0200"/>
    <w:rsid w:val="003A0279"/>
    <w:rsid w:val="003A6FB8"/>
    <w:rsid w:val="003A7D98"/>
    <w:rsid w:val="003B0C6E"/>
    <w:rsid w:val="003B1557"/>
    <w:rsid w:val="003B3159"/>
    <w:rsid w:val="003B38A3"/>
    <w:rsid w:val="003B39EE"/>
    <w:rsid w:val="003B5DF0"/>
    <w:rsid w:val="003B6632"/>
    <w:rsid w:val="003B6AA0"/>
    <w:rsid w:val="003B7105"/>
    <w:rsid w:val="003B7538"/>
    <w:rsid w:val="003C1171"/>
    <w:rsid w:val="003C2C3C"/>
    <w:rsid w:val="003C3D5C"/>
    <w:rsid w:val="003C508D"/>
    <w:rsid w:val="003D2018"/>
    <w:rsid w:val="003E24F7"/>
    <w:rsid w:val="003E2C48"/>
    <w:rsid w:val="003E45E2"/>
    <w:rsid w:val="003E4E7C"/>
    <w:rsid w:val="003E769C"/>
    <w:rsid w:val="003E7C9E"/>
    <w:rsid w:val="003F605F"/>
    <w:rsid w:val="0040394E"/>
    <w:rsid w:val="00403EDD"/>
    <w:rsid w:val="00403F32"/>
    <w:rsid w:val="00405397"/>
    <w:rsid w:val="00406485"/>
    <w:rsid w:val="00406B5D"/>
    <w:rsid w:val="00411F45"/>
    <w:rsid w:val="00412164"/>
    <w:rsid w:val="00413A87"/>
    <w:rsid w:val="00415139"/>
    <w:rsid w:val="00416A17"/>
    <w:rsid w:val="004170E4"/>
    <w:rsid w:val="00422921"/>
    <w:rsid w:val="00424428"/>
    <w:rsid w:val="00427CB6"/>
    <w:rsid w:val="0043088E"/>
    <w:rsid w:val="00430CE3"/>
    <w:rsid w:val="00434E91"/>
    <w:rsid w:val="0043569C"/>
    <w:rsid w:val="0043592A"/>
    <w:rsid w:val="00436BD6"/>
    <w:rsid w:val="0043724E"/>
    <w:rsid w:val="00437CE7"/>
    <w:rsid w:val="00443534"/>
    <w:rsid w:val="00445910"/>
    <w:rsid w:val="00445E9A"/>
    <w:rsid w:val="00446083"/>
    <w:rsid w:val="00446594"/>
    <w:rsid w:val="00450D18"/>
    <w:rsid w:val="004519B8"/>
    <w:rsid w:val="004531D8"/>
    <w:rsid w:val="00456244"/>
    <w:rsid w:val="0045728F"/>
    <w:rsid w:val="004615FA"/>
    <w:rsid w:val="00463936"/>
    <w:rsid w:val="00465860"/>
    <w:rsid w:val="00467614"/>
    <w:rsid w:val="00467760"/>
    <w:rsid w:val="00467E0C"/>
    <w:rsid w:val="004705FF"/>
    <w:rsid w:val="00470BAF"/>
    <w:rsid w:val="00471D58"/>
    <w:rsid w:val="004728CD"/>
    <w:rsid w:val="004748F1"/>
    <w:rsid w:val="00474B13"/>
    <w:rsid w:val="0047644B"/>
    <w:rsid w:val="00477FAD"/>
    <w:rsid w:val="004812BD"/>
    <w:rsid w:val="004813C5"/>
    <w:rsid w:val="004861DE"/>
    <w:rsid w:val="00487CD5"/>
    <w:rsid w:val="00487D48"/>
    <w:rsid w:val="00490701"/>
    <w:rsid w:val="00492D38"/>
    <w:rsid w:val="00496672"/>
    <w:rsid w:val="00497147"/>
    <w:rsid w:val="004A09E4"/>
    <w:rsid w:val="004A19AF"/>
    <w:rsid w:val="004A227F"/>
    <w:rsid w:val="004A2487"/>
    <w:rsid w:val="004A356F"/>
    <w:rsid w:val="004A38A6"/>
    <w:rsid w:val="004A7481"/>
    <w:rsid w:val="004A7E08"/>
    <w:rsid w:val="004B1180"/>
    <w:rsid w:val="004B124B"/>
    <w:rsid w:val="004B13B3"/>
    <w:rsid w:val="004B2FCB"/>
    <w:rsid w:val="004B4A67"/>
    <w:rsid w:val="004B7AC8"/>
    <w:rsid w:val="004C101F"/>
    <w:rsid w:val="004C1921"/>
    <w:rsid w:val="004C2E74"/>
    <w:rsid w:val="004C3C34"/>
    <w:rsid w:val="004C55E4"/>
    <w:rsid w:val="004C7ED3"/>
    <w:rsid w:val="004D0F10"/>
    <w:rsid w:val="004D2AAC"/>
    <w:rsid w:val="004D321A"/>
    <w:rsid w:val="004D348B"/>
    <w:rsid w:val="004D374C"/>
    <w:rsid w:val="004D3B88"/>
    <w:rsid w:val="004D4630"/>
    <w:rsid w:val="004E2CB8"/>
    <w:rsid w:val="004E415C"/>
    <w:rsid w:val="004E44FC"/>
    <w:rsid w:val="004E6133"/>
    <w:rsid w:val="004E68BE"/>
    <w:rsid w:val="004E705D"/>
    <w:rsid w:val="004F0F4E"/>
    <w:rsid w:val="004F2ED1"/>
    <w:rsid w:val="004F541D"/>
    <w:rsid w:val="00500166"/>
    <w:rsid w:val="00503E31"/>
    <w:rsid w:val="00503E83"/>
    <w:rsid w:val="00507A83"/>
    <w:rsid w:val="005116D9"/>
    <w:rsid w:val="00511751"/>
    <w:rsid w:val="00516AD7"/>
    <w:rsid w:val="0051744A"/>
    <w:rsid w:val="00522CB0"/>
    <w:rsid w:val="0052339E"/>
    <w:rsid w:val="00526328"/>
    <w:rsid w:val="00533787"/>
    <w:rsid w:val="00533D98"/>
    <w:rsid w:val="00534249"/>
    <w:rsid w:val="00534AB7"/>
    <w:rsid w:val="0053500F"/>
    <w:rsid w:val="0053513A"/>
    <w:rsid w:val="005363E4"/>
    <w:rsid w:val="00536687"/>
    <w:rsid w:val="0053688D"/>
    <w:rsid w:val="0053688E"/>
    <w:rsid w:val="005425A8"/>
    <w:rsid w:val="00542FC6"/>
    <w:rsid w:val="00550C28"/>
    <w:rsid w:val="00552FC7"/>
    <w:rsid w:val="0055389B"/>
    <w:rsid w:val="00553D54"/>
    <w:rsid w:val="00553E05"/>
    <w:rsid w:val="00555729"/>
    <w:rsid w:val="0056290B"/>
    <w:rsid w:val="00562F9C"/>
    <w:rsid w:val="00562FDF"/>
    <w:rsid w:val="00563496"/>
    <w:rsid w:val="0056406C"/>
    <w:rsid w:val="00564BE2"/>
    <w:rsid w:val="0057085E"/>
    <w:rsid w:val="00570A77"/>
    <w:rsid w:val="0057195E"/>
    <w:rsid w:val="0057229D"/>
    <w:rsid w:val="00572E3D"/>
    <w:rsid w:val="00573554"/>
    <w:rsid w:val="00574ED1"/>
    <w:rsid w:val="00575A68"/>
    <w:rsid w:val="00577291"/>
    <w:rsid w:val="00577818"/>
    <w:rsid w:val="00577FE2"/>
    <w:rsid w:val="00580340"/>
    <w:rsid w:val="005828FA"/>
    <w:rsid w:val="005847F2"/>
    <w:rsid w:val="00584A81"/>
    <w:rsid w:val="00584AEE"/>
    <w:rsid w:val="00584BEC"/>
    <w:rsid w:val="00586270"/>
    <w:rsid w:val="00586DBC"/>
    <w:rsid w:val="005872FC"/>
    <w:rsid w:val="00592202"/>
    <w:rsid w:val="00592E29"/>
    <w:rsid w:val="00593B9D"/>
    <w:rsid w:val="00596DC1"/>
    <w:rsid w:val="005971C3"/>
    <w:rsid w:val="005975AC"/>
    <w:rsid w:val="005A0C89"/>
    <w:rsid w:val="005A255D"/>
    <w:rsid w:val="005A3B8E"/>
    <w:rsid w:val="005A53A0"/>
    <w:rsid w:val="005A624A"/>
    <w:rsid w:val="005A6A44"/>
    <w:rsid w:val="005A7644"/>
    <w:rsid w:val="005B07F4"/>
    <w:rsid w:val="005B10B7"/>
    <w:rsid w:val="005B376F"/>
    <w:rsid w:val="005B68DE"/>
    <w:rsid w:val="005B758C"/>
    <w:rsid w:val="005B7B5A"/>
    <w:rsid w:val="005B7DE8"/>
    <w:rsid w:val="005C348F"/>
    <w:rsid w:val="005C3721"/>
    <w:rsid w:val="005C3E9E"/>
    <w:rsid w:val="005C6AFB"/>
    <w:rsid w:val="005C6F60"/>
    <w:rsid w:val="005C7355"/>
    <w:rsid w:val="005C7FE0"/>
    <w:rsid w:val="005C7FFC"/>
    <w:rsid w:val="005D1D00"/>
    <w:rsid w:val="005D1E01"/>
    <w:rsid w:val="005D26AD"/>
    <w:rsid w:val="005D28A9"/>
    <w:rsid w:val="005D41CD"/>
    <w:rsid w:val="005D4AA1"/>
    <w:rsid w:val="005D4B23"/>
    <w:rsid w:val="005D5B02"/>
    <w:rsid w:val="005D619E"/>
    <w:rsid w:val="005D6627"/>
    <w:rsid w:val="005D6712"/>
    <w:rsid w:val="005E0C7F"/>
    <w:rsid w:val="005E142E"/>
    <w:rsid w:val="005E1C0D"/>
    <w:rsid w:val="005E1F98"/>
    <w:rsid w:val="005E2D34"/>
    <w:rsid w:val="005E5702"/>
    <w:rsid w:val="005E74E4"/>
    <w:rsid w:val="005F0D8E"/>
    <w:rsid w:val="005F13C6"/>
    <w:rsid w:val="005F3940"/>
    <w:rsid w:val="005F49D2"/>
    <w:rsid w:val="005F51DE"/>
    <w:rsid w:val="005F5343"/>
    <w:rsid w:val="005F5EBD"/>
    <w:rsid w:val="0060051A"/>
    <w:rsid w:val="00603CF3"/>
    <w:rsid w:val="0060487B"/>
    <w:rsid w:val="00604A00"/>
    <w:rsid w:val="00607CDB"/>
    <w:rsid w:val="00610257"/>
    <w:rsid w:val="00610B1B"/>
    <w:rsid w:val="00612E62"/>
    <w:rsid w:val="00613270"/>
    <w:rsid w:val="0061363A"/>
    <w:rsid w:val="00614DA0"/>
    <w:rsid w:val="00616947"/>
    <w:rsid w:val="00616A88"/>
    <w:rsid w:val="0061740F"/>
    <w:rsid w:val="00621D18"/>
    <w:rsid w:val="006221C5"/>
    <w:rsid w:val="00622B4C"/>
    <w:rsid w:val="00622CAF"/>
    <w:rsid w:val="00622E44"/>
    <w:rsid w:val="00623E5E"/>
    <w:rsid w:val="00625BE1"/>
    <w:rsid w:val="00627233"/>
    <w:rsid w:val="006274FB"/>
    <w:rsid w:val="00632D39"/>
    <w:rsid w:val="00637301"/>
    <w:rsid w:val="0063749D"/>
    <w:rsid w:val="00643F08"/>
    <w:rsid w:val="00644454"/>
    <w:rsid w:val="006448CA"/>
    <w:rsid w:val="00644C84"/>
    <w:rsid w:val="006453E5"/>
    <w:rsid w:val="00646279"/>
    <w:rsid w:val="006510B0"/>
    <w:rsid w:val="0065192D"/>
    <w:rsid w:val="006523E6"/>
    <w:rsid w:val="00652917"/>
    <w:rsid w:val="00656E58"/>
    <w:rsid w:val="0066297D"/>
    <w:rsid w:val="00663B80"/>
    <w:rsid w:val="00666ACD"/>
    <w:rsid w:val="00670ADF"/>
    <w:rsid w:val="006719A4"/>
    <w:rsid w:val="00671EB1"/>
    <w:rsid w:val="00673112"/>
    <w:rsid w:val="00677243"/>
    <w:rsid w:val="00677B66"/>
    <w:rsid w:val="00681684"/>
    <w:rsid w:val="00683950"/>
    <w:rsid w:val="0068696D"/>
    <w:rsid w:val="00686CA7"/>
    <w:rsid w:val="006905FC"/>
    <w:rsid w:val="00690717"/>
    <w:rsid w:val="00692CBD"/>
    <w:rsid w:val="00693C91"/>
    <w:rsid w:val="006947A3"/>
    <w:rsid w:val="006954E5"/>
    <w:rsid w:val="00695AD3"/>
    <w:rsid w:val="006960CC"/>
    <w:rsid w:val="00697239"/>
    <w:rsid w:val="0069755A"/>
    <w:rsid w:val="006978FE"/>
    <w:rsid w:val="006A22FB"/>
    <w:rsid w:val="006A2E7D"/>
    <w:rsid w:val="006A609F"/>
    <w:rsid w:val="006A6682"/>
    <w:rsid w:val="006A7DEC"/>
    <w:rsid w:val="006B0A9D"/>
    <w:rsid w:val="006B0FC8"/>
    <w:rsid w:val="006B1A7D"/>
    <w:rsid w:val="006B25AE"/>
    <w:rsid w:val="006B265D"/>
    <w:rsid w:val="006B27E2"/>
    <w:rsid w:val="006B3BE1"/>
    <w:rsid w:val="006B5871"/>
    <w:rsid w:val="006B5E08"/>
    <w:rsid w:val="006B640E"/>
    <w:rsid w:val="006B7816"/>
    <w:rsid w:val="006B7EDA"/>
    <w:rsid w:val="006C01D6"/>
    <w:rsid w:val="006C0742"/>
    <w:rsid w:val="006C09B4"/>
    <w:rsid w:val="006C0C6D"/>
    <w:rsid w:val="006C2301"/>
    <w:rsid w:val="006C34B8"/>
    <w:rsid w:val="006C71AD"/>
    <w:rsid w:val="006D001E"/>
    <w:rsid w:val="006D0193"/>
    <w:rsid w:val="006D0D27"/>
    <w:rsid w:val="006D112C"/>
    <w:rsid w:val="006D11F1"/>
    <w:rsid w:val="006D2669"/>
    <w:rsid w:val="006D2A96"/>
    <w:rsid w:val="006D7A50"/>
    <w:rsid w:val="006E0AFC"/>
    <w:rsid w:val="006E13FE"/>
    <w:rsid w:val="006E1A0F"/>
    <w:rsid w:val="006E4803"/>
    <w:rsid w:val="006E55BB"/>
    <w:rsid w:val="006E5ACF"/>
    <w:rsid w:val="006E5E43"/>
    <w:rsid w:val="006E64B8"/>
    <w:rsid w:val="006E7609"/>
    <w:rsid w:val="006F3F04"/>
    <w:rsid w:val="006F439B"/>
    <w:rsid w:val="006F5B24"/>
    <w:rsid w:val="006F60AB"/>
    <w:rsid w:val="006F75D4"/>
    <w:rsid w:val="007017F0"/>
    <w:rsid w:val="00702062"/>
    <w:rsid w:val="00702586"/>
    <w:rsid w:val="00703255"/>
    <w:rsid w:val="00703536"/>
    <w:rsid w:val="00703E7D"/>
    <w:rsid w:val="0070544C"/>
    <w:rsid w:val="007054E2"/>
    <w:rsid w:val="00710B44"/>
    <w:rsid w:val="00711076"/>
    <w:rsid w:val="00712315"/>
    <w:rsid w:val="00712379"/>
    <w:rsid w:val="007124BB"/>
    <w:rsid w:val="0071274E"/>
    <w:rsid w:val="00713B90"/>
    <w:rsid w:val="00717736"/>
    <w:rsid w:val="007207D3"/>
    <w:rsid w:val="00721621"/>
    <w:rsid w:val="00721700"/>
    <w:rsid w:val="00726980"/>
    <w:rsid w:val="00727A61"/>
    <w:rsid w:val="00731295"/>
    <w:rsid w:val="00734A46"/>
    <w:rsid w:val="00735669"/>
    <w:rsid w:val="0073680E"/>
    <w:rsid w:val="00737765"/>
    <w:rsid w:val="00741631"/>
    <w:rsid w:val="007438C3"/>
    <w:rsid w:val="007448DB"/>
    <w:rsid w:val="00747CE3"/>
    <w:rsid w:val="0075092E"/>
    <w:rsid w:val="00752CFA"/>
    <w:rsid w:val="00755768"/>
    <w:rsid w:val="00756D98"/>
    <w:rsid w:val="00761DDE"/>
    <w:rsid w:val="007639AD"/>
    <w:rsid w:val="00763EF8"/>
    <w:rsid w:val="00764280"/>
    <w:rsid w:val="007646FC"/>
    <w:rsid w:val="00765EB6"/>
    <w:rsid w:val="00766859"/>
    <w:rsid w:val="00767940"/>
    <w:rsid w:val="007701BF"/>
    <w:rsid w:val="00772BC3"/>
    <w:rsid w:val="00774190"/>
    <w:rsid w:val="007751CC"/>
    <w:rsid w:val="00775541"/>
    <w:rsid w:val="0078023B"/>
    <w:rsid w:val="007807CA"/>
    <w:rsid w:val="0078102A"/>
    <w:rsid w:val="00781496"/>
    <w:rsid w:val="00787EE1"/>
    <w:rsid w:val="00791CB1"/>
    <w:rsid w:val="00792720"/>
    <w:rsid w:val="007929AD"/>
    <w:rsid w:val="0079538E"/>
    <w:rsid w:val="007A080D"/>
    <w:rsid w:val="007A3F70"/>
    <w:rsid w:val="007A4894"/>
    <w:rsid w:val="007A70DD"/>
    <w:rsid w:val="007A7BBA"/>
    <w:rsid w:val="007B058E"/>
    <w:rsid w:val="007B0BF6"/>
    <w:rsid w:val="007B1733"/>
    <w:rsid w:val="007B17F9"/>
    <w:rsid w:val="007B20A5"/>
    <w:rsid w:val="007B2350"/>
    <w:rsid w:val="007B2514"/>
    <w:rsid w:val="007B2A1E"/>
    <w:rsid w:val="007B3136"/>
    <w:rsid w:val="007B4CD0"/>
    <w:rsid w:val="007C1EEB"/>
    <w:rsid w:val="007C71B9"/>
    <w:rsid w:val="007C7E4C"/>
    <w:rsid w:val="007D3A7F"/>
    <w:rsid w:val="007D3C5E"/>
    <w:rsid w:val="007D4168"/>
    <w:rsid w:val="007D4733"/>
    <w:rsid w:val="007D5DB8"/>
    <w:rsid w:val="007D71ED"/>
    <w:rsid w:val="007D7E89"/>
    <w:rsid w:val="007E093F"/>
    <w:rsid w:val="007E31F5"/>
    <w:rsid w:val="007E350D"/>
    <w:rsid w:val="007E3E6A"/>
    <w:rsid w:val="007E59F5"/>
    <w:rsid w:val="007E5B4D"/>
    <w:rsid w:val="007F010D"/>
    <w:rsid w:val="007F1823"/>
    <w:rsid w:val="007F238A"/>
    <w:rsid w:val="007F2BF8"/>
    <w:rsid w:val="007F34B7"/>
    <w:rsid w:val="007F3F97"/>
    <w:rsid w:val="007F592A"/>
    <w:rsid w:val="007F62F9"/>
    <w:rsid w:val="007F7241"/>
    <w:rsid w:val="007F7616"/>
    <w:rsid w:val="007F7F9C"/>
    <w:rsid w:val="00802BB7"/>
    <w:rsid w:val="008048DC"/>
    <w:rsid w:val="00804960"/>
    <w:rsid w:val="00805FC8"/>
    <w:rsid w:val="00810F73"/>
    <w:rsid w:val="0081415A"/>
    <w:rsid w:val="0081431A"/>
    <w:rsid w:val="00814666"/>
    <w:rsid w:val="0081483B"/>
    <w:rsid w:val="0081726D"/>
    <w:rsid w:val="0082019A"/>
    <w:rsid w:val="0082112C"/>
    <w:rsid w:val="00821F60"/>
    <w:rsid w:val="00823B9A"/>
    <w:rsid w:val="00824F0C"/>
    <w:rsid w:val="00827111"/>
    <w:rsid w:val="008306FD"/>
    <w:rsid w:val="00830835"/>
    <w:rsid w:val="00832F06"/>
    <w:rsid w:val="008336F0"/>
    <w:rsid w:val="00833B82"/>
    <w:rsid w:val="00833BC1"/>
    <w:rsid w:val="008343CE"/>
    <w:rsid w:val="008344B5"/>
    <w:rsid w:val="00837CA0"/>
    <w:rsid w:val="00842DF8"/>
    <w:rsid w:val="00845496"/>
    <w:rsid w:val="0084606B"/>
    <w:rsid w:val="00846826"/>
    <w:rsid w:val="00847AF2"/>
    <w:rsid w:val="00853240"/>
    <w:rsid w:val="008536B1"/>
    <w:rsid w:val="008539DB"/>
    <w:rsid w:val="008600B5"/>
    <w:rsid w:val="00861B65"/>
    <w:rsid w:val="008650CE"/>
    <w:rsid w:val="00865C21"/>
    <w:rsid w:val="00866AA8"/>
    <w:rsid w:val="00866B84"/>
    <w:rsid w:val="0086795E"/>
    <w:rsid w:val="00872D81"/>
    <w:rsid w:val="008736B4"/>
    <w:rsid w:val="00873FD2"/>
    <w:rsid w:val="00875880"/>
    <w:rsid w:val="00876CB5"/>
    <w:rsid w:val="00877CA2"/>
    <w:rsid w:val="008825FE"/>
    <w:rsid w:val="008827FD"/>
    <w:rsid w:val="00883336"/>
    <w:rsid w:val="00885D9A"/>
    <w:rsid w:val="008862FE"/>
    <w:rsid w:val="00887F08"/>
    <w:rsid w:val="00891FFF"/>
    <w:rsid w:val="00892411"/>
    <w:rsid w:val="0089334D"/>
    <w:rsid w:val="0089371E"/>
    <w:rsid w:val="008945CC"/>
    <w:rsid w:val="00894CB5"/>
    <w:rsid w:val="0089633D"/>
    <w:rsid w:val="008A09A6"/>
    <w:rsid w:val="008A3271"/>
    <w:rsid w:val="008A7F46"/>
    <w:rsid w:val="008B2884"/>
    <w:rsid w:val="008B37B6"/>
    <w:rsid w:val="008C0C83"/>
    <w:rsid w:val="008C147E"/>
    <w:rsid w:val="008C2010"/>
    <w:rsid w:val="008C23DB"/>
    <w:rsid w:val="008C28BC"/>
    <w:rsid w:val="008C3255"/>
    <w:rsid w:val="008C4803"/>
    <w:rsid w:val="008C4EFF"/>
    <w:rsid w:val="008C514E"/>
    <w:rsid w:val="008C522C"/>
    <w:rsid w:val="008C7015"/>
    <w:rsid w:val="008D405D"/>
    <w:rsid w:val="008D407F"/>
    <w:rsid w:val="008D4656"/>
    <w:rsid w:val="008E0349"/>
    <w:rsid w:val="008E26DB"/>
    <w:rsid w:val="008E2807"/>
    <w:rsid w:val="008E41EE"/>
    <w:rsid w:val="008E5428"/>
    <w:rsid w:val="008E754C"/>
    <w:rsid w:val="008E7C0F"/>
    <w:rsid w:val="008F1314"/>
    <w:rsid w:val="008F16D2"/>
    <w:rsid w:val="008F1DA3"/>
    <w:rsid w:val="008F4134"/>
    <w:rsid w:val="008F4A20"/>
    <w:rsid w:val="008F57AD"/>
    <w:rsid w:val="008F5BF5"/>
    <w:rsid w:val="008F6B2B"/>
    <w:rsid w:val="008F75FF"/>
    <w:rsid w:val="00901893"/>
    <w:rsid w:val="009022DA"/>
    <w:rsid w:val="00903659"/>
    <w:rsid w:val="0090495A"/>
    <w:rsid w:val="009053F1"/>
    <w:rsid w:val="00906A9A"/>
    <w:rsid w:val="00907881"/>
    <w:rsid w:val="0091109B"/>
    <w:rsid w:val="009128E7"/>
    <w:rsid w:val="00912DF1"/>
    <w:rsid w:val="00913074"/>
    <w:rsid w:val="00913516"/>
    <w:rsid w:val="00913E54"/>
    <w:rsid w:val="00914834"/>
    <w:rsid w:val="00916524"/>
    <w:rsid w:val="00917642"/>
    <w:rsid w:val="00917DEB"/>
    <w:rsid w:val="00917F2C"/>
    <w:rsid w:val="00921526"/>
    <w:rsid w:val="009237E2"/>
    <w:rsid w:val="00923EB1"/>
    <w:rsid w:val="00925C52"/>
    <w:rsid w:val="00930D96"/>
    <w:rsid w:val="00930E91"/>
    <w:rsid w:val="00932DBD"/>
    <w:rsid w:val="00934A83"/>
    <w:rsid w:val="0093571B"/>
    <w:rsid w:val="0093609C"/>
    <w:rsid w:val="0093710F"/>
    <w:rsid w:val="0093752C"/>
    <w:rsid w:val="00937923"/>
    <w:rsid w:val="009415D3"/>
    <w:rsid w:val="0094207D"/>
    <w:rsid w:val="009435B1"/>
    <w:rsid w:val="0094624D"/>
    <w:rsid w:val="00947A62"/>
    <w:rsid w:val="0095039D"/>
    <w:rsid w:val="00950B32"/>
    <w:rsid w:val="009510A7"/>
    <w:rsid w:val="00952ECD"/>
    <w:rsid w:val="00953F3D"/>
    <w:rsid w:val="0095648A"/>
    <w:rsid w:val="009615CA"/>
    <w:rsid w:val="00963661"/>
    <w:rsid w:val="00963E58"/>
    <w:rsid w:val="00964728"/>
    <w:rsid w:val="0096531B"/>
    <w:rsid w:val="00965D23"/>
    <w:rsid w:val="00967E18"/>
    <w:rsid w:val="009730A3"/>
    <w:rsid w:val="00973685"/>
    <w:rsid w:val="009736D4"/>
    <w:rsid w:val="009741A6"/>
    <w:rsid w:val="00974328"/>
    <w:rsid w:val="00977A90"/>
    <w:rsid w:val="009804EA"/>
    <w:rsid w:val="00980F56"/>
    <w:rsid w:val="009815A1"/>
    <w:rsid w:val="00982310"/>
    <w:rsid w:val="00982A37"/>
    <w:rsid w:val="00982DFA"/>
    <w:rsid w:val="00982E25"/>
    <w:rsid w:val="00991C3B"/>
    <w:rsid w:val="009924C1"/>
    <w:rsid w:val="009932E2"/>
    <w:rsid w:val="00993B9E"/>
    <w:rsid w:val="00994BA8"/>
    <w:rsid w:val="00995182"/>
    <w:rsid w:val="009A055A"/>
    <w:rsid w:val="009A4672"/>
    <w:rsid w:val="009A4BED"/>
    <w:rsid w:val="009B0B78"/>
    <w:rsid w:val="009B19DF"/>
    <w:rsid w:val="009B209E"/>
    <w:rsid w:val="009B262F"/>
    <w:rsid w:val="009B2B8F"/>
    <w:rsid w:val="009B2F43"/>
    <w:rsid w:val="009B3252"/>
    <w:rsid w:val="009B5249"/>
    <w:rsid w:val="009B7062"/>
    <w:rsid w:val="009B7944"/>
    <w:rsid w:val="009C0FBE"/>
    <w:rsid w:val="009C4BB5"/>
    <w:rsid w:val="009C5CCD"/>
    <w:rsid w:val="009C5CCF"/>
    <w:rsid w:val="009C65E1"/>
    <w:rsid w:val="009C69ED"/>
    <w:rsid w:val="009D1DBA"/>
    <w:rsid w:val="009D4384"/>
    <w:rsid w:val="009D53A3"/>
    <w:rsid w:val="009D6549"/>
    <w:rsid w:val="009D68A8"/>
    <w:rsid w:val="009D7AD5"/>
    <w:rsid w:val="009E0179"/>
    <w:rsid w:val="009E0B22"/>
    <w:rsid w:val="009E2D46"/>
    <w:rsid w:val="009E4303"/>
    <w:rsid w:val="009E7F0C"/>
    <w:rsid w:val="009F02AB"/>
    <w:rsid w:val="009F0434"/>
    <w:rsid w:val="009F098E"/>
    <w:rsid w:val="009F1747"/>
    <w:rsid w:val="009F42F5"/>
    <w:rsid w:val="009F4DAA"/>
    <w:rsid w:val="009F4EDC"/>
    <w:rsid w:val="009F4F8C"/>
    <w:rsid w:val="009F7D66"/>
    <w:rsid w:val="00A020CF"/>
    <w:rsid w:val="00A021C7"/>
    <w:rsid w:val="00A03B49"/>
    <w:rsid w:val="00A049A1"/>
    <w:rsid w:val="00A11CB9"/>
    <w:rsid w:val="00A17E00"/>
    <w:rsid w:val="00A20C1F"/>
    <w:rsid w:val="00A228EB"/>
    <w:rsid w:val="00A23371"/>
    <w:rsid w:val="00A23407"/>
    <w:rsid w:val="00A30A63"/>
    <w:rsid w:val="00A31238"/>
    <w:rsid w:val="00A31717"/>
    <w:rsid w:val="00A329B3"/>
    <w:rsid w:val="00A33318"/>
    <w:rsid w:val="00A33382"/>
    <w:rsid w:val="00A33D0C"/>
    <w:rsid w:val="00A351B4"/>
    <w:rsid w:val="00A35A1B"/>
    <w:rsid w:val="00A40172"/>
    <w:rsid w:val="00A40BC2"/>
    <w:rsid w:val="00A4485E"/>
    <w:rsid w:val="00A4563C"/>
    <w:rsid w:val="00A462D9"/>
    <w:rsid w:val="00A46A8F"/>
    <w:rsid w:val="00A5029C"/>
    <w:rsid w:val="00A50622"/>
    <w:rsid w:val="00A52A4D"/>
    <w:rsid w:val="00A540BD"/>
    <w:rsid w:val="00A54A8C"/>
    <w:rsid w:val="00A57F97"/>
    <w:rsid w:val="00A600E9"/>
    <w:rsid w:val="00A614A6"/>
    <w:rsid w:val="00A629F6"/>
    <w:rsid w:val="00A63937"/>
    <w:rsid w:val="00A645FB"/>
    <w:rsid w:val="00A6533F"/>
    <w:rsid w:val="00A65C08"/>
    <w:rsid w:val="00A65FA8"/>
    <w:rsid w:val="00A67696"/>
    <w:rsid w:val="00A67D53"/>
    <w:rsid w:val="00A710DA"/>
    <w:rsid w:val="00A7231E"/>
    <w:rsid w:val="00A7234B"/>
    <w:rsid w:val="00A72D7B"/>
    <w:rsid w:val="00A74C36"/>
    <w:rsid w:val="00A7585E"/>
    <w:rsid w:val="00A776F5"/>
    <w:rsid w:val="00A820F7"/>
    <w:rsid w:val="00A8282D"/>
    <w:rsid w:val="00A858B7"/>
    <w:rsid w:val="00A878C0"/>
    <w:rsid w:val="00A9526D"/>
    <w:rsid w:val="00AA1930"/>
    <w:rsid w:val="00AA1D8A"/>
    <w:rsid w:val="00AA442D"/>
    <w:rsid w:val="00AA4B55"/>
    <w:rsid w:val="00AA4FD8"/>
    <w:rsid w:val="00AA667B"/>
    <w:rsid w:val="00AA7DA9"/>
    <w:rsid w:val="00AB22B4"/>
    <w:rsid w:val="00AB63E5"/>
    <w:rsid w:val="00AC302F"/>
    <w:rsid w:val="00AC4462"/>
    <w:rsid w:val="00AC46D6"/>
    <w:rsid w:val="00AC6B02"/>
    <w:rsid w:val="00AD10AA"/>
    <w:rsid w:val="00AD2142"/>
    <w:rsid w:val="00AD3B33"/>
    <w:rsid w:val="00AD4007"/>
    <w:rsid w:val="00AD7980"/>
    <w:rsid w:val="00AE2CDB"/>
    <w:rsid w:val="00AE5D36"/>
    <w:rsid w:val="00AE6C7C"/>
    <w:rsid w:val="00AF1394"/>
    <w:rsid w:val="00AF405D"/>
    <w:rsid w:val="00AF7946"/>
    <w:rsid w:val="00B0617F"/>
    <w:rsid w:val="00B0682C"/>
    <w:rsid w:val="00B07797"/>
    <w:rsid w:val="00B108BD"/>
    <w:rsid w:val="00B1202F"/>
    <w:rsid w:val="00B13789"/>
    <w:rsid w:val="00B139A4"/>
    <w:rsid w:val="00B13A0D"/>
    <w:rsid w:val="00B145B6"/>
    <w:rsid w:val="00B23242"/>
    <w:rsid w:val="00B23DCE"/>
    <w:rsid w:val="00B25B06"/>
    <w:rsid w:val="00B301A0"/>
    <w:rsid w:val="00B341B1"/>
    <w:rsid w:val="00B34861"/>
    <w:rsid w:val="00B353EC"/>
    <w:rsid w:val="00B36FFD"/>
    <w:rsid w:val="00B37849"/>
    <w:rsid w:val="00B40EB2"/>
    <w:rsid w:val="00B40FDB"/>
    <w:rsid w:val="00B419FA"/>
    <w:rsid w:val="00B434CF"/>
    <w:rsid w:val="00B444DA"/>
    <w:rsid w:val="00B459C9"/>
    <w:rsid w:val="00B47E48"/>
    <w:rsid w:val="00B50492"/>
    <w:rsid w:val="00B51BC9"/>
    <w:rsid w:val="00B51EA6"/>
    <w:rsid w:val="00B532FA"/>
    <w:rsid w:val="00B54610"/>
    <w:rsid w:val="00B61201"/>
    <w:rsid w:val="00B612E7"/>
    <w:rsid w:val="00B635E3"/>
    <w:rsid w:val="00B63B91"/>
    <w:rsid w:val="00B66A7F"/>
    <w:rsid w:val="00B67869"/>
    <w:rsid w:val="00B7093B"/>
    <w:rsid w:val="00B712E2"/>
    <w:rsid w:val="00B71E67"/>
    <w:rsid w:val="00B734A1"/>
    <w:rsid w:val="00B74776"/>
    <w:rsid w:val="00B76368"/>
    <w:rsid w:val="00B76F40"/>
    <w:rsid w:val="00B807D6"/>
    <w:rsid w:val="00B80A0B"/>
    <w:rsid w:val="00B80CAC"/>
    <w:rsid w:val="00B8291B"/>
    <w:rsid w:val="00B85DAE"/>
    <w:rsid w:val="00B864EE"/>
    <w:rsid w:val="00B8677A"/>
    <w:rsid w:val="00B90681"/>
    <w:rsid w:val="00B92A4B"/>
    <w:rsid w:val="00B93572"/>
    <w:rsid w:val="00B94A43"/>
    <w:rsid w:val="00B94DA7"/>
    <w:rsid w:val="00B956C3"/>
    <w:rsid w:val="00B95988"/>
    <w:rsid w:val="00B969F4"/>
    <w:rsid w:val="00B96F1C"/>
    <w:rsid w:val="00B96F78"/>
    <w:rsid w:val="00B9764E"/>
    <w:rsid w:val="00B9791E"/>
    <w:rsid w:val="00BA12A1"/>
    <w:rsid w:val="00BA5A5B"/>
    <w:rsid w:val="00BA5C9D"/>
    <w:rsid w:val="00BA77AB"/>
    <w:rsid w:val="00BB0532"/>
    <w:rsid w:val="00BB17F6"/>
    <w:rsid w:val="00BB5C56"/>
    <w:rsid w:val="00BB7010"/>
    <w:rsid w:val="00BB7805"/>
    <w:rsid w:val="00BC5229"/>
    <w:rsid w:val="00BC539B"/>
    <w:rsid w:val="00BC73C5"/>
    <w:rsid w:val="00BC7AA0"/>
    <w:rsid w:val="00BD0ED6"/>
    <w:rsid w:val="00BD27C2"/>
    <w:rsid w:val="00BD327B"/>
    <w:rsid w:val="00BD3838"/>
    <w:rsid w:val="00BD4B29"/>
    <w:rsid w:val="00BE01F1"/>
    <w:rsid w:val="00BE2931"/>
    <w:rsid w:val="00BE2961"/>
    <w:rsid w:val="00BE3562"/>
    <w:rsid w:val="00BF1E85"/>
    <w:rsid w:val="00BF21C6"/>
    <w:rsid w:val="00BF6672"/>
    <w:rsid w:val="00C01581"/>
    <w:rsid w:val="00C02F3E"/>
    <w:rsid w:val="00C03E5A"/>
    <w:rsid w:val="00C047CA"/>
    <w:rsid w:val="00C04A25"/>
    <w:rsid w:val="00C05DE5"/>
    <w:rsid w:val="00C05FB7"/>
    <w:rsid w:val="00C077CD"/>
    <w:rsid w:val="00C0790C"/>
    <w:rsid w:val="00C12628"/>
    <w:rsid w:val="00C1371A"/>
    <w:rsid w:val="00C17488"/>
    <w:rsid w:val="00C2672B"/>
    <w:rsid w:val="00C30FDA"/>
    <w:rsid w:val="00C31A51"/>
    <w:rsid w:val="00C320FA"/>
    <w:rsid w:val="00C32597"/>
    <w:rsid w:val="00C336ED"/>
    <w:rsid w:val="00C3760D"/>
    <w:rsid w:val="00C37CF1"/>
    <w:rsid w:val="00C431C9"/>
    <w:rsid w:val="00C435AF"/>
    <w:rsid w:val="00C479FF"/>
    <w:rsid w:val="00C51082"/>
    <w:rsid w:val="00C5135B"/>
    <w:rsid w:val="00C541E7"/>
    <w:rsid w:val="00C551EE"/>
    <w:rsid w:val="00C5521C"/>
    <w:rsid w:val="00C55403"/>
    <w:rsid w:val="00C56C27"/>
    <w:rsid w:val="00C56F42"/>
    <w:rsid w:val="00C57E64"/>
    <w:rsid w:val="00C613CF"/>
    <w:rsid w:val="00C626F0"/>
    <w:rsid w:val="00C62946"/>
    <w:rsid w:val="00C63B33"/>
    <w:rsid w:val="00C64215"/>
    <w:rsid w:val="00C64755"/>
    <w:rsid w:val="00C72D76"/>
    <w:rsid w:val="00C76536"/>
    <w:rsid w:val="00C81FA6"/>
    <w:rsid w:val="00C83019"/>
    <w:rsid w:val="00C838A7"/>
    <w:rsid w:val="00C8488C"/>
    <w:rsid w:val="00C84C6A"/>
    <w:rsid w:val="00C8542A"/>
    <w:rsid w:val="00C85C90"/>
    <w:rsid w:val="00C85CDC"/>
    <w:rsid w:val="00C860E1"/>
    <w:rsid w:val="00C86F6F"/>
    <w:rsid w:val="00C91416"/>
    <w:rsid w:val="00C93627"/>
    <w:rsid w:val="00C94F37"/>
    <w:rsid w:val="00C95FDE"/>
    <w:rsid w:val="00C96B0C"/>
    <w:rsid w:val="00C97634"/>
    <w:rsid w:val="00CA1B0C"/>
    <w:rsid w:val="00CA56E8"/>
    <w:rsid w:val="00CB0D9D"/>
    <w:rsid w:val="00CB1918"/>
    <w:rsid w:val="00CB48B9"/>
    <w:rsid w:val="00CB5309"/>
    <w:rsid w:val="00CB720F"/>
    <w:rsid w:val="00CB7EA1"/>
    <w:rsid w:val="00CC4C64"/>
    <w:rsid w:val="00CC6C55"/>
    <w:rsid w:val="00CC780E"/>
    <w:rsid w:val="00CD0542"/>
    <w:rsid w:val="00CD16C9"/>
    <w:rsid w:val="00CD17F8"/>
    <w:rsid w:val="00CD5A67"/>
    <w:rsid w:val="00CD7CF2"/>
    <w:rsid w:val="00CE040E"/>
    <w:rsid w:val="00CE17DE"/>
    <w:rsid w:val="00CE20DF"/>
    <w:rsid w:val="00CE32CB"/>
    <w:rsid w:val="00CE37AD"/>
    <w:rsid w:val="00CE4C53"/>
    <w:rsid w:val="00CE59A9"/>
    <w:rsid w:val="00CF073C"/>
    <w:rsid w:val="00CF24ED"/>
    <w:rsid w:val="00CF2A4A"/>
    <w:rsid w:val="00CF519A"/>
    <w:rsid w:val="00CF72D0"/>
    <w:rsid w:val="00D0030F"/>
    <w:rsid w:val="00D016D8"/>
    <w:rsid w:val="00D01911"/>
    <w:rsid w:val="00D01CE3"/>
    <w:rsid w:val="00D01E1F"/>
    <w:rsid w:val="00D050C6"/>
    <w:rsid w:val="00D052C8"/>
    <w:rsid w:val="00D05EC0"/>
    <w:rsid w:val="00D069FC"/>
    <w:rsid w:val="00D07D95"/>
    <w:rsid w:val="00D12D9E"/>
    <w:rsid w:val="00D14BED"/>
    <w:rsid w:val="00D15066"/>
    <w:rsid w:val="00D152FF"/>
    <w:rsid w:val="00D177FC"/>
    <w:rsid w:val="00D21F42"/>
    <w:rsid w:val="00D24369"/>
    <w:rsid w:val="00D24455"/>
    <w:rsid w:val="00D2606D"/>
    <w:rsid w:val="00D27E3F"/>
    <w:rsid w:val="00D30F05"/>
    <w:rsid w:val="00D31521"/>
    <w:rsid w:val="00D3349F"/>
    <w:rsid w:val="00D33DFE"/>
    <w:rsid w:val="00D36F3E"/>
    <w:rsid w:val="00D50C55"/>
    <w:rsid w:val="00D50D4F"/>
    <w:rsid w:val="00D50EE1"/>
    <w:rsid w:val="00D51195"/>
    <w:rsid w:val="00D51F76"/>
    <w:rsid w:val="00D53256"/>
    <w:rsid w:val="00D5519E"/>
    <w:rsid w:val="00D558DB"/>
    <w:rsid w:val="00D56FEB"/>
    <w:rsid w:val="00D611EB"/>
    <w:rsid w:val="00D63A0E"/>
    <w:rsid w:val="00D63D77"/>
    <w:rsid w:val="00D64CCD"/>
    <w:rsid w:val="00D67980"/>
    <w:rsid w:val="00D67C87"/>
    <w:rsid w:val="00D700EE"/>
    <w:rsid w:val="00D70E48"/>
    <w:rsid w:val="00D71A72"/>
    <w:rsid w:val="00D71CA7"/>
    <w:rsid w:val="00D72B47"/>
    <w:rsid w:val="00D74AB7"/>
    <w:rsid w:val="00D8004D"/>
    <w:rsid w:val="00D80104"/>
    <w:rsid w:val="00D81320"/>
    <w:rsid w:val="00D8233D"/>
    <w:rsid w:val="00D842EA"/>
    <w:rsid w:val="00D843D2"/>
    <w:rsid w:val="00D91874"/>
    <w:rsid w:val="00D93C66"/>
    <w:rsid w:val="00D943BC"/>
    <w:rsid w:val="00D96BB3"/>
    <w:rsid w:val="00D96FA3"/>
    <w:rsid w:val="00DA03F9"/>
    <w:rsid w:val="00DA2C80"/>
    <w:rsid w:val="00DB0C3D"/>
    <w:rsid w:val="00DB0F0A"/>
    <w:rsid w:val="00DB2569"/>
    <w:rsid w:val="00DB2952"/>
    <w:rsid w:val="00DB4C27"/>
    <w:rsid w:val="00DB4CE1"/>
    <w:rsid w:val="00DB524E"/>
    <w:rsid w:val="00DB76FE"/>
    <w:rsid w:val="00DB7CFD"/>
    <w:rsid w:val="00DC0210"/>
    <w:rsid w:val="00DC0572"/>
    <w:rsid w:val="00DC22E6"/>
    <w:rsid w:val="00DC3431"/>
    <w:rsid w:val="00DC3964"/>
    <w:rsid w:val="00DC67F1"/>
    <w:rsid w:val="00DD1103"/>
    <w:rsid w:val="00DD1A28"/>
    <w:rsid w:val="00DD1C66"/>
    <w:rsid w:val="00DD2A44"/>
    <w:rsid w:val="00DD522C"/>
    <w:rsid w:val="00DD5F96"/>
    <w:rsid w:val="00DD6A7C"/>
    <w:rsid w:val="00DD7E89"/>
    <w:rsid w:val="00DE11C6"/>
    <w:rsid w:val="00DE249A"/>
    <w:rsid w:val="00DE39B3"/>
    <w:rsid w:val="00DE4041"/>
    <w:rsid w:val="00DE5675"/>
    <w:rsid w:val="00DE60BF"/>
    <w:rsid w:val="00DE7314"/>
    <w:rsid w:val="00DF13CA"/>
    <w:rsid w:val="00DF1AF0"/>
    <w:rsid w:val="00DF4859"/>
    <w:rsid w:val="00DF647E"/>
    <w:rsid w:val="00DF70C7"/>
    <w:rsid w:val="00DF786D"/>
    <w:rsid w:val="00E01853"/>
    <w:rsid w:val="00E06268"/>
    <w:rsid w:val="00E12A6F"/>
    <w:rsid w:val="00E15445"/>
    <w:rsid w:val="00E15CB2"/>
    <w:rsid w:val="00E1629F"/>
    <w:rsid w:val="00E179D9"/>
    <w:rsid w:val="00E210DC"/>
    <w:rsid w:val="00E21C31"/>
    <w:rsid w:val="00E2227F"/>
    <w:rsid w:val="00E224C6"/>
    <w:rsid w:val="00E27795"/>
    <w:rsid w:val="00E31E76"/>
    <w:rsid w:val="00E33C90"/>
    <w:rsid w:val="00E352AE"/>
    <w:rsid w:val="00E35689"/>
    <w:rsid w:val="00E36779"/>
    <w:rsid w:val="00E36A25"/>
    <w:rsid w:val="00E407B8"/>
    <w:rsid w:val="00E41BC2"/>
    <w:rsid w:val="00E41BDF"/>
    <w:rsid w:val="00E443D0"/>
    <w:rsid w:val="00E476B3"/>
    <w:rsid w:val="00E537A1"/>
    <w:rsid w:val="00E5675D"/>
    <w:rsid w:val="00E568A4"/>
    <w:rsid w:val="00E6232D"/>
    <w:rsid w:val="00E63548"/>
    <w:rsid w:val="00E642D9"/>
    <w:rsid w:val="00E6555B"/>
    <w:rsid w:val="00E66D8C"/>
    <w:rsid w:val="00E71301"/>
    <w:rsid w:val="00E72424"/>
    <w:rsid w:val="00E72708"/>
    <w:rsid w:val="00E73150"/>
    <w:rsid w:val="00E74786"/>
    <w:rsid w:val="00E748D4"/>
    <w:rsid w:val="00E75312"/>
    <w:rsid w:val="00E762C3"/>
    <w:rsid w:val="00E76328"/>
    <w:rsid w:val="00E773C4"/>
    <w:rsid w:val="00E80615"/>
    <w:rsid w:val="00E81923"/>
    <w:rsid w:val="00E822E2"/>
    <w:rsid w:val="00E8258D"/>
    <w:rsid w:val="00E855D5"/>
    <w:rsid w:val="00E862F9"/>
    <w:rsid w:val="00E9086E"/>
    <w:rsid w:val="00E9141E"/>
    <w:rsid w:val="00E962F3"/>
    <w:rsid w:val="00EA0D87"/>
    <w:rsid w:val="00EA0FEC"/>
    <w:rsid w:val="00EA54F4"/>
    <w:rsid w:val="00EA5D6B"/>
    <w:rsid w:val="00EA61CC"/>
    <w:rsid w:val="00EA6365"/>
    <w:rsid w:val="00EA7B1E"/>
    <w:rsid w:val="00EB08C5"/>
    <w:rsid w:val="00EB1718"/>
    <w:rsid w:val="00EB46F7"/>
    <w:rsid w:val="00EB59FB"/>
    <w:rsid w:val="00EB6DA3"/>
    <w:rsid w:val="00EB765B"/>
    <w:rsid w:val="00EB7DC1"/>
    <w:rsid w:val="00EC109C"/>
    <w:rsid w:val="00EC4207"/>
    <w:rsid w:val="00EC6E46"/>
    <w:rsid w:val="00ED0049"/>
    <w:rsid w:val="00ED41D6"/>
    <w:rsid w:val="00ED4ECB"/>
    <w:rsid w:val="00ED53EB"/>
    <w:rsid w:val="00ED5924"/>
    <w:rsid w:val="00ED6041"/>
    <w:rsid w:val="00ED6204"/>
    <w:rsid w:val="00ED6E2B"/>
    <w:rsid w:val="00EE2641"/>
    <w:rsid w:val="00EE468B"/>
    <w:rsid w:val="00EE569C"/>
    <w:rsid w:val="00EE59A9"/>
    <w:rsid w:val="00EE5CAB"/>
    <w:rsid w:val="00EE6666"/>
    <w:rsid w:val="00EE678D"/>
    <w:rsid w:val="00EE7B2C"/>
    <w:rsid w:val="00EF2B57"/>
    <w:rsid w:val="00EF2C2D"/>
    <w:rsid w:val="00EF3E10"/>
    <w:rsid w:val="00EF57BD"/>
    <w:rsid w:val="00EF7719"/>
    <w:rsid w:val="00F00269"/>
    <w:rsid w:val="00F0221C"/>
    <w:rsid w:val="00F029E8"/>
    <w:rsid w:val="00F06D41"/>
    <w:rsid w:val="00F07943"/>
    <w:rsid w:val="00F1196A"/>
    <w:rsid w:val="00F12F42"/>
    <w:rsid w:val="00F165AD"/>
    <w:rsid w:val="00F17262"/>
    <w:rsid w:val="00F20E83"/>
    <w:rsid w:val="00F25BA0"/>
    <w:rsid w:val="00F27983"/>
    <w:rsid w:val="00F31318"/>
    <w:rsid w:val="00F31380"/>
    <w:rsid w:val="00F31612"/>
    <w:rsid w:val="00F3200D"/>
    <w:rsid w:val="00F3353D"/>
    <w:rsid w:val="00F3466B"/>
    <w:rsid w:val="00F36422"/>
    <w:rsid w:val="00F401CA"/>
    <w:rsid w:val="00F42CED"/>
    <w:rsid w:val="00F44A7A"/>
    <w:rsid w:val="00F4542E"/>
    <w:rsid w:val="00F45526"/>
    <w:rsid w:val="00F4744C"/>
    <w:rsid w:val="00F475E3"/>
    <w:rsid w:val="00F52363"/>
    <w:rsid w:val="00F53B54"/>
    <w:rsid w:val="00F55140"/>
    <w:rsid w:val="00F552A9"/>
    <w:rsid w:val="00F602BA"/>
    <w:rsid w:val="00F602ED"/>
    <w:rsid w:val="00F61937"/>
    <w:rsid w:val="00F6271E"/>
    <w:rsid w:val="00F65B4D"/>
    <w:rsid w:val="00F6705F"/>
    <w:rsid w:val="00F70AE9"/>
    <w:rsid w:val="00F7108B"/>
    <w:rsid w:val="00F71AE2"/>
    <w:rsid w:val="00F723AE"/>
    <w:rsid w:val="00F725CD"/>
    <w:rsid w:val="00F749C8"/>
    <w:rsid w:val="00F762BD"/>
    <w:rsid w:val="00F775DA"/>
    <w:rsid w:val="00F77959"/>
    <w:rsid w:val="00F77E45"/>
    <w:rsid w:val="00F81144"/>
    <w:rsid w:val="00F84BD6"/>
    <w:rsid w:val="00F85540"/>
    <w:rsid w:val="00F86959"/>
    <w:rsid w:val="00F86EEF"/>
    <w:rsid w:val="00F87812"/>
    <w:rsid w:val="00F90492"/>
    <w:rsid w:val="00F90DDC"/>
    <w:rsid w:val="00F916CA"/>
    <w:rsid w:val="00F91F3A"/>
    <w:rsid w:val="00F943C6"/>
    <w:rsid w:val="00F944D9"/>
    <w:rsid w:val="00F9532E"/>
    <w:rsid w:val="00F96512"/>
    <w:rsid w:val="00F967D7"/>
    <w:rsid w:val="00FA0415"/>
    <w:rsid w:val="00FA1F64"/>
    <w:rsid w:val="00FA33FF"/>
    <w:rsid w:val="00FA386C"/>
    <w:rsid w:val="00FA76D5"/>
    <w:rsid w:val="00FB027D"/>
    <w:rsid w:val="00FB3B27"/>
    <w:rsid w:val="00FB3C6F"/>
    <w:rsid w:val="00FB4441"/>
    <w:rsid w:val="00FC26CE"/>
    <w:rsid w:val="00FC3B5C"/>
    <w:rsid w:val="00FC4210"/>
    <w:rsid w:val="00FC4EC5"/>
    <w:rsid w:val="00FC550D"/>
    <w:rsid w:val="00FC5CDC"/>
    <w:rsid w:val="00FC6B7B"/>
    <w:rsid w:val="00FC7F78"/>
    <w:rsid w:val="00FD0B7C"/>
    <w:rsid w:val="00FD1DE3"/>
    <w:rsid w:val="00FD224E"/>
    <w:rsid w:val="00FD4E1D"/>
    <w:rsid w:val="00FD5020"/>
    <w:rsid w:val="00FD5E28"/>
    <w:rsid w:val="00FD73AB"/>
    <w:rsid w:val="00FD770E"/>
    <w:rsid w:val="00FE0F45"/>
    <w:rsid w:val="00FE28A4"/>
    <w:rsid w:val="00FE38DF"/>
    <w:rsid w:val="00FE63DD"/>
    <w:rsid w:val="00FF0098"/>
    <w:rsid w:val="00FF2915"/>
    <w:rsid w:val="00FF4632"/>
    <w:rsid w:val="00FF6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40779E"/>
  <w15:docId w15:val="{494B011A-F1BA-48B4-B861-256301F5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0A01"/>
    <w:pPr>
      <w:spacing w:after="16" w:line="248" w:lineRule="auto"/>
      <w:ind w:left="629" w:right="592" w:hanging="10"/>
    </w:pPr>
    <w:rPr>
      <w:rFonts w:ascii="Times New Roman" w:eastAsia="Times New Roman" w:hAnsi="Times New Roman" w:cs="Times New Roman"/>
      <w:color w:val="000000"/>
      <w:sz w:val="24"/>
    </w:rPr>
  </w:style>
  <w:style w:type="paragraph" w:styleId="Heading1">
    <w:name w:val="heading 1"/>
    <w:next w:val="Normal"/>
    <w:link w:val="Heading1Char"/>
    <w:unhideWhenUsed/>
    <w:qFormat/>
    <w:rsid w:val="00370A01"/>
    <w:pPr>
      <w:keepNext/>
      <w:keepLines/>
      <w:spacing w:after="24" w:line="249" w:lineRule="auto"/>
      <w:ind w:left="22" w:hanging="10"/>
      <w:jc w:val="center"/>
      <w:outlineLvl w:val="0"/>
    </w:pPr>
    <w:rPr>
      <w:rFonts w:ascii="Times New Roman" w:eastAsia="Times New Roman" w:hAnsi="Times New Roman" w:cs="Times New Roman"/>
      <w:b/>
      <w:color w:val="000000"/>
      <w:sz w:val="56"/>
    </w:rPr>
  </w:style>
  <w:style w:type="paragraph" w:styleId="Heading2">
    <w:name w:val="heading 2"/>
    <w:next w:val="Normal"/>
    <w:link w:val="Heading2Char"/>
    <w:unhideWhenUsed/>
    <w:qFormat/>
    <w:rsid w:val="00370A01"/>
    <w:pPr>
      <w:keepNext/>
      <w:keepLines/>
      <w:spacing w:after="91"/>
      <w:ind w:left="629" w:hanging="10"/>
      <w:outlineLvl w:val="1"/>
    </w:pPr>
    <w:rPr>
      <w:rFonts w:ascii="Times New Roman" w:eastAsia="Times New Roman" w:hAnsi="Times New Roman" w:cs="Times New Roman"/>
      <w:b/>
      <w:color w:val="000000"/>
      <w:sz w:val="36"/>
    </w:rPr>
  </w:style>
  <w:style w:type="paragraph" w:styleId="Heading3">
    <w:name w:val="heading 3"/>
    <w:next w:val="Normal"/>
    <w:link w:val="Heading3Char"/>
    <w:unhideWhenUsed/>
    <w:qFormat/>
    <w:rsid w:val="00370A01"/>
    <w:pPr>
      <w:keepNext/>
      <w:keepLines/>
      <w:spacing w:after="143"/>
      <w:ind w:left="370" w:hanging="10"/>
      <w:outlineLvl w:val="2"/>
    </w:pPr>
    <w:rPr>
      <w:rFonts w:ascii="Times New Roman" w:eastAsia="Times New Roman" w:hAnsi="Times New Roman" w:cs="Times New Roman"/>
      <w:b/>
      <w:color w:val="000000"/>
      <w:sz w:val="32"/>
    </w:rPr>
  </w:style>
  <w:style w:type="paragraph" w:styleId="Heading4">
    <w:name w:val="heading 4"/>
    <w:next w:val="Normal"/>
    <w:link w:val="Heading4Char"/>
    <w:unhideWhenUsed/>
    <w:qFormat/>
    <w:rsid w:val="00370A01"/>
    <w:pPr>
      <w:keepNext/>
      <w:keepLines/>
      <w:spacing w:after="216"/>
      <w:ind w:left="10" w:hanging="10"/>
      <w:outlineLvl w:val="3"/>
    </w:pPr>
    <w:rPr>
      <w:rFonts w:ascii="Times New Roman" w:eastAsia="Times New Roman" w:hAnsi="Times New Roman" w:cs="Times New Roman"/>
      <w:b/>
      <w:i/>
      <w:color w:val="000000"/>
      <w:sz w:val="24"/>
    </w:rPr>
  </w:style>
  <w:style w:type="paragraph" w:styleId="Heading5">
    <w:name w:val="heading 5"/>
    <w:basedOn w:val="Normal"/>
    <w:next w:val="Normal"/>
    <w:link w:val="Heading5Char"/>
    <w:qFormat/>
    <w:rsid w:val="00370A01"/>
    <w:pPr>
      <w:spacing w:after="0" w:line="240" w:lineRule="auto"/>
      <w:ind w:left="0" w:right="0" w:firstLine="0"/>
      <w:outlineLvl w:val="4"/>
    </w:pPr>
    <w:rPr>
      <w:b/>
      <w:color w:val="auto"/>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i/>
      <w:color w:val="000000"/>
      <w:sz w:val="24"/>
    </w:rPr>
  </w:style>
  <w:style w:type="character" w:customStyle="1" w:styleId="Heading3Char">
    <w:name w:val="Heading 3 Char"/>
    <w:link w:val="Heading3"/>
    <w:rPr>
      <w:rFonts w:ascii="Times New Roman" w:eastAsia="Times New Roman" w:hAnsi="Times New Roman" w:cs="Times New Roman"/>
      <w:b/>
      <w:color w:val="000000"/>
      <w:sz w:val="32"/>
    </w:rPr>
  </w:style>
  <w:style w:type="character" w:customStyle="1" w:styleId="Heading1Char">
    <w:name w:val="Heading 1 Char"/>
    <w:link w:val="Heading1"/>
    <w:rPr>
      <w:rFonts w:ascii="Times New Roman" w:eastAsia="Times New Roman" w:hAnsi="Times New Roman" w:cs="Times New Roman"/>
      <w:b/>
      <w:color w:val="000000"/>
      <w:sz w:val="56"/>
    </w:rPr>
  </w:style>
  <w:style w:type="paragraph" w:customStyle="1" w:styleId="footnotedescription">
    <w:name w:val="footnote description"/>
    <w:next w:val="Normal"/>
    <w:link w:val="footnotedescriptionChar"/>
    <w:hidden/>
    <w:pPr>
      <w:spacing w:after="8"/>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b/>
      <w:color w:val="000000"/>
      <w:sz w:val="36"/>
    </w:rPr>
  </w:style>
  <w:style w:type="character" w:styleId="LineNumber">
    <w:name w:val="line number"/>
    <w:hidden/>
    <w:uiPriority w:val="99"/>
    <w:rsid w:val="00370A01"/>
    <w:rPr>
      <w:rFonts w:ascii="Century Gothic" w:eastAsia="Century Gothic" w:hAnsi="Century Gothic" w:cs="Century Gothic"/>
      <w:color w:val="000000"/>
      <w:sz w:val="16"/>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character" w:styleId="Hyperlink">
    <w:name w:val="Hyperlink"/>
    <w:uiPriority w:val="99"/>
    <w:rsid w:val="00370A01"/>
    <w:rPr>
      <w:color w:val="0000FF"/>
      <w:u w:val="single"/>
    </w:rPr>
  </w:style>
  <w:style w:type="paragraph" w:styleId="TOCHeading">
    <w:name w:val="TOC Heading"/>
    <w:basedOn w:val="Heading1"/>
    <w:next w:val="Normal"/>
    <w:uiPriority w:val="39"/>
    <w:unhideWhenUsed/>
    <w:qFormat/>
    <w:rsid w:val="00E762C3"/>
    <w:pPr>
      <w:spacing w:before="240" w:after="0" w:line="259" w:lineRule="auto"/>
      <w:ind w:left="0" w:firstLine="0"/>
      <w:jc w:val="left"/>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FF2915"/>
    <w:pPr>
      <w:tabs>
        <w:tab w:val="right" w:leader="dot" w:pos="9350"/>
      </w:tabs>
      <w:spacing w:after="100"/>
      <w:ind w:left="0"/>
    </w:pPr>
  </w:style>
  <w:style w:type="paragraph" w:styleId="TOC2">
    <w:name w:val="toc 2"/>
    <w:basedOn w:val="Normal"/>
    <w:next w:val="Normal"/>
    <w:autoRedefine/>
    <w:uiPriority w:val="39"/>
    <w:unhideWhenUsed/>
    <w:rsid w:val="00F944D9"/>
    <w:pPr>
      <w:tabs>
        <w:tab w:val="left" w:pos="880"/>
        <w:tab w:val="right" w:leader="dot" w:pos="9350"/>
      </w:tabs>
      <w:spacing w:after="100"/>
      <w:ind w:left="240"/>
    </w:pPr>
  </w:style>
  <w:style w:type="paragraph" w:styleId="TOC3">
    <w:name w:val="toc 3"/>
    <w:basedOn w:val="Normal"/>
    <w:next w:val="Normal"/>
    <w:autoRedefine/>
    <w:uiPriority w:val="39"/>
    <w:unhideWhenUsed/>
    <w:rsid w:val="00E762C3"/>
    <w:pPr>
      <w:spacing w:after="100"/>
      <w:ind w:left="480"/>
    </w:pPr>
  </w:style>
  <w:style w:type="paragraph" w:customStyle="1" w:styleId="box">
    <w:name w:val="box"/>
    <w:basedOn w:val="BodyText"/>
    <w:rsid w:val="00370A01"/>
    <w:pPr>
      <w:pBdr>
        <w:top w:val="thinThickThinSmallGap" w:sz="24" w:space="1" w:color="auto"/>
        <w:left w:val="thinThickThinSmallGap" w:sz="24" w:space="4" w:color="auto"/>
        <w:bottom w:val="thinThickThinSmallGap" w:sz="24" w:space="1" w:color="auto"/>
        <w:right w:val="thinThickThinSmallGap" w:sz="24" w:space="4" w:color="auto"/>
      </w:pBdr>
      <w:spacing w:after="0" w:line="240" w:lineRule="auto"/>
      <w:ind w:left="0" w:right="0" w:firstLine="0"/>
    </w:pPr>
    <w:rPr>
      <w:sz w:val="22"/>
      <w:szCs w:val="24"/>
    </w:rPr>
  </w:style>
  <w:style w:type="paragraph" w:styleId="BodyText">
    <w:name w:val="Body Text"/>
    <w:basedOn w:val="Normal"/>
    <w:link w:val="BodyTextChar"/>
    <w:uiPriority w:val="99"/>
    <w:unhideWhenUsed/>
    <w:rsid w:val="006F75D4"/>
    <w:pPr>
      <w:spacing w:after="120"/>
    </w:pPr>
  </w:style>
  <w:style w:type="character" w:customStyle="1" w:styleId="BodyTextChar">
    <w:name w:val="Body Text Char"/>
    <w:basedOn w:val="DefaultParagraphFont"/>
    <w:link w:val="BodyText"/>
    <w:uiPriority w:val="99"/>
    <w:rsid w:val="006F75D4"/>
    <w:rPr>
      <w:rFonts w:ascii="Times New Roman" w:eastAsia="Times New Roman" w:hAnsi="Times New Roman" w:cs="Times New Roman"/>
      <w:color w:val="000000"/>
      <w:sz w:val="24"/>
    </w:rPr>
  </w:style>
  <w:style w:type="paragraph" w:styleId="FootnoteText">
    <w:name w:val="footnote text"/>
    <w:basedOn w:val="Normal"/>
    <w:link w:val="FootnoteTextChar"/>
    <w:unhideWhenUsed/>
    <w:rsid w:val="00370A01"/>
    <w:pPr>
      <w:spacing w:after="0" w:line="240" w:lineRule="auto"/>
      <w:ind w:left="0" w:right="0" w:firstLine="0"/>
    </w:pPr>
    <w:rPr>
      <w:color w:val="auto"/>
      <w:sz w:val="20"/>
      <w:szCs w:val="24"/>
    </w:rPr>
  </w:style>
  <w:style w:type="character" w:customStyle="1" w:styleId="FootnoteTextChar">
    <w:name w:val="Footnote Text Char"/>
    <w:basedOn w:val="DefaultParagraphFont"/>
    <w:link w:val="FootnoteText"/>
    <w:rsid w:val="008F5BF5"/>
    <w:rPr>
      <w:rFonts w:ascii="Times New Roman" w:eastAsia="Times New Roman" w:hAnsi="Times New Roman" w:cs="Times New Roman"/>
      <w:sz w:val="20"/>
      <w:szCs w:val="24"/>
    </w:rPr>
  </w:style>
  <w:style w:type="character" w:styleId="FootnoteReference">
    <w:name w:val="footnote reference"/>
    <w:basedOn w:val="DefaultParagraphFont"/>
    <w:unhideWhenUsed/>
    <w:rsid w:val="008F5BF5"/>
    <w:rPr>
      <w:vertAlign w:val="superscript"/>
    </w:rPr>
  </w:style>
  <w:style w:type="character" w:styleId="CommentReference">
    <w:name w:val="annotation reference"/>
    <w:basedOn w:val="DefaultParagraphFont"/>
    <w:uiPriority w:val="99"/>
    <w:unhideWhenUsed/>
    <w:rsid w:val="001343EB"/>
    <w:rPr>
      <w:sz w:val="16"/>
      <w:szCs w:val="16"/>
    </w:rPr>
  </w:style>
  <w:style w:type="paragraph" w:styleId="CommentText">
    <w:name w:val="annotation text"/>
    <w:basedOn w:val="Normal"/>
    <w:link w:val="CommentTextChar"/>
    <w:uiPriority w:val="99"/>
    <w:unhideWhenUsed/>
    <w:rsid w:val="001343EB"/>
    <w:pPr>
      <w:spacing w:line="240" w:lineRule="auto"/>
    </w:pPr>
    <w:rPr>
      <w:sz w:val="20"/>
      <w:szCs w:val="20"/>
    </w:rPr>
  </w:style>
  <w:style w:type="character" w:customStyle="1" w:styleId="CommentTextChar">
    <w:name w:val="Comment Text Char"/>
    <w:basedOn w:val="DefaultParagraphFont"/>
    <w:link w:val="CommentText"/>
    <w:uiPriority w:val="99"/>
    <w:rsid w:val="001343E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343EB"/>
    <w:rPr>
      <w:b/>
      <w:bCs/>
    </w:rPr>
  </w:style>
  <w:style w:type="character" w:customStyle="1" w:styleId="CommentSubjectChar">
    <w:name w:val="Comment Subject Char"/>
    <w:basedOn w:val="CommentTextChar"/>
    <w:link w:val="CommentSubject"/>
    <w:uiPriority w:val="99"/>
    <w:semiHidden/>
    <w:rsid w:val="001343EB"/>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370A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3EB"/>
    <w:rPr>
      <w:rFonts w:ascii="Segoe UI" w:eastAsia="Times New Roman" w:hAnsi="Segoe UI" w:cs="Segoe UI"/>
      <w:color w:val="000000"/>
      <w:sz w:val="18"/>
      <w:szCs w:val="18"/>
    </w:rPr>
  </w:style>
  <w:style w:type="character" w:customStyle="1" w:styleId="UnresolvedMention1">
    <w:name w:val="Unresolved Mention1"/>
    <w:basedOn w:val="DefaultParagraphFont"/>
    <w:uiPriority w:val="99"/>
    <w:semiHidden/>
    <w:unhideWhenUsed/>
    <w:rsid w:val="00370A01"/>
    <w:rPr>
      <w:color w:val="808080"/>
      <w:shd w:val="clear" w:color="auto" w:fill="E6E6E6"/>
    </w:rPr>
  </w:style>
  <w:style w:type="paragraph" w:styleId="EndnoteText">
    <w:name w:val="endnote text"/>
    <w:basedOn w:val="Normal"/>
    <w:link w:val="EndnoteTextChar"/>
    <w:uiPriority w:val="99"/>
    <w:semiHidden/>
    <w:unhideWhenUsed/>
    <w:rsid w:val="00F602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602BA"/>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F602BA"/>
    <w:rPr>
      <w:vertAlign w:val="superscript"/>
    </w:rPr>
  </w:style>
  <w:style w:type="character" w:styleId="FollowedHyperlink">
    <w:name w:val="FollowedHyperlink"/>
    <w:basedOn w:val="DefaultParagraphFont"/>
    <w:uiPriority w:val="99"/>
    <w:semiHidden/>
    <w:unhideWhenUsed/>
    <w:rsid w:val="003D2018"/>
    <w:rPr>
      <w:color w:val="954F72" w:themeColor="followedHyperlink"/>
      <w:u w:val="single"/>
    </w:rPr>
  </w:style>
  <w:style w:type="paragraph" w:styleId="Revision">
    <w:name w:val="Revision"/>
    <w:hidden/>
    <w:uiPriority w:val="99"/>
    <w:semiHidden/>
    <w:rsid w:val="008827FD"/>
    <w:pPr>
      <w:spacing w:after="0" w:line="240" w:lineRule="auto"/>
    </w:pPr>
    <w:rPr>
      <w:rFonts w:ascii="Times New Roman" w:eastAsia="Times New Roman" w:hAnsi="Times New Roman" w:cs="Times New Roman"/>
      <w:color w:val="000000"/>
      <w:sz w:val="24"/>
    </w:rPr>
  </w:style>
  <w:style w:type="character" w:customStyle="1" w:styleId="Heading5Char">
    <w:name w:val="Heading 5 Char"/>
    <w:basedOn w:val="DefaultParagraphFont"/>
    <w:link w:val="Heading5"/>
    <w:rsid w:val="00370A01"/>
    <w:rPr>
      <w:rFonts w:ascii="Times New Roman" w:eastAsia="Times New Roman" w:hAnsi="Times New Roman" w:cs="Times New Roman"/>
      <w:b/>
      <w:sz w:val="36"/>
      <w:szCs w:val="24"/>
    </w:rPr>
  </w:style>
  <w:style w:type="paragraph" w:styleId="Header">
    <w:name w:val="header"/>
    <w:basedOn w:val="Normal"/>
    <w:link w:val="HeaderChar"/>
    <w:unhideWhenUsed/>
    <w:rsid w:val="00370A01"/>
    <w:pPr>
      <w:tabs>
        <w:tab w:val="center" w:pos="4680"/>
        <w:tab w:val="right" w:pos="9360"/>
      </w:tabs>
      <w:spacing w:after="0" w:line="240" w:lineRule="auto"/>
      <w:ind w:left="0" w:right="0" w:firstLine="0"/>
    </w:pPr>
    <w:rPr>
      <w:color w:val="auto"/>
      <w:szCs w:val="24"/>
    </w:rPr>
  </w:style>
  <w:style w:type="character" w:customStyle="1" w:styleId="HeaderChar">
    <w:name w:val="Header Char"/>
    <w:basedOn w:val="DefaultParagraphFont"/>
    <w:link w:val="Header"/>
    <w:uiPriority w:val="99"/>
    <w:rsid w:val="00370A0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0A01"/>
    <w:pPr>
      <w:tabs>
        <w:tab w:val="center" w:pos="4680"/>
        <w:tab w:val="right" w:pos="9360"/>
      </w:tabs>
      <w:spacing w:after="0" w:line="240" w:lineRule="auto"/>
      <w:ind w:left="0" w:right="0" w:firstLine="0"/>
    </w:pPr>
    <w:rPr>
      <w:color w:val="auto"/>
      <w:szCs w:val="24"/>
    </w:rPr>
  </w:style>
  <w:style w:type="character" w:customStyle="1" w:styleId="FooterChar">
    <w:name w:val="Footer Char"/>
    <w:basedOn w:val="DefaultParagraphFont"/>
    <w:link w:val="Footer"/>
    <w:uiPriority w:val="99"/>
    <w:rsid w:val="00370A01"/>
    <w:rPr>
      <w:rFonts w:ascii="Times New Roman" w:eastAsia="Times New Roman" w:hAnsi="Times New Roman" w:cs="Times New Roman"/>
      <w:sz w:val="24"/>
      <w:szCs w:val="24"/>
    </w:rPr>
  </w:style>
  <w:style w:type="paragraph" w:customStyle="1" w:styleId="SOPBodyText">
    <w:name w:val="SOP Body Text"/>
    <w:qFormat/>
    <w:rsid w:val="00370A01"/>
    <w:pPr>
      <w:spacing w:after="120" w:line="240" w:lineRule="auto"/>
    </w:pPr>
    <w:rPr>
      <w:rFonts w:ascii="Calibri" w:eastAsia="Times New Roman" w:hAnsi="Calibri" w:cs="Times New Roman"/>
      <w:sz w:val="24"/>
    </w:rPr>
  </w:style>
  <w:style w:type="table" w:styleId="TableGrid">
    <w:name w:val="Table Grid"/>
    <w:aliases w:val="CDRH SOP Table Style"/>
    <w:basedOn w:val="TableNormal"/>
    <w:rsid w:val="00370A01"/>
    <w:pPr>
      <w:spacing w:after="0" w:line="240" w:lineRule="auto"/>
    </w:pPr>
    <w:rPr>
      <w:rFonts w:ascii="Calibri" w:eastAsia="Times New Roman" w:hAnsi="Calibri" w:cs="Times New Roman"/>
      <w:sz w:val="20"/>
      <w:szCs w:val="20"/>
    </w:rPr>
    <w:tblPr>
      <w:tblStyleRowBandSize w:val="1"/>
      <w:tblInd w:w="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rPr>
      <w:cantSplit/>
      <w:tblHeader/>
    </w:trPr>
    <w:tcPr>
      <w:shd w:val="clear" w:color="auto" w:fill="FFFFFF" w:themeFill="background1"/>
    </w:tcPr>
    <w:tblStylePr w:type="firstRow">
      <w:tblPr/>
      <w:tcPr>
        <w:shd w:val="clear" w:color="auto" w:fill="FFFFFF" w:themeFill="background1"/>
      </w:tcPr>
    </w:tblStylePr>
  </w:style>
  <w:style w:type="paragraph" w:customStyle="1" w:styleId="Table-Body">
    <w:name w:val="Table - Body"/>
    <w:basedOn w:val="SOPBodyText"/>
    <w:link w:val="Table-BodyChar"/>
    <w:uiPriority w:val="5"/>
    <w:qFormat/>
    <w:rsid w:val="00370A01"/>
    <w:pPr>
      <w:spacing w:before="40" w:after="40"/>
    </w:pPr>
    <w:rPr>
      <w:rFonts w:asciiTheme="minorHAnsi" w:hAnsiTheme="minorHAnsi"/>
      <w:color w:val="000000"/>
      <w:sz w:val="20"/>
      <w:szCs w:val="20"/>
    </w:rPr>
  </w:style>
  <w:style w:type="paragraph" w:customStyle="1" w:styleId="Table-Header">
    <w:name w:val="Table - Header"/>
    <w:basedOn w:val="SOPBodyText"/>
    <w:link w:val="Table-HeaderChar"/>
    <w:uiPriority w:val="5"/>
    <w:qFormat/>
    <w:rsid w:val="00370A01"/>
    <w:pPr>
      <w:autoSpaceDE w:val="0"/>
      <w:autoSpaceDN w:val="0"/>
      <w:adjustRightInd w:val="0"/>
      <w:spacing w:after="0"/>
    </w:pPr>
    <w:rPr>
      <w:b/>
      <w:color w:val="000000"/>
      <w:szCs w:val="24"/>
    </w:rPr>
  </w:style>
  <w:style w:type="character" w:customStyle="1" w:styleId="Table-BodyChar">
    <w:name w:val="Table - Body Char"/>
    <w:basedOn w:val="DefaultParagraphFont"/>
    <w:link w:val="Table-Body"/>
    <w:uiPriority w:val="5"/>
    <w:rsid w:val="00370A01"/>
    <w:rPr>
      <w:rFonts w:eastAsia="Times New Roman" w:cs="Times New Roman"/>
      <w:color w:val="000000"/>
      <w:sz w:val="20"/>
      <w:szCs w:val="20"/>
    </w:rPr>
  </w:style>
  <w:style w:type="character" w:customStyle="1" w:styleId="Table-HeaderChar">
    <w:name w:val="Table - Header Char"/>
    <w:basedOn w:val="DefaultParagraphFont"/>
    <w:link w:val="Table-Header"/>
    <w:uiPriority w:val="5"/>
    <w:rsid w:val="00370A01"/>
    <w:rPr>
      <w:rFonts w:ascii="Calibri" w:eastAsia="Times New Roman" w:hAnsi="Calibri" w:cs="Times New Roman"/>
      <w:b/>
      <w:color w:val="000000"/>
      <w:sz w:val="24"/>
      <w:szCs w:val="24"/>
    </w:rPr>
  </w:style>
  <w:style w:type="paragraph" w:customStyle="1" w:styleId="ChangeControlTableChangeHistoryHeading">
    <w:name w:val="Change Control Table / Change History Heading"/>
    <w:basedOn w:val="SOPBodyText"/>
    <w:uiPriority w:val="98"/>
    <w:qFormat/>
    <w:rsid w:val="00370A01"/>
    <w:pPr>
      <w:spacing w:before="180" w:after="240"/>
    </w:pPr>
    <w:rPr>
      <w:b/>
      <w:sz w:val="28"/>
    </w:rPr>
  </w:style>
  <w:style w:type="character" w:styleId="Emphasis">
    <w:name w:val="Emphasis"/>
    <w:basedOn w:val="DefaultParagraphFont"/>
    <w:uiPriority w:val="20"/>
    <w:unhideWhenUsed/>
    <w:qFormat/>
    <w:rsid w:val="00370A01"/>
    <w:rPr>
      <w:i/>
      <w:iCs/>
    </w:rPr>
  </w:style>
  <w:style w:type="character" w:styleId="Strong">
    <w:name w:val="Strong"/>
    <w:basedOn w:val="DefaultParagraphFont"/>
    <w:uiPriority w:val="22"/>
    <w:qFormat/>
    <w:rsid w:val="00370A01"/>
    <w:rPr>
      <w:b/>
      <w:bCs/>
      <w:sz w:val="24"/>
    </w:rPr>
  </w:style>
  <w:style w:type="paragraph" w:styleId="ListParagraph">
    <w:name w:val="List Paragraph"/>
    <w:basedOn w:val="Normal"/>
    <w:uiPriority w:val="34"/>
    <w:qFormat/>
    <w:rsid w:val="00370A01"/>
    <w:pPr>
      <w:spacing w:after="0" w:line="240" w:lineRule="auto"/>
      <w:ind w:left="720" w:right="0" w:firstLine="0"/>
      <w:contextualSpacing/>
    </w:pPr>
    <w:rPr>
      <w:color w:val="auto"/>
      <w:szCs w:val="24"/>
    </w:rPr>
  </w:style>
  <w:style w:type="paragraph" w:customStyle="1" w:styleId="Bullet1">
    <w:name w:val="Bullet 1"/>
    <w:basedOn w:val="ListParagraph"/>
    <w:qFormat/>
    <w:rsid w:val="00370A01"/>
    <w:pPr>
      <w:numPr>
        <w:numId w:val="14"/>
      </w:numPr>
    </w:pPr>
  </w:style>
  <w:style w:type="paragraph" w:customStyle="1" w:styleId="Bullet2">
    <w:name w:val="Bullet 2"/>
    <w:basedOn w:val="ListParagraph"/>
    <w:qFormat/>
    <w:rsid w:val="00370A01"/>
    <w:pPr>
      <w:numPr>
        <w:ilvl w:val="1"/>
        <w:numId w:val="15"/>
      </w:numPr>
    </w:pPr>
  </w:style>
  <w:style w:type="table" w:customStyle="1" w:styleId="CDRHSOPTableStyle1">
    <w:name w:val="CDRH SOP Table Style1"/>
    <w:basedOn w:val="TableNormal"/>
    <w:next w:val="TableGrid"/>
    <w:rsid w:val="00370A01"/>
    <w:pPr>
      <w:spacing w:after="0" w:line="240" w:lineRule="auto"/>
    </w:pPr>
    <w:rPr>
      <w:rFonts w:ascii="Calibri" w:eastAsia="Times New Roman" w:hAnsi="Calibri" w:cs="Times New Roman"/>
      <w:sz w:val="20"/>
      <w:szCs w:val="20"/>
    </w:rPr>
    <w:tblPr>
      <w:tblStyleRowBandSize w:val="1"/>
      <w:tblInd w:w="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rPr>
      <w:cantSplit/>
      <w:tblHeader/>
    </w:trPr>
    <w:tcPr>
      <w:shd w:val="clear" w:color="auto" w:fill="FFFFFF" w:themeFill="background1"/>
    </w:tcPr>
    <w:tblStylePr w:type="firstRow">
      <w:tblPr/>
      <w:tcPr>
        <w:shd w:val="clear" w:color="auto" w:fill="FFFFFF" w:themeFill="background1"/>
      </w:tcPr>
    </w:tblStylePr>
  </w:style>
  <w:style w:type="paragraph" w:customStyle="1" w:styleId="Default">
    <w:name w:val="Default"/>
    <w:rsid w:val="008B288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peau">
    <w:name w:val="chapeau"/>
    <w:basedOn w:val="DefaultParagraphFont"/>
    <w:rsid w:val="00F17262"/>
  </w:style>
  <w:style w:type="character" w:customStyle="1" w:styleId="num2">
    <w:name w:val="num2"/>
    <w:basedOn w:val="DefaultParagraphFont"/>
    <w:rsid w:val="00F17262"/>
    <w:rPr>
      <w:b/>
      <w:bCs/>
    </w:rPr>
  </w:style>
  <w:style w:type="character" w:styleId="UnresolvedMention">
    <w:name w:val="Unresolved Mention"/>
    <w:basedOn w:val="DefaultParagraphFont"/>
    <w:uiPriority w:val="99"/>
    <w:semiHidden/>
    <w:unhideWhenUsed/>
    <w:rsid w:val="008B37B6"/>
    <w:rPr>
      <w:color w:val="605E5C"/>
      <w:shd w:val="clear" w:color="auto" w:fill="E1DFDD"/>
    </w:rPr>
  </w:style>
  <w:style w:type="character" w:styleId="PageNumber">
    <w:name w:val="page number"/>
    <w:basedOn w:val="DefaultParagraphFont"/>
  </w:style>
  <w:style w:type="character" w:customStyle="1" w:styleId="highlight">
    <w:name w:val="highlight"/>
    <w:basedOn w:val="DefaultParagraphFont"/>
    <w:rsid w:val="00BD3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519252">
      <w:bodyDiv w:val="1"/>
      <w:marLeft w:val="0"/>
      <w:marRight w:val="0"/>
      <w:marTop w:val="0"/>
      <w:marBottom w:val="0"/>
      <w:divBdr>
        <w:top w:val="none" w:sz="0" w:space="0" w:color="auto"/>
        <w:left w:val="none" w:sz="0" w:space="0" w:color="auto"/>
        <w:bottom w:val="none" w:sz="0" w:space="0" w:color="auto"/>
        <w:right w:val="none" w:sz="0" w:space="0" w:color="auto"/>
      </w:divBdr>
    </w:div>
    <w:div w:id="657415878">
      <w:bodyDiv w:val="1"/>
      <w:marLeft w:val="0"/>
      <w:marRight w:val="0"/>
      <w:marTop w:val="0"/>
      <w:marBottom w:val="0"/>
      <w:divBdr>
        <w:top w:val="none" w:sz="0" w:space="0" w:color="auto"/>
        <w:left w:val="none" w:sz="0" w:space="0" w:color="auto"/>
        <w:bottom w:val="none" w:sz="0" w:space="0" w:color="auto"/>
        <w:right w:val="none" w:sz="0" w:space="0" w:color="auto"/>
      </w:divBdr>
    </w:div>
    <w:div w:id="735712374">
      <w:bodyDiv w:val="1"/>
      <w:marLeft w:val="0"/>
      <w:marRight w:val="0"/>
      <w:marTop w:val="0"/>
      <w:marBottom w:val="0"/>
      <w:divBdr>
        <w:top w:val="none" w:sz="0" w:space="0" w:color="auto"/>
        <w:left w:val="none" w:sz="0" w:space="0" w:color="auto"/>
        <w:bottom w:val="none" w:sz="0" w:space="0" w:color="auto"/>
        <w:right w:val="none" w:sz="0" w:space="0" w:color="auto"/>
      </w:divBdr>
      <w:divsChild>
        <w:div w:id="1536044543">
          <w:marLeft w:val="0"/>
          <w:marRight w:val="0"/>
          <w:marTop w:val="2460"/>
          <w:marBottom w:val="0"/>
          <w:divBdr>
            <w:top w:val="none" w:sz="0" w:space="0" w:color="auto"/>
            <w:left w:val="none" w:sz="0" w:space="0" w:color="auto"/>
            <w:bottom w:val="none" w:sz="0" w:space="0" w:color="auto"/>
            <w:right w:val="none" w:sz="0" w:space="0" w:color="auto"/>
          </w:divBdr>
          <w:divsChild>
            <w:div w:id="1701978914">
              <w:marLeft w:val="0"/>
              <w:marRight w:val="0"/>
              <w:marTop w:val="0"/>
              <w:marBottom w:val="0"/>
              <w:divBdr>
                <w:top w:val="none" w:sz="0" w:space="0" w:color="auto"/>
                <w:left w:val="none" w:sz="0" w:space="0" w:color="auto"/>
                <w:bottom w:val="none" w:sz="0" w:space="0" w:color="auto"/>
                <w:right w:val="none" w:sz="0" w:space="0" w:color="auto"/>
              </w:divBdr>
              <w:divsChild>
                <w:div w:id="1529025460">
                  <w:marLeft w:val="0"/>
                  <w:marRight w:val="0"/>
                  <w:marTop w:val="0"/>
                  <w:marBottom w:val="0"/>
                  <w:divBdr>
                    <w:top w:val="none" w:sz="0" w:space="0" w:color="auto"/>
                    <w:left w:val="none" w:sz="0" w:space="0" w:color="auto"/>
                    <w:bottom w:val="none" w:sz="0" w:space="0" w:color="auto"/>
                    <w:right w:val="none" w:sz="0" w:space="0" w:color="auto"/>
                  </w:divBdr>
                  <w:divsChild>
                    <w:div w:id="774060152">
                      <w:marLeft w:val="0"/>
                      <w:marRight w:val="0"/>
                      <w:marTop w:val="0"/>
                      <w:marBottom w:val="0"/>
                      <w:divBdr>
                        <w:top w:val="none" w:sz="0" w:space="0" w:color="auto"/>
                        <w:left w:val="none" w:sz="0" w:space="0" w:color="auto"/>
                        <w:bottom w:val="none" w:sz="0" w:space="0" w:color="auto"/>
                        <w:right w:val="none" w:sz="0" w:space="0" w:color="auto"/>
                      </w:divBdr>
                      <w:divsChild>
                        <w:div w:id="572853360">
                          <w:marLeft w:val="-225"/>
                          <w:marRight w:val="-225"/>
                          <w:marTop w:val="0"/>
                          <w:marBottom w:val="0"/>
                          <w:divBdr>
                            <w:top w:val="none" w:sz="0" w:space="0" w:color="auto"/>
                            <w:left w:val="none" w:sz="0" w:space="0" w:color="auto"/>
                            <w:bottom w:val="none" w:sz="0" w:space="0" w:color="auto"/>
                            <w:right w:val="none" w:sz="0" w:space="0" w:color="auto"/>
                          </w:divBdr>
                          <w:divsChild>
                            <w:div w:id="1304458135">
                              <w:marLeft w:val="0"/>
                              <w:marRight w:val="0"/>
                              <w:marTop w:val="0"/>
                              <w:marBottom w:val="0"/>
                              <w:divBdr>
                                <w:top w:val="single" w:sz="6" w:space="8" w:color="EEEEEE"/>
                                <w:left w:val="single" w:sz="6" w:space="8" w:color="EEEEEE"/>
                                <w:bottom w:val="single" w:sz="6" w:space="8" w:color="EEEEEE"/>
                                <w:right w:val="single" w:sz="6" w:space="8" w:color="EEEEEE"/>
                              </w:divBdr>
                              <w:divsChild>
                                <w:div w:id="1822768268">
                                  <w:marLeft w:val="0"/>
                                  <w:marRight w:val="0"/>
                                  <w:marTop w:val="0"/>
                                  <w:marBottom w:val="0"/>
                                  <w:divBdr>
                                    <w:top w:val="none" w:sz="0" w:space="0" w:color="auto"/>
                                    <w:left w:val="none" w:sz="0" w:space="0" w:color="auto"/>
                                    <w:bottom w:val="none" w:sz="0" w:space="0" w:color="auto"/>
                                    <w:right w:val="none" w:sz="0" w:space="0" w:color="auto"/>
                                  </w:divBdr>
                                  <w:divsChild>
                                    <w:div w:id="1088388401">
                                      <w:marLeft w:val="0"/>
                                      <w:marRight w:val="0"/>
                                      <w:marTop w:val="0"/>
                                      <w:marBottom w:val="0"/>
                                      <w:divBdr>
                                        <w:top w:val="none" w:sz="0" w:space="0" w:color="auto"/>
                                        <w:left w:val="none" w:sz="0" w:space="0" w:color="auto"/>
                                        <w:bottom w:val="none" w:sz="0" w:space="0" w:color="auto"/>
                                        <w:right w:val="none" w:sz="0" w:space="0" w:color="auto"/>
                                      </w:divBdr>
                                      <w:divsChild>
                                        <w:div w:id="190461113">
                                          <w:marLeft w:val="0"/>
                                          <w:marRight w:val="0"/>
                                          <w:marTop w:val="0"/>
                                          <w:marBottom w:val="0"/>
                                          <w:divBdr>
                                            <w:top w:val="none" w:sz="0" w:space="0" w:color="auto"/>
                                            <w:left w:val="none" w:sz="0" w:space="0" w:color="auto"/>
                                            <w:bottom w:val="none" w:sz="0" w:space="0" w:color="auto"/>
                                            <w:right w:val="none" w:sz="0" w:space="0" w:color="auto"/>
                                          </w:divBdr>
                                          <w:divsChild>
                                            <w:div w:id="979917937">
                                              <w:marLeft w:val="0"/>
                                              <w:marRight w:val="0"/>
                                              <w:marTop w:val="0"/>
                                              <w:marBottom w:val="0"/>
                                              <w:divBdr>
                                                <w:top w:val="none" w:sz="0" w:space="0" w:color="auto"/>
                                                <w:left w:val="none" w:sz="0" w:space="0" w:color="auto"/>
                                                <w:bottom w:val="none" w:sz="0" w:space="0" w:color="auto"/>
                                                <w:right w:val="none" w:sz="0" w:space="0" w:color="auto"/>
                                              </w:divBdr>
                                              <w:divsChild>
                                                <w:div w:id="1006521367">
                                                  <w:marLeft w:val="0"/>
                                                  <w:marRight w:val="0"/>
                                                  <w:marTop w:val="240"/>
                                                  <w:marBottom w:val="60"/>
                                                  <w:divBdr>
                                                    <w:top w:val="none" w:sz="0" w:space="0" w:color="auto"/>
                                                    <w:left w:val="none" w:sz="0" w:space="0" w:color="auto"/>
                                                    <w:bottom w:val="none" w:sz="0" w:space="0" w:color="auto"/>
                                                    <w:right w:val="none" w:sz="0" w:space="0" w:color="auto"/>
                                                  </w:divBdr>
                                                  <w:divsChild>
                                                    <w:div w:id="325089470">
                                                      <w:marLeft w:val="240"/>
                                                      <w:marRight w:val="0"/>
                                                      <w:marTop w:val="60"/>
                                                      <w:marBottom w:val="60"/>
                                                      <w:divBdr>
                                                        <w:top w:val="none" w:sz="0" w:space="0" w:color="auto"/>
                                                        <w:left w:val="none" w:sz="0" w:space="0" w:color="auto"/>
                                                        <w:bottom w:val="none" w:sz="0" w:space="0" w:color="auto"/>
                                                        <w:right w:val="none" w:sz="0" w:space="0" w:color="auto"/>
                                                      </w:divBdr>
                                                      <w:divsChild>
                                                        <w:div w:id="906962593">
                                                          <w:marLeft w:val="240"/>
                                                          <w:marRight w:val="0"/>
                                                          <w:marTop w:val="60"/>
                                                          <w:marBottom w:val="60"/>
                                                          <w:divBdr>
                                                            <w:top w:val="none" w:sz="0" w:space="0" w:color="auto"/>
                                                            <w:left w:val="none" w:sz="0" w:space="0" w:color="auto"/>
                                                            <w:bottom w:val="none" w:sz="0" w:space="0" w:color="auto"/>
                                                            <w:right w:val="none" w:sz="0" w:space="0" w:color="auto"/>
                                                          </w:divBdr>
                                                          <w:divsChild>
                                                            <w:div w:id="1897548773">
                                                              <w:marLeft w:val="240"/>
                                                              <w:marRight w:val="0"/>
                                                              <w:marTop w:val="60"/>
                                                              <w:marBottom w:val="60"/>
                                                              <w:divBdr>
                                                                <w:top w:val="none" w:sz="0" w:space="0" w:color="auto"/>
                                                                <w:left w:val="none" w:sz="0" w:space="0" w:color="auto"/>
                                                                <w:bottom w:val="none" w:sz="0" w:space="0" w:color="auto"/>
                                                                <w:right w:val="none" w:sz="0" w:space="0" w:color="auto"/>
                                                              </w:divBdr>
                                                              <w:divsChild>
                                                                <w:div w:id="196157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76218368">
      <w:bodyDiv w:val="1"/>
      <w:marLeft w:val="0"/>
      <w:marRight w:val="0"/>
      <w:marTop w:val="0"/>
      <w:marBottom w:val="0"/>
      <w:divBdr>
        <w:top w:val="none" w:sz="0" w:space="0" w:color="auto"/>
        <w:left w:val="none" w:sz="0" w:space="0" w:color="auto"/>
        <w:bottom w:val="none" w:sz="0" w:space="0" w:color="auto"/>
        <w:right w:val="none" w:sz="0" w:space="0" w:color="auto"/>
      </w:divBdr>
    </w:div>
    <w:div w:id="919370447">
      <w:bodyDiv w:val="1"/>
      <w:marLeft w:val="0"/>
      <w:marRight w:val="0"/>
      <w:marTop w:val="0"/>
      <w:marBottom w:val="0"/>
      <w:divBdr>
        <w:top w:val="none" w:sz="0" w:space="0" w:color="auto"/>
        <w:left w:val="none" w:sz="0" w:space="0" w:color="auto"/>
        <w:bottom w:val="none" w:sz="0" w:space="0" w:color="auto"/>
        <w:right w:val="none" w:sz="0" w:space="0" w:color="auto"/>
      </w:divBdr>
      <w:divsChild>
        <w:div w:id="847211772">
          <w:marLeft w:val="0"/>
          <w:marRight w:val="0"/>
          <w:marTop w:val="2460"/>
          <w:marBottom w:val="0"/>
          <w:divBdr>
            <w:top w:val="none" w:sz="0" w:space="0" w:color="auto"/>
            <w:left w:val="none" w:sz="0" w:space="0" w:color="auto"/>
            <w:bottom w:val="none" w:sz="0" w:space="0" w:color="auto"/>
            <w:right w:val="none" w:sz="0" w:space="0" w:color="auto"/>
          </w:divBdr>
          <w:divsChild>
            <w:div w:id="1184830814">
              <w:marLeft w:val="0"/>
              <w:marRight w:val="0"/>
              <w:marTop w:val="0"/>
              <w:marBottom w:val="0"/>
              <w:divBdr>
                <w:top w:val="none" w:sz="0" w:space="0" w:color="auto"/>
                <w:left w:val="none" w:sz="0" w:space="0" w:color="auto"/>
                <w:bottom w:val="none" w:sz="0" w:space="0" w:color="auto"/>
                <w:right w:val="none" w:sz="0" w:space="0" w:color="auto"/>
              </w:divBdr>
              <w:divsChild>
                <w:div w:id="1410498467">
                  <w:marLeft w:val="0"/>
                  <w:marRight w:val="0"/>
                  <w:marTop w:val="0"/>
                  <w:marBottom w:val="0"/>
                  <w:divBdr>
                    <w:top w:val="none" w:sz="0" w:space="0" w:color="auto"/>
                    <w:left w:val="none" w:sz="0" w:space="0" w:color="auto"/>
                    <w:bottom w:val="none" w:sz="0" w:space="0" w:color="auto"/>
                    <w:right w:val="none" w:sz="0" w:space="0" w:color="auto"/>
                  </w:divBdr>
                  <w:divsChild>
                    <w:div w:id="1817455791">
                      <w:marLeft w:val="0"/>
                      <w:marRight w:val="0"/>
                      <w:marTop w:val="0"/>
                      <w:marBottom w:val="0"/>
                      <w:divBdr>
                        <w:top w:val="none" w:sz="0" w:space="0" w:color="auto"/>
                        <w:left w:val="none" w:sz="0" w:space="0" w:color="auto"/>
                        <w:bottom w:val="none" w:sz="0" w:space="0" w:color="auto"/>
                        <w:right w:val="none" w:sz="0" w:space="0" w:color="auto"/>
                      </w:divBdr>
                      <w:divsChild>
                        <w:div w:id="1904097480">
                          <w:marLeft w:val="-225"/>
                          <w:marRight w:val="-225"/>
                          <w:marTop w:val="0"/>
                          <w:marBottom w:val="0"/>
                          <w:divBdr>
                            <w:top w:val="none" w:sz="0" w:space="0" w:color="auto"/>
                            <w:left w:val="none" w:sz="0" w:space="0" w:color="auto"/>
                            <w:bottom w:val="none" w:sz="0" w:space="0" w:color="auto"/>
                            <w:right w:val="none" w:sz="0" w:space="0" w:color="auto"/>
                          </w:divBdr>
                          <w:divsChild>
                            <w:div w:id="859465178">
                              <w:marLeft w:val="0"/>
                              <w:marRight w:val="0"/>
                              <w:marTop w:val="0"/>
                              <w:marBottom w:val="0"/>
                              <w:divBdr>
                                <w:top w:val="single" w:sz="6" w:space="8" w:color="EEEEEE"/>
                                <w:left w:val="single" w:sz="6" w:space="8" w:color="EEEEEE"/>
                                <w:bottom w:val="single" w:sz="6" w:space="8" w:color="EEEEEE"/>
                                <w:right w:val="single" w:sz="6" w:space="8" w:color="EEEEEE"/>
                              </w:divBdr>
                              <w:divsChild>
                                <w:div w:id="1679186535">
                                  <w:marLeft w:val="0"/>
                                  <w:marRight w:val="0"/>
                                  <w:marTop w:val="0"/>
                                  <w:marBottom w:val="0"/>
                                  <w:divBdr>
                                    <w:top w:val="none" w:sz="0" w:space="0" w:color="auto"/>
                                    <w:left w:val="none" w:sz="0" w:space="0" w:color="auto"/>
                                    <w:bottom w:val="none" w:sz="0" w:space="0" w:color="auto"/>
                                    <w:right w:val="none" w:sz="0" w:space="0" w:color="auto"/>
                                  </w:divBdr>
                                  <w:divsChild>
                                    <w:div w:id="582107513">
                                      <w:marLeft w:val="0"/>
                                      <w:marRight w:val="0"/>
                                      <w:marTop w:val="0"/>
                                      <w:marBottom w:val="0"/>
                                      <w:divBdr>
                                        <w:top w:val="none" w:sz="0" w:space="0" w:color="auto"/>
                                        <w:left w:val="none" w:sz="0" w:space="0" w:color="auto"/>
                                        <w:bottom w:val="none" w:sz="0" w:space="0" w:color="auto"/>
                                        <w:right w:val="none" w:sz="0" w:space="0" w:color="auto"/>
                                      </w:divBdr>
                                      <w:divsChild>
                                        <w:div w:id="414403390">
                                          <w:marLeft w:val="0"/>
                                          <w:marRight w:val="0"/>
                                          <w:marTop w:val="0"/>
                                          <w:marBottom w:val="0"/>
                                          <w:divBdr>
                                            <w:top w:val="none" w:sz="0" w:space="0" w:color="auto"/>
                                            <w:left w:val="none" w:sz="0" w:space="0" w:color="auto"/>
                                            <w:bottom w:val="none" w:sz="0" w:space="0" w:color="auto"/>
                                            <w:right w:val="none" w:sz="0" w:space="0" w:color="auto"/>
                                          </w:divBdr>
                                          <w:divsChild>
                                            <w:div w:id="812601720">
                                              <w:marLeft w:val="0"/>
                                              <w:marRight w:val="0"/>
                                              <w:marTop w:val="0"/>
                                              <w:marBottom w:val="0"/>
                                              <w:divBdr>
                                                <w:top w:val="none" w:sz="0" w:space="0" w:color="auto"/>
                                                <w:left w:val="none" w:sz="0" w:space="0" w:color="auto"/>
                                                <w:bottom w:val="none" w:sz="0" w:space="0" w:color="auto"/>
                                                <w:right w:val="none" w:sz="0" w:space="0" w:color="auto"/>
                                              </w:divBdr>
                                              <w:divsChild>
                                                <w:div w:id="1403992416">
                                                  <w:marLeft w:val="0"/>
                                                  <w:marRight w:val="0"/>
                                                  <w:marTop w:val="240"/>
                                                  <w:marBottom w:val="60"/>
                                                  <w:divBdr>
                                                    <w:top w:val="none" w:sz="0" w:space="0" w:color="auto"/>
                                                    <w:left w:val="none" w:sz="0" w:space="0" w:color="auto"/>
                                                    <w:bottom w:val="none" w:sz="0" w:space="0" w:color="auto"/>
                                                    <w:right w:val="none" w:sz="0" w:space="0" w:color="auto"/>
                                                  </w:divBdr>
                                                  <w:divsChild>
                                                    <w:div w:id="1033574794">
                                                      <w:marLeft w:val="240"/>
                                                      <w:marRight w:val="0"/>
                                                      <w:marTop w:val="60"/>
                                                      <w:marBottom w:val="60"/>
                                                      <w:divBdr>
                                                        <w:top w:val="none" w:sz="0" w:space="0" w:color="auto"/>
                                                        <w:left w:val="none" w:sz="0" w:space="0" w:color="auto"/>
                                                        <w:bottom w:val="none" w:sz="0" w:space="0" w:color="auto"/>
                                                        <w:right w:val="none" w:sz="0" w:space="0" w:color="auto"/>
                                                      </w:divBdr>
                                                      <w:divsChild>
                                                        <w:div w:id="1748111720">
                                                          <w:marLeft w:val="240"/>
                                                          <w:marRight w:val="0"/>
                                                          <w:marTop w:val="60"/>
                                                          <w:marBottom w:val="60"/>
                                                          <w:divBdr>
                                                            <w:top w:val="none" w:sz="0" w:space="0" w:color="auto"/>
                                                            <w:left w:val="none" w:sz="0" w:space="0" w:color="auto"/>
                                                            <w:bottom w:val="none" w:sz="0" w:space="0" w:color="auto"/>
                                                            <w:right w:val="none" w:sz="0" w:space="0" w:color="auto"/>
                                                          </w:divBdr>
                                                          <w:divsChild>
                                                            <w:div w:id="1447118325">
                                                              <w:marLeft w:val="240"/>
                                                              <w:marRight w:val="0"/>
                                                              <w:marTop w:val="60"/>
                                                              <w:marBottom w:val="60"/>
                                                              <w:divBdr>
                                                                <w:top w:val="none" w:sz="0" w:space="0" w:color="auto"/>
                                                                <w:left w:val="none" w:sz="0" w:space="0" w:color="auto"/>
                                                                <w:bottom w:val="none" w:sz="0" w:space="0" w:color="auto"/>
                                                                <w:right w:val="none" w:sz="0" w:space="0" w:color="auto"/>
                                                              </w:divBdr>
                                                              <w:divsChild>
                                                                <w:div w:id="1778021276">
                                                                  <w:marLeft w:val="240"/>
                                                                  <w:marRight w:val="0"/>
                                                                  <w:marTop w:val="60"/>
                                                                  <w:marBottom w:val="60"/>
                                                                  <w:divBdr>
                                                                    <w:top w:val="none" w:sz="0" w:space="0" w:color="auto"/>
                                                                    <w:left w:val="none" w:sz="0" w:space="0" w:color="auto"/>
                                                                    <w:bottom w:val="none" w:sz="0" w:space="0" w:color="auto"/>
                                                                    <w:right w:val="none" w:sz="0" w:space="0" w:color="auto"/>
                                                                  </w:divBdr>
                                                                  <w:divsChild>
                                                                    <w:div w:id="1082487368">
                                                                      <w:marLeft w:val="240"/>
                                                                      <w:marRight w:val="0"/>
                                                                      <w:marTop w:val="60"/>
                                                                      <w:marBottom w:val="60"/>
                                                                      <w:divBdr>
                                                                        <w:top w:val="none" w:sz="0" w:space="0" w:color="auto"/>
                                                                        <w:left w:val="none" w:sz="0" w:space="0" w:color="auto"/>
                                                                        <w:bottom w:val="none" w:sz="0" w:space="0" w:color="auto"/>
                                                                        <w:right w:val="none" w:sz="0" w:space="0" w:color="auto"/>
                                                                      </w:divBdr>
                                                                      <w:divsChild>
                                                                        <w:div w:id="1230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7159092">
      <w:bodyDiv w:val="1"/>
      <w:marLeft w:val="0"/>
      <w:marRight w:val="0"/>
      <w:marTop w:val="0"/>
      <w:marBottom w:val="0"/>
      <w:divBdr>
        <w:top w:val="none" w:sz="0" w:space="0" w:color="auto"/>
        <w:left w:val="none" w:sz="0" w:space="0" w:color="auto"/>
        <w:bottom w:val="none" w:sz="0" w:space="0" w:color="auto"/>
        <w:right w:val="none" w:sz="0" w:space="0" w:color="auto"/>
      </w:divBdr>
      <w:divsChild>
        <w:div w:id="267465727">
          <w:marLeft w:val="0"/>
          <w:marRight w:val="0"/>
          <w:marTop w:val="2460"/>
          <w:marBottom w:val="0"/>
          <w:divBdr>
            <w:top w:val="none" w:sz="0" w:space="0" w:color="auto"/>
            <w:left w:val="none" w:sz="0" w:space="0" w:color="auto"/>
            <w:bottom w:val="none" w:sz="0" w:space="0" w:color="auto"/>
            <w:right w:val="none" w:sz="0" w:space="0" w:color="auto"/>
          </w:divBdr>
          <w:divsChild>
            <w:div w:id="1173688471">
              <w:marLeft w:val="0"/>
              <w:marRight w:val="0"/>
              <w:marTop w:val="0"/>
              <w:marBottom w:val="0"/>
              <w:divBdr>
                <w:top w:val="none" w:sz="0" w:space="0" w:color="auto"/>
                <w:left w:val="none" w:sz="0" w:space="0" w:color="auto"/>
                <w:bottom w:val="none" w:sz="0" w:space="0" w:color="auto"/>
                <w:right w:val="none" w:sz="0" w:space="0" w:color="auto"/>
              </w:divBdr>
              <w:divsChild>
                <w:div w:id="1979843142">
                  <w:marLeft w:val="0"/>
                  <w:marRight w:val="0"/>
                  <w:marTop w:val="0"/>
                  <w:marBottom w:val="0"/>
                  <w:divBdr>
                    <w:top w:val="none" w:sz="0" w:space="0" w:color="auto"/>
                    <w:left w:val="none" w:sz="0" w:space="0" w:color="auto"/>
                    <w:bottom w:val="none" w:sz="0" w:space="0" w:color="auto"/>
                    <w:right w:val="none" w:sz="0" w:space="0" w:color="auto"/>
                  </w:divBdr>
                  <w:divsChild>
                    <w:div w:id="311567796">
                      <w:marLeft w:val="0"/>
                      <w:marRight w:val="0"/>
                      <w:marTop w:val="0"/>
                      <w:marBottom w:val="0"/>
                      <w:divBdr>
                        <w:top w:val="none" w:sz="0" w:space="0" w:color="auto"/>
                        <w:left w:val="none" w:sz="0" w:space="0" w:color="auto"/>
                        <w:bottom w:val="none" w:sz="0" w:space="0" w:color="auto"/>
                        <w:right w:val="none" w:sz="0" w:space="0" w:color="auto"/>
                      </w:divBdr>
                      <w:divsChild>
                        <w:div w:id="780343208">
                          <w:marLeft w:val="-225"/>
                          <w:marRight w:val="-225"/>
                          <w:marTop w:val="0"/>
                          <w:marBottom w:val="0"/>
                          <w:divBdr>
                            <w:top w:val="none" w:sz="0" w:space="0" w:color="auto"/>
                            <w:left w:val="none" w:sz="0" w:space="0" w:color="auto"/>
                            <w:bottom w:val="none" w:sz="0" w:space="0" w:color="auto"/>
                            <w:right w:val="none" w:sz="0" w:space="0" w:color="auto"/>
                          </w:divBdr>
                          <w:divsChild>
                            <w:div w:id="1018583938">
                              <w:marLeft w:val="0"/>
                              <w:marRight w:val="0"/>
                              <w:marTop w:val="0"/>
                              <w:marBottom w:val="0"/>
                              <w:divBdr>
                                <w:top w:val="single" w:sz="6" w:space="8" w:color="EEEEEE"/>
                                <w:left w:val="single" w:sz="6" w:space="8" w:color="EEEEEE"/>
                                <w:bottom w:val="single" w:sz="6" w:space="8" w:color="EEEEEE"/>
                                <w:right w:val="single" w:sz="6" w:space="8" w:color="EEEEEE"/>
                              </w:divBdr>
                              <w:divsChild>
                                <w:div w:id="101658495">
                                  <w:marLeft w:val="0"/>
                                  <w:marRight w:val="0"/>
                                  <w:marTop w:val="0"/>
                                  <w:marBottom w:val="0"/>
                                  <w:divBdr>
                                    <w:top w:val="none" w:sz="0" w:space="0" w:color="auto"/>
                                    <w:left w:val="none" w:sz="0" w:space="0" w:color="auto"/>
                                    <w:bottom w:val="none" w:sz="0" w:space="0" w:color="auto"/>
                                    <w:right w:val="none" w:sz="0" w:space="0" w:color="auto"/>
                                  </w:divBdr>
                                  <w:divsChild>
                                    <w:div w:id="994072098">
                                      <w:marLeft w:val="0"/>
                                      <w:marRight w:val="0"/>
                                      <w:marTop w:val="0"/>
                                      <w:marBottom w:val="0"/>
                                      <w:divBdr>
                                        <w:top w:val="none" w:sz="0" w:space="0" w:color="auto"/>
                                        <w:left w:val="none" w:sz="0" w:space="0" w:color="auto"/>
                                        <w:bottom w:val="none" w:sz="0" w:space="0" w:color="auto"/>
                                        <w:right w:val="none" w:sz="0" w:space="0" w:color="auto"/>
                                      </w:divBdr>
                                      <w:divsChild>
                                        <w:div w:id="1168834715">
                                          <w:marLeft w:val="0"/>
                                          <w:marRight w:val="0"/>
                                          <w:marTop w:val="0"/>
                                          <w:marBottom w:val="0"/>
                                          <w:divBdr>
                                            <w:top w:val="none" w:sz="0" w:space="0" w:color="auto"/>
                                            <w:left w:val="none" w:sz="0" w:space="0" w:color="auto"/>
                                            <w:bottom w:val="none" w:sz="0" w:space="0" w:color="auto"/>
                                            <w:right w:val="none" w:sz="0" w:space="0" w:color="auto"/>
                                          </w:divBdr>
                                          <w:divsChild>
                                            <w:div w:id="1905144097">
                                              <w:marLeft w:val="0"/>
                                              <w:marRight w:val="0"/>
                                              <w:marTop w:val="0"/>
                                              <w:marBottom w:val="0"/>
                                              <w:divBdr>
                                                <w:top w:val="none" w:sz="0" w:space="0" w:color="auto"/>
                                                <w:left w:val="none" w:sz="0" w:space="0" w:color="auto"/>
                                                <w:bottom w:val="none" w:sz="0" w:space="0" w:color="auto"/>
                                                <w:right w:val="none" w:sz="0" w:space="0" w:color="auto"/>
                                              </w:divBdr>
                                              <w:divsChild>
                                                <w:div w:id="810828831">
                                                  <w:marLeft w:val="0"/>
                                                  <w:marRight w:val="0"/>
                                                  <w:marTop w:val="240"/>
                                                  <w:marBottom w:val="60"/>
                                                  <w:divBdr>
                                                    <w:top w:val="none" w:sz="0" w:space="0" w:color="auto"/>
                                                    <w:left w:val="none" w:sz="0" w:space="0" w:color="auto"/>
                                                    <w:bottom w:val="none" w:sz="0" w:space="0" w:color="auto"/>
                                                    <w:right w:val="none" w:sz="0" w:space="0" w:color="auto"/>
                                                  </w:divBdr>
                                                  <w:divsChild>
                                                    <w:div w:id="1206427">
                                                      <w:marLeft w:val="240"/>
                                                      <w:marRight w:val="0"/>
                                                      <w:marTop w:val="60"/>
                                                      <w:marBottom w:val="60"/>
                                                      <w:divBdr>
                                                        <w:top w:val="none" w:sz="0" w:space="0" w:color="auto"/>
                                                        <w:left w:val="none" w:sz="0" w:space="0" w:color="auto"/>
                                                        <w:bottom w:val="none" w:sz="0" w:space="0" w:color="auto"/>
                                                        <w:right w:val="none" w:sz="0" w:space="0" w:color="auto"/>
                                                      </w:divBdr>
                                                      <w:divsChild>
                                                        <w:div w:id="807552435">
                                                          <w:marLeft w:val="240"/>
                                                          <w:marRight w:val="0"/>
                                                          <w:marTop w:val="60"/>
                                                          <w:marBottom w:val="60"/>
                                                          <w:divBdr>
                                                            <w:top w:val="none" w:sz="0" w:space="0" w:color="auto"/>
                                                            <w:left w:val="none" w:sz="0" w:space="0" w:color="auto"/>
                                                            <w:bottom w:val="none" w:sz="0" w:space="0" w:color="auto"/>
                                                            <w:right w:val="none" w:sz="0" w:space="0" w:color="auto"/>
                                                          </w:divBdr>
                                                          <w:divsChild>
                                                            <w:div w:id="785586099">
                                                              <w:marLeft w:val="240"/>
                                                              <w:marRight w:val="0"/>
                                                              <w:marTop w:val="60"/>
                                                              <w:marBottom w:val="60"/>
                                                              <w:divBdr>
                                                                <w:top w:val="none" w:sz="0" w:space="0" w:color="auto"/>
                                                                <w:left w:val="none" w:sz="0" w:space="0" w:color="auto"/>
                                                                <w:bottom w:val="none" w:sz="0" w:space="0" w:color="auto"/>
                                                                <w:right w:val="none" w:sz="0" w:space="0" w:color="auto"/>
                                                              </w:divBdr>
                                                              <w:divsChild>
                                                                <w:div w:id="1031034797">
                                                                  <w:marLeft w:val="240"/>
                                                                  <w:marRight w:val="0"/>
                                                                  <w:marTop w:val="60"/>
                                                                  <w:marBottom w:val="60"/>
                                                                  <w:divBdr>
                                                                    <w:top w:val="none" w:sz="0" w:space="0" w:color="auto"/>
                                                                    <w:left w:val="none" w:sz="0" w:space="0" w:color="auto"/>
                                                                    <w:bottom w:val="none" w:sz="0" w:space="0" w:color="auto"/>
                                                                    <w:right w:val="none" w:sz="0" w:space="0" w:color="auto"/>
                                                                  </w:divBdr>
                                                                  <w:divsChild>
                                                                    <w:div w:id="1592081097">
                                                                      <w:marLeft w:val="240"/>
                                                                      <w:marRight w:val="0"/>
                                                                      <w:marTop w:val="60"/>
                                                                      <w:marBottom w:val="60"/>
                                                                      <w:divBdr>
                                                                        <w:top w:val="none" w:sz="0" w:space="0" w:color="auto"/>
                                                                        <w:left w:val="none" w:sz="0" w:space="0" w:color="auto"/>
                                                                        <w:bottom w:val="none" w:sz="0" w:space="0" w:color="auto"/>
                                                                        <w:right w:val="none" w:sz="0" w:space="0" w:color="auto"/>
                                                                      </w:divBdr>
                                                                      <w:divsChild>
                                                                        <w:div w:id="7561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1949104">
      <w:bodyDiv w:val="1"/>
      <w:marLeft w:val="0"/>
      <w:marRight w:val="0"/>
      <w:marTop w:val="0"/>
      <w:marBottom w:val="0"/>
      <w:divBdr>
        <w:top w:val="none" w:sz="0" w:space="0" w:color="auto"/>
        <w:left w:val="none" w:sz="0" w:space="0" w:color="auto"/>
        <w:bottom w:val="none" w:sz="0" w:space="0" w:color="auto"/>
        <w:right w:val="none" w:sz="0" w:space="0" w:color="auto"/>
      </w:divBdr>
      <w:divsChild>
        <w:div w:id="929629373">
          <w:marLeft w:val="0"/>
          <w:marRight w:val="0"/>
          <w:marTop w:val="2460"/>
          <w:marBottom w:val="0"/>
          <w:divBdr>
            <w:top w:val="none" w:sz="0" w:space="0" w:color="auto"/>
            <w:left w:val="none" w:sz="0" w:space="0" w:color="auto"/>
            <w:bottom w:val="none" w:sz="0" w:space="0" w:color="auto"/>
            <w:right w:val="none" w:sz="0" w:space="0" w:color="auto"/>
          </w:divBdr>
          <w:divsChild>
            <w:div w:id="1449084084">
              <w:marLeft w:val="0"/>
              <w:marRight w:val="0"/>
              <w:marTop w:val="0"/>
              <w:marBottom w:val="0"/>
              <w:divBdr>
                <w:top w:val="none" w:sz="0" w:space="0" w:color="auto"/>
                <w:left w:val="none" w:sz="0" w:space="0" w:color="auto"/>
                <w:bottom w:val="none" w:sz="0" w:space="0" w:color="auto"/>
                <w:right w:val="none" w:sz="0" w:space="0" w:color="auto"/>
              </w:divBdr>
              <w:divsChild>
                <w:div w:id="1479299297">
                  <w:marLeft w:val="0"/>
                  <w:marRight w:val="0"/>
                  <w:marTop w:val="0"/>
                  <w:marBottom w:val="0"/>
                  <w:divBdr>
                    <w:top w:val="none" w:sz="0" w:space="0" w:color="auto"/>
                    <w:left w:val="none" w:sz="0" w:space="0" w:color="auto"/>
                    <w:bottom w:val="none" w:sz="0" w:space="0" w:color="auto"/>
                    <w:right w:val="none" w:sz="0" w:space="0" w:color="auto"/>
                  </w:divBdr>
                  <w:divsChild>
                    <w:div w:id="37167285">
                      <w:marLeft w:val="0"/>
                      <w:marRight w:val="0"/>
                      <w:marTop w:val="0"/>
                      <w:marBottom w:val="0"/>
                      <w:divBdr>
                        <w:top w:val="none" w:sz="0" w:space="0" w:color="auto"/>
                        <w:left w:val="none" w:sz="0" w:space="0" w:color="auto"/>
                        <w:bottom w:val="none" w:sz="0" w:space="0" w:color="auto"/>
                        <w:right w:val="none" w:sz="0" w:space="0" w:color="auto"/>
                      </w:divBdr>
                      <w:divsChild>
                        <w:div w:id="1070269150">
                          <w:marLeft w:val="-225"/>
                          <w:marRight w:val="-225"/>
                          <w:marTop w:val="0"/>
                          <w:marBottom w:val="0"/>
                          <w:divBdr>
                            <w:top w:val="none" w:sz="0" w:space="0" w:color="auto"/>
                            <w:left w:val="none" w:sz="0" w:space="0" w:color="auto"/>
                            <w:bottom w:val="none" w:sz="0" w:space="0" w:color="auto"/>
                            <w:right w:val="none" w:sz="0" w:space="0" w:color="auto"/>
                          </w:divBdr>
                          <w:divsChild>
                            <w:div w:id="2119911304">
                              <w:marLeft w:val="0"/>
                              <w:marRight w:val="0"/>
                              <w:marTop w:val="0"/>
                              <w:marBottom w:val="0"/>
                              <w:divBdr>
                                <w:top w:val="single" w:sz="6" w:space="8" w:color="EEEEEE"/>
                                <w:left w:val="single" w:sz="6" w:space="8" w:color="EEEEEE"/>
                                <w:bottom w:val="single" w:sz="6" w:space="8" w:color="EEEEEE"/>
                                <w:right w:val="single" w:sz="6" w:space="8" w:color="EEEEEE"/>
                              </w:divBdr>
                              <w:divsChild>
                                <w:div w:id="746850161">
                                  <w:marLeft w:val="0"/>
                                  <w:marRight w:val="0"/>
                                  <w:marTop w:val="0"/>
                                  <w:marBottom w:val="0"/>
                                  <w:divBdr>
                                    <w:top w:val="none" w:sz="0" w:space="0" w:color="auto"/>
                                    <w:left w:val="none" w:sz="0" w:space="0" w:color="auto"/>
                                    <w:bottom w:val="none" w:sz="0" w:space="0" w:color="auto"/>
                                    <w:right w:val="none" w:sz="0" w:space="0" w:color="auto"/>
                                  </w:divBdr>
                                  <w:divsChild>
                                    <w:div w:id="377897733">
                                      <w:marLeft w:val="0"/>
                                      <w:marRight w:val="0"/>
                                      <w:marTop w:val="0"/>
                                      <w:marBottom w:val="0"/>
                                      <w:divBdr>
                                        <w:top w:val="none" w:sz="0" w:space="0" w:color="auto"/>
                                        <w:left w:val="none" w:sz="0" w:space="0" w:color="auto"/>
                                        <w:bottom w:val="none" w:sz="0" w:space="0" w:color="auto"/>
                                        <w:right w:val="none" w:sz="0" w:space="0" w:color="auto"/>
                                      </w:divBdr>
                                      <w:divsChild>
                                        <w:div w:id="1526484888">
                                          <w:marLeft w:val="0"/>
                                          <w:marRight w:val="0"/>
                                          <w:marTop w:val="0"/>
                                          <w:marBottom w:val="0"/>
                                          <w:divBdr>
                                            <w:top w:val="none" w:sz="0" w:space="0" w:color="auto"/>
                                            <w:left w:val="none" w:sz="0" w:space="0" w:color="auto"/>
                                            <w:bottom w:val="none" w:sz="0" w:space="0" w:color="auto"/>
                                            <w:right w:val="none" w:sz="0" w:space="0" w:color="auto"/>
                                          </w:divBdr>
                                          <w:divsChild>
                                            <w:div w:id="1112212809">
                                              <w:marLeft w:val="0"/>
                                              <w:marRight w:val="0"/>
                                              <w:marTop w:val="0"/>
                                              <w:marBottom w:val="0"/>
                                              <w:divBdr>
                                                <w:top w:val="none" w:sz="0" w:space="0" w:color="auto"/>
                                                <w:left w:val="none" w:sz="0" w:space="0" w:color="auto"/>
                                                <w:bottom w:val="none" w:sz="0" w:space="0" w:color="auto"/>
                                                <w:right w:val="none" w:sz="0" w:space="0" w:color="auto"/>
                                              </w:divBdr>
                                              <w:divsChild>
                                                <w:div w:id="1314989667">
                                                  <w:marLeft w:val="0"/>
                                                  <w:marRight w:val="0"/>
                                                  <w:marTop w:val="240"/>
                                                  <w:marBottom w:val="60"/>
                                                  <w:divBdr>
                                                    <w:top w:val="none" w:sz="0" w:space="0" w:color="auto"/>
                                                    <w:left w:val="none" w:sz="0" w:space="0" w:color="auto"/>
                                                    <w:bottom w:val="none" w:sz="0" w:space="0" w:color="auto"/>
                                                    <w:right w:val="none" w:sz="0" w:space="0" w:color="auto"/>
                                                  </w:divBdr>
                                                  <w:divsChild>
                                                    <w:div w:id="524369523">
                                                      <w:marLeft w:val="240"/>
                                                      <w:marRight w:val="0"/>
                                                      <w:marTop w:val="60"/>
                                                      <w:marBottom w:val="60"/>
                                                      <w:divBdr>
                                                        <w:top w:val="none" w:sz="0" w:space="0" w:color="auto"/>
                                                        <w:left w:val="none" w:sz="0" w:space="0" w:color="auto"/>
                                                        <w:bottom w:val="none" w:sz="0" w:space="0" w:color="auto"/>
                                                        <w:right w:val="none" w:sz="0" w:space="0" w:color="auto"/>
                                                      </w:divBdr>
                                                      <w:divsChild>
                                                        <w:div w:id="1368018663">
                                                          <w:marLeft w:val="240"/>
                                                          <w:marRight w:val="0"/>
                                                          <w:marTop w:val="60"/>
                                                          <w:marBottom w:val="60"/>
                                                          <w:divBdr>
                                                            <w:top w:val="none" w:sz="0" w:space="0" w:color="auto"/>
                                                            <w:left w:val="none" w:sz="0" w:space="0" w:color="auto"/>
                                                            <w:bottom w:val="none" w:sz="0" w:space="0" w:color="auto"/>
                                                            <w:right w:val="none" w:sz="0" w:space="0" w:color="auto"/>
                                                          </w:divBdr>
                                                          <w:divsChild>
                                                            <w:div w:id="2001154324">
                                                              <w:marLeft w:val="240"/>
                                                              <w:marRight w:val="0"/>
                                                              <w:marTop w:val="60"/>
                                                              <w:marBottom w:val="60"/>
                                                              <w:divBdr>
                                                                <w:top w:val="none" w:sz="0" w:space="0" w:color="auto"/>
                                                                <w:left w:val="none" w:sz="0" w:space="0" w:color="auto"/>
                                                                <w:bottom w:val="none" w:sz="0" w:space="0" w:color="auto"/>
                                                                <w:right w:val="none" w:sz="0" w:space="0" w:color="auto"/>
                                                              </w:divBdr>
                                                              <w:divsChild>
                                                                <w:div w:id="2106149816">
                                                                  <w:marLeft w:val="240"/>
                                                                  <w:marRight w:val="0"/>
                                                                  <w:marTop w:val="60"/>
                                                                  <w:marBottom w:val="60"/>
                                                                  <w:divBdr>
                                                                    <w:top w:val="none" w:sz="0" w:space="0" w:color="auto"/>
                                                                    <w:left w:val="none" w:sz="0" w:space="0" w:color="auto"/>
                                                                    <w:bottom w:val="none" w:sz="0" w:space="0" w:color="auto"/>
                                                                    <w:right w:val="none" w:sz="0" w:space="0" w:color="auto"/>
                                                                  </w:divBdr>
                                                                  <w:divsChild>
                                                                    <w:div w:id="8499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6300376">
      <w:bodyDiv w:val="1"/>
      <w:marLeft w:val="0"/>
      <w:marRight w:val="0"/>
      <w:marTop w:val="0"/>
      <w:marBottom w:val="0"/>
      <w:divBdr>
        <w:top w:val="none" w:sz="0" w:space="0" w:color="auto"/>
        <w:left w:val="none" w:sz="0" w:space="0" w:color="auto"/>
        <w:bottom w:val="none" w:sz="0" w:space="0" w:color="auto"/>
        <w:right w:val="none" w:sz="0" w:space="0" w:color="auto"/>
      </w:divBdr>
    </w:div>
    <w:div w:id="1796438500">
      <w:bodyDiv w:val="1"/>
      <w:marLeft w:val="0"/>
      <w:marRight w:val="0"/>
      <w:marTop w:val="0"/>
      <w:marBottom w:val="0"/>
      <w:divBdr>
        <w:top w:val="none" w:sz="0" w:space="0" w:color="auto"/>
        <w:left w:val="none" w:sz="0" w:space="0" w:color="auto"/>
        <w:bottom w:val="none" w:sz="0" w:space="0" w:color="auto"/>
        <w:right w:val="none" w:sz="0" w:space="0" w:color="auto"/>
      </w:divBdr>
    </w:div>
    <w:div w:id="2103333014">
      <w:bodyDiv w:val="1"/>
      <w:marLeft w:val="0"/>
      <w:marRight w:val="0"/>
      <w:marTop w:val="0"/>
      <w:marBottom w:val="0"/>
      <w:divBdr>
        <w:top w:val="none" w:sz="0" w:space="0" w:color="auto"/>
        <w:left w:val="none" w:sz="0" w:space="0" w:color="auto"/>
        <w:bottom w:val="none" w:sz="0" w:space="0" w:color="auto"/>
        <w:right w:val="none" w:sz="0" w:space="0" w:color="auto"/>
      </w:divBdr>
      <w:divsChild>
        <w:div w:id="895974655">
          <w:marLeft w:val="0"/>
          <w:marRight w:val="0"/>
          <w:marTop w:val="2460"/>
          <w:marBottom w:val="0"/>
          <w:divBdr>
            <w:top w:val="none" w:sz="0" w:space="0" w:color="auto"/>
            <w:left w:val="none" w:sz="0" w:space="0" w:color="auto"/>
            <w:bottom w:val="none" w:sz="0" w:space="0" w:color="auto"/>
            <w:right w:val="none" w:sz="0" w:space="0" w:color="auto"/>
          </w:divBdr>
          <w:divsChild>
            <w:div w:id="670450904">
              <w:marLeft w:val="0"/>
              <w:marRight w:val="0"/>
              <w:marTop w:val="0"/>
              <w:marBottom w:val="0"/>
              <w:divBdr>
                <w:top w:val="none" w:sz="0" w:space="0" w:color="auto"/>
                <w:left w:val="none" w:sz="0" w:space="0" w:color="auto"/>
                <w:bottom w:val="none" w:sz="0" w:space="0" w:color="auto"/>
                <w:right w:val="none" w:sz="0" w:space="0" w:color="auto"/>
              </w:divBdr>
              <w:divsChild>
                <w:div w:id="309018059">
                  <w:marLeft w:val="0"/>
                  <w:marRight w:val="0"/>
                  <w:marTop w:val="0"/>
                  <w:marBottom w:val="0"/>
                  <w:divBdr>
                    <w:top w:val="none" w:sz="0" w:space="0" w:color="auto"/>
                    <w:left w:val="none" w:sz="0" w:space="0" w:color="auto"/>
                    <w:bottom w:val="none" w:sz="0" w:space="0" w:color="auto"/>
                    <w:right w:val="none" w:sz="0" w:space="0" w:color="auto"/>
                  </w:divBdr>
                  <w:divsChild>
                    <w:div w:id="2008434306">
                      <w:marLeft w:val="0"/>
                      <w:marRight w:val="0"/>
                      <w:marTop w:val="0"/>
                      <w:marBottom w:val="0"/>
                      <w:divBdr>
                        <w:top w:val="none" w:sz="0" w:space="0" w:color="auto"/>
                        <w:left w:val="none" w:sz="0" w:space="0" w:color="auto"/>
                        <w:bottom w:val="none" w:sz="0" w:space="0" w:color="auto"/>
                        <w:right w:val="none" w:sz="0" w:space="0" w:color="auto"/>
                      </w:divBdr>
                      <w:divsChild>
                        <w:div w:id="1431312258">
                          <w:marLeft w:val="-225"/>
                          <w:marRight w:val="-225"/>
                          <w:marTop w:val="0"/>
                          <w:marBottom w:val="0"/>
                          <w:divBdr>
                            <w:top w:val="none" w:sz="0" w:space="0" w:color="auto"/>
                            <w:left w:val="none" w:sz="0" w:space="0" w:color="auto"/>
                            <w:bottom w:val="none" w:sz="0" w:space="0" w:color="auto"/>
                            <w:right w:val="none" w:sz="0" w:space="0" w:color="auto"/>
                          </w:divBdr>
                          <w:divsChild>
                            <w:div w:id="275868251">
                              <w:marLeft w:val="0"/>
                              <w:marRight w:val="0"/>
                              <w:marTop w:val="0"/>
                              <w:marBottom w:val="0"/>
                              <w:divBdr>
                                <w:top w:val="single" w:sz="6" w:space="8" w:color="EEEEEE"/>
                                <w:left w:val="single" w:sz="6" w:space="8" w:color="EEEEEE"/>
                                <w:bottom w:val="single" w:sz="6" w:space="8" w:color="EEEEEE"/>
                                <w:right w:val="single" w:sz="6" w:space="8" w:color="EEEEEE"/>
                              </w:divBdr>
                              <w:divsChild>
                                <w:div w:id="938946177">
                                  <w:marLeft w:val="0"/>
                                  <w:marRight w:val="0"/>
                                  <w:marTop w:val="0"/>
                                  <w:marBottom w:val="0"/>
                                  <w:divBdr>
                                    <w:top w:val="none" w:sz="0" w:space="0" w:color="auto"/>
                                    <w:left w:val="none" w:sz="0" w:space="0" w:color="auto"/>
                                    <w:bottom w:val="none" w:sz="0" w:space="0" w:color="auto"/>
                                    <w:right w:val="none" w:sz="0" w:space="0" w:color="auto"/>
                                  </w:divBdr>
                                  <w:divsChild>
                                    <w:div w:id="309405096">
                                      <w:marLeft w:val="0"/>
                                      <w:marRight w:val="0"/>
                                      <w:marTop w:val="0"/>
                                      <w:marBottom w:val="0"/>
                                      <w:divBdr>
                                        <w:top w:val="none" w:sz="0" w:space="0" w:color="auto"/>
                                        <w:left w:val="none" w:sz="0" w:space="0" w:color="auto"/>
                                        <w:bottom w:val="none" w:sz="0" w:space="0" w:color="auto"/>
                                        <w:right w:val="none" w:sz="0" w:space="0" w:color="auto"/>
                                      </w:divBdr>
                                      <w:divsChild>
                                        <w:div w:id="158622654">
                                          <w:marLeft w:val="0"/>
                                          <w:marRight w:val="0"/>
                                          <w:marTop w:val="0"/>
                                          <w:marBottom w:val="0"/>
                                          <w:divBdr>
                                            <w:top w:val="none" w:sz="0" w:space="0" w:color="auto"/>
                                            <w:left w:val="none" w:sz="0" w:space="0" w:color="auto"/>
                                            <w:bottom w:val="none" w:sz="0" w:space="0" w:color="auto"/>
                                            <w:right w:val="none" w:sz="0" w:space="0" w:color="auto"/>
                                          </w:divBdr>
                                          <w:divsChild>
                                            <w:div w:id="1231884499">
                                              <w:marLeft w:val="0"/>
                                              <w:marRight w:val="0"/>
                                              <w:marTop w:val="0"/>
                                              <w:marBottom w:val="0"/>
                                              <w:divBdr>
                                                <w:top w:val="none" w:sz="0" w:space="0" w:color="auto"/>
                                                <w:left w:val="none" w:sz="0" w:space="0" w:color="auto"/>
                                                <w:bottom w:val="none" w:sz="0" w:space="0" w:color="auto"/>
                                                <w:right w:val="none" w:sz="0" w:space="0" w:color="auto"/>
                                              </w:divBdr>
                                              <w:divsChild>
                                                <w:div w:id="1475179216">
                                                  <w:marLeft w:val="3"/>
                                                  <w:marRight w:val="7"/>
                                                  <w:marTop w:val="240"/>
                                                  <w:marBottom w:val="60"/>
                                                  <w:divBdr>
                                                    <w:top w:val="none" w:sz="0" w:space="0" w:color="auto"/>
                                                    <w:left w:val="none" w:sz="0" w:space="0" w:color="auto"/>
                                                    <w:bottom w:val="none" w:sz="0" w:space="0" w:color="auto"/>
                                                    <w:right w:val="none" w:sz="0" w:space="0" w:color="auto"/>
                                                  </w:divBdr>
                                                  <w:divsChild>
                                                    <w:div w:id="1769883665">
                                                      <w:marLeft w:val="3"/>
                                                      <w:marRight w:val="0"/>
                                                      <w:marTop w:val="60"/>
                                                      <w:marBottom w:val="60"/>
                                                      <w:divBdr>
                                                        <w:top w:val="none" w:sz="0" w:space="0" w:color="auto"/>
                                                        <w:left w:val="none" w:sz="0" w:space="0" w:color="auto"/>
                                                        <w:bottom w:val="none" w:sz="0" w:space="0" w:color="auto"/>
                                                        <w:right w:val="none" w:sz="0" w:space="0" w:color="auto"/>
                                                      </w:divBdr>
                                                      <w:divsChild>
                                                        <w:div w:id="1123882055">
                                                          <w:marLeft w:val="240"/>
                                                          <w:marRight w:val="0"/>
                                                          <w:marTop w:val="60"/>
                                                          <w:marBottom w:val="60"/>
                                                          <w:divBdr>
                                                            <w:top w:val="none" w:sz="0" w:space="0" w:color="auto"/>
                                                            <w:left w:val="none" w:sz="0" w:space="0" w:color="auto"/>
                                                            <w:bottom w:val="none" w:sz="0" w:space="0" w:color="auto"/>
                                                            <w:right w:val="none" w:sz="0" w:space="0" w:color="auto"/>
                                                          </w:divBdr>
                                                          <w:divsChild>
                                                            <w:div w:id="1527252971">
                                                              <w:marLeft w:val="240"/>
                                                              <w:marRight w:val="0"/>
                                                              <w:marTop w:val="60"/>
                                                              <w:marBottom w:val="60"/>
                                                              <w:divBdr>
                                                                <w:top w:val="none" w:sz="0" w:space="0" w:color="auto"/>
                                                                <w:left w:val="none" w:sz="0" w:space="0" w:color="auto"/>
                                                                <w:bottom w:val="none" w:sz="0" w:space="0" w:color="auto"/>
                                                                <w:right w:val="none" w:sz="0" w:space="0" w:color="auto"/>
                                                              </w:divBdr>
                                                              <w:divsChild>
                                                                <w:div w:id="12361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yperlink" Target="https://www.regulations.gov" TargetMode="External"/><Relationship Id="rId26" Type="http://schemas.openxmlformats.org/officeDocument/2006/relationships/footer" Target="footer3.xm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https://www.fda.gov/regulatory-information/search-fda-guidance-documents/appropriate-use-voluntary-consensus-standards-premarket-submissions-medical-devices" TargetMode="Externa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image" Target="media/image1.png"/><Relationship Id="rId25" Type="http://schemas.openxmlformats.org/officeDocument/2006/relationships/header" Target="header3.xml"/><Relationship Id="rId33" Type="http://schemas.openxmlformats.org/officeDocument/2006/relationships/hyperlink" Target="https://www.fda.gov/regulatory-information/search-fda-guidance-documents/appropriate-use-voluntary-consensus-standards-premarket-submissions-medical-devices"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yperlink" Target="https://www.fda.gov/vaccines-blood-biologics/guidance-compliance-regulatory-information-biologics/biologics-guidances" TargetMode="External"/><Relationship Id="rId29" Type="http://schemas.openxmlformats.org/officeDocument/2006/relationships/hyperlink" Target="https://www.fda.gov/regulatory-information/search-fda-guidance-documents/appropriate-use-voluntary-consensus-standards-premarket-submissions-medical-devices"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footer" Target="footer2.xml"/><Relationship Id="rId32" Type="http://schemas.openxmlformats.org/officeDocument/2006/relationships/hyperlink" Target="https://www.accessdata.fda.gov/scripts/cdrh/cfdocs/cfstandards/search.cfm" TargetMode="External"/><Relationship Id="rId37" Type="http://schemas.openxmlformats.org/officeDocument/2006/relationships/header" Target="header5.xml"/><Relationship Id="rId40"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oter" Target="footer1.xml"/><Relationship Id="rId28" Type="http://schemas.openxmlformats.org/officeDocument/2006/relationships/hyperlink" Target="https://www.ansi.org/essentialrequirements" TargetMode="External"/><Relationship Id="rId36" Type="http://schemas.openxmlformats.org/officeDocument/2006/relationships/header" Target="header4.xml"/><Relationship Id="rId10" Type="http://schemas.openxmlformats.org/officeDocument/2006/relationships/customXml" Target="../customXml/item10.xml"/><Relationship Id="rId19" Type="http://schemas.openxmlformats.org/officeDocument/2006/relationships/hyperlink" Target="mailto:ocod@fda.hhs.gov,%20" TargetMode="External"/><Relationship Id="rId31" Type="http://schemas.openxmlformats.org/officeDocument/2006/relationships/hyperlink" Target="https://www.accessdata.fda.gov/scripts/cdrh/cfdocs/cfstandards/nr_results.cfm"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eader" Target="header2.xml"/><Relationship Id="rId27" Type="http://schemas.openxmlformats.org/officeDocument/2006/relationships/hyperlink" Target="http://www.accessdata.fda.gov/scripts/cdrh/cfdocs/cfStandards/search.cfm" TargetMode="External"/><Relationship Id="rId30" Type="http://schemas.openxmlformats.org/officeDocument/2006/relationships/hyperlink" Target="https://www.fda.gov/medical-devices/standards-and-conformity-assessment-program/recognition-standard" TargetMode="External"/><Relationship Id="rId35" Type="http://schemas.openxmlformats.org/officeDocument/2006/relationships/hyperlink" Target="https://www.fda.gov/regulatory-information/search-fda-guidance-documents/appropriate-use-voluntary-consensus-standards-premarket-submissions-medical-devices"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accessdata.fda.gov/scripts/cdrh/cfdocs/cfstandards/search.cfm" TargetMode="External"/><Relationship Id="rId3" Type="http://schemas.openxmlformats.org/officeDocument/2006/relationships/hyperlink" Target="https://www.ansi.org/essentialrequirements" TargetMode="External"/><Relationship Id="rId7" Type="http://schemas.openxmlformats.org/officeDocument/2006/relationships/hyperlink" Target="https://www.accessdata.fda.gov/scripts/cdrh/cfdocs/cfstandards/nr_results.cfm" TargetMode="External"/><Relationship Id="rId2" Type="http://schemas.openxmlformats.org/officeDocument/2006/relationships/hyperlink" Target="https://www.nist.gov/system/files/revised_circular_a-119_as_of_01-22-2016.pdf" TargetMode="External"/><Relationship Id="rId1" Type="http://schemas.openxmlformats.org/officeDocument/2006/relationships/hyperlink" Target="https://www.accessdata.fda.gov/scripts/cdrh/cfdocs/cfStandards/search.cfm" TargetMode="External"/><Relationship Id="rId6" Type="http://schemas.openxmlformats.org/officeDocument/2006/relationships/hyperlink" Target="https://www.fda.gov/regulatory-information/search-fda-guidance-documents/appropriate-use-voluntary-consensus-standards-premarket-submissions-medical-devices" TargetMode="External"/><Relationship Id="rId5" Type="http://schemas.openxmlformats.org/officeDocument/2006/relationships/hyperlink" Target="https://www.accessdata.fda.gov/scripts/cdrh/cfdocs/cfstandards/search.cfm" TargetMode="External"/><Relationship Id="rId4" Type="http://schemas.openxmlformats.org/officeDocument/2006/relationships/hyperlink" Target="https://www.fda.gov/regulatory-information/search-fda-guidance-documents/appropriate-use-voluntary-consensus-standards-premarket-submissions-medical-devices" TargetMode="External"/><Relationship Id="rId9" Type="http://schemas.openxmlformats.org/officeDocument/2006/relationships/hyperlink" Target="https://www.fda.gov/regulatory-information/search-fda-guidance-documents/appropriate-use-voluntary-consensus-standards-premarket-submissions-medical-de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593544c-8bc9-488a-9957-4d59a7b3d015">AHMKJ7ZZ2AWD-883815228-27</_dlc_DocId>
    <_dlc_DocIdUrl xmlns="c593544c-8bc9-488a-9957-4d59a7b3d015">
      <Url>http://sharepoint.fda.gov/orgs/CDRH-Development/CDRHGuidance/_layouts/DocIdRedir.aspx?ID=AHMKJ7ZZ2AWD-883815228-27</Url>
      <Description>AHMKJ7ZZ2AWD-883815228-27</Description>
    </_dlc_DocIdUrl>
    <GUD_x0020_ID_x003a_Organization xmlns="d06f896f-013f-4b35-a500-15d938c6f1ff">OCD</GUD_x0020_ID_x003a_Organization>
    <GUD_x0020_ID_x003a_Level xmlns="d06f896f-013f-4b35-a500-15d938c6f1ff">Level 1 Draft</GUD_x0020_ID_x003a_Level>
    <GUD_x0020_ID_x003a_Resubmit_x0020_Status xmlns="d06f896f-013f-4b35-a500-15d938c6f1ff" xsi:nil="true"/>
    <IconOverlay xmlns="http://schemas.microsoft.com/sharepoint/v4" xsi:nil="true"/>
    <GUD_x0020_ID_x003a_Submitter xmlns="d06f896f-013f-4b35-a500-15d938c6f1ff">Ostermiller, Ian</GUD_x0020_ID_x003a_Submitter>
    <GUD_x0020_ID_x003a_Guidance_x0020_Status xmlns="d06f896f-013f-4b35-a500-15d938c6f1ff">Under Development</GUD_x0020_ID_x003a_Guidance_x0020_Status>
    <GUD_x0020_ID_x003a_SME xmlns="d06f896f-013f-4b35-a500-15d938c6f1ff">Colburn, Scott A;Lappalainen, Sharon K</GUD_x0020_ID_x003a_SME>
    <GUD_x0020_ID_x003a_Title_x0020__x0028_linked_x0020_to_x0020_item_x0029_ xmlns="d06f896f-013f-4b35-a500-15d938c6f1ff">Recognition of Standards</GUD_x0020_ID_x003a_Title_x0020__x0028_linked_x0020_to_x0020_item_x0029_>
    <GUD_x0020_ID xmlns="d06f896f-013f-4b35-a500-15d938c6f1ff">329;#GUD616</GUD_x0020_ID>
    <GUD_x0020_ID_x003a_GGP xmlns="d06f896f-013f-4b35-a500-15d938c6f1ff">Ostermiller, Ian</GUD_x0020_ID_x003a_GGP>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c593544c-8bc9-488a-9957-4d59a7b3d015">UYKCFCC6FTJQ-77-2075</_dlc_DocId>
    <_dlc_DocIdUrl xmlns="c593544c-8bc9-488a-9957-4d59a7b3d015">
      <Url>http://sharepoint.fda.gov/orgs/CDRH-Standards/SMS/_layouts/DocIdRedir.aspx?ID=UYKCFCC6FTJQ-77-2075</Url>
      <Description>UYKCFCC6FTJQ-77-2075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20BB97FC64CD4347901C2721F0F4F96A" ma:contentTypeVersion="13" ma:contentTypeDescription="Create a new document." ma:contentTypeScope="" ma:versionID="72c4ce4205ff8577b2f303ae2371eb0d">
  <xsd:schema xmlns:xsd="http://www.w3.org/2001/XMLSchema" xmlns:xs="http://www.w3.org/2001/XMLSchema" xmlns:p="http://schemas.microsoft.com/office/2006/metadata/properties" xmlns:ns2="c593544c-8bc9-488a-9957-4d59a7b3d015" xmlns:ns3="d06f896f-013f-4b35-a500-15d938c6f1ff" xmlns:ns4="http://schemas.microsoft.com/sharepoint/v4" targetNamespace="http://schemas.microsoft.com/office/2006/metadata/properties" ma:root="true" ma:fieldsID="6a2a1efe8ebac52cd0582dae17eacc46" ns2:_="" ns3:_="" ns4:_="">
    <xsd:import namespace="c593544c-8bc9-488a-9957-4d59a7b3d015"/>
    <xsd:import namespace="d06f896f-013f-4b35-a500-15d938c6f1f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GUD_x0020_ID" minOccurs="0"/>
                <xsd:element ref="ns3:GUD_x0020_ID_x003a_Submitter" minOccurs="0"/>
                <xsd:element ref="ns3:GUD_x0020_ID_x003a_Organization" minOccurs="0"/>
                <xsd:element ref="ns3:GUD_x0020_ID_x003a_Guidance_x0020_Status" minOccurs="0"/>
                <xsd:element ref="ns3:GUD_x0020_ID_x003a_Resubmit_x0020_Status" minOccurs="0"/>
                <xsd:element ref="ns3:GUD_x0020_ID_x003a_Title_x0020__x0028_linked_x0020_to_x0020_item_x0029_" minOccurs="0"/>
                <xsd:element ref="ns3:GUD_x0020_ID_x003a_Level" minOccurs="0"/>
                <xsd:element ref="ns3:GUD_x0020_ID_x003a_GGP" minOccurs="0"/>
                <xsd:element ref="ns3:GUD_x0020_ID_x003a_SM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06f896f-013f-4b35-a500-15d938c6f1ff" elementFormDefault="qualified">
    <xsd:import namespace="http://schemas.microsoft.com/office/2006/documentManagement/types"/>
    <xsd:import namespace="http://schemas.microsoft.com/office/infopath/2007/PartnerControls"/>
    <xsd:element name="GUD_x0020_ID" ma:index="11" nillable="true" ma:displayName="GUD ID" ma:default="" ma:internalName="GUD_x0020_ID">
      <xsd:simpleType>
        <xsd:restriction base="dms:Unknown"/>
      </xsd:simpleType>
    </xsd:element>
    <xsd:element name="GUD_x0020_ID_x003a_Submitter" ma:index="12" nillable="true" ma:displayName="GUD ID:Submitter" ma:internalName="GUD_x0020_ID_x003a_Submitter">
      <xsd:simpleType>
        <xsd:restriction base="dms:Text"/>
      </xsd:simpleType>
    </xsd:element>
    <xsd:element name="GUD_x0020_ID_x003a_Organization" ma:index="13" nillable="true" ma:displayName="GUD ID:Organization" ma:internalName="GUD_x0020_ID_x003a_Organization">
      <xsd:simpleType>
        <xsd:restriction base="dms:Text"/>
      </xsd:simpleType>
    </xsd:element>
    <xsd:element name="GUD_x0020_ID_x003a_Guidance_x0020_Status" ma:index="14" nillable="true" ma:displayName="GUD ID:Guidance Status" ma:internalName="GUD_x0020_ID_x003a_Guidance_x0020_Status">
      <xsd:simpleType>
        <xsd:restriction base="dms:Text"/>
      </xsd:simpleType>
    </xsd:element>
    <xsd:element name="GUD_x0020_ID_x003a_Resubmit_x0020_Status" ma:index="15" nillable="true" ma:displayName="GUD ID:Resubmit Status" ma:internalName="GUD_x0020_ID_x003a_Resubmit_x0020_Status">
      <xsd:simpleType>
        <xsd:restriction base="dms:Text"/>
      </xsd:simpleType>
    </xsd:element>
    <xsd:element name="GUD_x0020_ID_x003a_Title_x0020__x0028_linked_x0020_to_x0020_item_x0029_" ma:index="16" nillable="true" ma:displayName="GUD ID:Title (linked to item)" ma:internalName="GUD_x0020_ID_x003a_Title_x0020__x0028_linked_x0020_to_x0020_item_x0029_">
      <xsd:simpleType>
        <xsd:restriction base="dms:Text"/>
      </xsd:simpleType>
    </xsd:element>
    <xsd:element name="GUD_x0020_ID_x003a_Level" ma:index="17" nillable="true" ma:displayName="GUD ID:Level" ma:internalName="GUD_x0020_ID_x003a_Level">
      <xsd:simpleType>
        <xsd:restriction base="dms:Text"/>
      </xsd:simpleType>
    </xsd:element>
    <xsd:element name="GUD_x0020_ID_x003a_GGP" ma:index="18" nillable="true" ma:displayName="GUD ID:GGP" ma:internalName="GUD_x0020_ID_x003a_GGP">
      <xsd:simpleType>
        <xsd:restriction base="dms:Text"/>
      </xsd:simpleType>
    </xsd:element>
    <xsd:element name="GUD_x0020_ID_x003a_SME" ma:index="19" nillable="true" ma:displayName="GUD ID:SME" ma:internalName="GUD_x0020_ID_x003a_S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LongProperties xmlns="http://schemas.microsoft.com/office/2006/metadata/longProperties"/>
</file>

<file path=customXml/item9.xml><?xml version="1.0" encoding="utf-8"?>
<ct:contentTypeSchema xmlns:ct="http://schemas.microsoft.com/office/2006/metadata/contentType" xmlns:ma="http://schemas.microsoft.com/office/2006/metadata/properties/metaAttributes" ct:_="" ma:_="" ma:contentTypeName="Document" ma:contentTypeID="0x0101004F8D8BA03142D44EBFFB4E0F769CA5E3" ma:contentTypeVersion="0" ma:contentTypeDescription="Create a new document." ma:contentTypeScope="" ma:versionID="e53745c1e3cf4cfe96dd88cd2264f979">
  <xsd:schema xmlns:xsd="http://www.w3.org/2001/XMLSchema" xmlns:xs="http://www.w3.org/2001/XMLSchema" xmlns:p="http://schemas.microsoft.com/office/2006/metadata/properties" xmlns:ns2="c593544c-8bc9-488a-9957-4d59a7b3d015" targetNamespace="http://schemas.microsoft.com/office/2006/metadata/properties" ma:root="true" ma:fieldsID="a5adcd899538cf661c2017ee334359ab"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ACF940-9CAF-4508-9064-70058A8A77E2}">
  <ds:schemaRefs>
    <ds:schemaRef ds:uri="http://schemas.microsoft.com/sharepoint/v3/contenttype/forms"/>
  </ds:schemaRefs>
</ds:datastoreItem>
</file>

<file path=customXml/itemProps10.xml><?xml version="1.0" encoding="utf-8"?>
<ds:datastoreItem xmlns:ds="http://schemas.openxmlformats.org/officeDocument/2006/customXml" ds:itemID="{71CD2407-BF27-4093-85A8-17BE540DBD4E}">
  <ds:schemaRefs>
    <ds:schemaRef ds:uri="http://schemas.openxmlformats.org/officeDocument/2006/bibliography"/>
  </ds:schemaRefs>
</ds:datastoreItem>
</file>

<file path=customXml/itemProps2.xml><?xml version="1.0" encoding="utf-8"?>
<ds:datastoreItem xmlns:ds="http://schemas.openxmlformats.org/officeDocument/2006/customXml" ds:itemID="{1B480D75-700F-4A44-8118-DD2AFCAB4498}">
  <ds:schemaRefs>
    <ds:schemaRef ds:uri="http://schemas.microsoft.com/sharepoint/v3/contenttype/forms"/>
  </ds:schemaRefs>
</ds:datastoreItem>
</file>

<file path=customXml/itemProps3.xml><?xml version="1.0" encoding="utf-8"?>
<ds:datastoreItem xmlns:ds="http://schemas.openxmlformats.org/officeDocument/2006/customXml" ds:itemID="{335381FD-B233-4FE0-A041-BCB5BD514D6B}">
  <ds:schemaRefs>
    <ds:schemaRef ds:uri="http://purl.org/dc/elements/1.1/"/>
    <ds:schemaRef ds:uri="http://schemas.microsoft.com/office/2006/metadata/properties"/>
    <ds:schemaRef ds:uri="c593544c-8bc9-488a-9957-4d59a7b3d015"/>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06f896f-013f-4b35-a500-15d938c6f1ff"/>
    <ds:schemaRef ds:uri="http://www.w3.org/XML/1998/namespace"/>
    <ds:schemaRef ds:uri="http://purl.org/dc/dcmitype/"/>
  </ds:schemaRefs>
</ds:datastoreItem>
</file>

<file path=customXml/itemProps4.xml><?xml version="1.0" encoding="utf-8"?>
<ds:datastoreItem xmlns:ds="http://schemas.openxmlformats.org/officeDocument/2006/customXml" ds:itemID="{E6912855-E06D-406D-93D5-C25690F3E3E5}">
  <ds:schemaRefs>
    <ds:schemaRef ds:uri="http://purl.org/dc/elements/1.1/"/>
    <ds:schemaRef ds:uri="http://schemas.microsoft.com/office/2006/metadata/properties"/>
    <ds:schemaRef ds:uri="http://schemas.microsoft.com/office/2006/documentManagement/types"/>
    <ds:schemaRef ds:uri="c593544c-8bc9-488a-9957-4d59a7b3d015"/>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d06f896f-013f-4b35-a500-15d938c6f1ff"/>
    <ds:schemaRef ds:uri="http://www.w3.org/XML/1998/namespace"/>
  </ds:schemaRefs>
</ds:datastoreItem>
</file>

<file path=customXml/itemProps5.xml><?xml version="1.0" encoding="utf-8"?>
<ds:datastoreItem xmlns:ds="http://schemas.openxmlformats.org/officeDocument/2006/customXml" ds:itemID="{307D1DCF-F1FB-4300-85D2-AB16B61F9B66}">
  <ds:schemaRefs>
    <ds:schemaRef ds:uri="http://schemas.microsoft.com/sharepoint/events"/>
  </ds:schemaRefs>
</ds:datastoreItem>
</file>

<file path=customXml/itemProps6.xml><?xml version="1.0" encoding="utf-8"?>
<ds:datastoreItem xmlns:ds="http://schemas.openxmlformats.org/officeDocument/2006/customXml" ds:itemID="{6732C296-27E9-4423-A592-865C4DB5ECB3}">
  <ds:schemaRefs>
    <ds:schemaRef ds:uri="http://schemas.microsoft.com/sharepoint/events"/>
  </ds:schemaRefs>
</ds:datastoreItem>
</file>

<file path=customXml/itemProps7.xml><?xml version="1.0" encoding="utf-8"?>
<ds:datastoreItem xmlns:ds="http://schemas.openxmlformats.org/officeDocument/2006/customXml" ds:itemID="{7165FD16-92F1-486C-91C0-4EF626EDA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d06f896f-013f-4b35-a500-15d938c6f1f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B45EF7E8-85DC-4140-8DC4-88B7E14BD356}">
  <ds:schemaRefs>
    <ds:schemaRef ds:uri="http://schemas.microsoft.com/office/2006/metadata/longProperties"/>
  </ds:schemaRefs>
</ds:datastoreItem>
</file>

<file path=customXml/itemProps9.xml><?xml version="1.0" encoding="utf-8"?>
<ds:datastoreItem xmlns:ds="http://schemas.openxmlformats.org/officeDocument/2006/customXml" ds:itemID="{5712CEEE-C0A4-4557-91D1-390D3C652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4122</Words>
  <Characters>23496</Characters>
  <Application>Microsoft Office Word</Application>
  <DocSecurity>4</DocSecurity>
  <Lines>195</Lines>
  <Paragraphs>55</Paragraphs>
  <ScaleCrop>false</ScaleCrop>
  <HeadingPairs>
    <vt:vector size="2" baseType="variant">
      <vt:variant>
        <vt:lpstr>Title</vt:lpstr>
      </vt:variant>
      <vt:variant>
        <vt:i4>1</vt:i4>
      </vt:variant>
    </vt:vector>
  </HeadingPairs>
  <TitlesOfParts>
    <vt:vector size="1" baseType="lpstr">
      <vt:lpstr>Draft Guidance - Recognition of Standards</vt:lpstr>
    </vt:vector>
  </TitlesOfParts>
  <Company>US FDA</Company>
  <LinksUpToDate>false</LinksUpToDate>
  <CharactersWithSpaces>27563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Guidance - Recognition of Standards</dc:title>
  <dc:subject/>
  <dc:creator>Lappalainen, Sharon K</dc:creator>
  <cp:keywords/>
  <dc:description/>
  <cp:lastModifiedBy>Capezzuto, JonnaLynn</cp:lastModifiedBy>
  <cp:revision>2</cp:revision>
  <cp:lastPrinted>2020-03-12T16:46:00Z</cp:lastPrinted>
  <dcterms:created xsi:type="dcterms:W3CDTF">2020-04-27T20:19:00Z</dcterms:created>
  <dcterms:modified xsi:type="dcterms:W3CDTF">2020-04-27T20:19:00Z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AHMKJ7ZZ2AWD-42-32</vt:lpwstr>
  </property>
  <property fmtid="{D5CDD505-2E9C-101B-9397-08002B2CF9AE}" pid="3" name="_dlc_DocIdItemGuid">
    <vt:lpwstr>8d8c01ef-f5d9-4bc0-8cf2-3062a4ee4094</vt:lpwstr>
  </property>
  <property fmtid="{D5CDD505-2E9C-101B-9397-08002B2CF9AE}" pid="4" name="_dlc_DocIdUrl">
    <vt:lpwstr>http://sharepoint.fda.gov/orgs/CDRH-Development/GuidanceDevelopment/_layouts/DocIdRedir.aspx?ID=AHMKJ7ZZ2AWD-42-32, AHMKJ7ZZ2AWD-42-32</vt:lpwstr>
  </property>
  <property fmtid="{D5CDD505-2E9C-101B-9397-08002B2CF9AE}" pid="5" name="ContentTypeId">
    <vt:lpwstr>0x0101004F8D8BA03142D44EBFFB4E0F769CA5E3</vt:lpwstr>
  </property>
  <property fmtid="{D5CDD505-2E9C-101B-9397-08002B2CF9AE}" pid="6" name="Order">
    <vt:r8>62500</vt:r8>
  </property>
  <property fmtid="{D5CDD505-2E9C-101B-9397-08002B2CF9AE}" pid="7" name="xd_ProgID">
    <vt:lpwstr/>
  </property>
  <property fmtid="{D5CDD505-2E9C-101B-9397-08002B2CF9AE}" pid="8" name="TemplateUrl">
    <vt:lpwstr/>
  </property>
  <property fmtid="{D5CDD505-2E9C-101B-9397-08002B2CF9AE}" pid="9" name="_CopySource">
    <vt:lpwstr/>
  </property>
  <property fmtid="{D5CDD505-2E9C-101B-9397-08002B2CF9AE}" pid="10" name="WorkflowChangePath">
    <vt:lpwstr>ea75110d-f1d9-4638-8dd5-0ce6c75ed461,4;ea75110d-f1d9-4638-8dd5-0ce6c75ed461,4;ea75110d-f1d9-4638-8dd5-0ce6c75ed461,4;ea75110d-f1d9-4638-8dd5-0ce6c75ed461,4;ea75110d-f1d9-4638-8dd5-0ce6c75ed461,4;ea75110d-f1d9-4638-8dd5-0ce6c75ed461,5;ea75110d-f1d9-4638-8d</vt:lpwstr>
  </property>
  <property fmtid="{D5CDD505-2E9C-101B-9397-08002B2CF9AE}" pid="11" name="Coverage">
    <vt:lpwstr>;#CDRH;#</vt:lpwstr>
  </property>
  <property fmtid="{D5CDD505-2E9C-101B-9397-08002B2CF9AE}" pid="12" name="CDRH Tags (option #1)">
    <vt:lpwstr>93;#Guidance</vt:lpwstr>
  </property>
  <property fmtid="{D5CDD505-2E9C-101B-9397-08002B2CF9AE}" pid="13" name="Form ID">
    <vt:lpwstr>legacy / NA</vt:lpwstr>
  </property>
  <property fmtid="{D5CDD505-2E9C-101B-9397-08002B2CF9AE}" pid="14" name="Document Approver">
    <vt:lpwstr>427</vt:lpwstr>
  </property>
  <property fmtid="{D5CDD505-2E9C-101B-9397-08002B2CF9AE}" pid="15" name="Effective Date">
    <vt:filetime>2016-09-20T04:00:00Z</vt:filetime>
  </property>
  <property fmtid="{D5CDD505-2E9C-101B-9397-08002B2CF9AE}" pid="16" name="Document Author">
    <vt:lpwstr>427;#Takai, Erica</vt:lpwstr>
  </property>
  <property fmtid="{D5CDD505-2E9C-101B-9397-08002B2CF9AE}" pid="17" name="Doc Control Status">
    <vt:lpwstr>SWIFT</vt:lpwstr>
  </property>
  <property fmtid="{D5CDD505-2E9C-101B-9397-08002B2CF9AE}" pid="18" name="Document Type2">
    <vt:lpwstr>Template</vt:lpwstr>
  </property>
  <property fmtid="{D5CDD505-2E9C-101B-9397-08002B2CF9AE}" pid="19" name="Doc Version">
    <vt:r8>1</vt:r8>
  </property>
  <property fmtid="{D5CDD505-2E9C-101B-9397-08002B2CF9AE}" pid="20" name="TaxCatchAll">
    <vt:lpwstr/>
  </property>
  <property fmtid="{D5CDD505-2E9C-101B-9397-08002B2CF9AE}" pid="21" name="Description of Changes">
    <vt:lpwstr>Initial Controlled Version.</vt:lpwstr>
  </property>
  <property fmtid="{D5CDD505-2E9C-101B-9397-08002B2CF9AE}" pid="22" name="Document Title">
    <vt:lpwstr>http://sharepoint.fda.gov/orgs/CDRH-QM/DCS/_layouts/DocIdRedir.aspx?ID=XD2MZKDT66XC-457089437-251, Guidance Coversheet - CDRH-CBER Level 1 DRAFT</vt:lpwstr>
  </property>
  <property fmtid="{D5CDD505-2E9C-101B-9397-08002B2CF9AE}" pid="23" name="Lead Office">
    <vt:lpwstr>OCD</vt:lpwstr>
  </property>
  <property fmtid="{D5CDD505-2E9C-101B-9397-08002B2CF9AE}" pid="24" name="Doc ID (2)">
    <vt:lpwstr>01076.01.00</vt:lpwstr>
  </property>
  <property fmtid="{D5CDD505-2E9C-101B-9397-08002B2CF9AE}" pid="25" name="POC">
    <vt:lpwstr>427</vt:lpwstr>
  </property>
  <property fmtid="{D5CDD505-2E9C-101B-9397-08002B2CF9AE}" pid="26" name="Parent Document #">
    <vt:lpwstr>01065</vt:lpwstr>
  </property>
  <property fmtid="{D5CDD505-2E9C-101B-9397-08002B2CF9AE}" pid="27" name="Applies To (Division)">
    <vt:lpwstr/>
  </property>
  <property fmtid="{D5CDD505-2E9C-101B-9397-08002B2CF9AE}" pid="28" name="Date Approved">
    <vt:filetime>2016-09-20T04:00:00Z</vt:filetime>
  </property>
  <property fmtid="{D5CDD505-2E9C-101B-9397-08002B2CF9AE}" pid="29" name="Document #">
    <vt:lpwstr>01076</vt:lpwstr>
  </property>
  <property fmtid="{D5CDD505-2E9C-101B-9397-08002B2CF9AE}" pid="30" name="Doc ID0">
    <vt:lpwstr>01076.01.00</vt:lpwstr>
  </property>
  <property fmtid="{D5CDD505-2E9C-101B-9397-08002B2CF9AE}" pid="31" name="Document Name">
    <vt:lpwstr/>
  </property>
  <property fmtid="{D5CDD505-2E9C-101B-9397-08002B2CF9AE}" pid="32" name="URL">
    <vt:lpwstr>http://sharepoint.fda.gov/orgs/CDRH-QM/DCS/SitePages/Home.aspx, http://sharepoint.fda.gov/orgs/CDRH-QM/DCS/SitePages/Home.aspx</vt:lpwstr>
  </property>
  <property fmtid="{D5CDD505-2E9C-101B-9397-08002B2CF9AE}" pid="33" name="SWIFT Document Attributes OK?">
    <vt:lpwstr>OK</vt:lpwstr>
  </property>
  <property fmtid="{D5CDD505-2E9C-101B-9397-08002B2CF9AE}" pid="34" name="CDRH Tags (choice)">
    <vt:lpwstr>;#93;#Guidance;#</vt:lpwstr>
  </property>
</Properties>
</file>