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3918" w:rsidRPr="00A50FCD" w14:paraId="115E4E6F" w14:textId="77777777">
      <w:pPr>
        <w:pStyle w:val="ColorfulList-Accent11"/>
        <w:ind w:left="0"/>
        <w:jc w:val="center"/>
        <w:outlineLvl w:val="0"/>
        <w:rPr>
          <w:b/>
          <w:bCs/>
          <w:sz w:val="28"/>
          <w:szCs w:val="28"/>
        </w:rPr>
      </w:pPr>
      <w:r w:rsidRPr="008A43F9">
        <w:rPr>
          <w:b/>
          <w:bCs/>
          <w:sz w:val="28"/>
          <w:szCs w:val="28"/>
        </w:rPr>
        <w:t>Supporting Statement</w:t>
      </w:r>
      <w:r w:rsidRPr="008A43F9" w:rsidR="00A12E52">
        <w:rPr>
          <w:b/>
          <w:bCs/>
          <w:sz w:val="28"/>
          <w:szCs w:val="28"/>
        </w:rPr>
        <w:t xml:space="preserve"> </w:t>
      </w:r>
    </w:p>
    <w:p w:rsidR="00A12E52" w:rsidRPr="00A12E52" w14:paraId="69F3A3B5" w14:textId="77777777">
      <w:pPr>
        <w:pStyle w:val="ColorfulList-Accent11"/>
        <w:ind w:left="0"/>
        <w:jc w:val="center"/>
        <w:outlineLvl w:val="0"/>
        <w:rPr>
          <w:b/>
          <w:sz w:val="28"/>
          <w:szCs w:val="28"/>
        </w:rPr>
      </w:pPr>
    </w:p>
    <w:p w:rsidR="00533918" w:rsidRPr="00A50FCD" w14:paraId="42DC371D" w14:textId="77777777">
      <w:pPr>
        <w:pStyle w:val="ColorfulList-Accent11"/>
        <w:ind w:left="0"/>
        <w:jc w:val="center"/>
        <w:outlineLvl w:val="0"/>
        <w:rPr>
          <w:b/>
          <w:bCs/>
          <w:sz w:val="28"/>
          <w:szCs w:val="28"/>
        </w:rPr>
      </w:pPr>
      <w:r w:rsidRPr="008A43F9">
        <w:rPr>
          <w:b/>
          <w:bCs/>
          <w:sz w:val="28"/>
          <w:szCs w:val="28"/>
        </w:rPr>
        <w:t>Health Resources and Services Administration</w:t>
      </w:r>
    </w:p>
    <w:p w:rsidR="00A12E52" w:rsidRPr="00D41F62" w14:paraId="17ECE8B5" w14:textId="13B8380A">
      <w:pPr>
        <w:spacing w:after="60"/>
        <w:jc w:val="center"/>
        <w:rPr>
          <w:b/>
          <w:smallCaps/>
          <w:sz w:val="28"/>
          <w:szCs w:val="28"/>
        </w:rPr>
      </w:pPr>
      <w:r w:rsidRPr="00D41F62">
        <w:rPr>
          <w:b/>
          <w:bCs/>
          <w:sz w:val="28"/>
          <w:szCs w:val="28"/>
        </w:rPr>
        <w:t>Ryan White HIV/AIDS Program Allocation &amp; Expenditure Forms – Revision</w:t>
      </w:r>
    </w:p>
    <w:p w:rsidR="00A12E52" w:rsidRPr="00A12E52" w14:paraId="76A83035" w14:textId="77777777">
      <w:pPr>
        <w:spacing w:after="60"/>
        <w:jc w:val="center"/>
        <w:rPr>
          <w:b/>
          <w:sz w:val="28"/>
          <w:szCs w:val="28"/>
        </w:rPr>
      </w:pPr>
    </w:p>
    <w:p w:rsidR="002A4EDC" w:rsidRPr="002A4EDC" w:rsidP="002A4EDC" w14:paraId="10F7495A" w14:textId="14CB08A9">
      <w:pPr>
        <w:jc w:val="center"/>
        <w:rPr>
          <w:b/>
          <w:sz w:val="28"/>
          <w:szCs w:val="28"/>
        </w:rPr>
      </w:pPr>
      <w:bookmarkStart w:id="0" w:name="_Toc209407051"/>
      <w:r w:rsidRPr="002A4EDC">
        <w:rPr>
          <w:b/>
          <w:sz w:val="28"/>
          <w:szCs w:val="28"/>
        </w:rPr>
        <w:t xml:space="preserve">OMB Control No. 0915-0318 - </w:t>
      </w:r>
      <w:r w:rsidR="004E5859">
        <w:rPr>
          <w:b/>
          <w:sz w:val="28"/>
          <w:szCs w:val="28"/>
        </w:rPr>
        <w:t>New</w:t>
      </w:r>
    </w:p>
    <w:p w:rsidR="00A12E52" w:rsidP="00A12E52" w14:paraId="30F54EBC" w14:textId="77777777">
      <w:pPr>
        <w:spacing w:after="60"/>
        <w:jc w:val="center"/>
        <w:rPr>
          <w:b/>
          <w:sz w:val="28"/>
          <w:szCs w:val="28"/>
        </w:rPr>
      </w:pPr>
    </w:p>
    <w:p w:rsidR="00A12E52" w:rsidRPr="00A50FCD" w:rsidP="00A50FCD" w14:paraId="4DDA5445" w14:textId="77777777">
      <w:pPr>
        <w:spacing w:after="60"/>
        <w:rPr>
          <w:b/>
          <w:bCs/>
          <w:sz w:val="24"/>
          <w:szCs w:val="24"/>
        </w:rPr>
      </w:pPr>
      <w:r w:rsidRPr="008A43F9">
        <w:rPr>
          <w:b/>
          <w:bCs/>
          <w:sz w:val="24"/>
          <w:szCs w:val="24"/>
        </w:rPr>
        <w:t xml:space="preserve">Terms of Clearance: </w:t>
      </w:r>
      <w:r w:rsidRPr="00A12E52">
        <w:rPr>
          <w:sz w:val="24"/>
          <w:szCs w:val="24"/>
        </w:rPr>
        <w:t>None</w:t>
      </w:r>
    </w:p>
    <w:p w:rsidR="00A12E52" w:rsidP="006A0E1F" w14:paraId="4BDFA9F7" w14:textId="77777777">
      <w:pPr>
        <w:pStyle w:val="ColorfulList-Accent11"/>
        <w:tabs>
          <w:tab w:val="left" w:pos="5940"/>
        </w:tabs>
        <w:ind w:left="0"/>
        <w:outlineLvl w:val="0"/>
        <w:rPr>
          <w:b/>
          <w:smallCaps/>
          <w:sz w:val="28"/>
          <w:szCs w:val="28"/>
        </w:rPr>
      </w:pPr>
      <w:r>
        <w:rPr>
          <w:b/>
          <w:smallCaps/>
          <w:sz w:val="28"/>
          <w:szCs w:val="28"/>
        </w:rPr>
        <w:tab/>
      </w:r>
    </w:p>
    <w:p w:rsidR="00533918" w:rsidRPr="00A50FCD" w14:paraId="5E884CD5" w14:textId="77777777">
      <w:pPr>
        <w:pStyle w:val="ColorfulList-Accent11"/>
        <w:numPr>
          <w:ilvl w:val="0"/>
          <w:numId w:val="18"/>
        </w:numPr>
        <w:outlineLvl w:val="0"/>
        <w:rPr>
          <w:rFonts w:ascii="Times New Roman Bold" w:hAnsi="Times New Roman Bold"/>
          <w:b/>
          <w:bCs/>
          <w:sz w:val="24"/>
          <w:szCs w:val="24"/>
        </w:rPr>
      </w:pPr>
      <w:r w:rsidRPr="008A43F9">
        <w:rPr>
          <w:rFonts w:ascii="Times New Roman Bold" w:hAnsi="Times New Roman Bold"/>
          <w:b/>
          <w:bCs/>
          <w:sz w:val="24"/>
          <w:szCs w:val="24"/>
        </w:rPr>
        <w:t>Justification</w:t>
      </w:r>
      <w:bookmarkEnd w:id="0"/>
    </w:p>
    <w:p w:rsidR="00533918" w14:paraId="2DF87AFF" w14:textId="77777777">
      <w:pPr>
        <w:rPr>
          <w:sz w:val="24"/>
          <w:szCs w:val="24"/>
        </w:rPr>
      </w:pPr>
    </w:p>
    <w:p w:rsidR="00533918" w14:paraId="30934687" w14:textId="77777777">
      <w:pPr>
        <w:rPr>
          <w:sz w:val="24"/>
          <w:szCs w:val="24"/>
        </w:rPr>
      </w:pPr>
    </w:p>
    <w:p w:rsidR="00533918" w:rsidRPr="00A50FCD" w14:paraId="1D05843C" w14:textId="77777777">
      <w:pPr>
        <w:pStyle w:val="ColorfulList-Accent11"/>
        <w:tabs>
          <w:tab w:val="left" w:pos="360"/>
        </w:tabs>
        <w:ind w:left="0"/>
        <w:outlineLvl w:val="1"/>
        <w:rPr>
          <w:b/>
          <w:bCs/>
          <w:sz w:val="24"/>
          <w:szCs w:val="24"/>
          <w:u w:val="single"/>
        </w:rPr>
      </w:pPr>
      <w:bookmarkStart w:id="1" w:name="_Toc209407052"/>
      <w:r w:rsidRPr="008A43F9">
        <w:rPr>
          <w:b/>
          <w:bCs/>
          <w:sz w:val="24"/>
          <w:szCs w:val="24"/>
        </w:rPr>
        <w:t xml:space="preserve">1. </w:t>
      </w:r>
      <w:r w:rsidR="00A12E52">
        <w:rPr>
          <w:b/>
          <w:sz w:val="24"/>
        </w:rPr>
        <w:tab/>
      </w:r>
      <w:r w:rsidRPr="008A43F9">
        <w:rPr>
          <w:b/>
          <w:bCs/>
          <w:sz w:val="24"/>
          <w:szCs w:val="24"/>
          <w:u w:val="single"/>
        </w:rPr>
        <w:t xml:space="preserve">Circumstances </w:t>
      </w:r>
      <w:r w:rsidRPr="008A43F9" w:rsidR="00A12E52">
        <w:rPr>
          <w:b/>
          <w:bCs/>
          <w:sz w:val="24"/>
          <w:szCs w:val="24"/>
          <w:u w:val="single"/>
        </w:rPr>
        <w:t xml:space="preserve">Making the Collection of </w:t>
      </w:r>
      <w:r w:rsidRPr="00863839">
        <w:rPr>
          <w:b/>
          <w:bCs/>
          <w:sz w:val="24"/>
          <w:szCs w:val="24"/>
          <w:u w:val="single"/>
        </w:rPr>
        <w:t xml:space="preserve">Information </w:t>
      </w:r>
      <w:bookmarkEnd w:id="1"/>
      <w:r w:rsidRPr="00863839" w:rsidR="00A12E52">
        <w:rPr>
          <w:b/>
          <w:bCs/>
          <w:sz w:val="24"/>
          <w:szCs w:val="24"/>
          <w:u w:val="single"/>
        </w:rPr>
        <w:t>Necessary</w:t>
      </w:r>
    </w:p>
    <w:p w:rsidR="00533918" w14:paraId="77AEA771" w14:textId="77777777">
      <w:pPr>
        <w:rPr>
          <w:sz w:val="24"/>
          <w:szCs w:val="24"/>
        </w:rPr>
      </w:pPr>
    </w:p>
    <w:p w:rsidR="000C2ACD" w:rsidRPr="00D41F62" w:rsidP="009E3F19" w14:paraId="48481BD3" w14:textId="2BDD0DB1">
      <w:pPr>
        <w:pStyle w:val="BodyText2"/>
        <w:rPr>
          <w:rStyle w:val="BodyTextFi"/>
        </w:rPr>
      </w:pPr>
      <w:r w:rsidRPr="003D6BAE">
        <w:rPr>
          <w:rStyle w:val="BodyTextFi"/>
        </w:rPr>
        <w:t xml:space="preserve">The Health Resources and Services Administration (HRSA) is requesting approval from the Office of Management and Budget (OMB) for </w:t>
      </w:r>
      <w:r w:rsidR="003D2616">
        <w:rPr>
          <w:rStyle w:val="BodyTextFi"/>
        </w:rPr>
        <w:t>a</w:t>
      </w:r>
      <w:r w:rsidR="00301AE9">
        <w:rPr>
          <w:rStyle w:val="BodyTextFi"/>
        </w:rPr>
        <w:t xml:space="preserve"> </w:t>
      </w:r>
      <w:r w:rsidR="002A4EDC">
        <w:rPr>
          <w:rStyle w:val="BodyTextFi"/>
        </w:rPr>
        <w:t xml:space="preserve">revision </w:t>
      </w:r>
      <w:r w:rsidR="00301AE9">
        <w:rPr>
          <w:rStyle w:val="BodyTextFi"/>
        </w:rPr>
        <w:t xml:space="preserve">of the existing </w:t>
      </w:r>
      <w:r w:rsidRPr="007F237B" w:rsidR="002A4EDC">
        <w:rPr>
          <w:rStyle w:val="BodyTextFi"/>
        </w:rPr>
        <w:t xml:space="preserve">Ryan White </w:t>
      </w:r>
      <w:r w:rsidR="002A4EDC">
        <w:rPr>
          <w:rStyle w:val="BodyTextFi"/>
        </w:rPr>
        <w:t>HIV/AIDS Program</w:t>
      </w:r>
      <w:r w:rsidRPr="007F237B" w:rsidR="002A4EDC">
        <w:rPr>
          <w:rStyle w:val="BodyTextFi"/>
        </w:rPr>
        <w:t xml:space="preserve"> </w:t>
      </w:r>
      <w:r w:rsidR="002A4EDC">
        <w:rPr>
          <w:rStyle w:val="BodyTextFi"/>
        </w:rPr>
        <w:t>Allocation</w:t>
      </w:r>
      <w:r w:rsidR="001636EE">
        <w:rPr>
          <w:rStyle w:val="BodyTextFi"/>
        </w:rPr>
        <w:t>s</w:t>
      </w:r>
      <w:r w:rsidR="002A4EDC">
        <w:rPr>
          <w:rStyle w:val="BodyTextFi"/>
        </w:rPr>
        <w:t xml:space="preserve"> Form.</w:t>
      </w:r>
      <w:r w:rsidR="009E3F19">
        <w:rPr>
          <w:rStyle w:val="BodyTextFi"/>
        </w:rPr>
        <w:t xml:space="preserve"> </w:t>
      </w:r>
      <w:r w:rsidRPr="003D6BAE">
        <w:rPr>
          <w:rStyle w:val="BodyTextFi"/>
        </w:rPr>
        <w:t xml:space="preserve">The </w:t>
      </w:r>
      <w:r w:rsidR="002A4EDC">
        <w:rPr>
          <w:rStyle w:val="BodyTextFi"/>
        </w:rPr>
        <w:t>A</w:t>
      </w:r>
      <w:r w:rsidR="001D1628">
        <w:rPr>
          <w:rStyle w:val="BodyTextFi"/>
        </w:rPr>
        <w:t>l</w:t>
      </w:r>
      <w:r w:rsidR="00BE11B2">
        <w:rPr>
          <w:rStyle w:val="BodyTextFi"/>
        </w:rPr>
        <w:t>locations</w:t>
      </w:r>
      <w:r w:rsidR="003D0A94">
        <w:rPr>
          <w:rStyle w:val="BodyTextFi"/>
        </w:rPr>
        <w:t xml:space="preserve"> </w:t>
      </w:r>
      <w:r w:rsidR="002A4EDC">
        <w:rPr>
          <w:rStyle w:val="BodyTextFi"/>
        </w:rPr>
        <w:t>Form</w:t>
      </w:r>
      <w:r w:rsidRPr="003D6BAE" w:rsidR="003D6BAE">
        <w:rPr>
          <w:rStyle w:val="BodyTextFi"/>
        </w:rPr>
        <w:t xml:space="preserve">, </w:t>
      </w:r>
      <w:r w:rsidRPr="003D6BAE" w:rsidR="00EE56F5">
        <w:rPr>
          <w:rStyle w:val="BodyTextFi"/>
        </w:rPr>
        <w:t xml:space="preserve">which </w:t>
      </w:r>
      <w:r w:rsidR="002F226C">
        <w:rPr>
          <w:rStyle w:val="BodyTextFi"/>
        </w:rPr>
        <w:t>expires</w:t>
      </w:r>
      <w:r w:rsidRPr="003D6BAE" w:rsidR="002F226C">
        <w:rPr>
          <w:rStyle w:val="BodyTextFi"/>
        </w:rPr>
        <w:t xml:space="preserve"> </w:t>
      </w:r>
      <w:r w:rsidR="00BE11B2">
        <w:rPr>
          <w:rStyle w:val="BodyTextFi"/>
        </w:rPr>
        <w:t>September</w:t>
      </w:r>
      <w:r w:rsidRPr="003D6BAE" w:rsidR="00077629">
        <w:rPr>
          <w:rStyle w:val="BodyTextFi"/>
        </w:rPr>
        <w:t xml:space="preserve"> 3</w:t>
      </w:r>
      <w:r w:rsidR="00BE11B2">
        <w:rPr>
          <w:rStyle w:val="BodyTextFi"/>
        </w:rPr>
        <w:t>0</w:t>
      </w:r>
      <w:r w:rsidRPr="003D6BAE" w:rsidR="00077629">
        <w:rPr>
          <w:rStyle w:val="BodyTextFi"/>
        </w:rPr>
        <w:t>, 20</w:t>
      </w:r>
      <w:r w:rsidR="00EF0CA8">
        <w:rPr>
          <w:rStyle w:val="BodyTextFi"/>
        </w:rPr>
        <w:t>2</w:t>
      </w:r>
      <w:r w:rsidR="00BE11B2">
        <w:rPr>
          <w:rStyle w:val="BodyTextFi"/>
        </w:rPr>
        <w:t>3</w:t>
      </w:r>
      <w:r w:rsidRPr="003D6BAE" w:rsidR="00EE56F5">
        <w:rPr>
          <w:rStyle w:val="BodyTextFi"/>
        </w:rPr>
        <w:t xml:space="preserve">, </w:t>
      </w:r>
      <w:r w:rsidRPr="003D6BAE" w:rsidR="0016317F">
        <w:rPr>
          <w:rStyle w:val="BodyTextFi"/>
        </w:rPr>
        <w:t xml:space="preserve">is </w:t>
      </w:r>
      <w:r w:rsidRPr="003D6BAE">
        <w:rPr>
          <w:rStyle w:val="BodyTextFi"/>
        </w:rPr>
        <w:t xml:space="preserve">used to collect </w:t>
      </w:r>
      <w:r w:rsidR="002A4EDC">
        <w:rPr>
          <w:rStyle w:val="BodyTextFi"/>
        </w:rPr>
        <w:t xml:space="preserve">financial </w:t>
      </w:r>
      <w:r w:rsidRPr="003D6BAE">
        <w:rPr>
          <w:rStyle w:val="BodyTextFi"/>
        </w:rPr>
        <w:t xml:space="preserve">information from </w:t>
      </w:r>
      <w:r w:rsidR="00F504C9">
        <w:rPr>
          <w:rStyle w:val="BodyTextFi"/>
        </w:rPr>
        <w:t>grant recipients</w:t>
      </w:r>
      <w:r w:rsidR="007E4461">
        <w:rPr>
          <w:rStyle w:val="BodyTextFi"/>
        </w:rPr>
        <w:t xml:space="preserve"> </w:t>
      </w:r>
      <w:r w:rsidRPr="003D6BAE">
        <w:rPr>
          <w:rStyle w:val="BodyTextFi"/>
        </w:rPr>
        <w:t xml:space="preserve">funded under Parts A, B, C, </w:t>
      </w:r>
      <w:r>
        <w:rPr>
          <w:rStyle w:val="BodyTextFi"/>
        </w:rPr>
        <w:t xml:space="preserve">and </w:t>
      </w:r>
      <w:r w:rsidRPr="003D6BAE">
        <w:rPr>
          <w:rStyle w:val="BodyTextFi"/>
        </w:rPr>
        <w:t xml:space="preserve">D of the Ryan White HIV/AIDS </w:t>
      </w:r>
      <w:r w:rsidRPr="003D6BAE" w:rsidR="003D6BAE">
        <w:rPr>
          <w:rStyle w:val="BodyTextFi"/>
        </w:rPr>
        <w:t xml:space="preserve">Program (RWHAP). </w:t>
      </w:r>
      <w:r w:rsidRPr="00E73EB6" w:rsidR="0028124A">
        <w:t>The RWHAP, authorized under Title XXVI of the Public Health Service Act, funds and coordinates with cities, states, and local clinics/community-based organizations to deliver efficient and effective HIV care, treatment, and support to low-income people with HIV. See Attachment A for a copy of the legislation. The Department of Health and Human Services (HHS) HRSA administers funds for the RWHAP</w:t>
      </w:r>
      <w:r w:rsidRPr="000C2ACD">
        <w:rPr>
          <w:rStyle w:val="BodyTextFi"/>
        </w:rPr>
        <w:t xml:space="preserve">. </w:t>
      </w:r>
    </w:p>
    <w:p w:rsidR="00533918" w:rsidRPr="00D41F62" w:rsidP="000C2ACD" w14:paraId="692CFDBD" w14:textId="77777777">
      <w:pPr>
        <w:widowControl/>
        <w:autoSpaceDE w:val="0"/>
        <w:autoSpaceDN w:val="0"/>
        <w:adjustRightInd w:val="0"/>
        <w:rPr>
          <w:sz w:val="24"/>
          <w:szCs w:val="24"/>
        </w:rPr>
      </w:pPr>
    </w:p>
    <w:p w:rsidR="000C2ACD" w:rsidRPr="00D41F62" w:rsidP="000C2ACD" w14:paraId="2CB11620" w14:textId="04731D25">
      <w:pPr>
        <w:pStyle w:val="BodyText2"/>
      </w:pPr>
      <w:r w:rsidRPr="00E73EB6">
        <w:rPr>
          <w:rFonts w:eastAsia="Calibri"/>
        </w:rPr>
        <w:t>The HRSA RWHAP supports a comprehensive system of direct health care and support services for over half a million people diagnosed with HIV</w:t>
      </w:r>
      <w:r>
        <w:rPr>
          <w:rFonts w:eastAsia="Calibri"/>
          <w:vertAlign w:val="superscript"/>
        </w:rPr>
        <w:footnoteReference w:id="2"/>
      </w:r>
      <w:r w:rsidRPr="00E73EB6">
        <w:rPr>
          <w:rStyle w:val="BodyTextFi"/>
        </w:rPr>
        <w:t xml:space="preserve">. The HRSA RWHAP makes financial assistance available for the development, organization, coordination, and operation of more effective and cost-efficient systems for the delivery of essential core medical and support services to </w:t>
      </w:r>
      <w:r w:rsidR="001568D1">
        <w:rPr>
          <w:rStyle w:val="BodyTextFi"/>
        </w:rPr>
        <w:t xml:space="preserve">low-income </w:t>
      </w:r>
      <w:r w:rsidR="005E1CCB">
        <w:rPr>
          <w:rStyle w:val="BodyTextFi"/>
        </w:rPr>
        <w:t>people</w:t>
      </w:r>
      <w:r w:rsidRPr="00E73EB6">
        <w:rPr>
          <w:rStyle w:val="BodyTextFi"/>
        </w:rPr>
        <w:t xml:space="preserve"> with HIV.</w:t>
      </w:r>
      <w:r w:rsidRPr="00E73EB6">
        <w:rPr>
          <w:rFonts w:eastAsia="MS Mincho"/>
        </w:rPr>
        <w:t xml:space="preserve"> </w:t>
      </w:r>
      <w:r w:rsidRPr="00E73EB6">
        <w:t>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w:t>
      </w:r>
      <w:r w:rsidRPr="00D41F62">
        <w:t xml:space="preserve"> </w:t>
      </w:r>
    </w:p>
    <w:p w:rsidR="009E3F19" w:rsidRPr="00D41F62" w:rsidP="00D41F62" w14:paraId="1271EB07" w14:textId="1C373D38">
      <w:pPr>
        <w:pStyle w:val="BodyText2"/>
      </w:pPr>
    </w:p>
    <w:p w:rsidR="00A14048" w:rsidRPr="007062BE" w:rsidP="00BC48AE" w14:paraId="18572E05" w14:textId="587CE259">
      <w:pPr>
        <w:pStyle w:val="BodyText"/>
        <w:rPr>
          <w:i/>
          <w:sz w:val="24"/>
          <w:szCs w:val="24"/>
        </w:rPr>
      </w:pPr>
      <w:r w:rsidRPr="007062BE">
        <w:rPr>
          <w:sz w:val="24"/>
          <w:szCs w:val="24"/>
        </w:rPr>
        <w:t xml:space="preserve">The RWHAP Allocations and Expenditures Reports (A&amp;E Reports) allow HRSA </w:t>
      </w:r>
      <w:r w:rsidR="001568D1">
        <w:rPr>
          <w:sz w:val="24"/>
          <w:szCs w:val="24"/>
        </w:rPr>
        <w:t>HIV/AIDS Bureau (</w:t>
      </w:r>
      <w:r w:rsidRPr="007062BE">
        <w:rPr>
          <w:sz w:val="24"/>
          <w:szCs w:val="24"/>
        </w:rPr>
        <w:t>HAB</w:t>
      </w:r>
      <w:r w:rsidR="001568D1">
        <w:rPr>
          <w:sz w:val="24"/>
          <w:szCs w:val="24"/>
        </w:rPr>
        <w:t>)</w:t>
      </w:r>
      <w:r w:rsidRPr="007062BE">
        <w:rPr>
          <w:sz w:val="24"/>
          <w:szCs w:val="24"/>
        </w:rPr>
        <w:t xml:space="preserve"> to monitor and track the use of grant funds for compliance with program and grants policies, and requirements as outlined in the legislation. To avoid duplication and reduce recipient reporting burden, HRSA HAB created an electronic grantee contract management system (GCMS) that includes data required for various reports, including the Allocations Reports and other HRSA HAB data reports, such as the RWHAP Services Report (RSR). Recipients can </w:t>
      </w:r>
      <w:r w:rsidRPr="007062BE">
        <w:rPr>
          <w:sz w:val="24"/>
          <w:szCs w:val="24"/>
        </w:rPr>
        <w:t xml:space="preserve">access GCMS year-round to upload or manually enter data on their service provider contractors or subrecipients, the RWHAP core medical and support services provided, and their funding amounts. Data required for Allocations Reports and other reports are automatically prepopulated from GCMS. Expenditures Report data are not </w:t>
      </w:r>
      <w:r w:rsidRPr="007062BE">
        <w:rPr>
          <w:sz w:val="24"/>
          <w:szCs w:val="24"/>
        </w:rPr>
        <w:t>auto-populated</w:t>
      </w:r>
      <w:r w:rsidRPr="007062BE">
        <w:rPr>
          <w:sz w:val="24"/>
          <w:szCs w:val="24"/>
        </w:rPr>
        <w:t xml:space="preserve"> in the GCMS, and are thus still manually entered into the data reporting system. </w:t>
      </w:r>
    </w:p>
    <w:p w:rsidR="00A14048" w:rsidRPr="007062BE" w:rsidP="007062BE" w14:paraId="638D4683" w14:textId="31DC691A">
      <w:pPr>
        <w:rPr>
          <w:i/>
          <w:sz w:val="24"/>
          <w:szCs w:val="24"/>
        </w:rPr>
      </w:pPr>
      <w:r w:rsidRPr="007062BE">
        <w:rPr>
          <w:i/>
          <w:sz w:val="24"/>
          <w:szCs w:val="24"/>
        </w:rPr>
        <w:t>Allocations and Expenditures (A&amp;E) Reports</w:t>
      </w:r>
    </w:p>
    <w:p w:rsidR="00D41F62" w:rsidP="00AD194D" w14:paraId="72360F2D" w14:textId="38C38834">
      <w:pPr>
        <w:rPr>
          <w:sz w:val="24"/>
          <w:szCs w:val="24"/>
        </w:rPr>
      </w:pPr>
      <w:r>
        <w:rPr>
          <w:sz w:val="24"/>
          <w:szCs w:val="24"/>
        </w:rPr>
        <w:t xml:space="preserve">RWHAP </w:t>
      </w:r>
      <w:r w:rsidR="00A324CF">
        <w:rPr>
          <w:sz w:val="24"/>
          <w:szCs w:val="24"/>
        </w:rPr>
        <w:t>r</w:t>
      </w:r>
      <w:r w:rsidRPr="007062BE" w:rsidR="00A14048">
        <w:rPr>
          <w:sz w:val="24"/>
          <w:szCs w:val="24"/>
        </w:rPr>
        <w:t xml:space="preserve">ecipients funded under RWHAP Parts A, B, C, and D are required to report financial data to HRSA at the beginning (Allocations Report) and at the end </w:t>
      </w:r>
      <w:r w:rsidRPr="007062BE" w:rsidR="00A324CF">
        <w:rPr>
          <w:sz w:val="24"/>
          <w:szCs w:val="24"/>
        </w:rPr>
        <w:t>(Expenditures Report)</w:t>
      </w:r>
      <w:r w:rsidR="00A324CF">
        <w:rPr>
          <w:sz w:val="24"/>
          <w:szCs w:val="24"/>
        </w:rPr>
        <w:t xml:space="preserve"> </w:t>
      </w:r>
      <w:r w:rsidRPr="007062BE" w:rsidR="00A14048">
        <w:rPr>
          <w:sz w:val="24"/>
          <w:szCs w:val="24"/>
        </w:rPr>
        <w:t xml:space="preserve">of their grant budget period. The A&amp;E Reports request information recipients already collect, including the use of RWHAP grant funds for core medical and support services; and on various program components, such as administration, planning and evaluation, and clinical quality management. </w:t>
      </w:r>
      <w:r w:rsidRPr="007062BE" w:rsidR="00A14048">
        <w:rPr>
          <w:bCs/>
          <w:sz w:val="24"/>
          <w:szCs w:val="24"/>
        </w:rPr>
        <w:t>RWHAP Parts A and B recipients funded under the Ending the HIV Epidemic</w:t>
      </w:r>
      <w:r w:rsidR="00A324CF">
        <w:rPr>
          <w:bCs/>
          <w:sz w:val="24"/>
          <w:szCs w:val="24"/>
        </w:rPr>
        <w:t xml:space="preserve"> in the U.S. (EHE)</w:t>
      </w:r>
      <w:r w:rsidRPr="007062BE" w:rsidR="00A14048">
        <w:rPr>
          <w:bCs/>
          <w:sz w:val="24"/>
          <w:szCs w:val="24"/>
        </w:rPr>
        <w:t xml:space="preserve"> </w:t>
      </w:r>
      <w:r w:rsidR="00A324CF">
        <w:rPr>
          <w:bCs/>
          <w:sz w:val="24"/>
          <w:szCs w:val="24"/>
        </w:rPr>
        <w:t>i</w:t>
      </w:r>
      <w:r w:rsidRPr="007062BE" w:rsidR="00A14048">
        <w:rPr>
          <w:bCs/>
          <w:sz w:val="24"/>
          <w:szCs w:val="24"/>
        </w:rPr>
        <w:t xml:space="preserve">nitiative are also required to </w:t>
      </w:r>
      <w:r w:rsidRPr="007062BE" w:rsidR="00A14048">
        <w:rPr>
          <w:color w:val="000000" w:themeColor="text1"/>
          <w:sz w:val="24"/>
          <w:szCs w:val="24"/>
        </w:rPr>
        <w:t xml:space="preserve">report allocations and expenditures </w:t>
      </w:r>
      <w:r w:rsidR="00A324CF">
        <w:rPr>
          <w:color w:val="000000" w:themeColor="text1"/>
          <w:sz w:val="24"/>
          <w:szCs w:val="24"/>
        </w:rPr>
        <w:t xml:space="preserve">of the grant budget period </w:t>
      </w:r>
      <w:r w:rsidRPr="007062BE" w:rsidR="00A14048">
        <w:rPr>
          <w:color w:val="000000" w:themeColor="text1"/>
          <w:sz w:val="24"/>
          <w:szCs w:val="24"/>
        </w:rPr>
        <w:t xml:space="preserve">in the </w:t>
      </w:r>
      <w:r w:rsidR="00A324CF">
        <w:rPr>
          <w:color w:val="000000" w:themeColor="text1"/>
          <w:sz w:val="24"/>
          <w:szCs w:val="24"/>
        </w:rPr>
        <w:t xml:space="preserve">EHE </w:t>
      </w:r>
      <w:r w:rsidRPr="007062BE" w:rsidR="00A14048">
        <w:rPr>
          <w:color w:val="000000" w:themeColor="text1"/>
          <w:sz w:val="24"/>
          <w:szCs w:val="24"/>
        </w:rPr>
        <w:t>A&amp;E Reports. This allows HRSA HAB to track and report progress toward meeting the EHE goals.</w:t>
      </w:r>
      <w:r w:rsidRPr="007062BE" w:rsidR="00A14048">
        <w:rPr>
          <w:bCs/>
          <w:sz w:val="24"/>
          <w:szCs w:val="24"/>
        </w:rPr>
        <w:t xml:space="preserve"> </w:t>
      </w:r>
      <w:r w:rsidRPr="007062BE" w:rsidR="00A14048">
        <w:rPr>
          <w:sz w:val="24"/>
          <w:szCs w:val="24"/>
        </w:rPr>
        <w:t>The reports are similar in content; however, in the first report, recipients document the allocation of their RWHAP grant award at the beginning of their grant budget period. In the second report, recipients document actual expenditures of their RWHAP grant award (including any carryover dollars) at the end of their grant budget period.</w:t>
      </w:r>
      <w:r w:rsidR="00BC48AE">
        <w:rPr>
          <w:sz w:val="24"/>
          <w:szCs w:val="24"/>
        </w:rPr>
        <w:t xml:space="preserve"> </w:t>
      </w:r>
    </w:p>
    <w:p w:rsidR="00BC48AE" w:rsidP="00AD194D" w14:paraId="404D0829" w14:textId="663EDB7E">
      <w:pPr>
        <w:rPr>
          <w:sz w:val="24"/>
          <w:szCs w:val="24"/>
        </w:rPr>
      </w:pPr>
    </w:p>
    <w:p w:rsidR="00EF59A0" w:rsidRPr="0004280F" w:rsidP="00EF59A0" w14:paraId="5E210C67" w14:textId="77777777">
      <w:pPr>
        <w:rPr>
          <w:sz w:val="24"/>
          <w:szCs w:val="24"/>
        </w:rPr>
      </w:pPr>
      <w:r>
        <w:rPr>
          <w:sz w:val="24"/>
          <w:szCs w:val="24"/>
        </w:rPr>
        <w:t xml:space="preserve">This package only includes the Allocations Report. The Expenditure Report will be sent for OMB approval in a separate Information Collection Request package. </w:t>
      </w:r>
    </w:p>
    <w:p w:rsidR="0004280F" w:rsidRPr="00D41F62" w:rsidP="009E3F19" w14:paraId="67B9FC1B" w14:textId="77777777">
      <w:pPr>
        <w:rPr>
          <w:rStyle w:val="1"/>
          <w:rFonts w:ascii="Times New Roman" w:hAnsi="Times New Roman"/>
          <w:sz w:val="24"/>
          <w:szCs w:val="24"/>
        </w:rPr>
      </w:pPr>
    </w:p>
    <w:p w:rsidR="00533918" w:rsidRPr="00A50FCD" w:rsidP="00A50FCD" w14:paraId="742708D5" w14:textId="323DE58B">
      <w:pPr>
        <w:pStyle w:val="Heading2"/>
        <w:pBdr>
          <w:bottom w:val="none" w:sz="0" w:space="0" w:color="auto"/>
        </w:pBdr>
        <w:spacing w:before="0" w:after="0"/>
        <w:ind w:left="360" w:hanging="360"/>
        <w:rPr>
          <w:b/>
          <w:bCs/>
          <w:color w:val="auto"/>
          <w:u w:val="single"/>
        </w:rPr>
      </w:pPr>
      <w:bookmarkStart w:id="2" w:name="_Toc209407053"/>
      <w:r>
        <w:rPr>
          <w:b/>
          <w:bCs/>
          <w:color w:val="auto"/>
        </w:rPr>
        <w:t xml:space="preserve"> </w:t>
      </w:r>
      <w:r w:rsidRPr="00863839">
        <w:rPr>
          <w:b/>
          <w:bCs/>
          <w:color w:val="auto"/>
        </w:rPr>
        <w:t xml:space="preserve">2. </w:t>
      </w:r>
      <w:r w:rsidRPr="00A12E52" w:rsidR="00A12E52">
        <w:rPr>
          <w:b/>
          <w:color w:val="auto"/>
        </w:rPr>
        <w:tab/>
      </w:r>
      <w:r w:rsidRPr="00863839">
        <w:rPr>
          <w:b/>
          <w:bCs/>
          <w:color w:val="auto"/>
          <w:u w:val="single"/>
        </w:rPr>
        <w:t>Purpose and Use of Information</w:t>
      </w:r>
      <w:bookmarkEnd w:id="2"/>
      <w:r w:rsidRPr="00863839" w:rsidR="00A12E52">
        <w:rPr>
          <w:b/>
          <w:bCs/>
          <w:color w:val="auto"/>
          <w:u w:val="single"/>
        </w:rPr>
        <w:t xml:space="preserve"> Collection</w:t>
      </w:r>
    </w:p>
    <w:p w:rsidR="00533918" w14:paraId="188AD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70CF5" w:rsidP="00DF09E5" w14:paraId="5B380F9F" w14:textId="4A025431">
      <w:pPr>
        <w:tabs>
          <w:tab w:val="num" w:pos="720"/>
          <w:tab w:val="left" w:pos="5868"/>
          <w:tab w:val="left" w:pos="7398"/>
        </w:tabs>
        <w:rPr>
          <w:sz w:val="24"/>
          <w:szCs w:val="24"/>
        </w:rPr>
      </w:pPr>
      <w:r w:rsidRPr="00E73EB6">
        <w:rPr>
          <w:rStyle w:val="BodyTextFi"/>
          <w:sz w:val="24"/>
        </w:rPr>
        <w:t>The purpose of collecting these data</w:t>
      </w:r>
      <w:r>
        <w:rPr>
          <w:rStyle w:val="BodyTextFi"/>
          <w:sz w:val="24"/>
        </w:rPr>
        <w:t xml:space="preserve"> </w:t>
      </w:r>
      <w:r w:rsidR="00DD6CBE">
        <w:rPr>
          <w:rStyle w:val="BodyTextFi"/>
          <w:sz w:val="24"/>
        </w:rPr>
        <w:t xml:space="preserve">is to </w:t>
      </w:r>
      <w:r w:rsidRPr="00645F03">
        <w:rPr>
          <w:sz w:val="24"/>
          <w:szCs w:val="24"/>
        </w:rPr>
        <w:t>monitor and track the use of grant funds for compliance with program and grants policies, and requirements</w:t>
      </w:r>
      <w:r w:rsidR="007E721B">
        <w:rPr>
          <w:sz w:val="24"/>
          <w:szCs w:val="24"/>
        </w:rPr>
        <w:t xml:space="preserve"> and</w:t>
      </w:r>
      <w:r w:rsidRPr="00645F03">
        <w:rPr>
          <w:sz w:val="24"/>
          <w:szCs w:val="24"/>
        </w:rPr>
        <w:t xml:space="preserve"> </w:t>
      </w:r>
      <w:r w:rsidR="007E721B">
        <w:rPr>
          <w:sz w:val="24"/>
          <w:szCs w:val="24"/>
        </w:rPr>
        <w:t xml:space="preserve">ensures </w:t>
      </w:r>
      <w:r w:rsidRPr="00997B7D" w:rsidR="007E721B">
        <w:rPr>
          <w:sz w:val="24"/>
          <w:szCs w:val="24"/>
        </w:rPr>
        <w:t xml:space="preserve">that </w:t>
      </w:r>
      <w:r w:rsidR="00A324CF">
        <w:rPr>
          <w:sz w:val="24"/>
          <w:szCs w:val="24"/>
        </w:rPr>
        <w:t>RWHAP</w:t>
      </w:r>
      <w:r w:rsidRPr="00997B7D" w:rsidR="007E721B">
        <w:rPr>
          <w:sz w:val="24"/>
          <w:szCs w:val="24"/>
        </w:rPr>
        <w:t xml:space="preserve"> </w:t>
      </w:r>
      <w:r w:rsidR="00A324CF">
        <w:rPr>
          <w:sz w:val="24"/>
          <w:szCs w:val="24"/>
        </w:rPr>
        <w:t xml:space="preserve">or EHE </w:t>
      </w:r>
      <w:r w:rsidRPr="00997B7D" w:rsidR="007E721B">
        <w:rPr>
          <w:sz w:val="24"/>
          <w:szCs w:val="24"/>
        </w:rPr>
        <w:t>funds are spent on primary care and support services as outlined in the legislation</w:t>
      </w:r>
      <w:r w:rsidR="007062BE">
        <w:rPr>
          <w:sz w:val="24"/>
          <w:szCs w:val="24"/>
        </w:rPr>
        <w:t>.</w:t>
      </w:r>
      <w:r w:rsidRPr="00997B7D">
        <w:rPr>
          <w:sz w:val="24"/>
          <w:szCs w:val="24"/>
        </w:rPr>
        <w:t xml:space="preserve"> </w:t>
      </w:r>
    </w:p>
    <w:p w:rsidR="00C70CF5" w:rsidP="00DF09E5" w14:paraId="2026B87C" w14:textId="77777777">
      <w:pPr>
        <w:tabs>
          <w:tab w:val="num" w:pos="720"/>
          <w:tab w:val="left" w:pos="5868"/>
          <w:tab w:val="left" w:pos="7398"/>
        </w:tabs>
        <w:rPr>
          <w:sz w:val="24"/>
          <w:szCs w:val="24"/>
        </w:rPr>
      </w:pPr>
    </w:p>
    <w:p w:rsidR="00997B7D" w:rsidP="00997B7D" w14:paraId="06AAEF17" w14:textId="5E9D9B09">
      <w:pPr>
        <w:pStyle w:val="BodyText2"/>
      </w:pPr>
      <w:r w:rsidRPr="007F237B">
        <w:t xml:space="preserve">The data that will be collected and reported on the </w:t>
      </w:r>
      <w:r>
        <w:t>A</w:t>
      </w:r>
      <w:r w:rsidR="00440242">
        <w:t xml:space="preserve">llocations </w:t>
      </w:r>
      <w:r>
        <w:t xml:space="preserve">Forms </w:t>
      </w:r>
      <w:r w:rsidRPr="007F237B">
        <w:t>will be used</w:t>
      </w:r>
      <w:r>
        <w:t>:</w:t>
      </w:r>
    </w:p>
    <w:p w:rsidR="00997B7D" w:rsidP="00997B7D" w14:paraId="39F1906E" w14:textId="77777777">
      <w:pPr>
        <w:pStyle w:val="BodyText2"/>
      </w:pPr>
    </w:p>
    <w:p w:rsidR="00997B7D" w:rsidP="00997B7D" w14:paraId="66A2F741" w14:textId="48F35080">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sidRPr="008564C9">
        <w:t xml:space="preserve">To determine </w:t>
      </w:r>
      <w:r w:rsidRPr="008564C9">
        <w:t xml:space="preserve">whether </w:t>
      </w:r>
      <w:r>
        <w:t>or not</w:t>
      </w:r>
      <w:r>
        <w:t xml:space="preserve"> the following</w:t>
      </w:r>
      <w:r w:rsidRPr="008564C9">
        <w:t xml:space="preserve"> grant requirements were met:</w:t>
      </w:r>
    </w:p>
    <w:p w:rsidR="00DD6CCD" w:rsidRPr="005D2861" w:rsidP="00DD6CCD" w14:paraId="614552C1" w14:textId="5F0C7B7B">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Recipients must</w:t>
      </w:r>
      <w:r w:rsidRPr="005D2861">
        <w:t xml:space="preserve"> allocate their entire grant award</w:t>
      </w:r>
    </w:p>
    <w:p w:rsidR="00DD6CCD" w:rsidRPr="005D2861" w:rsidP="00DD6CCD" w14:paraId="3B84B14C" w14:textId="33368632">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A</w:t>
      </w:r>
      <w:r w:rsidRPr="005D2861">
        <w:t xml:space="preserve">t least 75% of grant funds </w:t>
      </w:r>
      <w:r>
        <w:t>must be</w:t>
      </w:r>
      <w:r w:rsidRPr="005D2861">
        <w:t xml:space="preserve"> </w:t>
      </w:r>
      <w:r w:rsidR="009142B1">
        <w:t>allocated to</w:t>
      </w:r>
      <w:r w:rsidRPr="005D2861">
        <w:t xml:space="preserve"> core medical services</w:t>
      </w:r>
      <w:r>
        <w:t xml:space="preserve"> for Parts A-C</w:t>
      </w:r>
    </w:p>
    <w:p w:rsidR="00DD6CCD" w:rsidRPr="005D2861" w:rsidP="00DD6CCD" w14:paraId="6C927BC3" w14:textId="7AD43785">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grant funds can be </w:t>
      </w:r>
      <w:r w:rsidR="00110E2E">
        <w:t>allocated</w:t>
      </w:r>
      <w:r w:rsidR="005D07F8">
        <w:t xml:space="preserve"> to </w:t>
      </w:r>
      <w:r>
        <w:t>recipient</w:t>
      </w:r>
      <w:r w:rsidRPr="005D2861">
        <w:t xml:space="preserve"> administration</w:t>
      </w:r>
      <w:r>
        <w:t xml:space="preserve"> for Parts A, C, and D</w:t>
      </w:r>
    </w:p>
    <w:p w:rsidR="00DD6CCD" w:rsidRPr="005D2861" w:rsidP="00DD6CCD" w14:paraId="4AA2C8CC" w14:textId="0D818243">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Part B grant funds can be </w:t>
      </w:r>
      <w:r w:rsidR="00110E2E">
        <w:t>allocated</w:t>
      </w:r>
      <w:r w:rsidR="005D07F8">
        <w:t xml:space="preserve"> </w:t>
      </w:r>
      <w:r w:rsidR="00110E2E">
        <w:t>to</w:t>
      </w:r>
      <w:r w:rsidRPr="005D2861">
        <w:t xml:space="preserve"> either planning and evaluation, or </w:t>
      </w:r>
      <w:r>
        <w:t>recipient</w:t>
      </w:r>
      <w:r w:rsidRPr="005D2861">
        <w:t xml:space="preserve"> administration. In addition, the combined total of these two categories should not exceed 15%</w:t>
      </w:r>
      <w:r>
        <w:t>.</w:t>
      </w:r>
    </w:p>
    <w:p w:rsidR="00DF09E5" w:rsidP="00DF09E5" w14:paraId="5CC1B071" w14:textId="11B7B249">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T</w:t>
      </w:r>
      <w:r w:rsidR="00997B7D">
        <w:t>o monitor grant funds for compliance</w:t>
      </w:r>
      <w:r w:rsidRPr="008564C9" w:rsidR="00997B7D">
        <w:t xml:space="preserve"> on the amounts allocated </w:t>
      </w:r>
      <w:r w:rsidR="00116B99">
        <w:t xml:space="preserve">to </w:t>
      </w:r>
      <w:r w:rsidRPr="008564C9" w:rsidR="00997B7D">
        <w:t xml:space="preserve">specific program components and service categories. </w:t>
      </w:r>
    </w:p>
    <w:p w:rsidR="00644361" w:rsidRPr="001568D1" w:rsidP="00DF09E5" w14:paraId="559151D7" w14:textId="5308B94F">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sidRPr="001568D1">
        <w:rPr>
          <w:lang w:eastAsia="en-US"/>
        </w:rPr>
        <w:t>T</w:t>
      </w:r>
      <w:r w:rsidRPr="001568D1" w:rsidR="00DF09E5">
        <w:rPr>
          <w:lang w:eastAsia="en-US"/>
        </w:rPr>
        <w:t xml:space="preserve">o assess progress toward meeting the national </w:t>
      </w:r>
      <w:r w:rsidRPr="001636EE" w:rsidR="00DF09E5">
        <w:rPr>
          <w:lang w:eastAsia="en-US"/>
        </w:rPr>
        <w:t>goals for ending the HIV epidemic.</w:t>
      </w:r>
    </w:p>
    <w:p w:rsidR="00533918" w:rsidRPr="00997B7D" w:rsidP="007062BE" w14:paraId="6DC7F514" w14:textId="3321DB55">
      <w:pPr>
        <w:pStyle w:val="BodyText2"/>
        <w:ind w:left="360"/>
        <w:rPr>
          <w:rStyle w:val="BodyTextFi"/>
        </w:rPr>
      </w:pPr>
      <w:r w:rsidRPr="008564C9">
        <w:t xml:space="preserve">In addition to meeting the goal of accountability to Congress, clients, advocacy groups, and the </w:t>
      </w:r>
      <w:r w:rsidRPr="008564C9">
        <w:t>general public</w:t>
      </w:r>
      <w:r w:rsidRPr="008564C9">
        <w:t>, information collected is critical for HRSA, state</w:t>
      </w:r>
      <w:r w:rsidR="00AB07D8">
        <w:t>,</w:t>
      </w:r>
      <w:r w:rsidRPr="008564C9">
        <w:t xml:space="preserve"> and local </w:t>
      </w:r>
      <w:r>
        <w:t>recipient</w:t>
      </w:r>
      <w:r w:rsidRPr="008564C9">
        <w:t xml:space="preserve">s, and individual providers to assess the status of existing HIV-related service delivery systems. The partnership between HRSA, </w:t>
      </w:r>
      <w:r>
        <w:t>recipient</w:t>
      </w:r>
      <w:r w:rsidRPr="008564C9">
        <w:t>s, providers</w:t>
      </w:r>
      <w:r w:rsidR="005B0DBD">
        <w:t>,</w:t>
      </w:r>
      <w:r w:rsidRPr="008564C9">
        <w:t xml:space="preserve"> and clients has provided a unique opportunity to ensure that all parties share in the benefits of accurate information to promote improved care for</w:t>
      </w:r>
      <w:r w:rsidR="00E767E8">
        <w:t xml:space="preserve"> people with HIV</w:t>
      </w:r>
      <w:r w:rsidRPr="008564C9">
        <w:t xml:space="preserve"> and their families. The collective responsibility to ensure that grant dollars are being spent </w:t>
      </w:r>
      <w:r>
        <w:t>as intended</w:t>
      </w:r>
      <w:r w:rsidRPr="008564C9">
        <w:t xml:space="preserve"> requires a commitment at every level.</w:t>
      </w:r>
    </w:p>
    <w:p w:rsidR="00533918" w14:paraId="2B11F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533918" w:rsidRPr="00A50FCD" w14:paraId="6A9AC4EE" w14:textId="77777777">
      <w:pPr>
        <w:pStyle w:val="ColorfulList-Accent1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3" w:name="_Toc209407054"/>
      <w:r w:rsidRPr="00863839">
        <w:rPr>
          <w:b/>
          <w:bCs/>
          <w:sz w:val="24"/>
          <w:szCs w:val="24"/>
        </w:rPr>
        <w:t xml:space="preserve">3. </w:t>
      </w:r>
      <w:r w:rsidRPr="00A12E52" w:rsidR="00A12E52">
        <w:rPr>
          <w:b/>
          <w:sz w:val="24"/>
        </w:rPr>
        <w:tab/>
      </w:r>
      <w:r w:rsidRPr="00863839">
        <w:rPr>
          <w:b/>
          <w:bCs/>
          <w:sz w:val="24"/>
          <w:szCs w:val="24"/>
          <w:u w:val="single"/>
        </w:rPr>
        <w:t>Use of Improved Information Technology</w:t>
      </w:r>
      <w:bookmarkEnd w:id="3"/>
      <w:r w:rsidRPr="00E720BF" w:rsidR="00A12E52">
        <w:rPr>
          <w:b/>
          <w:bCs/>
          <w:sz w:val="24"/>
          <w:szCs w:val="24"/>
          <w:u w:val="single"/>
        </w:rPr>
        <w:t xml:space="preserve"> and Burden Reduction</w:t>
      </w:r>
    </w:p>
    <w:p w:rsidR="00533918" w14:paraId="4E81D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533918" w:rsidRPr="00D60B92" w14:paraId="3D67FA3E" w14:textId="168A12D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60B92">
        <w:rPr>
          <w:sz w:val="24"/>
          <w:szCs w:val="24"/>
        </w:rPr>
        <w:t>All submissions will be fully electronic in the Electronic Handbooks (EHB). To avoid duplication and reduce recipient reporting burden, HRSA</w:t>
      </w:r>
      <w:r>
        <w:rPr>
          <w:sz w:val="24"/>
          <w:szCs w:val="24"/>
        </w:rPr>
        <w:t xml:space="preserve"> also</w:t>
      </w:r>
      <w:r w:rsidRPr="00D60B92">
        <w:rPr>
          <w:sz w:val="24"/>
          <w:szCs w:val="24"/>
        </w:rPr>
        <w:t xml:space="preserve"> created an electronic grantee contract management system (GCMS) that includes data required for various reports, including the Allocations Reports, </w:t>
      </w:r>
      <w:r w:rsidRPr="00781088">
        <w:rPr>
          <w:sz w:val="24"/>
          <w:szCs w:val="24"/>
        </w:rPr>
        <w:t xml:space="preserve">the </w:t>
      </w:r>
      <w:r w:rsidRPr="00781088" w:rsidR="00781088">
        <w:rPr>
          <w:sz w:val="24"/>
          <w:szCs w:val="24"/>
        </w:rPr>
        <w:t xml:space="preserve">Consolidated List of Contractors </w:t>
      </w:r>
      <w:r w:rsidRPr="00781088">
        <w:rPr>
          <w:sz w:val="24"/>
          <w:szCs w:val="24"/>
        </w:rPr>
        <w:t>CLC</w:t>
      </w:r>
      <w:r w:rsidR="005B0DBD">
        <w:rPr>
          <w:sz w:val="24"/>
          <w:szCs w:val="24"/>
        </w:rPr>
        <w:t>,</w:t>
      </w:r>
      <w:r w:rsidRPr="00D60B92">
        <w:rPr>
          <w:sz w:val="24"/>
          <w:szCs w:val="24"/>
        </w:rPr>
        <w:t xml:space="preserve"> and other HRSA data reports, such as the RWHAP Services Report. Recipients can access GCMS year-round to upload or manually enter data on their service providers</w:t>
      </w:r>
      <w:r w:rsidR="00277DCF">
        <w:rPr>
          <w:sz w:val="24"/>
          <w:szCs w:val="24"/>
        </w:rPr>
        <w:t>,</w:t>
      </w:r>
      <w:r w:rsidRPr="00D60B92">
        <w:rPr>
          <w:sz w:val="24"/>
          <w:szCs w:val="24"/>
        </w:rPr>
        <w:t xml:space="preserve"> contractors</w:t>
      </w:r>
      <w:r w:rsidR="005B0DBD">
        <w:rPr>
          <w:sz w:val="24"/>
          <w:szCs w:val="24"/>
        </w:rPr>
        <w:t>,</w:t>
      </w:r>
      <w:r w:rsidRPr="00D60B92">
        <w:rPr>
          <w:sz w:val="24"/>
          <w:szCs w:val="24"/>
        </w:rPr>
        <w:t xml:space="preserve"> or subrecipients, the RWHAP core medical and support services provided, and their funding amounts. GCMS automatically repopulations the data required for the Allocations Reports and other reports.</w:t>
      </w:r>
    </w:p>
    <w:p w:rsidR="00D60B92" w14:paraId="614831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A50FCD" w14:paraId="58F7FE27" w14:textId="4AEF3351">
      <w:pPr>
        <w:pStyle w:val="Heading2"/>
        <w:pBdr>
          <w:bottom w:val="none" w:sz="0" w:space="0" w:color="auto"/>
        </w:pBdr>
        <w:tabs>
          <w:tab w:val="left" w:pos="360"/>
        </w:tabs>
        <w:spacing w:before="0" w:after="0"/>
        <w:rPr>
          <w:b/>
          <w:bCs/>
          <w:color w:val="auto"/>
          <w:u w:val="single"/>
        </w:rPr>
      </w:pPr>
      <w:r w:rsidRPr="00863839">
        <w:rPr>
          <w:b/>
          <w:bCs/>
          <w:color w:val="auto"/>
        </w:rPr>
        <w:t>4.</w:t>
      </w:r>
      <w:r w:rsidRPr="00A12E52" w:rsidR="00A12E52">
        <w:rPr>
          <w:b/>
          <w:color w:val="auto"/>
        </w:rPr>
        <w:tab/>
      </w:r>
      <w:r w:rsidRPr="00863839">
        <w:rPr>
          <w:b/>
          <w:bCs/>
          <w:color w:val="auto"/>
        </w:rPr>
        <w:t xml:space="preserve"> </w:t>
      </w:r>
      <w:bookmarkStart w:id="4" w:name="_Toc209407055"/>
      <w:r w:rsidRPr="00863839">
        <w:rPr>
          <w:b/>
          <w:bCs/>
          <w:color w:val="auto"/>
          <w:u w:val="single"/>
        </w:rPr>
        <w:t>Efforts to Identify Duplication</w:t>
      </w:r>
      <w:bookmarkEnd w:id="4"/>
      <w:r w:rsidRPr="00E720BF" w:rsidR="00A12E52">
        <w:rPr>
          <w:b/>
          <w:bCs/>
          <w:color w:val="auto"/>
          <w:u w:val="single"/>
        </w:rPr>
        <w:t xml:space="preserve"> and Use of Similar Information</w:t>
      </w:r>
    </w:p>
    <w:p w:rsidR="00D60B92" w:rsidRPr="00D60B92" w:rsidP="00D60B92" w14:paraId="559092A6" w14:textId="77777777"/>
    <w:p w:rsidR="00D60B92" w:rsidRPr="007F237B" w:rsidP="00D60B92" w14:paraId="74C158AB" w14:textId="2CFB6AC8">
      <w:pPr>
        <w:pStyle w:val="BodyText2"/>
        <w:rPr>
          <w:highlight w:val="yellow"/>
        </w:rPr>
      </w:pPr>
      <w:r>
        <w:rPr>
          <w:rStyle w:val="BodyTextFi"/>
        </w:rPr>
        <w:t>The information that is requested in the A</w:t>
      </w:r>
      <w:r w:rsidR="00012342">
        <w:rPr>
          <w:rStyle w:val="BodyTextFi"/>
        </w:rPr>
        <w:t xml:space="preserve">llocations </w:t>
      </w:r>
      <w:r>
        <w:rPr>
          <w:rStyle w:val="BodyTextFi"/>
        </w:rPr>
        <w:t xml:space="preserve">Report is unique to HRSA’s </w:t>
      </w:r>
      <w:r w:rsidR="00A324CF">
        <w:rPr>
          <w:rStyle w:val="BodyTextFi"/>
        </w:rPr>
        <w:t>RWHAP and EHE</w:t>
      </w:r>
      <w:r>
        <w:rPr>
          <w:rStyle w:val="BodyTextFi"/>
        </w:rPr>
        <w:t xml:space="preserve"> grant programs. Accounting d</w:t>
      </w:r>
      <w:r w:rsidRPr="00703672">
        <w:rPr>
          <w:rStyle w:val="BodyTextFi"/>
        </w:rPr>
        <w:t xml:space="preserve">ata of the type required are not available elsewhere. </w:t>
      </w:r>
    </w:p>
    <w:p w:rsidR="00533918" w14:paraId="6A5B59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533918" w:rsidRPr="00A50FCD" w:rsidP="00A50FCD" w14:paraId="4D98835F" w14:textId="77777777">
      <w:pPr>
        <w:pStyle w:val="Heading2"/>
        <w:pBdr>
          <w:bottom w:val="none" w:sz="0" w:space="0" w:color="auto"/>
        </w:pBdr>
        <w:tabs>
          <w:tab w:val="left" w:pos="360"/>
        </w:tabs>
        <w:spacing w:before="0" w:after="0"/>
        <w:rPr>
          <w:b/>
          <w:bCs/>
          <w:color w:val="auto"/>
          <w:u w:val="single"/>
        </w:rPr>
      </w:pPr>
      <w:bookmarkStart w:id="5" w:name="_Toc209407056"/>
      <w:r w:rsidRPr="00863839">
        <w:rPr>
          <w:b/>
          <w:bCs/>
          <w:color w:val="auto"/>
        </w:rPr>
        <w:t xml:space="preserve">5. </w:t>
      </w:r>
      <w:r w:rsidRPr="00A12E52" w:rsidR="00A12E52">
        <w:rPr>
          <w:b/>
          <w:color w:val="auto"/>
        </w:rPr>
        <w:tab/>
      </w:r>
      <w:bookmarkEnd w:id="5"/>
      <w:r w:rsidRPr="00863839" w:rsidR="00A12E52">
        <w:rPr>
          <w:b/>
          <w:bCs/>
          <w:color w:val="auto"/>
          <w:u w:val="single"/>
        </w:rPr>
        <w:t>Impact on Small Businesses or Other Small Entities</w:t>
      </w:r>
    </w:p>
    <w:p w:rsidR="00533918" w14:paraId="6EF4B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D60B92" w:rsidRPr="00703672" w:rsidP="00D60B92" w14:paraId="49F1AD97" w14:textId="77777777">
      <w:pPr>
        <w:pStyle w:val="BodyText2"/>
        <w:rPr>
          <w:rStyle w:val="BodyTextFi"/>
        </w:rPr>
      </w:pPr>
      <w:r w:rsidRPr="00703672">
        <w:rPr>
          <w:rStyle w:val="BodyTextFi"/>
        </w:rPr>
        <w:t>This informa</w:t>
      </w:r>
      <w:r>
        <w:rPr>
          <w:rStyle w:val="BodyTextFi"/>
        </w:rPr>
        <w:t>tion collection does not have a significant impact on</w:t>
      </w:r>
      <w:r w:rsidRPr="00703672">
        <w:rPr>
          <w:rStyle w:val="BodyTextFi"/>
        </w:rPr>
        <w:t xml:space="preserve"> small businesses or other small entities.</w:t>
      </w:r>
    </w:p>
    <w:p w:rsidR="00533918" w14:paraId="68ED8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3918" w14:paraId="7B82E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3918" w:rsidRPr="00A50FCD" w:rsidP="00A50FCD" w14:paraId="6845C69E" w14:textId="77777777">
      <w:pPr>
        <w:pStyle w:val="Heading2"/>
        <w:pBdr>
          <w:bottom w:val="none" w:sz="0" w:space="0" w:color="auto"/>
        </w:pBdr>
        <w:tabs>
          <w:tab w:val="left" w:pos="360"/>
        </w:tabs>
        <w:spacing w:before="0" w:after="0"/>
        <w:rPr>
          <w:b/>
          <w:bCs/>
          <w:color w:val="auto"/>
          <w:u w:val="single"/>
        </w:rPr>
      </w:pPr>
      <w:bookmarkStart w:id="6" w:name="_Toc209407057"/>
      <w:r w:rsidRPr="00863839">
        <w:rPr>
          <w:b/>
          <w:bCs/>
          <w:color w:val="auto"/>
        </w:rPr>
        <w:t>6.</w:t>
      </w:r>
      <w:r w:rsidRPr="00A12E52" w:rsidR="00A12E52">
        <w:rPr>
          <w:b/>
          <w:color w:val="auto"/>
        </w:rPr>
        <w:tab/>
      </w:r>
      <w:r w:rsidRPr="00863839">
        <w:rPr>
          <w:b/>
          <w:bCs/>
          <w:color w:val="auto"/>
        </w:rPr>
        <w:t xml:space="preserve"> </w:t>
      </w:r>
      <w:r w:rsidRPr="00863839">
        <w:rPr>
          <w:b/>
          <w:bCs/>
          <w:color w:val="auto"/>
          <w:u w:val="single"/>
        </w:rPr>
        <w:t xml:space="preserve">Consequences </w:t>
      </w:r>
      <w:r w:rsidRPr="00E720BF" w:rsidR="00A12E52">
        <w:rPr>
          <w:b/>
          <w:bCs/>
          <w:color w:val="auto"/>
          <w:u w:val="single"/>
        </w:rPr>
        <w:t>of Collecting the Information</w:t>
      </w:r>
      <w:r w:rsidRPr="00E720BF">
        <w:rPr>
          <w:b/>
          <w:bCs/>
          <w:color w:val="auto"/>
          <w:u w:val="single"/>
        </w:rPr>
        <w:t xml:space="preserve"> Less Frequently</w:t>
      </w:r>
      <w:bookmarkEnd w:id="6"/>
    </w:p>
    <w:p w:rsidR="00533918" w14:paraId="57E18EDD" w14:textId="77777777"/>
    <w:p w:rsidR="00D60B92" w:rsidRPr="00D60B92" w:rsidP="00D60B92" w14:paraId="2ACE7A38" w14:textId="1A876982">
      <w:pPr>
        <w:pStyle w:val="BodyText2"/>
        <w:rPr>
          <w:rStyle w:val="BodyTextFi"/>
        </w:rPr>
      </w:pPr>
      <w:r w:rsidRPr="00DC0BEE">
        <w:rPr>
          <w:rStyle w:val="BodyTextFi"/>
        </w:rPr>
        <w:t xml:space="preserve">Without annual reporting on the use of grant funds, HRSA would not be able to carry out its responsibility to oversee compliance with the intent of Congressional appropriations in a timely manner. Because the epidemiology of </w:t>
      </w:r>
      <w:r>
        <w:rPr>
          <w:rStyle w:val="BodyTextFi"/>
        </w:rPr>
        <w:t>HIV</w:t>
      </w:r>
      <w:r w:rsidRPr="00DC0BEE">
        <w:rPr>
          <w:rStyle w:val="BodyTextFi"/>
        </w:rPr>
        <w:t xml:space="preserve"> is changing constantly, annual reporting of </w:t>
      </w:r>
      <w:r>
        <w:rPr>
          <w:rStyle w:val="BodyTextFi"/>
        </w:rPr>
        <w:t xml:space="preserve">recipient </w:t>
      </w:r>
      <w:r w:rsidRPr="00D60B92">
        <w:rPr>
          <w:rStyle w:val="BodyTextFi"/>
        </w:rPr>
        <w:t>allocations and expenditures is necessary to determine whether the administration of the funds is responding to these changes.</w:t>
      </w:r>
    </w:p>
    <w:p w:rsidR="00D60B92" w:rsidRPr="00D60B92" w:rsidP="00D60B92" w14:paraId="57E76D07" w14:textId="77777777">
      <w:pPr>
        <w:pStyle w:val="BodyText2"/>
        <w:rPr>
          <w:rStyle w:val="BodyTextFi"/>
        </w:rPr>
      </w:pPr>
    </w:p>
    <w:p w:rsidR="00D60B92" w:rsidRPr="00D60B92" w:rsidP="00D60B92" w14:paraId="4E337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If the information is not collected at all, </w:t>
      </w:r>
    </w:p>
    <w:p w:rsidR="00D60B92" w:rsidRPr="00D60B92" w:rsidP="00D60B92" w14:paraId="276F17F1" w14:textId="41C76DBF">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HRSA will not know and will not be able to report on how funds are being allocated and whether or not </w:t>
      </w:r>
      <w:r w:rsidR="00282EBC">
        <w:rPr>
          <w:rStyle w:val="BodyTextFi"/>
          <w:sz w:val="24"/>
          <w:szCs w:val="24"/>
        </w:rPr>
        <w:t>a</w:t>
      </w:r>
      <w:r w:rsidR="00E46D59">
        <w:rPr>
          <w:rStyle w:val="BodyTextFi"/>
          <w:sz w:val="24"/>
          <w:szCs w:val="24"/>
        </w:rPr>
        <w:t>llocation</w:t>
      </w:r>
      <w:r w:rsidRPr="00D60B92">
        <w:rPr>
          <w:rStyle w:val="BodyTextFi"/>
          <w:sz w:val="24"/>
          <w:szCs w:val="24"/>
        </w:rPr>
        <w:t xml:space="preserve"> requirements are being </w:t>
      </w:r>
      <w:r w:rsidRPr="00D60B92">
        <w:rPr>
          <w:rStyle w:val="BodyTextFi"/>
          <w:sz w:val="24"/>
          <w:szCs w:val="24"/>
        </w:rPr>
        <w:t>met;</w:t>
      </w:r>
      <w:r w:rsidRPr="00D60B92">
        <w:rPr>
          <w:rStyle w:val="BodyTextFi"/>
          <w:sz w:val="24"/>
          <w:szCs w:val="24"/>
        </w:rPr>
        <w:t xml:space="preserve"> </w:t>
      </w:r>
    </w:p>
    <w:p w:rsidR="00D60B92" w:rsidRPr="00D60B92" w:rsidP="00D60B92" w14:paraId="6BF64D4B" w14:textId="29BA2D06">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ulletInden"/>
          <w:sz w:val="24"/>
          <w:szCs w:val="24"/>
        </w:rPr>
      </w:pPr>
      <w:r w:rsidRPr="00D60B92">
        <w:rPr>
          <w:rStyle w:val="BulletInden"/>
          <w:sz w:val="24"/>
          <w:szCs w:val="24"/>
        </w:rPr>
        <w:t xml:space="preserve">It would be difficult to determine how the allocation of </w:t>
      </w:r>
      <w:r w:rsidR="00A324CF">
        <w:rPr>
          <w:rStyle w:val="BulletInden"/>
          <w:sz w:val="24"/>
          <w:szCs w:val="24"/>
        </w:rPr>
        <w:t>RWHAP</w:t>
      </w:r>
      <w:r w:rsidRPr="00D60B92">
        <w:rPr>
          <w:rStyle w:val="BulletInden"/>
          <w:sz w:val="24"/>
          <w:szCs w:val="24"/>
        </w:rPr>
        <w:t xml:space="preserve"> funds are changing from one year to the next.</w:t>
      </w:r>
    </w:p>
    <w:p w:rsidR="00533918" w14:paraId="3EC1828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060D4F5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7" w:name="_Toc209407058"/>
      <w:r w:rsidRPr="00863839">
        <w:rPr>
          <w:b/>
          <w:bCs/>
          <w:sz w:val="24"/>
          <w:szCs w:val="24"/>
        </w:rPr>
        <w:t>7.</w:t>
      </w:r>
      <w:r w:rsidRPr="00A12E52" w:rsidR="00A12E52">
        <w:rPr>
          <w:b/>
          <w:sz w:val="24"/>
        </w:rPr>
        <w:tab/>
      </w:r>
      <w:r w:rsidRPr="00863839">
        <w:rPr>
          <w:b/>
          <w:bCs/>
          <w:sz w:val="24"/>
          <w:szCs w:val="24"/>
        </w:rPr>
        <w:t xml:space="preserve"> </w:t>
      </w:r>
      <w:r w:rsidRPr="00863839" w:rsidR="00A12E52">
        <w:rPr>
          <w:b/>
          <w:bCs/>
          <w:sz w:val="24"/>
          <w:szCs w:val="24"/>
          <w:u w:val="single"/>
        </w:rPr>
        <w:t xml:space="preserve">Special Circumstances Relating to the </w:t>
      </w:r>
      <w:r w:rsidRPr="00E720BF">
        <w:rPr>
          <w:b/>
          <w:bCs/>
          <w:sz w:val="24"/>
          <w:szCs w:val="24"/>
          <w:u w:val="single"/>
        </w:rPr>
        <w:t>Guidelines in 5 CFR 1320.5</w:t>
      </w:r>
      <w:bookmarkEnd w:id="7"/>
    </w:p>
    <w:p w:rsidR="00533918" w14:paraId="47AA4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6B186C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The data will be collected in a manner fully consistent with the guidelines in 5 CFR 1320.</w:t>
      </w:r>
      <w:r w:rsidRPr="00E720BF" w:rsidR="00A12E52">
        <w:rPr>
          <w:rStyle w:val="BodyTextFi"/>
          <w:sz w:val="24"/>
          <w:szCs w:val="24"/>
        </w:rPr>
        <w:t>5</w:t>
      </w:r>
      <w:r w:rsidRPr="00E720BF">
        <w:rPr>
          <w:rStyle w:val="BodyTextFi"/>
          <w:sz w:val="24"/>
          <w:szCs w:val="24"/>
        </w:rPr>
        <w:t>.</w:t>
      </w:r>
    </w:p>
    <w:p w:rsidR="00533918" w14:paraId="23165A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14:paraId="2B98856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1541BC66"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8" w:name="_Toc209407059"/>
      <w:r w:rsidRPr="00863839">
        <w:rPr>
          <w:b/>
          <w:bCs/>
          <w:sz w:val="24"/>
          <w:szCs w:val="24"/>
        </w:rPr>
        <w:t xml:space="preserve">8. </w:t>
      </w:r>
      <w:r w:rsidRPr="00A12E52" w:rsidR="00A12E52">
        <w:rPr>
          <w:b/>
          <w:sz w:val="24"/>
        </w:rPr>
        <w:tab/>
      </w:r>
      <w:r w:rsidRPr="00863839">
        <w:rPr>
          <w:b/>
          <w:bCs/>
          <w:sz w:val="24"/>
          <w:szCs w:val="24"/>
          <w:u w:val="single"/>
        </w:rPr>
        <w:t>C</w:t>
      </w:r>
      <w:r w:rsidRPr="00863839" w:rsidR="00A12E52">
        <w:rPr>
          <w:b/>
          <w:bCs/>
          <w:sz w:val="24"/>
          <w:szCs w:val="24"/>
          <w:u w:val="single"/>
        </w:rPr>
        <w:t>omments in Response to the Federal Register Notice/Outside C</w:t>
      </w:r>
      <w:r w:rsidRPr="00E720BF">
        <w:rPr>
          <w:b/>
          <w:bCs/>
          <w:sz w:val="24"/>
          <w:szCs w:val="24"/>
          <w:u w:val="single"/>
        </w:rPr>
        <w:t>onsultation</w:t>
      </w:r>
      <w:bookmarkEnd w:id="8"/>
    </w:p>
    <w:p w:rsidR="00533918" w14:paraId="15E5469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A12E52" w:rsidRPr="00A50FCD" w14:paraId="17D19E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8A:</w:t>
      </w:r>
    </w:p>
    <w:p w:rsidR="00A12E52" w14:paraId="5FB8267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B7445E" w14:paraId="295D5E23" w14:textId="57178C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E73EB6">
        <w:rPr>
          <w:sz w:val="24"/>
        </w:rPr>
        <w:t xml:space="preserve">A 60-day Federal Register Notice was published in the </w:t>
      </w:r>
      <w:r w:rsidRPr="00E73EB6">
        <w:rPr>
          <w:i/>
          <w:iCs/>
          <w:sz w:val="24"/>
        </w:rPr>
        <w:t>Federal Register</w:t>
      </w:r>
      <w:r w:rsidRPr="00E73EB6">
        <w:rPr>
          <w:sz w:val="24"/>
        </w:rPr>
        <w:t xml:space="preserve"> on November </w:t>
      </w:r>
      <w:r w:rsidR="00B02DF3">
        <w:rPr>
          <w:sz w:val="24"/>
        </w:rPr>
        <w:t>22</w:t>
      </w:r>
      <w:r w:rsidRPr="00E73EB6">
        <w:rPr>
          <w:sz w:val="24"/>
        </w:rPr>
        <w:t>, 2022 (Vol. 87, No. 2</w:t>
      </w:r>
      <w:r w:rsidR="00996F0C">
        <w:rPr>
          <w:sz w:val="24"/>
        </w:rPr>
        <w:t>24</w:t>
      </w:r>
      <w:r w:rsidRPr="00E73EB6">
        <w:rPr>
          <w:sz w:val="24"/>
        </w:rPr>
        <w:t xml:space="preserve">, pp. </w:t>
      </w:r>
      <w:r w:rsidR="00B02DF3">
        <w:rPr>
          <w:sz w:val="24"/>
        </w:rPr>
        <w:t>71339</w:t>
      </w:r>
      <w:r w:rsidRPr="00E73EB6">
        <w:rPr>
          <w:sz w:val="24"/>
        </w:rPr>
        <w:t>–</w:t>
      </w:r>
      <w:r w:rsidR="00021A94">
        <w:rPr>
          <w:sz w:val="24"/>
        </w:rPr>
        <w:t>40</w:t>
      </w:r>
      <w:r w:rsidRPr="00E73EB6">
        <w:rPr>
          <w:sz w:val="24"/>
        </w:rPr>
        <w:t xml:space="preserve">).   </w:t>
      </w:r>
      <w:r w:rsidRPr="00517AFB">
        <w:rPr>
          <w:rStyle w:val="BodyTextFi"/>
          <w:sz w:val="24"/>
        </w:rPr>
        <w:t>No comments were received</w:t>
      </w:r>
      <w:r w:rsidRPr="00517AFB">
        <w:rPr>
          <w:sz w:val="24"/>
        </w:rPr>
        <w:t>.</w:t>
      </w:r>
      <w:r w:rsidR="00EF59A0">
        <w:rPr>
          <w:sz w:val="24"/>
        </w:rPr>
        <w:t xml:space="preserve">  </w:t>
      </w:r>
      <w:r w:rsidRPr="00E73EB6" w:rsidR="00EF59A0">
        <w:rPr>
          <w:sz w:val="24"/>
        </w:rPr>
        <w:t xml:space="preserve">A </w:t>
      </w:r>
      <w:r w:rsidR="00EF59A0">
        <w:rPr>
          <w:sz w:val="24"/>
        </w:rPr>
        <w:t>30</w:t>
      </w:r>
      <w:r w:rsidRPr="00E73EB6" w:rsidR="00EF59A0">
        <w:rPr>
          <w:sz w:val="24"/>
        </w:rPr>
        <w:t xml:space="preserve">-day Federal Register Notice was published in the </w:t>
      </w:r>
      <w:r w:rsidRPr="00E73EB6" w:rsidR="00EF59A0">
        <w:rPr>
          <w:i/>
          <w:iCs/>
          <w:sz w:val="24"/>
        </w:rPr>
        <w:t>Federal Register</w:t>
      </w:r>
      <w:r w:rsidRPr="00E73EB6" w:rsidR="00EF59A0">
        <w:rPr>
          <w:sz w:val="24"/>
        </w:rPr>
        <w:t xml:space="preserve"> </w:t>
      </w:r>
      <w:r w:rsidR="00EF59A0">
        <w:rPr>
          <w:sz w:val="24"/>
        </w:rPr>
        <w:t xml:space="preserve">on </w:t>
      </w:r>
      <w:r w:rsidR="00414F52">
        <w:rPr>
          <w:sz w:val="24"/>
        </w:rPr>
        <w:t>February 8, 2023</w:t>
      </w:r>
      <w:r w:rsidR="00EF59A0">
        <w:rPr>
          <w:sz w:val="24"/>
        </w:rPr>
        <w:t xml:space="preserve"> </w:t>
      </w:r>
      <w:r w:rsidRPr="00E73EB6" w:rsidR="00EF59A0">
        <w:rPr>
          <w:sz w:val="24"/>
        </w:rPr>
        <w:t>(Vol. 8</w:t>
      </w:r>
      <w:r w:rsidR="00EF59A0">
        <w:rPr>
          <w:sz w:val="24"/>
        </w:rPr>
        <w:t>8</w:t>
      </w:r>
      <w:r w:rsidRPr="00E73EB6" w:rsidR="00EF59A0">
        <w:rPr>
          <w:sz w:val="24"/>
        </w:rPr>
        <w:t xml:space="preserve">, No. </w:t>
      </w:r>
      <w:r w:rsidR="00A45AC4">
        <w:rPr>
          <w:sz w:val="24"/>
        </w:rPr>
        <w:t>26</w:t>
      </w:r>
      <w:r w:rsidRPr="00E73EB6" w:rsidR="00EF59A0">
        <w:rPr>
          <w:sz w:val="24"/>
        </w:rPr>
        <w:t xml:space="preserve">, pp. </w:t>
      </w:r>
      <w:r w:rsidR="00A45AC4">
        <w:rPr>
          <w:sz w:val="24"/>
        </w:rPr>
        <w:t xml:space="preserve">8295-8297). </w:t>
      </w:r>
    </w:p>
    <w:p w:rsidR="00DF09E5" w14:paraId="0778BBB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p>
    <w:p w:rsidR="00A12E52" w:rsidRPr="00A50FCD" w14:paraId="7DF12F57" w14:textId="267C3E8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8B:</w:t>
      </w:r>
    </w:p>
    <w:p w:rsidR="00B76F54" w:rsidRPr="00E73EB6" w:rsidP="00B76F54" w14:paraId="1440B569" w14:textId="58D3ACB1">
      <w:pPr>
        <w:tabs>
          <w:tab w:val="left" w:pos="360"/>
        </w:tabs>
        <w:spacing w:before="240"/>
        <w:rPr>
          <w:bCs/>
          <w:sz w:val="24"/>
        </w:rPr>
      </w:pPr>
      <w:r w:rsidRPr="00E73EB6">
        <w:rPr>
          <w:bCs/>
          <w:sz w:val="24"/>
        </w:rPr>
        <w:t xml:space="preserve">In October 2022, </w:t>
      </w:r>
      <w:r w:rsidR="00654D5F">
        <w:rPr>
          <w:bCs/>
          <w:sz w:val="24"/>
        </w:rPr>
        <w:t>nine</w:t>
      </w:r>
      <w:r w:rsidR="000E44C6">
        <w:rPr>
          <w:bCs/>
          <w:sz w:val="24"/>
        </w:rPr>
        <w:t xml:space="preserve"> </w:t>
      </w:r>
      <w:r w:rsidRPr="00E73EB6">
        <w:rPr>
          <w:bCs/>
          <w:sz w:val="24"/>
        </w:rPr>
        <w:t>grant recipients</w:t>
      </w:r>
      <w:r w:rsidR="00444BB0">
        <w:rPr>
          <w:bCs/>
          <w:sz w:val="24"/>
        </w:rPr>
        <w:t xml:space="preserve"> (Part A, Part B, Part C, Part D</w:t>
      </w:r>
      <w:r w:rsidR="000E44C6">
        <w:rPr>
          <w:bCs/>
          <w:sz w:val="24"/>
        </w:rPr>
        <w:t>,</w:t>
      </w:r>
      <w:r w:rsidR="00444BB0">
        <w:rPr>
          <w:bCs/>
          <w:sz w:val="24"/>
        </w:rPr>
        <w:t xml:space="preserve"> and HAB EHE)</w:t>
      </w:r>
      <w:r w:rsidRPr="00E73EB6">
        <w:rPr>
          <w:bCs/>
          <w:sz w:val="24"/>
        </w:rPr>
        <w:t xml:space="preserve"> were</w:t>
      </w:r>
      <w:r w:rsidR="00FC0A8E">
        <w:rPr>
          <w:bCs/>
          <w:sz w:val="24"/>
        </w:rPr>
        <w:t xml:space="preserve"> asked for their input on </w:t>
      </w:r>
      <w:r w:rsidR="00456C89">
        <w:rPr>
          <w:bCs/>
          <w:sz w:val="24"/>
        </w:rPr>
        <w:t>the potential</w:t>
      </w:r>
      <w:r w:rsidR="00FC0A8E">
        <w:rPr>
          <w:bCs/>
          <w:sz w:val="24"/>
        </w:rPr>
        <w:t xml:space="preserve"> burden and impact</w:t>
      </w:r>
      <w:r w:rsidR="007E0E6E">
        <w:rPr>
          <w:bCs/>
          <w:sz w:val="24"/>
        </w:rPr>
        <w:t xml:space="preserve"> of the new changes in the Allocations Forms on their data reporting activities</w:t>
      </w:r>
      <w:r w:rsidR="00D71AEF">
        <w:rPr>
          <w:bCs/>
          <w:sz w:val="24"/>
        </w:rPr>
        <w:t>.</w:t>
      </w:r>
      <w:r w:rsidRPr="00E73EB6">
        <w:rPr>
          <w:bCs/>
          <w:sz w:val="24"/>
        </w:rPr>
        <w:t xml:space="preserve"> The </w:t>
      </w:r>
      <w:r w:rsidR="000E44C6">
        <w:rPr>
          <w:bCs/>
          <w:sz w:val="24"/>
        </w:rPr>
        <w:t>nine</w:t>
      </w:r>
      <w:r w:rsidRPr="00E73EB6">
        <w:rPr>
          <w:bCs/>
          <w:sz w:val="24"/>
        </w:rPr>
        <w:t xml:space="preserve"> recipients stated that the changes would not result in a burden increase </w:t>
      </w:r>
      <w:r w:rsidR="00D71AEF">
        <w:rPr>
          <w:bCs/>
          <w:sz w:val="24"/>
        </w:rPr>
        <w:t xml:space="preserve">and did not anticipate any </w:t>
      </w:r>
      <w:r w:rsidRPr="00E73EB6">
        <w:rPr>
          <w:bCs/>
          <w:sz w:val="24"/>
        </w:rPr>
        <w:t>challenges</w:t>
      </w:r>
      <w:r w:rsidR="00456C89">
        <w:rPr>
          <w:bCs/>
          <w:sz w:val="24"/>
        </w:rPr>
        <w:t xml:space="preserve"> to their reporting activities</w:t>
      </w:r>
      <w:r w:rsidRPr="00E73EB6">
        <w:rPr>
          <w:bCs/>
          <w:sz w:val="24"/>
        </w:rPr>
        <w:t xml:space="preserve">.   </w:t>
      </w:r>
    </w:p>
    <w:p w:rsidR="000C3C1D" w:rsidP="002B402B" w14:paraId="38253159" w14:textId="77777777">
      <w:pPr>
        <w:rPr>
          <w:sz w:val="24"/>
          <w:szCs w:val="24"/>
        </w:rPr>
      </w:pPr>
    </w:p>
    <w:p w:rsidR="009A0EC4" w:rsidP="00FC2A9E" w14:paraId="43ACD8DB" w14:textId="590814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00533918" w:rsidRPr="00A50FCD" w14:paraId="74CE9AF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9" w:name="_Toc209407060"/>
      <w:r w:rsidRPr="00863839">
        <w:rPr>
          <w:b/>
          <w:bCs/>
          <w:sz w:val="24"/>
          <w:szCs w:val="24"/>
        </w:rPr>
        <w:t>9.</w:t>
      </w:r>
      <w:r w:rsidRPr="00A12E52" w:rsidR="00A12E52">
        <w:rPr>
          <w:b/>
          <w:sz w:val="24"/>
        </w:rPr>
        <w:tab/>
      </w:r>
      <w:r w:rsidRPr="00863839" w:rsidR="00A12E52">
        <w:rPr>
          <w:b/>
          <w:bCs/>
          <w:sz w:val="24"/>
          <w:szCs w:val="24"/>
          <w:u w:val="single"/>
        </w:rPr>
        <w:t xml:space="preserve">Explanation of any Payment/Gift to </w:t>
      </w:r>
      <w:r w:rsidRPr="00863839">
        <w:rPr>
          <w:b/>
          <w:bCs/>
          <w:sz w:val="24"/>
          <w:szCs w:val="24"/>
          <w:u w:val="single"/>
        </w:rPr>
        <w:t>Respondents</w:t>
      </w:r>
      <w:bookmarkEnd w:id="9"/>
    </w:p>
    <w:p w:rsidR="00533918" w14:paraId="351CD40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2DFEA44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The proposed collection of information does not involve any remuneration </w:t>
      </w:r>
      <w:r w:rsidRPr="00863839" w:rsidR="00AC07E2">
        <w:rPr>
          <w:rStyle w:val="BodyTextFi"/>
          <w:sz w:val="24"/>
          <w:szCs w:val="24"/>
        </w:rPr>
        <w:t>to respondents.</w:t>
      </w:r>
    </w:p>
    <w:p w:rsidR="00533918" w14:paraId="1CEFFC53" w14:textId="55939379">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bookmarkStart w:id="10" w:name="_Toc209407061"/>
    </w:p>
    <w:p w:rsidR="00443083" w14:paraId="198D7981"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p>
    <w:p w:rsidR="00533918" w:rsidRPr="00A50FCD" w14:paraId="1B0521BA" w14:textId="77777777">
      <w:pPr>
        <w:pStyle w:val="ColorfulList-Accent1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r w:rsidRPr="00863839">
        <w:rPr>
          <w:b/>
          <w:bCs/>
          <w:sz w:val="24"/>
          <w:szCs w:val="24"/>
        </w:rPr>
        <w:t>1</w:t>
      </w:r>
      <w:r w:rsidRPr="00863839" w:rsidR="00974BA6">
        <w:rPr>
          <w:b/>
          <w:bCs/>
          <w:sz w:val="24"/>
          <w:szCs w:val="24"/>
        </w:rPr>
        <w:t>0.</w:t>
      </w:r>
      <w:r w:rsidRPr="00974BA6" w:rsidR="00974BA6">
        <w:rPr>
          <w:b/>
          <w:sz w:val="24"/>
        </w:rPr>
        <w:tab/>
      </w:r>
      <w:r w:rsidRPr="00863839">
        <w:rPr>
          <w:b/>
          <w:bCs/>
          <w:sz w:val="24"/>
          <w:szCs w:val="24"/>
          <w:u w:val="single"/>
        </w:rPr>
        <w:t>Assurance of Confidentiality</w:t>
      </w:r>
      <w:bookmarkEnd w:id="10"/>
      <w:r w:rsidRPr="00E720BF" w:rsidR="00974BA6">
        <w:rPr>
          <w:b/>
          <w:bCs/>
          <w:sz w:val="24"/>
          <w:szCs w:val="24"/>
          <w:u w:val="single"/>
        </w:rPr>
        <w:t xml:space="preserve"> Provided to Respondents</w:t>
      </w:r>
    </w:p>
    <w:p w:rsidR="00533918" w14:paraId="2EEBA5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DB6190" w:rsidRPr="00DC0BEE" w:rsidP="00DB6190" w14:paraId="77415922" w14:textId="0584BC2E">
      <w:pPr>
        <w:pStyle w:val="BodyText2"/>
      </w:pPr>
      <w:r w:rsidRPr="00DC0BEE">
        <w:t xml:space="preserve">The </w:t>
      </w:r>
      <w:r w:rsidR="0095363F">
        <w:t xml:space="preserve">Allocations </w:t>
      </w:r>
      <w:r>
        <w:t xml:space="preserve">Form </w:t>
      </w:r>
      <w:r w:rsidR="00385CC4">
        <w:t>is</w:t>
      </w:r>
      <w:r w:rsidR="0095363F">
        <w:t xml:space="preserve"> a</w:t>
      </w:r>
      <w:r w:rsidRPr="00DC0BEE">
        <w:t xml:space="preserve"> financial </w:t>
      </w:r>
      <w:r w:rsidR="00385CC4">
        <w:t>report</w:t>
      </w:r>
      <w:r w:rsidRPr="00DC0BEE" w:rsidR="00385CC4">
        <w:t xml:space="preserve"> </w:t>
      </w:r>
      <w:r w:rsidRPr="00DC0BEE">
        <w:t xml:space="preserve">and </w:t>
      </w:r>
      <w:r w:rsidR="00385CC4">
        <w:t>does</w:t>
      </w:r>
      <w:r w:rsidRPr="00DC0BEE" w:rsidR="00385CC4">
        <w:t xml:space="preserve"> </w:t>
      </w:r>
      <w:r w:rsidRPr="00DC0BEE">
        <w:t>not require any information that could identify individual clients. Names and personal identifiers are not included in these financial reports.</w:t>
      </w:r>
      <w:r>
        <w:t xml:space="preserve"> The Privacy Act is not applicable to this activity.</w:t>
      </w:r>
    </w:p>
    <w:p w:rsidR="00533918" w14:paraId="171F0549" w14:textId="4BBE7977">
      <w:pPr>
        <w:rPr>
          <w:sz w:val="24"/>
          <w:szCs w:val="24"/>
        </w:rPr>
      </w:pPr>
    </w:p>
    <w:p w:rsidR="00443083" w14:paraId="6546B8F9" w14:textId="77777777">
      <w:pPr>
        <w:rPr>
          <w:sz w:val="24"/>
          <w:szCs w:val="24"/>
        </w:rPr>
      </w:pPr>
    </w:p>
    <w:p w:rsidR="00533918" w:rsidRPr="00A50FCD" w:rsidP="00A50FCD" w14:paraId="40F56A8E" w14:textId="77777777">
      <w:pPr>
        <w:pStyle w:val="Heading2"/>
        <w:pBdr>
          <w:bottom w:val="none" w:sz="0" w:space="0" w:color="auto"/>
        </w:pBdr>
        <w:tabs>
          <w:tab w:val="left" w:pos="360"/>
        </w:tabs>
        <w:spacing w:before="0" w:after="0"/>
        <w:rPr>
          <w:b/>
          <w:bCs/>
          <w:color w:val="auto"/>
          <w:u w:val="single"/>
        </w:rPr>
      </w:pPr>
      <w:bookmarkStart w:id="11" w:name="_Toc209407062"/>
      <w:r w:rsidRPr="00863839">
        <w:rPr>
          <w:b/>
          <w:bCs/>
          <w:color w:val="auto"/>
        </w:rPr>
        <w:t>11.</w:t>
      </w:r>
      <w:r w:rsidRPr="00D93AE0">
        <w:rPr>
          <w:b/>
          <w:color w:val="auto"/>
        </w:rPr>
        <w:tab/>
      </w:r>
      <w:r w:rsidRPr="00863839">
        <w:rPr>
          <w:b/>
          <w:bCs/>
          <w:color w:val="auto"/>
          <w:u w:val="single"/>
        </w:rPr>
        <w:t xml:space="preserve">Justification for </w:t>
      </w:r>
      <w:r w:rsidRPr="00863839">
        <w:rPr>
          <w:b/>
          <w:bCs/>
          <w:color w:val="auto"/>
          <w:u w:val="single"/>
        </w:rPr>
        <w:t xml:space="preserve">Sensitive </w:t>
      </w:r>
      <w:bookmarkEnd w:id="11"/>
      <w:r w:rsidRPr="00E720BF">
        <w:rPr>
          <w:b/>
          <w:bCs/>
          <w:color w:val="auto"/>
          <w:u w:val="single"/>
        </w:rPr>
        <w:t>Questions</w:t>
      </w:r>
    </w:p>
    <w:p w:rsidR="00533918" w:rsidRPr="00D93AE0" w14:paraId="2205A18E" w14:textId="77777777">
      <w:pPr>
        <w:rPr>
          <w:sz w:val="24"/>
          <w:szCs w:val="24"/>
        </w:rPr>
      </w:pPr>
    </w:p>
    <w:p w:rsidR="00DB6190" w:rsidRPr="00BC20EE" w:rsidP="00DB6190" w14:paraId="0942BF03" w14:textId="77777777">
      <w:pPr>
        <w:pStyle w:val="BodyText2"/>
      </w:pPr>
      <w:r w:rsidRPr="00BC20EE">
        <w:t>There are no qu</w:t>
      </w:r>
      <w:r>
        <w:t xml:space="preserve">estions of a sensitive nature. </w:t>
      </w:r>
    </w:p>
    <w:p w:rsidR="00533918" w14:paraId="005BFF32" w14:textId="4952CF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43083" w14:paraId="08E4CDD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533918" w:rsidRPr="00A50FCD" w:rsidP="00A50FCD" w14:paraId="621A8D76" w14:textId="77777777">
      <w:pPr>
        <w:pStyle w:val="Heading2"/>
        <w:pBdr>
          <w:bottom w:val="none" w:sz="0" w:space="0" w:color="auto"/>
        </w:pBdr>
        <w:tabs>
          <w:tab w:val="left" w:pos="360"/>
        </w:tabs>
        <w:spacing w:before="0" w:after="0"/>
        <w:rPr>
          <w:b/>
          <w:bCs/>
          <w:color w:val="auto"/>
          <w:u w:val="single"/>
        </w:rPr>
      </w:pPr>
      <w:bookmarkStart w:id="12" w:name="_Toc209407063"/>
      <w:r w:rsidRPr="00863839">
        <w:rPr>
          <w:b/>
          <w:bCs/>
          <w:color w:val="auto"/>
        </w:rPr>
        <w:t>12.</w:t>
      </w:r>
      <w:r w:rsidRPr="00FF037F" w:rsidR="00974BA6">
        <w:rPr>
          <w:b/>
          <w:color w:val="auto"/>
        </w:rPr>
        <w:tab/>
      </w:r>
      <w:r w:rsidRPr="00863839">
        <w:rPr>
          <w:b/>
          <w:bCs/>
          <w:color w:val="auto"/>
        </w:rPr>
        <w:t xml:space="preserve"> </w:t>
      </w:r>
      <w:r w:rsidRPr="00863839">
        <w:rPr>
          <w:b/>
          <w:bCs/>
          <w:color w:val="auto"/>
          <w:u w:val="single"/>
        </w:rPr>
        <w:t xml:space="preserve">Estimates of Annualized Hour </w:t>
      </w:r>
      <w:r w:rsidRPr="00E720BF" w:rsidR="00974BA6">
        <w:rPr>
          <w:b/>
          <w:bCs/>
          <w:color w:val="auto"/>
          <w:u w:val="single"/>
        </w:rPr>
        <w:t xml:space="preserve">and Cost </w:t>
      </w:r>
      <w:r w:rsidRPr="00E720BF">
        <w:rPr>
          <w:b/>
          <w:bCs/>
          <w:color w:val="auto"/>
          <w:u w:val="single"/>
        </w:rPr>
        <w:t>Burden</w:t>
      </w:r>
      <w:bookmarkEnd w:id="12"/>
    </w:p>
    <w:p w:rsidR="00533918" w:rsidRPr="005A123F" w14:paraId="2FB1D2A4" w14:textId="77777777">
      <w:pPr>
        <w:rPr>
          <w:b/>
          <w:sz w:val="24"/>
          <w:szCs w:val="24"/>
          <w:highlight w:val="yellow"/>
        </w:rPr>
      </w:pPr>
    </w:p>
    <w:p w:rsidR="00C1044E" w:rsidP="00BC48AE" w14:paraId="67EF726B" w14:textId="77777777">
      <w:pPr>
        <w:rPr>
          <w:sz w:val="24"/>
          <w:szCs w:val="24"/>
        </w:rPr>
      </w:pPr>
      <w:r w:rsidRPr="00D1048D">
        <w:rPr>
          <w:sz w:val="24"/>
          <w:szCs w:val="24"/>
        </w:rPr>
        <w:t>The</w:t>
      </w:r>
      <w:r w:rsidRPr="00D1048D" w:rsidR="00E715F4">
        <w:rPr>
          <w:sz w:val="24"/>
          <w:szCs w:val="24"/>
        </w:rPr>
        <w:t xml:space="preserve"> </w:t>
      </w:r>
      <w:r w:rsidRPr="00D1048D" w:rsidR="00DB6190">
        <w:rPr>
          <w:sz w:val="24"/>
          <w:szCs w:val="24"/>
        </w:rPr>
        <w:t>estimated average annualized hour burden</w:t>
      </w:r>
      <w:r w:rsidRPr="00D1048D" w:rsidR="00E715F4">
        <w:rPr>
          <w:sz w:val="24"/>
          <w:szCs w:val="24"/>
        </w:rPr>
        <w:t xml:space="preserve"> collected </w:t>
      </w:r>
      <w:r w:rsidRPr="00D1048D">
        <w:rPr>
          <w:sz w:val="24"/>
          <w:szCs w:val="24"/>
        </w:rPr>
        <w:t xml:space="preserve">in </w:t>
      </w:r>
      <w:r w:rsidR="002907A5">
        <w:rPr>
          <w:sz w:val="24"/>
          <w:szCs w:val="24"/>
        </w:rPr>
        <w:t>October 2022</w:t>
      </w:r>
      <w:r w:rsidRPr="00D1048D">
        <w:rPr>
          <w:sz w:val="24"/>
          <w:szCs w:val="24"/>
        </w:rPr>
        <w:t xml:space="preserve"> </w:t>
      </w:r>
      <w:r w:rsidRPr="00D1048D" w:rsidR="00DB6190">
        <w:rPr>
          <w:sz w:val="24"/>
          <w:szCs w:val="24"/>
        </w:rPr>
        <w:t xml:space="preserve">is shown in Table 1.  </w:t>
      </w:r>
      <w:r>
        <w:rPr>
          <w:sz w:val="24"/>
          <w:szCs w:val="24"/>
        </w:rPr>
        <w:t xml:space="preserve">The total estimated </w:t>
      </w:r>
      <w:r w:rsidRPr="00376584">
        <w:rPr>
          <w:sz w:val="24"/>
          <w:szCs w:val="24"/>
        </w:rPr>
        <w:t xml:space="preserve">average for </w:t>
      </w:r>
      <w:r w:rsidR="0030062C">
        <w:rPr>
          <w:sz w:val="24"/>
          <w:szCs w:val="24"/>
        </w:rPr>
        <w:t>a</w:t>
      </w:r>
      <w:r w:rsidRPr="00376584">
        <w:rPr>
          <w:sz w:val="24"/>
          <w:szCs w:val="24"/>
        </w:rPr>
        <w:t xml:space="preserve"> year is </w:t>
      </w:r>
      <w:r w:rsidR="001E5D4C">
        <w:rPr>
          <w:sz w:val="24"/>
          <w:szCs w:val="24"/>
        </w:rPr>
        <w:t>2,568</w:t>
      </w:r>
      <w:r w:rsidR="00820346">
        <w:rPr>
          <w:sz w:val="24"/>
          <w:szCs w:val="24"/>
        </w:rPr>
        <w:t xml:space="preserve"> </w:t>
      </w:r>
      <w:r w:rsidR="001E5D4C">
        <w:rPr>
          <w:sz w:val="24"/>
          <w:szCs w:val="24"/>
        </w:rPr>
        <w:t>h</w:t>
      </w:r>
      <w:r w:rsidRPr="00376584">
        <w:rPr>
          <w:sz w:val="24"/>
          <w:szCs w:val="24"/>
        </w:rPr>
        <w:t xml:space="preserve">ours, which is </w:t>
      </w:r>
      <w:r w:rsidR="00C83F72">
        <w:rPr>
          <w:sz w:val="24"/>
          <w:szCs w:val="24"/>
        </w:rPr>
        <w:t xml:space="preserve">fewer </w:t>
      </w:r>
      <w:r w:rsidRPr="00376584">
        <w:rPr>
          <w:sz w:val="24"/>
          <w:szCs w:val="24"/>
        </w:rPr>
        <w:t xml:space="preserve">hours </w:t>
      </w:r>
      <w:r w:rsidR="00D10AA2">
        <w:rPr>
          <w:sz w:val="24"/>
          <w:szCs w:val="24"/>
        </w:rPr>
        <w:t>tha</w:t>
      </w:r>
      <w:r w:rsidR="00240360">
        <w:rPr>
          <w:sz w:val="24"/>
          <w:szCs w:val="24"/>
        </w:rPr>
        <w:t>n</w:t>
      </w:r>
      <w:r w:rsidR="00D10AA2">
        <w:rPr>
          <w:sz w:val="24"/>
          <w:szCs w:val="24"/>
        </w:rPr>
        <w:t xml:space="preserve"> w</w:t>
      </w:r>
      <w:r w:rsidR="00C83F72">
        <w:rPr>
          <w:sz w:val="24"/>
          <w:szCs w:val="24"/>
        </w:rPr>
        <w:t>as</w:t>
      </w:r>
      <w:r w:rsidR="00D10AA2">
        <w:rPr>
          <w:sz w:val="24"/>
          <w:szCs w:val="24"/>
        </w:rPr>
        <w:t xml:space="preserve"> </w:t>
      </w:r>
      <w:r w:rsidR="0030062C">
        <w:rPr>
          <w:sz w:val="24"/>
          <w:szCs w:val="24"/>
        </w:rPr>
        <w:t xml:space="preserve">reported </w:t>
      </w:r>
      <w:r w:rsidR="000D09DD">
        <w:rPr>
          <w:sz w:val="24"/>
          <w:szCs w:val="24"/>
        </w:rPr>
        <w:t xml:space="preserve">in the </w:t>
      </w:r>
      <w:r w:rsidR="00B557BB">
        <w:rPr>
          <w:sz w:val="24"/>
          <w:szCs w:val="24"/>
        </w:rPr>
        <w:t>previous</w:t>
      </w:r>
      <w:r w:rsidR="000D09DD">
        <w:rPr>
          <w:sz w:val="24"/>
          <w:szCs w:val="24"/>
        </w:rPr>
        <w:t xml:space="preserve"> submission</w:t>
      </w:r>
      <w:r w:rsidR="008A5CD2">
        <w:rPr>
          <w:sz w:val="24"/>
          <w:szCs w:val="24"/>
        </w:rPr>
        <w:t>.</w:t>
      </w:r>
      <w:r w:rsidRPr="00376584">
        <w:rPr>
          <w:sz w:val="24"/>
          <w:szCs w:val="24"/>
        </w:rPr>
        <w:t xml:space="preserve"> The</w:t>
      </w:r>
      <w:r w:rsidR="0030062C">
        <w:rPr>
          <w:sz w:val="24"/>
          <w:szCs w:val="24"/>
        </w:rPr>
        <w:t xml:space="preserve"> current </w:t>
      </w:r>
      <w:r w:rsidR="00321F50">
        <w:rPr>
          <w:sz w:val="24"/>
          <w:szCs w:val="24"/>
        </w:rPr>
        <w:t>burden</w:t>
      </w:r>
      <w:r w:rsidR="000C1600">
        <w:rPr>
          <w:sz w:val="24"/>
          <w:szCs w:val="24"/>
        </w:rPr>
        <w:t xml:space="preserve"> hours </w:t>
      </w:r>
      <w:r w:rsidR="00C83F72">
        <w:rPr>
          <w:sz w:val="24"/>
          <w:szCs w:val="24"/>
        </w:rPr>
        <w:t xml:space="preserve">do not </w:t>
      </w:r>
      <w:r w:rsidR="00240360">
        <w:rPr>
          <w:sz w:val="24"/>
          <w:szCs w:val="24"/>
        </w:rPr>
        <w:t xml:space="preserve">account for </w:t>
      </w:r>
      <w:r w:rsidR="00D71045">
        <w:rPr>
          <w:sz w:val="24"/>
          <w:szCs w:val="24"/>
        </w:rPr>
        <w:t xml:space="preserve">hours </w:t>
      </w:r>
      <w:r w:rsidR="00686283">
        <w:rPr>
          <w:sz w:val="24"/>
          <w:szCs w:val="24"/>
        </w:rPr>
        <w:t xml:space="preserve">required for the completion of the </w:t>
      </w:r>
      <w:r w:rsidR="00C03388">
        <w:rPr>
          <w:sz w:val="24"/>
          <w:szCs w:val="24"/>
        </w:rPr>
        <w:t>Expenditure</w:t>
      </w:r>
      <w:r w:rsidR="00686283">
        <w:rPr>
          <w:sz w:val="24"/>
          <w:szCs w:val="24"/>
        </w:rPr>
        <w:t xml:space="preserve"> </w:t>
      </w:r>
      <w:r w:rsidR="00BC48AE">
        <w:rPr>
          <w:sz w:val="24"/>
          <w:szCs w:val="24"/>
        </w:rPr>
        <w:t>Report</w:t>
      </w:r>
      <w:r w:rsidR="00177026">
        <w:rPr>
          <w:sz w:val="24"/>
          <w:szCs w:val="24"/>
        </w:rPr>
        <w:t>,</w:t>
      </w:r>
      <w:r w:rsidR="00321F50">
        <w:rPr>
          <w:sz w:val="24"/>
          <w:szCs w:val="24"/>
        </w:rPr>
        <w:t xml:space="preserve"> as</w:t>
      </w:r>
      <w:r w:rsidR="00686283">
        <w:rPr>
          <w:sz w:val="24"/>
          <w:szCs w:val="24"/>
        </w:rPr>
        <w:t xml:space="preserve"> was reported in the </w:t>
      </w:r>
      <w:r w:rsidR="00BD677F">
        <w:rPr>
          <w:sz w:val="24"/>
          <w:szCs w:val="24"/>
        </w:rPr>
        <w:t>previous</w:t>
      </w:r>
      <w:r w:rsidR="00686283">
        <w:rPr>
          <w:sz w:val="24"/>
          <w:szCs w:val="24"/>
        </w:rPr>
        <w:t xml:space="preserve"> </w:t>
      </w:r>
      <w:r w:rsidR="00BD677F">
        <w:rPr>
          <w:sz w:val="24"/>
          <w:szCs w:val="24"/>
        </w:rPr>
        <w:t xml:space="preserve">OMB </w:t>
      </w:r>
      <w:r w:rsidR="00686283">
        <w:rPr>
          <w:sz w:val="24"/>
          <w:szCs w:val="24"/>
        </w:rPr>
        <w:t xml:space="preserve">submission. </w:t>
      </w:r>
      <w:r w:rsidR="00F03413">
        <w:rPr>
          <w:sz w:val="24"/>
          <w:szCs w:val="24"/>
        </w:rPr>
        <w:t xml:space="preserve">For this submission, </w:t>
      </w:r>
      <w:r w:rsidR="009C5836">
        <w:rPr>
          <w:sz w:val="24"/>
          <w:szCs w:val="24"/>
        </w:rPr>
        <w:t>HRSA</w:t>
      </w:r>
      <w:r w:rsidR="00BD677F">
        <w:rPr>
          <w:sz w:val="24"/>
          <w:szCs w:val="24"/>
        </w:rPr>
        <w:t xml:space="preserve"> HAB</w:t>
      </w:r>
      <w:r w:rsidR="009C5836">
        <w:rPr>
          <w:sz w:val="24"/>
          <w:szCs w:val="24"/>
        </w:rPr>
        <w:t xml:space="preserve"> </w:t>
      </w:r>
      <w:r w:rsidR="00177026">
        <w:rPr>
          <w:sz w:val="24"/>
          <w:szCs w:val="24"/>
        </w:rPr>
        <w:t>propose</w:t>
      </w:r>
      <w:r w:rsidR="00106443">
        <w:rPr>
          <w:sz w:val="24"/>
          <w:szCs w:val="24"/>
        </w:rPr>
        <w:t>d</w:t>
      </w:r>
      <w:r w:rsidR="00E213FA">
        <w:rPr>
          <w:sz w:val="24"/>
          <w:szCs w:val="24"/>
        </w:rPr>
        <w:t xml:space="preserve"> to </w:t>
      </w:r>
      <w:r w:rsidR="009C5836">
        <w:rPr>
          <w:sz w:val="24"/>
          <w:szCs w:val="24"/>
        </w:rPr>
        <w:t xml:space="preserve">uncouple the forms and </w:t>
      </w:r>
      <w:r w:rsidR="00BD677F">
        <w:rPr>
          <w:sz w:val="24"/>
          <w:szCs w:val="24"/>
        </w:rPr>
        <w:t>submit</w:t>
      </w:r>
      <w:r w:rsidR="009C5836">
        <w:rPr>
          <w:sz w:val="24"/>
          <w:szCs w:val="24"/>
        </w:rPr>
        <w:t xml:space="preserve"> separate </w:t>
      </w:r>
      <w:r w:rsidR="002B73C6">
        <w:rPr>
          <w:sz w:val="24"/>
          <w:szCs w:val="24"/>
        </w:rPr>
        <w:t>packages</w:t>
      </w:r>
      <w:r w:rsidR="009C5836">
        <w:rPr>
          <w:sz w:val="24"/>
          <w:szCs w:val="24"/>
        </w:rPr>
        <w:t xml:space="preserve"> for</w:t>
      </w:r>
      <w:r w:rsidR="00BD677F">
        <w:rPr>
          <w:sz w:val="24"/>
          <w:szCs w:val="24"/>
        </w:rPr>
        <w:t xml:space="preserve"> OMB</w:t>
      </w:r>
      <w:r w:rsidR="009C5836">
        <w:rPr>
          <w:sz w:val="24"/>
          <w:szCs w:val="24"/>
        </w:rPr>
        <w:t xml:space="preserve"> approval.</w:t>
      </w:r>
      <w:r w:rsidR="007301DC">
        <w:rPr>
          <w:sz w:val="24"/>
          <w:szCs w:val="24"/>
        </w:rPr>
        <w:t xml:space="preserve"> </w:t>
      </w:r>
      <w:r w:rsidR="0030062C">
        <w:rPr>
          <w:sz w:val="24"/>
          <w:szCs w:val="24"/>
        </w:rPr>
        <w:t>However,</w:t>
      </w:r>
      <w:r w:rsidRPr="00D1048D">
        <w:rPr>
          <w:sz w:val="24"/>
          <w:szCs w:val="24"/>
        </w:rPr>
        <w:t xml:space="preserve"> none </w:t>
      </w:r>
      <w:r w:rsidR="007301DC">
        <w:rPr>
          <w:sz w:val="24"/>
          <w:szCs w:val="24"/>
        </w:rPr>
        <w:t>of the recipients</w:t>
      </w:r>
      <w:r w:rsidR="00BD677F">
        <w:rPr>
          <w:sz w:val="24"/>
          <w:szCs w:val="24"/>
        </w:rPr>
        <w:t xml:space="preserve"> contacted </w:t>
      </w:r>
      <w:r w:rsidRPr="00D1048D">
        <w:rPr>
          <w:sz w:val="24"/>
          <w:szCs w:val="24"/>
        </w:rPr>
        <w:t xml:space="preserve">reported </w:t>
      </w:r>
      <w:r w:rsidR="0030062C">
        <w:rPr>
          <w:sz w:val="24"/>
          <w:szCs w:val="24"/>
        </w:rPr>
        <w:t xml:space="preserve">that the changes would result in </w:t>
      </w:r>
      <w:r w:rsidRPr="00D1048D">
        <w:rPr>
          <w:sz w:val="24"/>
          <w:szCs w:val="24"/>
        </w:rPr>
        <w:t xml:space="preserve">an </w:t>
      </w:r>
      <w:r w:rsidRPr="00D1048D">
        <w:rPr>
          <w:sz w:val="24"/>
          <w:szCs w:val="24"/>
        </w:rPr>
        <w:t xml:space="preserve">increase in </w:t>
      </w:r>
      <w:r w:rsidR="0030062C">
        <w:rPr>
          <w:sz w:val="24"/>
          <w:szCs w:val="24"/>
        </w:rPr>
        <w:t xml:space="preserve">their </w:t>
      </w:r>
      <w:r w:rsidRPr="00D1048D">
        <w:rPr>
          <w:sz w:val="24"/>
          <w:szCs w:val="24"/>
        </w:rPr>
        <w:t>burden</w:t>
      </w:r>
      <w:r w:rsidR="00D71045">
        <w:rPr>
          <w:sz w:val="24"/>
          <w:szCs w:val="24"/>
        </w:rPr>
        <w:t>.</w:t>
      </w:r>
    </w:p>
    <w:p w:rsidR="00C1044E" w:rsidP="00BC48AE" w14:paraId="302B7EF8" w14:textId="77777777">
      <w:pPr>
        <w:rPr>
          <w:sz w:val="24"/>
          <w:szCs w:val="24"/>
        </w:rPr>
      </w:pPr>
    </w:p>
    <w:p w:rsidR="00C1044E" w:rsidP="00BC48AE" w14:paraId="57365BCD" w14:textId="77777777">
      <w:pPr>
        <w:rPr>
          <w:sz w:val="24"/>
          <w:szCs w:val="24"/>
        </w:rPr>
      </w:pPr>
    </w:p>
    <w:p w:rsidR="00996C48" w:rsidRPr="00E73EB6" w:rsidP="00BC48AE" w14:paraId="62D09079" w14:textId="0FB2BE2C">
      <w:pPr>
        <w:rPr>
          <w:b/>
          <w:sz w:val="24"/>
        </w:rPr>
      </w:pPr>
      <w:r w:rsidRPr="00E73EB6">
        <w:rPr>
          <w:b/>
          <w:sz w:val="24"/>
        </w:rPr>
        <w:t>12A. Table 1: Estimated Annualized Burden Hours</w:t>
      </w:r>
    </w:p>
    <w:p w:rsidR="00092515" w:rsidRPr="00106443" w:rsidP="00092515" w14:paraId="4BBB8CB7" w14:textId="77777777">
      <w:pPr>
        <w:spacing w:before="240"/>
        <w:rPr>
          <w:bCs/>
          <w:sz w:val="24"/>
          <w:szCs w:val="24"/>
        </w:rPr>
      </w:pPr>
      <w:r w:rsidRPr="00106443">
        <w:rPr>
          <w:bCs/>
          <w:sz w:val="24"/>
          <w:szCs w:val="24"/>
        </w:rPr>
        <w:t>The estimated annual time and cost burdens to respondents are presented in the tables below:</w:t>
      </w:r>
    </w:p>
    <w:tbl>
      <w:tblPr>
        <w:tblW w:w="9710" w:type="dxa"/>
        <w:tblInd w:w="97" w:type="dxa"/>
        <w:tblLayout w:type="fixed"/>
        <w:tblCellMar>
          <w:left w:w="97" w:type="dxa"/>
          <w:right w:w="97" w:type="dxa"/>
        </w:tblCellMar>
        <w:tblLook w:val="0000"/>
      </w:tblPr>
      <w:tblGrid>
        <w:gridCol w:w="2690"/>
        <w:gridCol w:w="1530"/>
        <w:gridCol w:w="1350"/>
        <w:gridCol w:w="1340"/>
        <w:gridCol w:w="1360"/>
        <w:gridCol w:w="1440"/>
      </w:tblGrid>
      <w:tr w14:paraId="08F2FE9B"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99CDAC1" w14:textId="77777777">
            <w:pPr>
              <w:pStyle w:val="BodyText"/>
              <w:tabs>
                <w:tab w:val="left" w:pos="10080"/>
              </w:tabs>
              <w:jc w:val="center"/>
              <w:rPr>
                <w:sz w:val="24"/>
                <w:szCs w:val="24"/>
              </w:rPr>
            </w:pPr>
          </w:p>
          <w:p w:rsidR="007531E0" w:rsidRPr="00106443" w:rsidP="00645F03" w14:paraId="2180F0FC" w14:textId="77777777">
            <w:pPr>
              <w:pStyle w:val="BodyText"/>
              <w:tabs>
                <w:tab w:val="left" w:pos="10080"/>
              </w:tabs>
              <w:jc w:val="center"/>
              <w:rPr>
                <w:sz w:val="24"/>
                <w:szCs w:val="24"/>
              </w:rPr>
            </w:pPr>
            <w:r w:rsidRPr="00106443">
              <w:rPr>
                <w:sz w:val="24"/>
                <w:szCs w:val="24"/>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6AA9C956" w14:textId="77777777">
            <w:pPr>
              <w:pStyle w:val="BodyText"/>
              <w:jc w:val="center"/>
              <w:rPr>
                <w:sz w:val="24"/>
                <w:szCs w:val="24"/>
              </w:rPr>
            </w:pPr>
            <w:r w:rsidRPr="00106443">
              <w:rPr>
                <w:sz w:val="24"/>
                <w:szCs w:val="24"/>
              </w:rPr>
              <w:t>Number of Respondents</w:t>
            </w:r>
          </w:p>
        </w:tc>
        <w:tc>
          <w:tcPr>
            <w:tcW w:w="135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0E9DE7A0" w14:textId="77777777">
            <w:pPr>
              <w:pStyle w:val="BodyText"/>
              <w:jc w:val="center"/>
              <w:rPr>
                <w:sz w:val="24"/>
                <w:szCs w:val="24"/>
              </w:rPr>
            </w:pPr>
          </w:p>
          <w:p w:rsidR="007531E0" w:rsidRPr="00106443" w:rsidP="00645F03" w14:paraId="5ACB9082" w14:textId="77777777">
            <w:pPr>
              <w:pStyle w:val="BodyText"/>
              <w:jc w:val="center"/>
              <w:rPr>
                <w:sz w:val="24"/>
                <w:szCs w:val="24"/>
              </w:rPr>
            </w:pPr>
            <w:r w:rsidRPr="00106443">
              <w:rPr>
                <w:sz w:val="24"/>
                <w:szCs w:val="24"/>
              </w:rPr>
              <w:t>Number of Responses per Respondent</w:t>
            </w:r>
          </w:p>
        </w:tc>
        <w:tc>
          <w:tcPr>
            <w:tcW w:w="134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E73AB95" w14:textId="77777777">
            <w:pPr>
              <w:pStyle w:val="BodyText"/>
              <w:jc w:val="center"/>
              <w:rPr>
                <w:sz w:val="24"/>
                <w:szCs w:val="24"/>
              </w:rPr>
            </w:pPr>
          </w:p>
          <w:p w:rsidR="007531E0" w:rsidRPr="00106443" w:rsidP="00645F03" w14:paraId="468A6399" w14:textId="77777777">
            <w:pPr>
              <w:pStyle w:val="BodyText"/>
              <w:jc w:val="center"/>
              <w:rPr>
                <w:sz w:val="24"/>
                <w:szCs w:val="24"/>
              </w:rPr>
            </w:pPr>
            <w:r w:rsidRPr="00106443">
              <w:rPr>
                <w:sz w:val="24"/>
                <w:szCs w:val="24"/>
              </w:rPr>
              <w:t>Total Responses</w:t>
            </w:r>
          </w:p>
        </w:tc>
        <w:tc>
          <w:tcPr>
            <w:tcW w:w="136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61BB0B6" w14:textId="77777777">
            <w:pPr>
              <w:pStyle w:val="BodyText"/>
              <w:jc w:val="center"/>
              <w:rPr>
                <w:sz w:val="24"/>
                <w:szCs w:val="24"/>
              </w:rPr>
            </w:pPr>
          </w:p>
          <w:p w:rsidR="007531E0" w:rsidRPr="00106443" w:rsidP="00645F03" w14:paraId="2F56FE93" w14:textId="77777777">
            <w:pPr>
              <w:pStyle w:val="BodyText"/>
              <w:jc w:val="center"/>
              <w:rPr>
                <w:sz w:val="24"/>
                <w:szCs w:val="24"/>
              </w:rPr>
            </w:pPr>
            <w:r w:rsidRPr="00106443">
              <w:rPr>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377119AE" w14:textId="77777777">
            <w:pPr>
              <w:pStyle w:val="BodyText"/>
              <w:jc w:val="center"/>
              <w:rPr>
                <w:sz w:val="24"/>
                <w:szCs w:val="24"/>
              </w:rPr>
            </w:pPr>
            <w:r w:rsidRPr="00106443">
              <w:rPr>
                <w:sz w:val="24"/>
                <w:szCs w:val="24"/>
              </w:rPr>
              <w:t>Total Burden Hours</w:t>
            </w:r>
          </w:p>
        </w:tc>
      </w:tr>
      <w:tr w14:paraId="34133649"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49D3FE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Part A Allocations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64E30F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52</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75CF27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27370F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52</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0657E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75BB7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208</w:t>
            </w:r>
          </w:p>
        </w:tc>
      </w:tr>
      <w:tr w14:paraId="720F7C02"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601669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Part B Allocations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56E220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54</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3C0FDB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4756C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54</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676BAA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6</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2876D6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324</w:t>
            </w:r>
          </w:p>
        </w:tc>
      </w:tr>
      <w:tr w14:paraId="61FEBDB6"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571549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Part C Allocations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66B42E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346</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297409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63AC8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346</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6C15D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1C902C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1,384</w:t>
            </w:r>
          </w:p>
        </w:tc>
      </w:tr>
      <w:tr w14:paraId="1FDC0A8E"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04C0D1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Part D Allocations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744041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116</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60156F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3158D8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116</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38770E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4A7905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464</w:t>
            </w:r>
          </w:p>
        </w:tc>
      </w:tr>
      <w:tr w14:paraId="42EDC23D"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578DA6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EHE Allocations Reports</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7033B0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0A04F8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7BCCA6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47</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750E2A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3B7CEF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188</w:t>
            </w:r>
          </w:p>
        </w:tc>
      </w:tr>
      <w:tr w14:paraId="12886D13"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364179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fr-FR"/>
              </w:rPr>
            </w:pPr>
            <w:r w:rsidRPr="00106443">
              <w:rPr>
                <w:sz w:val="24"/>
                <w:szCs w:val="24"/>
                <w:lang w:val="fr-FR"/>
              </w:rPr>
              <w:t>Total</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08DC0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615</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7C0DA0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31DE87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40FF4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1BB1E4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06443">
              <w:rPr>
                <w:sz w:val="24"/>
                <w:szCs w:val="24"/>
              </w:rPr>
              <w:t>2,568</w:t>
            </w:r>
          </w:p>
        </w:tc>
      </w:tr>
    </w:tbl>
    <w:p w:rsidR="007531E0" w14:paraId="0E818240" w14:textId="196E7DFC">
      <w:pPr>
        <w:rPr>
          <w:sz w:val="24"/>
          <w:szCs w:val="24"/>
        </w:rPr>
      </w:pPr>
    </w:p>
    <w:p w:rsidR="004B4FAE" w:rsidRPr="00A50FCD" w:rsidP="00A50FCD" w14:paraId="6371A17F" w14:textId="3D7ECD12">
      <w:pPr>
        <w:pStyle w:val="BodyText"/>
        <w:spacing w:after="0"/>
        <w:rPr>
          <w:rFonts w:eastAsia="MS Mincho"/>
          <w:b/>
          <w:bCs/>
          <w:sz w:val="24"/>
          <w:szCs w:val="24"/>
        </w:rPr>
      </w:pPr>
      <w:bookmarkStart w:id="13" w:name="OLE_LINK2"/>
      <w:r w:rsidRPr="00863839">
        <w:rPr>
          <w:rFonts w:eastAsia="MS Mincho"/>
          <w:b/>
          <w:bCs/>
          <w:sz w:val="24"/>
          <w:szCs w:val="24"/>
        </w:rPr>
        <w:t>12</w:t>
      </w:r>
      <w:r w:rsidR="009733A2">
        <w:rPr>
          <w:rFonts w:eastAsia="MS Mincho"/>
          <w:b/>
          <w:bCs/>
          <w:sz w:val="24"/>
          <w:szCs w:val="24"/>
        </w:rPr>
        <w:t>B</w:t>
      </w:r>
      <w:r w:rsidRPr="00863839">
        <w:rPr>
          <w:rFonts w:eastAsia="MS Mincho"/>
          <w:b/>
          <w:bCs/>
          <w:sz w:val="24"/>
          <w:szCs w:val="24"/>
        </w:rPr>
        <w:t xml:space="preserve">. Estimated Annualized Burden </w:t>
      </w:r>
      <w:r w:rsidR="009733A2">
        <w:rPr>
          <w:rFonts w:eastAsia="MS Mincho"/>
          <w:b/>
          <w:bCs/>
          <w:sz w:val="24"/>
          <w:szCs w:val="24"/>
        </w:rPr>
        <w:t>Costs</w:t>
      </w:r>
    </w:p>
    <w:p w:rsidR="00AA65DB" w:rsidRPr="00376584" w:rsidP="004B4FAE" w14:paraId="05BE71B8" w14:textId="761D4C59">
      <w:pPr>
        <w:pStyle w:val="BodyText"/>
        <w:spacing w:after="0"/>
        <w:rPr>
          <w:rFonts w:eastAsia="MS Mincho"/>
          <w:b/>
          <w:sz w:val="24"/>
          <w:szCs w:val="24"/>
        </w:rPr>
      </w:pPr>
    </w:p>
    <w:p w:rsidR="00CD36FE" w:rsidRPr="00EE3043" w:rsidP="00CD36FE" w14:paraId="4B1F38D4" w14:textId="29A84BB1">
      <w:pPr>
        <w:spacing w:before="120"/>
        <w:rPr>
          <w:rStyle w:val="Hyperlink"/>
          <w:bCs/>
          <w:color w:val="auto"/>
          <w:sz w:val="24"/>
          <w:szCs w:val="24"/>
          <w:u w:val="none"/>
        </w:rPr>
      </w:pPr>
      <w:r w:rsidRPr="00376584">
        <w:rPr>
          <w:sz w:val="24"/>
          <w:szCs w:val="24"/>
        </w:rPr>
        <w:t xml:space="preserve">The annualized burden costs for recipients </w:t>
      </w:r>
      <w:r w:rsidRPr="00376584">
        <w:rPr>
          <w:sz w:val="24"/>
          <w:szCs w:val="24"/>
        </w:rPr>
        <w:t>is</w:t>
      </w:r>
      <w:r w:rsidRPr="00376584">
        <w:rPr>
          <w:sz w:val="24"/>
          <w:szCs w:val="24"/>
        </w:rPr>
        <w:t xml:space="preserve"> based on the Bureau of Labor Statistic</w:t>
      </w:r>
      <w:r w:rsidRPr="00376584" w:rsidR="00376584">
        <w:rPr>
          <w:sz w:val="24"/>
          <w:szCs w:val="24"/>
        </w:rPr>
        <w:t xml:space="preserve">s, </w:t>
      </w:r>
      <w:r w:rsidR="00376584">
        <w:rPr>
          <w:sz w:val="24"/>
          <w:szCs w:val="24"/>
        </w:rPr>
        <w:t>20</w:t>
      </w:r>
      <w:r w:rsidR="00B55184">
        <w:rPr>
          <w:sz w:val="24"/>
          <w:szCs w:val="24"/>
        </w:rPr>
        <w:t>21</w:t>
      </w:r>
      <w:r w:rsidR="00376584">
        <w:rPr>
          <w:sz w:val="24"/>
          <w:szCs w:val="24"/>
        </w:rPr>
        <w:t xml:space="preserve"> </w:t>
      </w:r>
      <w:r w:rsidRPr="00376584" w:rsidR="00376584">
        <w:rPr>
          <w:sz w:val="24"/>
          <w:szCs w:val="24"/>
        </w:rPr>
        <w:t>Occupational Employment and Wages, for Budget Analysts</w:t>
      </w:r>
      <w:r w:rsidR="00F57C57">
        <w:rPr>
          <w:sz w:val="24"/>
          <w:szCs w:val="24"/>
        </w:rPr>
        <w:t xml:space="preserve">, </w:t>
      </w:r>
      <w:hyperlink r:id="rId9" w:history="1">
        <w:r w:rsidRPr="00030163" w:rsidR="00376584">
          <w:rPr>
            <w:rStyle w:val="Hyperlink"/>
            <w:sz w:val="24"/>
            <w:szCs w:val="24"/>
          </w:rPr>
          <w:t>https://www.bls.gov/oes/current/oes132031.htm</w:t>
        </w:r>
      </w:hyperlink>
      <w:r w:rsidR="00F57C57">
        <w:rPr>
          <w:rStyle w:val="Hyperlink"/>
          <w:sz w:val="24"/>
          <w:szCs w:val="24"/>
        </w:rPr>
        <w:t>.</w:t>
      </w:r>
      <w:r w:rsidRPr="00376584" w:rsidR="00376584">
        <w:rPr>
          <w:rStyle w:val="Hyperlink"/>
          <w:bCs/>
          <w:sz w:val="24"/>
          <w:szCs w:val="24"/>
        </w:rPr>
        <w:t xml:space="preserve"> </w:t>
      </w:r>
      <w:r w:rsidRPr="00EE3043" w:rsidR="00F57C57">
        <w:rPr>
          <w:rStyle w:val="Hyperlink"/>
          <w:bCs/>
          <w:color w:val="auto"/>
          <w:sz w:val="24"/>
          <w:szCs w:val="24"/>
          <w:u w:val="none"/>
        </w:rPr>
        <w:t>The net total hour cost, $</w:t>
      </w:r>
      <w:r w:rsidRPr="00EE3043" w:rsidR="007F6140">
        <w:rPr>
          <w:rStyle w:val="Hyperlink"/>
          <w:bCs/>
          <w:color w:val="auto"/>
          <w:sz w:val="24"/>
          <w:szCs w:val="24"/>
          <w:u w:val="none"/>
        </w:rPr>
        <w:t>104,004</w:t>
      </w:r>
      <w:r w:rsidRPr="00EE3043" w:rsidR="00F57C57">
        <w:rPr>
          <w:rStyle w:val="Hyperlink"/>
          <w:bCs/>
          <w:color w:val="auto"/>
          <w:sz w:val="24"/>
          <w:szCs w:val="24"/>
          <w:u w:val="none"/>
        </w:rPr>
        <w:t xml:space="preserve">, is doubled to account for employer overhead and fringe benefits, yielding a total </w:t>
      </w:r>
      <w:r w:rsidR="0049746A">
        <w:rPr>
          <w:rStyle w:val="Hyperlink"/>
          <w:bCs/>
          <w:color w:val="auto"/>
          <w:sz w:val="24"/>
          <w:szCs w:val="24"/>
          <w:u w:val="none"/>
        </w:rPr>
        <w:t>hourly</w:t>
      </w:r>
      <w:r w:rsidRPr="00EE3043" w:rsidR="0049746A">
        <w:rPr>
          <w:rStyle w:val="Hyperlink"/>
          <w:bCs/>
          <w:color w:val="auto"/>
          <w:sz w:val="24"/>
          <w:szCs w:val="24"/>
          <w:u w:val="none"/>
        </w:rPr>
        <w:t xml:space="preserve"> </w:t>
      </w:r>
      <w:r w:rsidRPr="00EE3043" w:rsidR="00F57C57">
        <w:rPr>
          <w:rStyle w:val="Hyperlink"/>
          <w:bCs/>
          <w:color w:val="auto"/>
          <w:sz w:val="24"/>
          <w:szCs w:val="24"/>
          <w:u w:val="none"/>
        </w:rPr>
        <w:t>cost of $</w:t>
      </w:r>
      <w:r w:rsidRPr="00EE3043" w:rsidR="007F6140">
        <w:rPr>
          <w:rStyle w:val="Hyperlink"/>
          <w:bCs/>
          <w:color w:val="auto"/>
          <w:sz w:val="24"/>
          <w:szCs w:val="24"/>
          <w:u w:val="none"/>
        </w:rPr>
        <w:t>208,008</w:t>
      </w:r>
      <w:r w:rsidRPr="00EE3043" w:rsidR="00F57C57">
        <w:rPr>
          <w:rStyle w:val="Hyperlink"/>
          <w:bCs/>
          <w:color w:val="auto"/>
          <w:sz w:val="24"/>
          <w:szCs w:val="24"/>
          <w:u w:val="none"/>
        </w:rPr>
        <w:t>.</w:t>
      </w:r>
    </w:p>
    <w:p w:rsidR="00CD36FE" w:rsidP="00CD36FE" w14:paraId="2DD2F482" w14:textId="77777777">
      <w:pPr>
        <w:spacing w:before="120"/>
        <w:rPr>
          <w:bCs/>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160"/>
        <w:gridCol w:w="1890"/>
        <w:gridCol w:w="3937"/>
      </w:tblGrid>
      <w:tr w14:paraId="3A4D2AD9" w14:textId="77777777" w:rsidTr="004E585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33"/>
        </w:trPr>
        <w:tc>
          <w:tcPr>
            <w:tcW w:w="1458" w:type="dxa"/>
            <w:vAlign w:val="center"/>
          </w:tcPr>
          <w:p w:rsidR="00CD36FE" w:rsidRPr="00376584" w:rsidP="00C151CD" w14:paraId="07D40CE3" w14:textId="77777777">
            <w:pPr>
              <w:jc w:val="center"/>
              <w:rPr>
                <w:b/>
                <w:sz w:val="24"/>
                <w:szCs w:val="24"/>
              </w:rPr>
            </w:pPr>
            <w:r w:rsidRPr="00376584">
              <w:rPr>
                <w:b/>
                <w:sz w:val="24"/>
                <w:szCs w:val="24"/>
              </w:rPr>
              <w:t>Type of Respondent</w:t>
            </w:r>
          </w:p>
        </w:tc>
        <w:tc>
          <w:tcPr>
            <w:tcW w:w="2160" w:type="dxa"/>
            <w:vAlign w:val="center"/>
          </w:tcPr>
          <w:p w:rsidR="00CD36FE" w:rsidRPr="00376584" w:rsidP="00C151CD" w14:paraId="6CFF1B35" w14:textId="77777777">
            <w:pPr>
              <w:jc w:val="center"/>
              <w:rPr>
                <w:b/>
                <w:sz w:val="24"/>
                <w:szCs w:val="24"/>
              </w:rPr>
            </w:pPr>
            <w:r w:rsidRPr="00376584">
              <w:rPr>
                <w:b/>
                <w:sz w:val="24"/>
                <w:szCs w:val="24"/>
              </w:rPr>
              <w:t>Total Burden Hours</w:t>
            </w:r>
          </w:p>
        </w:tc>
        <w:tc>
          <w:tcPr>
            <w:tcW w:w="1890" w:type="dxa"/>
            <w:vAlign w:val="center"/>
          </w:tcPr>
          <w:p w:rsidR="00CD36FE" w:rsidRPr="00376584" w:rsidP="00C151CD" w14:paraId="11C3A9AE" w14:textId="77777777">
            <w:pPr>
              <w:jc w:val="center"/>
              <w:rPr>
                <w:b/>
                <w:sz w:val="24"/>
                <w:szCs w:val="24"/>
              </w:rPr>
            </w:pPr>
            <w:r w:rsidRPr="00376584">
              <w:rPr>
                <w:b/>
                <w:sz w:val="24"/>
                <w:szCs w:val="24"/>
              </w:rPr>
              <w:t>Hourly Wage Rate</w:t>
            </w:r>
          </w:p>
        </w:tc>
        <w:tc>
          <w:tcPr>
            <w:tcW w:w="3937" w:type="dxa"/>
            <w:vAlign w:val="center"/>
          </w:tcPr>
          <w:p w:rsidR="00CD36FE" w:rsidRPr="00376584" w:rsidP="00C151CD" w14:paraId="1A514192" w14:textId="77777777">
            <w:pPr>
              <w:jc w:val="center"/>
              <w:rPr>
                <w:b/>
                <w:sz w:val="24"/>
                <w:szCs w:val="24"/>
              </w:rPr>
            </w:pPr>
            <w:r w:rsidRPr="00376584">
              <w:rPr>
                <w:b/>
                <w:sz w:val="24"/>
                <w:szCs w:val="24"/>
              </w:rPr>
              <w:t>Total Respondent Costs</w:t>
            </w:r>
          </w:p>
        </w:tc>
      </w:tr>
      <w:tr w14:paraId="075A798A" w14:textId="77777777" w:rsidTr="004E5859">
        <w:tblPrEx>
          <w:tblW w:w="9445" w:type="dxa"/>
          <w:tblLayout w:type="fixed"/>
          <w:tblLook w:val="01E0"/>
        </w:tblPrEx>
        <w:tc>
          <w:tcPr>
            <w:tcW w:w="1458" w:type="dxa"/>
            <w:vAlign w:val="center"/>
          </w:tcPr>
          <w:p w:rsidR="00CD36FE" w:rsidRPr="00376584" w:rsidP="00C151CD" w14:paraId="3D719223" w14:textId="37CC61CA">
            <w:pPr>
              <w:rPr>
                <w:sz w:val="24"/>
                <w:szCs w:val="24"/>
              </w:rPr>
            </w:pPr>
            <w:r w:rsidRPr="00376584">
              <w:rPr>
                <w:sz w:val="24"/>
                <w:szCs w:val="24"/>
              </w:rPr>
              <w:t>Budget Analysts</w:t>
            </w:r>
          </w:p>
        </w:tc>
        <w:tc>
          <w:tcPr>
            <w:tcW w:w="2160" w:type="dxa"/>
            <w:vAlign w:val="center"/>
          </w:tcPr>
          <w:p w:rsidR="00CD36FE" w:rsidRPr="00376584" w:rsidP="00C151CD" w14:paraId="4900113F" w14:textId="1ABE1C16">
            <w:pPr>
              <w:jc w:val="center"/>
              <w:rPr>
                <w:sz w:val="24"/>
                <w:szCs w:val="24"/>
              </w:rPr>
            </w:pPr>
            <w:r>
              <w:rPr>
                <w:sz w:val="24"/>
                <w:szCs w:val="24"/>
              </w:rPr>
              <w:t>2,568</w:t>
            </w:r>
          </w:p>
        </w:tc>
        <w:tc>
          <w:tcPr>
            <w:tcW w:w="1890" w:type="dxa"/>
            <w:vAlign w:val="center"/>
          </w:tcPr>
          <w:p w:rsidR="00CD36FE" w:rsidRPr="00376584" w:rsidP="00C151CD" w14:paraId="22A27122" w14:textId="0FD93475">
            <w:pPr>
              <w:jc w:val="center"/>
              <w:rPr>
                <w:sz w:val="24"/>
                <w:szCs w:val="24"/>
              </w:rPr>
            </w:pPr>
            <w:r>
              <w:rPr>
                <w:sz w:val="24"/>
                <w:szCs w:val="24"/>
              </w:rPr>
              <w:t>40.50</w:t>
            </w:r>
          </w:p>
        </w:tc>
        <w:tc>
          <w:tcPr>
            <w:tcW w:w="3937" w:type="dxa"/>
            <w:vAlign w:val="center"/>
          </w:tcPr>
          <w:p w:rsidR="00CD36FE" w:rsidRPr="00376584" w:rsidP="00C151CD" w14:paraId="4CDAF79F" w14:textId="0FAF75A3">
            <w:pPr>
              <w:jc w:val="center"/>
              <w:rPr>
                <w:sz w:val="24"/>
                <w:szCs w:val="24"/>
              </w:rPr>
            </w:pPr>
            <w:r>
              <w:rPr>
                <w:sz w:val="24"/>
                <w:szCs w:val="24"/>
              </w:rPr>
              <w:t>$</w:t>
            </w:r>
            <w:r w:rsidR="00E600CE">
              <w:rPr>
                <w:sz w:val="24"/>
                <w:szCs w:val="24"/>
              </w:rPr>
              <w:t>104,004</w:t>
            </w:r>
            <w:r>
              <w:rPr>
                <w:sz w:val="24"/>
                <w:szCs w:val="24"/>
              </w:rPr>
              <w:t xml:space="preserve"> x 2 (overhead/</w:t>
            </w:r>
            <w:r>
              <w:rPr>
                <w:sz w:val="24"/>
                <w:szCs w:val="24"/>
              </w:rPr>
              <w:t>fringe)=</w:t>
            </w:r>
            <w:r>
              <w:rPr>
                <w:sz w:val="24"/>
                <w:szCs w:val="24"/>
              </w:rPr>
              <w:t xml:space="preserve"> $</w:t>
            </w:r>
            <w:r w:rsidR="00C91752">
              <w:rPr>
                <w:sz w:val="24"/>
                <w:szCs w:val="24"/>
              </w:rPr>
              <w:t>208,008</w:t>
            </w:r>
          </w:p>
        </w:tc>
      </w:tr>
    </w:tbl>
    <w:p w:rsidR="00CD36FE" w:rsidRPr="00376584" w:rsidP="00CD36FE" w14:paraId="34F55064" w14:textId="77777777">
      <w:pPr>
        <w:rPr>
          <w:sz w:val="24"/>
          <w:szCs w:val="24"/>
        </w:rPr>
      </w:pPr>
    </w:p>
    <w:p w:rsidR="00D17563" w:rsidRPr="00A50FCD" w:rsidP="00A50FCD" w14:paraId="5E23E15D" w14:textId="45EB863E">
      <w:pPr>
        <w:tabs>
          <w:tab w:val="left" w:pos="360"/>
        </w:tabs>
        <w:autoSpaceDE w:val="0"/>
        <w:autoSpaceDN w:val="0"/>
        <w:adjustRightInd w:val="0"/>
        <w:spacing w:before="240"/>
        <w:rPr>
          <w:b/>
          <w:bCs/>
          <w:sz w:val="24"/>
          <w:szCs w:val="24"/>
        </w:rPr>
      </w:pPr>
      <w:bookmarkStart w:id="14" w:name="_Toc209407064"/>
      <w:bookmarkEnd w:id="13"/>
      <w:r w:rsidRPr="00863839">
        <w:rPr>
          <w:b/>
          <w:bCs/>
          <w:sz w:val="24"/>
          <w:szCs w:val="24"/>
        </w:rPr>
        <w:t>13.</w:t>
      </w:r>
      <w:bookmarkEnd w:id="14"/>
      <w:r w:rsidRPr="00D17563">
        <w:rPr>
          <w:b/>
          <w:sz w:val="24"/>
        </w:rPr>
        <w:tab/>
      </w:r>
      <w:r w:rsidRPr="00863839">
        <w:rPr>
          <w:b/>
          <w:bCs/>
          <w:sz w:val="24"/>
          <w:szCs w:val="24"/>
          <w:u w:val="single"/>
        </w:rPr>
        <w:t>Estimates of other Total Annual Cost Burden to Respondents or Recordkeepers/Capital Costs</w:t>
      </w:r>
    </w:p>
    <w:p w:rsidR="00533918" w:rsidP="008647FE" w14:paraId="2189A054" w14:textId="77777777">
      <w:pPr>
        <w:rPr>
          <w:b/>
          <w:sz w:val="24"/>
          <w:szCs w:val="24"/>
          <w:u w:val="single"/>
        </w:rPr>
      </w:pPr>
    </w:p>
    <w:p w:rsidR="00533918" w:rsidRPr="00A50FCD" w14:paraId="37D86D70" w14:textId="4D8D37F1">
      <w:pPr>
        <w:widowControl/>
        <w:rPr>
          <w:rStyle w:val="BodyTextFi"/>
          <w:sz w:val="24"/>
          <w:szCs w:val="24"/>
        </w:rPr>
      </w:pPr>
      <w:r w:rsidRPr="00863839">
        <w:rPr>
          <w:rStyle w:val="BodyTextFi"/>
          <w:sz w:val="24"/>
          <w:szCs w:val="24"/>
        </w:rPr>
        <w:t>Grant recipients</w:t>
      </w:r>
      <w:r w:rsidRPr="00863839">
        <w:rPr>
          <w:rStyle w:val="BodyTextFi"/>
          <w:sz w:val="24"/>
          <w:szCs w:val="24"/>
        </w:rPr>
        <w:t xml:space="preserve"> are responsible for maintaining their own data system</w:t>
      </w:r>
      <w:r w:rsidR="007E47C7">
        <w:rPr>
          <w:rStyle w:val="BodyTextFi"/>
          <w:sz w:val="24"/>
          <w:szCs w:val="24"/>
        </w:rPr>
        <w:t>. T</w:t>
      </w:r>
      <w:r w:rsidRPr="00E720BF">
        <w:rPr>
          <w:rStyle w:val="BodyTextFi"/>
          <w:sz w:val="24"/>
          <w:szCs w:val="24"/>
        </w:rPr>
        <w:t>here are no direct costs to respondents other than their time in participating in the data collection and quality assurance.</w:t>
      </w:r>
    </w:p>
    <w:p w:rsidR="00FE24BC" w14:paraId="04EB4100" w14:textId="4A5A9E4B">
      <w:pPr>
        <w:widowControl/>
        <w:rPr>
          <w:rStyle w:val="BodyTextFi"/>
          <w:sz w:val="24"/>
        </w:rPr>
      </w:pPr>
    </w:p>
    <w:p w:rsidR="00443083" w14:paraId="11778C99" w14:textId="77777777">
      <w:pPr>
        <w:widowControl/>
        <w:rPr>
          <w:rStyle w:val="BodyTextFi"/>
          <w:sz w:val="24"/>
        </w:rPr>
      </w:pPr>
    </w:p>
    <w:p w:rsidR="00533918" w:rsidRPr="00A50FCD" w14:paraId="5C4626E3" w14:textId="77777777">
      <w:pPr>
        <w:pStyle w:val="ColorfulList-Accent11"/>
        <w:widowControl/>
        <w:tabs>
          <w:tab w:val="left" w:pos="360"/>
        </w:tabs>
        <w:ind w:left="0"/>
        <w:outlineLvl w:val="1"/>
        <w:rPr>
          <w:b/>
          <w:bCs/>
          <w:sz w:val="24"/>
          <w:szCs w:val="24"/>
          <w:u w:val="single"/>
        </w:rPr>
      </w:pPr>
      <w:bookmarkStart w:id="15" w:name="_Toc209407065"/>
      <w:r w:rsidRPr="00863839">
        <w:rPr>
          <w:b/>
          <w:bCs/>
          <w:sz w:val="24"/>
          <w:szCs w:val="24"/>
        </w:rPr>
        <w:t>14.</w:t>
      </w:r>
      <w:r w:rsidRPr="00D17563">
        <w:rPr>
          <w:b/>
          <w:sz w:val="24"/>
        </w:rPr>
        <w:tab/>
      </w:r>
      <w:r w:rsidRPr="00863839">
        <w:rPr>
          <w:b/>
          <w:bCs/>
          <w:sz w:val="24"/>
          <w:szCs w:val="24"/>
          <w:u w:val="single"/>
        </w:rPr>
        <w:t>Annualized Cost to the Federal Government</w:t>
      </w:r>
      <w:bookmarkEnd w:id="15"/>
    </w:p>
    <w:p w:rsidR="00362132" w14:paraId="44B06BF2" w14:textId="77777777">
      <w:pPr>
        <w:widowControl/>
        <w:rPr>
          <w:sz w:val="24"/>
          <w:szCs w:val="24"/>
        </w:rPr>
      </w:pPr>
    </w:p>
    <w:p w:rsidR="00AD6D08" w14:paraId="5FB5F749" w14:textId="7ECB9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HRSA maintain</w:t>
      </w:r>
      <w:r w:rsidR="003A1179">
        <w:rPr>
          <w:rStyle w:val="BodyTextFi"/>
          <w:sz w:val="24"/>
          <w:szCs w:val="24"/>
        </w:rPr>
        <w:t>s</w:t>
      </w:r>
      <w:r w:rsidRPr="00863839">
        <w:rPr>
          <w:rStyle w:val="BodyTextFi"/>
          <w:sz w:val="24"/>
          <w:szCs w:val="24"/>
        </w:rPr>
        <w:t xml:space="preserve"> a contract to provide technical assistance, the distribution of OMB-approved </w:t>
      </w:r>
      <w:r w:rsidRPr="00863839">
        <w:rPr>
          <w:rStyle w:val="BodyTextFi"/>
          <w:sz w:val="24"/>
          <w:szCs w:val="24"/>
        </w:rPr>
        <w:t>forms, data entry and analysis</w:t>
      </w:r>
      <w:r w:rsidR="003A1179">
        <w:rPr>
          <w:rStyle w:val="BodyTextFi"/>
          <w:sz w:val="24"/>
          <w:szCs w:val="24"/>
        </w:rPr>
        <w:t xml:space="preserve"> </w:t>
      </w:r>
      <w:r w:rsidR="00A7186C">
        <w:rPr>
          <w:rStyle w:val="BodyTextFi"/>
          <w:sz w:val="24"/>
          <w:szCs w:val="24"/>
        </w:rPr>
        <w:t>f</w:t>
      </w:r>
      <w:r w:rsidR="003A1179">
        <w:rPr>
          <w:rStyle w:val="BodyTextFi"/>
          <w:sz w:val="24"/>
          <w:szCs w:val="24"/>
        </w:rPr>
        <w:t xml:space="preserve">or </w:t>
      </w:r>
      <w:r w:rsidR="00A7186C">
        <w:rPr>
          <w:rStyle w:val="BodyTextFi"/>
          <w:sz w:val="24"/>
          <w:szCs w:val="24"/>
        </w:rPr>
        <w:t>the A</w:t>
      </w:r>
      <w:r w:rsidR="00DD2A22">
        <w:rPr>
          <w:rStyle w:val="BodyTextFi"/>
          <w:sz w:val="24"/>
          <w:szCs w:val="24"/>
        </w:rPr>
        <w:t>llocations</w:t>
      </w:r>
      <w:r w:rsidR="00A324CF">
        <w:rPr>
          <w:rStyle w:val="BodyTextFi"/>
          <w:sz w:val="24"/>
          <w:szCs w:val="24"/>
        </w:rPr>
        <w:t xml:space="preserve"> </w:t>
      </w:r>
      <w:r w:rsidR="00A7186C">
        <w:rPr>
          <w:rStyle w:val="BodyTextFi"/>
          <w:sz w:val="24"/>
          <w:szCs w:val="24"/>
        </w:rPr>
        <w:t xml:space="preserve">and other </w:t>
      </w:r>
      <w:r w:rsidR="001A3EA7">
        <w:rPr>
          <w:rStyle w:val="BodyTextFi"/>
          <w:sz w:val="24"/>
          <w:szCs w:val="24"/>
        </w:rPr>
        <w:t xml:space="preserve">RWHAP </w:t>
      </w:r>
      <w:r w:rsidR="003A1179">
        <w:rPr>
          <w:rStyle w:val="BodyTextFi"/>
          <w:sz w:val="24"/>
          <w:szCs w:val="24"/>
        </w:rPr>
        <w:t xml:space="preserve">data collection </w:t>
      </w:r>
      <w:r>
        <w:rPr>
          <w:rStyle w:val="BodyTextFi"/>
          <w:sz w:val="24"/>
          <w:szCs w:val="24"/>
        </w:rPr>
        <w:t xml:space="preserve">support </w:t>
      </w:r>
      <w:r w:rsidR="003A1179">
        <w:rPr>
          <w:rStyle w:val="BodyTextFi"/>
          <w:sz w:val="24"/>
          <w:szCs w:val="24"/>
        </w:rPr>
        <w:t>activities</w:t>
      </w:r>
      <w:r w:rsidR="001A3EA7">
        <w:rPr>
          <w:rStyle w:val="BodyTextFi"/>
          <w:sz w:val="24"/>
          <w:szCs w:val="24"/>
        </w:rPr>
        <w:t xml:space="preserve">. </w:t>
      </w:r>
      <w:r>
        <w:rPr>
          <w:rStyle w:val="BodyTextFi"/>
          <w:sz w:val="24"/>
          <w:szCs w:val="24"/>
        </w:rPr>
        <w:t>While not a separate budget line item, t</w:t>
      </w:r>
      <w:r w:rsidR="001A3EA7">
        <w:rPr>
          <w:rStyle w:val="BodyTextFi"/>
          <w:sz w:val="24"/>
          <w:szCs w:val="24"/>
        </w:rPr>
        <w:t xml:space="preserve">he </w:t>
      </w:r>
      <w:r>
        <w:rPr>
          <w:rStyle w:val="BodyTextFi"/>
          <w:sz w:val="24"/>
          <w:szCs w:val="24"/>
        </w:rPr>
        <w:t xml:space="preserve">contract </w:t>
      </w:r>
      <w:r w:rsidR="001A3EA7">
        <w:rPr>
          <w:rStyle w:val="BodyTextFi"/>
          <w:sz w:val="24"/>
          <w:szCs w:val="24"/>
        </w:rPr>
        <w:t xml:space="preserve">cost to support the </w:t>
      </w:r>
      <w:r w:rsidR="00DD2A22">
        <w:rPr>
          <w:rStyle w:val="BodyTextFi"/>
          <w:sz w:val="24"/>
          <w:szCs w:val="24"/>
        </w:rPr>
        <w:t xml:space="preserve">Allocations </w:t>
      </w:r>
      <w:r w:rsidR="001A3EA7">
        <w:rPr>
          <w:rStyle w:val="BodyTextFi"/>
          <w:sz w:val="24"/>
          <w:szCs w:val="24"/>
        </w:rPr>
        <w:t xml:space="preserve">data collection is estimated to be </w:t>
      </w:r>
      <w:r w:rsidR="000E3ED9">
        <w:rPr>
          <w:rStyle w:val="BodyTextFi"/>
          <w:sz w:val="24"/>
          <w:szCs w:val="24"/>
        </w:rPr>
        <w:t xml:space="preserve">approximately </w:t>
      </w:r>
      <w:r w:rsidR="00AD35C6">
        <w:rPr>
          <w:rStyle w:val="BodyTextFi"/>
          <w:sz w:val="24"/>
          <w:szCs w:val="24"/>
        </w:rPr>
        <w:t>12.5</w:t>
      </w:r>
      <w:r w:rsidR="001A3EA7">
        <w:rPr>
          <w:rStyle w:val="BodyTextFi"/>
          <w:sz w:val="24"/>
          <w:szCs w:val="24"/>
        </w:rPr>
        <w:t>%</w:t>
      </w:r>
      <w:r w:rsidR="00CB7320">
        <w:rPr>
          <w:rStyle w:val="BodyTextFi"/>
          <w:sz w:val="24"/>
          <w:szCs w:val="24"/>
        </w:rPr>
        <w:t>.</w:t>
      </w:r>
      <w:r w:rsidR="001A3EA7">
        <w:rPr>
          <w:rStyle w:val="BodyTextFi"/>
          <w:sz w:val="24"/>
          <w:szCs w:val="24"/>
        </w:rPr>
        <w:t xml:space="preserve"> </w:t>
      </w:r>
      <w:r>
        <w:rPr>
          <w:rStyle w:val="BodyTextFi"/>
          <w:sz w:val="24"/>
          <w:szCs w:val="24"/>
        </w:rPr>
        <w:t xml:space="preserve">The estimated average annual cost is </w:t>
      </w:r>
      <w:r w:rsidR="005F72D5">
        <w:rPr>
          <w:rStyle w:val="BodyTextFi"/>
          <w:sz w:val="24"/>
          <w:szCs w:val="24"/>
        </w:rPr>
        <w:t>$</w:t>
      </w:r>
      <w:r w:rsidR="00B060F8">
        <w:rPr>
          <w:rStyle w:val="BodyTextFi"/>
          <w:sz w:val="24"/>
          <w:szCs w:val="24"/>
        </w:rPr>
        <w:t>912,143.78</w:t>
      </w:r>
      <w:r w:rsidR="005F72D5">
        <w:rPr>
          <w:rStyle w:val="BodyTextFi"/>
          <w:sz w:val="24"/>
          <w:szCs w:val="24"/>
        </w:rPr>
        <w:t xml:space="preserve"> x </w:t>
      </w:r>
      <w:r w:rsidR="00B060F8">
        <w:rPr>
          <w:rStyle w:val="BodyTextFi"/>
          <w:sz w:val="24"/>
          <w:szCs w:val="24"/>
        </w:rPr>
        <w:t>12.5</w:t>
      </w:r>
      <w:r w:rsidR="005F72D5">
        <w:rPr>
          <w:rStyle w:val="BodyTextFi"/>
          <w:sz w:val="24"/>
          <w:szCs w:val="24"/>
        </w:rPr>
        <w:t xml:space="preserve">% = </w:t>
      </w:r>
      <w:r>
        <w:rPr>
          <w:rStyle w:val="BodyTextFi"/>
          <w:sz w:val="24"/>
          <w:szCs w:val="24"/>
        </w:rPr>
        <w:t>$</w:t>
      </w:r>
      <w:r w:rsidR="007344D9">
        <w:rPr>
          <w:rStyle w:val="BodyTextFi"/>
          <w:sz w:val="24"/>
          <w:szCs w:val="24"/>
        </w:rPr>
        <w:t>114,017.98</w:t>
      </w:r>
      <w:r>
        <w:rPr>
          <w:rStyle w:val="BodyTextFi"/>
          <w:sz w:val="24"/>
          <w:szCs w:val="24"/>
        </w:rPr>
        <w:t>.</w:t>
      </w:r>
    </w:p>
    <w:p w:rsidR="00CB5F6B" w14:paraId="5510144E" w14:textId="0ED0F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Pr>
          <w:rStyle w:val="BodyTextFi"/>
          <w:sz w:val="24"/>
          <w:szCs w:val="24"/>
        </w:rPr>
        <w:t xml:space="preserve"> </w:t>
      </w:r>
      <w:r w:rsidR="001A3EA7">
        <w:rPr>
          <w:rStyle w:val="BodyTextFi"/>
          <w:sz w:val="24"/>
          <w:szCs w:val="24"/>
        </w:rPr>
        <w:t xml:space="preserve">  </w:t>
      </w:r>
    </w:p>
    <w:tbl>
      <w:tblPr>
        <w:tblW w:w="9090" w:type="dxa"/>
        <w:tblLayout w:type="fixed"/>
        <w:tblLook w:val="04A0"/>
      </w:tblPr>
      <w:tblGrid>
        <w:gridCol w:w="2700"/>
        <w:gridCol w:w="1350"/>
        <w:gridCol w:w="1890"/>
        <w:gridCol w:w="1890"/>
        <w:gridCol w:w="1260"/>
      </w:tblGrid>
      <w:tr w14:paraId="3A7DFAAF" w14:textId="77777777" w:rsidTr="00CB7320">
        <w:tblPrEx>
          <w:tblW w:w="9090" w:type="dxa"/>
          <w:tblLayout w:type="fixed"/>
          <w:tblLook w:val="04A0"/>
        </w:tblPrEx>
        <w:trPr>
          <w:trHeight w:val="423"/>
        </w:trPr>
        <w:tc>
          <w:tcPr>
            <w:tcW w:w="2700" w:type="dxa"/>
            <w:shd w:val="clear" w:color="auto" w:fill="6C6F71"/>
            <w:noWrap/>
            <w:vAlign w:val="bottom"/>
            <w:hideMark/>
          </w:tcPr>
          <w:p w:rsidR="00CB5F6B" w:rsidRPr="004A2284" w:rsidP="00B223C9" w14:paraId="64E7D717" w14:textId="30C160D0">
            <w:pPr>
              <w:pStyle w:val="TableHeaderLeft"/>
              <w:rPr>
                <w:rFonts w:ascii="Times New Roman" w:hAnsi="Times New Roman"/>
                <w:sz w:val="24"/>
                <w:szCs w:val="24"/>
              </w:rPr>
            </w:pPr>
            <w:r w:rsidRPr="004A2284">
              <w:rPr>
                <w:rFonts w:ascii="Times New Roman" w:hAnsi="Times New Roman"/>
                <w:sz w:val="24"/>
                <w:szCs w:val="24"/>
              </w:rPr>
              <w:t>Contract</w:t>
            </w:r>
            <w:r w:rsidRPr="004A2284">
              <w:rPr>
                <w:rFonts w:ascii="Times New Roman" w:hAnsi="Times New Roman"/>
                <w:sz w:val="24"/>
                <w:szCs w:val="24"/>
              </w:rPr>
              <w:t xml:space="preserve"> year</w:t>
            </w:r>
          </w:p>
        </w:tc>
        <w:tc>
          <w:tcPr>
            <w:tcW w:w="1350" w:type="dxa"/>
            <w:shd w:val="clear" w:color="auto" w:fill="6C6F71"/>
          </w:tcPr>
          <w:p w:rsidR="00CB5F6B" w:rsidRPr="004A2284" w:rsidP="00B223C9" w14:paraId="2D3376A2" w14:textId="40B03E35">
            <w:pPr>
              <w:pStyle w:val="TableHeaderCenter"/>
              <w:rPr>
                <w:rFonts w:ascii="Times New Roman" w:hAnsi="Times New Roman"/>
                <w:sz w:val="24"/>
                <w:szCs w:val="24"/>
              </w:rPr>
            </w:pPr>
          </w:p>
        </w:tc>
        <w:tc>
          <w:tcPr>
            <w:tcW w:w="1890" w:type="dxa"/>
            <w:shd w:val="clear" w:color="auto" w:fill="6C6F71"/>
            <w:noWrap/>
            <w:vAlign w:val="bottom"/>
            <w:hideMark/>
          </w:tcPr>
          <w:p w:rsidR="00CB5F6B" w:rsidRPr="004A2284" w:rsidP="00B223C9" w14:paraId="2A5AE032" w14:textId="06DCCC19">
            <w:pPr>
              <w:pStyle w:val="TableHeaderCenter"/>
              <w:rPr>
                <w:rFonts w:ascii="Times New Roman" w:hAnsi="Times New Roman"/>
                <w:sz w:val="24"/>
                <w:szCs w:val="24"/>
              </w:rPr>
            </w:pPr>
            <w:r w:rsidRPr="004A2284">
              <w:rPr>
                <w:rFonts w:ascii="Times New Roman" w:hAnsi="Times New Roman"/>
                <w:sz w:val="24"/>
                <w:szCs w:val="24"/>
              </w:rPr>
              <w:t xml:space="preserve">Task 2 </w:t>
            </w:r>
            <w:r w:rsidRPr="004A2284" w:rsidR="00591598">
              <w:rPr>
                <w:rFonts w:ascii="Times New Roman" w:hAnsi="Times New Roman"/>
                <w:sz w:val="24"/>
                <w:szCs w:val="24"/>
              </w:rPr>
              <w:t>(</w:t>
            </w:r>
            <w:r w:rsidRPr="004A2284">
              <w:rPr>
                <w:rFonts w:ascii="Times New Roman" w:hAnsi="Times New Roman"/>
                <w:sz w:val="24"/>
                <w:szCs w:val="24"/>
              </w:rPr>
              <w:t>PTR</w:t>
            </w:r>
            <w:r w:rsidRPr="004A2284" w:rsidR="00591598">
              <w:rPr>
                <w:rFonts w:ascii="Times New Roman" w:hAnsi="Times New Roman"/>
                <w:sz w:val="24"/>
                <w:szCs w:val="24"/>
              </w:rPr>
              <w:t>)</w:t>
            </w:r>
            <w:r w:rsidRPr="004A2284">
              <w:rPr>
                <w:rFonts w:ascii="Times New Roman" w:hAnsi="Times New Roman"/>
                <w:sz w:val="24"/>
                <w:szCs w:val="24"/>
              </w:rPr>
              <w:t xml:space="preserve"> cost</w:t>
            </w:r>
          </w:p>
        </w:tc>
        <w:tc>
          <w:tcPr>
            <w:tcW w:w="1890" w:type="dxa"/>
            <w:shd w:val="clear" w:color="auto" w:fill="6C6F71"/>
            <w:noWrap/>
            <w:vAlign w:val="bottom"/>
            <w:hideMark/>
          </w:tcPr>
          <w:p w:rsidR="00CB5F6B" w:rsidRPr="004A2284" w:rsidP="00A7186C" w14:paraId="7B57B29B" w14:textId="0424AC9D">
            <w:pPr>
              <w:pStyle w:val="TableHeaderCenter"/>
              <w:ind w:right="-103"/>
              <w:rPr>
                <w:rFonts w:ascii="Times New Roman" w:hAnsi="Times New Roman"/>
                <w:sz w:val="24"/>
                <w:szCs w:val="24"/>
              </w:rPr>
            </w:pPr>
            <w:r w:rsidRPr="004A2284">
              <w:rPr>
                <w:rFonts w:ascii="Times New Roman" w:hAnsi="Times New Roman"/>
                <w:sz w:val="24"/>
                <w:szCs w:val="24"/>
              </w:rPr>
              <w:t xml:space="preserve">A&amp;E </w:t>
            </w:r>
            <w:r w:rsidRPr="004A2284" w:rsidR="00591598">
              <w:rPr>
                <w:rFonts w:ascii="Times New Roman" w:hAnsi="Times New Roman"/>
                <w:sz w:val="24"/>
                <w:szCs w:val="24"/>
              </w:rPr>
              <w:t xml:space="preserve">estimated </w:t>
            </w:r>
            <w:r w:rsidRPr="004A2284">
              <w:rPr>
                <w:rFonts w:ascii="Times New Roman" w:hAnsi="Times New Roman"/>
                <w:sz w:val="24"/>
                <w:szCs w:val="24"/>
              </w:rPr>
              <w:t>cost (</w:t>
            </w:r>
            <w:r w:rsidRPr="004A2284" w:rsidR="00780E9D">
              <w:rPr>
                <w:rFonts w:ascii="Times New Roman" w:hAnsi="Times New Roman"/>
                <w:sz w:val="24"/>
                <w:szCs w:val="24"/>
              </w:rPr>
              <w:t>12.5</w:t>
            </w:r>
            <w:r w:rsidRPr="004A2284">
              <w:rPr>
                <w:rFonts w:ascii="Times New Roman" w:hAnsi="Times New Roman"/>
                <w:sz w:val="24"/>
                <w:szCs w:val="24"/>
              </w:rPr>
              <w:t>%)</w:t>
            </w:r>
          </w:p>
        </w:tc>
        <w:tc>
          <w:tcPr>
            <w:tcW w:w="1260" w:type="dxa"/>
            <w:shd w:val="clear" w:color="auto" w:fill="6C6F71"/>
            <w:noWrap/>
            <w:vAlign w:val="bottom"/>
          </w:tcPr>
          <w:p w:rsidR="00CB5F6B" w:rsidRPr="004A2284" w:rsidP="00B223C9" w14:paraId="6E6BD958" w14:textId="01026E18">
            <w:pPr>
              <w:pStyle w:val="TableHeaderCenter"/>
              <w:rPr>
                <w:rFonts w:ascii="Times New Roman" w:hAnsi="Times New Roman"/>
                <w:sz w:val="24"/>
                <w:szCs w:val="24"/>
              </w:rPr>
            </w:pPr>
          </w:p>
        </w:tc>
      </w:tr>
      <w:tr w14:paraId="7F3E76D2" w14:textId="77777777" w:rsidTr="00CB7320">
        <w:tblPrEx>
          <w:tblW w:w="9090" w:type="dxa"/>
          <w:tblLayout w:type="fixed"/>
          <w:tblLook w:val="04A0"/>
        </w:tblPrEx>
        <w:trPr>
          <w:trHeight w:val="300"/>
        </w:trPr>
        <w:tc>
          <w:tcPr>
            <w:tcW w:w="2700" w:type="dxa"/>
            <w:tcBorders>
              <w:bottom w:val="single" w:sz="2" w:space="0" w:color="BFBFBF" w:themeColor="background1" w:themeShade="BF"/>
            </w:tcBorders>
            <w:shd w:val="clear" w:color="auto" w:fill="auto"/>
            <w:noWrap/>
            <w:vAlign w:val="center"/>
            <w:hideMark/>
          </w:tcPr>
          <w:p w:rsidR="00CB5F6B" w:rsidRPr="004A2284" w:rsidP="00B223C9" w14:paraId="0E06CCD7" w14:textId="01A39AA2">
            <w:pPr>
              <w:spacing w:before="40" w:after="40"/>
              <w:rPr>
                <w:sz w:val="24"/>
                <w:szCs w:val="24"/>
              </w:rPr>
            </w:pPr>
            <w:r w:rsidRPr="004A2284">
              <w:rPr>
                <w:sz w:val="24"/>
                <w:szCs w:val="24"/>
              </w:rPr>
              <w:t>Base year (</w:t>
            </w:r>
            <w:r w:rsidRPr="004A2284" w:rsidR="00EE2356">
              <w:rPr>
                <w:sz w:val="24"/>
                <w:szCs w:val="24"/>
              </w:rPr>
              <w:t>2022</w:t>
            </w:r>
            <w:r w:rsidRPr="004A2284">
              <w:rPr>
                <w:sz w:val="24"/>
                <w:szCs w:val="24"/>
              </w:rPr>
              <w:t>-</w:t>
            </w:r>
            <w:r w:rsidRPr="004A2284" w:rsidR="00EE2356">
              <w:rPr>
                <w:sz w:val="24"/>
                <w:szCs w:val="24"/>
              </w:rPr>
              <w:t>23</w:t>
            </w:r>
            <w:r w:rsidRPr="004A2284">
              <w:rPr>
                <w:sz w:val="24"/>
                <w:szCs w:val="24"/>
              </w:rPr>
              <w:t>)</w:t>
            </w:r>
          </w:p>
        </w:tc>
        <w:tc>
          <w:tcPr>
            <w:tcW w:w="1350" w:type="dxa"/>
            <w:tcBorders>
              <w:bottom w:val="single" w:sz="2" w:space="0" w:color="BFBFBF" w:themeColor="background1" w:themeShade="BF"/>
            </w:tcBorders>
            <w:vAlign w:val="center"/>
          </w:tcPr>
          <w:p w:rsidR="00CB5F6B" w:rsidRPr="004A2284" w:rsidP="00B223C9" w14:paraId="35ED0F99" w14:textId="444F52D1">
            <w:pPr>
              <w:tabs>
                <w:tab w:val="decimal" w:pos="702"/>
              </w:tabs>
              <w:spacing w:before="40" w:after="40"/>
              <w:jc w:val="center"/>
              <w:rPr>
                <w:sz w:val="24"/>
                <w:szCs w:val="24"/>
              </w:rPr>
            </w:pPr>
          </w:p>
        </w:tc>
        <w:tc>
          <w:tcPr>
            <w:tcW w:w="1890" w:type="dxa"/>
            <w:tcBorders>
              <w:bottom w:val="single" w:sz="2" w:space="0" w:color="BFBFBF" w:themeColor="background1" w:themeShade="BF"/>
            </w:tcBorders>
            <w:shd w:val="clear" w:color="auto" w:fill="auto"/>
            <w:noWrap/>
            <w:vAlign w:val="center"/>
          </w:tcPr>
          <w:p w:rsidR="00CB5F6B" w:rsidRPr="004A2284" w:rsidP="005C01B0" w14:paraId="627C42F6" w14:textId="04885BB5">
            <w:pPr>
              <w:tabs>
                <w:tab w:val="decimal" w:pos="702"/>
              </w:tabs>
              <w:spacing w:before="40" w:after="40"/>
              <w:jc w:val="center"/>
              <w:rPr>
                <w:sz w:val="24"/>
                <w:szCs w:val="24"/>
              </w:rPr>
            </w:pPr>
            <w:r w:rsidRPr="004A2284">
              <w:rPr>
                <w:sz w:val="24"/>
                <w:szCs w:val="24"/>
              </w:rPr>
              <w:t>$1,767,253.26</w:t>
            </w:r>
          </w:p>
        </w:tc>
        <w:tc>
          <w:tcPr>
            <w:tcW w:w="1890" w:type="dxa"/>
            <w:tcBorders>
              <w:bottom w:val="single" w:sz="2" w:space="0" w:color="BFBFBF" w:themeColor="background1" w:themeShade="BF"/>
            </w:tcBorders>
            <w:shd w:val="clear" w:color="auto" w:fill="auto"/>
            <w:noWrap/>
            <w:vAlign w:val="center"/>
            <w:hideMark/>
          </w:tcPr>
          <w:p w:rsidR="00CB5F6B" w:rsidRPr="004A2284" w:rsidP="00591598" w14:paraId="5421C42A" w14:textId="611CC877">
            <w:pPr>
              <w:tabs>
                <w:tab w:val="decimal" w:pos="702"/>
              </w:tabs>
              <w:spacing w:before="40" w:after="40"/>
              <w:jc w:val="center"/>
              <w:rPr>
                <w:sz w:val="24"/>
                <w:szCs w:val="24"/>
              </w:rPr>
            </w:pPr>
            <w:r w:rsidRPr="004A2284">
              <w:rPr>
                <w:sz w:val="24"/>
                <w:szCs w:val="24"/>
              </w:rPr>
              <w:t>$</w:t>
            </w:r>
            <w:r w:rsidRPr="004A2284" w:rsidR="00E14554">
              <w:rPr>
                <w:sz w:val="24"/>
                <w:szCs w:val="24"/>
              </w:rPr>
              <w:t>220</w:t>
            </w:r>
            <w:r w:rsidRPr="004A2284" w:rsidR="00773CA6">
              <w:rPr>
                <w:sz w:val="24"/>
                <w:szCs w:val="24"/>
              </w:rPr>
              <w:t>,</w:t>
            </w:r>
            <w:r w:rsidRPr="004A2284" w:rsidR="00E14554">
              <w:rPr>
                <w:sz w:val="24"/>
                <w:szCs w:val="24"/>
              </w:rPr>
              <w:t>906.66</w:t>
            </w:r>
          </w:p>
        </w:tc>
        <w:tc>
          <w:tcPr>
            <w:tcW w:w="1260" w:type="dxa"/>
            <w:tcBorders>
              <w:bottom w:val="single" w:sz="2" w:space="0" w:color="BFBFBF" w:themeColor="background1" w:themeShade="BF"/>
            </w:tcBorders>
            <w:shd w:val="clear" w:color="auto" w:fill="auto"/>
            <w:noWrap/>
            <w:vAlign w:val="center"/>
          </w:tcPr>
          <w:p w:rsidR="00CB5F6B" w:rsidRPr="004A2284" w:rsidP="00B223C9" w14:paraId="2E6F4F35" w14:textId="554645B7">
            <w:pPr>
              <w:tabs>
                <w:tab w:val="decimal" w:pos="702"/>
              </w:tabs>
              <w:spacing w:before="40" w:after="40"/>
              <w:jc w:val="center"/>
              <w:rPr>
                <w:sz w:val="24"/>
                <w:szCs w:val="24"/>
              </w:rPr>
            </w:pPr>
          </w:p>
        </w:tc>
      </w:tr>
      <w:tr w14:paraId="659FC0D8"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A615CF0" w14:textId="6DE0F7A4">
            <w:pPr>
              <w:spacing w:before="40" w:after="40"/>
              <w:rPr>
                <w:sz w:val="24"/>
                <w:szCs w:val="24"/>
              </w:rPr>
            </w:pPr>
            <w:r w:rsidRPr="004A2284">
              <w:rPr>
                <w:sz w:val="24"/>
                <w:szCs w:val="24"/>
              </w:rPr>
              <w:t>Option year 1 (20</w:t>
            </w:r>
            <w:r w:rsidRPr="004A2284" w:rsidR="00EE2356">
              <w:rPr>
                <w:sz w:val="24"/>
                <w:szCs w:val="24"/>
              </w:rPr>
              <w:t>23</w:t>
            </w:r>
            <w:r w:rsidRPr="004A2284">
              <w:rPr>
                <w:sz w:val="24"/>
                <w:szCs w:val="24"/>
              </w:rPr>
              <w:t>-2</w:t>
            </w:r>
            <w:r w:rsidRPr="004A2284" w:rsidR="00EE2356">
              <w:rPr>
                <w:sz w:val="24"/>
                <w:szCs w:val="24"/>
              </w:rPr>
              <w:t>4</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24372666" w14:textId="3228F46B">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72C8EE45" w14:textId="038D870C">
            <w:pPr>
              <w:tabs>
                <w:tab w:val="decimal" w:pos="702"/>
              </w:tabs>
              <w:spacing w:before="40" w:after="40"/>
              <w:jc w:val="center"/>
              <w:rPr>
                <w:sz w:val="24"/>
                <w:szCs w:val="24"/>
              </w:rPr>
            </w:pPr>
            <w:r w:rsidRPr="004A2284">
              <w:rPr>
                <w:sz w:val="24"/>
                <w:szCs w:val="24"/>
              </w:rPr>
              <w:t>$1,791,354.67</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2169B764" w14:textId="3B72D392">
            <w:pPr>
              <w:tabs>
                <w:tab w:val="decimal" w:pos="702"/>
              </w:tabs>
              <w:spacing w:before="40" w:after="40"/>
              <w:jc w:val="center"/>
              <w:rPr>
                <w:sz w:val="24"/>
                <w:szCs w:val="24"/>
              </w:rPr>
            </w:pPr>
            <w:r w:rsidRPr="004A2284">
              <w:rPr>
                <w:sz w:val="24"/>
                <w:szCs w:val="24"/>
              </w:rPr>
              <w:t>$</w:t>
            </w:r>
            <w:r w:rsidRPr="004A2284" w:rsidR="00E14554">
              <w:rPr>
                <w:sz w:val="24"/>
                <w:szCs w:val="24"/>
              </w:rPr>
              <w:t>223,919.33</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A7186C" w14:paraId="6FAD4793" w14:textId="03ED63C3">
            <w:pPr>
              <w:tabs>
                <w:tab w:val="decimal" w:pos="702"/>
              </w:tabs>
              <w:spacing w:before="40" w:after="40"/>
              <w:ind w:left="609"/>
              <w:jc w:val="center"/>
              <w:rPr>
                <w:sz w:val="24"/>
                <w:szCs w:val="24"/>
              </w:rPr>
            </w:pPr>
          </w:p>
        </w:tc>
      </w:tr>
      <w:tr w14:paraId="00AA2AAB"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3CB614C8" w14:textId="2FE268F1">
            <w:pPr>
              <w:spacing w:before="40" w:after="40"/>
              <w:rPr>
                <w:sz w:val="24"/>
                <w:szCs w:val="24"/>
              </w:rPr>
            </w:pPr>
            <w:r w:rsidRPr="004A2284">
              <w:rPr>
                <w:sz w:val="24"/>
                <w:szCs w:val="24"/>
              </w:rPr>
              <w:t>Option year 2 (20</w:t>
            </w:r>
            <w:r w:rsidRPr="004A2284" w:rsidR="00EE2356">
              <w:rPr>
                <w:sz w:val="24"/>
                <w:szCs w:val="24"/>
              </w:rPr>
              <w:t>24</w:t>
            </w:r>
            <w:r w:rsidRPr="004A2284">
              <w:rPr>
                <w:sz w:val="24"/>
                <w:szCs w:val="24"/>
              </w:rPr>
              <w:t>-2</w:t>
            </w:r>
            <w:r w:rsidRPr="004A2284" w:rsidR="004B62A7">
              <w:rPr>
                <w:sz w:val="24"/>
                <w:szCs w:val="24"/>
              </w:rPr>
              <w:t>5</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30480F3A" w14:textId="68357433">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577D045A" w14:textId="143D9AA0">
            <w:pPr>
              <w:tabs>
                <w:tab w:val="decimal" w:pos="702"/>
              </w:tabs>
              <w:spacing w:before="40" w:after="40"/>
              <w:jc w:val="center"/>
              <w:rPr>
                <w:sz w:val="24"/>
                <w:szCs w:val="24"/>
              </w:rPr>
            </w:pPr>
            <w:r w:rsidRPr="004A2284">
              <w:rPr>
                <w:sz w:val="24"/>
                <w:szCs w:val="24"/>
              </w:rPr>
              <w:t>$1,835,418.84</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721CDA31" w14:textId="2ACAC548">
            <w:pPr>
              <w:tabs>
                <w:tab w:val="decimal" w:pos="702"/>
              </w:tabs>
              <w:spacing w:before="40" w:after="40"/>
              <w:jc w:val="center"/>
              <w:rPr>
                <w:sz w:val="24"/>
                <w:szCs w:val="24"/>
              </w:rPr>
            </w:pPr>
            <w:r w:rsidRPr="004A2284">
              <w:rPr>
                <w:sz w:val="24"/>
                <w:szCs w:val="24"/>
              </w:rPr>
              <w:t>$</w:t>
            </w:r>
            <w:r w:rsidRPr="004A2284" w:rsidR="00750ADF">
              <w:rPr>
                <w:sz w:val="24"/>
                <w:szCs w:val="24"/>
              </w:rPr>
              <w:t>229,427.36</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B223C9" w14:paraId="57EB8069" w14:textId="4518EC75">
            <w:pPr>
              <w:tabs>
                <w:tab w:val="decimal" w:pos="702"/>
              </w:tabs>
              <w:spacing w:before="40" w:after="40"/>
              <w:jc w:val="center"/>
              <w:rPr>
                <w:sz w:val="24"/>
                <w:szCs w:val="24"/>
              </w:rPr>
            </w:pPr>
          </w:p>
        </w:tc>
      </w:tr>
      <w:tr w14:paraId="16DA9F8C"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B339287" w14:textId="13D9C204">
            <w:pPr>
              <w:spacing w:before="40" w:after="40"/>
              <w:rPr>
                <w:sz w:val="24"/>
                <w:szCs w:val="24"/>
              </w:rPr>
            </w:pPr>
            <w:r w:rsidRPr="004A2284">
              <w:rPr>
                <w:sz w:val="24"/>
                <w:szCs w:val="24"/>
              </w:rPr>
              <w:t>Option year 3 (20</w:t>
            </w:r>
            <w:r w:rsidRPr="004A2284" w:rsidR="004B62A7">
              <w:rPr>
                <w:sz w:val="24"/>
                <w:szCs w:val="24"/>
              </w:rPr>
              <w:t>25</w:t>
            </w:r>
            <w:r w:rsidRPr="004A2284">
              <w:rPr>
                <w:sz w:val="24"/>
                <w:szCs w:val="24"/>
              </w:rPr>
              <w:t>-2</w:t>
            </w:r>
            <w:r w:rsidRPr="004A2284" w:rsidR="004B62A7">
              <w:rPr>
                <w:sz w:val="24"/>
                <w:szCs w:val="24"/>
              </w:rPr>
              <w:t>6</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2489058F" w14:textId="65B7C5BB">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37A70CFD" w14:textId="7BA4388A">
            <w:pPr>
              <w:tabs>
                <w:tab w:val="decimal" w:pos="702"/>
              </w:tabs>
              <w:spacing w:before="40" w:after="40"/>
              <w:jc w:val="center"/>
              <w:rPr>
                <w:sz w:val="24"/>
                <w:szCs w:val="24"/>
              </w:rPr>
            </w:pPr>
            <w:r w:rsidRPr="004A2284">
              <w:rPr>
                <w:sz w:val="24"/>
                <w:szCs w:val="24"/>
              </w:rPr>
              <w:t>$1,903</w:t>
            </w:r>
            <w:r w:rsidRPr="004A2284" w:rsidR="00891A63">
              <w:rPr>
                <w:sz w:val="24"/>
                <w:szCs w:val="24"/>
              </w:rPr>
              <w:t>,</w:t>
            </w:r>
            <w:r w:rsidRPr="004A2284">
              <w:rPr>
                <w:sz w:val="24"/>
                <w:szCs w:val="24"/>
              </w:rPr>
              <w:t>123.41</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EAA136D" w14:textId="78CDCA7D">
            <w:pPr>
              <w:tabs>
                <w:tab w:val="decimal" w:pos="702"/>
              </w:tabs>
              <w:spacing w:before="40" w:after="40"/>
              <w:jc w:val="center"/>
              <w:rPr>
                <w:sz w:val="24"/>
                <w:szCs w:val="24"/>
              </w:rPr>
            </w:pPr>
            <w:r w:rsidRPr="004A2284">
              <w:rPr>
                <w:sz w:val="24"/>
                <w:szCs w:val="24"/>
              </w:rPr>
              <w:t>$</w:t>
            </w:r>
            <w:r w:rsidRPr="004A2284" w:rsidR="00AD35C6">
              <w:rPr>
                <w:sz w:val="24"/>
                <w:szCs w:val="24"/>
              </w:rPr>
              <w:t>237,890.43</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B223C9" w14:paraId="7DB7FFBB" w14:textId="68341C51">
            <w:pPr>
              <w:tabs>
                <w:tab w:val="decimal" w:pos="702"/>
              </w:tabs>
              <w:spacing w:before="40" w:after="40"/>
              <w:jc w:val="center"/>
              <w:rPr>
                <w:sz w:val="24"/>
                <w:szCs w:val="24"/>
              </w:rPr>
            </w:pPr>
          </w:p>
        </w:tc>
      </w:tr>
      <w:tr w14:paraId="1F26FF7F"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7A8627D6" w14:textId="65BAC0BA">
            <w:pPr>
              <w:spacing w:before="40" w:after="40"/>
              <w:rPr>
                <w:sz w:val="24"/>
                <w:szCs w:val="24"/>
              </w:rPr>
            </w:pPr>
            <w:r w:rsidRPr="004A2284">
              <w:rPr>
                <w:sz w:val="24"/>
                <w:szCs w:val="24"/>
              </w:rPr>
              <w:t>Total cost</w:t>
            </w:r>
          </w:p>
        </w:tc>
        <w:tc>
          <w:tcPr>
            <w:tcW w:w="1350" w:type="dxa"/>
            <w:tcBorders>
              <w:top w:val="single" w:sz="2" w:space="0" w:color="BFBFBF" w:themeColor="background1" w:themeShade="BF"/>
              <w:bottom w:val="single" w:sz="4" w:space="0" w:color="auto"/>
            </w:tcBorders>
            <w:vAlign w:val="center"/>
          </w:tcPr>
          <w:p w:rsidR="00A7186C" w:rsidRPr="004A2284" w:rsidP="00B223C9" w14:paraId="07B333BB" w14:textId="77777777">
            <w:pPr>
              <w:tabs>
                <w:tab w:val="decimal" w:pos="702"/>
              </w:tabs>
              <w:spacing w:before="40" w:after="40"/>
              <w:jc w:val="center"/>
              <w:rPr>
                <w:sz w:val="24"/>
                <w:szCs w:val="24"/>
              </w:rPr>
            </w:pPr>
          </w:p>
        </w:tc>
        <w:tc>
          <w:tcPr>
            <w:tcW w:w="189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00D4517F" w14:textId="77777777">
            <w:pPr>
              <w:tabs>
                <w:tab w:val="decimal" w:pos="702"/>
              </w:tabs>
              <w:spacing w:before="40" w:after="40"/>
              <w:jc w:val="center"/>
              <w:rPr>
                <w:sz w:val="24"/>
                <w:szCs w:val="24"/>
              </w:rPr>
            </w:pPr>
          </w:p>
        </w:tc>
        <w:tc>
          <w:tcPr>
            <w:tcW w:w="189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6C473054" w14:textId="09DE148D">
            <w:pPr>
              <w:tabs>
                <w:tab w:val="decimal" w:pos="702"/>
              </w:tabs>
              <w:spacing w:before="40" w:after="40"/>
              <w:jc w:val="center"/>
              <w:rPr>
                <w:sz w:val="24"/>
                <w:szCs w:val="24"/>
              </w:rPr>
            </w:pPr>
            <w:r w:rsidRPr="004A2284">
              <w:rPr>
                <w:sz w:val="24"/>
                <w:szCs w:val="24"/>
              </w:rPr>
              <w:t>$</w:t>
            </w:r>
            <w:r w:rsidRPr="004A2284" w:rsidR="00D7282D">
              <w:rPr>
                <w:sz w:val="24"/>
                <w:szCs w:val="24"/>
              </w:rPr>
              <w:t>912,</w:t>
            </w:r>
            <w:r w:rsidRPr="004A2284" w:rsidR="007344D9">
              <w:rPr>
                <w:sz w:val="24"/>
                <w:szCs w:val="24"/>
              </w:rPr>
              <w:t>143.78</w:t>
            </w:r>
          </w:p>
        </w:tc>
        <w:tc>
          <w:tcPr>
            <w:tcW w:w="126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0215F364" w14:textId="77777777">
            <w:pPr>
              <w:tabs>
                <w:tab w:val="decimal" w:pos="702"/>
              </w:tabs>
              <w:spacing w:before="40" w:after="40"/>
              <w:jc w:val="center"/>
              <w:rPr>
                <w:sz w:val="24"/>
                <w:szCs w:val="24"/>
              </w:rPr>
            </w:pPr>
          </w:p>
        </w:tc>
      </w:tr>
    </w:tbl>
    <w:p w:rsidR="00CB5F6B" w:rsidRPr="008851A7" w:rsidP="00CB5F6B" w14:paraId="5C278604" w14:textId="77777777"/>
    <w:p w:rsidR="003F14B3" w:rsidP="00EF59A0" w14:paraId="51695E67" w14:textId="4AEE55E6">
      <w:pPr>
        <w:pStyle w:val="NormalSS"/>
        <w:ind w:firstLine="0"/>
        <w:rPr>
          <w:rStyle w:val="BodyTextFi"/>
          <w:szCs w:val="24"/>
        </w:rPr>
      </w:pPr>
      <w:r w:rsidRPr="00E73EB6">
        <w:rPr>
          <w:rStyle w:val="BodyTextFi"/>
        </w:rPr>
        <w:t xml:space="preserve">In addition, government personnel </w:t>
      </w:r>
      <w:r w:rsidRPr="00E73EB6">
        <w:rPr>
          <w:rStyle w:val="BodyTextFi"/>
        </w:rPr>
        <w:t>requires</w:t>
      </w:r>
      <w:r w:rsidRPr="00E73EB6">
        <w:rPr>
          <w:rStyle w:val="BodyTextFi"/>
        </w:rPr>
        <w:t xml:space="preserve"> 10% time of 1 FTE at a GS-13 level ($1</w:t>
      </w:r>
      <w:r>
        <w:rPr>
          <w:rStyle w:val="BodyTextFi"/>
        </w:rPr>
        <w:t>12,015</w:t>
      </w:r>
      <w:r w:rsidRPr="00E73EB6">
        <w:rPr>
          <w:rStyle w:val="BodyTextFi"/>
        </w:rPr>
        <w:t>) to review and prepare award notices (approximately $1</w:t>
      </w:r>
      <w:r>
        <w:rPr>
          <w:rStyle w:val="BodyTextFi"/>
        </w:rPr>
        <w:t>1,201.50</w:t>
      </w:r>
      <w:r w:rsidRPr="00E73EB6">
        <w:rPr>
          <w:rStyle w:val="BodyTextFi"/>
        </w:rPr>
        <w:t>)</w:t>
      </w:r>
      <w:r w:rsidRPr="008851A7" w:rsidR="00CB5F6B">
        <w:t xml:space="preserve">. The average annual total cost of the project is </w:t>
      </w:r>
      <w:r w:rsidR="00B27B1E">
        <w:t>$</w:t>
      </w:r>
      <w:r w:rsidR="00495450">
        <w:t>1</w:t>
      </w:r>
      <w:r>
        <w:t>25,219.48</w:t>
      </w:r>
      <w:r w:rsidRPr="008851A7" w:rsidR="00CB5F6B">
        <w:t xml:space="preserve"> and the total cost of the </w:t>
      </w:r>
      <w:r w:rsidR="00E20EFB">
        <w:t>four</w:t>
      </w:r>
      <w:r w:rsidRPr="008851A7" w:rsidR="00CB5F6B">
        <w:t xml:space="preserve">-year project </w:t>
      </w:r>
      <w:r w:rsidRPr="008C456C" w:rsidR="00CB5F6B">
        <w:t>is $</w:t>
      </w:r>
      <w:r w:rsidR="00711663">
        <w:t>5</w:t>
      </w:r>
      <w:r>
        <w:t>00,877.92</w:t>
      </w:r>
      <w:r w:rsidRPr="008851A7" w:rsidR="00CB5F6B">
        <w:t>.</w:t>
      </w:r>
    </w:p>
    <w:p w:rsidR="00533918" w:rsidRPr="00A50FCD" w14:paraId="69D6B8EA" w14:textId="77777777">
      <w:pPr>
        <w:pStyle w:val="ColorfulList-Accent11"/>
        <w:widowControl/>
        <w:tabs>
          <w:tab w:val="left" w:pos="360"/>
        </w:tabs>
        <w:ind w:left="0"/>
        <w:outlineLvl w:val="1"/>
        <w:rPr>
          <w:b/>
          <w:bCs/>
          <w:sz w:val="24"/>
          <w:szCs w:val="24"/>
          <w:u w:val="single"/>
        </w:rPr>
      </w:pPr>
      <w:bookmarkStart w:id="16" w:name="_Toc209407066"/>
      <w:r w:rsidRPr="00664801">
        <w:rPr>
          <w:b/>
          <w:bCs/>
          <w:sz w:val="24"/>
          <w:szCs w:val="24"/>
        </w:rPr>
        <w:t>15.</w:t>
      </w:r>
      <w:r w:rsidRPr="00664801">
        <w:rPr>
          <w:b/>
          <w:sz w:val="24"/>
        </w:rPr>
        <w:tab/>
      </w:r>
      <w:r w:rsidRPr="00664801">
        <w:rPr>
          <w:b/>
          <w:bCs/>
          <w:sz w:val="24"/>
          <w:szCs w:val="24"/>
          <w:u w:val="single"/>
        </w:rPr>
        <w:t>Explanation for Program Changes or Adjustments</w:t>
      </w:r>
      <w:r w:rsidRPr="00863839">
        <w:rPr>
          <w:b/>
          <w:bCs/>
          <w:sz w:val="24"/>
          <w:szCs w:val="24"/>
          <w:u w:val="single"/>
        </w:rPr>
        <w:t xml:space="preserve"> </w:t>
      </w:r>
      <w:bookmarkEnd w:id="16"/>
    </w:p>
    <w:p w:rsidR="00533918" w:rsidRPr="00743C52" w14:paraId="6D80C7DD" w14:textId="77777777">
      <w:pPr>
        <w:widowControl/>
        <w:rPr>
          <w:sz w:val="24"/>
          <w:szCs w:val="24"/>
        </w:rPr>
      </w:pPr>
    </w:p>
    <w:p w:rsidR="009F2F7F" w:rsidP="00664801" w14:paraId="3FBCBF07" w14:textId="1898F9E3">
      <w:pPr>
        <w:pStyle w:val="BodyText"/>
        <w:spacing w:after="0"/>
        <w:rPr>
          <w:bCs/>
          <w:sz w:val="24"/>
          <w:szCs w:val="24"/>
        </w:rPr>
      </w:pPr>
      <w:r w:rsidRPr="00664801">
        <w:rPr>
          <w:bCs/>
          <w:sz w:val="24"/>
          <w:szCs w:val="24"/>
        </w:rPr>
        <w:t>HRSA HAB is proposing the following updates to the RWHAP Allocation Reports.</w:t>
      </w:r>
    </w:p>
    <w:p w:rsidR="00A245B9" w:rsidRPr="00664801" w:rsidP="00664801" w14:paraId="3E15B7E4" w14:textId="67E7B94D">
      <w:pPr>
        <w:pStyle w:val="BodyText"/>
        <w:spacing w:after="0"/>
        <w:rPr>
          <w:bCs/>
          <w:sz w:val="24"/>
          <w:szCs w:val="24"/>
        </w:rPr>
      </w:pPr>
      <w:r w:rsidRPr="00664801">
        <w:rPr>
          <w:bCs/>
          <w:sz w:val="24"/>
          <w:szCs w:val="24"/>
        </w:rPr>
        <w:t xml:space="preserve">  </w:t>
      </w:r>
    </w:p>
    <w:p w:rsidR="00A245B9" w:rsidP="00664801" w14:paraId="623C7301" w14:textId="46F93347">
      <w:pPr>
        <w:pStyle w:val="BodyText"/>
        <w:spacing w:after="0"/>
        <w:rPr>
          <w:bCs/>
          <w:sz w:val="24"/>
          <w:szCs w:val="24"/>
          <w:u w:val="single"/>
        </w:rPr>
      </w:pPr>
      <w:r w:rsidRPr="00664801">
        <w:rPr>
          <w:bCs/>
          <w:sz w:val="24"/>
          <w:szCs w:val="24"/>
          <w:u w:val="single"/>
        </w:rPr>
        <w:t>RWHAP Part A Allocations Report:</w:t>
      </w:r>
    </w:p>
    <w:p w:rsidR="009F2F7F" w:rsidRPr="00664801" w:rsidP="00664801" w14:paraId="61310C6C" w14:textId="77777777">
      <w:pPr>
        <w:pStyle w:val="BodyText"/>
        <w:spacing w:after="0"/>
        <w:rPr>
          <w:bCs/>
          <w:sz w:val="24"/>
          <w:szCs w:val="24"/>
          <w:u w:val="single"/>
        </w:rPr>
      </w:pPr>
    </w:p>
    <w:p w:rsidR="00A245B9" w:rsidRPr="00664801" w:rsidP="00664801" w14:paraId="4414CAA6" w14:textId="77777777">
      <w:pPr>
        <w:pStyle w:val="BodyText"/>
        <w:widowControl/>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rPr>
          <w:sz w:val="24"/>
          <w:szCs w:val="24"/>
        </w:rPr>
      </w:pPr>
      <w:r w:rsidRPr="00664801">
        <w:rPr>
          <w:bCs/>
          <w:sz w:val="24"/>
          <w:szCs w:val="24"/>
        </w:rPr>
        <w:t xml:space="preserve">Revising row and column headers and other language for clarity and alignment with RWHAP </w:t>
      </w:r>
      <w:r w:rsidRPr="00664801">
        <w:rPr>
          <w:bCs/>
          <w:sz w:val="24"/>
          <w:szCs w:val="24"/>
        </w:rPr>
        <w:t>requirements;</w:t>
      </w:r>
      <w:r w:rsidRPr="00664801">
        <w:rPr>
          <w:bCs/>
          <w:sz w:val="24"/>
          <w:szCs w:val="24"/>
        </w:rPr>
        <w:t xml:space="preserve"> </w:t>
      </w:r>
    </w:p>
    <w:p w:rsidR="00A245B9" w:rsidRPr="00664801" w:rsidP="00664801" w14:paraId="6CAF219C" w14:textId="31A81777">
      <w:pPr>
        <w:pStyle w:val="BodyText"/>
        <w:widowControl/>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rPr>
          <w:sz w:val="24"/>
          <w:szCs w:val="24"/>
        </w:rPr>
      </w:pPr>
      <w:r w:rsidRPr="00664801">
        <w:rPr>
          <w:sz w:val="24"/>
          <w:szCs w:val="24"/>
        </w:rPr>
        <w:t xml:space="preserve">Combining the columns for RWHAP Part A Formula and Supplemental </w:t>
      </w:r>
      <w:r w:rsidRPr="00664801">
        <w:rPr>
          <w:bCs/>
          <w:sz w:val="24"/>
          <w:szCs w:val="24"/>
        </w:rPr>
        <w:t>Allocation</w:t>
      </w:r>
      <w:r w:rsidRPr="00664801">
        <w:rPr>
          <w:sz w:val="24"/>
          <w:szCs w:val="24"/>
        </w:rPr>
        <w:t xml:space="preserve"> amounts and updating the </w:t>
      </w:r>
      <w:r w:rsidRPr="00664801">
        <w:rPr>
          <w:sz w:val="24"/>
          <w:szCs w:val="24"/>
        </w:rPr>
        <w:t>title;</w:t>
      </w:r>
      <w:r w:rsidRPr="00664801">
        <w:rPr>
          <w:sz w:val="24"/>
          <w:szCs w:val="24"/>
        </w:rPr>
        <w:t xml:space="preserve"> </w:t>
      </w:r>
    </w:p>
    <w:p w:rsidR="00A245B9" w:rsidRPr="00664801" w:rsidP="00664801" w14:paraId="15A95FAD" w14:textId="77777777">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664801">
        <w:rPr>
          <w:sz w:val="24"/>
          <w:szCs w:val="24"/>
        </w:rPr>
        <w:t xml:space="preserve">Moving the RWHAP Part A MAI Award Amount row after the RWHAP Part A Supplemental Award Amount </w:t>
      </w:r>
      <w:r w:rsidRPr="00664801">
        <w:rPr>
          <w:sz w:val="24"/>
          <w:szCs w:val="24"/>
        </w:rPr>
        <w:t>row;</w:t>
      </w:r>
    </w:p>
    <w:p w:rsidR="00A245B9" w:rsidRPr="00664801" w:rsidP="00664801" w14:paraId="1DC82905" w14:textId="7DDD663C">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664801">
        <w:rPr>
          <w:sz w:val="24"/>
          <w:szCs w:val="24"/>
        </w:rPr>
        <w:t xml:space="preserve">Changing the calculation for Service Allocation Subtotal percent in the Total RWHAP Part A Allocation Amounts </w:t>
      </w:r>
      <w:r w:rsidRPr="00664801">
        <w:rPr>
          <w:sz w:val="24"/>
          <w:szCs w:val="24"/>
        </w:rPr>
        <w:t>column;</w:t>
      </w:r>
    </w:p>
    <w:p w:rsidR="00A245B9" w:rsidRPr="00664801" w:rsidP="00664801" w14:paraId="22DA6EFF" w14:textId="77777777">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664801">
        <w:rPr>
          <w:sz w:val="24"/>
          <w:szCs w:val="24"/>
        </w:rPr>
        <w:t xml:space="preserve"> Blacking out the percent columns for the RWHAP Part A Formula and Supplemental Allocation Amounts, RWHAP Part A MAI Allocation Amounts, and selected cells in the Total RWHAP Part A Allocation Amounts column; and</w:t>
      </w:r>
    </w:p>
    <w:p w:rsidR="00A245B9" w:rsidP="00664801" w14:paraId="30E0FFBC" w14:textId="50C0DE81">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664801">
        <w:rPr>
          <w:sz w:val="24"/>
          <w:szCs w:val="24"/>
        </w:rPr>
        <w:t>Adding the Legislative Requirements Checklist.</w:t>
      </w:r>
    </w:p>
    <w:p w:rsidR="00A245B9" w:rsidRPr="00664801" w:rsidP="00664801" w14:paraId="42BF93A2" w14:textId="77777777">
      <w:pPr>
        <w:pStyle w:val="BodyText"/>
        <w:spacing w:after="0"/>
        <w:rPr>
          <w:sz w:val="24"/>
          <w:szCs w:val="24"/>
          <w:u w:val="single"/>
        </w:rPr>
      </w:pPr>
    </w:p>
    <w:p w:rsidR="00A245B9" w:rsidRPr="00664801" w:rsidP="00664801" w14:paraId="4A8F7A81" w14:textId="77777777">
      <w:pPr>
        <w:pStyle w:val="BodyText"/>
        <w:spacing w:after="0"/>
        <w:rPr>
          <w:sz w:val="24"/>
          <w:szCs w:val="24"/>
          <w:u w:val="single"/>
        </w:rPr>
      </w:pPr>
      <w:r w:rsidRPr="00664801">
        <w:rPr>
          <w:sz w:val="24"/>
          <w:szCs w:val="24"/>
          <w:u w:val="single"/>
        </w:rPr>
        <w:t>RWHAP Part B Allocations Report:</w:t>
      </w:r>
    </w:p>
    <w:p w:rsidR="00A245B9" w:rsidRPr="00664801" w:rsidP="00664801" w14:paraId="7D5B79BB" w14:textId="77777777">
      <w:pPr>
        <w:pStyle w:val="ListParagraph"/>
        <w:numPr>
          <w:ilvl w:val="0"/>
          <w:numId w:val="29"/>
        </w:numPr>
        <w:rPr>
          <w:rFonts w:ascii="Times New Roman" w:hAnsi="Times New Roman" w:cs="Times New Roman"/>
          <w:sz w:val="24"/>
          <w:szCs w:val="24"/>
        </w:rPr>
      </w:pPr>
      <w:r w:rsidRPr="00A245B9">
        <w:rPr>
          <w:rFonts w:ascii="Times New Roman" w:hAnsi="Times New Roman" w:cs="Times New Roman"/>
          <w:bCs/>
          <w:sz w:val="24"/>
          <w:szCs w:val="24"/>
        </w:rPr>
        <w:t xml:space="preserve">Revising row and column headers and other language for clarity and alignment with RWHAP </w:t>
      </w:r>
      <w:r w:rsidRPr="00A245B9">
        <w:rPr>
          <w:rFonts w:ascii="Times New Roman" w:hAnsi="Times New Roman" w:cs="Times New Roman"/>
          <w:bCs/>
          <w:sz w:val="24"/>
          <w:szCs w:val="24"/>
        </w:rPr>
        <w:t>requirements;</w:t>
      </w:r>
      <w:r w:rsidRPr="00664801">
        <w:rPr>
          <w:rFonts w:ascii="Times New Roman" w:hAnsi="Times New Roman" w:cs="Times New Roman"/>
          <w:sz w:val="24"/>
          <w:szCs w:val="24"/>
        </w:rPr>
        <w:t xml:space="preserve">  </w:t>
      </w:r>
    </w:p>
    <w:p w:rsidR="00A245B9" w:rsidRPr="00664801" w:rsidP="00664801" w14:paraId="3959F717" w14:textId="77777777">
      <w:pPr>
        <w:pStyle w:val="ListParagraph"/>
        <w:numPr>
          <w:ilvl w:val="0"/>
          <w:numId w:val="29"/>
        </w:numPr>
        <w:rPr>
          <w:rFonts w:ascii="Times New Roman" w:hAnsi="Times New Roman" w:cs="Times New Roman"/>
          <w:sz w:val="24"/>
          <w:szCs w:val="24"/>
        </w:rPr>
      </w:pPr>
      <w:r w:rsidRPr="00664801">
        <w:rPr>
          <w:rFonts w:ascii="Times New Roman" w:hAnsi="Times New Roman" w:cs="Times New Roman"/>
          <w:sz w:val="24"/>
          <w:szCs w:val="24"/>
        </w:rPr>
        <w:t xml:space="preserve">Adding the following rows to Table 1: 4c. Part B HIV Care Consortia Planning &amp; Evaluation / EC HIV Care Consortia Planning &amp; Evaluation and 4d. Part B HIV Care Consortia CQM / EC HIV Care Consortia CQM except for the ADAP Earmark + ADAP Supplemental Award </w:t>
      </w:r>
      <w:r w:rsidRPr="00664801">
        <w:rPr>
          <w:rFonts w:ascii="Times New Roman" w:hAnsi="Times New Roman" w:cs="Times New Roman"/>
          <w:sz w:val="24"/>
          <w:szCs w:val="24"/>
        </w:rPr>
        <w:t>cells;</w:t>
      </w:r>
    </w:p>
    <w:p w:rsidR="00A245B9" w:rsidRPr="00664801" w:rsidP="00664801" w14:paraId="4B690672" w14:textId="77777777">
      <w:pPr>
        <w:pStyle w:val="ListParagraph"/>
        <w:numPr>
          <w:ilvl w:val="1"/>
          <w:numId w:val="31"/>
        </w:numPr>
        <w:ind w:left="763" w:hanging="360"/>
        <w:rPr>
          <w:rFonts w:ascii="Times New Roman" w:hAnsi="Times New Roman" w:cs="Times New Roman"/>
          <w:sz w:val="24"/>
          <w:szCs w:val="24"/>
        </w:rPr>
      </w:pPr>
      <w:r w:rsidRPr="00664801">
        <w:rPr>
          <w:rFonts w:ascii="Times New Roman" w:hAnsi="Times New Roman" w:cs="Times New Roman"/>
          <w:sz w:val="24"/>
          <w:szCs w:val="24"/>
        </w:rPr>
        <w:t xml:space="preserve">Removing row 11. Total Part B X07 </w:t>
      </w:r>
      <w:r w:rsidRPr="00664801">
        <w:rPr>
          <w:rFonts w:ascii="Times New Roman" w:hAnsi="Times New Roman" w:cs="Times New Roman"/>
          <w:sz w:val="24"/>
          <w:szCs w:val="24"/>
        </w:rPr>
        <w:t>Allocations;</w:t>
      </w:r>
    </w:p>
    <w:p w:rsidR="00A245B9" w:rsidRPr="00664801" w:rsidP="00664801" w14:paraId="17291C22" w14:textId="77777777">
      <w:pPr>
        <w:pStyle w:val="ListParagraph"/>
        <w:numPr>
          <w:ilvl w:val="1"/>
          <w:numId w:val="31"/>
        </w:numPr>
        <w:ind w:left="763" w:hanging="360"/>
        <w:rPr>
          <w:rFonts w:ascii="Times New Roman" w:hAnsi="Times New Roman" w:cs="Times New Roman"/>
          <w:sz w:val="24"/>
          <w:szCs w:val="24"/>
        </w:rPr>
      </w:pPr>
      <w:r w:rsidRPr="00664801">
        <w:rPr>
          <w:rFonts w:ascii="Times New Roman" w:hAnsi="Times New Roman" w:cs="Times New Roman"/>
          <w:sz w:val="24"/>
          <w:szCs w:val="24"/>
        </w:rPr>
        <w:t xml:space="preserve">Allowing users to enter data in Table 2 for 1d. Health Insurance Premium &amp; Cost Sharing and 1e. Home and Community-based Health </w:t>
      </w:r>
      <w:r w:rsidRPr="00664801">
        <w:rPr>
          <w:rFonts w:ascii="Times New Roman" w:hAnsi="Times New Roman" w:cs="Times New Roman"/>
          <w:sz w:val="24"/>
          <w:szCs w:val="24"/>
        </w:rPr>
        <w:t>Services;</w:t>
      </w:r>
    </w:p>
    <w:p w:rsidR="00A245B9" w:rsidRPr="00664801" w:rsidP="00664801" w14:paraId="1F28FA3A" w14:textId="77777777">
      <w:pPr>
        <w:pStyle w:val="ListParagraph"/>
        <w:numPr>
          <w:ilvl w:val="1"/>
          <w:numId w:val="31"/>
        </w:numPr>
        <w:ind w:left="763" w:hanging="360"/>
        <w:rPr>
          <w:rFonts w:ascii="Times New Roman" w:hAnsi="Times New Roman" w:cs="Times New Roman"/>
          <w:sz w:val="24"/>
          <w:szCs w:val="24"/>
        </w:rPr>
      </w:pPr>
      <w:r w:rsidRPr="00664801">
        <w:rPr>
          <w:rFonts w:ascii="Times New Roman" w:hAnsi="Times New Roman" w:cs="Times New Roman"/>
          <w:sz w:val="24"/>
          <w:szCs w:val="24"/>
        </w:rPr>
        <w:t xml:space="preserve">Blacking out selected cells in the following rows, columns, or tables: </w:t>
      </w:r>
    </w:p>
    <w:p w:rsidR="00A245B9" w:rsidRPr="00664801" w:rsidP="00664801" w14:paraId="02144D8E" w14:textId="77777777">
      <w:pPr>
        <w:pStyle w:val="ListParagraph"/>
        <w:numPr>
          <w:ilvl w:val="2"/>
          <w:numId w:val="31"/>
        </w:numPr>
        <w:ind w:left="1224"/>
        <w:rPr>
          <w:rFonts w:ascii="Times New Roman" w:hAnsi="Times New Roman" w:cs="Times New Roman"/>
          <w:sz w:val="24"/>
          <w:szCs w:val="24"/>
        </w:rPr>
      </w:pPr>
      <w:r w:rsidRPr="00664801">
        <w:rPr>
          <w:rFonts w:ascii="Times New Roman" w:hAnsi="Times New Roman" w:cs="Times New Roman"/>
          <w:sz w:val="24"/>
          <w:szCs w:val="24"/>
        </w:rPr>
        <w:t>2. Part B Health Insurance Premium &amp; Cost Sharing Assistance for Low-Income Individuals (Table 1) as this information is also reported in Table 2</w:t>
      </w:r>
    </w:p>
    <w:p w:rsidR="00A245B9" w:rsidRPr="00664801" w:rsidP="00664801" w14:paraId="5FEFE2D4" w14:textId="77777777">
      <w:pPr>
        <w:pStyle w:val="ListParagraph"/>
        <w:numPr>
          <w:ilvl w:val="2"/>
          <w:numId w:val="31"/>
        </w:numPr>
        <w:ind w:left="1224"/>
        <w:rPr>
          <w:rFonts w:ascii="Times New Roman" w:hAnsi="Times New Roman" w:cs="Times New Roman"/>
          <w:sz w:val="24"/>
          <w:szCs w:val="24"/>
        </w:rPr>
      </w:pPr>
      <w:r w:rsidRPr="00664801">
        <w:rPr>
          <w:rFonts w:ascii="Times New Roman" w:hAnsi="Times New Roman" w:cs="Times New Roman"/>
          <w:sz w:val="24"/>
          <w:szCs w:val="24"/>
        </w:rPr>
        <w:t>3. Part B Home and Community-based Health Services (Table 1) as this information is also reported in Table 2</w:t>
      </w:r>
    </w:p>
    <w:p w:rsidR="00A245B9" w:rsidRPr="00664801" w:rsidP="00664801" w14:paraId="10DDB93C" w14:textId="77777777">
      <w:pPr>
        <w:pStyle w:val="ListParagraph"/>
        <w:numPr>
          <w:ilvl w:val="2"/>
          <w:numId w:val="31"/>
        </w:numPr>
        <w:ind w:left="1224"/>
        <w:rPr>
          <w:rFonts w:ascii="Times New Roman" w:hAnsi="Times New Roman" w:cs="Times New Roman"/>
          <w:sz w:val="24"/>
          <w:szCs w:val="24"/>
        </w:rPr>
      </w:pPr>
      <w:r w:rsidRPr="00664801">
        <w:rPr>
          <w:rFonts w:ascii="Times New Roman" w:hAnsi="Times New Roman" w:cs="Times New Roman"/>
          <w:sz w:val="24"/>
          <w:szCs w:val="24"/>
        </w:rPr>
        <w:t>4. Total Column (Table 1)</w:t>
      </w:r>
    </w:p>
    <w:p w:rsidR="00A245B9" w:rsidRPr="00664801" w:rsidP="00664801" w14:paraId="2517F197" w14:textId="77777777">
      <w:pPr>
        <w:pStyle w:val="ListParagraph"/>
        <w:numPr>
          <w:ilvl w:val="2"/>
          <w:numId w:val="31"/>
        </w:numPr>
        <w:ind w:left="1224"/>
        <w:rPr>
          <w:rFonts w:ascii="Times New Roman" w:hAnsi="Times New Roman" w:cs="Times New Roman"/>
          <w:sz w:val="24"/>
          <w:szCs w:val="24"/>
        </w:rPr>
      </w:pPr>
      <w:r w:rsidRPr="00664801">
        <w:rPr>
          <w:rFonts w:ascii="Times New Roman" w:hAnsi="Times New Roman" w:cs="Times New Roman"/>
          <w:sz w:val="24"/>
          <w:szCs w:val="24"/>
        </w:rPr>
        <w:t>1a. AIDS Drug Assistance Program Treatments (Table 2) as this information is also reported in Table 1</w:t>
      </w:r>
    </w:p>
    <w:p w:rsidR="00A245B9" w:rsidRPr="00664801" w:rsidP="00664801" w14:paraId="229BE993" w14:textId="5A630BE0">
      <w:pPr>
        <w:pStyle w:val="ListParagraph"/>
        <w:numPr>
          <w:ilvl w:val="2"/>
          <w:numId w:val="31"/>
        </w:numPr>
        <w:ind w:left="1224"/>
        <w:rPr>
          <w:rFonts w:ascii="Times New Roman" w:hAnsi="Times New Roman" w:cs="Times New Roman"/>
          <w:sz w:val="24"/>
          <w:szCs w:val="24"/>
        </w:rPr>
      </w:pPr>
      <w:r w:rsidRPr="00664801">
        <w:rPr>
          <w:rFonts w:ascii="Times New Roman" w:eastAsia="Times New Roman" w:hAnsi="Times New Roman" w:cs="Times New Roman"/>
          <w:bCs/>
          <w:color w:val="000000"/>
          <w:sz w:val="24"/>
          <w:szCs w:val="24"/>
        </w:rPr>
        <w:t>MAI Award</w:t>
      </w:r>
      <w:r w:rsidRPr="00664801">
        <w:rPr>
          <w:rFonts w:ascii="Times New Roman" w:hAnsi="Times New Roman" w:cs="Times New Roman"/>
          <w:sz w:val="24"/>
          <w:szCs w:val="24"/>
        </w:rPr>
        <w:t xml:space="preserve"> (Table 3)</w:t>
      </w:r>
      <w:r w:rsidRPr="00664801">
        <w:rPr>
          <w:rFonts w:ascii="Times New Roman" w:hAnsi="Times New Roman" w:cs="Times New Roman"/>
          <w:sz w:val="24"/>
          <w:szCs w:val="24"/>
        </w:rPr>
        <w:tab/>
      </w:r>
    </w:p>
    <w:p w:rsidR="00CB7320" w:rsidP="00664801" w14:paraId="4306613C" w14:textId="24CB82A5">
      <w:pPr>
        <w:pStyle w:val="ListParagraph"/>
        <w:numPr>
          <w:ilvl w:val="0"/>
          <w:numId w:val="29"/>
        </w:numPr>
        <w:rPr>
          <w:rFonts w:ascii="Times New Roman" w:hAnsi="Times New Roman" w:cs="Times New Roman"/>
          <w:sz w:val="24"/>
          <w:szCs w:val="24"/>
        </w:rPr>
      </w:pPr>
      <w:r w:rsidRPr="00664801">
        <w:rPr>
          <w:rFonts w:ascii="Times New Roman" w:hAnsi="Times New Roman" w:cs="Times New Roman"/>
          <w:sz w:val="24"/>
          <w:szCs w:val="24"/>
        </w:rPr>
        <w:t xml:space="preserve">Updating calculations and language in the Legislative Requirements </w:t>
      </w:r>
      <w:r w:rsidRPr="00664801">
        <w:rPr>
          <w:rFonts w:ascii="Times New Roman" w:hAnsi="Times New Roman" w:cs="Times New Roman"/>
          <w:sz w:val="24"/>
          <w:szCs w:val="24"/>
        </w:rPr>
        <w:t>Checklist</w:t>
      </w:r>
      <w:r w:rsidR="001568D1">
        <w:rPr>
          <w:rFonts w:ascii="Times New Roman" w:hAnsi="Times New Roman" w:cs="Times New Roman"/>
          <w:sz w:val="24"/>
          <w:szCs w:val="24"/>
        </w:rPr>
        <w:t>;</w:t>
      </w:r>
    </w:p>
    <w:p w:rsidR="00CB7320" w:rsidRPr="00CB7320" w:rsidP="00CB7320" w14:paraId="66CD1801" w14:textId="77777777">
      <w:pPr>
        <w:pStyle w:val="ListParagraph"/>
        <w:numPr>
          <w:ilvl w:val="0"/>
          <w:numId w:val="29"/>
        </w:numPr>
        <w:rPr>
          <w:rFonts w:ascii="Times New Roman" w:hAnsi="Times New Roman" w:cs="Times New Roman"/>
          <w:sz w:val="24"/>
          <w:szCs w:val="24"/>
        </w:rPr>
      </w:pPr>
      <w:r w:rsidRPr="00CB7320">
        <w:rPr>
          <w:rFonts w:ascii="Times New Roman" w:hAnsi="Times New Roman" w:cs="Times New Roman"/>
          <w:sz w:val="24"/>
          <w:szCs w:val="24"/>
        </w:rPr>
        <w:t>Removing the following services under Legislative Requirements Checklist’s Core Medical Services:</w:t>
      </w:r>
    </w:p>
    <w:p w:rsidR="00CB7320" w:rsidP="00CB7320" w14:paraId="4158A2B6" w14:textId="77777777">
      <w:pPr>
        <w:pStyle w:val="ListParagraph"/>
        <w:numPr>
          <w:ilvl w:val="0"/>
          <w:numId w:val="32"/>
        </w:numPr>
        <w:rPr>
          <w:rFonts w:ascii="Times New Roman" w:hAnsi="Times New Roman" w:cs="Times New Roman"/>
          <w:sz w:val="24"/>
          <w:szCs w:val="24"/>
        </w:rPr>
      </w:pPr>
      <w:r w:rsidRPr="00CB7320">
        <w:rPr>
          <w:rFonts w:ascii="Times New Roman" w:hAnsi="Times New Roman" w:cs="Times New Roman"/>
          <w:sz w:val="24"/>
          <w:szCs w:val="24"/>
        </w:rPr>
        <w:t>Health Insurance Premium &amp; Cost Sharing Assistance (H20)</w:t>
      </w:r>
    </w:p>
    <w:p w:rsidR="00A245B9" w:rsidRPr="00CB7320" w:rsidP="00CB7320" w14:paraId="525C7D53" w14:textId="3527579B">
      <w:pPr>
        <w:pStyle w:val="ListParagraph"/>
        <w:numPr>
          <w:ilvl w:val="0"/>
          <w:numId w:val="32"/>
        </w:numPr>
        <w:rPr>
          <w:rFonts w:ascii="Times New Roman" w:hAnsi="Times New Roman" w:cs="Times New Roman"/>
          <w:sz w:val="24"/>
          <w:szCs w:val="24"/>
        </w:rPr>
      </w:pPr>
      <w:r w:rsidRPr="00CB7320">
        <w:rPr>
          <w:rFonts w:ascii="Times New Roman" w:hAnsi="Times New Roman" w:cs="Times New Roman"/>
          <w:sz w:val="24"/>
          <w:szCs w:val="24"/>
        </w:rPr>
        <w:t>Home and Community based Health Services (H21)</w:t>
      </w:r>
      <w:r w:rsidRPr="00CB7320">
        <w:rPr>
          <w:rFonts w:ascii="Times New Roman" w:hAnsi="Times New Roman" w:cs="Times New Roman"/>
          <w:sz w:val="24"/>
          <w:szCs w:val="24"/>
        </w:rPr>
        <w:t xml:space="preserve"> </w:t>
      </w:r>
    </w:p>
    <w:p w:rsidR="00A245B9" w:rsidRPr="00664801" w:rsidP="00664801" w14:paraId="4140B996" w14:textId="77777777">
      <w:pPr>
        <w:pStyle w:val="BodyText"/>
        <w:spacing w:after="0"/>
        <w:rPr>
          <w:sz w:val="24"/>
          <w:szCs w:val="24"/>
        </w:rPr>
      </w:pPr>
    </w:p>
    <w:p w:rsidR="00A245B9" w:rsidRPr="00664801" w:rsidP="00664801" w14:paraId="6B1C8090" w14:textId="77777777">
      <w:pPr>
        <w:pStyle w:val="BodyText"/>
        <w:spacing w:after="0"/>
        <w:rPr>
          <w:sz w:val="24"/>
          <w:szCs w:val="24"/>
          <w:u w:val="single"/>
        </w:rPr>
      </w:pPr>
      <w:r w:rsidRPr="00664801">
        <w:rPr>
          <w:sz w:val="24"/>
          <w:szCs w:val="24"/>
          <w:u w:val="single"/>
        </w:rPr>
        <w:t>RWHAP Part C Allocations Report:</w:t>
      </w:r>
    </w:p>
    <w:p w:rsidR="00A245B9" w:rsidP="00664801" w14:paraId="3F7D02AF" w14:textId="22FA6571">
      <w:pPr>
        <w:pStyle w:val="BodyText"/>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cstheme="minorHAnsi"/>
          <w:sz w:val="24"/>
          <w:szCs w:val="24"/>
        </w:rPr>
      </w:pPr>
      <w:r w:rsidRPr="00664801">
        <w:rPr>
          <w:rFonts w:cstheme="minorHAnsi"/>
          <w:sz w:val="24"/>
          <w:szCs w:val="24"/>
        </w:rPr>
        <w:t>There are no proposed changes to the RWHAP Part C Allocations Report.</w:t>
      </w:r>
    </w:p>
    <w:p w:rsidR="0089726A" w:rsidRPr="00664801" w:rsidP="0089726A" w14:paraId="7B127098" w14:textId="77777777">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rPr>
          <w:rFonts w:cstheme="minorHAnsi"/>
          <w:sz w:val="24"/>
          <w:szCs w:val="24"/>
        </w:rPr>
      </w:pPr>
    </w:p>
    <w:p w:rsidR="00A245B9" w:rsidRPr="00664801" w:rsidP="00664801" w14:paraId="39DCBC7B" w14:textId="77777777">
      <w:pPr>
        <w:pStyle w:val="BodyText"/>
        <w:spacing w:after="0"/>
        <w:rPr>
          <w:rFonts w:cstheme="minorHAnsi"/>
          <w:sz w:val="24"/>
          <w:szCs w:val="24"/>
          <w:u w:val="single"/>
        </w:rPr>
      </w:pPr>
      <w:r w:rsidRPr="00664801">
        <w:rPr>
          <w:rFonts w:cstheme="minorHAnsi"/>
          <w:sz w:val="24"/>
          <w:szCs w:val="24"/>
          <w:u w:val="single"/>
        </w:rPr>
        <w:t>RWHAP Part D Allocations Report:</w:t>
      </w:r>
    </w:p>
    <w:p w:rsidR="00A245B9" w:rsidP="00664801" w14:paraId="64378A68" w14:textId="0D76818A">
      <w:pPr>
        <w:pStyle w:val="BodyText"/>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cstheme="minorHAnsi"/>
          <w:sz w:val="24"/>
          <w:szCs w:val="24"/>
        </w:rPr>
      </w:pPr>
      <w:r w:rsidRPr="00664801">
        <w:rPr>
          <w:rFonts w:cstheme="minorHAnsi"/>
          <w:sz w:val="24"/>
          <w:szCs w:val="24"/>
        </w:rPr>
        <w:t>There are no proposed changes to the RWHAP Part D Allocations Report.</w:t>
      </w:r>
    </w:p>
    <w:p w:rsidR="0089726A" w:rsidRPr="00664801" w:rsidP="0089726A" w14:paraId="16544A9A" w14:textId="77777777">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rPr>
          <w:rFonts w:cstheme="minorHAnsi"/>
          <w:sz w:val="24"/>
          <w:szCs w:val="24"/>
        </w:rPr>
      </w:pPr>
    </w:p>
    <w:p w:rsidR="00A245B9" w:rsidRPr="00664801" w:rsidP="00664801" w14:paraId="41C59BD0" w14:textId="669455AF">
      <w:pPr>
        <w:pStyle w:val="BodyText"/>
        <w:spacing w:after="0"/>
        <w:rPr>
          <w:rFonts w:cstheme="minorHAnsi"/>
          <w:sz w:val="24"/>
          <w:szCs w:val="24"/>
          <w:u w:val="single"/>
        </w:rPr>
      </w:pPr>
      <w:r w:rsidRPr="00664801">
        <w:rPr>
          <w:rFonts w:cstheme="minorHAnsi"/>
          <w:sz w:val="24"/>
          <w:szCs w:val="24"/>
          <w:u w:val="single"/>
        </w:rPr>
        <w:t xml:space="preserve">HAB </w:t>
      </w:r>
      <w:r w:rsidRPr="00664801">
        <w:rPr>
          <w:rFonts w:cstheme="minorHAnsi"/>
          <w:bCs/>
          <w:sz w:val="24"/>
          <w:szCs w:val="24"/>
          <w:u w:val="single"/>
        </w:rPr>
        <w:t xml:space="preserve">Ending the HIV Epidemic </w:t>
      </w:r>
      <w:r w:rsidRPr="00664801" w:rsidR="00A324CF">
        <w:rPr>
          <w:rFonts w:cstheme="minorHAnsi"/>
          <w:bCs/>
          <w:sz w:val="24"/>
          <w:szCs w:val="24"/>
          <w:u w:val="single"/>
        </w:rPr>
        <w:t>(EHE)</w:t>
      </w:r>
      <w:r w:rsidR="00A324CF">
        <w:rPr>
          <w:rFonts w:cstheme="minorHAnsi"/>
          <w:bCs/>
          <w:sz w:val="24"/>
          <w:szCs w:val="24"/>
          <w:u w:val="single"/>
        </w:rPr>
        <w:t xml:space="preserve"> </w:t>
      </w:r>
      <w:r w:rsidRPr="00664801">
        <w:rPr>
          <w:rFonts w:cstheme="minorHAnsi"/>
          <w:bCs/>
          <w:sz w:val="24"/>
          <w:szCs w:val="24"/>
          <w:u w:val="single"/>
        </w:rPr>
        <w:t xml:space="preserve">Initiative </w:t>
      </w:r>
      <w:r w:rsidRPr="00664801">
        <w:rPr>
          <w:sz w:val="24"/>
          <w:szCs w:val="24"/>
          <w:u w:val="single"/>
        </w:rPr>
        <w:t>Allocations and Expenditures (A&amp;E) Reports:</w:t>
      </w:r>
    </w:p>
    <w:p w:rsidR="00A245B9" w:rsidRPr="00664801" w:rsidP="00664801" w14:paraId="54F740D8" w14:textId="77777777">
      <w:pPr>
        <w:pStyle w:val="BodyText"/>
        <w:numPr>
          <w:ilvl w:val="0"/>
          <w:numId w:val="30"/>
        </w:numPr>
        <w:autoSpaceDE w:val="0"/>
        <w:autoSpaceDN w:val="0"/>
        <w:adjustRightInd w:val="0"/>
        <w:spacing w:after="0"/>
        <w:rPr>
          <w:sz w:val="24"/>
          <w:szCs w:val="24"/>
        </w:rPr>
      </w:pPr>
      <w:r w:rsidRPr="00664801">
        <w:rPr>
          <w:sz w:val="24"/>
          <w:szCs w:val="24"/>
        </w:rPr>
        <w:t>There are no proposed changes to the HAB EHE Allocations Reports.</w:t>
      </w:r>
    </w:p>
    <w:p w:rsidR="00A245B9" w:rsidP="007E47C7" w14:paraId="29351DA3" w14:textId="77777777">
      <w:pPr>
        <w:rPr>
          <w:sz w:val="24"/>
        </w:rPr>
      </w:pPr>
    </w:p>
    <w:p w:rsidR="00A245B9" w:rsidP="007E47C7" w14:paraId="51C6436E" w14:textId="77777777">
      <w:pPr>
        <w:rPr>
          <w:sz w:val="24"/>
        </w:rPr>
      </w:pPr>
    </w:p>
    <w:p w:rsidR="00533918" w:rsidRPr="00A50FCD" w14:paraId="75DEBC82" w14:textId="77777777">
      <w:pPr>
        <w:pStyle w:val="ColorfulList-Accent11"/>
        <w:widowControl/>
        <w:tabs>
          <w:tab w:val="left" w:pos="360"/>
        </w:tabs>
        <w:ind w:left="0"/>
        <w:outlineLvl w:val="1"/>
        <w:rPr>
          <w:b/>
          <w:bCs/>
          <w:sz w:val="24"/>
          <w:szCs w:val="24"/>
          <w:u w:val="single"/>
        </w:rPr>
      </w:pPr>
      <w:bookmarkStart w:id="17" w:name="_Toc209407067"/>
      <w:r w:rsidRPr="00863839">
        <w:rPr>
          <w:b/>
          <w:bCs/>
          <w:sz w:val="24"/>
          <w:szCs w:val="24"/>
        </w:rPr>
        <w:t>16.</w:t>
      </w:r>
      <w:r w:rsidRPr="00D17563">
        <w:rPr>
          <w:b/>
          <w:sz w:val="24"/>
        </w:rPr>
        <w:tab/>
      </w:r>
      <w:r w:rsidRPr="00863839">
        <w:rPr>
          <w:b/>
          <w:bCs/>
          <w:sz w:val="24"/>
          <w:szCs w:val="24"/>
          <w:u w:val="single"/>
        </w:rPr>
        <w:t xml:space="preserve">Plans for Tabulation, Publication, and Project Time Schedule </w:t>
      </w:r>
      <w:bookmarkEnd w:id="17"/>
    </w:p>
    <w:p w:rsidR="00533918" w14:paraId="7CF2C16E" w14:textId="77777777">
      <w:pPr>
        <w:widowControl/>
        <w:rPr>
          <w:sz w:val="24"/>
          <w:szCs w:val="24"/>
        </w:rPr>
      </w:pPr>
    </w:p>
    <w:p w:rsidR="00DB6190" w:rsidRPr="007E47C7" w:rsidP="00DB6190" w14:paraId="690944D9" w14:textId="196F2BCC">
      <w:pPr>
        <w:rPr>
          <w:sz w:val="24"/>
          <w:szCs w:val="24"/>
        </w:rPr>
      </w:pPr>
      <w:r w:rsidRPr="007E47C7">
        <w:rPr>
          <w:sz w:val="24"/>
          <w:szCs w:val="24"/>
        </w:rPr>
        <w:t xml:space="preserve">There are no plans for formal publication. The information in these reports is reviewed and analyzed to track and monitor </w:t>
      </w:r>
      <w:r w:rsidR="0089726A">
        <w:rPr>
          <w:sz w:val="24"/>
          <w:szCs w:val="24"/>
        </w:rPr>
        <w:t>allocation</w:t>
      </w:r>
      <w:r w:rsidRPr="007E47C7" w:rsidR="0089726A">
        <w:rPr>
          <w:sz w:val="24"/>
          <w:szCs w:val="24"/>
        </w:rPr>
        <w:t xml:space="preserve"> </w:t>
      </w:r>
      <w:r w:rsidRPr="007E47C7">
        <w:rPr>
          <w:sz w:val="24"/>
          <w:szCs w:val="24"/>
        </w:rPr>
        <w:t>requirements to ensure compliance with the statute. HAB project officers review and evaluate the recipient submission and analyze the information to prepare summary reports</w:t>
      </w:r>
      <w:r w:rsidR="00AD7F72">
        <w:rPr>
          <w:sz w:val="24"/>
          <w:szCs w:val="24"/>
        </w:rPr>
        <w:t xml:space="preserve"> for internal use</w:t>
      </w:r>
      <w:r w:rsidRPr="007E47C7">
        <w:rPr>
          <w:sz w:val="24"/>
          <w:szCs w:val="24"/>
        </w:rPr>
        <w:t xml:space="preserve">. </w:t>
      </w:r>
      <w:r w:rsidRPr="00D41F62" w:rsidR="00AD7F72">
        <w:rPr>
          <w:sz w:val="24"/>
          <w:szCs w:val="24"/>
        </w:rPr>
        <w:t xml:space="preserve">RWHAP </w:t>
      </w:r>
      <w:r w:rsidR="00A324CF">
        <w:rPr>
          <w:sz w:val="24"/>
          <w:szCs w:val="24"/>
        </w:rPr>
        <w:t xml:space="preserve">and EHE </w:t>
      </w:r>
      <w:r w:rsidRPr="00D41F62" w:rsidR="00AD7F72">
        <w:rPr>
          <w:sz w:val="24"/>
          <w:szCs w:val="24"/>
        </w:rPr>
        <w:t>recipients are r</w:t>
      </w:r>
      <w:r w:rsidRPr="00D41F62" w:rsidR="00AD7F72">
        <w:rPr>
          <w:bCs/>
          <w:spacing w:val="-4"/>
          <w:sz w:val="24"/>
          <w:szCs w:val="24"/>
        </w:rPr>
        <w:t xml:space="preserve">equired to report financial data at the beginning (Allocations Report) and at the end of their grant budget period (Expenditures Report).  </w:t>
      </w:r>
    </w:p>
    <w:p w:rsidR="00533918" w14:paraId="24D5CE14" w14:textId="61CA8237">
      <w:pPr>
        <w:widowControl/>
        <w:rPr>
          <w:rStyle w:val="BodyTextFi"/>
          <w:sz w:val="24"/>
        </w:rPr>
      </w:pPr>
    </w:p>
    <w:p w:rsidR="00443083" w14:paraId="30F26261" w14:textId="77777777">
      <w:pPr>
        <w:widowControl/>
        <w:rPr>
          <w:rStyle w:val="BodyTextFi"/>
          <w:sz w:val="24"/>
        </w:rPr>
      </w:pPr>
    </w:p>
    <w:p w:rsidR="00533918" w:rsidRPr="00A50FCD" w14:paraId="3E42EFE8" w14:textId="77777777">
      <w:pPr>
        <w:pStyle w:val="ColorfulList-Accent11"/>
        <w:widowControl/>
        <w:tabs>
          <w:tab w:val="left" w:pos="360"/>
        </w:tabs>
        <w:ind w:left="0"/>
        <w:outlineLvl w:val="1"/>
        <w:rPr>
          <w:b/>
          <w:bCs/>
          <w:sz w:val="24"/>
          <w:szCs w:val="24"/>
          <w:u w:val="single"/>
        </w:rPr>
      </w:pPr>
      <w:bookmarkStart w:id="18" w:name="_Toc209407068"/>
      <w:r w:rsidRPr="00863839">
        <w:rPr>
          <w:b/>
          <w:bCs/>
          <w:sz w:val="24"/>
          <w:szCs w:val="24"/>
        </w:rPr>
        <w:t>17.</w:t>
      </w:r>
      <w:r w:rsidRPr="00D17563">
        <w:rPr>
          <w:b/>
          <w:sz w:val="24"/>
        </w:rPr>
        <w:tab/>
      </w:r>
      <w:r w:rsidRPr="00863839">
        <w:rPr>
          <w:b/>
          <w:bCs/>
          <w:sz w:val="24"/>
          <w:szCs w:val="24"/>
          <w:u w:val="single"/>
        </w:rPr>
        <w:t>Reason(s) Display of OMB E</w:t>
      </w:r>
      <w:r w:rsidRPr="00863839">
        <w:rPr>
          <w:b/>
          <w:bCs/>
          <w:sz w:val="24"/>
          <w:szCs w:val="24"/>
          <w:u w:val="single"/>
        </w:rPr>
        <w:t>xpiration Date</w:t>
      </w:r>
      <w:bookmarkEnd w:id="18"/>
      <w:r w:rsidRPr="00E720BF">
        <w:rPr>
          <w:b/>
          <w:bCs/>
          <w:sz w:val="24"/>
          <w:szCs w:val="24"/>
          <w:u w:val="single"/>
        </w:rPr>
        <w:t xml:space="preserve"> is Inappropriate</w:t>
      </w:r>
    </w:p>
    <w:p w:rsidR="00533918" w14:paraId="28FA74A5" w14:textId="77777777">
      <w:pPr>
        <w:widowControl/>
        <w:rPr>
          <w:sz w:val="24"/>
        </w:rPr>
      </w:pPr>
    </w:p>
    <w:p w:rsidR="005A123F" w:rsidRPr="005A123F" w:rsidP="005A123F" w14:paraId="2B599DDB" w14:textId="77777777">
      <w:pPr>
        <w:rPr>
          <w:sz w:val="24"/>
          <w:szCs w:val="24"/>
        </w:rPr>
      </w:pPr>
      <w:r w:rsidRPr="005A123F">
        <w:rPr>
          <w:sz w:val="24"/>
          <w:szCs w:val="24"/>
        </w:rPr>
        <w:t>The expiration date will be displayed</w:t>
      </w:r>
      <w:r>
        <w:rPr>
          <w:sz w:val="24"/>
          <w:szCs w:val="24"/>
        </w:rPr>
        <w:t xml:space="preserve"> appropriately</w:t>
      </w:r>
      <w:r w:rsidRPr="005A123F">
        <w:rPr>
          <w:sz w:val="24"/>
          <w:szCs w:val="24"/>
        </w:rPr>
        <w:t>.</w:t>
      </w:r>
    </w:p>
    <w:p w:rsidR="00533918" w14:paraId="2809B214" w14:textId="77777777">
      <w:pPr>
        <w:widowControl/>
        <w:rPr>
          <w:rStyle w:val="BodyTextFi"/>
          <w:sz w:val="24"/>
        </w:rPr>
      </w:pPr>
    </w:p>
    <w:p w:rsidR="00533918" w14:paraId="170162BD" w14:textId="77777777">
      <w:pPr>
        <w:widowControl/>
        <w:rPr>
          <w:rStyle w:val="BodyTextFi"/>
          <w:sz w:val="24"/>
        </w:rPr>
      </w:pPr>
    </w:p>
    <w:p w:rsidR="00533918" w:rsidRPr="00A50FCD" w14:paraId="2B35AC5A" w14:textId="77777777">
      <w:pPr>
        <w:pStyle w:val="ColorfulList-Accent11"/>
        <w:widowControl/>
        <w:tabs>
          <w:tab w:val="left" w:pos="360"/>
        </w:tabs>
        <w:ind w:left="0"/>
        <w:outlineLvl w:val="1"/>
        <w:rPr>
          <w:b/>
          <w:bCs/>
          <w:sz w:val="24"/>
          <w:szCs w:val="24"/>
          <w:u w:val="single"/>
        </w:rPr>
      </w:pPr>
      <w:bookmarkStart w:id="19" w:name="_Toc209407069"/>
      <w:r w:rsidRPr="00D17563">
        <w:rPr>
          <w:b/>
          <w:bCs/>
          <w:sz w:val="24"/>
          <w:szCs w:val="24"/>
        </w:rPr>
        <w:t>18.</w:t>
      </w:r>
      <w:r w:rsidRPr="00D17563">
        <w:rPr>
          <w:b/>
          <w:bCs/>
          <w:sz w:val="24"/>
          <w:szCs w:val="24"/>
        </w:rPr>
        <w:tab/>
      </w:r>
      <w:r>
        <w:rPr>
          <w:b/>
          <w:bCs/>
          <w:sz w:val="24"/>
          <w:szCs w:val="24"/>
          <w:u w:val="single"/>
        </w:rPr>
        <w:t>Exceptions to Certifications for P</w:t>
      </w:r>
      <w:r>
        <w:rPr>
          <w:b/>
          <w:bCs/>
          <w:sz w:val="24"/>
          <w:szCs w:val="24"/>
          <w:u w:val="single"/>
        </w:rPr>
        <w:t xml:space="preserve">aperwork </w:t>
      </w:r>
      <w:r>
        <w:rPr>
          <w:b/>
          <w:bCs/>
          <w:sz w:val="24"/>
          <w:szCs w:val="24"/>
          <w:u w:val="single"/>
        </w:rPr>
        <w:t>R</w:t>
      </w:r>
      <w:r>
        <w:rPr>
          <w:b/>
          <w:bCs/>
          <w:sz w:val="24"/>
          <w:szCs w:val="24"/>
          <w:u w:val="single"/>
        </w:rPr>
        <w:t xml:space="preserve">eduction </w:t>
      </w:r>
      <w:r>
        <w:rPr>
          <w:b/>
          <w:bCs/>
          <w:sz w:val="24"/>
          <w:szCs w:val="24"/>
          <w:u w:val="single"/>
        </w:rPr>
        <w:t>A</w:t>
      </w:r>
      <w:r>
        <w:rPr>
          <w:b/>
          <w:bCs/>
          <w:sz w:val="24"/>
          <w:szCs w:val="24"/>
          <w:u w:val="single"/>
        </w:rPr>
        <w:t>ct</w:t>
      </w:r>
      <w:r>
        <w:rPr>
          <w:b/>
          <w:bCs/>
          <w:sz w:val="24"/>
          <w:szCs w:val="24"/>
          <w:u w:val="single"/>
        </w:rPr>
        <w:t xml:space="preserve"> Submissions</w:t>
      </w:r>
      <w:bookmarkEnd w:id="19"/>
    </w:p>
    <w:p w:rsidR="00533918" w14:paraId="4521BB4E" w14:textId="77777777">
      <w:pPr>
        <w:widowControl/>
        <w:rPr>
          <w:sz w:val="24"/>
        </w:rPr>
      </w:pPr>
    </w:p>
    <w:p w:rsidR="007E47C7" w:rsidRPr="007F2636" w:rsidP="007E47C7" w14:paraId="5FC06BAA" w14:textId="77777777">
      <w:pPr>
        <w:pStyle w:val="BodyText2"/>
        <w:rPr>
          <w:b/>
          <w:bCs/>
        </w:rPr>
      </w:pPr>
      <w:bookmarkStart w:id="20" w:name="_Toc209407070"/>
      <w:r>
        <w:rPr>
          <w:rStyle w:val="BodyTextFi"/>
        </w:rPr>
        <w:t>There are no exceptions to the certification.</w:t>
      </w:r>
    </w:p>
    <w:bookmarkEnd w:id="20"/>
    <w:p w:rsidR="00F342B3" w:rsidRPr="007E47C7" w14:paraId="600A793D" w14:textId="329C5F34">
      <w:pPr>
        <w:pStyle w:val="ColorfulList-Accent11"/>
        <w:ind w:left="0"/>
        <w:outlineLvl w:val="0"/>
        <w:rPr>
          <w:rStyle w:val="BodyTextFi"/>
          <w:b/>
          <w:bCs/>
          <w:sz w:val="24"/>
        </w:rPr>
      </w:pPr>
    </w:p>
    <w:sectPr w:rsidSect="008A43F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842608"/>
      <w:docPartObj>
        <w:docPartGallery w:val="Page Numbers (Bottom of Page)"/>
        <w:docPartUnique/>
      </w:docPartObj>
    </w:sdtPr>
    <w:sdtEndPr>
      <w:rPr>
        <w:noProof/>
      </w:rPr>
    </w:sdtEndPr>
    <w:sdtContent>
      <w:p w:rsidR="00D33229" w14:paraId="66385DA0" w14:textId="5F0D3A74">
        <w:pPr>
          <w:pStyle w:val="Footer"/>
          <w:jc w:val="center"/>
        </w:pPr>
        <w:r>
          <w:fldChar w:fldCharType="begin"/>
        </w:r>
        <w:r>
          <w:instrText xml:space="preserve"> PAGE   \* MERGEFORMAT </w:instrText>
        </w:r>
        <w:r>
          <w:fldChar w:fldCharType="separate"/>
        </w:r>
        <w:r w:rsidR="00FC32D1">
          <w:rPr>
            <w:noProof/>
          </w:rPr>
          <w:t>9</w:t>
        </w:r>
        <w:r>
          <w:rPr>
            <w:noProof/>
          </w:rPr>
          <w:fldChar w:fldCharType="end"/>
        </w:r>
      </w:p>
    </w:sdtContent>
  </w:sdt>
  <w:p w:rsidR="00D33229" w14:paraId="5BF6A9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7836" w14:paraId="7D304077" w14:textId="77777777">
      <w:r>
        <w:separator/>
      </w:r>
    </w:p>
  </w:footnote>
  <w:footnote w:type="continuationSeparator" w:id="1">
    <w:p w:rsidR="003A7836" w14:paraId="34E2C01F" w14:textId="77777777">
      <w:r>
        <w:continuationSeparator/>
      </w:r>
    </w:p>
  </w:footnote>
  <w:footnote w:id="2">
    <w:p w:rsidR="004E1363" w:rsidRPr="00362F98" w:rsidP="004E1363" w14:paraId="497D31AA" w14:textId="77777777">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November 2017</w:t>
      </w:r>
      <w:r w:rsidRPr="00362F98">
        <w:t xml:space="preserve">. Accessed </w:t>
      </w:r>
      <w:r>
        <w:t>July 20, 2018</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69D21BD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C032F"/>
    <w:multiLevelType w:val="hybridMultilevel"/>
    <w:tmpl w:val="AB0437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074882"/>
    <w:multiLevelType w:val="hybridMultilevel"/>
    <w:tmpl w:val="D888749A"/>
    <w:lvl w:ilvl="0">
      <w:start w:val="1"/>
      <w:numFmt w:val="bullet"/>
      <w:lvlText w:val=""/>
      <w:lvlJc w:val="left"/>
      <w:pPr>
        <w:ind w:left="780" w:hanging="360"/>
      </w:pPr>
      <w:rPr>
        <w:rFonts w:ascii="Symbol" w:hAnsi="Symbol" w:hint="default"/>
      </w:rPr>
    </w:lvl>
    <w:lvl w:ilvl="1">
      <w:start w:val="1"/>
      <w:numFmt w:val="bullet"/>
      <w:lvlText w:val=""/>
      <w:lvlJc w:val="left"/>
      <w:pPr>
        <w:ind w:left="1860" w:hanging="720"/>
      </w:pPr>
      <w:rPr>
        <w:rFonts w:ascii="Symbol" w:hAnsi="Symbol" w:hint="default"/>
      </w:rPr>
    </w:lvl>
    <w:lvl w:ilvl="2">
      <w:start w:val="0"/>
      <w:numFmt w:val="bullet"/>
      <w:lvlText w:val="•"/>
      <w:lvlJc w:val="left"/>
      <w:pPr>
        <w:ind w:left="2580" w:hanging="720"/>
      </w:pPr>
      <w:rPr>
        <w:rFonts w:ascii="Times New Roman" w:eastAsia="Times New Roman" w:hAnsi="Times New Roman" w:cs="Times New Roman"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A57A82"/>
    <w:multiLevelType w:val="hybridMultilevel"/>
    <w:tmpl w:val="5F70C3F6"/>
    <w:lvl w:ilvl="0">
      <w:start w:val="1"/>
      <w:numFmt w:val="bullet"/>
      <w:lvlText w:val=""/>
      <w:lvlJc w:val="left"/>
      <w:pPr>
        <w:ind w:left="765" w:hanging="360"/>
      </w:pPr>
      <w:rPr>
        <w:rFonts w:ascii="Symbol" w:hAnsi="Symbol" w:hint="default"/>
      </w:rPr>
    </w:lvl>
    <w:lvl w:ilvl="1">
      <w:start w:val="1"/>
      <w:numFmt w:val="bullet"/>
      <w:lvlText w:val=""/>
      <w:lvlJc w:val="left"/>
      <w:pPr>
        <w:ind w:left="1845" w:hanging="720"/>
      </w:pPr>
      <w:rPr>
        <w:rFonts w:ascii="Symbol" w:hAnsi="Symbol"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12CB2F4B"/>
    <w:multiLevelType w:val="hybridMultilevel"/>
    <w:tmpl w:val="F9F2698A"/>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4483770"/>
    <w:multiLevelType w:val="hybridMultilevel"/>
    <w:tmpl w:val="00528DF2"/>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4680574"/>
    <w:multiLevelType w:val="hybridMultilevel"/>
    <w:tmpl w:val="C9F2C0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D02B37"/>
    <w:multiLevelType w:val="hybridMultilevel"/>
    <w:tmpl w:val="35FEB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8E5556"/>
    <w:multiLevelType w:val="hybridMultilevel"/>
    <w:tmpl w:val="2AC88274"/>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9">
    <w:nsid w:val="22A5415A"/>
    <w:multiLevelType w:val="hybridMultilevel"/>
    <w:tmpl w:val="AFFA9440"/>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2B77FF3"/>
    <w:multiLevelType w:val="hybridMultilevel"/>
    <w:tmpl w:val="C2B8C6FE"/>
    <w:lvl w:ilvl="0">
      <w:start w:val="1"/>
      <w:numFmt w:val="bullet"/>
      <w:lvlText w:val=""/>
      <w:lvlJc w:val="left"/>
      <w:pPr>
        <w:tabs>
          <w:tab w:val="num" w:pos="720"/>
        </w:tabs>
        <w:ind w:left="720" w:hanging="432"/>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613BFB"/>
    <w:multiLevelType w:val="hybridMultilevel"/>
    <w:tmpl w:val="5EE020EC"/>
    <w:lvl w:ilvl="0">
      <w:start w:val="1"/>
      <w:numFmt w:val="upperLetter"/>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4F01CCA"/>
    <w:multiLevelType w:val="hybridMultilevel"/>
    <w:tmpl w:val="8FEE460A"/>
    <w:lvl w:ilvl="0">
      <w:start w:val="1"/>
      <w:numFmt w:val="upperLetter"/>
      <w:lvlText w:val="Tab %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5700F1"/>
    <w:multiLevelType w:val="hybridMultilevel"/>
    <w:tmpl w:val="9BA48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B46BF8"/>
    <w:multiLevelType w:val="hybridMultilevel"/>
    <w:tmpl w:val="D50227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DB2A25"/>
    <w:multiLevelType w:val="hybridMultilevel"/>
    <w:tmpl w:val="9F1ECB38"/>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3B5569BC"/>
    <w:multiLevelType w:val="hybridMultilevel"/>
    <w:tmpl w:val="791E05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096E84"/>
    <w:multiLevelType w:val="hybridMultilevel"/>
    <w:tmpl w:val="17709D2C"/>
    <w:lvl w:ilvl="0">
      <w:start w:val="1"/>
      <w:numFmt w:val="upperLetter"/>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BB22310"/>
    <w:multiLevelType w:val="hybridMultilevel"/>
    <w:tmpl w:val="C2BE6836"/>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9013A46"/>
    <w:multiLevelType w:val="hybridMultilevel"/>
    <w:tmpl w:val="8E469AF6"/>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5A7208DE"/>
    <w:multiLevelType w:val="hybridMultilevel"/>
    <w:tmpl w:val="3642E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E419A8"/>
    <w:multiLevelType w:val="hybridMultilevel"/>
    <w:tmpl w:val="F462F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315DA8"/>
    <w:multiLevelType w:val="hybridMultilevel"/>
    <w:tmpl w:val="988A52F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7002A30"/>
    <w:multiLevelType w:val="hybridMultilevel"/>
    <w:tmpl w:val="58402314"/>
    <w:lvl w:ilvl="0">
      <w:start w:val="1"/>
      <w:numFmt w:val="decimal"/>
      <w:lvlText w:val="%1."/>
      <w:lvlJc w:val="left"/>
      <w:pPr>
        <w:ind w:left="1080" w:hanging="36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7FC0BF5"/>
    <w:multiLevelType w:val="hybridMultilevel"/>
    <w:tmpl w:val="F4948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7350D7"/>
    <w:multiLevelType w:val="hybridMultilevel"/>
    <w:tmpl w:val="3642E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0E1F67"/>
    <w:multiLevelType w:val="hybridMultilevel"/>
    <w:tmpl w:val="F440CC54"/>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C6B15E8"/>
    <w:multiLevelType w:val="hybridMultilevel"/>
    <w:tmpl w:val="3C307816"/>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380"/>
        </w:tabs>
        <w:ind w:left="1380" w:hanging="360"/>
      </w:pPr>
      <w:rPr>
        <w:rFonts w:ascii="Courier New" w:hAnsi="Courier New" w:hint="default"/>
      </w:rPr>
    </w:lvl>
    <w:lvl w:ilvl="2" w:tentative="1">
      <w:start w:val="1"/>
      <w:numFmt w:val="bullet"/>
      <w:lvlText w:val=""/>
      <w:lvlJc w:val="left"/>
      <w:pPr>
        <w:tabs>
          <w:tab w:val="num" w:pos="2100"/>
        </w:tabs>
        <w:ind w:left="2100" w:hanging="360"/>
      </w:pPr>
      <w:rPr>
        <w:rFonts w:ascii="Wingdings" w:hAnsi="Wingdings" w:hint="default"/>
      </w:rPr>
    </w:lvl>
    <w:lvl w:ilvl="3" w:tentative="1">
      <w:start w:val="1"/>
      <w:numFmt w:val="bullet"/>
      <w:lvlText w:val=""/>
      <w:lvlJc w:val="left"/>
      <w:pPr>
        <w:tabs>
          <w:tab w:val="num" w:pos="2820"/>
        </w:tabs>
        <w:ind w:left="2820" w:hanging="360"/>
      </w:pPr>
      <w:rPr>
        <w:rFonts w:ascii="Symbol" w:hAnsi="Symbol" w:hint="default"/>
      </w:rPr>
    </w:lvl>
    <w:lvl w:ilvl="4" w:tentative="1">
      <w:start w:val="1"/>
      <w:numFmt w:val="bullet"/>
      <w:lvlText w:val="o"/>
      <w:lvlJc w:val="left"/>
      <w:pPr>
        <w:tabs>
          <w:tab w:val="num" w:pos="3540"/>
        </w:tabs>
        <w:ind w:left="3540" w:hanging="360"/>
      </w:pPr>
      <w:rPr>
        <w:rFonts w:ascii="Courier New" w:hAnsi="Courier New" w:hint="default"/>
      </w:rPr>
    </w:lvl>
    <w:lvl w:ilvl="5" w:tentative="1">
      <w:start w:val="1"/>
      <w:numFmt w:val="bullet"/>
      <w:lvlText w:val=""/>
      <w:lvlJc w:val="left"/>
      <w:pPr>
        <w:tabs>
          <w:tab w:val="num" w:pos="4260"/>
        </w:tabs>
        <w:ind w:left="4260" w:hanging="360"/>
      </w:pPr>
      <w:rPr>
        <w:rFonts w:ascii="Wingdings" w:hAnsi="Wingdings" w:hint="default"/>
      </w:rPr>
    </w:lvl>
    <w:lvl w:ilvl="6" w:tentative="1">
      <w:start w:val="1"/>
      <w:numFmt w:val="bullet"/>
      <w:lvlText w:val=""/>
      <w:lvlJc w:val="left"/>
      <w:pPr>
        <w:tabs>
          <w:tab w:val="num" w:pos="4980"/>
        </w:tabs>
        <w:ind w:left="4980" w:hanging="360"/>
      </w:pPr>
      <w:rPr>
        <w:rFonts w:ascii="Symbol" w:hAnsi="Symbol" w:hint="default"/>
      </w:rPr>
    </w:lvl>
    <w:lvl w:ilvl="7" w:tentative="1">
      <w:start w:val="1"/>
      <w:numFmt w:val="bullet"/>
      <w:lvlText w:val="o"/>
      <w:lvlJc w:val="left"/>
      <w:pPr>
        <w:tabs>
          <w:tab w:val="num" w:pos="5700"/>
        </w:tabs>
        <w:ind w:left="5700" w:hanging="360"/>
      </w:pPr>
      <w:rPr>
        <w:rFonts w:ascii="Courier New" w:hAnsi="Courier New" w:hint="default"/>
      </w:rPr>
    </w:lvl>
    <w:lvl w:ilvl="8" w:tentative="1">
      <w:start w:val="1"/>
      <w:numFmt w:val="bullet"/>
      <w:lvlText w:val=""/>
      <w:lvlJc w:val="left"/>
      <w:pPr>
        <w:tabs>
          <w:tab w:val="num" w:pos="6420"/>
        </w:tabs>
        <w:ind w:left="6420" w:hanging="360"/>
      </w:pPr>
      <w:rPr>
        <w:rFonts w:ascii="Wingdings" w:hAnsi="Wingdings" w:hint="default"/>
      </w:rPr>
    </w:lvl>
  </w:abstractNum>
  <w:abstractNum w:abstractNumId="30">
    <w:nsid w:val="704961EB"/>
    <w:multiLevelType w:val="hybridMultilevel"/>
    <w:tmpl w:val="9D400A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CCE4ADE"/>
    <w:multiLevelType w:val="hybridMultilevel"/>
    <w:tmpl w:val="C56C75A4"/>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24"/>
  </w:num>
  <w:num w:numId="3">
    <w:abstractNumId w:val="12"/>
  </w:num>
  <w:num w:numId="4">
    <w:abstractNumId w:val="18"/>
  </w:num>
  <w:num w:numId="5">
    <w:abstractNumId w:val="16"/>
  </w:num>
  <w:num w:numId="6">
    <w:abstractNumId w:val="14"/>
  </w:num>
  <w:num w:numId="7">
    <w:abstractNumId w:val="6"/>
  </w:num>
  <w:num w:numId="8">
    <w:abstractNumId w:val="27"/>
  </w:num>
  <w:num w:numId="9">
    <w:abstractNumId w:val="19"/>
  </w:num>
  <w:num w:numId="10">
    <w:abstractNumId w:val="5"/>
  </w:num>
  <w:num w:numId="11">
    <w:abstractNumId w:val="8"/>
  </w:num>
  <w:num w:numId="12">
    <w:abstractNumId w:val="31"/>
  </w:num>
  <w:num w:numId="13">
    <w:abstractNumId w:val="28"/>
  </w:num>
  <w:num w:numId="14">
    <w:abstractNumId w:val="4"/>
  </w:num>
  <w:num w:numId="15">
    <w:abstractNumId w:val="9"/>
  </w:num>
  <w:num w:numId="16">
    <w:abstractNumId w:val="30"/>
  </w:num>
  <w:num w:numId="17">
    <w:abstractNumId w:val="29"/>
  </w:num>
  <w:num w:numId="18">
    <w:abstractNumId w:val="23"/>
  </w:num>
  <w:num w:numId="19">
    <w:abstractNumId w:val="17"/>
  </w:num>
  <w:num w:numId="20">
    <w:abstractNumId w:val="15"/>
  </w:num>
  <w:num w:numId="21">
    <w:abstractNumId w:val="0"/>
  </w:num>
  <w:num w:numId="22">
    <w:abstractNumId w:val="13"/>
  </w:num>
  <w:num w:numId="23">
    <w:abstractNumId w:val="22"/>
  </w:num>
  <w:num w:numId="24">
    <w:abstractNumId w:val="7"/>
  </w:num>
  <w:num w:numId="25">
    <w:abstractNumId w:val="26"/>
  </w:num>
  <w:num w:numId="26">
    <w:abstractNumId w:val="10"/>
  </w:num>
  <w:num w:numId="27">
    <w:abstractNumId w:val="21"/>
  </w:num>
  <w:num w:numId="28">
    <w:abstractNumId w:val="2"/>
  </w:num>
  <w:num w:numId="29">
    <w:abstractNumId w:val="20"/>
  </w:num>
  <w:num w:numId="30">
    <w:abstractNumId w:val="25"/>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B2"/>
    <w:rsid w:val="000009EE"/>
    <w:rsid w:val="0000192E"/>
    <w:rsid w:val="00004873"/>
    <w:rsid w:val="000050B2"/>
    <w:rsid w:val="00012342"/>
    <w:rsid w:val="000144C9"/>
    <w:rsid w:val="00021A94"/>
    <w:rsid w:val="000234B0"/>
    <w:rsid w:val="000244D4"/>
    <w:rsid w:val="00030163"/>
    <w:rsid w:val="00037163"/>
    <w:rsid w:val="00041CAC"/>
    <w:rsid w:val="0004280F"/>
    <w:rsid w:val="00043C8E"/>
    <w:rsid w:val="00044E53"/>
    <w:rsid w:val="00050AE7"/>
    <w:rsid w:val="00051659"/>
    <w:rsid w:val="0005265F"/>
    <w:rsid w:val="00065154"/>
    <w:rsid w:val="00070125"/>
    <w:rsid w:val="000722D1"/>
    <w:rsid w:val="00077629"/>
    <w:rsid w:val="00080C15"/>
    <w:rsid w:val="00083E9B"/>
    <w:rsid w:val="00084A65"/>
    <w:rsid w:val="00085506"/>
    <w:rsid w:val="00092515"/>
    <w:rsid w:val="000A3D39"/>
    <w:rsid w:val="000A5DEC"/>
    <w:rsid w:val="000B5924"/>
    <w:rsid w:val="000C11AA"/>
    <w:rsid w:val="000C1600"/>
    <w:rsid w:val="000C2ACD"/>
    <w:rsid w:val="000C3C1D"/>
    <w:rsid w:val="000C3CAA"/>
    <w:rsid w:val="000D09DD"/>
    <w:rsid w:val="000D6589"/>
    <w:rsid w:val="000D6B11"/>
    <w:rsid w:val="000E3ED9"/>
    <w:rsid w:val="000E44C6"/>
    <w:rsid w:val="000E650C"/>
    <w:rsid w:val="000F01B0"/>
    <w:rsid w:val="000F37A7"/>
    <w:rsid w:val="00105431"/>
    <w:rsid w:val="00106443"/>
    <w:rsid w:val="00110BF3"/>
    <w:rsid w:val="00110E2E"/>
    <w:rsid w:val="001140EE"/>
    <w:rsid w:val="00116B99"/>
    <w:rsid w:val="001273CD"/>
    <w:rsid w:val="00130AB0"/>
    <w:rsid w:val="00132CCD"/>
    <w:rsid w:val="001417F7"/>
    <w:rsid w:val="00151679"/>
    <w:rsid w:val="00153F13"/>
    <w:rsid w:val="00154129"/>
    <w:rsid w:val="001568D1"/>
    <w:rsid w:val="0016317F"/>
    <w:rsid w:val="001636EE"/>
    <w:rsid w:val="00177026"/>
    <w:rsid w:val="001776E6"/>
    <w:rsid w:val="001777F8"/>
    <w:rsid w:val="0018222C"/>
    <w:rsid w:val="00197899"/>
    <w:rsid w:val="001A3AD2"/>
    <w:rsid w:val="001A3EA7"/>
    <w:rsid w:val="001A4FDF"/>
    <w:rsid w:val="001B4A42"/>
    <w:rsid w:val="001B5D04"/>
    <w:rsid w:val="001B6C2D"/>
    <w:rsid w:val="001C6560"/>
    <w:rsid w:val="001D07AA"/>
    <w:rsid w:val="001D1628"/>
    <w:rsid w:val="001E0ACE"/>
    <w:rsid w:val="001E30CD"/>
    <w:rsid w:val="001E53A6"/>
    <w:rsid w:val="001E5D4C"/>
    <w:rsid w:val="001E6F07"/>
    <w:rsid w:val="00205315"/>
    <w:rsid w:val="002242A1"/>
    <w:rsid w:val="00234848"/>
    <w:rsid w:val="00240360"/>
    <w:rsid w:val="0024498F"/>
    <w:rsid w:val="00245F6E"/>
    <w:rsid w:val="00246B6F"/>
    <w:rsid w:val="00252C5E"/>
    <w:rsid w:val="002561B2"/>
    <w:rsid w:val="00267DBA"/>
    <w:rsid w:val="00276DFC"/>
    <w:rsid w:val="00277DCF"/>
    <w:rsid w:val="0028124A"/>
    <w:rsid w:val="00282EBC"/>
    <w:rsid w:val="00285083"/>
    <w:rsid w:val="00290775"/>
    <w:rsid w:val="002907A5"/>
    <w:rsid w:val="002A4EDC"/>
    <w:rsid w:val="002A548F"/>
    <w:rsid w:val="002B361A"/>
    <w:rsid w:val="002B402B"/>
    <w:rsid w:val="002B5974"/>
    <w:rsid w:val="002B5F5B"/>
    <w:rsid w:val="002B73C6"/>
    <w:rsid w:val="002C502A"/>
    <w:rsid w:val="002C5F42"/>
    <w:rsid w:val="002D42DD"/>
    <w:rsid w:val="002E2AEA"/>
    <w:rsid w:val="002E56C2"/>
    <w:rsid w:val="002E748C"/>
    <w:rsid w:val="002F226C"/>
    <w:rsid w:val="0030062C"/>
    <w:rsid w:val="00301020"/>
    <w:rsid w:val="00301AE9"/>
    <w:rsid w:val="00303EAB"/>
    <w:rsid w:val="00305C12"/>
    <w:rsid w:val="00321F50"/>
    <w:rsid w:val="00325490"/>
    <w:rsid w:val="00337EA3"/>
    <w:rsid w:val="00351685"/>
    <w:rsid w:val="0035668E"/>
    <w:rsid w:val="00360232"/>
    <w:rsid w:val="00362132"/>
    <w:rsid w:val="00362F98"/>
    <w:rsid w:val="00370F86"/>
    <w:rsid w:val="00373079"/>
    <w:rsid w:val="00376584"/>
    <w:rsid w:val="003849FF"/>
    <w:rsid w:val="00385CC4"/>
    <w:rsid w:val="0039788E"/>
    <w:rsid w:val="003A1179"/>
    <w:rsid w:val="003A3A29"/>
    <w:rsid w:val="003A5209"/>
    <w:rsid w:val="003A642A"/>
    <w:rsid w:val="003A7836"/>
    <w:rsid w:val="003B6E4E"/>
    <w:rsid w:val="003B7839"/>
    <w:rsid w:val="003C7C85"/>
    <w:rsid w:val="003D0A1D"/>
    <w:rsid w:val="003D0A94"/>
    <w:rsid w:val="003D1F2F"/>
    <w:rsid w:val="003D2616"/>
    <w:rsid w:val="003D6BAE"/>
    <w:rsid w:val="003E2BB2"/>
    <w:rsid w:val="003E32B8"/>
    <w:rsid w:val="003E4D4D"/>
    <w:rsid w:val="003F124C"/>
    <w:rsid w:val="003F14B3"/>
    <w:rsid w:val="003F6518"/>
    <w:rsid w:val="0040358B"/>
    <w:rsid w:val="00404078"/>
    <w:rsid w:val="00410694"/>
    <w:rsid w:val="004108A0"/>
    <w:rsid w:val="00414F52"/>
    <w:rsid w:val="00416FFC"/>
    <w:rsid w:val="004336BE"/>
    <w:rsid w:val="00435362"/>
    <w:rsid w:val="00435AFC"/>
    <w:rsid w:val="00440242"/>
    <w:rsid w:val="00440FE9"/>
    <w:rsid w:val="00441EA2"/>
    <w:rsid w:val="00443083"/>
    <w:rsid w:val="00444BB0"/>
    <w:rsid w:val="00452150"/>
    <w:rsid w:val="00456C89"/>
    <w:rsid w:val="004610D3"/>
    <w:rsid w:val="00463856"/>
    <w:rsid w:val="00470743"/>
    <w:rsid w:val="00472214"/>
    <w:rsid w:val="004732F0"/>
    <w:rsid w:val="0047772D"/>
    <w:rsid w:val="00484744"/>
    <w:rsid w:val="004867AB"/>
    <w:rsid w:val="00492249"/>
    <w:rsid w:val="00495450"/>
    <w:rsid w:val="00495746"/>
    <w:rsid w:val="0049746A"/>
    <w:rsid w:val="004A2284"/>
    <w:rsid w:val="004B4FAE"/>
    <w:rsid w:val="004B62A7"/>
    <w:rsid w:val="004C06A9"/>
    <w:rsid w:val="004C25D4"/>
    <w:rsid w:val="004E1363"/>
    <w:rsid w:val="004E272E"/>
    <w:rsid w:val="004E5859"/>
    <w:rsid w:val="004E64DA"/>
    <w:rsid w:val="004F3B52"/>
    <w:rsid w:val="004F4AF5"/>
    <w:rsid w:val="004F5E47"/>
    <w:rsid w:val="00501347"/>
    <w:rsid w:val="00507734"/>
    <w:rsid w:val="00517AFB"/>
    <w:rsid w:val="00522782"/>
    <w:rsid w:val="0052366F"/>
    <w:rsid w:val="00533918"/>
    <w:rsid w:val="005421D1"/>
    <w:rsid w:val="00553006"/>
    <w:rsid w:val="0055501A"/>
    <w:rsid w:val="00557AFF"/>
    <w:rsid w:val="00561EEC"/>
    <w:rsid w:val="00570F8C"/>
    <w:rsid w:val="00573CF5"/>
    <w:rsid w:val="00580310"/>
    <w:rsid w:val="0058085E"/>
    <w:rsid w:val="00586F00"/>
    <w:rsid w:val="00591598"/>
    <w:rsid w:val="00593CD0"/>
    <w:rsid w:val="00596F08"/>
    <w:rsid w:val="005A123F"/>
    <w:rsid w:val="005A14CD"/>
    <w:rsid w:val="005A55FC"/>
    <w:rsid w:val="005B0DBD"/>
    <w:rsid w:val="005B245F"/>
    <w:rsid w:val="005B3BAE"/>
    <w:rsid w:val="005C01B0"/>
    <w:rsid w:val="005C4E82"/>
    <w:rsid w:val="005C5541"/>
    <w:rsid w:val="005D07F8"/>
    <w:rsid w:val="005D2861"/>
    <w:rsid w:val="005D508F"/>
    <w:rsid w:val="005D66B9"/>
    <w:rsid w:val="005E1CCB"/>
    <w:rsid w:val="005F3575"/>
    <w:rsid w:val="005F3FC4"/>
    <w:rsid w:val="005F72D5"/>
    <w:rsid w:val="005F7BC9"/>
    <w:rsid w:val="0060089D"/>
    <w:rsid w:val="006022FD"/>
    <w:rsid w:val="00602441"/>
    <w:rsid w:val="00603E06"/>
    <w:rsid w:val="00610028"/>
    <w:rsid w:val="00621EF2"/>
    <w:rsid w:val="00630C03"/>
    <w:rsid w:val="006342C9"/>
    <w:rsid w:val="00644361"/>
    <w:rsid w:val="006455B9"/>
    <w:rsid w:val="00645F03"/>
    <w:rsid w:val="00650264"/>
    <w:rsid w:val="00654D5F"/>
    <w:rsid w:val="00656804"/>
    <w:rsid w:val="00664801"/>
    <w:rsid w:val="006747C8"/>
    <w:rsid w:val="00686283"/>
    <w:rsid w:val="00687BF2"/>
    <w:rsid w:val="00691432"/>
    <w:rsid w:val="006975B3"/>
    <w:rsid w:val="006A0E1F"/>
    <w:rsid w:val="006A4043"/>
    <w:rsid w:val="006B1A70"/>
    <w:rsid w:val="006C73C4"/>
    <w:rsid w:val="006D28FF"/>
    <w:rsid w:val="006D39F6"/>
    <w:rsid w:val="006E58D1"/>
    <w:rsid w:val="006F123E"/>
    <w:rsid w:val="006F5002"/>
    <w:rsid w:val="007000BA"/>
    <w:rsid w:val="00700B22"/>
    <w:rsid w:val="007010C3"/>
    <w:rsid w:val="00702479"/>
    <w:rsid w:val="00703672"/>
    <w:rsid w:val="00704FF6"/>
    <w:rsid w:val="007062BE"/>
    <w:rsid w:val="007064AC"/>
    <w:rsid w:val="00710371"/>
    <w:rsid w:val="00711663"/>
    <w:rsid w:val="00714D2B"/>
    <w:rsid w:val="007161B7"/>
    <w:rsid w:val="00717CC7"/>
    <w:rsid w:val="00720D87"/>
    <w:rsid w:val="00724BFF"/>
    <w:rsid w:val="0072532C"/>
    <w:rsid w:val="007301DC"/>
    <w:rsid w:val="00731FBB"/>
    <w:rsid w:val="007344D9"/>
    <w:rsid w:val="00737652"/>
    <w:rsid w:val="00743C52"/>
    <w:rsid w:val="00745F13"/>
    <w:rsid w:val="00750ADF"/>
    <w:rsid w:val="007515C6"/>
    <w:rsid w:val="007531E0"/>
    <w:rsid w:val="0076672E"/>
    <w:rsid w:val="00772BFE"/>
    <w:rsid w:val="00773C3B"/>
    <w:rsid w:val="00773CA6"/>
    <w:rsid w:val="00780E9D"/>
    <w:rsid w:val="00781088"/>
    <w:rsid w:val="007814BF"/>
    <w:rsid w:val="0078735A"/>
    <w:rsid w:val="00790992"/>
    <w:rsid w:val="007939DF"/>
    <w:rsid w:val="00793E02"/>
    <w:rsid w:val="007A39A5"/>
    <w:rsid w:val="007A643B"/>
    <w:rsid w:val="007B6161"/>
    <w:rsid w:val="007C14B6"/>
    <w:rsid w:val="007C3A26"/>
    <w:rsid w:val="007C3B63"/>
    <w:rsid w:val="007C7935"/>
    <w:rsid w:val="007D2E4F"/>
    <w:rsid w:val="007D5EB3"/>
    <w:rsid w:val="007E0E6E"/>
    <w:rsid w:val="007E4461"/>
    <w:rsid w:val="007E47C7"/>
    <w:rsid w:val="007E7194"/>
    <w:rsid w:val="007E721B"/>
    <w:rsid w:val="007E7A38"/>
    <w:rsid w:val="007F237B"/>
    <w:rsid w:val="007F2636"/>
    <w:rsid w:val="007F4A59"/>
    <w:rsid w:val="007F6140"/>
    <w:rsid w:val="0080286A"/>
    <w:rsid w:val="00812089"/>
    <w:rsid w:val="00816019"/>
    <w:rsid w:val="008200F5"/>
    <w:rsid w:val="00820346"/>
    <w:rsid w:val="0082077F"/>
    <w:rsid w:val="0082308C"/>
    <w:rsid w:val="00823D7D"/>
    <w:rsid w:val="00825F9D"/>
    <w:rsid w:val="00831DC2"/>
    <w:rsid w:val="00835DE3"/>
    <w:rsid w:val="00835E4B"/>
    <w:rsid w:val="00842348"/>
    <w:rsid w:val="0085150B"/>
    <w:rsid w:val="0085436A"/>
    <w:rsid w:val="008564C9"/>
    <w:rsid w:val="00857D7F"/>
    <w:rsid w:val="00863839"/>
    <w:rsid w:val="008647FE"/>
    <w:rsid w:val="00864896"/>
    <w:rsid w:val="00865036"/>
    <w:rsid w:val="00872F45"/>
    <w:rsid w:val="00880DC9"/>
    <w:rsid w:val="00884307"/>
    <w:rsid w:val="008848B8"/>
    <w:rsid w:val="008851A7"/>
    <w:rsid w:val="00891A63"/>
    <w:rsid w:val="008963C4"/>
    <w:rsid w:val="0089726A"/>
    <w:rsid w:val="008976FE"/>
    <w:rsid w:val="008A2ACA"/>
    <w:rsid w:val="008A35EF"/>
    <w:rsid w:val="008A43F9"/>
    <w:rsid w:val="008A5CD2"/>
    <w:rsid w:val="008B5B75"/>
    <w:rsid w:val="008C456C"/>
    <w:rsid w:val="008C6D61"/>
    <w:rsid w:val="008D2C64"/>
    <w:rsid w:val="008D2FC0"/>
    <w:rsid w:val="008D4615"/>
    <w:rsid w:val="008E7E5D"/>
    <w:rsid w:val="0090444B"/>
    <w:rsid w:val="009142B1"/>
    <w:rsid w:val="009241E3"/>
    <w:rsid w:val="00925C55"/>
    <w:rsid w:val="00926385"/>
    <w:rsid w:val="0092677D"/>
    <w:rsid w:val="00934C0B"/>
    <w:rsid w:val="0094029D"/>
    <w:rsid w:val="009419E2"/>
    <w:rsid w:val="0095363F"/>
    <w:rsid w:val="00955FE9"/>
    <w:rsid w:val="00960E1F"/>
    <w:rsid w:val="00961154"/>
    <w:rsid w:val="009612C3"/>
    <w:rsid w:val="00963723"/>
    <w:rsid w:val="00964404"/>
    <w:rsid w:val="00964867"/>
    <w:rsid w:val="00971651"/>
    <w:rsid w:val="009733A2"/>
    <w:rsid w:val="00974BA6"/>
    <w:rsid w:val="00980294"/>
    <w:rsid w:val="0098333D"/>
    <w:rsid w:val="00994A05"/>
    <w:rsid w:val="00996C48"/>
    <w:rsid w:val="00996F0C"/>
    <w:rsid w:val="00997B7D"/>
    <w:rsid w:val="009A0EC4"/>
    <w:rsid w:val="009B119D"/>
    <w:rsid w:val="009B2BC3"/>
    <w:rsid w:val="009B2D5A"/>
    <w:rsid w:val="009B43DC"/>
    <w:rsid w:val="009C0445"/>
    <w:rsid w:val="009C4EC0"/>
    <w:rsid w:val="009C5836"/>
    <w:rsid w:val="009D7F6A"/>
    <w:rsid w:val="009E3F19"/>
    <w:rsid w:val="009F2A88"/>
    <w:rsid w:val="009F2F7F"/>
    <w:rsid w:val="009F4764"/>
    <w:rsid w:val="00A12E52"/>
    <w:rsid w:val="00A14048"/>
    <w:rsid w:val="00A207F5"/>
    <w:rsid w:val="00A21EAB"/>
    <w:rsid w:val="00A245B9"/>
    <w:rsid w:val="00A26DDD"/>
    <w:rsid w:val="00A324CF"/>
    <w:rsid w:val="00A34CF3"/>
    <w:rsid w:val="00A37AA8"/>
    <w:rsid w:val="00A40335"/>
    <w:rsid w:val="00A40786"/>
    <w:rsid w:val="00A42C94"/>
    <w:rsid w:val="00A45AC4"/>
    <w:rsid w:val="00A50FCD"/>
    <w:rsid w:val="00A5477F"/>
    <w:rsid w:val="00A55D65"/>
    <w:rsid w:val="00A60562"/>
    <w:rsid w:val="00A67073"/>
    <w:rsid w:val="00A70EA5"/>
    <w:rsid w:val="00A7186C"/>
    <w:rsid w:val="00A75B55"/>
    <w:rsid w:val="00A87057"/>
    <w:rsid w:val="00A9410D"/>
    <w:rsid w:val="00A96F1B"/>
    <w:rsid w:val="00AA65DB"/>
    <w:rsid w:val="00AB07D8"/>
    <w:rsid w:val="00AB7052"/>
    <w:rsid w:val="00AC07E2"/>
    <w:rsid w:val="00AC1B20"/>
    <w:rsid w:val="00AC3E7E"/>
    <w:rsid w:val="00AD194D"/>
    <w:rsid w:val="00AD35C6"/>
    <w:rsid w:val="00AD6373"/>
    <w:rsid w:val="00AD6D08"/>
    <w:rsid w:val="00AD7F72"/>
    <w:rsid w:val="00AE55A1"/>
    <w:rsid w:val="00AF1060"/>
    <w:rsid w:val="00B01C2C"/>
    <w:rsid w:val="00B0215A"/>
    <w:rsid w:val="00B02DF3"/>
    <w:rsid w:val="00B060F8"/>
    <w:rsid w:val="00B1321D"/>
    <w:rsid w:val="00B1402A"/>
    <w:rsid w:val="00B17A71"/>
    <w:rsid w:val="00B223C9"/>
    <w:rsid w:val="00B24D32"/>
    <w:rsid w:val="00B25E16"/>
    <w:rsid w:val="00B27B1E"/>
    <w:rsid w:val="00B40F4B"/>
    <w:rsid w:val="00B5182C"/>
    <w:rsid w:val="00B53C61"/>
    <w:rsid w:val="00B55184"/>
    <w:rsid w:val="00B557BB"/>
    <w:rsid w:val="00B56601"/>
    <w:rsid w:val="00B57761"/>
    <w:rsid w:val="00B624AF"/>
    <w:rsid w:val="00B63FC6"/>
    <w:rsid w:val="00B65490"/>
    <w:rsid w:val="00B7445E"/>
    <w:rsid w:val="00B76F54"/>
    <w:rsid w:val="00B85381"/>
    <w:rsid w:val="00B859C9"/>
    <w:rsid w:val="00B9137A"/>
    <w:rsid w:val="00B92F6A"/>
    <w:rsid w:val="00B950A9"/>
    <w:rsid w:val="00B962FD"/>
    <w:rsid w:val="00BA00D9"/>
    <w:rsid w:val="00BA2B5B"/>
    <w:rsid w:val="00BA4255"/>
    <w:rsid w:val="00BA71EB"/>
    <w:rsid w:val="00BA7A9E"/>
    <w:rsid w:val="00BB052F"/>
    <w:rsid w:val="00BB437C"/>
    <w:rsid w:val="00BB6C82"/>
    <w:rsid w:val="00BC161F"/>
    <w:rsid w:val="00BC20EE"/>
    <w:rsid w:val="00BC48AE"/>
    <w:rsid w:val="00BD677F"/>
    <w:rsid w:val="00BD736A"/>
    <w:rsid w:val="00BE11B2"/>
    <w:rsid w:val="00BE4C9E"/>
    <w:rsid w:val="00BF47FD"/>
    <w:rsid w:val="00C03388"/>
    <w:rsid w:val="00C10380"/>
    <w:rsid w:val="00C1044E"/>
    <w:rsid w:val="00C1071E"/>
    <w:rsid w:val="00C1181C"/>
    <w:rsid w:val="00C151CD"/>
    <w:rsid w:val="00C22AC5"/>
    <w:rsid w:val="00C25B88"/>
    <w:rsid w:val="00C2667F"/>
    <w:rsid w:val="00C27BA2"/>
    <w:rsid w:val="00C320F8"/>
    <w:rsid w:val="00C35EFE"/>
    <w:rsid w:val="00C3689D"/>
    <w:rsid w:val="00C37A1E"/>
    <w:rsid w:val="00C40614"/>
    <w:rsid w:val="00C40C4D"/>
    <w:rsid w:val="00C4288E"/>
    <w:rsid w:val="00C47297"/>
    <w:rsid w:val="00C54BA9"/>
    <w:rsid w:val="00C5603A"/>
    <w:rsid w:val="00C56751"/>
    <w:rsid w:val="00C67704"/>
    <w:rsid w:val="00C7029E"/>
    <w:rsid w:val="00C70CF5"/>
    <w:rsid w:val="00C73681"/>
    <w:rsid w:val="00C76CB2"/>
    <w:rsid w:val="00C83F72"/>
    <w:rsid w:val="00C84C92"/>
    <w:rsid w:val="00C91752"/>
    <w:rsid w:val="00CA1276"/>
    <w:rsid w:val="00CA2F00"/>
    <w:rsid w:val="00CA381A"/>
    <w:rsid w:val="00CA3A3E"/>
    <w:rsid w:val="00CA6439"/>
    <w:rsid w:val="00CB5F6B"/>
    <w:rsid w:val="00CB7320"/>
    <w:rsid w:val="00CC1443"/>
    <w:rsid w:val="00CC459A"/>
    <w:rsid w:val="00CD36FE"/>
    <w:rsid w:val="00CD5D6B"/>
    <w:rsid w:val="00CD7E32"/>
    <w:rsid w:val="00CE5930"/>
    <w:rsid w:val="00CE746F"/>
    <w:rsid w:val="00CF4EB1"/>
    <w:rsid w:val="00D01035"/>
    <w:rsid w:val="00D1048D"/>
    <w:rsid w:val="00D10AA2"/>
    <w:rsid w:val="00D14AC2"/>
    <w:rsid w:val="00D17563"/>
    <w:rsid w:val="00D17E73"/>
    <w:rsid w:val="00D25F89"/>
    <w:rsid w:val="00D26347"/>
    <w:rsid w:val="00D31E08"/>
    <w:rsid w:val="00D33229"/>
    <w:rsid w:val="00D41F62"/>
    <w:rsid w:val="00D4590F"/>
    <w:rsid w:val="00D45D01"/>
    <w:rsid w:val="00D4753D"/>
    <w:rsid w:val="00D60B92"/>
    <w:rsid w:val="00D61292"/>
    <w:rsid w:val="00D71045"/>
    <w:rsid w:val="00D71AEF"/>
    <w:rsid w:val="00D7210B"/>
    <w:rsid w:val="00D7282D"/>
    <w:rsid w:val="00D8099B"/>
    <w:rsid w:val="00D85C49"/>
    <w:rsid w:val="00D86E12"/>
    <w:rsid w:val="00D87A55"/>
    <w:rsid w:val="00D910EC"/>
    <w:rsid w:val="00D930FE"/>
    <w:rsid w:val="00D9371A"/>
    <w:rsid w:val="00D93AE0"/>
    <w:rsid w:val="00DB6190"/>
    <w:rsid w:val="00DB7038"/>
    <w:rsid w:val="00DC0BEE"/>
    <w:rsid w:val="00DC2884"/>
    <w:rsid w:val="00DD2A22"/>
    <w:rsid w:val="00DD3F96"/>
    <w:rsid w:val="00DD6CBE"/>
    <w:rsid w:val="00DD6CCD"/>
    <w:rsid w:val="00DF09E5"/>
    <w:rsid w:val="00DF216C"/>
    <w:rsid w:val="00DF2DFD"/>
    <w:rsid w:val="00DF5FD0"/>
    <w:rsid w:val="00DF7413"/>
    <w:rsid w:val="00E028DE"/>
    <w:rsid w:val="00E14554"/>
    <w:rsid w:val="00E20EFB"/>
    <w:rsid w:val="00E213FA"/>
    <w:rsid w:val="00E22C04"/>
    <w:rsid w:val="00E2566F"/>
    <w:rsid w:val="00E30510"/>
    <w:rsid w:val="00E448DD"/>
    <w:rsid w:val="00E45C65"/>
    <w:rsid w:val="00E46D59"/>
    <w:rsid w:val="00E5174F"/>
    <w:rsid w:val="00E51A22"/>
    <w:rsid w:val="00E54870"/>
    <w:rsid w:val="00E600CE"/>
    <w:rsid w:val="00E7077F"/>
    <w:rsid w:val="00E715F4"/>
    <w:rsid w:val="00E720BF"/>
    <w:rsid w:val="00E73EB6"/>
    <w:rsid w:val="00E767E8"/>
    <w:rsid w:val="00E93613"/>
    <w:rsid w:val="00E94501"/>
    <w:rsid w:val="00EA16A9"/>
    <w:rsid w:val="00EA18B4"/>
    <w:rsid w:val="00EB6FC3"/>
    <w:rsid w:val="00EB78EB"/>
    <w:rsid w:val="00EC3F41"/>
    <w:rsid w:val="00ED3BA1"/>
    <w:rsid w:val="00EE2356"/>
    <w:rsid w:val="00EE3043"/>
    <w:rsid w:val="00EE56F5"/>
    <w:rsid w:val="00EF0CA8"/>
    <w:rsid w:val="00EF1B3E"/>
    <w:rsid w:val="00EF59A0"/>
    <w:rsid w:val="00F03413"/>
    <w:rsid w:val="00F05A38"/>
    <w:rsid w:val="00F0783F"/>
    <w:rsid w:val="00F11BE9"/>
    <w:rsid w:val="00F11BEA"/>
    <w:rsid w:val="00F24298"/>
    <w:rsid w:val="00F24D3D"/>
    <w:rsid w:val="00F25C19"/>
    <w:rsid w:val="00F309A2"/>
    <w:rsid w:val="00F32A94"/>
    <w:rsid w:val="00F33553"/>
    <w:rsid w:val="00F342B3"/>
    <w:rsid w:val="00F504C9"/>
    <w:rsid w:val="00F5618F"/>
    <w:rsid w:val="00F57C57"/>
    <w:rsid w:val="00F62781"/>
    <w:rsid w:val="00F6289A"/>
    <w:rsid w:val="00F63203"/>
    <w:rsid w:val="00F67794"/>
    <w:rsid w:val="00F71F92"/>
    <w:rsid w:val="00F765F5"/>
    <w:rsid w:val="00F822D6"/>
    <w:rsid w:val="00F93814"/>
    <w:rsid w:val="00F951EA"/>
    <w:rsid w:val="00FA3CA7"/>
    <w:rsid w:val="00FA6AE6"/>
    <w:rsid w:val="00FC0A8E"/>
    <w:rsid w:val="00FC2A9E"/>
    <w:rsid w:val="00FC32D1"/>
    <w:rsid w:val="00FD6E39"/>
    <w:rsid w:val="00FE24BC"/>
    <w:rsid w:val="00FE5224"/>
    <w:rsid w:val="00FF037F"/>
    <w:rsid w:val="00FF0C5D"/>
    <w:rsid w:val="00FF16F1"/>
    <w:rsid w:val="16CFCEB2"/>
    <w:rsid w:val="5A79AB68"/>
    <w:rsid w:val="62B7671B"/>
    <w:rsid w:val="79DB5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BC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019"/>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uiPriority w:val="99"/>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link w:val="CommentSubjectChar"/>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link w:val="BodyText2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DB"/>
    <w:pPr>
      <w:widowControl/>
      <w:ind w:left="720"/>
      <w:contextualSpacing/>
    </w:pPr>
    <w:rPr>
      <w:rFonts w:ascii="Calibri" w:hAnsi="Calibri" w:eastAsiaTheme="minorHAnsi" w:cs="Calibri"/>
      <w:sz w:val="22"/>
      <w:szCs w:val="22"/>
      <w:lang w:eastAsia="en-US"/>
    </w:rPr>
  </w:style>
  <w:style w:type="paragraph" w:styleId="FootnoteText">
    <w:name w:val="footnote text"/>
    <w:aliases w:val=" Char,Char,F1"/>
    <w:basedOn w:val="Normal"/>
    <w:link w:val="FootnoteTextChar"/>
    <w:uiPriority w:val="99"/>
    <w:unhideWhenUsed/>
    <w:qFormat/>
    <w:rsid w:val="00337EA3"/>
    <w:pPr>
      <w:widowControl/>
    </w:pPr>
    <w:rPr>
      <w:rFonts w:eastAsiaTheme="minorHAnsi" w:cstheme="minorBidi"/>
      <w:lang w:eastAsia="en-US"/>
    </w:rPr>
  </w:style>
  <w:style w:type="character" w:customStyle="1" w:styleId="FootnoteTextChar">
    <w:name w:val="Footnote Text Char"/>
    <w:aliases w:val=" Char Char,Char Char17,F1 Char"/>
    <w:basedOn w:val="DefaultParagraphFont"/>
    <w:link w:val="FootnoteText"/>
    <w:uiPriority w:val="99"/>
    <w:rsid w:val="00337EA3"/>
    <w:rPr>
      <w:rFonts w:eastAsiaTheme="minorHAnsi" w:cstheme="minorBidi"/>
    </w:rPr>
  </w:style>
  <w:style w:type="character" w:customStyle="1" w:styleId="CommentSubjectChar">
    <w:name w:val="Comment Subject Char"/>
    <w:basedOn w:val="DefaultParagraphFont"/>
    <w:link w:val="CommentSubject"/>
    <w:semiHidden/>
    <w:rsid w:val="00337EA3"/>
    <w:rPr>
      <w:b/>
      <w:bCs/>
      <w:lang w:eastAsia="ja-JP"/>
    </w:rPr>
  </w:style>
  <w:style w:type="character" w:customStyle="1" w:styleId="FooterChar">
    <w:name w:val="Footer Char"/>
    <w:basedOn w:val="DefaultParagraphFont"/>
    <w:link w:val="Footer"/>
    <w:uiPriority w:val="99"/>
    <w:rsid w:val="00BF47FD"/>
    <w:rPr>
      <w:lang w:eastAsia="ja-JP"/>
    </w:rPr>
  </w:style>
  <w:style w:type="paragraph" w:styleId="Revision">
    <w:name w:val="Revision"/>
    <w:hidden/>
    <w:uiPriority w:val="99"/>
    <w:semiHidden/>
    <w:rsid w:val="000C2ACD"/>
    <w:rPr>
      <w:lang w:eastAsia="ja-JP"/>
    </w:rPr>
  </w:style>
  <w:style w:type="character" w:customStyle="1" w:styleId="CommentTextChar">
    <w:name w:val="Comment Text Char"/>
    <w:basedOn w:val="DefaultParagraphFont"/>
    <w:link w:val="CommentText"/>
    <w:rsid w:val="003C7C85"/>
    <w:rPr>
      <w:lang w:eastAsia="ja-JP"/>
    </w:rPr>
  </w:style>
  <w:style w:type="character" w:customStyle="1" w:styleId="1">
    <w:name w:val="1"/>
    <w:rsid w:val="009E3F19"/>
    <w:rPr>
      <w:rFonts w:ascii="Arial" w:hAnsi="Arial"/>
    </w:rPr>
  </w:style>
  <w:style w:type="paragraph" w:customStyle="1" w:styleId="Default">
    <w:name w:val="Default"/>
    <w:rsid w:val="009E3F19"/>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F309A2"/>
    <w:rPr>
      <w:color w:val="954F72" w:themeColor="followedHyperlink"/>
      <w:u w:val="single"/>
    </w:rPr>
  </w:style>
  <w:style w:type="character" w:customStyle="1" w:styleId="UnresolvedMention1">
    <w:name w:val="Unresolved Mention1"/>
    <w:basedOn w:val="DefaultParagraphFont"/>
    <w:uiPriority w:val="99"/>
    <w:semiHidden/>
    <w:unhideWhenUsed/>
    <w:rsid w:val="00B85381"/>
    <w:rPr>
      <w:color w:val="605E5C"/>
      <w:shd w:val="clear" w:color="auto" w:fill="E1DFDD"/>
    </w:rPr>
  </w:style>
  <w:style w:type="paragraph" w:customStyle="1" w:styleId="NormalSS">
    <w:name w:val="NormalSS"/>
    <w:basedOn w:val="Normal"/>
    <w:link w:val="NormalSSChar"/>
    <w:qFormat/>
    <w:rsid w:val="00CB5F6B"/>
    <w:pPr>
      <w:widowControl/>
      <w:spacing w:after="240"/>
      <w:ind w:firstLine="432"/>
    </w:pPr>
    <w:rPr>
      <w:sz w:val="24"/>
      <w:lang w:eastAsia="en-US"/>
    </w:rPr>
  </w:style>
  <w:style w:type="paragraph" w:customStyle="1" w:styleId="TableHeaderCenter">
    <w:name w:val="Table Header Center"/>
    <w:basedOn w:val="TableHeaderLeft"/>
    <w:qFormat/>
    <w:rsid w:val="00CB5F6B"/>
    <w:pPr>
      <w:jc w:val="center"/>
    </w:pPr>
  </w:style>
  <w:style w:type="paragraph" w:customStyle="1" w:styleId="TableHeaderLeft">
    <w:name w:val="Table Header Left"/>
    <w:qFormat/>
    <w:rsid w:val="00CB5F6B"/>
    <w:pPr>
      <w:spacing w:before="120" w:after="60"/>
    </w:pPr>
    <w:rPr>
      <w:rFonts w:ascii="Arial" w:hAnsi="Arial"/>
      <w:b/>
      <w:color w:val="FFFFFF" w:themeColor="background1"/>
      <w:sz w:val="18"/>
    </w:rPr>
  </w:style>
  <w:style w:type="character" w:customStyle="1" w:styleId="NormalSSChar">
    <w:name w:val="NormalSS Char"/>
    <w:basedOn w:val="DefaultParagraphFont"/>
    <w:link w:val="NormalSS"/>
    <w:locked/>
    <w:rsid w:val="00CB5F6B"/>
    <w:rPr>
      <w:sz w:val="24"/>
    </w:rPr>
  </w:style>
  <w:style w:type="character" w:customStyle="1" w:styleId="BodyText2Char">
    <w:name w:val="Body Text 2 Char"/>
    <w:basedOn w:val="DefaultParagraphFont"/>
    <w:link w:val="BodyText2"/>
    <w:rsid w:val="00DD6CCD"/>
    <w:rPr>
      <w:sz w:val="24"/>
      <w:szCs w:val="24"/>
      <w:lang w:eastAsia="ja-JP"/>
    </w:rPr>
  </w:style>
  <w:style w:type="character" w:styleId="UnresolvedMention">
    <w:name w:val="Unresolved Mention"/>
    <w:basedOn w:val="DefaultParagraphFont"/>
    <w:uiPriority w:val="99"/>
    <w:semiHidden/>
    <w:unhideWhenUsed/>
    <w:rsid w:val="0059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2031.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hab.hrsa.gov/data/data-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18260a793ecc04d83f4e03bcefdaff78">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21993b8-963c-40f8-bb77-721e51881077">DYXX3KQPS52K-1114335524-85129</_dlc_DocId>
    <_dlc_DocIdUrl xmlns="721993b8-963c-40f8-bb77-721e51881077">
      <Url>https://ogcintranet.hhs.gov/sites/DocumentCenter/_layouts/15/DocIdRedir.aspx?ID=DYXX3KQPS52K-1114335524-85129</Url>
      <Description>DYXX3KQPS52K-1114335524-85129</Description>
    </_dlc_DocIdUrl>
  </documentManagement>
</p:properties>
</file>

<file path=customXml/itemProps1.xml><?xml version="1.0" encoding="utf-8"?>
<ds:datastoreItem xmlns:ds="http://schemas.openxmlformats.org/officeDocument/2006/customXml" ds:itemID="{23F501FF-18DE-4BB0-A1EB-9867B1B1F4EF}">
  <ds:schemaRefs>
    <ds:schemaRef ds:uri="http://schemas.openxmlformats.org/officeDocument/2006/bibliography"/>
  </ds:schemaRefs>
</ds:datastoreItem>
</file>

<file path=customXml/itemProps2.xml><?xml version="1.0" encoding="utf-8"?>
<ds:datastoreItem xmlns:ds="http://schemas.openxmlformats.org/officeDocument/2006/customXml" ds:itemID="{BDD6D6CA-A948-4237-881D-5C103B887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3E2FD-8ABA-45A6-B62E-03BAF5F83F3F}">
  <ds:schemaRefs>
    <ds:schemaRef ds:uri="http://schemas.microsoft.com/sharepoint/v3/contenttype/forms"/>
  </ds:schemaRefs>
</ds:datastoreItem>
</file>

<file path=customXml/itemProps4.xml><?xml version="1.0" encoding="utf-8"?>
<ds:datastoreItem xmlns:ds="http://schemas.openxmlformats.org/officeDocument/2006/customXml" ds:itemID="{534FF248-E0CA-4FD0-8320-966B7EEE2A2D}">
  <ds:schemaRefs>
    <ds:schemaRef ds:uri="http://schemas.microsoft.com/office/2006/metadata/properties"/>
    <ds:schemaRef ds:uri="http://schemas.microsoft.com/office/infopath/2007/PartnerControls"/>
    <ds:schemaRef ds:uri="721993b8-963c-40f8-bb77-721e518810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2023-02-08T14:49:00Z</dcterms:created>
  <dcterms:modified xsi:type="dcterms:W3CDTF">2023-02-08T14:49:00Z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GrammarlyDocumentId">
    <vt:lpwstr>9dadd698d8f1889c58762aa89dbd554f5453747c6dbb85ce8c43016ab44e754b</vt:lpwstr>
  </property>
  <property fmtid="{D5CDD505-2E9C-101B-9397-08002B2CF9AE}" pid="4" name="_dlc_DocIdItemGuid">
    <vt:lpwstr>fc62efce-8ede-43ef-84f6-16996e55dca7</vt:lpwstr>
  </property>
</Properties>
</file>