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5C1" w:rsidP="008305C1" w:rsidRDefault="008305C1" w14:paraId="2E74EFBC" w14:textId="77777777">
      <w:pPr>
        <w:tabs>
          <w:tab w:val="left" w:pos="-720"/>
          <w:tab w:val="right" w:pos="8622"/>
        </w:tabs>
        <w:jc w:val="center"/>
        <w:rPr>
          <w:rFonts w:ascii="Times New Roman" w:hAnsi="Times New Roman"/>
          <w:b/>
          <w:sz w:val="24"/>
          <w:szCs w:val="24"/>
        </w:rPr>
      </w:pPr>
      <w:r w:rsidRPr="00316CAD">
        <w:rPr>
          <w:rFonts w:ascii="Times New Roman" w:hAnsi="Times New Roman"/>
          <w:b/>
          <w:sz w:val="24"/>
          <w:szCs w:val="24"/>
        </w:rPr>
        <w:t>Health Resources and Services Administration</w:t>
      </w:r>
    </w:p>
    <w:p w:rsidRPr="00316CAD" w:rsidR="008305C1" w:rsidP="008305C1" w:rsidRDefault="008305C1" w14:paraId="2E74EFBD" w14:textId="77777777">
      <w:pPr>
        <w:tabs>
          <w:tab w:val="left" w:pos="-720"/>
          <w:tab w:val="right" w:pos="8622"/>
        </w:tabs>
        <w:jc w:val="center"/>
        <w:rPr>
          <w:rFonts w:ascii="Times New Roman" w:hAnsi="Times New Roman"/>
          <w:b/>
          <w:sz w:val="24"/>
          <w:szCs w:val="24"/>
        </w:rPr>
      </w:pPr>
    </w:p>
    <w:p w:rsidR="008305C1" w:rsidP="008305C1" w:rsidRDefault="008305C1" w14:paraId="2E74EFBE" w14:textId="77777777">
      <w:pPr>
        <w:tabs>
          <w:tab w:val="left" w:pos="-720"/>
          <w:tab w:val="right" w:pos="8622"/>
        </w:tabs>
        <w:jc w:val="center"/>
        <w:rPr>
          <w:rFonts w:ascii="Times New Roman" w:hAnsi="Times New Roman"/>
          <w:b/>
          <w:bCs/>
          <w:sz w:val="24"/>
          <w:szCs w:val="24"/>
        </w:rPr>
      </w:pPr>
      <w:r w:rsidRPr="00316CAD">
        <w:rPr>
          <w:rFonts w:ascii="Times New Roman" w:hAnsi="Times New Roman"/>
          <w:b/>
          <w:bCs/>
          <w:sz w:val="24"/>
          <w:szCs w:val="24"/>
        </w:rPr>
        <w:t xml:space="preserve">SUPPORTING STATEMENT </w:t>
      </w:r>
    </w:p>
    <w:p w:rsidRPr="00316CAD" w:rsidR="008305C1" w:rsidP="008305C1" w:rsidRDefault="008305C1" w14:paraId="2E74EFBF" w14:textId="77777777">
      <w:pPr>
        <w:tabs>
          <w:tab w:val="left" w:pos="-720"/>
          <w:tab w:val="right" w:pos="8622"/>
        </w:tabs>
        <w:jc w:val="center"/>
        <w:rPr>
          <w:rFonts w:ascii="Times New Roman" w:hAnsi="Times New Roman"/>
          <w:b/>
          <w:bCs/>
          <w:sz w:val="24"/>
          <w:szCs w:val="24"/>
        </w:rPr>
      </w:pPr>
    </w:p>
    <w:p w:rsidRPr="00316CAD" w:rsidR="008305C1" w:rsidP="008305C1" w:rsidRDefault="008305C1" w14:paraId="2E74EFC0" w14:textId="77777777">
      <w:pPr>
        <w:tabs>
          <w:tab w:val="left" w:pos="-720"/>
          <w:tab w:val="right" w:pos="8622"/>
        </w:tabs>
        <w:jc w:val="center"/>
        <w:rPr>
          <w:rFonts w:ascii="Times New Roman" w:hAnsi="Times New Roman"/>
          <w:b/>
          <w:sz w:val="24"/>
          <w:szCs w:val="24"/>
        </w:rPr>
      </w:pPr>
      <w:bookmarkStart w:name="_GoBack" w:id="0"/>
      <w:r>
        <w:rPr>
          <w:rFonts w:ascii="Times New Roman" w:hAnsi="Times New Roman"/>
          <w:b/>
          <w:sz w:val="24"/>
          <w:szCs w:val="24"/>
        </w:rPr>
        <w:t xml:space="preserve">Be The Match </w:t>
      </w:r>
      <w:r w:rsidRPr="00316CAD">
        <w:rPr>
          <w:rFonts w:ascii="Times New Roman" w:hAnsi="Times New Roman"/>
          <w:b/>
          <w:sz w:val="24"/>
          <w:szCs w:val="24"/>
        </w:rPr>
        <w:t>Donation Experience Survey</w:t>
      </w:r>
      <w:bookmarkEnd w:id="0"/>
    </w:p>
    <w:p w:rsidRPr="00316CAD" w:rsidR="008305C1" w:rsidP="008305C1" w:rsidRDefault="008305C1" w14:paraId="2E74EFC1" w14:textId="77777777">
      <w:pPr>
        <w:tabs>
          <w:tab w:val="left" w:pos="-720"/>
          <w:tab w:val="right" w:pos="8622"/>
        </w:tabs>
        <w:rPr>
          <w:rFonts w:ascii="Times New Roman" w:hAnsi="Times New Roman"/>
          <w:sz w:val="24"/>
          <w:szCs w:val="24"/>
        </w:rPr>
      </w:pPr>
    </w:p>
    <w:p w:rsidRPr="00316CAD" w:rsidR="008305C1" w:rsidP="008305C1" w:rsidRDefault="008305C1" w14:paraId="2E74EFC2" w14:textId="77777777">
      <w:pPr>
        <w:tabs>
          <w:tab w:val="left" w:pos="-720"/>
          <w:tab w:val="right" w:pos="8622"/>
        </w:tabs>
        <w:rPr>
          <w:rFonts w:ascii="Times New Roman" w:hAnsi="Times New Roman"/>
          <w:sz w:val="24"/>
          <w:szCs w:val="24"/>
        </w:rPr>
      </w:pPr>
    </w:p>
    <w:p w:rsidRPr="00316CAD" w:rsidR="008305C1" w:rsidP="008305C1" w:rsidRDefault="008305C1" w14:paraId="2E74EFC3" w14:textId="77777777">
      <w:pPr>
        <w:tabs>
          <w:tab w:val="left" w:pos="-720"/>
          <w:tab w:val="left" w:pos="720"/>
          <w:tab w:val="right" w:pos="8622"/>
        </w:tabs>
        <w:rPr>
          <w:rFonts w:ascii="Times New Roman" w:hAnsi="Times New Roman"/>
          <w:sz w:val="24"/>
          <w:szCs w:val="24"/>
        </w:rPr>
      </w:pPr>
      <w:r w:rsidRPr="00316CAD">
        <w:rPr>
          <w:rFonts w:ascii="Times New Roman" w:hAnsi="Times New Roman"/>
          <w:b/>
          <w:bCs/>
          <w:sz w:val="24"/>
          <w:szCs w:val="24"/>
        </w:rPr>
        <w:t>A.</w:t>
      </w:r>
      <w:r w:rsidRPr="00316CAD">
        <w:rPr>
          <w:rFonts w:ascii="Times New Roman" w:hAnsi="Times New Roman"/>
          <w:b/>
          <w:bCs/>
          <w:sz w:val="24"/>
          <w:szCs w:val="24"/>
        </w:rPr>
        <w:tab/>
        <w:t>Justification</w:t>
      </w:r>
    </w:p>
    <w:p w:rsidRPr="00316CAD" w:rsidR="008305C1" w:rsidP="008305C1" w:rsidRDefault="008305C1" w14:paraId="2E74EFC4" w14:textId="77777777">
      <w:pPr>
        <w:tabs>
          <w:tab w:val="left" w:pos="-720"/>
          <w:tab w:val="left" w:pos="720"/>
          <w:tab w:val="right" w:pos="8622"/>
        </w:tabs>
        <w:rPr>
          <w:rFonts w:ascii="Times New Roman" w:hAnsi="Times New Roman"/>
          <w:sz w:val="24"/>
          <w:szCs w:val="24"/>
        </w:rPr>
      </w:pPr>
    </w:p>
    <w:p w:rsidRPr="00316CAD" w:rsidR="008305C1" w:rsidP="008305C1" w:rsidRDefault="008305C1" w14:paraId="2E74EFC5" w14:textId="77777777">
      <w:pPr>
        <w:tabs>
          <w:tab w:val="left" w:pos="-720"/>
          <w:tab w:val="left" w:pos="44"/>
          <w:tab w:val="left" w:pos="720"/>
          <w:tab w:val="right" w:pos="8622"/>
        </w:tabs>
        <w:rPr>
          <w:rFonts w:ascii="Times New Roman" w:hAnsi="Times New Roman"/>
          <w:sz w:val="24"/>
          <w:szCs w:val="24"/>
          <w:u w:val="single"/>
        </w:rPr>
      </w:pPr>
      <w:r w:rsidRPr="00316CAD">
        <w:rPr>
          <w:rFonts w:ascii="Times New Roman" w:hAnsi="Times New Roman"/>
          <w:sz w:val="24"/>
          <w:szCs w:val="24"/>
        </w:rPr>
        <w:t>1.</w:t>
      </w:r>
      <w:r w:rsidRPr="00316CAD">
        <w:rPr>
          <w:rFonts w:ascii="Times New Roman" w:hAnsi="Times New Roman"/>
          <w:sz w:val="24"/>
          <w:szCs w:val="24"/>
        </w:rPr>
        <w:tab/>
      </w:r>
      <w:r w:rsidRPr="00316CAD">
        <w:rPr>
          <w:rFonts w:ascii="Times New Roman" w:hAnsi="Times New Roman"/>
          <w:sz w:val="24"/>
          <w:szCs w:val="24"/>
          <w:u w:val="single"/>
        </w:rPr>
        <w:t>Circumstances of Information Collection</w:t>
      </w:r>
    </w:p>
    <w:p w:rsidRPr="00316CAD" w:rsidR="008305C1" w:rsidP="008305C1" w:rsidRDefault="008305C1" w14:paraId="2E74EFC6" w14:textId="77777777">
      <w:pPr>
        <w:tabs>
          <w:tab w:val="left" w:pos="-720"/>
          <w:tab w:val="left" w:pos="44"/>
          <w:tab w:val="left" w:pos="720"/>
          <w:tab w:val="right" w:pos="8622"/>
        </w:tabs>
        <w:rPr>
          <w:rFonts w:ascii="Times New Roman" w:hAnsi="Times New Roman"/>
          <w:sz w:val="24"/>
          <w:szCs w:val="24"/>
        </w:rPr>
      </w:pPr>
    </w:p>
    <w:p w:rsidRPr="00316CAD" w:rsidR="008305C1" w:rsidP="008305C1" w:rsidRDefault="008305C1" w14:paraId="2E74EFC7" w14:textId="77777777">
      <w:pPr>
        <w:pStyle w:val="Heading2"/>
        <w:rPr>
          <w:b w:val="0"/>
          <w:color w:val="auto"/>
          <w:sz w:val="24"/>
          <w:szCs w:val="24"/>
        </w:rPr>
      </w:pPr>
      <w:r w:rsidRPr="00316CAD">
        <w:rPr>
          <w:b w:val="0"/>
          <w:color w:val="auto"/>
          <w:sz w:val="24"/>
          <w:szCs w:val="24"/>
        </w:rPr>
        <w:t>The Health Resources and Services Administration (HRSA) currently has approval under the generic clearance, Office of Management and Budget (OMB) Control No. 0915-0212, to conduct customer satisfaction surveys and focus groups.  This collection of information helps fulfill the requirements of:</w:t>
      </w:r>
    </w:p>
    <w:p w:rsidRPr="00316CAD" w:rsidR="008305C1" w:rsidP="008305C1" w:rsidRDefault="008305C1" w14:paraId="2E74EFC8" w14:textId="7FE0F037">
      <w:pPr>
        <w:pStyle w:val="Heading2"/>
        <w:numPr>
          <w:ilvl w:val="0"/>
          <w:numId w:val="1"/>
        </w:numPr>
        <w:rPr>
          <w:b w:val="0"/>
          <w:color w:val="auto"/>
          <w:sz w:val="24"/>
          <w:szCs w:val="24"/>
        </w:rPr>
      </w:pPr>
      <w:r w:rsidRPr="00316CAD">
        <w:rPr>
          <w:b w:val="0"/>
          <w:color w:val="auto"/>
          <w:sz w:val="24"/>
          <w:szCs w:val="24"/>
        </w:rPr>
        <w:t xml:space="preserve">Executive Order 12862, “Setting Customer Service Standards,” directs </w:t>
      </w:r>
      <w:r w:rsidR="00B662FF">
        <w:rPr>
          <w:b w:val="0"/>
          <w:color w:val="auto"/>
          <w:sz w:val="24"/>
          <w:szCs w:val="24"/>
        </w:rPr>
        <w:t>a</w:t>
      </w:r>
      <w:r w:rsidRPr="00316CAD" w:rsidR="00B662FF">
        <w:rPr>
          <w:b w:val="0"/>
          <w:color w:val="auto"/>
          <w:sz w:val="24"/>
          <w:szCs w:val="24"/>
        </w:rPr>
        <w:t xml:space="preserve">gencies </w:t>
      </w:r>
      <w:r w:rsidRPr="00316CAD">
        <w:rPr>
          <w:b w:val="0"/>
          <w:color w:val="auto"/>
          <w:sz w:val="24"/>
          <w:szCs w:val="24"/>
        </w:rPr>
        <w:t>to continually reform their management practices and operations to provide service to the public that matches or exceeds the best service available in the private sector.</w:t>
      </w:r>
    </w:p>
    <w:p w:rsidRPr="00316CAD" w:rsidR="008305C1" w:rsidP="008305C1" w:rsidRDefault="008305C1" w14:paraId="2E74EFC9" w14:textId="77777777">
      <w:pPr>
        <w:tabs>
          <w:tab w:val="left" w:pos="-720"/>
        </w:tabs>
        <w:rPr>
          <w:rFonts w:ascii="Times New Roman" w:hAnsi="Times New Roman"/>
          <w:sz w:val="24"/>
          <w:szCs w:val="24"/>
        </w:rPr>
      </w:pPr>
    </w:p>
    <w:p w:rsidRPr="00316CAD" w:rsidR="008305C1" w:rsidP="008305C1" w:rsidRDefault="008305C1" w14:paraId="2E74EFCA" w14:textId="77777777">
      <w:pPr>
        <w:tabs>
          <w:tab w:val="left" w:pos="-720"/>
        </w:tabs>
        <w:rPr>
          <w:rFonts w:ascii="Times New Roman" w:hAnsi="Times New Roman"/>
          <w:sz w:val="24"/>
          <w:szCs w:val="24"/>
        </w:rPr>
      </w:pPr>
      <w:r w:rsidRPr="00316CAD">
        <w:rPr>
          <w:rFonts w:ascii="Times New Roman" w:hAnsi="Times New Roman"/>
          <w:sz w:val="24"/>
          <w:szCs w:val="24"/>
        </w:rPr>
        <w:t xml:space="preserve">This is a request for OMB approval of a qualitative voluntary donor experience survey or focus group under HRSA’s generic clearance.  </w:t>
      </w:r>
    </w:p>
    <w:p w:rsidRPr="00316CAD" w:rsidR="008305C1" w:rsidP="008305C1" w:rsidRDefault="008305C1" w14:paraId="2E74EFCB" w14:textId="77777777">
      <w:pPr>
        <w:tabs>
          <w:tab w:val="left" w:pos="-720"/>
        </w:tabs>
        <w:rPr>
          <w:rFonts w:ascii="Times New Roman" w:hAnsi="Times New Roman"/>
          <w:sz w:val="24"/>
          <w:szCs w:val="24"/>
        </w:rPr>
      </w:pPr>
    </w:p>
    <w:p w:rsidRPr="00316CAD" w:rsidR="008305C1" w:rsidP="008305C1" w:rsidRDefault="008305C1" w14:paraId="2E74EFCC" w14:textId="736C7C6B">
      <w:pPr>
        <w:tabs>
          <w:tab w:val="left" w:pos="-720"/>
        </w:tabs>
        <w:rPr>
          <w:rFonts w:ascii="Times New Roman" w:hAnsi="Times New Roman"/>
          <w:sz w:val="24"/>
          <w:szCs w:val="24"/>
        </w:rPr>
      </w:pPr>
      <w:r w:rsidRPr="00316CAD">
        <w:rPr>
          <w:rFonts w:ascii="Times New Roman" w:hAnsi="Times New Roman"/>
          <w:sz w:val="24"/>
          <w:szCs w:val="24"/>
        </w:rPr>
        <w:t xml:space="preserve">HRSA’s contractor for the Single Point of Access Coordinating Center (contract # HHSH250201700007C), the National Marrow Donor Program (NMDP) (dba) Be </w:t>
      </w:r>
      <w:r>
        <w:rPr>
          <w:rFonts w:ascii="Times New Roman" w:hAnsi="Times New Roman"/>
          <w:sz w:val="24"/>
          <w:szCs w:val="24"/>
        </w:rPr>
        <w:t>T</w:t>
      </w:r>
      <w:r w:rsidRPr="00316CAD">
        <w:rPr>
          <w:rFonts w:ascii="Times New Roman" w:hAnsi="Times New Roman"/>
          <w:sz w:val="24"/>
          <w:szCs w:val="24"/>
        </w:rPr>
        <w:t>he Match, will solicit voluntary feedback from blood stem cell donors, post</w:t>
      </w:r>
      <w:r>
        <w:rPr>
          <w:rFonts w:ascii="Times New Roman" w:hAnsi="Times New Roman"/>
          <w:sz w:val="24"/>
          <w:szCs w:val="24"/>
        </w:rPr>
        <w:t>-</w:t>
      </w:r>
      <w:r w:rsidRPr="00316CAD">
        <w:rPr>
          <w:rFonts w:ascii="Times New Roman" w:hAnsi="Times New Roman"/>
          <w:sz w:val="24"/>
          <w:szCs w:val="24"/>
        </w:rPr>
        <w:t xml:space="preserve">donation. </w:t>
      </w:r>
      <w:r>
        <w:rPr>
          <w:rFonts w:ascii="Times New Roman" w:hAnsi="Times New Roman"/>
          <w:sz w:val="24"/>
          <w:szCs w:val="24"/>
        </w:rPr>
        <w:t xml:space="preserve"> </w:t>
      </w:r>
      <w:r w:rsidRPr="00316CAD">
        <w:rPr>
          <w:rFonts w:ascii="Times New Roman" w:hAnsi="Times New Roman"/>
          <w:sz w:val="24"/>
          <w:szCs w:val="24"/>
        </w:rPr>
        <w:t xml:space="preserve">A survey will be distributed electronically to donors by email within the month following their donation, with two reminders sent following the initial invite. </w:t>
      </w:r>
      <w:r>
        <w:rPr>
          <w:rFonts w:ascii="Times New Roman" w:hAnsi="Times New Roman"/>
          <w:sz w:val="24"/>
          <w:szCs w:val="24"/>
        </w:rPr>
        <w:t xml:space="preserve"> </w:t>
      </w:r>
      <w:r w:rsidRPr="00316CAD">
        <w:rPr>
          <w:rFonts w:ascii="Times New Roman" w:hAnsi="Times New Roman"/>
          <w:sz w:val="24"/>
          <w:szCs w:val="24"/>
        </w:rPr>
        <w:t xml:space="preserve">The survey will be available in the SPA-CC contractor’s six core languages:  English, Spanish, Portuguese, Korean, Chinese, and Vietnamese. </w:t>
      </w:r>
      <w:r>
        <w:rPr>
          <w:rFonts w:ascii="Times New Roman" w:hAnsi="Times New Roman"/>
          <w:sz w:val="24"/>
          <w:szCs w:val="24"/>
        </w:rPr>
        <w:t xml:space="preserve"> </w:t>
      </w:r>
      <w:r w:rsidRPr="00316CAD">
        <w:rPr>
          <w:rFonts w:ascii="Times New Roman" w:hAnsi="Times New Roman"/>
          <w:sz w:val="24"/>
          <w:szCs w:val="24"/>
        </w:rPr>
        <w:t>The survey consists of 22 questions focusing on pre-donation, donation day, recovery, overall experience</w:t>
      </w:r>
      <w:r w:rsidR="00B662FF">
        <w:rPr>
          <w:rFonts w:ascii="Times New Roman" w:hAnsi="Times New Roman"/>
          <w:sz w:val="24"/>
          <w:szCs w:val="24"/>
        </w:rPr>
        <w:t>,</w:t>
      </w:r>
      <w:r w:rsidRPr="00316CAD">
        <w:rPr>
          <w:rFonts w:ascii="Times New Roman" w:hAnsi="Times New Roman"/>
          <w:sz w:val="24"/>
          <w:szCs w:val="24"/>
        </w:rPr>
        <w:t xml:space="preserve"> and satisfaction. </w:t>
      </w:r>
      <w:r>
        <w:rPr>
          <w:rFonts w:ascii="Times New Roman" w:hAnsi="Times New Roman"/>
          <w:sz w:val="24"/>
          <w:szCs w:val="24"/>
        </w:rPr>
        <w:t xml:space="preserve"> </w:t>
      </w:r>
      <w:r w:rsidRPr="00316CAD">
        <w:rPr>
          <w:rFonts w:ascii="Times New Roman" w:hAnsi="Times New Roman"/>
          <w:sz w:val="24"/>
          <w:szCs w:val="24"/>
        </w:rPr>
        <w:t>The survey includes statements that use a five-point Likert-type scale ranging from “strongly disagree” to “strongly agree</w:t>
      </w:r>
      <w:r>
        <w:rPr>
          <w:rFonts w:ascii="Times New Roman" w:hAnsi="Times New Roman"/>
          <w:sz w:val="24"/>
          <w:szCs w:val="24"/>
        </w:rPr>
        <w:t>,”</w:t>
      </w:r>
      <w:r w:rsidRPr="00316CAD">
        <w:rPr>
          <w:rFonts w:ascii="Times New Roman" w:hAnsi="Times New Roman"/>
          <w:sz w:val="24"/>
          <w:szCs w:val="24"/>
        </w:rPr>
        <w:t xml:space="preserve"> multiple</w:t>
      </w:r>
      <w:r>
        <w:rPr>
          <w:rFonts w:ascii="Times New Roman" w:hAnsi="Times New Roman"/>
          <w:sz w:val="24"/>
          <w:szCs w:val="24"/>
        </w:rPr>
        <w:t>-</w:t>
      </w:r>
      <w:r w:rsidRPr="00316CAD">
        <w:rPr>
          <w:rFonts w:ascii="Times New Roman" w:hAnsi="Times New Roman"/>
          <w:sz w:val="24"/>
          <w:szCs w:val="24"/>
        </w:rPr>
        <w:t xml:space="preserve">choice questions, and open-ended questions </w:t>
      </w:r>
      <w:r>
        <w:rPr>
          <w:rFonts w:ascii="Times New Roman" w:hAnsi="Times New Roman"/>
          <w:sz w:val="24"/>
          <w:szCs w:val="24"/>
        </w:rPr>
        <w:t>that</w:t>
      </w:r>
      <w:r w:rsidRPr="00316CAD">
        <w:rPr>
          <w:rFonts w:ascii="Times New Roman" w:hAnsi="Times New Roman"/>
          <w:sz w:val="24"/>
          <w:szCs w:val="24"/>
        </w:rPr>
        <w:t xml:space="preserve"> allow respondents to provide their thought</w:t>
      </w:r>
      <w:r>
        <w:rPr>
          <w:rFonts w:ascii="Times New Roman" w:hAnsi="Times New Roman"/>
          <w:sz w:val="24"/>
          <w:szCs w:val="24"/>
        </w:rPr>
        <w:t xml:space="preserve">s, perceptions, and opinions.  </w:t>
      </w:r>
    </w:p>
    <w:p w:rsidRPr="00316CAD" w:rsidR="008305C1" w:rsidP="008305C1" w:rsidRDefault="008305C1" w14:paraId="2E74EFCD" w14:textId="77777777">
      <w:pPr>
        <w:tabs>
          <w:tab w:val="left" w:pos="-720"/>
        </w:tabs>
        <w:rPr>
          <w:rFonts w:ascii="Times New Roman" w:hAnsi="Times New Roman"/>
          <w:sz w:val="24"/>
          <w:szCs w:val="24"/>
        </w:rPr>
      </w:pPr>
    </w:p>
    <w:p w:rsidRPr="00316CAD" w:rsidR="008305C1" w:rsidP="008305C1" w:rsidRDefault="008305C1" w14:paraId="2E74EFCE" w14:textId="77777777">
      <w:pPr>
        <w:tabs>
          <w:tab w:val="left" w:pos="-720"/>
        </w:tabs>
        <w:rPr>
          <w:rFonts w:ascii="Times New Roman" w:hAnsi="Times New Roman"/>
          <w:sz w:val="24"/>
          <w:szCs w:val="24"/>
        </w:rPr>
      </w:pPr>
      <w:r w:rsidRPr="00316CAD">
        <w:rPr>
          <w:rFonts w:ascii="Times New Roman" w:hAnsi="Times New Roman"/>
          <w:sz w:val="24"/>
          <w:szCs w:val="24"/>
        </w:rPr>
        <w:t>Executive Ord</w:t>
      </w:r>
      <w:r>
        <w:rPr>
          <w:rFonts w:ascii="Times New Roman" w:hAnsi="Times New Roman"/>
          <w:sz w:val="24"/>
          <w:szCs w:val="24"/>
        </w:rPr>
        <w:t>er 12862 directs agencies that “</w:t>
      </w:r>
      <w:r w:rsidRPr="00316CAD">
        <w:rPr>
          <w:rFonts w:ascii="Times New Roman" w:hAnsi="Times New Roman"/>
          <w:sz w:val="24"/>
          <w:szCs w:val="24"/>
        </w:rPr>
        <w:t xml:space="preserve">provide significant </w:t>
      </w:r>
      <w:r>
        <w:rPr>
          <w:rFonts w:ascii="Times New Roman" w:hAnsi="Times New Roman"/>
          <w:sz w:val="24"/>
          <w:szCs w:val="24"/>
        </w:rPr>
        <w:t>services directly to the public”</w:t>
      </w:r>
      <w:r w:rsidRPr="00316CAD">
        <w:rPr>
          <w:rFonts w:ascii="Times New Roman" w:hAnsi="Times New Roman"/>
          <w:sz w:val="24"/>
          <w:szCs w:val="24"/>
        </w:rPr>
        <w:t xml:space="preserve"> to </w:t>
      </w:r>
      <w:r>
        <w:rPr>
          <w:rFonts w:ascii="Times New Roman" w:hAnsi="Times New Roman"/>
          <w:sz w:val="24"/>
          <w:szCs w:val="24"/>
        </w:rPr>
        <w:t>“</w:t>
      </w:r>
      <w:r w:rsidRPr="00316CAD">
        <w:rPr>
          <w:rFonts w:ascii="Times New Roman" w:hAnsi="Times New Roman"/>
          <w:sz w:val="24"/>
          <w:szCs w:val="24"/>
        </w:rPr>
        <w:t>survey customers to determine the kind and quality of services they want and their level of experience and satisf</w:t>
      </w:r>
      <w:r>
        <w:rPr>
          <w:rFonts w:ascii="Times New Roman" w:hAnsi="Times New Roman"/>
          <w:sz w:val="24"/>
          <w:szCs w:val="24"/>
        </w:rPr>
        <w:t>action with existing services.”</w:t>
      </w:r>
      <w:r w:rsidRPr="00316CAD">
        <w:rPr>
          <w:rFonts w:ascii="Times New Roman" w:hAnsi="Times New Roman"/>
          <w:sz w:val="24"/>
          <w:szCs w:val="24"/>
        </w:rPr>
        <w:t xml:space="preserve">  </w:t>
      </w:r>
    </w:p>
    <w:p w:rsidRPr="00316CAD" w:rsidR="008305C1" w:rsidP="008305C1" w:rsidRDefault="008305C1" w14:paraId="2E74EFCF" w14:textId="77777777">
      <w:pPr>
        <w:tabs>
          <w:tab w:val="left" w:pos="-720"/>
        </w:tabs>
        <w:rPr>
          <w:rFonts w:ascii="Times New Roman" w:hAnsi="Times New Roman"/>
          <w:sz w:val="24"/>
          <w:szCs w:val="24"/>
        </w:rPr>
      </w:pPr>
    </w:p>
    <w:p w:rsidRPr="00316CAD" w:rsidR="008305C1" w:rsidP="008305C1" w:rsidRDefault="008305C1" w14:paraId="2E74EFD0" w14:textId="77777777">
      <w:pPr>
        <w:tabs>
          <w:tab w:val="left" w:pos="-720"/>
        </w:tabs>
        <w:rPr>
          <w:rFonts w:ascii="Times New Roman" w:hAnsi="Times New Roman"/>
          <w:sz w:val="24"/>
          <w:szCs w:val="24"/>
        </w:rPr>
      </w:pPr>
      <w:r w:rsidRPr="00316CAD">
        <w:rPr>
          <w:rFonts w:ascii="Times New Roman" w:hAnsi="Times New Roman"/>
          <w:sz w:val="24"/>
          <w:szCs w:val="24"/>
        </w:rPr>
        <w:t xml:space="preserve">The SPA-CC contractor is seeking to understand </w:t>
      </w:r>
      <w:r>
        <w:rPr>
          <w:rFonts w:ascii="Times New Roman" w:hAnsi="Times New Roman"/>
          <w:sz w:val="24"/>
          <w:szCs w:val="24"/>
        </w:rPr>
        <w:t xml:space="preserve">better </w:t>
      </w:r>
      <w:r w:rsidRPr="00316CAD">
        <w:rPr>
          <w:rFonts w:ascii="Times New Roman" w:hAnsi="Times New Roman"/>
          <w:sz w:val="24"/>
          <w:szCs w:val="24"/>
        </w:rPr>
        <w:t xml:space="preserve">the overall experience and satisfaction of blood stem cell donors. </w:t>
      </w:r>
      <w:r>
        <w:rPr>
          <w:rFonts w:ascii="Times New Roman" w:hAnsi="Times New Roman"/>
          <w:sz w:val="24"/>
          <w:szCs w:val="24"/>
        </w:rPr>
        <w:t xml:space="preserve"> </w:t>
      </w:r>
      <w:r w:rsidRPr="00316CAD">
        <w:rPr>
          <w:rFonts w:ascii="Times New Roman" w:hAnsi="Times New Roman"/>
          <w:sz w:val="24"/>
          <w:szCs w:val="24"/>
        </w:rPr>
        <w:t xml:space="preserve">The survey questions were developed to determine the donor’s experience and satisfaction with their primary representative and health care team, educational materials, access to assistance, medical care, overall experience and satisfaction, and willingness to donate again if requested. </w:t>
      </w:r>
      <w:r>
        <w:rPr>
          <w:rFonts w:ascii="Times New Roman" w:hAnsi="Times New Roman"/>
          <w:sz w:val="24"/>
          <w:szCs w:val="24"/>
        </w:rPr>
        <w:t xml:space="preserve"> </w:t>
      </w:r>
      <w:r w:rsidRPr="00316CAD">
        <w:rPr>
          <w:rFonts w:ascii="Times New Roman" w:hAnsi="Times New Roman"/>
          <w:sz w:val="24"/>
          <w:szCs w:val="24"/>
        </w:rPr>
        <w:t xml:space="preserve">Survey results and feedback are monitored and reviewed to identify trends and opportunities for improvement. </w:t>
      </w:r>
      <w:r>
        <w:rPr>
          <w:rFonts w:ascii="Times New Roman" w:hAnsi="Times New Roman"/>
          <w:sz w:val="24"/>
          <w:szCs w:val="24"/>
        </w:rPr>
        <w:t xml:space="preserve"> </w:t>
      </w:r>
      <w:r w:rsidRPr="00316CAD">
        <w:rPr>
          <w:rFonts w:ascii="Times New Roman" w:hAnsi="Times New Roman"/>
          <w:sz w:val="24"/>
          <w:szCs w:val="24"/>
        </w:rPr>
        <w:t xml:space="preserve">The SPA-CC contractor will assess and propose strategies to implement recommended improvement efforts targeting donor experience, service, and process.  </w:t>
      </w:r>
    </w:p>
    <w:p w:rsidRPr="00316CAD" w:rsidR="008305C1" w:rsidP="008305C1" w:rsidRDefault="008305C1" w14:paraId="2E74EFD1" w14:textId="77777777">
      <w:pPr>
        <w:tabs>
          <w:tab w:val="left" w:pos="-720"/>
        </w:tabs>
        <w:rPr>
          <w:rFonts w:ascii="Times New Roman" w:hAnsi="Times New Roman"/>
          <w:sz w:val="24"/>
          <w:szCs w:val="24"/>
        </w:rPr>
      </w:pPr>
    </w:p>
    <w:p w:rsidRPr="00316CAD" w:rsidR="008305C1" w:rsidP="008305C1" w:rsidRDefault="008305C1" w14:paraId="2E74EFD2" w14:textId="77777777">
      <w:pPr>
        <w:tabs>
          <w:tab w:val="left" w:pos="-720"/>
          <w:tab w:val="left" w:pos="720"/>
          <w:tab w:val="right" w:pos="8648"/>
        </w:tabs>
        <w:rPr>
          <w:rFonts w:ascii="Times New Roman" w:hAnsi="Times New Roman"/>
          <w:sz w:val="24"/>
          <w:szCs w:val="24"/>
          <w:u w:val="single"/>
        </w:rPr>
      </w:pPr>
      <w:r w:rsidRPr="00316CAD">
        <w:rPr>
          <w:rFonts w:ascii="Times New Roman" w:hAnsi="Times New Roman"/>
          <w:sz w:val="24"/>
          <w:szCs w:val="24"/>
        </w:rPr>
        <w:lastRenderedPageBreak/>
        <w:t>2.</w:t>
      </w:r>
      <w:r w:rsidRPr="00316CAD">
        <w:rPr>
          <w:rFonts w:ascii="Times New Roman" w:hAnsi="Times New Roman"/>
          <w:sz w:val="24"/>
          <w:szCs w:val="24"/>
        </w:rPr>
        <w:tab/>
      </w:r>
      <w:r w:rsidRPr="00316CAD">
        <w:rPr>
          <w:rFonts w:ascii="Times New Roman" w:hAnsi="Times New Roman"/>
          <w:sz w:val="24"/>
          <w:szCs w:val="24"/>
          <w:u w:val="single"/>
        </w:rPr>
        <w:t>Purpose and Use of the Information</w:t>
      </w:r>
    </w:p>
    <w:p w:rsidRPr="00316CAD" w:rsidR="008305C1" w:rsidP="008305C1" w:rsidRDefault="008305C1" w14:paraId="2E74EFD3" w14:textId="77777777">
      <w:pPr>
        <w:tabs>
          <w:tab w:val="left" w:pos="-720"/>
          <w:tab w:val="left" w:pos="720"/>
          <w:tab w:val="right" w:pos="8648"/>
        </w:tabs>
        <w:rPr>
          <w:rFonts w:ascii="Times New Roman" w:hAnsi="Times New Roman"/>
          <w:sz w:val="24"/>
          <w:szCs w:val="24"/>
        </w:rPr>
      </w:pPr>
    </w:p>
    <w:p w:rsidRPr="00316CAD" w:rsidR="008305C1" w:rsidP="008305C1" w:rsidRDefault="008305C1" w14:paraId="2E74EFD4" w14:textId="18B9D9E8">
      <w:pPr>
        <w:spacing w:before="120"/>
        <w:rPr>
          <w:rFonts w:ascii="Times New Roman" w:hAnsi="Times New Roman"/>
          <w:sz w:val="24"/>
        </w:rPr>
      </w:pPr>
      <w:r w:rsidRPr="00316CAD">
        <w:rPr>
          <w:rFonts w:ascii="Times New Roman" w:hAnsi="Times New Roman"/>
          <w:sz w:val="24"/>
        </w:rPr>
        <w:t xml:space="preserve">The primary use for information gathered through the survey is to determine the effectiveness of the SPA-CC contractor’s programs and services and to identify areas for improvement in the delivery of services. </w:t>
      </w:r>
      <w:r>
        <w:rPr>
          <w:rFonts w:ascii="Times New Roman" w:hAnsi="Times New Roman"/>
          <w:sz w:val="24"/>
        </w:rPr>
        <w:t xml:space="preserve"> </w:t>
      </w:r>
      <w:r w:rsidRPr="00316CAD">
        <w:rPr>
          <w:rFonts w:ascii="Times New Roman" w:hAnsi="Times New Roman"/>
          <w:sz w:val="24"/>
        </w:rPr>
        <w:t>The SPA-CC contractor uses feedback from blood stem cell donors to understand the changing needs for services and information provided, as well as to gauge the helpfulness of the SPA-CC contractor’s representatives</w:t>
      </w:r>
      <w:r w:rsidR="00B005DF">
        <w:rPr>
          <w:rFonts w:ascii="Times New Roman" w:hAnsi="Times New Roman"/>
          <w:sz w:val="24"/>
        </w:rPr>
        <w:t xml:space="preserve"> in the donation process.</w:t>
      </w:r>
      <w:r>
        <w:rPr>
          <w:rFonts w:ascii="Times New Roman" w:hAnsi="Times New Roman"/>
          <w:sz w:val="24"/>
        </w:rPr>
        <w:t xml:space="preserve"> </w:t>
      </w:r>
      <w:r w:rsidRPr="00316CAD">
        <w:rPr>
          <w:rFonts w:ascii="Times New Roman" w:hAnsi="Times New Roman"/>
          <w:sz w:val="24"/>
        </w:rPr>
        <w:t xml:space="preserve"> </w:t>
      </w:r>
      <w:r w:rsidR="00B005DF">
        <w:rPr>
          <w:rFonts w:ascii="Times New Roman" w:hAnsi="Times New Roman"/>
          <w:sz w:val="24"/>
        </w:rPr>
        <w:t>This information</w:t>
      </w:r>
      <w:r w:rsidRPr="00316CAD">
        <w:rPr>
          <w:rFonts w:ascii="Times New Roman" w:hAnsi="Times New Roman"/>
          <w:sz w:val="24"/>
        </w:rPr>
        <w:t xml:space="preserve"> </w:t>
      </w:r>
      <w:r>
        <w:rPr>
          <w:rFonts w:ascii="Times New Roman" w:hAnsi="Times New Roman"/>
          <w:sz w:val="24"/>
        </w:rPr>
        <w:t>is</w:t>
      </w:r>
      <w:r w:rsidRPr="00316CAD">
        <w:rPr>
          <w:rFonts w:ascii="Times New Roman" w:hAnsi="Times New Roman"/>
          <w:sz w:val="24"/>
        </w:rPr>
        <w:t xml:space="preserve"> critical to understanding whether changes in services, support, or materials are needed.  It also helps to create strong ambassadors that may be willing to encourage others to donate. </w:t>
      </w:r>
      <w:r>
        <w:rPr>
          <w:rFonts w:ascii="Times New Roman" w:hAnsi="Times New Roman"/>
          <w:sz w:val="24"/>
        </w:rPr>
        <w:t xml:space="preserve"> </w:t>
      </w:r>
      <w:r w:rsidR="00B005DF">
        <w:rPr>
          <w:rFonts w:ascii="Times New Roman" w:hAnsi="Times New Roman"/>
          <w:sz w:val="24"/>
        </w:rPr>
        <w:t>The survey asks the donor</w:t>
      </w:r>
      <w:r w:rsidRPr="00316CAD">
        <w:rPr>
          <w:rFonts w:ascii="Times New Roman" w:hAnsi="Times New Roman"/>
          <w:sz w:val="24"/>
        </w:rPr>
        <w:t xml:space="preserve"> if the SPA-CC contractor: helped with challenges to enable the donation, adequately addressed donor questions, provided an accurate description of what to expect, and assisted with additional donation support needs (i.e., securing time away from work/school, lost wage reimbursement, child care costs, etc.). </w:t>
      </w:r>
      <w:r>
        <w:rPr>
          <w:rFonts w:ascii="Times New Roman" w:hAnsi="Times New Roman"/>
          <w:sz w:val="24"/>
        </w:rPr>
        <w:t xml:space="preserve"> </w:t>
      </w:r>
      <w:r w:rsidRPr="00316CAD">
        <w:rPr>
          <w:rFonts w:ascii="Times New Roman" w:hAnsi="Times New Roman"/>
          <w:sz w:val="24"/>
        </w:rPr>
        <w:t xml:space="preserve">The SPA-CC contractor also provides donors an opportunity to rate their experience with services provided by organizations involved with the donation process. </w:t>
      </w:r>
      <w:r>
        <w:rPr>
          <w:rFonts w:ascii="Times New Roman" w:hAnsi="Times New Roman"/>
          <w:sz w:val="24"/>
        </w:rPr>
        <w:t xml:space="preserve"> </w:t>
      </w:r>
      <w:r w:rsidR="003773D4">
        <w:rPr>
          <w:rFonts w:ascii="Times New Roman" w:hAnsi="Times New Roman"/>
          <w:sz w:val="24"/>
        </w:rPr>
        <w:t>Finally, t</w:t>
      </w:r>
      <w:r w:rsidRPr="00316CAD">
        <w:rPr>
          <w:rFonts w:ascii="Times New Roman" w:hAnsi="Times New Roman"/>
          <w:sz w:val="24"/>
        </w:rPr>
        <w:t xml:space="preserve">he SPA-CC contractor seeks to understand if donors would be willing to donate again and/or if they would recommend donation to a friend or family member. Feedback will be reviewed monthly (quarterly reports will be shared with organizations involved in the donation process). </w:t>
      </w:r>
      <w:r>
        <w:rPr>
          <w:rFonts w:ascii="Times New Roman" w:hAnsi="Times New Roman"/>
          <w:sz w:val="24"/>
        </w:rPr>
        <w:t xml:space="preserve"> </w:t>
      </w:r>
      <w:r w:rsidRPr="00316CAD">
        <w:rPr>
          <w:rFonts w:ascii="Times New Roman" w:hAnsi="Times New Roman"/>
          <w:sz w:val="24"/>
        </w:rPr>
        <w:t>The SPA-CC contractor’s program managers and leadership will utilize this evaluation data to share donors’ experiences as well as make program enhancements to serve future donors</w:t>
      </w:r>
      <w:r>
        <w:rPr>
          <w:rFonts w:ascii="Times New Roman" w:hAnsi="Times New Roman"/>
          <w:sz w:val="24"/>
        </w:rPr>
        <w:t xml:space="preserve"> better</w:t>
      </w:r>
      <w:r w:rsidRPr="00316CAD">
        <w:rPr>
          <w:rFonts w:ascii="Times New Roman" w:hAnsi="Times New Roman"/>
          <w:sz w:val="24"/>
        </w:rPr>
        <w:t xml:space="preserve">. </w:t>
      </w:r>
      <w:r>
        <w:rPr>
          <w:rFonts w:ascii="Times New Roman" w:hAnsi="Times New Roman"/>
          <w:sz w:val="24"/>
        </w:rPr>
        <w:t xml:space="preserve"> </w:t>
      </w:r>
    </w:p>
    <w:p w:rsidRPr="00316CAD" w:rsidR="008305C1" w:rsidP="008305C1" w:rsidRDefault="008305C1" w14:paraId="2E74EFD5" w14:textId="77777777">
      <w:pPr>
        <w:tabs>
          <w:tab w:val="left" w:pos="720"/>
        </w:tabs>
        <w:rPr>
          <w:rFonts w:ascii="Times New Roman" w:hAnsi="Times New Roman"/>
          <w:sz w:val="24"/>
          <w:szCs w:val="24"/>
        </w:rPr>
      </w:pPr>
    </w:p>
    <w:p w:rsidRPr="00316CAD" w:rsidR="008305C1" w:rsidP="008305C1" w:rsidRDefault="008305C1" w14:paraId="2E74EFD6" w14:textId="77777777">
      <w:pPr>
        <w:tabs>
          <w:tab w:val="left" w:pos="-720"/>
          <w:tab w:val="left" w:pos="720"/>
          <w:tab w:val="right" w:pos="8648"/>
        </w:tabs>
        <w:rPr>
          <w:rFonts w:ascii="Times New Roman" w:hAnsi="Times New Roman"/>
          <w:sz w:val="24"/>
          <w:szCs w:val="24"/>
          <w:u w:val="single"/>
        </w:rPr>
      </w:pPr>
      <w:r w:rsidRPr="00316CAD">
        <w:rPr>
          <w:rFonts w:ascii="Times New Roman" w:hAnsi="Times New Roman"/>
          <w:sz w:val="24"/>
          <w:szCs w:val="24"/>
        </w:rPr>
        <w:t>3.</w:t>
      </w:r>
      <w:r w:rsidRPr="00316CAD">
        <w:rPr>
          <w:rFonts w:ascii="Times New Roman" w:hAnsi="Times New Roman"/>
          <w:sz w:val="24"/>
          <w:szCs w:val="24"/>
        </w:rPr>
        <w:tab/>
      </w:r>
      <w:r w:rsidRPr="00316CAD">
        <w:rPr>
          <w:rFonts w:ascii="Times New Roman" w:hAnsi="Times New Roman"/>
          <w:sz w:val="24"/>
          <w:szCs w:val="24"/>
          <w:u w:val="single"/>
        </w:rPr>
        <w:t>Use of Improved Information Technology</w:t>
      </w:r>
    </w:p>
    <w:p w:rsidRPr="00316CAD" w:rsidR="008305C1" w:rsidP="008305C1" w:rsidRDefault="008305C1" w14:paraId="2E74EFD7" w14:textId="77777777">
      <w:pPr>
        <w:tabs>
          <w:tab w:val="left" w:pos="-720"/>
          <w:tab w:val="left" w:pos="720"/>
          <w:tab w:val="right" w:pos="8648"/>
        </w:tabs>
        <w:rPr>
          <w:rFonts w:ascii="Times New Roman" w:hAnsi="Times New Roman"/>
          <w:sz w:val="24"/>
          <w:szCs w:val="24"/>
        </w:rPr>
      </w:pPr>
    </w:p>
    <w:p w:rsidRPr="00316CAD" w:rsidR="008305C1" w:rsidP="008305C1" w:rsidRDefault="008305C1" w14:paraId="2E74EFD8" w14:textId="4431B4E4">
      <w:pPr>
        <w:tabs>
          <w:tab w:val="left" w:pos="-720"/>
          <w:tab w:val="left" w:pos="720"/>
          <w:tab w:val="right" w:pos="8648"/>
        </w:tabs>
        <w:rPr>
          <w:rFonts w:ascii="Times New Roman" w:hAnsi="Times New Roman"/>
          <w:sz w:val="24"/>
          <w:szCs w:val="24"/>
        </w:rPr>
      </w:pPr>
      <w:r w:rsidRPr="00316CAD">
        <w:rPr>
          <w:rFonts w:ascii="Times New Roman" w:hAnsi="Times New Roman"/>
          <w:sz w:val="24"/>
          <w:szCs w:val="24"/>
        </w:rPr>
        <w:t xml:space="preserve">The web-based survey will be administered via </w:t>
      </w:r>
      <w:r w:rsidR="00B662FF">
        <w:rPr>
          <w:rFonts w:ascii="Times New Roman" w:hAnsi="Times New Roman"/>
          <w:sz w:val="24"/>
          <w:szCs w:val="24"/>
        </w:rPr>
        <w:t xml:space="preserve">the </w:t>
      </w:r>
      <w:r w:rsidRPr="00316CAD">
        <w:rPr>
          <w:rFonts w:ascii="Times New Roman" w:hAnsi="Times New Roman"/>
          <w:sz w:val="24"/>
          <w:szCs w:val="24"/>
        </w:rPr>
        <w:t xml:space="preserve">Qualtrics survey tool. </w:t>
      </w:r>
      <w:r>
        <w:rPr>
          <w:rFonts w:ascii="Times New Roman" w:hAnsi="Times New Roman"/>
          <w:sz w:val="24"/>
          <w:szCs w:val="24"/>
        </w:rPr>
        <w:t xml:space="preserve"> </w:t>
      </w:r>
      <w:r w:rsidRPr="00316CAD">
        <w:rPr>
          <w:rFonts w:ascii="Times New Roman" w:hAnsi="Times New Roman"/>
          <w:sz w:val="24"/>
          <w:szCs w:val="24"/>
        </w:rPr>
        <w:t>Donors will be invited through email to complete the survey</w:t>
      </w:r>
      <w:r>
        <w:rPr>
          <w:rFonts w:ascii="Times New Roman" w:hAnsi="Times New Roman"/>
          <w:sz w:val="24"/>
          <w:szCs w:val="24"/>
        </w:rPr>
        <w:t>,</w:t>
      </w:r>
      <w:r w:rsidRPr="00316CAD">
        <w:rPr>
          <w:rFonts w:ascii="Times New Roman" w:hAnsi="Times New Roman"/>
          <w:sz w:val="24"/>
          <w:szCs w:val="24"/>
        </w:rPr>
        <w:t xml:space="preserve"> and the technology allows reminders to be sent only to non-responders. </w:t>
      </w:r>
      <w:r>
        <w:rPr>
          <w:rFonts w:ascii="Times New Roman" w:hAnsi="Times New Roman"/>
          <w:sz w:val="24"/>
          <w:szCs w:val="24"/>
        </w:rPr>
        <w:t xml:space="preserve"> </w:t>
      </w:r>
      <w:r w:rsidRPr="00316CAD">
        <w:rPr>
          <w:rFonts w:ascii="Times New Roman" w:hAnsi="Times New Roman"/>
          <w:sz w:val="24"/>
          <w:szCs w:val="24"/>
        </w:rPr>
        <w:t>The survey is voluntary</w:t>
      </w:r>
      <w:r>
        <w:rPr>
          <w:rFonts w:ascii="Times New Roman" w:hAnsi="Times New Roman"/>
          <w:sz w:val="24"/>
          <w:szCs w:val="24"/>
        </w:rPr>
        <w:t>,</w:t>
      </w:r>
      <w:r w:rsidRPr="00316CAD">
        <w:rPr>
          <w:rFonts w:ascii="Times New Roman" w:hAnsi="Times New Roman"/>
          <w:sz w:val="24"/>
          <w:szCs w:val="24"/>
        </w:rPr>
        <w:t xml:space="preserve"> as are each of the individual questions. </w:t>
      </w:r>
      <w:r>
        <w:rPr>
          <w:rFonts w:ascii="Times New Roman" w:hAnsi="Times New Roman"/>
          <w:sz w:val="24"/>
          <w:szCs w:val="24"/>
        </w:rPr>
        <w:t xml:space="preserve"> </w:t>
      </w:r>
    </w:p>
    <w:p w:rsidRPr="00316CAD" w:rsidR="008305C1" w:rsidP="008305C1" w:rsidRDefault="008305C1" w14:paraId="2E74EFD9" w14:textId="77777777">
      <w:pPr>
        <w:tabs>
          <w:tab w:val="left" w:pos="-720"/>
        </w:tabs>
        <w:rPr>
          <w:rFonts w:ascii="Times New Roman" w:hAnsi="Times New Roman"/>
          <w:sz w:val="24"/>
          <w:szCs w:val="24"/>
        </w:rPr>
      </w:pPr>
    </w:p>
    <w:p w:rsidRPr="00316CAD" w:rsidR="008305C1" w:rsidP="008305C1" w:rsidRDefault="008305C1" w14:paraId="2E74EFDA" w14:textId="77777777">
      <w:pPr>
        <w:tabs>
          <w:tab w:val="left" w:pos="-720"/>
          <w:tab w:val="left" w:pos="720"/>
          <w:tab w:val="right" w:pos="8648"/>
        </w:tabs>
        <w:rPr>
          <w:rFonts w:ascii="Times New Roman" w:hAnsi="Times New Roman"/>
          <w:sz w:val="24"/>
          <w:szCs w:val="24"/>
          <w:u w:val="single"/>
        </w:rPr>
      </w:pPr>
      <w:r w:rsidRPr="00316CAD">
        <w:rPr>
          <w:rFonts w:ascii="Times New Roman" w:hAnsi="Times New Roman"/>
          <w:sz w:val="24"/>
          <w:szCs w:val="24"/>
        </w:rPr>
        <w:t>4.</w:t>
      </w:r>
      <w:r w:rsidRPr="00316CAD">
        <w:rPr>
          <w:rFonts w:ascii="Times New Roman" w:hAnsi="Times New Roman"/>
          <w:sz w:val="24"/>
          <w:szCs w:val="24"/>
        </w:rPr>
        <w:tab/>
      </w:r>
      <w:r w:rsidRPr="00316CAD">
        <w:rPr>
          <w:rFonts w:ascii="Times New Roman" w:hAnsi="Times New Roman"/>
          <w:sz w:val="24"/>
          <w:szCs w:val="24"/>
          <w:u w:val="single"/>
        </w:rPr>
        <w:t>Efforts to Avoid Duplication</w:t>
      </w:r>
    </w:p>
    <w:p w:rsidRPr="00316CAD" w:rsidR="008305C1" w:rsidP="008305C1" w:rsidRDefault="008305C1" w14:paraId="2E74EFDB" w14:textId="77777777">
      <w:pPr>
        <w:tabs>
          <w:tab w:val="left" w:pos="-720"/>
          <w:tab w:val="left" w:pos="720"/>
          <w:tab w:val="right" w:pos="8648"/>
        </w:tabs>
        <w:rPr>
          <w:rFonts w:ascii="Times New Roman" w:hAnsi="Times New Roman"/>
          <w:sz w:val="24"/>
          <w:szCs w:val="24"/>
        </w:rPr>
      </w:pPr>
    </w:p>
    <w:p w:rsidRPr="00316CAD" w:rsidR="008305C1" w:rsidP="008305C1" w:rsidRDefault="008305C1" w14:paraId="2E74EFDC" w14:textId="3A92241E">
      <w:pPr>
        <w:tabs>
          <w:tab w:val="left" w:pos="-720"/>
          <w:tab w:val="left" w:pos="720"/>
          <w:tab w:val="right" w:pos="8648"/>
        </w:tabs>
        <w:rPr>
          <w:rFonts w:ascii="Times New Roman" w:hAnsi="Times New Roman"/>
          <w:sz w:val="24"/>
          <w:szCs w:val="24"/>
        </w:rPr>
      </w:pPr>
      <w:r w:rsidRPr="00316CAD">
        <w:rPr>
          <w:rFonts w:ascii="Times New Roman" w:hAnsi="Times New Roman"/>
          <w:sz w:val="24"/>
          <w:szCs w:val="24"/>
        </w:rPr>
        <w:t xml:space="preserve">The survey is designed to capture data that will measure Donor Services and Donor Advocacy program objectives through overall donor satisfaction and experience. </w:t>
      </w:r>
      <w:r w:rsidR="003857EA">
        <w:rPr>
          <w:rFonts w:ascii="Times New Roman" w:hAnsi="Times New Roman"/>
          <w:sz w:val="24"/>
          <w:szCs w:val="24"/>
        </w:rPr>
        <w:t xml:space="preserve"> </w:t>
      </w:r>
      <w:r w:rsidRPr="00316CAD">
        <w:rPr>
          <w:rFonts w:ascii="Times New Roman" w:hAnsi="Times New Roman"/>
          <w:sz w:val="24"/>
          <w:szCs w:val="24"/>
        </w:rPr>
        <w:t xml:space="preserve">It has been reviewed carefully to avoid duplication. </w:t>
      </w:r>
      <w:r>
        <w:rPr>
          <w:rFonts w:ascii="Times New Roman" w:hAnsi="Times New Roman"/>
          <w:sz w:val="24"/>
          <w:szCs w:val="24"/>
        </w:rPr>
        <w:t xml:space="preserve"> </w:t>
      </w:r>
      <w:r w:rsidRPr="00316CAD">
        <w:rPr>
          <w:rFonts w:ascii="Times New Roman" w:hAnsi="Times New Roman"/>
          <w:sz w:val="24"/>
          <w:szCs w:val="24"/>
        </w:rPr>
        <w:t xml:space="preserve">The specific questions are not present on other evaluation instruments.  </w:t>
      </w:r>
    </w:p>
    <w:p w:rsidRPr="00316CAD" w:rsidR="008305C1" w:rsidP="008305C1" w:rsidRDefault="008305C1" w14:paraId="2E74EFDD" w14:textId="77777777">
      <w:pPr>
        <w:tabs>
          <w:tab w:val="left" w:pos="-720"/>
        </w:tabs>
        <w:rPr>
          <w:rFonts w:ascii="Times New Roman" w:hAnsi="Times New Roman"/>
          <w:sz w:val="24"/>
          <w:szCs w:val="24"/>
        </w:rPr>
      </w:pPr>
    </w:p>
    <w:p w:rsidRPr="00316CAD" w:rsidR="008305C1" w:rsidP="008305C1" w:rsidRDefault="008305C1" w14:paraId="2E74EFDE" w14:textId="77777777">
      <w:pPr>
        <w:tabs>
          <w:tab w:val="left" w:pos="-720"/>
          <w:tab w:val="left" w:pos="720"/>
          <w:tab w:val="right" w:pos="8648"/>
        </w:tabs>
        <w:rPr>
          <w:rFonts w:ascii="Times New Roman" w:hAnsi="Times New Roman"/>
          <w:sz w:val="24"/>
          <w:szCs w:val="24"/>
          <w:u w:val="single"/>
        </w:rPr>
      </w:pPr>
      <w:r w:rsidRPr="00316CAD">
        <w:rPr>
          <w:rFonts w:ascii="Times New Roman" w:hAnsi="Times New Roman"/>
          <w:sz w:val="24"/>
          <w:szCs w:val="24"/>
        </w:rPr>
        <w:t>5.</w:t>
      </w:r>
      <w:r w:rsidRPr="00316CAD">
        <w:rPr>
          <w:rFonts w:ascii="Times New Roman" w:hAnsi="Times New Roman"/>
          <w:sz w:val="24"/>
          <w:szCs w:val="24"/>
        </w:rPr>
        <w:tab/>
      </w:r>
      <w:r w:rsidRPr="00316CAD">
        <w:rPr>
          <w:rFonts w:ascii="Times New Roman" w:hAnsi="Times New Roman"/>
          <w:sz w:val="24"/>
          <w:szCs w:val="24"/>
          <w:u w:val="single"/>
        </w:rPr>
        <w:t>Involvement of Small Entities</w:t>
      </w:r>
    </w:p>
    <w:p w:rsidRPr="00316CAD" w:rsidR="008305C1" w:rsidP="008305C1" w:rsidRDefault="008305C1" w14:paraId="2E74EFDF" w14:textId="77777777">
      <w:pPr>
        <w:tabs>
          <w:tab w:val="left" w:pos="-720"/>
          <w:tab w:val="left" w:pos="720"/>
          <w:tab w:val="right" w:pos="8648"/>
        </w:tabs>
        <w:rPr>
          <w:rFonts w:ascii="Times New Roman" w:hAnsi="Times New Roman"/>
          <w:sz w:val="24"/>
          <w:szCs w:val="24"/>
          <w:u w:val="single"/>
        </w:rPr>
      </w:pPr>
    </w:p>
    <w:p w:rsidRPr="00316CAD" w:rsidR="008305C1" w:rsidP="008305C1" w:rsidRDefault="008305C1" w14:paraId="2E74EFE0" w14:textId="77777777">
      <w:pPr>
        <w:tabs>
          <w:tab w:val="left" w:pos="-720"/>
          <w:tab w:val="left" w:pos="720"/>
          <w:tab w:val="right" w:pos="8648"/>
        </w:tabs>
        <w:rPr>
          <w:rFonts w:ascii="Times New Roman" w:hAnsi="Times New Roman"/>
          <w:sz w:val="24"/>
          <w:szCs w:val="24"/>
        </w:rPr>
      </w:pPr>
      <w:r w:rsidRPr="00316CAD">
        <w:rPr>
          <w:rFonts w:ascii="Times New Roman" w:hAnsi="Times New Roman"/>
          <w:sz w:val="24"/>
          <w:szCs w:val="24"/>
        </w:rPr>
        <w:t>No small businesses will be involved in this study.</w:t>
      </w:r>
    </w:p>
    <w:p w:rsidRPr="00316CAD" w:rsidR="008305C1" w:rsidP="008305C1" w:rsidRDefault="008305C1" w14:paraId="2E74EFE1" w14:textId="77777777">
      <w:pPr>
        <w:spacing w:before="120"/>
        <w:rPr>
          <w:rFonts w:ascii="Times New Roman" w:hAnsi="Times New Roman"/>
          <w:sz w:val="24"/>
          <w:szCs w:val="24"/>
        </w:rPr>
      </w:pPr>
    </w:p>
    <w:p w:rsidRPr="00316CAD" w:rsidR="008305C1" w:rsidP="008305C1" w:rsidRDefault="008305C1" w14:paraId="2E74EFE2" w14:textId="77777777">
      <w:pPr>
        <w:tabs>
          <w:tab w:val="left" w:pos="-720"/>
          <w:tab w:val="left" w:pos="720"/>
          <w:tab w:val="right" w:pos="8648"/>
        </w:tabs>
        <w:rPr>
          <w:rFonts w:ascii="Times New Roman" w:hAnsi="Times New Roman"/>
          <w:sz w:val="24"/>
          <w:szCs w:val="24"/>
          <w:u w:val="single"/>
        </w:rPr>
      </w:pPr>
      <w:r w:rsidRPr="00316CAD">
        <w:rPr>
          <w:rFonts w:ascii="Times New Roman" w:hAnsi="Times New Roman"/>
          <w:sz w:val="24"/>
          <w:szCs w:val="24"/>
        </w:rPr>
        <w:t>6.</w:t>
      </w:r>
      <w:r w:rsidRPr="00316CAD">
        <w:rPr>
          <w:rFonts w:ascii="Times New Roman" w:hAnsi="Times New Roman"/>
          <w:sz w:val="24"/>
          <w:szCs w:val="24"/>
        </w:rPr>
        <w:tab/>
      </w:r>
      <w:r w:rsidRPr="00316CAD">
        <w:rPr>
          <w:rFonts w:ascii="Times New Roman" w:hAnsi="Times New Roman"/>
          <w:sz w:val="24"/>
          <w:szCs w:val="24"/>
          <w:u w:val="single"/>
        </w:rPr>
        <w:t>Consequences if Information Collected Less Frequently</w:t>
      </w:r>
    </w:p>
    <w:p w:rsidRPr="00316CAD" w:rsidR="008305C1" w:rsidP="008305C1" w:rsidRDefault="008305C1" w14:paraId="2E74EFE3" w14:textId="77777777">
      <w:pPr>
        <w:tabs>
          <w:tab w:val="left" w:pos="-720"/>
          <w:tab w:val="left" w:pos="720"/>
          <w:tab w:val="right" w:pos="8648"/>
        </w:tabs>
        <w:rPr>
          <w:rFonts w:ascii="Times New Roman" w:hAnsi="Times New Roman"/>
          <w:sz w:val="24"/>
          <w:szCs w:val="24"/>
          <w:u w:val="single"/>
        </w:rPr>
      </w:pPr>
    </w:p>
    <w:p w:rsidR="008305C1" w:rsidP="008305C1" w:rsidRDefault="008305C1" w14:paraId="2E74EFE4" w14:textId="5C950F58">
      <w:pPr>
        <w:tabs>
          <w:tab w:val="left" w:pos="-720"/>
          <w:tab w:val="left" w:pos="720"/>
          <w:tab w:val="right" w:pos="8648"/>
        </w:tabs>
        <w:rPr>
          <w:rFonts w:ascii="Times New Roman" w:hAnsi="Times New Roman"/>
          <w:sz w:val="24"/>
          <w:szCs w:val="24"/>
        </w:rPr>
      </w:pPr>
      <w:r w:rsidRPr="00316CAD">
        <w:rPr>
          <w:rFonts w:ascii="Times New Roman" w:hAnsi="Times New Roman"/>
          <w:sz w:val="24"/>
          <w:szCs w:val="24"/>
        </w:rPr>
        <w:t xml:space="preserve">To reduce burden, each donor will only </w:t>
      </w:r>
      <w:r w:rsidR="003773D4">
        <w:rPr>
          <w:rFonts w:ascii="Times New Roman" w:hAnsi="Times New Roman"/>
          <w:sz w:val="24"/>
          <w:szCs w:val="24"/>
        </w:rPr>
        <w:t>receive</w:t>
      </w:r>
      <w:r w:rsidRPr="00316CAD">
        <w:rPr>
          <w:rFonts w:ascii="Times New Roman" w:hAnsi="Times New Roman"/>
          <w:sz w:val="24"/>
          <w:szCs w:val="24"/>
        </w:rPr>
        <w:t xml:space="preserve"> the Donation Experience Survey one time, unless they donate multiple times</w:t>
      </w:r>
      <w:r>
        <w:rPr>
          <w:rFonts w:ascii="Times New Roman" w:hAnsi="Times New Roman"/>
          <w:sz w:val="24"/>
          <w:szCs w:val="24"/>
        </w:rPr>
        <w:t>. I</w:t>
      </w:r>
      <w:r w:rsidRPr="00316CAD">
        <w:rPr>
          <w:rFonts w:ascii="Times New Roman" w:hAnsi="Times New Roman"/>
          <w:sz w:val="24"/>
          <w:szCs w:val="24"/>
        </w:rPr>
        <w:t>f that is the case</w:t>
      </w:r>
      <w:r>
        <w:rPr>
          <w:rFonts w:ascii="Times New Roman" w:hAnsi="Times New Roman"/>
          <w:sz w:val="24"/>
          <w:szCs w:val="24"/>
        </w:rPr>
        <w:t>,</w:t>
      </w:r>
      <w:r w:rsidRPr="00316CAD">
        <w:rPr>
          <w:rFonts w:ascii="Times New Roman" w:hAnsi="Times New Roman"/>
          <w:sz w:val="24"/>
          <w:szCs w:val="24"/>
        </w:rPr>
        <w:t xml:space="preserve"> they will be </w:t>
      </w:r>
      <w:r w:rsidR="00B662FF">
        <w:rPr>
          <w:rFonts w:ascii="Times New Roman" w:hAnsi="Times New Roman"/>
          <w:sz w:val="24"/>
          <w:szCs w:val="24"/>
        </w:rPr>
        <w:t>allowed</w:t>
      </w:r>
      <w:r w:rsidRPr="00316CAD">
        <w:rPr>
          <w:rFonts w:ascii="Times New Roman" w:hAnsi="Times New Roman"/>
          <w:sz w:val="24"/>
          <w:szCs w:val="24"/>
        </w:rPr>
        <w:t xml:space="preserve"> to complete the survey after each donation (up to the SPA-CC contractor’s donation limits). </w:t>
      </w:r>
      <w:r>
        <w:rPr>
          <w:rFonts w:ascii="Times New Roman" w:hAnsi="Times New Roman"/>
          <w:sz w:val="24"/>
          <w:szCs w:val="24"/>
        </w:rPr>
        <w:t xml:space="preserve"> </w:t>
      </w:r>
      <w:r w:rsidRPr="00316CAD">
        <w:rPr>
          <w:rFonts w:ascii="Times New Roman" w:hAnsi="Times New Roman"/>
          <w:sz w:val="24"/>
          <w:szCs w:val="24"/>
        </w:rPr>
        <w:t xml:space="preserve">The survey invitation is sent the month following their donation. </w:t>
      </w:r>
      <w:r>
        <w:rPr>
          <w:rFonts w:ascii="Times New Roman" w:hAnsi="Times New Roman"/>
          <w:sz w:val="24"/>
          <w:szCs w:val="24"/>
        </w:rPr>
        <w:t xml:space="preserve"> </w:t>
      </w:r>
      <w:r w:rsidRPr="00316CAD">
        <w:rPr>
          <w:rFonts w:ascii="Times New Roman" w:hAnsi="Times New Roman"/>
          <w:sz w:val="24"/>
          <w:szCs w:val="24"/>
        </w:rPr>
        <w:t xml:space="preserve">There are no legal obstacles to </w:t>
      </w:r>
      <w:r w:rsidRPr="00316CAD" w:rsidR="00B662FF">
        <w:rPr>
          <w:rFonts w:ascii="Times New Roman" w:hAnsi="Times New Roman"/>
          <w:sz w:val="24"/>
          <w:szCs w:val="24"/>
        </w:rPr>
        <w:t>reduc</w:t>
      </w:r>
      <w:r w:rsidR="00B662FF">
        <w:rPr>
          <w:rFonts w:ascii="Times New Roman" w:hAnsi="Times New Roman"/>
          <w:sz w:val="24"/>
          <w:szCs w:val="24"/>
        </w:rPr>
        <w:t>ing</w:t>
      </w:r>
      <w:r w:rsidRPr="00316CAD" w:rsidR="00B662FF">
        <w:rPr>
          <w:rFonts w:ascii="Times New Roman" w:hAnsi="Times New Roman"/>
          <w:sz w:val="24"/>
          <w:szCs w:val="24"/>
        </w:rPr>
        <w:t xml:space="preserve"> </w:t>
      </w:r>
      <w:r w:rsidRPr="00316CAD">
        <w:rPr>
          <w:rFonts w:ascii="Times New Roman" w:hAnsi="Times New Roman"/>
          <w:sz w:val="24"/>
          <w:szCs w:val="24"/>
        </w:rPr>
        <w:t xml:space="preserve">the burden.  </w:t>
      </w:r>
    </w:p>
    <w:p w:rsidRPr="00316CAD" w:rsidR="001B589F" w:rsidP="008305C1" w:rsidRDefault="001B589F" w14:paraId="5D7A81C0" w14:textId="77777777">
      <w:pPr>
        <w:tabs>
          <w:tab w:val="left" w:pos="-720"/>
          <w:tab w:val="left" w:pos="720"/>
          <w:tab w:val="right" w:pos="8648"/>
        </w:tabs>
        <w:rPr>
          <w:rFonts w:ascii="Times New Roman" w:hAnsi="Times New Roman"/>
          <w:sz w:val="24"/>
          <w:szCs w:val="24"/>
        </w:rPr>
      </w:pPr>
    </w:p>
    <w:p w:rsidR="00E63AEF" w:rsidP="008305C1" w:rsidRDefault="00E63AEF" w14:paraId="12B35BE4" w14:textId="77777777">
      <w:pPr>
        <w:tabs>
          <w:tab w:val="left" w:pos="-720"/>
          <w:tab w:val="left" w:pos="720"/>
          <w:tab w:val="right" w:pos="8677"/>
        </w:tabs>
        <w:rPr>
          <w:rFonts w:ascii="Times New Roman" w:hAnsi="Times New Roman"/>
          <w:sz w:val="24"/>
          <w:szCs w:val="24"/>
        </w:rPr>
      </w:pPr>
    </w:p>
    <w:p w:rsidR="00E63AEF" w:rsidP="008305C1" w:rsidRDefault="00E63AEF" w14:paraId="586D9A4F" w14:textId="77777777">
      <w:pPr>
        <w:tabs>
          <w:tab w:val="left" w:pos="-720"/>
          <w:tab w:val="left" w:pos="720"/>
          <w:tab w:val="right" w:pos="8677"/>
        </w:tabs>
        <w:rPr>
          <w:rFonts w:ascii="Times New Roman" w:hAnsi="Times New Roman"/>
          <w:sz w:val="24"/>
          <w:szCs w:val="24"/>
        </w:rPr>
      </w:pPr>
    </w:p>
    <w:p w:rsidRPr="00316CAD" w:rsidR="008305C1" w:rsidP="008305C1" w:rsidRDefault="008305C1" w14:paraId="2E74EFE5" w14:textId="671CD6E9">
      <w:pPr>
        <w:tabs>
          <w:tab w:val="left" w:pos="-720"/>
          <w:tab w:val="left" w:pos="720"/>
          <w:tab w:val="right" w:pos="8677"/>
        </w:tabs>
        <w:rPr>
          <w:rFonts w:ascii="Times New Roman" w:hAnsi="Times New Roman"/>
          <w:sz w:val="24"/>
          <w:szCs w:val="24"/>
          <w:u w:val="single"/>
        </w:rPr>
      </w:pPr>
      <w:r w:rsidRPr="00316CAD">
        <w:rPr>
          <w:rFonts w:ascii="Times New Roman" w:hAnsi="Times New Roman"/>
          <w:sz w:val="24"/>
          <w:szCs w:val="24"/>
        </w:rPr>
        <w:t>7.</w:t>
      </w:r>
      <w:r w:rsidRPr="00316CAD">
        <w:rPr>
          <w:rFonts w:ascii="Times New Roman" w:hAnsi="Times New Roman"/>
          <w:sz w:val="24"/>
          <w:szCs w:val="24"/>
        </w:rPr>
        <w:tab/>
      </w:r>
      <w:r w:rsidRPr="00316CAD">
        <w:rPr>
          <w:rFonts w:ascii="Times New Roman" w:hAnsi="Times New Roman"/>
          <w:sz w:val="24"/>
          <w:szCs w:val="24"/>
          <w:u w:val="single"/>
        </w:rPr>
        <w:t>Consistency With the Guidelines in 5 CFR 1320.5(d)(2)</w:t>
      </w:r>
    </w:p>
    <w:p w:rsidRPr="00316CAD" w:rsidR="008305C1" w:rsidP="008305C1" w:rsidRDefault="008305C1" w14:paraId="2E74EFE6" w14:textId="77777777">
      <w:pPr>
        <w:tabs>
          <w:tab w:val="left" w:pos="-720"/>
          <w:tab w:val="left" w:pos="720"/>
          <w:tab w:val="right" w:pos="8677"/>
        </w:tabs>
        <w:rPr>
          <w:rFonts w:ascii="Times New Roman" w:hAnsi="Times New Roman"/>
          <w:sz w:val="24"/>
          <w:szCs w:val="24"/>
        </w:rPr>
      </w:pPr>
    </w:p>
    <w:p w:rsidRPr="00316CAD" w:rsidR="008305C1" w:rsidP="008305C1" w:rsidRDefault="008305C1" w14:paraId="2E74EFE7" w14:textId="77777777">
      <w:pPr>
        <w:tabs>
          <w:tab w:val="left" w:pos="-720"/>
        </w:tabs>
        <w:rPr>
          <w:rFonts w:ascii="Times New Roman" w:hAnsi="Times New Roman"/>
          <w:sz w:val="24"/>
          <w:szCs w:val="24"/>
        </w:rPr>
      </w:pPr>
      <w:r w:rsidRPr="00316CAD">
        <w:rPr>
          <w:rFonts w:ascii="Times New Roman" w:hAnsi="Times New Roman"/>
          <w:sz w:val="24"/>
          <w:szCs w:val="24"/>
        </w:rPr>
        <w:t>These surveys will be implemented in a manner fully consistent with 5 CFR 1320.5(d)(2).</w:t>
      </w:r>
    </w:p>
    <w:p w:rsidRPr="00316CAD" w:rsidR="008305C1" w:rsidP="008305C1" w:rsidRDefault="008305C1" w14:paraId="2E74EFE8" w14:textId="77777777">
      <w:pPr>
        <w:tabs>
          <w:tab w:val="left" w:pos="-720"/>
        </w:tabs>
        <w:rPr>
          <w:rFonts w:ascii="Times New Roman" w:hAnsi="Times New Roman"/>
          <w:sz w:val="24"/>
          <w:szCs w:val="24"/>
        </w:rPr>
      </w:pPr>
    </w:p>
    <w:p w:rsidRPr="00316CAD" w:rsidR="008305C1" w:rsidP="008305C1" w:rsidRDefault="008305C1" w14:paraId="2E74EFE9" w14:textId="77777777">
      <w:pPr>
        <w:tabs>
          <w:tab w:val="left" w:pos="-720"/>
          <w:tab w:val="left" w:pos="720"/>
          <w:tab w:val="right" w:pos="8677"/>
        </w:tabs>
        <w:rPr>
          <w:rFonts w:ascii="Times New Roman" w:hAnsi="Times New Roman"/>
          <w:sz w:val="24"/>
          <w:szCs w:val="24"/>
          <w:u w:val="single"/>
        </w:rPr>
      </w:pPr>
      <w:r w:rsidRPr="00316CAD">
        <w:rPr>
          <w:rFonts w:ascii="Times New Roman" w:hAnsi="Times New Roman"/>
          <w:sz w:val="24"/>
          <w:szCs w:val="24"/>
        </w:rPr>
        <w:t>8.</w:t>
      </w:r>
      <w:r w:rsidRPr="00316CAD">
        <w:rPr>
          <w:rFonts w:ascii="Times New Roman" w:hAnsi="Times New Roman"/>
          <w:sz w:val="24"/>
          <w:szCs w:val="24"/>
        </w:rPr>
        <w:tab/>
      </w:r>
      <w:r w:rsidRPr="00316CAD">
        <w:rPr>
          <w:rFonts w:ascii="Times New Roman" w:hAnsi="Times New Roman"/>
          <w:sz w:val="24"/>
          <w:szCs w:val="24"/>
          <w:u w:val="single"/>
        </w:rPr>
        <w:t>Consultation Outside the Agency</w:t>
      </w:r>
    </w:p>
    <w:p w:rsidRPr="00316CAD" w:rsidR="008305C1" w:rsidP="008305C1" w:rsidRDefault="008305C1" w14:paraId="2E74EFEA" w14:textId="77777777">
      <w:pPr>
        <w:tabs>
          <w:tab w:val="left" w:pos="-720"/>
          <w:tab w:val="left" w:pos="720"/>
          <w:tab w:val="right" w:pos="8677"/>
        </w:tabs>
        <w:rPr>
          <w:rFonts w:ascii="Times New Roman" w:hAnsi="Times New Roman"/>
          <w:sz w:val="24"/>
          <w:szCs w:val="24"/>
        </w:rPr>
      </w:pPr>
    </w:p>
    <w:p w:rsidRPr="00316CAD" w:rsidR="008305C1" w:rsidP="008305C1" w:rsidRDefault="008305C1" w14:paraId="2E74EFEB" w14:textId="77777777">
      <w:pPr>
        <w:tabs>
          <w:tab w:val="left" w:pos="-720"/>
        </w:tabs>
        <w:rPr>
          <w:rFonts w:ascii="Times New Roman" w:hAnsi="Times New Roman"/>
          <w:sz w:val="24"/>
          <w:szCs w:val="24"/>
        </w:rPr>
      </w:pPr>
      <w:r w:rsidRPr="00316CAD">
        <w:rPr>
          <w:rFonts w:ascii="Times New Roman" w:hAnsi="Times New Roman"/>
          <w:sz w:val="24"/>
          <w:szCs w:val="24"/>
        </w:rPr>
        <w:t xml:space="preserve">The </w:t>
      </w:r>
      <w:r>
        <w:rPr>
          <w:rFonts w:ascii="Times New Roman" w:hAnsi="Times New Roman"/>
          <w:sz w:val="24"/>
          <w:szCs w:val="24"/>
        </w:rPr>
        <w:t xml:space="preserve">30 </w:t>
      </w:r>
      <w:r w:rsidRPr="00316CAD">
        <w:rPr>
          <w:rFonts w:ascii="Times New Roman" w:hAnsi="Times New Roman"/>
          <w:sz w:val="24"/>
          <w:szCs w:val="24"/>
        </w:rPr>
        <w:t>notice required in 5 CFR 1320.8(d) was published</w:t>
      </w:r>
      <w:r w:rsidRPr="00316CAD">
        <w:rPr>
          <w:rFonts w:ascii="Times New Roman" w:hAnsi="Times New Roman"/>
          <w:b/>
          <w:bCs/>
          <w:sz w:val="24"/>
          <w:szCs w:val="24"/>
        </w:rPr>
        <w:t xml:space="preserve"> </w:t>
      </w:r>
      <w:r w:rsidRPr="00316CAD">
        <w:rPr>
          <w:rFonts w:ascii="Times New Roman" w:hAnsi="Times New Roman"/>
          <w:sz w:val="24"/>
          <w:szCs w:val="24"/>
        </w:rPr>
        <w:t xml:space="preserve">in the </w:t>
      </w:r>
      <w:r w:rsidRPr="00316CAD">
        <w:rPr>
          <w:rFonts w:ascii="Times New Roman" w:hAnsi="Times New Roman"/>
          <w:i/>
          <w:iCs/>
          <w:sz w:val="24"/>
          <w:szCs w:val="24"/>
        </w:rPr>
        <w:t>Federal Register</w:t>
      </w:r>
      <w:r w:rsidRPr="00316CAD">
        <w:rPr>
          <w:rFonts w:ascii="Times New Roman" w:hAnsi="Times New Roman"/>
          <w:sz w:val="24"/>
          <w:szCs w:val="24"/>
        </w:rPr>
        <w:t xml:space="preserve"> on </w:t>
      </w:r>
      <w:r>
        <w:rPr>
          <w:rFonts w:ascii="Times New Roman" w:hAnsi="Times New Roman"/>
          <w:sz w:val="24"/>
          <w:szCs w:val="24"/>
        </w:rPr>
        <w:t>April 27, 2018, (Vol. 83</w:t>
      </w:r>
      <w:r w:rsidRPr="00316CAD">
        <w:rPr>
          <w:rFonts w:ascii="Times New Roman" w:hAnsi="Times New Roman"/>
          <w:sz w:val="24"/>
          <w:szCs w:val="24"/>
        </w:rPr>
        <w:t xml:space="preserve"> No.</w:t>
      </w:r>
      <w:r>
        <w:rPr>
          <w:rFonts w:ascii="Times New Roman" w:hAnsi="Times New Roman"/>
          <w:sz w:val="24"/>
          <w:szCs w:val="24"/>
        </w:rPr>
        <w:t>8</w:t>
      </w:r>
      <w:r w:rsidRPr="00316CAD">
        <w:rPr>
          <w:rFonts w:ascii="Times New Roman" w:hAnsi="Times New Roman"/>
          <w:sz w:val="24"/>
          <w:szCs w:val="24"/>
        </w:rPr>
        <w:t>2, p</w:t>
      </w:r>
      <w:r>
        <w:rPr>
          <w:rFonts w:ascii="Times New Roman" w:hAnsi="Times New Roman"/>
          <w:sz w:val="24"/>
          <w:szCs w:val="24"/>
        </w:rPr>
        <w:t>p</w:t>
      </w:r>
      <w:r w:rsidRPr="00316CAD">
        <w:rPr>
          <w:rFonts w:ascii="Times New Roman" w:hAnsi="Times New Roman"/>
          <w:sz w:val="24"/>
          <w:szCs w:val="24"/>
        </w:rPr>
        <w:t xml:space="preserve"> </w:t>
      </w:r>
      <w:r>
        <w:rPr>
          <w:rFonts w:ascii="Times New Roman" w:hAnsi="Times New Roman"/>
          <w:sz w:val="24"/>
          <w:szCs w:val="24"/>
        </w:rPr>
        <w:t>18574-75</w:t>
      </w:r>
      <w:r w:rsidRPr="00316CAD">
        <w:rPr>
          <w:rFonts w:ascii="Times New Roman" w:hAnsi="Times New Roman"/>
          <w:sz w:val="24"/>
          <w:szCs w:val="24"/>
        </w:rPr>
        <w:t xml:space="preserve">).  No public comments were received.  </w:t>
      </w:r>
    </w:p>
    <w:p w:rsidRPr="00316CAD" w:rsidR="008305C1" w:rsidP="008305C1" w:rsidRDefault="008305C1" w14:paraId="2E74EFEC" w14:textId="77777777">
      <w:pPr>
        <w:tabs>
          <w:tab w:val="left" w:pos="-720"/>
        </w:tabs>
        <w:rPr>
          <w:rFonts w:ascii="Times New Roman" w:hAnsi="Times New Roman"/>
          <w:sz w:val="24"/>
          <w:szCs w:val="24"/>
        </w:rPr>
      </w:pPr>
    </w:p>
    <w:p w:rsidRPr="00316CAD" w:rsidR="008305C1" w:rsidP="008305C1" w:rsidRDefault="008305C1" w14:paraId="2E74EFED" w14:textId="77777777">
      <w:pPr>
        <w:tabs>
          <w:tab w:val="left" w:pos="720"/>
          <w:tab w:val="right" w:pos="8677"/>
        </w:tabs>
        <w:rPr>
          <w:rFonts w:ascii="Times New Roman" w:hAnsi="Times New Roman"/>
          <w:sz w:val="24"/>
          <w:szCs w:val="24"/>
          <w:u w:val="single"/>
        </w:rPr>
      </w:pPr>
      <w:r w:rsidRPr="00316CAD">
        <w:rPr>
          <w:rFonts w:ascii="Times New Roman" w:hAnsi="Times New Roman"/>
          <w:sz w:val="24"/>
          <w:szCs w:val="24"/>
        </w:rPr>
        <w:t>9.</w:t>
      </w:r>
      <w:r w:rsidRPr="00316CAD">
        <w:rPr>
          <w:rFonts w:ascii="Times New Roman" w:hAnsi="Times New Roman"/>
          <w:sz w:val="24"/>
          <w:szCs w:val="24"/>
        </w:rPr>
        <w:tab/>
        <w:t xml:space="preserve"> </w:t>
      </w:r>
      <w:r w:rsidRPr="00316CAD">
        <w:rPr>
          <w:rFonts w:ascii="Times New Roman" w:hAnsi="Times New Roman"/>
          <w:sz w:val="24"/>
          <w:szCs w:val="24"/>
          <w:u w:val="single"/>
        </w:rPr>
        <w:t>Remuneration of Respondents</w:t>
      </w:r>
    </w:p>
    <w:p w:rsidRPr="00316CAD" w:rsidR="008305C1" w:rsidP="008305C1" w:rsidRDefault="008305C1" w14:paraId="2E74EFEE" w14:textId="77777777">
      <w:pPr>
        <w:tabs>
          <w:tab w:val="left" w:pos="720"/>
          <w:tab w:val="right" w:pos="8677"/>
        </w:tabs>
        <w:rPr>
          <w:rFonts w:ascii="Times New Roman" w:hAnsi="Times New Roman"/>
          <w:sz w:val="24"/>
          <w:szCs w:val="24"/>
        </w:rPr>
      </w:pPr>
    </w:p>
    <w:p w:rsidRPr="00316CAD" w:rsidR="008305C1" w:rsidP="008305C1" w:rsidRDefault="008305C1" w14:paraId="2E74EFEF" w14:textId="77777777">
      <w:pPr>
        <w:spacing w:before="120"/>
        <w:rPr>
          <w:rFonts w:ascii="Times New Roman" w:hAnsi="Times New Roman"/>
          <w:sz w:val="24"/>
        </w:rPr>
      </w:pPr>
      <w:r w:rsidRPr="00316CAD">
        <w:rPr>
          <w:rFonts w:ascii="Times New Roman" w:hAnsi="Times New Roman"/>
          <w:sz w:val="24"/>
        </w:rPr>
        <w:t>Respondents will not receive any payments or gifts.</w:t>
      </w:r>
    </w:p>
    <w:p w:rsidRPr="00316CAD" w:rsidR="008305C1" w:rsidP="008305C1" w:rsidRDefault="008305C1" w14:paraId="2E74EFF0" w14:textId="77777777">
      <w:pPr>
        <w:tabs>
          <w:tab w:val="left" w:pos="-720"/>
          <w:tab w:val="left" w:pos="720"/>
          <w:tab w:val="right" w:pos="8677"/>
        </w:tabs>
        <w:rPr>
          <w:rFonts w:ascii="Times New Roman" w:hAnsi="Times New Roman"/>
          <w:sz w:val="24"/>
          <w:szCs w:val="24"/>
        </w:rPr>
      </w:pPr>
    </w:p>
    <w:p w:rsidRPr="00316CAD" w:rsidR="008305C1" w:rsidP="008305C1" w:rsidRDefault="008305C1" w14:paraId="2E74EFF1" w14:textId="77777777">
      <w:pPr>
        <w:tabs>
          <w:tab w:val="left" w:pos="-720"/>
          <w:tab w:val="left" w:pos="720"/>
          <w:tab w:val="right" w:pos="8677"/>
        </w:tabs>
        <w:rPr>
          <w:rFonts w:ascii="Times New Roman" w:hAnsi="Times New Roman"/>
          <w:sz w:val="24"/>
          <w:szCs w:val="24"/>
          <w:u w:val="single"/>
        </w:rPr>
      </w:pPr>
      <w:r w:rsidRPr="00316CAD">
        <w:rPr>
          <w:rFonts w:ascii="Times New Roman" w:hAnsi="Times New Roman"/>
          <w:sz w:val="24"/>
          <w:szCs w:val="24"/>
        </w:rPr>
        <w:t>10.</w:t>
      </w:r>
      <w:r w:rsidRPr="00316CAD">
        <w:rPr>
          <w:rFonts w:ascii="Times New Roman" w:hAnsi="Times New Roman"/>
          <w:sz w:val="24"/>
          <w:szCs w:val="24"/>
        </w:rPr>
        <w:tab/>
      </w:r>
      <w:r w:rsidRPr="00316CAD">
        <w:rPr>
          <w:rFonts w:ascii="Times New Roman" w:hAnsi="Times New Roman"/>
          <w:sz w:val="24"/>
          <w:szCs w:val="24"/>
          <w:u w:val="single"/>
        </w:rPr>
        <w:t>Assurance of Confidentiality</w:t>
      </w:r>
    </w:p>
    <w:p w:rsidRPr="00316CAD" w:rsidR="008305C1" w:rsidP="008305C1" w:rsidRDefault="008305C1" w14:paraId="2E74EFF2" w14:textId="77777777">
      <w:pPr>
        <w:tabs>
          <w:tab w:val="left" w:pos="-720"/>
          <w:tab w:val="left" w:pos="720"/>
          <w:tab w:val="right" w:pos="8677"/>
        </w:tabs>
        <w:rPr>
          <w:rFonts w:ascii="Times New Roman" w:hAnsi="Times New Roman"/>
          <w:sz w:val="24"/>
          <w:szCs w:val="24"/>
        </w:rPr>
      </w:pPr>
    </w:p>
    <w:p w:rsidRPr="00316CAD" w:rsidR="008305C1" w:rsidP="008305C1" w:rsidRDefault="008305C1" w14:paraId="2E74EFF3" w14:textId="76F43582">
      <w:pPr>
        <w:tabs>
          <w:tab w:val="left" w:pos="-720"/>
        </w:tabs>
        <w:rPr>
          <w:rFonts w:ascii="Times New Roman" w:hAnsi="Times New Roman"/>
          <w:sz w:val="24"/>
          <w:szCs w:val="24"/>
        </w:rPr>
      </w:pPr>
      <w:r w:rsidRPr="00316CAD">
        <w:rPr>
          <w:rFonts w:ascii="Times New Roman" w:hAnsi="Times New Roman"/>
          <w:sz w:val="24"/>
          <w:szCs w:val="24"/>
        </w:rPr>
        <w:t xml:space="preserve">This collection of information will involve email addresses </w:t>
      </w:r>
      <w:r w:rsidR="00B662FF">
        <w:rPr>
          <w:rFonts w:ascii="Times New Roman" w:hAnsi="Times New Roman"/>
          <w:sz w:val="24"/>
          <w:szCs w:val="24"/>
        </w:rPr>
        <w:t>to administer</w:t>
      </w:r>
      <w:r w:rsidRPr="00316CAD">
        <w:rPr>
          <w:rFonts w:ascii="Times New Roman" w:hAnsi="Times New Roman"/>
          <w:sz w:val="24"/>
          <w:szCs w:val="24"/>
        </w:rPr>
        <w:t xml:space="preserve"> the survey and will comply with the Privacy Act. </w:t>
      </w:r>
      <w:r>
        <w:rPr>
          <w:rFonts w:ascii="Times New Roman" w:hAnsi="Times New Roman"/>
          <w:sz w:val="24"/>
          <w:szCs w:val="24"/>
        </w:rPr>
        <w:t xml:space="preserve"> </w:t>
      </w:r>
      <w:r w:rsidRPr="00316CAD">
        <w:rPr>
          <w:rFonts w:ascii="Times New Roman" w:hAnsi="Times New Roman"/>
          <w:sz w:val="24"/>
          <w:szCs w:val="24"/>
        </w:rPr>
        <w:t>Separate databases are used for participant</w:t>
      </w:r>
      <w:r w:rsidR="00B662FF">
        <w:rPr>
          <w:rFonts w:ascii="Times New Roman" w:hAnsi="Times New Roman"/>
          <w:sz w:val="24"/>
          <w:szCs w:val="24"/>
        </w:rPr>
        <w:t>s'</w:t>
      </w:r>
      <w:r w:rsidRPr="00316CAD">
        <w:rPr>
          <w:rFonts w:ascii="Times New Roman" w:hAnsi="Times New Roman"/>
          <w:sz w:val="24"/>
          <w:szCs w:val="24"/>
        </w:rPr>
        <w:t xml:space="preserve"> personally identifiable information and survey responses. </w:t>
      </w:r>
      <w:r>
        <w:rPr>
          <w:rFonts w:ascii="Times New Roman" w:hAnsi="Times New Roman"/>
          <w:sz w:val="24"/>
          <w:szCs w:val="24"/>
        </w:rPr>
        <w:t xml:space="preserve"> </w:t>
      </w:r>
      <w:r w:rsidRPr="00316CAD">
        <w:rPr>
          <w:rFonts w:ascii="Times New Roman" w:hAnsi="Times New Roman"/>
          <w:sz w:val="24"/>
          <w:szCs w:val="24"/>
        </w:rPr>
        <w:t xml:space="preserve">A unique identifier is assigned to each participant for survey response tracking. </w:t>
      </w:r>
      <w:r>
        <w:rPr>
          <w:rFonts w:ascii="Times New Roman" w:hAnsi="Times New Roman"/>
          <w:sz w:val="24"/>
          <w:szCs w:val="24"/>
        </w:rPr>
        <w:t xml:space="preserve"> </w:t>
      </w:r>
      <w:r w:rsidRPr="00316CAD">
        <w:rPr>
          <w:rFonts w:ascii="Times New Roman" w:hAnsi="Times New Roman"/>
          <w:sz w:val="24"/>
          <w:szCs w:val="24"/>
        </w:rPr>
        <w:t>Participation is voluntary</w:t>
      </w:r>
      <w:r>
        <w:rPr>
          <w:rFonts w:ascii="Times New Roman" w:hAnsi="Times New Roman"/>
          <w:sz w:val="24"/>
          <w:szCs w:val="24"/>
        </w:rPr>
        <w:t>,</w:t>
      </w:r>
      <w:r w:rsidRPr="00316CAD">
        <w:rPr>
          <w:rFonts w:ascii="Times New Roman" w:hAnsi="Times New Roman"/>
          <w:sz w:val="24"/>
          <w:szCs w:val="24"/>
        </w:rPr>
        <w:t xml:space="preserve"> and responses are kept private and confidential to the extent allowed by law. </w:t>
      </w:r>
      <w:r>
        <w:rPr>
          <w:rFonts w:ascii="Times New Roman" w:hAnsi="Times New Roman"/>
          <w:sz w:val="24"/>
          <w:szCs w:val="24"/>
        </w:rPr>
        <w:t xml:space="preserve"> </w:t>
      </w:r>
      <w:r w:rsidRPr="00316CAD">
        <w:rPr>
          <w:rFonts w:ascii="Times New Roman" w:hAnsi="Times New Roman"/>
          <w:sz w:val="24"/>
          <w:szCs w:val="24"/>
        </w:rPr>
        <w:t>Survey comments indicating a low experience/satisfaction score are reviewed by Donor Advocacy</w:t>
      </w:r>
      <w:r>
        <w:rPr>
          <w:rFonts w:ascii="Times New Roman" w:hAnsi="Times New Roman"/>
          <w:sz w:val="24"/>
          <w:szCs w:val="24"/>
        </w:rPr>
        <w:t>,</w:t>
      </w:r>
      <w:r w:rsidRPr="00316CAD">
        <w:rPr>
          <w:rFonts w:ascii="Times New Roman" w:hAnsi="Times New Roman"/>
          <w:sz w:val="24"/>
          <w:szCs w:val="24"/>
        </w:rPr>
        <w:t xml:space="preserve"> who will work with the organizations and liaisons involved in the donation process (e.g., donor center and/or apheresis center/collection center) for follow-up and additional training, as necessary. </w:t>
      </w:r>
      <w:r>
        <w:rPr>
          <w:rFonts w:ascii="Times New Roman" w:hAnsi="Times New Roman"/>
          <w:sz w:val="24"/>
          <w:szCs w:val="24"/>
        </w:rPr>
        <w:t xml:space="preserve"> </w:t>
      </w:r>
      <w:r w:rsidRPr="00316CAD">
        <w:rPr>
          <w:rFonts w:ascii="Times New Roman" w:hAnsi="Times New Roman"/>
          <w:sz w:val="24"/>
          <w:szCs w:val="24"/>
        </w:rPr>
        <w:t xml:space="preserve">The survey provides contact information for Donor Advocacy services if desired.  </w:t>
      </w:r>
    </w:p>
    <w:p w:rsidRPr="00316CAD" w:rsidR="008305C1" w:rsidP="008305C1" w:rsidRDefault="008305C1" w14:paraId="2E74EFF4" w14:textId="77777777">
      <w:pPr>
        <w:tabs>
          <w:tab w:val="left" w:pos="-720"/>
        </w:tabs>
        <w:rPr>
          <w:rFonts w:ascii="Times New Roman" w:hAnsi="Times New Roman"/>
          <w:sz w:val="24"/>
          <w:szCs w:val="24"/>
        </w:rPr>
      </w:pPr>
    </w:p>
    <w:p w:rsidRPr="00316CAD" w:rsidR="008305C1" w:rsidP="008305C1" w:rsidRDefault="008305C1" w14:paraId="2E74EFF5" w14:textId="77777777">
      <w:pPr>
        <w:tabs>
          <w:tab w:val="left" w:pos="-720"/>
          <w:tab w:val="left" w:pos="720"/>
          <w:tab w:val="right" w:pos="10080"/>
        </w:tabs>
        <w:rPr>
          <w:rFonts w:ascii="Times New Roman" w:hAnsi="Times New Roman"/>
          <w:sz w:val="24"/>
          <w:szCs w:val="24"/>
          <w:u w:val="single"/>
        </w:rPr>
      </w:pPr>
      <w:r w:rsidRPr="00316CAD">
        <w:rPr>
          <w:rFonts w:ascii="Times New Roman" w:hAnsi="Times New Roman"/>
          <w:sz w:val="24"/>
          <w:szCs w:val="24"/>
        </w:rPr>
        <w:t>11.</w:t>
      </w:r>
      <w:r w:rsidRPr="00316CAD">
        <w:rPr>
          <w:rFonts w:ascii="Times New Roman" w:hAnsi="Times New Roman"/>
          <w:sz w:val="24"/>
          <w:szCs w:val="24"/>
        </w:rPr>
        <w:tab/>
      </w:r>
      <w:r w:rsidRPr="00316CAD">
        <w:rPr>
          <w:rFonts w:ascii="Times New Roman" w:hAnsi="Times New Roman"/>
          <w:sz w:val="24"/>
          <w:szCs w:val="24"/>
          <w:u w:val="single"/>
        </w:rPr>
        <w:t>Questions of a Sensitive Nature</w:t>
      </w:r>
    </w:p>
    <w:p w:rsidRPr="00316CAD" w:rsidR="008305C1" w:rsidP="008305C1" w:rsidRDefault="008305C1" w14:paraId="2E74EFF6" w14:textId="77777777">
      <w:pPr>
        <w:tabs>
          <w:tab w:val="left" w:pos="-720"/>
          <w:tab w:val="left" w:pos="720"/>
          <w:tab w:val="right" w:pos="10080"/>
        </w:tabs>
        <w:rPr>
          <w:rFonts w:ascii="Times New Roman" w:hAnsi="Times New Roman"/>
          <w:sz w:val="24"/>
          <w:szCs w:val="24"/>
        </w:rPr>
      </w:pPr>
    </w:p>
    <w:p w:rsidRPr="00316CAD" w:rsidR="008305C1" w:rsidP="008305C1" w:rsidRDefault="008305C1" w14:paraId="2E74EFF7" w14:textId="37D8EC64">
      <w:pPr>
        <w:tabs>
          <w:tab w:val="left" w:pos="-720"/>
          <w:tab w:val="left" w:pos="720"/>
          <w:tab w:val="right" w:pos="10080"/>
        </w:tabs>
        <w:rPr>
          <w:rFonts w:ascii="Times New Roman" w:hAnsi="Times New Roman"/>
          <w:sz w:val="24"/>
          <w:szCs w:val="24"/>
        </w:rPr>
      </w:pPr>
      <w:r w:rsidRPr="00316CAD">
        <w:rPr>
          <w:rFonts w:ascii="Times New Roman" w:hAnsi="Times New Roman"/>
          <w:sz w:val="24"/>
          <w:szCs w:val="24"/>
        </w:rPr>
        <w:t>The survey does not include sensitive questions as defined by OMB guidelines (i.e.</w:t>
      </w:r>
      <w:r>
        <w:rPr>
          <w:rFonts w:ascii="Times New Roman" w:hAnsi="Times New Roman"/>
          <w:sz w:val="24"/>
          <w:szCs w:val="24"/>
        </w:rPr>
        <w:t>,</w:t>
      </w:r>
      <w:r w:rsidRPr="00316CAD">
        <w:rPr>
          <w:rFonts w:ascii="Times New Roman" w:hAnsi="Times New Roman"/>
          <w:sz w:val="24"/>
          <w:szCs w:val="24"/>
        </w:rPr>
        <w:t xml:space="preserve"> sexual practices, alcohol or drug use, religious preferences, etc.)</w:t>
      </w:r>
      <w:r>
        <w:rPr>
          <w:rFonts w:ascii="Times New Roman" w:hAnsi="Times New Roman"/>
          <w:sz w:val="24"/>
          <w:szCs w:val="24"/>
        </w:rPr>
        <w:t>,</w:t>
      </w:r>
      <w:r w:rsidRPr="00316CAD">
        <w:rPr>
          <w:rFonts w:ascii="Times New Roman" w:hAnsi="Times New Roman"/>
          <w:sz w:val="24"/>
          <w:szCs w:val="24"/>
        </w:rPr>
        <w:t xml:space="preserve"> nor does it request </w:t>
      </w:r>
      <w:r w:rsidR="00B662FF">
        <w:rPr>
          <w:rFonts w:ascii="Times New Roman" w:hAnsi="Times New Roman"/>
          <w:sz w:val="24"/>
          <w:szCs w:val="24"/>
        </w:rPr>
        <w:t xml:space="preserve">the </w:t>
      </w:r>
      <w:r w:rsidRPr="00316CAD">
        <w:rPr>
          <w:rFonts w:ascii="Times New Roman" w:hAnsi="Times New Roman"/>
          <w:sz w:val="24"/>
          <w:szCs w:val="24"/>
        </w:rPr>
        <w:t xml:space="preserve">respondent’s social security number (SSN). </w:t>
      </w:r>
      <w:r>
        <w:rPr>
          <w:rFonts w:ascii="Times New Roman" w:hAnsi="Times New Roman"/>
          <w:sz w:val="24"/>
          <w:szCs w:val="24"/>
        </w:rPr>
        <w:t xml:space="preserve"> </w:t>
      </w:r>
      <w:r w:rsidRPr="00316CAD">
        <w:rPr>
          <w:rFonts w:ascii="Times New Roman" w:hAnsi="Times New Roman"/>
          <w:sz w:val="24"/>
          <w:szCs w:val="24"/>
        </w:rPr>
        <w:t xml:space="preserve">We </w:t>
      </w:r>
      <w:r>
        <w:rPr>
          <w:rFonts w:ascii="Times New Roman" w:hAnsi="Times New Roman"/>
          <w:sz w:val="24"/>
          <w:szCs w:val="24"/>
        </w:rPr>
        <w:t>can</w:t>
      </w:r>
      <w:r w:rsidRPr="00316CAD">
        <w:rPr>
          <w:rFonts w:ascii="Times New Roman" w:hAnsi="Times New Roman"/>
          <w:sz w:val="24"/>
          <w:szCs w:val="24"/>
        </w:rPr>
        <w:t xml:space="preserve"> categorize survey responses by race and ethnicity, gender, and age. </w:t>
      </w:r>
      <w:r>
        <w:rPr>
          <w:rFonts w:ascii="Times New Roman" w:hAnsi="Times New Roman"/>
          <w:sz w:val="24"/>
          <w:szCs w:val="24"/>
        </w:rPr>
        <w:t xml:space="preserve"> </w:t>
      </w:r>
      <w:r w:rsidRPr="00316CAD">
        <w:rPr>
          <w:rFonts w:ascii="Times New Roman" w:hAnsi="Times New Roman"/>
          <w:sz w:val="24"/>
          <w:szCs w:val="24"/>
        </w:rPr>
        <w:t>The data is important for characterizing the donors to understand if su</w:t>
      </w:r>
      <w:r>
        <w:rPr>
          <w:rFonts w:ascii="Times New Roman" w:hAnsi="Times New Roman"/>
          <w:sz w:val="24"/>
          <w:szCs w:val="24"/>
        </w:rPr>
        <w:t xml:space="preserve">pport needs vary by segment.   </w:t>
      </w:r>
    </w:p>
    <w:p w:rsidRPr="00316CAD" w:rsidR="008305C1" w:rsidP="008305C1" w:rsidRDefault="008305C1" w14:paraId="2E74EFF8" w14:textId="77777777">
      <w:pPr>
        <w:tabs>
          <w:tab w:val="left" w:pos="-720"/>
          <w:tab w:val="left" w:pos="1575"/>
        </w:tabs>
        <w:rPr>
          <w:rFonts w:ascii="Times New Roman" w:hAnsi="Times New Roman"/>
          <w:sz w:val="24"/>
          <w:szCs w:val="24"/>
        </w:rPr>
      </w:pPr>
    </w:p>
    <w:p w:rsidRPr="00316CAD" w:rsidR="008305C1" w:rsidP="008305C1" w:rsidRDefault="008305C1" w14:paraId="2E74EFF9" w14:textId="77777777">
      <w:pPr>
        <w:tabs>
          <w:tab w:val="left" w:pos="-720"/>
          <w:tab w:val="left" w:pos="720"/>
          <w:tab w:val="right" w:pos="10080"/>
        </w:tabs>
        <w:rPr>
          <w:rFonts w:ascii="Times New Roman" w:hAnsi="Times New Roman"/>
          <w:sz w:val="24"/>
          <w:szCs w:val="24"/>
          <w:u w:val="single"/>
        </w:rPr>
      </w:pPr>
      <w:r w:rsidRPr="00316CAD">
        <w:rPr>
          <w:rFonts w:ascii="Times New Roman" w:hAnsi="Times New Roman"/>
          <w:sz w:val="24"/>
          <w:szCs w:val="24"/>
        </w:rPr>
        <w:t>12.</w:t>
      </w:r>
      <w:r w:rsidRPr="00316CAD">
        <w:rPr>
          <w:rFonts w:ascii="Times New Roman" w:hAnsi="Times New Roman"/>
          <w:sz w:val="24"/>
          <w:szCs w:val="24"/>
        </w:rPr>
        <w:tab/>
      </w:r>
      <w:r w:rsidRPr="00316CAD">
        <w:rPr>
          <w:rFonts w:ascii="Times New Roman" w:hAnsi="Times New Roman"/>
          <w:sz w:val="24"/>
          <w:szCs w:val="24"/>
          <w:u w:val="single"/>
        </w:rPr>
        <w:t>Estimates of Annualized Hour Burden</w:t>
      </w:r>
    </w:p>
    <w:p w:rsidRPr="00316CAD" w:rsidR="008305C1" w:rsidP="008305C1" w:rsidRDefault="008305C1" w14:paraId="2E74EFFA" w14:textId="77777777">
      <w:pPr>
        <w:tabs>
          <w:tab w:val="left" w:pos="-720"/>
          <w:tab w:val="left" w:pos="720"/>
          <w:tab w:val="right" w:pos="10080"/>
        </w:tabs>
        <w:rPr>
          <w:rFonts w:ascii="Times New Roman" w:hAnsi="Times New Roman"/>
          <w:sz w:val="24"/>
          <w:szCs w:val="24"/>
          <w:u w:val="single"/>
        </w:rPr>
      </w:pPr>
    </w:p>
    <w:p w:rsidRPr="00316CAD" w:rsidR="008305C1" w:rsidP="008305C1" w:rsidRDefault="008305C1" w14:paraId="2E74EFFB" w14:textId="77777777">
      <w:pPr>
        <w:pStyle w:val="NormalSS"/>
        <w:ind w:firstLine="0"/>
        <w:jc w:val="left"/>
        <w:rPr>
          <w:i/>
          <w:iCs/>
          <w:szCs w:val="24"/>
        </w:rPr>
      </w:pPr>
      <w:r w:rsidRPr="00316CAD">
        <w:rPr>
          <w:i/>
          <w:iCs/>
          <w:szCs w:val="24"/>
        </w:rPr>
        <w:t>Respondents:</w:t>
      </w:r>
    </w:p>
    <w:p w:rsidRPr="00316CAD" w:rsidR="008305C1" w:rsidP="008305C1" w:rsidRDefault="008305C1" w14:paraId="2E74EFFC" w14:textId="77777777">
      <w:pPr>
        <w:pStyle w:val="NormalSS"/>
        <w:ind w:firstLine="0"/>
        <w:jc w:val="left"/>
        <w:rPr>
          <w:szCs w:val="24"/>
        </w:rPr>
      </w:pPr>
      <w:r w:rsidRPr="00316CAD">
        <w:rPr>
          <w:szCs w:val="24"/>
        </w:rPr>
        <w:t xml:space="preserve">Respondents will include blood stem cell donors whose donation was facilitated by NMDP and its identified Network Partners. </w:t>
      </w:r>
    </w:p>
    <w:p w:rsidR="008305C1" w:rsidP="008305C1" w:rsidRDefault="008305C1" w14:paraId="2E74EFFD" w14:textId="77777777">
      <w:pPr>
        <w:pStyle w:val="NormalSS"/>
        <w:ind w:firstLine="0"/>
        <w:jc w:val="left"/>
        <w:rPr>
          <w:i/>
          <w:iCs/>
          <w:szCs w:val="24"/>
        </w:rPr>
      </w:pPr>
    </w:p>
    <w:p w:rsidRPr="00316CAD" w:rsidR="008305C1" w:rsidP="008305C1" w:rsidRDefault="008305C1" w14:paraId="2E74EFFE" w14:textId="77777777">
      <w:pPr>
        <w:pStyle w:val="NormalSS"/>
        <w:ind w:firstLine="0"/>
        <w:jc w:val="left"/>
        <w:rPr>
          <w:i/>
          <w:iCs/>
          <w:szCs w:val="24"/>
        </w:rPr>
      </w:pPr>
      <w:r w:rsidRPr="00316CAD">
        <w:rPr>
          <w:i/>
          <w:iCs/>
          <w:szCs w:val="24"/>
        </w:rPr>
        <w:t>Annual burden estimates:</w:t>
      </w:r>
    </w:p>
    <w:p w:rsidRPr="00316CAD" w:rsidR="008305C1" w:rsidP="008305C1" w:rsidRDefault="008305C1" w14:paraId="2E74EFFF" w14:textId="77777777">
      <w:pPr>
        <w:pStyle w:val="NormalSS"/>
        <w:ind w:firstLine="0"/>
        <w:jc w:val="left"/>
        <w:rPr>
          <w:szCs w:val="24"/>
        </w:rPr>
      </w:pPr>
    </w:p>
    <w:tbl>
      <w:tblPr>
        <w:tblW w:w="11058"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80"/>
        <w:gridCol w:w="1350"/>
        <w:gridCol w:w="1260"/>
        <w:gridCol w:w="1170"/>
        <w:gridCol w:w="1260"/>
        <w:gridCol w:w="900"/>
        <w:gridCol w:w="1080"/>
        <w:gridCol w:w="1158"/>
      </w:tblGrid>
      <w:tr w:rsidRPr="00316CAD" w:rsidR="008305C1" w:rsidTr="00C671CB" w14:paraId="2E74F009" w14:textId="77777777">
        <w:tc>
          <w:tcPr>
            <w:tcW w:w="2880" w:type="dxa"/>
          </w:tcPr>
          <w:p w:rsidRPr="00316CAD" w:rsidR="008305C1" w:rsidP="00C671CB" w:rsidRDefault="008305C1" w14:paraId="2E74F000" w14:textId="77777777">
            <w:pPr>
              <w:rPr>
                <w:rFonts w:ascii="Times New Roman" w:hAnsi="Times New Roman"/>
                <w:sz w:val="22"/>
                <w:szCs w:val="22"/>
              </w:rPr>
            </w:pPr>
            <w:r w:rsidRPr="00316CAD">
              <w:rPr>
                <w:rFonts w:ascii="Times New Roman" w:hAnsi="Times New Roman"/>
                <w:sz w:val="22"/>
                <w:szCs w:val="22"/>
              </w:rPr>
              <w:t>Type of Collection</w:t>
            </w:r>
          </w:p>
        </w:tc>
        <w:tc>
          <w:tcPr>
            <w:tcW w:w="1350" w:type="dxa"/>
          </w:tcPr>
          <w:p w:rsidRPr="00316CAD" w:rsidR="008305C1" w:rsidP="00C671CB" w:rsidRDefault="008305C1" w14:paraId="2E74F001" w14:textId="77777777">
            <w:pPr>
              <w:rPr>
                <w:rFonts w:ascii="Times New Roman" w:hAnsi="Times New Roman"/>
                <w:sz w:val="22"/>
                <w:szCs w:val="22"/>
              </w:rPr>
            </w:pPr>
            <w:r w:rsidRPr="00316CAD">
              <w:rPr>
                <w:rFonts w:ascii="Times New Roman" w:hAnsi="Times New Roman"/>
                <w:sz w:val="22"/>
                <w:szCs w:val="22"/>
              </w:rPr>
              <w:t xml:space="preserve">Number of </w:t>
            </w:r>
            <w:r>
              <w:rPr>
                <w:rFonts w:ascii="Times New Roman" w:hAnsi="Times New Roman"/>
                <w:sz w:val="22"/>
                <w:szCs w:val="22"/>
              </w:rPr>
              <w:t xml:space="preserve">Potential </w:t>
            </w:r>
            <w:r w:rsidRPr="00316CAD">
              <w:rPr>
                <w:rFonts w:ascii="Times New Roman" w:hAnsi="Times New Roman"/>
                <w:sz w:val="22"/>
                <w:szCs w:val="22"/>
              </w:rPr>
              <w:t>Respondents</w:t>
            </w:r>
          </w:p>
        </w:tc>
        <w:tc>
          <w:tcPr>
            <w:tcW w:w="1260" w:type="dxa"/>
          </w:tcPr>
          <w:p w:rsidRPr="00316CAD" w:rsidR="008305C1" w:rsidP="00C671CB" w:rsidRDefault="008305C1" w14:paraId="2E74F002" w14:textId="77777777">
            <w:pPr>
              <w:pStyle w:val="Center"/>
              <w:spacing w:line="240" w:lineRule="auto"/>
              <w:jc w:val="left"/>
              <w:rPr>
                <w:sz w:val="22"/>
                <w:szCs w:val="22"/>
              </w:rPr>
            </w:pPr>
            <w:r w:rsidRPr="00316CAD">
              <w:rPr>
                <w:sz w:val="22"/>
                <w:szCs w:val="22"/>
              </w:rPr>
              <w:t>Responses per Respondent</w:t>
            </w:r>
          </w:p>
        </w:tc>
        <w:tc>
          <w:tcPr>
            <w:tcW w:w="1170" w:type="dxa"/>
          </w:tcPr>
          <w:p w:rsidRPr="00316CAD" w:rsidR="008305C1" w:rsidP="00C671CB" w:rsidRDefault="008305C1" w14:paraId="2E74F003" w14:textId="77777777">
            <w:pPr>
              <w:rPr>
                <w:rFonts w:ascii="Times New Roman" w:hAnsi="Times New Roman"/>
                <w:sz w:val="22"/>
                <w:szCs w:val="22"/>
              </w:rPr>
            </w:pPr>
            <w:r>
              <w:rPr>
                <w:rFonts w:ascii="Times New Roman" w:hAnsi="Times New Roman"/>
                <w:sz w:val="22"/>
                <w:szCs w:val="22"/>
              </w:rPr>
              <w:t xml:space="preserve">Estimated Actual </w:t>
            </w:r>
            <w:r w:rsidRPr="00316CAD">
              <w:rPr>
                <w:rFonts w:ascii="Times New Roman" w:hAnsi="Times New Roman"/>
                <w:sz w:val="22"/>
                <w:szCs w:val="22"/>
              </w:rPr>
              <w:t xml:space="preserve"> Responses</w:t>
            </w:r>
          </w:p>
        </w:tc>
        <w:tc>
          <w:tcPr>
            <w:tcW w:w="1260" w:type="dxa"/>
          </w:tcPr>
          <w:p w:rsidRPr="00316CAD" w:rsidR="008305C1" w:rsidP="00C671CB" w:rsidRDefault="008305C1" w14:paraId="2E74F004" w14:textId="77777777">
            <w:pPr>
              <w:rPr>
                <w:rFonts w:ascii="Times New Roman" w:hAnsi="Times New Roman"/>
                <w:sz w:val="22"/>
                <w:szCs w:val="22"/>
              </w:rPr>
            </w:pPr>
            <w:r w:rsidRPr="00316CAD">
              <w:rPr>
                <w:rFonts w:ascii="Times New Roman" w:hAnsi="Times New Roman"/>
                <w:sz w:val="22"/>
                <w:szCs w:val="22"/>
              </w:rPr>
              <w:t>Hours per Respondent</w:t>
            </w:r>
          </w:p>
        </w:tc>
        <w:tc>
          <w:tcPr>
            <w:tcW w:w="900" w:type="dxa"/>
          </w:tcPr>
          <w:p w:rsidRPr="00316CAD" w:rsidR="008305C1" w:rsidP="00C671CB" w:rsidRDefault="008305C1" w14:paraId="2E74F005" w14:textId="77777777">
            <w:pPr>
              <w:rPr>
                <w:rFonts w:ascii="Times New Roman" w:hAnsi="Times New Roman"/>
                <w:sz w:val="22"/>
                <w:szCs w:val="22"/>
              </w:rPr>
            </w:pPr>
            <w:r w:rsidRPr="00316CAD">
              <w:rPr>
                <w:rFonts w:ascii="Times New Roman" w:hAnsi="Times New Roman"/>
                <w:sz w:val="22"/>
                <w:szCs w:val="22"/>
              </w:rPr>
              <w:t>Total Burden Hours</w:t>
            </w:r>
          </w:p>
        </w:tc>
        <w:tc>
          <w:tcPr>
            <w:tcW w:w="1080" w:type="dxa"/>
          </w:tcPr>
          <w:p w:rsidRPr="00316CAD" w:rsidR="008305C1" w:rsidP="00C671CB" w:rsidRDefault="008305C1" w14:paraId="2E74F006" w14:textId="77777777">
            <w:pPr>
              <w:rPr>
                <w:rFonts w:ascii="Times New Roman" w:hAnsi="Times New Roman"/>
                <w:sz w:val="22"/>
                <w:szCs w:val="22"/>
              </w:rPr>
            </w:pPr>
            <w:r w:rsidRPr="00316CAD">
              <w:rPr>
                <w:rFonts w:ascii="Times New Roman" w:hAnsi="Times New Roman"/>
                <w:sz w:val="22"/>
                <w:szCs w:val="22"/>
              </w:rPr>
              <w:t>Wage Rate</w:t>
            </w:r>
          </w:p>
        </w:tc>
        <w:tc>
          <w:tcPr>
            <w:tcW w:w="1158" w:type="dxa"/>
          </w:tcPr>
          <w:p w:rsidR="008305C1" w:rsidP="00C671CB" w:rsidRDefault="008305C1" w14:paraId="2E74F007" w14:textId="77777777">
            <w:pPr>
              <w:rPr>
                <w:rFonts w:ascii="Times New Roman" w:hAnsi="Times New Roman"/>
                <w:sz w:val="22"/>
                <w:szCs w:val="22"/>
              </w:rPr>
            </w:pPr>
            <w:r w:rsidRPr="00316CAD">
              <w:rPr>
                <w:rFonts w:ascii="Times New Roman" w:hAnsi="Times New Roman"/>
                <w:sz w:val="22"/>
                <w:szCs w:val="22"/>
              </w:rPr>
              <w:t xml:space="preserve">Total Hour </w:t>
            </w:r>
          </w:p>
          <w:p w:rsidRPr="00316CAD" w:rsidR="008305C1" w:rsidP="00C671CB" w:rsidRDefault="008305C1" w14:paraId="2E74F008" w14:textId="77777777">
            <w:pPr>
              <w:rPr>
                <w:rFonts w:ascii="Times New Roman" w:hAnsi="Times New Roman"/>
                <w:sz w:val="22"/>
                <w:szCs w:val="22"/>
              </w:rPr>
            </w:pPr>
            <w:r w:rsidRPr="00316CAD">
              <w:rPr>
                <w:rFonts w:ascii="Times New Roman" w:hAnsi="Times New Roman"/>
                <w:sz w:val="22"/>
                <w:szCs w:val="22"/>
              </w:rPr>
              <w:t>Cost</w:t>
            </w:r>
          </w:p>
        </w:tc>
      </w:tr>
      <w:tr w:rsidRPr="00316CAD" w:rsidR="008305C1" w:rsidTr="00C671CB" w14:paraId="2E74F013" w14:textId="77777777">
        <w:trPr>
          <w:trHeight w:val="552"/>
        </w:trPr>
        <w:tc>
          <w:tcPr>
            <w:tcW w:w="2880" w:type="dxa"/>
            <w:vAlign w:val="center"/>
          </w:tcPr>
          <w:p w:rsidRPr="00316CAD" w:rsidR="008305C1" w:rsidP="00C671CB" w:rsidRDefault="008305C1" w14:paraId="2E74F00A" w14:textId="77777777">
            <w:pPr>
              <w:pStyle w:val="TOC1"/>
              <w:rPr>
                <w:sz w:val="22"/>
                <w:szCs w:val="22"/>
              </w:rPr>
            </w:pPr>
            <w:r w:rsidRPr="00316CAD">
              <w:rPr>
                <w:sz w:val="22"/>
                <w:szCs w:val="22"/>
              </w:rPr>
              <w:t xml:space="preserve">Donation Experience Survey </w:t>
            </w:r>
          </w:p>
        </w:tc>
        <w:tc>
          <w:tcPr>
            <w:tcW w:w="1350" w:type="dxa"/>
            <w:vAlign w:val="center"/>
          </w:tcPr>
          <w:p w:rsidRPr="00316CAD" w:rsidR="008305C1" w:rsidP="00C671CB" w:rsidRDefault="008305C1" w14:paraId="2E74F00B" w14:textId="77777777">
            <w:pPr>
              <w:jc w:val="right"/>
              <w:rPr>
                <w:rFonts w:ascii="Times New Roman" w:hAnsi="Times New Roman"/>
                <w:sz w:val="22"/>
                <w:szCs w:val="22"/>
              </w:rPr>
            </w:pPr>
            <w:r w:rsidRPr="00316CAD">
              <w:rPr>
                <w:rFonts w:ascii="Times New Roman" w:hAnsi="Times New Roman"/>
                <w:sz w:val="22"/>
                <w:szCs w:val="22"/>
              </w:rPr>
              <w:t xml:space="preserve">2,500 </w:t>
            </w:r>
          </w:p>
          <w:p w:rsidRPr="00316CAD" w:rsidR="008305C1" w:rsidP="00C671CB" w:rsidRDefault="008305C1" w14:paraId="2E74F00C" w14:textId="77777777">
            <w:pPr>
              <w:jc w:val="right"/>
              <w:rPr>
                <w:rFonts w:ascii="Times New Roman" w:hAnsi="Times New Roman"/>
                <w:sz w:val="22"/>
                <w:szCs w:val="22"/>
              </w:rPr>
            </w:pPr>
            <w:r w:rsidRPr="00316CAD">
              <w:rPr>
                <w:rFonts w:ascii="Times New Roman" w:hAnsi="Times New Roman"/>
                <w:sz w:val="22"/>
                <w:szCs w:val="22"/>
              </w:rPr>
              <w:t>(annual estimate)</w:t>
            </w:r>
          </w:p>
        </w:tc>
        <w:tc>
          <w:tcPr>
            <w:tcW w:w="1260" w:type="dxa"/>
            <w:vAlign w:val="center"/>
          </w:tcPr>
          <w:p w:rsidRPr="00316CAD" w:rsidR="008305C1" w:rsidP="00C671CB" w:rsidRDefault="008305C1" w14:paraId="2E74F00D" w14:textId="77777777">
            <w:pPr>
              <w:pStyle w:val="Center"/>
              <w:spacing w:line="240" w:lineRule="auto"/>
              <w:jc w:val="right"/>
              <w:rPr>
                <w:sz w:val="22"/>
                <w:szCs w:val="22"/>
              </w:rPr>
            </w:pPr>
            <w:r w:rsidRPr="00316CAD">
              <w:rPr>
                <w:sz w:val="22"/>
                <w:szCs w:val="22"/>
              </w:rPr>
              <w:t>1</w:t>
            </w:r>
          </w:p>
        </w:tc>
        <w:tc>
          <w:tcPr>
            <w:tcW w:w="1170" w:type="dxa"/>
            <w:vAlign w:val="center"/>
          </w:tcPr>
          <w:p w:rsidRPr="00316CAD" w:rsidR="008305C1" w:rsidP="00C671CB" w:rsidRDefault="008305C1" w14:paraId="2E74F00E" w14:textId="77777777">
            <w:pPr>
              <w:jc w:val="right"/>
              <w:rPr>
                <w:rFonts w:ascii="Times New Roman" w:hAnsi="Times New Roman"/>
                <w:sz w:val="22"/>
                <w:szCs w:val="22"/>
              </w:rPr>
            </w:pPr>
            <w:r w:rsidRPr="00316CAD">
              <w:rPr>
                <w:rFonts w:ascii="Times New Roman" w:hAnsi="Times New Roman"/>
                <w:sz w:val="22"/>
                <w:szCs w:val="22"/>
              </w:rPr>
              <w:t>1,625</w:t>
            </w:r>
          </w:p>
        </w:tc>
        <w:tc>
          <w:tcPr>
            <w:tcW w:w="1260" w:type="dxa"/>
            <w:vAlign w:val="center"/>
          </w:tcPr>
          <w:p w:rsidRPr="00316CAD" w:rsidR="008305C1" w:rsidP="00C671CB" w:rsidRDefault="008305C1" w14:paraId="2E74F00F" w14:textId="77777777">
            <w:pPr>
              <w:jc w:val="right"/>
              <w:rPr>
                <w:rFonts w:ascii="Times New Roman" w:hAnsi="Times New Roman"/>
                <w:sz w:val="22"/>
                <w:szCs w:val="22"/>
              </w:rPr>
            </w:pPr>
            <w:r>
              <w:rPr>
                <w:rFonts w:ascii="Times New Roman" w:hAnsi="Times New Roman"/>
                <w:sz w:val="22"/>
                <w:szCs w:val="22"/>
              </w:rPr>
              <w:t>.134</w:t>
            </w:r>
          </w:p>
        </w:tc>
        <w:tc>
          <w:tcPr>
            <w:tcW w:w="900" w:type="dxa"/>
            <w:vAlign w:val="center"/>
          </w:tcPr>
          <w:p w:rsidRPr="00316CAD" w:rsidR="008305C1" w:rsidP="00C671CB" w:rsidRDefault="008305C1" w14:paraId="2E74F010" w14:textId="77777777">
            <w:pPr>
              <w:jc w:val="right"/>
              <w:rPr>
                <w:rFonts w:ascii="Times New Roman" w:hAnsi="Times New Roman"/>
                <w:sz w:val="22"/>
                <w:szCs w:val="22"/>
              </w:rPr>
            </w:pPr>
            <w:r w:rsidRPr="00316CAD">
              <w:rPr>
                <w:rFonts w:ascii="Times New Roman" w:hAnsi="Times New Roman"/>
                <w:sz w:val="22"/>
                <w:szCs w:val="22"/>
              </w:rPr>
              <w:t>21</w:t>
            </w:r>
            <w:r>
              <w:rPr>
                <w:rFonts w:ascii="Times New Roman" w:hAnsi="Times New Roman"/>
                <w:sz w:val="22"/>
                <w:szCs w:val="22"/>
              </w:rPr>
              <w:t>8</w:t>
            </w:r>
          </w:p>
        </w:tc>
        <w:tc>
          <w:tcPr>
            <w:tcW w:w="1080" w:type="dxa"/>
            <w:vAlign w:val="center"/>
          </w:tcPr>
          <w:p w:rsidRPr="00316CAD" w:rsidR="008305C1" w:rsidP="00C671CB" w:rsidRDefault="008305C1" w14:paraId="2E74F011" w14:textId="77777777">
            <w:pPr>
              <w:jc w:val="right"/>
              <w:rPr>
                <w:rFonts w:ascii="Times New Roman" w:hAnsi="Times New Roman"/>
                <w:sz w:val="22"/>
                <w:szCs w:val="22"/>
              </w:rPr>
            </w:pPr>
            <w:r w:rsidRPr="00316CAD">
              <w:rPr>
                <w:rFonts w:ascii="Times New Roman" w:hAnsi="Times New Roman"/>
                <w:sz w:val="22"/>
                <w:szCs w:val="22"/>
              </w:rPr>
              <w:t>$27.52 per hour</w:t>
            </w:r>
          </w:p>
        </w:tc>
        <w:tc>
          <w:tcPr>
            <w:tcW w:w="1158" w:type="dxa"/>
            <w:vAlign w:val="center"/>
          </w:tcPr>
          <w:p w:rsidRPr="00316CAD" w:rsidR="008305C1" w:rsidP="00C671CB" w:rsidRDefault="008305C1" w14:paraId="2E74F012" w14:textId="77777777">
            <w:pPr>
              <w:jc w:val="right"/>
              <w:rPr>
                <w:rFonts w:ascii="Times New Roman" w:hAnsi="Times New Roman"/>
                <w:sz w:val="22"/>
                <w:szCs w:val="22"/>
              </w:rPr>
            </w:pPr>
            <w:r w:rsidRPr="00316CAD">
              <w:rPr>
                <w:rFonts w:ascii="Times New Roman" w:hAnsi="Times New Roman"/>
                <w:sz w:val="22"/>
                <w:szCs w:val="22"/>
              </w:rPr>
              <w:t>$5,9</w:t>
            </w:r>
            <w:r>
              <w:rPr>
                <w:rFonts w:ascii="Times New Roman" w:hAnsi="Times New Roman"/>
                <w:sz w:val="22"/>
                <w:szCs w:val="22"/>
              </w:rPr>
              <w:t>99</w:t>
            </w:r>
          </w:p>
        </w:tc>
      </w:tr>
    </w:tbl>
    <w:p w:rsidRPr="00316CAD" w:rsidR="008305C1" w:rsidP="008305C1" w:rsidRDefault="008305C1" w14:paraId="2E74F014" w14:textId="77777777">
      <w:pPr>
        <w:pStyle w:val="NormalSS"/>
        <w:ind w:firstLine="0"/>
        <w:jc w:val="left"/>
        <w:rPr>
          <w:szCs w:val="24"/>
        </w:rPr>
      </w:pPr>
    </w:p>
    <w:p w:rsidR="00375F8A" w:rsidP="008305C1" w:rsidRDefault="00375F8A" w14:paraId="3F2287FE" w14:textId="77777777">
      <w:pPr>
        <w:pStyle w:val="NormalSS"/>
        <w:ind w:firstLine="0"/>
        <w:jc w:val="left"/>
        <w:rPr>
          <w:b/>
          <w:bCs/>
          <w:szCs w:val="24"/>
        </w:rPr>
      </w:pPr>
    </w:p>
    <w:p w:rsidR="00375F8A" w:rsidP="008305C1" w:rsidRDefault="00375F8A" w14:paraId="13BD9016" w14:textId="77777777">
      <w:pPr>
        <w:pStyle w:val="NormalSS"/>
        <w:ind w:firstLine="0"/>
        <w:jc w:val="left"/>
        <w:rPr>
          <w:b/>
          <w:bCs/>
          <w:szCs w:val="24"/>
        </w:rPr>
      </w:pPr>
    </w:p>
    <w:p w:rsidRPr="00404866" w:rsidR="008305C1" w:rsidP="008305C1" w:rsidRDefault="008305C1" w14:paraId="2E74F015" w14:textId="42AD7711">
      <w:pPr>
        <w:pStyle w:val="NormalSS"/>
        <w:ind w:firstLine="0"/>
        <w:jc w:val="left"/>
        <w:rPr>
          <w:b/>
          <w:bCs/>
          <w:szCs w:val="24"/>
        </w:rPr>
      </w:pPr>
      <w:r w:rsidRPr="00404866">
        <w:rPr>
          <w:b/>
          <w:bCs/>
          <w:szCs w:val="24"/>
        </w:rPr>
        <w:t>Provide a short narrative summarizing the burden table.</w:t>
      </w:r>
    </w:p>
    <w:p w:rsidRPr="00316CAD" w:rsidR="008305C1" w:rsidP="008305C1" w:rsidRDefault="008305C1" w14:paraId="2E74F016" w14:textId="77777777">
      <w:pPr>
        <w:pStyle w:val="NormalSS"/>
        <w:ind w:firstLine="0"/>
        <w:jc w:val="left"/>
        <w:rPr>
          <w:bCs/>
          <w:szCs w:val="24"/>
        </w:rPr>
      </w:pPr>
    </w:p>
    <w:p w:rsidRPr="00316CAD" w:rsidR="008305C1" w:rsidP="008305C1" w:rsidRDefault="008305C1" w14:paraId="2E74F017" w14:textId="246F2274">
      <w:pPr>
        <w:pStyle w:val="NormalSS"/>
        <w:ind w:firstLine="0"/>
        <w:jc w:val="left"/>
        <w:rPr>
          <w:bCs/>
          <w:szCs w:val="24"/>
        </w:rPr>
      </w:pPr>
      <w:r w:rsidRPr="00316CAD">
        <w:rPr>
          <w:bCs/>
          <w:szCs w:val="24"/>
        </w:rPr>
        <w:t>Respondent calculation estimates are based on volumes from the current post</w:t>
      </w:r>
      <w:r>
        <w:rPr>
          <w:bCs/>
          <w:szCs w:val="24"/>
        </w:rPr>
        <w:t>-</w:t>
      </w:r>
      <w:r w:rsidRPr="00316CAD">
        <w:rPr>
          <w:bCs/>
          <w:szCs w:val="24"/>
        </w:rPr>
        <w:t>donation survey distribution in 20</w:t>
      </w:r>
      <w:r w:rsidR="00FB6B27">
        <w:rPr>
          <w:bCs/>
          <w:szCs w:val="24"/>
        </w:rPr>
        <w:t>21</w:t>
      </w:r>
      <w:r w:rsidRPr="00316CAD">
        <w:rPr>
          <w:bCs/>
          <w:szCs w:val="24"/>
        </w:rPr>
        <w:t xml:space="preserve"> and </w:t>
      </w:r>
      <w:r>
        <w:rPr>
          <w:bCs/>
          <w:szCs w:val="24"/>
        </w:rPr>
        <w:t xml:space="preserve">the </w:t>
      </w:r>
      <w:r w:rsidRPr="00316CAD">
        <w:rPr>
          <w:bCs/>
          <w:szCs w:val="24"/>
        </w:rPr>
        <w:t>current response rate of approximately 60</w:t>
      </w:r>
      <w:r>
        <w:rPr>
          <w:bCs/>
          <w:szCs w:val="24"/>
        </w:rPr>
        <w:t xml:space="preserve"> percent</w:t>
      </w:r>
      <w:r w:rsidRPr="00316CAD">
        <w:rPr>
          <w:bCs/>
          <w:szCs w:val="24"/>
        </w:rPr>
        <w:t xml:space="preserve">. </w:t>
      </w:r>
      <w:r>
        <w:rPr>
          <w:bCs/>
          <w:szCs w:val="24"/>
        </w:rPr>
        <w:t xml:space="preserve"> </w:t>
      </w:r>
      <w:r w:rsidRPr="00316CAD">
        <w:rPr>
          <w:bCs/>
          <w:szCs w:val="24"/>
        </w:rPr>
        <w:t>Burden hours were calculated via the Qualtrics survey tool, upon programming the survey</w:t>
      </w:r>
      <w:r>
        <w:rPr>
          <w:bCs/>
          <w:szCs w:val="24"/>
        </w:rPr>
        <w:t>,</w:t>
      </w:r>
      <w:r w:rsidRPr="00316CAD">
        <w:rPr>
          <w:bCs/>
          <w:szCs w:val="24"/>
        </w:rPr>
        <w:t xml:space="preserve"> a time estimate for completion was provided. </w:t>
      </w:r>
      <w:r>
        <w:rPr>
          <w:bCs/>
          <w:szCs w:val="24"/>
        </w:rPr>
        <w:t xml:space="preserve"> </w:t>
      </w:r>
      <w:r w:rsidRPr="00316CAD">
        <w:rPr>
          <w:bCs/>
          <w:szCs w:val="24"/>
        </w:rPr>
        <w:t xml:space="preserve">The Department of Labor website </w:t>
      </w:r>
      <w:r w:rsidRPr="00316CAD">
        <w:rPr>
          <w:szCs w:val="24"/>
        </w:rPr>
        <w:t>(</w:t>
      </w:r>
      <w:hyperlink w:history="1" r:id="rId10">
        <w:r w:rsidRPr="00316CAD">
          <w:rPr>
            <w:rStyle w:val="Hyperlink"/>
            <w:szCs w:val="24"/>
          </w:rPr>
          <w:t>http://www.bls.gov/bls/blswage.htm</w:t>
        </w:r>
      </w:hyperlink>
      <w:r w:rsidRPr="00316CAD">
        <w:rPr>
          <w:rStyle w:val="Hyperlink"/>
          <w:szCs w:val="24"/>
        </w:rPr>
        <w:t>)</w:t>
      </w:r>
      <w:r w:rsidRPr="00316CAD">
        <w:rPr>
          <w:bCs/>
          <w:szCs w:val="24"/>
        </w:rPr>
        <w:t xml:space="preserve"> was used to determine appropriate wage rates for respondents. </w:t>
      </w:r>
      <w:r>
        <w:rPr>
          <w:bCs/>
          <w:szCs w:val="24"/>
        </w:rPr>
        <w:t xml:space="preserve"> </w:t>
      </w:r>
      <w:r w:rsidR="00B662FF">
        <w:rPr>
          <w:bCs/>
          <w:szCs w:val="24"/>
        </w:rPr>
        <w:t>The w</w:t>
      </w:r>
      <w:r w:rsidRPr="00316CAD" w:rsidR="00B662FF">
        <w:rPr>
          <w:bCs/>
          <w:szCs w:val="24"/>
        </w:rPr>
        <w:t xml:space="preserve">age </w:t>
      </w:r>
      <w:r w:rsidRPr="00316CAD">
        <w:rPr>
          <w:bCs/>
          <w:szCs w:val="24"/>
        </w:rPr>
        <w:t>rate was calculated using the Quarterly Census Employment and Wages, 201</w:t>
      </w:r>
      <w:r w:rsidR="00FB6B27">
        <w:rPr>
          <w:bCs/>
          <w:szCs w:val="24"/>
        </w:rPr>
        <w:t>9</w:t>
      </w:r>
      <w:r w:rsidRPr="00316CAD">
        <w:rPr>
          <w:bCs/>
          <w:szCs w:val="24"/>
        </w:rPr>
        <w:t xml:space="preserve"> annual averages for all industries, all states, and all establishment sizes.  </w:t>
      </w:r>
    </w:p>
    <w:p w:rsidRPr="00316CAD" w:rsidR="008305C1" w:rsidP="008305C1" w:rsidRDefault="008305C1" w14:paraId="2E74F018" w14:textId="77777777">
      <w:pPr>
        <w:pStyle w:val="NormalSS"/>
        <w:ind w:firstLine="0"/>
        <w:jc w:val="left"/>
        <w:rPr>
          <w:i/>
          <w:szCs w:val="24"/>
        </w:rPr>
      </w:pPr>
    </w:p>
    <w:p w:rsidRPr="00316CAD" w:rsidR="008305C1" w:rsidP="008305C1" w:rsidRDefault="008305C1" w14:paraId="2E74F019" w14:textId="77777777">
      <w:pPr>
        <w:pStyle w:val="NormalSS"/>
        <w:ind w:firstLine="0"/>
        <w:jc w:val="left"/>
        <w:rPr>
          <w:i/>
          <w:szCs w:val="24"/>
        </w:rPr>
      </w:pPr>
      <w:r w:rsidRPr="00316CAD">
        <w:rPr>
          <w:i/>
          <w:szCs w:val="24"/>
        </w:rPr>
        <w:t>Planned frequency of information collection:</w:t>
      </w:r>
    </w:p>
    <w:p w:rsidRPr="00316CAD" w:rsidR="008305C1" w:rsidP="008305C1" w:rsidRDefault="008305C1" w14:paraId="2E74F01A" w14:textId="77777777">
      <w:pPr>
        <w:pStyle w:val="NormalSS"/>
        <w:ind w:firstLine="0"/>
        <w:jc w:val="left"/>
        <w:rPr>
          <w:bCs/>
          <w:szCs w:val="24"/>
        </w:rPr>
      </w:pPr>
      <w:r w:rsidRPr="00316CAD">
        <w:rPr>
          <w:bCs/>
          <w:szCs w:val="24"/>
        </w:rPr>
        <w:t xml:space="preserve">Participants will receive the survey each time they donate blood stem cells (which is typically only one time per lifetime). </w:t>
      </w:r>
    </w:p>
    <w:p w:rsidRPr="00316CAD" w:rsidR="008305C1" w:rsidP="008305C1" w:rsidRDefault="008305C1" w14:paraId="2E74F01B" w14:textId="77777777">
      <w:pPr>
        <w:tabs>
          <w:tab w:val="left" w:pos="-720"/>
          <w:tab w:val="left" w:pos="720"/>
          <w:tab w:val="right" w:pos="10080"/>
        </w:tabs>
        <w:rPr>
          <w:rFonts w:ascii="Times New Roman" w:hAnsi="Times New Roman"/>
          <w:sz w:val="24"/>
          <w:szCs w:val="24"/>
        </w:rPr>
      </w:pPr>
    </w:p>
    <w:p w:rsidRPr="00316CAD" w:rsidR="008305C1" w:rsidP="008305C1" w:rsidRDefault="008305C1" w14:paraId="2E74F01C" w14:textId="77777777">
      <w:pPr>
        <w:tabs>
          <w:tab w:val="left" w:pos="720"/>
          <w:tab w:val="right" w:pos="8732"/>
        </w:tabs>
        <w:spacing w:after="240"/>
        <w:rPr>
          <w:rFonts w:ascii="Times New Roman" w:hAnsi="Times New Roman"/>
          <w:sz w:val="24"/>
          <w:szCs w:val="24"/>
          <w:u w:val="single"/>
        </w:rPr>
      </w:pPr>
      <w:r w:rsidRPr="00316CAD">
        <w:rPr>
          <w:rFonts w:ascii="Times New Roman" w:hAnsi="Times New Roman"/>
          <w:sz w:val="24"/>
          <w:szCs w:val="24"/>
        </w:rPr>
        <w:t>13.</w:t>
      </w:r>
      <w:r w:rsidRPr="00316CAD">
        <w:rPr>
          <w:rFonts w:ascii="Times New Roman" w:hAnsi="Times New Roman"/>
          <w:sz w:val="24"/>
          <w:szCs w:val="24"/>
        </w:rPr>
        <w:tab/>
      </w:r>
      <w:r w:rsidRPr="00316CAD">
        <w:rPr>
          <w:rFonts w:ascii="Times New Roman" w:hAnsi="Times New Roman"/>
          <w:sz w:val="24"/>
          <w:szCs w:val="24"/>
          <w:u w:val="single"/>
        </w:rPr>
        <w:t>Estimates of Annualized Cost Burden to Respondents</w:t>
      </w:r>
    </w:p>
    <w:p w:rsidRPr="00316CAD" w:rsidR="008305C1" w:rsidP="008305C1" w:rsidRDefault="008305C1" w14:paraId="2E74F01D" w14:textId="77777777">
      <w:pPr>
        <w:pStyle w:val="BodyTextIndent"/>
        <w:spacing w:before="120" w:after="240"/>
        <w:ind w:left="0"/>
        <w:rPr>
          <w:rFonts w:ascii="Times New Roman" w:hAnsi="Times New Roman"/>
        </w:rPr>
      </w:pPr>
      <w:r w:rsidRPr="00316CAD">
        <w:rPr>
          <w:rFonts w:ascii="Times New Roman" w:hAnsi="Times New Roman"/>
        </w:rPr>
        <w:t>Other than their time, there is no cost to respondents.</w:t>
      </w:r>
    </w:p>
    <w:p w:rsidRPr="00316CAD" w:rsidR="008305C1" w:rsidP="008305C1" w:rsidRDefault="008305C1" w14:paraId="2E74F01E" w14:textId="77777777">
      <w:pPr>
        <w:tabs>
          <w:tab w:val="left" w:pos="720"/>
          <w:tab w:val="right" w:pos="8732"/>
        </w:tabs>
        <w:rPr>
          <w:rFonts w:ascii="Times New Roman" w:hAnsi="Times New Roman"/>
          <w:sz w:val="24"/>
          <w:szCs w:val="24"/>
          <w:u w:val="single"/>
        </w:rPr>
      </w:pPr>
      <w:r w:rsidRPr="00316CAD">
        <w:rPr>
          <w:rFonts w:ascii="Times New Roman" w:hAnsi="Times New Roman"/>
          <w:sz w:val="24"/>
          <w:szCs w:val="24"/>
        </w:rPr>
        <w:t>14.</w:t>
      </w:r>
      <w:r w:rsidRPr="00316CAD">
        <w:rPr>
          <w:rFonts w:ascii="Times New Roman" w:hAnsi="Times New Roman"/>
          <w:sz w:val="24"/>
          <w:szCs w:val="24"/>
        </w:rPr>
        <w:tab/>
      </w:r>
      <w:r w:rsidRPr="00316CAD">
        <w:rPr>
          <w:rFonts w:ascii="Times New Roman" w:hAnsi="Times New Roman"/>
          <w:sz w:val="24"/>
          <w:szCs w:val="24"/>
          <w:u w:val="single"/>
        </w:rPr>
        <w:t>Estimates of Annualized Cost to the Government</w:t>
      </w:r>
    </w:p>
    <w:p w:rsidRPr="00316CAD" w:rsidR="008305C1" w:rsidP="008305C1" w:rsidRDefault="008305C1" w14:paraId="2E74F01F" w14:textId="77777777">
      <w:pPr>
        <w:tabs>
          <w:tab w:val="left" w:pos="720"/>
          <w:tab w:val="right" w:pos="8732"/>
        </w:tabs>
        <w:rPr>
          <w:rFonts w:ascii="Times New Roman" w:hAnsi="Times New Roman"/>
          <w:sz w:val="24"/>
          <w:szCs w:val="24"/>
        </w:rPr>
      </w:pPr>
    </w:p>
    <w:p w:rsidRPr="00305987" w:rsidR="008305C1" w:rsidP="008305C1" w:rsidRDefault="008305C1" w14:paraId="2E74F020" w14:textId="77121270">
      <w:pPr>
        <w:pStyle w:val="BodyTextIndent"/>
        <w:spacing w:before="120"/>
        <w:ind w:left="0"/>
        <w:rPr>
          <w:rFonts w:ascii="Times New Roman" w:hAnsi="Times New Roman"/>
        </w:rPr>
      </w:pPr>
      <w:r w:rsidRPr="00305987">
        <w:rPr>
          <w:rFonts w:ascii="Times New Roman" w:hAnsi="Times New Roman"/>
        </w:rPr>
        <w:t>The surveys will be administered by the SPA-CC contractor’s staff.  The estimated cost to the government is $5,</w:t>
      </w:r>
      <w:r w:rsidR="00DA7932">
        <w:rPr>
          <w:rFonts w:ascii="Times New Roman" w:hAnsi="Times New Roman"/>
        </w:rPr>
        <w:t>999</w:t>
      </w:r>
      <w:r w:rsidRPr="00305987">
        <w:rPr>
          <w:rFonts w:ascii="Times New Roman" w:hAnsi="Times New Roman"/>
        </w:rPr>
        <w:t>.00, which includes efforts from staff in donor advocacy, donor experience, network services specialist, and market research strategist, totaling approximately 16 hours per month or .10 FTE.</w:t>
      </w:r>
      <w:r w:rsidRPr="00305987">
        <w:rPr>
          <w:rFonts w:ascii="Times New Roman" w:hAnsi="Times New Roman"/>
          <w:bCs/>
        </w:rPr>
        <w:t xml:space="preserve"> </w:t>
      </w:r>
      <w:r>
        <w:rPr>
          <w:rFonts w:ascii="Times New Roman" w:hAnsi="Times New Roman"/>
          <w:bCs/>
        </w:rPr>
        <w:t xml:space="preserve"> </w:t>
      </w:r>
      <w:r w:rsidRPr="00305987">
        <w:rPr>
          <w:rFonts w:ascii="Times New Roman" w:hAnsi="Times New Roman"/>
          <w:bCs/>
        </w:rPr>
        <w:t xml:space="preserve">The Department of Labor website </w:t>
      </w:r>
      <w:r w:rsidRPr="00305987">
        <w:rPr>
          <w:rFonts w:ascii="Times New Roman" w:hAnsi="Times New Roman"/>
        </w:rPr>
        <w:t>(</w:t>
      </w:r>
      <w:hyperlink w:history="1" r:id="rId11">
        <w:r w:rsidRPr="00305987">
          <w:rPr>
            <w:rStyle w:val="Hyperlink"/>
            <w:rFonts w:ascii="Times New Roman" w:hAnsi="Times New Roman"/>
          </w:rPr>
          <w:t>http://www.bls.gov/bls/blswage.htm</w:t>
        </w:r>
      </w:hyperlink>
      <w:r w:rsidRPr="00305987">
        <w:rPr>
          <w:rStyle w:val="Hyperlink"/>
          <w:rFonts w:ascii="Times New Roman" w:hAnsi="Times New Roman"/>
        </w:rPr>
        <w:t>)</w:t>
      </w:r>
      <w:r w:rsidRPr="00305987">
        <w:rPr>
          <w:rFonts w:ascii="Times New Roman" w:hAnsi="Times New Roman"/>
          <w:bCs/>
        </w:rPr>
        <w:t xml:space="preserve"> was used to determine approximate wage rates for staff.  </w:t>
      </w:r>
      <w:r w:rsidR="00B662FF">
        <w:rPr>
          <w:rFonts w:ascii="Times New Roman" w:hAnsi="Times New Roman"/>
          <w:bCs/>
        </w:rPr>
        <w:t>The w</w:t>
      </w:r>
      <w:r w:rsidRPr="00305987" w:rsidR="00B662FF">
        <w:rPr>
          <w:rFonts w:ascii="Times New Roman" w:hAnsi="Times New Roman"/>
          <w:bCs/>
        </w:rPr>
        <w:t xml:space="preserve">age </w:t>
      </w:r>
      <w:r w:rsidRPr="00305987">
        <w:rPr>
          <w:rFonts w:ascii="Times New Roman" w:hAnsi="Times New Roman"/>
          <w:bCs/>
        </w:rPr>
        <w:t xml:space="preserve">rate was calculated using the Quarterly Census Employment and Wages, 2018 annual averages for all industries, all states, and all establishment sizes.  </w:t>
      </w:r>
    </w:p>
    <w:p w:rsidRPr="00316CAD" w:rsidR="008305C1" w:rsidP="008305C1" w:rsidRDefault="008305C1" w14:paraId="2E74F021" w14:textId="77777777">
      <w:pPr>
        <w:tabs>
          <w:tab w:val="left" w:pos="-720"/>
        </w:tabs>
        <w:rPr>
          <w:rFonts w:ascii="Times New Roman" w:hAnsi="Times New Roman"/>
          <w:sz w:val="24"/>
          <w:szCs w:val="24"/>
        </w:rPr>
      </w:pPr>
    </w:p>
    <w:p w:rsidRPr="00316CAD" w:rsidR="008305C1" w:rsidP="008305C1" w:rsidRDefault="008305C1" w14:paraId="2E74F022" w14:textId="77777777">
      <w:pPr>
        <w:tabs>
          <w:tab w:val="left" w:pos="-720"/>
          <w:tab w:val="left" w:pos="44"/>
          <w:tab w:val="left" w:pos="720"/>
          <w:tab w:val="right" w:pos="8732"/>
        </w:tabs>
        <w:rPr>
          <w:rFonts w:ascii="Times New Roman" w:hAnsi="Times New Roman"/>
          <w:sz w:val="24"/>
          <w:szCs w:val="24"/>
          <w:u w:val="single"/>
        </w:rPr>
      </w:pPr>
      <w:r w:rsidRPr="00316CAD">
        <w:rPr>
          <w:rFonts w:ascii="Times New Roman" w:hAnsi="Times New Roman"/>
          <w:sz w:val="24"/>
          <w:szCs w:val="24"/>
        </w:rPr>
        <w:t>15.</w:t>
      </w:r>
      <w:r w:rsidRPr="00316CAD">
        <w:rPr>
          <w:rFonts w:ascii="Times New Roman" w:hAnsi="Times New Roman"/>
          <w:sz w:val="24"/>
          <w:szCs w:val="24"/>
        </w:rPr>
        <w:tab/>
      </w:r>
      <w:r w:rsidRPr="00316CAD">
        <w:rPr>
          <w:rFonts w:ascii="Times New Roman" w:hAnsi="Times New Roman"/>
          <w:sz w:val="24"/>
          <w:szCs w:val="24"/>
          <w:u w:val="single"/>
        </w:rPr>
        <w:t>Change in Burden</w:t>
      </w:r>
    </w:p>
    <w:p w:rsidRPr="00316CAD" w:rsidR="008305C1" w:rsidP="008305C1" w:rsidRDefault="008305C1" w14:paraId="2E74F023" w14:textId="77777777">
      <w:pPr>
        <w:tabs>
          <w:tab w:val="left" w:pos="-720"/>
          <w:tab w:val="left" w:pos="44"/>
          <w:tab w:val="left" w:pos="720"/>
          <w:tab w:val="right" w:pos="8732"/>
        </w:tabs>
        <w:rPr>
          <w:rFonts w:ascii="Times New Roman" w:hAnsi="Times New Roman"/>
          <w:sz w:val="24"/>
          <w:szCs w:val="24"/>
        </w:rPr>
      </w:pPr>
    </w:p>
    <w:p w:rsidRPr="00316CAD" w:rsidR="008305C1" w:rsidP="008305C1" w:rsidRDefault="008305C1" w14:paraId="2E74F024" w14:textId="30F09487">
      <w:pPr>
        <w:tabs>
          <w:tab w:val="left" w:pos="-720"/>
        </w:tabs>
        <w:rPr>
          <w:rFonts w:ascii="Times New Roman" w:hAnsi="Times New Roman"/>
          <w:sz w:val="24"/>
          <w:szCs w:val="24"/>
        </w:rPr>
      </w:pPr>
      <w:r w:rsidRPr="00316CAD">
        <w:rPr>
          <w:rFonts w:ascii="Times New Roman" w:hAnsi="Times New Roman"/>
          <w:sz w:val="24"/>
          <w:szCs w:val="24"/>
        </w:rPr>
        <w:t>Not Applicable.  This is a new activity under HRSA’s generic clearance and will be included in the total burden currently approved by OMB under OMB Control No. 0915-0212.</w:t>
      </w:r>
      <w:r w:rsidR="00B932F0">
        <w:rPr>
          <w:rFonts w:ascii="Times New Roman" w:hAnsi="Times New Roman"/>
          <w:sz w:val="24"/>
          <w:szCs w:val="24"/>
        </w:rPr>
        <w:t xml:space="preserve"> </w:t>
      </w:r>
    </w:p>
    <w:p w:rsidRPr="00316CAD" w:rsidR="008305C1" w:rsidP="008305C1" w:rsidRDefault="008305C1" w14:paraId="2E74F025" w14:textId="77777777">
      <w:pPr>
        <w:tabs>
          <w:tab w:val="left" w:pos="-720"/>
        </w:tabs>
        <w:rPr>
          <w:rFonts w:ascii="Times New Roman" w:hAnsi="Times New Roman"/>
          <w:sz w:val="24"/>
          <w:szCs w:val="24"/>
        </w:rPr>
      </w:pPr>
    </w:p>
    <w:p w:rsidRPr="00316CAD" w:rsidR="008305C1" w:rsidP="008305C1" w:rsidRDefault="008305C1" w14:paraId="2E74F026" w14:textId="77777777">
      <w:pPr>
        <w:tabs>
          <w:tab w:val="left" w:pos="-720"/>
          <w:tab w:val="left" w:pos="720"/>
          <w:tab w:val="right" w:pos="8732"/>
        </w:tabs>
        <w:rPr>
          <w:rFonts w:ascii="Times New Roman" w:hAnsi="Times New Roman"/>
          <w:sz w:val="24"/>
          <w:szCs w:val="24"/>
          <w:u w:val="single"/>
        </w:rPr>
      </w:pPr>
      <w:r w:rsidRPr="00316CAD">
        <w:rPr>
          <w:rFonts w:ascii="Times New Roman" w:hAnsi="Times New Roman"/>
          <w:sz w:val="24"/>
          <w:szCs w:val="24"/>
        </w:rPr>
        <w:t>16.</w:t>
      </w:r>
      <w:r w:rsidRPr="00316CAD">
        <w:rPr>
          <w:rFonts w:ascii="Times New Roman" w:hAnsi="Times New Roman"/>
          <w:sz w:val="24"/>
          <w:szCs w:val="24"/>
        </w:rPr>
        <w:tab/>
      </w:r>
      <w:r w:rsidRPr="00316CAD">
        <w:rPr>
          <w:rFonts w:ascii="Times New Roman" w:hAnsi="Times New Roman"/>
          <w:sz w:val="24"/>
          <w:szCs w:val="24"/>
          <w:u w:val="single"/>
        </w:rPr>
        <w:t>Plans for Analysis and Timetable of Key Activities</w:t>
      </w:r>
    </w:p>
    <w:p w:rsidRPr="00316CAD" w:rsidR="008305C1" w:rsidP="008305C1" w:rsidRDefault="008305C1" w14:paraId="2E74F027" w14:textId="77777777">
      <w:pPr>
        <w:pStyle w:val="NormalSS"/>
        <w:ind w:firstLine="0"/>
        <w:jc w:val="left"/>
        <w:rPr>
          <w:szCs w:val="24"/>
        </w:rPr>
      </w:pPr>
    </w:p>
    <w:p w:rsidRPr="00316CAD" w:rsidR="008305C1" w:rsidP="008305C1" w:rsidRDefault="008305C1" w14:paraId="2E74F028" w14:textId="4CF4ABD1">
      <w:pPr>
        <w:tabs>
          <w:tab w:val="left" w:pos="-720"/>
          <w:tab w:val="right" w:pos="8692"/>
        </w:tabs>
        <w:rPr>
          <w:rFonts w:ascii="Times New Roman" w:hAnsi="Times New Roman"/>
          <w:sz w:val="24"/>
          <w:szCs w:val="24"/>
        </w:rPr>
      </w:pPr>
      <w:r w:rsidRPr="00316CAD">
        <w:rPr>
          <w:rFonts w:ascii="Times New Roman" w:hAnsi="Times New Roman"/>
          <w:sz w:val="24"/>
          <w:szCs w:val="24"/>
        </w:rPr>
        <w:t xml:space="preserve">Ongoing data collection will utilize Qualtric software. Program staff will </w:t>
      </w:r>
      <w:r w:rsidR="00B662FF">
        <w:rPr>
          <w:rFonts w:ascii="Times New Roman" w:hAnsi="Times New Roman"/>
          <w:sz w:val="24"/>
          <w:szCs w:val="24"/>
        </w:rPr>
        <w:t>analyze</w:t>
      </w:r>
      <w:r w:rsidRPr="00316CAD">
        <w:rPr>
          <w:rFonts w:ascii="Times New Roman" w:hAnsi="Times New Roman"/>
          <w:sz w:val="24"/>
          <w:szCs w:val="24"/>
        </w:rPr>
        <w:t xml:space="preserve"> survey data. </w:t>
      </w:r>
      <w:r>
        <w:rPr>
          <w:rFonts w:ascii="Times New Roman" w:hAnsi="Times New Roman"/>
          <w:sz w:val="24"/>
          <w:szCs w:val="24"/>
        </w:rPr>
        <w:t xml:space="preserve"> </w:t>
      </w:r>
      <w:r w:rsidRPr="00316CAD">
        <w:rPr>
          <w:rFonts w:ascii="Times New Roman" w:hAnsi="Times New Roman"/>
          <w:sz w:val="24"/>
          <w:szCs w:val="24"/>
        </w:rPr>
        <w:t xml:space="preserve">Survey results will be reported to key stakeholders and Network partners quarterly. </w:t>
      </w:r>
      <w:r>
        <w:rPr>
          <w:rFonts w:ascii="Times New Roman" w:hAnsi="Times New Roman"/>
          <w:sz w:val="24"/>
          <w:szCs w:val="24"/>
        </w:rPr>
        <w:t xml:space="preserve"> </w:t>
      </w:r>
      <w:r w:rsidRPr="00316CAD">
        <w:rPr>
          <w:rFonts w:ascii="Times New Roman" w:hAnsi="Times New Roman"/>
          <w:sz w:val="24"/>
          <w:szCs w:val="24"/>
        </w:rPr>
        <w:t xml:space="preserve">Distribution numbers, response rates, and overall experience and satisfaction scores will be reported to HRSA by way of a contract deliverable (e.g., semi-annual progress reports). </w:t>
      </w:r>
    </w:p>
    <w:p w:rsidRPr="00316CAD" w:rsidR="008305C1" w:rsidP="008305C1" w:rsidRDefault="008305C1" w14:paraId="2E74F029" w14:textId="77777777">
      <w:pPr>
        <w:tabs>
          <w:tab w:val="left" w:pos="-720"/>
          <w:tab w:val="right" w:pos="8692"/>
        </w:tabs>
        <w:rPr>
          <w:rFonts w:ascii="Times New Roman" w:hAnsi="Times New Roman"/>
          <w:sz w:val="24"/>
          <w:szCs w:val="24"/>
        </w:rPr>
      </w:pPr>
    </w:p>
    <w:p w:rsidRPr="00316CAD" w:rsidR="008305C1" w:rsidP="008305C1" w:rsidRDefault="008305C1" w14:paraId="2E74F02A" w14:textId="77777777">
      <w:pPr>
        <w:tabs>
          <w:tab w:val="left" w:pos="720"/>
          <w:tab w:val="right" w:pos="8692"/>
        </w:tabs>
        <w:rPr>
          <w:rFonts w:ascii="Times New Roman" w:hAnsi="Times New Roman"/>
          <w:sz w:val="24"/>
          <w:szCs w:val="24"/>
          <w:u w:val="single"/>
        </w:rPr>
      </w:pPr>
      <w:r w:rsidRPr="00316CAD">
        <w:rPr>
          <w:rFonts w:ascii="Times New Roman" w:hAnsi="Times New Roman"/>
          <w:sz w:val="24"/>
          <w:szCs w:val="24"/>
        </w:rPr>
        <w:t>17.</w:t>
      </w:r>
      <w:r w:rsidRPr="00316CAD">
        <w:rPr>
          <w:rFonts w:ascii="Times New Roman" w:hAnsi="Times New Roman"/>
          <w:sz w:val="24"/>
          <w:szCs w:val="24"/>
        </w:rPr>
        <w:tab/>
      </w:r>
      <w:r w:rsidRPr="00316CAD">
        <w:rPr>
          <w:rFonts w:ascii="Times New Roman" w:hAnsi="Times New Roman"/>
          <w:sz w:val="24"/>
          <w:szCs w:val="24"/>
          <w:u w:val="single"/>
        </w:rPr>
        <w:t>Exemption for Display of Expiration Date</w:t>
      </w:r>
    </w:p>
    <w:p w:rsidRPr="00316CAD" w:rsidR="008305C1" w:rsidP="008305C1" w:rsidRDefault="008305C1" w14:paraId="2E74F02B" w14:textId="77777777">
      <w:pPr>
        <w:tabs>
          <w:tab w:val="left" w:pos="720"/>
          <w:tab w:val="right" w:pos="8692"/>
        </w:tabs>
        <w:rPr>
          <w:rFonts w:ascii="Times New Roman" w:hAnsi="Times New Roman"/>
          <w:sz w:val="24"/>
          <w:szCs w:val="24"/>
        </w:rPr>
      </w:pPr>
    </w:p>
    <w:p w:rsidRPr="00316CAD" w:rsidR="008305C1" w:rsidP="008305C1" w:rsidRDefault="008305C1" w14:paraId="2E74F02C" w14:textId="77777777">
      <w:pPr>
        <w:tabs>
          <w:tab w:val="left" w:pos="-720"/>
        </w:tabs>
        <w:rPr>
          <w:rFonts w:ascii="Times New Roman" w:hAnsi="Times New Roman"/>
          <w:sz w:val="24"/>
          <w:szCs w:val="24"/>
        </w:rPr>
      </w:pPr>
      <w:r w:rsidRPr="00316CAD">
        <w:rPr>
          <w:rFonts w:ascii="Times New Roman" w:hAnsi="Times New Roman"/>
          <w:sz w:val="24"/>
          <w:szCs w:val="24"/>
        </w:rPr>
        <w:t>No exemption is being requested.  The expiration date will be displayed.</w:t>
      </w:r>
    </w:p>
    <w:p w:rsidRPr="00316CAD" w:rsidR="00037FA6" w:rsidP="008305C1" w:rsidRDefault="00037FA6" w14:paraId="227BF4D0" w14:textId="77777777">
      <w:pPr>
        <w:tabs>
          <w:tab w:val="left" w:pos="-720"/>
        </w:tabs>
        <w:rPr>
          <w:rFonts w:ascii="Times New Roman" w:hAnsi="Times New Roman"/>
          <w:sz w:val="24"/>
          <w:szCs w:val="24"/>
        </w:rPr>
      </w:pPr>
    </w:p>
    <w:p w:rsidRPr="00316CAD" w:rsidR="008305C1" w:rsidP="008305C1" w:rsidRDefault="008305C1" w14:paraId="2E74F02E" w14:textId="77777777">
      <w:pPr>
        <w:tabs>
          <w:tab w:val="left" w:pos="-720"/>
          <w:tab w:val="left" w:pos="720"/>
          <w:tab w:val="right" w:pos="8692"/>
        </w:tabs>
        <w:rPr>
          <w:rFonts w:ascii="Times New Roman" w:hAnsi="Times New Roman"/>
          <w:sz w:val="24"/>
          <w:szCs w:val="24"/>
          <w:u w:val="single"/>
        </w:rPr>
      </w:pPr>
      <w:r w:rsidRPr="00316CAD">
        <w:rPr>
          <w:rFonts w:ascii="Times New Roman" w:hAnsi="Times New Roman"/>
          <w:sz w:val="24"/>
          <w:szCs w:val="24"/>
        </w:rPr>
        <w:t>18.</w:t>
      </w:r>
      <w:r w:rsidRPr="00316CAD">
        <w:rPr>
          <w:rFonts w:ascii="Times New Roman" w:hAnsi="Times New Roman"/>
          <w:sz w:val="24"/>
          <w:szCs w:val="24"/>
        </w:rPr>
        <w:tab/>
      </w:r>
      <w:r w:rsidRPr="00316CAD">
        <w:rPr>
          <w:rFonts w:ascii="Times New Roman" w:hAnsi="Times New Roman"/>
          <w:sz w:val="24"/>
          <w:szCs w:val="24"/>
          <w:u w:val="single"/>
        </w:rPr>
        <w:t>Certifications</w:t>
      </w:r>
    </w:p>
    <w:p w:rsidRPr="00316CAD" w:rsidR="008305C1" w:rsidP="008305C1" w:rsidRDefault="008305C1" w14:paraId="2E74F02F" w14:textId="77777777">
      <w:pPr>
        <w:tabs>
          <w:tab w:val="left" w:pos="-720"/>
          <w:tab w:val="left" w:pos="720"/>
          <w:tab w:val="right" w:pos="8692"/>
        </w:tabs>
        <w:rPr>
          <w:rFonts w:ascii="Times New Roman" w:hAnsi="Times New Roman"/>
          <w:sz w:val="24"/>
          <w:szCs w:val="24"/>
        </w:rPr>
      </w:pPr>
    </w:p>
    <w:p w:rsidR="00093282" w:rsidP="007D3D67" w:rsidRDefault="008305C1" w14:paraId="2E74F031" w14:textId="66B6F32E">
      <w:pPr>
        <w:tabs>
          <w:tab w:val="left" w:pos="-720"/>
        </w:tabs>
      </w:pPr>
      <w:r w:rsidRPr="00316CAD">
        <w:rPr>
          <w:rFonts w:ascii="Times New Roman" w:hAnsi="Times New Roman"/>
          <w:sz w:val="24"/>
          <w:szCs w:val="24"/>
        </w:rPr>
        <w:t>This information collection activity will comply with the requirements in 5 CFR 1320.9.</w:t>
      </w:r>
      <w:r>
        <w:rPr>
          <w:rFonts w:ascii="Times New Roman" w:hAnsi="Times New Roman"/>
          <w:sz w:val="24"/>
          <w:szCs w:val="24"/>
        </w:rPr>
        <w:t xml:space="preserve"> </w:t>
      </w:r>
    </w:p>
    <w:sectPr w:rsidR="00093282" w:rsidSect="004F6618">
      <w:footerReference w:type="default" r:id="rId12"/>
      <w:pgSz w:w="12240" w:h="15840"/>
      <w:pgMar w:top="1440" w:right="1440" w:bottom="1080" w:left="1440" w:header="1440"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62A3D" w14:textId="77777777" w:rsidR="008B130B" w:rsidRDefault="008B130B">
      <w:r>
        <w:separator/>
      </w:r>
    </w:p>
  </w:endnote>
  <w:endnote w:type="continuationSeparator" w:id="0">
    <w:p w14:paraId="15EDE521" w14:textId="77777777" w:rsidR="008B130B" w:rsidRDefault="008B1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w:panose1 w:val="02070409020205020404"/>
    <w:charset w:val="00"/>
    <w:family w:val="modern"/>
    <w:notTrueType/>
    <w:pitch w:val="fixed"/>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1379377"/>
      <w:docPartObj>
        <w:docPartGallery w:val="Page Numbers (Bottom of Page)"/>
        <w:docPartUnique/>
      </w:docPartObj>
    </w:sdtPr>
    <w:sdtEndPr>
      <w:rPr>
        <w:rFonts w:ascii="Times New Roman" w:hAnsi="Times New Roman"/>
        <w:noProof/>
      </w:rPr>
    </w:sdtEndPr>
    <w:sdtContent>
      <w:p w14:paraId="2E74F032" w14:textId="27EB9B63" w:rsidR="004F6618" w:rsidRPr="004F6618" w:rsidRDefault="008305C1">
        <w:pPr>
          <w:pStyle w:val="Footer"/>
          <w:jc w:val="center"/>
          <w:rPr>
            <w:rFonts w:ascii="Times New Roman" w:hAnsi="Times New Roman"/>
          </w:rPr>
        </w:pPr>
        <w:r w:rsidRPr="004F6618">
          <w:rPr>
            <w:rFonts w:ascii="Times New Roman" w:hAnsi="Times New Roman"/>
          </w:rPr>
          <w:fldChar w:fldCharType="begin"/>
        </w:r>
        <w:r w:rsidRPr="004F6618">
          <w:rPr>
            <w:rFonts w:ascii="Times New Roman" w:hAnsi="Times New Roman"/>
          </w:rPr>
          <w:instrText xml:space="preserve"> PAGE   \* MERGEFORMAT </w:instrText>
        </w:r>
        <w:r w:rsidRPr="004F6618">
          <w:rPr>
            <w:rFonts w:ascii="Times New Roman" w:hAnsi="Times New Roman"/>
          </w:rPr>
          <w:fldChar w:fldCharType="separate"/>
        </w:r>
        <w:r w:rsidR="00A016BD">
          <w:rPr>
            <w:rFonts w:ascii="Times New Roman" w:hAnsi="Times New Roman"/>
            <w:noProof/>
          </w:rPr>
          <w:t>5</w:t>
        </w:r>
        <w:r w:rsidRPr="004F6618">
          <w:rPr>
            <w:rFonts w:ascii="Times New Roman" w:hAnsi="Times New Roman"/>
            <w:noProof/>
          </w:rPr>
          <w:fldChar w:fldCharType="end"/>
        </w:r>
      </w:p>
    </w:sdtContent>
  </w:sdt>
  <w:p w14:paraId="2E74F033" w14:textId="77777777" w:rsidR="00DC4E69" w:rsidRDefault="00A016BD">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E8322" w14:textId="77777777" w:rsidR="008B130B" w:rsidRDefault="008B130B">
      <w:r>
        <w:separator/>
      </w:r>
    </w:p>
  </w:footnote>
  <w:footnote w:type="continuationSeparator" w:id="0">
    <w:p w14:paraId="0A365D59" w14:textId="77777777" w:rsidR="008B130B" w:rsidRDefault="008B13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2741F"/>
    <w:multiLevelType w:val="hybridMultilevel"/>
    <w:tmpl w:val="2DA0B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S2NDE3MzI1NjEwNjFS0lEKTi0uzszPAykwrAUAqJnn4CwAAAA="/>
  </w:docVars>
  <w:rsids>
    <w:rsidRoot w:val="008305C1"/>
    <w:rsid w:val="00037FA6"/>
    <w:rsid w:val="00093282"/>
    <w:rsid w:val="00186796"/>
    <w:rsid w:val="001B589F"/>
    <w:rsid w:val="00212AAD"/>
    <w:rsid w:val="002826FC"/>
    <w:rsid w:val="00363C89"/>
    <w:rsid w:val="00375F8A"/>
    <w:rsid w:val="003773D4"/>
    <w:rsid w:val="003857EA"/>
    <w:rsid w:val="003F4F20"/>
    <w:rsid w:val="004F28A5"/>
    <w:rsid w:val="0052128D"/>
    <w:rsid w:val="0054034A"/>
    <w:rsid w:val="00584FE0"/>
    <w:rsid w:val="005A686E"/>
    <w:rsid w:val="00607C0D"/>
    <w:rsid w:val="00625FD2"/>
    <w:rsid w:val="0068726D"/>
    <w:rsid w:val="007D3D67"/>
    <w:rsid w:val="008305C1"/>
    <w:rsid w:val="008A58D4"/>
    <w:rsid w:val="008B130B"/>
    <w:rsid w:val="0094560C"/>
    <w:rsid w:val="00A016BD"/>
    <w:rsid w:val="00A77FCE"/>
    <w:rsid w:val="00AE7274"/>
    <w:rsid w:val="00B005DF"/>
    <w:rsid w:val="00B159D7"/>
    <w:rsid w:val="00B662FF"/>
    <w:rsid w:val="00B932F0"/>
    <w:rsid w:val="00BA4BCB"/>
    <w:rsid w:val="00D21B8A"/>
    <w:rsid w:val="00DA7932"/>
    <w:rsid w:val="00DD2449"/>
    <w:rsid w:val="00E63AEF"/>
    <w:rsid w:val="00E70182"/>
    <w:rsid w:val="00EB6936"/>
    <w:rsid w:val="00FA3705"/>
    <w:rsid w:val="00FB6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74EFBC"/>
  <w15:chartTrackingRefBased/>
  <w15:docId w15:val="{83BC5BEF-ADAE-4C86-80C8-4FF60D1B3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5C1"/>
    <w:pPr>
      <w:widowControl w:val="0"/>
      <w:autoSpaceDE w:val="0"/>
      <w:autoSpaceDN w:val="0"/>
      <w:adjustRightInd w:val="0"/>
      <w:spacing w:after="0" w:line="240" w:lineRule="auto"/>
    </w:pPr>
    <w:rPr>
      <w:rFonts w:ascii="Courier" w:eastAsia="Times New Roman" w:hAnsi="Courier" w:cs="Times New Roman"/>
      <w:sz w:val="20"/>
      <w:szCs w:val="20"/>
    </w:rPr>
  </w:style>
  <w:style w:type="paragraph" w:styleId="Heading2">
    <w:name w:val="heading 2"/>
    <w:basedOn w:val="Normal"/>
    <w:link w:val="Heading2Char"/>
    <w:uiPriority w:val="9"/>
    <w:qFormat/>
    <w:rsid w:val="008305C1"/>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05C1"/>
    <w:rPr>
      <w:rFonts w:ascii="Times New Roman" w:eastAsia="Times New Roman" w:hAnsi="Times New Roman" w:cs="Times New Roman"/>
      <w:b/>
      <w:bCs/>
      <w:color w:val="000066"/>
      <w:sz w:val="30"/>
      <w:szCs w:val="30"/>
    </w:rPr>
  </w:style>
  <w:style w:type="paragraph" w:styleId="Footer">
    <w:name w:val="footer"/>
    <w:basedOn w:val="Normal"/>
    <w:link w:val="FooterChar"/>
    <w:uiPriority w:val="99"/>
    <w:unhideWhenUsed/>
    <w:rsid w:val="008305C1"/>
    <w:pPr>
      <w:tabs>
        <w:tab w:val="center" w:pos="4680"/>
        <w:tab w:val="right" w:pos="9360"/>
      </w:tabs>
    </w:pPr>
  </w:style>
  <w:style w:type="character" w:customStyle="1" w:styleId="FooterChar">
    <w:name w:val="Footer Char"/>
    <w:basedOn w:val="DefaultParagraphFont"/>
    <w:link w:val="Footer"/>
    <w:uiPriority w:val="99"/>
    <w:rsid w:val="008305C1"/>
    <w:rPr>
      <w:rFonts w:ascii="Courier" w:eastAsia="Times New Roman" w:hAnsi="Courier" w:cs="Times New Roman"/>
      <w:sz w:val="20"/>
      <w:szCs w:val="20"/>
    </w:rPr>
  </w:style>
  <w:style w:type="paragraph" w:styleId="TOC1">
    <w:name w:val="toc 1"/>
    <w:basedOn w:val="Normal"/>
    <w:next w:val="Normal"/>
    <w:autoRedefine/>
    <w:uiPriority w:val="39"/>
    <w:semiHidden/>
    <w:rsid w:val="008305C1"/>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8305C1"/>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8305C1"/>
    <w:pPr>
      <w:widowControl/>
      <w:tabs>
        <w:tab w:val="left" w:pos="432"/>
      </w:tabs>
      <w:autoSpaceDE/>
      <w:autoSpaceDN/>
      <w:adjustRightInd/>
      <w:spacing w:line="480" w:lineRule="auto"/>
      <w:jc w:val="center"/>
    </w:pPr>
    <w:rPr>
      <w:rFonts w:ascii="Times New Roman" w:hAnsi="Times New Roman"/>
      <w:sz w:val="24"/>
    </w:rPr>
  </w:style>
  <w:style w:type="character" w:styleId="Hyperlink">
    <w:name w:val="Hyperlink"/>
    <w:basedOn w:val="DefaultParagraphFont"/>
    <w:rsid w:val="008305C1"/>
    <w:rPr>
      <w:color w:val="0000FF"/>
      <w:u w:val="single"/>
    </w:rPr>
  </w:style>
  <w:style w:type="paragraph" w:styleId="BodyTextIndent">
    <w:name w:val="Body Text Indent"/>
    <w:basedOn w:val="Normal"/>
    <w:link w:val="BodyTextIndentChar"/>
    <w:rsid w:val="008305C1"/>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305C1"/>
    <w:rPr>
      <w:rFonts w:ascii="Baskerville Old Face" w:eastAsia="Times New Roman" w:hAnsi="Baskerville Old Face" w:cs="Times New Roman"/>
      <w:sz w:val="24"/>
      <w:szCs w:val="24"/>
    </w:rPr>
  </w:style>
  <w:style w:type="character" w:styleId="CommentReference">
    <w:name w:val="annotation reference"/>
    <w:basedOn w:val="DefaultParagraphFont"/>
    <w:uiPriority w:val="99"/>
    <w:semiHidden/>
    <w:unhideWhenUsed/>
    <w:rsid w:val="00607C0D"/>
    <w:rPr>
      <w:sz w:val="16"/>
      <w:szCs w:val="16"/>
    </w:rPr>
  </w:style>
  <w:style w:type="paragraph" w:styleId="CommentText">
    <w:name w:val="annotation text"/>
    <w:basedOn w:val="Normal"/>
    <w:link w:val="CommentTextChar"/>
    <w:uiPriority w:val="99"/>
    <w:semiHidden/>
    <w:unhideWhenUsed/>
    <w:rsid w:val="00607C0D"/>
  </w:style>
  <w:style w:type="character" w:customStyle="1" w:styleId="CommentTextChar">
    <w:name w:val="Comment Text Char"/>
    <w:basedOn w:val="DefaultParagraphFont"/>
    <w:link w:val="CommentText"/>
    <w:uiPriority w:val="99"/>
    <w:semiHidden/>
    <w:rsid w:val="00607C0D"/>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607C0D"/>
    <w:rPr>
      <w:b/>
      <w:bCs/>
    </w:rPr>
  </w:style>
  <w:style w:type="character" w:customStyle="1" w:styleId="CommentSubjectChar">
    <w:name w:val="Comment Subject Char"/>
    <w:basedOn w:val="CommentTextChar"/>
    <w:link w:val="CommentSubject"/>
    <w:uiPriority w:val="99"/>
    <w:semiHidden/>
    <w:rsid w:val="00607C0D"/>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607C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C0D"/>
    <w:rPr>
      <w:rFonts w:ascii="Segoe UI" w:eastAsia="Times New Roman" w:hAnsi="Segoe UI" w:cs="Segoe UI"/>
      <w:sz w:val="18"/>
      <w:szCs w:val="18"/>
    </w:rPr>
  </w:style>
  <w:style w:type="paragraph" w:styleId="ListParagraph">
    <w:name w:val="List Paragraph"/>
    <w:basedOn w:val="Normal"/>
    <w:uiPriority w:val="34"/>
    <w:qFormat/>
    <w:rsid w:val="00607C0D"/>
    <w:pPr>
      <w:widowControl/>
      <w:autoSpaceDE/>
      <w:autoSpaceDN/>
      <w:adjustRightInd/>
      <w:ind w:left="720"/>
    </w:pPr>
    <w:rPr>
      <w:rFonts w:ascii="Calibri" w:eastAsiaTheme="minorHAnsi" w:hAnsi="Calibri" w:cs="Calibri"/>
      <w:sz w:val="22"/>
      <w:szCs w:val="22"/>
    </w:rPr>
  </w:style>
  <w:style w:type="character" w:styleId="FollowedHyperlink">
    <w:name w:val="FollowedHyperlink"/>
    <w:basedOn w:val="DefaultParagraphFont"/>
    <w:uiPriority w:val="99"/>
    <w:semiHidden/>
    <w:unhideWhenUsed/>
    <w:rsid w:val="00FB6B27"/>
    <w:rPr>
      <w:color w:val="954F72" w:themeColor="followedHyperlink"/>
      <w:u w:val="single"/>
    </w:rPr>
  </w:style>
  <w:style w:type="paragraph" w:styleId="Header">
    <w:name w:val="header"/>
    <w:basedOn w:val="Normal"/>
    <w:link w:val="HeaderChar"/>
    <w:uiPriority w:val="99"/>
    <w:unhideWhenUsed/>
    <w:rsid w:val="0054034A"/>
    <w:pPr>
      <w:tabs>
        <w:tab w:val="center" w:pos="4680"/>
        <w:tab w:val="right" w:pos="9360"/>
      </w:tabs>
    </w:pPr>
  </w:style>
  <w:style w:type="character" w:customStyle="1" w:styleId="HeaderChar">
    <w:name w:val="Header Char"/>
    <w:basedOn w:val="DefaultParagraphFont"/>
    <w:link w:val="Header"/>
    <w:uiPriority w:val="99"/>
    <w:rsid w:val="0054034A"/>
    <w:rPr>
      <w:rFonts w:ascii="Courier" w:eastAsia="Times New Roman" w:hAnsi="Courier"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75359">
      <w:bodyDiv w:val="1"/>
      <w:marLeft w:val="0"/>
      <w:marRight w:val="0"/>
      <w:marTop w:val="0"/>
      <w:marBottom w:val="0"/>
      <w:divBdr>
        <w:top w:val="none" w:sz="0" w:space="0" w:color="auto"/>
        <w:left w:val="none" w:sz="0" w:space="0" w:color="auto"/>
        <w:bottom w:val="none" w:sz="0" w:space="0" w:color="auto"/>
        <w:right w:val="none" w:sz="0" w:space="0" w:color="auto"/>
      </w:divBdr>
    </w:div>
    <w:div w:id="154536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ls.gov/bls/blswage.htm" TargetMode="External"/><Relationship Id="rId5" Type="http://schemas.openxmlformats.org/officeDocument/2006/relationships/styles" Target="styles.xml"/><Relationship Id="rId10" Type="http://schemas.openxmlformats.org/officeDocument/2006/relationships/hyperlink" Target="http://www.bls.gov/bls/blswage.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438ADE306BBD4C879743C06DE7F1B0" ma:contentTypeVersion="9" ma:contentTypeDescription="Create a new document." ma:contentTypeScope="" ma:versionID="f0d387f4f5195d237ddcce474e5b063e">
  <xsd:schema xmlns:xsd="http://www.w3.org/2001/XMLSchema" xmlns:xs="http://www.w3.org/2001/XMLSchema" xmlns:p="http://schemas.microsoft.com/office/2006/metadata/properties" xmlns:ns3="0dbcd9f0-23a8-4eff-87c1-d5b59df4c059" xmlns:ns4="f3fc41b0-b977-4acf-bc81-c443fad732a4" targetNamespace="http://schemas.microsoft.com/office/2006/metadata/properties" ma:root="true" ma:fieldsID="1fe7b75df0363ffe179ce134280dbef0" ns3:_="" ns4:_="">
    <xsd:import namespace="0dbcd9f0-23a8-4eff-87c1-d5b59df4c059"/>
    <xsd:import namespace="f3fc41b0-b977-4acf-bc81-c443fad732a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cd9f0-23a8-4eff-87c1-d5b59df4c05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fc41b0-b977-4acf-bc81-c443fad732a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C502E2-7AFF-4B37-B9B6-702A65C22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cd9f0-23a8-4eff-87c1-d5b59df4c059"/>
    <ds:schemaRef ds:uri="f3fc41b0-b977-4acf-bc81-c443fad73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979D71-3CCD-4928-AE3C-8FB81677CD10}">
  <ds:schemaRefs>
    <ds:schemaRef ds:uri="http://schemas.microsoft.com/sharepoint/v3/contenttype/forms"/>
  </ds:schemaRefs>
</ds:datastoreItem>
</file>

<file path=customXml/itemProps3.xml><?xml version="1.0" encoding="utf-8"?>
<ds:datastoreItem xmlns:ds="http://schemas.openxmlformats.org/officeDocument/2006/customXml" ds:itemID="{23A797F5-03FE-4D39-BC3A-ACC356E605AD}">
  <ds:schemaRefs>
    <ds:schemaRef ds:uri="http://purl.org/dc/elements/1.1/"/>
    <ds:schemaRef ds:uri="0dbcd9f0-23a8-4eff-87c1-d5b59df4c059"/>
    <ds:schemaRef ds:uri="http://schemas.microsoft.com/office/infopath/2007/PartnerControls"/>
    <ds:schemaRef ds:uri="http://purl.org/dc/terms/"/>
    <ds:schemaRef ds:uri="http://schemas.openxmlformats.org/package/2006/metadata/core-properties"/>
    <ds:schemaRef ds:uri="f3fc41b0-b977-4acf-bc81-c443fad732a4"/>
    <ds:schemaRef ds:uri="http://schemas.microsoft.com/office/2006/documentManagement/typ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1531</Words>
  <Characters>8728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Supporting Statement - Be The Match Donation Experience Generic FINAL</vt:lpstr>
    </vt:vector>
  </TitlesOfParts>
  <Company>HRSA</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Be The Match Donation Experience Generic FINAL</dc:title>
  <dc:subject/>
  <dc:creator>Elyana N.  Bowman</dc:creator>
  <cp:keywords/>
  <dc:description/>
  <cp:lastModifiedBy>Roland, Joella (HRSA)</cp:lastModifiedBy>
  <cp:revision>9</cp:revision>
  <cp:lastPrinted>2022-03-14T14:20:00Z</cp:lastPrinted>
  <dcterms:created xsi:type="dcterms:W3CDTF">2022-03-15T13:39:00Z</dcterms:created>
  <dcterms:modified xsi:type="dcterms:W3CDTF">2022-03-22T19:12:00Z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0x01010033438ADE306BBD4C879743C06DE7F1B0</vt:lpwstr>
  </property>
  <property fmtid="{D5CDD505-2E9C-101B-9397-08002B2CF9AE}" pid="3" name="Order">
    <vt:r8>2285000</vt:r8>
  </property>
  <property fmtid="{D5CDD505-2E9C-101B-9397-08002B2CF9AE}" pid="4" name="_dlc_DocIdItemGuid">
    <vt:lpwstr>51e31ca6-93bb-4801-94a3-3b9b5bef1a8a</vt:lpwstr>
  </property>
</Properties>
</file>