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2D8F" w:rsidRPr="00F77C61" w:rsidP="003E2335" w14:paraId="35A2080D" w14:textId="77777777">
      <w:pPr>
        <w:spacing w:after="0"/>
        <w:jc w:val="center"/>
        <w:rPr>
          <w:rFonts w:cstheme="minorHAnsi"/>
          <w:sz w:val="24"/>
          <w:szCs w:val="24"/>
        </w:rPr>
      </w:pPr>
    </w:p>
    <w:p w:rsidR="00F42D8F" w:rsidRPr="00F77C61" w:rsidP="003E2335" w14:paraId="241BA6A1" w14:textId="77777777">
      <w:pPr>
        <w:spacing w:after="0"/>
        <w:jc w:val="center"/>
        <w:rPr>
          <w:rFonts w:cstheme="minorHAnsi"/>
          <w:sz w:val="24"/>
          <w:szCs w:val="24"/>
        </w:rPr>
      </w:pPr>
    </w:p>
    <w:p w:rsidR="00F42D8F" w:rsidRPr="00F77C61" w:rsidP="003E2335" w14:paraId="53D4220A" w14:textId="3DF533C2">
      <w:pPr>
        <w:spacing w:after="0"/>
        <w:jc w:val="center"/>
        <w:rPr>
          <w:rFonts w:cstheme="minorHAnsi"/>
          <w:b/>
          <w:sz w:val="24"/>
          <w:szCs w:val="24"/>
        </w:rPr>
      </w:pPr>
    </w:p>
    <w:p w:rsidR="38EF331E" w:rsidRPr="00F77C61" w:rsidP="67AC4A89" w14:paraId="7166D9EB" w14:textId="3477658E">
      <w:pPr>
        <w:spacing w:after="0"/>
        <w:jc w:val="center"/>
        <w:rPr>
          <w:rFonts w:cstheme="minorHAnsi"/>
          <w:b/>
          <w:bCs/>
          <w:sz w:val="24"/>
          <w:szCs w:val="24"/>
        </w:rPr>
      </w:pPr>
      <w:r w:rsidRPr="00F77C61">
        <w:rPr>
          <w:rFonts w:cstheme="minorHAnsi"/>
          <w:b/>
          <w:bCs/>
          <w:sz w:val="24"/>
          <w:szCs w:val="24"/>
        </w:rPr>
        <w:t xml:space="preserve"> </w:t>
      </w:r>
    </w:p>
    <w:p w:rsidR="00550E63" w:rsidRPr="00F77C61" w:rsidP="003E2335" w14:paraId="6F431DC4" w14:textId="57186564">
      <w:pPr>
        <w:spacing w:after="0"/>
        <w:jc w:val="center"/>
        <w:rPr>
          <w:rFonts w:cstheme="minorHAnsi"/>
          <w:b/>
          <w:bCs/>
          <w:sz w:val="24"/>
          <w:szCs w:val="24"/>
        </w:rPr>
      </w:pPr>
    </w:p>
    <w:p w:rsidR="38EF331E" w:rsidRPr="00F77C61" w:rsidP="00F06F57" w14:paraId="065CEAF9" w14:textId="0AEC78AF">
      <w:pPr>
        <w:spacing w:after="0" w:line="240" w:lineRule="auto"/>
        <w:jc w:val="center"/>
        <w:rPr>
          <w:rFonts w:eastAsia="Arial" w:cstheme="minorHAnsi"/>
          <w:b/>
          <w:bCs/>
          <w:sz w:val="24"/>
          <w:szCs w:val="24"/>
        </w:rPr>
      </w:pPr>
      <w:bookmarkStart w:id="0" w:name="_Hlk127471266"/>
      <w:r w:rsidRPr="00F77C61">
        <w:rPr>
          <w:rFonts w:eastAsia="Arial" w:cstheme="minorHAnsi"/>
          <w:b/>
          <w:bCs/>
          <w:sz w:val="24"/>
          <w:szCs w:val="24"/>
        </w:rPr>
        <w:t>Evaluation of Health</w:t>
      </w:r>
      <w:r w:rsidR="0082198C">
        <w:rPr>
          <w:rFonts w:eastAsia="Arial" w:cstheme="minorHAnsi"/>
          <w:b/>
          <w:bCs/>
          <w:sz w:val="24"/>
          <w:szCs w:val="24"/>
        </w:rPr>
        <w:t>care</w:t>
      </w:r>
      <w:r w:rsidRPr="00F77C61">
        <w:rPr>
          <w:rFonts w:eastAsia="Arial" w:cstheme="minorHAnsi"/>
          <w:b/>
          <w:bCs/>
          <w:sz w:val="24"/>
          <w:szCs w:val="24"/>
        </w:rPr>
        <w:t xml:space="preserve"> Worker Mental Health Campaign</w:t>
      </w:r>
    </w:p>
    <w:bookmarkEnd w:id="0"/>
    <w:p w:rsidR="5765EAEC" w:rsidRPr="00F77C61" w:rsidP="0080341A" w14:paraId="38563B8F" w14:textId="0172FABF">
      <w:pPr>
        <w:spacing w:after="0" w:line="240" w:lineRule="auto"/>
        <w:jc w:val="center"/>
        <w:rPr>
          <w:rFonts w:eastAsia="Arial" w:cstheme="minorHAnsi"/>
          <w:sz w:val="24"/>
          <w:szCs w:val="24"/>
        </w:rPr>
      </w:pPr>
      <w:r w:rsidRPr="00F77C61">
        <w:rPr>
          <w:rFonts w:eastAsia="Arial" w:cstheme="minorHAnsi"/>
          <w:sz w:val="24"/>
          <w:szCs w:val="24"/>
        </w:rPr>
        <w:t xml:space="preserve">Request for Office of Management and Budget Review and Approval </w:t>
      </w:r>
    </w:p>
    <w:p w:rsidR="5765EAEC" w:rsidRPr="00F77C61" w:rsidP="0080341A" w14:paraId="4EDCCEB1" w14:textId="36AB8451">
      <w:pPr>
        <w:spacing w:after="0" w:line="240" w:lineRule="auto"/>
        <w:jc w:val="center"/>
        <w:rPr>
          <w:rFonts w:eastAsia="Arial" w:cstheme="minorHAnsi"/>
          <w:sz w:val="24"/>
          <w:szCs w:val="24"/>
        </w:rPr>
      </w:pPr>
      <w:r w:rsidRPr="00F77C61">
        <w:rPr>
          <w:rFonts w:eastAsia="Arial" w:cstheme="minorHAnsi"/>
          <w:sz w:val="24"/>
          <w:szCs w:val="24"/>
        </w:rPr>
        <w:t>for Federally Sponsored Data Collection</w:t>
      </w:r>
    </w:p>
    <w:p w:rsidR="00F42D8F" w:rsidRPr="00F77C61" w:rsidP="67AC4A89" w14:paraId="56F90D94" w14:textId="6A88AFE9">
      <w:pPr>
        <w:spacing w:after="0" w:line="240" w:lineRule="auto"/>
        <w:jc w:val="center"/>
        <w:rPr>
          <w:rFonts w:eastAsia="Times New Roman" w:cstheme="minorHAnsi"/>
          <w:b/>
          <w:bCs/>
          <w:sz w:val="24"/>
          <w:szCs w:val="24"/>
        </w:rPr>
      </w:pPr>
    </w:p>
    <w:p w:rsidR="00F42D8F" w:rsidRPr="00F77C61" w:rsidP="003E2335" w14:paraId="2B8AC986" w14:textId="77777777">
      <w:pPr>
        <w:spacing w:after="0"/>
        <w:jc w:val="center"/>
        <w:rPr>
          <w:rFonts w:cstheme="minorHAnsi"/>
          <w:sz w:val="24"/>
          <w:szCs w:val="24"/>
        </w:rPr>
      </w:pPr>
      <w:r w:rsidRPr="00F77C61">
        <w:rPr>
          <w:rFonts w:cstheme="minorHAnsi"/>
          <w:sz w:val="24"/>
          <w:szCs w:val="24"/>
        </w:rPr>
        <w:t xml:space="preserve">Supporting </w:t>
      </w:r>
      <w:r w:rsidRPr="00F77C61">
        <w:rPr>
          <w:rFonts w:cstheme="minorHAnsi"/>
          <w:sz w:val="24"/>
          <w:szCs w:val="24"/>
        </w:rPr>
        <w:t>Statement</w:t>
      </w:r>
      <w:r w:rsidRPr="00F77C61">
        <w:rPr>
          <w:rFonts w:cstheme="minorHAnsi"/>
          <w:sz w:val="24"/>
          <w:szCs w:val="24"/>
        </w:rPr>
        <w:t xml:space="preserve"> A</w:t>
      </w:r>
    </w:p>
    <w:p w:rsidR="00F42D8F" w:rsidRPr="00F77C61" w:rsidP="003E2335" w14:paraId="0661DC98" w14:textId="77777777">
      <w:pPr>
        <w:spacing w:after="0"/>
        <w:jc w:val="center"/>
        <w:rPr>
          <w:rFonts w:cstheme="minorHAnsi"/>
          <w:sz w:val="24"/>
          <w:szCs w:val="24"/>
        </w:rPr>
      </w:pPr>
    </w:p>
    <w:p w:rsidR="00F42D8F" w:rsidRPr="00F77C61" w:rsidP="003E2335" w14:paraId="73586E8F" w14:textId="77777777">
      <w:pPr>
        <w:spacing w:after="0"/>
        <w:jc w:val="center"/>
        <w:rPr>
          <w:rFonts w:cstheme="minorHAnsi"/>
          <w:sz w:val="24"/>
          <w:szCs w:val="24"/>
        </w:rPr>
      </w:pPr>
    </w:p>
    <w:p w:rsidR="38EF331E" w:rsidRPr="00F77C61" w:rsidP="003E2335" w14:paraId="14161F04" w14:textId="44C3B22D">
      <w:pPr>
        <w:spacing w:after="0"/>
        <w:jc w:val="center"/>
        <w:rPr>
          <w:rFonts w:cstheme="minorHAnsi"/>
          <w:sz w:val="24"/>
          <w:szCs w:val="24"/>
        </w:rPr>
      </w:pPr>
      <w:r>
        <w:rPr>
          <w:rFonts w:cstheme="minorHAnsi"/>
          <w:sz w:val="24"/>
          <w:szCs w:val="24"/>
        </w:rPr>
        <w:t>February 16</w:t>
      </w:r>
      <w:r w:rsidRPr="00F77C61" w:rsidR="67AC4A89">
        <w:rPr>
          <w:rFonts w:cstheme="minorHAnsi"/>
          <w:sz w:val="24"/>
          <w:szCs w:val="24"/>
        </w:rPr>
        <w:t>, 202</w:t>
      </w:r>
      <w:r>
        <w:rPr>
          <w:rFonts w:cstheme="minorHAnsi"/>
          <w:sz w:val="24"/>
          <w:szCs w:val="24"/>
        </w:rPr>
        <w:t>3</w:t>
      </w:r>
    </w:p>
    <w:p w:rsidR="00F42D8F" w:rsidRPr="00F77C61" w:rsidP="003E2335" w14:paraId="7DBE0739" w14:textId="77777777">
      <w:pPr>
        <w:spacing w:after="0"/>
        <w:jc w:val="center"/>
        <w:rPr>
          <w:rFonts w:cstheme="minorHAnsi"/>
          <w:sz w:val="24"/>
          <w:szCs w:val="24"/>
        </w:rPr>
      </w:pPr>
    </w:p>
    <w:p w:rsidR="00F42D8F" w:rsidRPr="00F77C61" w:rsidP="003E2335" w14:paraId="7E28123C" w14:textId="77777777">
      <w:pPr>
        <w:spacing w:after="0"/>
        <w:jc w:val="center"/>
        <w:rPr>
          <w:rFonts w:cstheme="minorHAnsi"/>
          <w:sz w:val="24"/>
          <w:szCs w:val="24"/>
        </w:rPr>
      </w:pPr>
    </w:p>
    <w:p w:rsidR="00F42D8F" w:rsidRPr="00F77C61" w:rsidP="003E2335" w14:paraId="625083CD" w14:textId="36540F09">
      <w:pPr>
        <w:spacing w:after="0"/>
        <w:jc w:val="center"/>
        <w:rPr>
          <w:rFonts w:cstheme="minorHAnsi"/>
          <w:sz w:val="24"/>
          <w:szCs w:val="24"/>
        </w:rPr>
      </w:pPr>
    </w:p>
    <w:p w:rsidR="001E5307" w:rsidRPr="00F77C61" w:rsidP="67AC4A89" w14:paraId="51B0812B" w14:textId="4FFE023D">
      <w:pPr>
        <w:spacing w:after="0"/>
        <w:jc w:val="center"/>
        <w:rPr>
          <w:rFonts w:cstheme="minorHAnsi"/>
          <w:sz w:val="24"/>
          <w:szCs w:val="24"/>
        </w:rPr>
      </w:pPr>
      <w:r w:rsidRPr="00F77C61">
        <w:rPr>
          <w:rFonts w:cstheme="minorHAnsi"/>
          <w:sz w:val="24"/>
          <w:szCs w:val="24"/>
        </w:rPr>
        <w:t>Contact Information:</w:t>
      </w:r>
    </w:p>
    <w:p w:rsidR="001E5307" w:rsidRPr="00F77C61" w:rsidP="67AC4A89" w14:paraId="089227D7" w14:textId="4A640299">
      <w:pPr>
        <w:spacing w:after="0"/>
        <w:jc w:val="center"/>
        <w:rPr>
          <w:rFonts w:cstheme="minorHAnsi"/>
          <w:sz w:val="24"/>
          <w:szCs w:val="24"/>
        </w:rPr>
      </w:pPr>
      <w:r w:rsidRPr="00F77C61">
        <w:rPr>
          <w:rFonts w:cstheme="minorHAnsi"/>
          <w:sz w:val="24"/>
          <w:szCs w:val="24"/>
        </w:rPr>
        <w:t>Amia Downes</w:t>
      </w:r>
    </w:p>
    <w:p w:rsidR="001E5307" w:rsidRPr="00F77C61" w:rsidP="67AC4A89" w14:paraId="3157A89B" w14:textId="20FB0982">
      <w:pPr>
        <w:spacing w:after="0"/>
        <w:jc w:val="center"/>
        <w:rPr>
          <w:rFonts w:cstheme="minorHAnsi"/>
          <w:sz w:val="24"/>
          <w:szCs w:val="24"/>
        </w:rPr>
      </w:pPr>
      <w:r w:rsidRPr="00F77C61">
        <w:rPr>
          <w:rFonts w:cstheme="minorHAnsi"/>
          <w:sz w:val="24"/>
          <w:szCs w:val="24"/>
        </w:rPr>
        <w:t>CDC/NIOSH/OD</w:t>
      </w:r>
    </w:p>
    <w:p w:rsidR="001E5307" w:rsidRPr="00F77C61" w:rsidP="67AC4A89" w14:paraId="0A839370" w14:textId="140B0D79">
      <w:pPr>
        <w:spacing w:after="0"/>
        <w:jc w:val="center"/>
        <w:rPr>
          <w:rFonts w:cstheme="minorHAnsi"/>
          <w:sz w:val="24"/>
          <w:szCs w:val="24"/>
        </w:rPr>
      </w:pPr>
      <w:r w:rsidRPr="00F77C61">
        <w:rPr>
          <w:rFonts w:cstheme="minorHAnsi"/>
          <w:sz w:val="24"/>
          <w:szCs w:val="24"/>
        </w:rPr>
        <w:t>(404)</w:t>
      </w:r>
      <w:r w:rsidRPr="00F77C61" w:rsidR="53035226">
        <w:rPr>
          <w:rFonts w:cstheme="minorHAnsi"/>
          <w:sz w:val="24"/>
          <w:szCs w:val="24"/>
        </w:rPr>
        <w:t xml:space="preserve"> </w:t>
      </w:r>
      <w:r w:rsidRPr="00F77C61">
        <w:rPr>
          <w:rFonts w:cstheme="minorHAnsi"/>
          <w:sz w:val="24"/>
          <w:szCs w:val="24"/>
        </w:rPr>
        <w:t>498-2544</w:t>
      </w:r>
    </w:p>
    <w:p w:rsidR="001E5307" w:rsidRPr="00F77C61" w:rsidP="67AC4A89" w14:paraId="70CAEBD6" w14:textId="58066803">
      <w:pPr>
        <w:spacing w:after="0"/>
        <w:jc w:val="center"/>
        <w:rPr>
          <w:rFonts w:cstheme="minorHAnsi"/>
          <w:sz w:val="24"/>
          <w:szCs w:val="24"/>
        </w:rPr>
      </w:pPr>
      <w:r w:rsidRPr="00F77C61">
        <w:rPr>
          <w:rFonts w:cstheme="minorHAnsi"/>
          <w:sz w:val="24"/>
          <w:szCs w:val="24"/>
        </w:rPr>
        <w:t>fpp1@cdc.gov</w:t>
      </w:r>
    </w:p>
    <w:p w:rsidR="001E5307" w:rsidRPr="00F77C61" w:rsidP="00605D9C" w14:paraId="74BE37EB" w14:textId="0026858E">
      <w:pPr>
        <w:spacing w:after="0"/>
        <w:jc w:val="center"/>
        <w:rPr>
          <w:rFonts w:cstheme="minorHAnsi"/>
          <w:sz w:val="24"/>
          <w:szCs w:val="24"/>
          <w:highlight w:val="yellow"/>
        </w:rPr>
      </w:pPr>
      <w:r w:rsidRPr="00F77C61">
        <w:rPr>
          <w:rFonts w:eastAsia="Times New Roman" w:cstheme="minorHAnsi"/>
          <w:b/>
          <w:bCs/>
          <w:sz w:val="24"/>
          <w:szCs w:val="24"/>
        </w:rPr>
        <w:br w:type="page"/>
      </w:r>
    </w:p>
    <w:p w:rsidR="00C03919" w:rsidRPr="00F77C61" w:rsidP="003E2335" w14:paraId="4F2B1F4B" w14:textId="040FF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hanging="360"/>
        <w:jc w:val="center"/>
        <w:rPr>
          <w:rFonts w:eastAsia="Times New Roman" w:cstheme="minorHAnsi"/>
          <w:b/>
          <w:sz w:val="24"/>
          <w:szCs w:val="24"/>
        </w:rPr>
      </w:pPr>
      <w:r w:rsidRPr="00F77C61">
        <w:rPr>
          <w:rFonts w:eastAsia="Times New Roman" w:cstheme="minorHAnsi"/>
          <w:b/>
          <w:sz w:val="24"/>
          <w:szCs w:val="24"/>
        </w:rPr>
        <w:t>Table of Contents</w:t>
      </w:r>
    </w:p>
    <w:p w:rsidR="00550E63" w:rsidRPr="00F77C61" w:rsidP="003E2335" w14:paraId="4F67E782" w14:textId="57186564">
      <w:pPr>
        <w:spacing w:after="0" w:line="240" w:lineRule="auto"/>
        <w:ind w:left="360" w:hanging="360"/>
        <w:rPr>
          <w:rFonts w:eastAsia="Times New Roman" w:cstheme="minorHAnsi"/>
          <w:b/>
        </w:rPr>
      </w:pPr>
    </w:p>
    <w:p w:rsidR="00C03919" w:rsidRPr="00F77C61" w:rsidP="67AC4A89" w14:paraId="260FCEA2" w14:textId="516204C8">
      <w:pPr>
        <w:pStyle w:val="ListParagraph"/>
        <w:spacing w:after="0" w:line="240" w:lineRule="auto"/>
        <w:ind w:left="0"/>
        <w:rPr>
          <w:rFonts w:eastAsia="Times New Roman" w:cstheme="minorHAnsi"/>
          <w:b/>
          <w:bCs/>
          <w:sz w:val="24"/>
          <w:szCs w:val="24"/>
        </w:rPr>
      </w:pPr>
      <w:r w:rsidRPr="00F77C61">
        <w:rPr>
          <w:rFonts w:eastAsia="Times New Roman" w:cstheme="minorHAnsi"/>
          <w:b/>
          <w:bCs/>
          <w:sz w:val="24"/>
          <w:szCs w:val="24"/>
        </w:rPr>
        <w:t>Justification</w:t>
      </w:r>
    </w:p>
    <w:p w:rsidR="00C03919" w:rsidRPr="00F77C61" w:rsidP="33725EA2" w14:paraId="4776D546" w14:textId="383D3446">
      <w:pPr>
        <w:numPr>
          <w:ilvl w:val="0"/>
          <w:numId w:val="4"/>
        </w:numPr>
        <w:spacing w:after="0" w:line="240" w:lineRule="auto"/>
        <w:ind w:left="360"/>
        <w:rPr>
          <w:rFonts w:eastAsia="Times New Roman" w:cstheme="minorHAnsi"/>
        </w:rPr>
      </w:pPr>
      <w:r w:rsidRPr="00F77C61">
        <w:rPr>
          <w:rFonts w:eastAsia="Times New Roman" w:cstheme="minorHAnsi"/>
        </w:rPr>
        <w:t>Circumstances Making the Collection of Information Necessary</w:t>
      </w:r>
    </w:p>
    <w:p w:rsidR="00C03919" w:rsidRPr="00F77C61" w:rsidP="33725EA2" w14:paraId="34E0AFA7" w14:textId="77777777">
      <w:pPr>
        <w:numPr>
          <w:ilvl w:val="0"/>
          <w:numId w:val="4"/>
        </w:numPr>
        <w:spacing w:after="0" w:line="240" w:lineRule="auto"/>
        <w:ind w:left="360"/>
        <w:rPr>
          <w:rFonts w:eastAsia="Times New Roman" w:cstheme="minorHAnsi"/>
        </w:rPr>
      </w:pPr>
      <w:r w:rsidRPr="00F77C61">
        <w:rPr>
          <w:rFonts w:eastAsia="Times New Roman" w:cstheme="minorHAnsi"/>
        </w:rPr>
        <w:t>Purpose and Use of the Information Collection</w:t>
      </w:r>
    </w:p>
    <w:p w:rsidR="00C03919" w:rsidRPr="00F77C61" w:rsidP="33725EA2" w14:paraId="2ABF6F9D" w14:textId="77777777">
      <w:pPr>
        <w:numPr>
          <w:ilvl w:val="0"/>
          <w:numId w:val="4"/>
        </w:numPr>
        <w:spacing w:after="0" w:line="240" w:lineRule="auto"/>
        <w:ind w:left="360"/>
        <w:rPr>
          <w:rFonts w:eastAsia="Times New Roman" w:cstheme="minorHAnsi"/>
        </w:rPr>
      </w:pPr>
      <w:r w:rsidRPr="00F77C61">
        <w:rPr>
          <w:rFonts w:eastAsia="Times New Roman" w:cstheme="minorHAnsi"/>
        </w:rPr>
        <w:t>Use of Improved Information Technology and Burden Reduction</w:t>
      </w:r>
    </w:p>
    <w:p w:rsidR="00C03919" w:rsidRPr="00F77C61" w:rsidP="33725EA2" w14:paraId="0D299AA0" w14:textId="77777777">
      <w:pPr>
        <w:numPr>
          <w:ilvl w:val="0"/>
          <w:numId w:val="4"/>
        </w:numPr>
        <w:spacing w:after="0" w:line="240" w:lineRule="auto"/>
        <w:ind w:left="360"/>
        <w:rPr>
          <w:rFonts w:eastAsia="Times New Roman" w:cstheme="minorHAnsi"/>
        </w:rPr>
      </w:pPr>
      <w:r w:rsidRPr="00F77C61">
        <w:rPr>
          <w:rFonts w:eastAsia="Times New Roman" w:cstheme="minorHAnsi"/>
        </w:rPr>
        <w:t>Efforts to Identify Duplication and Use of Similar Information</w:t>
      </w:r>
    </w:p>
    <w:p w:rsidR="00C03919" w:rsidRPr="00F77C61" w:rsidP="33725EA2" w14:paraId="101DB5A2" w14:textId="77777777">
      <w:pPr>
        <w:numPr>
          <w:ilvl w:val="0"/>
          <w:numId w:val="4"/>
        </w:numPr>
        <w:spacing w:after="0" w:line="240" w:lineRule="auto"/>
        <w:ind w:left="360"/>
        <w:rPr>
          <w:rFonts w:eastAsia="Times New Roman" w:cstheme="minorHAnsi"/>
        </w:rPr>
      </w:pPr>
      <w:r w:rsidRPr="00F77C61">
        <w:rPr>
          <w:rFonts w:eastAsia="Times New Roman" w:cstheme="minorHAnsi"/>
        </w:rPr>
        <w:t>Impact on Small Businesses or Other Small Entities</w:t>
      </w:r>
    </w:p>
    <w:p w:rsidR="00C03919" w:rsidRPr="00F77C61" w:rsidP="33725EA2" w14:paraId="5ECDC298" w14:textId="77777777">
      <w:pPr>
        <w:numPr>
          <w:ilvl w:val="0"/>
          <w:numId w:val="4"/>
        </w:numPr>
        <w:spacing w:after="0" w:line="240" w:lineRule="auto"/>
        <w:ind w:left="360"/>
        <w:rPr>
          <w:rFonts w:eastAsia="Times New Roman" w:cstheme="minorHAnsi"/>
        </w:rPr>
      </w:pPr>
      <w:r w:rsidRPr="00F77C61">
        <w:rPr>
          <w:rFonts w:eastAsia="Times New Roman" w:cstheme="minorHAnsi"/>
        </w:rPr>
        <w:t>Consequences of Collecting the Information Less Frequently</w:t>
      </w:r>
    </w:p>
    <w:p w:rsidR="00C03919" w:rsidRPr="00F77C61" w:rsidP="33725EA2" w14:paraId="16AF2AA5" w14:textId="77777777">
      <w:pPr>
        <w:numPr>
          <w:ilvl w:val="0"/>
          <w:numId w:val="4"/>
        </w:numPr>
        <w:spacing w:after="0" w:line="240" w:lineRule="auto"/>
        <w:ind w:left="360"/>
        <w:rPr>
          <w:rFonts w:eastAsia="Times New Roman" w:cstheme="minorHAnsi"/>
        </w:rPr>
      </w:pPr>
      <w:r w:rsidRPr="00F77C61">
        <w:rPr>
          <w:rFonts w:eastAsia="Times New Roman" w:cstheme="minorHAnsi"/>
        </w:rPr>
        <w:t>Special Circumstances Relating to the Guidelines of 5 CFR 1320.5</w:t>
      </w:r>
    </w:p>
    <w:p w:rsidR="00C03919" w:rsidRPr="00F77C61" w:rsidP="33725EA2" w14:paraId="5903C538" w14:textId="77777777">
      <w:pPr>
        <w:numPr>
          <w:ilvl w:val="0"/>
          <w:numId w:val="4"/>
        </w:numPr>
        <w:spacing w:after="0" w:line="240" w:lineRule="auto"/>
        <w:ind w:left="360"/>
        <w:rPr>
          <w:rFonts w:eastAsia="Times New Roman" w:cstheme="minorHAnsi"/>
        </w:rPr>
      </w:pPr>
      <w:r w:rsidRPr="00F77C61">
        <w:rPr>
          <w:rFonts w:eastAsia="Times New Roman" w:cstheme="minorHAnsi"/>
        </w:rPr>
        <w:t>Comments in Response to the Federal Register Notice and Efforts to Consult Outside the Agency</w:t>
      </w:r>
    </w:p>
    <w:p w:rsidR="00C03919" w:rsidRPr="00F77C61" w:rsidP="33725EA2" w14:paraId="00B1E7EA" w14:textId="77777777">
      <w:pPr>
        <w:numPr>
          <w:ilvl w:val="0"/>
          <w:numId w:val="4"/>
        </w:numPr>
        <w:spacing w:after="0" w:line="240" w:lineRule="auto"/>
        <w:ind w:left="360"/>
        <w:rPr>
          <w:rFonts w:eastAsia="Times New Roman" w:cstheme="minorHAnsi"/>
        </w:rPr>
      </w:pPr>
      <w:r w:rsidRPr="00F77C61">
        <w:rPr>
          <w:rFonts w:eastAsia="Times New Roman" w:cstheme="minorHAnsi"/>
        </w:rPr>
        <w:t>Explanation of Any Payment or Gift to Respondents</w:t>
      </w:r>
    </w:p>
    <w:p w:rsidR="00C03919" w:rsidRPr="00F77C61" w:rsidP="33725EA2" w14:paraId="441AA512" w14:textId="77777777">
      <w:pPr>
        <w:numPr>
          <w:ilvl w:val="0"/>
          <w:numId w:val="4"/>
        </w:numPr>
        <w:spacing w:after="0" w:line="240" w:lineRule="auto"/>
        <w:ind w:left="360"/>
        <w:rPr>
          <w:rFonts w:eastAsia="Times New Roman" w:cstheme="minorHAnsi"/>
        </w:rPr>
      </w:pPr>
      <w:r w:rsidRPr="00F77C61">
        <w:rPr>
          <w:rFonts w:eastAsia="Times New Roman" w:cstheme="minorHAnsi"/>
        </w:rPr>
        <w:t>Protection of the Privacy and Confidentiality of Information Provided to Respondents</w:t>
      </w:r>
    </w:p>
    <w:p w:rsidR="00C03919" w:rsidRPr="00F77C61" w:rsidP="33725EA2" w14:paraId="4D3B6BB2" w14:textId="77777777">
      <w:pPr>
        <w:numPr>
          <w:ilvl w:val="0"/>
          <w:numId w:val="4"/>
        </w:numPr>
        <w:spacing w:after="0" w:line="240" w:lineRule="auto"/>
        <w:ind w:left="360"/>
        <w:rPr>
          <w:rFonts w:eastAsia="Times New Roman" w:cstheme="minorHAnsi"/>
        </w:rPr>
      </w:pPr>
      <w:r w:rsidRPr="00F77C61">
        <w:rPr>
          <w:rFonts w:eastAsia="Times New Roman" w:cstheme="minorHAnsi"/>
        </w:rPr>
        <w:t>Institutional Review Board (IRB) and Justification for Sensitive Questions</w:t>
      </w:r>
    </w:p>
    <w:p w:rsidR="00C03919" w:rsidRPr="00F77C61" w:rsidP="33725EA2" w14:paraId="7B9F6DE4" w14:textId="77777777">
      <w:pPr>
        <w:numPr>
          <w:ilvl w:val="0"/>
          <w:numId w:val="4"/>
        </w:numPr>
        <w:spacing w:after="0" w:line="240" w:lineRule="auto"/>
        <w:ind w:left="360"/>
        <w:rPr>
          <w:rFonts w:eastAsia="Times New Roman" w:cstheme="minorHAnsi"/>
        </w:rPr>
      </w:pPr>
      <w:r w:rsidRPr="00F77C61">
        <w:rPr>
          <w:rFonts w:eastAsia="Times New Roman" w:cstheme="minorHAnsi"/>
        </w:rPr>
        <w:t>Estimates of Annualized Burden Hours and Costs</w:t>
      </w:r>
    </w:p>
    <w:p w:rsidR="00C03919" w:rsidRPr="00F77C61" w:rsidP="33725EA2" w14:paraId="2E47C90D" w14:textId="77777777">
      <w:pPr>
        <w:numPr>
          <w:ilvl w:val="0"/>
          <w:numId w:val="4"/>
        </w:numPr>
        <w:spacing w:after="0" w:line="240" w:lineRule="auto"/>
        <w:ind w:left="360"/>
        <w:rPr>
          <w:rFonts w:eastAsia="Times New Roman" w:cstheme="minorHAnsi"/>
        </w:rPr>
      </w:pPr>
      <w:r w:rsidRPr="00F77C61">
        <w:rPr>
          <w:rFonts w:eastAsia="Times New Roman" w:cstheme="minorHAnsi"/>
        </w:rPr>
        <w:t>Estimates of Other Total Annual Cost Burden to Respondents and Record Keepers</w:t>
      </w:r>
    </w:p>
    <w:p w:rsidR="00C03919" w:rsidRPr="00F77C61" w:rsidP="33725EA2" w14:paraId="12F8D011" w14:textId="77777777">
      <w:pPr>
        <w:numPr>
          <w:ilvl w:val="0"/>
          <w:numId w:val="4"/>
        </w:numPr>
        <w:spacing w:after="0" w:line="240" w:lineRule="auto"/>
        <w:ind w:left="360"/>
        <w:rPr>
          <w:rFonts w:eastAsia="Times New Roman" w:cstheme="minorHAnsi"/>
        </w:rPr>
      </w:pPr>
      <w:r w:rsidRPr="00F77C61">
        <w:rPr>
          <w:rFonts w:eastAsia="Times New Roman" w:cstheme="minorHAnsi"/>
        </w:rPr>
        <w:t>Annualized Cost to the Federal Government</w:t>
      </w:r>
    </w:p>
    <w:p w:rsidR="00C03919" w:rsidRPr="00F77C61" w:rsidP="33725EA2" w14:paraId="6E52D591" w14:textId="77777777">
      <w:pPr>
        <w:numPr>
          <w:ilvl w:val="0"/>
          <w:numId w:val="4"/>
        </w:numPr>
        <w:spacing w:after="0" w:line="240" w:lineRule="auto"/>
        <w:ind w:left="360"/>
        <w:rPr>
          <w:rFonts w:eastAsia="Times New Roman" w:cstheme="minorHAnsi"/>
        </w:rPr>
      </w:pPr>
      <w:r w:rsidRPr="00F77C61">
        <w:rPr>
          <w:rFonts w:eastAsia="Times New Roman" w:cstheme="minorHAnsi"/>
        </w:rPr>
        <w:t>Explanation for Program Changes or Adjustments</w:t>
      </w:r>
    </w:p>
    <w:p w:rsidR="00C03919" w:rsidRPr="00F77C61" w:rsidP="33725EA2" w14:paraId="7AD8211F" w14:textId="77777777">
      <w:pPr>
        <w:numPr>
          <w:ilvl w:val="0"/>
          <w:numId w:val="4"/>
        </w:numPr>
        <w:spacing w:after="0" w:line="240" w:lineRule="auto"/>
        <w:ind w:left="360"/>
        <w:rPr>
          <w:rFonts w:eastAsia="Times New Roman" w:cstheme="minorHAnsi"/>
        </w:rPr>
      </w:pPr>
      <w:r w:rsidRPr="00F77C61">
        <w:rPr>
          <w:rFonts w:eastAsia="Times New Roman" w:cstheme="minorHAnsi"/>
        </w:rPr>
        <w:t>Plans for Tabulation and Publication and Project Time Schedule</w:t>
      </w:r>
    </w:p>
    <w:p w:rsidR="00C03919" w:rsidRPr="00F77C61" w:rsidP="33725EA2" w14:paraId="507B8F6E" w14:textId="77777777">
      <w:pPr>
        <w:numPr>
          <w:ilvl w:val="0"/>
          <w:numId w:val="4"/>
        </w:numPr>
        <w:spacing w:after="0" w:line="240" w:lineRule="auto"/>
        <w:ind w:left="360"/>
        <w:rPr>
          <w:rFonts w:eastAsia="Times New Roman" w:cstheme="minorHAnsi"/>
        </w:rPr>
      </w:pPr>
      <w:r w:rsidRPr="00F77C61">
        <w:rPr>
          <w:rFonts w:eastAsia="Times New Roman" w:cstheme="minorHAnsi"/>
        </w:rPr>
        <w:t>Reason(s) Display of OMB Expiration Date is Inappropriate</w:t>
      </w:r>
    </w:p>
    <w:p w:rsidR="00C03919" w:rsidRPr="00F77C61" w:rsidP="33725EA2" w14:paraId="2F3A61D4" w14:textId="77777777">
      <w:pPr>
        <w:numPr>
          <w:ilvl w:val="0"/>
          <w:numId w:val="4"/>
        </w:numPr>
        <w:spacing w:after="0" w:line="240" w:lineRule="auto"/>
        <w:ind w:left="360"/>
        <w:rPr>
          <w:rFonts w:eastAsia="Times New Roman" w:cstheme="minorHAnsi"/>
        </w:rPr>
      </w:pPr>
      <w:r w:rsidRPr="00F77C61">
        <w:rPr>
          <w:rFonts w:eastAsia="Times New Roman" w:cstheme="minorHAnsi"/>
        </w:rPr>
        <w:t>Exceptions to Certification for Paperwork Reduction Act Submissions</w:t>
      </w:r>
    </w:p>
    <w:p w:rsidR="00987B5F" w:rsidRPr="00F77C61" w:rsidP="67AC4A89" w14:paraId="6DC7C6F2" w14:textId="77777777">
      <w:pPr>
        <w:spacing w:after="0"/>
        <w:ind w:left="360"/>
        <w:rPr>
          <w:rFonts w:cstheme="minorHAnsi"/>
          <w:sz w:val="24"/>
          <w:szCs w:val="24"/>
        </w:rPr>
      </w:pPr>
    </w:p>
    <w:p w:rsidR="00C12499" w:rsidRPr="00F77C61" w:rsidP="67AC4A89" w14:paraId="24283650" w14:textId="77777777">
      <w:pPr>
        <w:pStyle w:val="ListParagraph"/>
        <w:spacing w:after="0"/>
        <w:ind w:left="0"/>
        <w:rPr>
          <w:rFonts w:cstheme="minorHAnsi"/>
          <w:b/>
          <w:bCs/>
          <w:sz w:val="24"/>
          <w:szCs w:val="24"/>
        </w:rPr>
      </w:pPr>
      <w:r w:rsidRPr="00F77C61">
        <w:rPr>
          <w:rFonts w:cstheme="minorHAnsi"/>
          <w:b/>
          <w:bCs/>
          <w:sz w:val="24"/>
          <w:szCs w:val="24"/>
        </w:rPr>
        <w:t>Attachments</w:t>
      </w:r>
    </w:p>
    <w:p w:rsidR="00A25FCA" w:rsidP="33725EA2" w14:paraId="35B87367" w14:textId="15362E89">
      <w:pPr>
        <w:spacing w:after="0" w:line="240" w:lineRule="auto"/>
      </w:pPr>
      <w:bookmarkStart w:id="1" w:name="_Hlk93050192"/>
      <w:r w:rsidRPr="00F77C61">
        <w:rPr>
          <w:rFonts w:eastAsia="Times New Roman" w:cstheme="minorHAnsi"/>
        </w:rPr>
        <w:t>Att</w:t>
      </w:r>
      <w:r w:rsidRPr="00F77C61">
        <w:rPr>
          <w:rFonts w:eastAsia="Times New Roman" w:cstheme="minorHAnsi"/>
        </w:rPr>
        <w:t xml:space="preserve"> </w:t>
      </w:r>
      <w:r w:rsidR="0056482C">
        <w:rPr>
          <w:rFonts w:eastAsia="Times New Roman" w:cstheme="minorHAnsi"/>
        </w:rPr>
        <w:t>1a</w:t>
      </w:r>
      <w:r w:rsidRPr="00F77C61">
        <w:rPr>
          <w:rFonts w:eastAsia="Times New Roman" w:cstheme="minorHAnsi"/>
        </w:rPr>
        <w:t xml:space="preserve">. — </w:t>
      </w:r>
      <w:r w:rsidRPr="00F77C61" w:rsidR="0056482C">
        <w:t>COVID-19 American Rescue Plan of 2021</w:t>
      </w:r>
    </w:p>
    <w:p w:rsidR="0056482C" w:rsidRPr="00F77C61" w:rsidP="33725EA2" w14:paraId="5AA3FE22" w14:textId="06C38729">
      <w:pPr>
        <w:spacing w:after="0" w:line="240" w:lineRule="auto"/>
        <w:rPr>
          <w:rFonts w:eastAsia="Times New Roman" w:cstheme="minorHAnsi"/>
        </w:rPr>
      </w:pPr>
      <w:r>
        <w:t>Att</w:t>
      </w:r>
      <w:r>
        <w:t xml:space="preserve"> 1b.</w:t>
      </w:r>
      <w:r w:rsidRPr="00F77C61">
        <w:rPr>
          <w:rFonts w:eastAsia="Times New Roman" w:cstheme="minorHAnsi"/>
        </w:rPr>
        <w:t xml:space="preserve"> —</w:t>
      </w:r>
      <w:r>
        <w:rPr>
          <w:rFonts w:eastAsia="Times New Roman" w:cstheme="minorHAnsi"/>
        </w:rPr>
        <w:t xml:space="preserve"> </w:t>
      </w:r>
      <w:r w:rsidRPr="00F77C61">
        <w:t>Dr. Lorna Breen Health Care Provider Protection Act</w:t>
      </w:r>
    </w:p>
    <w:p w:rsidR="001A5538" w:rsidP="33725EA2" w14:paraId="6E036918" w14:textId="47457E00">
      <w:pPr>
        <w:spacing w:after="0" w:line="240" w:lineRule="auto"/>
        <w:rPr>
          <w:rFonts w:eastAsia="Times New Roman" w:cstheme="minorHAnsi"/>
        </w:rPr>
      </w:pPr>
      <w:r w:rsidRPr="00F77C61">
        <w:rPr>
          <w:rFonts w:eastAsia="Times New Roman" w:cstheme="minorHAnsi"/>
        </w:rPr>
        <w:t>Att</w:t>
      </w:r>
      <w:r w:rsidRPr="00F77C61">
        <w:rPr>
          <w:rFonts w:eastAsia="Times New Roman" w:cstheme="minorHAnsi"/>
        </w:rPr>
        <w:t xml:space="preserve"> </w:t>
      </w:r>
      <w:r w:rsidR="0056482C">
        <w:rPr>
          <w:rFonts w:eastAsia="Times New Roman" w:cstheme="minorHAnsi"/>
        </w:rPr>
        <w:t>2a</w:t>
      </w:r>
      <w:r w:rsidRPr="00F77C61">
        <w:rPr>
          <w:rFonts w:eastAsia="Times New Roman" w:cstheme="minorHAnsi"/>
        </w:rPr>
        <w:t xml:space="preserve">. — </w:t>
      </w:r>
      <w:r w:rsidR="0056482C">
        <w:rPr>
          <w:rFonts w:eastAsia="Times New Roman" w:cstheme="minorHAnsi"/>
        </w:rPr>
        <w:t>60 day</w:t>
      </w:r>
      <w:r w:rsidR="0056482C">
        <w:rPr>
          <w:rFonts w:eastAsia="Times New Roman" w:cstheme="minorHAnsi"/>
        </w:rPr>
        <w:t xml:space="preserve"> </w:t>
      </w:r>
      <w:r w:rsidRPr="00F77C61">
        <w:rPr>
          <w:rFonts w:eastAsia="Times New Roman" w:cstheme="minorHAnsi"/>
        </w:rPr>
        <w:t>FRN</w:t>
      </w:r>
    </w:p>
    <w:p w:rsidR="0056482C" w:rsidRPr="00F77C61" w:rsidP="33725EA2" w14:paraId="4FFFA921" w14:textId="4AE33905">
      <w:pPr>
        <w:spacing w:after="0" w:line="240" w:lineRule="auto"/>
        <w:rPr>
          <w:rFonts w:eastAsia="Times New Roman" w:cstheme="minorHAnsi"/>
        </w:rPr>
      </w:pPr>
      <w:r>
        <w:rPr>
          <w:rFonts w:eastAsia="Times New Roman" w:cstheme="minorHAnsi"/>
        </w:rPr>
        <w:t>Att</w:t>
      </w:r>
      <w:r>
        <w:rPr>
          <w:rFonts w:eastAsia="Times New Roman" w:cstheme="minorHAnsi"/>
        </w:rPr>
        <w:t xml:space="preserve"> 2b.</w:t>
      </w:r>
      <w:r w:rsidRPr="0056482C">
        <w:rPr>
          <w:rFonts w:eastAsia="Times New Roman" w:cstheme="minorHAnsi"/>
        </w:rPr>
        <w:t xml:space="preserve"> </w:t>
      </w:r>
      <w:r w:rsidRPr="00F77C61">
        <w:rPr>
          <w:rFonts w:eastAsia="Times New Roman" w:cstheme="minorHAnsi"/>
        </w:rPr>
        <w:t xml:space="preserve">— </w:t>
      </w:r>
      <w:r>
        <w:rPr>
          <w:rFonts w:eastAsia="Times New Roman" w:cstheme="minorHAnsi"/>
        </w:rPr>
        <w:t>60 day</w:t>
      </w:r>
      <w:r>
        <w:rPr>
          <w:rFonts w:eastAsia="Times New Roman" w:cstheme="minorHAnsi"/>
        </w:rPr>
        <w:t xml:space="preserve"> </w:t>
      </w:r>
      <w:r w:rsidRPr="00F77C61">
        <w:rPr>
          <w:rFonts w:eastAsia="Times New Roman" w:cstheme="minorHAnsi"/>
        </w:rPr>
        <w:t>FRN</w:t>
      </w:r>
      <w:r>
        <w:rPr>
          <w:rFonts w:eastAsia="Times New Roman" w:cstheme="minorHAnsi"/>
        </w:rPr>
        <w:t xml:space="preserve"> comments</w:t>
      </w:r>
    </w:p>
    <w:p w:rsidR="0088003F" w:rsidRPr="00F77C61" w:rsidP="33725EA2" w14:paraId="113AB5CA" w14:textId="1DFAAC56">
      <w:pPr>
        <w:spacing w:after="0" w:line="240" w:lineRule="auto"/>
        <w:rPr>
          <w:rFonts w:eastAsia="Times New Roman" w:cstheme="minorHAnsi"/>
        </w:rPr>
      </w:pPr>
      <w:r w:rsidRPr="00F77C61">
        <w:rPr>
          <w:rFonts w:eastAsia="Times New Roman" w:cstheme="minorHAnsi"/>
        </w:rPr>
        <w:t>Att</w:t>
      </w:r>
      <w:r w:rsidRPr="00F77C61">
        <w:rPr>
          <w:rFonts w:eastAsia="Times New Roman" w:cstheme="minorHAnsi"/>
        </w:rPr>
        <w:t xml:space="preserve"> 0</w:t>
      </w:r>
      <w:r w:rsidR="006371A7">
        <w:rPr>
          <w:rFonts w:eastAsia="Times New Roman" w:cstheme="minorHAnsi"/>
        </w:rPr>
        <w:t>3</w:t>
      </w:r>
      <w:r w:rsidRPr="00F77C61">
        <w:rPr>
          <w:rFonts w:eastAsia="Times New Roman" w:cstheme="minorHAnsi"/>
        </w:rPr>
        <w:t>. — NIOSH IRB Determination</w:t>
      </w:r>
      <w:bookmarkEnd w:id="1"/>
    </w:p>
    <w:p w:rsidR="00A0394E" w:rsidP="00CE5DBA" w14:paraId="2A302207" w14:textId="1B971E83">
      <w:pPr>
        <w:spacing w:after="0" w:line="240" w:lineRule="auto"/>
        <w:rPr>
          <w:rFonts w:eastAsia="Times New Roman" w:cstheme="minorHAnsi"/>
        </w:rPr>
      </w:pPr>
      <w:r w:rsidRPr="00F77C61">
        <w:rPr>
          <w:rFonts w:eastAsia="Times New Roman" w:cstheme="minorHAnsi"/>
        </w:rPr>
        <w:t>Att</w:t>
      </w:r>
      <w:r w:rsidRPr="00F77C61">
        <w:rPr>
          <w:rFonts w:eastAsia="Times New Roman" w:cstheme="minorHAnsi"/>
        </w:rPr>
        <w:t xml:space="preserve"> 0</w:t>
      </w:r>
      <w:r>
        <w:rPr>
          <w:rFonts w:eastAsia="Times New Roman" w:cstheme="minorHAnsi"/>
        </w:rPr>
        <w:t>4</w:t>
      </w:r>
      <w:r w:rsidRPr="00F77C61">
        <w:rPr>
          <w:rFonts w:eastAsia="Times New Roman" w:cstheme="minorHAnsi"/>
        </w:rPr>
        <w:t>. — Healthcare Worker Follow-up Survey</w:t>
      </w:r>
    </w:p>
    <w:p w:rsidR="00CE5DBA" w:rsidRPr="00F77C61" w:rsidP="00CE5DBA" w14:paraId="40091B07" w14:textId="6091BD54">
      <w:pPr>
        <w:spacing w:after="0" w:line="240" w:lineRule="auto"/>
        <w:rPr>
          <w:rFonts w:eastAsia="Times New Roman" w:cstheme="minorHAnsi"/>
        </w:rPr>
      </w:pPr>
      <w:r w:rsidRPr="00F77C61">
        <w:rPr>
          <w:rFonts w:eastAsia="Times New Roman" w:cstheme="minorHAnsi"/>
        </w:rPr>
        <w:t>Att</w:t>
      </w:r>
      <w:r w:rsidRPr="00F77C61">
        <w:rPr>
          <w:rFonts w:eastAsia="Times New Roman" w:cstheme="minorHAnsi"/>
        </w:rPr>
        <w:t xml:space="preserve"> 0</w:t>
      </w:r>
      <w:r w:rsidR="00A0394E">
        <w:rPr>
          <w:rFonts w:eastAsia="Times New Roman" w:cstheme="minorHAnsi"/>
        </w:rPr>
        <w:t>5</w:t>
      </w:r>
      <w:r w:rsidRPr="00F77C61">
        <w:rPr>
          <w:rFonts w:eastAsia="Times New Roman" w:cstheme="minorHAnsi"/>
        </w:rPr>
        <w:t xml:space="preserve">. — </w:t>
      </w:r>
      <w:r w:rsidR="001D6A28">
        <w:rPr>
          <w:rFonts w:eastAsia="Times New Roman" w:cstheme="minorHAnsi"/>
        </w:rPr>
        <w:t>Hospital</w:t>
      </w:r>
      <w:r w:rsidRPr="00F77C61">
        <w:rPr>
          <w:rFonts w:eastAsia="Times New Roman" w:cstheme="minorHAnsi"/>
        </w:rPr>
        <w:t xml:space="preserve"> Leader Follow-up Survey</w:t>
      </w:r>
    </w:p>
    <w:p w:rsidR="00CC1D6B" w:rsidRPr="00F77C61" w:rsidP="00CE5DBA" w14:paraId="28CFD5B1" w14:textId="176290DA">
      <w:pPr>
        <w:spacing w:after="0" w:line="240" w:lineRule="auto"/>
        <w:rPr>
          <w:rFonts w:eastAsia="Times New Roman" w:cstheme="minorHAnsi"/>
        </w:rPr>
      </w:pPr>
      <w:r w:rsidRPr="00F77C61">
        <w:rPr>
          <w:rFonts w:eastAsia="Times New Roman" w:cstheme="minorHAnsi"/>
        </w:rPr>
        <w:t>Att</w:t>
      </w:r>
      <w:r w:rsidRPr="00F77C61">
        <w:rPr>
          <w:rFonts w:eastAsia="Times New Roman" w:cstheme="minorHAnsi"/>
        </w:rPr>
        <w:t xml:space="preserve"> </w:t>
      </w:r>
      <w:r w:rsidR="0072261D">
        <w:rPr>
          <w:rFonts w:eastAsia="Times New Roman" w:cstheme="minorHAnsi"/>
        </w:rPr>
        <w:t>0</w:t>
      </w:r>
      <w:r w:rsidR="006371A7">
        <w:rPr>
          <w:rFonts w:eastAsia="Times New Roman" w:cstheme="minorHAnsi"/>
        </w:rPr>
        <w:t>6</w:t>
      </w:r>
      <w:r w:rsidRPr="00F77C61">
        <w:rPr>
          <w:rFonts w:eastAsia="Times New Roman" w:cstheme="minorHAnsi"/>
        </w:rPr>
        <w:t xml:space="preserve">. — </w:t>
      </w:r>
      <w:r w:rsidRPr="00F77C61" w:rsidR="00CE5DBA">
        <w:rPr>
          <w:rFonts w:eastAsia="Times New Roman" w:cstheme="minorHAnsi"/>
        </w:rPr>
        <w:t>Invitation and Reminder Emails</w:t>
      </w:r>
    </w:p>
    <w:p w:rsidR="001143DE" w:rsidRPr="00F77C61" w14:paraId="36DCA72C" w14:textId="4E746AAE">
      <w:pPr>
        <w:rPr>
          <w:rFonts w:eastAsia="Times New Roman" w:cstheme="minorHAnsi"/>
          <w:sz w:val="24"/>
          <w:szCs w:val="24"/>
        </w:rPr>
      </w:pPr>
      <w:r w:rsidRPr="00F77C61">
        <w:rPr>
          <w:rFonts w:eastAsia="Times New Roman" w:cstheme="minorHAnsi"/>
          <w:sz w:val="24"/>
          <w:szCs w:val="24"/>
        </w:rPr>
        <w:br w:type="page"/>
      </w:r>
    </w:p>
    <w:p w:rsidR="67AC4A89" w:rsidRPr="00F77C61" w:rsidP="67AC4A89" w14:paraId="632D86CD" w14:textId="77777777">
      <w:pPr>
        <w:spacing w:after="0" w:line="240" w:lineRule="auto"/>
        <w:rPr>
          <w:rFonts w:eastAsia="Times New Roman" w:cstheme="minorHAnsi"/>
          <w:sz w:val="24"/>
          <w:szCs w:val="24"/>
        </w:rPr>
      </w:pPr>
    </w:p>
    <w:tbl>
      <w:tblPr>
        <w:tblStyle w:val="TableGrid1"/>
        <w:tblpPr w:leftFromText="180" w:rightFromText="180" w:vertAnchor="text" w:horzAnchor="margin" w:tblpY="173"/>
        <w:tblW w:w="9265" w:type="dxa"/>
        <w:tblLook w:val="04A0"/>
      </w:tblPr>
      <w:tblGrid>
        <w:gridCol w:w="9265"/>
      </w:tblGrid>
      <w:tr w14:paraId="75F3FA56" w14:textId="77777777" w:rsidTr="3190BAA1">
        <w:tblPrEx>
          <w:tblW w:w="9265" w:type="dxa"/>
          <w:tblLook w:val="04A0"/>
        </w:tblPrEx>
        <w:trPr>
          <w:trHeight w:val="980"/>
        </w:trPr>
        <w:tc>
          <w:tcPr>
            <w:tcW w:w="9265" w:type="dxa"/>
          </w:tcPr>
          <w:p w:rsidR="003162F1" w:rsidRPr="00F77C61" w:rsidP="00F57238" w14:paraId="1598BFDB" w14:textId="5A595275">
            <w:pPr>
              <w:pStyle w:val="NormalWeb"/>
              <w:numPr>
                <w:ilvl w:val="0"/>
                <w:numId w:val="28"/>
              </w:numPr>
              <w:spacing w:before="0" w:beforeAutospacing="0" w:after="0"/>
              <w:ind w:left="250" w:hanging="250"/>
              <w:rPr>
                <w:rFonts w:eastAsia="Arial Nova" w:asciiTheme="minorHAnsi" w:hAnsiTheme="minorHAnsi" w:cstheme="minorHAnsi"/>
                <w:sz w:val="22"/>
                <w:szCs w:val="22"/>
              </w:rPr>
            </w:pPr>
            <w:r w:rsidRPr="00F77C61">
              <w:rPr>
                <w:rFonts w:eastAsia="Calibri" w:asciiTheme="minorHAnsi" w:hAnsiTheme="minorHAnsi" w:cstheme="minorHAnsi"/>
                <w:b/>
                <w:bCs/>
                <w:sz w:val="22"/>
                <w:szCs w:val="22"/>
              </w:rPr>
              <w:t>Goals of the project:</w:t>
            </w:r>
            <w:r w:rsidRPr="00F77C61">
              <w:rPr>
                <w:rFonts w:eastAsia="Calibri" w:asciiTheme="minorHAnsi" w:hAnsiTheme="minorHAnsi" w:cstheme="minorHAnsi"/>
                <w:sz w:val="22"/>
                <w:szCs w:val="22"/>
              </w:rPr>
              <w:t xml:space="preserve"> </w:t>
            </w:r>
            <w:bookmarkStart w:id="2" w:name="_Hlk40278335"/>
            <w:r w:rsidRPr="00F77C61">
              <w:rPr>
                <w:rFonts w:asciiTheme="minorHAnsi" w:hAnsiTheme="minorHAnsi" w:cstheme="minorHAnsi"/>
                <w:color w:val="000000" w:themeColor="text1"/>
                <w:sz w:val="22"/>
                <w:szCs w:val="22"/>
              </w:rPr>
              <w:t>Collect quantitative data to document outcomes</w:t>
            </w:r>
            <w:r w:rsidRPr="00F77C61" w:rsidR="005F26C9">
              <w:rPr>
                <w:rFonts w:asciiTheme="minorHAnsi" w:hAnsiTheme="minorHAnsi" w:cstheme="minorHAnsi"/>
                <w:color w:val="000000" w:themeColor="text1"/>
                <w:sz w:val="22"/>
                <w:szCs w:val="22"/>
              </w:rPr>
              <w:t xml:space="preserve"> of a </w:t>
            </w:r>
            <w:r w:rsidRPr="00F77C61" w:rsidR="00626012">
              <w:rPr>
                <w:rFonts w:asciiTheme="minorHAnsi" w:hAnsiTheme="minorHAnsi" w:cstheme="minorHAnsi"/>
                <w:color w:val="000000" w:themeColor="text1"/>
                <w:sz w:val="22"/>
                <w:szCs w:val="22"/>
              </w:rPr>
              <w:t>social marketing campaign to improve the mental health and well-being of healthcare workers</w:t>
            </w:r>
            <w:r w:rsidRPr="00F77C61">
              <w:rPr>
                <w:rFonts w:asciiTheme="minorHAnsi" w:hAnsiTheme="minorHAnsi" w:cstheme="minorHAnsi"/>
                <w:color w:val="000000" w:themeColor="text1"/>
                <w:sz w:val="22"/>
                <w:szCs w:val="22"/>
              </w:rPr>
              <w:t xml:space="preserve"> (e.g., mental health help seeking, modifications to working conditions, and health</w:t>
            </w:r>
            <w:r w:rsidR="00755396">
              <w:rPr>
                <w:rFonts w:asciiTheme="minorHAnsi" w:hAnsiTheme="minorHAnsi" w:cstheme="minorHAnsi"/>
                <w:color w:val="000000" w:themeColor="text1"/>
                <w:sz w:val="22"/>
                <w:szCs w:val="22"/>
              </w:rPr>
              <w:t>care</w:t>
            </w:r>
            <w:r w:rsidRPr="00F77C61">
              <w:rPr>
                <w:rFonts w:asciiTheme="minorHAnsi" w:hAnsiTheme="minorHAnsi" w:cstheme="minorHAnsi"/>
                <w:color w:val="000000" w:themeColor="text1"/>
                <w:sz w:val="22"/>
                <w:szCs w:val="22"/>
              </w:rPr>
              <w:t xml:space="preserve"> worker well-being)</w:t>
            </w:r>
            <w:r w:rsidRPr="00F77C61" w:rsidR="00643658">
              <w:rPr>
                <w:rFonts w:asciiTheme="minorHAnsi" w:hAnsiTheme="minorHAnsi" w:cstheme="minorHAnsi"/>
                <w:color w:val="000000" w:themeColor="text1"/>
                <w:sz w:val="22"/>
                <w:szCs w:val="22"/>
              </w:rPr>
              <w:t>.</w:t>
            </w:r>
          </w:p>
          <w:bookmarkEnd w:id="2"/>
          <w:p w:rsidR="006D28C6" w:rsidRPr="00F77C61" w:rsidP="00F57238" w14:paraId="4CCDE147" w14:textId="77777777">
            <w:pPr>
              <w:pStyle w:val="NormalWeb"/>
              <w:spacing w:before="0" w:beforeAutospacing="0" w:after="0"/>
              <w:ind w:left="250" w:hanging="250"/>
              <w:rPr>
                <w:rFonts w:asciiTheme="minorHAnsi" w:hAnsiTheme="minorHAnsi" w:cstheme="minorHAnsi"/>
                <w:sz w:val="22"/>
                <w:szCs w:val="22"/>
              </w:rPr>
            </w:pPr>
          </w:p>
          <w:p w:rsidR="00DF7511" w:rsidRPr="00F77C61" w:rsidP="33725EA2" w14:paraId="170829F4" w14:textId="315B7824">
            <w:pPr>
              <w:pStyle w:val="NormalWeb"/>
              <w:numPr>
                <w:ilvl w:val="0"/>
                <w:numId w:val="10"/>
              </w:numPr>
              <w:spacing w:before="0" w:beforeAutospacing="0" w:after="0"/>
              <w:ind w:left="250" w:hanging="250"/>
              <w:rPr>
                <w:rFonts w:asciiTheme="minorHAnsi" w:hAnsiTheme="minorHAnsi" w:cstheme="minorHAnsi"/>
                <w:sz w:val="22"/>
                <w:szCs w:val="22"/>
              </w:rPr>
            </w:pPr>
            <w:r w:rsidRPr="00F77C61">
              <w:rPr>
                <w:rFonts w:eastAsia="Calibri" w:asciiTheme="minorHAnsi" w:hAnsiTheme="minorHAnsi" w:cstheme="minorHAnsi"/>
                <w:b/>
                <w:bCs/>
                <w:sz w:val="22"/>
                <w:szCs w:val="22"/>
              </w:rPr>
              <w:t xml:space="preserve">Intended use of the resulting data: </w:t>
            </w:r>
            <w:r w:rsidRPr="00F77C61">
              <w:rPr>
                <w:rFonts w:asciiTheme="minorHAnsi" w:hAnsiTheme="minorHAnsi" w:cstheme="minorHAnsi"/>
                <w:sz w:val="22"/>
                <w:szCs w:val="22"/>
              </w:rPr>
              <w:t>Data generated</w:t>
            </w:r>
            <w:r w:rsidRPr="00F77C61">
              <w:rPr>
                <w:rFonts w:asciiTheme="minorHAnsi" w:hAnsiTheme="minorHAnsi" w:cstheme="minorHAnsi"/>
                <w:b/>
                <w:bCs/>
                <w:sz w:val="22"/>
                <w:szCs w:val="22"/>
              </w:rPr>
              <w:t xml:space="preserve"> </w:t>
            </w:r>
            <w:r w:rsidRPr="00F77C61">
              <w:rPr>
                <w:rFonts w:asciiTheme="minorHAnsi" w:hAnsiTheme="minorHAnsi" w:cstheme="minorHAnsi"/>
                <w:sz w:val="22"/>
                <w:szCs w:val="22"/>
              </w:rPr>
              <w:t>through this information request will inform future campaign efforts that aim to reach health</w:t>
            </w:r>
            <w:r w:rsidR="00755396">
              <w:rPr>
                <w:rFonts w:asciiTheme="minorHAnsi" w:hAnsiTheme="minorHAnsi" w:cstheme="minorHAnsi"/>
                <w:sz w:val="22"/>
                <w:szCs w:val="22"/>
              </w:rPr>
              <w:t>care</w:t>
            </w:r>
            <w:r w:rsidRPr="00F77C61">
              <w:rPr>
                <w:rFonts w:asciiTheme="minorHAnsi" w:hAnsiTheme="minorHAnsi" w:cstheme="minorHAnsi"/>
                <w:sz w:val="22"/>
                <w:szCs w:val="22"/>
              </w:rPr>
              <w:t xml:space="preserve"> workers and their employers and share findings to advance the health communications, mental health, and occupational health and safety fields.</w:t>
            </w:r>
          </w:p>
          <w:p w:rsidR="006D28C6" w:rsidRPr="00F77C61" w:rsidP="00F57238" w14:paraId="1A4352EF" w14:textId="77777777">
            <w:pPr>
              <w:pStyle w:val="NormalWeb"/>
              <w:spacing w:before="0" w:beforeAutospacing="0" w:after="0"/>
              <w:ind w:left="250" w:hanging="250"/>
              <w:rPr>
                <w:rFonts w:asciiTheme="minorHAnsi" w:hAnsiTheme="minorHAnsi" w:cstheme="minorHAnsi"/>
                <w:sz w:val="22"/>
                <w:szCs w:val="22"/>
              </w:rPr>
            </w:pPr>
          </w:p>
          <w:p w:rsidR="00DF7511" w:rsidRPr="00F77C61" w:rsidP="3190BAA1" w14:paraId="683A53E3" w14:textId="4EE6B83B">
            <w:pPr>
              <w:pStyle w:val="ListParagraph"/>
              <w:numPr>
                <w:ilvl w:val="0"/>
                <w:numId w:val="10"/>
              </w:numPr>
              <w:ind w:left="250" w:hanging="250"/>
              <w:jc w:val="both"/>
              <w:rPr>
                <w:rFonts w:eastAsia="Calibri" w:asciiTheme="minorHAnsi" w:hAnsiTheme="minorHAnsi" w:cstheme="minorBidi"/>
                <w:sz w:val="22"/>
                <w:szCs w:val="22"/>
              </w:rPr>
            </w:pPr>
            <w:r w:rsidRPr="3190BAA1">
              <w:rPr>
                <w:rFonts w:eastAsia="Calibri" w:asciiTheme="minorHAnsi" w:hAnsiTheme="minorHAnsi" w:cstheme="minorBidi"/>
                <w:b/>
                <w:bCs/>
                <w:sz w:val="22"/>
                <w:szCs w:val="22"/>
              </w:rPr>
              <w:t xml:space="preserve">Methods to be used to collect data: </w:t>
            </w:r>
            <w:r w:rsidRPr="3190BAA1">
              <w:rPr>
                <w:rFonts w:asciiTheme="minorHAnsi" w:hAnsiTheme="minorHAnsi" w:cstheme="minorBidi"/>
                <w:sz w:val="22"/>
                <w:szCs w:val="22"/>
              </w:rPr>
              <w:t xml:space="preserve">Campaign </w:t>
            </w:r>
            <w:r w:rsidRPr="3190BAA1" w:rsidR="1F25E936">
              <w:rPr>
                <w:rFonts w:asciiTheme="minorHAnsi" w:hAnsiTheme="minorHAnsi" w:cstheme="minorBidi"/>
                <w:sz w:val="22"/>
                <w:szCs w:val="22"/>
              </w:rPr>
              <w:t>outcomes</w:t>
            </w:r>
            <w:r w:rsidRPr="3190BAA1">
              <w:rPr>
                <w:rFonts w:asciiTheme="minorHAnsi" w:hAnsiTheme="minorHAnsi" w:cstheme="minorBidi"/>
                <w:sz w:val="22"/>
                <w:szCs w:val="22"/>
              </w:rPr>
              <w:t xml:space="preserve"> will be assessed by implementing a </w:t>
            </w:r>
            <w:r w:rsidRPr="3190BAA1" w:rsidR="00DB427C">
              <w:rPr>
                <w:rFonts w:asciiTheme="minorHAnsi" w:hAnsiTheme="minorHAnsi" w:cstheme="minorBidi"/>
                <w:sz w:val="22"/>
                <w:szCs w:val="22"/>
              </w:rPr>
              <w:t>cross-sectional</w:t>
            </w:r>
            <w:r w:rsidRPr="3190BAA1">
              <w:rPr>
                <w:rFonts w:asciiTheme="minorHAnsi" w:hAnsiTheme="minorHAnsi" w:cstheme="minorBidi"/>
                <w:sz w:val="22"/>
                <w:szCs w:val="22"/>
              </w:rPr>
              <w:t xml:space="preserve"> study</w:t>
            </w:r>
            <w:r w:rsidRPr="3190BAA1" w:rsidR="00CF0514">
              <w:rPr>
                <w:rFonts w:asciiTheme="minorHAnsi" w:hAnsiTheme="minorHAnsi" w:cstheme="minorBidi"/>
                <w:sz w:val="22"/>
                <w:szCs w:val="22"/>
              </w:rPr>
              <w:t>.</w:t>
            </w:r>
            <w:r w:rsidRPr="3190BAA1" w:rsidR="613C3DD0">
              <w:rPr>
                <w:rFonts w:asciiTheme="minorHAnsi" w:hAnsiTheme="minorHAnsi" w:cstheme="minorBidi"/>
                <w:sz w:val="22"/>
                <w:szCs w:val="22"/>
              </w:rPr>
              <w:t xml:space="preserve"> </w:t>
            </w:r>
            <w:r w:rsidRPr="3190BAA1" w:rsidR="00CF0514">
              <w:rPr>
                <w:rFonts w:asciiTheme="minorHAnsi" w:hAnsiTheme="minorHAnsi" w:cstheme="minorBidi"/>
                <w:sz w:val="22"/>
                <w:szCs w:val="22"/>
              </w:rPr>
              <w:t>A</w:t>
            </w:r>
            <w:r w:rsidRPr="3190BAA1">
              <w:rPr>
                <w:rFonts w:asciiTheme="minorHAnsi" w:hAnsiTheme="minorHAnsi" w:cstheme="minorBidi"/>
                <w:sz w:val="22"/>
                <w:szCs w:val="22"/>
              </w:rPr>
              <w:t xml:space="preserve"> follow-up survey </w:t>
            </w:r>
            <w:r w:rsidRPr="3190BAA1" w:rsidR="00CF0514">
              <w:rPr>
                <w:rFonts w:asciiTheme="minorHAnsi" w:hAnsiTheme="minorHAnsi" w:cstheme="minorBidi"/>
                <w:sz w:val="22"/>
                <w:szCs w:val="22"/>
              </w:rPr>
              <w:t xml:space="preserve">will be </w:t>
            </w:r>
            <w:r w:rsidRPr="3190BAA1">
              <w:rPr>
                <w:rFonts w:asciiTheme="minorHAnsi" w:hAnsiTheme="minorHAnsi" w:cstheme="minorBidi"/>
                <w:sz w:val="22"/>
                <w:szCs w:val="22"/>
              </w:rPr>
              <w:t>administered at 10 and 12 months after campaign launch, with a representative sample of health</w:t>
            </w:r>
            <w:r w:rsidRPr="3190BAA1" w:rsidR="002C054D">
              <w:rPr>
                <w:rFonts w:asciiTheme="minorHAnsi" w:hAnsiTheme="minorHAnsi" w:cstheme="minorBidi"/>
                <w:sz w:val="22"/>
                <w:szCs w:val="22"/>
              </w:rPr>
              <w:t>care</w:t>
            </w:r>
            <w:r w:rsidRPr="3190BAA1">
              <w:rPr>
                <w:rFonts w:asciiTheme="minorHAnsi" w:hAnsiTheme="minorHAnsi" w:cstheme="minorBidi"/>
                <w:sz w:val="22"/>
                <w:szCs w:val="22"/>
              </w:rPr>
              <w:t xml:space="preserve"> workers and </w:t>
            </w:r>
            <w:r w:rsidRPr="3190BAA1" w:rsidR="002C054D">
              <w:rPr>
                <w:rFonts w:asciiTheme="minorHAnsi" w:hAnsiTheme="minorHAnsi" w:cstheme="minorBidi"/>
                <w:sz w:val="22"/>
                <w:szCs w:val="22"/>
              </w:rPr>
              <w:t xml:space="preserve">hospital leaders </w:t>
            </w:r>
            <w:r w:rsidRPr="3190BAA1">
              <w:rPr>
                <w:rFonts w:asciiTheme="minorHAnsi" w:hAnsiTheme="minorHAnsi" w:cstheme="minorBidi"/>
                <w:sz w:val="22"/>
                <w:szCs w:val="22"/>
              </w:rPr>
              <w:t xml:space="preserve">from partner organizations. </w:t>
            </w:r>
          </w:p>
          <w:p w:rsidR="003C66B5" w:rsidRPr="00F77C61" w:rsidP="00F57238" w14:paraId="0BE06E7D" w14:textId="36F0C695">
            <w:pPr>
              <w:ind w:left="250" w:hanging="250"/>
              <w:jc w:val="both"/>
              <w:rPr>
                <w:rFonts w:eastAsia="Calibri" w:asciiTheme="minorHAnsi" w:hAnsiTheme="minorHAnsi" w:cstheme="minorHAnsi"/>
                <w:sz w:val="22"/>
                <w:szCs w:val="22"/>
              </w:rPr>
            </w:pPr>
            <w:r w:rsidRPr="00F77C61">
              <w:rPr>
                <w:rFonts w:eastAsia="Calibri" w:asciiTheme="minorHAnsi" w:hAnsiTheme="minorHAnsi" w:cstheme="minorHAnsi"/>
                <w:sz w:val="22"/>
                <w:szCs w:val="22"/>
              </w:rPr>
              <w:t xml:space="preserve"> </w:t>
            </w:r>
          </w:p>
          <w:p w:rsidR="00630287" w:rsidRPr="00F77C61" w:rsidP="3190BAA1" w14:paraId="73E90594" w14:textId="04368EF9">
            <w:pPr>
              <w:numPr>
                <w:ilvl w:val="0"/>
                <w:numId w:val="1"/>
              </w:numPr>
              <w:ind w:left="250" w:hanging="250"/>
              <w:contextualSpacing/>
              <w:jc w:val="both"/>
              <w:rPr>
                <w:rFonts w:eastAsia="Calibri" w:asciiTheme="minorHAnsi" w:hAnsiTheme="minorHAnsi" w:cstheme="minorBidi"/>
                <w:sz w:val="22"/>
                <w:szCs w:val="22"/>
              </w:rPr>
            </w:pPr>
            <w:r w:rsidRPr="3190BAA1">
              <w:rPr>
                <w:rFonts w:eastAsia="Calibri" w:asciiTheme="minorHAnsi" w:hAnsiTheme="minorHAnsi" w:cstheme="minorBidi"/>
                <w:b/>
                <w:bCs/>
                <w:sz w:val="22"/>
                <w:szCs w:val="22"/>
              </w:rPr>
              <w:t>The specific subpopulation to be studied:</w:t>
            </w:r>
            <w:r w:rsidRPr="3190BAA1" w:rsidR="00BC6D48">
              <w:rPr>
                <w:rFonts w:asciiTheme="minorHAnsi" w:hAnsiTheme="minorHAnsi" w:cstheme="minorBidi"/>
                <w:sz w:val="22"/>
                <w:szCs w:val="22"/>
              </w:rPr>
              <w:t xml:space="preserve"> </w:t>
            </w:r>
            <w:r w:rsidRPr="3190BAA1" w:rsidR="00872485">
              <w:rPr>
                <w:rFonts w:asciiTheme="minorHAnsi" w:hAnsiTheme="minorHAnsi" w:cstheme="minorBidi"/>
                <w:sz w:val="22"/>
                <w:szCs w:val="22"/>
              </w:rPr>
              <w:t xml:space="preserve">1) </w:t>
            </w:r>
            <w:r w:rsidRPr="3190BAA1" w:rsidR="00BC6D48">
              <w:rPr>
                <w:rFonts w:eastAsia="Calibri" w:asciiTheme="minorHAnsi" w:hAnsiTheme="minorHAnsi" w:cstheme="minorBidi"/>
                <w:sz w:val="22"/>
                <w:szCs w:val="22"/>
              </w:rPr>
              <w:t>Hospital leaders, defined as executives or senior managers who have decision making authority within hospital systems</w:t>
            </w:r>
            <w:r w:rsidRPr="3190BAA1" w:rsidR="39B2489F">
              <w:rPr>
                <w:rFonts w:eastAsia="Calibri" w:asciiTheme="minorHAnsi" w:hAnsiTheme="minorHAnsi" w:cstheme="minorBidi"/>
                <w:sz w:val="22"/>
                <w:szCs w:val="22"/>
              </w:rPr>
              <w:t>,</w:t>
            </w:r>
            <w:r w:rsidRPr="3190BAA1" w:rsidR="00BC6D48">
              <w:rPr>
                <w:rFonts w:eastAsia="Calibri" w:asciiTheme="minorHAnsi" w:hAnsiTheme="minorHAnsi" w:cstheme="minorBidi"/>
                <w:sz w:val="22"/>
                <w:szCs w:val="22"/>
              </w:rPr>
              <w:t xml:space="preserve"> </w:t>
            </w:r>
            <w:r w:rsidRPr="3190BAA1" w:rsidR="00872485">
              <w:rPr>
                <w:rFonts w:eastAsia="Calibri" w:asciiTheme="minorHAnsi" w:hAnsiTheme="minorHAnsi" w:cstheme="minorBidi"/>
                <w:sz w:val="22"/>
                <w:szCs w:val="22"/>
              </w:rPr>
              <w:t xml:space="preserve">2) </w:t>
            </w:r>
            <w:r w:rsidRPr="3190BAA1" w:rsidR="00BC6D48">
              <w:rPr>
                <w:rFonts w:eastAsia="Calibri" w:asciiTheme="minorHAnsi" w:hAnsiTheme="minorHAnsi" w:cstheme="minorBidi"/>
                <w:sz w:val="22"/>
                <w:szCs w:val="22"/>
              </w:rPr>
              <w:t>Healthcare workers, defined as workers who provide direct patient care in hospitals. This includes, but is not limited to, physicians, nurses, therapists (e.g., respiratory, physical), and patient care technicians.</w:t>
            </w:r>
            <w:r>
              <w:tab/>
            </w:r>
          </w:p>
          <w:p w:rsidR="00F67F4E" w:rsidRPr="00F67F4E" w:rsidP="00F67F4E" w14:paraId="3C38E7E3" w14:textId="77777777">
            <w:pPr>
              <w:ind w:left="250"/>
              <w:contextualSpacing/>
              <w:jc w:val="both"/>
              <w:rPr>
                <w:rFonts w:eastAsia="Calibri" w:asciiTheme="minorHAnsi" w:hAnsiTheme="minorHAnsi" w:cstheme="minorHAnsi"/>
                <w:sz w:val="22"/>
                <w:szCs w:val="22"/>
              </w:rPr>
            </w:pPr>
          </w:p>
          <w:p w:rsidR="00F57238" w:rsidRPr="00F77C61" w:rsidP="00F67F4E" w14:paraId="4D880350" w14:textId="681B0DA9">
            <w:pPr>
              <w:numPr>
                <w:ilvl w:val="0"/>
                <w:numId w:val="1"/>
              </w:numPr>
              <w:ind w:left="250" w:hanging="250"/>
              <w:contextualSpacing/>
              <w:jc w:val="both"/>
              <w:rPr>
                <w:rFonts w:eastAsia="Calibri" w:asciiTheme="minorHAnsi" w:hAnsiTheme="minorHAnsi" w:cstheme="minorHAnsi"/>
                <w:sz w:val="22"/>
                <w:szCs w:val="22"/>
              </w:rPr>
            </w:pPr>
            <w:r w:rsidRPr="00F77C61">
              <w:rPr>
                <w:rFonts w:eastAsia="Calibri" w:asciiTheme="minorHAnsi" w:hAnsiTheme="minorHAnsi" w:cstheme="minorHAnsi"/>
                <w:b/>
                <w:bCs/>
                <w:sz w:val="22"/>
                <w:szCs w:val="22"/>
              </w:rPr>
              <w:t xml:space="preserve">How data will be analyzed: </w:t>
            </w:r>
            <w:r w:rsidR="00F67F4E">
              <w:rPr>
                <w:rFonts w:eastAsia="Calibri" w:asciiTheme="minorHAnsi" w:hAnsiTheme="minorHAnsi" w:cstheme="minorHAnsi"/>
                <w:sz w:val="22"/>
                <w:szCs w:val="22"/>
              </w:rPr>
              <w:t>An</w:t>
            </w:r>
            <w:r w:rsidRPr="00F77C61">
              <w:rPr>
                <w:rFonts w:eastAsia="Calibri" w:asciiTheme="minorHAnsi" w:hAnsiTheme="minorHAnsi" w:cstheme="minorHAnsi"/>
                <w:sz w:val="22"/>
                <w:szCs w:val="22"/>
              </w:rPr>
              <w:t>alyses of retrospective data will examine frequency of reported changes in working conditions and help seeking behaviors since the start of campaign activities</w:t>
            </w:r>
            <w:r w:rsidR="00F37513">
              <w:rPr>
                <w:rFonts w:eastAsia="Calibri" w:asciiTheme="minorHAnsi" w:hAnsiTheme="minorHAnsi" w:cstheme="minorHAnsi"/>
                <w:sz w:val="22"/>
                <w:szCs w:val="22"/>
              </w:rPr>
              <w:t xml:space="preserve">. </w:t>
            </w:r>
            <w:r w:rsidR="00D13C96">
              <w:rPr>
                <w:rFonts w:eastAsia="Calibri" w:asciiTheme="minorHAnsi" w:hAnsiTheme="minorHAnsi" w:cstheme="minorHAnsi"/>
                <w:sz w:val="22"/>
                <w:szCs w:val="22"/>
              </w:rPr>
              <w:t xml:space="preserve">The research team will also examine </w:t>
            </w:r>
            <w:r w:rsidRPr="00F77C61">
              <w:rPr>
                <w:rFonts w:eastAsia="Calibri" w:asciiTheme="minorHAnsi" w:hAnsiTheme="minorHAnsi" w:cstheme="minorHAnsi"/>
                <w:sz w:val="22"/>
                <w:szCs w:val="22"/>
              </w:rPr>
              <w:t>associations between these outcomes and key demographics such as occupation</w:t>
            </w:r>
            <w:r w:rsidR="00D13C96">
              <w:rPr>
                <w:rFonts w:eastAsia="Calibri" w:asciiTheme="minorHAnsi" w:hAnsiTheme="minorHAnsi" w:cstheme="minorHAnsi"/>
                <w:sz w:val="22"/>
                <w:szCs w:val="22"/>
              </w:rPr>
              <w:t>, gender, race/ethnicity,</w:t>
            </w:r>
            <w:r w:rsidRPr="00F77C61">
              <w:rPr>
                <w:rFonts w:eastAsia="Calibri" w:asciiTheme="minorHAnsi" w:hAnsiTheme="minorHAnsi" w:cstheme="minorHAnsi"/>
                <w:sz w:val="22"/>
                <w:szCs w:val="22"/>
              </w:rPr>
              <w:t xml:space="preserve"> and years on the job. </w:t>
            </w:r>
          </w:p>
        </w:tc>
      </w:tr>
    </w:tbl>
    <w:p w:rsidR="67AC4A89" w:rsidRPr="00F77C61" w:rsidP="33725EA2" w14:paraId="6DD59BE7" w14:textId="397710EF">
      <w:pPr>
        <w:spacing w:after="0" w:line="240" w:lineRule="auto"/>
        <w:rPr>
          <w:rFonts w:cstheme="minorHAnsi"/>
        </w:rPr>
      </w:pPr>
      <w:r w:rsidRPr="00F77C61">
        <w:rPr>
          <w:rFonts w:cstheme="minorHAnsi"/>
        </w:rPr>
        <w:br w:type="page"/>
      </w:r>
    </w:p>
    <w:p w:rsidR="00C03919" w:rsidRPr="00F77C61" w:rsidP="67AC4A89" w14:paraId="42AE5AC5" w14:textId="6B03A14A">
      <w:pPr>
        <w:spacing w:after="0" w:line="240" w:lineRule="auto"/>
        <w:rPr>
          <w:rFonts w:eastAsia="Times New Roman" w:cstheme="minorHAnsi"/>
          <w:b/>
          <w:bCs/>
          <w:sz w:val="16"/>
          <w:szCs w:val="16"/>
        </w:rPr>
      </w:pPr>
      <w:r w:rsidRPr="00F77C61">
        <w:rPr>
          <w:rFonts w:eastAsia="Times New Roman" w:cstheme="minorHAnsi"/>
          <w:b/>
          <w:bCs/>
          <w:sz w:val="24"/>
          <w:szCs w:val="24"/>
        </w:rPr>
        <w:t>A.</w:t>
      </w:r>
      <w:r w:rsidRPr="00F77C61">
        <w:rPr>
          <w:rFonts w:cstheme="minorHAnsi"/>
        </w:rPr>
        <w:tab/>
      </w:r>
      <w:r w:rsidRPr="00F77C61">
        <w:rPr>
          <w:rFonts w:eastAsia="Times New Roman" w:cstheme="minorHAnsi"/>
          <w:b/>
          <w:bCs/>
          <w:sz w:val="24"/>
          <w:szCs w:val="24"/>
        </w:rPr>
        <w:t>JUSTIFICATION</w:t>
      </w:r>
      <w:r w:rsidRPr="00F77C61">
        <w:rPr>
          <w:rFonts w:cstheme="minorHAnsi"/>
        </w:rPr>
        <w:br/>
      </w:r>
    </w:p>
    <w:p w:rsidR="00555C34" w:rsidRPr="00F77C61" w:rsidP="67AC4A89" w14:paraId="4526A0BC" w14:textId="00A4C0E1">
      <w:pPr>
        <w:spacing w:after="0" w:line="240" w:lineRule="auto"/>
        <w:ind w:left="720" w:hanging="720"/>
        <w:rPr>
          <w:rFonts w:eastAsia="Times New Roman" w:cstheme="minorHAnsi"/>
          <w:b/>
          <w:bCs/>
          <w:sz w:val="24"/>
          <w:szCs w:val="24"/>
        </w:rPr>
      </w:pPr>
      <w:r w:rsidRPr="00F77C61">
        <w:rPr>
          <w:rFonts w:eastAsia="Times New Roman" w:cstheme="minorHAnsi"/>
          <w:b/>
          <w:bCs/>
          <w:sz w:val="24"/>
          <w:szCs w:val="24"/>
        </w:rPr>
        <w:t>1. Circumstances Making the Collection of Information Necessary</w:t>
      </w:r>
    </w:p>
    <w:p w:rsidR="000E11F2" w:rsidRPr="00F77C61" w:rsidP="67AC4A89" w14:paraId="7989AF6D" w14:textId="1980B29E">
      <w:pPr>
        <w:spacing w:after="0" w:line="240" w:lineRule="auto"/>
        <w:ind w:left="720" w:hanging="720"/>
        <w:rPr>
          <w:rFonts w:eastAsia="Times New Roman" w:cstheme="minorHAnsi"/>
          <w:b/>
          <w:bCs/>
          <w:sz w:val="16"/>
          <w:szCs w:val="16"/>
        </w:rPr>
      </w:pPr>
    </w:p>
    <w:p w:rsidR="009031B7" w:rsidRPr="00F77C61" w:rsidP="00F77C61" w14:paraId="3B1EE3D4" w14:textId="728DB664">
      <w:pPr>
        <w:rPr>
          <w:rFonts w:eastAsia="Arial Nova"/>
        </w:rPr>
      </w:pPr>
      <w:r>
        <w:t xml:space="preserve">The </w:t>
      </w:r>
      <w:r w:rsidRPr="00F77C61">
        <w:t>National Institute for Occupational Safety and Health (NIOSH), within the Centers for Disease Control and Prevention, is taking an active stance to address mental health concerns among the more than 20 million workers in the nation’s healthcare sector.</w:t>
      </w:r>
      <w:r>
        <w:t xml:space="preserve"> This</w:t>
      </w:r>
      <w:r w:rsidR="00731F94">
        <w:t xml:space="preserve"> activity is in response to the</w:t>
      </w:r>
      <w:r w:rsidRPr="00F77C61">
        <w:t xml:space="preserve"> congressional mandate within the </w:t>
      </w:r>
      <w:bookmarkStart w:id="3" w:name="_Hlk127470681"/>
      <w:r w:rsidRPr="00F77C61">
        <w:t xml:space="preserve">COVID-19 American Rescue Plan of 2021 </w:t>
      </w:r>
      <w:bookmarkEnd w:id="3"/>
      <w:r w:rsidRPr="00F77C61">
        <w:t>(Attachment 1a), and on the heels of the passage of the Dr. Lorna Breen Health Care Provider Protection Act (Attachment 1b)</w:t>
      </w:r>
      <w:r w:rsidR="00731F94">
        <w:t xml:space="preserve">. </w:t>
      </w:r>
      <w:r w:rsidRPr="00F77C61">
        <w:t xml:space="preserve"> </w:t>
      </w:r>
      <w:r w:rsidRPr="00F77C61">
        <w:rPr>
          <w:rFonts w:eastAsia="Arial Nova"/>
        </w:rPr>
        <w:t>For many years now, health</w:t>
      </w:r>
      <w:r w:rsidR="00755396">
        <w:rPr>
          <w:rFonts w:eastAsia="Arial Nova"/>
        </w:rPr>
        <w:t>care</w:t>
      </w:r>
      <w:r w:rsidRPr="00F77C61">
        <w:rPr>
          <w:rFonts w:eastAsia="Arial Nova"/>
        </w:rPr>
        <w:t xml:space="preserve"> workers have reported feeling undervalued, overworked, and overwhelmed. A 2012 study found nearly half of physicians had symptoms of burnout.</w:t>
      </w:r>
      <w:r>
        <w:rPr>
          <w:rStyle w:val="FootnoteReference"/>
          <w:rFonts w:eastAsia="Arial Nova" w:cstheme="minorHAnsi"/>
          <w:sz w:val="24"/>
          <w:szCs w:val="24"/>
        </w:rPr>
        <w:footnoteReference w:id="3"/>
      </w:r>
      <w:r w:rsidRPr="00F77C61">
        <w:rPr>
          <w:rFonts w:eastAsia="Arial Nova"/>
        </w:rPr>
        <w:t xml:space="preserve"> The COVID-19 pandemic has only exacerbated the strain and pressure facing </w:t>
      </w:r>
      <w:r w:rsidR="00755396">
        <w:rPr>
          <w:rFonts w:eastAsia="Arial Nova"/>
        </w:rPr>
        <w:t>healthcare worker</w:t>
      </w:r>
      <w:r w:rsidRPr="00F77C61">
        <w:rPr>
          <w:rFonts w:eastAsia="Arial Nova"/>
        </w:rPr>
        <w:t xml:space="preserve">s as they endure unprecedented challenges that make working in this field exponentially harder on their own health and wellbeing. Depression, anxiety, and PTSD are prevalent among </w:t>
      </w:r>
      <w:r w:rsidR="00755396">
        <w:rPr>
          <w:rFonts w:eastAsia="Arial Nova"/>
        </w:rPr>
        <w:t>healthcare worker</w:t>
      </w:r>
      <w:r w:rsidRPr="00F77C61">
        <w:rPr>
          <w:rFonts w:eastAsia="Arial Nova"/>
        </w:rPr>
        <w:t>s across the United States.</w:t>
      </w:r>
      <w:r>
        <w:rPr>
          <w:rStyle w:val="FootnoteReference"/>
          <w:rFonts w:eastAsia="Arial Nova" w:cstheme="minorHAnsi"/>
          <w:sz w:val="24"/>
          <w:szCs w:val="24"/>
        </w:rPr>
        <w:footnoteReference w:id="4"/>
      </w:r>
      <w:r w:rsidRPr="00F77C61" w:rsidR="67AC4A89">
        <w:rPr>
          <w:rFonts w:eastAsia="Arial Nova"/>
          <w:sz w:val="16"/>
          <w:szCs w:val="16"/>
          <w:vertAlign w:val="superscript"/>
        </w:rPr>
        <w:t>,</w:t>
      </w:r>
      <w:r>
        <w:rPr>
          <w:rStyle w:val="FootnoteReference"/>
          <w:rFonts w:eastAsia="Arial Nova" w:cstheme="minorHAnsi"/>
          <w:sz w:val="24"/>
          <w:szCs w:val="24"/>
        </w:rPr>
        <w:footnoteReference w:id="5"/>
      </w:r>
    </w:p>
    <w:p w:rsidR="009031B7" w:rsidRPr="00F77C61" w:rsidP="00F77C61" w14:paraId="2D9A7C28" w14:textId="320A3ED0">
      <w:r w:rsidRPr="00F77C61">
        <w:t>While many Americans experienced some respite from COVID-19</w:t>
      </w:r>
      <w:r w:rsidR="00354116">
        <w:t xml:space="preserve"> </w:t>
      </w:r>
      <w:r w:rsidR="00E04D19">
        <w:t>since the start of the pandemic</w:t>
      </w:r>
      <w:r w:rsidRPr="00F77C61">
        <w:t xml:space="preserve">, </w:t>
      </w:r>
      <w:r w:rsidR="00755396">
        <w:t>healthcare worker</w:t>
      </w:r>
      <w:r w:rsidRPr="00F77C61">
        <w:t xml:space="preserve">s remained on the front lines, in communities where infections and deaths remained highest and in settings where their charge was to care for the most immunocompromised and sickest Americans. Add to this staffing shortages, a lack of resources and beds across health centers of all sizes, public mistrust in medical professionals in certain areas, and hesitancy of </w:t>
      </w:r>
      <w:r w:rsidR="00755396">
        <w:t>healthcare worker</w:t>
      </w:r>
      <w:r w:rsidRPr="00F77C61">
        <w:t xml:space="preserve">s to access support due to licensure and credentialing issues, it is no wonder that our nation’s </w:t>
      </w:r>
      <w:r w:rsidR="00755396">
        <w:t>healthcare worker</w:t>
      </w:r>
      <w:r w:rsidRPr="00F77C61">
        <w:t xml:space="preserve">s need support, especially from the systems that employ them. </w:t>
      </w:r>
    </w:p>
    <w:p w:rsidR="009031B7" w:rsidRPr="00F77C61" w:rsidP="00F77C61" w14:paraId="1C0ECB5E" w14:textId="65996CC9">
      <w:pPr>
        <w:rPr>
          <w:rFonts w:eastAsia="Arial Nova"/>
        </w:rPr>
      </w:pPr>
      <w:r w:rsidRPr="00F77C61">
        <w:t xml:space="preserve">NIOSH, the federal agency tasked with conducting research that contributes to reductions in occupational illnesses, injuries, and hazards, and its contractor, JPA Health, </w:t>
      </w:r>
      <w:r w:rsidRPr="009D6F07">
        <w:rPr>
          <w:color w:val="000000" w:themeColor="text1"/>
        </w:rPr>
        <w:t xml:space="preserve">plan to </w:t>
      </w:r>
      <w:r w:rsidRPr="00F77C61">
        <w:t>develop, implement, and evaluate a social marketing campaign</w:t>
      </w:r>
      <w:r w:rsidR="00BE4224">
        <w:t xml:space="preserve"> for </w:t>
      </w:r>
      <w:r w:rsidR="00AC2A29">
        <w:t>hospital leaders and health</w:t>
      </w:r>
      <w:r w:rsidRPr="009D6F07" w:rsidR="009D6F07">
        <w:rPr>
          <w:rFonts w:eastAsia="Calibri" w:cstheme="minorHAnsi"/>
        </w:rPr>
        <w:t xml:space="preserve">care workers who provide direct patient care in hospitals. </w:t>
      </w:r>
      <w:r w:rsidR="001D4B1B">
        <w:rPr>
          <w:rFonts w:eastAsia="Calibri" w:cstheme="minorHAnsi"/>
        </w:rPr>
        <w:t xml:space="preserve">The goal is to </w:t>
      </w:r>
      <w:r w:rsidRPr="00F77C61">
        <w:t>awareness of mental health risks, promote help seeking and treatment among health</w:t>
      </w:r>
      <w:r w:rsidR="001D4B1B">
        <w:t>care</w:t>
      </w:r>
      <w:r w:rsidRPr="00F77C61">
        <w:t xml:space="preserve"> workers experiencing burnout and job-related distress, and establish organizational policies and practices that support worker mental health. </w:t>
      </w:r>
    </w:p>
    <w:p w:rsidR="00287B45" w:rsidP="00F77C61" w14:paraId="731A2AFD" w14:textId="07CC1A2E">
      <w:r w:rsidRPr="00F77C61">
        <w:t>While many interventions focus on health workers’ behaviors, few address the organizational causes of health worker burnout.</w:t>
      </w:r>
      <w:r>
        <w:t xml:space="preserve"> For this reason, </w:t>
      </w:r>
      <w:r w:rsidR="00822E24">
        <w:t xml:space="preserve">NIOSH </w:t>
      </w:r>
      <w:r w:rsidR="00004421">
        <w:t>propose</w:t>
      </w:r>
      <w:r w:rsidR="00822E24">
        <w:t>s</w:t>
      </w:r>
      <w:r w:rsidR="00004421">
        <w:t xml:space="preserve"> to evaluate the campaign through a follow-up</w:t>
      </w:r>
      <w:r w:rsidR="00220263">
        <w:t xml:space="preserve"> survey of </w:t>
      </w:r>
      <w:r w:rsidR="00AD6AA9">
        <w:t>hospital leaders and healthcare workers</w:t>
      </w:r>
      <w:r w:rsidR="00714AB5">
        <w:t>.</w:t>
      </w:r>
      <w:r w:rsidR="007D6D82">
        <w:t xml:space="preserve"> This activity supports </w:t>
      </w:r>
      <w:r w:rsidR="00472E66">
        <w:t xml:space="preserve">NIOSH’s goal to </w:t>
      </w:r>
      <w:r w:rsidR="007B489E">
        <w:t>improv</w:t>
      </w:r>
      <w:r w:rsidR="00472E66">
        <w:t>e</w:t>
      </w:r>
      <w:r w:rsidR="007B489E">
        <w:t xml:space="preserve"> work design and well-being among healthcare workers in the current </w:t>
      </w:r>
      <w:hyperlink r:id="rId9" w:history="1">
        <w:r w:rsidRPr="000F6C99" w:rsidR="007B489E">
          <w:rPr>
            <w:rStyle w:val="Hyperlink"/>
          </w:rPr>
          <w:t>NIOSH Strategic Plan</w:t>
        </w:r>
      </w:hyperlink>
      <w:r w:rsidR="007B489E">
        <w:t xml:space="preserve"> as well </w:t>
      </w:r>
      <w:r w:rsidR="00472E66">
        <w:t xml:space="preserve">as NIOSH’s efforts to </w:t>
      </w:r>
      <w:hyperlink r:id="rId10" w:history="1">
        <w:r w:rsidRPr="003D0948" w:rsidR="00472E66">
          <w:rPr>
            <w:rStyle w:val="Hyperlink"/>
          </w:rPr>
          <w:t>build evaluation capacity</w:t>
        </w:r>
      </w:hyperlink>
      <w:r w:rsidR="00472E66">
        <w:t xml:space="preserve">. </w:t>
      </w:r>
    </w:p>
    <w:p w:rsidR="00004421" w:rsidP="00F77C61" w14:paraId="67D51D74" w14:textId="24FC338E">
      <w:r>
        <w:t xml:space="preserve">This is a new information collection request for </w:t>
      </w:r>
      <w:r w:rsidR="002F124D">
        <w:t>one year</w:t>
      </w:r>
      <w:r>
        <w:t xml:space="preserve"> of data collection.</w:t>
      </w:r>
    </w:p>
    <w:p w:rsidR="00004421" w:rsidP="00F77C61" w14:paraId="6F976300" w14:textId="77777777"/>
    <w:p w:rsidR="002F6D9C" w:rsidRPr="00F77C61" w:rsidP="67AC4A89" w14:paraId="76FDD08D" w14:textId="13439C60">
      <w:pPr>
        <w:pStyle w:val="Heading1"/>
        <w:spacing w:line="240" w:lineRule="auto"/>
        <w:rPr>
          <w:rFonts w:asciiTheme="minorHAnsi" w:hAnsiTheme="minorHAnsi" w:cstheme="minorHAnsi"/>
          <w:b/>
          <w:bCs/>
          <w:color w:val="auto"/>
          <w:sz w:val="24"/>
          <w:szCs w:val="24"/>
        </w:rPr>
      </w:pPr>
      <w:bookmarkStart w:id="4" w:name="_Hlk40279420"/>
      <w:bookmarkEnd w:id="4"/>
      <w:r w:rsidRPr="00F77C61">
        <w:rPr>
          <w:rFonts w:asciiTheme="minorHAnsi" w:hAnsiTheme="minorHAnsi" w:cstheme="minorHAnsi"/>
          <w:b/>
          <w:bCs/>
          <w:color w:val="auto"/>
          <w:sz w:val="24"/>
          <w:szCs w:val="24"/>
        </w:rPr>
        <w:t>2. Purpose and Use of the Information Collection</w:t>
      </w:r>
    </w:p>
    <w:p w:rsidR="002F419E" w:rsidRPr="00F77C61" w:rsidP="67AC4A89" w14:paraId="44C51E5E" w14:textId="663047E3">
      <w:pPr>
        <w:spacing w:after="0" w:line="240" w:lineRule="auto"/>
        <w:rPr>
          <w:rFonts w:cstheme="minorHAnsi"/>
          <w:sz w:val="16"/>
          <w:szCs w:val="16"/>
          <w:highlight w:val="yellow"/>
        </w:rPr>
      </w:pPr>
    </w:p>
    <w:p w:rsidR="00E847FC" w:rsidP="00F77C61" w14:paraId="3C2F6D8C" w14:textId="55541291">
      <w:r w:rsidRPr="00F77C61">
        <w:t>The purpose of this ICR is to collect</w:t>
      </w:r>
      <w:r w:rsidR="00F6010D">
        <w:t xml:space="preserve"> data to</w:t>
      </w:r>
      <w:r w:rsidRPr="00F77C61">
        <w:t xml:space="preserve"> document</w:t>
      </w:r>
      <w:r w:rsidR="00F6010D">
        <w:t xml:space="preserve"> outcomes of </w:t>
      </w:r>
      <w:r w:rsidRPr="00F77C61" w:rsidR="00F6010D">
        <w:rPr>
          <w:rFonts w:cstheme="minorHAnsi"/>
          <w:color w:val="000000" w:themeColor="text1"/>
        </w:rPr>
        <w:t>a social marketing campaign to improve the mental health and well-being of healthcare workers (e.g., mental health help seeking, modifications to working conditions, and health</w:t>
      </w:r>
      <w:r w:rsidR="00F04ADA">
        <w:rPr>
          <w:rFonts w:cstheme="minorHAnsi"/>
          <w:color w:val="000000" w:themeColor="text1"/>
        </w:rPr>
        <w:t>care</w:t>
      </w:r>
      <w:r w:rsidRPr="00F77C61" w:rsidR="00F6010D">
        <w:rPr>
          <w:rFonts w:cstheme="minorHAnsi"/>
          <w:color w:val="000000" w:themeColor="text1"/>
        </w:rPr>
        <w:t xml:space="preserve"> worker well-being)</w:t>
      </w:r>
      <w:r w:rsidR="00E278EB">
        <w:t>.</w:t>
      </w:r>
      <w:r w:rsidR="0063391C">
        <w:t xml:space="preserve"> </w:t>
      </w:r>
      <w:r w:rsidR="00E278EB">
        <w:t>The campaign will be</w:t>
      </w:r>
      <w:r w:rsidRPr="00F77C61">
        <w:t xml:space="preserve"> developed by</w:t>
      </w:r>
      <w:r w:rsidR="008C3204">
        <w:t xml:space="preserve"> NIOSH’s contractor,</w:t>
      </w:r>
      <w:r w:rsidRPr="00F77C61">
        <w:t xml:space="preserve"> JPA Health (JPA), with input from NIOSH. Education Development Center (EDC), a subcontractor to JPA and in partnership with JPA’s evaluation team, will oversee the collection, cleaning, storing, protection, and analysis of data collected through this project within NIOSH’s Edge Computing Platform (NECP).</w:t>
      </w:r>
    </w:p>
    <w:p w:rsidR="00700D4D" w:rsidP="00700D4D" w14:paraId="62871F85" w14:textId="77777777">
      <w:r>
        <w:t xml:space="preserve">The social marketing campaign, and therefore the evaluation, focuses on two populations: </w:t>
      </w:r>
    </w:p>
    <w:p w:rsidR="00700D4D" w:rsidRPr="00381EB5" w:rsidP="00700D4D" w14:paraId="74D124DA" w14:textId="77777777">
      <w:pPr>
        <w:pStyle w:val="ListParagraph"/>
        <w:numPr>
          <w:ilvl w:val="0"/>
          <w:numId w:val="28"/>
        </w:numPr>
      </w:pPr>
      <w:r w:rsidRPr="00381EB5">
        <w:rPr>
          <w:rFonts w:eastAsia="Calibri" w:cstheme="minorHAnsi"/>
        </w:rPr>
        <w:t xml:space="preserve">Hospital leaders, defined as executives or senior managers who have decision making authority within hospital systems. </w:t>
      </w:r>
    </w:p>
    <w:p w:rsidR="00700D4D" w:rsidRPr="00606383" w:rsidP="00700D4D" w14:paraId="167FC2D9" w14:textId="77777777">
      <w:pPr>
        <w:pStyle w:val="ListParagraph"/>
        <w:numPr>
          <w:ilvl w:val="0"/>
          <w:numId w:val="28"/>
        </w:numPr>
      </w:pPr>
      <w:r w:rsidRPr="00381EB5">
        <w:rPr>
          <w:rFonts w:eastAsia="Calibri" w:cstheme="minorHAnsi"/>
        </w:rPr>
        <w:t>Healthcare workers, defined as workers who provide direct patient care in hospitals. This includes, but is not limited to, physicians, nurses, therapists (e.g., respiratory, physical), and patient care technicians.</w:t>
      </w:r>
    </w:p>
    <w:p w:rsidR="00853EF8" w:rsidP="00853EF8" w14:paraId="7D2539CA" w14:textId="12EF41F8">
      <w:pPr>
        <w:rPr>
          <w:color w:val="000000" w:themeColor="text1"/>
        </w:rPr>
      </w:pPr>
      <w:r>
        <w:t>F</w:t>
      </w:r>
      <w:r>
        <w:t xml:space="preserve">ollow-up surveys will examine whether </w:t>
      </w:r>
      <w:r w:rsidRPr="3190BAA1">
        <w:rPr>
          <w:color w:val="000000" w:themeColor="text1"/>
        </w:rPr>
        <w:t>hospital leader and healthcare worker exposure to and engagement with campaign activities and messages contribute to changes in their knowledge, beliefs, and practices thought to promote healthcare worker mental health and well-being. A post-only design was chosen to reduce burden and maximize response rates, compared to a baseline and follow-up design. Data collection includes</w:t>
      </w:r>
      <w:r w:rsidRPr="3190BAA1" w:rsidR="00DD7C73">
        <w:rPr>
          <w:color w:val="000000" w:themeColor="text1"/>
        </w:rPr>
        <w:t xml:space="preserve"> 10</w:t>
      </w:r>
      <w:r w:rsidRPr="3190BAA1" w:rsidR="1B81743A">
        <w:rPr>
          <w:color w:val="000000" w:themeColor="text1"/>
        </w:rPr>
        <w:t>-</w:t>
      </w:r>
      <w:r w:rsidRPr="3190BAA1" w:rsidR="00DD7C73">
        <w:rPr>
          <w:color w:val="000000" w:themeColor="text1"/>
        </w:rPr>
        <w:t>minute</w:t>
      </w:r>
      <w:r w:rsidRPr="3190BAA1">
        <w:rPr>
          <w:color w:val="000000" w:themeColor="text1"/>
        </w:rPr>
        <w:t xml:space="preserve"> online surveys for healthcare workers and hospital leaders. </w:t>
      </w:r>
    </w:p>
    <w:p w:rsidR="00A53AEF" w:rsidRPr="00A53AEF" w:rsidP="00A53AEF" w14:paraId="393644C2" w14:textId="28C81F87">
      <w:pPr>
        <w:rPr>
          <w:color w:val="000000"/>
        </w:rPr>
      </w:pPr>
      <w:r>
        <w:rPr>
          <w:color w:val="000000"/>
        </w:rPr>
        <w:t xml:space="preserve">This study will include a representative sample of healthcare workers and hospital leaders that hail from relevant partner network organizations of the </w:t>
      </w:r>
      <w:r>
        <w:rPr>
          <w:i/>
          <w:iCs/>
          <w:color w:val="000000"/>
        </w:rPr>
        <w:t xml:space="preserve">All In: </w:t>
      </w:r>
      <w:r>
        <w:rPr>
          <w:i/>
          <w:iCs/>
          <w:color w:val="000000"/>
        </w:rPr>
        <w:t>WellBeing</w:t>
      </w:r>
      <w:r>
        <w:rPr>
          <w:i/>
          <w:iCs/>
          <w:color w:val="000000"/>
        </w:rPr>
        <w:t xml:space="preserve"> First for Healthcare </w:t>
      </w:r>
      <w:r>
        <w:rPr>
          <w:color w:val="000000"/>
        </w:rPr>
        <w:t>network</w:t>
      </w:r>
      <w:r w:rsidR="009B3C70">
        <w:rPr>
          <w:color w:val="000000"/>
        </w:rPr>
        <w:t xml:space="preserve"> (e.g., American Medical Association, American Hospital Association, American Nurses Association</w:t>
      </w:r>
      <w:r w:rsidR="00DD7C73">
        <w:rPr>
          <w:color w:val="000000"/>
        </w:rPr>
        <w:t>)</w:t>
      </w:r>
      <w:r>
        <w:rPr>
          <w:color w:val="000000"/>
        </w:rPr>
        <w:t xml:space="preserve">. </w:t>
      </w:r>
      <w:r>
        <w:rPr>
          <w:color w:val="000000" w:themeColor="text1"/>
        </w:rPr>
        <w:t xml:space="preserve">The hospital leader and healthcare worker surveys will be conducted at two points in time:  </w:t>
      </w:r>
    </w:p>
    <w:p w:rsidR="00A53AEF" w:rsidP="00A53AEF" w14:paraId="71F89C6B" w14:textId="77777777">
      <w:pPr>
        <w:pStyle w:val="ListParagraph"/>
        <w:numPr>
          <w:ilvl w:val="0"/>
          <w:numId w:val="37"/>
        </w:numPr>
        <w:rPr>
          <w:color w:val="000000" w:themeColor="text1"/>
        </w:rPr>
      </w:pPr>
      <w:r w:rsidRPr="00002BA6">
        <w:rPr>
          <w:color w:val="000000" w:themeColor="text1"/>
        </w:rPr>
        <w:t>December 20</w:t>
      </w:r>
      <w:r>
        <w:rPr>
          <w:color w:val="000000" w:themeColor="text1"/>
        </w:rPr>
        <w:t>2</w:t>
      </w:r>
      <w:r w:rsidRPr="00002BA6">
        <w:rPr>
          <w:color w:val="000000" w:themeColor="text1"/>
        </w:rPr>
        <w:t>3</w:t>
      </w:r>
      <w:r>
        <w:rPr>
          <w:color w:val="000000" w:themeColor="text1"/>
        </w:rPr>
        <w:t>,</w:t>
      </w:r>
      <w:r w:rsidRPr="00002BA6">
        <w:rPr>
          <w:color w:val="000000" w:themeColor="text1"/>
        </w:rPr>
        <w:t xml:space="preserve"> 10 months after</w:t>
      </w:r>
      <w:r>
        <w:rPr>
          <w:color w:val="000000" w:themeColor="text1"/>
        </w:rPr>
        <w:t xml:space="preserve"> campaign</w:t>
      </w:r>
      <w:r w:rsidRPr="00002BA6">
        <w:rPr>
          <w:color w:val="000000" w:themeColor="text1"/>
        </w:rPr>
        <w:t xml:space="preserve"> launch, and </w:t>
      </w:r>
    </w:p>
    <w:p w:rsidR="00A53AEF" w:rsidP="00A53AEF" w14:paraId="69959BD2" w14:textId="77777777">
      <w:pPr>
        <w:pStyle w:val="ListParagraph"/>
        <w:numPr>
          <w:ilvl w:val="0"/>
          <w:numId w:val="37"/>
        </w:numPr>
        <w:rPr>
          <w:color w:val="000000" w:themeColor="text1"/>
        </w:rPr>
      </w:pPr>
      <w:r>
        <w:rPr>
          <w:color w:val="000000" w:themeColor="text1"/>
        </w:rPr>
        <w:t xml:space="preserve">February 2023, </w:t>
      </w:r>
      <w:r w:rsidRPr="00002BA6">
        <w:rPr>
          <w:color w:val="000000" w:themeColor="text1"/>
        </w:rPr>
        <w:t>12 months a</w:t>
      </w:r>
      <w:r>
        <w:rPr>
          <w:color w:val="000000" w:themeColor="text1"/>
        </w:rPr>
        <w:t>fter campaign launch</w:t>
      </w:r>
    </w:p>
    <w:p w:rsidR="00A53AEF" w:rsidRPr="00740B58" w:rsidP="00A53AEF" w14:paraId="52E86D4E" w14:textId="2B87B74F">
      <w:pPr>
        <w:rPr>
          <w:color w:val="000000" w:themeColor="text1"/>
        </w:rPr>
      </w:pPr>
      <w:r>
        <w:rPr>
          <w:color w:val="000000"/>
        </w:rPr>
        <w:t>Half of the sample will be collected during each data collection period; e</w:t>
      </w:r>
      <w:r>
        <w:rPr>
          <w:color w:val="000000" w:themeColor="text1"/>
        </w:rPr>
        <w:t xml:space="preserve">ach person will only be surveyed once. </w:t>
      </w:r>
      <w:r w:rsidRPr="0081008F">
        <w:rPr>
          <w:color w:val="000000" w:themeColor="text1"/>
        </w:rPr>
        <w:t xml:space="preserve"> </w:t>
      </w:r>
    </w:p>
    <w:p w:rsidR="004441F9" w:rsidRPr="00F77C61" w:rsidP="00F77C61" w14:paraId="53E9A579" w14:textId="43CD1275">
      <w:r>
        <w:t>The table below presents the types of information that will be disseminated to whom and how. Results will be presented in aggregate. Results do not allow us to generalize to the entire U.S. healthcare system.</w:t>
      </w:r>
    </w:p>
    <w:tbl>
      <w:tblPr>
        <w:tblStyle w:val="TableGrid"/>
        <w:tblW w:w="9360" w:type="dxa"/>
        <w:tblLayout w:type="fixed"/>
        <w:tblLook w:val="06A0"/>
      </w:tblPr>
      <w:tblGrid>
        <w:gridCol w:w="3120"/>
        <w:gridCol w:w="3120"/>
        <w:gridCol w:w="3120"/>
      </w:tblGrid>
      <w:tr w14:paraId="1F150D20" w14:textId="77777777" w:rsidTr="3190BAA1">
        <w:tblPrEx>
          <w:tblW w:w="9360" w:type="dxa"/>
          <w:tblLayout w:type="fixed"/>
          <w:tblLook w:val="06A0"/>
        </w:tblPrEx>
        <w:trPr>
          <w:tblHeader/>
        </w:trPr>
        <w:tc>
          <w:tcPr>
            <w:tcW w:w="3120" w:type="dxa"/>
            <w:shd w:val="clear" w:color="auto" w:fill="000000" w:themeFill="text1"/>
          </w:tcPr>
          <w:p w:rsidR="67AC4A89" w:rsidRPr="005B7A05" w:rsidP="17D80C04" w14:paraId="3265126B" w14:textId="107A1A13">
            <w:pPr>
              <w:spacing w:line="259" w:lineRule="auto"/>
              <w:rPr>
                <w:rFonts w:eastAsia="Arial" w:cstheme="minorHAnsi"/>
                <w:b/>
                <w:bCs/>
                <w:color w:val="FFFFFF" w:themeColor="background1"/>
                <w:sz w:val="20"/>
                <w:szCs w:val="20"/>
              </w:rPr>
            </w:pPr>
            <w:r w:rsidRPr="005B7A05">
              <w:rPr>
                <w:rFonts w:eastAsia="Arial" w:cstheme="minorHAnsi"/>
                <w:b/>
                <w:bCs/>
                <w:color w:val="FFFFFF" w:themeColor="background1"/>
                <w:sz w:val="20"/>
                <w:szCs w:val="20"/>
              </w:rPr>
              <w:t>Products</w:t>
            </w:r>
          </w:p>
        </w:tc>
        <w:tc>
          <w:tcPr>
            <w:tcW w:w="3120" w:type="dxa"/>
            <w:shd w:val="clear" w:color="auto" w:fill="000000" w:themeFill="text1"/>
          </w:tcPr>
          <w:p w:rsidR="67AC4A89" w:rsidRPr="005B7A05" w:rsidP="17D80C04" w14:paraId="0AC90964" w14:textId="388ED608">
            <w:pPr>
              <w:rPr>
                <w:rFonts w:eastAsia="Arial" w:cstheme="minorHAnsi"/>
                <w:color w:val="FFFFFF" w:themeColor="background1"/>
                <w:sz w:val="20"/>
                <w:szCs w:val="20"/>
              </w:rPr>
            </w:pPr>
            <w:r w:rsidRPr="005B7A05">
              <w:rPr>
                <w:rFonts w:eastAsia="Arial" w:cstheme="minorHAnsi"/>
                <w:b/>
                <w:bCs/>
                <w:color w:val="FFFFFF" w:themeColor="background1"/>
                <w:sz w:val="20"/>
                <w:szCs w:val="20"/>
              </w:rPr>
              <w:t>Information</w:t>
            </w:r>
          </w:p>
        </w:tc>
        <w:tc>
          <w:tcPr>
            <w:tcW w:w="3120" w:type="dxa"/>
            <w:shd w:val="clear" w:color="auto" w:fill="000000" w:themeFill="text1"/>
          </w:tcPr>
          <w:p w:rsidR="67AC4A89" w:rsidRPr="005B7A05" w:rsidP="17D80C04" w14:paraId="2782F433" w14:textId="2A2B9F5B">
            <w:pPr>
              <w:rPr>
                <w:rFonts w:eastAsia="Arial" w:cstheme="minorHAnsi"/>
                <w:b/>
                <w:bCs/>
                <w:color w:val="FFFFFF" w:themeColor="background1"/>
                <w:sz w:val="20"/>
                <w:szCs w:val="20"/>
              </w:rPr>
            </w:pPr>
            <w:r w:rsidRPr="005B7A05">
              <w:rPr>
                <w:rFonts w:eastAsia="Arial" w:cstheme="minorHAnsi"/>
                <w:b/>
                <w:bCs/>
                <w:color w:val="FFFFFF" w:themeColor="background1"/>
                <w:sz w:val="20"/>
                <w:szCs w:val="20"/>
              </w:rPr>
              <w:t>Audience</w:t>
            </w:r>
          </w:p>
        </w:tc>
      </w:tr>
      <w:tr w14:paraId="7D94B02E" w14:textId="77777777" w:rsidTr="3190BAA1">
        <w:tblPrEx>
          <w:tblW w:w="9360" w:type="dxa"/>
          <w:tblLayout w:type="fixed"/>
          <w:tblLook w:val="06A0"/>
        </w:tblPrEx>
        <w:trPr>
          <w:tblHeader/>
        </w:trPr>
        <w:tc>
          <w:tcPr>
            <w:tcW w:w="3120" w:type="dxa"/>
          </w:tcPr>
          <w:p w:rsidR="67AC4A89" w:rsidRPr="00F77C61" w:rsidP="17D80C04" w14:paraId="5256A338" w14:textId="39FF06E1">
            <w:pPr>
              <w:rPr>
                <w:rFonts w:eastAsia="Arial" w:cstheme="minorHAnsi"/>
                <w:sz w:val="20"/>
                <w:szCs w:val="20"/>
              </w:rPr>
            </w:pPr>
            <w:r w:rsidRPr="00F77C61">
              <w:rPr>
                <w:rFonts w:eastAsia="Arial" w:cstheme="minorHAnsi"/>
                <w:sz w:val="20"/>
                <w:szCs w:val="20"/>
              </w:rPr>
              <w:t>Peer-reviewed publications</w:t>
            </w:r>
          </w:p>
        </w:tc>
        <w:tc>
          <w:tcPr>
            <w:tcW w:w="3120" w:type="dxa"/>
          </w:tcPr>
          <w:p w:rsidR="67AC4A89" w:rsidRPr="00F77C61" w:rsidP="17D80C04" w14:paraId="5154D849" w14:textId="3DD0D8EB">
            <w:pPr>
              <w:rPr>
                <w:rFonts w:eastAsia="Arial" w:cstheme="minorHAnsi"/>
                <w:sz w:val="20"/>
                <w:szCs w:val="20"/>
              </w:rPr>
            </w:pPr>
            <w:r w:rsidRPr="00F77C61">
              <w:rPr>
                <w:rFonts w:eastAsia="Arial" w:cstheme="minorHAnsi"/>
                <w:sz w:val="20"/>
                <w:szCs w:val="20"/>
              </w:rPr>
              <w:t>Aggregate results</w:t>
            </w:r>
          </w:p>
        </w:tc>
        <w:tc>
          <w:tcPr>
            <w:tcW w:w="3120" w:type="dxa"/>
          </w:tcPr>
          <w:p w:rsidR="67AC4A89" w:rsidRPr="00F77C61" w:rsidP="3190BAA1" w14:paraId="06C5230C" w14:textId="77F35460">
            <w:pPr>
              <w:rPr>
                <w:rFonts w:eastAsia="Arial"/>
                <w:sz w:val="20"/>
                <w:szCs w:val="20"/>
              </w:rPr>
            </w:pPr>
            <w:r w:rsidRPr="3190BAA1">
              <w:rPr>
                <w:rFonts w:eastAsia="Arial"/>
                <w:sz w:val="20"/>
                <w:szCs w:val="20"/>
              </w:rPr>
              <w:t>Public health and healthcare researchers; policymakers</w:t>
            </w:r>
          </w:p>
        </w:tc>
      </w:tr>
      <w:tr w14:paraId="7A803D30" w14:textId="77777777" w:rsidTr="3190BAA1">
        <w:tblPrEx>
          <w:tblW w:w="9360" w:type="dxa"/>
          <w:tblLayout w:type="fixed"/>
          <w:tblLook w:val="06A0"/>
        </w:tblPrEx>
        <w:trPr>
          <w:tblHeader/>
        </w:trPr>
        <w:tc>
          <w:tcPr>
            <w:tcW w:w="3120" w:type="dxa"/>
            <w:shd w:val="clear" w:color="auto" w:fill="auto"/>
          </w:tcPr>
          <w:p w:rsidR="67AC4A89" w:rsidRPr="00F77C61" w:rsidP="17D80C04" w14:paraId="71AE9A4C" w14:textId="1B0405E9">
            <w:pPr>
              <w:rPr>
                <w:rFonts w:eastAsia="Arial" w:cstheme="minorHAnsi"/>
                <w:sz w:val="20"/>
                <w:szCs w:val="20"/>
              </w:rPr>
            </w:pPr>
            <w:r w:rsidRPr="00F77C61">
              <w:rPr>
                <w:rFonts w:eastAsia="Arial" w:cstheme="minorHAnsi"/>
                <w:sz w:val="20"/>
                <w:szCs w:val="20"/>
              </w:rPr>
              <w:t>Presentations at professional conferences</w:t>
            </w:r>
          </w:p>
        </w:tc>
        <w:tc>
          <w:tcPr>
            <w:tcW w:w="3120" w:type="dxa"/>
            <w:shd w:val="clear" w:color="auto" w:fill="auto"/>
          </w:tcPr>
          <w:p w:rsidR="67AC4A89" w:rsidRPr="00F77C61" w:rsidP="17D80C04" w14:paraId="7BE8D919" w14:textId="1BACE9D3">
            <w:pPr>
              <w:rPr>
                <w:rFonts w:eastAsia="Arial" w:cstheme="minorHAnsi"/>
                <w:sz w:val="20"/>
                <w:szCs w:val="20"/>
              </w:rPr>
            </w:pPr>
            <w:r w:rsidRPr="00F77C61">
              <w:rPr>
                <w:rFonts w:eastAsia="Arial" w:cstheme="minorHAnsi"/>
                <w:sz w:val="20"/>
                <w:szCs w:val="20"/>
              </w:rPr>
              <w:t>Aggregate results</w:t>
            </w:r>
          </w:p>
        </w:tc>
        <w:tc>
          <w:tcPr>
            <w:tcW w:w="3120" w:type="dxa"/>
            <w:shd w:val="clear" w:color="auto" w:fill="auto"/>
          </w:tcPr>
          <w:p w:rsidR="67AC4A89" w:rsidRPr="00F77C61" w:rsidP="17D80C04" w14:paraId="23D8B653" w14:textId="2B079332">
            <w:pPr>
              <w:rPr>
                <w:rFonts w:eastAsia="Arial" w:cstheme="minorHAnsi"/>
                <w:sz w:val="20"/>
                <w:szCs w:val="20"/>
              </w:rPr>
            </w:pPr>
            <w:r w:rsidRPr="00F77C61">
              <w:rPr>
                <w:rFonts w:eastAsia="Arial" w:cstheme="minorHAnsi"/>
                <w:sz w:val="20"/>
                <w:szCs w:val="20"/>
              </w:rPr>
              <w:t>Healthcare and public health practitioners; healthcare executives</w:t>
            </w:r>
          </w:p>
        </w:tc>
      </w:tr>
      <w:tr w14:paraId="5803DC65" w14:textId="77777777" w:rsidTr="3190BAA1">
        <w:tblPrEx>
          <w:tblW w:w="9360" w:type="dxa"/>
          <w:tblLayout w:type="fixed"/>
          <w:tblLook w:val="06A0"/>
        </w:tblPrEx>
        <w:trPr>
          <w:tblHeader/>
        </w:trPr>
        <w:tc>
          <w:tcPr>
            <w:tcW w:w="3120" w:type="dxa"/>
            <w:shd w:val="clear" w:color="auto" w:fill="auto"/>
          </w:tcPr>
          <w:p w:rsidR="67AC4A89" w:rsidRPr="00F77C61" w:rsidP="3190BAA1" w14:paraId="72109402" w14:textId="31667680">
            <w:pPr>
              <w:spacing w:line="259" w:lineRule="auto"/>
              <w:rPr>
                <w:rFonts w:eastAsia="Arial"/>
                <w:sz w:val="20"/>
                <w:szCs w:val="20"/>
              </w:rPr>
            </w:pPr>
            <w:r w:rsidRPr="3190BAA1">
              <w:rPr>
                <w:rFonts w:eastAsia="Arial"/>
                <w:sz w:val="20"/>
                <w:szCs w:val="20"/>
              </w:rPr>
              <w:t xml:space="preserve">Internal </w:t>
            </w:r>
            <w:r w:rsidRPr="3190BAA1" w:rsidR="3DF80079">
              <w:rPr>
                <w:rFonts w:eastAsia="Arial"/>
                <w:sz w:val="20"/>
                <w:szCs w:val="20"/>
              </w:rPr>
              <w:t xml:space="preserve">and external </w:t>
            </w:r>
            <w:r w:rsidRPr="3190BAA1">
              <w:rPr>
                <w:rFonts w:eastAsia="Arial"/>
                <w:sz w:val="20"/>
                <w:szCs w:val="20"/>
              </w:rPr>
              <w:t>evaluation reports</w:t>
            </w:r>
          </w:p>
        </w:tc>
        <w:tc>
          <w:tcPr>
            <w:tcW w:w="3120" w:type="dxa"/>
            <w:shd w:val="clear" w:color="auto" w:fill="auto"/>
          </w:tcPr>
          <w:p w:rsidR="67AC4A89" w:rsidRPr="00F77C61" w:rsidP="17D80C04" w14:paraId="2FBD75E9" w14:textId="512C0BE8">
            <w:pPr>
              <w:rPr>
                <w:rFonts w:eastAsia="Arial" w:cstheme="minorHAnsi"/>
                <w:sz w:val="20"/>
                <w:szCs w:val="20"/>
              </w:rPr>
            </w:pPr>
            <w:r w:rsidRPr="00F77C61">
              <w:rPr>
                <w:rFonts w:eastAsia="Arial" w:cstheme="minorHAnsi"/>
                <w:sz w:val="20"/>
                <w:szCs w:val="20"/>
              </w:rPr>
              <w:t>Aggregate results</w:t>
            </w:r>
          </w:p>
        </w:tc>
        <w:tc>
          <w:tcPr>
            <w:tcW w:w="3120" w:type="dxa"/>
            <w:shd w:val="clear" w:color="auto" w:fill="auto"/>
          </w:tcPr>
          <w:p w:rsidR="67AC4A89" w:rsidRPr="00F77C61" w:rsidP="3190BAA1" w14:paraId="67DCE4B2" w14:textId="5F38893A">
            <w:pPr>
              <w:spacing w:line="259" w:lineRule="auto"/>
              <w:rPr>
                <w:rFonts w:eastAsia="Arial"/>
                <w:sz w:val="20"/>
                <w:szCs w:val="20"/>
              </w:rPr>
            </w:pPr>
            <w:r w:rsidRPr="3190BAA1">
              <w:rPr>
                <w:rFonts w:eastAsia="Arial"/>
                <w:sz w:val="20"/>
                <w:szCs w:val="20"/>
              </w:rPr>
              <w:t>CDC/NIOSH and other DHHS agency officials; U.S. legislators</w:t>
            </w:r>
          </w:p>
        </w:tc>
      </w:tr>
      <w:tr w14:paraId="61B67991" w14:textId="77777777" w:rsidTr="3190BAA1">
        <w:tblPrEx>
          <w:tblW w:w="9360" w:type="dxa"/>
          <w:tblLayout w:type="fixed"/>
          <w:tblLook w:val="06A0"/>
        </w:tblPrEx>
        <w:trPr>
          <w:tblHeader/>
        </w:trPr>
        <w:tc>
          <w:tcPr>
            <w:tcW w:w="3120" w:type="dxa"/>
            <w:shd w:val="clear" w:color="auto" w:fill="auto"/>
          </w:tcPr>
          <w:p w:rsidR="0033488D" w:rsidP="17D80C04" w14:paraId="0393239F" w14:textId="459CBB60">
            <w:pPr>
              <w:rPr>
                <w:rFonts w:eastAsia="Arial" w:cstheme="minorHAnsi"/>
                <w:sz w:val="20"/>
                <w:szCs w:val="20"/>
              </w:rPr>
            </w:pPr>
            <w:r>
              <w:rPr>
                <w:rFonts w:eastAsia="Arial" w:cstheme="minorHAnsi"/>
                <w:sz w:val="20"/>
                <w:szCs w:val="20"/>
              </w:rPr>
              <w:t>Short articles in p</w:t>
            </w:r>
            <w:r w:rsidR="008E37D9">
              <w:rPr>
                <w:rFonts w:eastAsia="Arial" w:cstheme="minorHAnsi"/>
                <w:sz w:val="20"/>
                <w:szCs w:val="20"/>
              </w:rPr>
              <w:t>rofessional group, trade, and labor union press</w:t>
            </w:r>
          </w:p>
        </w:tc>
        <w:tc>
          <w:tcPr>
            <w:tcW w:w="3120" w:type="dxa"/>
            <w:shd w:val="clear" w:color="auto" w:fill="auto"/>
          </w:tcPr>
          <w:p w:rsidR="0033488D" w:rsidRPr="00F77C61" w:rsidP="17D80C04" w14:paraId="3ECA43DC" w14:textId="0F2CCEDA">
            <w:pPr>
              <w:rPr>
                <w:rFonts w:eastAsia="Arial" w:cstheme="minorHAnsi"/>
                <w:sz w:val="20"/>
                <w:szCs w:val="20"/>
              </w:rPr>
            </w:pPr>
            <w:r w:rsidRPr="00F77C61">
              <w:rPr>
                <w:rFonts w:eastAsia="Arial" w:cstheme="minorHAnsi"/>
                <w:sz w:val="20"/>
                <w:szCs w:val="20"/>
              </w:rPr>
              <w:t xml:space="preserve">Aggregate results </w:t>
            </w:r>
          </w:p>
        </w:tc>
        <w:tc>
          <w:tcPr>
            <w:tcW w:w="3120" w:type="dxa"/>
            <w:shd w:val="clear" w:color="auto" w:fill="auto"/>
          </w:tcPr>
          <w:p w:rsidR="0033488D" w:rsidRPr="00BC29BC" w:rsidP="3190BAA1" w14:paraId="709A1221" w14:textId="759521D0">
            <w:pPr>
              <w:rPr>
                <w:rFonts w:eastAsia="Arial"/>
                <w:sz w:val="20"/>
                <w:szCs w:val="20"/>
              </w:rPr>
            </w:pPr>
            <w:r w:rsidRPr="3190BAA1">
              <w:rPr>
                <w:rFonts w:eastAsia="Arial"/>
                <w:sz w:val="20"/>
                <w:szCs w:val="20"/>
              </w:rPr>
              <w:t>Healthcare workers and hospital leadership</w:t>
            </w:r>
          </w:p>
        </w:tc>
      </w:tr>
    </w:tbl>
    <w:p w:rsidR="00F57238" w:rsidRPr="00F77C61" w:rsidP="67AC4A89" w14:paraId="28E4F678" w14:textId="77777777">
      <w:pPr>
        <w:spacing w:after="0" w:line="240" w:lineRule="auto"/>
        <w:rPr>
          <w:rFonts w:cstheme="minorHAnsi"/>
          <w:sz w:val="24"/>
          <w:szCs w:val="24"/>
        </w:rPr>
      </w:pPr>
    </w:p>
    <w:p w:rsidR="000635D2" w:rsidP="000635D2" w14:paraId="1AFAC72E" w14:textId="3047111F">
      <w:pPr>
        <w:rPr>
          <w:color w:val="000000"/>
        </w:rPr>
      </w:pPr>
      <w:r>
        <w:rPr>
          <w:color w:val="000000"/>
        </w:rPr>
        <w:t>To supplement the survey data, JPA/EDC will also track c</w:t>
      </w:r>
      <w:r w:rsidRPr="006E1C4F">
        <w:rPr>
          <w:color w:val="000000"/>
        </w:rPr>
        <w:t xml:space="preserve">ampaign </w:t>
      </w:r>
      <w:r>
        <w:rPr>
          <w:color w:val="000000"/>
        </w:rPr>
        <w:t>r</w:t>
      </w:r>
      <w:r w:rsidRPr="006E1C4F">
        <w:rPr>
          <w:color w:val="000000"/>
        </w:rPr>
        <w:t xml:space="preserve">each, </w:t>
      </w:r>
      <w:r>
        <w:rPr>
          <w:color w:val="000000"/>
        </w:rPr>
        <w:t>e</w:t>
      </w:r>
      <w:r w:rsidRPr="006E1C4F">
        <w:rPr>
          <w:color w:val="000000"/>
        </w:rPr>
        <w:t xml:space="preserve">ngagement, and </w:t>
      </w:r>
      <w:r>
        <w:rPr>
          <w:color w:val="000000"/>
        </w:rPr>
        <w:t>r</w:t>
      </w:r>
      <w:r w:rsidRPr="006E1C4F">
        <w:rPr>
          <w:color w:val="000000"/>
        </w:rPr>
        <w:t>eception</w:t>
      </w:r>
      <w:r>
        <w:rPr>
          <w:color w:val="000000"/>
        </w:rPr>
        <w:t>. This includes tracking s</w:t>
      </w:r>
      <w:r w:rsidRPr="006E1C4F">
        <w:rPr>
          <w:color w:val="000000"/>
        </w:rPr>
        <w:t>ocial media mentions, conversations, and connections about the campaign</w:t>
      </w:r>
      <w:r>
        <w:rPr>
          <w:color w:val="000000"/>
        </w:rPr>
        <w:t xml:space="preserve"> using JPA’s Gretel</w:t>
      </w:r>
      <w:r>
        <w:rPr>
          <w:rFonts w:cstheme="minorHAnsi"/>
          <w:color w:val="000000"/>
        </w:rPr>
        <w:t>®</w:t>
      </w:r>
      <w:r>
        <w:rPr>
          <w:color w:val="000000"/>
        </w:rPr>
        <w:t xml:space="preserve"> software. JPA will also monitoring dissemination channel and document which messages or campaign products are shared by whom and when. User feedback on the campaign website will be obtained through </w:t>
      </w:r>
      <w:r w:rsidR="00F47A61">
        <w:rPr>
          <w:color w:val="000000"/>
        </w:rPr>
        <w:t xml:space="preserve">a voluntary web survey </w:t>
      </w:r>
      <w:r>
        <w:rPr>
          <w:color w:val="000000"/>
        </w:rPr>
        <w:t>(</w:t>
      </w:r>
      <w:r w:rsidRPr="00BB4907">
        <w:rPr>
          <w:color w:val="000000"/>
        </w:rPr>
        <w:t>OMB Control</w:t>
      </w:r>
      <w:r w:rsidRPr="000B1CDA" w:rsidR="000B1CDA">
        <w:t xml:space="preserve"> </w:t>
      </w:r>
      <w:r w:rsidRPr="000B1CDA" w:rsidR="000B1CDA">
        <w:rPr>
          <w:color w:val="000000"/>
        </w:rPr>
        <w:t>0920-0953</w:t>
      </w:r>
      <w:r>
        <w:rPr>
          <w:color w:val="000000"/>
        </w:rPr>
        <w:t>)</w:t>
      </w:r>
      <w:r w:rsidR="005921F7">
        <w:rPr>
          <w:color w:val="000000"/>
        </w:rPr>
        <w:t>.</w:t>
      </w:r>
    </w:p>
    <w:p w:rsidR="000635D2" w:rsidP="000635D2" w14:paraId="21B7FB9E" w14:textId="0B67646E">
      <w:r>
        <w:t>Survey</w:t>
      </w:r>
      <w:r w:rsidRPr="00F77C61">
        <w:t xml:space="preserve"> information is important to collect because, as noted above, very few interventions address the organizational causes of health</w:t>
      </w:r>
      <w:r w:rsidR="00F04ADA">
        <w:t>care</w:t>
      </w:r>
      <w:r w:rsidRPr="00F77C61">
        <w:t xml:space="preserve"> worker burnout. In turn, few data exist to inform how the field can and should address this major public health and occupational safety issue.</w:t>
      </w:r>
      <w:r>
        <w:t xml:space="preserve"> </w:t>
      </w:r>
      <w:r w:rsidRPr="00F77C61">
        <w:t xml:space="preserve"> </w:t>
      </w:r>
      <w:r>
        <w:t xml:space="preserve">Without a seeking direct feedback from a representative sample of the target audiences of the campaign, NIOSH would not understand the impact of </w:t>
      </w:r>
      <w:r w:rsidR="00C93947">
        <w:t>this investment or be able to make informed decisions about future investments in this area.</w:t>
      </w:r>
    </w:p>
    <w:p w:rsidR="002F419E" w:rsidRPr="00F77C61" w:rsidP="00F57238" w14:paraId="731B6D80" w14:textId="77777777">
      <w:pPr>
        <w:pStyle w:val="Heading1"/>
        <w:spacing w:before="0" w:line="240" w:lineRule="auto"/>
        <w:rPr>
          <w:rFonts w:asciiTheme="minorHAnsi" w:hAnsiTheme="minorHAnsi" w:cstheme="minorHAnsi"/>
          <w:b/>
          <w:bCs/>
          <w:color w:val="auto"/>
          <w:sz w:val="24"/>
          <w:szCs w:val="24"/>
        </w:rPr>
      </w:pPr>
      <w:r w:rsidRPr="00F77C61">
        <w:rPr>
          <w:rFonts w:asciiTheme="minorHAnsi" w:hAnsiTheme="minorHAnsi" w:cstheme="minorHAnsi"/>
          <w:b/>
          <w:bCs/>
          <w:color w:val="auto"/>
          <w:sz w:val="24"/>
          <w:szCs w:val="24"/>
        </w:rPr>
        <w:t>3. Use of Improved Information Technology and Burden Reduction</w:t>
      </w:r>
    </w:p>
    <w:p w:rsidR="002F419E" w:rsidRPr="00F77C61" w:rsidP="67AC4A89" w14:paraId="40F1FD70" w14:textId="77777777">
      <w:pPr>
        <w:pStyle w:val="Heading1"/>
        <w:spacing w:before="0" w:line="240" w:lineRule="auto"/>
        <w:rPr>
          <w:rFonts w:asciiTheme="minorHAnsi" w:hAnsiTheme="minorHAnsi" w:cstheme="minorHAnsi"/>
          <w:b/>
          <w:bCs/>
          <w:color w:val="auto"/>
          <w:sz w:val="16"/>
          <w:szCs w:val="16"/>
        </w:rPr>
      </w:pPr>
    </w:p>
    <w:p w:rsidR="006B2809" w:rsidP="00432A41" w14:paraId="5C5A6E7B" w14:textId="2F6D6844">
      <w:r>
        <w:t>S</w:t>
      </w:r>
      <w:r w:rsidR="17D80C04">
        <w:t>urvey</w:t>
      </w:r>
      <w:r>
        <w:t xml:space="preserve"> data</w:t>
      </w:r>
      <w:r w:rsidR="17D80C04">
        <w:t xml:space="preserve"> will be collected via </w:t>
      </w:r>
      <w:r w:rsidR="17D80C04">
        <w:t>REDCap</w:t>
      </w:r>
      <w:r w:rsidR="17D80C04">
        <w:t xml:space="preserve"> to reduce participant burden and ease data collection, entry, cleaning, analysis</w:t>
      </w:r>
      <w:r w:rsidR="70AB10E2">
        <w:t>, and security</w:t>
      </w:r>
      <w:r w:rsidR="17D80C04">
        <w:t xml:space="preserve">. </w:t>
      </w:r>
      <w:r w:rsidR="00822E24">
        <w:t>NIOSH and EDC/JPA</w:t>
      </w:r>
      <w:r w:rsidR="17D80C04">
        <w:t xml:space="preserve"> are cognizant of participant burden and </w:t>
      </w:r>
      <w:r w:rsidR="004F0A97">
        <w:t>both</w:t>
      </w:r>
      <w:r w:rsidR="006F1C9F">
        <w:t xml:space="preserve"> surveys</w:t>
      </w:r>
      <w:r w:rsidR="05A3F21D">
        <w:t xml:space="preserve"> will take </w:t>
      </w:r>
      <w:r w:rsidR="006F1C9F">
        <w:t>approximately 10 minutes</w:t>
      </w:r>
      <w:r w:rsidR="547326DD">
        <w:t xml:space="preserve"> to complete</w:t>
      </w:r>
      <w:r w:rsidR="00290E6A">
        <w:t xml:space="preserve">. </w:t>
      </w:r>
      <w:r w:rsidR="004F0A97">
        <w:t>The surveys</w:t>
      </w:r>
      <w:r w:rsidR="00290E6A">
        <w:t xml:space="preserve"> also do not contain open-ended questions, which are more time consuming to answer. </w:t>
      </w:r>
      <w:r w:rsidR="006574C8">
        <w:t>Survey questions have been carefully aligned to elements on the</w:t>
      </w:r>
      <w:r w:rsidR="005E4774">
        <w:t xml:space="preserve"> campaign</w:t>
      </w:r>
      <w:r w:rsidR="006574C8">
        <w:t xml:space="preserve"> logic model,</w:t>
      </w:r>
      <w:r w:rsidR="17D80C04">
        <w:t xml:space="preserve"> to ensure that there are no extraneous questions. </w:t>
      </w:r>
      <w:r w:rsidR="005E4774">
        <w:t>S</w:t>
      </w:r>
      <w:r w:rsidR="17D80C04">
        <w:t xml:space="preserve">kip patterns will be programmed in </w:t>
      </w:r>
      <w:r w:rsidR="17D80C04">
        <w:t>REDCap</w:t>
      </w:r>
      <w:r w:rsidR="17D80C04">
        <w:t xml:space="preserve"> to reduce the number of questions asked of respondents that do not apply. Participants may use desktop and mobile devices to complete surveys. Compared to paper surveys, online surveys reduce burden, require less time, and are less costly to employ.</w:t>
      </w:r>
    </w:p>
    <w:p w:rsidR="007D4812" w:rsidRPr="00F77C61" w:rsidP="00E407AB" w14:paraId="1A6E01CC" w14:textId="77777777">
      <w:pPr>
        <w:pStyle w:val="Heading1"/>
        <w:spacing w:before="0" w:line="240" w:lineRule="auto"/>
        <w:rPr>
          <w:rFonts w:asciiTheme="minorHAnsi" w:hAnsiTheme="minorHAnsi" w:cstheme="minorHAnsi"/>
          <w:b/>
          <w:color w:val="auto"/>
          <w:sz w:val="24"/>
          <w:szCs w:val="24"/>
        </w:rPr>
      </w:pPr>
      <w:r w:rsidRPr="00F77C61">
        <w:rPr>
          <w:rFonts w:asciiTheme="minorHAnsi" w:hAnsiTheme="minorHAnsi" w:cstheme="minorHAnsi"/>
          <w:b/>
          <w:color w:val="auto"/>
          <w:sz w:val="24"/>
          <w:szCs w:val="24"/>
        </w:rPr>
        <w:t xml:space="preserve">4. </w:t>
      </w:r>
      <w:r w:rsidRPr="00F77C61" w:rsidR="007032AD">
        <w:rPr>
          <w:rFonts w:asciiTheme="minorHAnsi" w:hAnsiTheme="minorHAnsi" w:cstheme="minorHAnsi"/>
          <w:b/>
          <w:color w:val="auto"/>
          <w:sz w:val="24"/>
          <w:szCs w:val="24"/>
        </w:rPr>
        <w:t>Efforts to Identify Duplication and Use of Similar Information</w:t>
      </w:r>
    </w:p>
    <w:p w:rsidR="007D4812" w:rsidRPr="00F77C61" w:rsidP="67AC4A89" w14:paraId="31CF7AFB" w14:textId="43B62135">
      <w:pPr>
        <w:pStyle w:val="Heading1"/>
        <w:spacing w:before="0" w:line="240" w:lineRule="auto"/>
        <w:rPr>
          <w:rFonts w:asciiTheme="minorHAnsi" w:hAnsiTheme="minorHAnsi" w:cstheme="minorHAnsi"/>
          <w:b/>
          <w:bCs/>
          <w:color w:val="auto"/>
          <w:sz w:val="16"/>
          <w:szCs w:val="16"/>
        </w:rPr>
      </w:pPr>
    </w:p>
    <w:p w:rsidR="00613AD6" w:rsidP="00DB7552" w14:paraId="4EBF7F4A" w14:textId="77777777">
      <w:r w:rsidRPr="00F77C61">
        <w:t>Existing epidemiological data sources – including SAMHSA’s National Survey on Drug Use and Health and CDC’s Behavior Risk Factor Surveillance system – collect information on various aspects of health and well-being among adults in the U.S. However, existing epidemiological sources like these do not collect the detailed information needed to evaluate outcomes specific to this population (i.e.,</w:t>
      </w:r>
      <w:r w:rsidR="002B54FF">
        <w:t xml:space="preserve"> hospital leaders and </w:t>
      </w:r>
      <w:r w:rsidR="00C53534">
        <w:t>healthcare workers</w:t>
      </w:r>
      <w:r w:rsidRPr="00F77C61">
        <w:t xml:space="preserve">). Further, existing data sources do not collect information on specific outcomes of interest to this project (e.g., perceptions of workplace changes and beliefs and practices related to help seeking for mental health). </w:t>
      </w:r>
    </w:p>
    <w:p w:rsidR="00432A41" w:rsidP="00DB7552" w14:paraId="5DA5B2E8" w14:textId="3B296A50">
      <w:pPr>
        <w:rPr>
          <w:rFonts w:eastAsia="Arial Nova"/>
        </w:rPr>
      </w:pPr>
      <w:r>
        <w:t xml:space="preserve">NIOSH conducted an </w:t>
      </w:r>
      <w:r w:rsidRPr="00F77C61" w:rsidR="17D80C04">
        <w:t xml:space="preserve">environmental scan to assess the extent to which other public or private partners are engaged in similar </w:t>
      </w:r>
      <w:r w:rsidR="004313D6">
        <w:t>projects</w:t>
      </w:r>
      <w:r w:rsidRPr="00F77C61" w:rsidR="17D80C04">
        <w:t xml:space="preserve">. They found that while </w:t>
      </w:r>
      <w:r w:rsidRPr="00F77C61" w:rsidR="17D80C04">
        <w:rPr>
          <w:rFonts w:eastAsia="Arial Nova"/>
        </w:rPr>
        <w:t xml:space="preserve">many individual-level interventions specific to healthcare and healthcare workers exist, very few interventions address the organizational-level causes of </w:t>
      </w:r>
      <w:r w:rsidR="00755396">
        <w:rPr>
          <w:rFonts w:eastAsia="Arial Nova"/>
        </w:rPr>
        <w:t>healthcare worker</w:t>
      </w:r>
      <w:r w:rsidRPr="00F77C61" w:rsidR="17D80C04">
        <w:rPr>
          <w:rFonts w:eastAsia="Arial Nova"/>
        </w:rPr>
        <w:t xml:space="preserve"> burnout</w:t>
      </w:r>
      <w:r w:rsidR="00204C57">
        <w:rPr>
          <w:rFonts w:eastAsia="Arial Nova"/>
        </w:rPr>
        <w:t xml:space="preserve">. </w:t>
      </w:r>
      <w:r w:rsidR="00613AD6">
        <w:rPr>
          <w:rFonts w:eastAsia="Arial Nova"/>
        </w:rPr>
        <w:t xml:space="preserve">JPA Health conducted an </w:t>
      </w:r>
      <w:r w:rsidR="00AA697E">
        <w:rPr>
          <w:rFonts w:eastAsia="Arial Nova"/>
        </w:rPr>
        <w:t>environmental</w:t>
      </w:r>
      <w:r w:rsidR="00613AD6">
        <w:rPr>
          <w:rFonts w:eastAsia="Arial Nova"/>
        </w:rPr>
        <w:t xml:space="preserve"> scan</w:t>
      </w:r>
      <w:r w:rsidR="004313D6">
        <w:rPr>
          <w:rFonts w:eastAsia="Arial Nova"/>
        </w:rPr>
        <w:t xml:space="preserve"> of</w:t>
      </w:r>
      <w:r w:rsidRPr="004313D6" w:rsidR="004313D6">
        <w:rPr>
          <w:rFonts w:eastAsia="Arial Nova"/>
        </w:rPr>
        <w:t xml:space="preserve"> existing health communication</w:t>
      </w:r>
      <w:r w:rsidR="004313D6">
        <w:rPr>
          <w:rFonts w:eastAsia="Arial Nova"/>
        </w:rPr>
        <w:t xml:space="preserve"> </w:t>
      </w:r>
      <w:r w:rsidRPr="004313D6" w:rsidR="004313D6">
        <w:rPr>
          <w:rFonts w:eastAsia="Arial Nova"/>
        </w:rPr>
        <w:t>campaigns focused on addressing the mental health</w:t>
      </w:r>
      <w:r w:rsidR="004313D6">
        <w:rPr>
          <w:rFonts w:eastAsia="Arial Nova"/>
        </w:rPr>
        <w:t xml:space="preserve"> </w:t>
      </w:r>
      <w:r w:rsidRPr="004313D6" w:rsidR="004313D6">
        <w:rPr>
          <w:rFonts w:eastAsia="Arial Nova"/>
        </w:rPr>
        <w:t xml:space="preserve">and well-being of </w:t>
      </w:r>
      <w:r w:rsidR="00755396">
        <w:rPr>
          <w:rFonts w:eastAsia="Arial Nova"/>
        </w:rPr>
        <w:t>healthcare worker</w:t>
      </w:r>
      <w:r w:rsidRPr="004313D6" w:rsidR="004313D6">
        <w:rPr>
          <w:rFonts w:eastAsia="Arial Nova"/>
        </w:rPr>
        <w:t>s</w:t>
      </w:r>
      <w:r w:rsidR="009D1CFC">
        <w:rPr>
          <w:rFonts w:eastAsia="Arial Nova"/>
        </w:rPr>
        <w:t xml:space="preserve">. </w:t>
      </w:r>
      <w:r w:rsidR="00FC476F">
        <w:rPr>
          <w:rFonts w:eastAsia="Arial Nova"/>
        </w:rPr>
        <w:t xml:space="preserve">They found </w:t>
      </w:r>
      <w:r w:rsidRPr="00FC476F" w:rsidR="00FC476F">
        <w:rPr>
          <w:rFonts w:eastAsia="Arial Nova"/>
        </w:rPr>
        <w:t>no true social</w:t>
      </w:r>
      <w:r w:rsidR="00FC476F">
        <w:rPr>
          <w:rFonts w:eastAsia="Arial Nova"/>
        </w:rPr>
        <w:t xml:space="preserve"> </w:t>
      </w:r>
      <w:r w:rsidRPr="00FC476F" w:rsidR="00FC476F">
        <w:rPr>
          <w:rFonts w:eastAsia="Arial Nova"/>
        </w:rPr>
        <w:t>marketing campaigns, and none from other federal health agencies.</w:t>
      </w:r>
      <w:r w:rsidR="00FC476F">
        <w:rPr>
          <w:rFonts w:eastAsia="Arial Nova"/>
        </w:rPr>
        <w:t xml:space="preserve"> </w:t>
      </w:r>
      <w:r w:rsidR="007F3453">
        <w:rPr>
          <w:rFonts w:eastAsia="Arial Nova"/>
        </w:rPr>
        <w:t xml:space="preserve">This campaign, and its associated evaluation surveys, </w:t>
      </w:r>
      <w:r w:rsidR="00FB5CF6">
        <w:rPr>
          <w:rFonts w:eastAsia="Arial Nova"/>
        </w:rPr>
        <w:t>takes a unique approach that focuses on employers and organizational change.</w:t>
      </w:r>
      <w:r w:rsidRPr="00F77C61" w:rsidR="17D80C04">
        <w:rPr>
          <w:rFonts w:eastAsia="Arial Nova"/>
        </w:rPr>
        <w:t xml:space="preserve"> </w:t>
      </w:r>
    </w:p>
    <w:p w:rsidR="00C00BF4" w:rsidRPr="00F77C61" w:rsidP="009E0E90" w14:paraId="7C9814EE" w14:textId="0B3DD1C9">
      <w:pPr>
        <w:rPr>
          <w:rFonts w:cstheme="minorHAnsi"/>
        </w:rPr>
      </w:pPr>
      <w:r w:rsidRPr="00F77C61">
        <w:rPr>
          <w:rFonts w:cstheme="minorHAnsi"/>
          <w:b/>
          <w:sz w:val="24"/>
          <w:szCs w:val="24"/>
        </w:rPr>
        <w:t xml:space="preserve">5. </w:t>
      </w:r>
      <w:r w:rsidRPr="00F77C61" w:rsidR="008A7B0A">
        <w:rPr>
          <w:rFonts w:cstheme="minorHAnsi"/>
          <w:b/>
          <w:sz w:val="24"/>
          <w:szCs w:val="24"/>
        </w:rPr>
        <w:t>Impact on Small Businesses or Other Small Entities</w:t>
      </w:r>
    </w:p>
    <w:p w:rsidR="008A7B0A" w:rsidRPr="00F77C61" w:rsidP="00432A41" w14:paraId="7C7D7462" w14:textId="7C532C7A">
      <w:r w:rsidRPr="00F77C61">
        <w:t>This data collection will not involve small businesses.</w:t>
      </w:r>
      <w:r w:rsidRPr="00F77C61" w:rsidR="00C00BF4">
        <w:br/>
      </w:r>
    </w:p>
    <w:p w:rsidR="00BA6B5C" w:rsidRPr="00F77C61" w:rsidP="00E407AB" w14:paraId="744BCEAA" w14:textId="77777777">
      <w:pPr>
        <w:pStyle w:val="Heading1"/>
        <w:spacing w:before="0" w:line="240" w:lineRule="auto"/>
        <w:rPr>
          <w:rFonts w:asciiTheme="minorHAnsi" w:hAnsiTheme="minorHAnsi" w:cstheme="minorHAnsi"/>
          <w:b/>
          <w:color w:val="auto"/>
          <w:sz w:val="24"/>
          <w:szCs w:val="24"/>
        </w:rPr>
      </w:pPr>
      <w:r w:rsidRPr="00F77C61">
        <w:rPr>
          <w:rFonts w:asciiTheme="minorHAnsi" w:hAnsiTheme="minorHAnsi" w:cstheme="minorHAnsi"/>
          <w:b/>
          <w:color w:val="auto"/>
          <w:sz w:val="24"/>
          <w:szCs w:val="24"/>
        </w:rPr>
        <w:t xml:space="preserve">6. </w:t>
      </w:r>
      <w:r w:rsidRPr="00F77C61" w:rsidR="00EA4A58">
        <w:rPr>
          <w:rFonts w:asciiTheme="minorHAnsi" w:hAnsiTheme="minorHAnsi" w:cstheme="minorHAnsi"/>
          <w:b/>
          <w:color w:val="auto"/>
          <w:sz w:val="24"/>
          <w:szCs w:val="24"/>
        </w:rPr>
        <w:t>Consequences of Collecting the Information Less Frequently</w:t>
      </w:r>
    </w:p>
    <w:p w:rsidR="00E407AB" w:rsidRPr="00F77C61" w:rsidP="67AC4A89" w14:paraId="325F95DF" w14:textId="77777777">
      <w:pPr>
        <w:pStyle w:val="Heading1"/>
        <w:spacing w:before="0" w:line="240" w:lineRule="auto"/>
        <w:rPr>
          <w:rFonts w:asciiTheme="minorHAnsi" w:hAnsiTheme="minorHAnsi" w:cstheme="minorHAnsi"/>
          <w:color w:val="auto"/>
          <w:sz w:val="16"/>
          <w:szCs w:val="16"/>
        </w:rPr>
      </w:pPr>
    </w:p>
    <w:p w:rsidR="00C91DEE" w:rsidP="00432A41" w14:paraId="515F7217" w14:textId="5B731729">
      <w:r>
        <w:t xml:space="preserve">This a </w:t>
      </w:r>
      <w:r w:rsidR="000711A6">
        <w:t>one-time</w:t>
      </w:r>
      <w:r>
        <w:t xml:space="preserve">, retrospective data collection. </w:t>
      </w:r>
      <w:r w:rsidR="00834991">
        <w:t xml:space="preserve">Although the data will be collected at </w:t>
      </w:r>
      <w:r w:rsidR="00CA7EA4">
        <w:t xml:space="preserve">two </w:t>
      </w:r>
      <w:r w:rsidR="00834991">
        <w:t xml:space="preserve">points in time, each wave uses a </w:t>
      </w:r>
      <w:r w:rsidRPr="00F77C61" w:rsidR="17D80C04">
        <w:t xml:space="preserve">different sample </w:t>
      </w:r>
      <w:r w:rsidR="00143531">
        <w:t xml:space="preserve">of </w:t>
      </w:r>
      <w:r w:rsidR="00834991">
        <w:t xml:space="preserve">hospital leaders and healthcare workers. </w:t>
      </w:r>
      <w:r w:rsidRPr="009D31B2" w:rsidR="009D31B2">
        <w:t xml:space="preserve">In other words, there are </w:t>
      </w:r>
      <w:r w:rsidR="00CA7EA4">
        <w:t>two</w:t>
      </w:r>
      <w:r w:rsidRPr="009D31B2" w:rsidR="009D31B2">
        <w:t xml:space="preserve"> sample groups that will be surveyed once. </w:t>
      </w:r>
      <w:r w:rsidRPr="004A3C26" w:rsidR="004A3C26">
        <w:t>This post-only design was chosen to reduce burden and maximize response rates, compared to a</w:t>
      </w:r>
      <w:r w:rsidR="000711A6">
        <w:t xml:space="preserve"> </w:t>
      </w:r>
      <w:r w:rsidRPr="004A3C26" w:rsidR="004A3C26">
        <w:t>baseline and follow-up design</w:t>
      </w:r>
      <w:r w:rsidR="004A3C26">
        <w:t>.</w:t>
      </w:r>
      <w:r w:rsidRPr="00F77C61" w:rsidR="17D80C04">
        <w:t xml:space="preserve"> </w:t>
      </w:r>
    </w:p>
    <w:p w:rsidR="0098674B" w:rsidRPr="00F77C61" w:rsidP="001A5538" w14:paraId="5B4D240A" w14:textId="77777777">
      <w:pPr>
        <w:pStyle w:val="Heading1"/>
        <w:spacing w:before="0" w:line="240" w:lineRule="auto"/>
        <w:rPr>
          <w:rFonts w:asciiTheme="minorHAnsi" w:hAnsiTheme="minorHAnsi" w:cstheme="minorHAnsi"/>
          <w:b/>
          <w:color w:val="auto"/>
          <w:sz w:val="24"/>
          <w:szCs w:val="24"/>
        </w:rPr>
      </w:pPr>
      <w:r w:rsidRPr="00F77C61">
        <w:rPr>
          <w:rFonts w:asciiTheme="minorHAnsi" w:hAnsiTheme="minorHAnsi" w:cstheme="minorHAnsi"/>
          <w:b/>
          <w:color w:val="auto"/>
          <w:sz w:val="24"/>
          <w:szCs w:val="24"/>
        </w:rPr>
        <w:t xml:space="preserve">7. </w:t>
      </w:r>
      <w:r w:rsidRPr="00F77C61" w:rsidR="00EA4A58">
        <w:rPr>
          <w:rFonts w:asciiTheme="minorHAnsi" w:hAnsiTheme="minorHAnsi" w:cstheme="minorHAnsi"/>
          <w:b/>
          <w:color w:val="auto"/>
          <w:sz w:val="24"/>
          <w:szCs w:val="24"/>
        </w:rPr>
        <w:t>Special Circumstances Relating to the Guidelines of 5 CFR 1320.5</w:t>
      </w:r>
    </w:p>
    <w:p w:rsidR="001A5538" w:rsidRPr="00F77C61" w:rsidP="67AC4A89" w14:paraId="3D242CF7" w14:textId="77777777">
      <w:pPr>
        <w:pStyle w:val="Heading1"/>
        <w:spacing w:before="0" w:line="240" w:lineRule="auto"/>
        <w:rPr>
          <w:rFonts w:asciiTheme="minorHAnsi" w:hAnsiTheme="minorHAnsi" w:cstheme="minorHAnsi"/>
          <w:color w:val="000000"/>
          <w:sz w:val="16"/>
          <w:szCs w:val="16"/>
        </w:rPr>
      </w:pPr>
    </w:p>
    <w:p w:rsidR="00EA4A58" w:rsidRPr="00F77C61" w:rsidP="00432A41" w14:paraId="01C1343B" w14:textId="42EDF030">
      <w:pPr>
        <w:rPr>
          <w:b/>
          <w:bCs/>
        </w:rPr>
      </w:pPr>
      <w:r w:rsidRPr="00F77C61">
        <w:t>This request fully complies with the regulation 5 CFR 1320.5.</w:t>
      </w:r>
      <w:r w:rsidRPr="00F77C61" w:rsidR="0098674B">
        <w:br/>
      </w:r>
    </w:p>
    <w:p w:rsidR="0098674B" w:rsidRPr="00F77C61" w:rsidP="67AC4A89" w14:paraId="70A4ABEA" w14:textId="77DB5299">
      <w:pPr>
        <w:pStyle w:val="Heading1"/>
        <w:spacing w:before="0" w:line="240" w:lineRule="auto"/>
        <w:ind w:left="360" w:hanging="360"/>
        <w:rPr>
          <w:rFonts w:asciiTheme="minorHAnsi" w:hAnsiTheme="minorHAnsi" w:cstheme="minorHAnsi"/>
          <w:b/>
          <w:bCs/>
          <w:color w:val="auto"/>
          <w:sz w:val="16"/>
          <w:szCs w:val="16"/>
        </w:rPr>
      </w:pPr>
      <w:r w:rsidRPr="00F77C61">
        <w:rPr>
          <w:rFonts w:asciiTheme="minorHAnsi" w:hAnsiTheme="minorHAnsi" w:cstheme="minorHAnsi"/>
          <w:b/>
          <w:bCs/>
          <w:color w:val="auto"/>
          <w:sz w:val="24"/>
          <w:szCs w:val="24"/>
        </w:rPr>
        <w:t xml:space="preserve">8. </w:t>
      </w:r>
      <w:r w:rsidRPr="00F77C61" w:rsidR="00A53F14">
        <w:rPr>
          <w:rFonts w:asciiTheme="minorHAnsi" w:hAnsiTheme="minorHAnsi" w:cstheme="minorHAnsi"/>
        </w:rPr>
        <w:tab/>
      </w:r>
      <w:r w:rsidRPr="00F77C61">
        <w:rPr>
          <w:rFonts w:asciiTheme="minorHAnsi" w:hAnsiTheme="minorHAnsi" w:cstheme="minorHAnsi"/>
          <w:b/>
          <w:bCs/>
          <w:color w:val="auto"/>
          <w:sz w:val="24"/>
          <w:szCs w:val="24"/>
        </w:rPr>
        <w:t>Comments in Response to the Federal Register Notice and Efforts to Consult Outside the Agency</w:t>
      </w:r>
      <w:r w:rsidRPr="00F77C61" w:rsidR="00A53F14">
        <w:rPr>
          <w:rFonts w:asciiTheme="minorHAnsi" w:hAnsiTheme="minorHAnsi" w:cstheme="minorHAnsi"/>
        </w:rPr>
        <w:br/>
      </w:r>
    </w:p>
    <w:p w:rsidR="000711A6" w:rsidP="00432A41" w14:paraId="19B3B25E" w14:textId="798F49B7">
      <w:r>
        <w:t xml:space="preserve">A 60-day Federal Register Notice was published in the Federal Register on </w:t>
      </w:r>
      <w:r w:rsidR="00E65860">
        <w:t>November 16</w:t>
      </w:r>
      <w:r>
        <w:t>, 20</w:t>
      </w:r>
      <w:r w:rsidR="00E65860">
        <w:t>22</w:t>
      </w:r>
      <w:r>
        <w:t xml:space="preserve">, vol. </w:t>
      </w:r>
      <w:r w:rsidR="00905E29">
        <w:t>87</w:t>
      </w:r>
      <w:r>
        <w:t xml:space="preserve">, No. </w:t>
      </w:r>
      <w:r w:rsidR="00905E29">
        <w:t>1779</w:t>
      </w:r>
      <w:r>
        <w:t xml:space="preserve">, pp. </w:t>
      </w:r>
      <w:r w:rsidR="004F13C7">
        <w:t>56953</w:t>
      </w:r>
      <w:r>
        <w:t>-</w:t>
      </w:r>
      <w:r w:rsidR="009F3C0A">
        <w:t>55</w:t>
      </w:r>
      <w:r>
        <w:t xml:space="preserve"> (see </w:t>
      </w:r>
      <w:r>
        <w:t>Att</w:t>
      </w:r>
      <w:r>
        <w:t xml:space="preserve"> 2a). CDC received </w:t>
      </w:r>
      <w:r w:rsidR="00383BB7">
        <w:t>three</w:t>
      </w:r>
      <w:r w:rsidR="00B6760A">
        <w:t xml:space="preserve"> comments</w:t>
      </w:r>
      <w:r w:rsidR="00C21C4B">
        <w:t>;</w:t>
      </w:r>
      <w:r w:rsidR="00B6760A">
        <w:t xml:space="preserve"> two express</w:t>
      </w:r>
      <w:r w:rsidR="00C21C4B">
        <w:t>ed</w:t>
      </w:r>
      <w:r w:rsidR="00B6760A">
        <w:t xml:space="preserve"> </w:t>
      </w:r>
      <w:r w:rsidR="00B6760A">
        <w:t>support</w:t>
      </w:r>
      <w:r w:rsidR="00B6760A">
        <w:t xml:space="preserve"> for the campaign and one </w:t>
      </w:r>
      <w:r w:rsidR="00C21C4B">
        <w:t xml:space="preserve">was </w:t>
      </w:r>
      <w:r w:rsidR="00B6760A">
        <w:t>non-substantive</w:t>
      </w:r>
      <w:r w:rsidR="00C21C4B">
        <w:t xml:space="preserve">. Each received </w:t>
      </w:r>
      <w:r>
        <w:t>a standard CDC response</w:t>
      </w:r>
      <w:r w:rsidR="001975D9">
        <w:t xml:space="preserve"> (</w:t>
      </w:r>
      <w:r w:rsidR="001975D9">
        <w:t>Att</w:t>
      </w:r>
      <w:r w:rsidR="001975D9">
        <w:t xml:space="preserve"> 2b)</w:t>
      </w:r>
      <w:r>
        <w:t>.</w:t>
      </w:r>
      <w:r w:rsidR="00CB50E2">
        <w:t xml:space="preserve"> </w:t>
      </w:r>
      <w:r w:rsidR="008A025E">
        <w:t xml:space="preserve">NIOSH received </w:t>
      </w:r>
      <w:r w:rsidR="00E770AF">
        <w:t xml:space="preserve">one </w:t>
      </w:r>
      <w:r w:rsidR="00A41389">
        <w:t xml:space="preserve">request for additional information </w:t>
      </w:r>
      <w:r w:rsidR="009A313B">
        <w:t xml:space="preserve">via </w:t>
      </w:r>
      <w:r w:rsidR="00E770AF">
        <w:t xml:space="preserve">the CDC Information </w:t>
      </w:r>
      <w:r w:rsidR="00957399">
        <w:t xml:space="preserve">Request </w:t>
      </w:r>
      <w:r w:rsidR="00E770AF">
        <w:t>Collection Office</w:t>
      </w:r>
      <w:r w:rsidR="00957399">
        <w:t xml:space="preserve"> </w:t>
      </w:r>
      <w:r w:rsidR="00A131FE">
        <w:t>and responded over email</w:t>
      </w:r>
      <w:r w:rsidR="001975D9">
        <w:t xml:space="preserve"> (</w:t>
      </w:r>
      <w:r w:rsidR="001975D9">
        <w:t>Att</w:t>
      </w:r>
      <w:r w:rsidR="001975D9">
        <w:t xml:space="preserve"> 2b)</w:t>
      </w:r>
      <w:r w:rsidR="00A131FE">
        <w:t xml:space="preserve">. </w:t>
      </w:r>
    </w:p>
    <w:p w:rsidR="00E16AFC" w:rsidP="00432A41" w14:paraId="237CCDFB" w14:textId="2A0846D5">
      <w:r>
        <w:t>The version of the information collection available during this public comment period included a quasi-experimental study with 12 hospitals (6 intervention and 6 comparison) and pre-post surveys and interviews. Due to logistical challenges and time constraints, the quasi-experimental study has been discontinued.</w:t>
      </w:r>
    </w:p>
    <w:p w:rsidR="00C74577" w:rsidP="00432A41" w14:paraId="70D5794B" w14:textId="638CE607">
      <w:r>
        <w:t xml:space="preserve">NIOSH and JPA Health have made several efforts to consult outside the agency. </w:t>
      </w:r>
      <w:r w:rsidR="0027001C">
        <w:t xml:space="preserve">On June 30, JPA Health led a briefing session for the </w:t>
      </w:r>
      <w:r w:rsidR="0027001C">
        <w:rPr>
          <w:i/>
          <w:iCs/>
        </w:rPr>
        <w:t xml:space="preserve">All In: </w:t>
      </w:r>
      <w:r w:rsidR="0027001C">
        <w:rPr>
          <w:i/>
          <w:iCs/>
        </w:rPr>
        <w:t>WellBeing</w:t>
      </w:r>
      <w:r w:rsidR="0027001C">
        <w:rPr>
          <w:i/>
          <w:iCs/>
        </w:rPr>
        <w:t xml:space="preserve"> First for Healthcare</w:t>
      </w:r>
      <w:r w:rsidR="0027001C">
        <w:t xml:space="preserve"> steering committee</w:t>
      </w:r>
      <w:r w:rsidR="00CE0B99">
        <w:t xml:space="preserve">. Participants reflected on their </w:t>
      </w:r>
      <w:r w:rsidR="00563EDB">
        <w:t xml:space="preserve">experiences around mental health in healthcare and provided individual input on </w:t>
      </w:r>
      <w:r w:rsidR="00067B48">
        <w:t>campaign audiences and objectives. Many of the participants expressed a desire for organizational change</w:t>
      </w:r>
      <w:r w:rsidR="004210F3">
        <w:t xml:space="preserve">. </w:t>
      </w:r>
      <w:r w:rsidR="0051681C">
        <w:t xml:space="preserve">NIOSH led a second briefing session for </w:t>
      </w:r>
      <w:r w:rsidR="000812AD">
        <w:t xml:space="preserve">its partners on July </w:t>
      </w:r>
      <w:r w:rsidR="000A0934">
        <w:t>19, 2022, which included</w:t>
      </w:r>
      <w:r w:rsidR="00C9790F">
        <w:t xml:space="preserve"> representatives from healthcare systems, labor unions, academics who run NIOSH-funded Centers of Excellence for </w:t>
      </w:r>
      <w:r w:rsidRPr="00C9790F" w:rsidR="00C9790F">
        <w:rPr>
          <w:i/>
          <w:iCs/>
        </w:rPr>
        <w:t>Total Worker Health</w:t>
      </w:r>
      <w:r w:rsidR="00C9790F">
        <w:rPr>
          <w:rFonts w:cstheme="minorHAnsi"/>
          <w:i/>
          <w:iCs/>
        </w:rPr>
        <w:t>®</w:t>
      </w:r>
      <w:r w:rsidR="00C9790F">
        <w:t xml:space="preserve">, and other relevant organizations. </w:t>
      </w:r>
      <w:r w:rsidR="00BE0960">
        <w:t xml:space="preserve">Participants </w:t>
      </w:r>
      <w:r w:rsidR="00E17FAD">
        <w:t>provided individual input on potential actions that the campaign could promote to employers. Like the first briefing session, participants expressed strong support for organizational change</w:t>
      </w:r>
      <w:r w:rsidRPr="00965AD8" w:rsidR="00965AD8">
        <w:t xml:space="preserve"> </w:t>
      </w:r>
      <w:r w:rsidR="00965AD8">
        <w:t>rather than individual approaches like resilience training</w:t>
      </w:r>
      <w:r w:rsidR="00E17FAD">
        <w:t xml:space="preserve">. </w:t>
      </w:r>
      <w:r w:rsidR="00965AD8">
        <w:t>This input shaped both the campaign and its evaluation.</w:t>
      </w:r>
    </w:p>
    <w:p w:rsidR="00D8445C" w:rsidP="00432A41" w14:paraId="0F71CCA3" w14:textId="390F3E74">
      <w:r>
        <w:t xml:space="preserve">JPA/EDC provided drafts of the survey instruments to </w:t>
      </w:r>
      <w:r w:rsidR="003D0A69">
        <w:t xml:space="preserve">3 </w:t>
      </w:r>
      <w:r>
        <w:t xml:space="preserve">members of the </w:t>
      </w:r>
      <w:r w:rsidRPr="3190BAA1">
        <w:rPr>
          <w:i/>
          <w:iCs/>
        </w:rPr>
        <w:t xml:space="preserve">All In: </w:t>
      </w:r>
      <w:r w:rsidRPr="3190BAA1">
        <w:rPr>
          <w:i/>
          <w:iCs/>
        </w:rPr>
        <w:t>WellBeing</w:t>
      </w:r>
      <w:r w:rsidRPr="3190BAA1">
        <w:rPr>
          <w:i/>
          <w:iCs/>
        </w:rPr>
        <w:t xml:space="preserve"> First for Healthcare</w:t>
      </w:r>
      <w:r>
        <w:t xml:space="preserve"> steering committee for comments</w:t>
      </w:r>
      <w:r w:rsidR="00F44F38">
        <w:t xml:space="preserve"> in August 2022</w:t>
      </w:r>
      <w:r w:rsidR="0011208B">
        <w:t xml:space="preserve">. </w:t>
      </w:r>
      <w:r w:rsidR="00F44F38">
        <w:t xml:space="preserve">As a </w:t>
      </w:r>
      <w:r w:rsidR="0011208B">
        <w:t>result of this input</w:t>
      </w:r>
      <w:r w:rsidR="00F44F38">
        <w:t xml:space="preserve">, the </w:t>
      </w:r>
      <w:r w:rsidR="000E75A1">
        <w:t xml:space="preserve">surveys were shortened </w:t>
      </w:r>
      <w:r w:rsidR="008A770B">
        <w:t>from 15-20 minutes to 10 m</w:t>
      </w:r>
      <w:r w:rsidR="004676B0">
        <w:t>i</w:t>
      </w:r>
      <w:r w:rsidR="008A770B">
        <w:t>nutes</w:t>
      </w:r>
      <w:r w:rsidR="00CE142F">
        <w:t xml:space="preserve"> and the language was simplified whe</w:t>
      </w:r>
      <w:r w:rsidR="63857FDC">
        <w:t>r</w:t>
      </w:r>
      <w:r w:rsidR="00CE142F">
        <w:t xml:space="preserve">ever possible. For example, </w:t>
      </w:r>
      <w:r w:rsidR="004676B0">
        <w:t xml:space="preserve">surveys originally included </w:t>
      </w:r>
      <w:r w:rsidR="001423ED">
        <w:t>the long, technical ICD-11 definition of burnout and has since been replaced with a shorter version that uses everyday words.</w:t>
      </w:r>
      <w:r w:rsidR="00755396">
        <w:t xml:space="preserve"> </w:t>
      </w:r>
      <w:r w:rsidR="003272D3">
        <w:t>Reviewers expressed a strong preference for the term “healthcare worker” over “health worker</w:t>
      </w:r>
      <w:r w:rsidR="0063391C">
        <w:t>”, and for “staff” rather than “clinical staff” so adjustments were made accordingly.</w:t>
      </w:r>
      <w:r w:rsidR="001423ED">
        <w:t xml:space="preserve"> Additionally, </w:t>
      </w:r>
      <w:r>
        <w:t>feedback indicated that the information on the first page of the surveys was too long, technical, and made the survey questions seem more invasive than they really were. The language has since been revised to focus on the most important points using plain language.</w:t>
      </w:r>
    </w:p>
    <w:p w:rsidR="00256BEB" w:rsidP="00432A41" w14:paraId="73AF1C7C" w14:textId="5FC86D60">
      <w:r>
        <w:t>NIOSH sought input from three peer reviewers in October 2022.</w:t>
      </w:r>
      <w:r w:rsidR="00CF0D36">
        <w:t xml:space="preserve"> </w:t>
      </w:r>
      <w:r w:rsidR="009942E1">
        <w:t>Peer reviewers are academics or practicing professionals whose identity is held secret from the study investigators.</w:t>
      </w:r>
      <w:r>
        <w:t xml:space="preserve"> </w:t>
      </w:r>
      <w:r w:rsidR="00EB4F71">
        <w:t xml:space="preserve">Two reviewers felt the anticipated response rate of 44% was overly optimistic for an online survey. The response rate was adjusted downward to 25% and the sample </w:t>
      </w:r>
      <w:r w:rsidR="00EB6255">
        <w:t xml:space="preserve">increased to </w:t>
      </w:r>
      <w:r w:rsidR="03B60B80">
        <w:t xml:space="preserve">maintain </w:t>
      </w:r>
      <w:r w:rsidR="00EB6255">
        <w:t xml:space="preserve">the goal of 3,000 healthcare workers and 500 hospital leaders. </w:t>
      </w:r>
      <w:r w:rsidR="00365942">
        <w:t xml:space="preserve">One peer reviewer also recommended a greater focus on health equity, which was </w:t>
      </w:r>
      <w:r w:rsidR="004D02E1">
        <w:t xml:space="preserve">incorporated into the evaluation questions and analysis plan. </w:t>
      </w:r>
    </w:p>
    <w:p w:rsidR="00DB7552" w:rsidRPr="00F77C61" w:rsidP="00432A41" w14:paraId="71993FE0" w14:textId="77777777"/>
    <w:p w:rsidR="0098674B" w:rsidRPr="00F77C61" w:rsidP="17D80C04" w14:paraId="17A2F2A5" w14:textId="0E11EDF6">
      <w:pPr>
        <w:pStyle w:val="Heading1"/>
        <w:spacing w:before="0" w:line="240" w:lineRule="auto"/>
        <w:rPr>
          <w:rFonts w:asciiTheme="minorHAnsi" w:hAnsiTheme="minorHAnsi" w:cstheme="minorHAnsi"/>
          <w:b/>
          <w:bCs/>
          <w:color w:val="auto"/>
          <w:sz w:val="24"/>
          <w:szCs w:val="24"/>
        </w:rPr>
      </w:pPr>
      <w:r w:rsidRPr="00F77C61">
        <w:rPr>
          <w:rFonts w:asciiTheme="minorHAnsi" w:hAnsiTheme="minorHAnsi" w:cstheme="minorHAnsi"/>
          <w:b/>
          <w:bCs/>
          <w:color w:val="auto"/>
          <w:sz w:val="24"/>
          <w:szCs w:val="24"/>
        </w:rPr>
        <w:t>9. Explanation of Any Payment or Gift to Respondents</w:t>
      </w:r>
    </w:p>
    <w:p w:rsidR="001A5538" w:rsidRPr="00F77C61" w:rsidP="67AC4A89" w14:paraId="60E2A33F" w14:textId="77777777">
      <w:pPr>
        <w:spacing w:after="0" w:line="240" w:lineRule="auto"/>
        <w:rPr>
          <w:rFonts w:cstheme="minorHAnsi"/>
          <w:sz w:val="16"/>
          <w:szCs w:val="16"/>
        </w:rPr>
      </w:pPr>
    </w:p>
    <w:p w:rsidR="0001176D" w:rsidP="00432A41" w14:paraId="02FAD4AB" w14:textId="2C88845A">
      <w:r w:rsidRPr="00F77C61">
        <w:t xml:space="preserve"> </w:t>
      </w:r>
      <w:r w:rsidR="001975D9">
        <w:t xml:space="preserve">NIOSH </w:t>
      </w:r>
      <w:r w:rsidRPr="00F77C61" w:rsidR="2818B382">
        <w:t>will not be providing financial incentives to participants.</w:t>
      </w:r>
    </w:p>
    <w:p w:rsidR="00DB7552" w:rsidP="00432A41" w14:paraId="3A8BA1F6" w14:textId="77777777"/>
    <w:p w:rsidR="00C80887" w:rsidRPr="00F77C61" w:rsidP="007C1D44" w14:paraId="2A15593C" w14:textId="77777777">
      <w:pPr>
        <w:spacing w:after="0" w:line="240" w:lineRule="auto"/>
        <w:ind w:left="360" w:hanging="360"/>
        <w:rPr>
          <w:rFonts w:eastAsia="Times New Roman" w:cstheme="minorHAnsi"/>
          <w:b/>
          <w:sz w:val="24"/>
          <w:szCs w:val="24"/>
        </w:rPr>
      </w:pPr>
      <w:r w:rsidRPr="00F77C61">
        <w:rPr>
          <w:rFonts w:eastAsia="Times New Roman" w:cstheme="minorHAnsi"/>
          <w:b/>
          <w:sz w:val="24"/>
          <w:szCs w:val="24"/>
        </w:rPr>
        <w:t>10. Protection of the Privacy and Confidentiality of Information Provided by Respondents</w:t>
      </w:r>
    </w:p>
    <w:p w:rsidR="00A6049D" w:rsidRPr="00F77C61" w:rsidP="67AC4A89" w14:paraId="546D54E4" w14:textId="77777777">
      <w:pPr>
        <w:tabs>
          <w:tab w:val="left" w:pos="2770"/>
        </w:tabs>
        <w:spacing w:after="0" w:line="240" w:lineRule="auto"/>
        <w:rPr>
          <w:rFonts w:cstheme="minorHAnsi"/>
          <w:sz w:val="16"/>
          <w:szCs w:val="16"/>
        </w:rPr>
      </w:pPr>
    </w:p>
    <w:p w:rsidR="00A15789" w:rsidP="00A15789" w14:paraId="233DBD96" w14:textId="3840B822">
      <w:r>
        <w:t>ISSO determined in conjunction with the CDC Privacy Office that Privacy Act is not applicable. The collection contains PII with demographic information in the survey (i.e., Age, Race, Ethnicity and Gender).</w:t>
      </w:r>
    </w:p>
    <w:p w:rsidR="00A15789" w:rsidP="00A15789" w14:paraId="129ED938" w14:textId="77777777">
      <w:r>
        <w:t>Research Electronic Data Capture (</w:t>
      </w:r>
      <w:r>
        <w:t>REDcap</w:t>
      </w:r>
      <w:r>
        <w:t>) and NIOSH Edge Computing Platform (NCEP) include the in-place technical, physical, or administrative controls (safeguards).</w:t>
      </w:r>
    </w:p>
    <w:p w:rsidR="00A15789" w:rsidP="00A15789" w14:paraId="6088D650" w14:textId="77777777">
      <w:r>
        <w:t>Research Electronic Data Capture (</w:t>
      </w:r>
      <w:r>
        <w:t>REDcap</w:t>
      </w:r>
      <w:r>
        <w:t>) and NIOSH Edge Computing Platform (NCEP) System Security Plan (SSP) defines the process for handling security incidents. The system’s team and the Cybersecurity Program Office (CSPO) share the responsibilities for event monitoring and incident response. Direct reports of suspicious security or adverse privacy related events to the component’s Information Systems Security Officer (ISSO), CDC helpdesk, or to the CDC Security Incident Response Team (CSIRT). The CDC CSPO reports to the HHS Computer Security Incident Response Center (CSIRC), which reports incidents to US-CERT as appropriate.</w:t>
      </w:r>
    </w:p>
    <w:p w:rsidR="00837331" w:rsidRPr="00F77C61" w:rsidP="00432A41" w14:paraId="3E7A8C50" w14:textId="7CDC4327">
      <w:r w:rsidRPr="00F77C61">
        <w:t xml:space="preserve">Throughout the project, best practices in participant protections will be applied to ensure the security, privacy, and confidentiality of respondent information. </w:t>
      </w:r>
    </w:p>
    <w:p w:rsidR="00FE2673" w:rsidRPr="00F77C61" w:rsidP="00432A41" w14:paraId="7451CCE0" w14:textId="3BFC054A">
      <w:r w:rsidRPr="00F77C61">
        <w:t xml:space="preserve">JPA and EDC researchers will manage the quantitative data collection using the </w:t>
      </w:r>
      <w:r w:rsidRPr="00F77C61">
        <w:t>REDCap</w:t>
      </w:r>
      <w:r w:rsidRPr="00F77C61">
        <w:t xml:space="preserve"> survey system overseen by CDC’s National Center for Emerging Zoonotic and Infectious Diseases, and all data will be stored on the NIOSH Edge Computing Platform. All survey data files will be saved and archived in their raw format. Additional data files containing processed, reformatted, or summarized data will be created, edited, or reformatted as necessary to meet the requirements for conducting various statistical analyses</w:t>
      </w:r>
      <w:r w:rsidR="008A693A">
        <w:t xml:space="preserve"> in SPSS</w:t>
      </w:r>
      <w:r w:rsidRPr="00F77C61">
        <w:t xml:space="preserve">. These files will be regularly inspected by team members for quality (i.e., accuracy, omissions, and errors). </w:t>
      </w:r>
    </w:p>
    <w:p w:rsidR="00384ED5" w:rsidP="00DB7552" w14:paraId="04DA628F" w14:textId="2ED51752">
      <w:r>
        <w:t>P</w:t>
      </w:r>
      <w:r w:rsidRPr="00F77C61" w:rsidR="17D80C04">
        <w:t xml:space="preserve">articipants will be informed that the </w:t>
      </w:r>
      <w:r w:rsidR="003B348C">
        <w:t>survey</w:t>
      </w:r>
      <w:r w:rsidR="00DB427C">
        <w:t xml:space="preserve"> </w:t>
      </w:r>
      <w:r w:rsidRPr="00F77C61" w:rsidR="17D80C04">
        <w:t xml:space="preserve">is voluntary and that they are free to answer or decline to answer any </w:t>
      </w:r>
      <w:r w:rsidRPr="00F77C61" w:rsidR="17D80C04">
        <w:t>particular question</w:t>
      </w:r>
      <w:r w:rsidRPr="00F77C61" w:rsidR="17D80C04">
        <w:t xml:space="preserve"> for any reason. Participants will be informed of the purpose of the study, the benefits of participation (i.e., to further the field), and the risks to participation (i.e., minimal, with breach of confidentiality being one potential risk). Participants will be instructed that if they continue with the survey, it will be considered consent to participate. Participants will be asked to indicate their occupation (e.g., physician, nurse, social worker), but will not be asked further identifying information </w:t>
      </w:r>
      <w:r w:rsidRPr="00F77C61" w:rsidR="17D80C04">
        <w:t>(e.g., name, email address, or IP address). Participants will be informed of storage procedures and protections. JPA/EDC will report all results in aggregate. Demographic data will also be reported in aggregate, to protect participant privacy.</w:t>
      </w:r>
    </w:p>
    <w:p w:rsidR="00DB7552" w:rsidRPr="00DB7552" w:rsidP="00DB7552" w14:paraId="6A61AA98" w14:textId="77777777"/>
    <w:p w:rsidR="00A14AF5" w:rsidRPr="00DB7552" w:rsidP="00DB7552" w14:paraId="1888AE7D" w14:textId="38A72C68">
      <w:pPr>
        <w:pStyle w:val="Heading1"/>
        <w:spacing w:before="0" w:line="240" w:lineRule="auto"/>
        <w:rPr>
          <w:rFonts w:asciiTheme="minorHAnsi" w:hAnsiTheme="minorHAnsi" w:cstheme="minorHAnsi"/>
          <w:b/>
          <w:color w:val="auto"/>
          <w:sz w:val="24"/>
          <w:szCs w:val="24"/>
        </w:rPr>
      </w:pPr>
      <w:r w:rsidRPr="00F77C61">
        <w:rPr>
          <w:rFonts w:asciiTheme="minorHAnsi" w:hAnsiTheme="minorHAnsi" w:cstheme="minorHAnsi"/>
          <w:b/>
          <w:color w:val="auto"/>
          <w:sz w:val="24"/>
          <w:szCs w:val="24"/>
        </w:rPr>
        <w:t xml:space="preserve">11. </w:t>
      </w:r>
      <w:r w:rsidRPr="00F77C61" w:rsidR="00C85693">
        <w:rPr>
          <w:rFonts w:asciiTheme="minorHAnsi" w:hAnsiTheme="minorHAnsi" w:cstheme="minorHAnsi"/>
          <w:b/>
          <w:color w:val="auto"/>
          <w:sz w:val="24"/>
          <w:szCs w:val="24"/>
        </w:rPr>
        <w:t>Institutional Review Board (IRB) and Justification for Sensitive Questions</w:t>
      </w:r>
    </w:p>
    <w:p w:rsidR="00BB264B" w:rsidRPr="00F77C61" w:rsidP="00DB7552" w14:paraId="555A1258" w14:textId="31E07EDA">
      <w:r w:rsidRPr="007D468E">
        <w:t>Because the purpose of the proposed project is for evaluation, the activity does not meet either the definition of research as specified under 45 CFR 46.102 (l</w:t>
      </w:r>
      <w:r w:rsidRPr="007D468E">
        <w:t>)</w:t>
      </w:r>
      <w:r w:rsidRPr="007D468E">
        <w:t xml:space="preserve"> or the definition of clinical investigation as specified in 21 CFR 56.102 (l) </w:t>
      </w:r>
      <w:r w:rsidRPr="006A7D37">
        <w:t xml:space="preserve">(See attachment </w:t>
      </w:r>
      <w:r w:rsidRPr="006A7D37" w:rsidR="006A7D37">
        <w:t>3</w:t>
      </w:r>
      <w:r w:rsidRPr="006A7D37">
        <w:t>).</w:t>
      </w:r>
    </w:p>
    <w:p w:rsidR="007C1D44" w:rsidRPr="00F77C61" w:rsidP="00DB7552" w14:paraId="307D59B9" w14:textId="279945E6">
      <w:r w:rsidRPr="00F77C61">
        <w:t xml:space="preserve">Questions about </w:t>
      </w:r>
      <w:r w:rsidR="00A20853">
        <w:t xml:space="preserve">burnout and well-being </w:t>
      </w:r>
      <w:r w:rsidRPr="00F77C61">
        <w:t>may be considered private. Further, as noted by OMB, demographic data, including race and ethnicity data, may be considered sensitive. Section 10 (above) describes how sensitive information will be recorded and protected. As noted above in Section 10, participation in the online survey is voluntary and participants may choose to stop at any time or decline to answer any individual question.</w:t>
      </w:r>
      <w:r w:rsidRPr="00BF7933" w:rsidR="00BF7933">
        <w:t xml:space="preserve"> At the conclusion of the surveys, participants will be provided with links to mental health resources. </w:t>
      </w:r>
      <w:r w:rsidRPr="00F77C61">
        <w:t xml:space="preserve">The collection of this information is essential to answering the project’s main evaluation questions, which focus on the contribution of campaign efforts to </w:t>
      </w:r>
      <w:r w:rsidR="00755396">
        <w:t>healthcare worker</w:t>
      </w:r>
      <w:r w:rsidRPr="00F77C61">
        <w:t xml:space="preserve"> mental health and well-being. </w:t>
      </w:r>
    </w:p>
    <w:p w:rsidR="00BF08C6" w:rsidP="00DB7552" w14:paraId="1537E69A" w14:textId="371A36BA">
      <w:r w:rsidRPr="00F77C61">
        <w:t xml:space="preserve">Acknowledging that organizations view information collections pertaining to organizational policies, performance data, or practices as sensitive, disclosure of some of the information collected through this project could create liability or competitive disadvantage. All efforts will be made to protect the identity of participating organizations. </w:t>
      </w:r>
    </w:p>
    <w:p w:rsidR="00DB7552" w:rsidRPr="00DB7552" w:rsidP="00DB7552" w14:paraId="6B4BEEC3" w14:textId="77777777"/>
    <w:p w:rsidR="00BB08F5" w:rsidRPr="00F77C61" w:rsidP="00E260CF" w14:paraId="4023D7E4" w14:textId="23B4235E">
      <w:pPr>
        <w:pStyle w:val="Heading1"/>
        <w:spacing w:before="0" w:line="240" w:lineRule="auto"/>
        <w:rPr>
          <w:rFonts w:asciiTheme="minorHAnsi" w:hAnsiTheme="minorHAnsi" w:cstheme="minorHAnsi"/>
          <w:b/>
          <w:color w:val="auto"/>
          <w:sz w:val="24"/>
          <w:szCs w:val="24"/>
        </w:rPr>
      </w:pPr>
      <w:r w:rsidRPr="00F77C61">
        <w:rPr>
          <w:rFonts w:asciiTheme="minorHAnsi" w:hAnsiTheme="minorHAnsi" w:cstheme="minorHAnsi"/>
          <w:b/>
          <w:color w:val="auto"/>
          <w:sz w:val="24"/>
          <w:szCs w:val="24"/>
        </w:rPr>
        <w:t xml:space="preserve">12. </w:t>
      </w:r>
      <w:r w:rsidRPr="00F77C61" w:rsidR="00D0676F">
        <w:rPr>
          <w:rFonts w:asciiTheme="minorHAnsi" w:hAnsiTheme="minorHAnsi" w:cstheme="minorHAnsi"/>
          <w:b/>
          <w:color w:val="auto"/>
          <w:sz w:val="24"/>
          <w:szCs w:val="24"/>
        </w:rPr>
        <w:t>Estimates of Annualized Burden Hours and Costs</w:t>
      </w:r>
      <w:r w:rsidRPr="00F77C61" w:rsidR="00384ED5">
        <w:rPr>
          <w:rFonts w:asciiTheme="minorHAnsi" w:hAnsiTheme="minorHAnsi" w:cstheme="minorHAnsi"/>
          <w:b/>
          <w:bCs/>
          <w:color w:val="auto"/>
          <w:sz w:val="24"/>
          <w:szCs w:val="24"/>
        </w:rPr>
        <w:br/>
      </w:r>
    </w:p>
    <w:p w:rsidR="00BB08F5" w:rsidRPr="005B7A05" w:rsidP="00E260CF" w14:paraId="2671B669" w14:textId="09B086EA">
      <w:pPr>
        <w:spacing w:after="0" w:line="240" w:lineRule="auto"/>
        <w:rPr>
          <w:rFonts w:eastAsia="Times New Roman" w:cstheme="minorHAnsi"/>
          <w:b/>
          <w:bCs/>
          <w:i/>
          <w:iCs/>
        </w:rPr>
      </w:pPr>
      <w:r w:rsidRPr="005B7A05">
        <w:rPr>
          <w:rFonts w:eastAsia="Times New Roman" w:cstheme="minorHAnsi"/>
          <w:b/>
          <w:bCs/>
          <w:i/>
          <w:iCs/>
        </w:rPr>
        <w:t>(a)</w:t>
      </w:r>
      <w:r w:rsidRPr="005B7A05" w:rsidR="74D6A88F">
        <w:rPr>
          <w:rFonts w:eastAsia="Times New Roman" w:cstheme="minorHAnsi"/>
          <w:b/>
          <w:bCs/>
          <w:i/>
          <w:iCs/>
        </w:rPr>
        <w:t xml:space="preserve"> Estimated Annualized Costs</w:t>
      </w:r>
    </w:p>
    <w:p w:rsidR="00E260CF" w:rsidRPr="00F77C61" w:rsidP="00432A41" w14:paraId="1BF461F1" w14:textId="41D84415">
      <w:r>
        <w:t xml:space="preserve">The goal is a </w:t>
      </w:r>
      <w:r w:rsidRPr="00F77C61" w:rsidR="17D80C04">
        <w:t xml:space="preserve">representative sample of 3,000 </w:t>
      </w:r>
      <w:r w:rsidR="00755396">
        <w:t>healthcare worker</w:t>
      </w:r>
      <w:r w:rsidRPr="00F77C61" w:rsidR="17D80C04">
        <w:t xml:space="preserve">s and 500 </w:t>
      </w:r>
      <w:r w:rsidR="00D57C3F">
        <w:t>hospital leaders</w:t>
      </w:r>
      <w:r w:rsidRPr="00F77C61" w:rsidR="17D80C04">
        <w:t xml:space="preserve"> that hail from relevant partner network organizations (e.g., American Medical Association, American Hospital Association, American Nurses Association) of the </w:t>
      </w:r>
      <w:r w:rsidRPr="00F77C61" w:rsidR="17D80C04">
        <w:rPr>
          <w:i/>
          <w:iCs/>
        </w:rPr>
        <w:t xml:space="preserve">All In: </w:t>
      </w:r>
      <w:r w:rsidRPr="00F77C61" w:rsidR="17D80C04">
        <w:rPr>
          <w:i/>
          <w:iCs/>
        </w:rPr>
        <w:t>WellBeing</w:t>
      </w:r>
      <w:r w:rsidRPr="00F77C61" w:rsidR="17D80C04">
        <w:rPr>
          <w:i/>
          <w:iCs/>
        </w:rPr>
        <w:t xml:space="preserve"> First for Healthcare</w:t>
      </w:r>
      <w:r w:rsidRPr="00F77C61" w:rsidR="17D80C04">
        <w:t xml:space="preserve"> network. </w:t>
      </w:r>
      <w:r w:rsidR="00D57C3F">
        <w:t xml:space="preserve">Assuming a 25% response rate, JPA/EDC must include 12,000 </w:t>
      </w:r>
      <w:r w:rsidR="00755396">
        <w:t>healthcare worker</w:t>
      </w:r>
      <w:r w:rsidR="00D57C3F">
        <w:t xml:space="preserve">s and 2,000 hospital leaders. </w:t>
      </w:r>
      <w:r w:rsidR="00FD16AE">
        <w:t xml:space="preserve">Both surveys take no more than 10 minutes to complete. </w:t>
      </w:r>
      <w:r w:rsidRPr="00F77C61" w:rsidR="17D80C04">
        <w:t xml:space="preserve"> </w:t>
      </w:r>
    </w:p>
    <w:p w:rsidR="00F32917" w:rsidRPr="00F77C61" w:rsidP="00F32917" w14:paraId="24BF69F1" w14:textId="77777777">
      <w:pPr>
        <w:spacing w:before="100" w:beforeAutospacing="1" w:after="0" w:line="240" w:lineRule="auto"/>
        <w:rPr>
          <w:rFonts w:eastAsia="Times New Roman" w:cstheme="minorHAnsi"/>
        </w:rPr>
      </w:pPr>
      <w:r>
        <w:rPr>
          <w:rFonts w:eastAsia="Times New Roman" w:cstheme="minorHAnsi"/>
        </w:rPr>
        <w:t xml:space="preserve">If the response rate is 100%, the burden is 2333 hours. If the response rate is 25% as expected, the burden is 583 hours. </w:t>
      </w:r>
    </w:p>
    <w:tbl>
      <w:tblPr>
        <w:tblStyle w:val="GridTable6ColorfulAccent1"/>
        <w:tblW w:w="0" w:type="auto"/>
        <w:tblLayout w:type="fixed"/>
        <w:tblLook w:val="04A0"/>
      </w:tblPr>
      <w:tblGrid>
        <w:gridCol w:w="1665"/>
        <w:gridCol w:w="2415"/>
        <w:gridCol w:w="1425"/>
        <w:gridCol w:w="1455"/>
        <w:gridCol w:w="1305"/>
        <w:gridCol w:w="1050"/>
      </w:tblGrid>
      <w:tr w14:paraId="26DEA9D9" w14:textId="77777777" w:rsidTr="00A24086">
        <w:tblPrEx>
          <w:tblW w:w="0" w:type="auto"/>
          <w:tblLayout w:type="fixed"/>
          <w:tblLook w:val="04A0"/>
        </w:tblPrEx>
        <w:trPr>
          <w:trHeight w:val="510"/>
          <w:tblHeader/>
        </w:trPr>
        <w:tc>
          <w:tcPr>
            <w:tcW w:w="1665"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rsidR="00E260CF" w:rsidRPr="00E81736" w:rsidP="00533052" w14:paraId="1489E6C8" w14:textId="77777777">
            <w:pPr>
              <w:jc w:val="center"/>
              <w:rPr>
                <w:rFonts w:eastAsia="Arial Narrow" w:cstheme="minorHAnsi"/>
                <w:color w:val="000000" w:themeColor="text1"/>
                <w:sz w:val="20"/>
                <w:szCs w:val="20"/>
              </w:rPr>
            </w:pPr>
            <w:r w:rsidRPr="00E81736">
              <w:rPr>
                <w:rFonts w:eastAsia="Arial Narrow" w:cstheme="minorHAnsi"/>
                <w:color w:val="000000" w:themeColor="text1"/>
                <w:sz w:val="20"/>
                <w:szCs w:val="20"/>
              </w:rPr>
              <w:t>Type of Respondents</w:t>
            </w:r>
          </w:p>
        </w:tc>
        <w:tc>
          <w:tcPr>
            <w:tcW w:w="2415"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rsidR="00E260CF" w:rsidRPr="00E81736" w:rsidP="00533052" w14:paraId="096741DA" w14:textId="3A1B8277">
            <w:pPr>
              <w:jc w:val="center"/>
              <w:rPr>
                <w:rFonts w:eastAsia="Arial Narrow" w:cstheme="minorHAnsi"/>
                <w:b w:val="0"/>
                <w:bCs w:val="0"/>
                <w:color w:val="000000" w:themeColor="text1"/>
                <w:sz w:val="20"/>
                <w:szCs w:val="20"/>
              </w:rPr>
            </w:pPr>
            <w:r w:rsidRPr="00E81736">
              <w:rPr>
                <w:rFonts w:eastAsia="Arial Narrow" w:cstheme="minorHAnsi"/>
                <w:color w:val="000000" w:themeColor="text1"/>
                <w:sz w:val="20"/>
                <w:szCs w:val="20"/>
              </w:rPr>
              <w:t>Attachment</w:t>
            </w:r>
            <w:r w:rsidRPr="00E81736">
              <w:rPr>
                <w:rFonts w:eastAsia="Arial Narrow" w:cstheme="minorHAnsi"/>
                <w:color w:val="000000" w:themeColor="text1"/>
                <w:sz w:val="20"/>
                <w:szCs w:val="20"/>
              </w:rPr>
              <w:t xml:space="preserve"> Name</w:t>
            </w:r>
          </w:p>
        </w:tc>
        <w:tc>
          <w:tcPr>
            <w:tcW w:w="1425"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rsidR="00E260CF" w:rsidRPr="00E81736" w:rsidP="00533052" w14:paraId="59560EB4" w14:textId="77777777">
            <w:pPr>
              <w:jc w:val="center"/>
              <w:rPr>
                <w:rFonts w:eastAsia="Arial Narrow" w:cstheme="minorHAnsi"/>
                <w:b w:val="0"/>
                <w:bCs w:val="0"/>
                <w:color w:val="000000" w:themeColor="text1"/>
                <w:sz w:val="20"/>
                <w:szCs w:val="20"/>
              </w:rPr>
            </w:pPr>
            <w:r w:rsidRPr="00E81736">
              <w:rPr>
                <w:rFonts w:eastAsia="Arial Narrow" w:cstheme="minorHAnsi"/>
                <w:color w:val="000000" w:themeColor="text1"/>
                <w:sz w:val="20"/>
                <w:szCs w:val="20"/>
              </w:rPr>
              <w:t>No. of Respondents</w:t>
            </w:r>
          </w:p>
        </w:tc>
        <w:tc>
          <w:tcPr>
            <w:tcW w:w="1455"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rsidR="00E260CF" w:rsidRPr="00E81736" w:rsidP="00533052" w14:paraId="557EE64E" w14:textId="77777777">
            <w:pPr>
              <w:jc w:val="center"/>
              <w:rPr>
                <w:rFonts w:eastAsia="Arial Narrow" w:cstheme="minorHAnsi"/>
                <w:b w:val="0"/>
                <w:bCs w:val="0"/>
                <w:color w:val="000000" w:themeColor="text1"/>
                <w:sz w:val="20"/>
                <w:szCs w:val="20"/>
              </w:rPr>
            </w:pPr>
            <w:r w:rsidRPr="00E81736">
              <w:rPr>
                <w:rFonts w:eastAsia="Arial Narrow" w:cstheme="minorHAnsi"/>
                <w:color w:val="000000" w:themeColor="text1"/>
                <w:sz w:val="20"/>
                <w:szCs w:val="20"/>
              </w:rPr>
              <w:t>No. of Responses per Respondent</w:t>
            </w:r>
          </w:p>
        </w:tc>
        <w:tc>
          <w:tcPr>
            <w:tcW w:w="1305"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rsidR="00E260CF" w:rsidRPr="00E81736" w:rsidP="00533052" w14:paraId="00563327" w14:textId="77777777">
            <w:pPr>
              <w:jc w:val="center"/>
              <w:rPr>
                <w:rFonts w:eastAsia="Arial Narrow" w:cstheme="minorHAnsi"/>
                <w:b w:val="0"/>
                <w:bCs w:val="0"/>
                <w:color w:val="000000" w:themeColor="text1"/>
                <w:sz w:val="20"/>
                <w:szCs w:val="20"/>
              </w:rPr>
            </w:pPr>
            <w:r w:rsidRPr="00E81736">
              <w:rPr>
                <w:rFonts w:eastAsia="Arial Narrow" w:cstheme="minorHAnsi"/>
                <w:color w:val="000000" w:themeColor="text1"/>
                <w:sz w:val="20"/>
                <w:szCs w:val="20"/>
              </w:rPr>
              <w:t>Average Burden per Response (in hours)</w:t>
            </w:r>
          </w:p>
        </w:tc>
        <w:tc>
          <w:tcPr>
            <w:tcW w:w="1050"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rsidR="00E260CF" w:rsidRPr="00E81736" w:rsidP="00533052" w14:paraId="05F51977" w14:textId="77777777">
            <w:pPr>
              <w:jc w:val="center"/>
              <w:rPr>
                <w:rFonts w:eastAsia="Arial Narrow" w:cstheme="minorHAnsi"/>
                <w:b w:val="0"/>
                <w:bCs w:val="0"/>
                <w:color w:val="000000" w:themeColor="text1"/>
                <w:sz w:val="20"/>
                <w:szCs w:val="20"/>
              </w:rPr>
            </w:pPr>
            <w:r w:rsidRPr="00E81736">
              <w:rPr>
                <w:rFonts w:eastAsia="Arial Narrow" w:cstheme="minorHAnsi"/>
                <w:color w:val="000000" w:themeColor="text1"/>
                <w:sz w:val="20"/>
                <w:szCs w:val="20"/>
              </w:rPr>
              <w:t>Total Burden Hours</w:t>
            </w:r>
          </w:p>
        </w:tc>
      </w:tr>
      <w:tr w14:paraId="319B6303" w14:textId="77777777" w:rsidTr="00A24086">
        <w:tblPrEx>
          <w:tblW w:w="0" w:type="auto"/>
          <w:tblLayout w:type="fixed"/>
          <w:tblLook w:val="04A0"/>
        </w:tblPrEx>
        <w:tc>
          <w:tcPr>
            <w:tcW w:w="1665" w:type="dxa"/>
            <w:tcBorders>
              <w:top w:val="single" w:sz="6" w:space="0" w:color="auto"/>
              <w:left w:val="single" w:sz="6" w:space="0" w:color="auto"/>
              <w:bottom w:val="single" w:sz="6" w:space="0" w:color="auto"/>
              <w:right w:val="single" w:sz="6" w:space="0" w:color="auto"/>
            </w:tcBorders>
            <w:shd w:val="clear" w:color="auto" w:fill="auto"/>
            <w:vAlign w:val="center"/>
          </w:tcPr>
          <w:p w:rsidR="00E260CF" w:rsidRPr="00E81736" w:rsidP="00533052" w14:paraId="289D69DB" w14:textId="127F5482">
            <w:pPr>
              <w:rPr>
                <w:rFonts w:eastAsia="Arial Narrow" w:cstheme="minorHAnsi"/>
                <w:color w:val="000000" w:themeColor="text1"/>
                <w:sz w:val="20"/>
                <w:szCs w:val="20"/>
              </w:rPr>
            </w:pPr>
            <w:r w:rsidRPr="00E81736">
              <w:rPr>
                <w:rFonts w:eastAsia="Arial Narrow" w:cstheme="minorHAnsi"/>
                <w:b w:val="0"/>
                <w:bCs w:val="0"/>
                <w:color w:val="000000" w:themeColor="text1"/>
                <w:sz w:val="20"/>
                <w:szCs w:val="20"/>
              </w:rPr>
              <w:t>Health</w:t>
            </w:r>
            <w:r w:rsidRPr="00E81736" w:rsidR="00665051">
              <w:rPr>
                <w:rFonts w:eastAsia="Arial Narrow" w:cstheme="minorHAnsi"/>
                <w:b w:val="0"/>
                <w:bCs w:val="0"/>
                <w:color w:val="000000" w:themeColor="text1"/>
                <w:sz w:val="20"/>
                <w:szCs w:val="20"/>
              </w:rPr>
              <w:t>care</w:t>
            </w:r>
            <w:r w:rsidRPr="00E81736">
              <w:rPr>
                <w:rFonts w:eastAsia="Arial Narrow" w:cstheme="minorHAnsi"/>
                <w:b w:val="0"/>
                <w:bCs w:val="0"/>
                <w:color w:val="000000" w:themeColor="text1"/>
                <w:sz w:val="20"/>
                <w:szCs w:val="20"/>
              </w:rPr>
              <w:t xml:space="preserve"> Worker</w:t>
            </w:r>
          </w:p>
        </w:tc>
        <w:tc>
          <w:tcPr>
            <w:tcW w:w="2415" w:type="dxa"/>
            <w:tcBorders>
              <w:top w:val="single" w:sz="6" w:space="0" w:color="auto"/>
              <w:left w:val="single" w:sz="6" w:space="0" w:color="auto"/>
              <w:bottom w:val="single" w:sz="6" w:space="0" w:color="auto"/>
              <w:right w:val="single" w:sz="6" w:space="0" w:color="auto"/>
            </w:tcBorders>
            <w:shd w:val="clear" w:color="auto" w:fill="auto"/>
          </w:tcPr>
          <w:p w:rsidR="00E260CF" w:rsidRPr="00E81736" w:rsidP="00533052" w14:paraId="39F2C648" w14:textId="3E279841">
            <w:pPr>
              <w:rPr>
                <w:rFonts w:eastAsia="Arial Narrow" w:cstheme="minorHAnsi"/>
                <w:color w:val="000000" w:themeColor="text1"/>
                <w:sz w:val="20"/>
                <w:szCs w:val="20"/>
              </w:rPr>
            </w:pPr>
            <w:r w:rsidRPr="00E81736">
              <w:rPr>
                <w:rFonts w:eastAsia="Arial Narrow" w:cstheme="minorHAnsi"/>
                <w:color w:val="000000" w:themeColor="text1"/>
                <w:sz w:val="20"/>
                <w:szCs w:val="20"/>
              </w:rPr>
              <w:t>Follow-up Survey (</w:t>
            </w:r>
            <w:r w:rsidRPr="00E81736" w:rsidR="001B1236">
              <w:rPr>
                <w:rFonts w:eastAsia="Arial Narrow" w:cstheme="minorHAnsi"/>
                <w:color w:val="000000" w:themeColor="text1"/>
                <w:sz w:val="20"/>
                <w:szCs w:val="20"/>
              </w:rPr>
              <w:t>Att</w:t>
            </w:r>
            <w:r w:rsidRPr="00E81736" w:rsidR="001B1236">
              <w:rPr>
                <w:rFonts w:eastAsia="Arial Narrow" w:cstheme="minorHAnsi"/>
                <w:color w:val="000000" w:themeColor="text1"/>
                <w:sz w:val="20"/>
                <w:szCs w:val="20"/>
              </w:rPr>
              <w:t xml:space="preserve"> </w:t>
            </w:r>
            <w:r w:rsidR="00A0394E">
              <w:rPr>
                <w:rFonts w:eastAsia="Arial Narrow" w:cstheme="minorHAnsi"/>
                <w:color w:val="000000" w:themeColor="text1"/>
                <w:sz w:val="20"/>
                <w:szCs w:val="20"/>
              </w:rPr>
              <w:t>4</w:t>
            </w:r>
            <w:r w:rsidRPr="00E81736">
              <w:rPr>
                <w:rFonts w:eastAsia="Arial Narrow" w:cstheme="minorHAnsi"/>
                <w:color w:val="000000" w:themeColor="text1"/>
                <w:sz w:val="20"/>
                <w:szCs w:val="20"/>
              </w:rPr>
              <w:t>)</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rsidR="00E260CF" w:rsidRPr="00E81736" w:rsidP="17D80C04" w14:paraId="31AD9C30" w14:textId="35696C90">
            <w:pPr>
              <w:spacing w:line="259" w:lineRule="auto"/>
              <w:jc w:val="center"/>
              <w:rPr>
                <w:rFonts w:eastAsia="Arial Narrow" w:cstheme="minorHAnsi"/>
                <w:color w:val="000000" w:themeColor="text1"/>
                <w:sz w:val="20"/>
                <w:szCs w:val="20"/>
              </w:rPr>
            </w:pPr>
            <w:r w:rsidRPr="00E81736">
              <w:rPr>
                <w:rFonts w:eastAsia="Arial Narrow" w:cstheme="minorHAnsi"/>
                <w:color w:val="000000" w:themeColor="text1"/>
                <w:sz w:val="20"/>
                <w:szCs w:val="20"/>
              </w:rPr>
              <w:t>12</w:t>
            </w:r>
            <w:r w:rsidRPr="00E81736" w:rsidR="00001854">
              <w:rPr>
                <w:rFonts w:eastAsia="Arial Narrow" w:cstheme="minorHAnsi"/>
                <w:color w:val="000000" w:themeColor="text1"/>
                <w:sz w:val="20"/>
                <w:szCs w:val="20"/>
              </w:rPr>
              <w:t>,000</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tcPr>
          <w:p w:rsidR="00E260CF" w:rsidRPr="00E81736" w:rsidP="00533052" w14:paraId="6C4DA3B8" w14:textId="77777777">
            <w:pPr>
              <w:jc w:val="center"/>
              <w:rPr>
                <w:rFonts w:eastAsia="Arial Narrow" w:cstheme="minorHAnsi"/>
                <w:color w:val="000000" w:themeColor="text1"/>
                <w:sz w:val="20"/>
                <w:szCs w:val="20"/>
              </w:rPr>
            </w:pPr>
            <w:r w:rsidRPr="00E81736">
              <w:rPr>
                <w:rFonts w:eastAsia="Arial Narrow" w:cstheme="minorHAnsi"/>
                <w:color w:val="000000" w:themeColor="text1"/>
                <w:sz w:val="20"/>
                <w:szCs w:val="20"/>
              </w:rPr>
              <w:t>1</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tcPr>
          <w:p w:rsidR="00E260CF" w:rsidRPr="00E81736" w:rsidP="00533052" w14:paraId="798EB237" w14:textId="68C5F420">
            <w:pPr>
              <w:jc w:val="center"/>
              <w:rPr>
                <w:rFonts w:eastAsia="Arial Narrow" w:cstheme="minorHAnsi"/>
                <w:color w:val="000000" w:themeColor="text1"/>
                <w:sz w:val="20"/>
                <w:szCs w:val="20"/>
              </w:rPr>
            </w:pPr>
            <w:r w:rsidRPr="00E81736">
              <w:rPr>
                <w:rFonts w:eastAsia="Arial Narrow" w:cstheme="minorHAnsi"/>
                <w:color w:val="000000" w:themeColor="text1"/>
                <w:sz w:val="20"/>
                <w:szCs w:val="20"/>
              </w:rPr>
              <w:t>10</w:t>
            </w:r>
            <w:r w:rsidRPr="00E81736">
              <w:rPr>
                <w:rFonts w:eastAsia="Arial Narrow" w:cstheme="minorHAnsi"/>
                <w:color w:val="000000" w:themeColor="text1"/>
                <w:sz w:val="20"/>
                <w:szCs w:val="20"/>
              </w:rPr>
              <w:t>/60</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E260CF" w:rsidRPr="00E81736" w:rsidP="17D80C04" w14:paraId="7257E93B" w14:textId="0D2800EB">
            <w:pPr>
              <w:spacing w:line="259" w:lineRule="auto"/>
              <w:jc w:val="center"/>
              <w:rPr>
                <w:rFonts w:eastAsia="Arial Narrow" w:cstheme="minorHAnsi"/>
                <w:color w:val="000000" w:themeColor="text1"/>
                <w:sz w:val="20"/>
                <w:szCs w:val="20"/>
              </w:rPr>
            </w:pPr>
            <w:r w:rsidRPr="00E81736">
              <w:rPr>
                <w:rFonts w:eastAsia="Arial Narrow" w:cstheme="minorHAnsi"/>
                <w:color w:val="000000" w:themeColor="text1"/>
                <w:sz w:val="20"/>
                <w:szCs w:val="20"/>
              </w:rPr>
              <w:t>2000</w:t>
            </w:r>
          </w:p>
        </w:tc>
      </w:tr>
      <w:tr w14:paraId="7D2FD827" w14:textId="77777777" w:rsidTr="17D80C04">
        <w:tblPrEx>
          <w:tblW w:w="0" w:type="auto"/>
          <w:tblLayout w:type="fixed"/>
          <w:tblLook w:val="04A0"/>
        </w:tblPrEx>
        <w:tc>
          <w:tcPr>
            <w:tcW w:w="1665" w:type="dxa"/>
            <w:tcBorders>
              <w:top w:val="single" w:sz="6" w:space="0" w:color="auto"/>
              <w:left w:val="single" w:sz="6" w:space="0" w:color="auto"/>
              <w:bottom w:val="single" w:sz="6" w:space="0" w:color="auto"/>
              <w:right w:val="single" w:sz="6" w:space="0" w:color="auto"/>
            </w:tcBorders>
            <w:vAlign w:val="center"/>
          </w:tcPr>
          <w:p w:rsidR="00E260CF" w:rsidRPr="00E81736" w:rsidP="00533052" w14:paraId="293E345F" w14:textId="1EB4E791">
            <w:pPr>
              <w:rPr>
                <w:rFonts w:eastAsia="Arial Narrow" w:cstheme="minorHAnsi"/>
                <w:color w:val="000000" w:themeColor="text1"/>
                <w:sz w:val="20"/>
                <w:szCs w:val="20"/>
              </w:rPr>
            </w:pPr>
            <w:r w:rsidRPr="00E81736">
              <w:rPr>
                <w:rFonts w:eastAsia="Arial Narrow" w:cstheme="minorHAnsi"/>
                <w:b w:val="0"/>
                <w:bCs w:val="0"/>
                <w:color w:val="000000" w:themeColor="text1"/>
                <w:sz w:val="20"/>
                <w:szCs w:val="20"/>
              </w:rPr>
              <w:t>Hospital Leader</w:t>
            </w:r>
          </w:p>
        </w:tc>
        <w:tc>
          <w:tcPr>
            <w:tcW w:w="2415" w:type="dxa"/>
            <w:tcBorders>
              <w:top w:val="single" w:sz="6" w:space="0" w:color="auto"/>
              <w:left w:val="single" w:sz="6" w:space="0" w:color="auto"/>
              <w:bottom w:val="single" w:sz="6" w:space="0" w:color="auto"/>
              <w:right w:val="single" w:sz="6" w:space="0" w:color="auto"/>
            </w:tcBorders>
          </w:tcPr>
          <w:p w:rsidR="00E260CF" w:rsidRPr="00E81736" w:rsidP="00533052" w14:paraId="526BF661" w14:textId="3A1768D3">
            <w:pPr>
              <w:rPr>
                <w:rFonts w:eastAsia="Arial Narrow" w:cstheme="minorHAnsi"/>
                <w:color w:val="000000" w:themeColor="text1"/>
                <w:sz w:val="20"/>
                <w:szCs w:val="20"/>
              </w:rPr>
            </w:pPr>
            <w:r w:rsidRPr="00E81736">
              <w:rPr>
                <w:rFonts w:eastAsia="Arial Narrow" w:cstheme="minorHAnsi"/>
                <w:color w:val="000000" w:themeColor="text1"/>
                <w:sz w:val="20"/>
                <w:szCs w:val="20"/>
              </w:rPr>
              <w:t>Follow-up Survey (</w:t>
            </w:r>
            <w:r w:rsidRPr="00E81736" w:rsidR="001B1236">
              <w:rPr>
                <w:rFonts w:eastAsia="Arial Narrow" w:cstheme="minorHAnsi"/>
                <w:color w:val="000000" w:themeColor="text1"/>
                <w:sz w:val="20"/>
                <w:szCs w:val="20"/>
              </w:rPr>
              <w:t>Att</w:t>
            </w:r>
            <w:r w:rsidRPr="00E81736">
              <w:rPr>
                <w:rFonts w:eastAsia="Arial Narrow" w:cstheme="minorHAnsi"/>
                <w:color w:val="000000" w:themeColor="text1"/>
                <w:sz w:val="20"/>
                <w:szCs w:val="20"/>
              </w:rPr>
              <w:t xml:space="preserve"> </w:t>
            </w:r>
            <w:r w:rsidR="00A0394E">
              <w:rPr>
                <w:rFonts w:eastAsia="Arial Narrow" w:cstheme="minorHAnsi"/>
                <w:color w:val="000000" w:themeColor="text1"/>
                <w:sz w:val="20"/>
                <w:szCs w:val="20"/>
              </w:rPr>
              <w:t>5</w:t>
            </w:r>
            <w:r w:rsidRPr="00E81736">
              <w:rPr>
                <w:rFonts w:eastAsia="Arial Narrow" w:cstheme="minorHAnsi"/>
                <w:color w:val="000000" w:themeColor="text1"/>
                <w:sz w:val="20"/>
                <w:szCs w:val="20"/>
              </w:rPr>
              <w:t>)</w:t>
            </w:r>
          </w:p>
        </w:tc>
        <w:tc>
          <w:tcPr>
            <w:tcW w:w="1425" w:type="dxa"/>
            <w:tcBorders>
              <w:top w:val="single" w:sz="6" w:space="0" w:color="auto"/>
              <w:left w:val="single" w:sz="6" w:space="0" w:color="auto"/>
              <w:bottom w:val="single" w:sz="6" w:space="0" w:color="auto"/>
              <w:right w:val="single" w:sz="6" w:space="0" w:color="auto"/>
            </w:tcBorders>
            <w:vAlign w:val="center"/>
          </w:tcPr>
          <w:p w:rsidR="00E260CF" w:rsidRPr="00E81736" w:rsidP="17D80C04" w14:paraId="12D7C739" w14:textId="1353ED06">
            <w:pPr>
              <w:jc w:val="center"/>
              <w:rPr>
                <w:rFonts w:eastAsia="Arial Narrow" w:cstheme="minorHAnsi"/>
                <w:color w:val="000000" w:themeColor="text1"/>
                <w:sz w:val="20"/>
                <w:szCs w:val="20"/>
              </w:rPr>
            </w:pPr>
            <w:r w:rsidRPr="00E81736">
              <w:rPr>
                <w:rFonts w:eastAsia="Arial Narrow" w:cstheme="minorHAnsi"/>
                <w:color w:val="000000" w:themeColor="text1"/>
                <w:sz w:val="20"/>
                <w:szCs w:val="20"/>
              </w:rPr>
              <w:t>2000</w:t>
            </w:r>
          </w:p>
        </w:tc>
        <w:tc>
          <w:tcPr>
            <w:tcW w:w="1455" w:type="dxa"/>
            <w:tcBorders>
              <w:top w:val="single" w:sz="6" w:space="0" w:color="auto"/>
              <w:left w:val="single" w:sz="6" w:space="0" w:color="auto"/>
              <w:bottom w:val="single" w:sz="6" w:space="0" w:color="auto"/>
              <w:right w:val="single" w:sz="6" w:space="0" w:color="auto"/>
            </w:tcBorders>
            <w:vAlign w:val="center"/>
          </w:tcPr>
          <w:p w:rsidR="00E260CF" w:rsidRPr="00E81736" w:rsidP="00533052" w14:paraId="7B02A354" w14:textId="77777777">
            <w:pPr>
              <w:jc w:val="center"/>
              <w:rPr>
                <w:rFonts w:eastAsia="Arial Narrow" w:cstheme="minorHAnsi"/>
                <w:color w:val="000000" w:themeColor="text1"/>
                <w:sz w:val="20"/>
                <w:szCs w:val="20"/>
              </w:rPr>
            </w:pPr>
            <w:r w:rsidRPr="00E81736">
              <w:rPr>
                <w:rFonts w:eastAsia="Arial Narrow" w:cstheme="minorHAnsi"/>
                <w:color w:val="000000" w:themeColor="text1"/>
                <w:sz w:val="20"/>
                <w:szCs w:val="20"/>
              </w:rPr>
              <w:t>1</w:t>
            </w:r>
          </w:p>
        </w:tc>
        <w:tc>
          <w:tcPr>
            <w:tcW w:w="1305" w:type="dxa"/>
            <w:tcBorders>
              <w:top w:val="single" w:sz="6" w:space="0" w:color="auto"/>
              <w:left w:val="single" w:sz="6" w:space="0" w:color="auto"/>
              <w:bottom w:val="single" w:sz="6" w:space="0" w:color="auto"/>
              <w:right w:val="single" w:sz="6" w:space="0" w:color="auto"/>
            </w:tcBorders>
            <w:vAlign w:val="center"/>
          </w:tcPr>
          <w:p w:rsidR="00E260CF" w:rsidRPr="00E81736" w:rsidP="00533052" w14:paraId="2F40D49D" w14:textId="068A29E5">
            <w:pPr>
              <w:jc w:val="center"/>
              <w:rPr>
                <w:rFonts w:eastAsia="Arial Narrow" w:cstheme="minorHAnsi"/>
                <w:color w:val="000000" w:themeColor="text1"/>
                <w:sz w:val="20"/>
                <w:szCs w:val="20"/>
              </w:rPr>
            </w:pPr>
            <w:r w:rsidRPr="00E81736">
              <w:rPr>
                <w:rFonts w:eastAsia="Arial Narrow" w:cstheme="minorHAnsi"/>
                <w:color w:val="000000" w:themeColor="text1"/>
                <w:sz w:val="20"/>
                <w:szCs w:val="20"/>
              </w:rPr>
              <w:t>1</w:t>
            </w:r>
            <w:r w:rsidRPr="00E81736" w:rsidR="00001854">
              <w:rPr>
                <w:rFonts w:eastAsia="Arial Narrow" w:cstheme="minorHAnsi"/>
                <w:color w:val="000000" w:themeColor="text1"/>
                <w:sz w:val="20"/>
                <w:szCs w:val="20"/>
              </w:rPr>
              <w:t>0</w:t>
            </w:r>
            <w:r w:rsidRPr="00E81736">
              <w:rPr>
                <w:rFonts w:eastAsia="Arial Narrow" w:cstheme="minorHAnsi"/>
                <w:color w:val="000000" w:themeColor="text1"/>
                <w:sz w:val="20"/>
                <w:szCs w:val="20"/>
              </w:rPr>
              <w:t>/60</w:t>
            </w:r>
          </w:p>
        </w:tc>
        <w:tc>
          <w:tcPr>
            <w:tcW w:w="1050" w:type="dxa"/>
            <w:tcBorders>
              <w:top w:val="single" w:sz="6" w:space="0" w:color="auto"/>
              <w:left w:val="single" w:sz="6" w:space="0" w:color="auto"/>
              <w:bottom w:val="single" w:sz="6" w:space="0" w:color="auto"/>
              <w:right w:val="single" w:sz="6" w:space="0" w:color="auto"/>
            </w:tcBorders>
            <w:vAlign w:val="center"/>
          </w:tcPr>
          <w:p w:rsidR="00E260CF" w:rsidRPr="00E81736" w:rsidP="00533052" w14:paraId="652951B1" w14:textId="7A886CE8">
            <w:pPr>
              <w:jc w:val="center"/>
              <w:rPr>
                <w:rFonts w:eastAsia="Arial Narrow" w:cstheme="minorHAnsi"/>
                <w:color w:val="000000" w:themeColor="text1"/>
                <w:sz w:val="20"/>
                <w:szCs w:val="20"/>
              </w:rPr>
            </w:pPr>
            <w:r w:rsidRPr="00E81736">
              <w:rPr>
                <w:rFonts w:eastAsia="Arial Narrow" w:cstheme="minorHAnsi"/>
                <w:color w:val="000000" w:themeColor="text1"/>
                <w:sz w:val="20"/>
                <w:szCs w:val="20"/>
              </w:rPr>
              <w:t>333</w:t>
            </w:r>
          </w:p>
        </w:tc>
      </w:tr>
      <w:tr w14:paraId="770E3D5C" w14:textId="77777777" w:rsidTr="005B7A05">
        <w:tblPrEx>
          <w:tblW w:w="0" w:type="auto"/>
          <w:tblLayout w:type="fixed"/>
          <w:tblLook w:val="04A0"/>
        </w:tblPrEx>
        <w:tc>
          <w:tcPr>
            <w:tcW w:w="1665" w:type="dxa"/>
            <w:tcBorders>
              <w:top w:val="single" w:sz="6" w:space="0" w:color="auto"/>
              <w:left w:val="single" w:sz="6" w:space="0" w:color="auto"/>
              <w:bottom w:val="single" w:sz="6" w:space="0" w:color="auto"/>
              <w:right w:val="single" w:sz="6" w:space="0" w:color="auto"/>
            </w:tcBorders>
            <w:shd w:val="clear" w:color="auto" w:fill="000000" w:themeFill="text1"/>
          </w:tcPr>
          <w:p w:rsidR="00E260CF" w:rsidRPr="005B7A05" w:rsidP="00533052" w14:paraId="275E752D" w14:textId="77777777">
            <w:pPr>
              <w:rPr>
                <w:rFonts w:eastAsia="Arial Narrow" w:cstheme="minorHAnsi"/>
                <w:color w:val="FFFFFF" w:themeColor="background1"/>
              </w:rPr>
            </w:pPr>
            <w:r w:rsidRPr="005B7A05">
              <w:rPr>
                <w:rFonts w:eastAsia="Arial Narrow" w:cstheme="minorHAnsi"/>
                <w:color w:val="FFFFFF" w:themeColor="background1"/>
              </w:rPr>
              <w:t>TOTAL</w:t>
            </w:r>
          </w:p>
        </w:tc>
        <w:tc>
          <w:tcPr>
            <w:tcW w:w="2415" w:type="dxa"/>
            <w:tcBorders>
              <w:top w:val="single" w:sz="6" w:space="0" w:color="auto"/>
              <w:left w:val="single" w:sz="6" w:space="0" w:color="auto"/>
              <w:bottom w:val="single" w:sz="6" w:space="0" w:color="auto"/>
              <w:right w:val="single" w:sz="6" w:space="0" w:color="auto"/>
            </w:tcBorders>
            <w:shd w:val="clear" w:color="auto" w:fill="000000" w:themeFill="text1"/>
          </w:tcPr>
          <w:p w:rsidR="00E260CF" w:rsidRPr="005B7A05" w:rsidP="00533052" w14:paraId="6DC1FFC9" w14:textId="77777777">
            <w:pPr>
              <w:rPr>
                <w:rFonts w:eastAsia="Arial Narrow" w:cstheme="minorHAnsi"/>
                <w:color w:val="FFFFFF" w:themeColor="background1"/>
              </w:rPr>
            </w:pPr>
          </w:p>
        </w:tc>
        <w:tc>
          <w:tcPr>
            <w:tcW w:w="1425" w:type="dxa"/>
            <w:tcBorders>
              <w:top w:val="single" w:sz="6" w:space="0" w:color="auto"/>
              <w:left w:val="single" w:sz="6" w:space="0" w:color="auto"/>
              <w:bottom w:val="single" w:sz="6" w:space="0" w:color="auto"/>
              <w:right w:val="single" w:sz="6" w:space="0" w:color="auto"/>
            </w:tcBorders>
            <w:shd w:val="clear" w:color="auto" w:fill="000000" w:themeFill="text1"/>
          </w:tcPr>
          <w:p w:rsidR="00E260CF" w:rsidRPr="005B7A05" w:rsidP="00533052" w14:paraId="467EA3F3" w14:textId="77777777">
            <w:pPr>
              <w:jc w:val="center"/>
              <w:rPr>
                <w:rFonts w:eastAsia="Arial Narrow" w:cstheme="minorHAnsi"/>
                <w:color w:val="FFFFFF" w:themeColor="background1"/>
              </w:rPr>
            </w:pPr>
          </w:p>
        </w:tc>
        <w:tc>
          <w:tcPr>
            <w:tcW w:w="1455" w:type="dxa"/>
            <w:tcBorders>
              <w:top w:val="single" w:sz="6" w:space="0" w:color="auto"/>
              <w:left w:val="single" w:sz="6" w:space="0" w:color="auto"/>
              <w:bottom w:val="single" w:sz="6" w:space="0" w:color="auto"/>
              <w:right w:val="single" w:sz="6" w:space="0" w:color="auto"/>
            </w:tcBorders>
            <w:shd w:val="clear" w:color="auto" w:fill="000000" w:themeFill="text1"/>
          </w:tcPr>
          <w:p w:rsidR="00E260CF" w:rsidRPr="005B7A05" w:rsidP="00533052" w14:paraId="03648AB5" w14:textId="77777777">
            <w:pPr>
              <w:jc w:val="center"/>
              <w:rPr>
                <w:rFonts w:eastAsia="Arial Narrow" w:cstheme="minorHAnsi"/>
                <w:color w:val="FFFFFF" w:themeColor="background1"/>
              </w:rPr>
            </w:pPr>
          </w:p>
        </w:tc>
        <w:tc>
          <w:tcPr>
            <w:tcW w:w="1305" w:type="dxa"/>
            <w:tcBorders>
              <w:top w:val="single" w:sz="6" w:space="0" w:color="auto"/>
              <w:left w:val="single" w:sz="6" w:space="0" w:color="auto"/>
              <w:bottom w:val="single" w:sz="6" w:space="0" w:color="auto"/>
              <w:right w:val="single" w:sz="6" w:space="0" w:color="auto"/>
            </w:tcBorders>
            <w:shd w:val="clear" w:color="auto" w:fill="000000" w:themeFill="text1"/>
          </w:tcPr>
          <w:p w:rsidR="00E260CF" w:rsidRPr="005B7A05" w:rsidP="00533052" w14:paraId="4329E4AC" w14:textId="77777777">
            <w:pPr>
              <w:jc w:val="center"/>
              <w:rPr>
                <w:rFonts w:eastAsia="Arial Narrow" w:cstheme="minorHAnsi"/>
                <w:color w:val="FFFFFF" w:themeColor="background1"/>
              </w:rPr>
            </w:pPr>
          </w:p>
        </w:tc>
        <w:tc>
          <w:tcPr>
            <w:tcW w:w="1050" w:type="dxa"/>
            <w:tcBorders>
              <w:top w:val="single" w:sz="6" w:space="0" w:color="auto"/>
              <w:left w:val="single" w:sz="6" w:space="0" w:color="auto"/>
              <w:bottom w:val="single" w:sz="6" w:space="0" w:color="auto"/>
              <w:right w:val="single" w:sz="6" w:space="0" w:color="auto"/>
            </w:tcBorders>
            <w:shd w:val="clear" w:color="auto" w:fill="000000" w:themeFill="text1"/>
          </w:tcPr>
          <w:p w:rsidR="00E260CF" w:rsidRPr="005B7A05" w:rsidP="00533052" w14:paraId="393666B0" w14:textId="0FF580E2">
            <w:pPr>
              <w:jc w:val="center"/>
              <w:rPr>
                <w:rFonts w:eastAsia="Arial Narrow" w:cstheme="minorHAnsi"/>
                <w:color w:val="FFFFFF" w:themeColor="background1"/>
              </w:rPr>
            </w:pPr>
            <w:r w:rsidRPr="005B7A05">
              <w:rPr>
                <w:rFonts w:eastAsia="Arial Narrow" w:cstheme="minorHAnsi"/>
                <w:color w:val="FFFFFF" w:themeColor="background1"/>
              </w:rPr>
              <w:t>2333</w:t>
            </w:r>
          </w:p>
        </w:tc>
      </w:tr>
    </w:tbl>
    <w:p w:rsidR="00613035" w:rsidP="53C8BC27" w14:paraId="047B076C" w14:textId="77777777">
      <w:pPr>
        <w:keepNext/>
        <w:spacing w:before="115" w:after="0" w:line="240" w:lineRule="auto"/>
        <w:ind w:left="1166" w:hanging="1166"/>
        <w:rPr>
          <w:rFonts w:eastAsia="Times New Roman" w:cstheme="minorHAnsi"/>
          <w:b/>
          <w:bCs/>
          <w:sz w:val="24"/>
          <w:szCs w:val="24"/>
        </w:rPr>
      </w:pPr>
    </w:p>
    <w:p w:rsidR="00BB08F5" w:rsidRPr="005B7A05" w:rsidP="53C8BC27" w14:paraId="30E2F3DF" w14:textId="5DDC3B3A">
      <w:pPr>
        <w:keepNext/>
        <w:spacing w:before="115" w:after="0" w:line="240" w:lineRule="auto"/>
        <w:ind w:left="1166" w:hanging="1166"/>
        <w:rPr>
          <w:rFonts w:eastAsia="Times New Roman" w:cstheme="minorHAnsi"/>
          <w:i/>
          <w:iCs/>
          <w:sz w:val="24"/>
          <w:szCs w:val="24"/>
        </w:rPr>
      </w:pPr>
      <w:r w:rsidRPr="005B7A05">
        <w:rPr>
          <w:rFonts w:eastAsia="Times New Roman" w:cstheme="minorHAnsi"/>
          <w:b/>
          <w:bCs/>
          <w:i/>
          <w:iCs/>
          <w:sz w:val="24"/>
          <w:szCs w:val="24"/>
        </w:rPr>
        <w:t xml:space="preserve">(b) </w:t>
      </w:r>
      <w:r w:rsidRPr="005B7A05" w:rsidR="17D80C04">
        <w:rPr>
          <w:rFonts w:eastAsia="Times New Roman" w:cstheme="minorHAnsi"/>
          <w:b/>
          <w:bCs/>
          <w:i/>
          <w:iCs/>
          <w:sz w:val="24"/>
          <w:szCs w:val="24"/>
        </w:rPr>
        <w:t>Annualized Cost to Respondents</w:t>
      </w:r>
    </w:p>
    <w:p w:rsidR="581269D1" w:rsidRPr="00F77C61" w:rsidP="00432A41" w14:paraId="686F933E" w14:textId="2077E996">
      <w:r w:rsidRPr="00F77C61">
        <w:t xml:space="preserve">As noted above, </w:t>
      </w:r>
      <w:r w:rsidR="0088695E">
        <w:t>JPA/EDC</w:t>
      </w:r>
      <w:r w:rsidRPr="00F77C61">
        <w:t xml:space="preserve"> will </w:t>
      </w:r>
      <w:r w:rsidR="0088695E">
        <w:t xml:space="preserve">work with partner organizations to </w:t>
      </w:r>
      <w:r w:rsidRPr="00F77C61">
        <w:t xml:space="preserve">invite </w:t>
      </w:r>
      <w:r w:rsidR="007A1492">
        <w:t>hospital leaders and healthcare workers t</w:t>
      </w:r>
      <w:r w:rsidRPr="00F77C61">
        <w:t>o participat</w:t>
      </w:r>
      <w:r w:rsidR="007A1492">
        <w:t>e</w:t>
      </w:r>
      <w:r w:rsidRPr="00F77C61">
        <w:t xml:space="preserve">. </w:t>
      </w:r>
      <w:r w:rsidR="009E3DBB">
        <w:t xml:space="preserve">The healthcare worker audience include patient-facing staff </w:t>
      </w:r>
      <w:r w:rsidRPr="00F77C61">
        <w:t xml:space="preserve">in specific occupation groups. To calculate an hourly wage for hospital </w:t>
      </w:r>
      <w:r w:rsidR="00755396">
        <w:t>healthcare worker</w:t>
      </w:r>
      <w:r w:rsidRPr="00F77C61">
        <w:t xml:space="preserve">s </w:t>
      </w:r>
      <w:r w:rsidR="00822E24">
        <w:t>JPA/EDC</w:t>
      </w:r>
      <w:r w:rsidRPr="00F77C61">
        <w:t xml:space="preserve"> used a weighted average based on the following assumptions (e.g., when considering these 9 occupation groups only, registered nurses comprise 60% of the hospital workforce):</w:t>
      </w:r>
    </w:p>
    <w:tbl>
      <w:tblPr>
        <w:tblStyle w:val="TableGrid"/>
        <w:tblW w:w="9360" w:type="dxa"/>
        <w:tblLayout w:type="fixed"/>
        <w:tblLook w:val="04A0"/>
      </w:tblPr>
      <w:tblGrid>
        <w:gridCol w:w="2340"/>
        <w:gridCol w:w="2340"/>
        <w:gridCol w:w="2340"/>
        <w:gridCol w:w="2340"/>
      </w:tblGrid>
      <w:tr w14:paraId="6948C013" w14:textId="77777777" w:rsidTr="00A24086">
        <w:tblPrEx>
          <w:tblW w:w="9360" w:type="dxa"/>
          <w:tblLayout w:type="fixed"/>
          <w:tblLook w:val="04A0"/>
        </w:tblPrEx>
        <w:trPr>
          <w:trHeight w:val="240"/>
          <w:tblHeader/>
        </w:trPr>
        <w:tc>
          <w:tcPr>
            <w:tcW w:w="234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581269D1" w:rsidRPr="00F77C61" w:rsidP="17D80C04" w14:paraId="0200AF5F" w14:textId="023E38BE">
            <w:pPr>
              <w:rPr>
                <w:rFonts w:eastAsia="Arial" w:cstheme="minorHAnsi"/>
                <w:b/>
                <w:bCs/>
                <w:sz w:val="20"/>
                <w:szCs w:val="20"/>
              </w:rPr>
            </w:pPr>
            <w:r w:rsidRPr="00F77C61">
              <w:rPr>
                <w:rFonts w:eastAsia="Arial" w:cstheme="minorHAnsi"/>
                <w:b/>
                <w:bCs/>
                <w:sz w:val="20"/>
                <w:szCs w:val="20"/>
              </w:rPr>
              <w:t>Occupation</w:t>
            </w:r>
          </w:p>
        </w:tc>
        <w:tc>
          <w:tcPr>
            <w:tcW w:w="234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581269D1" w:rsidRPr="00F77C61" w:rsidP="17D80C04" w14:paraId="2B31527D" w14:textId="66ACC8AF">
            <w:pPr>
              <w:rPr>
                <w:rFonts w:eastAsia="Arial" w:cstheme="minorHAnsi"/>
                <w:b/>
                <w:bCs/>
                <w:sz w:val="20"/>
                <w:szCs w:val="20"/>
              </w:rPr>
            </w:pPr>
            <w:r w:rsidRPr="00F77C61">
              <w:rPr>
                <w:rFonts w:eastAsia="Arial" w:cstheme="minorHAnsi"/>
                <w:b/>
                <w:bCs/>
                <w:sz w:val="20"/>
                <w:szCs w:val="20"/>
              </w:rPr>
              <w:t>Hourly Rate</w:t>
            </w:r>
          </w:p>
        </w:tc>
        <w:tc>
          <w:tcPr>
            <w:tcW w:w="234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581269D1" w:rsidRPr="00F77C61" w:rsidP="17D80C04" w14:paraId="1DD7F480" w14:textId="7FB2954D">
            <w:pPr>
              <w:rPr>
                <w:rFonts w:eastAsia="Arial" w:cstheme="minorHAnsi"/>
                <w:b/>
                <w:bCs/>
                <w:sz w:val="20"/>
                <w:szCs w:val="20"/>
              </w:rPr>
            </w:pPr>
            <w:r w:rsidRPr="00F77C61">
              <w:rPr>
                <w:rFonts w:eastAsia="Arial" w:cstheme="minorHAnsi"/>
                <w:b/>
                <w:bCs/>
                <w:sz w:val="20"/>
                <w:szCs w:val="20"/>
              </w:rPr>
              <w:t>Weight</w:t>
            </w:r>
          </w:p>
        </w:tc>
        <w:tc>
          <w:tcPr>
            <w:tcW w:w="234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581269D1" w:rsidRPr="00F77C61" w:rsidP="17D80C04" w14:paraId="220B096A" w14:textId="6BE3007E">
            <w:pPr>
              <w:rPr>
                <w:rFonts w:eastAsia="Arial" w:cstheme="minorHAnsi"/>
                <w:b/>
                <w:bCs/>
                <w:sz w:val="20"/>
                <w:szCs w:val="20"/>
              </w:rPr>
            </w:pPr>
            <w:r w:rsidRPr="00F77C61">
              <w:rPr>
                <w:rFonts w:eastAsia="Arial" w:cstheme="minorHAnsi"/>
                <w:b/>
                <w:bCs/>
                <w:sz w:val="20"/>
                <w:szCs w:val="20"/>
              </w:rPr>
              <w:t>Total</w:t>
            </w:r>
          </w:p>
        </w:tc>
      </w:tr>
      <w:tr w14:paraId="773156CE" w14:textId="77777777" w:rsidTr="002C0102">
        <w:tblPrEx>
          <w:tblW w:w="9360" w:type="dxa"/>
          <w:tblLayout w:type="fixed"/>
          <w:tblLook w:val="04A0"/>
        </w:tblPrEx>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23F7F032" w14:textId="1C4959CB">
            <w:pPr>
              <w:rPr>
                <w:rFonts w:eastAsia="Arial" w:cstheme="minorHAnsi"/>
                <w:sz w:val="20"/>
                <w:szCs w:val="20"/>
              </w:rPr>
            </w:pPr>
            <w:r w:rsidRPr="00F77C61">
              <w:rPr>
                <w:rFonts w:eastAsia="Arial" w:cstheme="minorHAnsi"/>
                <w:sz w:val="20"/>
                <w:szCs w:val="20"/>
              </w:rPr>
              <w:t>Registered Nurse</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515E9593" w14:textId="51779FF7">
            <w:pPr>
              <w:rPr>
                <w:rFonts w:eastAsia="Arial" w:cstheme="minorHAnsi"/>
                <w:sz w:val="20"/>
                <w:szCs w:val="20"/>
              </w:rPr>
            </w:pPr>
            <w:r w:rsidRPr="00F77C61">
              <w:rPr>
                <w:rFonts w:eastAsia="Arial" w:cstheme="minorHAnsi"/>
                <w:sz w:val="20"/>
                <w:szCs w:val="20"/>
              </w:rPr>
              <w:t>37.31</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0C220E9D" w14:textId="19EDB491">
            <w:pPr>
              <w:rPr>
                <w:rFonts w:eastAsia="Arial" w:cstheme="minorHAnsi"/>
                <w:sz w:val="20"/>
                <w:szCs w:val="20"/>
              </w:rPr>
            </w:pPr>
            <w:r w:rsidRPr="00F77C61">
              <w:rPr>
                <w:rFonts w:eastAsia="Arial" w:cstheme="minorHAnsi"/>
                <w:sz w:val="20"/>
                <w:szCs w:val="20"/>
              </w:rPr>
              <w:t>0.600</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35AB86EA" w14:textId="2360719A">
            <w:pPr>
              <w:rPr>
                <w:rFonts w:eastAsia="Arial" w:cstheme="minorHAnsi"/>
                <w:sz w:val="20"/>
                <w:szCs w:val="20"/>
              </w:rPr>
            </w:pPr>
            <w:r w:rsidRPr="00F77C61">
              <w:rPr>
                <w:rFonts w:eastAsia="Arial" w:cstheme="minorHAnsi"/>
                <w:sz w:val="20"/>
                <w:szCs w:val="20"/>
              </w:rPr>
              <w:t>22.39</w:t>
            </w:r>
          </w:p>
        </w:tc>
      </w:tr>
      <w:tr w14:paraId="3AE9E549" w14:textId="77777777" w:rsidTr="002C0102">
        <w:tblPrEx>
          <w:tblW w:w="9360" w:type="dxa"/>
          <w:tblLayout w:type="fixed"/>
          <w:tblLook w:val="04A0"/>
        </w:tblPrEx>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70C6B045" w14:textId="20D489DA">
            <w:pPr>
              <w:rPr>
                <w:rFonts w:eastAsia="Arial" w:cstheme="minorHAnsi"/>
                <w:sz w:val="20"/>
                <w:szCs w:val="20"/>
              </w:rPr>
            </w:pPr>
            <w:r w:rsidRPr="00F77C61">
              <w:rPr>
                <w:rFonts w:eastAsia="Arial" w:cstheme="minorHAnsi"/>
                <w:sz w:val="20"/>
                <w:szCs w:val="20"/>
              </w:rPr>
              <w:t>LPNs</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61EC0790" w14:textId="5A5E47E2">
            <w:pPr>
              <w:rPr>
                <w:rFonts w:eastAsia="Arial" w:cstheme="minorHAnsi"/>
                <w:sz w:val="20"/>
                <w:szCs w:val="20"/>
              </w:rPr>
            </w:pPr>
            <w:r w:rsidRPr="00F77C61">
              <w:rPr>
                <w:rFonts w:eastAsia="Arial" w:cstheme="minorHAnsi"/>
                <w:sz w:val="20"/>
                <w:szCs w:val="20"/>
              </w:rPr>
              <w:t>23.11</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6CFA90A6" w14:textId="4E38D30E">
            <w:pPr>
              <w:rPr>
                <w:rFonts w:eastAsia="Arial" w:cstheme="minorHAnsi"/>
                <w:sz w:val="20"/>
                <w:szCs w:val="20"/>
              </w:rPr>
            </w:pPr>
            <w:r w:rsidRPr="00F77C61">
              <w:rPr>
                <w:rFonts w:eastAsia="Arial" w:cstheme="minorHAnsi"/>
                <w:sz w:val="20"/>
                <w:szCs w:val="20"/>
              </w:rPr>
              <w:t>0.025</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00D851CA" w14:textId="1A405E20">
            <w:pPr>
              <w:rPr>
                <w:rFonts w:eastAsia="Arial" w:cstheme="minorHAnsi"/>
                <w:sz w:val="20"/>
                <w:szCs w:val="20"/>
              </w:rPr>
            </w:pPr>
            <w:r w:rsidRPr="00F77C61">
              <w:rPr>
                <w:rFonts w:eastAsia="Arial" w:cstheme="minorHAnsi"/>
                <w:sz w:val="20"/>
                <w:szCs w:val="20"/>
              </w:rPr>
              <w:t>0.58</w:t>
            </w:r>
          </w:p>
        </w:tc>
      </w:tr>
      <w:tr w14:paraId="2663E2D8" w14:textId="77777777" w:rsidTr="002C0102">
        <w:tblPrEx>
          <w:tblW w:w="9360" w:type="dxa"/>
          <w:tblLayout w:type="fixed"/>
          <w:tblLook w:val="04A0"/>
        </w:tblPrEx>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132C9B39" w14:textId="167B6854">
            <w:pPr>
              <w:rPr>
                <w:rFonts w:eastAsia="Arial" w:cstheme="minorHAnsi"/>
                <w:sz w:val="20"/>
                <w:szCs w:val="20"/>
              </w:rPr>
            </w:pPr>
            <w:r w:rsidRPr="00F77C61">
              <w:rPr>
                <w:rFonts w:eastAsia="Arial" w:cstheme="minorHAnsi"/>
                <w:sz w:val="20"/>
                <w:szCs w:val="20"/>
              </w:rPr>
              <w:t>Nurse Practitioner</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0182D90C" w14:textId="78204061">
            <w:pPr>
              <w:rPr>
                <w:rFonts w:eastAsia="Arial" w:cstheme="minorHAnsi"/>
                <w:sz w:val="20"/>
                <w:szCs w:val="20"/>
              </w:rPr>
            </w:pPr>
            <w:r w:rsidRPr="00F77C61">
              <w:rPr>
                <w:rFonts w:eastAsia="Arial" w:cstheme="minorHAnsi"/>
                <w:sz w:val="20"/>
                <w:szCs w:val="20"/>
              </w:rPr>
              <w:t>59.51</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5F9E48E4" w14:textId="41722F8C">
            <w:pPr>
              <w:rPr>
                <w:rFonts w:eastAsia="Arial" w:cstheme="minorHAnsi"/>
                <w:sz w:val="20"/>
                <w:szCs w:val="20"/>
              </w:rPr>
            </w:pPr>
            <w:r w:rsidRPr="00F77C61">
              <w:rPr>
                <w:rFonts w:eastAsia="Arial" w:cstheme="minorHAnsi"/>
                <w:sz w:val="20"/>
                <w:szCs w:val="20"/>
              </w:rPr>
              <w:t>0.020</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194939C0" w14:textId="60A1B2E6">
            <w:pPr>
              <w:rPr>
                <w:rFonts w:eastAsia="Arial" w:cstheme="minorHAnsi"/>
                <w:sz w:val="20"/>
                <w:szCs w:val="20"/>
              </w:rPr>
            </w:pPr>
            <w:r w:rsidRPr="00F77C61">
              <w:rPr>
                <w:rFonts w:eastAsia="Arial" w:cstheme="minorHAnsi"/>
                <w:sz w:val="20"/>
                <w:szCs w:val="20"/>
              </w:rPr>
              <w:t>1.19</w:t>
            </w:r>
          </w:p>
        </w:tc>
      </w:tr>
      <w:tr w14:paraId="02EF0A3D" w14:textId="77777777" w:rsidTr="002C0102">
        <w:tblPrEx>
          <w:tblW w:w="9360" w:type="dxa"/>
          <w:tblLayout w:type="fixed"/>
          <w:tblLook w:val="04A0"/>
        </w:tblPrEx>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4A02B2D0" w14:textId="5AB0416B">
            <w:pPr>
              <w:rPr>
                <w:rFonts w:eastAsia="Arial" w:cstheme="minorHAnsi"/>
                <w:sz w:val="20"/>
                <w:szCs w:val="20"/>
              </w:rPr>
            </w:pPr>
            <w:r w:rsidRPr="00F77C61">
              <w:rPr>
                <w:rFonts w:eastAsia="Arial" w:cstheme="minorHAnsi"/>
                <w:sz w:val="20"/>
                <w:szCs w:val="20"/>
              </w:rPr>
              <w:t>Physician</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70E9E3A9" w14:textId="5EAFDE69">
            <w:pPr>
              <w:rPr>
                <w:rFonts w:eastAsia="Arial" w:cstheme="minorHAnsi"/>
                <w:sz w:val="20"/>
                <w:szCs w:val="20"/>
              </w:rPr>
            </w:pPr>
            <w:r w:rsidRPr="00F77C61">
              <w:rPr>
                <w:rFonts w:eastAsia="Arial" w:cstheme="minorHAnsi"/>
                <w:sz w:val="20"/>
                <w:szCs w:val="20"/>
              </w:rPr>
              <w:t>100.00</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5CCCC4C2" w14:textId="1480004F">
            <w:pPr>
              <w:rPr>
                <w:rFonts w:eastAsia="Arial" w:cstheme="minorHAnsi"/>
                <w:sz w:val="20"/>
                <w:szCs w:val="20"/>
              </w:rPr>
            </w:pPr>
            <w:r w:rsidRPr="00F77C61">
              <w:rPr>
                <w:rFonts w:eastAsia="Arial" w:cstheme="minorHAnsi"/>
                <w:sz w:val="20"/>
                <w:szCs w:val="20"/>
              </w:rPr>
              <w:t>0.030</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6D865E1A" w14:textId="2003E0C5">
            <w:pPr>
              <w:rPr>
                <w:rFonts w:eastAsia="Arial" w:cstheme="minorHAnsi"/>
                <w:sz w:val="20"/>
                <w:szCs w:val="20"/>
              </w:rPr>
            </w:pPr>
            <w:r w:rsidRPr="00F77C61">
              <w:rPr>
                <w:rFonts w:eastAsia="Arial" w:cstheme="minorHAnsi"/>
                <w:sz w:val="20"/>
                <w:szCs w:val="20"/>
              </w:rPr>
              <w:t>3.00</w:t>
            </w:r>
          </w:p>
        </w:tc>
      </w:tr>
      <w:tr w14:paraId="50D6C4E9" w14:textId="77777777" w:rsidTr="002C0102">
        <w:tblPrEx>
          <w:tblW w:w="9360" w:type="dxa"/>
          <w:tblLayout w:type="fixed"/>
          <w:tblLook w:val="04A0"/>
        </w:tblPrEx>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21F5C366" w14:textId="6AED1FB8">
            <w:pPr>
              <w:rPr>
                <w:rFonts w:eastAsia="Arial" w:cstheme="minorHAnsi"/>
                <w:sz w:val="20"/>
                <w:szCs w:val="20"/>
              </w:rPr>
            </w:pPr>
            <w:r w:rsidRPr="00F77C61">
              <w:rPr>
                <w:rFonts w:eastAsia="Arial" w:cstheme="minorHAnsi"/>
                <w:sz w:val="20"/>
                <w:szCs w:val="20"/>
              </w:rPr>
              <w:t>Phlebotomist</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61B87417" w14:textId="1BB8E341">
            <w:pPr>
              <w:rPr>
                <w:rFonts w:eastAsia="Arial" w:cstheme="minorHAnsi"/>
                <w:sz w:val="20"/>
                <w:szCs w:val="20"/>
              </w:rPr>
            </w:pPr>
            <w:r w:rsidRPr="00F77C61">
              <w:rPr>
                <w:rFonts w:eastAsia="Arial" w:cstheme="minorHAnsi"/>
                <w:sz w:val="20"/>
                <w:szCs w:val="20"/>
              </w:rPr>
              <w:t>17.97</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48B6E726" w14:textId="2E1A73D4">
            <w:pPr>
              <w:rPr>
                <w:rFonts w:eastAsia="Arial" w:cstheme="minorHAnsi"/>
                <w:sz w:val="20"/>
                <w:szCs w:val="20"/>
              </w:rPr>
            </w:pPr>
            <w:r w:rsidRPr="00F77C61">
              <w:rPr>
                <w:rFonts w:eastAsia="Arial" w:cstheme="minorHAnsi"/>
                <w:sz w:val="20"/>
                <w:szCs w:val="20"/>
              </w:rPr>
              <w:t>0.010</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131FFB5B" w14:textId="689F3D13">
            <w:pPr>
              <w:rPr>
                <w:rFonts w:eastAsia="Arial" w:cstheme="minorHAnsi"/>
                <w:sz w:val="20"/>
                <w:szCs w:val="20"/>
              </w:rPr>
            </w:pPr>
            <w:r w:rsidRPr="00F77C61">
              <w:rPr>
                <w:rFonts w:eastAsia="Arial" w:cstheme="minorHAnsi"/>
                <w:sz w:val="20"/>
                <w:szCs w:val="20"/>
              </w:rPr>
              <w:t>0.18</w:t>
            </w:r>
          </w:p>
        </w:tc>
      </w:tr>
      <w:tr w14:paraId="300D35C5" w14:textId="77777777" w:rsidTr="002C0102">
        <w:tblPrEx>
          <w:tblW w:w="9360" w:type="dxa"/>
          <w:tblLayout w:type="fixed"/>
          <w:tblLook w:val="04A0"/>
        </w:tblPrEx>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0A481145" w14:textId="70467219">
            <w:pPr>
              <w:rPr>
                <w:rFonts w:eastAsia="Arial" w:cstheme="minorHAnsi"/>
                <w:sz w:val="20"/>
                <w:szCs w:val="20"/>
              </w:rPr>
            </w:pPr>
            <w:r w:rsidRPr="00F77C61">
              <w:rPr>
                <w:rFonts w:eastAsia="Arial" w:cstheme="minorHAnsi"/>
                <w:sz w:val="20"/>
                <w:szCs w:val="20"/>
              </w:rPr>
              <w:t>Pharmacists</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489FC401" w14:textId="21284216">
            <w:pPr>
              <w:rPr>
                <w:rFonts w:eastAsia="Arial" w:cstheme="minorHAnsi"/>
                <w:sz w:val="20"/>
                <w:szCs w:val="20"/>
              </w:rPr>
            </w:pPr>
            <w:r w:rsidRPr="00F77C61">
              <w:rPr>
                <w:rFonts w:eastAsia="Arial" w:cstheme="minorHAnsi"/>
                <w:sz w:val="20"/>
                <w:szCs w:val="20"/>
              </w:rPr>
              <w:t>61.81</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313CB66D" w14:textId="63A3773D">
            <w:pPr>
              <w:rPr>
                <w:rFonts w:eastAsia="Arial" w:cstheme="minorHAnsi"/>
                <w:sz w:val="20"/>
                <w:szCs w:val="20"/>
              </w:rPr>
            </w:pPr>
            <w:r w:rsidRPr="00F77C61">
              <w:rPr>
                <w:rFonts w:eastAsia="Arial" w:cstheme="minorHAnsi"/>
                <w:sz w:val="20"/>
                <w:szCs w:val="20"/>
              </w:rPr>
              <w:t>0.030</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1137D80D" w14:textId="79DC44AA">
            <w:pPr>
              <w:rPr>
                <w:rFonts w:eastAsia="Arial" w:cstheme="minorHAnsi"/>
                <w:sz w:val="20"/>
                <w:szCs w:val="20"/>
              </w:rPr>
            </w:pPr>
            <w:r w:rsidRPr="00F77C61">
              <w:rPr>
                <w:rFonts w:eastAsia="Arial" w:cstheme="minorHAnsi"/>
                <w:sz w:val="20"/>
                <w:szCs w:val="20"/>
              </w:rPr>
              <w:t>1.85</w:t>
            </w:r>
          </w:p>
        </w:tc>
      </w:tr>
      <w:tr w14:paraId="134BF8E7" w14:textId="77777777" w:rsidTr="002C0102">
        <w:tblPrEx>
          <w:tblW w:w="9360" w:type="dxa"/>
          <w:tblLayout w:type="fixed"/>
          <w:tblLook w:val="04A0"/>
        </w:tblPrEx>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7369C226" w14:textId="1E766E3E">
            <w:pPr>
              <w:rPr>
                <w:rFonts w:eastAsia="Arial" w:cstheme="minorHAnsi"/>
                <w:sz w:val="20"/>
                <w:szCs w:val="20"/>
              </w:rPr>
            </w:pPr>
            <w:r w:rsidRPr="00F77C61">
              <w:rPr>
                <w:rFonts w:eastAsia="Arial" w:cstheme="minorHAnsi"/>
                <w:sz w:val="20"/>
                <w:szCs w:val="20"/>
              </w:rPr>
              <w:t>Patient Care Tech</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2364E48F" w14:textId="6B8A60E1">
            <w:pPr>
              <w:rPr>
                <w:rFonts w:eastAsia="Arial" w:cstheme="minorHAnsi"/>
                <w:sz w:val="20"/>
                <w:szCs w:val="20"/>
              </w:rPr>
            </w:pPr>
            <w:r w:rsidRPr="00F77C61">
              <w:rPr>
                <w:rFonts w:eastAsia="Arial" w:cstheme="minorHAnsi"/>
                <w:sz w:val="20"/>
                <w:szCs w:val="20"/>
              </w:rPr>
              <w:t>29.80</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6CF5E27B" w14:textId="08528BEE">
            <w:pPr>
              <w:rPr>
                <w:rFonts w:eastAsia="Arial" w:cstheme="minorHAnsi"/>
                <w:sz w:val="20"/>
                <w:szCs w:val="20"/>
              </w:rPr>
            </w:pPr>
            <w:r w:rsidRPr="00F77C61">
              <w:rPr>
                <w:rFonts w:eastAsia="Arial" w:cstheme="minorHAnsi"/>
                <w:sz w:val="20"/>
                <w:szCs w:val="20"/>
              </w:rPr>
              <w:t>0.190</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2FCEE31C" w14:textId="22DCA08A">
            <w:pPr>
              <w:rPr>
                <w:rFonts w:eastAsia="Arial" w:cstheme="minorHAnsi"/>
                <w:sz w:val="20"/>
                <w:szCs w:val="20"/>
              </w:rPr>
            </w:pPr>
            <w:r w:rsidRPr="00F77C61">
              <w:rPr>
                <w:rFonts w:eastAsia="Arial" w:cstheme="minorHAnsi"/>
                <w:sz w:val="20"/>
                <w:szCs w:val="20"/>
              </w:rPr>
              <w:t>5.67</w:t>
            </w:r>
          </w:p>
        </w:tc>
      </w:tr>
      <w:tr w14:paraId="2884E918" w14:textId="77777777" w:rsidTr="002C0102">
        <w:tblPrEx>
          <w:tblW w:w="9360" w:type="dxa"/>
          <w:tblLayout w:type="fixed"/>
          <w:tblLook w:val="04A0"/>
        </w:tblPrEx>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2F827BC3" w14:textId="1D66D44B">
            <w:pPr>
              <w:rPr>
                <w:rFonts w:eastAsia="Arial" w:cstheme="minorHAnsi"/>
                <w:sz w:val="20"/>
                <w:szCs w:val="20"/>
              </w:rPr>
            </w:pPr>
            <w:r w:rsidRPr="00F77C61">
              <w:rPr>
                <w:rFonts w:eastAsia="Arial" w:cstheme="minorHAnsi"/>
                <w:sz w:val="20"/>
                <w:szCs w:val="20"/>
              </w:rPr>
              <w:t>Therapist</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075054D0" w14:textId="00DF1F03">
            <w:pPr>
              <w:rPr>
                <w:rFonts w:eastAsia="Arial" w:cstheme="minorHAnsi"/>
                <w:sz w:val="20"/>
                <w:szCs w:val="20"/>
              </w:rPr>
            </w:pPr>
            <w:r w:rsidRPr="00F77C61">
              <w:rPr>
                <w:rFonts w:eastAsia="Arial" w:cstheme="minorHAnsi"/>
                <w:sz w:val="20"/>
                <w:szCs w:val="20"/>
              </w:rPr>
              <w:t>45.97</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54DEF261" w14:textId="3E893312">
            <w:pPr>
              <w:rPr>
                <w:rFonts w:eastAsia="Arial" w:cstheme="minorHAnsi"/>
                <w:sz w:val="20"/>
                <w:szCs w:val="20"/>
              </w:rPr>
            </w:pPr>
            <w:r w:rsidRPr="00F77C61">
              <w:rPr>
                <w:rFonts w:eastAsia="Arial" w:cstheme="minorHAnsi"/>
                <w:sz w:val="20"/>
                <w:szCs w:val="20"/>
              </w:rPr>
              <w:t>0.085</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7EEC7468" w14:textId="4DA5EA0C">
            <w:pPr>
              <w:rPr>
                <w:rFonts w:eastAsia="Arial" w:cstheme="minorHAnsi"/>
                <w:sz w:val="20"/>
                <w:szCs w:val="20"/>
              </w:rPr>
            </w:pPr>
            <w:r w:rsidRPr="00F77C61">
              <w:rPr>
                <w:rFonts w:eastAsia="Arial" w:cstheme="minorHAnsi"/>
                <w:sz w:val="20"/>
                <w:szCs w:val="20"/>
              </w:rPr>
              <w:t>3.91</w:t>
            </w:r>
          </w:p>
        </w:tc>
      </w:tr>
      <w:tr w14:paraId="18E4FA47" w14:textId="77777777" w:rsidTr="002C0102">
        <w:tblPrEx>
          <w:tblW w:w="9360" w:type="dxa"/>
          <w:tblLayout w:type="fixed"/>
          <w:tblLook w:val="04A0"/>
        </w:tblPrEx>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005FF797" w14:textId="4CAF6F30">
            <w:pPr>
              <w:rPr>
                <w:rFonts w:eastAsia="Arial" w:cstheme="minorHAnsi"/>
                <w:sz w:val="20"/>
                <w:szCs w:val="20"/>
              </w:rPr>
            </w:pPr>
            <w:r w:rsidRPr="00F77C61">
              <w:rPr>
                <w:rFonts w:eastAsia="Arial" w:cstheme="minorHAnsi"/>
                <w:sz w:val="20"/>
                <w:szCs w:val="20"/>
              </w:rPr>
              <w:t>Physician Assistant</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5A836AB5" w14:textId="46FF53BD">
            <w:pPr>
              <w:rPr>
                <w:rFonts w:eastAsia="Arial" w:cstheme="minorHAnsi"/>
                <w:sz w:val="20"/>
                <w:szCs w:val="20"/>
              </w:rPr>
            </w:pPr>
            <w:r w:rsidRPr="00F77C61">
              <w:rPr>
                <w:rFonts w:eastAsia="Arial" w:cstheme="minorHAnsi"/>
                <w:sz w:val="20"/>
                <w:szCs w:val="20"/>
              </w:rPr>
              <w:t>58.43</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1DEAC559" w14:textId="6FE96AAD">
            <w:pPr>
              <w:rPr>
                <w:rFonts w:eastAsia="Arial" w:cstheme="minorHAnsi"/>
                <w:sz w:val="20"/>
                <w:szCs w:val="20"/>
              </w:rPr>
            </w:pPr>
            <w:r w:rsidRPr="00F77C61">
              <w:rPr>
                <w:rFonts w:eastAsia="Arial" w:cstheme="minorHAnsi"/>
                <w:sz w:val="20"/>
                <w:szCs w:val="20"/>
              </w:rPr>
              <w:t>0.010</w:t>
            </w:r>
          </w:p>
        </w:tc>
        <w:tc>
          <w:tcPr>
            <w:tcW w:w="2340" w:type="dxa"/>
            <w:tcBorders>
              <w:top w:val="single" w:sz="8" w:space="0" w:color="auto"/>
              <w:left w:val="single" w:sz="8" w:space="0" w:color="auto"/>
              <w:bottom w:val="single" w:sz="8" w:space="0" w:color="auto"/>
              <w:right w:val="single" w:sz="8" w:space="0" w:color="auto"/>
            </w:tcBorders>
          </w:tcPr>
          <w:p w:rsidR="581269D1" w:rsidRPr="00F77C61" w:rsidP="17D80C04" w14:paraId="5922762F" w14:textId="2E3E801E">
            <w:pPr>
              <w:rPr>
                <w:rFonts w:eastAsia="Arial" w:cstheme="minorHAnsi"/>
                <w:sz w:val="20"/>
                <w:szCs w:val="20"/>
              </w:rPr>
            </w:pPr>
            <w:r w:rsidRPr="00F77C61">
              <w:rPr>
                <w:rFonts w:eastAsia="Arial" w:cstheme="minorHAnsi"/>
                <w:sz w:val="20"/>
                <w:szCs w:val="20"/>
              </w:rPr>
              <w:t>0.58</w:t>
            </w:r>
          </w:p>
        </w:tc>
      </w:tr>
      <w:tr w14:paraId="3E014E1D" w14:textId="77777777" w:rsidTr="002C0102">
        <w:tblPrEx>
          <w:tblW w:w="9360" w:type="dxa"/>
          <w:tblLayout w:type="fixed"/>
          <w:tblLook w:val="04A0"/>
        </w:tblPrEx>
        <w:tc>
          <w:tcPr>
            <w:tcW w:w="2340" w:type="dxa"/>
            <w:tcBorders>
              <w:top w:val="single" w:sz="8" w:space="0" w:color="auto"/>
              <w:left w:val="single" w:sz="8" w:space="0" w:color="auto"/>
              <w:bottom w:val="single" w:sz="8" w:space="0" w:color="auto"/>
              <w:right w:val="single" w:sz="8" w:space="0" w:color="auto"/>
            </w:tcBorders>
            <w:shd w:val="clear" w:color="auto" w:fill="000000" w:themeFill="text1"/>
          </w:tcPr>
          <w:p w:rsidR="581269D1" w:rsidRPr="00F77C61" w:rsidP="17D80C04" w14:paraId="60FFC3AB" w14:textId="01AF2DB2">
            <w:pPr>
              <w:rPr>
                <w:rFonts w:eastAsia="Arial" w:cstheme="minorHAnsi"/>
                <w:b/>
                <w:bCs/>
                <w:sz w:val="20"/>
                <w:szCs w:val="20"/>
              </w:rPr>
            </w:pPr>
            <w:r w:rsidRPr="00F77C61">
              <w:rPr>
                <w:rFonts w:eastAsia="Arial" w:cstheme="minorHAnsi"/>
                <w:b/>
                <w:bCs/>
                <w:sz w:val="20"/>
                <w:szCs w:val="20"/>
              </w:rPr>
              <w:t>TOTAL</w:t>
            </w:r>
          </w:p>
        </w:tc>
        <w:tc>
          <w:tcPr>
            <w:tcW w:w="2340" w:type="dxa"/>
            <w:tcBorders>
              <w:top w:val="single" w:sz="8" w:space="0" w:color="auto"/>
              <w:left w:val="single" w:sz="8" w:space="0" w:color="auto"/>
              <w:bottom w:val="single" w:sz="8" w:space="0" w:color="auto"/>
              <w:right w:val="single" w:sz="8" w:space="0" w:color="auto"/>
            </w:tcBorders>
            <w:shd w:val="clear" w:color="auto" w:fill="000000" w:themeFill="text1"/>
          </w:tcPr>
          <w:p w:rsidR="581269D1" w:rsidRPr="00F77C61" w:rsidP="17D80C04" w14:paraId="533E7BCE" w14:textId="058F2467">
            <w:pPr>
              <w:rPr>
                <w:rFonts w:eastAsia="Arial" w:cstheme="minorHAnsi"/>
                <w:sz w:val="20"/>
                <w:szCs w:val="20"/>
              </w:rPr>
            </w:pPr>
            <w:r w:rsidRPr="00F77C61">
              <w:rPr>
                <w:rFonts w:eastAsia="Arial" w:cstheme="minorHAnsi"/>
                <w:sz w:val="20"/>
                <w:szCs w:val="20"/>
              </w:rPr>
              <w:t xml:space="preserve"> </w:t>
            </w:r>
          </w:p>
        </w:tc>
        <w:tc>
          <w:tcPr>
            <w:tcW w:w="2340" w:type="dxa"/>
            <w:tcBorders>
              <w:top w:val="single" w:sz="8" w:space="0" w:color="auto"/>
              <w:left w:val="single" w:sz="8" w:space="0" w:color="auto"/>
              <w:bottom w:val="single" w:sz="8" w:space="0" w:color="auto"/>
              <w:right w:val="single" w:sz="8" w:space="0" w:color="auto"/>
            </w:tcBorders>
            <w:shd w:val="clear" w:color="auto" w:fill="000000" w:themeFill="text1"/>
          </w:tcPr>
          <w:p w:rsidR="581269D1" w:rsidRPr="00F77C61" w:rsidP="17D80C04" w14:paraId="3F89E336" w14:textId="4442D93B">
            <w:pPr>
              <w:rPr>
                <w:rFonts w:eastAsia="Arial" w:cstheme="minorHAnsi"/>
                <w:sz w:val="20"/>
                <w:szCs w:val="20"/>
              </w:rPr>
            </w:pPr>
            <w:r w:rsidRPr="00F77C61">
              <w:rPr>
                <w:rFonts w:eastAsia="Arial" w:cstheme="minorHAnsi"/>
                <w:sz w:val="20"/>
                <w:szCs w:val="20"/>
              </w:rPr>
              <w:t xml:space="preserve"> </w:t>
            </w:r>
          </w:p>
        </w:tc>
        <w:tc>
          <w:tcPr>
            <w:tcW w:w="2340" w:type="dxa"/>
            <w:tcBorders>
              <w:top w:val="single" w:sz="8" w:space="0" w:color="auto"/>
              <w:left w:val="single" w:sz="8" w:space="0" w:color="auto"/>
              <w:bottom w:val="single" w:sz="8" w:space="0" w:color="auto"/>
              <w:right w:val="single" w:sz="8" w:space="0" w:color="auto"/>
            </w:tcBorders>
            <w:shd w:val="clear" w:color="auto" w:fill="000000" w:themeFill="text1"/>
          </w:tcPr>
          <w:p w:rsidR="581269D1" w:rsidRPr="00F77C61" w:rsidP="17D80C04" w14:paraId="61C2A020" w14:textId="623B040F">
            <w:pPr>
              <w:rPr>
                <w:rFonts w:eastAsia="Arial" w:cstheme="minorHAnsi"/>
                <w:b/>
                <w:bCs/>
                <w:sz w:val="20"/>
                <w:szCs w:val="20"/>
              </w:rPr>
            </w:pPr>
            <w:r w:rsidRPr="00F77C61">
              <w:rPr>
                <w:rFonts w:eastAsia="Arial" w:cstheme="minorHAnsi"/>
                <w:b/>
                <w:bCs/>
                <w:sz w:val="20"/>
                <w:szCs w:val="20"/>
              </w:rPr>
              <w:t>39.35</w:t>
            </w:r>
          </w:p>
        </w:tc>
      </w:tr>
    </w:tbl>
    <w:p w:rsidR="17D80C04" w:rsidRPr="00F77C61" w:rsidP="17D80C04" w14:paraId="02CA975F" w14:textId="28B615C6">
      <w:pPr>
        <w:spacing w:after="0" w:line="240" w:lineRule="auto"/>
        <w:rPr>
          <w:rFonts w:eastAsia="Times New Roman" w:cstheme="minorHAnsi"/>
          <w:sz w:val="24"/>
          <w:szCs w:val="24"/>
        </w:rPr>
      </w:pPr>
    </w:p>
    <w:p w:rsidR="00C301DA" w:rsidP="00D2473E" w14:paraId="1CD4677A" w14:textId="610BF4B1">
      <w:pPr>
        <w:rPr>
          <w:rFonts w:eastAsia="Times New Roman" w:cstheme="minorHAnsi"/>
        </w:rPr>
      </w:pPr>
      <w:r w:rsidRPr="00F77C61">
        <w:t xml:space="preserve">Hourly rates included in the table above are based on median hourly wages provided by the May 2021 National, State, Metropolitan, and Nonmetropolitan Area Occupational Employment and Wage Estimates, Bureau of Labor Statistics (BLS) for General Medical and Surgical Hospitals. Median hourly wages for patient care technicians were based on those for radiologic technician; and wages for therapists were based on those for physical therapist. Median wage calculations for hospital </w:t>
      </w:r>
      <w:r w:rsidR="00F95709">
        <w:t>leaders</w:t>
      </w:r>
      <w:r w:rsidRPr="00F77C61">
        <w:t xml:space="preserve"> in the table below are also derived from the BLS and are based on those for chief executives. The table below provides an overview of total respondent costs based on type of respondent, survey to be completed, total burden in hours to complete the survey, and median hourly wage.</w:t>
      </w:r>
    </w:p>
    <w:p w:rsidR="00A45A14" w:rsidRPr="00F77C61" w:rsidP="00A45A14" w14:paraId="56FE7EBA" w14:textId="5CFACE97">
      <w:pPr>
        <w:spacing w:before="100" w:beforeAutospacing="1" w:after="0" w:line="240" w:lineRule="auto"/>
        <w:rPr>
          <w:rFonts w:eastAsia="Times New Roman" w:cstheme="minorHAnsi"/>
        </w:rPr>
      </w:pPr>
      <w:r>
        <w:rPr>
          <w:rFonts w:eastAsia="Times New Roman" w:cstheme="minorHAnsi"/>
        </w:rPr>
        <w:t xml:space="preserve">If the response rate is 100%, the burden is </w:t>
      </w:r>
      <w:r w:rsidR="00F95709">
        <w:rPr>
          <w:rFonts w:eastAsia="Times New Roman" w:cstheme="minorHAnsi"/>
        </w:rPr>
        <w:t>$112,000</w:t>
      </w:r>
      <w:r>
        <w:rPr>
          <w:rFonts w:eastAsia="Times New Roman" w:cstheme="minorHAnsi"/>
        </w:rPr>
        <w:t xml:space="preserve">. If the response rate is 25% as expected, the burden is </w:t>
      </w:r>
      <w:r w:rsidR="00F95709">
        <w:rPr>
          <w:rFonts w:eastAsia="Times New Roman" w:cstheme="minorHAnsi"/>
        </w:rPr>
        <w:t>$28,000</w:t>
      </w:r>
      <w:r>
        <w:rPr>
          <w:rFonts w:eastAsia="Times New Roman" w:cstheme="minorHAnsi"/>
        </w:rPr>
        <w:t xml:space="preserve">. </w:t>
      </w:r>
    </w:p>
    <w:tbl>
      <w:tblPr>
        <w:tblStyle w:val="GridTable6ColorfulAccent1"/>
        <w:tblW w:w="0" w:type="auto"/>
        <w:tblLayout w:type="fixed"/>
        <w:tblLook w:val="04A0"/>
      </w:tblPr>
      <w:tblGrid>
        <w:gridCol w:w="1665"/>
        <w:gridCol w:w="3367"/>
        <w:gridCol w:w="1350"/>
        <w:gridCol w:w="1260"/>
        <w:gridCol w:w="1620"/>
      </w:tblGrid>
      <w:tr w14:paraId="72DCDC73" w14:textId="1CDCF4E4" w:rsidTr="00A24086">
        <w:tblPrEx>
          <w:tblW w:w="0" w:type="auto"/>
          <w:tblLayout w:type="fixed"/>
          <w:tblLook w:val="04A0"/>
        </w:tblPrEx>
        <w:trPr>
          <w:trHeight w:val="510"/>
          <w:tblHeader/>
        </w:trPr>
        <w:tc>
          <w:tcPr>
            <w:tcW w:w="1665"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rsidR="00C950C8" w:rsidRPr="00A24086" w:rsidP="00C950C8" w14:paraId="291F75E2" w14:textId="77777777">
            <w:pPr>
              <w:jc w:val="center"/>
              <w:rPr>
                <w:rFonts w:eastAsia="Arial Narrow" w:cstheme="minorHAnsi"/>
                <w:color w:val="auto"/>
                <w:sz w:val="20"/>
                <w:szCs w:val="20"/>
              </w:rPr>
            </w:pPr>
            <w:r w:rsidRPr="00A24086">
              <w:rPr>
                <w:rFonts w:eastAsia="Arial Narrow" w:cstheme="minorHAnsi"/>
                <w:color w:val="auto"/>
                <w:sz w:val="20"/>
                <w:szCs w:val="20"/>
              </w:rPr>
              <w:t>Type of Respondents</w:t>
            </w:r>
          </w:p>
        </w:tc>
        <w:tc>
          <w:tcPr>
            <w:tcW w:w="3367"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rsidR="00C950C8" w:rsidRPr="00A24086" w:rsidP="00C950C8" w14:paraId="36FA362B" w14:textId="4FD92485">
            <w:pPr>
              <w:jc w:val="center"/>
              <w:rPr>
                <w:rFonts w:eastAsia="Arial Narrow" w:cstheme="minorHAnsi"/>
                <w:b w:val="0"/>
                <w:bCs w:val="0"/>
                <w:color w:val="auto"/>
                <w:sz w:val="20"/>
                <w:szCs w:val="20"/>
              </w:rPr>
            </w:pPr>
            <w:r w:rsidRPr="00A24086">
              <w:rPr>
                <w:rFonts w:eastAsia="Arial Narrow" w:cstheme="minorHAnsi"/>
                <w:color w:val="auto"/>
                <w:sz w:val="20"/>
                <w:szCs w:val="20"/>
              </w:rPr>
              <w:t>Attachment Name</w:t>
            </w:r>
          </w:p>
        </w:tc>
        <w:tc>
          <w:tcPr>
            <w:tcW w:w="1350"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rsidR="00C950C8" w:rsidRPr="00A24086" w:rsidP="00C950C8" w14:paraId="68E6A1DF" w14:textId="77777777">
            <w:pPr>
              <w:jc w:val="center"/>
              <w:rPr>
                <w:rFonts w:eastAsia="Arial Narrow" w:cstheme="minorHAnsi"/>
                <w:b w:val="0"/>
                <w:bCs w:val="0"/>
                <w:color w:val="auto"/>
                <w:sz w:val="20"/>
                <w:szCs w:val="20"/>
              </w:rPr>
            </w:pPr>
            <w:r w:rsidRPr="00A24086">
              <w:rPr>
                <w:rFonts w:eastAsia="Arial Narrow" w:cstheme="minorHAnsi"/>
                <w:color w:val="auto"/>
                <w:sz w:val="20"/>
                <w:szCs w:val="20"/>
              </w:rPr>
              <w:t>Total Burden Hours</w:t>
            </w:r>
          </w:p>
        </w:tc>
        <w:tc>
          <w:tcPr>
            <w:tcW w:w="126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rsidR="00C950C8" w:rsidRPr="00A24086" w:rsidP="00C950C8" w14:paraId="5AB4A5F6" w14:textId="2D1920A0">
            <w:pPr>
              <w:jc w:val="center"/>
              <w:rPr>
                <w:rFonts w:eastAsia="Arial Narrow" w:cstheme="minorHAnsi"/>
                <w:color w:val="auto"/>
                <w:sz w:val="20"/>
                <w:szCs w:val="20"/>
              </w:rPr>
            </w:pPr>
            <w:r w:rsidRPr="00A24086">
              <w:rPr>
                <w:rFonts w:eastAsia="Arial Narrow" w:cstheme="minorHAnsi"/>
                <w:color w:val="auto"/>
                <w:sz w:val="20"/>
                <w:szCs w:val="20"/>
              </w:rPr>
              <w:t>Hourly Wage Rate</w:t>
            </w:r>
          </w:p>
        </w:tc>
        <w:tc>
          <w:tcPr>
            <w:tcW w:w="162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rsidR="00C950C8" w:rsidRPr="00A24086" w:rsidP="00C950C8" w14:paraId="63AB8D3E" w14:textId="26C60CA0">
            <w:pPr>
              <w:jc w:val="center"/>
              <w:rPr>
                <w:rFonts w:eastAsia="Arial Narrow" w:cstheme="minorHAnsi"/>
                <w:color w:val="auto"/>
                <w:sz w:val="20"/>
                <w:szCs w:val="20"/>
              </w:rPr>
            </w:pPr>
            <w:r w:rsidRPr="00A24086">
              <w:rPr>
                <w:rFonts w:eastAsia="Arial Narrow" w:cstheme="minorHAnsi"/>
                <w:color w:val="auto"/>
                <w:sz w:val="20"/>
                <w:szCs w:val="20"/>
              </w:rPr>
              <w:t>Total Respondent Costs</w:t>
            </w:r>
          </w:p>
        </w:tc>
      </w:tr>
      <w:tr w14:paraId="0DB41082" w14:textId="362374BA" w:rsidTr="00C301DA">
        <w:tblPrEx>
          <w:tblW w:w="0" w:type="auto"/>
          <w:tblLayout w:type="fixed"/>
          <w:tblLook w:val="04A0"/>
        </w:tblPrEx>
        <w:tc>
          <w:tcPr>
            <w:tcW w:w="1665" w:type="dxa"/>
            <w:tcBorders>
              <w:top w:val="single" w:sz="6" w:space="0" w:color="auto"/>
              <w:left w:val="single" w:sz="6" w:space="0" w:color="auto"/>
              <w:bottom w:val="single" w:sz="6" w:space="0" w:color="auto"/>
              <w:right w:val="single" w:sz="6" w:space="0" w:color="auto"/>
            </w:tcBorders>
            <w:shd w:val="clear" w:color="auto" w:fill="auto"/>
            <w:vAlign w:val="center"/>
          </w:tcPr>
          <w:p w:rsidR="00C950C8" w:rsidRPr="00A24086" w:rsidP="00C301DA" w14:paraId="59AEDCB1" w14:textId="51F0C7E7">
            <w:pPr>
              <w:rPr>
                <w:rFonts w:eastAsia="Arial Narrow" w:cstheme="minorHAnsi"/>
                <w:color w:val="auto"/>
                <w:sz w:val="20"/>
                <w:szCs w:val="20"/>
              </w:rPr>
            </w:pPr>
            <w:r w:rsidRPr="00A24086">
              <w:rPr>
                <w:rFonts w:eastAsia="Arial Narrow" w:cstheme="minorHAnsi"/>
                <w:b w:val="0"/>
                <w:bCs w:val="0"/>
                <w:color w:val="auto"/>
                <w:sz w:val="20"/>
                <w:szCs w:val="20"/>
              </w:rPr>
              <w:t>Health</w:t>
            </w:r>
            <w:r w:rsidRPr="00A24086" w:rsidR="00665051">
              <w:rPr>
                <w:rFonts w:eastAsia="Arial Narrow" w:cstheme="minorHAnsi"/>
                <w:b w:val="0"/>
                <w:bCs w:val="0"/>
                <w:color w:val="auto"/>
                <w:sz w:val="20"/>
                <w:szCs w:val="20"/>
              </w:rPr>
              <w:t>care</w:t>
            </w:r>
            <w:r w:rsidRPr="00A24086">
              <w:rPr>
                <w:rFonts w:eastAsia="Arial Narrow" w:cstheme="minorHAnsi"/>
                <w:b w:val="0"/>
                <w:bCs w:val="0"/>
                <w:color w:val="auto"/>
                <w:sz w:val="20"/>
                <w:szCs w:val="20"/>
              </w:rPr>
              <w:t xml:space="preserve"> Worker</w:t>
            </w:r>
          </w:p>
        </w:tc>
        <w:tc>
          <w:tcPr>
            <w:tcW w:w="3367" w:type="dxa"/>
            <w:tcBorders>
              <w:top w:val="single" w:sz="6" w:space="0" w:color="auto"/>
              <w:left w:val="single" w:sz="6" w:space="0" w:color="auto"/>
              <w:bottom w:val="single" w:sz="6" w:space="0" w:color="auto"/>
              <w:right w:val="single" w:sz="6" w:space="0" w:color="auto"/>
            </w:tcBorders>
            <w:shd w:val="clear" w:color="auto" w:fill="auto"/>
            <w:vAlign w:val="center"/>
          </w:tcPr>
          <w:p w:rsidR="00C950C8" w:rsidRPr="00A24086" w:rsidP="00C301DA" w14:paraId="24554639" w14:textId="33DBD840">
            <w:pPr>
              <w:rPr>
                <w:rFonts w:eastAsia="Arial Narrow" w:cstheme="minorHAnsi"/>
                <w:color w:val="auto"/>
                <w:sz w:val="20"/>
                <w:szCs w:val="20"/>
              </w:rPr>
            </w:pPr>
            <w:r w:rsidRPr="00A24086">
              <w:rPr>
                <w:rFonts w:eastAsia="Arial Narrow" w:cstheme="minorHAnsi"/>
                <w:color w:val="auto"/>
                <w:sz w:val="20"/>
                <w:szCs w:val="20"/>
              </w:rPr>
              <w:t>Follow-up Survey (</w:t>
            </w:r>
            <w:r w:rsidRPr="00A24086">
              <w:rPr>
                <w:rFonts w:eastAsia="Arial Narrow" w:cstheme="minorHAnsi"/>
                <w:color w:val="auto"/>
                <w:sz w:val="20"/>
                <w:szCs w:val="20"/>
              </w:rPr>
              <w:t>Att</w:t>
            </w:r>
            <w:r w:rsidRPr="00A24086">
              <w:rPr>
                <w:rFonts w:eastAsia="Arial Narrow" w:cstheme="minorHAnsi"/>
                <w:color w:val="auto"/>
                <w:sz w:val="20"/>
                <w:szCs w:val="20"/>
              </w:rPr>
              <w:t xml:space="preserve"> 3)</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C950C8" w:rsidRPr="00A24086" w:rsidP="00C950C8" w14:paraId="067D3DAF" w14:textId="1A727F90">
            <w:pPr>
              <w:spacing w:line="259" w:lineRule="auto"/>
              <w:jc w:val="center"/>
              <w:rPr>
                <w:rFonts w:eastAsia="Arial Narrow" w:cstheme="minorHAnsi"/>
                <w:color w:val="auto"/>
                <w:sz w:val="20"/>
                <w:szCs w:val="20"/>
              </w:rPr>
            </w:pPr>
            <w:r w:rsidRPr="00A24086">
              <w:rPr>
                <w:rFonts w:eastAsia="Arial Narrow" w:cstheme="minorHAnsi"/>
                <w:color w:val="auto"/>
                <w:sz w:val="20"/>
                <w:szCs w:val="20"/>
              </w:rPr>
              <w:t>2000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C950C8" w:rsidRPr="00A24086" w:rsidP="00C301DA" w14:paraId="17626BEB" w14:textId="284AC2A8">
            <w:pPr>
              <w:jc w:val="center"/>
              <w:rPr>
                <w:rFonts w:eastAsia="Arial Narrow" w:cstheme="minorHAnsi"/>
                <w:color w:val="auto"/>
                <w:sz w:val="20"/>
                <w:szCs w:val="20"/>
              </w:rPr>
            </w:pPr>
            <w:r w:rsidRPr="00A24086">
              <w:rPr>
                <w:rFonts w:eastAsia="Arial Narrow" w:cstheme="minorHAnsi"/>
                <w:color w:val="auto"/>
                <w:sz w:val="20"/>
                <w:szCs w:val="20"/>
              </w:rPr>
              <w:t>$39.35</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C950C8" w:rsidRPr="00A24086" w:rsidP="00C301DA" w14:paraId="0941E641" w14:textId="1E1C5627">
            <w:pPr>
              <w:jc w:val="center"/>
              <w:rPr>
                <w:rFonts w:eastAsia="Arial Narrow" w:cstheme="minorHAnsi"/>
                <w:color w:val="auto"/>
                <w:sz w:val="20"/>
                <w:szCs w:val="20"/>
              </w:rPr>
            </w:pPr>
            <w:r w:rsidRPr="00A24086">
              <w:rPr>
                <w:rFonts w:eastAsia="Arial Narrow" w:cstheme="minorHAnsi"/>
                <w:color w:val="auto"/>
                <w:sz w:val="20"/>
                <w:szCs w:val="20"/>
              </w:rPr>
              <w:t>$</w:t>
            </w:r>
            <w:r w:rsidRPr="00A24086" w:rsidR="009F5F64">
              <w:rPr>
                <w:rFonts w:eastAsia="Arial Narrow" w:cstheme="minorHAnsi"/>
                <w:color w:val="auto"/>
                <w:sz w:val="20"/>
                <w:szCs w:val="20"/>
              </w:rPr>
              <w:t>78,700</w:t>
            </w:r>
          </w:p>
        </w:tc>
      </w:tr>
      <w:tr w14:paraId="69DF4584" w14:textId="68288E93" w:rsidTr="00C301DA">
        <w:tblPrEx>
          <w:tblW w:w="0" w:type="auto"/>
          <w:tblLayout w:type="fixed"/>
          <w:tblLook w:val="04A0"/>
        </w:tblPrEx>
        <w:tc>
          <w:tcPr>
            <w:tcW w:w="1665" w:type="dxa"/>
            <w:tcBorders>
              <w:top w:val="single" w:sz="6" w:space="0" w:color="auto"/>
              <w:left w:val="single" w:sz="6" w:space="0" w:color="auto"/>
              <w:bottom w:val="single" w:sz="6" w:space="0" w:color="auto"/>
              <w:right w:val="single" w:sz="6" w:space="0" w:color="auto"/>
            </w:tcBorders>
            <w:vAlign w:val="center"/>
          </w:tcPr>
          <w:p w:rsidR="00C950C8" w:rsidRPr="00A24086" w:rsidP="00C301DA" w14:paraId="31922D90" w14:textId="64240E12">
            <w:pPr>
              <w:rPr>
                <w:rFonts w:eastAsia="Arial Narrow" w:cstheme="minorHAnsi"/>
                <w:color w:val="auto"/>
                <w:sz w:val="20"/>
                <w:szCs w:val="20"/>
              </w:rPr>
            </w:pPr>
            <w:r w:rsidRPr="00A24086">
              <w:rPr>
                <w:rFonts w:eastAsia="Arial Narrow" w:cstheme="minorHAnsi"/>
                <w:b w:val="0"/>
                <w:bCs w:val="0"/>
                <w:color w:val="auto"/>
                <w:sz w:val="20"/>
                <w:szCs w:val="20"/>
              </w:rPr>
              <w:t>Hospital Leader</w:t>
            </w:r>
          </w:p>
        </w:tc>
        <w:tc>
          <w:tcPr>
            <w:tcW w:w="3367" w:type="dxa"/>
            <w:tcBorders>
              <w:top w:val="single" w:sz="6" w:space="0" w:color="auto"/>
              <w:left w:val="single" w:sz="6" w:space="0" w:color="auto"/>
              <w:bottom w:val="single" w:sz="6" w:space="0" w:color="auto"/>
              <w:right w:val="single" w:sz="6" w:space="0" w:color="auto"/>
            </w:tcBorders>
            <w:vAlign w:val="center"/>
          </w:tcPr>
          <w:p w:rsidR="00C950C8" w:rsidRPr="00A24086" w:rsidP="00C301DA" w14:paraId="4FEAB5EB" w14:textId="75C9E0BF">
            <w:pPr>
              <w:rPr>
                <w:rFonts w:eastAsia="Arial Narrow" w:cstheme="minorHAnsi"/>
                <w:color w:val="auto"/>
                <w:sz w:val="20"/>
                <w:szCs w:val="20"/>
              </w:rPr>
            </w:pPr>
            <w:r w:rsidRPr="00A24086">
              <w:rPr>
                <w:rFonts w:eastAsia="Arial Narrow" w:cstheme="minorHAnsi"/>
                <w:color w:val="auto"/>
                <w:sz w:val="20"/>
                <w:szCs w:val="20"/>
              </w:rPr>
              <w:t>Follow-up Survey (</w:t>
            </w:r>
            <w:r w:rsidRPr="00A24086">
              <w:rPr>
                <w:rFonts w:eastAsia="Arial Narrow" w:cstheme="minorHAnsi"/>
                <w:color w:val="auto"/>
                <w:sz w:val="20"/>
                <w:szCs w:val="20"/>
              </w:rPr>
              <w:t>Att</w:t>
            </w:r>
            <w:r w:rsidRPr="00A24086">
              <w:rPr>
                <w:rFonts w:eastAsia="Arial Narrow" w:cstheme="minorHAnsi"/>
                <w:color w:val="auto"/>
                <w:sz w:val="20"/>
                <w:szCs w:val="20"/>
              </w:rPr>
              <w:t xml:space="preserve"> 4)</w:t>
            </w:r>
          </w:p>
        </w:tc>
        <w:tc>
          <w:tcPr>
            <w:tcW w:w="1350" w:type="dxa"/>
            <w:tcBorders>
              <w:top w:val="single" w:sz="6" w:space="0" w:color="auto"/>
              <w:left w:val="single" w:sz="6" w:space="0" w:color="auto"/>
              <w:bottom w:val="single" w:sz="6" w:space="0" w:color="auto"/>
              <w:right w:val="single" w:sz="6" w:space="0" w:color="auto"/>
            </w:tcBorders>
            <w:vAlign w:val="center"/>
          </w:tcPr>
          <w:p w:rsidR="00C950C8" w:rsidRPr="00A24086" w:rsidP="00C950C8" w14:paraId="0102F78B" w14:textId="1008DD7E">
            <w:pPr>
              <w:jc w:val="center"/>
              <w:rPr>
                <w:rFonts w:eastAsia="Arial Narrow" w:cstheme="minorHAnsi"/>
                <w:color w:val="auto"/>
                <w:sz w:val="20"/>
                <w:szCs w:val="20"/>
              </w:rPr>
            </w:pPr>
            <w:r w:rsidRPr="00A24086">
              <w:rPr>
                <w:rFonts w:eastAsia="Arial Narrow" w:cstheme="minorHAnsi"/>
                <w:color w:val="auto"/>
                <w:sz w:val="20"/>
                <w:szCs w:val="20"/>
              </w:rPr>
              <w:t>333</w:t>
            </w:r>
          </w:p>
        </w:tc>
        <w:tc>
          <w:tcPr>
            <w:tcW w:w="1260" w:type="dxa"/>
            <w:tcBorders>
              <w:top w:val="single" w:sz="6" w:space="0" w:color="auto"/>
              <w:left w:val="single" w:sz="6" w:space="0" w:color="auto"/>
              <w:bottom w:val="single" w:sz="6" w:space="0" w:color="auto"/>
              <w:right w:val="single" w:sz="6" w:space="0" w:color="auto"/>
            </w:tcBorders>
            <w:vAlign w:val="center"/>
          </w:tcPr>
          <w:p w:rsidR="00C950C8" w:rsidRPr="00A24086" w:rsidP="00C301DA" w14:paraId="001EC1F8" w14:textId="634ECF0E">
            <w:pPr>
              <w:jc w:val="center"/>
              <w:rPr>
                <w:rFonts w:eastAsia="Arial Narrow" w:cstheme="minorHAnsi"/>
                <w:color w:val="auto"/>
                <w:sz w:val="20"/>
                <w:szCs w:val="20"/>
              </w:rPr>
            </w:pPr>
            <w:r w:rsidRPr="00A24086">
              <w:rPr>
                <w:rFonts w:eastAsia="Arial Narrow" w:cstheme="minorHAnsi"/>
                <w:color w:val="auto"/>
                <w:sz w:val="20"/>
                <w:szCs w:val="20"/>
              </w:rPr>
              <w:t>$100.00</w:t>
            </w:r>
          </w:p>
        </w:tc>
        <w:tc>
          <w:tcPr>
            <w:tcW w:w="1620" w:type="dxa"/>
            <w:tcBorders>
              <w:top w:val="single" w:sz="6" w:space="0" w:color="auto"/>
              <w:left w:val="single" w:sz="6" w:space="0" w:color="auto"/>
              <w:bottom w:val="single" w:sz="6" w:space="0" w:color="auto"/>
              <w:right w:val="single" w:sz="6" w:space="0" w:color="auto"/>
            </w:tcBorders>
            <w:vAlign w:val="center"/>
          </w:tcPr>
          <w:p w:rsidR="00C950C8" w:rsidRPr="00A24086" w:rsidP="00C301DA" w14:paraId="76F295F5" w14:textId="73F2F520">
            <w:pPr>
              <w:jc w:val="center"/>
              <w:rPr>
                <w:rFonts w:eastAsia="Arial Narrow" w:cstheme="minorHAnsi"/>
                <w:color w:val="auto"/>
                <w:sz w:val="20"/>
                <w:szCs w:val="20"/>
              </w:rPr>
            </w:pPr>
            <w:r w:rsidRPr="00A24086">
              <w:rPr>
                <w:rFonts w:eastAsia="Arial Narrow" w:cstheme="minorHAnsi"/>
                <w:color w:val="auto"/>
                <w:sz w:val="20"/>
                <w:szCs w:val="20"/>
              </w:rPr>
              <w:t>$</w:t>
            </w:r>
            <w:r w:rsidRPr="00A24086" w:rsidR="00F32917">
              <w:rPr>
                <w:rFonts w:eastAsia="Arial Narrow" w:cstheme="minorHAnsi"/>
                <w:color w:val="auto"/>
                <w:sz w:val="20"/>
                <w:szCs w:val="20"/>
              </w:rPr>
              <w:t>33,300</w:t>
            </w:r>
          </w:p>
        </w:tc>
      </w:tr>
      <w:tr w14:paraId="6A5925D6" w14:textId="0C9136EE" w:rsidTr="00A24086">
        <w:tblPrEx>
          <w:tblW w:w="0" w:type="auto"/>
          <w:tblLayout w:type="fixed"/>
          <w:tblLook w:val="04A0"/>
        </w:tblPrEx>
        <w:tc>
          <w:tcPr>
            <w:tcW w:w="1665" w:type="dxa"/>
            <w:tcBorders>
              <w:top w:val="single" w:sz="6" w:space="0" w:color="auto"/>
              <w:left w:val="single" w:sz="6" w:space="0" w:color="auto"/>
              <w:bottom w:val="single" w:sz="6" w:space="0" w:color="auto"/>
              <w:right w:val="single" w:sz="6" w:space="0" w:color="auto"/>
            </w:tcBorders>
            <w:shd w:val="clear" w:color="auto" w:fill="000000" w:themeFill="text1"/>
          </w:tcPr>
          <w:p w:rsidR="00512382" w:rsidRPr="00A24086" w:rsidP="00A03340" w14:paraId="69DDCFC8" w14:textId="77777777">
            <w:pPr>
              <w:rPr>
                <w:rFonts w:eastAsia="Arial Narrow" w:cstheme="minorHAnsi"/>
                <w:color w:val="FFFFFF" w:themeColor="background1"/>
                <w:sz w:val="20"/>
                <w:szCs w:val="20"/>
              </w:rPr>
            </w:pPr>
            <w:r w:rsidRPr="00A24086">
              <w:rPr>
                <w:rFonts w:eastAsia="Arial Narrow" w:cstheme="minorHAnsi"/>
                <w:color w:val="FFFFFF" w:themeColor="background1"/>
                <w:sz w:val="20"/>
                <w:szCs w:val="20"/>
              </w:rPr>
              <w:t>TOTAL</w:t>
            </w:r>
          </w:p>
        </w:tc>
        <w:tc>
          <w:tcPr>
            <w:tcW w:w="3367" w:type="dxa"/>
            <w:tcBorders>
              <w:top w:val="single" w:sz="6" w:space="0" w:color="auto"/>
              <w:left w:val="single" w:sz="6" w:space="0" w:color="auto"/>
              <w:bottom w:val="single" w:sz="6" w:space="0" w:color="auto"/>
              <w:right w:val="single" w:sz="6" w:space="0" w:color="auto"/>
            </w:tcBorders>
            <w:shd w:val="clear" w:color="auto" w:fill="000000" w:themeFill="text1"/>
          </w:tcPr>
          <w:p w:rsidR="00512382" w:rsidRPr="00A24086" w:rsidP="00A03340" w14:paraId="7D79221D" w14:textId="77777777">
            <w:pPr>
              <w:rPr>
                <w:rFonts w:eastAsia="Arial Narrow" w:cstheme="minorHAnsi"/>
                <w:color w:val="FFFFFF" w:themeColor="background1"/>
                <w:sz w:val="20"/>
                <w:szCs w:val="20"/>
              </w:rPr>
            </w:pPr>
          </w:p>
        </w:tc>
        <w:tc>
          <w:tcPr>
            <w:tcW w:w="1350" w:type="dxa"/>
            <w:tcBorders>
              <w:top w:val="single" w:sz="6" w:space="0" w:color="auto"/>
              <w:left w:val="single" w:sz="6" w:space="0" w:color="auto"/>
              <w:bottom w:val="single" w:sz="6" w:space="0" w:color="auto"/>
              <w:right w:val="single" w:sz="6" w:space="0" w:color="auto"/>
            </w:tcBorders>
            <w:shd w:val="clear" w:color="auto" w:fill="000000" w:themeFill="text1"/>
          </w:tcPr>
          <w:p w:rsidR="00512382" w:rsidRPr="00A24086" w:rsidP="17D80C04" w14:paraId="7CB94356" w14:textId="09746983">
            <w:pPr>
              <w:jc w:val="center"/>
              <w:rPr>
                <w:rFonts w:eastAsia="Arial Narrow" w:cstheme="minorHAnsi"/>
                <w:b/>
                <w:bCs/>
                <w:color w:val="FFFFFF" w:themeColor="background1"/>
                <w:sz w:val="20"/>
                <w:szCs w:val="20"/>
              </w:rPr>
            </w:pPr>
            <w:r w:rsidRPr="00A24086">
              <w:rPr>
                <w:rFonts w:eastAsia="Arial Narrow" w:cstheme="minorHAnsi"/>
                <w:b/>
                <w:bCs/>
                <w:color w:val="FFFFFF" w:themeColor="background1"/>
                <w:sz w:val="20"/>
                <w:szCs w:val="20"/>
              </w:rPr>
              <w:t>2333</w:t>
            </w:r>
          </w:p>
        </w:tc>
        <w:tc>
          <w:tcPr>
            <w:tcW w:w="1260" w:type="dxa"/>
            <w:tcBorders>
              <w:top w:val="single" w:sz="6" w:space="0" w:color="auto"/>
              <w:left w:val="single" w:sz="6" w:space="0" w:color="auto"/>
              <w:bottom w:val="single" w:sz="6" w:space="0" w:color="auto"/>
              <w:right w:val="single" w:sz="6" w:space="0" w:color="auto"/>
            </w:tcBorders>
            <w:shd w:val="clear" w:color="auto" w:fill="000000" w:themeFill="text1"/>
          </w:tcPr>
          <w:p w:rsidR="00512382" w:rsidRPr="00A24086" w:rsidP="00A03340" w14:paraId="1CBC676D" w14:textId="77777777">
            <w:pPr>
              <w:jc w:val="center"/>
              <w:rPr>
                <w:rFonts w:eastAsia="Arial Narrow" w:cstheme="minorHAnsi"/>
                <w:color w:val="FFFFFF" w:themeColor="background1"/>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000000" w:themeFill="text1"/>
          </w:tcPr>
          <w:p w:rsidR="00512382" w:rsidRPr="00A24086" w:rsidP="0080341A" w14:paraId="39F4F651" w14:textId="19B08ECB">
            <w:pPr>
              <w:spacing w:line="259" w:lineRule="auto"/>
              <w:jc w:val="center"/>
              <w:rPr>
                <w:rFonts w:eastAsia="Arial Narrow" w:cstheme="minorHAnsi"/>
                <w:b/>
                <w:bCs/>
                <w:sz w:val="20"/>
                <w:szCs w:val="20"/>
              </w:rPr>
            </w:pPr>
            <w:r w:rsidRPr="00A24086">
              <w:rPr>
                <w:rFonts w:eastAsia="Arial Narrow" w:cstheme="minorHAnsi"/>
                <w:b/>
                <w:bCs/>
                <w:color w:val="FFFFFF" w:themeColor="background1"/>
                <w:sz w:val="20"/>
                <w:szCs w:val="20"/>
              </w:rPr>
              <w:t>$</w:t>
            </w:r>
            <w:r w:rsidRPr="00A24086" w:rsidR="00F32917">
              <w:rPr>
                <w:rFonts w:eastAsia="Arial Narrow" w:cstheme="minorHAnsi"/>
                <w:b/>
                <w:bCs/>
                <w:color w:val="FFFFFF" w:themeColor="background1"/>
                <w:sz w:val="20"/>
                <w:szCs w:val="20"/>
              </w:rPr>
              <w:t>112,000</w:t>
            </w:r>
          </w:p>
        </w:tc>
      </w:tr>
    </w:tbl>
    <w:p w:rsidR="0093668E" w:rsidP="00384ED5" w14:paraId="78414987" w14:textId="77777777">
      <w:pPr>
        <w:pStyle w:val="Heading1"/>
        <w:spacing w:before="0"/>
        <w:rPr>
          <w:rFonts w:asciiTheme="minorHAnsi" w:hAnsiTheme="minorHAnsi" w:cstheme="minorHAnsi"/>
          <w:b/>
          <w:color w:val="auto"/>
          <w:sz w:val="22"/>
          <w:szCs w:val="22"/>
        </w:rPr>
      </w:pPr>
    </w:p>
    <w:p w:rsidR="00F32917" w:rsidRPr="00F32917" w:rsidP="00F32917" w14:paraId="67525B51" w14:textId="77777777"/>
    <w:p w:rsidR="00CD5486" w:rsidRPr="00F77C61" w:rsidP="17D80C04" w14:paraId="11C6598A" w14:textId="3D5CAB17">
      <w:pPr>
        <w:pStyle w:val="Heading1"/>
        <w:spacing w:before="0"/>
        <w:ind w:left="360" w:hanging="360"/>
        <w:rPr>
          <w:rFonts w:asciiTheme="minorHAnsi" w:hAnsiTheme="minorHAnsi" w:cstheme="minorHAnsi"/>
          <w:b/>
          <w:bCs/>
          <w:color w:val="auto"/>
          <w:sz w:val="24"/>
          <w:szCs w:val="24"/>
        </w:rPr>
      </w:pPr>
      <w:r w:rsidRPr="00F77C61">
        <w:rPr>
          <w:rFonts w:asciiTheme="minorHAnsi" w:hAnsiTheme="minorHAnsi" w:cstheme="minorHAnsi"/>
          <w:b/>
          <w:bCs/>
          <w:color w:val="auto"/>
          <w:sz w:val="24"/>
          <w:szCs w:val="24"/>
        </w:rPr>
        <w:t>13. Estimates of Other Total Annual Cost Burden to Respondents or Record Keepers</w:t>
      </w:r>
    </w:p>
    <w:p w:rsidR="00512382" w:rsidRPr="00F77C61" w:rsidP="33725EA2" w14:paraId="01D635C4" w14:textId="77777777">
      <w:pPr>
        <w:spacing w:after="0" w:line="240" w:lineRule="auto"/>
        <w:rPr>
          <w:rFonts w:cstheme="minorHAnsi"/>
          <w:sz w:val="16"/>
          <w:szCs w:val="16"/>
        </w:rPr>
      </w:pPr>
    </w:p>
    <w:p w:rsidR="00822E24" w:rsidP="00822E24" w14:paraId="736EC530" w14:textId="7B8FB394">
      <w:pPr>
        <w:pStyle w:val="ListParagraph"/>
        <w:numPr>
          <w:ilvl w:val="0"/>
          <w:numId w:val="38"/>
        </w:numPr>
        <w:ind w:left="360"/>
      </w:pPr>
      <w:r w:rsidRPr="00822E24">
        <w:rPr>
          <w:b/>
          <w:bCs/>
          <w:i/>
          <w:iCs/>
        </w:rPr>
        <w:t>Total capital and start-up cost (annualized over its expected useful life).</w:t>
      </w:r>
      <w:r w:rsidRPr="00F77C61">
        <w:t xml:space="preserve">  </w:t>
      </w:r>
    </w:p>
    <w:p w:rsidR="00512382" w:rsidRPr="00F77C61" w:rsidP="00822E24" w14:paraId="57D1196E" w14:textId="02EA5941">
      <w:r>
        <w:t>JPA/EDC</w:t>
      </w:r>
      <w:r w:rsidRPr="00F77C61" w:rsidR="17D80C04">
        <w:t xml:space="preserve"> anticipate that 11 partner member organizations will incur some costs associated with the following tasks</w:t>
      </w:r>
      <w:r w:rsidRPr="00F77C61" w:rsidR="000A3A4C">
        <w:t xml:space="preserve">: </w:t>
      </w:r>
      <w:r w:rsidRPr="00F77C61" w:rsidR="17D80C04">
        <w:t xml:space="preserve">Developing a sampling frame based on eligible respondents (8 hours); and helping draw </w:t>
      </w:r>
      <w:r w:rsidRPr="00F77C61" w:rsidR="17D80C04">
        <w:t>a stratified (as appropriate), random sample from their member rosters (8 hours). These costs per partner are estimated to be $7</w:t>
      </w:r>
      <w:r w:rsidRPr="00F77C61" w:rsidR="009506FA">
        <w:t>80</w:t>
      </w:r>
      <w:r w:rsidRPr="00F77C61" w:rsidR="17D80C04">
        <w:t xml:space="preserve"> (based on a median hourly rate of $48.72 * 16 hours). This hourly rate is based on the median salary for medical and health services managers (derived from the </w:t>
      </w:r>
      <w:r w:rsidRPr="00822E24" w:rsidR="17D80C04">
        <w:rPr>
          <w:rFonts w:eastAsia="Times New Roman"/>
        </w:rPr>
        <w:t>May 2021 National, State, Metropolitan, and Nonmetropolitan Area Occupational Employment and Wage Estimates, Bureau of Labor Statistics</w:t>
      </w:r>
      <w:r w:rsidRPr="00F77C61" w:rsidR="17D80C04">
        <w:t>).</w:t>
      </w:r>
      <w:r w:rsidRPr="00F77C61" w:rsidR="00F06F57">
        <w:t xml:space="preserve"> </w:t>
      </w:r>
      <w:r w:rsidRPr="00F77C61" w:rsidR="002E4FB8">
        <w:t>E</w:t>
      </w:r>
      <w:r w:rsidRPr="00F77C61" w:rsidR="17D80C04">
        <w:t>ach partner member will</w:t>
      </w:r>
      <w:r w:rsidRPr="00F77C61" w:rsidR="000A3A4C">
        <w:t xml:space="preserve"> also</w:t>
      </w:r>
      <w:r w:rsidRPr="00F77C61" w:rsidR="17D80C04">
        <w:t xml:space="preserve"> incur $58</w:t>
      </w:r>
      <w:r w:rsidRPr="00F77C61" w:rsidR="006C1491">
        <w:t>5</w:t>
      </w:r>
      <w:r w:rsidRPr="00F77C61" w:rsidR="17D80C04">
        <w:t xml:space="preserve"> associated with emailing </w:t>
      </w:r>
      <w:r w:rsidR="003B348C">
        <w:t>survey</w:t>
      </w:r>
      <w:r w:rsidR="00DB427C">
        <w:t xml:space="preserve"> </w:t>
      </w:r>
      <w:r w:rsidRPr="00F77C61" w:rsidR="17D80C04">
        <w:t xml:space="preserve">invitations and reminders to members selected to participate ($48.72 * 12 hours). </w:t>
      </w:r>
      <w:r w:rsidRPr="00F77C61" w:rsidR="006B2F33">
        <w:t>The total</w:t>
      </w:r>
      <w:r w:rsidRPr="00F77C61" w:rsidR="00C821C9">
        <w:t xml:space="preserve"> cost for each partner organization to participate in the survey is</w:t>
      </w:r>
      <w:r w:rsidRPr="00F77C61" w:rsidR="001F6345">
        <w:t xml:space="preserve"> $</w:t>
      </w:r>
      <w:r w:rsidRPr="00F77C61" w:rsidR="008C1909">
        <w:t>1365</w:t>
      </w:r>
      <w:r w:rsidRPr="00F77C61" w:rsidR="00F82A0C">
        <w:t xml:space="preserve">. </w:t>
      </w:r>
      <w:r w:rsidRPr="00F77C61" w:rsidR="006B2F33">
        <w:t xml:space="preserve">The total across all </w:t>
      </w:r>
      <w:r w:rsidRPr="00F77C61" w:rsidR="002E4FB8">
        <w:t>11 partner organizations is $</w:t>
      </w:r>
      <w:r w:rsidRPr="00F77C61" w:rsidR="00FF2421">
        <w:t>15,015</w:t>
      </w:r>
      <w:r w:rsidRPr="00F77C61" w:rsidR="0083555E">
        <w:t xml:space="preserve">, for an annual cost of </w:t>
      </w:r>
      <w:r w:rsidRPr="00F77C61" w:rsidR="00F82D4D">
        <w:t>$</w:t>
      </w:r>
      <w:r w:rsidRPr="00F77C61" w:rsidR="00FF2421">
        <w:t>7,508</w:t>
      </w:r>
      <w:r w:rsidRPr="00F77C61" w:rsidR="00F82D4D">
        <w:t xml:space="preserve">. </w:t>
      </w:r>
    </w:p>
    <w:p w:rsidR="008F5636" w:rsidRPr="00F77C61" w:rsidP="17D80C04" w14:paraId="17373BC0" w14:textId="77777777">
      <w:pPr>
        <w:spacing w:after="0" w:line="240" w:lineRule="auto"/>
        <w:ind w:firstLine="360"/>
        <w:rPr>
          <w:rFonts w:cstheme="minorHAnsi"/>
          <w:sz w:val="24"/>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5850"/>
        <w:gridCol w:w="1890"/>
      </w:tblGrid>
      <w:tr w14:paraId="3FCDF366" w14:textId="77777777" w:rsidTr="003A46D0">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83"/>
          <w:tblHeader/>
        </w:trPr>
        <w:tc>
          <w:tcPr>
            <w:tcW w:w="1620" w:type="dxa"/>
            <w:shd w:val="clear" w:color="auto" w:fill="D0CECE" w:themeFill="background2" w:themeFillShade="E6"/>
            <w:vAlign w:val="center"/>
          </w:tcPr>
          <w:p w:rsidR="0039364D" w:rsidRPr="00F77C61" w:rsidP="00F06F57" w14:paraId="7595A6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sz w:val="20"/>
                <w:szCs w:val="20"/>
              </w:rPr>
            </w:pPr>
            <w:r w:rsidRPr="00F77C61">
              <w:rPr>
                <w:rFonts w:cstheme="minorHAnsi"/>
                <w:b/>
                <w:sz w:val="20"/>
                <w:szCs w:val="20"/>
              </w:rPr>
              <w:t>Expense Type</w:t>
            </w:r>
          </w:p>
        </w:tc>
        <w:tc>
          <w:tcPr>
            <w:tcW w:w="5850" w:type="dxa"/>
            <w:shd w:val="clear" w:color="auto" w:fill="D0CECE" w:themeFill="background2" w:themeFillShade="E6"/>
            <w:vAlign w:val="center"/>
          </w:tcPr>
          <w:p w:rsidR="0039364D" w:rsidRPr="00F77C61" w:rsidP="00F06F57" w14:paraId="090F1E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b/>
                <w:sz w:val="20"/>
                <w:szCs w:val="20"/>
              </w:rPr>
            </w:pPr>
            <w:r w:rsidRPr="00F77C61">
              <w:rPr>
                <w:rFonts w:cstheme="minorHAnsi"/>
                <w:b/>
                <w:sz w:val="20"/>
                <w:szCs w:val="20"/>
              </w:rPr>
              <w:t>Expense Explanation</w:t>
            </w:r>
          </w:p>
        </w:tc>
        <w:tc>
          <w:tcPr>
            <w:tcW w:w="1890" w:type="dxa"/>
            <w:shd w:val="clear" w:color="auto" w:fill="D0CECE" w:themeFill="background2" w:themeFillShade="E6"/>
            <w:vAlign w:val="center"/>
          </w:tcPr>
          <w:p w:rsidR="0039364D" w:rsidRPr="00F77C61" w:rsidP="00F06F57" w14:paraId="2417CA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sz w:val="20"/>
                <w:szCs w:val="20"/>
              </w:rPr>
            </w:pPr>
            <w:r w:rsidRPr="00F77C61">
              <w:rPr>
                <w:rFonts w:cstheme="minorHAnsi"/>
                <w:b/>
                <w:sz w:val="20"/>
                <w:szCs w:val="20"/>
              </w:rPr>
              <w:t>Annual Costs (dollars)</w:t>
            </w:r>
          </w:p>
        </w:tc>
      </w:tr>
      <w:tr w14:paraId="12AD5BEF" w14:textId="77777777" w:rsidTr="003A46D0">
        <w:tblPrEx>
          <w:tblW w:w="9360" w:type="dxa"/>
          <w:tblInd w:w="-5" w:type="dxa"/>
          <w:tblLook w:val="01E0"/>
        </w:tblPrEx>
        <w:trPr>
          <w:trHeight w:val="687"/>
        </w:trPr>
        <w:tc>
          <w:tcPr>
            <w:tcW w:w="1620" w:type="dxa"/>
            <w:vAlign w:val="center"/>
          </w:tcPr>
          <w:p w:rsidR="0039364D" w:rsidRPr="00F77C61" w:rsidP="003A46D0" w14:paraId="5AFF60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F77C61">
              <w:rPr>
                <w:rFonts w:cstheme="minorHAnsi"/>
                <w:sz w:val="20"/>
                <w:szCs w:val="20"/>
              </w:rPr>
              <w:t xml:space="preserve">Personnel Salary </w:t>
            </w:r>
          </w:p>
        </w:tc>
        <w:tc>
          <w:tcPr>
            <w:tcW w:w="5850" w:type="dxa"/>
            <w:vAlign w:val="center"/>
          </w:tcPr>
          <w:p w:rsidR="0039364D" w:rsidRPr="00F77C61" w:rsidP="00F06F57" w14:paraId="1229D7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F77C61">
              <w:rPr>
                <w:rFonts w:cstheme="minorHAnsi"/>
                <w:sz w:val="20"/>
                <w:szCs w:val="20"/>
              </w:rPr>
              <w:t>Partner network survey sampling strategy and survey distribution</w:t>
            </w:r>
          </w:p>
        </w:tc>
        <w:tc>
          <w:tcPr>
            <w:tcW w:w="1890" w:type="dxa"/>
            <w:vAlign w:val="center"/>
          </w:tcPr>
          <w:p w:rsidR="0039364D" w:rsidRPr="00F77C61" w:rsidP="00F06F57" w14:paraId="6A4C78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F77C61">
              <w:rPr>
                <w:rFonts w:cstheme="minorHAnsi"/>
                <w:sz w:val="20"/>
                <w:szCs w:val="20"/>
              </w:rPr>
              <w:t>$7508</w:t>
            </w:r>
          </w:p>
        </w:tc>
      </w:tr>
      <w:tr w14:paraId="199C8F05" w14:textId="77777777" w:rsidTr="00A24086">
        <w:tblPrEx>
          <w:tblW w:w="9360" w:type="dxa"/>
          <w:tblInd w:w="-5" w:type="dxa"/>
          <w:tblLook w:val="01E0"/>
        </w:tblPrEx>
        <w:trPr>
          <w:trHeight w:val="462"/>
        </w:trPr>
        <w:tc>
          <w:tcPr>
            <w:tcW w:w="1620" w:type="dxa"/>
          </w:tcPr>
          <w:p w:rsidR="0039364D" w:rsidRPr="00F77C61" w:rsidP="00F06F57" w14:paraId="41888E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sz w:val="20"/>
                <w:szCs w:val="20"/>
              </w:rPr>
            </w:pPr>
          </w:p>
        </w:tc>
        <w:tc>
          <w:tcPr>
            <w:tcW w:w="5850" w:type="dxa"/>
          </w:tcPr>
          <w:p w:rsidR="0039364D" w:rsidRPr="00F77C61" w:rsidP="00F06F57" w14:paraId="2EC55D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cstheme="minorHAnsi"/>
                <w:b/>
                <w:sz w:val="20"/>
                <w:szCs w:val="20"/>
              </w:rPr>
            </w:pPr>
            <w:r w:rsidRPr="00F77C61">
              <w:rPr>
                <w:rFonts w:cstheme="minorHAnsi"/>
                <w:b/>
                <w:sz w:val="20"/>
                <w:szCs w:val="20"/>
              </w:rPr>
              <w:t>TOTAL START UP COSTS</w:t>
            </w:r>
          </w:p>
        </w:tc>
        <w:tc>
          <w:tcPr>
            <w:tcW w:w="1890" w:type="dxa"/>
          </w:tcPr>
          <w:p w:rsidR="0039364D" w:rsidRPr="00F77C61" w:rsidP="0080341A" w14:paraId="64909477" w14:textId="638733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0"/>
                <w:szCs w:val="20"/>
              </w:rPr>
            </w:pPr>
            <w:r w:rsidRPr="00F77C61">
              <w:rPr>
                <w:rFonts w:cstheme="minorHAnsi"/>
                <w:b/>
                <w:bCs/>
                <w:sz w:val="20"/>
                <w:szCs w:val="20"/>
              </w:rPr>
              <w:t>$</w:t>
            </w:r>
            <w:r w:rsidR="00FB3BCA">
              <w:rPr>
                <w:rFonts w:cstheme="minorHAnsi"/>
                <w:b/>
                <w:bCs/>
                <w:sz w:val="20"/>
                <w:szCs w:val="20"/>
              </w:rPr>
              <w:t>7508</w:t>
            </w:r>
          </w:p>
        </w:tc>
      </w:tr>
    </w:tbl>
    <w:p w:rsidR="008F5636" w:rsidRPr="00F77C61" w:rsidP="00F06F57" w14:paraId="25DDD832" w14:textId="77777777">
      <w:pPr>
        <w:spacing w:after="0" w:line="240" w:lineRule="auto"/>
        <w:rPr>
          <w:rFonts w:cstheme="minorHAnsi"/>
          <w:sz w:val="24"/>
          <w:szCs w:val="24"/>
        </w:rPr>
      </w:pPr>
    </w:p>
    <w:p w:rsidR="008F5636" w:rsidRPr="00F77C61" w:rsidP="17D80C04" w14:paraId="1D537FA6" w14:textId="77777777">
      <w:pPr>
        <w:spacing w:after="0" w:line="240" w:lineRule="auto"/>
        <w:ind w:firstLine="360"/>
        <w:rPr>
          <w:rFonts w:cstheme="minorHAnsi"/>
          <w:sz w:val="24"/>
          <w:szCs w:val="24"/>
        </w:rPr>
      </w:pPr>
    </w:p>
    <w:p w:rsidR="00822E24" w:rsidP="00822E24" w14:paraId="47EE590A" w14:textId="1DDABBBD">
      <w:pPr>
        <w:pStyle w:val="ListParagraph"/>
        <w:numPr>
          <w:ilvl w:val="0"/>
          <w:numId w:val="38"/>
        </w:numPr>
        <w:ind w:left="360"/>
      </w:pPr>
      <w:r w:rsidRPr="00822E24">
        <w:rPr>
          <w:b/>
          <w:bCs/>
          <w:i/>
          <w:iCs/>
        </w:rPr>
        <w:t>Total operation and maintenance and purchase of services component.</w:t>
      </w:r>
      <w:r>
        <w:t xml:space="preserve"> </w:t>
      </w:r>
    </w:p>
    <w:p w:rsidR="003B648D" w:rsidRPr="00F77C61" w:rsidP="00822E24" w14:paraId="271C6D38" w14:textId="3C4BEDCB">
      <w:r>
        <w:t xml:space="preserve">NIOSH and JPA/EDC </w:t>
      </w:r>
      <w:r w:rsidRPr="00F77C61" w:rsidR="17D80C04">
        <w:t xml:space="preserve">do not expect respondents to purchase any equipment </w:t>
      </w:r>
      <w:r w:rsidRPr="00F77C61" w:rsidR="17D80C04">
        <w:t>in order to</w:t>
      </w:r>
      <w:r w:rsidRPr="00F77C61" w:rsidR="17D80C04">
        <w:t xml:space="preserve"> participate in these evaluation studies. </w:t>
      </w:r>
    </w:p>
    <w:p w:rsidR="00CD5486" w:rsidRPr="00F77C61" w:rsidP="54D60E07" w14:paraId="374AFB55" w14:textId="77777777">
      <w:pPr>
        <w:spacing w:after="0"/>
        <w:rPr>
          <w:rFonts w:cstheme="minorHAnsi"/>
        </w:rPr>
      </w:pPr>
    </w:p>
    <w:p w:rsidR="00CD5486" w:rsidRPr="00F77C61" w:rsidP="17D80C04" w14:paraId="348322B6" w14:textId="0EA6CFFA">
      <w:pPr>
        <w:pStyle w:val="Heading1"/>
        <w:spacing w:before="0" w:line="240" w:lineRule="auto"/>
        <w:rPr>
          <w:rFonts w:asciiTheme="minorHAnsi" w:hAnsiTheme="minorHAnsi" w:cstheme="minorHAnsi"/>
          <w:b/>
          <w:bCs/>
          <w:color w:val="auto"/>
          <w:sz w:val="24"/>
          <w:szCs w:val="24"/>
        </w:rPr>
      </w:pPr>
      <w:r w:rsidRPr="00F77C61">
        <w:rPr>
          <w:rFonts w:asciiTheme="minorHAnsi" w:hAnsiTheme="minorHAnsi" w:cstheme="minorHAnsi"/>
          <w:b/>
          <w:bCs/>
          <w:color w:val="auto"/>
          <w:sz w:val="24"/>
          <w:szCs w:val="24"/>
        </w:rPr>
        <w:t>14. Annualized Cost to the Government</w:t>
      </w:r>
    </w:p>
    <w:p w:rsidR="00D054F9" w:rsidRPr="00F77C61" w:rsidP="17D80C04" w14:paraId="30856371" w14:textId="77777777">
      <w:pPr>
        <w:spacing w:line="240" w:lineRule="auto"/>
        <w:rPr>
          <w:rFonts w:cstheme="minorHAnsi"/>
          <w:sz w:val="16"/>
          <w:szCs w:val="16"/>
        </w:rPr>
      </w:pPr>
    </w:p>
    <w:p w:rsidR="006F385C" w:rsidRPr="00F77C61" w:rsidP="00432A41" w14:paraId="66456EA8" w14:textId="63217149">
      <w:r w:rsidRPr="00F77C61">
        <w:t>The total cost of this data collection is $</w:t>
      </w:r>
      <w:r w:rsidR="00844D88">
        <w:t>473,878</w:t>
      </w:r>
      <w:r w:rsidRPr="00F77C61">
        <w:t xml:space="preserve"> over </w:t>
      </w:r>
      <w:r w:rsidR="00844D88">
        <w:t>six month</w:t>
      </w:r>
      <w:r w:rsidR="0031363F">
        <w:t>s</w:t>
      </w:r>
    </w:p>
    <w:p w:rsidR="00957763" w:rsidRPr="00F77C61" w:rsidP="00D054F9" w14:paraId="11B9D7B1" w14:textId="77777777">
      <w:pPr>
        <w:pStyle w:val="NormalWeb"/>
        <w:spacing w:before="0" w:beforeAutospacing="0" w:after="0"/>
        <w:rPr>
          <w:rFonts w:asciiTheme="minorHAnsi" w:hAnsiTheme="minorHAnsi" w:cstheme="minorHAnsi"/>
          <w:b/>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5850"/>
        <w:gridCol w:w="1890"/>
      </w:tblGrid>
      <w:tr w14:paraId="3284B936" w14:textId="5695C48B" w:rsidTr="6B702BB6">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25"/>
          <w:tblHeader/>
        </w:trPr>
        <w:tc>
          <w:tcPr>
            <w:tcW w:w="1620" w:type="dxa"/>
            <w:shd w:val="clear" w:color="auto" w:fill="D0CECE" w:themeFill="background2" w:themeFillShade="E6"/>
            <w:vAlign w:val="center"/>
          </w:tcPr>
          <w:p w:rsidR="00CD5486" w:rsidRPr="00F77C61" w:rsidP="008A51F9" w14:paraId="52133B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sz w:val="20"/>
                <w:szCs w:val="20"/>
              </w:rPr>
            </w:pPr>
            <w:r w:rsidRPr="00F77C61">
              <w:rPr>
                <w:rFonts w:cstheme="minorHAnsi"/>
                <w:b/>
                <w:sz w:val="20"/>
                <w:szCs w:val="20"/>
              </w:rPr>
              <w:t>Expense Type</w:t>
            </w:r>
          </w:p>
        </w:tc>
        <w:tc>
          <w:tcPr>
            <w:tcW w:w="5850" w:type="dxa"/>
            <w:shd w:val="clear" w:color="auto" w:fill="D0CECE" w:themeFill="background2" w:themeFillShade="E6"/>
            <w:vAlign w:val="center"/>
          </w:tcPr>
          <w:p w:rsidR="00CD5486" w:rsidRPr="00F77C61" w:rsidP="008A51F9" w14:paraId="46D8ED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b/>
                <w:sz w:val="20"/>
                <w:szCs w:val="20"/>
              </w:rPr>
            </w:pPr>
            <w:r w:rsidRPr="00F77C61">
              <w:rPr>
                <w:rFonts w:cstheme="minorHAnsi"/>
                <w:b/>
                <w:sz w:val="20"/>
                <w:szCs w:val="20"/>
              </w:rPr>
              <w:t>Expense Explanation</w:t>
            </w:r>
          </w:p>
        </w:tc>
        <w:tc>
          <w:tcPr>
            <w:tcW w:w="1890" w:type="dxa"/>
            <w:shd w:val="clear" w:color="auto" w:fill="D0CECE" w:themeFill="background2" w:themeFillShade="E6"/>
            <w:vAlign w:val="center"/>
          </w:tcPr>
          <w:p w:rsidR="00CD5486" w:rsidRPr="00F77C61" w:rsidP="008A51F9" w14:paraId="16ED8E9C" w14:textId="460A8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sz w:val="20"/>
                <w:szCs w:val="20"/>
              </w:rPr>
            </w:pPr>
            <w:r w:rsidRPr="00F77C61">
              <w:rPr>
                <w:rFonts w:cstheme="minorHAnsi"/>
                <w:b/>
                <w:sz w:val="20"/>
                <w:szCs w:val="20"/>
              </w:rPr>
              <w:t>Annual Costs (dollars)</w:t>
            </w:r>
          </w:p>
        </w:tc>
      </w:tr>
      <w:tr w14:paraId="5B219AE3" w14:textId="4089FD62" w:rsidTr="6B702BB6">
        <w:tblPrEx>
          <w:tblW w:w="9360" w:type="dxa"/>
          <w:tblInd w:w="-5" w:type="dxa"/>
          <w:tblLook w:val="01E0"/>
        </w:tblPrEx>
        <w:trPr>
          <w:trHeight w:val="687"/>
        </w:trPr>
        <w:tc>
          <w:tcPr>
            <w:tcW w:w="1620" w:type="dxa"/>
          </w:tcPr>
          <w:p w:rsidR="00CD5486" w:rsidRPr="00F77C61" w:rsidP="008A51F9" w14:paraId="28C20B7C" w14:textId="23534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F77C61">
              <w:rPr>
                <w:rFonts w:cstheme="minorHAnsi"/>
                <w:sz w:val="20"/>
                <w:szCs w:val="20"/>
              </w:rPr>
              <w:t xml:space="preserve">Personnel Salary </w:t>
            </w:r>
          </w:p>
        </w:tc>
        <w:tc>
          <w:tcPr>
            <w:tcW w:w="5850" w:type="dxa"/>
            <w:vAlign w:val="center"/>
          </w:tcPr>
          <w:p w:rsidR="00CD5486" w:rsidRPr="00F77C61" w:rsidP="67AC4A89" w14:paraId="373F56BC" w14:textId="02084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F77C61">
              <w:rPr>
                <w:rFonts w:cstheme="minorHAnsi"/>
                <w:sz w:val="20"/>
                <w:szCs w:val="20"/>
              </w:rPr>
              <w:t>Project Manager (technical oversight) – DrPH Program Evaluator (GS-14 685) at 5% FTE</w:t>
            </w:r>
          </w:p>
        </w:tc>
        <w:tc>
          <w:tcPr>
            <w:tcW w:w="1890" w:type="dxa"/>
            <w:vAlign w:val="center"/>
          </w:tcPr>
          <w:p w:rsidR="00CD5486" w:rsidRPr="00F77C61" w:rsidP="192C1DD9" w14:paraId="13EF371A" w14:textId="38857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192C1DD9">
              <w:rPr>
                <w:sz w:val="20"/>
                <w:szCs w:val="20"/>
              </w:rPr>
              <w:t>$</w:t>
            </w:r>
            <w:r w:rsidRPr="192C1DD9" w:rsidR="789EA67F">
              <w:rPr>
                <w:sz w:val="20"/>
                <w:szCs w:val="20"/>
              </w:rPr>
              <w:t>3139</w:t>
            </w:r>
          </w:p>
        </w:tc>
      </w:tr>
      <w:tr w14:paraId="053043B1" w14:textId="58093948" w:rsidTr="6B702BB6">
        <w:tblPrEx>
          <w:tblW w:w="9360" w:type="dxa"/>
          <w:tblInd w:w="-5" w:type="dxa"/>
          <w:tblLook w:val="01E0"/>
        </w:tblPrEx>
        <w:trPr>
          <w:trHeight w:val="479"/>
        </w:trPr>
        <w:tc>
          <w:tcPr>
            <w:tcW w:w="1620" w:type="dxa"/>
          </w:tcPr>
          <w:p w:rsidR="003F065E" w:rsidRPr="00F77C61" w:rsidP="67AC4A89" w14:paraId="333FEA61" w14:textId="3F365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F77C61">
              <w:rPr>
                <w:rFonts w:cstheme="minorHAnsi"/>
                <w:sz w:val="20"/>
                <w:szCs w:val="20"/>
              </w:rPr>
              <w:t xml:space="preserve">Personnel Salary </w:t>
            </w:r>
          </w:p>
        </w:tc>
        <w:tc>
          <w:tcPr>
            <w:tcW w:w="5850" w:type="dxa"/>
            <w:vAlign w:val="center"/>
          </w:tcPr>
          <w:p w:rsidR="003F065E" w:rsidRPr="00F77C61" w:rsidP="003F065E" w14:paraId="360F6501" w14:textId="737973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F77C61">
              <w:rPr>
                <w:rFonts w:cstheme="minorHAnsi"/>
                <w:sz w:val="20"/>
                <w:szCs w:val="20"/>
              </w:rPr>
              <w:t>Project Manager (technical oversight) – MPH Program Evaluator (GS-13 601) at 5% FTE</w:t>
            </w:r>
          </w:p>
        </w:tc>
        <w:tc>
          <w:tcPr>
            <w:tcW w:w="1890" w:type="dxa"/>
            <w:vAlign w:val="center"/>
          </w:tcPr>
          <w:p w:rsidR="003F065E" w:rsidRPr="00F77C61" w:rsidP="192C1DD9" w14:paraId="07A2A212" w14:textId="722B4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192C1DD9">
              <w:rPr>
                <w:sz w:val="20"/>
                <w:szCs w:val="20"/>
              </w:rPr>
              <w:t>$</w:t>
            </w:r>
            <w:r w:rsidRPr="192C1DD9" w:rsidR="6B90A923">
              <w:rPr>
                <w:sz w:val="20"/>
                <w:szCs w:val="20"/>
              </w:rPr>
              <w:t>2739</w:t>
            </w:r>
          </w:p>
        </w:tc>
      </w:tr>
      <w:tr w14:paraId="6DC3671E" w14:textId="2E58786F" w:rsidTr="6B702BB6">
        <w:tblPrEx>
          <w:tblW w:w="9360" w:type="dxa"/>
          <w:tblInd w:w="-5" w:type="dxa"/>
          <w:tblLook w:val="01E0"/>
        </w:tblPrEx>
        <w:trPr>
          <w:trHeight w:val="462"/>
        </w:trPr>
        <w:tc>
          <w:tcPr>
            <w:tcW w:w="1620" w:type="dxa"/>
          </w:tcPr>
          <w:p w:rsidR="003F065E" w:rsidRPr="00F77C61" w:rsidP="67AC4A89" w14:paraId="27A184CA" w14:textId="68EA8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F77C61">
              <w:rPr>
                <w:rFonts w:cstheme="minorHAnsi"/>
                <w:sz w:val="20"/>
                <w:szCs w:val="20"/>
              </w:rPr>
              <w:t>Contract</w:t>
            </w:r>
          </w:p>
        </w:tc>
        <w:tc>
          <w:tcPr>
            <w:tcW w:w="5850" w:type="dxa"/>
            <w:vAlign w:val="center"/>
          </w:tcPr>
          <w:p w:rsidR="003F065E" w:rsidRPr="00F77C61" w:rsidP="003F065E" w14:paraId="7A7008A7" w14:textId="3408D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F77C61">
              <w:rPr>
                <w:rFonts w:cstheme="minorHAnsi"/>
                <w:sz w:val="20"/>
                <w:szCs w:val="20"/>
              </w:rPr>
              <w:t xml:space="preserve">Evaluation task in contract </w:t>
            </w:r>
            <w:r w:rsidRPr="00F77C61">
              <w:rPr>
                <w:rFonts w:cstheme="minorHAnsi"/>
                <w:i/>
                <w:iCs/>
                <w:sz w:val="20"/>
                <w:szCs w:val="20"/>
              </w:rPr>
              <w:t xml:space="preserve">National Education and Awareness Social Marketing Campaign Employer Efforts to Support the Mental Health of </w:t>
            </w:r>
            <w:r w:rsidR="00755396">
              <w:rPr>
                <w:rFonts w:cstheme="minorHAnsi"/>
                <w:i/>
                <w:iCs/>
                <w:sz w:val="20"/>
                <w:szCs w:val="20"/>
              </w:rPr>
              <w:t>Healthcare worker</w:t>
            </w:r>
            <w:r w:rsidRPr="00F77C61">
              <w:rPr>
                <w:rFonts w:cstheme="minorHAnsi"/>
                <w:i/>
                <w:iCs/>
                <w:sz w:val="20"/>
                <w:szCs w:val="20"/>
              </w:rPr>
              <w:t>s</w:t>
            </w:r>
          </w:p>
        </w:tc>
        <w:tc>
          <w:tcPr>
            <w:tcW w:w="1890" w:type="dxa"/>
            <w:vAlign w:val="center"/>
          </w:tcPr>
          <w:p w:rsidR="003F065E" w:rsidRPr="00F77C61" w:rsidP="3190BAA1" w14:paraId="3708F59D" w14:textId="151BC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6B702BB6">
              <w:rPr>
                <w:sz w:val="20"/>
                <w:szCs w:val="20"/>
              </w:rPr>
              <w:t>$</w:t>
            </w:r>
            <w:r w:rsidR="002920B5">
              <w:rPr>
                <w:sz w:val="20"/>
                <w:szCs w:val="20"/>
              </w:rPr>
              <w:t>388,000</w:t>
            </w:r>
          </w:p>
        </w:tc>
      </w:tr>
      <w:tr w14:paraId="55361A46" w14:textId="7720B60F" w:rsidTr="6B702BB6">
        <w:tblPrEx>
          <w:tblW w:w="9360" w:type="dxa"/>
          <w:tblInd w:w="-5" w:type="dxa"/>
          <w:tblLook w:val="01E0"/>
        </w:tblPrEx>
        <w:trPr>
          <w:trHeight w:val="479"/>
        </w:trPr>
        <w:tc>
          <w:tcPr>
            <w:tcW w:w="1620" w:type="dxa"/>
          </w:tcPr>
          <w:p w:rsidR="003F065E" w:rsidRPr="00F77C61" w:rsidP="67AC4A89" w14:paraId="7C57D6FE" w14:textId="246FA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F77C61">
              <w:rPr>
                <w:rFonts w:cstheme="minorHAnsi"/>
                <w:sz w:val="20"/>
                <w:szCs w:val="20"/>
              </w:rPr>
              <w:t>Administrative</w:t>
            </w:r>
          </w:p>
        </w:tc>
        <w:tc>
          <w:tcPr>
            <w:tcW w:w="5850" w:type="dxa"/>
            <w:vAlign w:val="center"/>
          </w:tcPr>
          <w:p w:rsidR="003F065E" w:rsidRPr="00F77C61" w:rsidP="00347A0A" w14:paraId="50DFBA18" w14:textId="53FA3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F77C61">
              <w:rPr>
                <w:rFonts w:cstheme="minorHAnsi"/>
                <w:sz w:val="20"/>
                <w:szCs w:val="20"/>
              </w:rPr>
              <w:t xml:space="preserve">Background checks and network access for </w:t>
            </w:r>
            <w:r w:rsidR="00216999">
              <w:rPr>
                <w:rFonts w:cstheme="minorHAnsi"/>
                <w:sz w:val="20"/>
                <w:szCs w:val="20"/>
              </w:rPr>
              <w:t xml:space="preserve">four </w:t>
            </w:r>
            <w:r w:rsidRPr="00F77C61">
              <w:rPr>
                <w:rFonts w:cstheme="minorHAnsi"/>
                <w:sz w:val="20"/>
                <w:szCs w:val="20"/>
              </w:rPr>
              <w:t>JPA/EDC researchers</w:t>
            </w:r>
          </w:p>
        </w:tc>
        <w:tc>
          <w:tcPr>
            <w:tcW w:w="1890" w:type="dxa"/>
            <w:vAlign w:val="center"/>
          </w:tcPr>
          <w:p w:rsidR="003F065E" w:rsidRPr="00F77C61" w:rsidP="67AC4A89" w14:paraId="31F3133F" w14:textId="70A8F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F77C61">
              <w:rPr>
                <w:rFonts w:cstheme="minorHAnsi"/>
                <w:sz w:val="20"/>
                <w:szCs w:val="20"/>
              </w:rPr>
              <w:t>$</w:t>
            </w:r>
            <w:r w:rsidR="00216999">
              <w:rPr>
                <w:rFonts w:cstheme="minorHAnsi"/>
                <w:sz w:val="20"/>
                <w:szCs w:val="20"/>
              </w:rPr>
              <w:t>80</w:t>
            </w:r>
            <w:r w:rsidRPr="00F77C61" w:rsidR="006E7B91">
              <w:rPr>
                <w:rFonts w:cstheme="minorHAnsi"/>
                <w:sz w:val="20"/>
                <w:szCs w:val="20"/>
              </w:rPr>
              <w:t>,000</w:t>
            </w:r>
          </w:p>
        </w:tc>
      </w:tr>
      <w:tr w14:paraId="039B001E" w14:textId="07F43056" w:rsidTr="6B702BB6">
        <w:tblPrEx>
          <w:tblW w:w="9360" w:type="dxa"/>
          <w:tblInd w:w="-5" w:type="dxa"/>
          <w:tblLook w:val="01E0"/>
        </w:tblPrEx>
        <w:trPr>
          <w:trHeight w:val="462"/>
        </w:trPr>
        <w:tc>
          <w:tcPr>
            <w:tcW w:w="1620" w:type="dxa"/>
          </w:tcPr>
          <w:p w:rsidR="003F065E" w:rsidRPr="00F77C61" w:rsidP="003F065E" w14:paraId="0E70C8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sz w:val="20"/>
                <w:szCs w:val="20"/>
              </w:rPr>
            </w:pPr>
          </w:p>
        </w:tc>
        <w:tc>
          <w:tcPr>
            <w:tcW w:w="5850" w:type="dxa"/>
          </w:tcPr>
          <w:p w:rsidR="003F065E" w:rsidRPr="00F77C61" w:rsidP="003F065E" w14:paraId="17C82A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cstheme="minorHAnsi"/>
                <w:b/>
                <w:sz w:val="20"/>
                <w:szCs w:val="20"/>
              </w:rPr>
            </w:pPr>
            <w:r w:rsidRPr="00F77C61">
              <w:rPr>
                <w:rFonts w:cstheme="minorHAnsi"/>
                <w:b/>
                <w:sz w:val="20"/>
                <w:szCs w:val="20"/>
              </w:rPr>
              <w:t>TOTAL COST TO THE GOVERNMENT</w:t>
            </w:r>
          </w:p>
        </w:tc>
        <w:tc>
          <w:tcPr>
            <w:tcW w:w="1890" w:type="dxa"/>
          </w:tcPr>
          <w:p w:rsidR="003F065E" w:rsidRPr="00F77C61" w:rsidP="67AC4A89" w14:paraId="7502B307" w14:textId="418432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0"/>
                <w:szCs w:val="20"/>
              </w:rPr>
            </w:pPr>
            <w:r w:rsidRPr="00F77C61">
              <w:rPr>
                <w:rFonts w:cstheme="minorHAnsi"/>
                <w:b/>
                <w:bCs/>
                <w:sz w:val="20"/>
                <w:szCs w:val="20"/>
              </w:rPr>
              <w:t>$</w:t>
            </w:r>
            <w:r w:rsidR="00BC5B64">
              <w:rPr>
                <w:rFonts w:cstheme="minorHAnsi"/>
                <w:b/>
                <w:bCs/>
                <w:sz w:val="20"/>
                <w:szCs w:val="20"/>
              </w:rPr>
              <w:t>473,878</w:t>
            </w:r>
          </w:p>
        </w:tc>
      </w:tr>
    </w:tbl>
    <w:p w:rsidR="00D054F9" w:rsidP="54D60E07" w14:paraId="7B0C1FA3" w14:textId="66731DCB">
      <w:pPr>
        <w:rPr>
          <w:rFonts w:cstheme="minorHAnsi"/>
          <w:sz w:val="25"/>
          <w:szCs w:val="25"/>
        </w:rPr>
      </w:pPr>
    </w:p>
    <w:p w:rsidR="00D2473E" w:rsidRPr="00F77C61" w:rsidP="54D60E07" w14:paraId="63239F5E" w14:textId="77777777">
      <w:pPr>
        <w:rPr>
          <w:rFonts w:cstheme="minorHAnsi"/>
          <w:sz w:val="25"/>
          <w:szCs w:val="25"/>
        </w:rPr>
      </w:pPr>
    </w:p>
    <w:p w:rsidR="008A5034" w:rsidRPr="00F77C61" w:rsidP="54D60E07" w14:paraId="429E915B" w14:textId="18F246A8">
      <w:pPr>
        <w:rPr>
          <w:rFonts w:cstheme="minorHAnsi"/>
          <w:b/>
          <w:bCs/>
          <w:sz w:val="24"/>
          <w:szCs w:val="24"/>
        </w:rPr>
      </w:pPr>
      <w:r w:rsidRPr="00F77C61">
        <w:rPr>
          <w:rFonts w:cstheme="minorHAnsi"/>
          <w:b/>
          <w:bCs/>
          <w:sz w:val="24"/>
          <w:szCs w:val="24"/>
        </w:rPr>
        <w:t>15. Explanation for Program Changes or Adjustments</w:t>
      </w:r>
    </w:p>
    <w:p w:rsidR="0093668E" w:rsidRPr="00F77C61" w:rsidP="00432A41" w14:paraId="60CF3B97" w14:textId="2563AB4E">
      <w:r w:rsidRPr="00F77C61">
        <w:t>This is a new data/information collection.</w:t>
      </w:r>
    </w:p>
    <w:p w:rsidR="00EC0854" w:rsidRPr="00F77C61" w:rsidP="003E2335" w14:paraId="70F12C28" w14:textId="1559D475">
      <w:pPr>
        <w:pStyle w:val="Heading1"/>
        <w:rPr>
          <w:rFonts w:asciiTheme="minorHAnsi" w:hAnsiTheme="minorHAnsi" w:cstheme="minorHAnsi"/>
          <w:b/>
          <w:color w:val="auto"/>
          <w:sz w:val="24"/>
          <w:szCs w:val="24"/>
        </w:rPr>
      </w:pPr>
      <w:r w:rsidRPr="00F77C61">
        <w:rPr>
          <w:rFonts w:asciiTheme="minorHAnsi" w:eastAsiaTheme="minorEastAsia" w:hAnsiTheme="minorHAnsi" w:cstheme="minorHAnsi"/>
          <w:b/>
          <w:color w:val="auto"/>
          <w:sz w:val="24"/>
          <w:szCs w:val="24"/>
        </w:rPr>
        <w:t xml:space="preserve">16. </w:t>
      </w:r>
      <w:r w:rsidRPr="00F77C61">
        <w:rPr>
          <w:rFonts w:asciiTheme="minorHAnsi" w:hAnsiTheme="minorHAnsi" w:cstheme="minorHAnsi"/>
          <w:b/>
          <w:color w:val="auto"/>
          <w:sz w:val="24"/>
          <w:szCs w:val="24"/>
        </w:rPr>
        <w:t>Plans for Tabulation and Publication and Project Time Schedule</w:t>
      </w:r>
    </w:p>
    <w:p w:rsidR="00D054F9" w:rsidRPr="003F6B96" w:rsidP="003E2335" w14:paraId="3A1EF307" w14:textId="77777777">
      <w:pPr>
        <w:spacing w:after="0"/>
        <w:rPr>
          <w:rStyle w:val="Strong"/>
          <w:rFonts w:cstheme="minorHAnsi"/>
          <w:sz w:val="20"/>
          <w:szCs w:val="20"/>
        </w:rPr>
      </w:pPr>
    </w:p>
    <w:p w:rsidR="00A71ECD" w:rsidRPr="003F6B96" w:rsidP="003E2335" w14:paraId="6F37DEB5" w14:textId="6B4B9D27">
      <w:pPr>
        <w:spacing w:after="0"/>
        <w:rPr>
          <w:rStyle w:val="Strong"/>
          <w:rFonts w:cstheme="minorHAnsi"/>
          <w:b w:val="0"/>
          <w:bCs w:val="0"/>
        </w:rPr>
      </w:pPr>
      <w:r w:rsidRPr="003F6B96">
        <w:rPr>
          <w:rStyle w:val="Strong"/>
          <w:rFonts w:cstheme="minorHAnsi"/>
          <w:b w:val="0"/>
          <w:bCs w:val="0"/>
        </w:rPr>
        <w:t>Projected Time Schedule</w:t>
      </w:r>
    </w:p>
    <w:p w:rsidR="00D054F9" w:rsidRPr="00F77C61" w:rsidP="003E2335" w14:paraId="452015B1" w14:textId="77777777">
      <w:pPr>
        <w:spacing w:after="0"/>
        <w:rPr>
          <w:rStyle w:val="Strong"/>
          <w:rFonts w:cstheme="minorHAnsi"/>
          <w:sz w:val="20"/>
          <w:szCs w:val="20"/>
        </w:rPr>
      </w:pPr>
    </w:p>
    <w:tbl>
      <w:tblPr>
        <w:tblStyle w:val="TableGrid1"/>
        <w:tblW w:w="9463" w:type="dxa"/>
        <w:tblLayout w:type="fixed"/>
        <w:tblLook w:val="0000"/>
      </w:tblPr>
      <w:tblGrid>
        <w:gridCol w:w="5850"/>
        <w:gridCol w:w="3613"/>
      </w:tblGrid>
      <w:tr w14:paraId="7C286823" w14:textId="77777777" w:rsidTr="003A46D0">
        <w:tblPrEx>
          <w:tblW w:w="9463" w:type="dxa"/>
          <w:tblLayout w:type="fixed"/>
          <w:tblLook w:val="0000"/>
        </w:tblPrEx>
        <w:trPr>
          <w:trHeight w:val="93"/>
        </w:trPr>
        <w:tc>
          <w:tcPr>
            <w:tcW w:w="5850" w:type="dxa"/>
            <w:shd w:val="clear" w:color="auto" w:fill="D0CECE" w:themeFill="background2" w:themeFillShade="E6"/>
          </w:tcPr>
          <w:p w:rsidR="00F22120" w:rsidRPr="003A46D0" w:rsidP="008A51F9" w14:paraId="6BE171D1" w14:textId="4CC7B7F4">
            <w:pPr>
              <w:rPr>
                <w:rFonts w:asciiTheme="minorHAnsi" w:hAnsiTheme="minorHAnsi" w:cstheme="minorHAnsi"/>
                <w:b/>
                <w:sz w:val="20"/>
                <w:szCs w:val="20"/>
              </w:rPr>
            </w:pPr>
            <w:r w:rsidRPr="003A46D0">
              <w:rPr>
                <w:rFonts w:asciiTheme="minorHAnsi" w:hAnsiTheme="minorHAnsi" w:cstheme="minorHAnsi"/>
                <w:b/>
                <w:sz w:val="20"/>
                <w:szCs w:val="20"/>
              </w:rPr>
              <w:t>Activity</w:t>
            </w:r>
          </w:p>
        </w:tc>
        <w:tc>
          <w:tcPr>
            <w:tcW w:w="3613" w:type="dxa"/>
            <w:shd w:val="clear" w:color="auto" w:fill="D0CECE" w:themeFill="background2" w:themeFillShade="E6"/>
          </w:tcPr>
          <w:p w:rsidR="00F22120" w:rsidRPr="003A46D0" w:rsidP="17D80C04" w14:paraId="7D1A7C88" w14:textId="24E8FCDC">
            <w:pPr>
              <w:rPr>
                <w:rFonts w:asciiTheme="minorHAnsi" w:hAnsiTheme="minorHAnsi" w:cstheme="minorHAnsi"/>
                <w:b/>
                <w:bCs/>
                <w:sz w:val="20"/>
                <w:szCs w:val="20"/>
              </w:rPr>
            </w:pPr>
            <w:r w:rsidRPr="003A46D0">
              <w:rPr>
                <w:rFonts w:asciiTheme="minorHAnsi" w:hAnsiTheme="minorHAnsi" w:cstheme="minorHAnsi"/>
                <w:b/>
                <w:bCs/>
                <w:sz w:val="20"/>
                <w:szCs w:val="20"/>
              </w:rPr>
              <w:t>Timeline</w:t>
            </w:r>
          </w:p>
        </w:tc>
      </w:tr>
      <w:tr w14:paraId="09BCDB24" w14:textId="77777777" w:rsidTr="003A46D0">
        <w:tblPrEx>
          <w:tblW w:w="9463" w:type="dxa"/>
          <w:tblLayout w:type="fixed"/>
          <w:tblLook w:val="0000"/>
        </w:tblPrEx>
        <w:trPr>
          <w:trHeight w:val="432"/>
        </w:trPr>
        <w:tc>
          <w:tcPr>
            <w:tcW w:w="5850" w:type="dxa"/>
            <w:vAlign w:val="center"/>
          </w:tcPr>
          <w:p w:rsidR="00975913" w:rsidRPr="003A46D0" w:rsidP="003A46D0" w14:paraId="3840F192" w14:textId="53D7EAF1">
            <w:pPr>
              <w:rPr>
                <w:rFonts w:asciiTheme="minorHAnsi" w:hAnsiTheme="minorHAnsi" w:cstheme="minorHAnsi"/>
                <w:sz w:val="20"/>
                <w:szCs w:val="20"/>
              </w:rPr>
            </w:pPr>
            <w:r w:rsidRPr="003A46D0">
              <w:rPr>
                <w:rFonts w:asciiTheme="minorHAnsi" w:hAnsiTheme="minorHAnsi" w:cstheme="minorHAnsi"/>
                <w:sz w:val="20"/>
                <w:szCs w:val="20"/>
              </w:rPr>
              <w:t>Follo</w:t>
            </w:r>
            <w:r w:rsidRPr="003A46D0" w:rsidR="004B7AAC">
              <w:rPr>
                <w:rFonts w:asciiTheme="minorHAnsi" w:hAnsiTheme="minorHAnsi" w:cstheme="minorHAnsi"/>
                <w:sz w:val="20"/>
                <w:szCs w:val="20"/>
              </w:rPr>
              <w:t>w</w:t>
            </w:r>
            <w:r w:rsidRPr="003A46D0">
              <w:rPr>
                <w:rFonts w:asciiTheme="minorHAnsi" w:hAnsiTheme="minorHAnsi" w:cstheme="minorHAnsi"/>
                <w:sz w:val="20"/>
                <w:szCs w:val="20"/>
              </w:rPr>
              <w:t xml:space="preserve">-up </w:t>
            </w:r>
            <w:r w:rsidRPr="003A46D0" w:rsidR="004B7AAC">
              <w:rPr>
                <w:rFonts w:asciiTheme="minorHAnsi" w:hAnsiTheme="minorHAnsi" w:cstheme="minorHAnsi"/>
                <w:sz w:val="20"/>
                <w:szCs w:val="20"/>
              </w:rPr>
              <w:t>s</w:t>
            </w:r>
            <w:r w:rsidRPr="003A46D0">
              <w:rPr>
                <w:rFonts w:asciiTheme="minorHAnsi" w:hAnsiTheme="minorHAnsi" w:cstheme="minorHAnsi"/>
                <w:sz w:val="20"/>
                <w:szCs w:val="20"/>
              </w:rPr>
              <w:t>urvey</w:t>
            </w:r>
            <w:r w:rsidRPr="003A46D0" w:rsidR="004B7AAC">
              <w:rPr>
                <w:rFonts w:asciiTheme="minorHAnsi" w:hAnsiTheme="minorHAnsi" w:cstheme="minorHAnsi"/>
                <w:sz w:val="20"/>
                <w:szCs w:val="20"/>
              </w:rPr>
              <w:t xml:space="preserve"> - wave</w:t>
            </w:r>
            <w:r w:rsidRPr="003A46D0">
              <w:rPr>
                <w:rFonts w:asciiTheme="minorHAnsi" w:hAnsiTheme="minorHAnsi" w:cstheme="minorHAnsi"/>
                <w:sz w:val="20"/>
                <w:szCs w:val="20"/>
              </w:rPr>
              <w:t xml:space="preserve"> </w:t>
            </w:r>
            <w:r w:rsidR="003115FD">
              <w:rPr>
                <w:rFonts w:asciiTheme="minorHAnsi" w:hAnsiTheme="minorHAnsi" w:cstheme="minorHAnsi"/>
                <w:sz w:val="20"/>
                <w:szCs w:val="20"/>
              </w:rPr>
              <w:t>1</w:t>
            </w:r>
          </w:p>
        </w:tc>
        <w:tc>
          <w:tcPr>
            <w:tcW w:w="3613" w:type="dxa"/>
            <w:vAlign w:val="center"/>
          </w:tcPr>
          <w:p w:rsidR="00975913" w:rsidRPr="003A46D0" w:rsidP="003A46D0" w14:paraId="2E8043FC" w14:textId="4A22423E">
            <w:pPr>
              <w:rPr>
                <w:rFonts w:asciiTheme="minorHAnsi" w:hAnsiTheme="minorHAnsi" w:cstheme="minorHAnsi"/>
                <w:sz w:val="20"/>
                <w:szCs w:val="20"/>
              </w:rPr>
            </w:pPr>
            <w:r w:rsidRPr="003A46D0">
              <w:rPr>
                <w:rFonts w:asciiTheme="minorHAnsi" w:hAnsiTheme="minorHAnsi" w:cstheme="minorHAnsi"/>
                <w:sz w:val="20"/>
                <w:szCs w:val="20"/>
              </w:rPr>
              <w:t>Dec 2023</w:t>
            </w:r>
          </w:p>
        </w:tc>
      </w:tr>
      <w:tr w14:paraId="761B926A" w14:textId="77777777" w:rsidTr="003A46D0">
        <w:tblPrEx>
          <w:tblW w:w="9463" w:type="dxa"/>
          <w:tblLayout w:type="fixed"/>
          <w:tblLook w:val="0000"/>
        </w:tblPrEx>
        <w:trPr>
          <w:trHeight w:val="432"/>
        </w:trPr>
        <w:tc>
          <w:tcPr>
            <w:tcW w:w="5850" w:type="dxa"/>
            <w:vAlign w:val="center"/>
          </w:tcPr>
          <w:p w:rsidR="002C0102" w:rsidRPr="003A46D0" w:rsidP="003A46D0" w14:paraId="3E135FA5" w14:textId="1D5CF9FE">
            <w:pPr>
              <w:rPr>
                <w:rFonts w:asciiTheme="minorHAnsi" w:hAnsiTheme="minorHAnsi" w:cstheme="minorHAnsi"/>
                <w:bCs/>
                <w:sz w:val="20"/>
                <w:szCs w:val="20"/>
              </w:rPr>
            </w:pPr>
            <w:r w:rsidRPr="003A46D0">
              <w:rPr>
                <w:rFonts w:asciiTheme="minorHAnsi" w:hAnsiTheme="minorHAnsi" w:cstheme="minorHAnsi"/>
                <w:bCs/>
                <w:sz w:val="20"/>
                <w:szCs w:val="20"/>
              </w:rPr>
              <w:t xml:space="preserve">Follow-up survey – wave </w:t>
            </w:r>
            <w:r w:rsidR="003115FD">
              <w:rPr>
                <w:rFonts w:asciiTheme="minorHAnsi" w:hAnsiTheme="minorHAnsi" w:cstheme="minorHAnsi"/>
                <w:bCs/>
                <w:sz w:val="20"/>
                <w:szCs w:val="20"/>
              </w:rPr>
              <w:t>2</w:t>
            </w:r>
          </w:p>
        </w:tc>
        <w:tc>
          <w:tcPr>
            <w:tcW w:w="3613" w:type="dxa"/>
            <w:vAlign w:val="center"/>
          </w:tcPr>
          <w:p w:rsidR="002C0102" w:rsidRPr="003A46D0" w:rsidP="003A46D0" w14:paraId="084910F1" w14:textId="61C804AE">
            <w:pPr>
              <w:rPr>
                <w:rFonts w:asciiTheme="minorHAnsi" w:hAnsiTheme="minorHAnsi" w:cstheme="minorHAnsi"/>
                <w:bCs/>
                <w:sz w:val="20"/>
                <w:szCs w:val="20"/>
              </w:rPr>
            </w:pPr>
            <w:r w:rsidRPr="003A46D0">
              <w:rPr>
                <w:rFonts w:asciiTheme="minorHAnsi" w:hAnsiTheme="minorHAnsi" w:cstheme="minorHAnsi"/>
                <w:bCs/>
                <w:sz w:val="20"/>
                <w:szCs w:val="20"/>
              </w:rPr>
              <w:t>Feb 2024</w:t>
            </w:r>
          </w:p>
        </w:tc>
      </w:tr>
      <w:tr w14:paraId="17C2B58E" w14:textId="77777777" w:rsidTr="003A46D0">
        <w:tblPrEx>
          <w:tblW w:w="9463" w:type="dxa"/>
          <w:tblLayout w:type="fixed"/>
          <w:tblLook w:val="0000"/>
        </w:tblPrEx>
        <w:trPr>
          <w:trHeight w:val="432"/>
        </w:trPr>
        <w:tc>
          <w:tcPr>
            <w:tcW w:w="5850" w:type="dxa"/>
            <w:vAlign w:val="center"/>
          </w:tcPr>
          <w:p w:rsidR="00113A82" w:rsidRPr="003A46D0" w:rsidP="003A46D0" w14:paraId="684C7C53" w14:textId="4D80289B">
            <w:pPr>
              <w:rPr>
                <w:rFonts w:asciiTheme="minorHAnsi" w:hAnsiTheme="minorHAnsi" w:cstheme="minorHAnsi"/>
                <w:sz w:val="20"/>
                <w:szCs w:val="20"/>
              </w:rPr>
            </w:pPr>
            <w:r w:rsidRPr="003A46D0">
              <w:rPr>
                <w:rFonts w:asciiTheme="minorHAnsi" w:hAnsiTheme="minorHAnsi" w:cstheme="minorHAnsi"/>
                <w:sz w:val="20"/>
                <w:szCs w:val="20"/>
              </w:rPr>
              <w:t>Cleaning and analysis of post-campaign data (Quantitative)</w:t>
            </w:r>
          </w:p>
        </w:tc>
        <w:tc>
          <w:tcPr>
            <w:tcW w:w="3613" w:type="dxa"/>
            <w:vAlign w:val="center"/>
          </w:tcPr>
          <w:p w:rsidR="00113A82" w:rsidRPr="003A46D0" w:rsidP="003A46D0" w14:paraId="594A704A" w14:textId="02F3C858">
            <w:pPr>
              <w:rPr>
                <w:rFonts w:asciiTheme="minorHAnsi" w:hAnsiTheme="minorHAnsi" w:cstheme="minorHAnsi"/>
                <w:sz w:val="20"/>
                <w:szCs w:val="20"/>
              </w:rPr>
            </w:pPr>
            <w:r w:rsidRPr="003A46D0">
              <w:rPr>
                <w:rFonts w:asciiTheme="minorHAnsi" w:hAnsiTheme="minorHAnsi" w:cstheme="minorHAnsi"/>
                <w:sz w:val="20"/>
                <w:szCs w:val="20"/>
              </w:rPr>
              <w:t>Feb-Mar</w:t>
            </w:r>
            <w:r w:rsidRPr="003A46D0" w:rsidR="54D60E07">
              <w:rPr>
                <w:rFonts w:asciiTheme="minorHAnsi" w:hAnsiTheme="minorHAnsi" w:cstheme="minorHAnsi"/>
                <w:sz w:val="20"/>
                <w:szCs w:val="20"/>
              </w:rPr>
              <w:t xml:space="preserve"> 2024</w:t>
            </w:r>
          </w:p>
        </w:tc>
      </w:tr>
      <w:tr w14:paraId="71919D88" w14:textId="77777777" w:rsidTr="003A46D0">
        <w:tblPrEx>
          <w:tblW w:w="9463" w:type="dxa"/>
          <w:tblLayout w:type="fixed"/>
          <w:tblLook w:val="0000"/>
        </w:tblPrEx>
        <w:trPr>
          <w:trHeight w:val="432"/>
        </w:trPr>
        <w:tc>
          <w:tcPr>
            <w:tcW w:w="5850" w:type="dxa"/>
            <w:vAlign w:val="center"/>
          </w:tcPr>
          <w:p w:rsidR="00113A82" w:rsidRPr="003A46D0" w:rsidP="003A46D0" w14:paraId="58F111A1" w14:textId="4F4521E5">
            <w:pPr>
              <w:rPr>
                <w:rFonts w:asciiTheme="minorHAnsi" w:hAnsiTheme="minorHAnsi" w:cstheme="minorHAnsi"/>
                <w:sz w:val="20"/>
                <w:szCs w:val="20"/>
              </w:rPr>
            </w:pPr>
            <w:r w:rsidRPr="003A46D0">
              <w:rPr>
                <w:rFonts w:asciiTheme="minorHAnsi" w:hAnsiTheme="minorHAnsi" w:cstheme="minorHAnsi"/>
                <w:sz w:val="20"/>
                <w:szCs w:val="20"/>
              </w:rPr>
              <w:t>Publications, presentations, reports</w:t>
            </w:r>
          </w:p>
        </w:tc>
        <w:tc>
          <w:tcPr>
            <w:tcW w:w="3613" w:type="dxa"/>
            <w:vAlign w:val="center"/>
          </w:tcPr>
          <w:p w:rsidR="00113A82" w:rsidRPr="003A46D0" w:rsidP="003A46D0" w14:paraId="333E2156" w14:textId="68EE3901">
            <w:pPr>
              <w:rPr>
                <w:rFonts w:asciiTheme="minorHAnsi" w:hAnsiTheme="minorHAnsi" w:cstheme="minorHAnsi"/>
                <w:sz w:val="20"/>
                <w:szCs w:val="20"/>
              </w:rPr>
            </w:pPr>
            <w:r w:rsidRPr="003A46D0">
              <w:rPr>
                <w:rFonts w:asciiTheme="minorHAnsi" w:hAnsiTheme="minorHAnsi" w:cstheme="minorHAnsi"/>
                <w:sz w:val="20"/>
                <w:szCs w:val="20"/>
              </w:rPr>
              <w:t>A</w:t>
            </w:r>
            <w:r w:rsidRPr="003A46D0" w:rsidR="00D054F9">
              <w:rPr>
                <w:rFonts w:asciiTheme="minorHAnsi" w:hAnsiTheme="minorHAnsi" w:cstheme="minorHAnsi"/>
                <w:sz w:val="20"/>
                <w:szCs w:val="20"/>
              </w:rPr>
              <w:t>pr</w:t>
            </w:r>
            <w:r w:rsidRPr="003A46D0">
              <w:rPr>
                <w:rFonts w:asciiTheme="minorHAnsi" w:hAnsiTheme="minorHAnsi" w:cstheme="minorHAnsi"/>
                <w:sz w:val="20"/>
                <w:szCs w:val="20"/>
              </w:rPr>
              <w:t>-May 2024</w:t>
            </w:r>
          </w:p>
        </w:tc>
      </w:tr>
    </w:tbl>
    <w:p w:rsidR="00AC7D87" w:rsidP="00AC7D87" w14:paraId="70F4BA23" w14:textId="77777777"/>
    <w:p w:rsidR="00746AEB" w:rsidP="00AC7D87" w14:paraId="10BB07AB" w14:textId="5146FA58">
      <w:r>
        <w:t>Analyses of retrospective data will examine reported perceptions of well-being and changes in outcomes such as increases in awareness and knowledge as well as, changes or intent to change working conditions and help seeking behaviors. These analyses will not only be conducted across all participants, but data will be stratified by race, ethnicity, gender, and occupational groups to determine whether associations exist between outcomes within and across groups to better understand whether the campaign benefits some groups more than others.</w:t>
      </w:r>
    </w:p>
    <w:p w:rsidR="00AC7D87" w:rsidRPr="00AC7D87" w:rsidP="00AC7D87" w14:paraId="62E4A201" w14:textId="77777777"/>
    <w:p w:rsidR="00E109F6" w:rsidRPr="00F77C61" w:rsidP="008A51F9" w14:paraId="5A2CA45A" w14:textId="6B9D6866">
      <w:pPr>
        <w:pStyle w:val="Heading1"/>
        <w:spacing w:before="0" w:line="240" w:lineRule="auto"/>
        <w:rPr>
          <w:rFonts w:asciiTheme="minorHAnsi" w:hAnsiTheme="minorHAnsi" w:cstheme="minorHAnsi"/>
          <w:b/>
          <w:color w:val="auto"/>
          <w:sz w:val="24"/>
          <w:szCs w:val="24"/>
        </w:rPr>
      </w:pPr>
      <w:r w:rsidRPr="00F77C61">
        <w:rPr>
          <w:rFonts w:asciiTheme="minorHAnsi" w:hAnsiTheme="minorHAnsi" w:cstheme="minorHAnsi"/>
          <w:b/>
          <w:color w:val="auto"/>
          <w:sz w:val="24"/>
          <w:szCs w:val="24"/>
        </w:rPr>
        <w:t xml:space="preserve">17. </w:t>
      </w:r>
      <w:r w:rsidRPr="00F77C61">
        <w:rPr>
          <w:rFonts w:asciiTheme="minorHAnsi" w:hAnsiTheme="minorHAnsi" w:cstheme="minorHAnsi"/>
          <w:b/>
          <w:color w:val="auto"/>
          <w:sz w:val="24"/>
          <w:szCs w:val="24"/>
        </w:rPr>
        <w:t>Reason(s) Display of OMB Expiration Date is Inappropriate</w:t>
      </w:r>
    </w:p>
    <w:p w:rsidR="008A51F9" w:rsidRPr="00F77C61" w:rsidP="008A51F9" w14:paraId="0DCD6077" w14:textId="77777777">
      <w:pPr>
        <w:spacing w:after="0" w:line="240" w:lineRule="auto"/>
        <w:rPr>
          <w:rFonts w:cstheme="minorHAnsi"/>
          <w:sz w:val="24"/>
          <w:szCs w:val="24"/>
        </w:rPr>
      </w:pPr>
    </w:p>
    <w:p w:rsidR="00855D0D" w:rsidRPr="00F77C61" w:rsidP="004808B3" w14:paraId="5AE58847" w14:textId="5DE3F8D1">
      <w:r w:rsidRPr="00F77C61">
        <w:t>The display of the OMB expiration date is not inappropriate.</w:t>
      </w:r>
    </w:p>
    <w:p w:rsidR="00746AEB" w:rsidRPr="00F77C61" w:rsidP="008A51F9" w14:paraId="2006273C" w14:textId="77777777">
      <w:pPr>
        <w:pStyle w:val="Heading1"/>
        <w:spacing w:before="0" w:line="240" w:lineRule="auto"/>
        <w:rPr>
          <w:rFonts w:asciiTheme="minorHAnsi" w:hAnsiTheme="minorHAnsi" w:cstheme="minorHAnsi"/>
          <w:b/>
          <w:color w:val="auto"/>
          <w:sz w:val="24"/>
          <w:szCs w:val="24"/>
        </w:rPr>
      </w:pPr>
    </w:p>
    <w:p w:rsidR="00E41FD3" w:rsidRPr="00F77C61" w:rsidP="008A51F9" w14:paraId="7B972FEE" w14:textId="681F9E3B">
      <w:pPr>
        <w:pStyle w:val="Heading1"/>
        <w:spacing w:before="0" w:line="240" w:lineRule="auto"/>
        <w:rPr>
          <w:rFonts w:asciiTheme="minorHAnsi" w:hAnsiTheme="minorHAnsi" w:cstheme="minorHAnsi"/>
          <w:b/>
          <w:color w:val="auto"/>
          <w:sz w:val="24"/>
          <w:szCs w:val="24"/>
        </w:rPr>
      </w:pPr>
      <w:r w:rsidRPr="00F77C61">
        <w:rPr>
          <w:rFonts w:asciiTheme="minorHAnsi" w:hAnsiTheme="minorHAnsi" w:cstheme="minorHAnsi"/>
          <w:b/>
          <w:color w:val="auto"/>
          <w:sz w:val="24"/>
          <w:szCs w:val="24"/>
        </w:rPr>
        <w:t xml:space="preserve">18. </w:t>
      </w:r>
      <w:r w:rsidRPr="00F77C61">
        <w:rPr>
          <w:rFonts w:asciiTheme="minorHAnsi" w:hAnsiTheme="minorHAnsi" w:cstheme="minorHAnsi"/>
          <w:b/>
          <w:color w:val="auto"/>
          <w:sz w:val="24"/>
          <w:szCs w:val="24"/>
        </w:rPr>
        <w:t>Exceptions to Certification for Paperwork Reduction Act Submissions</w:t>
      </w:r>
    </w:p>
    <w:p w:rsidR="008A51F9" w:rsidRPr="00F77C61" w:rsidP="008A51F9" w14:paraId="4013F6A7" w14:textId="77777777">
      <w:pPr>
        <w:spacing w:after="0" w:line="240" w:lineRule="auto"/>
        <w:rPr>
          <w:rFonts w:cstheme="minorHAnsi"/>
          <w:sz w:val="24"/>
          <w:szCs w:val="24"/>
        </w:rPr>
      </w:pPr>
    </w:p>
    <w:p w:rsidR="00630287" w:rsidRPr="004808B3" w:rsidP="004808B3" w14:paraId="36D39B06" w14:textId="598B5A9F">
      <w:r w:rsidRPr="00F77C61">
        <w:t>There are no exceptions to the certification.</w:t>
      </w:r>
    </w:p>
    <w:sectPr w:rsidSect="00F5723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9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TCFranklinGothicStd-Book">
    <w:altName w:val="Cambria"/>
    <w:panose1 w:val="00000000000000000000"/>
    <w:charset w:val="00"/>
    <w:family w:val="roman"/>
    <w:notTrueType/>
    <w:pitch w:val="default"/>
  </w:font>
  <w:font w:name="ZapfDingbatsSt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1F36" w14:paraId="37A505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4048990"/>
      <w:docPartObj>
        <w:docPartGallery w:val="Page Numbers (Bottom of Page)"/>
        <w:docPartUnique/>
      </w:docPartObj>
    </w:sdtPr>
    <w:sdtEndPr>
      <w:rPr>
        <w:rFonts w:ascii="Times New Roman" w:hAnsi="Times New Roman" w:cs="Times New Roman"/>
        <w:noProof/>
      </w:rPr>
    </w:sdtEndPr>
    <w:sdtContent>
      <w:p w:rsidR="00F06F57" w:rsidRPr="002C0102" w14:paraId="31EA857F" w14:textId="43C3BBA3">
        <w:pPr>
          <w:pStyle w:val="Footer"/>
          <w:jc w:val="center"/>
          <w:rPr>
            <w:rFonts w:ascii="Times New Roman" w:hAnsi="Times New Roman" w:cs="Times New Roman"/>
          </w:rPr>
        </w:pPr>
        <w:r w:rsidRPr="002C0102">
          <w:rPr>
            <w:rFonts w:ascii="Times New Roman" w:hAnsi="Times New Roman" w:cs="Times New Roman"/>
          </w:rPr>
          <w:fldChar w:fldCharType="begin"/>
        </w:r>
        <w:r w:rsidRPr="002C0102">
          <w:rPr>
            <w:rFonts w:ascii="Times New Roman" w:hAnsi="Times New Roman" w:cs="Times New Roman"/>
          </w:rPr>
          <w:instrText xml:space="preserve"> PAGE   \* MERGEFORMAT </w:instrText>
        </w:r>
        <w:r w:rsidRPr="002C0102">
          <w:rPr>
            <w:rFonts w:ascii="Times New Roman" w:hAnsi="Times New Roman" w:cs="Times New Roman"/>
          </w:rPr>
          <w:fldChar w:fldCharType="separate"/>
        </w:r>
        <w:r w:rsidR="002C0102">
          <w:rPr>
            <w:rFonts w:ascii="Times New Roman" w:hAnsi="Times New Roman" w:cs="Times New Roman"/>
            <w:noProof/>
          </w:rPr>
          <w:t>15</w:t>
        </w:r>
        <w:r w:rsidRPr="002C0102">
          <w:rPr>
            <w:rFonts w:ascii="Times New Roman" w:hAnsi="Times New Roman" w:cs="Times New Roman"/>
            <w:noProof/>
          </w:rPr>
          <w:fldChar w:fldCharType="end"/>
        </w:r>
      </w:p>
    </w:sdtContent>
  </w:sdt>
  <w:p w:rsidR="00F06F57" w:rsidRPr="003448A1" w:rsidP="003448A1" w14:paraId="513C9A16" w14:textId="1CDBA8E1">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1F36" w14:paraId="4F3B29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0451" w:rsidP="001E7D57" w14:paraId="37EECCE7" w14:textId="77777777">
      <w:pPr>
        <w:spacing w:after="0" w:line="240" w:lineRule="auto"/>
      </w:pPr>
      <w:r>
        <w:separator/>
      </w:r>
    </w:p>
  </w:footnote>
  <w:footnote w:type="continuationSeparator" w:id="1">
    <w:p w:rsidR="00160451" w:rsidP="001E7D57" w14:paraId="6EE7D0C8" w14:textId="77777777">
      <w:pPr>
        <w:spacing w:after="0" w:line="240" w:lineRule="auto"/>
      </w:pPr>
      <w:r>
        <w:continuationSeparator/>
      </w:r>
    </w:p>
  </w:footnote>
  <w:footnote w:type="continuationNotice" w:id="2">
    <w:p w:rsidR="00160451" w14:paraId="3ED98389" w14:textId="77777777">
      <w:pPr>
        <w:spacing w:after="0" w:line="240" w:lineRule="auto"/>
      </w:pPr>
    </w:p>
  </w:footnote>
  <w:footnote w:id="3">
    <w:p w:rsidR="00F06F57" w:rsidRPr="00D13C96" w:rsidP="009031B7" w14:paraId="1E7C94DD" w14:textId="77777777">
      <w:pPr>
        <w:pStyle w:val="FootnoteText"/>
        <w:rPr>
          <w:rFonts w:cstheme="minorHAnsi"/>
        </w:rPr>
      </w:pPr>
      <w:r w:rsidRPr="00D13C96">
        <w:rPr>
          <w:rStyle w:val="FootnoteReference"/>
          <w:rFonts w:cstheme="minorHAnsi"/>
        </w:rPr>
        <w:footnoteRef/>
      </w:r>
      <w:r w:rsidRPr="00D13C96">
        <w:rPr>
          <w:rFonts w:cstheme="minorHAnsi"/>
        </w:rPr>
        <w:t xml:space="preserve"> Shanafelt,  Tait  D.,  et  al.  “Burnout  and  Satisfaction  with  Work-Life  Balance  among  Us Physicians Relative to the  General US Population.” </w:t>
      </w:r>
      <w:r w:rsidRPr="00D13C96">
        <w:rPr>
          <w:rFonts w:cstheme="minorHAnsi"/>
          <w:i/>
          <w:iCs/>
        </w:rPr>
        <w:t>Archives of Internal Medicine</w:t>
      </w:r>
      <w:r w:rsidRPr="00D13C96">
        <w:rPr>
          <w:rFonts w:cstheme="minorHAnsi"/>
        </w:rPr>
        <w:t xml:space="preserve">, vol. 172, no. 18, 2012, p. 1377., </w:t>
      </w:r>
      <w:hyperlink r:id="rId1" w:history="1">
        <w:r w:rsidRPr="00D13C96">
          <w:rPr>
            <w:rStyle w:val="Hyperlink"/>
            <w:rFonts w:cstheme="minorHAnsi"/>
          </w:rPr>
          <w:t>https://doi.org/10.1001/archinternmed.2012.3199</w:t>
        </w:r>
      </w:hyperlink>
      <w:r w:rsidRPr="00D13C96">
        <w:rPr>
          <w:rFonts w:cstheme="minorHAnsi"/>
        </w:rPr>
        <w:t xml:space="preserve">. </w:t>
      </w:r>
    </w:p>
  </w:footnote>
  <w:footnote w:id="4">
    <w:p w:rsidR="00F06F57" w:rsidRPr="00D13C96" w:rsidP="009031B7" w14:paraId="2C67A80B" w14:textId="77777777">
      <w:pPr>
        <w:pStyle w:val="FootnoteText"/>
        <w:rPr>
          <w:rFonts w:cstheme="minorHAnsi"/>
        </w:rPr>
      </w:pPr>
      <w:r w:rsidRPr="00D13C96">
        <w:rPr>
          <w:rStyle w:val="FootnoteReference"/>
          <w:rFonts w:cstheme="minorHAnsi"/>
        </w:rPr>
        <w:footnoteRef/>
      </w:r>
      <w:r w:rsidRPr="00D13C96">
        <w:rPr>
          <w:rFonts w:cstheme="minorHAnsi"/>
        </w:rPr>
        <w:t xml:space="preserve"> Galanis, Petros et al. “Nurses' burnout and associated risk factors during the COVID-19 pandemic: A systematic  review  and  meta-analysis.” </w:t>
      </w:r>
      <w:r w:rsidRPr="00D13C96">
        <w:rPr>
          <w:rFonts w:cstheme="minorHAnsi"/>
          <w:i/>
          <w:iCs/>
        </w:rPr>
        <w:t>Journal of advanced nursing</w:t>
      </w:r>
      <w:r w:rsidRPr="00D13C96">
        <w:rPr>
          <w:rFonts w:cstheme="minorHAnsi"/>
        </w:rPr>
        <w:t>, vol. 77, no. 8 (2021):  3286-3302. doi:10.1111/jan.14839</w:t>
      </w:r>
    </w:p>
  </w:footnote>
  <w:footnote w:id="5">
    <w:p w:rsidR="00F06F57" w:rsidRPr="0080341A" w:rsidP="009031B7" w14:paraId="1FA68BF5" w14:textId="77777777">
      <w:pPr>
        <w:pStyle w:val="FootnoteText"/>
        <w:rPr>
          <w:rFonts w:ascii="Times New Roman" w:hAnsi="Times New Roman" w:cs="Times New Roman"/>
        </w:rPr>
      </w:pPr>
      <w:r w:rsidRPr="00D13C96">
        <w:rPr>
          <w:rStyle w:val="FootnoteReference"/>
          <w:rFonts w:cstheme="minorHAnsi"/>
        </w:rPr>
        <w:footnoteRef/>
      </w:r>
      <w:r w:rsidRPr="00D13C96">
        <w:rPr>
          <w:rFonts w:cstheme="minorHAnsi"/>
        </w:rPr>
        <w:t xml:space="preserve"> “The Mental Health of Healthcare Workers in COVID-19.” </w:t>
      </w:r>
      <w:r w:rsidRPr="00D13C96">
        <w:rPr>
          <w:rFonts w:cstheme="minorHAnsi"/>
          <w:i/>
          <w:iCs/>
        </w:rPr>
        <w:t>Mental Health America</w:t>
      </w:r>
      <w:r w:rsidRPr="00D13C96">
        <w:rPr>
          <w:rFonts w:cstheme="minorHAnsi"/>
        </w:rPr>
        <w:t xml:space="preserve">, Mental Health America, Inc., </w:t>
      </w:r>
      <w:hyperlink r:id="rId2" w:history="1">
        <w:r w:rsidRPr="00D13C96">
          <w:rPr>
            <w:rStyle w:val="Hyperlink"/>
            <w:rFonts w:cstheme="minorHAnsi"/>
          </w:rPr>
          <w:t>https://mhanational.org/mental-health-healthcare-workers-covid-19</w:t>
        </w:r>
      </w:hyperlink>
      <w:r w:rsidRPr="00D13C96">
        <w:rPr>
          <w:rFonts w:cstheme="minorHAnsi"/>
        </w:rPr>
        <w:t>.</w:t>
      </w:r>
      <w:r w:rsidRPr="00D13C96">
        <w:rPr>
          <w:rFonts w:cstheme="minorHAnsi"/>
          <w:shd w:val="clear" w:color="auto" w:fill="FAF9F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1F36" w14:paraId="0EFF8A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1F36" w14:paraId="3EEDB01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1F36" w14:paraId="1162F9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B1C39"/>
    <w:multiLevelType w:val="hybridMultilevel"/>
    <w:tmpl w:val="E16ED8C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5EE1E2D"/>
    <w:multiLevelType w:val="hybridMultilevel"/>
    <w:tmpl w:val="39E22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683B27"/>
    <w:multiLevelType w:val="hybridMultilevel"/>
    <w:tmpl w:val="EF88F6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BE293B"/>
    <w:multiLevelType w:val="multilevel"/>
    <w:tmpl w:val="DDEC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714B43"/>
    <w:multiLevelType w:val="hybridMultilevel"/>
    <w:tmpl w:val="1EA650E6"/>
    <w:lvl w:ilvl="0">
      <w:start w:val="1"/>
      <w:numFmt w:val="bullet"/>
      <w:lvlText w:val=""/>
      <w:lvlJc w:val="left"/>
      <w:pPr>
        <w:ind w:left="360" w:hanging="360"/>
      </w:pPr>
      <w:rPr>
        <w:rFonts w:ascii="Wingdings" w:hAnsi="Wingdings" w:hint="default"/>
      </w:rPr>
    </w:lvl>
    <w:lvl w:ilvl="1">
      <w:start w:val="0"/>
      <w:numFmt w:val="bullet"/>
      <w:lvlText w:val="-"/>
      <w:lvlJc w:val="left"/>
      <w:pPr>
        <w:ind w:left="1080" w:hanging="360"/>
      </w:pPr>
      <w:rPr>
        <w:rFonts w:ascii="Times New Roman" w:hAnsi="Times New Roman" w:eastAsiaTheme="minorHAnsi"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6BD0B1A"/>
    <w:multiLevelType w:val="hybridMultilevel"/>
    <w:tmpl w:val="401855C6"/>
    <w:lvl w:ilvl="0">
      <w:start w:val="1"/>
      <w:numFmt w:val="decimal"/>
      <w:lvlText w:val="%1."/>
      <w:lvlJc w:val="left"/>
      <w:pPr>
        <w:ind w:left="135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6DA6612"/>
    <w:multiLevelType w:val="hybridMultilevel"/>
    <w:tmpl w:val="7B7A87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873381C"/>
    <w:multiLevelType w:val="multilevel"/>
    <w:tmpl w:val="74427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724F29"/>
    <w:multiLevelType w:val="hybridMultilevel"/>
    <w:tmpl w:val="50F06462"/>
    <w:lvl w:ilvl="0">
      <w:start w:val="1"/>
      <w:numFmt w:val="bullet"/>
      <w:lvlText w:val=""/>
      <w:lvlJc w:val="left"/>
      <w:pPr>
        <w:ind w:left="450" w:hanging="360"/>
      </w:pPr>
      <w:rPr>
        <w:rFonts w:ascii="Wingdings" w:hAnsi="Wingdings"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9">
    <w:nsid w:val="1C4A0830"/>
    <w:multiLevelType w:val="hybridMultilevel"/>
    <w:tmpl w:val="74380F6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ED336D"/>
    <w:multiLevelType w:val="hybridMultilevel"/>
    <w:tmpl w:val="5D96A5B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2C46F18"/>
    <w:multiLevelType w:val="hybridMultilevel"/>
    <w:tmpl w:val="6620487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1C4962"/>
    <w:multiLevelType w:val="hybridMultilevel"/>
    <w:tmpl w:val="10DE8E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EA3E2E"/>
    <w:multiLevelType w:val="hybridMultilevel"/>
    <w:tmpl w:val="F2D6A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B464D76"/>
    <w:multiLevelType w:val="hybridMultilevel"/>
    <w:tmpl w:val="DC8A5F0E"/>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5">
    <w:nsid w:val="2CDC1FB2"/>
    <w:multiLevelType w:val="multilevel"/>
    <w:tmpl w:val="4DF06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F3750E"/>
    <w:multiLevelType w:val="multilevel"/>
    <w:tmpl w:val="E610A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1D43F6"/>
    <w:multiLevelType w:val="multilevel"/>
    <w:tmpl w:val="DFBE3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C261D6"/>
    <w:multiLevelType w:val="multilevel"/>
    <w:tmpl w:val="584C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C6A4E0"/>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44897BD8"/>
    <w:multiLevelType w:val="hybridMultilevel"/>
    <w:tmpl w:val="B29EF1E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7F829BC"/>
    <w:multiLevelType w:val="hybridMultilevel"/>
    <w:tmpl w:val="83942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F33F57"/>
    <w:multiLevelType w:val="hybridMultilevel"/>
    <w:tmpl w:val="37CE47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F984A4E"/>
    <w:multiLevelType w:val="hybridMultilevel"/>
    <w:tmpl w:val="10DE8E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1B85459"/>
    <w:multiLevelType w:val="hybridMultilevel"/>
    <w:tmpl w:val="60E6D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27C179F"/>
    <w:multiLevelType w:val="hybridMultilevel"/>
    <w:tmpl w:val="EC0E78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E856EE"/>
    <w:multiLevelType w:val="hybridMultilevel"/>
    <w:tmpl w:val="BBB23F64"/>
    <w:lvl w:ilvl="0">
      <w:start w:val="1"/>
      <w:numFmt w:val="lowerLetter"/>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4034CFA"/>
    <w:multiLevelType w:val="hybridMultilevel"/>
    <w:tmpl w:val="6BF4F3C8"/>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ABE7971"/>
    <w:multiLevelType w:val="hybridMultilevel"/>
    <w:tmpl w:val="5F6AE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B73FA8C"/>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5E286CC2"/>
    <w:multiLevelType w:val="hybridMultilevel"/>
    <w:tmpl w:val="0E7032B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1F372CB"/>
    <w:multiLevelType w:val="hybridMultilevel"/>
    <w:tmpl w:val="43FA3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898643F"/>
    <w:multiLevelType w:val="hybridMultilevel"/>
    <w:tmpl w:val="130AA7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9A7CAC"/>
    <w:multiLevelType w:val="hybridMultilevel"/>
    <w:tmpl w:val="151058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D1675E"/>
    <w:multiLevelType w:val="multilevel"/>
    <w:tmpl w:val="BBD2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5B13D5"/>
    <w:multiLevelType w:val="hybridMultilevel"/>
    <w:tmpl w:val="FF1ED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B8E5C6F"/>
    <w:multiLevelType w:val="multilevel"/>
    <w:tmpl w:val="AD22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E15955"/>
    <w:multiLevelType w:val="hybridMultilevel"/>
    <w:tmpl w:val="ACDAD0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5675693">
    <w:abstractNumId w:val="27"/>
  </w:num>
  <w:num w:numId="2" w16cid:durableId="648097307">
    <w:abstractNumId w:val="25"/>
  </w:num>
  <w:num w:numId="3" w16cid:durableId="328413202">
    <w:abstractNumId w:val="21"/>
  </w:num>
  <w:num w:numId="4" w16cid:durableId="4057652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9095281">
    <w:abstractNumId w:val="13"/>
  </w:num>
  <w:num w:numId="6" w16cid:durableId="1078748744">
    <w:abstractNumId w:val="20"/>
  </w:num>
  <w:num w:numId="7" w16cid:durableId="1169178370">
    <w:abstractNumId w:val="37"/>
  </w:num>
  <w:num w:numId="8" w16cid:durableId="250700694">
    <w:abstractNumId w:val="18"/>
  </w:num>
  <w:num w:numId="9" w16cid:durableId="1736705256">
    <w:abstractNumId w:val="0"/>
  </w:num>
  <w:num w:numId="10" w16cid:durableId="1230772023">
    <w:abstractNumId w:val="4"/>
  </w:num>
  <w:num w:numId="11" w16cid:durableId="981158951">
    <w:abstractNumId w:val="36"/>
  </w:num>
  <w:num w:numId="12" w16cid:durableId="1012874622">
    <w:abstractNumId w:val="3"/>
  </w:num>
  <w:num w:numId="13" w16cid:durableId="805395170">
    <w:abstractNumId w:val="34"/>
  </w:num>
  <w:num w:numId="14" w16cid:durableId="1508790026">
    <w:abstractNumId w:val="16"/>
  </w:num>
  <w:num w:numId="15" w16cid:durableId="1551453410">
    <w:abstractNumId w:val="17"/>
  </w:num>
  <w:num w:numId="16" w16cid:durableId="828666798">
    <w:abstractNumId w:val="7"/>
  </w:num>
  <w:num w:numId="17" w16cid:durableId="1581914232">
    <w:abstractNumId w:val="15"/>
  </w:num>
  <w:num w:numId="18" w16cid:durableId="358969107">
    <w:abstractNumId w:val="31"/>
  </w:num>
  <w:num w:numId="19" w16cid:durableId="1384063338">
    <w:abstractNumId w:val="22"/>
  </w:num>
  <w:num w:numId="20" w16cid:durableId="1864395944">
    <w:abstractNumId w:val="35"/>
  </w:num>
  <w:num w:numId="21" w16cid:durableId="1254359417">
    <w:abstractNumId w:val="1"/>
  </w:num>
  <w:num w:numId="22" w16cid:durableId="777792782">
    <w:abstractNumId w:val="24"/>
  </w:num>
  <w:num w:numId="23" w16cid:durableId="644697339">
    <w:abstractNumId w:val="28"/>
  </w:num>
  <w:num w:numId="24" w16cid:durableId="1175538479">
    <w:abstractNumId w:val="14"/>
  </w:num>
  <w:num w:numId="25" w16cid:durableId="724261328">
    <w:abstractNumId w:val="8"/>
  </w:num>
  <w:num w:numId="26" w16cid:durableId="683018949">
    <w:abstractNumId w:val="9"/>
  </w:num>
  <w:num w:numId="27" w16cid:durableId="983893694">
    <w:abstractNumId w:val="11"/>
  </w:num>
  <w:num w:numId="28" w16cid:durableId="1512794237">
    <w:abstractNumId w:val="6"/>
  </w:num>
  <w:num w:numId="29" w16cid:durableId="1367220803">
    <w:abstractNumId w:val="29"/>
  </w:num>
  <w:num w:numId="30" w16cid:durableId="1342394493">
    <w:abstractNumId w:val="19"/>
  </w:num>
  <w:num w:numId="31" w16cid:durableId="1024746693">
    <w:abstractNumId w:val="10"/>
  </w:num>
  <w:num w:numId="32" w16cid:durableId="1161121899">
    <w:abstractNumId w:val="33"/>
  </w:num>
  <w:num w:numId="33" w16cid:durableId="908920833">
    <w:abstractNumId w:val="5"/>
  </w:num>
  <w:num w:numId="34" w16cid:durableId="956564847">
    <w:abstractNumId w:val="2"/>
  </w:num>
  <w:num w:numId="35" w16cid:durableId="1974826036">
    <w:abstractNumId w:val="12"/>
  </w:num>
  <w:num w:numId="36" w16cid:durableId="957613369">
    <w:abstractNumId w:val="23"/>
  </w:num>
  <w:num w:numId="37" w16cid:durableId="1734310710">
    <w:abstractNumId w:val="32"/>
  </w:num>
  <w:num w:numId="38" w16cid:durableId="1876892358">
    <w:abstractNumId w:val="26"/>
  </w:num>
  <w:num w:numId="39" w16cid:durableId="13670268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8F"/>
    <w:rsid w:val="00001854"/>
    <w:rsid w:val="00002BA6"/>
    <w:rsid w:val="0000403B"/>
    <w:rsid w:val="00004421"/>
    <w:rsid w:val="00005E2C"/>
    <w:rsid w:val="00007A24"/>
    <w:rsid w:val="00007DAA"/>
    <w:rsid w:val="0001018D"/>
    <w:rsid w:val="00011031"/>
    <w:rsid w:val="000113A0"/>
    <w:rsid w:val="0001176D"/>
    <w:rsid w:val="00012109"/>
    <w:rsid w:val="0001226A"/>
    <w:rsid w:val="000171CD"/>
    <w:rsid w:val="00017F99"/>
    <w:rsid w:val="000209CB"/>
    <w:rsid w:val="000251EB"/>
    <w:rsid w:val="00025C03"/>
    <w:rsid w:val="00027DFD"/>
    <w:rsid w:val="0003013A"/>
    <w:rsid w:val="00030F69"/>
    <w:rsid w:val="00032D22"/>
    <w:rsid w:val="00034CA2"/>
    <w:rsid w:val="00040391"/>
    <w:rsid w:val="00040F7D"/>
    <w:rsid w:val="00042109"/>
    <w:rsid w:val="000430BE"/>
    <w:rsid w:val="00044039"/>
    <w:rsid w:val="00044796"/>
    <w:rsid w:val="00044CFB"/>
    <w:rsid w:val="000457CC"/>
    <w:rsid w:val="00045E12"/>
    <w:rsid w:val="00047AA9"/>
    <w:rsid w:val="00054AEA"/>
    <w:rsid w:val="00055071"/>
    <w:rsid w:val="0005794D"/>
    <w:rsid w:val="000635D2"/>
    <w:rsid w:val="000656C9"/>
    <w:rsid w:val="000664CB"/>
    <w:rsid w:val="00066856"/>
    <w:rsid w:val="00066E4C"/>
    <w:rsid w:val="00067B48"/>
    <w:rsid w:val="00067E48"/>
    <w:rsid w:val="00067E75"/>
    <w:rsid w:val="000711A6"/>
    <w:rsid w:val="0007162E"/>
    <w:rsid w:val="0007196C"/>
    <w:rsid w:val="0007214C"/>
    <w:rsid w:val="00072D52"/>
    <w:rsid w:val="00075261"/>
    <w:rsid w:val="00075C83"/>
    <w:rsid w:val="000769E3"/>
    <w:rsid w:val="000806AC"/>
    <w:rsid w:val="000812AD"/>
    <w:rsid w:val="00081B36"/>
    <w:rsid w:val="0008368B"/>
    <w:rsid w:val="00085225"/>
    <w:rsid w:val="00090C0C"/>
    <w:rsid w:val="00091243"/>
    <w:rsid w:val="00091F0D"/>
    <w:rsid w:val="000920DE"/>
    <w:rsid w:val="0009260E"/>
    <w:rsid w:val="000970B0"/>
    <w:rsid w:val="000973C1"/>
    <w:rsid w:val="000973E5"/>
    <w:rsid w:val="000A0163"/>
    <w:rsid w:val="000A0733"/>
    <w:rsid w:val="000A0934"/>
    <w:rsid w:val="000A14E9"/>
    <w:rsid w:val="000A3A4C"/>
    <w:rsid w:val="000A3EAB"/>
    <w:rsid w:val="000A692B"/>
    <w:rsid w:val="000B1185"/>
    <w:rsid w:val="000B1CDA"/>
    <w:rsid w:val="000B3219"/>
    <w:rsid w:val="000B3B1A"/>
    <w:rsid w:val="000B4326"/>
    <w:rsid w:val="000B4DAE"/>
    <w:rsid w:val="000B57F3"/>
    <w:rsid w:val="000C2F95"/>
    <w:rsid w:val="000C3797"/>
    <w:rsid w:val="000C5750"/>
    <w:rsid w:val="000C7C35"/>
    <w:rsid w:val="000D0AFF"/>
    <w:rsid w:val="000D0F84"/>
    <w:rsid w:val="000D17BF"/>
    <w:rsid w:val="000D3D1F"/>
    <w:rsid w:val="000D4EDA"/>
    <w:rsid w:val="000D5257"/>
    <w:rsid w:val="000D7C27"/>
    <w:rsid w:val="000E11F2"/>
    <w:rsid w:val="000E3559"/>
    <w:rsid w:val="000E3B47"/>
    <w:rsid w:val="000E4BC0"/>
    <w:rsid w:val="000E6D74"/>
    <w:rsid w:val="000E75A1"/>
    <w:rsid w:val="000E7F2E"/>
    <w:rsid w:val="000F0D09"/>
    <w:rsid w:val="000F152C"/>
    <w:rsid w:val="000F3141"/>
    <w:rsid w:val="000F3E04"/>
    <w:rsid w:val="000F4EE4"/>
    <w:rsid w:val="000F5164"/>
    <w:rsid w:val="000F5285"/>
    <w:rsid w:val="000F5C27"/>
    <w:rsid w:val="000F689A"/>
    <w:rsid w:val="000F6C99"/>
    <w:rsid w:val="00100C6A"/>
    <w:rsid w:val="0010479B"/>
    <w:rsid w:val="00104EB3"/>
    <w:rsid w:val="00106695"/>
    <w:rsid w:val="00107351"/>
    <w:rsid w:val="0011090F"/>
    <w:rsid w:val="00111116"/>
    <w:rsid w:val="0011208B"/>
    <w:rsid w:val="00113A82"/>
    <w:rsid w:val="00114342"/>
    <w:rsid w:val="001143DE"/>
    <w:rsid w:val="00116D47"/>
    <w:rsid w:val="00125423"/>
    <w:rsid w:val="00125692"/>
    <w:rsid w:val="00125707"/>
    <w:rsid w:val="00125FCE"/>
    <w:rsid w:val="00126925"/>
    <w:rsid w:val="00126FF0"/>
    <w:rsid w:val="0012718B"/>
    <w:rsid w:val="00132112"/>
    <w:rsid w:val="00133257"/>
    <w:rsid w:val="00137057"/>
    <w:rsid w:val="001423ED"/>
    <w:rsid w:val="00142C04"/>
    <w:rsid w:val="00142C3F"/>
    <w:rsid w:val="001434AD"/>
    <w:rsid w:val="00143531"/>
    <w:rsid w:val="0014376C"/>
    <w:rsid w:val="0014550B"/>
    <w:rsid w:val="001463B5"/>
    <w:rsid w:val="0015273F"/>
    <w:rsid w:val="001545EF"/>
    <w:rsid w:val="001572FD"/>
    <w:rsid w:val="001578D1"/>
    <w:rsid w:val="00160324"/>
    <w:rsid w:val="00160451"/>
    <w:rsid w:val="001604D2"/>
    <w:rsid w:val="00161884"/>
    <w:rsid w:val="0016254A"/>
    <w:rsid w:val="00164DDC"/>
    <w:rsid w:val="001654CD"/>
    <w:rsid w:val="0017030B"/>
    <w:rsid w:val="001731C9"/>
    <w:rsid w:val="001759F0"/>
    <w:rsid w:val="00177632"/>
    <w:rsid w:val="00186689"/>
    <w:rsid w:val="00193D19"/>
    <w:rsid w:val="00193F51"/>
    <w:rsid w:val="001975D9"/>
    <w:rsid w:val="00197880"/>
    <w:rsid w:val="001A0E0F"/>
    <w:rsid w:val="001A221D"/>
    <w:rsid w:val="001A2544"/>
    <w:rsid w:val="001A450E"/>
    <w:rsid w:val="001A4D34"/>
    <w:rsid w:val="001A5538"/>
    <w:rsid w:val="001A57AB"/>
    <w:rsid w:val="001A5B5D"/>
    <w:rsid w:val="001A686F"/>
    <w:rsid w:val="001A7455"/>
    <w:rsid w:val="001A7778"/>
    <w:rsid w:val="001B1236"/>
    <w:rsid w:val="001B23D8"/>
    <w:rsid w:val="001B25FE"/>
    <w:rsid w:val="001B37F5"/>
    <w:rsid w:val="001B4247"/>
    <w:rsid w:val="001B5FFE"/>
    <w:rsid w:val="001B6237"/>
    <w:rsid w:val="001B704B"/>
    <w:rsid w:val="001B7493"/>
    <w:rsid w:val="001B7F4C"/>
    <w:rsid w:val="001C2038"/>
    <w:rsid w:val="001C2AB4"/>
    <w:rsid w:val="001C2B02"/>
    <w:rsid w:val="001C349D"/>
    <w:rsid w:val="001C5A7E"/>
    <w:rsid w:val="001C7DCC"/>
    <w:rsid w:val="001D280F"/>
    <w:rsid w:val="001D356D"/>
    <w:rsid w:val="001D4B1B"/>
    <w:rsid w:val="001D5A0F"/>
    <w:rsid w:val="001D6A28"/>
    <w:rsid w:val="001D7362"/>
    <w:rsid w:val="001D76B3"/>
    <w:rsid w:val="001E21B6"/>
    <w:rsid w:val="001E5307"/>
    <w:rsid w:val="001E5396"/>
    <w:rsid w:val="001E7D57"/>
    <w:rsid w:val="001F1348"/>
    <w:rsid w:val="001F2AAB"/>
    <w:rsid w:val="001F3CEA"/>
    <w:rsid w:val="001F5624"/>
    <w:rsid w:val="001F6345"/>
    <w:rsid w:val="001F7747"/>
    <w:rsid w:val="002002ED"/>
    <w:rsid w:val="00204C57"/>
    <w:rsid w:val="002075B3"/>
    <w:rsid w:val="00211BDD"/>
    <w:rsid w:val="00211D13"/>
    <w:rsid w:val="002124C5"/>
    <w:rsid w:val="00212DDA"/>
    <w:rsid w:val="00213524"/>
    <w:rsid w:val="00214A09"/>
    <w:rsid w:val="0021555E"/>
    <w:rsid w:val="002155E2"/>
    <w:rsid w:val="00216999"/>
    <w:rsid w:val="00216B29"/>
    <w:rsid w:val="00216BAB"/>
    <w:rsid w:val="00220263"/>
    <w:rsid w:val="002216D8"/>
    <w:rsid w:val="0022173B"/>
    <w:rsid w:val="0022182F"/>
    <w:rsid w:val="0022702B"/>
    <w:rsid w:val="0023077C"/>
    <w:rsid w:val="002334AB"/>
    <w:rsid w:val="00235300"/>
    <w:rsid w:val="0023589D"/>
    <w:rsid w:val="00235DD7"/>
    <w:rsid w:val="002369DD"/>
    <w:rsid w:val="00236F5D"/>
    <w:rsid w:val="0023752E"/>
    <w:rsid w:val="002400CC"/>
    <w:rsid w:val="00241DAE"/>
    <w:rsid w:val="00244331"/>
    <w:rsid w:val="0024686A"/>
    <w:rsid w:val="00247307"/>
    <w:rsid w:val="00247591"/>
    <w:rsid w:val="00250A9E"/>
    <w:rsid w:val="0025105F"/>
    <w:rsid w:val="00255278"/>
    <w:rsid w:val="00256BEB"/>
    <w:rsid w:val="002608F1"/>
    <w:rsid w:val="00261091"/>
    <w:rsid w:val="00266D3B"/>
    <w:rsid w:val="0027001C"/>
    <w:rsid w:val="002707B8"/>
    <w:rsid w:val="002716EA"/>
    <w:rsid w:val="00271AA1"/>
    <w:rsid w:val="002732FB"/>
    <w:rsid w:val="002733D9"/>
    <w:rsid w:val="002733E5"/>
    <w:rsid w:val="002777EF"/>
    <w:rsid w:val="00277B8D"/>
    <w:rsid w:val="00287B45"/>
    <w:rsid w:val="00290E6A"/>
    <w:rsid w:val="00291DC4"/>
    <w:rsid w:val="002920B5"/>
    <w:rsid w:val="00292511"/>
    <w:rsid w:val="0029453D"/>
    <w:rsid w:val="00294925"/>
    <w:rsid w:val="002963C8"/>
    <w:rsid w:val="00297135"/>
    <w:rsid w:val="002A01F7"/>
    <w:rsid w:val="002A03F9"/>
    <w:rsid w:val="002A061D"/>
    <w:rsid w:val="002A07FF"/>
    <w:rsid w:val="002A2CB1"/>
    <w:rsid w:val="002A456C"/>
    <w:rsid w:val="002A5876"/>
    <w:rsid w:val="002A73F0"/>
    <w:rsid w:val="002B0AE5"/>
    <w:rsid w:val="002B1505"/>
    <w:rsid w:val="002B40CB"/>
    <w:rsid w:val="002B54FF"/>
    <w:rsid w:val="002B59C6"/>
    <w:rsid w:val="002B75A1"/>
    <w:rsid w:val="002C0102"/>
    <w:rsid w:val="002C054D"/>
    <w:rsid w:val="002C2737"/>
    <w:rsid w:val="002C2783"/>
    <w:rsid w:val="002C5407"/>
    <w:rsid w:val="002C6640"/>
    <w:rsid w:val="002D15D6"/>
    <w:rsid w:val="002D3B4D"/>
    <w:rsid w:val="002D3B59"/>
    <w:rsid w:val="002D6109"/>
    <w:rsid w:val="002D664F"/>
    <w:rsid w:val="002E0A7C"/>
    <w:rsid w:val="002E3A35"/>
    <w:rsid w:val="002E4FB8"/>
    <w:rsid w:val="002E510C"/>
    <w:rsid w:val="002E5F5B"/>
    <w:rsid w:val="002F124D"/>
    <w:rsid w:val="002F342B"/>
    <w:rsid w:val="002F419E"/>
    <w:rsid w:val="002F4AE5"/>
    <w:rsid w:val="002F5000"/>
    <w:rsid w:val="002F5B25"/>
    <w:rsid w:val="002F6639"/>
    <w:rsid w:val="002F6D9C"/>
    <w:rsid w:val="00302271"/>
    <w:rsid w:val="00302283"/>
    <w:rsid w:val="0030256F"/>
    <w:rsid w:val="00302EEF"/>
    <w:rsid w:val="00303476"/>
    <w:rsid w:val="00304A0D"/>
    <w:rsid w:val="003115FD"/>
    <w:rsid w:val="00312939"/>
    <w:rsid w:val="00312EE2"/>
    <w:rsid w:val="0031363F"/>
    <w:rsid w:val="00313C74"/>
    <w:rsid w:val="00315A70"/>
    <w:rsid w:val="003162F1"/>
    <w:rsid w:val="00316813"/>
    <w:rsid w:val="00316DC8"/>
    <w:rsid w:val="0031778E"/>
    <w:rsid w:val="00323E39"/>
    <w:rsid w:val="00323E5E"/>
    <w:rsid w:val="0032414A"/>
    <w:rsid w:val="0032478D"/>
    <w:rsid w:val="003270A5"/>
    <w:rsid w:val="003272D3"/>
    <w:rsid w:val="0033049A"/>
    <w:rsid w:val="0033085D"/>
    <w:rsid w:val="00331262"/>
    <w:rsid w:val="00331E5F"/>
    <w:rsid w:val="003346BB"/>
    <w:rsid w:val="0033488D"/>
    <w:rsid w:val="00334E80"/>
    <w:rsid w:val="00335902"/>
    <w:rsid w:val="0033699F"/>
    <w:rsid w:val="0033788D"/>
    <w:rsid w:val="00337D22"/>
    <w:rsid w:val="00340FF1"/>
    <w:rsid w:val="00341BB4"/>
    <w:rsid w:val="00341EE2"/>
    <w:rsid w:val="00342664"/>
    <w:rsid w:val="00344358"/>
    <w:rsid w:val="0034444E"/>
    <w:rsid w:val="003448A1"/>
    <w:rsid w:val="003468CB"/>
    <w:rsid w:val="00347923"/>
    <w:rsid w:val="00347A0A"/>
    <w:rsid w:val="00347A28"/>
    <w:rsid w:val="00350CB0"/>
    <w:rsid w:val="003518D0"/>
    <w:rsid w:val="0035311F"/>
    <w:rsid w:val="00354116"/>
    <w:rsid w:val="003559E6"/>
    <w:rsid w:val="003567F9"/>
    <w:rsid w:val="00356D32"/>
    <w:rsid w:val="0036108A"/>
    <w:rsid w:val="0036294B"/>
    <w:rsid w:val="0036297B"/>
    <w:rsid w:val="00364E72"/>
    <w:rsid w:val="00365942"/>
    <w:rsid w:val="003662F2"/>
    <w:rsid w:val="00370736"/>
    <w:rsid w:val="003722CB"/>
    <w:rsid w:val="0037245A"/>
    <w:rsid w:val="00374849"/>
    <w:rsid w:val="00374C66"/>
    <w:rsid w:val="00375505"/>
    <w:rsid w:val="00375558"/>
    <w:rsid w:val="00377239"/>
    <w:rsid w:val="00381EB5"/>
    <w:rsid w:val="00381FF7"/>
    <w:rsid w:val="00383055"/>
    <w:rsid w:val="00383BB7"/>
    <w:rsid w:val="003841BB"/>
    <w:rsid w:val="00384ED5"/>
    <w:rsid w:val="0038641A"/>
    <w:rsid w:val="00391F76"/>
    <w:rsid w:val="00392E13"/>
    <w:rsid w:val="0039364D"/>
    <w:rsid w:val="00394543"/>
    <w:rsid w:val="00394921"/>
    <w:rsid w:val="00394F20"/>
    <w:rsid w:val="0039506E"/>
    <w:rsid w:val="003A01DD"/>
    <w:rsid w:val="003A2AB0"/>
    <w:rsid w:val="003A2CB4"/>
    <w:rsid w:val="003A4212"/>
    <w:rsid w:val="003A46D0"/>
    <w:rsid w:val="003A5E9A"/>
    <w:rsid w:val="003A6F05"/>
    <w:rsid w:val="003A731C"/>
    <w:rsid w:val="003B12DE"/>
    <w:rsid w:val="003B348C"/>
    <w:rsid w:val="003B44D3"/>
    <w:rsid w:val="003B527C"/>
    <w:rsid w:val="003B5693"/>
    <w:rsid w:val="003B648D"/>
    <w:rsid w:val="003C08FB"/>
    <w:rsid w:val="003C66B5"/>
    <w:rsid w:val="003D0948"/>
    <w:rsid w:val="003D0A69"/>
    <w:rsid w:val="003D4033"/>
    <w:rsid w:val="003D4FC1"/>
    <w:rsid w:val="003D6B52"/>
    <w:rsid w:val="003D75DD"/>
    <w:rsid w:val="003D7DC3"/>
    <w:rsid w:val="003E027C"/>
    <w:rsid w:val="003E0990"/>
    <w:rsid w:val="003E1E8B"/>
    <w:rsid w:val="003E2335"/>
    <w:rsid w:val="003E28CF"/>
    <w:rsid w:val="003E2C48"/>
    <w:rsid w:val="003E3D3E"/>
    <w:rsid w:val="003E5337"/>
    <w:rsid w:val="003E6637"/>
    <w:rsid w:val="003F065E"/>
    <w:rsid w:val="003F22F5"/>
    <w:rsid w:val="003F3F19"/>
    <w:rsid w:val="003F6B96"/>
    <w:rsid w:val="0040017B"/>
    <w:rsid w:val="004022F6"/>
    <w:rsid w:val="00404822"/>
    <w:rsid w:val="00405BEA"/>
    <w:rsid w:val="00411157"/>
    <w:rsid w:val="00412BC5"/>
    <w:rsid w:val="004139FD"/>
    <w:rsid w:val="0041464F"/>
    <w:rsid w:val="0041521E"/>
    <w:rsid w:val="00420897"/>
    <w:rsid w:val="004210F3"/>
    <w:rsid w:val="004224F9"/>
    <w:rsid w:val="00422BA4"/>
    <w:rsid w:val="004231BB"/>
    <w:rsid w:val="00430101"/>
    <w:rsid w:val="00430111"/>
    <w:rsid w:val="004313D6"/>
    <w:rsid w:val="00431A4A"/>
    <w:rsid w:val="00432720"/>
    <w:rsid w:val="00432A41"/>
    <w:rsid w:val="004330BF"/>
    <w:rsid w:val="004334A9"/>
    <w:rsid w:val="0043385E"/>
    <w:rsid w:val="00435C85"/>
    <w:rsid w:val="00435C92"/>
    <w:rsid w:val="004417D0"/>
    <w:rsid w:val="00442432"/>
    <w:rsid w:val="00442907"/>
    <w:rsid w:val="00442A3D"/>
    <w:rsid w:val="00443418"/>
    <w:rsid w:val="004441F9"/>
    <w:rsid w:val="00444298"/>
    <w:rsid w:val="0044478B"/>
    <w:rsid w:val="0045675D"/>
    <w:rsid w:val="00461310"/>
    <w:rsid w:val="00462C5A"/>
    <w:rsid w:val="0046454D"/>
    <w:rsid w:val="00466D96"/>
    <w:rsid w:val="004676B0"/>
    <w:rsid w:val="0047038B"/>
    <w:rsid w:val="004703F9"/>
    <w:rsid w:val="0047062D"/>
    <w:rsid w:val="00471455"/>
    <w:rsid w:val="004716CC"/>
    <w:rsid w:val="00472849"/>
    <w:rsid w:val="00472E66"/>
    <w:rsid w:val="00472F41"/>
    <w:rsid w:val="00472F65"/>
    <w:rsid w:val="004740D4"/>
    <w:rsid w:val="00474365"/>
    <w:rsid w:val="00474D0D"/>
    <w:rsid w:val="004762FC"/>
    <w:rsid w:val="0047652D"/>
    <w:rsid w:val="00476D2F"/>
    <w:rsid w:val="00480671"/>
    <w:rsid w:val="004808B3"/>
    <w:rsid w:val="004814B0"/>
    <w:rsid w:val="004824F3"/>
    <w:rsid w:val="00483FDA"/>
    <w:rsid w:val="00485085"/>
    <w:rsid w:val="004852AB"/>
    <w:rsid w:val="0048550D"/>
    <w:rsid w:val="004856EC"/>
    <w:rsid w:val="00490A87"/>
    <w:rsid w:val="004928D6"/>
    <w:rsid w:val="00494B9B"/>
    <w:rsid w:val="00496B16"/>
    <w:rsid w:val="00497C26"/>
    <w:rsid w:val="004A3C26"/>
    <w:rsid w:val="004A4F5E"/>
    <w:rsid w:val="004A53FE"/>
    <w:rsid w:val="004A7727"/>
    <w:rsid w:val="004B0342"/>
    <w:rsid w:val="004B0802"/>
    <w:rsid w:val="004B210F"/>
    <w:rsid w:val="004B3822"/>
    <w:rsid w:val="004B3FD6"/>
    <w:rsid w:val="004B54C4"/>
    <w:rsid w:val="004B6EE5"/>
    <w:rsid w:val="004B7AAC"/>
    <w:rsid w:val="004B7DA0"/>
    <w:rsid w:val="004C369D"/>
    <w:rsid w:val="004C47FC"/>
    <w:rsid w:val="004C535E"/>
    <w:rsid w:val="004C5D78"/>
    <w:rsid w:val="004C5E43"/>
    <w:rsid w:val="004C6AAC"/>
    <w:rsid w:val="004C731A"/>
    <w:rsid w:val="004D02E1"/>
    <w:rsid w:val="004D1E11"/>
    <w:rsid w:val="004D33E7"/>
    <w:rsid w:val="004D3491"/>
    <w:rsid w:val="004D47A7"/>
    <w:rsid w:val="004D49CE"/>
    <w:rsid w:val="004D4BC4"/>
    <w:rsid w:val="004D51DD"/>
    <w:rsid w:val="004D5D13"/>
    <w:rsid w:val="004D782A"/>
    <w:rsid w:val="004D7C72"/>
    <w:rsid w:val="004E01A4"/>
    <w:rsid w:val="004E05BA"/>
    <w:rsid w:val="004E15EB"/>
    <w:rsid w:val="004E2FBE"/>
    <w:rsid w:val="004E2FCE"/>
    <w:rsid w:val="004E30D7"/>
    <w:rsid w:val="004E37EB"/>
    <w:rsid w:val="004E4391"/>
    <w:rsid w:val="004E43B3"/>
    <w:rsid w:val="004E4AF9"/>
    <w:rsid w:val="004E5E70"/>
    <w:rsid w:val="004E5E71"/>
    <w:rsid w:val="004F033C"/>
    <w:rsid w:val="004F0A97"/>
    <w:rsid w:val="004F13C7"/>
    <w:rsid w:val="004F2050"/>
    <w:rsid w:val="004F464D"/>
    <w:rsid w:val="004F5CCC"/>
    <w:rsid w:val="004F6A3D"/>
    <w:rsid w:val="004F6F9A"/>
    <w:rsid w:val="004F73AF"/>
    <w:rsid w:val="004F7442"/>
    <w:rsid w:val="004F7514"/>
    <w:rsid w:val="00501C20"/>
    <w:rsid w:val="00502107"/>
    <w:rsid w:val="00505EA8"/>
    <w:rsid w:val="00505FAD"/>
    <w:rsid w:val="005060DB"/>
    <w:rsid w:val="00506DA6"/>
    <w:rsid w:val="0050743C"/>
    <w:rsid w:val="00507782"/>
    <w:rsid w:val="00512200"/>
    <w:rsid w:val="00512382"/>
    <w:rsid w:val="005123C8"/>
    <w:rsid w:val="005153C9"/>
    <w:rsid w:val="0051681C"/>
    <w:rsid w:val="00524863"/>
    <w:rsid w:val="00525343"/>
    <w:rsid w:val="00526A0C"/>
    <w:rsid w:val="00526BB5"/>
    <w:rsid w:val="00532F65"/>
    <w:rsid w:val="00533052"/>
    <w:rsid w:val="0053389D"/>
    <w:rsid w:val="00535AC0"/>
    <w:rsid w:val="00535E24"/>
    <w:rsid w:val="00536909"/>
    <w:rsid w:val="00544785"/>
    <w:rsid w:val="00546369"/>
    <w:rsid w:val="00550E63"/>
    <w:rsid w:val="00551EE4"/>
    <w:rsid w:val="005521B7"/>
    <w:rsid w:val="00553000"/>
    <w:rsid w:val="00553559"/>
    <w:rsid w:val="00554059"/>
    <w:rsid w:val="00555C34"/>
    <w:rsid w:val="00557B62"/>
    <w:rsid w:val="0056335B"/>
    <w:rsid w:val="00563EDB"/>
    <w:rsid w:val="0056482C"/>
    <w:rsid w:val="005648CF"/>
    <w:rsid w:val="0056494A"/>
    <w:rsid w:val="005654AA"/>
    <w:rsid w:val="005678D6"/>
    <w:rsid w:val="005725E4"/>
    <w:rsid w:val="005737B1"/>
    <w:rsid w:val="00573D4D"/>
    <w:rsid w:val="00574004"/>
    <w:rsid w:val="00577F0E"/>
    <w:rsid w:val="00581929"/>
    <w:rsid w:val="00582C8F"/>
    <w:rsid w:val="00583B14"/>
    <w:rsid w:val="00584584"/>
    <w:rsid w:val="005875E8"/>
    <w:rsid w:val="005903C6"/>
    <w:rsid w:val="005904AD"/>
    <w:rsid w:val="00590E3E"/>
    <w:rsid w:val="00591E17"/>
    <w:rsid w:val="005921F7"/>
    <w:rsid w:val="00593443"/>
    <w:rsid w:val="005950A7"/>
    <w:rsid w:val="00595473"/>
    <w:rsid w:val="0059551F"/>
    <w:rsid w:val="005A11A1"/>
    <w:rsid w:val="005A1792"/>
    <w:rsid w:val="005A3E3C"/>
    <w:rsid w:val="005A579B"/>
    <w:rsid w:val="005A703D"/>
    <w:rsid w:val="005B0B7F"/>
    <w:rsid w:val="005B0C5F"/>
    <w:rsid w:val="005B27CE"/>
    <w:rsid w:val="005B32AF"/>
    <w:rsid w:val="005B3954"/>
    <w:rsid w:val="005B3F6E"/>
    <w:rsid w:val="005B7A05"/>
    <w:rsid w:val="005C04ED"/>
    <w:rsid w:val="005C175D"/>
    <w:rsid w:val="005C34F2"/>
    <w:rsid w:val="005C3A6B"/>
    <w:rsid w:val="005C4CD4"/>
    <w:rsid w:val="005D2834"/>
    <w:rsid w:val="005D295B"/>
    <w:rsid w:val="005E2288"/>
    <w:rsid w:val="005E2C51"/>
    <w:rsid w:val="005E4774"/>
    <w:rsid w:val="005E47BF"/>
    <w:rsid w:val="005E61CC"/>
    <w:rsid w:val="005E63AB"/>
    <w:rsid w:val="005F1037"/>
    <w:rsid w:val="005F26C9"/>
    <w:rsid w:val="005F522D"/>
    <w:rsid w:val="005F60B3"/>
    <w:rsid w:val="005F64BA"/>
    <w:rsid w:val="006015E2"/>
    <w:rsid w:val="00605D9C"/>
    <w:rsid w:val="00606383"/>
    <w:rsid w:val="00606637"/>
    <w:rsid w:val="006108DF"/>
    <w:rsid w:val="00611E8C"/>
    <w:rsid w:val="00612794"/>
    <w:rsid w:val="00613035"/>
    <w:rsid w:val="00613AD6"/>
    <w:rsid w:val="00614BE9"/>
    <w:rsid w:val="00615352"/>
    <w:rsid w:val="00617E0A"/>
    <w:rsid w:val="006207D8"/>
    <w:rsid w:val="006211FC"/>
    <w:rsid w:val="00623217"/>
    <w:rsid w:val="00623B13"/>
    <w:rsid w:val="00625263"/>
    <w:rsid w:val="00626012"/>
    <w:rsid w:val="00630287"/>
    <w:rsid w:val="006310F7"/>
    <w:rsid w:val="0063162F"/>
    <w:rsid w:val="0063391C"/>
    <w:rsid w:val="00634B7A"/>
    <w:rsid w:val="0063609C"/>
    <w:rsid w:val="006371A7"/>
    <w:rsid w:val="00640199"/>
    <w:rsid w:val="00640A2D"/>
    <w:rsid w:val="00643658"/>
    <w:rsid w:val="00643BEF"/>
    <w:rsid w:val="00647391"/>
    <w:rsid w:val="0064741F"/>
    <w:rsid w:val="00651C5B"/>
    <w:rsid w:val="00651F36"/>
    <w:rsid w:val="006530F0"/>
    <w:rsid w:val="00655DD3"/>
    <w:rsid w:val="0065639D"/>
    <w:rsid w:val="006574C8"/>
    <w:rsid w:val="006610DB"/>
    <w:rsid w:val="00664170"/>
    <w:rsid w:val="00665051"/>
    <w:rsid w:val="0066559E"/>
    <w:rsid w:val="006661E2"/>
    <w:rsid w:val="00666407"/>
    <w:rsid w:val="00667A21"/>
    <w:rsid w:val="00670B1E"/>
    <w:rsid w:val="00673B23"/>
    <w:rsid w:val="00674DA6"/>
    <w:rsid w:val="0067532E"/>
    <w:rsid w:val="00680727"/>
    <w:rsid w:val="00682BA2"/>
    <w:rsid w:val="006842FE"/>
    <w:rsid w:val="006853EA"/>
    <w:rsid w:val="006961EB"/>
    <w:rsid w:val="0069628C"/>
    <w:rsid w:val="006963BA"/>
    <w:rsid w:val="00696652"/>
    <w:rsid w:val="00697199"/>
    <w:rsid w:val="00697464"/>
    <w:rsid w:val="006A2498"/>
    <w:rsid w:val="006A4E70"/>
    <w:rsid w:val="006A6B44"/>
    <w:rsid w:val="006A7D37"/>
    <w:rsid w:val="006B0777"/>
    <w:rsid w:val="006B0D8E"/>
    <w:rsid w:val="006B2663"/>
    <w:rsid w:val="006B2809"/>
    <w:rsid w:val="006B2B73"/>
    <w:rsid w:val="006B2F33"/>
    <w:rsid w:val="006B5635"/>
    <w:rsid w:val="006B6BEC"/>
    <w:rsid w:val="006B6DCA"/>
    <w:rsid w:val="006B7327"/>
    <w:rsid w:val="006C0069"/>
    <w:rsid w:val="006C0404"/>
    <w:rsid w:val="006C0D25"/>
    <w:rsid w:val="006C1491"/>
    <w:rsid w:val="006C16D7"/>
    <w:rsid w:val="006C42CC"/>
    <w:rsid w:val="006C63AE"/>
    <w:rsid w:val="006C7F73"/>
    <w:rsid w:val="006D027F"/>
    <w:rsid w:val="006D042D"/>
    <w:rsid w:val="006D28C6"/>
    <w:rsid w:val="006D34A3"/>
    <w:rsid w:val="006D3D90"/>
    <w:rsid w:val="006D6A10"/>
    <w:rsid w:val="006D744E"/>
    <w:rsid w:val="006E09E5"/>
    <w:rsid w:val="006E1C4F"/>
    <w:rsid w:val="006E2779"/>
    <w:rsid w:val="006E2D67"/>
    <w:rsid w:val="006E2DBF"/>
    <w:rsid w:val="006E7B91"/>
    <w:rsid w:val="006F1C9F"/>
    <w:rsid w:val="006F385C"/>
    <w:rsid w:val="006F38BE"/>
    <w:rsid w:val="006F5C3A"/>
    <w:rsid w:val="006F6CF1"/>
    <w:rsid w:val="006F6DA7"/>
    <w:rsid w:val="0070060F"/>
    <w:rsid w:val="00700D4D"/>
    <w:rsid w:val="00701888"/>
    <w:rsid w:val="007032AD"/>
    <w:rsid w:val="007039E2"/>
    <w:rsid w:val="00703B61"/>
    <w:rsid w:val="007044E1"/>
    <w:rsid w:val="00704E58"/>
    <w:rsid w:val="00706826"/>
    <w:rsid w:val="00707046"/>
    <w:rsid w:val="00713E3E"/>
    <w:rsid w:val="007140BC"/>
    <w:rsid w:val="00714AB5"/>
    <w:rsid w:val="007151F2"/>
    <w:rsid w:val="0072117F"/>
    <w:rsid w:val="007217ED"/>
    <w:rsid w:val="0072261D"/>
    <w:rsid w:val="00723E02"/>
    <w:rsid w:val="00723F00"/>
    <w:rsid w:val="00730849"/>
    <w:rsid w:val="00731F94"/>
    <w:rsid w:val="007328BE"/>
    <w:rsid w:val="00734669"/>
    <w:rsid w:val="00735998"/>
    <w:rsid w:val="00737BE3"/>
    <w:rsid w:val="00740251"/>
    <w:rsid w:val="00740B58"/>
    <w:rsid w:val="00740E45"/>
    <w:rsid w:val="00741787"/>
    <w:rsid w:val="00743B8D"/>
    <w:rsid w:val="00743B99"/>
    <w:rsid w:val="00745E54"/>
    <w:rsid w:val="00746AEB"/>
    <w:rsid w:val="007479BF"/>
    <w:rsid w:val="007504E3"/>
    <w:rsid w:val="00751C7D"/>
    <w:rsid w:val="00753A47"/>
    <w:rsid w:val="007541D1"/>
    <w:rsid w:val="00755107"/>
    <w:rsid w:val="00755396"/>
    <w:rsid w:val="007568AA"/>
    <w:rsid w:val="00760EE0"/>
    <w:rsid w:val="00761321"/>
    <w:rsid w:val="00761EA9"/>
    <w:rsid w:val="0076313B"/>
    <w:rsid w:val="007646D4"/>
    <w:rsid w:val="007663F6"/>
    <w:rsid w:val="00766FB7"/>
    <w:rsid w:val="007672A8"/>
    <w:rsid w:val="00770164"/>
    <w:rsid w:val="00772021"/>
    <w:rsid w:val="00773678"/>
    <w:rsid w:val="00773CBB"/>
    <w:rsid w:val="00774968"/>
    <w:rsid w:val="00780BC9"/>
    <w:rsid w:val="00781B3E"/>
    <w:rsid w:val="00781C4E"/>
    <w:rsid w:val="007823F4"/>
    <w:rsid w:val="00782C99"/>
    <w:rsid w:val="00784F5C"/>
    <w:rsid w:val="00786B68"/>
    <w:rsid w:val="0078767E"/>
    <w:rsid w:val="007920AC"/>
    <w:rsid w:val="0079282D"/>
    <w:rsid w:val="00793117"/>
    <w:rsid w:val="00796516"/>
    <w:rsid w:val="007A0D09"/>
    <w:rsid w:val="007A11F8"/>
    <w:rsid w:val="007A1492"/>
    <w:rsid w:val="007A4A69"/>
    <w:rsid w:val="007A55E3"/>
    <w:rsid w:val="007A58B7"/>
    <w:rsid w:val="007A6261"/>
    <w:rsid w:val="007B0AE9"/>
    <w:rsid w:val="007B2E34"/>
    <w:rsid w:val="007B489E"/>
    <w:rsid w:val="007B7D14"/>
    <w:rsid w:val="007C0B72"/>
    <w:rsid w:val="007C1D44"/>
    <w:rsid w:val="007C3CAA"/>
    <w:rsid w:val="007C5AEF"/>
    <w:rsid w:val="007C5B1B"/>
    <w:rsid w:val="007C5EB1"/>
    <w:rsid w:val="007C6012"/>
    <w:rsid w:val="007D37E5"/>
    <w:rsid w:val="007D41B8"/>
    <w:rsid w:val="007D468E"/>
    <w:rsid w:val="007D4812"/>
    <w:rsid w:val="007D4EF5"/>
    <w:rsid w:val="007D6D82"/>
    <w:rsid w:val="007D7235"/>
    <w:rsid w:val="007D799B"/>
    <w:rsid w:val="007D79DB"/>
    <w:rsid w:val="007D7A44"/>
    <w:rsid w:val="007E0734"/>
    <w:rsid w:val="007E24E0"/>
    <w:rsid w:val="007E452A"/>
    <w:rsid w:val="007E4FE8"/>
    <w:rsid w:val="007F2F0C"/>
    <w:rsid w:val="007F3453"/>
    <w:rsid w:val="007F37DA"/>
    <w:rsid w:val="007F5A08"/>
    <w:rsid w:val="0080341A"/>
    <w:rsid w:val="00803866"/>
    <w:rsid w:val="00805BB7"/>
    <w:rsid w:val="0081008F"/>
    <w:rsid w:val="00812C9F"/>
    <w:rsid w:val="00813584"/>
    <w:rsid w:val="00813F1A"/>
    <w:rsid w:val="00815FD6"/>
    <w:rsid w:val="008172D6"/>
    <w:rsid w:val="0082198C"/>
    <w:rsid w:val="00822E24"/>
    <w:rsid w:val="00826904"/>
    <w:rsid w:val="00826AAD"/>
    <w:rsid w:val="008310D9"/>
    <w:rsid w:val="00834991"/>
    <w:rsid w:val="0083555E"/>
    <w:rsid w:val="00835D53"/>
    <w:rsid w:val="00836A78"/>
    <w:rsid w:val="008370AD"/>
    <w:rsid w:val="0083718E"/>
    <w:rsid w:val="008371ED"/>
    <w:rsid w:val="00837331"/>
    <w:rsid w:val="008406E3"/>
    <w:rsid w:val="00842F6B"/>
    <w:rsid w:val="00844891"/>
    <w:rsid w:val="00844B11"/>
    <w:rsid w:val="00844D88"/>
    <w:rsid w:val="008461A7"/>
    <w:rsid w:val="00847073"/>
    <w:rsid w:val="00847AFD"/>
    <w:rsid w:val="00852500"/>
    <w:rsid w:val="008529E1"/>
    <w:rsid w:val="00852E08"/>
    <w:rsid w:val="00853EF8"/>
    <w:rsid w:val="00854DF1"/>
    <w:rsid w:val="00855D0D"/>
    <w:rsid w:val="00855E93"/>
    <w:rsid w:val="00856F58"/>
    <w:rsid w:val="008622BA"/>
    <w:rsid w:val="008672E6"/>
    <w:rsid w:val="00870836"/>
    <w:rsid w:val="00872485"/>
    <w:rsid w:val="0087295B"/>
    <w:rsid w:val="0087353B"/>
    <w:rsid w:val="00873DCD"/>
    <w:rsid w:val="00874277"/>
    <w:rsid w:val="008743A1"/>
    <w:rsid w:val="00874974"/>
    <w:rsid w:val="00875A67"/>
    <w:rsid w:val="00877623"/>
    <w:rsid w:val="00877E3B"/>
    <w:rsid w:val="0088003F"/>
    <w:rsid w:val="00882285"/>
    <w:rsid w:val="00883197"/>
    <w:rsid w:val="0088621B"/>
    <w:rsid w:val="0088695B"/>
    <w:rsid w:val="0088695E"/>
    <w:rsid w:val="008877EE"/>
    <w:rsid w:val="00887812"/>
    <w:rsid w:val="008903E4"/>
    <w:rsid w:val="00891889"/>
    <w:rsid w:val="008918FF"/>
    <w:rsid w:val="00893110"/>
    <w:rsid w:val="00894958"/>
    <w:rsid w:val="00894DCF"/>
    <w:rsid w:val="008966F1"/>
    <w:rsid w:val="00897A6E"/>
    <w:rsid w:val="008A025E"/>
    <w:rsid w:val="008A23C6"/>
    <w:rsid w:val="008A5034"/>
    <w:rsid w:val="008A51F9"/>
    <w:rsid w:val="008A693A"/>
    <w:rsid w:val="008A75A3"/>
    <w:rsid w:val="008A770B"/>
    <w:rsid w:val="008A7B0A"/>
    <w:rsid w:val="008B1AF7"/>
    <w:rsid w:val="008B5A20"/>
    <w:rsid w:val="008B7B7E"/>
    <w:rsid w:val="008C058B"/>
    <w:rsid w:val="008C131C"/>
    <w:rsid w:val="008C1909"/>
    <w:rsid w:val="008C1CA8"/>
    <w:rsid w:val="008C2DCA"/>
    <w:rsid w:val="008C3204"/>
    <w:rsid w:val="008C4450"/>
    <w:rsid w:val="008C4D81"/>
    <w:rsid w:val="008C5039"/>
    <w:rsid w:val="008C57CE"/>
    <w:rsid w:val="008C5916"/>
    <w:rsid w:val="008C5D74"/>
    <w:rsid w:val="008C6E20"/>
    <w:rsid w:val="008C7741"/>
    <w:rsid w:val="008D2AE8"/>
    <w:rsid w:val="008D3861"/>
    <w:rsid w:val="008D3987"/>
    <w:rsid w:val="008D3EF3"/>
    <w:rsid w:val="008D4220"/>
    <w:rsid w:val="008D45AF"/>
    <w:rsid w:val="008D4712"/>
    <w:rsid w:val="008E0B61"/>
    <w:rsid w:val="008E252D"/>
    <w:rsid w:val="008E2F6E"/>
    <w:rsid w:val="008E37D9"/>
    <w:rsid w:val="008E5B54"/>
    <w:rsid w:val="008F5592"/>
    <w:rsid w:val="008F5636"/>
    <w:rsid w:val="008F71B3"/>
    <w:rsid w:val="008F71B8"/>
    <w:rsid w:val="008F7CA9"/>
    <w:rsid w:val="008F7D48"/>
    <w:rsid w:val="00901F00"/>
    <w:rsid w:val="009031B7"/>
    <w:rsid w:val="0090355D"/>
    <w:rsid w:val="00904F2F"/>
    <w:rsid w:val="00905ADB"/>
    <w:rsid w:val="00905E29"/>
    <w:rsid w:val="00907FE5"/>
    <w:rsid w:val="00910760"/>
    <w:rsid w:val="00910A31"/>
    <w:rsid w:val="00910E70"/>
    <w:rsid w:val="009121EA"/>
    <w:rsid w:val="00912624"/>
    <w:rsid w:val="00914F7E"/>
    <w:rsid w:val="0092009C"/>
    <w:rsid w:val="009208A5"/>
    <w:rsid w:val="009216F5"/>
    <w:rsid w:val="00923439"/>
    <w:rsid w:val="0092715D"/>
    <w:rsid w:val="00931676"/>
    <w:rsid w:val="0093235F"/>
    <w:rsid w:val="00932DB0"/>
    <w:rsid w:val="0093668E"/>
    <w:rsid w:val="0093746F"/>
    <w:rsid w:val="00941195"/>
    <w:rsid w:val="00943BB4"/>
    <w:rsid w:val="009451E0"/>
    <w:rsid w:val="00946203"/>
    <w:rsid w:val="009468F5"/>
    <w:rsid w:val="00947424"/>
    <w:rsid w:val="009506FA"/>
    <w:rsid w:val="00951B9C"/>
    <w:rsid w:val="00952CEE"/>
    <w:rsid w:val="00954C21"/>
    <w:rsid w:val="00957399"/>
    <w:rsid w:val="00957763"/>
    <w:rsid w:val="00960393"/>
    <w:rsid w:val="009614BA"/>
    <w:rsid w:val="00961A0B"/>
    <w:rsid w:val="00965AD8"/>
    <w:rsid w:val="00966AA3"/>
    <w:rsid w:val="00975913"/>
    <w:rsid w:val="009761DC"/>
    <w:rsid w:val="009762C1"/>
    <w:rsid w:val="00980011"/>
    <w:rsid w:val="00981585"/>
    <w:rsid w:val="00983113"/>
    <w:rsid w:val="00985DC9"/>
    <w:rsid w:val="0098637D"/>
    <w:rsid w:val="00986542"/>
    <w:rsid w:val="0098674B"/>
    <w:rsid w:val="00987B5F"/>
    <w:rsid w:val="00992C52"/>
    <w:rsid w:val="009933E6"/>
    <w:rsid w:val="00993C02"/>
    <w:rsid w:val="009942E1"/>
    <w:rsid w:val="00996242"/>
    <w:rsid w:val="009964A9"/>
    <w:rsid w:val="00996FE4"/>
    <w:rsid w:val="009A0BF5"/>
    <w:rsid w:val="009A313B"/>
    <w:rsid w:val="009A429B"/>
    <w:rsid w:val="009A502E"/>
    <w:rsid w:val="009B0F75"/>
    <w:rsid w:val="009B1319"/>
    <w:rsid w:val="009B314A"/>
    <w:rsid w:val="009B337B"/>
    <w:rsid w:val="009B3C70"/>
    <w:rsid w:val="009B53AA"/>
    <w:rsid w:val="009C1558"/>
    <w:rsid w:val="009C205B"/>
    <w:rsid w:val="009D1B4D"/>
    <w:rsid w:val="009D1CFC"/>
    <w:rsid w:val="009D31B2"/>
    <w:rsid w:val="009D6103"/>
    <w:rsid w:val="009D6752"/>
    <w:rsid w:val="009D6F07"/>
    <w:rsid w:val="009E0E90"/>
    <w:rsid w:val="009E1312"/>
    <w:rsid w:val="009E3AA3"/>
    <w:rsid w:val="009E3DBB"/>
    <w:rsid w:val="009E3DE0"/>
    <w:rsid w:val="009E3E64"/>
    <w:rsid w:val="009E6268"/>
    <w:rsid w:val="009E784F"/>
    <w:rsid w:val="009F1116"/>
    <w:rsid w:val="009F2E4D"/>
    <w:rsid w:val="009F3C0A"/>
    <w:rsid w:val="009F4419"/>
    <w:rsid w:val="009F58DC"/>
    <w:rsid w:val="009F5C8B"/>
    <w:rsid w:val="009F5F64"/>
    <w:rsid w:val="009F6490"/>
    <w:rsid w:val="009F7D59"/>
    <w:rsid w:val="00A003D6"/>
    <w:rsid w:val="00A01F90"/>
    <w:rsid w:val="00A030F3"/>
    <w:rsid w:val="00A03340"/>
    <w:rsid w:val="00A0394E"/>
    <w:rsid w:val="00A04EAA"/>
    <w:rsid w:val="00A0580B"/>
    <w:rsid w:val="00A06E54"/>
    <w:rsid w:val="00A105DA"/>
    <w:rsid w:val="00A12FB4"/>
    <w:rsid w:val="00A131FE"/>
    <w:rsid w:val="00A14AF5"/>
    <w:rsid w:val="00A15789"/>
    <w:rsid w:val="00A15D2E"/>
    <w:rsid w:val="00A16DFB"/>
    <w:rsid w:val="00A20853"/>
    <w:rsid w:val="00A20D90"/>
    <w:rsid w:val="00A218B1"/>
    <w:rsid w:val="00A21C52"/>
    <w:rsid w:val="00A227FE"/>
    <w:rsid w:val="00A2308D"/>
    <w:rsid w:val="00A24086"/>
    <w:rsid w:val="00A24667"/>
    <w:rsid w:val="00A25FCA"/>
    <w:rsid w:val="00A27496"/>
    <w:rsid w:val="00A31FA3"/>
    <w:rsid w:val="00A33509"/>
    <w:rsid w:val="00A3734B"/>
    <w:rsid w:val="00A377F0"/>
    <w:rsid w:val="00A40C11"/>
    <w:rsid w:val="00A41389"/>
    <w:rsid w:val="00A44F4F"/>
    <w:rsid w:val="00A45A14"/>
    <w:rsid w:val="00A46511"/>
    <w:rsid w:val="00A46A2C"/>
    <w:rsid w:val="00A47798"/>
    <w:rsid w:val="00A5263C"/>
    <w:rsid w:val="00A53925"/>
    <w:rsid w:val="00A53AEF"/>
    <w:rsid w:val="00A53F14"/>
    <w:rsid w:val="00A56D98"/>
    <w:rsid w:val="00A57915"/>
    <w:rsid w:val="00A6049D"/>
    <w:rsid w:val="00A632BF"/>
    <w:rsid w:val="00A644A3"/>
    <w:rsid w:val="00A64977"/>
    <w:rsid w:val="00A65331"/>
    <w:rsid w:val="00A6630D"/>
    <w:rsid w:val="00A6667F"/>
    <w:rsid w:val="00A66B62"/>
    <w:rsid w:val="00A6733F"/>
    <w:rsid w:val="00A71741"/>
    <w:rsid w:val="00A71ECD"/>
    <w:rsid w:val="00A83223"/>
    <w:rsid w:val="00A8380E"/>
    <w:rsid w:val="00A850CA"/>
    <w:rsid w:val="00A90730"/>
    <w:rsid w:val="00A921AC"/>
    <w:rsid w:val="00A927EE"/>
    <w:rsid w:val="00A94044"/>
    <w:rsid w:val="00A976FC"/>
    <w:rsid w:val="00AA1A66"/>
    <w:rsid w:val="00AA28FD"/>
    <w:rsid w:val="00AA4405"/>
    <w:rsid w:val="00AA636E"/>
    <w:rsid w:val="00AA63D2"/>
    <w:rsid w:val="00AA697E"/>
    <w:rsid w:val="00AA78DC"/>
    <w:rsid w:val="00AB0BDF"/>
    <w:rsid w:val="00AB420C"/>
    <w:rsid w:val="00AB457C"/>
    <w:rsid w:val="00AC0774"/>
    <w:rsid w:val="00AC14F3"/>
    <w:rsid w:val="00AC2A29"/>
    <w:rsid w:val="00AC39E1"/>
    <w:rsid w:val="00AC3BE8"/>
    <w:rsid w:val="00AC5327"/>
    <w:rsid w:val="00AC6A2C"/>
    <w:rsid w:val="00AC7D87"/>
    <w:rsid w:val="00AD026C"/>
    <w:rsid w:val="00AD0AF5"/>
    <w:rsid w:val="00AD158F"/>
    <w:rsid w:val="00AD3AD5"/>
    <w:rsid w:val="00AD3F22"/>
    <w:rsid w:val="00AD5081"/>
    <w:rsid w:val="00AD5790"/>
    <w:rsid w:val="00AD5C5A"/>
    <w:rsid w:val="00AD6026"/>
    <w:rsid w:val="00AD610F"/>
    <w:rsid w:val="00AD6849"/>
    <w:rsid w:val="00AD6858"/>
    <w:rsid w:val="00AD6AA9"/>
    <w:rsid w:val="00AE21B6"/>
    <w:rsid w:val="00AE38CC"/>
    <w:rsid w:val="00AE3DDB"/>
    <w:rsid w:val="00AE416E"/>
    <w:rsid w:val="00AE536E"/>
    <w:rsid w:val="00AE5EBE"/>
    <w:rsid w:val="00AE5F04"/>
    <w:rsid w:val="00AF2C61"/>
    <w:rsid w:val="00AF3D26"/>
    <w:rsid w:val="00AF52DE"/>
    <w:rsid w:val="00AF638C"/>
    <w:rsid w:val="00AF79E1"/>
    <w:rsid w:val="00B010D9"/>
    <w:rsid w:val="00B02EE7"/>
    <w:rsid w:val="00B03688"/>
    <w:rsid w:val="00B06471"/>
    <w:rsid w:val="00B10909"/>
    <w:rsid w:val="00B10E68"/>
    <w:rsid w:val="00B11F21"/>
    <w:rsid w:val="00B16397"/>
    <w:rsid w:val="00B20D52"/>
    <w:rsid w:val="00B21958"/>
    <w:rsid w:val="00B268E3"/>
    <w:rsid w:val="00B305CD"/>
    <w:rsid w:val="00B3599D"/>
    <w:rsid w:val="00B36096"/>
    <w:rsid w:val="00B375AF"/>
    <w:rsid w:val="00B429E4"/>
    <w:rsid w:val="00B43F2D"/>
    <w:rsid w:val="00B45B90"/>
    <w:rsid w:val="00B50FE6"/>
    <w:rsid w:val="00B529BD"/>
    <w:rsid w:val="00B56E95"/>
    <w:rsid w:val="00B57E42"/>
    <w:rsid w:val="00B609D4"/>
    <w:rsid w:val="00B626A4"/>
    <w:rsid w:val="00B63DF9"/>
    <w:rsid w:val="00B65174"/>
    <w:rsid w:val="00B66407"/>
    <w:rsid w:val="00B67600"/>
    <w:rsid w:val="00B6760A"/>
    <w:rsid w:val="00B67B57"/>
    <w:rsid w:val="00B71BEE"/>
    <w:rsid w:val="00B73906"/>
    <w:rsid w:val="00B744D6"/>
    <w:rsid w:val="00B76CE3"/>
    <w:rsid w:val="00B811CE"/>
    <w:rsid w:val="00B819F8"/>
    <w:rsid w:val="00B84AB5"/>
    <w:rsid w:val="00B85787"/>
    <w:rsid w:val="00B91C65"/>
    <w:rsid w:val="00B91C7A"/>
    <w:rsid w:val="00BA1517"/>
    <w:rsid w:val="00BA3468"/>
    <w:rsid w:val="00BA4BF5"/>
    <w:rsid w:val="00BA549A"/>
    <w:rsid w:val="00BA6B5C"/>
    <w:rsid w:val="00BB08F5"/>
    <w:rsid w:val="00BB1EE9"/>
    <w:rsid w:val="00BB264B"/>
    <w:rsid w:val="00BB27FB"/>
    <w:rsid w:val="00BB4907"/>
    <w:rsid w:val="00BB58C5"/>
    <w:rsid w:val="00BB731E"/>
    <w:rsid w:val="00BC196E"/>
    <w:rsid w:val="00BC29BC"/>
    <w:rsid w:val="00BC48EC"/>
    <w:rsid w:val="00BC4DD2"/>
    <w:rsid w:val="00BC5B64"/>
    <w:rsid w:val="00BC6D48"/>
    <w:rsid w:val="00BC74AD"/>
    <w:rsid w:val="00BD0D13"/>
    <w:rsid w:val="00BD2304"/>
    <w:rsid w:val="00BD6B28"/>
    <w:rsid w:val="00BD7C40"/>
    <w:rsid w:val="00BE0960"/>
    <w:rsid w:val="00BE239D"/>
    <w:rsid w:val="00BE4224"/>
    <w:rsid w:val="00BE4B06"/>
    <w:rsid w:val="00BE52BA"/>
    <w:rsid w:val="00BE55B6"/>
    <w:rsid w:val="00BE5973"/>
    <w:rsid w:val="00BE6125"/>
    <w:rsid w:val="00BE7612"/>
    <w:rsid w:val="00BF08C6"/>
    <w:rsid w:val="00BF54B7"/>
    <w:rsid w:val="00BF7933"/>
    <w:rsid w:val="00C00193"/>
    <w:rsid w:val="00C00BF4"/>
    <w:rsid w:val="00C03919"/>
    <w:rsid w:val="00C03B3C"/>
    <w:rsid w:val="00C040BC"/>
    <w:rsid w:val="00C10C9B"/>
    <w:rsid w:val="00C12499"/>
    <w:rsid w:val="00C135F7"/>
    <w:rsid w:val="00C13897"/>
    <w:rsid w:val="00C14CBB"/>
    <w:rsid w:val="00C1510F"/>
    <w:rsid w:val="00C17FDF"/>
    <w:rsid w:val="00C21BC6"/>
    <w:rsid w:val="00C21C4B"/>
    <w:rsid w:val="00C24AB3"/>
    <w:rsid w:val="00C277C2"/>
    <w:rsid w:val="00C301DA"/>
    <w:rsid w:val="00C30A6E"/>
    <w:rsid w:val="00C31219"/>
    <w:rsid w:val="00C31D1D"/>
    <w:rsid w:val="00C3389D"/>
    <w:rsid w:val="00C33CF9"/>
    <w:rsid w:val="00C415A0"/>
    <w:rsid w:val="00C41A09"/>
    <w:rsid w:val="00C47EE6"/>
    <w:rsid w:val="00C53534"/>
    <w:rsid w:val="00C53709"/>
    <w:rsid w:val="00C53D99"/>
    <w:rsid w:val="00C5525F"/>
    <w:rsid w:val="00C55285"/>
    <w:rsid w:val="00C5723A"/>
    <w:rsid w:val="00C600EF"/>
    <w:rsid w:val="00C6192A"/>
    <w:rsid w:val="00C61CFA"/>
    <w:rsid w:val="00C63DCD"/>
    <w:rsid w:val="00C65916"/>
    <w:rsid w:val="00C7092A"/>
    <w:rsid w:val="00C70E5F"/>
    <w:rsid w:val="00C74577"/>
    <w:rsid w:val="00C745F1"/>
    <w:rsid w:val="00C76E88"/>
    <w:rsid w:val="00C806BF"/>
    <w:rsid w:val="00C80887"/>
    <w:rsid w:val="00C821C9"/>
    <w:rsid w:val="00C846C7"/>
    <w:rsid w:val="00C85693"/>
    <w:rsid w:val="00C86C2F"/>
    <w:rsid w:val="00C90869"/>
    <w:rsid w:val="00C90B39"/>
    <w:rsid w:val="00C91845"/>
    <w:rsid w:val="00C91DEE"/>
    <w:rsid w:val="00C929B4"/>
    <w:rsid w:val="00C93947"/>
    <w:rsid w:val="00C950C8"/>
    <w:rsid w:val="00C9622C"/>
    <w:rsid w:val="00C969E7"/>
    <w:rsid w:val="00C9790F"/>
    <w:rsid w:val="00CA0867"/>
    <w:rsid w:val="00CA0A1D"/>
    <w:rsid w:val="00CA7557"/>
    <w:rsid w:val="00CA7EA4"/>
    <w:rsid w:val="00CB0C51"/>
    <w:rsid w:val="00CB2EC9"/>
    <w:rsid w:val="00CB3DED"/>
    <w:rsid w:val="00CB50E2"/>
    <w:rsid w:val="00CB5F45"/>
    <w:rsid w:val="00CC0ED6"/>
    <w:rsid w:val="00CC1374"/>
    <w:rsid w:val="00CC140C"/>
    <w:rsid w:val="00CC1D6B"/>
    <w:rsid w:val="00CC227A"/>
    <w:rsid w:val="00CC2324"/>
    <w:rsid w:val="00CC2DF7"/>
    <w:rsid w:val="00CC7DA2"/>
    <w:rsid w:val="00CD146E"/>
    <w:rsid w:val="00CD5068"/>
    <w:rsid w:val="00CD5486"/>
    <w:rsid w:val="00CD5924"/>
    <w:rsid w:val="00CD6658"/>
    <w:rsid w:val="00CE0B99"/>
    <w:rsid w:val="00CE142F"/>
    <w:rsid w:val="00CE5389"/>
    <w:rsid w:val="00CE5424"/>
    <w:rsid w:val="00CE5DBA"/>
    <w:rsid w:val="00CE68C7"/>
    <w:rsid w:val="00CE69E2"/>
    <w:rsid w:val="00CE6E49"/>
    <w:rsid w:val="00CF0514"/>
    <w:rsid w:val="00CF0D36"/>
    <w:rsid w:val="00CF2527"/>
    <w:rsid w:val="00CF7458"/>
    <w:rsid w:val="00CF7797"/>
    <w:rsid w:val="00D00A3E"/>
    <w:rsid w:val="00D0140B"/>
    <w:rsid w:val="00D01FC1"/>
    <w:rsid w:val="00D02BFD"/>
    <w:rsid w:val="00D03C61"/>
    <w:rsid w:val="00D054F9"/>
    <w:rsid w:val="00D0676F"/>
    <w:rsid w:val="00D070B8"/>
    <w:rsid w:val="00D13C96"/>
    <w:rsid w:val="00D15637"/>
    <w:rsid w:val="00D157BD"/>
    <w:rsid w:val="00D157F9"/>
    <w:rsid w:val="00D16197"/>
    <w:rsid w:val="00D16717"/>
    <w:rsid w:val="00D16DDA"/>
    <w:rsid w:val="00D2002C"/>
    <w:rsid w:val="00D20D6B"/>
    <w:rsid w:val="00D21D9B"/>
    <w:rsid w:val="00D22167"/>
    <w:rsid w:val="00D22AE3"/>
    <w:rsid w:val="00D23BF3"/>
    <w:rsid w:val="00D245AF"/>
    <w:rsid w:val="00D246E3"/>
    <w:rsid w:val="00D2473E"/>
    <w:rsid w:val="00D24A28"/>
    <w:rsid w:val="00D25D78"/>
    <w:rsid w:val="00D26908"/>
    <w:rsid w:val="00D3005D"/>
    <w:rsid w:val="00D300A7"/>
    <w:rsid w:val="00D31869"/>
    <w:rsid w:val="00D31B54"/>
    <w:rsid w:val="00D31C90"/>
    <w:rsid w:val="00D34ECD"/>
    <w:rsid w:val="00D35968"/>
    <w:rsid w:val="00D35BD2"/>
    <w:rsid w:val="00D360D6"/>
    <w:rsid w:val="00D36401"/>
    <w:rsid w:val="00D375A1"/>
    <w:rsid w:val="00D470BD"/>
    <w:rsid w:val="00D536E6"/>
    <w:rsid w:val="00D5395A"/>
    <w:rsid w:val="00D57C3F"/>
    <w:rsid w:val="00D57F55"/>
    <w:rsid w:val="00D60466"/>
    <w:rsid w:val="00D60B94"/>
    <w:rsid w:val="00D61925"/>
    <w:rsid w:val="00D62777"/>
    <w:rsid w:val="00D648E7"/>
    <w:rsid w:val="00D649AA"/>
    <w:rsid w:val="00D66A7F"/>
    <w:rsid w:val="00D73E9D"/>
    <w:rsid w:val="00D743EE"/>
    <w:rsid w:val="00D7513B"/>
    <w:rsid w:val="00D7555E"/>
    <w:rsid w:val="00D816A2"/>
    <w:rsid w:val="00D82065"/>
    <w:rsid w:val="00D82174"/>
    <w:rsid w:val="00D83BC9"/>
    <w:rsid w:val="00D8445C"/>
    <w:rsid w:val="00D84B47"/>
    <w:rsid w:val="00D85949"/>
    <w:rsid w:val="00D85B91"/>
    <w:rsid w:val="00D8667C"/>
    <w:rsid w:val="00D87389"/>
    <w:rsid w:val="00D878F1"/>
    <w:rsid w:val="00D909CB"/>
    <w:rsid w:val="00D91510"/>
    <w:rsid w:val="00D9242A"/>
    <w:rsid w:val="00D92862"/>
    <w:rsid w:val="00D92DFC"/>
    <w:rsid w:val="00D95126"/>
    <w:rsid w:val="00D975A8"/>
    <w:rsid w:val="00DA31A9"/>
    <w:rsid w:val="00DA4E44"/>
    <w:rsid w:val="00DB08B1"/>
    <w:rsid w:val="00DB0A1C"/>
    <w:rsid w:val="00DB0CC0"/>
    <w:rsid w:val="00DB1109"/>
    <w:rsid w:val="00DB148C"/>
    <w:rsid w:val="00DB328A"/>
    <w:rsid w:val="00DB427C"/>
    <w:rsid w:val="00DB4C23"/>
    <w:rsid w:val="00DB6D6E"/>
    <w:rsid w:val="00DB6F91"/>
    <w:rsid w:val="00DB7552"/>
    <w:rsid w:val="00DB79EA"/>
    <w:rsid w:val="00DB7E87"/>
    <w:rsid w:val="00DC080E"/>
    <w:rsid w:val="00DC3D3F"/>
    <w:rsid w:val="00DC62FE"/>
    <w:rsid w:val="00DD08E8"/>
    <w:rsid w:val="00DD1D7C"/>
    <w:rsid w:val="00DD2805"/>
    <w:rsid w:val="00DD5EDE"/>
    <w:rsid w:val="00DD5F6B"/>
    <w:rsid w:val="00DD7C73"/>
    <w:rsid w:val="00DE23EE"/>
    <w:rsid w:val="00DE72F1"/>
    <w:rsid w:val="00DF0A6C"/>
    <w:rsid w:val="00DF17C1"/>
    <w:rsid w:val="00DF2244"/>
    <w:rsid w:val="00DF238B"/>
    <w:rsid w:val="00DF61F6"/>
    <w:rsid w:val="00DF62F7"/>
    <w:rsid w:val="00DF7511"/>
    <w:rsid w:val="00E04D19"/>
    <w:rsid w:val="00E10301"/>
    <w:rsid w:val="00E10628"/>
    <w:rsid w:val="00E109F6"/>
    <w:rsid w:val="00E1324E"/>
    <w:rsid w:val="00E14F4A"/>
    <w:rsid w:val="00E16972"/>
    <w:rsid w:val="00E16AFC"/>
    <w:rsid w:val="00E175D3"/>
    <w:rsid w:val="00E17FAD"/>
    <w:rsid w:val="00E204B3"/>
    <w:rsid w:val="00E2383D"/>
    <w:rsid w:val="00E23CD1"/>
    <w:rsid w:val="00E24031"/>
    <w:rsid w:val="00E260CF"/>
    <w:rsid w:val="00E263A4"/>
    <w:rsid w:val="00E26DFE"/>
    <w:rsid w:val="00E278EB"/>
    <w:rsid w:val="00E30EB3"/>
    <w:rsid w:val="00E35006"/>
    <w:rsid w:val="00E407AB"/>
    <w:rsid w:val="00E41FD3"/>
    <w:rsid w:val="00E423C2"/>
    <w:rsid w:val="00E42A9D"/>
    <w:rsid w:val="00E456ED"/>
    <w:rsid w:val="00E4759E"/>
    <w:rsid w:val="00E50440"/>
    <w:rsid w:val="00E53F7A"/>
    <w:rsid w:val="00E60BDA"/>
    <w:rsid w:val="00E61B5D"/>
    <w:rsid w:val="00E65860"/>
    <w:rsid w:val="00E65FA2"/>
    <w:rsid w:val="00E66E63"/>
    <w:rsid w:val="00E670A7"/>
    <w:rsid w:val="00E7189D"/>
    <w:rsid w:val="00E722BC"/>
    <w:rsid w:val="00E72B3E"/>
    <w:rsid w:val="00E73311"/>
    <w:rsid w:val="00E752A1"/>
    <w:rsid w:val="00E770AF"/>
    <w:rsid w:val="00E8085D"/>
    <w:rsid w:val="00E80EB4"/>
    <w:rsid w:val="00E81736"/>
    <w:rsid w:val="00E847FC"/>
    <w:rsid w:val="00E84EBA"/>
    <w:rsid w:val="00E86072"/>
    <w:rsid w:val="00E86A92"/>
    <w:rsid w:val="00E926D7"/>
    <w:rsid w:val="00E94014"/>
    <w:rsid w:val="00E97E84"/>
    <w:rsid w:val="00EA2755"/>
    <w:rsid w:val="00EA29B5"/>
    <w:rsid w:val="00EA4A58"/>
    <w:rsid w:val="00EA5B0E"/>
    <w:rsid w:val="00EA5F40"/>
    <w:rsid w:val="00EA5FFC"/>
    <w:rsid w:val="00EB0FAF"/>
    <w:rsid w:val="00EB15F3"/>
    <w:rsid w:val="00EB3C81"/>
    <w:rsid w:val="00EB4BCE"/>
    <w:rsid w:val="00EB4F71"/>
    <w:rsid w:val="00EB558E"/>
    <w:rsid w:val="00EB5D25"/>
    <w:rsid w:val="00EB6255"/>
    <w:rsid w:val="00EB631F"/>
    <w:rsid w:val="00EB690E"/>
    <w:rsid w:val="00EB6BF9"/>
    <w:rsid w:val="00EB6DD3"/>
    <w:rsid w:val="00EC0854"/>
    <w:rsid w:val="00EC21CB"/>
    <w:rsid w:val="00EC743A"/>
    <w:rsid w:val="00EC76DB"/>
    <w:rsid w:val="00ED0093"/>
    <w:rsid w:val="00ED1399"/>
    <w:rsid w:val="00ED1A80"/>
    <w:rsid w:val="00ED1D5C"/>
    <w:rsid w:val="00ED25C6"/>
    <w:rsid w:val="00ED6772"/>
    <w:rsid w:val="00ED69B9"/>
    <w:rsid w:val="00EE790D"/>
    <w:rsid w:val="00EF338A"/>
    <w:rsid w:val="00F0070D"/>
    <w:rsid w:val="00F01DD4"/>
    <w:rsid w:val="00F021D2"/>
    <w:rsid w:val="00F04ADA"/>
    <w:rsid w:val="00F06F57"/>
    <w:rsid w:val="00F07633"/>
    <w:rsid w:val="00F118FB"/>
    <w:rsid w:val="00F172E5"/>
    <w:rsid w:val="00F177C8"/>
    <w:rsid w:val="00F20CC8"/>
    <w:rsid w:val="00F21BF0"/>
    <w:rsid w:val="00F21BFD"/>
    <w:rsid w:val="00F22120"/>
    <w:rsid w:val="00F243B8"/>
    <w:rsid w:val="00F24C64"/>
    <w:rsid w:val="00F25D33"/>
    <w:rsid w:val="00F311D6"/>
    <w:rsid w:val="00F3280A"/>
    <w:rsid w:val="00F32917"/>
    <w:rsid w:val="00F37513"/>
    <w:rsid w:val="00F375C6"/>
    <w:rsid w:val="00F376A5"/>
    <w:rsid w:val="00F414C1"/>
    <w:rsid w:val="00F4151B"/>
    <w:rsid w:val="00F41D7B"/>
    <w:rsid w:val="00F42D8F"/>
    <w:rsid w:val="00F43F82"/>
    <w:rsid w:val="00F44F38"/>
    <w:rsid w:val="00F47A61"/>
    <w:rsid w:val="00F5058D"/>
    <w:rsid w:val="00F54302"/>
    <w:rsid w:val="00F54F5B"/>
    <w:rsid w:val="00F5587E"/>
    <w:rsid w:val="00F55F0A"/>
    <w:rsid w:val="00F56583"/>
    <w:rsid w:val="00F57238"/>
    <w:rsid w:val="00F6010D"/>
    <w:rsid w:val="00F64EF2"/>
    <w:rsid w:val="00F65729"/>
    <w:rsid w:val="00F67F4E"/>
    <w:rsid w:val="00F728C6"/>
    <w:rsid w:val="00F739A9"/>
    <w:rsid w:val="00F73DF8"/>
    <w:rsid w:val="00F74110"/>
    <w:rsid w:val="00F766D9"/>
    <w:rsid w:val="00F7741F"/>
    <w:rsid w:val="00F77C61"/>
    <w:rsid w:val="00F810C2"/>
    <w:rsid w:val="00F8192E"/>
    <w:rsid w:val="00F81E54"/>
    <w:rsid w:val="00F82A0C"/>
    <w:rsid w:val="00F82D4D"/>
    <w:rsid w:val="00F911AD"/>
    <w:rsid w:val="00F92F7A"/>
    <w:rsid w:val="00F93C80"/>
    <w:rsid w:val="00F94821"/>
    <w:rsid w:val="00F95709"/>
    <w:rsid w:val="00FA12D5"/>
    <w:rsid w:val="00FA25BC"/>
    <w:rsid w:val="00FA3C44"/>
    <w:rsid w:val="00FA6F87"/>
    <w:rsid w:val="00FA754F"/>
    <w:rsid w:val="00FA7750"/>
    <w:rsid w:val="00FA7BC5"/>
    <w:rsid w:val="00FB108E"/>
    <w:rsid w:val="00FB11FB"/>
    <w:rsid w:val="00FB2AFF"/>
    <w:rsid w:val="00FB2C37"/>
    <w:rsid w:val="00FB3BCA"/>
    <w:rsid w:val="00FB43D0"/>
    <w:rsid w:val="00FB502D"/>
    <w:rsid w:val="00FB59AF"/>
    <w:rsid w:val="00FB5CF6"/>
    <w:rsid w:val="00FB6A66"/>
    <w:rsid w:val="00FB6F35"/>
    <w:rsid w:val="00FC0265"/>
    <w:rsid w:val="00FC2385"/>
    <w:rsid w:val="00FC38F9"/>
    <w:rsid w:val="00FC4402"/>
    <w:rsid w:val="00FC476F"/>
    <w:rsid w:val="00FC62AD"/>
    <w:rsid w:val="00FC70C6"/>
    <w:rsid w:val="00FC7E84"/>
    <w:rsid w:val="00FD0F75"/>
    <w:rsid w:val="00FD16AE"/>
    <w:rsid w:val="00FD22F5"/>
    <w:rsid w:val="00FD2CEF"/>
    <w:rsid w:val="00FE0018"/>
    <w:rsid w:val="00FE07ED"/>
    <w:rsid w:val="00FE2673"/>
    <w:rsid w:val="00FE27D3"/>
    <w:rsid w:val="00FE2847"/>
    <w:rsid w:val="00FE2F2A"/>
    <w:rsid w:val="00FE5A50"/>
    <w:rsid w:val="00FF0BED"/>
    <w:rsid w:val="00FF2421"/>
    <w:rsid w:val="00FF5059"/>
    <w:rsid w:val="00FF59BD"/>
    <w:rsid w:val="00FF6707"/>
    <w:rsid w:val="00FF6D65"/>
    <w:rsid w:val="01282682"/>
    <w:rsid w:val="01440B42"/>
    <w:rsid w:val="015903B3"/>
    <w:rsid w:val="01ABC634"/>
    <w:rsid w:val="02CAF7DF"/>
    <w:rsid w:val="03246BF8"/>
    <w:rsid w:val="0326EC1C"/>
    <w:rsid w:val="03B60B80"/>
    <w:rsid w:val="03C5002B"/>
    <w:rsid w:val="046BFB4F"/>
    <w:rsid w:val="047C31F7"/>
    <w:rsid w:val="048B41BF"/>
    <w:rsid w:val="04E8C993"/>
    <w:rsid w:val="056D87B0"/>
    <w:rsid w:val="058E1413"/>
    <w:rsid w:val="05A3F21D"/>
    <w:rsid w:val="05CA2439"/>
    <w:rsid w:val="0639D907"/>
    <w:rsid w:val="066E3CE4"/>
    <w:rsid w:val="06940E7C"/>
    <w:rsid w:val="06DD7261"/>
    <w:rsid w:val="07282FF8"/>
    <w:rsid w:val="0745F2F4"/>
    <w:rsid w:val="07769E8F"/>
    <w:rsid w:val="078E8AD4"/>
    <w:rsid w:val="07E6A33C"/>
    <w:rsid w:val="080F6154"/>
    <w:rsid w:val="087FCDC1"/>
    <w:rsid w:val="08A64A99"/>
    <w:rsid w:val="08F63F8E"/>
    <w:rsid w:val="0974633A"/>
    <w:rsid w:val="09B548C9"/>
    <w:rsid w:val="09B8D0DD"/>
    <w:rsid w:val="09D894D9"/>
    <w:rsid w:val="0A6AB6C1"/>
    <w:rsid w:val="0A6C0AE9"/>
    <w:rsid w:val="0A87F75A"/>
    <w:rsid w:val="0AAFE59F"/>
    <w:rsid w:val="0AC96F6A"/>
    <w:rsid w:val="0B912F62"/>
    <w:rsid w:val="0C07DB4A"/>
    <w:rsid w:val="0C2E838A"/>
    <w:rsid w:val="0CA6D29E"/>
    <w:rsid w:val="0D204182"/>
    <w:rsid w:val="0D64A0F9"/>
    <w:rsid w:val="0DA997E8"/>
    <w:rsid w:val="0DD6FA11"/>
    <w:rsid w:val="0E6BC24B"/>
    <w:rsid w:val="0E724924"/>
    <w:rsid w:val="0EBB7FAD"/>
    <w:rsid w:val="0F0733D6"/>
    <w:rsid w:val="0F2F9F2D"/>
    <w:rsid w:val="0FA49ED6"/>
    <w:rsid w:val="100DEBA0"/>
    <w:rsid w:val="103EA472"/>
    <w:rsid w:val="106C56F1"/>
    <w:rsid w:val="108A1623"/>
    <w:rsid w:val="1092DA36"/>
    <w:rsid w:val="1124CCE5"/>
    <w:rsid w:val="11F2A7E5"/>
    <w:rsid w:val="1224FC47"/>
    <w:rsid w:val="127714BE"/>
    <w:rsid w:val="12AA9E05"/>
    <w:rsid w:val="12B21976"/>
    <w:rsid w:val="12D14AA3"/>
    <w:rsid w:val="12DDB11A"/>
    <w:rsid w:val="133A59B8"/>
    <w:rsid w:val="13500560"/>
    <w:rsid w:val="139173BD"/>
    <w:rsid w:val="13B127DF"/>
    <w:rsid w:val="143BF93A"/>
    <w:rsid w:val="14D470F0"/>
    <w:rsid w:val="151CDFA1"/>
    <w:rsid w:val="1598B143"/>
    <w:rsid w:val="15B05C1B"/>
    <w:rsid w:val="15DAE132"/>
    <w:rsid w:val="1602193B"/>
    <w:rsid w:val="170D5F9D"/>
    <w:rsid w:val="171F9D00"/>
    <w:rsid w:val="17264A4E"/>
    <w:rsid w:val="17752D93"/>
    <w:rsid w:val="1791877B"/>
    <w:rsid w:val="179A584B"/>
    <w:rsid w:val="17B061AC"/>
    <w:rsid w:val="17CAB84A"/>
    <w:rsid w:val="17D80C04"/>
    <w:rsid w:val="17FB61B1"/>
    <w:rsid w:val="18210DB4"/>
    <w:rsid w:val="1863E3D5"/>
    <w:rsid w:val="18C9F6DD"/>
    <w:rsid w:val="1903248A"/>
    <w:rsid w:val="1919ACB8"/>
    <w:rsid w:val="192C1DD9"/>
    <w:rsid w:val="195B8211"/>
    <w:rsid w:val="19889836"/>
    <w:rsid w:val="1A5008BA"/>
    <w:rsid w:val="1A746BE4"/>
    <w:rsid w:val="1A84D276"/>
    <w:rsid w:val="1A9A8D0A"/>
    <w:rsid w:val="1B02DC4D"/>
    <w:rsid w:val="1B81743A"/>
    <w:rsid w:val="1B8523AD"/>
    <w:rsid w:val="1BB05356"/>
    <w:rsid w:val="1BD4BB7C"/>
    <w:rsid w:val="1C2D96BD"/>
    <w:rsid w:val="1C49EBF4"/>
    <w:rsid w:val="1DCC2E28"/>
    <w:rsid w:val="1E3EFB01"/>
    <w:rsid w:val="1EB90803"/>
    <w:rsid w:val="1EF73A31"/>
    <w:rsid w:val="1F039BF5"/>
    <w:rsid w:val="1F25E936"/>
    <w:rsid w:val="1F2C73FD"/>
    <w:rsid w:val="1FBA9882"/>
    <w:rsid w:val="205D45CD"/>
    <w:rsid w:val="206B3EB2"/>
    <w:rsid w:val="2076257D"/>
    <w:rsid w:val="2091B544"/>
    <w:rsid w:val="209F6C56"/>
    <w:rsid w:val="21385212"/>
    <w:rsid w:val="21B0E21E"/>
    <w:rsid w:val="21C51251"/>
    <w:rsid w:val="223B3CB7"/>
    <w:rsid w:val="22A2E22C"/>
    <w:rsid w:val="22BC4A65"/>
    <w:rsid w:val="22D5782E"/>
    <w:rsid w:val="2301AAA1"/>
    <w:rsid w:val="239BC10C"/>
    <w:rsid w:val="23A8D896"/>
    <w:rsid w:val="23D65457"/>
    <w:rsid w:val="23E872B0"/>
    <w:rsid w:val="2407697A"/>
    <w:rsid w:val="249F2B3F"/>
    <w:rsid w:val="24C65AD2"/>
    <w:rsid w:val="2503CDCE"/>
    <w:rsid w:val="251FCAD1"/>
    <w:rsid w:val="258D57A4"/>
    <w:rsid w:val="25DE57AD"/>
    <w:rsid w:val="26790223"/>
    <w:rsid w:val="26CBB2AC"/>
    <w:rsid w:val="26DF1E77"/>
    <w:rsid w:val="26EB3E95"/>
    <w:rsid w:val="2748E96E"/>
    <w:rsid w:val="27D63489"/>
    <w:rsid w:val="2818B382"/>
    <w:rsid w:val="2819DBC5"/>
    <w:rsid w:val="284FB0DE"/>
    <w:rsid w:val="28BA29C4"/>
    <w:rsid w:val="28EE7131"/>
    <w:rsid w:val="28EF286F"/>
    <w:rsid w:val="298BEF0E"/>
    <w:rsid w:val="29924411"/>
    <w:rsid w:val="29BCACC5"/>
    <w:rsid w:val="2A074C56"/>
    <w:rsid w:val="2A0CFBC9"/>
    <w:rsid w:val="2ABF3CEE"/>
    <w:rsid w:val="2AD580F2"/>
    <w:rsid w:val="2B077FCC"/>
    <w:rsid w:val="2B65C5F2"/>
    <w:rsid w:val="2BA31CB7"/>
    <w:rsid w:val="2BB760ED"/>
    <w:rsid w:val="2C3F924E"/>
    <w:rsid w:val="2C7C59AE"/>
    <w:rsid w:val="2CB7BDB6"/>
    <w:rsid w:val="2CEA79D1"/>
    <w:rsid w:val="2D3EED18"/>
    <w:rsid w:val="2D402A4A"/>
    <w:rsid w:val="2D5207A3"/>
    <w:rsid w:val="2DEBB7AF"/>
    <w:rsid w:val="2E8E4805"/>
    <w:rsid w:val="2F3A67F0"/>
    <w:rsid w:val="2F5DD111"/>
    <w:rsid w:val="3004A282"/>
    <w:rsid w:val="3010D4A1"/>
    <w:rsid w:val="30C7429D"/>
    <w:rsid w:val="30CF47E5"/>
    <w:rsid w:val="30E41929"/>
    <w:rsid w:val="30E67C4B"/>
    <w:rsid w:val="30F53855"/>
    <w:rsid w:val="3190BAA1"/>
    <w:rsid w:val="31AD7783"/>
    <w:rsid w:val="31E7835C"/>
    <w:rsid w:val="320C7873"/>
    <w:rsid w:val="32512AE2"/>
    <w:rsid w:val="32D44970"/>
    <w:rsid w:val="3316410C"/>
    <w:rsid w:val="33725EA2"/>
    <w:rsid w:val="33B1DD4F"/>
    <w:rsid w:val="33BF0470"/>
    <w:rsid w:val="33EBDD8E"/>
    <w:rsid w:val="347941BF"/>
    <w:rsid w:val="355AD4D1"/>
    <w:rsid w:val="35639D2D"/>
    <w:rsid w:val="35AD62D8"/>
    <w:rsid w:val="35B8DD6C"/>
    <w:rsid w:val="363C516A"/>
    <w:rsid w:val="3641AAFB"/>
    <w:rsid w:val="36BF5535"/>
    <w:rsid w:val="37033DE6"/>
    <w:rsid w:val="370762C2"/>
    <w:rsid w:val="3772989D"/>
    <w:rsid w:val="37B5481D"/>
    <w:rsid w:val="37E776EF"/>
    <w:rsid w:val="387AFE97"/>
    <w:rsid w:val="38DD276C"/>
    <w:rsid w:val="38EF331E"/>
    <w:rsid w:val="392C0AB1"/>
    <w:rsid w:val="3933BD56"/>
    <w:rsid w:val="394A5A44"/>
    <w:rsid w:val="397BD3EC"/>
    <w:rsid w:val="3990D683"/>
    <w:rsid w:val="39B2489F"/>
    <w:rsid w:val="3A4F1874"/>
    <w:rsid w:val="3AA025E2"/>
    <w:rsid w:val="3AA8E929"/>
    <w:rsid w:val="3B7323BB"/>
    <w:rsid w:val="3BB93815"/>
    <w:rsid w:val="3BE52759"/>
    <w:rsid w:val="3C26CBD0"/>
    <w:rsid w:val="3C6DE647"/>
    <w:rsid w:val="3C7216A0"/>
    <w:rsid w:val="3CCEDA39"/>
    <w:rsid w:val="3D592CBE"/>
    <w:rsid w:val="3DF80079"/>
    <w:rsid w:val="3E3B4F38"/>
    <w:rsid w:val="3E798AAE"/>
    <w:rsid w:val="3EFE8DBA"/>
    <w:rsid w:val="3F08C559"/>
    <w:rsid w:val="3F220C87"/>
    <w:rsid w:val="3F37184E"/>
    <w:rsid w:val="3F3FF3B9"/>
    <w:rsid w:val="3F9C01FB"/>
    <w:rsid w:val="408403E9"/>
    <w:rsid w:val="40A06D39"/>
    <w:rsid w:val="416F83DC"/>
    <w:rsid w:val="42A64485"/>
    <w:rsid w:val="4343521A"/>
    <w:rsid w:val="43CFF626"/>
    <w:rsid w:val="4455A6FA"/>
    <w:rsid w:val="44E8A29D"/>
    <w:rsid w:val="45243FE2"/>
    <w:rsid w:val="454425DA"/>
    <w:rsid w:val="4664454F"/>
    <w:rsid w:val="46AAABCE"/>
    <w:rsid w:val="46BA4645"/>
    <w:rsid w:val="46BFCED1"/>
    <w:rsid w:val="46C171B4"/>
    <w:rsid w:val="46C504F3"/>
    <w:rsid w:val="4760D73F"/>
    <w:rsid w:val="47778A99"/>
    <w:rsid w:val="481870D9"/>
    <w:rsid w:val="4855E3D5"/>
    <w:rsid w:val="485C4A31"/>
    <w:rsid w:val="488C47A3"/>
    <w:rsid w:val="48C7ADF7"/>
    <w:rsid w:val="49145F9B"/>
    <w:rsid w:val="49188D80"/>
    <w:rsid w:val="496E27CE"/>
    <w:rsid w:val="498A33F8"/>
    <w:rsid w:val="49A9D071"/>
    <w:rsid w:val="4A7FC6F0"/>
    <w:rsid w:val="4AA9370E"/>
    <w:rsid w:val="4B0A8334"/>
    <w:rsid w:val="4B0C2880"/>
    <w:rsid w:val="4B9D334D"/>
    <w:rsid w:val="4BEEF5B9"/>
    <w:rsid w:val="4C67B59A"/>
    <w:rsid w:val="4CB4208F"/>
    <w:rsid w:val="4D0429D9"/>
    <w:rsid w:val="4D5300FD"/>
    <w:rsid w:val="4D5F11D0"/>
    <w:rsid w:val="4D6B9144"/>
    <w:rsid w:val="4D876517"/>
    <w:rsid w:val="4D9324C2"/>
    <w:rsid w:val="4DE5A5AF"/>
    <w:rsid w:val="4DFC958F"/>
    <w:rsid w:val="4E9DBF04"/>
    <w:rsid w:val="4EA156EF"/>
    <w:rsid w:val="4EA2EA03"/>
    <w:rsid w:val="4EF4E838"/>
    <w:rsid w:val="4EF5CA36"/>
    <w:rsid w:val="4FD01770"/>
    <w:rsid w:val="50B9CA50"/>
    <w:rsid w:val="50F19347"/>
    <w:rsid w:val="512B3DF7"/>
    <w:rsid w:val="515A20F4"/>
    <w:rsid w:val="5186B89E"/>
    <w:rsid w:val="51D52DF0"/>
    <w:rsid w:val="52B32A95"/>
    <w:rsid w:val="53035226"/>
    <w:rsid w:val="531A895E"/>
    <w:rsid w:val="53C8BC27"/>
    <w:rsid w:val="53D684B9"/>
    <w:rsid w:val="54137B69"/>
    <w:rsid w:val="547326DD"/>
    <w:rsid w:val="548CCEA8"/>
    <w:rsid w:val="54D60E07"/>
    <w:rsid w:val="54F0B21F"/>
    <w:rsid w:val="5585B38F"/>
    <w:rsid w:val="566699C3"/>
    <w:rsid w:val="569412E7"/>
    <w:rsid w:val="56B9F86B"/>
    <w:rsid w:val="57137047"/>
    <w:rsid w:val="571F8CA7"/>
    <w:rsid w:val="5765EAEC"/>
    <w:rsid w:val="57922D91"/>
    <w:rsid w:val="57AC6666"/>
    <w:rsid w:val="581269D1"/>
    <w:rsid w:val="581800E8"/>
    <w:rsid w:val="5822A1C8"/>
    <w:rsid w:val="5901438B"/>
    <w:rsid w:val="596CDF4B"/>
    <w:rsid w:val="59AB8190"/>
    <w:rsid w:val="59DE85C6"/>
    <w:rsid w:val="59E75E78"/>
    <w:rsid w:val="5A2FADC3"/>
    <w:rsid w:val="5A3C26A4"/>
    <w:rsid w:val="5BB405D5"/>
    <w:rsid w:val="5BD64499"/>
    <w:rsid w:val="5BEC7110"/>
    <w:rsid w:val="5C3975D0"/>
    <w:rsid w:val="5C475859"/>
    <w:rsid w:val="5C51EA6D"/>
    <w:rsid w:val="5C841BEB"/>
    <w:rsid w:val="5C86CF7C"/>
    <w:rsid w:val="5C91CA90"/>
    <w:rsid w:val="5CC7BFCB"/>
    <w:rsid w:val="5DFAFF30"/>
    <w:rsid w:val="5E380994"/>
    <w:rsid w:val="5EBB01EE"/>
    <w:rsid w:val="5EC23B56"/>
    <w:rsid w:val="5EEA9035"/>
    <w:rsid w:val="5EFF4E36"/>
    <w:rsid w:val="5F56297E"/>
    <w:rsid w:val="5F627CFC"/>
    <w:rsid w:val="5F78E1D7"/>
    <w:rsid w:val="5FAE5E8A"/>
    <w:rsid w:val="5FBFFC4E"/>
    <w:rsid w:val="601086C7"/>
    <w:rsid w:val="6035C184"/>
    <w:rsid w:val="603EC1E8"/>
    <w:rsid w:val="60E40795"/>
    <w:rsid w:val="613C3DD0"/>
    <w:rsid w:val="6151BC9C"/>
    <w:rsid w:val="62112BFF"/>
    <w:rsid w:val="623F9D4B"/>
    <w:rsid w:val="6242A0E5"/>
    <w:rsid w:val="62782445"/>
    <w:rsid w:val="62D2D109"/>
    <w:rsid w:val="62FA49AD"/>
    <w:rsid w:val="630D8B7E"/>
    <w:rsid w:val="63857FDC"/>
    <w:rsid w:val="63912301"/>
    <w:rsid w:val="63C42274"/>
    <w:rsid w:val="6443CEF7"/>
    <w:rsid w:val="64CA74A1"/>
    <w:rsid w:val="64D7305D"/>
    <w:rsid w:val="6515D36B"/>
    <w:rsid w:val="658C61B9"/>
    <w:rsid w:val="659B663F"/>
    <w:rsid w:val="666E6418"/>
    <w:rsid w:val="666EAAC7"/>
    <w:rsid w:val="66956821"/>
    <w:rsid w:val="66B8D23A"/>
    <w:rsid w:val="6735E152"/>
    <w:rsid w:val="6736DD71"/>
    <w:rsid w:val="6768E9CF"/>
    <w:rsid w:val="67AB58CF"/>
    <w:rsid w:val="67AC4A89"/>
    <w:rsid w:val="67B3AC3E"/>
    <w:rsid w:val="67DEEBDA"/>
    <w:rsid w:val="6831EE3D"/>
    <w:rsid w:val="68693E5F"/>
    <w:rsid w:val="68B52DCA"/>
    <w:rsid w:val="6978912C"/>
    <w:rsid w:val="6979C01C"/>
    <w:rsid w:val="69B81DD8"/>
    <w:rsid w:val="6A12823D"/>
    <w:rsid w:val="6A1E844B"/>
    <w:rsid w:val="6A50244B"/>
    <w:rsid w:val="6AA5BE99"/>
    <w:rsid w:val="6B6C0CA2"/>
    <w:rsid w:val="6B702BB6"/>
    <w:rsid w:val="6B90A923"/>
    <w:rsid w:val="6C01CA91"/>
    <w:rsid w:val="6C17661E"/>
    <w:rsid w:val="6C6675A2"/>
    <w:rsid w:val="6CAAD519"/>
    <w:rsid w:val="6CAF9A76"/>
    <w:rsid w:val="6CC03DD5"/>
    <w:rsid w:val="6DFB3A54"/>
    <w:rsid w:val="6E447197"/>
    <w:rsid w:val="6E515DBD"/>
    <w:rsid w:val="6E5A7A9F"/>
    <w:rsid w:val="6F0B46F1"/>
    <w:rsid w:val="6F6474BC"/>
    <w:rsid w:val="6F9D7EEC"/>
    <w:rsid w:val="70AB10E2"/>
    <w:rsid w:val="714EAB96"/>
    <w:rsid w:val="72160CDF"/>
    <w:rsid w:val="7222F9AB"/>
    <w:rsid w:val="72D7A7DD"/>
    <w:rsid w:val="72D86989"/>
    <w:rsid w:val="73222D77"/>
    <w:rsid w:val="732818BB"/>
    <w:rsid w:val="745215B4"/>
    <w:rsid w:val="7478A242"/>
    <w:rsid w:val="74D6A88F"/>
    <w:rsid w:val="758AEEFA"/>
    <w:rsid w:val="76692ADD"/>
    <w:rsid w:val="76D6E97D"/>
    <w:rsid w:val="7763F702"/>
    <w:rsid w:val="77A07175"/>
    <w:rsid w:val="77D4F6DB"/>
    <w:rsid w:val="7889A983"/>
    <w:rsid w:val="789EA67F"/>
    <w:rsid w:val="78DEDE32"/>
    <w:rsid w:val="78EF8CA6"/>
    <w:rsid w:val="78F91C84"/>
    <w:rsid w:val="7A65864E"/>
    <w:rsid w:val="7CDBF955"/>
    <w:rsid w:val="7D0C0F78"/>
    <w:rsid w:val="7D12C455"/>
    <w:rsid w:val="7D5EB7CA"/>
    <w:rsid w:val="7E325636"/>
    <w:rsid w:val="7E9FF9CB"/>
    <w:rsid w:val="7EDC3A93"/>
    <w:rsid w:val="7EF42AD1"/>
    <w:rsid w:val="7EFEA3D7"/>
    <w:rsid w:val="7F10B997"/>
    <w:rsid w:val="7F7A61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D1AC45"/>
  <w15:chartTrackingRefBased/>
  <w15:docId w15:val="{A8EB2682-097E-45A8-990E-E35F67CE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D59"/>
  </w:style>
  <w:style w:type="paragraph" w:styleId="Heading1">
    <w:name w:val="heading 1"/>
    <w:basedOn w:val="Normal"/>
    <w:next w:val="Normal"/>
    <w:link w:val="Heading1Char"/>
    <w:uiPriority w:val="9"/>
    <w:qFormat/>
    <w:rsid w:val="00987B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39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39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B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7B5F"/>
    <w:pPr>
      <w:outlineLvl w:val="9"/>
    </w:pPr>
  </w:style>
  <w:style w:type="character" w:styleId="Strong">
    <w:name w:val="Strong"/>
    <w:basedOn w:val="DefaultParagraphFont"/>
    <w:uiPriority w:val="22"/>
    <w:qFormat/>
    <w:rsid w:val="00E72B3E"/>
    <w:rPr>
      <w:b/>
      <w:bCs/>
    </w:rPr>
  </w:style>
  <w:style w:type="paragraph" w:styleId="TOC1">
    <w:name w:val="toc 1"/>
    <w:basedOn w:val="Normal"/>
    <w:next w:val="Normal"/>
    <w:autoRedefine/>
    <w:uiPriority w:val="39"/>
    <w:unhideWhenUsed/>
    <w:rsid w:val="00630287"/>
    <w:pPr>
      <w:spacing w:after="100"/>
    </w:pPr>
  </w:style>
  <w:style w:type="character" w:styleId="Hyperlink">
    <w:name w:val="Hyperlink"/>
    <w:basedOn w:val="DefaultParagraphFont"/>
    <w:uiPriority w:val="99"/>
    <w:unhideWhenUsed/>
    <w:rsid w:val="00630287"/>
    <w:rPr>
      <w:color w:val="0563C1" w:themeColor="hyperlink"/>
      <w:u w:val="single"/>
    </w:rPr>
  </w:style>
  <w:style w:type="paragraph" w:customStyle="1" w:styleId="Style1">
    <w:name w:val="Style1"/>
    <w:basedOn w:val="Heading1"/>
    <w:link w:val="Style1Char"/>
    <w:qFormat/>
    <w:rsid w:val="00630287"/>
    <w:rPr>
      <w:color w:val="auto"/>
    </w:rPr>
  </w:style>
  <w:style w:type="table" w:customStyle="1" w:styleId="TableGrid1">
    <w:name w:val="Table Grid1"/>
    <w:basedOn w:val="TableNormal"/>
    <w:next w:val="TableGrid"/>
    <w:uiPriority w:val="59"/>
    <w:rsid w:val="0063028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Heading1Char"/>
    <w:link w:val="Style1"/>
    <w:rsid w:val="0063028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3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287"/>
    <w:pPr>
      <w:ind w:left="720"/>
      <w:contextualSpacing/>
    </w:pPr>
  </w:style>
  <w:style w:type="paragraph" w:styleId="Header">
    <w:name w:val="header"/>
    <w:basedOn w:val="Normal"/>
    <w:link w:val="HeaderChar"/>
    <w:uiPriority w:val="99"/>
    <w:unhideWhenUsed/>
    <w:rsid w:val="001E7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D57"/>
  </w:style>
  <w:style w:type="paragraph" w:styleId="Footer">
    <w:name w:val="footer"/>
    <w:basedOn w:val="Normal"/>
    <w:link w:val="FooterChar"/>
    <w:uiPriority w:val="99"/>
    <w:unhideWhenUsed/>
    <w:rsid w:val="001E7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D57"/>
  </w:style>
  <w:style w:type="character" w:styleId="FollowedHyperlink">
    <w:name w:val="FollowedHyperlink"/>
    <w:basedOn w:val="DefaultParagraphFont"/>
    <w:uiPriority w:val="99"/>
    <w:semiHidden/>
    <w:unhideWhenUsed/>
    <w:rsid w:val="004E4391"/>
    <w:rPr>
      <w:color w:val="954F72" w:themeColor="followedHyperlink"/>
      <w:u w:val="single"/>
    </w:rPr>
  </w:style>
  <w:style w:type="paragraph" w:styleId="CommentText">
    <w:name w:val="annotation text"/>
    <w:basedOn w:val="Normal"/>
    <w:link w:val="CommentTextChar"/>
    <w:uiPriority w:val="99"/>
    <w:unhideWhenUsed/>
    <w:rsid w:val="00740251"/>
    <w:pPr>
      <w:spacing w:line="240" w:lineRule="auto"/>
    </w:pPr>
    <w:rPr>
      <w:sz w:val="20"/>
      <w:szCs w:val="20"/>
    </w:rPr>
  </w:style>
  <w:style w:type="character" w:customStyle="1" w:styleId="CommentTextChar">
    <w:name w:val="Comment Text Char"/>
    <w:basedOn w:val="DefaultParagraphFont"/>
    <w:link w:val="CommentText"/>
    <w:uiPriority w:val="99"/>
    <w:rsid w:val="00740251"/>
    <w:rPr>
      <w:sz w:val="20"/>
      <w:szCs w:val="20"/>
    </w:rPr>
  </w:style>
  <w:style w:type="character" w:customStyle="1" w:styleId="UnresolvedMention1">
    <w:name w:val="Unresolved Mention1"/>
    <w:basedOn w:val="DefaultParagraphFont"/>
    <w:uiPriority w:val="99"/>
    <w:semiHidden/>
    <w:unhideWhenUsed/>
    <w:rsid w:val="00F41D7B"/>
    <w:rPr>
      <w:color w:val="605E5C"/>
      <w:shd w:val="clear" w:color="auto" w:fill="E1DFDD"/>
    </w:rPr>
  </w:style>
  <w:style w:type="character" w:customStyle="1" w:styleId="Heading2Char">
    <w:name w:val="Heading 2 Char"/>
    <w:basedOn w:val="DefaultParagraphFont"/>
    <w:link w:val="Heading2"/>
    <w:uiPriority w:val="9"/>
    <w:rsid w:val="00C039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03919"/>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C03919"/>
    <w:pPr>
      <w:spacing w:after="100"/>
      <w:ind w:left="440"/>
    </w:pPr>
  </w:style>
  <w:style w:type="paragraph" w:styleId="EndnoteText">
    <w:name w:val="endnote text"/>
    <w:basedOn w:val="Normal"/>
    <w:link w:val="EndnoteTextChar"/>
    <w:uiPriority w:val="99"/>
    <w:semiHidden/>
    <w:unhideWhenUsed/>
    <w:rsid w:val="00C039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3919"/>
    <w:rPr>
      <w:sz w:val="20"/>
      <w:szCs w:val="20"/>
    </w:rPr>
  </w:style>
  <w:style w:type="character" w:styleId="EndnoteReference">
    <w:name w:val="endnote reference"/>
    <w:semiHidden/>
    <w:rsid w:val="00C03919"/>
    <w:rPr>
      <w:vertAlign w:val="superscript"/>
    </w:rPr>
  </w:style>
  <w:style w:type="paragraph" w:styleId="BalloonText">
    <w:name w:val="Balloon Text"/>
    <w:basedOn w:val="Normal"/>
    <w:link w:val="BalloonTextChar"/>
    <w:uiPriority w:val="99"/>
    <w:semiHidden/>
    <w:unhideWhenUsed/>
    <w:rsid w:val="003378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88D"/>
    <w:rPr>
      <w:rFonts w:ascii="Segoe UI" w:hAnsi="Segoe UI" w:cs="Segoe UI"/>
      <w:sz w:val="18"/>
      <w:szCs w:val="18"/>
    </w:rPr>
  </w:style>
  <w:style w:type="character" w:styleId="CommentReference">
    <w:name w:val="annotation reference"/>
    <w:basedOn w:val="DefaultParagraphFont"/>
    <w:uiPriority w:val="99"/>
    <w:unhideWhenUsed/>
    <w:rsid w:val="00FB2C37"/>
    <w:rPr>
      <w:sz w:val="16"/>
      <w:szCs w:val="16"/>
    </w:rPr>
  </w:style>
  <w:style w:type="paragraph" w:styleId="CommentSubject">
    <w:name w:val="annotation subject"/>
    <w:basedOn w:val="CommentText"/>
    <w:next w:val="CommentText"/>
    <w:link w:val="CommentSubjectChar"/>
    <w:uiPriority w:val="99"/>
    <w:semiHidden/>
    <w:unhideWhenUsed/>
    <w:rsid w:val="00FB2C37"/>
    <w:rPr>
      <w:b/>
      <w:bCs/>
    </w:rPr>
  </w:style>
  <w:style w:type="character" w:customStyle="1" w:styleId="CommentSubjectChar">
    <w:name w:val="Comment Subject Char"/>
    <w:basedOn w:val="CommentTextChar"/>
    <w:link w:val="CommentSubject"/>
    <w:uiPriority w:val="99"/>
    <w:semiHidden/>
    <w:rsid w:val="00FB2C37"/>
    <w:rPr>
      <w:b/>
      <w:bCs/>
      <w:sz w:val="20"/>
      <w:szCs w:val="20"/>
    </w:rPr>
  </w:style>
  <w:style w:type="character" w:customStyle="1" w:styleId="fontstyle01">
    <w:name w:val="fontstyle01"/>
    <w:basedOn w:val="DefaultParagraphFont"/>
    <w:rsid w:val="003662F2"/>
    <w:rPr>
      <w:rFonts w:ascii="ITCFranklinGothicStd-Book" w:hAnsi="ITCFranklinGothicStd-Book" w:hint="default"/>
      <w:b w:val="0"/>
      <w:bCs w:val="0"/>
      <w:i w:val="0"/>
      <w:iCs w:val="0"/>
      <w:color w:val="242021"/>
      <w:sz w:val="20"/>
      <w:szCs w:val="20"/>
    </w:rPr>
  </w:style>
  <w:style w:type="paragraph" w:styleId="NormalWeb">
    <w:name w:val="Normal (Web)"/>
    <w:basedOn w:val="Normal"/>
    <w:uiPriority w:val="99"/>
    <w:unhideWhenUsed/>
    <w:rsid w:val="001B37F5"/>
    <w:pPr>
      <w:spacing w:before="100" w:beforeAutospacing="1" w:after="115" w:line="240" w:lineRule="auto"/>
    </w:pPr>
    <w:rPr>
      <w:rFonts w:ascii="Times New Roman" w:eastAsia="Times New Roman" w:hAnsi="Times New Roman" w:cs="Times New Roman"/>
      <w:sz w:val="24"/>
      <w:szCs w:val="24"/>
    </w:rPr>
  </w:style>
  <w:style w:type="paragraph" w:styleId="Revision">
    <w:name w:val="Revision"/>
    <w:hidden/>
    <w:uiPriority w:val="99"/>
    <w:semiHidden/>
    <w:rsid w:val="00A66B62"/>
    <w:pPr>
      <w:spacing w:after="0" w:line="240" w:lineRule="auto"/>
    </w:pPr>
  </w:style>
  <w:style w:type="character" w:customStyle="1" w:styleId="fontstyle21">
    <w:name w:val="fontstyle21"/>
    <w:basedOn w:val="DefaultParagraphFont"/>
    <w:rsid w:val="005C34F2"/>
    <w:rPr>
      <w:rFonts w:ascii="ZapfDingbatsStd" w:hAnsi="ZapfDingbatsStd" w:hint="default"/>
      <w:b w:val="0"/>
      <w:bCs w:val="0"/>
      <w:i w:val="0"/>
      <w:iCs w:val="0"/>
      <w:color w:val="4A4C98"/>
      <w:sz w:val="16"/>
      <w:szCs w:val="16"/>
    </w:rPr>
  </w:style>
  <w:style w:type="character" w:customStyle="1" w:styleId="fontstyle31">
    <w:name w:val="fontstyle31"/>
    <w:basedOn w:val="DefaultParagraphFont"/>
    <w:rsid w:val="001B704B"/>
    <w:rPr>
      <w:rFonts w:ascii="ITCFranklinGothicStd-Book" w:hAnsi="ITCFranklinGothicStd-Book" w:hint="default"/>
      <w:b w:val="0"/>
      <w:bCs w:val="0"/>
      <w:i w:val="0"/>
      <w:iCs w:val="0"/>
      <w:color w:val="242021"/>
      <w:sz w:val="20"/>
      <w:szCs w:val="20"/>
    </w:rPr>
  </w:style>
  <w:style w:type="character" w:customStyle="1" w:styleId="UnresolvedMention2">
    <w:name w:val="Unresolved Mention2"/>
    <w:basedOn w:val="DefaultParagraphFont"/>
    <w:uiPriority w:val="99"/>
    <w:semiHidden/>
    <w:unhideWhenUsed/>
    <w:rsid w:val="0040017B"/>
    <w:rPr>
      <w:color w:val="605E5C"/>
      <w:shd w:val="clear" w:color="auto" w:fill="E1DFDD"/>
    </w:rPr>
  </w:style>
  <w:style w:type="paragraph" w:styleId="BodyTextIndent">
    <w:name w:val="Body Text Indent"/>
    <w:basedOn w:val="Normal"/>
    <w:link w:val="BodyTextIndentChar"/>
    <w:uiPriority w:val="99"/>
    <w:semiHidden/>
    <w:unhideWhenUsed/>
    <w:rsid w:val="00773CBB"/>
    <w:pPr>
      <w:spacing w:after="120"/>
      <w:ind w:left="360"/>
    </w:pPr>
    <w:rPr>
      <w:rFonts w:eastAsiaTheme="minorEastAsia"/>
    </w:rPr>
  </w:style>
  <w:style w:type="character" w:customStyle="1" w:styleId="BodyTextIndentChar">
    <w:name w:val="Body Text Indent Char"/>
    <w:basedOn w:val="DefaultParagraphFont"/>
    <w:link w:val="BodyTextIndent"/>
    <w:uiPriority w:val="99"/>
    <w:semiHidden/>
    <w:rsid w:val="00773CBB"/>
    <w:rPr>
      <w:rFonts w:eastAsiaTheme="minorEastAsia"/>
    </w:r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character" w:customStyle="1" w:styleId="normaltextrun">
    <w:name w:val="normaltextrun"/>
    <w:basedOn w:val="DefaultParagraphFont"/>
    <w:rsid w:val="001A7778"/>
  </w:style>
  <w:style w:type="paragraph" w:customStyle="1" w:styleId="Pa15">
    <w:name w:val="Pa15"/>
    <w:basedOn w:val="Normal"/>
    <w:next w:val="Normal"/>
    <w:uiPriority w:val="99"/>
    <w:rsid w:val="00855D0D"/>
    <w:pPr>
      <w:autoSpaceDE w:val="0"/>
      <w:autoSpaceDN w:val="0"/>
      <w:adjustRightInd w:val="0"/>
      <w:spacing w:after="0" w:line="221" w:lineRule="atLeast"/>
    </w:pPr>
    <w:rPr>
      <w:rFonts w:ascii="ITC Franklin Gothic Std Book" w:hAnsi="ITC Franklin Gothic Std Book"/>
      <w:sz w:val="24"/>
      <w:szCs w:val="24"/>
    </w:rPr>
  </w:style>
  <w:style w:type="character" w:customStyle="1" w:styleId="A9">
    <w:name w:val="A9"/>
    <w:uiPriority w:val="99"/>
    <w:rsid w:val="00855D0D"/>
    <w:rPr>
      <w:rFonts w:cs="ITC Franklin Gothic Std Book"/>
      <w:color w:val="000000"/>
      <w:sz w:val="12"/>
      <w:szCs w:val="12"/>
    </w:rPr>
  </w:style>
  <w:style w:type="paragraph" w:customStyle="1" w:styleId="Pa17">
    <w:name w:val="Pa17"/>
    <w:basedOn w:val="Normal"/>
    <w:next w:val="Normal"/>
    <w:uiPriority w:val="99"/>
    <w:rsid w:val="0098674B"/>
    <w:pPr>
      <w:autoSpaceDE w:val="0"/>
      <w:autoSpaceDN w:val="0"/>
      <w:adjustRightInd w:val="0"/>
      <w:spacing w:after="0" w:line="221" w:lineRule="atLeast"/>
    </w:pPr>
    <w:rPr>
      <w:rFonts w:ascii="ITC Franklin Gothic Std Book" w:hAnsi="ITC Franklin Gothic Std Book"/>
      <w:sz w:val="24"/>
      <w:szCs w:val="24"/>
    </w:rPr>
  </w:style>
  <w:style w:type="character" w:customStyle="1" w:styleId="A8">
    <w:name w:val="A8"/>
    <w:uiPriority w:val="99"/>
    <w:rsid w:val="0098674B"/>
    <w:rPr>
      <w:rFonts w:cs="ITC Franklin Gothic Std Book"/>
      <w:b/>
      <w:bCs/>
      <w:color w:val="000000"/>
      <w:sz w:val="22"/>
      <w:szCs w:val="22"/>
      <w:u w:val="single"/>
    </w:rPr>
  </w:style>
  <w:style w:type="paragraph" w:customStyle="1" w:styleId="Default">
    <w:name w:val="Default"/>
    <w:rsid w:val="0098674B"/>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character" w:customStyle="1" w:styleId="A6">
    <w:name w:val="A6"/>
    <w:uiPriority w:val="99"/>
    <w:rsid w:val="0098674B"/>
    <w:rPr>
      <w:rFonts w:cs="ITC Franklin Gothic Std Book"/>
      <w:color w:val="000000"/>
      <w:sz w:val="22"/>
      <w:szCs w:val="22"/>
    </w:rPr>
  </w:style>
  <w:style w:type="character" w:customStyle="1" w:styleId="UnresolvedMention3">
    <w:name w:val="Unresolved Mention3"/>
    <w:basedOn w:val="DefaultParagraphFont"/>
    <w:uiPriority w:val="99"/>
    <w:semiHidden/>
    <w:unhideWhenUsed/>
    <w:rsid w:val="008672E6"/>
    <w:rPr>
      <w:color w:val="605E5C"/>
      <w:shd w:val="clear" w:color="auto" w:fill="E1DFDD"/>
    </w:rPr>
  </w:style>
  <w:style w:type="paragraph" w:customStyle="1" w:styleId="paragraph">
    <w:name w:val="paragraph"/>
    <w:basedOn w:val="Normal"/>
    <w:rsid w:val="009366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3668E"/>
  </w:style>
  <w:style w:type="table" w:styleId="ListTable3Accent1">
    <w:name w:val="List Table 3 Accent 1"/>
    <w:basedOn w:val="TableNormal"/>
    <w:uiPriority w:val="48"/>
    <w:rsid w:val="0036297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5">
    <w:name w:val="List Table 3 Accent 5"/>
    <w:basedOn w:val="TableNormal"/>
    <w:uiPriority w:val="48"/>
    <w:rsid w:val="0055300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Mention3">
    <w:name w:val="Mention3"/>
    <w:basedOn w:val="DefaultParagraphFont"/>
    <w:uiPriority w:val="99"/>
    <w:unhideWhenUsed/>
    <w:rsid w:val="00462C5A"/>
    <w:rPr>
      <w:color w:val="2B579A"/>
      <w:shd w:val="clear" w:color="auto" w:fill="E1DFDD"/>
    </w:rPr>
  </w:style>
  <w:style w:type="table" w:styleId="GridTable6ColorfulAccent1">
    <w:name w:val="Grid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semiHidden/>
    <w:unhideWhenUsed/>
    <w:rsid w:val="008A51F9"/>
    <w:pPr>
      <w:spacing w:after="0" w:line="240" w:lineRule="auto"/>
    </w:pPr>
    <w:rPr>
      <w:sz w:val="20"/>
      <w:szCs w:val="20"/>
    </w:rPr>
  </w:style>
  <w:style w:type="character" w:customStyle="1" w:styleId="FootnoteTextChar">
    <w:name w:val="Footnote Text Char"/>
    <w:basedOn w:val="DefaultParagraphFont"/>
    <w:link w:val="FootnoteText"/>
    <w:semiHidden/>
    <w:rsid w:val="008A51F9"/>
    <w:rPr>
      <w:sz w:val="20"/>
      <w:szCs w:val="20"/>
    </w:rPr>
  </w:style>
  <w:style w:type="character" w:styleId="FootnoteReference">
    <w:name w:val="footnote reference"/>
    <w:basedOn w:val="DefaultParagraphFont"/>
    <w:semiHidden/>
    <w:unhideWhenUsed/>
    <w:rsid w:val="008A51F9"/>
    <w:rPr>
      <w:vertAlign w:val="superscript"/>
    </w:rPr>
  </w:style>
  <w:style w:type="character" w:styleId="UnresolvedMention">
    <w:name w:val="Unresolved Mention"/>
    <w:basedOn w:val="DefaultParagraphFont"/>
    <w:uiPriority w:val="99"/>
    <w:semiHidden/>
    <w:unhideWhenUsed/>
    <w:rsid w:val="00472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niosh/programs/review/ecb/default.html"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dc.gov/niosh/about/strategicplan/workdes.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oi.org/10.1001/archinternmed.2012.3199" TargetMode="External" /><Relationship Id="rId2" Type="http://schemas.openxmlformats.org/officeDocument/2006/relationships/hyperlink" Target="https://mhanational.org/mental-health-healthcare-workers-covid-1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76363e-eaa3-45c8-b8e8-8e34bf8cd2a3" xsi:nil="true"/>
    <lcf76f155ced4ddcb4097134ff3c332f xmlns="ce77b3c1-fa8b-416d-b1f6-ac6fa3f9cf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A3BFEBD813CB45873C19EA9534FC56" ma:contentTypeVersion="13" ma:contentTypeDescription="Create a new document." ma:contentTypeScope="" ma:versionID="c9b0819c6a8239f312c249e1b6bc519e">
  <xsd:schema xmlns:xsd="http://www.w3.org/2001/XMLSchema" xmlns:xs="http://www.w3.org/2001/XMLSchema" xmlns:p="http://schemas.microsoft.com/office/2006/metadata/properties" xmlns:ns2="ce77b3c1-fa8b-416d-b1f6-ac6fa3f9cf64" xmlns:ns3="7f76363e-eaa3-45c8-b8e8-8e34bf8cd2a3" targetNamespace="http://schemas.microsoft.com/office/2006/metadata/properties" ma:root="true" ma:fieldsID="3d6f7d61f1e41560dfc96b8e05366761" ns2:_="" ns3:_="">
    <xsd:import namespace="ce77b3c1-fa8b-416d-b1f6-ac6fa3f9cf64"/>
    <xsd:import namespace="7f76363e-eaa3-45c8-b8e8-8e34bf8cd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3c1-fa8b-416d-b1f6-ac6fa3f9c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76363e-eaa3-45c8-b8e8-8e34bf8cd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1eccc9-112b-4d0d-90dc-3902c088e625}" ma:internalName="TaxCatchAll" ma:showField="CatchAllData" ma:web="7f76363e-eaa3-45c8-b8e8-8e34bf8cd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F8DAB-0BC0-4A45-9E0A-490F92BF5FCC}">
  <ds:schemaRefs>
    <ds:schemaRef ds:uri="http://schemas.microsoft.com/sharepoint/v3/contenttype/forms"/>
  </ds:schemaRefs>
</ds:datastoreItem>
</file>

<file path=customXml/itemProps2.xml><?xml version="1.0" encoding="utf-8"?>
<ds:datastoreItem xmlns:ds="http://schemas.openxmlformats.org/officeDocument/2006/customXml" ds:itemID="{9D5E56C6-E952-4296-95C2-61A3C7032BF9}">
  <ds:schemaRefs>
    <ds:schemaRef ds:uri="http://schemas.microsoft.com/office/2006/metadata/properties"/>
    <ds:schemaRef ds:uri="http://schemas.microsoft.com/office/infopath/2007/PartnerControls"/>
    <ds:schemaRef ds:uri="7f76363e-eaa3-45c8-b8e8-8e34bf8cd2a3"/>
    <ds:schemaRef ds:uri="ce77b3c1-fa8b-416d-b1f6-ac6fa3f9cf64"/>
  </ds:schemaRefs>
</ds:datastoreItem>
</file>

<file path=customXml/itemProps3.xml><?xml version="1.0" encoding="utf-8"?>
<ds:datastoreItem xmlns:ds="http://schemas.openxmlformats.org/officeDocument/2006/customXml" ds:itemID="{25915BCD-8112-462E-A3EF-0FFF72E67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7b3c1-fa8b-416d-b1f6-ac6fa3f9cf64"/>
    <ds:schemaRef ds:uri="7f76363e-eaa3-45c8-b8e8-8e34bf8cd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8A3E05-A477-4A1C-A02B-BE8E3689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4056</Words>
  <Characters>23121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Dahm, Matthew M. (CDC/NIOSH/DFSE/FRB)</dc:creator>
  <cp:lastModifiedBy>Zirger, Jeffrey (CDC/DDPHSS/OS/OSI)</cp:lastModifiedBy>
  <cp:revision>4</cp:revision>
  <dcterms:created xsi:type="dcterms:W3CDTF">2023-02-17T01:29:00Z</dcterms:created>
  <dcterms:modified xsi:type="dcterms:W3CDTF">2023-08-03T19:05:00Z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0x01010072A3BFEBD813CB45873C19EA9534FC56</vt:lpwstr>
  </property>
  <property fmtid="{D5CDD505-2E9C-101B-9397-08002B2CF9AE}" pid="3" name="MediaServiceImageTags">
    <vt:lpwstr/>
  </property>
  <property fmtid="{D5CDD505-2E9C-101B-9397-08002B2CF9AE}" pid="4" name="MSIP_Label_7b94a7b8-f06c-4dfe-bdcc-9b548fd58c31_ActionId">
    <vt:lpwstr>915b26e1-6bc1-4269-983f-a2984af17ce5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2021-07-09T12:42:00Z</vt:lpwstr>
  </property>
  <property fmtid="{D5CDD505-2E9C-101B-9397-08002B2CF9AE}" pid="10" name="MSIP_Label_7b94a7b8-f06c-4dfe-bdcc-9b548fd58c31_SiteId">
    <vt:lpwstr>9ce70869-60db-44fd-abe8-d2767077fc8f</vt:lpwstr>
  </property>
</Properties>
</file>