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2E21" w:rsidRPr="00D764D5" w:rsidP="3AC54B5C" w14:paraId="12673754" w14:textId="781D98B2">
      <w:pPr>
        <w:spacing w:after="0"/>
        <w:jc w:val="center"/>
        <w:rPr>
          <w:rFonts w:cstheme="minorHAnsi"/>
          <w:b/>
          <w:bCs/>
        </w:rPr>
      </w:pPr>
    </w:p>
    <w:p w:rsidR="00E52E21" w:rsidRPr="00D764D5" w:rsidP="00D61F5D" w14:paraId="1CC24B4A" w14:textId="1B085DEE">
      <w:pPr>
        <w:spacing w:after="0" w:line="240" w:lineRule="auto"/>
        <w:jc w:val="center"/>
        <w:rPr>
          <w:rFonts w:eastAsia="Arial" w:cstheme="minorHAnsi"/>
          <w:b/>
          <w:bCs/>
        </w:rPr>
      </w:pPr>
      <w:r w:rsidRPr="00D764D5">
        <w:rPr>
          <w:rFonts w:eastAsia="Arial" w:cstheme="minorHAnsi"/>
          <w:b/>
          <w:bCs/>
        </w:rPr>
        <w:t>Evaluation of the NIOSH Health Worker Mental Health Campaign</w:t>
      </w:r>
    </w:p>
    <w:p w:rsidR="02372E38" w:rsidRPr="00D764D5" w:rsidP="00D61F5D" w14:paraId="22C6744D" w14:textId="3B7A57EA">
      <w:pPr>
        <w:spacing w:after="0" w:line="240" w:lineRule="auto"/>
        <w:jc w:val="center"/>
        <w:rPr>
          <w:rFonts w:eastAsia="Arial" w:cstheme="minorHAnsi"/>
        </w:rPr>
      </w:pPr>
      <w:r w:rsidRPr="00D764D5">
        <w:rPr>
          <w:rFonts w:eastAsia="Arial" w:cstheme="minorHAnsi"/>
        </w:rPr>
        <w:t xml:space="preserve">Request for Office of Management and Budget Review and Approval </w:t>
      </w:r>
    </w:p>
    <w:p w:rsidR="02372E38" w:rsidRPr="00D764D5" w:rsidP="00D61F5D" w14:paraId="4CF35481" w14:textId="7327E56A">
      <w:pPr>
        <w:spacing w:after="0" w:line="240" w:lineRule="auto"/>
        <w:jc w:val="center"/>
        <w:rPr>
          <w:rFonts w:eastAsia="Arial" w:cstheme="minorHAnsi"/>
        </w:rPr>
      </w:pPr>
      <w:r w:rsidRPr="00D764D5">
        <w:rPr>
          <w:rFonts w:eastAsia="Arial" w:cstheme="minorHAnsi"/>
        </w:rPr>
        <w:t>for Federally Sponsored Data Collection</w:t>
      </w:r>
    </w:p>
    <w:p w:rsidR="06562363" w:rsidRPr="00D764D5" w:rsidP="06562363" w14:paraId="3929BDA8" w14:textId="531ADD95">
      <w:pPr>
        <w:spacing w:after="0" w:line="240" w:lineRule="auto"/>
        <w:jc w:val="center"/>
        <w:rPr>
          <w:rFonts w:eastAsia="Times New Roman" w:cstheme="minorHAnsi"/>
          <w:b/>
          <w:bCs/>
        </w:rPr>
      </w:pPr>
    </w:p>
    <w:p w:rsidR="00E52E21" w:rsidRPr="00D764D5" w:rsidP="00E52E21" w14:paraId="64CF0B14" w14:textId="77777777">
      <w:pPr>
        <w:spacing w:after="0"/>
        <w:jc w:val="center"/>
        <w:rPr>
          <w:rFonts w:cstheme="minorHAnsi"/>
        </w:rPr>
      </w:pPr>
    </w:p>
    <w:p w:rsidR="00E52E21" w:rsidRPr="00D764D5" w:rsidP="00E52E21" w14:paraId="75E8FD1E" w14:textId="774EF5C8">
      <w:pPr>
        <w:spacing w:after="0"/>
        <w:jc w:val="center"/>
        <w:rPr>
          <w:rFonts w:cstheme="minorHAnsi"/>
        </w:rPr>
      </w:pPr>
      <w:r w:rsidRPr="00D764D5">
        <w:rPr>
          <w:rFonts w:cstheme="minorHAnsi"/>
        </w:rPr>
        <w:t>Supporting Statement B</w:t>
      </w:r>
    </w:p>
    <w:p w:rsidR="00E52E21" w:rsidRPr="00D764D5" w:rsidP="00E52E21" w14:paraId="06435599" w14:textId="77777777">
      <w:pPr>
        <w:spacing w:after="0"/>
        <w:jc w:val="center"/>
        <w:rPr>
          <w:rFonts w:cstheme="minorHAnsi"/>
        </w:rPr>
      </w:pPr>
    </w:p>
    <w:p w:rsidR="00E52E21" w:rsidRPr="00D764D5" w:rsidP="00E52E21" w14:paraId="60377F0F" w14:textId="77777777">
      <w:pPr>
        <w:spacing w:after="0"/>
        <w:jc w:val="center"/>
        <w:rPr>
          <w:rFonts w:cstheme="minorHAnsi"/>
        </w:rPr>
      </w:pPr>
    </w:p>
    <w:p w:rsidR="00E52E21" w:rsidRPr="00D764D5" w:rsidP="00E52E21" w14:paraId="4C12504B" w14:textId="5A3C10A3">
      <w:pPr>
        <w:spacing w:after="0"/>
        <w:jc w:val="center"/>
        <w:rPr>
          <w:rFonts w:cstheme="minorHAnsi"/>
        </w:rPr>
      </w:pPr>
      <w:r>
        <w:rPr>
          <w:rFonts w:cstheme="minorHAnsi"/>
        </w:rPr>
        <w:t>February 16</w:t>
      </w:r>
      <w:r w:rsidRPr="00D764D5" w:rsidR="3AC54B5C">
        <w:rPr>
          <w:rFonts w:cstheme="minorHAnsi"/>
        </w:rPr>
        <w:t>, 202</w:t>
      </w:r>
      <w:r>
        <w:rPr>
          <w:rFonts w:cstheme="minorHAnsi"/>
        </w:rPr>
        <w:t>3</w:t>
      </w:r>
    </w:p>
    <w:p w:rsidR="20530D23" w:rsidRPr="00D764D5" w:rsidP="20530D23" w14:paraId="5A59567B" w14:textId="71B23546">
      <w:pPr>
        <w:spacing w:after="0"/>
        <w:jc w:val="center"/>
        <w:rPr>
          <w:rFonts w:cstheme="minorHAnsi"/>
        </w:rPr>
      </w:pPr>
    </w:p>
    <w:p w:rsidR="570FEBC0" w:rsidRPr="00D764D5" w:rsidP="20530D23" w14:paraId="31071C65" w14:textId="3F4212BB">
      <w:pPr>
        <w:spacing w:after="0"/>
        <w:jc w:val="center"/>
        <w:rPr>
          <w:rFonts w:cstheme="minorHAnsi"/>
        </w:rPr>
      </w:pPr>
      <w:r w:rsidRPr="00D764D5">
        <w:rPr>
          <w:rFonts w:cstheme="minorHAnsi"/>
        </w:rPr>
        <w:t>Contact Information:</w:t>
      </w:r>
    </w:p>
    <w:p w:rsidR="570FEBC0" w:rsidRPr="00D764D5" w:rsidP="20530D23" w14:paraId="19F905A2" w14:textId="730B8FEA">
      <w:pPr>
        <w:spacing w:after="0"/>
        <w:jc w:val="center"/>
        <w:rPr>
          <w:rFonts w:cstheme="minorHAnsi"/>
        </w:rPr>
      </w:pPr>
      <w:r w:rsidRPr="00D764D5">
        <w:rPr>
          <w:rFonts w:cstheme="minorHAnsi"/>
        </w:rPr>
        <w:t>Amia Downes</w:t>
      </w:r>
    </w:p>
    <w:p w:rsidR="570FEBC0" w:rsidRPr="00D764D5" w:rsidP="20530D23" w14:paraId="38F818DB" w14:textId="6E0DAFEE">
      <w:pPr>
        <w:spacing w:after="0"/>
        <w:jc w:val="center"/>
        <w:rPr>
          <w:rFonts w:cstheme="minorHAnsi"/>
        </w:rPr>
      </w:pPr>
      <w:r w:rsidRPr="00D764D5">
        <w:rPr>
          <w:rFonts w:cstheme="minorHAnsi"/>
        </w:rPr>
        <w:t>CDC/NIOSH/OD</w:t>
      </w:r>
    </w:p>
    <w:p w:rsidR="570FEBC0" w:rsidRPr="00D764D5" w:rsidP="20530D23" w14:paraId="08A56ECA" w14:textId="5BEDFD9D">
      <w:pPr>
        <w:spacing w:after="0"/>
        <w:jc w:val="center"/>
        <w:rPr>
          <w:rFonts w:cstheme="minorHAnsi"/>
        </w:rPr>
      </w:pPr>
      <w:r w:rsidRPr="00D764D5">
        <w:rPr>
          <w:rFonts w:cstheme="minorHAnsi"/>
        </w:rPr>
        <w:t>(404) 498-2544</w:t>
      </w:r>
    </w:p>
    <w:p w:rsidR="78C2AF24" w:rsidRPr="00D764D5" w:rsidP="20530D23" w14:paraId="6EBDDA2D" w14:textId="0F389ACA">
      <w:pPr>
        <w:spacing w:after="0"/>
        <w:jc w:val="center"/>
        <w:rPr>
          <w:rFonts w:cstheme="minorHAnsi"/>
        </w:rPr>
      </w:pPr>
      <w:r w:rsidRPr="00D764D5">
        <w:rPr>
          <w:rFonts w:cstheme="minorHAnsi"/>
        </w:rPr>
        <w:t>fpp1@cdc.gov</w:t>
      </w:r>
    </w:p>
    <w:p w:rsidR="55CC747D" w:rsidRPr="00D764D5" w14:paraId="6A398F4B" w14:textId="7098A555">
      <w:pPr>
        <w:rPr>
          <w:rFonts w:cstheme="minorHAnsi"/>
        </w:rPr>
      </w:pPr>
      <w:r w:rsidRPr="00D764D5">
        <w:rPr>
          <w:rFonts w:cstheme="minorHAnsi"/>
        </w:rPr>
        <w:br w:type="page"/>
      </w:r>
    </w:p>
    <w:p w:rsidR="00D72328" w:rsidRPr="00D764D5" w:rsidP="55CC747D" w14:paraId="7CAEF104" w14:textId="4D22589D">
      <w:pPr>
        <w:pStyle w:val="NormalWeb"/>
        <w:shd w:val="clear" w:color="auto" w:fill="FFFFFF" w:themeFill="background1"/>
        <w:spacing w:before="0" w:beforeAutospacing="0" w:after="0" w:afterAutospacing="0"/>
        <w:jc w:val="center"/>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Table of Contents</w:t>
      </w:r>
    </w:p>
    <w:p w:rsidR="55CC747D" w:rsidRPr="00D764D5" w:rsidP="55CC747D" w14:paraId="42E59FA0" w14:textId="15DA17FD">
      <w:pPr>
        <w:pStyle w:val="NormalWeb"/>
        <w:shd w:val="clear" w:color="auto" w:fill="FFFFFF" w:themeFill="background1"/>
        <w:spacing w:before="0" w:beforeAutospacing="0" w:after="0" w:afterAutospacing="0"/>
        <w:ind w:hanging="360"/>
        <w:rPr>
          <w:rFonts w:eastAsia="Arial" w:asciiTheme="minorHAnsi" w:hAnsiTheme="minorHAnsi" w:cstheme="minorHAnsi"/>
          <w:color w:val="333333"/>
          <w:sz w:val="22"/>
          <w:szCs w:val="22"/>
        </w:rPr>
      </w:pPr>
    </w:p>
    <w:p w:rsidR="55CC747D" w:rsidRPr="00D764D5" w:rsidP="55CC747D" w14:paraId="55A5BD46" w14:textId="74ACFA86">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Respondent Universe and Sampling Selection</w:t>
      </w:r>
    </w:p>
    <w:p w:rsidR="55CC747D" w:rsidRPr="00D764D5" w:rsidP="55CC747D" w14:paraId="1A25C6D8" w14:textId="16BE652F">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Procedures for Collecting Information</w:t>
      </w:r>
    </w:p>
    <w:p w:rsidR="55CC747D" w:rsidRPr="00D764D5" w:rsidP="55CC747D" w14:paraId="6ADF5EBD" w14:textId="1BD76B79">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Methods to Maximize Response Rates and Deal with No Response</w:t>
      </w:r>
    </w:p>
    <w:p w:rsidR="55CC747D" w:rsidRPr="00D764D5" w:rsidP="55CC747D" w14:paraId="6B591C89" w14:textId="306B1FD5">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Tests of Procedures or Methods to Be Undertaken</w:t>
      </w:r>
    </w:p>
    <w:p w:rsidR="55CC747D" w:rsidRPr="00D764D5" w:rsidP="55CC747D" w14:paraId="4715736D" w14:textId="1F7E2DCC">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Individuals Consulted on Statistical Aspects and Individuals Collecting and/or Analyzing Data</w:t>
      </w:r>
    </w:p>
    <w:p w:rsidR="55CC747D" w:rsidRPr="00D764D5" w:rsidP="55CC747D" w14:paraId="16BC0330" w14:textId="3E785F0F">
      <w:pPr>
        <w:pStyle w:val="NormalWeb"/>
        <w:shd w:val="clear" w:color="auto" w:fill="FFFFFF" w:themeFill="background1"/>
        <w:spacing w:before="0" w:beforeAutospacing="0" w:after="0" w:afterAutospacing="0"/>
        <w:rPr>
          <w:rFonts w:asciiTheme="minorHAnsi" w:hAnsiTheme="minorHAnsi" w:cstheme="minorHAnsi"/>
          <w:color w:val="333333"/>
          <w:sz w:val="22"/>
          <w:szCs w:val="22"/>
        </w:rPr>
      </w:pPr>
    </w:p>
    <w:p w:rsidR="001050E8" w:rsidRPr="00D764D5" w:rsidP="00E52E21" w14:paraId="412EE4C5" w14:textId="77777777">
      <w:pPr>
        <w:rPr>
          <w:rFonts w:cstheme="minorHAnsi"/>
          <w:b/>
          <w:bCs/>
          <w:color w:val="333333"/>
        </w:rPr>
      </w:pPr>
      <w:r w:rsidRPr="00D764D5">
        <w:rPr>
          <w:rFonts w:cstheme="minorHAnsi"/>
          <w:b/>
          <w:bCs/>
          <w:color w:val="333333"/>
        </w:rPr>
        <w:br w:type="page"/>
      </w:r>
    </w:p>
    <w:p w:rsidR="001050E8" w:rsidRPr="00D764D5" w:rsidP="20530D23" w14:paraId="322FC4CE" w14:textId="38695E6E">
      <w:pPr>
        <w:spacing w:after="0" w:line="240" w:lineRule="auto"/>
        <w:rPr>
          <w:rFonts w:cstheme="minorHAnsi"/>
        </w:rPr>
      </w:pPr>
    </w:p>
    <w:p w:rsidR="00D72328" w:rsidRPr="00D764D5" w:rsidP="51340BEF" w14:paraId="4DA19010" w14:textId="77777777">
      <w:pPr>
        <w:pStyle w:val="western"/>
        <w:shd w:val="clear" w:color="auto" w:fill="FFFFFF" w:themeFill="background1"/>
        <w:spacing w:before="0" w:beforeAutospacing="0" w:after="0" w:afterAutospacing="0"/>
        <w:rPr>
          <w:rFonts w:asciiTheme="minorHAnsi" w:hAnsiTheme="minorHAnsi" w:cstheme="minorHAnsi"/>
          <w:color w:val="333333"/>
          <w:sz w:val="22"/>
          <w:szCs w:val="22"/>
        </w:rPr>
      </w:pPr>
    </w:p>
    <w:p w:rsidR="00F60E6C" w:rsidRPr="008A25F8" w:rsidP="51340BEF" w14:paraId="195CB104" w14:textId="4E44D79A">
      <w:pPr>
        <w:pStyle w:val="NormalWeb"/>
        <w:numPr>
          <w:ilvl w:val="0"/>
          <w:numId w:val="1"/>
        </w:numPr>
        <w:shd w:val="clear" w:color="auto" w:fill="FFFFFF" w:themeFill="background1"/>
        <w:spacing w:before="0" w:beforeAutospacing="0" w:after="0" w:afterAutospacing="0"/>
        <w:ind w:left="360"/>
        <w:rPr>
          <w:rFonts w:asciiTheme="minorHAnsi" w:eastAsiaTheme="minorEastAsia" w:hAnsiTheme="minorHAnsi" w:cstheme="minorHAnsi"/>
          <w:b/>
          <w:bCs/>
          <w:color w:val="333333"/>
          <w:sz w:val="22"/>
          <w:szCs w:val="22"/>
        </w:rPr>
      </w:pPr>
      <w:r w:rsidRPr="00D764D5">
        <w:rPr>
          <w:rFonts w:eastAsia="Arial" w:asciiTheme="minorHAnsi" w:hAnsiTheme="minorHAnsi" w:cstheme="minorHAnsi"/>
          <w:b/>
          <w:bCs/>
          <w:color w:val="333333"/>
          <w:sz w:val="22"/>
          <w:szCs w:val="22"/>
        </w:rPr>
        <w:t>Respondent Universe and Sampling Selection</w:t>
      </w:r>
      <w:r w:rsidRPr="00D764D5">
        <w:rPr>
          <w:rFonts w:eastAsia="Arial" w:asciiTheme="minorHAnsi" w:hAnsiTheme="minorHAnsi" w:cstheme="minorHAnsi"/>
          <w:color w:val="333333"/>
          <w:sz w:val="22"/>
          <w:szCs w:val="22"/>
        </w:rPr>
        <w:t xml:space="preserve"> </w:t>
      </w:r>
    </w:p>
    <w:p w:rsidR="008A25F8" w:rsidP="008A25F8" w14:paraId="701CFCF5" w14:textId="77777777">
      <w:pPr>
        <w:pStyle w:val="NormalWeb"/>
        <w:shd w:val="clear" w:color="auto" w:fill="FFFFFF" w:themeFill="background1"/>
        <w:spacing w:before="0" w:beforeAutospacing="0" w:after="0" w:afterAutospacing="0"/>
        <w:rPr>
          <w:rFonts w:eastAsia="Arial" w:asciiTheme="minorHAnsi" w:hAnsiTheme="minorHAnsi" w:cstheme="minorHAnsi"/>
          <w:color w:val="333333"/>
          <w:sz w:val="22"/>
          <w:szCs w:val="22"/>
        </w:rPr>
      </w:pPr>
    </w:p>
    <w:p w:rsidR="00D72328" w:rsidRPr="00D764D5" w:rsidP="002F024C" w14:paraId="1785B842" w14:textId="50733932">
      <w:pPr>
        <w:rPr>
          <w:rFonts w:cstheme="minorHAnsi"/>
          <w:color w:val="333333"/>
        </w:rPr>
      </w:pPr>
      <w:r>
        <w:t>T</w:t>
      </w:r>
      <w:r w:rsidRPr="007C5D32">
        <w:t xml:space="preserve">he universe of participants are </w:t>
      </w:r>
      <w:r>
        <w:t xml:space="preserve">hospital leaders </w:t>
      </w:r>
      <w:r w:rsidRPr="007C5D32">
        <w:t xml:space="preserve">(specifically, hospital </w:t>
      </w:r>
      <w:r w:rsidR="00470E55">
        <w:t>executives</w:t>
      </w:r>
      <w:r w:rsidRPr="007C5D32">
        <w:t xml:space="preserve"> and </w:t>
      </w:r>
      <w:r w:rsidR="00003B73">
        <w:t xml:space="preserve">senior </w:t>
      </w:r>
      <w:r w:rsidRPr="007C5D32">
        <w:t>management) and health</w:t>
      </w:r>
      <w:r w:rsidR="00470E55">
        <w:t>care</w:t>
      </w:r>
      <w:r w:rsidRPr="007C5D32">
        <w:t xml:space="preserve"> workers (specifically, patient-facing staff). Activities under this </w:t>
      </w:r>
      <w:r w:rsidR="00003B73">
        <w:t xml:space="preserve">information </w:t>
      </w:r>
      <w:r w:rsidRPr="007C5D32">
        <w:t xml:space="preserve">clearance will involve representative, probability samples, and potentially self-selected participants. Respondents will be selected to cover a range of hospital health worker occupations (i.e., physicians, nurses, nurse practitioners, physician assistants, patient care technicians, pharmacists, phlebotomists, and therapists). </w:t>
      </w:r>
    </w:p>
    <w:p w:rsidR="002F024C" w:rsidRPr="002F024C" w:rsidP="002F024C" w14:paraId="2FBDBFB9" w14:textId="22A0B168">
      <w:r w:rsidRPr="002F024C">
        <w:t xml:space="preserve">To select the sample of hospital healthcare workers and hospital leaders to complete the surveys, JPA/EDC will work with partner organizations (e.g., American Nurses Association, American College of Emergency Physicians, American Hospital Association) that will be disseminating campaign messaging and tools. JPA/EDC will select those partner organizations (up to 11) whose membership is likely to include the main audience—hospital leaders and hospital clinical staff. For example, the American Nurses Association is likely to be a vital partner for reaching nurses, who will comprise </w:t>
      </w:r>
      <w:r w:rsidRPr="002F024C">
        <w:t>the majority of</w:t>
      </w:r>
      <w:r w:rsidRPr="002F024C">
        <w:t xml:space="preserve"> the sample in the healthcare worker survey. </w:t>
      </w:r>
    </w:p>
    <w:p w:rsidR="002F024C" w:rsidRPr="002F024C" w:rsidP="00E30409" w14:paraId="4ED9BEDE" w14:textId="4D08CFBF">
      <w:r>
        <w:t xml:space="preserve">Ultimately, </w:t>
      </w:r>
      <w:r w:rsidR="2D33C063">
        <w:t>t</w:t>
      </w:r>
      <w:r>
        <w:t xml:space="preserve">he goal is to collect data from a representative group of 3,000 health workers and 500 high-level healthcare executives that hail from relevant partner network organizations. </w:t>
      </w:r>
    </w:p>
    <w:p w:rsidR="002F024C" w:rsidRPr="002F024C" w:rsidP="002F024C" w14:paraId="127C1E6C" w14:textId="77777777">
      <w:pPr>
        <w:shd w:val="clear" w:color="auto" w:fill="FFFFFF" w:themeFill="background1"/>
        <w:spacing w:after="0" w:line="240" w:lineRule="auto"/>
        <w:rPr>
          <w:rFonts w:ascii="Times New Roman" w:eastAsia="Times New Roman" w:hAnsi="Times New Roman" w:cs="Times New Roman"/>
          <w:sz w:val="24"/>
          <w:szCs w:val="24"/>
        </w:rPr>
      </w:pPr>
    </w:p>
    <w:p w:rsidR="002F024C" w:rsidRPr="002F024C" w:rsidP="002F024C" w14:paraId="3EA7CB8F" w14:textId="5CD36A89">
      <w:pPr>
        <w:shd w:val="clear" w:color="auto" w:fill="FFFFFF" w:themeFill="background1"/>
        <w:spacing w:after="0" w:line="240" w:lineRule="auto"/>
        <w:rPr>
          <w:rFonts w:eastAsia="Times New Roman" w:cstheme="minorHAnsi"/>
          <w:sz w:val="24"/>
          <w:szCs w:val="24"/>
          <w:shd w:val="clear" w:color="auto" w:fill="FFFFFF" w:themeFill="background1"/>
        </w:rPr>
      </w:pPr>
      <w:r w:rsidRPr="002F024C">
        <w:rPr>
          <w:rFonts w:eastAsia="Times New Roman" w:cstheme="minorHAnsi"/>
          <w:sz w:val="24"/>
          <w:szCs w:val="24"/>
        </w:rPr>
        <w:t xml:space="preserve">Table </w:t>
      </w:r>
      <w:r w:rsidRPr="00541485" w:rsidR="00E30409">
        <w:rPr>
          <w:rFonts w:eastAsia="Times New Roman" w:cstheme="minorHAnsi"/>
          <w:sz w:val="24"/>
          <w:szCs w:val="24"/>
        </w:rPr>
        <w:t>1</w:t>
      </w:r>
      <w:r w:rsidRPr="002F024C">
        <w:rPr>
          <w:rFonts w:eastAsia="Times New Roman" w:cstheme="minorHAnsi"/>
          <w:sz w:val="24"/>
          <w:szCs w:val="24"/>
        </w:rPr>
        <w:t xml:space="preserve">. Goal participation by occupation group </w:t>
      </w:r>
    </w:p>
    <w:tbl>
      <w:tblPr>
        <w:tblW w:w="8100" w:type="dxa"/>
        <w:tblInd w:w="-10" w:type="dxa"/>
        <w:tblLayout w:type="fixed"/>
        <w:tblLook w:val="04A0"/>
      </w:tblPr>
      <w:tblGrid>
        <w:gridCol w:w="2700"/>
        <w:gridCol w:w="1530"/>
        <w:gridCol w:w="1245"/>
        <w:gridCol w:w="1275"/>
        <w:gridCol w:w="1350"/>
      </w:tblGrid>
      <w:tr w14:paraId="200A2E15"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4638FAE0" w14:textId="77777777">
            <w:pPr>
              <w:rPr>
                <w:rFonts w:cstheme="minorHAnsi"/>
              </w:rPr>
            </w:pPr>
            <w:r w:rsidRPr="002F024C">
              <w:rPr>
                <w:rFonts w:eastAsia="Arial Narrow" w:cstheme="minorHAnsi"/>
                <w:b/>
                <w:bCs/>
              </w:rPr>
              <w:t>Hospital Healthcare Worker Occupation Groups</w:t>
            </w:r>
            <w:r w:rsidRPr="002F024C">
              <w:rPr>
                <w:rFonts w:eastAsia="Arial Narrow" w:cstheme="minorHAnsi"/>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12FD399F" w14:textId="77777777">
            <w:pPr>
              <w:jc w:val="center"/>
              <w:rPr>
                <w:rFonts w:cstheme="minorHAnsi"/>
              </w:rPr>
            </w:pPr>
            <w:r w:rsidRPr="002F024C">
              <w:rPr>
                <w:rFonts w:eastAsia="Arial Narrow" w:cstheme="minorHAnsi"/>
                <w:b/>
                <w:bCs/>
              </w:rPr>
              <w:t>Universe</w:t>
            </w:r>
            <w:r w:rsidRPr="002F024C">
              <w:rPr>
                <w:rFonts w:eastAsia="Arial Narrow" w:cstheme="minorHAnsi"/>
              </w:rPr>
              <w:t xml:space="preserve"> </w:t>
            </w:r>
          </w:p>
          <w:p w:rsidR="004F165A" w:rsidRPr="002F024C" w:rsidP="002F024C" w14:paraId="17983EDD" w14:textId="77777777">
            <w:pPr>
              <w:jc w:val="center"/>
              <w:rPr>
                <w:rFonts w:cstheme="minorHAnsi"/>
              </w:rPr>
            </w:pPr>
            <w:r w:rsidRPr="002F024C">
              <w:rPr>
                <w:rFonts w:eastAsia="Arial Narrow" w:cstheme="minorHAnsi"/>
              </w:rPr>
              <w:t xml:space="preserve">(N = 2,903,900) </w:t>
            </w:r>
          </w:p>
        </w:tc>
        <w:tc>
          <w:tcPr>
            <w:tcW w:w="124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46B05D4E" w14:textId="77777777">
            <w:pPr>
              <w:jc w:val="center"/>
              <w:rPr>
                <w:rFonts w:cstheme="minorHAnsi"/>
              </w:rPr>
            </w:pPr>
            <w:r w:rsidRPr="002F024C">
              <w:rPr>
                <w:rFonts w:eastAsia="Arial Narrow" w:cstheme="minorHAnsi"/>
                <w:b/>
                <w:bCs/>
              </w:rPr>
              <w:t>Wave 1</w:t>
            </w:r>
            <w:r w:rsidRPr="002F024C">
              <w:rPr>
                <w:rFonts w:eastAsia="Arial Narrow" w:cstheme="minorHAnsi"/>
              </w:rPr>
              <w:t xml:space="preserve"> </w:t>
            </w:r>
          </w:p>
          <w:p w:rsidR="004F165A" w:rsidRPr="002F024C" w:rsidP="002F024C" w14:paraId="76F85BF0" w14:textId="1C381221">
            <w:pPr>
              <w:jc w:val="center"/>
              <w:rPr>
                <w:rFonts w:cstheme="minorHAnsi"/>
              </w:rPr>
            </w:pPr>
            <w:r w:rsidRPr="002F024C">
              <w:rPr>
                <w:rFonts w:eastAsia="Arial Narrow" w:cstheme="minorHAnsi"/>
              </w:rPr>
              <w:t>(n = 1,</w:t>
            </w:r>
            <w:r>
              <w:rPr>
                <w:rFonts w:eastAsia="Arial Narrow" w:cstheme="minorHAnsi"/>
              </w:rPr>
              <w:t>5</w:t>
            </w:r>
            <w:r w:rsidRPr="002F024C">
              <w:rPr>
                <w:rFonts w:eastAsia="Arial Narrow" w:cstheme="minorHAnsi"/>
              </w:rPr>
              <w:t xml:space="preserve">00) </w:t>
            </w:r>
          </w:p>
        </w:tc>
        <w:tc>
          <w:tcPr>
            <w:tcW w:w="127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30EC07E4" w14:textId="77777777">
            <w:pPr>
              <w:jc w:val="center"/>
              <w:rPr>
                <w:rFonts w:cstheme="minorHAnsi"/>
              </w:rPr>
            </w:pPr>
            <w:r w:rsidRPr="002F024C">
              <w:rPr>
                <w:rFonts w:eastAsia="Arial Narrow" w:cstheme="minorHAnsi"/>
                <w:b/>
                <w:bCs/>
              </w:rPr>
              <w:t>Wave 2</w:t>
            </w:r>
            <w:r w:rsidRPr="002F024C">
              <w:rPr>
                <w:rFonts w:eastAsia="Arial Narrow" w:cstheme="minorHAnsi"/>
              </w:rPr>
              <w:t xml:space="preserve"> </w:t>
            </w:r>
          </w:p>
          <w:p w:rsidR="004F165A" w:rsidRPr="002F024C" w:rsidP="002F024C" w14:paraId="69F7797C" w14:textId="3FBE53F9">
            <w:pPr>
              <w:jc w:val="center"/>
              <w:rPr>
                <w:rFonts w:cstheme="minorHAnsi"/>
              </w:rPr>
            </w:pPr>
            <w:r w:rsidRPr="002F024C">
              <w:rPr>
                <w:rFonts w:eastAsia="Arial Narrow" w:cstheme="minorHAnsi"/>
              </w:rPr>
              <w:t>(n = 1,</w:t>
            </w:r>
            <w:r>
              <w:rPr>
                <w:rFonts w:eastAsia="Arial Narrow" w:cstheme="minorHAnsi"/>
              </w:rPr>
              <w:t>5</w:t>
            </w:r>
            <w:r w:rsidRPr="002F024C">
              <w:rPr>
                <w:rFonts w:eastAsia="Arial Narrow" w:cstheme="minorHAnsi"/>
              </w:rPr>
              <w:t xml:space="preserve">000) </w:t>
            </w:r>
          </w:p>
        </w:tc>
        <w:tc>
          <w:tcPr>
            <w:tcW w:w="135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6DF4E5EB" w14:textId="77777777">
            <w:pPr>
              <w:jc w:val="center"/>
              <w:rPr>
                <w:rFonts w:cstheme="minorHAnsi"/>
              </w:rPr>
            </w:pPr>
            <w:r w:rsidRPr="002F024C">
              <w:rPr>
                <w:rFonts w:eastAsia="Arial Narrow" w:cstheme="minorHAnsi"/>
                <w:b/>
                <w:bCs/>
              </w:rPr>
              <w:t>Total</w:t>
            </w:r>
            <w:r w:rsidRPr="002F024C">
              <w:rPr>
                <w:rFonts w:eastAsia="Arial Narrow" w:cstheme="minorHAnsi"/>
              </w:rPr>
              <w:t xml:space="preserve"> </w:t>
            </w:r>
          </w:p>
          <w:p w:rsidR="004F165A" w:rsidRPr="002F024C" w:rsidP="002F024C" w14:paraId="67256114" w14:textId="77777777">
            <w:pPr>
              <w:jc w:val="center"/>
              <w:rPr>
                <w:rFonts w:cstheme="minorHAnsi"/>
              </w:rPr>
            </w:pPr>
            <w:r w:rsidRPr="002F024C">
              <w:rPr>
                <w:rFonts w:eastAsia="Arial Narrow" w:cstheme="minorHAnsi"/>
              </w:rPr>
              <w:t xml:space="preserve">(n = 3,000) </w:t>
            </w:r>
          </w:p>
        </w:tc>
      </w:tr>
      <w:tr w14:paraId="39F7C3C7"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196B219" w14:textId="77777777">
            <w:pPr>
              <w:rPr>
                <w:rFonts w:cstheme="minorHAnsi"/>
              </w:rPr>
            </w:pPr>
            <w:r w:rsidRPr="002F024C">
              <w:rPr>
                <w:rFonts w:eastAsia="Arial Narrow" w:cstheme="minorHAnsi"/>
              </w:rPr>
              <w:t xml:space="preserve">Nurses (RNs)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4D3B3416" w14:textId="77777777">
            <w:pPr>
              <w:jc w:val="right"/>
              <w:rPr>
                <w:rFonts w:cstheme="minorHAnsi"/>
              </w:rPr>
            </w:pPr>
            <w:r w:rsidRPr="002F024C">
              <w:rPr>
                <w:rFonts w:eastAsia="Arial Narrow" w:cstheme="minorHAnsi"/>
              </w:rPr>
              <w:t xml:space="preserve">1,752,210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734A0303" w14:textId="49CDCD23">
            <w:pPr>
              <w:jc w:val="right"/>
              <w:rPr>
                <w:rFonts w:cstheme="minorHAnsi"/>
              </w:rPr>
            </w:pPr>
            <w:r>
              <w:rPr>
                <w:rFonts w:eastAsia="Arial Narrow" w:cstheme="minorHAnsi"/>
              </w:rPr>
              <w:t>900</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79626DD1" w14:textId="7743979F">
            <w:pPr>
              <w:jc w:val="right"/>
              <w:rPr>
                <w:rFonts w:cstheme="minorHAnsi"/>
              </w:rPr>
            </w:pPr>
            <w:r>
              <w:rPr>
                <w:rFonts w:eastAsia="Arial Narrow" w:cstheme="minorHAnsi"/>
              </w:rPr>
              <w:t>900</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58BF3241" w14:textId="77777777">
            <w:pPr>
              <w:jc w:val="right"/>
              <w:rPr>
                <w:rFonts w:cstheme="minorHAnsi"/>
              </w:rPr>
            </w:pPr>
            <w:r w:rsidRPr="002F024C">
              <w:rPr>
                <w:rFonts w:eastAsia="Arial Narrow" w:cstheme="minorHAnsi"/>
              </w:rPr>
              <w:t xml:space="preserve">1800 </w:t>
            </w:r>
          </w:p>
        </w:tc>
      </w:tr>
      <w:tr w14:paraId="74DBC889"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711E6CCD" w14:textId="77777777">
            <w:pPr>
              <w:rPr>
                <w:rFonts w:cstheme="minorHAnsi"/>
              </w:rPr>
            </w:pPr>
            <w:r w:rsidRPr="002F024C">
              <w:rPr>
                <w:rFonts w:eastAsia="Arial Narrow" w:cstheme="minorHAnsi"/>
              </w:rPr>
              <w:t xml:space="preserve">Nurses (LPNs)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740E790" w14:textId="77777777">
            <w:pPr>
              <w:jc w:val="right"/>
              <w:rPr>
                <w:rFonts w:cstheme="minorHAnsi"/>
              </w:rPr>
            </w:pPr>
            <w:r w:rsidRPr="002F024C">
              <w:rPr>
                <w:rFonts w:eastAsia="Arial Narrow" w:cstheme="minorHAnsi"/>
              </w:rPr>
              <w:t xml:space="preserve">78,090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50005927" w14:textId="1F912C96">
            <w:pPr>
              <w:jc w:val="right"/>
              <w:rPr>
                <w:rFonts w:cstheme="minorHAnsi"/>
              </w:rPr>
            </w:pPr>
            <w:r>
              <w:rPr>
                <w:rFonts w:eastAsia="Arial Narrow" w:cstheme="minorHAnsi"/>
              </w:rPr>
              <w:t>35</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3868FED7" w14:textId="1F6843BF">
            <w:pPr>
              <w:jc w:val="right"/>
              <w:rPr>
                <w:rFonts w:cstheme="minorHAnsi"/>
              </w:rPr>
            </w:pPr>
            <w:r>
              <w:rPr>
                <w:rFonts w:eastAsia="Arial Narrow" w:cstheme="minorHAnsi"/>
              </w:rPr>
              <w:t>35</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7AFA715C" w14:textId="77777777">
            <w:pPr>
              <w:jc w:val="right"/>
              <w:rPr>
                <w:rFonts w:cstheme="minorHAnsi"/>
              </w:rPr>
            </w:pPr>
            <w:r w:rsidRPr="002F024C">
              <w:rPr>
                <w:rFonts w:eastAsia="Arial Narrow" w:cstheme="minorHAnsi"/>
              </w:rPr>
              <w:t xml:space="preserve">70 </w:t>
            </w:r>
          </w:p>
        </w:tc>
      </w:tr>
      <w:tr w14:paraId="5B2C2E0C"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2EA92230" w14:textId="77777777">
            <w:pPr>
              <w:rPr>
                <w:rFonts w:cstheme="minorHAnsi"/>
              </w:rPr>
            </w:pPr>
            <w:r w:rsidRPr="002F024C">
              <w:rPr>
                <w:rFonts w:eastAsia="Arial Narrow" w:cstheme="minorHAnsi"/>
              </w:rPr>
              <w:t xml:space="preserve">Nurse Practitioners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29914D00" w14:textId="77777777">
            <w:pPr>
              <w:jc w:val="right"/>
              <w:rPr>
                <w:rFonts w:cstheme="minorHAnsi"/>
              </w:rPr>
            </w:pPr>
            <w:r w:rsidRPr="002F024C">
              <w:rPr>
                <w:rFonts w:eastAsia="Arial Narrow" w:cstheme="minorHAnsi"/>
              </w:rPr>
              <w:t xml:space="preserve">52,790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4643D05E" w14:textId="3C3FE2FB">
            <w:pPr>
              <w:jc w:val="right"/>
              <w:rPr>
                <w:rFonts w:cstheme="minorHAnsi"/>
              </w:rPr>
            </w:pPr>
            <w:r>
              <w:rPr>
                <w:rFonts w:eastAsia="Arial Narrow" w:cstheme="minorHAnsi"/>
              </w:rPr>
              <w:t>30</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329D780C" w14:textId="79F39344">
            <w:pPr>
              <w:jc w:val="right"/>
              <w:rPr>
                <w:rFonts w:cstheme="minorHAnsi"/>
              </w:rPr>
            </w:pPr>
            <w:r>
              <w:rPr>
                <w:rFonts w:eastAsia="Arial Narrow" w:cstheme="minorHAnsi"/>
              </w:rPr>
              <w:t>30</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2096FB1C" w14:textId="77777777">
            <w:pPr>
              <w:jc w:val="right"/>
              <w:rPr>
                <w:rFonts w:cstheme="minorHAnsi"/>
              </w:rPr>
            </w:pPr>
            <w:r w:rsidRPr="002F024C">
              <w:rPr>
                <w:rFonts w:eastAsia="Arial Narrow" w:cstheme="minorHAnsi"/>
              </w:rPr>
              <w:t xml:space="preserve">60 </w:t>
            </w:r>
          </w:p>
        </w:tc>
      </w:tr>
      <w:tr w14:paraId="3DAF15F5"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8EF6A23" w14:textId="77777777">
            <w:pPr>
              <w:rPr>
                <w:rFonts w:cstheme="minorHAnsi"/>
              </w:rPr>
            </w:pPr>
            <w:r w:rsidRPr="002F024C">
              <w:rPr>
                <w:rFonts w:eastAsia="Arial Narrow" w:cstheme="minorHAnsi"/>
              </w:rPr>
              <w:t>Patient Care Technicians</w:t>
            </w:r>
            <w:r w:rsidRPr="002F024C">
              <w:rPr>
                <w:rFonts w:eastAsia="Arial Narrow" w:cstheme="minorHAnsi"/>
                <w:vertAlign w:val="superscript"/>
              </w:rPr>
              <w:t>3</w:t>
            </w:r>
            <w:r w:rsidRPr="002F024C">
              <w:rPr>
                <w:rFonts w:eastAsia="Arial Narrow" w:cstheme="minorHAnsi"/>
              </w:rPr>
              <w:t xml:space="preserve">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23C78A26" w14:textId="77777777">
            <w:pPr>
              <w:jc w:val="right"/>
              <w:rPr>
                <w:rFonts w:cstheme="minorHAnsi"/>
              </w:rPr>
            </w:pPr>
            <w:r w:rsidRPr="002F024C">
              <w:rPr>
                <w:rFonts w:eastAsia="Arial Narrow" w:cstheme="minorHAnsi"/>
              </w:rPr>
              <w:t xml:space="preserve">555,460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390B8795" w14:textId="25DD414E">
            <w:pPr>
              <w:jc w:val="right"/>
              <w:rPr>
                <w:rFonts w:cstheme="minorHAnsi"/>
              </w:rPr>
            </w:pPr>
            <w:r>
              <w:rPr>
                <w:rFonts w:eastAsia="Arial Narrow" w:cstheme="minorHAnsi"/>
              </w:rPr>
              <w:t>285</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0A5D2650" w14:textId="341F26CD">
            <w:pPr>
              <w:jc w:val="right"/>
              <w:rPr>
                <w:rFonts w:cstheme="minorHAnsi"/>
              </w:rPr>
            </w:pPr>
            <w:r>
              <w:rPr>
                <w:rFonts w:eastAsia="Arial Narrow" w:cstheme="minorHAnsi"/>
              </w:rPr>
              <w:t>285</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62A060D1" w14:textId="77777777">
            <w:pPr>
              <w:jc w:val="right"/>
              <w:rPr>
                <w:rFonts w:cstheme="minorHAnsi"/>
              </w:rPr>
            </w:pPr>
            <w:r w:rsidRPr="002F024C">
              <w:rPr>
                <w:rFonts w:eastAsia="Arial Narrow" w:cstheme="minorHAnsi"/>
              </w:rPr>
              <w:t xml:space="preserve">570 </w:t>
            </w:r>
          </w:p>
        </w:tc>
      </w:tr>
      <w:tr w14:paraId="73ED33FC"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00EA1E4A" w14:textId="77777777">
            <w:pPr>
              <w:rPr>
                <w:rFonts w:cstheme="minorHAnsi"/>
              </w:rPr>
            </w:pPr>
            <w:r w:rsidRPr="002F024C">
              <w:rPr>
                <w:rFonts w:eastAsia="Arial Narrow" w:cstheme="minorHAnsi"/>
              </w:rPr>
              <w:t xml:space="preserve">Pharmacists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098BEE5" w14:textId="77777777">
            <w:pPr>
              <w:jc w:val="right"/>
              <w:rPr>
                <w:rFonts w:cstheme="minorHAnsi"/>
              </w:rPr>
            </w:pPr>
            <w:r w:rsidRPr="002F024C">
              <w:rPr>
                <w:rFonts w:eastAsia="Arial Narrow" w:cstheme="minorHAnsi"/>
              </w:rPr>
              <w:t xml:space="preserve">81,500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6EE03201" w14:textId="366976C1">
            <w:pPr>
              <w:jc w:val="right"/>
              <w:rPr>
                <w:rFonts w:cstheme="minorHAnsi"/>
              </w:rPr>
            </w:pPr>
            <w:r>
              <w:rPr>
                <w:rFonts w:eastAsia="Arial Narrow" w:cstheme="minorHAnsi"/>
              </w:rPr>
              <w:t>45</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29EB3B66" w14:textId="06FD9678">
            <w:pPr>
              <w:jc w:val="right"/>
              <w:rPr>
                <w:rFonts w:cstheme="minorHAnsi"/>
              </w:rPr>
            </w:pPr>
            <w:r>
              <w:rPr>
                <w:rFonts w:eastAsia="Arial Narrow" w:cstheme="minorHAnsi"/>
              </w:rPr>
              <w:t>45</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3A91516A" w14:textId="77777777">
            <w:pPr>
              <w:jc w:val="right"/>
              <w:rPr>
                <w:rFonts w:cstheme="minorHAnsi"/>
              </w:rPr>
            </w:pPr>
            <w:r w:rsidRPr="002F024C">
              <w:rPr>
                <w:rFonts w:eastAsia="Arial Narrow" w:cstheme="minorHAnsi"/>
              </w:rPr>
              <w:t>90</w:t>
            </w:r>
          </w:p>
        </w:tc>
      </w:tr>
      <w:tr w14:paraId="7F869EEF"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6DF03AA3" w14:textId="77777777">
            <w:pPr>
              <w:rPr>
                <w:rFonts w:cstheme="minorHAnsi"/>
              </w:rPr>
            </w:pPr>
            <w:r w:rsidRPr="002F024C">
              <w:rPr>
                <w:rFonts w:eastAsia="Arial Narrow" w:cstheme="minorHAnsi"/>
              </w:rPr>
              <w:t xml:space="preserve">Phlebotomists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406753A" w14:textId="77777777">
            <w:pPr>
              <w:jc w:val="right"/>
              <w:rPr>
                <w:rFonts w:cstheme="minorHAnsi"/>
              </w:rPr>
            </w:pPr>
            <w:r w:rsidRPr="002F024C">
              <w:rPr>
                <w:rFonts w:eastAsia="Arial Narrow" w:cstheme="minorHAnsi"/>
              </w:rPr>
              <w:t xml:space="preserve">47,470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76CC0F34" w14:textId="228EF722">
            <w:pPr>
              <w:jc w:val="right"/>
              <w:rPr>
                <w:rFonts w:cstheme="minorHAnsi"/>
              </w:rPr>
            </w:pPr>
            <w:r>
              <w:rPr>
                <w:rFonts w:eastAsia="Arial Narrow" w:cstheme="minorHAnsi"/>
              </w:rPr>
              <w:t>23</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0D7035A1" w14:textId="61ABAADE">
            <w:pPr>
              <w:jc w:val="right"/>
              <w:rPr>
                <w:rFonts w:cstheme="minorHAnsi"/>
              </w:rPr>
            </w:pPr>
            <w:r>
              <w:rPr>
                <w:rFonts w:eastAsia="Arial Narrow" w:cstheme="minorHAnsi"/>
              </w:rPr>
              <w:t>22</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5FA607D0" w14:textId="77777777">
            <w:pPr>
              <w:jc w:val="right"/>
              <w:rPr>
                <w:rFonts w:cstheme="minorHAnsi"/>
              </w:rPr>
            </w:pPr>
            <w:r w:rsidRPr="002F024C">
              <w:rPr>
                <w:rFonts w:eastAsia="Arial Narrow" w:cstheme="minorHAnsi"/>
              </w:rPr>
              <w:t>45</w:t>
            </w:r>
          </w:p>
        </w:tc>
      </w:tr>
      <w:tr w14:paraId="6AEAD9EF"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127720" w14:paraId="6A8C3800" w14:textId="77777777">
            <w:pPr>
              <w:rPr>
                <w:rFonts w:cstheme="minorHAnsi"/>
              </w:rPr>
            </w:pPr>
            <w:r w:rsidRPr="002F024C">
              <w:rPr>
                <w:rFonts w:eastAsia="Arial Narrow" w:cstheme="minorHAnsi"/>
              </w:rPr>
              <w:t xml:space="preserve">Physicians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127720" w14:paraId="204D3789" w14:textId="77777777">
            <w:pPr>
              <w:jc w:val="right"/>
              <w:rPr>
                <w:rFonts w:cstheme="minorHAnsi"/>
              </w:rPr>
            </w:pPr>
            <w:r w:rsidRPr="002F024C">
              <w:rPr>
                <w:rFonts w:eastAsia="Arial Narrow" w:cstheme="minorHAnsi"/>
              </w:rPr>
              <w:t xml:space="preserve">84,910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127720" w14:paraId="4D584CF3" w14:textId="1684E2BD">
            <w:pPr>
              <w:jc w:val="right"/>
              <w:rPr>
                <w:rFonts w:cstheme="minorHAnsi"/>
              </w:rPr>
            </w:pPr>
            <w:r>
              <w:rPr>
                <w:rFonts w:eastAsia="Arial Narrow" w:cstheme="minorHAnsi"/>
              </w:rPr>
              <w:t>45</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127720" w14:paraId="4F8CD95F" w14:textId="02FB2F47">
            <w:pPr>
              <w:jc w:val="right"/>
              <w:rPr>
                <w:rFonts w:cstheme="minorHAnsi"/>
              </w:rPr>
            </w:pPr>
            <w:r>
              <w:rPr>
                <w:rFonts w:eastAsia="Arial Narrow" w:cstheme="minorHAnsi"/>
              </w:rPr>
              <w:t>45</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127720" w14:paraId="54877045" w14:textId="77777777">
            <w:pPr>
              <w:jc w:val="right"/>
              <w:rPr>
                <w:rFonts w:cstheme="minorHAnsi"/>
              </w:rPr>
            </w:pPr>
            <w:r w:rsidRPr="002F024C">
              <w:rPr>
                <w:rFonts w:eastAsia="Arial Narrow" w:cstheme="minorHAnsi"/>
              </w:rPr>
              <w:t>90</w:t>
            </w:r>
          </w:p>
        </w:tc>
      </w:tr>
      <w:tr w14:paraId="28971363"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EB7A1FB" w14:textId="77777777">
            <w:pPr>
              <w:rPr>
                <w:rFonts w:cstheme="minorHAnsi"/>
              </w:rPr>
            </w:pPr>
            <w:r w:rsidRPr="002F024C">
              <w:rPr>
                <w:rFonts w:eastAsia="Arial Narrow" w:cstheme="minorHAnsi"/>
              </w:rPr>
              <w:t xml:space="preserve">Physician Assistants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75CDF345" w14:textId="77777777">
            <w:pPr>
              <w:jc w:val="right"/>
              <w:rPr>
                <w:rFonts w:cstheme="minorHAnsi"/>
              </w:rPr>
            </w:pPr>
            <w:r w:rsidRPr="002F024C">
              <w:rPr>
                <w:rFonts w:eastAsia="Arial Narrow" w:cstheme="minorHAnsi"/>
              </w:rPr>
              <w:t xml:space="preserve">30,020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78FA9D24" w14:textId="40672D45">
            <w:pPr>
              <w:jc w:val="right"/>
              <w:rPr>
                <w:rFonts w:cstheme="minorHAnsi"/>
              </w:rPr>
            </w:pPr>
            <w:r>
              <w:rPr>
                <w:rFonts w:eastAsia="Arial Narrow" w:cstheme="minorHAnsi"/>
              </w:rPr>
              <w:t>15</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416B70AE" w14:textId="5140943F">
            <w:pPr>
              <w:jc w:val="right"/>
              <w:rPr>
                <w:rFonts w:cstheme="minorHAnsi"/>
              </w:rPr>
            </w:pPr>
            <w:r>
              <w:rPr>
                <w:rFonts w:eastAsia="Arial Narrow" w:cstheme="minorHAnsi"/>
              </w:rPr>
              <w:t>15</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7C2167C6" w14:textId="77777777">
            <w:pPr>
              <w:jc w:val="right"/>
              <w:rPr>
                <w:rFonts w:cstheme="minorHAnsi"/>
              </w:rPr>
            </w:pPr>
            <w:r w:rsidRPr="002F024C">
              <w:rPr>
                <w:rFonts w:eastAsia="Arial Narrow" w:cstheme="minorHAnsi"/>
              </w:rPr>
              <w:t xml:space="preserve">30 </w:t>
            </w:r>
          </w:p>
        </w:tc>
      </w:tr>
      <w:tr w14:paraId="23806B11"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6CF8B91" w14:textId="77777777">
            <w:pPr>
              <w:rPr>
                <w:rFonts w:cstheme="minorHAnsi"/>
              </w:rPr>
            </w:pPr>
            <w:r w:rsidRPr="002F024C">
              <w:rPr>
                <w:rFonts w:eastAsia="Arial Narrow" w:cstheme="minorHAnsi"/>
              </w:rPr>
              <w:t xml:space="preserve">Social Workers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232A01E9" w14:textId="77777777">
            <w:pPr>
              <w:jc w:val="right"/>
              <w:rPr>
                <w:rFonts w:cstheme="minorHAnsi"/>
              </w:rPr>
            </w:pPr>
            <w:r w:rsidRPr="002F024C">
              <w:rPr>
                <w:rFonts w:eastAsia="Arial Narrow" w:cstheme="minorHAnsi"/>
              </w:rPr>
              <w:t xml:space="preserve">550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1D97FF05" w14:textId="77777777">
            <w:pPr>
              <w:jc w:val="right"/>
              <w:rPr>
                <w:rFonts w:cstheme="minorHAnsi"/>
              </w:rPr>
            </w:pPr>
            <w:r w:rsidRPr="002F024C">
              <w:rPr>
                <w:rFonts w:eastAsia="Arial Narrow" w:cstheme="minorHAnsi"/>
              </w:rPr>
              <w:t xml:space="preserve">2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6B1F1F35" w14:textId="255E30F2">
            <w:pPr>
              <w:jc w:val="right"/>
              <w:rPr>
                <w:rFonts w:cstheme="minorHAnsi"/>
              </w:rPr>
            </w:pPr>
            <w:r>
              <w:rPr>
                <w:rFonts w:eastAsia="Arial Narrow" w:cstheme="minorHAnsi"/>
              </w:rPr>
              <w:t>3</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4062A5D3" w14:textId="77777777">
            <w:pPr>
              <w:jc w:val="right"/>
              <w:rPr>
                <w:rFonts w:cstheme="minorHAnsi"/>
              </w:rPr>
            </w:pPr>
            <w:r w:rsidRPr="002F024C">
              <w:rPr>
                <w:rFonts w:eastAsia="Arial Narrow" w:cstheme="minorHAnsi"/>
              </w:rPr>
              <w:t xml:space="preserve">5 </w:t>
            </w:r>
          </w:p>
        </w:tc>
      </w:tr>
      <w:tr w14:paraId="794FE620"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109835BC" w14:textId="77777777">
            <w:pPr>
              <w:rPr>
                <w:rFonts w:cstheme="minorHAnsi"/>
              </w:rPr>
            </w:pPr>
            <w:r w:rsidRPr="002F024C">
              <w:rPr>
                <w:rFonts w:eastAsia="Arial Narrow" w:cstheme="minorHAnsi"/>
              </w:rPr>
              <w:t>Therapists</w:t>
            </w:r>
            <w:r w:rsidRPr="002F024C">
              <w:rPr>
                <w:rFonts w:eastAsia="Arial Narrow" w:cstheme="minorHAnsi"/>
                <w:vertAlign w:val="superscript"/>
              </w:rPr>
              <w:t>4</w:t>
            </w:r>
            <w:r w:rsidRPr="002F024C">
              <w:rPr>
                <w:rFonts w:eastAsia="Arial Narrow" w:cstheme="minorHAnsi"/>
              </w:rPr>
              <w:t xml:space="preserve">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A521682" w14:textId="77777777">
            <w:pPr>
              <w:jc w:val="right"/>
              <w:rPr>
                <w:rFonts w:cstheme="minorHAnsi"/>
              </w:rPr>
            </w:pPr>
            <w:r w:rsidRPr="002F024C">
              <w:rPr>
                <w:rFonts w:eastAsia="Arial Narrow" w:cstheme="minorHAnsi"/>
              </w:rPr>
              <w:t xml:space="preserve">220,900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7A364F51" w14:textId="71355606">
            <w:pPr>
              <w:jc w:val="right"/>
              <w:rPr>
                <w:rFonts w:cstheme="minorHAnsi"/>
              </w:rPr>
            </w:pPr>
            <w:r>
              <w:rPr>
                <w:rFonts w:eastAsia="Arial Narrow" w:cstheme="minorHAnsi"/>
              </w:rPr>
              <w:t>120</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108DCB51" w14:textId="263211E0">
            <w:pPr>
              <w:jc w:val="right"/>
              <w:rPr>
                <w:rFonts w:cstheme="minorHAnsi"/>
              </w:rPr>
            </w:pPr>
            <w:r>
              <w:rPr>
                <w:rFonts w:eastAsia="Arial Narrow" w:cstheme="minorHAnsi"/>
              </w:rPr>
              <w:t>120</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483D78CB" w14:textId="77777777">
            <w:pPr>
              <w:jc w:val="right"/>
              <w:rPr>
                <w:rFonts w:cstheme="minorHAnsi"/>
              </w:rPr>
            </w:pPr>
            <w:r w:rsidRPr="002F024C">
              <w:rPr>
                <w:rFonts w:eastAsia="Arial Narrow" w:cstheme="minorHAnsi"/>
              </w:rPr>
              <w:t>240</w:t>
            </w:r>
          </w:p>
        </w:tc>
      </w:tr>
      <w:tr w14:paraId="037F45D3"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093C466D" w14:textId="77777777">
            <w:pPr>
              <w:rPr>
                <w:rFonts w:cstheme="minorHAnsi"/>
              </w:rPr>
            </w:pPr>
            <w:r w:rsidRPr="002F024C">
              <w:rPr>
                <w:rFonts w:eastAsia="Arial Narrow" w:cstheme="minorHAnsi"/>
                <w:b/>
                <w:bCs/>
              </w:rPr>
              <w:t>Hospital Leader Occupation Groups</w:t>
            </w:r>
            <w:r w:rsidRPr="002F024C">
              <w:rPr>
                <w:rFonts w:eastAsia="Arial Narrow" w:cstheme="minorHAnsi"/>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68666D2E" w14:textId="77777777">
            <w:pPr>
              <w:jc w:val="center"/>
              <w:rPr>
                <w:rFonts w:cstheme="minorHAnsi"/>
              </w:rPr>
            </w:pPr>
            <w:r w:rsidRPr="002F024C">
              <w:rPr>
                <w:rFonts w:eastAsia="Arial Narrow" w:cstheme="minorHAnsi"/>
                <w:b/>
                <w:bCs/>
              </w:rPr>
              <w:t>Universe</w:t>
            </w:r>
          </w:p>
          <w:p w:rsidR="004F165A" w:rsidRPr="002F024C" w:rsidP="002F024C" w14:paraId="3C7776A5" w14:textId="77777777">
            <w:pPr>
              <w:jc w:val="center"/>
              <w:rPr>
                <w:rFonts w:cstheme="minorHAnsi"/>
              </w:rPr>
            </w:pPr>
            <w:r w:rsidRPr="002F024C">
              <w:rPr>
                <w:rFonts w:eastAsia="Arial Narrow" w:cstheme="minorHAnsi"/>
              </w:rPr>
              <w:t xml:space="preserve">(N = 208,970) </w:t>
            </w:r>
          </w:p>
        </w:tc>
        <w:tc>
          <w:tcPr>
            <w:tcW w:w="124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4E0F7839" w14:textId="77777777">
            <w:pPr>
              <w:jc w:val="center"/>
              <w:rPr>
                <w:rFonts w:cstheme="minorHAnsi"/>
              </w:rPr>
            </w:pPr>
            <w:r w:rsidRPr="002F024C">
              <w:rPr>
                <w:rFonts w:eastAsia="Arial Narrow" w:cstheme="minorHAnsi"/>
                <w:b/>
                <w:bCs/>
              </w:rPr>
              <w:t>Wave 1</w:t>
            </w:r>
          </w:p>
          <w:p w:rsidR="004F165A" w:rsidRPr="002F024C" w:rsidP="002F024C" w14:paraId="42840C35" w14:textId="013D4CD4">
            <w:pPr>
              <w:jc w:val="center"/>
              <w:rPr>
                <w:rFonts w:cstheme="minorHAnsi"/>
              </w:rPr>
            </w:pPr>
            <w:r w:rsidRPr="002F024C">
              <w:rPr>
                <w:rFonts w:eastAsia="Arial Narrow" w:cstheme="minorHAnsi"/>
              </w:rPr>
              <w:t xml:space="preserve">(n = </w:t>
            </w:r>
            <w:r>
              <w:rPr>
                <w:rFonts w:eastAsia="Arial Narrow" w:cstheme="minorHAnsi"/>
              </w:rPr>
              <w:t>250</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5ED51D80" w14:textId="77777777">
            <w:pPr>
              <w:jc w:val="center"/>
              <w:rPr>
                <w:rFonts w:cstheme="minorHAnsi"/>
              </w:rPr>
            </w:pPr>
            <w:r w:rsidRPr="002F024C">
              <w:rPr>
                <w:rFonts w:eastAsia="Arial Narrow" w:cstheme="minorHAnsi"/>
                <w:b/>
                <w:bCs/>
              </w:rPr>
              <w:t>Wave 2</w:t>
            </w:r>
          </w:p>
          <w:p w:rsidR="004F165A" w:rsidRPr="002F024C" w:rsidP="002F024C" w14:paraId="30D9A5F2" w14:textId="27B91F6F">
            <w:pPr>
              <w:jc w:val="center"/>
              <w:rPr>
                <w:rFonts w:cstheme="minorHAnsi"/>
              </w:rPr>
            </w:pPr>
            <w:r w:rsidRPr="002F024C">
              <w:rPr>
                <w:rFonts w:eastAsia="Arial Narrow" w:cstheme="minorHAnsi"/>
              </w:rPr>
              <w:t xml:space="preserve">(n = </w:t>
            </w:r>
            <w:r>
              <w:rPr>
                <w:rFonts w:eastAsia="Arial Narrow" w:cstheme="minorHAnsi"/>
              </w:rPr>
              <w:t>250</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2DA83210" w14:textId="77777777">
            <w:pPr>
              <w:jc w:val="center"/>
              <w:rPr>
                <w:rFonts w:cstheme="minorHAnsi"/>
              </w:rPr>
            </w:pPr>
            <w:r w:rsidRPr="002F024C">
              <w:rPr>
                <w:rFonts w:eastAsia="Arial Narrow" w:cstheme="minorHAnsi"/>
                <w:b/>
                <w:bCs/>
              </w:rPr>
              <w:t>Total</w:t>
            </w:r>
            <w:r w:rsidRPr="002F024C">
              <w:rPr>
                <w:rFonts w:eastAsia="Arial Narrow" w:cstheme="minorHAnsi"/>
              </w:rPr>
              <w:t xml:space="preserve"> </w:t>
            </w:r>
          </w:p>
          <w:p w:rsidR="004F165A" w:rsidRPr="002F024C" w:rsidP="002F024C" w14:paraId="28955233" w14:textId="77777777">
            <w:pPr>
              <w:jc w:val="center"/>
              <w:rPr>
                <w:rFonts w:cstheme="minorHAnsi"/>
              </w:rPr>
            </w:pPr>
            <w:r w:rsidRPr="002F024C">
              <w:rPr>
                <w:rFonts w:eastAsia="Arial Narrow" w:cstheme="minorHAnsi"/>
              </w:rPr>
              <w:t xml:space="preserve">(n = 500) </w:t>
            </w:r>
          </w:p>
        </w:tc>
      </w:tr>
      <w:tr w14:paraId="1DE791A0"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4A65438" w14:textId="77777777">
            <w:pPr>
              <w:rPr>
                <w:rFonts w:cstheme="minorHAnsi"/>
              </w:rPr>
            </w:pPr>
            <w:r w:rsidRPr="002F024C">
              <w:rPr>
                <w:rFonts w:eastAsia="Arial Narrow" w:cstheme="minorHAnsi"/>
              </w:rPr>
              <w:t xml:space="preserve">Top Executives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BF9B466" w14:textId="77777777">
            <w:pPr>
              <w:jc w:val="right"/>
              <w:rPr>
                <w:rFonts w:cstheme="minorHAnsi"/>
              </w:rPr>
            </w:pPr>
            <w:r w:rsidRPr="002F024C">
              <w:rPr>
                <w:rFonts w:eastAsia="Arial Narrow" w:cstheme="minorHAnsi"/>
              </w:rPr>
              <w:t xml:space="preserve">12,890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758A6E8A" w14:textId="7EF7452E">
            <w:pPr>
              <w:jc w:val="right"/>
              <w:rPr>
                <w:rFonts w:cstheme="minorHAnsi"/>
              </w:rPr>
            </w:pPr>
            <w:r>
              <w:rPr>
                <w:rFonts w:eastAsia="Arial Narrow" w:cstheme="minorHAnsi"/>
              </w:rPr>
              <w:t>15</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5ABF9AE5" w14:textId="6F25ED4B">
            <w:pPr>
              <w:jc w:val="right"/>
              <w:rPr>
                <w:rFonts w:cstheme="minorHAnsi"/>
              </w:rPr>
            </w:pPr>
            <w:r>
              <w:rPr>
                <w:rFonts w:eastAsia="Arial Narrow" w:cstheme="minorHAnsi"/>
              </w:rPr>
              <w:t>15</w:t>
            </w:r>
            <w:r w:rsidRPr="002F024C">
              <w:rPr>
                <w:rFonts w:eastAsia="Arial Narrow" w:cstheme="minorHAnsi"/>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1624D40C" w14:textId="77777777">
            <w:pPr>
              <w:jc w:val="right"/>
              <w:rPr>
                <w:rFonts w:cstheme="minorHAnsi"/>
              </w:rPr>
            </w:pPr>
            <w:r w:rsidRPr="002F024C">
              <w:rPr>
                <w:rFonts w:eastAsia="Arial Narrow" w:cstheme="minorHAnsi"/>
              </w:rPr>
              <w:t xml:space="preserve">30 </w:t>
            </w:r>
          </w:p>
        </w:tc>
      </w:tr>
      <w:tr w14:paraId="63E151CF" w14:textId="77777777" w:rsidTr="004F165A">
        <w:tblPrEx>
          <w:tblW w:w="8100" w:type="dxa"/>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57CA629E" w14:textId="77777777">
            <w:pPr>
              <w:rPr>
                <w:rFonts w:cstheme="minorHAnsi"/>
              </w:rPr>
            </w:pPr>
            <w:r w:rsidRPr="002F024C">
              <w:rPr>
                <w:rFonts w:eastAsia="Arial Narrow" w:cstheme="minorHAnsi"/>
              </w:rPr>
              <w:t xml:space="preserve">Other Managers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0A3629C8" w14:textId="77777777">
            <w:pPr>
              <w:jc w:val="right"/>
              <w:rPr>
                <w:rFonts w:cstheme="minorHAnsi"/>
              </w:rPr>
            </w:pPr>
            <w:r w:rsidRPr="002F024C">
              <w:rPr>
                <w:rFonts w:eastAsia="Arial Narrow" w:cstheme="minorHAnsi"/>
              </w:rPr>
              <w:t xml:space="preserve">196,080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5AEDA416" w14:textId="2324D240">
            <w:pPr>
              <w:jc w:val="right"/>
              <w:rPr>
                <w:rFonts w:cstheme="minorHAnsi"/>
              </w:rPr>
            </w:pPr>
            <w:r>
              <w:rPr>
                <w:rFonts w:eastAsia="Arial Narrow" w:cstheme="minorHAnsi"/>
              </w:rPr>
              <w:t>235</w:t>
            </w:r>
            <w:r w:rsidRPr="002F024C">
              <w:rPr>
                <w:rFonts w:eastAsia="Arial Narrow" w:cstheme="minorHAnsi"/>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69BCD64D" w14:textId="56A2B1B9">
            <w:pPr>
              <w:jc w:val="right"/>
              <w:rPr>
                <w:rFonts w:cstheme="minorHAnsi"/>
              </w:rPr>
            </w:pPr>
            <w:r>
              <w:rPr>
                <w:rFonts w:eastAsia="Arial Narrow" w:cstheme="minorHAnsi"/>
              </w:rPr>
              <w:t>235</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2FA4E491" w14:textId="77777777">
            <w:pPr>
              <w:jc w:val="right"/>
              <w:rPr>
                <w:rFonts w:cstheme="minorHAnsi"/>
              </w:rPr>
            </w:pPr>
            <w:r w:rsidRPr="002F024C">
              <w:rPr>
                <w:rFonts w:eastAsia="Arial Narrow" w:cstheme="minorHAnsi"/>
              </w:rPr>
              <w:t>470</w:t>
            </w:r>
          </w:p>
        </w:tc>
      </w:tr>
    </w:tbl>
    <w:p w:rsidR="002F024C" w:rsidRPr="002F024C" w:rsidP="002F024C" w14:paraId="560C68CF" w14:textId="77777777">
      <w:pPr>
        <w:shd w:val="clear" w:color="auto" w:fill="FFFFFF" w:themeFill="background1"/>
        <w:spacing w:after="0" w:line="240" w:lineRule="auto"/>
        <w:rPr>
          <w:rFonts w:ascii="Times New Roman" w:eastAsia="Times New Roman" w:hAnsi="Times New Roman" w:cs="Times New Roman"/>
          <w:b/>
          <w:bCs/>
          <w:sz w:val="24"/>
          <w:szCs w:val="24"/>
          <w:shd w:val="clear" w:color="auto" w:fill="FFFFFF" w:themeFill="background1"/>
        </w:rPr>
      </w:pPr>
    </w:p>
    <w:p w:rsidR="002F024C" w:rsidRPr="002F024C" w:rsidP="00E30409" w14:paraId="351DBBA5" w14:textId="364FA4D6">
      <w:r>
        <w:t>JPA/EDC</w:t>
      </w:r>
      <w:r w:rsidRPr="002F024C">
        <w:t xml:space="preserve"> expect</w:t>
      </w:r>
      <w:r>
        <w:t>s the</w:t>
      </w:r>
      <w:r w:rsidRPr="002F024C">
        <w:t xml:space="preserve"> response rate to be approximately 25%, typical of online surveys like </w:t>
      </w:r>
      <w:r>
        <w:t>this one</w:t>
      </w:r>
      <w:r w:rsidRPr="002F024C">
        <w:t>.</w:t>
      </w:r>
      <w:r>
        <w:rPr>
          <w:vertAlign w:val="superscript"/>
        </w:rPr>
        <w:footnoteReference w:id="3"/>
      </w:r>
      <w:r w:rsidRPr="002F024C">
        <w:t xml:space="preserve"> </w:t>
      </w:r>
      <w:r w:rsidR="000504D6">
        <w:t>They</w:t>
      </w:r>
      <w:r w:rsidRPr="002F024C">
        <w:t xml:space="preserve"> will not use the results to make statements representative of the study universe, to produce statistical descriptions (careful, repeatable measurements), or to generalize the data beyond the scope of the sample. Table </w:t>
      </w:r>
      <w:r w:rsidR="00E30409">
        <w:t>1</w:t>
      </w:r>
      <w:r w:rsidRPr="002F024C">
        <w:t xml:space="preserve"> provides information on the number of entities in the universe covered by the collection and in the corresponding sample.</w:t>
      </w:r>
    </w:p>
    <w:p w:rsidR="00B86EE6" w:rsidP="12A8943C" w14:paraId="42E73895" w14:textId="794C8770">
      <w:r>
        <w:t xml:space="preserve">To ensure that </w:t>
      </w:r>
      <w:r w:rsidR="000504D6">
        <w:t>JPA/EDC</w:t>
      </w:r>
      <w:r>
        <w:t xml:space="preserve"> </w:t>
      </w:r>
      <w:r w:rsidR="0D2DECCB">
        <w:t xml:space="preserve">achieves their goals for respondents by </w:t>
      </w:r>
      <w:r w:rsidR="603764BD">
        <w:t>occupational group,</w:t>
      </w:r>
      <w:r>
        <w:t xml:space="preserve"> </w:t>
      </w:r>
      <w:r w:rsidR="000504D6">
        <w:t>they</w:t>
      </w:r>
      <w:r>
        <w:t xml:space="preserve"> will</w:t>
      </w:r>
      <w:r w:rsidR="000504D6">
        <w:t xml:space="preserve"> work with partner organizations to</w:t>
      </w:r>
      <w:r>
        <w:t xml:space="preserve"> draw a sample for each group that is significantly larger</w:t>
      </w:r>
      <w:r w:rsidR="3AAB99A4">
        <w:t xml:space="preserve"> (four times higher</w:t>
      </w:r>
      <w:r w:rsidR="434B63E1">
        <w:t xml:space="preserve"> given the anticipated response rate of 25%</w:t>
      </w:r>
      <w:r w:rsidR="3AAB99A4">
        <w:t>)</w:t>
      </w:r>
      <w:r>
        <w:t xml:space="preserve"> </w:t>
      </w:r>
      <w:r w:rsidR="4866F9E4">
        <w:t xml:space="preserve">than </w:t>
      </w:r>
      <w:r>
        <w:t xml:space="preserve">what is needed to draw conclusions about program contributions and effects.  For example, </w:t>
      </w:r>
      <w:r w:rsidR="00C920E3">
        <w:t>a partner organization</w:t>
      </w:r>
      <w:r>
        <w:t xml:space="preserve"> will draw a sample of at least </w:t>
      </w:r>
      <w:r w:rsidR="00AC63B0">
        <w:t>360</w:t>
      </w:r>
      <w:r>
        <w:t xml:space="preserve"> pharmacists, invite one-third of this group to complete the survey in Wave 1 and forward reminders twice each week</w:t>
      </w:r>
      <w:r w:rsidR="003564D8">
        <w:t xml:space="preserve">. </w:t>
      </w:r>
      <w:r w:rsidR="00AC63B0">
        <w:t xml:space="preserve">Then </w:t>
      </w:r>
      <w:r w:rsidR="00C920E3">
        <w:t>the organization</w:t>
      </w:r>
      <w:r>
        <w:t xml:space="preserve"> will repeat this for Wave 2 until </w:t>
      </w:r>
      <w:r w:rsidR="007A6ADB">
        <w:t xml:space="preserve">the goal of 90 respondents has been met. </w:t>
      </w:r>
    </w:p>
    <w:p w:rsidR="002F024C" w:rsidRPr="002F024C" w:rsidP="002F024C" w14:paraId="3688D5A9" w14:textId="77777777">
      <w:pPr>
        <w:shd w:val="clear" w:color="auto" w:fill="FFFFFF" w:themeFill="background1"/>
        <w:spacing w:after="0" w:line="240" w:lineRule="auto"/>
        <w:rPr>
          <w:rFonts w:ascii="Times New Roman" w:eastAsia="Times New Roman" w:hAnsi="Times New Roman" w:cs="Times New Roman"/>
          <w:sz w:val="12"/>
          <w:szCs w:val="12"/>
        </w:rPr>
      </w:pPr>
    </w:p>
    <w:p w:rsidR="002F024C" w:rsidRPr="002F024C" w:rsidP="002F024C" w14:paraId="3A79768F" w14:textId="6FEA5D56">
      <w:pPr>
        <w:shd w:val="clear" w:color="auto" w:fill="FFFFFF" w:themeFill="background1"/>
        <w:spacing w:after="0" w:line="240" w:lineRule="auto"/>
        <w:rPr>
          <w:rFonts w:eastAsia="Times New Roman" w:cstheme="minorHAnsi"/>
          <w:sz w:val="24"/>
          <w:szCs w:val="24"/>
          <w:shd w:val="clear" w:color="auto" w:fill="FFFFFF" w:themeFill="background1"/>
        </w:rPr>
      </w:pPr>
      <w:r w:rsidRPr="002F024C">
        <w:rPr>
          <w:rFonts w:eastAsia="Times New Roman" w:cstheme="minorHAnsi"/>
          <w:sz w:val="24"/>
          <w:szCs w:val="24"/>
          <w:shd w:val="clear" w:color="auto" w:fill="FFFFFF" w:themeFill="background1"/>
        </w:rPr>
        <w:t xml:space="preserve">Table </w:t>
      </w:r>
      <w:r w:rsidR="00541485">
        <w:rPr>
          <w:rFonts w:eastAsia="Times New Roman" w:cstheme="minorHAnsi"/>
          <w:sz w:val="24"/>
          <w:szCs w:val="24"/>
          <w:shd w:val="clear" w:color="auto" w:fill="FFFFFF" w:themeFill="background1"/>
        </w:rPr>
        <w:t>2</w:t>
      </w:r>
      <w:r w:rsidRPr="002F024C">
        <w:rPr>
          <w:rFonts w:eastAsia="Times New Roman" w:cstheme="minorHAnsi"/>
          <w:sz w:val="24"/>
          <w:szCs w:val="24"/>
          <w:shd w:val="clear" w:color="auto" w:fill="FFFFFF" w:themeFill="background1"/>
        </w:rPr>
        <w:t xml:space="preserve">. Sampling by occupation group </w:t>
      </w:r>
    </w:p>
    <w:p w:rsidR="002F024C" w:rsidRPr="002F024C" w:rsidP="002F024C" w14:paraId="60C60E56" w14:textId="77777777">
      <w:pPr>
        <w:shd w:val="clear" w:color="auto" w:fill="FFFFFF" w:themeFill="background1"/>
        <w:spacing w:after="0" w:line="240" w:lineRule="auto"/>
        <w:rPr>
          <w:rFonts w:ascii="Times New Roman" w:eastAsia="Times New Roman" w:hAnsi="Times New Roman" w:cs="Times New Roman"/>
          <w:sz w:val="12"/>
          <w:szCs w:val="12"/>
        </w:rPr>
      </w:pPr>
    </w:p>
    <w:tbl>
      <w:tblPr>
        <w:tblW w:w="0" w:type="auto"/>
        <w:tblInd w:w="-10" w:type="dxa"/>
        <w:tblLayout w:type="fixed"/>
        <w:tblLook w:val="04A0"/>
      </w:tblPr>
      <w:tblGrid>
        <w:gridCol w:w="2700"/>
        <w:gridCol w:w="1530"/>
        <w:gridCol w:w="1245"/>
        <w:gridCol w:w="1275"/>
        <w:gridCol w:w="1350"/>
      </w:tblGrid>
      <w:tr w14:paraId="01A2704F" w14:textId="77777777" w:rsidTr="00541485">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2920D089" w14:textId="77777777">
            <w:pPr>
              <w:rPr>
                <w:rFonts w:cstheme="minorHAnsi"/>
                <w:sz w:val="20"/>
                <w:szCs w:val="20"/>
              </w:rPr>
            </w:pPr>
            <w:r w:rsidRPr="002F024C">
              <w:rPr>
                <w:rFonts w:eastAsia="Arial Narrow" w:cstheme="minorHAnsi"/>
                <w:b/>
                <w:bCs/>
                <w:sz w:val="20"/>
                <w:szCs w:val="20"/>
              </w:rPr>
              <w:t>Hospital Healthcare worker Occupation Groups</w:t>
            </w:r>
            <w:r w:rsidRPr="002F024C">
              <w:rPr>
                <w:rFonts w:eastAsia="Arial Narrow" w:cstheme="minorHAnsi"/>
                <w:sz w:val="20"/>
                <w:szCs w:val="20"/>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6AECE2B2" w14:textId="77777777">
            <w:pPr>
              <w:jc w:val="center"/>
              <w:rPr>
                <w:rFonts w:cstheme="minorHAnsi"/>
                <w:sz w:val="20"/>
                <w:szCs w:val="20"/>
              </w:rPr>
            </w:pPr>
            <w:r w:rsidRPr="002F024C">
              <w:rPr>
                <w:rFonts w:eastAsia="Arial Narrow" w:cstheme="minorHAnsi"/>
                <w:b/>
                <w:bCs/>
                <w:sz w:val="20"/>
                <w:szCs w:val="20"/>
              </w:rPr>
              <w:t>Universe</w:t>
            </w:r>
            <w:r w:rsidRPr="002F024C">
              <w:rPr>
                <w:rFonts w:eastAsia="Arial Narrow" w:cstheme="minorHAnsi"/>
                <w:sz w:val="20"/>
                <w:szCs w:val="20"/>
              </w:rPr>
              <w:t xml:space="preserve"> </w:t>
            </w:r>
          </w:p>
          <w:p w:rsidR="004F165A" w:rsidRPr="002F024C" w:rsidP="002F024C" w14:paraId="1CC1B915" w14:textId="77777777">
            <w:pPr>
              <w:jc w:val="center"/>
              <w:rPr>
                <w:rFonts w:cstheme="minorHAnsi"/>
                <w:sz w:val="20"/>
                <w:szCs w:val="20"/>
              </w:rPr>
            </w:pPr>
            <w:r w:rsidRPr="002F024C">
              <w:rPr>
                <w:rFonts w:eastAsia="Arial Narrow" w:cstheme="minorHAnsi"/>
                <w:sz w:val="20"/>
                <w:szCs w:val="20"/>
              </w:rPr>
              <w:t xml:space="preserve">(N = 2,903,900) </w:t>
            </w:r>
          </w:p>
        </w:tc>
        <w:tc>
          <w:tcPr>
            <w:tcW w:w="124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4EE61C31" w14:textId="77777777">
            <w:pPr>
              <w:jc w:val="center"/>
              <w:rPr>
                <w:rFonts w:cstheme="minorHAnsi"/>
                <w:sz w:val="20"/>
                <w:szCs w:val="20"/>
              </w:rPr>
            </w:pPr>
            <w:r w:rsidRPr="002F024C">
              <w:rPr>
                <w:rFonts w:eastAsia="Arial Narrow" w:cstheme="minorHAnsi"/>
                <w:b/>
                <w:bCs/>
                <w:sz w:val="20"/>
                <w:szCs w:val="20"/>
              </w:rPr>
              <w:t>Wave 1</w:t>
            </w:r>
            <w:r w:rsidRPr="002F024C">
              <w:rPr>
                <w:rFonts w:eastAsia="Arial Narrow" w:cstheme="minorHAnsi"/>
                <w:sz w:val="20"/>
                <w:szCs w:val="20"/>
              </w:rPr>
              <w:t xml:space="preserve"> </w:t>
            </w:r>
          </w:p>
          <w:p w:rsidR="004F165A" w:rsidRPr="002F024C" w:rsidP="002F024C" w14:paraId="6CD45B2A" w14:textId="07F4CA4E">
            <w:pPr>
              <w:jc w:val="center"/>
              <w:rPr>
                <w:rFonts w:cstheme="minorHAnsi"/>
                <w:sz w:val="20"/>
                <w:szCs w:val="20"/>
              </w:rPr>
            </w:pPr>
            <w:r w:rsidRPr="002F024C">
              <w:rPr>
                <w:rFonts w:eastAsia="Arial Narrow" w:cstheme="minorHAnsi"/>
                <w:sz w:val="20"/>
                <w:szCs w:val="20"/>
              </w:rPr>
              <w:t xml:space="preserve">(n = </w:t>
            </w:r>
            <w:r>
              <w:rPr>
                <w:rFonts w:eastAsia="Arial Narrow" w:cstheme="minorHAnsi"/>
                <w:sz w:val="20"/>
                <w:szCs w:val="20"/>
              </w:rPr>
              <w:t>6</w:t>
            </w:r>
            <w:r w:rsidRPr="002F024C">
              <w:rPr>
                <w:rFonts w:eastAsia="Arial Narrow" w:cstheme="minorHAnsi"/>
                <w:sz w:val="20"/>
                <w:szCs w:val="20"/>
              </w:rPr>
              <w:t xml:space="preserve">,000) </w:t>
            </w:r>
          </w:p>
        </w:tc>
        <w:tc>
          <w:tcPr>
            <w:tcW w:w="127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29BA5285" w14:textId="77777777">
            <w:pPr>
              <w:jc w:val="center"/>
              <w:rPr>
                <w:rFonts w:cstheme="minorHAnsi"/>
                <w:sz w:val="20"/>
                <w:szCs w:val="20"/>
              </w:rPr>
            </w:pPr>
            <w:r w:rsidRPr="002F024C">
              <w:rPr>
                <w:rFonts w:eastAsia="Arial Narrow" w:cstheme="minorHAnsi"/>
                <w:b/>
                <w:bCs/>
                <w:sz w:val="20"/>
                <w:szCs w:val="20"/>
              </w:rPr>
              <w:t>Wave 2</w:t>
            </w:r>
            <w:r w:rsidRPr="002F024C">
              <w:rPr>
                <w:rFonts w:eastAsia="Arial Narrow" w:cstheme="minorHAnsi"/>
                <w:sz w:val="20"/>
                <w:szCs w:val="20"/>
              </w:rPr>
              <w:t xml:space="preserve"> </w:t>
            </w:r>
          </w:p>
          <w:p w:rsidR="004F165A" w:rsidRPr="002F024C" w:rsidP="002F024C" w14:paraId="6BFC8052" w14:textId="5501B421">
            <w:pPr>
              <w:jc w:val="center"/>
              <w:rPr>
                <w:rFonts w:cstheme="minorHAnsi"/>
                <w:sz w:val="20"/>
                <w:szCs w:val="20"/>
              </w:rPr>
            </w:pPr>
            <w:r w:rsidRPr="002F024C">
              <w:rPr>
                <w:rFonts w:eastAsia="Arial Narrow" w:cstheme="minorHAnsi"/>
                <w:sz w:val="20"/>
                <w:szCs w:val="20"/>
              </w:rPr>
              <w:t xml:space="preserve">(n = </w:t>
            </w:r>
            <w:r>
              <w:rPr>
                <w:rFonts w:eastAsia="Arial Narrow" w:cstheme="minorHAnsi"/>
                <w:sz w:val="20"/>
                <w:szCs w:val="20"/>
              </w:rPr>
              <w:t>6</w:t>
            </w:r>
            <w:r w:rsidRPr="002F024C">
              <w:rPr>
                <w:rFonts w:eastAsia="Arial Narrow" w:cstheme="minorHAnsi"/>
                <w:sz w:val="20"/>
                <w:szCs w:val="20"/>
              </w:rPr>
              <w:t xml:space="preserve">,000) </w:t>
            </w:r>
          </w:p>
        </w:tc>
        <w:tc>
          <w:tcPr>
            <w:tcW w:w="135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0A50C620" w14:textId="77777777">
            <w:pPr>
              <w:jc w:val="center"/>
              <w:rPr>
                <w:rFonts w:cstheme="minorHAnsi"/>
                <w:sz w:val="20"/>
                <w:szCs w:val="20"/>
              </w:rPr>
            </w:pPr>
            <w:r w:rsidRPr="002F024C">
              <w:rPr>
                <w:rFonts w:eastAsia="Arial Narrow" w:cstheme="minorHAnsi"/>
                <w:b/>
                <w:bCs/>
                <w:sz w:val="20"/>
                <w:szCs w:val="20"/>
              </w:rPr>
              <w:t>Total</w:t>
            </w:r>
            <w:r w:rsidRPr="002F024C">
              <w:rPr>
                <w:rFonts w:eastAsia="Arial Narrow" w:cstheme="minorHAnsi"/>
                <w:sz w:val="20"/>
                <w:szCs w:val="20"/>
              </w:rPr>
              <w:t xml:space="preserve"> </w:t>
            </w:r>
          </w:p>
          <w:p w:rsidR="004F165A" w:rsidRPr="002F024C" w:rsidP="002F024C" w14:paraId="57CD7F88" w14:textId="77777777">
            <w:pPr>
              <w:jc w:val="center"/>
              <w:rPr>
                <w:rFonts w:cstheme="minorHAnsi"/>
                <w:sz w:val="20"/>
                <w:szCs w:val="20"/>
              </w:rPr>
            </w:pPr>
            <w:r w:rsidRPr="002F024C">
              <w:rPr>
                <w:rFonts w:eastAsia="Arial Narrow" w:cstheme="minorHAnsi"/>
                <w:sz w:val="20"/>
                <w:szCs w:val="20"/>
              </w:rPr>
              <w:t xml:space="preserve">(n = 12,000) </w:t>
            </w:r>
          </w:p>
        </w:tc>
      </w:tr>
      <w:tr w14:paraId="5C004563"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FBB2964" w14:textId="77777777">
            <w:pPr>
              <w:rPr>
                <w:rFonts w:cstheme="minorHAnsi"/>
                <w:sz w:val="20"/>
                <w:szCs w:val="20"/>
              </w:rPr>
            </w:pPr>
            <w:r w:rsidRPr="002F024C">
              <w:rPr>
                <w:rFonts w:eastAsia="Arial Narrow" w:cstheme="minorHAnsi"/>
                <w:sz w:val="20"/>
                <w:szCs w:val="20"/>
              </w:rPr>
              <w:t xml:space="preserve">Nurses (RNs)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5A2FBEFD" w14:textId="77777777">
            <w:pPr>
              <w:jc w:val="right"/>
              <w:rPr>
                <w:rFonts w:cstheme="minorHAnsi"/>
                <w:sz w:val="20"/>
                <w:szCs w:val="20"/>
              </w:rPr>
            </w:pPr>
            <w:r w:rsidRPr="002F024C">
              <w:rPr>
                <w:rFonts w:eastAsia="Arial Narrow" w:cstheme="minorHAnsi"/>
                <w:sz w:val="20"/>
                <w:szCs w:val="20"/>
              </w:rPr>
              <w:t xml:space="preserve">1,752,210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74BED729" w14:textId="77A7351A">
            <w:pPr>
              <w:jc w:val="right"/>
              <w:rPr>
                <w:rFonts w:cstheme="minorHAnsi"/>
                <w:sz w:val="20"/>
                <w:szCs w:val="20"/>
              </w:rPr>
            </w:pPr>
            <w:r>
              <w:rPr>
                <w:rFonts w:eastAsia="Arial Narrow" w:cstheme="minorHAnsi"/>
                <w:sz w:val="20"/>
                <w:szCs w:val="20"/>
              </w:rPr>
              <w:t>3600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58512545" w14:textId="64AD2D9D">
            <w:pPr>
              <w:jc w:val="right"/>
              <w:rPr>
                <w:rFonts w:cstheme="minorHAnsi"/>
                <w:sz w:val="20"/>
                <w:szCs w:val="20"/>
              </w:rPr>
            </w:pPr>
            <w:r>
              <w:rPr>
                <w:rFonts w:eastAsia="Arial Narrow" w:cstheme="minorHAnsi"/>
                <w:sz w:val="20"/>
                <w:szCs w:val="20"/>
              </w:rPr>
              <w:t>3600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43242084" w14:textId="77777777">
            <w:pPr>
              <w:jc w:val="right"/>
              <w:rPr>
                <w:rFonts w:cstheme="minorHAnsi"/>
                <w:sz w:val="20"/>
                <w:szCs w:val="20"/>
              </w:rPr>
            </w:pPr>
            <w:r w:rsidRPr="002F024C">
              <w:rPr>
                <w:rFonts w:eastAsia="Arial Narrow" w:cstheme="minorHAnsi"/>
                <w:sz w:val="20"/>
                <w:szCs w:val="20"/>
              </w:rPr>
              <w:t xml:space="preserve">7200 </w:t>
            </w:r>
          </w:p>
        </w:tc>
      </w:tr>
      <w:tr w14:paraId="75B3A45D"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1172D437" w14:textId="77777777">
            <w:pPr>
              <w:rPr>
                <w:rFonts w:cstheme="minorHAnsi"/>
                <w:sz w:val="20"/>
                <w:szCs w:val="20"/>
              </w:rPr>
            </w:pPr>
            <w:r w:rsidRPr="002F024C">
              <w:rPr>
                <w:rFonts w:eastAsia="Arial Narrow" w:cstheme="minorHAnsi"/>
                <w:sz w:val="20"/>
                <w:szCs w:val="20"/>
              </w:rPr>
              <w:t xml:space="preserve">Nurses (LPNs)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7D43EF02" w14:textId="77777777">
            <w:pPr>
              <w:jc w:val="right"/>
              <w:rPr>
                <w:rFonts w:cstheme="minorHAnsi"/>
                <w:sz w:val="20"/>
                <w:szCs w:val="20"/>
              </w:rPr>
            </w:pPr>
            <w:r w:rsidRPr="002F024C">
              <w:rPr>
                <w:rFonts w:eastAsia="Arial Narrow" w:cstheme="minorHAnsi"/>
                <w:sz w:val="20"/>
                <w:szCs w:val="20"/>
              </w:rPr>
              <w:t xml:space="preserve">78,090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3235264D" w14:textId="5ABEEB0A">
            <w:pPr>
              <w:jc w:val="right"/>
              <w:rPr>
                <w:rFonts w:cstheme="minorHAnsi"/>
                <w:sz w:val="20"/>
                <w:szCs w:val="20"/>
              </w:rPr>
            </w:pPr>
            <w:r>
              <w:rPr>
                <w:rFonts w:eastAsia="Arial Narrow" w:cstheme="minorHAnsi"/>
                <w:sz w:val="20"/>
                <w:szCs w:val="20"/>
              </w:rPr>
              <w:t>140</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3C0B1424" w14:textId="694BCFB3">
            <w:pPr>
              <w:jc w:val="right"/>
              <w:rPr>
                <w:rFonts w:cstheme="minorHAnsi"/>
                <w:sz w:val="20"/>
                <w:szCs w:val="20"/>
              </w:rPr>
            </w:pPr>
            <w:r>
              <w:rPr>
                <w:rFonts w:eastAsia="Arial Narrow" w:cstheme="minorHAnsi"/>
                <w:sz w:val="20"/>
                <w:szCs w:val="20"/>
              </w:rPr>
              <w:t>140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63A96C7B" w14:textId="77777777">
            <w:pPr>
              <w:jc w:val="right"/>
              <w:rPr>
                <w:rFonts w:cstheme="minorHAnsi"/>
                <w:sz w:val="20"/>
                <w:szCs w:val="20"/>
              </w:rPr>
            </w:pPr>
            <w:r w:rsidRPr="002F024C">
              <w:rPr>
                <w:rFonts w:eastAsia="Arial Narrow" w:cstheme="minorHAnsi"/>
                <w:sz w:val="20"/>
                <w:szCs w:val="20"/>
              </w:rPr>
              <w:t xml:space="preserve">280 </w:t>
            </w:r>
          </w:p>
        </w:tc>
      </w:tr>
      <w:tr w14:paraId="05FBBDB4"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07B58364" w14:textId="77777777">
            <w:pPr>
              <w:rPr>
                <w:rFonts w:cstheme="minorHAnsi"/>
                <w:sz w:val="20"/>
                <w:szCs w:val="20"/>
              </w:rPr>
            </w:pPr>
            <w:r w:rsidRPr="002F024C">
              <w:rPr>
                <w:rFonts w:eastAsia="Arial Narrow" w:cstheme="minorHAnsi"/>
                <w:sz w:val="20"/>
                <w:szCs w:val="20"/>
              </w:rPr>
              <w:t xml:space="preserve">Nurse Practitioners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597E53B1" w14:textId="77777777">
            <w:pPr>
              <w:jc w:val="right"/>
              <w:rPr>
                <w:rFonts w:cstheme="minorHAnsi"/>
                <w:sz w:val="20"/>
                <w:szCs w:val="20"/>
              </w:rPr>
            </w:pPr>
            <w:r w:rsidRPr="002F024C">
              <w:rPr>
                <w:rFonts w:eastAsia="Arial Narrow" w:cstheme="minorHAnsi"/>
                <w:sz w:val="20"/>
                <w:szCs w:val="20"/>
              </w:rPr>
              <w:t xml:space="preserve">52,790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5E5D8843" w14:textId="7204F2FB">
            <w:pPr>
              <w:jc w:val="right"/>
              <w:rPr>
                <w:rFonts w:cstheme="minorHAnsi"/>
                <w:sz w:val="20"/>
                <w:szCs w:val="20"/>
              </w:rPr>
            </w:pPr>
            <w:r>
              <w:rPr>
                <w:rFonts w:eastAsia="Arial Narrow" w:cstheme="minorHAnsi"/>
                <w:sz w:val="20"/>
                <w:szCs w:val="20"/>
              </w:rPr>
              <w:t>120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45415FCF" w14:textId="42EA7CD2">
            <w:pPr>
              <w:jc w:val="right"/>
              <w:rPr>
                <w:rFonts w:cstheme="minorHAnsi"/>
                <w:sz w:val="20"/>
                <w:szCs w:val="20"/>
              </w:rPr>
            </w:pPr>
            <w:r>
              <w:rPr>
                <w:rFonts w:eastAsia="Arial Narrow" w:cstheme="minorHAnsi"/>
                <w:sz w:val="20"/>
                <w:szCs w:val="20"/>
              </w:rPr>
              <w:t>120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03B9B259" w14:textId="77777777">
            <w:pPr>
              <w:jc w:val="right"/>
              <w:rPr>
                <w:rFonts w:cstheme="minorHAnsi"/>
                <w:sz w:val="20"/>
                <w:szCs w:val="20"/>
              </w:rPr>
            </w:pPr>
            <w:r w:rsidRPr="002F024C">
              <w:rPr>
                <w:rFonts w:eastAsia="Arial Narrow" w:cstheme="minorHAnsi"/>
                <w:sz w:val="20"/>
                <w:szCs w:val="20"/>
              </w:rPr>
              <w:t xml:space="preserve">240 </w:t>
            </w:r>
          </w:p>
        </w:tc>
      </w:tr>
      <w:tr w14:paraId="46ADB7FA"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25A94CCD" w14:textId="77777777">
            <w:pPr>
              <w:rPr>
                <w:rFonts w:cstheme="minorHAnsi"/>
                <w:sz w:val="20"/>
                <w:szCs w:val="20"/>
              </w:rPr>
            </w:pPr>
            <w:r w:rsidRPr="002F024C">
              <w:rPr>
                <w:rFonts w:eastAsia="Arial Narrow" w:cstheme="minorHAnsi"/>
                <w:sz w:val="20"/>
                <w:szCs w:val="20"/>
              </w:rPr>
              <w:t>Patient Care Technicians</w:t>
            </w:r>
            <w:r w:rsidRPr="002F024C">
              <w:rPr>
                <w:rFonts w:eastAsia="Arial Narrow" w:cstheme="minorHAnsi"/>
                <w:sz w:val="20"/>
                <w:szCs w:val="20"/>
                <w:vertAlign w:val="superscript"/>
              </w:rPr>
              <w:t>3</w:t>
            </w:r>
            <w:r w:rsidRPr="002F024C">
              <w:rPr>
                <w:rFonts w:eastAsia="Arial Narrow" w:cstheme="minorHAnsi"/>
                <w:sz w:val="20"/>
                <w:szCs w:val="20"/>
              </w:rPr>
              <w:t xml:space="preserve">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6AF426F7" w14:textId="77777777">
            <w:pPr>
              <w:jc w:val="right"/>
              <w:rPr>
                <w:rFonts w:cstheme="minorHAnsi"/>
                <w:sz w:val="20"/>
                <w:szCs w:val="20"/>
              </w:rPr>
            </w:pPr>
            <w:r w:rsidRPr="002F024C">
              <w:rPr>
                <w:rFonts w:eastAsia="Arial Narrow" w:cstheme="minorHAnsi"/>
                <w:sz w:val="20"/>
                <w:szCs w:val="20"/>
              </w:rPr>
              <w:t xml:space="preserve">555,460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3387D169" w14:textId="3B075DC3">
            <w:pPr>
              <w:jc w:val="right"/>
              <w:rPr>
                <w:rFonts w:cstheme="minorHAnsi"/>
                <w:sz w:val="20"/>
                <w:szCs w:val="20"/>
              </w:rPr>
            </w:pPr>
            <w:r>
              <w:rPr>
                <w:rFonts w:eastAsia="Arial Narrow" w:cstheme="minorHAnsi"/>
                <w:sz w:val="20"/>
                <w:szCs w:val="20"/>
              </w:rPr>
              <w:t>1140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7C797066" w14:textId="24A4DFBA">
            <w:pPr>
              <w:jc w:val="right"/>
              <w:rPr>
                <w:rFonts w:cstheme="minorHAnsi"/>
                <w:sz w:val="20"/>
                <w:szCs w:val="20"/>
              </w:rPr>
            </w:pPr>
            <w:r>
              <w:rPr>
                <w:rFonts w:eastAsia="Arial Narrow" w:cstheme="minorHAnsi"/>
                <w:sz w:val="20"/>
                <w:szCs w:val="20"/>
              </w:rPr>
              <w:t>1140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18BDDC00" w14:textId="77777777">
            <w:pPr>
              <w:jc w:val="right"/>
              <w:rPr>
                <w:rFonts w:cstheme="minorHAnsi"/>
                <w:sz w:val="20"/>
                <w:szCs w:val="20"/>
              </w:rPr>
            </w:pPr>
            <w:r w:rsidRPr="002F024C">
              <w:rPr>
                <w:rFonts w:eastAsia="Arial Narrow" w:cstheme="minorHAnsi"/>
                <w:sz w:val="20"/>
                <w:szCs w:val="20"/>
              </w:rPr>
              <w:t xml:space="preserve">2280 </w:t>
            </w:r>
          </w:p>
        </w:tc>
      </w:tr>
      <w:tr w14:paraId="626ACA44"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1177D2B5" w14:textId="77777777">
            <w:pPr>
              <w:rPr>
                <w:rFonts w:cstheme="minorHAnsi"/>
                <w:sz w:val="20"/>
                <w:szCs w:val="20"/>
              </w:rPr>
            </w:pPr>
            <w:r w:rsidRPr="002F024C">
              <w:rPr>
                <w:rFonts w:eastAsia="Arial Narrow" w:cstheme="minorHAnsi"/>
                <w:sz w:val="20"/>
                <w:szCs w:val="20"/>
              </w:rPr>
              <w:t xml:space="preserve">Pharmacists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CDB17E9" w14:textId="77777777">
            <w:pPr>
              <w:jc w:val="right"/>
              <w:rPr>
                <w:rFonts w:cstheme="minorHAnsi"/>
                <w:sz w:val="20"/>
                <w:szCs w:val="20"/>
              </w:rPr>
            </w:pPr>
            <w:r w:rsidRPr="002F024C">
              <w:rPr>
                <w:rFonts w:eastAsia="Arial Narrow" w:cstheme="minorHAnsi"/>
                <w:sz w:val="20"/>
                <w:szCs w:val="20"/>
              </w:rPr>
              <w:t xml:space="preserve">81,500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3C311B4A" w14:textId="6120D496">
            <w:pPr>
              <w:jc w:val="right"/>
              <w:rPr>
                <w:rFonts w:cstheme="minorHAnsi"/>
                <w:sz w:val="20"/>
                <w:szCs w:val="20"/>
              </w:rPr>
            </w:pPr>
            <w:r>
              <w:rPr>
                <w:rFonts w:eastAsia="Arial Narrow" w:cstheme="minorHAnsi"/>
                <w:sz w:val="20"/>
                <w:szCs w:val="20"/>
              </w:rPr>
              <w:t>180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42F0B0F6" w14:textId="438860F3">
            <w:pPr>
              <w:jc w:val="right"/>
              <w:rPr>
                <w:rFonts w:cstheme="minorHAnsi"/>
                <w:sz w:val="20"/>
                <w:szCs w:val="20"/>
              </w:rPr>
            </w:pPr>
            <w:r>
              <w:rPr>
                <w:rFonts w:eastAsia="Arial Narrow" w:cstheme="minorHAnsi"/>
                <w:sz w:val="20"/>
                <w:szCs w:val="20"/>
              </w:rPr>
              <w:t>180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6E3E2DAA" w14:textId="77777777">
            <w:pPr>
              <w:jc w:val="right"/>
              <w:rPr>
                <w:rFonts w:cstheme="minorHAnsi"/>
                <w:sz w:val="20"/>
                <w:szCs w:val="20"/>
              </w:rPr>
            </w:pPr>
            <w:r w:rsidRPr="002F024C">
              <w:rPr>
                <w:rFonts w:eastAsia="Arial Narrow" w:cstheme="minorHAnsi"/>
                <w:sz w:val="20"/>
                <w:szCs w:val="20"/>
              </w:rPr>
              <w:t xml:space="preserve">360 </w:t>
            </w:r>
          </w:p>
        </w:tc>
      </w:tr>
      <w:tr w14:paraId="3CC7CACF"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35DE881E" w14:textId="77777777">
            <w:pPr>
              <w:rPr>
                <w:rFonts w:cstheme="minorHAnsi"/>
                <w:sz w:val="20"/>
                <w:szCs w:val="20"/>
              </w:rPr>
            </w:pPr>
            <w:r w:rsidRPr="002F024C">
              <w:rPr>
                <w:rFonts w:eastAsia="Arial Narrow" w:cstheme="minorHAnsi"/>
                <w:sz w:val="20"/>
                <w:szCs w:val="20"/>
              </w:rPr>
              <w:t xml:space="preserve">Phlebotomists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518B294" w14:textId="77777777">
            <w:pPr>
              <w:jc w:val="right"/>
              <w:rPr>
                <w:rFonts w:cstheme="minorHAnsi"/>
                <w:sz w:val="20"/>
                <w:szCs w:val="20"/>
              </w:rPr>
            </w:pPr>
            <w:r w:rsidRPr="002F024C">
              <w:rPr>
                <w:rFonts w:eastAsia="Arial Narrow" w:cstheme="minorHAnsi"/>
                <w:sz w:val="20"/>
                <w:szCs w:val="20"/>
              </w:rPr>
              <w:t xml:space="preserve">47,470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0F879CC7" w14:textId="1F253A0A">
            <w:pPr>
              <w:jc w:val="right"/>
              <w:rPr>
                <w:rFonts w:cstheme="minorHAnsi"/>
                <w:sz w:val="20"/>
                <w:szCs w:val="20"/>
              </w:rPr>
            </w:pPr>
            <w:r>
              <w:rPr>
                <w:rFonts w:eastAsia="Arial Narrow" w:cstheme="minorHAnsi"/>
                <w:sz w:val="20"/>
                <w:szCs w:val="20"/>
              </w:rPr>
              <w:t>90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60963CEE" w14:textId="72306493">
            <w:pPr>
              <w:jc w:val="right"/>
              <w:rPr>
                <w:rFonts w:cstheme="minorHAnsi"/>
                <w:sz w:val="20"/>
                <w:szCs w:val="20"/>
              </w:rPr>
            </w:pPr>
            <w:r>
              <w:rPr>
                <w:rFonts w:eastAsia="Arial Narrow" w:cstheme="minorHAnsi"/>
                <w:sz w:val="20"/>
                <w:szCs w:val="20"/>
              </w:rPr>
              <w:t>90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3876B342" w14:textId="77777777">
            <w:pPr>
              <w:jc w:val="right"/>
              <w:rPr>
                <w:rFonts w:cstheme="minorHAnsi"/>
                <w:sz w:val="20"/>
                <w:szCs w:val="20"/>
              </w:rPr>
            </w:pPr>
            <w:r w:rsidRPr="002F024C">
              <w:rPr>
                <w:rFonts w:eastAsia="Arial Narrow" w:cstheme="minorHAnsi"/>
                <w:sz w:val="20"/>
                <w:szCs w:val="20"/>
              </w:rPr>
              <w:t xml:space="preserve">180 </w:t>
            </w:r>
          </w:p>
        </w:tc>
      </w:tr>
      <w:tr w14:paraId="5275DB66"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57BC4D40" w14:textId="77777777">
            <w:pPr>
              <w:rPr>
                <w:rFonts w:cstheme="minorHAnsi"/>
                <w:sz w:val="20"/>
                <w:szCs w:val="20"/>
              </w:rPr>
            </w:pPr>
            <w:r w:rsidRPr="002F024C">
              <w:rPr>
                <w:rFonts w:eastAsia="Arial Narrow" w:cstheme="minorHAnsi"/>
                <w:sz w:val="20"/>
                <w:szCs w:val="20"/>
              </w:rPr>
              <w:t xml:space="preserve">Physicians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6DEC7939" w14:textId="77777777">
            <w:pPr>
              <w:jc w:val="right"/>
              <w:rPr>
                <w:rFonts w:cstheme="minorHAnsi"/>
                <w:sz w:val="20"/>
                <w:szCs w:val="20"/>
              </w:rPr>
            </w:pPr>
            <w:r w:rsidRPr="002F024C">
              <w:rPr>
                <w:rFonts w:eastAsia="Arial Narrow" w:cstheme="minorHAnsi"/>
                <w:sz w:val="20"/>
                <w:szCs w:val="20"/>
              </w:rPr>
              <w:t xml:space="preserve">84,910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23F36BE8" w14:textId="282A3617">
            <w:pPr>
              <w:jc w:val="right"/>
              <w:rPr>
                <w:rFonts w:cstheme="minorHAnsi"/>
                <w:sz w:val="20"/>
                <w:szCs w:val="20"/>
              </w:rPr>
            </w:pPr>
            <w:r>
              <w:rPr>
                <w:rFonts w:eastAsia="Arial Narrow" w:cstheme="minorHAnsi"/>
                <w:sz w:val="20"/>
                <w:szCs w:val="20"/>
              </w:rPr>
              <w:t>180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4C7F61D9" w14:textId="7669CA0C">
            <w:pPr>
              <w:jc w:val="right"/>
              <w:rPr>
                <w:rFonts w:cstheme="minorHAnsi"/>
                <w:sz w:val="20"/>
                <w:szCs w:val="20"/>
              </w:rPr>
            </w:pPr>
            <w:r>
              <w:rPr>
                <w:rFonts w:eastAsia="Arial Narrow" w:cstheme="minorHAnsi"/>
                <w:sz w:val="20"/>
                <w:szCs w:val="20"/>
              </w:rPr>
              <w:t>180</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2E501D04" w14:textId="77777777">
            <w:pPr>
              <w:jc w:val="right"/>
              <w:rPr>
                <w:rFonts w:cstheme="minorHAnsi"/>
                <w:sz w:val="20"/>
                <w:szCs w:val="20"/>
              </w:rPr>
            </w:pPr>
            <w:r w:rsidRPr="002F024C">
              <w:rPr>
                <w:rFonts w:eastAsia="Arial Narrow" w:cstheme="minorHAnsi"/>
                <w:sz w:val="20"/>
                <w:szCs w:val="20"/>
              </w:rPr>
              <w:t>360</w:t>
            </w:r>
          </w:p>
        </w:tc>
      </w:tr>
      <w:tr w14:paraId="77177B50"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0E6EB3B2" w14:textId="77777777">
            <w:pPr>
              <w:rPr>
                <w:rFonts w:cstheme="minorHAnsi"/>
                <w:sz w:val="20"/>
                <w:szCs w:val="20"/>
              </w:rPr>
            </w:pPr>
            <w:r w:rsidRPr="002F024C">
              <w:rPr>
                <w:rFonts w:eastAsia="Arial Narrow" w:cstheme="minorHAnsi"/>
                <w:sz w:val="20"/>
                <w:szCs w:val="20"/>
              </w:rPr>
              <w:t xml:space="preserve">Physician Assistants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47F06CC2" w14:textId="77777777">
            <w:pPr>
              <w:jc w:val="right"/>
              <w:rPr>
                <w:rFonts w:cstheme="minorHAnsi"/>
                <w:sz w:val="20"/>
                <w:szCs w:val="20"/>
              </w:rPr>
            </w:pPr>
            <w:r w:rsidRPr="002F024C">
              <w:rPr>
                <w:rFonts w:eastAsia="Arial Narrow" w:cstheme="minorHAnsi"/>
                <w:sz w:val="20"/>
                <w:szCs w:val="20"/>
              </w:rPr>
              <w:t xml:space="preserve">30,020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6D89380C" w14:textId="6A32E51C">
            <w:pPr>
              <w:jc w:val="right"/>
              <w:rPr>
                <w:rFonts w:cstheme="minorHAnsi"/>
                <w:sz w:val="20"/>
                <w:szCs w:val="20"/>
              </w:rPr>
            </w:pPr>
            <w:r>
              <w:rPr>
                <w:rFonts w:eastAsia="Arial Narrow" w:cstheme="minorHAnsi"/>
                <w:sz w:val="20"/>
                <w:szCs w:val="20"/>
              </w:rPr>
              <w:t>60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443821F0" w14:textId="3D8C5776">
            <w:pPr>
              <w:jc w:val="right"/>
              <w:rPr>
                <w:rFonts w:cstheme="minorHAnsi"/>
                <w:sz w:val="20"/>
                <w:szCs w:val="20"/>
              </w:rPr>
            </w:pPr>
            <w:r>
              <w:rPr>
                <w:rFonts w:eastAsia="Arial Narrow" w:cstheme="minorHAnsi"/>
                <w:sz w:val="20"/>
                <w:szCs w:val="20"/>
              </w:rPr>
              <w:t>60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5CB717C3" w14:textId="77777777">
            <w:pPr>
              <w:jc w:val="right"/>
              <w:rPr>
                <w:rFonts w:cstheme="minorHAnsi"/>
                <w:sz w:val="20"/>
                <w:szCs w:val="20"/>
              </w:rPr>
            </w:pPr>
            <w:r w:rsidRPr="002F024C">
              <w:rPr>
                <w:rFonts w:eastAsia="Arial Narrow" w:cstheme="minorHAnsi"/>
                <w:sz w:val="20"/>
                <w:szCs w:val="20"/>
              </w:rPr>
              <w:t xml:space="preserve">120 </w:t>
            </w:r>
          </w:p>
        </w:tc>
      </w:tr>
      <w:tr w14:paraId="6BD9CEAF"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5AE2A658" w14:textId="77777777">
            <w:pPr>
              <w:rPr>
                <w:rFonts w:cstheme="minorHAnsi"/>
                <w:sz w:val="20"/>
                <w:szCs w:val="20"/>
              </w:rPr>
            </w:pPr>
            <w:r w:rsidRPr="002F024C">
              <w:rPr>
                <w:rFonts w:eastAsia="Arial Narrow" w:cstheme="minorHAnsi"/>
                <w:sz w:val="20"/>
                <w:szCs w:val="20"/>
              </w:rPr>
              <w:t xml:space="preserve">Social Workers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44146897" w14:textId="77777777">
            <w:pPr>
              <w:jc w:val="right"/>
              <w:rPr>
                <w:rFonts w:cstheme="minorHAnsi"/>
                <w:sz w:val="20"/>
                <w:szCs w:val="20"/>
              </w:rPr>
            </w:pPr>
            <w:r w:rsidRPr="002F024C">
              <w:rPr>
                <w:rFonts w:eastAsia="Arial Narrow" w:cstheme="minorHAnsi"/>
                <w:sz w:val="20"/>
                <w:szCs w:val="20"/>
              </w:rPr>
              <w:t xml:space="preserve">550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5DFD54E7" w14:textId="5550AEA2">
            <w:pPr>
              <w:jc w:val="right"/>
              <w:rPr>
                <w:rFonts w:cstheme="minorHAnsi"/>
                <w:sz w:val="20"/>
                <w:szCs w:val="20"/>
              </w:rPr>
            </w:pPr>
            <w:r>
              <w:rPr>
                <w:rFonts w:eastAsia="Arial Narrow" w:cstheme="minorHAnsi"/>
                <w:sz w:val="20"/>
                <w:szCs w:val="20"/>
              </w:rPr>
              <w:t>10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5AAEF8E9" w14:textId="13485C3D">
            <w:pPr>
              <w:jc w:val="right"/>
              <w:rPr>
                <w:rFonts w:cstheme="minorHAnsi"/>
                <w:sz w:val="20"/>
                <w:szCs w:val="20"/>
              </w:rPr>
            </w:pPr>
            <w:r>
              <w:rPr>
                <w:rFonts w:eastAsia="Arial Narrow" w:cstheme="minorHAnsi"/>
                <w:sz w:val="20"/>
                <w:szCs w:val="20"/>
              </w:rPr>
              <w:t>10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7A60BA58" w14:textId="77777777">
            <w:pPr>
              <w:jc w:val="right"/>
              <w:rPr>
                <w:rFonts w:cstheme="minorHAnsi"/>
                <w:sz w:val="20"/>
                <w:szCs w:val="20"/>
              </w:rPr>
            </w:pPr>
            <w:r w:rsidRPr="002F024C">
              <w:rPr>
                <w:rFonts w:eastAsia="Arial Narrow" w:cstheme="minorHAnsi"/>
                <w:sz w:val="20"/>
                <w:szCs w:val="20"/>
              </w:rPr>
              <w:t xml:space="preserve">20 </w:t>
            </w:r>
          </w:p>
        </w:tc>
      </w:tr>
      <w:tr w14:paraId="441AE0CB"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1DDAEE36" w14:textId="77777777">
            <w:pPr>
              <w:rPr>
                <w:rFonts w:cstheme="minorHAnsi"/>
                <w:sz w:val="20"/>
                <w:szCs w:val="20"/>
              </w:rPr>
            </w:pPr>
            <w:r w:rsidRPr="002F024C">
              <w:rPr>
                <w:rFonts w:eastAsia="Arial Narrow" w:cstheme="minorHAnsi"/>
                <w:sz w:val="20"/>
                <w:szCs w:val="20"/>
              </w:rPr>
              <w:t>Therapists</w:t>
            </w:r>
            <w:r w:rsidRPr="002F024C">
              <w:rPr>
                <w:rFonts w:eastAsia="Arial Narrow" w:cstheme="minorHAnsi"/>
                <w:sz w:val="20"/>
                <w:szCs w:val="20"/>
                <w:vertAlign w:val="superscript"/>
              </w:rPr>
              <w:t>4</w:t>
            </w:r>
            <w:r w:rsidRPr="002F024C">
              <w:rPr>
                <w:rFonts w:eastAsia="Arial Narrow" w:cstheme="minorHAnsi"/>
                <w:sz w:val="20"/>
                <w:szCs w:val="20"/>
              </w:rPr>
              <w:t xml:space="preserve">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72F150FA" w14:textId="77777777">
            <w:pPr>
              <w:jc w:val="right"/>
              <w:rPr>
                <w:rFonts w:cstheme="minorHAnsi"/>
                <w:sz w:val="20"/>
                <w:szCs w:val="20"/>
              </w:rPr>
            </w:pPr>
            <w:r w:rsidRPr="002F024C">
              <w:rPr>
                <w:rFonts w:eastAsia="Arial Narrow" w:cstheme="minorHAnsi"/>
                <w:sz w:val="20"/>
                <w:szCs w:val="20"/>
              </w:rPr>
              <w:t xml:space="preserve">220,900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2EBC6BFA" w14:textId="650AE6C1">
            <w:pPr>
              <w:jc w:val="right"/>
              <w:rPr>
                <w:rFonts w:cstheme="minorHAnsi"/>
                <w:sz w:val="20"/>
                <w:szCs w:val="20"/>
              </w:rPr>
            </w:pPr>
            <w:r>
              <w:rPr>
                <w:rFonts w:eastAsia="Arial Narrow" w:cstheme="minorHAnsi"/>
                <w:sz w:val="20"/>
                <w:szCs w:val="20"/>
              </w:rPr>
              <w:t>480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0D8711B1" w14:textId="6E43640F">
            <w:pPr>
              <w:jc w:val="right"/>
              <w:rPr>
                <w:rFonts w:cstheme="minorHAnsi"/>
                <w:sz w:val="20"/>
                <w:szCs w:val="20"/>
              </w:rPr>
            </w:pPr>
            <w:r>
              <w:rPr>
                <w:rFonts w:eastAsia="Arial Narrow" w:cstheme="minorHAnsi"/>
                <w:sz w:val="20"/>
                <w:szCs w:val="20"/>
              </w:rPr>
              <w:t>480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513A494D" w14:textId="77777777">
            <w:pPr>
              <w:jc w:val="right"/>
              <w:rPr>
                <w:rFonts w:cstheme="minorHAnsi"/>
                <w:sz w:val="20"/>
                <w:szCs w:val="20"/>
              </w:rPr>
            </w:pPr>
            <w:r w:rsidRPr="002F024C">
              <w:rPr>
                <w:rFonts w:eastAsia="Arial Narrow" w:cstheme="minorHAnsi"/>
                <w:sz w:val="20"/>
                <w:szCs w:val="20"/>
              </w:rPr>
              <w:t xml:space="preserve">960 </w:t>
            </w:r>
          </w:p>
        </w:tc>
      </w:tr>
      <w:tr w14:paraId="49AD0E52" w14:textId="77777777" w:rsidTr="00541485">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562EB312" w14:textId="77777777">
            <w:pPr>
              <w:rPr>
                <w:rFonts w:cstheme="minorHAnsi"/>
                <w:sz w:val="20"/>
                <w:szCs w:val="20"/>
              </w:rPr>
            </w:pPr>
            <w:r w:rsidRPr="002F024C">
              <w:rPr>
                <w:rFonts w:eastAsia="Arial Narrow" w:cstheme="minorHAnsi"/>
                <w:b/>
                <w:bCs/>
                <w:sz w:val="20"/>
                <w:szCs w:val="20"/>
              </w:rPr>
              <w:t>Hospital Leader Occupation Groups</w:t>
            </w:r>
            <w:r w:rsidRPr="002F024C">
              <w:rPr>
                <w:rFonts w:eastAsia="Arial Narrow" w:cstheme="minorHAnsi"/>
                <w:sz w:val="20"/>
                <w:szCs w:val="20"/>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5898A5E2" w14:textId="77777777">
            <w:pPr>
              <w:jc w:val="center"/>
              <w:rPr>
                <w:rFonts w:cstheme="minorHAnsi"/>
                <w:sz w:val="20"/>
                <w:szCs w:val="20"/>
              </w:rPr>
            </w:pPr>
            <w:r w:rsidRPr="002F024C">
              <w:rPr>
                <w:rFonts w:eastAsia="Arial Narrow" w:cstheme="minorHAnsi"/>
                <w:b/>
                <w:bCs/>
                <w:sz w:val="20"/>
                <w:szCs w:val="20"/>
              </w:rPr>
              <w:t>Universe</w:t>
            </w:r>
          </w:p>
          <w:p w:rsidR="004F165A" w:rsidRPr="002F024C" w:rsidP="002F024C" w14:paraId="7320C1F7" w14:textId="77777777">
            <w:pPr>
              <w:jc w:val="center"/>
              <w:rPr>
                <w:rFonts w:cstheme="minorHAnsi"/>
                <w:sz w:val="20"/>
                <w:szCs w:val="20"/>
              </w:rPr>
            </w:pPr>
            <w:r w:rsidRPr="002F024C">
              <w:rPr>
                <w:rFonts w:eastAsia="Arial Narrow" w:cstheme="minorHAnsi"/>
                <w:sz w:val="20"/>
                <w:szCs w:val="20"/>
              </w:rPr>
              <w:t xml:space="preserve">(N = 208,970) </w:t>
            </w:r>
          </w:p>
        </w:tc>
        <w:tc>
          <w:tcPr>
            <w:tcW w:w="124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4ABE0C07" w14:textId="77777777">
            <w:pPr>
              <w:jc w:val="center"/>
              <w:rPr>
                <w:rFonts w:cstheme="minorHAnsi"/>
                <w:sz w:val="20"/>
                <w:szCs w:val="20"/>
              </w:rPr>
            </w:pPr>
            <w:r w:rsidRPr="002F024C">
              <w:rPr>
                <w:rFonts w:eastAsia="Arial Narrow" w:cstheme="minorHAnsi"/>
                <w:b/>
                <w:bCs/>
                <w:sz w:val="20"/>
                <w:szCs w:val="20"/>
              </w:rPr>
              <w:t>Wave 1</w:t>
            </w:r>
          </w:p>
          <w:p w:rsidR="004F165A" w:rsidRPr="002F024C" w:rsidP="002F024C" w14:paraId="77E04693" w14:textId="21DB8A06">
            <w:pPr>
              <w:jc w:val="center"/>
              <w:rPr>
                <w:rFonts w:cstheme="minorHAnsi"/>
                <w:sz w:val="20"/>
                <w:szCs w:val="20"/>
              </w:rPr>
            </w:pPr>
            <w:r w:rsidRPr="002F024C">
              <w:rPr>
                <w:rFonts w:eastAsia="Arial Narrow" w:cstheme="minorHAnsi"/>
                <w:sz w:val="20"/>
                <w:szCs w:val="20"/>
              </w:rPr>
              <w:t xml:space="preserve">(n = </w:t>
            </w:r>
            <w:r>
              <w:rPr>
                <w:rFonts w:eastAsia="Arial Narrow" w:cstheme="minorHAnsi"/>
                <w:sz w:val="20"/>
                <w:szCs w:val="20"/>
              </w:rPr>
              <w:t>1000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72007407" w14:textId="77777777">
            <w:pPr>
              <w:jc w:val="center"/>
              <w:rPr>
                <w:rFonts w:cstheme="minorHAnsi"/>
                <w:sz w:val="20"/>
                <w:szCs w:val="20"/>
              </w:rPr>
            </w:pPr>
            <w:r w:rsidRPr="002F024C">
              <w:rPr>
                <w:rFonts w:eastAsia="Arial Narrow" w:cstheme="minorHAnsi"/>
                <w:b/>
                <w:bCs/>
                <w:sz w:val="20"/>
                <w:szCs w:val="20"/>
              </w:rPr>
              <w:t>Wave 2</w:t>
            </w:r>
          </w:p>
          <w:p w:rsidR="004F165A" w:rsidRPr="002F024C" w:rsidP="002F024C" w14:paraId="16702FD9" w14:textId="7E4ABAD4">
            <w:pPr>
              <w:jc w:val="center"/>
              <w:rPr>
                <w:rFonts w:cstheme="minorHAnsi"/>
                <w:sz w:val="20"/>
                <w:szCs w:val="20"/>
              </w:rPr>
            </w:pPr>
            <w:r w:rsidRPr="002F024C">
              <w:rPr>
                <w:rFonts w:eastAsia="Arial Narrow" w:cstheme="minorHAnsi"/>
                <w:sz w:val="20"/>
                <w:szCs w:val="20"/>
              </w:rPr>
              <w:t xml:space="preserve">(n = </w:t>
            </w:r>
            <w:r>
              <w:rPr>
                <w:rFonts w:eastAsia="Arial Narrow" w:cstheme="minorHAnsi"/>
                <w:sz w:val="20"/>
                <w:szCs w:val="20"/>
              </w:rPr>
              <w:t>1000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4F165A" w:rsidRPr="002F024C" w:rsidP="002F024C" w14:paraId="54930ECA" w14:textId="77777777">
            <w:pPr>
              <w:jc w:val="center"/>
              <w:rPr>
                <w:rFonts w:cstheme="minorHAnsi"/>
                <w:sz w:val="20"/>
                <w:szCs w:val="20"/>
              </w:rPr>
            </w:pPr>
            <w:r w:rsidRPr="002F024C">
              <w:rPr>
                <w:rFonts w:eastAsia="Arial Narrow" w:cstheme="minorHAnsi"/>
                <w:b/>
                <w:bCs/>
                <w:sz w:val="20"/>
                <w:szCs w:val="20"/>
              </w:rPr>
              <w:t>Total</w:t>
            </w:r>
            <w:r w:rsidRPr="002F024C">
              <w:rPr>
                <w:rFonts w:eastAsia="Arial Narrow" w:cstheme="minorHAnsi"/>
                <w:sz w:val="20"/>
                <w:szCs w:val="20"/>
              </w:rPr>
              <w:t xml:space="preserve"> </w:t>
            </w:r>
          </w:p>
          <w:p w:rsidR="004F165A" w:rsidRPr="002F024C" w:rsidP="002F024C" w14:paraId="28AB2B68" w14:textId="77777777">
            <w:pPr>
              <w:jc w:val="center"/>
              <w:rPr>
                <w:rFonts w:cstheme="minorHAnsi"/>
                <w:sz w:val="20"/>
                <w:szCs w:val="20"/>
              </w:rPr>
            </w:pPr>
            <w:r w:rsidRPr="002F024C">
              <w:rPr>
                <w:rFonts w:eastAsia="Arial Narrow" w:cstheme="minorHAnsi"/>
                <w:sz w:val="20"/>
                <w:szCs w:val="20"/>
              </w:rPr>
              <w:t xml:space="preserve">(n = 2,000) </w:t>
            </w:r>
          </w:p>
        </w:tc>
      </w:tr>
      <w:tr w14:paraId="552D27A5"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0F0B3BF4" w14:textId="77777777">
            <w:pPr>
              <w:rPr>
                <w:rFonts w:cstheme="minorHAnsi"/>
                <w:sz w:val="20"/>
                <w:szCs w:val="20"/>
              </w:rPr>
            </w:pPr>
            <w:r w:rsidRPr="002F024C">
              <w:rPr>
                <w:rFonts w:eastAsia="Arial Narrow" w:cstheme="minorHAnsi"/>
                <w:sz w:val="20"/>
                <w:szCs w:val="20"/>
              </w:rPr>
              <w:t xml:space="preserve">Top Executives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3D07C327" w14:textId="77777777">
            <w:pPr>
              <w:jc w:val="right"/>
              <w:rPr>
                <w:rFonts w:cstheme="minorHAnsi"/>
                <w:sz w:val="20"/>
                <w:szCs w:val="20"/>
              </w:rPr>
            </w:pPr>
            <w:r w:rsidRPr="002F024C">
              <w:rPr>
                <w:rFonts w:eastAsia="Arial Narrow" w:cstheme="minorHAnsi"/>
                <w:sz w:val="20"/>
                <w:szCs w:val="20"/>
              </w:rPr>
              <w:t xml:space="preserve">12,890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6DD67BE4" w14:textId="45727FC5">
            <w:pPr>
              <w:jc w:val="right"/>
              <w:rPr>
                <w:rFonts w:cstheme="minorHAnsi"/>
                <w:sz w:val="20"/>
                <w:szCs w:val="20"/>
              </w:rPr>
            </w:pPr>
            <w:r>
              <w:rPr>
                <w:rFonts w:eastAsia="Arial Narrow" w:cstheme="minorHAnsi"/>
                <w:sz w:val="20"/>
                <w:szCs w:val="20"/>
              </w:rPr>
              <w:t>60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585BDA07" w14:textId="549C7152">
            <w:pPr>
              <w:jc w:val="right"/>
              <w:rPr>
                <w:rFonts w:cstheme="minorHAnsi"/>
                <w:sz w:val="20"/>
                <w:szCs w:val="20"/>
              </w:rPr>
            </w:pPr>
            <w:r>
              <w:rPr>
                <w:rFonts w:eastAsia="Arial Narrow" w:cstheme="minorHAnsi"/>
                <w:sz w:val="20"/>
                <w:szCs w:val="20"/>
              </w:rPr>
              <w:t>60</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59E58506" w14:textId="77777777">
            <w:pPr>
              <w:jc w:val="right"/>
              <w:rPr>
                <w:rFonts w:cstheme="minorHAnsi"/>
                <w:sz w:val="20"/>
                <w:szCs w:val="20"/>
              </w:rPr>
            </w:pPr>
            <w:r w:rsidRPr="002F024C">
              <w:rPr>
                <w:rFonts w:eastAsia="Arial Narrow" w:cstheme="minorHAnsi"/>
                <w:sz w:val="20"/>
                <w:szCs w:val="20"/>
              </w:rPr>
              <w:t xml:space="preserve">120 </w:t>
            </w:r>
          </w:p>
        </w:tc>
      </w:tr>
      <w:tr w14:paraId="1AE11C99" w14:textId="77777777" w:rsidTr="00606383">
        <w:tblPrEx>
          <w:tblW w:w="0" w:type="auto"/>
          <w:tblInd w:w="-10" w:type="dxa"/>
          <w:tblLayout w:type="fixed"/>
          <w:tblLook w:val="04A0"/>
        </w:tblPrEx>
        <w:tc>
          <w:tcPr>
            <w:tcW w:w="2700" w:type="dxa"/>
            <w:tcBorders>
              <w:top w:val="single" w:sz="8" w:space="0" w:color="auto"/>
              <w:left w:val="single" w:sz="8" w:space="0" w:color="auto"/>
              <w:bottom w:val="single" w:sz="8" w:space="0" w:color="auto"/>
              <w:right w:val="single" w:sz="8" w:space="0" w:color="auto"/>
            </w:tcBorders>
          </w:tcPr>
          <w:p w:rsidR="004F165A" w:rsidRPr="002F024C" w:rsidP="002F024C" w14:paraId="4056D76F" w14:textId="77777777">
            <w:pPr>
              <w:rPr>
                <w:rFonts w:cstheme="minorHAnsi"/>
                <w:sz w:val="20"/>
                <w:szCs w:val="20"/>
              </w:rPr>
            </w:pPr>
            <w:r w:rsidRPr="002F024C">
              <w:rPr>
                <w:rFonts w:eastAsia="Arial Narrow" w:cstheme="minorHAnsi"/>
                <w:sz w:val="20"/>
                <w:szCs w:val="20"/>
              </w:rPr>
              <w:t xml:space="preserve">Other Managers </w:t>
            </w:r>
          </w:p>
        </w:tc>
        <w:tc>
          <w:tcPr>
            <w:tcW w:w="1530" w:type="dxa"/>
            <w:tcBorders>
              <w:top w:val="single" w:sz="8" w:space="0" w:color="auto"/>
              <w:left w:val="single" w:sz="8" w:space="0" w:color="auto"/>
              <w:bottom w:val="single" w:sz="8" w:space="0" w:color="auto"/>
              <w:right w:val="single" w:sz="8" w:space="0" w:color="auto"/>
            </w:tcBorders>
          </w:tcPr>
          <w:p w:rsidR="004F165A" w:rsidRPr="002F024C" w:rsidP="002F024C" w14:paraId="5E9385C7" w14:textId="77777777">
            <w:pPr>
              <w:jc w:val="right"/>
              <w:rPr>
                <w:rFonts w:cstheme="minorHAnsi"/>
                <w:sz w:val="20"/>
                <w:szCs w:val="20"/>
              </w:rPr>
            </w:pPr>
            <w:r w:rsidRPr="002F024C">
              <w:rPr>
                <w:rFonts w:eastAsia="Arial Narrow" w:cstheme="minorHAnsi"/>
                <w:sz w:val="20"/>
                <w:szCs w:val="20"/>
              </w:rPr>
              <w:t xml:space="preserve">196,080 </w:t>
            </w:r>
          </w:p>
        </w:tc>
        <w:tc>
          <w:tcPr>
            <w:tcW w:w="1245" w:type="dxa"/>
            <w:tcBorders>
              <w:top w:val="single" w:sz="8" w:space="0" w:color="auto"/>
              <w:left w:val="single" w:sz="8" w:space="0" w:color="auto"/>
              <w:bottom w:val="single" w:sz="8" w:space="0" w:color="auto"/>
              <w:right w:val="single" w:sz="8" w:space="0" w:color="auto"/>
            </w:tcBorders>
          </w:tcPr>
          <w:p w:rsidR="004F165A" w:rsidRPr="002F024C" w:rsidP="002F024C" w14:paraId="5C8015EF" w14:textId="6DDF6975">
            <w:pPr>
              <w:jc w:val="right"/>
              <w:rPr>
                <w:rFonts w:cstheme="minorHAnsi"/>
                <w:sz w:val="20"/>
                <w:szCs w:val="20"/>
              </w:rPr>
            </w:pPr>
            <w:r>
              <w:rPr>
                <w:rFonts w:eastAsia="Arial Narrow" w:cstheme="minorHAnsi"/>
                <w:sz w:val="20"/>
                <w:szCs w:val="20"/>
              </w:rPr>
              <w:t>940</w:t>
            </w:r>
            <w:r w:rsidRPr="002F024C">
              <w:rPr>
                <w:rFonts w:eastAsia="Arial Narrow" w:cstheme="minorHAnsi"/>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Pr>
          <w:p w:rsidR="004F165A" w:rsidRPr="002F024C" w:rsidP="002F024C" w14:paraId="38D64838" w14:textId="2EDD9967">
            <w:pPr>
              <w:jc w:val="right"/>
              <w:rPr>
                <w:rFonts w:cstheme="minorHAnsi"/>
                <w:sz w:val="20"/>
                <w:szCs w:val="20"/>
              </w:rPr>
            </w:pPr>
            <w:r>
              <w:rPr>
                <w:rFonts w:eastAsia="Arial Narrow" w:cstheme="minorHAnsi"/>
                <w:sz w:val="20"/>
                <w:szCs w:val="20"/>
              </w:rPr>
              <w:t>940</w:t>
            </w:r>
            <w:r w:rsidRPr="002F024C">
              <w:rPr>
                <w:rFonts w:eastAsia="Arial Narrow" w:cstheme="minorHAnsi"/>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tcPr>
          <w:p w:rsidR="004F165A" w:rsidRPr="002F024C" w:rsidP="002F024C" w14:paraId="21217062" w14:textId="77777777">
            <w:pPr>
              <w:jc w:val="right"/>
              <w:rPr>
                <w:rFonts w:cstheme="minorHAnsi"/>
                <w:sz w:val="20"/>
                <w:szCs w:val="20"/>
              </w:rPr>
            </w:pPr>
            <w:r w:rsidRPr="002F024C">
              <w:rPr>
                <w:rFonts w:eastAsia="Arial Narrow" w:cstheme="minorHAnsi"/>
                <w:sz w:val="20"/>
                <w:szCs w:val="20"/>
              </w:rPr>
              <w:t>1880</w:t>
            </w:r>
          </w:p>
        </w:tc>
      </w:tr>
    </w:tbl>
    <w:p w:rsidR="002F024C" w:rsidRPr="002F024C" w:rsidP="002F024C" w14:paraId="4912C783" w14:textId="77777777">
      <w:pPr>
        <w:spacing w:after="0" w:line="240" w:lineRule="auto"/>
        <w:ind w:firstLine="360"/>
        <w:rPr>
          <w:rFonts w:ascii="Times New Roman" w:hAnsi="Times New Roman" w:cs="Times New Roman"/>
          <w:sz w:val="24"/>
          <w:szCs w:val="24"/>
        </w:rPr>
      </w:pPr>
    </w:p>
    <w:p w:rsidR="55CC747D" w:rsidRPr="009C7811" w:rsidP="009C7811" w14:paraId="1A0D79FF" w14:textId="7C72093F">
      <w:r>
        <w:t xml:space="preserve">However, if partner organizations are not able to create a sampling frame and draw a probability sample of eligible participants, </w:t>
      </w:r>
      <w:r w:rsidR="007A6ADB">
        <w:t>JPA/EDC</w:t>
      </w:r>
      <w:r>
        <w:t xml:space="preserve"> will ask them to divide their mailing lists/listservs into three segments and invite one segment at a time. JPA/EDC will need to quickly triage questionnaire responses in </w:t>
      </w:r>
      <w:r>
        <w:t>REDCap</w:t>
      </w:r>
      <w:r>
        <w:t xml:space="preserve"> to determine the percent that are not eligible (screened out via questionnaire); and </w:t>
      </w:r>
      <w:r>
        <w:t>whether or not</w:t>
      </w:r>
      <w:r>
        <w:t xml:space="preserve"> </w:t>
      </w:r>
      <w:r w:rsidR="00FC6135">
        <w:t>they are</w:t>
      </w:r>
      <w:r>
        <w:t xml:space="preserve"> meeting sampling goals by occupation. Partner organizations will be encouraged to forward reminders twice each week for 4 weeks or until </w:t>
      </w:r>
      <w:r w:rsidR="00FC6135">
        <w:t>goal participation is met</w:t>
      </w:r>
      <w:r>
        <w:t>.</w:t>
      </w:r>
    </w:p>
    <w:p w:rsidR="00E93D7D" w:rsidRPr="00D764D5" w:rsidP="00E93D7D" w14:paraId="060155C7" w14:textId="77777777">
      <w:pPr>
        <w:pStyle w:val="NormalWeb"/>
        <w:shd w:val="clear" w:color="auto" w:fill="FFFFFF" w:themeFill="background1"/>
        <w:spacing w:before="0" w:beforeAutospacing="0" w:after="0" w:afterAutospacing="0"/>
        <w:rPr>
          <w:rFonts w:asciiTheme="minorHAnsi" w:hAnsiTheme="minorHAnsi" w:cstheme="minorHAnsi"/>
          <w:color w:val="333333"/>
          <w:sz w:val="22"/>
          <w:szCs w:val="22"/>
        </w:rPr>
      </w:pPr>
    </w:p>
    <w:p w:rsidR="00F60E6C" w:rsidRPr="00D764D5" w:rsidP="51340BEF" w14:paraId="3A543C75" w14:textId="0C900424">
      <w:pPr>
        <w:pStyle w:val="NormalWeb"/>
        <w:numPr>
          <w:ilvl w:val="0"/>
          <w:numId w:val="1"/>
        </w:numPr>
        <w:shd w:val="clear" w:color="auto" w:fill="FFFFFF" w:themeFill="background1"/>
        <w:spacing w:before="0" w:beforeAutospacing="0" w:after="0" w:afterAutospacing="0"/>
        <w:ind w:left="360"/>
        <w:rPr>
          <w:rFonts w:asciiTheme="minorHAnsi" w:eastAsiaTheme="minorEastAsia" w:hAnsiTheme="minorHAnsi" w:cstheme="minorHAnsi"/>
          <w:b/>
          <w:bCs/>
          <w:color w:val="333333"/>
          <w:sz w:val="22"/>
          <w:szCs w:val="22"/>
        </w:rPr>
      </w:pPr>
      <w:r w:rsidRPr="00D764D5">
        <w:rPr>
          <w:rFonts w:eastAsia="Arial" w:asciiTheme="minorHAnsi" w:hAnsiTheme="minorHAnsi" w:cstheme="minorHAnsi"/>
          <w:b/>
          <w:bCs/>
          <w:color w:val="333333"/>
          <w:sz w:val="22"/>
          <w:szCs w:val="22"/>
        </w:rPr>
        <w:t>Procedures for Collecting Information</w:t>
      </w:r>
    </w:p>
    <w:p w:rsidR="00B50F81" w:rsidRPr="002F024C" w:rsidP="00B50F81" w14:paraId="745C1C85" w14:textId="6A0E323E">
      <w:r>
        <w:t xml:space="preserve">JPA/EDC will not have access to mailing lists/listservs or personal identifiable information. Instead, they </w:t>
      </w:r>
      <w:r w:rsidR="00E124C2">
        <w:t xml:space="preserve">will </w:t>
      </w:r>
      <w:r>
        <w:t xml:space="preserve">ask partner organizations to </w:t>
      </w:r>
      <w:r w:rsidR="00E124C2">
        <w:t xml:space="preserve">draw the sample </w:t>
      </w:r>
      <w:r w:rsidR="001A6FA8">
        <w:t xml:space="preserve">and send out the </w:t>
      </w:r>
      <w:r w:rsidR="7B74AC75">
        <w:t xml:space="preserve">invitation with the link to the </w:t>
      </w:r>
      <w:r w:rsidR="001A6FA8">
        <w:t>survey</w:t>
      </w:r>
      <w:r w:rsidR="2530CCC4">
        <w:t xml:space="preserve"> embedded</w:t>
      </w:r>
      <w:r w:rsidR="001A6FA8">
        <w:t>.</w:t>
      </w:r>
      <w:r w:rsidRPr="12A8943C">
        <w:rPr>
          <w:color w:val="000000" w:themeColor="text1"/>
        </w:rPr>
        <w:t xml:space="preserve"> </w:t>
      </w:r>
      <w:r>
        <w:t xml:space="preserve">JPA/EDC will provide </w:t>
      </w:r>
      <w:r w:rsidR="001A6FA8">
        <w:t>technical assistance on sampling, a</w:t>
      </w:r>
      <w:r w:rsidR="00C24D01">
        <w:t xml:space="preserve"> draft</w:t>
      </w:r>
      <w:r>
        <w:t xml:space="preserve"> recruitment/invitation email</w:t>
      </w:r>
      <w:r w:rsidR="00C24D01">
        <w:t>,</w:t>
      </w:r>
      <w:r>
        <w:t xml:space="preserve"> and </w:t>
      </w:r>
      <w:r w:rsidR="00C24D01">
        <w:t>the</w:t>
      </w:r>
      <w:r>
        <w:t xml:space="preserve"> </w:t>
      </w:r>
      <w:r>
        <w:t>REDCap</w:t>
      </w:r>
      <w:r>
        <w:t>-generated hyperlink that can be embedded</w:t>
      </w:r>
      <w:r w:rsidR="00C24D01">
        <w:t xml:space="preserve"> into invitation email</w:t>
      </w:r>
      <w:r>
        <w:t xml:space="preserve">. Participants who click on the link will be taken directly to the consenting page and survey. JPA/EDC will also provide </w:t>
      </w:r>
      <w:r w:rsidR="00C24D01">
        <w:t xml:space="preserve">a draft </w:t>
      </w:r>
      <w:r>
        <w:t xml:space="preserve">reminder email for the partner organizations to send twice a week for four weeks considering existing communication strategies of </w:t>
      </w:r>
      <w:r>
        <w:t>particular hospitals</w:t>
      </w:r>
      <w:r>
        <w:t xml:space="preserve"> (e.g., intranet, weekly newsletters, daily huddles). The reminders are brief and include a link to opt-out.  </w:t>
      </w:r>
    </w:p>
    <w:p w:rsidR="00B50F81" w:rsidRPr="002F024C" w:rsidP="00B50F81" w14:paraId="0CBF00D2" w14:textId="25781739">
      <w:r w:rsidRPr="002F024C">
        <w:t>To confirm that respondents work in hospital settings</w:t>
      </w:r>
      <w:r w:rsidR="00B219F4">
        <w:t xml:space="preserve"> and have a leadership or patient-facing role</w:t>
      </w:r>
      <w:r w:rsidRPr="002F024C">
        <w:t>, the first two questions in the survey are screening questions about occupational group and work setting. Those who indicate that they do not work in a hospital setting or in one of the occupational groups of interest will be screened out as not eligible</w:t>
      </w:r>
      <w:r w:rsidR="00C33111">
        <w:t xml:space="preserve">. These individuals </w:t>
      </w:r>
      <w:r w:rsidRPr="002F024C">
        <w:t>will not be counted in the denominator for calculating the response rate. If eligible, the respondent will then be able to read through the survey introduction and agree or decline to participate in the survey. If voluntary participation is agreed to, the respondent can proceed with the survey, choosing to refuse to answer a question or stop the survey at any time. This is a one-time survey that will take approximately 10 minutes to complete.</w:t>
      </w:r>
    </w:p>
    <w:p w:rsidR="00B15DFB" w:rsidRPr="00D764D5" w:rsidP="55CC747D" w14:paraId="291D8FA8" w14:textId="370C6F9E">
      <w:pPr>
        <w:pStyle w:val="NormalWeb"/>
        <w:shd w:val="clear" w:color="auto" w:fill="FFFFFF" w:themeFill="background1"/>
        <w:spacing w:before="0" w:beforeAutospacing="0" w:after="0" w:afterAutospacing="0"/>
        <w:rPr>
          <w:rFonts w:asciiTheme="minorHAnsi" w:hAnsiTheme="minorHAnsi" w:cstheme="minorHAnsi"/>
          <w:sz w:val="22"/>
          <w:szCs w:val="22"/>
        </w:rPr>
      </w:pPr>
      <w:r w:rsidRPr="00D764D5">
        <w:rPr>
          <w:rFonts w:asciiTheme="minorHAnsi" w:hAnsiTheme="minorHAnsi" w:cstheme="minorHAnsi"/>
          <w:sz w:val="22"/>
          <w:szCs w:val="22"/>
        </w:rPr>
        <w:t xml:space="preserve">Because </w:t>
      </w:r>
      <w:r w:rsidR="000D5661">
        <w:rPr>
          <w:rFonts w:asciiTheme="minorHAnsi" w:hAnsiTheme="minorHAnsi" w:cstheme="minorHAnsi"/>
          <w:sz w:val="22"/>
          <w:szCs w:val="22"/>
        </w:rPr>
        <w:t>JPA/EDC is</w:t>
      </w:r>
      <w:r w:rsidRPr="00D764D5">
        <w:rPr>
          <w:rFonts w:asciiTheme="minorHAnsi" w:hAnsiTheme="minorHAnsi" w:cstheme="minorHAnsi"/>
          <w:sz w:val="22"/>
          <w:szCs w:val="22"/>
        </w:rPr>
        <w:t xml:space="preserve"> collecting information via online survey, responses appear in </w:t>
      </w:r>
      <w:r w:rsidRPr="00D764D5">
        <w:rPr>
          <w:rFonts w:asciiTheme="minorHAnsi" w:hAnsiTheme="minorHAnsi" w:cstheme="minorHAnsi"/>
          <w:sz w:val="22"/>
          <w:szCs w:val="22"/>
        </w:rPr>
        <w:t>REDCap</w:t>
      </w:r>
      <w:r w:rsidRPr="00D764D5">
        <w:rPr>
          <w:rFonts w:asciiTheme="minorHAnsi" w:hAnsiTheme="minorHAnsi" w:cstheme="minorHAnsi"/>
          <w:sz w:val="22"/>
          <w:szCs w:val="22"/>
        </w:rPr>
        <w:t>-generated csv files that can be uploaded into SPSS for further cleaning and analysis. With guidance from an EDC statistician, a</w:t>
      </w:r>
      <w:r w:rsidR="000D5661">
        <w:rPr>
          <w:rFonts w:asciiTheme="minorHAnsi" w:hAnsiTheme="minorHAnsi" w:cstheme="minorHAnsi"/>
          <w:sz w:val="22"/>
          <w:szCs w:val="22"/>
        </w:rPr>
        <w:t>n EDC</w:t>
      </w:r>
      <w:r w:rsidRPr="00D764D5">
        <w:rPr>
          <w:rFonts w:asciiTheme="minorHAnsi" w:hAnsiTheme="minorHAnsi" w:cstheme="minorHAnsi"/>
          <w:sz w:val="22"/>
          <w:szCs w:val="22"/>
        </w:rPr>
        <w:t xml:space="preserve"> research associate will examine data for missing cases and values as well as any anomalies that result from use of online survey platform or data transfer to SPSS. A data dictionary will be created in SPSS variable view with key information on variable name, label, type, and response categories so that others accessing the data for analytical purposes will be able to easily navigate. As appropriate, new variables will be created to facilitate analysis. </w:t>
      </w:r>
    </w:p>
    <w:p w:rsidR="00BB6A3C" w:rsidRPr="00D764D5" w:rsidP="51340BEF" w14:paraId="7E28CA4B" w14:textId="27170247">
      <w:pPr>
        <w:pStyle w:val="NormalWeb"/>
        <w:shd w:val="clear" w:color="auto" w:fill="FFFFFF" w:themeFill="background1"/>
        <w:spacing w:before="0" w:beforeAutospacing="0" w:after="0" w:afterAutospacing="0"/>
        <w:ind w:firstLine="360"/>
        <w:rPr>
          <w:rFonts w:asciiTheme="minorHAnsi" w:hAnsiTheme="minorHAnsi" w:cstheme="minorHAnsi"/>
          <w:sz w:val="22"/>
          <w:szCs w:val="22"/>
        </w:rPr>
      </w:pPr>
    </w:p>
    <w:p w:rsidR="00E325AA" w:rsidRPr="00D764D5" w:rsidP="00C605CA" w14:paraId="37B864F4" w14:textId="0A8473AA">
      <w:pPr>
        <w:pStyle w:val="NormalWeb"/>
        <w:shd w:val="clear" w:color="auto" w:fill="FFFFFF"/>
        <w:spacing w:before="0" w:beforeAutospacing="0" w:after="0" w:afterAutospacing="0"/>
        <w:rPr>
          <w:rFonts w:asciiTheme="minorHAnsi" w:hAnsiTheme="minorHAnsi" w:cstheme="minorHAnsi"/>
          <w:color w:val="333333"/>
          <w:sz w:val="22"/>
          <w:szCs w:val="22"/>
        </w:rPr>
      </w:pPr>
    </w:p>
    <w:p w:rsidR="00F52F94" w:rsidRPr="00D764D5" w:rsidP="51340BEF" w14:paraId="556633A1" w14:textId="1B22C393">
      <w:pPr>
        <w:pStyle w:val="NormalWeb"/>
        <w:numPr>
          <w:ilvl w:val="0"/>
          <w:numId w:val="1"/>
        </w:numPr>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Methods to Maximize Response Rates and Deal with No Response</w:t>
      </w:r>
    </w:p>
    <w:p w:rsidR="00D2243C" w:rsidRPr="008B42CE" w:rsidP="00D2243C" w14:paraId="5C0CEBAB" w14:textId="77777777">
      <w:pPr>
        <w:rPr>
          <w:rFonts w:ascii="Arial" w:hAnsi="Arial" w:cs="Arial"/>
        </w:rPr>
      </w:pPr>
      <w:r w:rsidRPr="008B42CE">
        <w:t>In order to</w:t>
      </w:r>
      <w:r w:rsidRPr="008B42CE">
        <w:t xml:space="preserve"> maximize response rates: </w:t>
      </w:r>
    </w:p>
    <w:p w:rsidR="00D2243C" w:rsidRPr="008B42CE" w:rsidP="00D2243C" w14:paraId="76B9DD61" w14:textId="6206F809">
      <w:pPr>
        <w:pStyle w:val="ListParagraph"/>
        <w:numPr>
          <w:ilvl w:val="0"/>
          <w:numId w:val="22"/>
        </w:numPr>
        <w:spacing w:line="259" w:lineRule="auto"/>
      </w:pPr>
      <w:r>
        <w:t>Online survey instruments are designed to be completed in less than 10 minutes</w:t>
      </w:r>
      <w:r w:rsidR="4DA5A498">
        <w:t>.</w:t>
      </w:r>
      <w:r>
        <w:t xml:space="preserve"> </w:t>
      </w:r>
    </w:p>
    <w:p w:rsidR="00D2243C" w:rsidRPr="008B42CE" w:rsidP="00D2243C" w14:paraId="536EBF68" w14:textId="77777777">
      <w:pPr>
        <w:pStyle w:val="ListParagraph"/>
        <w:numPr>
          <w:ilvl w:val="0"/>
          <w:numId w:val="22"/>
        </w:numPr>
        <w:spacing w:line="259" w:lineRule="auto"/>
      </w:pPr>
      <w:r w:rsidRPr="00FF27CF">
        <w:rPr>
          <w:bCs/>
        </w:rPr>
        <w:t xml:space="preserve">Online survey instruments include short questions and </w:t>
      </w:r>
      <w:r w:rsidRPr="00FF27CF">
        <w:rPr>
          <w:bCs/>
        </w:rPr>
        <w:t>closed-responses</w:t>
      </w:r>
      <w:r w:rsidRPr="00FF27CF">
        <w:rPr>
          <w:bCs/>
        </w:rPr>
        <w:t xml:space="preserve"> only to expedite their full completion.</w:t>
      </w:r>
    </w:p>
    <w:p w:rsidR="00D2243C" w:rsidRPr="008B42CE" w:rsidP="00D2243C" w14:paraId="5AB1EBA5" w14:textId="77777777">
      <w:pPr>
        <w:pStyle w:val="ListParagraph"/>
        <w:numPr>
          <w:ilvl w:val="0"/>
          <w:numId w:val="22"/>
        </w:numPr>
        <w:spacing w:line="259" w:lineRule="auto"/>
      </w:pPr>
      <w:r>
        <w:t>P</w:t>
      </w:r>
      <w:r w:rsidRPr="008B42CE">
        <w:t>artner member organizations that include professional organizations, labor unions, and healthcare systems, and are viewed by their constituents as legitimate leaders in the field, will help disseminate the retrospectiv</w:t>
      </w:r>
      <w:r>
        <w:t>e</w:t>
      </w:r>
      <w:r w:rsidRPr="008B42CE">
        <w:t xml:space="preserve"> online surveys to </w:t>
      </w:r>
      <w:r>
        <w:t>healthcare worker</w:t>
      </w:r>
      <w:r w:rsidRPr="008B42CE">
        <w:t>s and</w:t>
      </w:r>
      <w:r>
        <w:t xml:space="preserve"> hospital leaders</w:t>
      </w:r>
      <w:r w:rsidRPr="008B42CE">
        <w:t>.</w:t>
      </w:r>
    </w:p>
    <w:p w:rsidR="00D2243C" w:rsidRPr="008B42CE" w:rsidP="00D2243C" w14:paraId="76AA043C" w14:textId="77777777">
      <w:pPr>
        <w:pStyle w:val="ListParagraph"/>
        <w:numPr>
          <w:ilvl w:val="0"/>
          <w:numId w:val="22"/>
        </w:numPr>
        <w:spacing w:line="259" w:lineRule="auto"/>
      </w:pPr>
      <w:r w:rsidRPr="008B42CE">
        <w:t>Data collection periods for the online surveys will be extended over four weeks.</w:t>
      </w:r>
    </w:p>
    <w:p w:rsidR="00D2243C" w:rsidRPr="008B42CE" w:rsidP="00D2243C" w14:paraId="73717631" w14:textId="77777777">
      <w:pPr>
        <w:pStyle w:val="ListParagraph"/>
        <w:numPr>
          <w:ilvl w:val="0"/>
          <w:numId w:val="22"/>
        </w:numPr>
        <w:spacing w:line="259" w:lineRule="auto"/>
      </w:pPr>
      <w:r w:rsidRPr="008B42CE">
        <w:t xml:space="preserve">Eight, brief e-mail messages, sent twice weekly, will remind those who have not yet responded that their responses are critical to improving job conditions for </w:t>
      </w:r>
      <w:r>
        <w:t>healthcare worker</w:t>
      </w:r>
      <w:r w:rsidRPr="008B42CE">
        <w:t>s in the United States and include a hyperlink to the online survey.</w:t>
      </w:r>
    </w:p>
    <w:p w:rsidR="00D2243C" w:rsidRPr="008B42CE" w:rsidP="00D2243C" w14:paraId="62D03481" w14:textId="77777777">
      <w:pPr>
        <w:pStyle w:val="ListParagraph"/>
        <w:numPr>
          <w:ilvl w:val="0"/>
          <w:numId w:val="22"/>
        </w:numPr>
        <w:spacing w:line="259" w:lineRule="auto"/>
      </w:pPr>
      <w:r w:rsidRPr="008B42CE">
        <w:t>Participants will be assured that their responses are anonymous</w:t>
      </w:r>
      <w:r>
        <w:t>.</w:t>
      </w:r>
      <w:r w:rsidRPr="008B42CE">
        <w:t xml:space="preserve"> </w:t>
      </w:r>
    </w:p>
    <w:p w:rsidR="00D2243C" w:rsidRPr="008B42CE" w:rsidP="00D2243C" w14:paraId="687B18B2" w14:textId="77777777">
      <w:r w:rsidRPr="008B42CE">
        <w:t xml:space="preserve">Because </w:t>
      </w:r>
      <w:r>
        <w:t>JPA/EDC</w:t>
      </w:r>
      <w:r w:rsidRPr="008B42CE">
        <w:t xml:space="preserve"> anticipate</w:t>
      </w:r>
      <w:r>
        <w:t>s</w:t>
      </w:r>
      <w:r w:rsidRPr="008B42CE">
        <w:t xml:space="preserve"> that </w:t>
      </w:r>
      <w:r>
        <w:t>the r</w:t>
      </w:r>
      <w:r w:rsidRPr="008B42CE">
        <w:t xml:space="preserve">esponse rate will be less than 80%, </w:t>
      </w:r>
      <w:r>
        <w:t>they</w:t>
      </w:r>
      <w:r w:rsidRPr="008B42CE">
        <w:t xml:space="preserve"> will aim to reduce non-response bias by guiding partner organizations to use probability (random) sampling procedures to select participants at random from their mailing lists. As feasible, </w:t>
      </w:r>
      <w:r>
        <w:t>they</w:t>
      </w:r>
      <w:r w:rsidRPr="008B42CE">
        <w:t xml:space="preserve"> will encourage partner organizations to use stratified random sampling according to occupation group so that the sample is representative of the proportion of those occupations in hospital settings. For example, </w:t>
      </w:r>
      <w:r>
        <w:t>they</w:t>
      </w:r>
      <w:r w:rsidRPr="008B42CE">
        <w:t xml:space="preserve"> would expect to survey many more hospital-based nurses than physicians. </w:t>
      </w:r>
    </w:p>
    <w:p w:rsidR="00D2243C" w:rsidRPr="00283096" w:rsidP="00D2243C" w14:paraId="556F4AB7" w14:textId="77777777">
      <w:pPr>
        <w:rPr>
          <w:rFonts w:cstheme="minorHAnsi"/>
        </w:rPr>
      </w:pPr>
      <w:r w:rsidRPr="00283096">
        <w:rPr>
          <w:rFonts w:cstheme="minorHAnsi"/>
        </w:rPr>
        <w:t>To determine whether non-response bias is present, EDC will consider one of two approaches. The first approach assumes that EDC will not have background data on non-respondents. EDC will compar</w:t>
      </w:r>
      <w:r>
        <w:rPr>
          <w:rFonts w:cstheme="minorHAnsi"/>
        </w:rPr>
        <w:t>e</w:t>
      </w:r>
      <w:r w:rsidRPr="00283096">
        <w:rPr>
          <w:rFonts w:cstheme="minorHAnsi"/>
        </w:rPr>
        <w:t xml:space="preserve"> responses of those who responded to the initial request to participate and met eligibility criteria (working in hospital and identify as occupational group of interest) in the online survey with those who responded after several reminders </w:t>
      </w:r>
      <w:r w:rsidRPr="00283096">
        <w:rPr>
          <w:rFonts w:cstheme="minorHAnsi"/>
        </w:rPr>
        <w:t>and also</w:t>
      </w:r>
      <w:r w:rsidRPr="00283096">
        <w:rPr>
          <w:rFonts w:cstheme="minorHAnsi"/>
        </w:rPr>
        <w:t xml:space="preserve"> met eligibility criteria. This is a common approach to analyzing non-response bias and is based on the premise that those who require more reminders are similar to non-respondents.</w:t>
      </w:r>
      <w:r>
        <w:rPr>
          <w:rFonts w:cstheme="minorHAnsi"/>
          <w:vertAlign w:val="superscript"/>
        </w:rPr>
        <w:footnoteReference w:id="4"/>
      </w:r>
      <w:r w:rsidRPr="00283096">
        <w:rPr>
          <w:rFonts w:cstheme="minorHAnsi"/>
        </w:rPr>
        <w:t xml:space="preserve"> Specifically, EDC will examine whether independent variables (e.g., knowledge and beliefs about healthcare worker mental health and well-being) and demographic characteristics (e.g., race/ethnicity, occupation) as well as other variables thought to influence study participation (e.g., years in position) differ by number of reminders required to encourage participation. </w:t>
      </w:r>
      <w:r w:rsidRPr="00283096">
        <w:rPr>
          <w:rFonts w:cstheme="minorHAnsi"/>
          <w:shd w:val="clear" w:color="auto" w:fill="F9F7F7"/>
        </w:rPr>
        <w:t xml:space="preserve">This procedure and the one that follows can be applied to account for non-response bias </w:t>
      </w:r>
      <w:r w:rsidRPr="00283096">
        <w:rPr>
          <w:rFonts w:cstheme="minorHAnsi"/>
        </w:rPr>
        <w:t>if partner network organizations are not able to draw a random sample, stratified by occupation (i.e., they use their entire mailing list/listserv to reach participants).</w:t>
      </w:r>
    </w:p>
    <w:p w:rsidR="00D2243C" w:rsidRPr="007476F4" w:rsidP="12A8943C" w14:paraId="29923775" w14:textId="437C2624">
      <w:pPr>
        <w:spacing w:after="0" w:line="240" w:lineRule="auto"/>
      </w:pPr>
      <w:r w:rsidRPr="12A8943C">
        <w:t xml:space="preserve">The second approach assumes that </w:t>
      </w:r>
      <w:r w:rsidRPr="12A8943C" w:rsidR="00820583">
        <w:t>EDC</w:t>
      </w:r>
      <w:r w:rsidRPr="12A8943C">
        <w:t xml:space="preserve"> will have some background data on those in the original sample frame, such as demographic variables (e.g., race, gender, ethnicity, age) and other characteristics (e.g., years in the profession, occupational status). These demographic variables serve as imperfect proxies for factors associated with outcomes of interest.</w:t>
      </w:r>
      <w:r>
        <w:rPr>
          <w:rStyle w:val="FootnoteReference"/>
        </w:rPr>
        <w:footnoteReference w:id="5"/>
      </w:r>
      <w:r w:rsidRPr="12A8943C">
        <w:t xml:space="preserve"> </w:t>
      </w:r>
      <w:r w:rsidRPr="12A8943C" w:rsidR="005F7D5F">
        <w:t>EDC</w:t>
      </w:r>
      <w:r w:rsidRPr="12A8943C">
        <w:t xml:space="preserve"> can compare the summary statistics of the analytic sample (those who complete the survey with valid data) against that of the original sample frame. </w:t>
      </w:r>
      <w:r w:rsidRPr="12A8943C" w:rsidR="00820583">
        <w:t xml:space="preserve">EDC </w:t>
      </w:r>
      <w:r w:rsidRPr="12A8943C">
        <w:t xml:space="preserve">will summarize the difference or similarity between the analytic sample and the original sample frame </w:t>
      </w:r>
      <w:r w:rsidRPr="12A8943C">
        <w:t xml:space="preserve">descriptively for each of the background variables (e.g., percent Hispanic for the analytic sample vs. percent Hispanic for the original sample frame). </w:t>
      </w:r>
      <w:r w:rsidRPr="12A8943C" w:rsidR="005F7D5F">
        <w:t>EDC</w:t>
      </w:r>
      <w:r w:rsidRPr="12A8943C">
        <w:t xml:space="preserve"> will then assess the degree of non-representativeness or representativeness of the analytic sample utilizing statistical criteria (such as a</w:t>
      </w:r>
      <w:r w:rsidRPr="12A8943C" w:rsidR="3D9823EA">
        <w:t xml:space="preserve"> test of</w:t>
      </w:r>
      <w:r w:rsidRPr="12A8943C">
        <w:t xml:space="preserve"> </w:t>
      </w:r>
      <w:r w:rsidRPr="12A8943C">
        <w:t>significance, or</w:t>
      </w:r>
      <w:r w:rsidRPr="12A8943C">
        <w:t xml:space="preserve"> based on the difference in an effect size metric such as Hedges’ </w:t>
      </w:r>
      <w:r w:rsidRPr="12A8943C">
        <w:rPr>
          <w:i/>
          <w:iCs/>
        </w:rPr>
        <w:t>g</w:t>
      </w:r>
      <w:r w:rsidRPr="12A8943C">
        <w:t xml:space="preserve">). A variation of this approach is to compare survey respondents and non-respondents (among those to whom the survey was sent) </w:t>
      </w:r>
      <w:r w:rsidRPr="12A8943C">
        <w:t>in regard to</w:t>
      </w:r>
      <w:r w:rsidRPr="12A8943C">
        <w:t xml:space="preserve"> each of those background characteristics. </w:t>
      </w:r>
      <w:r w:rsidRPr="12A8943C" w:rsidR="005F7D5F">
        <w:t>EDC</w:t>
      </w:r>
      <w:r w:rsidRPr="12A8943C">
        <w:t xml:space="preserve"> would then calculate Hedges’ </w:t>
      </w:r>
      <w:r w:rsidRPr="12A8943C">
        <w:rPr>
          <w:i/>
          <w:iCs/>
        </w:rPr>
        <w:t>g</w:t>
      </w:r>
      <w:r w:rsidRPr="12A8943C">
        <w:t xml:space="preserve">, to translate the difference between the respondents and non-respondents in the effect size metric. </w:t>
      </w:r>
      <w:r w:rsidRPr="12A8943C" w:rsidR="00820583">
        <w:t xml:space="preserve">EDC </w:t>
      </w:r>
      <w:r w:rsidRPr="12A8943C">
        <w:t>will consider the difference in the effect size metric up to 0.05 as ignorable; between 0.05 to 0.25 as adjustable through weighting; and beyond 0.25 as not adjustable (and therefore acknowledged in the limitation section of the study report).</w:t>
      </w:r>
    </w:p>
    <w:p w:rsidR="00D2243C" w:rsidP="00D2243C" w14:paraId="69664956" w14:textId="77777777">
      <w:pPr>
        <w:spacing w:after="0" w:line="240" w:lineRule="auto"/>
        <w:rPr>
          <w:rFonts w:cstheme="minorHAnsi"/>
        </w:rPr>
      </w:pPr>
    </w:p>
    <w:p w:rsidR="00D2243C" w:rsidP="00D2243C" w14:paraId="14184D2C" w14:textId="51656CEF">
      <w:pPr>
        <w:spacing w:after="0" w:line="240" w:lineRule="auto"/>
        <w:rPr>
          <w:rFonts w:cstheme="minorHAnsi"/>
        </w:rPr>
      </w:pPr>
      <w:r w:rsidRPr="007476F4">
        <w:rPr>
          <w:rFonts w:cstheme="minorHAnsi"/>
        </w:rPr>
        <w:t xml:space="preserve">If the difference between the analytic sample and the original sample frame (or, alternatively, the respondents and non-respondents) are judged ignorable (in all background variables), </w:t>
      </w:r>
      <w:r w:rsidR="00820583">
        <w:rPr>
          <w:rFonts w:cstheme="minorHAnsi"/>
        </w:rPr>
        <w:t xml:space="preserve">EDC </w:t>
      </w:r>
      <w:r w:rsidRPr="007476F4">
        <w:rPr>
          <w:rFonts w:cstheme="minorHAnsi"/>
        </w:rPr>
        <w:t xml:space="preserve">will not need to make any statistical adjustments to arrive at the “unbiased” results. However, if the difference in any of the background variables are judged not ignorable, </w:t>
      </w:r>
      <w:r w:rsidR="00820583">
        <w:rPr>
          <w:rFonts w:cstheme="minorHAnsi"/>
        </w:rPr>
        <w:t xml:space="preserve">EDC </w:t>
      </w:r>
      <w:r w:rsidRPr="007476F4">
        <w:rPr>
          <w:rFonts w:cstheme="minorHAnsi"/>
        </w:rPr>
        <w:t xml:space="preserve">will make statistical adjustments such as the use of probability weights. For example, </w:t>
      </w:r>
      <w:r w:rsidR="00820583">
        <w:rPr>
          <w:rFonts w:cstheme="minorHAnsi"/>
        </w:rPr>
        <w:t>EDC</w:t>
      </w:r>
      <w:r w:rsidRPr="007476F4">
        <w:rPr>
          <w:rFonts w:cstheme="minorHAnsi"/>
        </w:rPr>
        <w:t xml:space="preserve"> will fit a propensity model with a binary (responded, not responded) as the outcome, and the host of background variables as the predictors. Once a good propensity model is found, </w:t>
      </w:r>
      <w:r w:rsidR="00820583">
        <w:rPr>
          <w:rFonts w:cstheme="minorHAnsi"/>
        </w:rPr>
        <w:t>EDC</w:t>
      </w:r>
      <w:r w:rsidRPr="007476F4">
        <w:rPr>
          <w:rFonts w:cstheme="minorHAnsi"/>
        </w:rPr>
        <w:t xml:space="preserve"> will calculate the propensity weights for each respondent.</w:t>
      </w:r>
    </w:p>
    <w:p w:rsidR="00301094" w:rsidP="00D2243C" w14:paraId="19D76601" w14:textId="77777777">
      <w:pPr>
        <w:spacing w:after="0" w:line="240" w:lineRule="auto"/>
        <w:rPr>
          <w:rFonts w:cstheme="minorHAnsi"/>
        </w:rPr>
      </w:pPr>
    </w:p>
    <w:p w:rsidR="0078023D" w:rsidRPr="00D764D5" w:rsidP="51340BEF" w14:paraId="0F0C5BE6" w14:textId="77777777">
      <w:pPr>
        <w:pStyle w:val="NormalWeb"/>
        <w:numPr>
          <w:ilvl w:val="0"/>
          <w:numId w:val="1"/>
        </w:numPr>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Tests of Procedures or Methods to Be Undertaken</w:t>
      </w:r>
    </w:p>
    <w:p w:rsidR="00D72328" w:rsidRPr="00D764D5" w:rsidP="00301094" w14:paraId="5966E72E" w14:textId="0BA74C60">
      <w:r>
        <w:t>JPA/EDC</w:t>
      </w:r>
      <w:r w:rsidRPr="00D764D5" w:rsidR="51340BEF">
        <w:t xml:space="preserve"> asked </w:t>
      </w:r>
      <w:r w:rsidR="00301094">
        <w:t>three</w:t>
      </w:r>
      <w:r w:rsidRPr="00D764D5" w:rsidR="51340BEF">
        <w:t xml:space="preserve"> health workers and healthcare executives to review the data collection instruments to ensure that </w:t>
      </w:r>
      <w:r w:rsidR="00820583">
        <w:t xml:space="preserve">EDC </w:t>
      </w:r>
      <w:r w:rsidRPr="00D764D5" w:rsidR="51340BEF">
        <w:t xml:space="preserve">are using language that resonates with hospital clinical staff and that questions are clear, easy to understand, and appropriate. </w:t>
      </w:r>
      <w:r>
        <w:t>NIOSH asked three peer reviewers to provide technical review. See Supporting Statement A</w:t>
      </w:r>
      <w:r w:rsidR="003A0124">
        <w:t xml:space="preserve"> Section 8. </w:t>
      </w:r>
    </w:p>
    <w:p w:rsidR="00D72328" w:rsidRPr="00D764D5" w:rsidP="00C605CA" w14:paraId="4BA064F3" w14:textId="5DC6ACA2">
      <w:pPr>
        <w:pStyle w:val="NormalWeb"/>
        <w:shd w:val="clear" w:color="auto" w:fill="FFFFFF"/>
        <w:spacing w:before="0" w:beforeAutospacing="0" w:after="0" w:afterAutospacing="0"/>
        <w:rPr>
          <w:rFonts w:asciiTheme="minorHAnsi" w:hAnsiTheme="minorHAnsi" w:cstheme="minorHAnsi"/>
          <w:color w:val="333333"/>
          <w:sz w:val="22"/>
          <w:szCs w:val="22"/>
        </w:rPr>
      </w:pPr>
    </w:p>
    <w:p w:rsidR="0078023D" w:rsidRPr="00D764D5" w:rsidP="51340BEF" w14:paraId="6AC8E079" w14:textId="292FB94F">
      <w:pPr>
        <w:pStyle w:val="NormalWeb"/>
        <w:numPr>
          <w:ilvl w:val="0"/>
          <w:numId w:val="1"/>
        </w:numPr>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Individuals Consulted on Statistical Aspects and Individuals Collecting and/or Analyzing Data</w:t>
      </w:r>
    </w:p>
    <w:p w:rsidR="00BB6A3C" w:rsidRPr="0081245E" w:rsidP="51340BEF" w14:paraId="4B4E1738" w14:textId="02EFCCC6">
      <w:pPr>
        <w:pStyle w:val="NormalWeb"/>
        <w:shd w:val="clear" w:color="auto" w:fill="FFFFFF" w:themeFill="background1"/>
        <w:spacing w:before="0" w:beforeAutospacing="0" w:after="0" w:afterAutospacing="0"/>
        <w:ind w:firstLine="360"/>
        <w:rPr>
          <w:rFonts w:asciiTheme="minorHAnsi" w:hAnsiTheme="minorHAnsi" w:cstheme="minorHAnsi"/>
          <w:sz w:val="22"/>
          <w:szCs w:val="22"/>
        </w:rPr>
      </w:pPr>
      <w:r w:rsidRPr="0081245E">
        <w:rPr>
          <w:rFonts w:asciiTheme="minorHAnsi" w:hAnsiTheme="minorHAnsi" w:cstheme="minorHAnsi"/>
          <w:sz w:val="22"/>
          <w:szCs w:val="22"/>
        </w:rPr>
        <w:t xml:space="preserve">The following individuals designed the data collection methods: </w:t>
      </w:r>
    </w:p>
    <w:p w:rsidR="00A93763" w:rsidRPr="0081245E" w:rsidP="00496E50" w14:paraId="5DC6C8E0" w14:textId="6B21C380">
      <w:pPr>
        <w:pStyle w:val="NormalWeb"/>
        <w:numPr>
          <w:ilvl w:val="0"/>
          <w:numId w:val="14"/>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Kim Dash, PhD, MPH, Education Development Center, Inc.</w:t>
      </w:r>
      <w:r w:rsidRPr="0081245E" w:rsidR="00986FCE">
        <w:rPr>
          <w:rFonts w:asciiTheme="minorHAnsi" w:hAnsiTheme="minorHAnsi" w:cstheme="minorHAnsi"/>
          <w:bCs/>
          <w:sz w:val="22"/>
          <w:szCs w:val="22"/>
        </w:rPr>
        <w:t>,</w:t>
      </w:r>
      <w:r w:rsidRPr="0081245E">
        <w:rPr>
          <w:rFonts w:asciiTheme="minorHAnsi" w:hAnsiTheme="minorHAnsi" w:cstheme="minorHAnsi"/>
          <w:bCs/>
          <w:sz w:val="22"/>
          <w:szCs w:val="22"/>
        </w:rPr>
        <w:t xml:space="preserve"> 617.618.2425, </w:t>
      </w:r>
      <w:hyperlink r:id="rId9" w:history="1">
        <w:r w:rsidRPr="0081245E">
          <w:rPr>
            <w:rStyle w:val="Hyperlink"/>
            <w:rFonts w:asciiTheme="minorHAnsi" w:hAnsiTheme="minorHAnsi" w:cstheme="minorHAnsi"/>
            <w:bCs/>
            <w:color w:val="auto"/>
            <w:sz w:val="22"/>
            <w:szCs w:val="22"/>
          </w:rPr>
          <w:t>kdash@edc.org</w:t>
        </w:r>
      </w:hyperlink>
      <w:r w:rsidRPr="0081245E" w:rsidR="00986FCE">
        <w:rPr>
          <w:rFonts w:asciiTheme="minorHAnsi" w:hAnsiTheme="minorHAnsi" w:cstheme="minorHAnsi"/>
          <w:bCs/>
          <w:sz w:val="22"/>
          <w:szCs w:val="22"/>
        </w:rPr>
        <w:t>;</w:t>
      </w:r>
    </w:p>
    <w:p w:rsidR="00A93763" w:rsidRPr="0081245E" w:rsidP="00496E50" w14:paraId="4536EDB6" w14:textId="30459C02">
      <w:pPr>
        <w:pStyle w:val="NormalWeb"/>
        <w:numPr>
          <w:ilvl w:val="0"/>
          <w:numId w:val="14"/>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Makoto Hanita, PhD, Education Development Center, Inc.</w:t>
      </w:r>
      <w:r w:rsidRPr="0081245E" w:rsidR="00986FCE">
        <w:rPr>
          <w:rFonts w:asciiTheme="minorHAnsi" w:hAnsiTheme="minorHAnsi" w:cstheme="minorHAnsi"/>
          <w:bCs/>
          <w:sz w:val="22"/>
          <w:szCs w:val="22"/>
        </w:rPr>
        <w:t>,</w:t>
      </w:r>
      <w:r w:rsidRPr="0081245E">
        <w:rPr>
          <w:rFonts w:asciiTheme="minorHAnsi" w:hAnsiTheme="minorHAnsi" w:cstheme="minorHAnsi"/>
          <w:bCs/>
          <w:sz w:val="22"/>
          <w:szCs w:val="22"/>
        </w:rPr>
        <w:t xml:space="preserve"> </w:t>
      </w:r>
      <w:r w:rsidRPr="0081245E" w:rsidR="00986FCE">
        <w:rPr>
          <w:rFonts w:asciiTheme="minorHAnsi" w:hAnsiTheme="minorHAnsi" w:cstheme="minorHAnsi"/>
          <w:bCs/>
          <w:sz w:val="22"/>
          <w:szCs w:val="22"/>
        </w:rPr>
        <w:t>617</w:t>
      </w:r>
      <w:r w:rsidRPr="0081245E">
        <w:rPr>
          <w:rFonts w:asciiTheme="minorHAnsi" w:hAnsiTheme="minorHAnsi" w:cstheme="minorHAnsi"/>
          <w:bCs/>
          <w:sz w:val="22"/>
          <w:szCs w:val="22"/>
        </w:rPr>
        <w:t>.</w:t>
      </w:r>
      <w:r w:rsidRPr="0081245E" w:rsidR="00986FCE">
        <w:rPr>
          <w:rFonts w:asciiTheme="minorHAnsi" w:hAnsiTheme="minorHAnsi" w:cstheme="minorHAnsi"/>
          <w:bCs/>
          <w:sz w:val="22"/>
          <w:szCs w:val="22"/>
        </w:rPr>
        <w:t>618</w:t>
      </w:r>
      <w:r w:rsidRPr="0081245E">
        <w:rPr>
          <w:rFonts w:asciiTheme="minorHAnsi" w:hAnsiTheme="minorHAnsi" w:cstheme="minorHAnsi"/>
          <w:bCs/>
          <w:sz w:val="22"/>
          <w:szCs w:val="22"/>
        </w:rPr>
        <w:t>.</w:t>
      </w:r>
      <w:r w:rsidRPr="0081245E" w:rsidR="00986FCE">
        <w:rPr>
          <w:rFonts w:asciiTheme="minorHAnsi" w:hAnsiTheme="minorHAnsi" w:cstheme="minorHAnsi"/>
          <w:bCs/>
          <w:sz w:val="22"/>
          <w:szCs w:val="22"/>
        </w:rPr>
        <w:t>2347</w:t>
      </w:r>
      <w:r w:rsidRPr="0081245E">
        <w:rPr>
          <w:rFonts w:asciiTheme="minorHAnsi" w:hAnsiTheme="minorHAnsi" w:cstheme="minorHAnsi"/>
          <w:bCs/>
          <w:sz w:val="22"/>
          <w:szCs w:val="22"/>
        </w:rPr>
        <w:t xml:space="preserve">, </w:t>
      </w:r>
      <w:hyperlink r:id="rId10" w:history="1">
        <w:r w:rsidRPr="0081245E">
          <w:rPr>
            <w:rStyle w:val="Hyperlink"/>
            <w:rFonts w:asciiTheme="minorHAnsi" w:hAnsiTheme="minorHAnsi" w:cstheme="minorHAnsi"/>
            <w:bCs/>
            <w:color w:val="auto"/>
            <w:sz w:val="22"/>
            <w:szCs w:val="22"/>
          </w:rPr>
          <w:t>mhanita@edc.org</w:t>
        </w:r>
      </w:hyperlink>
    </w:p>
    <w:p w:rsidR="00A93763" w:rsidRPr="0081245E" w:rsidP="00496E50" w14:paraId="19CBE49C" w14:textId="63F0D5F8">
      <w:pPr>
        <w:pStyle w:val="NormalWeb"/>
        <w:numPr>
          <w:ilvl w:val="0"/>
          <w:numId w:val="14"/>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Kristen Quinlan, PhD, Education Development Center, Inc.</w:t>
      </w:r>
      <w:r w:rsidRPr="0081245E" w:rsidR="00986FCE">
        <w:rPr>
          <w:rFonts w:asciiTheme="minorHAnsi" w:hAnsiTheme="minorHAnsi" w:cstheme="minorHAnsi"/>
          <w:bCs/>
          <w:sz w:val="22"/>
          <w:szCs w:val="22"/>
        </w:rPr>
        <w:t>,</w:t>
      </w:r>
      <w:r w:rsidRPr="0081245E">
        <w:rPr>
          <w:rFonts w:asciiTheme="minorHAnsi" w:hAnsiTheme="minorHAnsi" w:cstheme="minorHAnsi"/>
          <w:bCs/>
          <w:sz w:val="22"/>
          <w:szCs w:val="22"/>
        </w:rPr>
        <w:t xml:space="preserve"> </w:t>
      </w:r>
      <w:r w:rsidRPr="0081245E" w:rsidR="00986FCE">
        <w:rPr>
          <w:rFonts w:asciiTheme="minorHAnsi" w:hAnsiTheme="minorHAnsi" w:cstheme="minorHAnsi"/>
          <w:bCs/>
          <w:sz w:val="22"/>
          <w:szCs w:val="22"/>
        </w:rPr>
        <w:t>617</w:t>
      </w:r>
      <w:r w:rsidRPr="0081245E">
        <w:rPr>
          <w:rFonts w:asciiTheme="minorHAnsi" w:hAnsiTheme="minorHAnsi" w:cstheme="minorHAnsi"/>
          <w:bCs/>
          <w:sz w:val="22"/>
          <w:szCs w:val="22"/>
        </w:rPr>
        <w:t>.</w:t>
      </w:r>
      <w:r w:rsidRPr="0081245E" w:rsidR="00986FCE">
        <w:rPr>
          <w:rFonts w:asciiTheme="minorHAnsi" w:hAnsiTheme="minorHAnsi" w:cstheme="minorHAnsi"/>
          <w:bCs/>
          <w:sz w:val="22"/>
          <w:szCs w:val="22"/>
        </w:rPr>
        <w:t>618</w:t>
      </w:r>
      <w:r w:rsidRPr="0081245E">
        <w:rPr>
          <w:rFonts w:asciiTheme="minorHAnsi" w:hAnsiTheme="minorHAnsi" w:cstheme="minorHAnsi"/>
          <w:bCs/>
          <w:sz w:val="22"/>
          <w:szCs w:val="22"/>
        </w:rPr>
        <w:t>.</w:t>
      </w:r>
      <w:r w:rsidRPr="0081245E" w:rsidR="00986FCE">
        <w:rPr>
          <w:rFonts w:asciiTheme="minorHAnsi" w:hAnsiTheme="minorHAnsi" w:cstheme="minorHAnsi"/>
          <w:bCs/>
          <w:sz w:val="22"/>
          <w:szCs w:val="22"/>
        </w:rPr>
        <w:t>2188</w:t>
      </w:r>
      <w:r w:rsidRPr="0081245E">
        <w:rPr>
          <w:rFonts w:asciiTheme="minorHAnsi" w:hAnsiTheme="minorHAnsi" w:cstheme="minorHAnsi"/>
          <w:bCs/>
          <w:sz w:val="22"/>
          <w:szCs w:val="22"/>
        </w:rPr>
        <w:t xml:space="preserve"> </w:t>
      </w:r>
      <w:hyperlink r:id="rId11" w:history="1">
        <w:r w:rsidRPr="0081245E">
          <w:rPr>
            <w:rStyle w:val="Hyperlink"/>
            <w:rFonts w:asciiTheme="minorHAnsi" w:hAnsiTheme="minorHAnsi" w:cstheme="minorHAnsi"/>
            <w:bCs/>
            <w:color w:val="auto"/>
            <w:sz w:val="22"/>
            <w:szCs w:val="22"/>
          </w:rPr>
          <w:t>kquinlan@edc.org</w:t>
        </w:r>
      </w:hyperlink>
      <w:r w:rsidRPr="0081245E" w:rsidR="00986FCE">
        <w:rPr>
          <w:rFonts w:asciiTheme="minorHAnsi" w:hAnsiTheme="minorHAnsi" w:cstheme="minorHAnsi"/>
          <w:bCs/>
          <w:sz w:val="22"/>
          <w:szCs w:val="22"/>
        </w:rPr>
        <w:t>.</w:t>
      </w:r>
    </w:p>
    <w:p w:rsidR="00A93763" w:rsidRPr="0081245E" w:rsidP="51340BEF" w14:paraId="1C8C488B" w14:textId="16FC6B1A">
      <w:pPr>
        <w:pStyle w:val="NormalWeb"/>
        <w:shd w:val="clear" w:color="auto" w:fill="FFFFFF" w:themeFill="background1"/>
        <w:spacing w:before="0" w:beforeAutospacing="0" w:after="0" w:afterAutospacing="0"/>
        <w:ind w:firstLine="360"/>
        <w:rPr>
          <w:rFonts w:asciiTheme="minorHAnsi" w:hAnsiTheme="minorHAnsi" w:cstheme="minorHAnsi"/>
          <w:sz w:val="22"/>
          <w:szCs w:val="22"/>
        </w:rPr>
      </w:pPr>
      <w:r w:rsidRPr="0081245E">
        <w:rPr>
          <w:rFonts w:asciiTheme="minorHAnsi" w:hAnsiTheme="minorHAnsi" w:cstheme="minorHAnsi"/>
          <w:sz w:val="22"/>
          <w:szCs w:val="22"/>
        </w:rPr>
        <w:t>The following individuals will collect the</w:t>
      </w:r>
      <w:r w:rsidRPr="0081245E">
        <w:rPr>
          <w:rFonts w:asciiTheme="minorHAnsi" w:hAnsiTheme="minorHAnsi" w:cstheme="minorHAnsi"/>
          <w:sz w:val="22"/>
          <w:szCs w:val="22"/>
          <w:u w:val="single"/>
        </w:rPr>
        <w:t xml:space="preserve"> </w:t>
      </w:r>
      <w:r w:rsidRPr="006F4DDB">
        <w:rPr>
          <w:rFonts w:asciiTheme="minorHAnsi" w:hAnsiTheme="minorHAnsi" w:cstheme="minorHAnsi"/>
          <w:sz w:val="22"/>
          <w:szCs w:val="22"/>
        </w:rPr>
        <w:t>survey</w:t>
      </w:r>
      <w:r w:rsidRPr="0081245E">
        <w:rPr>
          <w:rFonts w:asciiTheme="minorHAnsi" w:hAnsiTheme="minorHAnsi" w:cstheme="minorHAnsi"/>
          <w:sz w:val="22"/>
          <w:szCs w:val="22"/>
        </w:rPr>
        <w:t xml:space="preserve"> data: </w:t>
      </w:r>
    </w:p>
    <w:p w:rsidR="00A93763" w:rsidRPr="0081245E" w:rsidP="00496E50" w14:paraId="1484F4F0" w14:textId="35BEE8D9">
      <w:pPr>
        <w:pStyle w:val="NormalWeb"/>
        <w:numPr>
          <w:ilvl w:val="0"/>
          <w:numId w:val="15"/>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Kim Dash, PhD, MPH, Education Development Center, Inc.</w:t>
      </w:r>
      <w:r w:rsidRPr="0081245E" w:rsidR="00986FCE">
        <w:rPr>
          <w:rFonts w:asciiTheme="minorHAnsi" w:hAnsiTheme="minorHAnsi" w:cstheme="minorHAnsi"/>
          <w:bCs/>
          <w:sz w:val="22"/>
          <w:szCs w:val="22"/>
        </w:rPr>
        <w:t>,</w:t>
      </w:r>
      <w:r w:rsidRPr="0081245E">
        <w:rPr>
          <w:rFonts w:asciiTheme="minorHAnsi" w:hAnsiTheme="minorHAnsi" w:cstheme="minorHAnsi"/>
          <w:bCs/>
          <w:sz w:val="22"/>
          <w:szCs w:val="22"/>
        </w:rPr>
        <w:t xml:space="preserve"> 617.618.2425, </w:t>
      </w:r>
      <w:hyperlink r:id="rId9" w:history="1">
        <w:r w:rsidRPr="0081245E">
          <w:rPr>
            <w:rStyle w:val="Hyperlink"/>
            <w:rFonts w:asciiTheme="minorHAnsi" w:hAnsiTheme="minorHAnsi" w:cstheme="minorHAnsi"/>
            <w:bCs/>
            <w:color w:val="auto"/>
            <w:sz w:val="22"/>
            <w:szCs w:val="22"/>
          </w:rPr>
          <w:t>kdash@edc.org</w:t>
        </w:r>
      </w:hyperlink>
      <w:r w:rsidRPr="0081245E" w:rsidR="00986FCE">
        <w:rPr>
          <w:rFonts w:asciiTheme="minorHAnsi" w:hAnsiTheme="minorHAnsi" w:cstheme="minorHAnsi"/>
          <w:bCs/>
          <w:sz w:val="22"/>
          <w:szCs w:val="22"/>
        </w:rPr>
        <w:t>;</w:t>
      </w:r>
    </w:p>
    <w:p w:rsidR="00A93763" w:rsidRPr="006F4DDB" w:rsidP="00496E50" w14:paraId="4BB55149" w14:textId="65959CA8">
      <w:pPr>
        <w:pStyle w:val="NormalWeb"/>
        <w:numPr>
          <w:ilvl w:val="0"/>
          <w:numId w:val="15"/>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Kristen Quinlan, PhD, Education Development Center, Inc.</w:t>
      </w:r>
      <w:r w:rsidRPr="0081245E" w:rsidR="00986FCE">
        <w:rPr>
          <w:rFonts w:asciiTheme="minorHAnsi" w:hAnsiTheme="minorHAnsi" w:cstheme="minorHAnsi"/>
          <w:bCs/>
          <w:sz w:val="22"/>
          <w:szCs w:val="22"/>
        </w:rPr>
        <w:t>,</w:t>
      </w:r>
      <w:r w:rsidRPr="0081245E">
        <w:rPr>
          <w:rFonts w:asciiTheme="minorHAnsi" w:hAnsiTheme="minorHAnsi" w:cstheme="minorHAnsi"/>
          <w:bCs/>
          <w:sz w:val="22"/>
          <w:szCs w:val="22"/>
        </w:rPr>
        <w:t xml:space="preserve"> </w:t>
      </w:r>
      <w:r w:rsidRPr="0081245E" w:rsidR="00986FCE">
        <w:rPr>
          <w:rFonts w:asciiTheme="minorHAnsi" w:hAnsiTheme="minorHAnsi" w:cstheme="minorHAnsi"/>
          <w:bCs/>
          <w:sz w:val="22"/>
          <w:szCs w:val="22"/>
        </w:rPr>
        <w:t xml:space="preserve">617.618.2188 </w:t>
      </w:r>
      <w:hyperlink r:id="rId11" w:history="1">
        <w:r w:rsidRPr="0081245E">
          <w:rPr>
            <w:rStyle w:val="Hyperlink"/>
            <w:rFonts w:asciiTheme="minorHAnsi" w:hAnsiTheme="minorHAnsi" w:cstheme="minorHAnsi"/>
            <w:bCs/>
            <w:color w:val="auto"/>
            <w:sz w:val="22"/>
            <w:szCs w:val="22"/>
          </w:rPr>
          <w:t>kquinlan@edc.org</w:t>
        </w:r>
      </w:hyperlink>
      <w:r w:rsidRPr="0081245E" w:rsidR="00986FCE">
        <w:rPr>
          <w:rFonts w:asciiTheme="minorHAnsi" w:hAnsiTheme="minorHAnsi" w:cstheme="minorHAnsi"/>
          <w:bCs/>
          <w:sz w:val="22"/>
          <w:szCs w:val="22"/>
        </w:rPr>
        <w:t>;</w:t>
      </w:r>
    </w:p>
    <w:p w:rsidR="006F4DDB" w:rsidRPr="0081245E" w:rsidP="00496E50" w14:paraId="21AEB927" w14:textId="2FC2DABA">
      <w:pPr>
        <w:pStyle w:val="NormalWeb"/>
        <w:numPr>
          <w:ilvl w:val="0"/>
          <w:numId w:val="15"/>
        </w:numPr>
        <w:shd w:val="clear" w:color="auto" w:fill="FFFFFF"/>
        <w:tabs>
          <w:tab w:val="clear" w:pos="1080"/>
        </w:tabs>
        <w:spacing w:before="0" w:beforeAutospacing="0" w:after="0" w:afterAutospacing="0"/>
        <w:ind w:left="900"/>
        <w:rPr>
          <w:rFonts w:asciiTheme="minorHAnsi" w:hAnsiTheme="minorHAnsi" w:cstheme="minorHAnsi"/>
          <w:sz w:val="22"/>
          <w:szCs w:val="22"/>
        </w:rPr>
      </w:pPr>
      <w:r>
        <w:rPr>
          <w:rFonts w:asciiTheme="minorHAnsi" w:hAnsiTheme="minorHAnsi" w:cstheme="minorHAnsi"/>
          <w:bCs/>
          <w:sz w:val="22"/>
          <w:szCs w:val="22"/>
        </w:rPr>
        <w:t xml:space="preserve">Alissa Bey, PhD, Education Development Center, Inc., </w:t>
      </w:r>
      <w:r w:rsidRPr="00723FCE" w:rsidR="00723FCE">
        <w:rPr>
          <w:rFonts w:asciiTheme="minorHAnsi" w:hAnsiTheme="minorHAnsi" w:cstheme="minorHAnsi"/>
          <w:bCs/>
          <w:sz w:val="22"/>
          <w:szCs w:val="22"/>
        </w:rPr>
        <w:t>617</w:t>
      </w:r>
      <w:r w:rsidR="00723FCE">
        <w:rPr>
          <w:rFonts w:asciiTheme="minorHAnsi" w:hAnsiTheme="minorHAnsi" w:cstheme="minorHAnsi"/>
          <w:bCs/>
          <w:sz w:val="22"/>
          <w:szCs w:val="22"/>
        </w:rPr>
        <w:t>.</w:t>
      </w:r>
      <w:r w:rsidRPr="00723FCE" w:rsidR="00723FCE">
        <w:rPr>
          <w:rFonts w:asciiTheme="minorHAnsi" w:hAnsiTheme="minorHAnsi" w:cstheme="minorHAnsi"/>
          <w:bCs/>
          <w:sz w:val="22"/>
          <w:szCs w:val="22"/>
        </w:rPr>
        <w:t>618</w:t>
      </w:r>
      <w:r w:rsidR="00723FCE">
        <w:rPr>
          <w:rFonts w:asciiTheme="minorHAnsi" w:hAnsiTheme="minorHAnsi" w:cstheme="minorHAnsi"/>
          <w:bCs/>
          <w:sz w:val="22"/>
          <w:szCs w:val="22"/>
        </w:rPr>
        <w:t>.</w:t>
      </w:r>
      <w:r w:rsidRPr="00723FCE" w:rsidR="00723FCE">
        <w:rPr>
          <w:rFonts w:asciiTheme="minorHAnsi" w:hAnsiTheme="minorHAnsi" w:cstheme="minorHAnsi"/>
          <w:bCs/>
          <w:sz w:val="22"/>
          <w:szCs w:val="22"/>
        </w:rPr>
        <w:t>2381</w:t>
      </w:r>
      <w:r w:rsidR="00723FCE">
        <w:rPr>
          <w:rFonts w:asciiTheme="minorHAnsi" w:hAnsiTheme="minorHAnsi" w:cstheme="minorHAnsi"/>
          <w:bCs/>
          <w:sz w:val="22"/>
          <w:szCs w:val="22"/>
        </w:rPr>
        <w:t xml:space="preserve"> </w:t>
      </w:r>
      <w:hyperlink r:id="rId12" w:history="1">
        <w:r w:rsidRPr="00723FCE" w:rsidR="00723FCE">
          <w:rPr>
            <w:rStyle w:val="Hyperlink"/>
            <w:rFonts w:asciiTheme="minorHAnsi" w:hAnsiTheme="minorHAnsi" w:cstheme="minorHAnsi"/>
            <w:bCs/>
            <w:color w:val="auto"/>
            <w:sz w:val="22"/>
            <w:szCs w:val="22"/>
          </w:rPr>
          <w:t>abey@edc.gov</w:t>
        </w:r>
      </w:hyperlink>
      <w:r w:rsidRPr="00723FCE" w:rsidR="00723FCE">
        <w:rPr>
          <w:rFonts w:asciiTheme="minorHAnsi" w:hAnsiTheme="minorHAnsi" w:cstheme="minorHAnsi"/>
          <w:bCs/>
          <w:sz w:val="22"/>
          <w:szCs w:val="22"/>
        </w:rPr>
        <w:t xml:space="preserve"> </w:t>
      </w:r>
    </w:p>
    <w:p w:rsidR="00BF6E54" w:rsidRPr="003063E3" w:rsidP="003063E3" w14:paraId="6EB970AD" w14:textId="3A29F292">
      <w:pPr>
        <w:pStyle w:val="NormalWeb"/>
        <w:numPr>
          <w:ilvl w:val="0"/>
          <w:numId w:val="15"/>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 xml:space="preserve">Katie </w:t>
      </w:r>
      <w:r w:rsidRPr="0081245E" w:rsidR="00986FCE">
        <w:rPr>
          <w:rFonts w:asciiTheme="minorHAnsi" w:hAnsiTheme="minorHAnsi" w:cstheme="minorHAnsi"/>
          <w:bCs/>
          <w:sz w:val="22"/>
          <w:szCs w:val="22"/>
        </w:rPr>
        <w:t xml:space="preserve">Ferro, JPA Health, </w:t>
      </w:r>
      <w:hyperlink r:id="rId13" w:history="1">
        <w:r w:rsidRPr="0081245E" w:rsidR="00986FCE">
          <w:rPr>
            <w:rStyle w:val="Hyperlink"/>
            <w:rFonts w:asciiTheme="minorHAnsi" w:hAnsiTheme="minorHAnsi" w:cstheme="minorHAnsi"/>
            <w:bCs/>
            <w:color w:val="auto"/>
            <w:sz w:val="22"/>
            <w:szCs w:val="22"/>
          </w:rPr>
          <w:t>kferro@jpa.com</w:t>
        </w:r>
      </w:hyperlink>
      <w:r w:rsidRPr="0081245E" w:rsidR="00986FCE">
        <w:rPr>
          <w:rFonts w:asciiTheme="minorHAnsi" w:hAnsiTheme="minorHAnsi" w:cstheme="minorHAnsi"/>
          <w:bCs/>
          <w:sz w:val="22"/>
          <w:szCs w:val="22"/>
        </w:rPr>
        <w:t xml:space="preserve">, </w:t>
      </w:r>
      <w:r w:rsidRPr="0081245E" w:rsidR="00035F84">
        <w:rPr>
          <w:rFonts w:asciiTheme="minorHAnsi" w:hAnsiTheme="minorHAnsi" w:cstheme="minorHAnsi"/>
          <w:sz w:val="22"/>
          <w:szCs w:val="22"/>
        </w:rPr>
        <w:t xml:space="preserve">980.800.2401, </w:t>
      </w:r>
      <w:r w:rsidRPr="0081245E" w:rsidR="00986FCE">
        <w:rPr>
          <w:rFonts w:asciiTheme="minorHAnsi" w:hAnsiTheme="minorHAnsi" w:cstheme="minorHAnsi"/>
          <w:sz w:val="22"/>
          <w:szCs w:val="22"/>
          <w:lang w:val="fr-FR"/>
        </w:rPr>
        <w:t>ext</w:t>
      </w:r>
      <w:r w:rsidRPr="0081245E" w:rsidR="00986FCE">
        <w:rPr>
          <w:rFonts w:asciiTheme="minorHAnsi" w:hAnsiTheme="minorHAnsi" w:cstheme="minorHAnsi"/>
          <w:sz w:val="22"/>
          <w:szCs w:val="22"/>
          <w:lang w:val="fr-FR"/>
        </w:rPr>
        <w:t>. 10.</w:t>
      </w:r>
    </w:p>
    <w:p w:rsidR="00BF6E54" w:rsidRPr="0081245E" w:rsidP="00785CCE" w14:paraId="79AEC760" w14:textId="19E1945B">
      <w:pPr>
        <w:pStyle w:val="NormalWeb"/>
        <w:shd w:val="clear" w:color="auto" w:fill="FFFFFF" w:themeFill="background1"/>
        <w:spacing w:before="0" w:beforeAutospacing="0" w:after="0" w:afterAutospacing="0"/>
        <w:ind w:left="360"/>
        <w:rPr>
          <w:rFonts w:asciiTheme="minorHAnsi" w:eastAsiaTheme="minorEastAsia" w:hAnsiTheme="minorHAnsi" w:cstheme="minorHAnsi"/>
          <w:sz w:val="22"/>
          <w:szCs w:val="22"/>
        </w:rPr>
      </w:pPr>
      <w:r w:rsidRPr="0081245E">
        <w:rPr>
          <w:rFonts w:asciiTheme="minorHAnsi" w:eastAsiaTheme="minorEastAsia" w:hAnsiTheme="minorHAnsi" w:cstheme="minorHAnsi"/>
          <w:sz w:val="22"/>
          <w:szCs w:val="22"/>
        </w:rPr>
        <w:t xml:space="preserve">The following individual will provide </w:t>
      </w:r>
      <w:r w:rsidRPr="0081245E" w:rsidR="00BF339D">
        <w:rPr>
          <w:rFonts w:asciiTheme="minorHAnsi" w:eastAsiaTheme="minorEastAsia" w:hAnsiTheme="minorHAnsi" w:cstheme="minorHAnsi"/>
          <w:sz w:val="22"/>
          <w:szCs w:val="22"/>
        </w:rPr>
        <w:t>statistical</w:t>
      </w:r>
      <w:r w:rsidRPr="0081245E" w:rsidR="00351D10">
        <w:rPr>
          <w:rFonts w:asciiTheme="minorHAnsi" w:eastAsiaTheme="minorEastAsia" w:hAnsiTheme="minorHAnsi" w:cstheme="minorHAnsi"/>
          <w:sz w:val="22"/>
          <w:szCs w:val="22"/>
        </w:rPr>
        <w:t xml:space="preserve"> expertise </w:t>
      </w:r>
      <w:r w:rsidRPr="0081245E" w:rsidR="00BF339D">
        <w:rPr>
          <w:rFonts w:asciiTheme="minorHAnsi" w:eastAsiaTheme="minorEastAsia" w:hAnsiTheme="minorHAnsi" w:cstheme="minorHAnsi"/>
          <w:sz w:val="22"/>
          <w:szCs w:val="22"/>
        </w:rPr>
        <w:t xml:space="preserve">for the quantitative analysis plan: </w:t>
      </w:r>
    </w:p>
    <w:p w:rsidR="00A93763" w:rsidRPr="0081245E" w:rsidP="00A93763" w14:paraId="2FF8DDD5" w14:textId="40ECC3BC">
      <w:pPr>
        <w:pStyle w:val="NormalWeb"/>
        <w:numPr>
          <w:ilvl w:val="0"/>
          <w:numId w:val="14"/>
        </w:numPr>
        <w:shd w:val="clear" w:color="auto" w:fill="FFFFFF"/>
        <w:tabs>
          <w:tab w:val="clear" w:pos="1080"/>
        </w:tabs>
        <w:spacing w:before="0" w:beforeAutospacing="0" w:after="0" w:afterAutospacing="0"/>
        <w:ind w:left="900"/>
        <w:rPr>
          <w:rFonts w:asciiTheme="minorHAnsi" w:hAnsiTheme="minorHAnsi" w:cstheme="minorHAnsi"/>
          <w:sz w:val="22"/>
          <w:szCs w:val="22"/>
        </w:rPr>
      </w:pPr>
      <w:r w:rsidRPr="0081245E">
        <w:rPr>
          <w:rFonts w:asciiTheme="minorHAnsi" w:hAnsiTheme="minorHAnsi" w:cstheme="minorHAnsi"/>
          <w:bCs/>
          <w:sz w:val="22"/>
          <w:szCs w:val="22"/>
        </w:rPr>
        <w:t xml:space="preserve">Makoto Hanita, PhD, Education Development Center, Inc. </w:t>
      </w:r>
      <w:r w:rsidRPr="0081245E" w:rsidR="00986FCE">
        <w:rPr>
          <w:rFonts w:asciiTheme="minorHAnsi" w:hAnsiTheme="minorHAnsi" w:cstheme="minorHAnsi"/>
          <w:bCs/>
          <w:sz w:val="22"/>
          <w:szCs w:val="22"/>
        </w:rPr>
        <w:t>617.618.2347</w:t>
      </w:r>
      <w:r w:rsidRPr="0081245E">
        <w:rPr>
          <w:rFonts w:asciiTheme="minorHAnsi" w:hAnsiTheme="minorHAnsi" w:cstheme="minorHAnsi"/>
          <w:bCs/>
          <w:sz w:val="22"/>
          <w:szCs w:val="22"/>
        </w:rPr>
        <w:t xml:space="preserve">, </w:t>
      </w:r>
      <w:hyperlink r:id="rId10" w:history="1">
        <w:r w:rsidRPr="0081245E">
          <w:rPr>
            <w:rStyle w:val="Hyperlink"/>
            <w:rFonts w:asciiTheme="minorHAnsi" w:hAnsiTheme="minorHAnsi" w:cstheme="minorHAnsi"/>
            <w:bCs/>
            <w:color w:val="auto"/>
            <w:sz w:val="22"/>
            <w:szCs w:val="22"/>
          </w:rPr>
          <w:t>mhanita@edc.org</w:t>
        </w:r>
      </w:hyperlink>
    </w:p>
    <w:p w:rsidR="00314605" w:rsidRPr="0081245E" w:rsidP="00A93763" w14:paraId="31339B32" w14:textId="64065B7A">
      <w:pPr>
        <w:pStyle w:val="NormalWeb"/>
        <w:shd w:val="clear" w:color="auto" w:fill="FFFFFF"/>
        <w:spacing w:before="0" w:beforeAutospacing="0" w:after="0" w:afterAutospacing="0"/>
        <w:rPr>
          <w:rFonts w:asciiTheme="minorHAnsi" w:hAnsiTheme="minorHAnsi" w:cstheme="minorHAnsi"/>
          <w:sz w:val="22"/>
          <w:szCs w:val="22"/>
        </w:rPr>
      </w:pPr>
    </w:p>
    <w:sectPr w:rsidSect="00986FC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8BB" w14:paraId="0FDCD5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474217"/>
      <w:docPartObj>
        <w:docPartGallery w:val="Page Numbers (Bottom of Page)"/>
        <w:docPartUnique/>
      </w:docPartObj>
    </w:sdtPr>
    <w:sdtEndPr>
      <w:rPr>
        <w:noProof/>
      </w:rPr>
    </w:sdtEndPr>
    <w:sdtContent>
      <w:p w:rsidR="00E52E21" w14:paraId="1BED4A9C" w14:textId="302E05D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85CCE">
          <w:rPr>
            <w:noProof/>
          </w:rPr>
          <w:t>10</w:t>
        </w:r>
        <w:r>
          <w:rPr>
            <w:noProof/>
            <w:color w:val="2B579A"/>
            <w:shd w:val="clear" w:color="auto" w:fill="E6E6E6"/>
          </w:rPr>
          <w:fldChar w:fldCharType="end"/>
        </w:r>
      </w:p>
    </w:sdtContent>
  </w:sdt>
  <w:p w:rsidR="00E52E21" w14:paraId="4D3F39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8BB" w14:paraId="1CE7C4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4A79" w:rsidP="00C83FEB" w14:paraId="59C8BFA8" w14:textId="77777777">
      <w:pPr>
        <w:spacing w:after="0" w:line="240" w:lineRule="auto"/>
      </w:pPr>
      <w:r>
        <w:separator/>
      </w:r>
    </w:p>
  </w:footnote>
  <w:footnote w:type="continuationSeparator" w:id="1">
    <w:p w:rsidR="00514A79" w:rsidP="00C83FEB" w14:paraId="54A55D9A" w14:textId="77777777">
      <w:pPr>
        <w:spacing w:after="0" w:line="240" w:lineRule="auto"/>
      </w:pPr>
      <w:r>
        <w:continuationSeparator/>
      </w:r>
    </w:p>
  </w:footnote>
  <w:footnote w:type="continuationNotice" w:id="2">
    <w:p w:rsidR="00514A79" w14:paraId="3AFEED87" w14:textId="77777777">
      <w:pPr>
        <w:spacing w:after="0" w:line="240" w:lineRule="auto"/>
      </w:pPr>
    </w:p>
  </w:footnote>
  <w:footnote w:id="3">
    <w:p w:rsidR="002F024C" w:rsidRPr="00541485" w:rsidP="002F024C" w14:paraId="6BA7D98D" w14:textId="77777777">
      <w:pPr>
        <w:pStyle w:val="FootnoteText"/>
        <w:rPr>
          <w:rFonts w:cstheme="minorHAnsi"/>
          <w:sz w:val="18"/>
          <w:szCs w:val="18"/>
        </w:rPr>
      </w:pPr>
      <w:r w:rsidRPr="00541485">
        <w:rPr>
          <w:rStyle w:val="FootnoteReference"/>
          <w:rFonts w:cstheme="minorHAnsi"/>
          <w:sz w:val="18"/>
          <w:szCs w:val="18"/>
        </w:rPr>
        <w:footnoteRef/>
      </w:r>
      <w:r w:rsidRPr="00541485">
        <w:rPr>
          <w:rFonts w:cstheme="minorHAnsi"/>
          <w:sz w:val="18"/>
          <w:szCs w:val="18"/>
        </w:rPr>
        <w:t xml:space="preserve"> Wu, M., Zhao, K., &amp; </w:t>
      </w:r>
      <w:r w:rsidRPr="00541485">
        <w:rPr>
          <w:rFonts w:cstheme="minorHAnsi"/>
          <w:sz w:val="18"/>
          <w:szCs w:val="18"/>
        </w:rPr>
        <w:t>Fils-Aime</w:t>
      </w:r>
      <w:r w:rsidRPr="00541485">
        <w:rPr>
          <w:rFonts w:cstheme="minorHAnsi"/>
          <w:sz w:val="18"/>
          <w:szCs w:val="18"/>
        </w:rPr>
        <w:t>, F. (2022). Response rates of online surveys in published research: A meta-analysis.</w:t>
      </w:r>
    </w:p>
    <w:p w:rsidR="002F024C" w:rsidP="002F024C" w14:paraId="2151F095" w14:textId="77777777">
      <w:pPr>
        <w:pStyle w:val="FootnoteText"/>
      </w:pPr>
      <w:r w:rsidRPr="00541485">
        <w:rPr>
          <w:rFonts w:cstheme="minorHAnsi"/>
          <w:i/>
          <w:sz w:val="18"/>
          <w:szCs w:val="18"/>
        </w:rPr>
        <w:t>Computers in Human Behavior Reports,</w:t>
      </w:r>
      <w:r w:rsidRPr="00541485">
        <w:rPr>
          <w:rFonts w:cstheme="minorHAnsi"/>
          <w:sz w:val="18"/>
          <w:szCs w:val="18"/>
        </w:rPr>
        <w:t xml:space="preserve"> 7,100206. https://doi.org/10.1016/j.chbr.2022.100206</w:t>
      </w:r>
    </w:p>
  </w:footnote>
  <w:footnote w:id="4">
    <w:p w:rsidR="00D2243C" w:rsidRPr="007476F4" w:rsidP="00D2243C" w14:paraId="03555E2A" w14:textId="77777777">
      <w:pPr>
        <w:pStyle w:val="CommentText"/>
        <w:rPr>
          <w:rFonts w:cstheme="minorHAnsi"/>
        </w:rPr>
      </w:pPr>
      <w:r w:rsidRPr="007476F4">
        <w:rPr>
          <w:rStyle w:val="FootnoteReference"/>
          <w:rFonts w:cstheme="minorHAnsi"/>
          <w:sz w:val="18"/>
          <w:szCs w:val="18"/>
        </w:rPr>
        <w:footnoteRef/>
      </w:r>
      <w:r w:rsidRPr="007476F4">
        <w:rPr>
          <w:rFonts w:cstheme="minorHAnsi"/>
        </w:rPr>
        <w:t xml:space="preserve"> </w:t>
      </w:r>
      <w:r w:rsidRPr="007476F4">
        <w:rPr>
          <w:rFonts w:cstheme="minorHAnsi"/>
          <w:color w:val="000000"/>
          <w:sz w:val="18"/>
          <w:szCs w:val="18"/>
          <w:shd w:val="clear" w:color="auto" w:fill="FFFFFF"/>
        </w:rPr>
        <w:t>Duszynski</w:t>
      </w:r>
      <w:r w:rsidRPr="007476F4">
        <w:rPr>
          <w:rFonts w:cstheme="minorHAnsi"/>
          <w:color w:val="000000"/>
          <w:sz w:val="18"/>
          <w:szCs w:val="18"/>
          <w:shd w:val="clear" w:color="auto" w:fill="FFFFFF"/>
        </w:rPr>
        <w:t xml:space="preserve">, T. J., Fadel, W., Dixon, B. E., </w:t>
      </w:r>
      <w:r w:rsidRPr="007476F4">
        <w:rPr>
          <w:rFonts w:cstheme="minorHAnsi"/>
          <w:color w:val="000000"/>
          <w:sz w:val="18"/>
          <w:szCs w:val="18"/>
          <w:shd w:val="clear" w:color="auto" w:fill="FFFFFF"/>
        </w:rPr>
        <w:t>Yiannoutsos</w:t>
      </w:r>
      <w:r w:rsidRPr="007476F4">
        <w:rPr>
          <w:rFonts w:cstheme="minorHAnsi"/>
          <w:color w:val="000000"/>
          <w:sz w:val="18"/>
          <w:szCs w:val="18"/>
          <w:shd w:val="clear" w:color="auto" w:fill="FFFFFF"/>
        </w:rPr>
        <w:t xml:space="preserve">, C., Halverson, P. K., &amp; </w:t>
      </w:r>
      <w:r w:rsidRPr="007476F4">
        <w:rPr>
          <w:rFonts w:cstheme="minorHAnsi"/>
          <w:color w:val="000000"/>
          <w:sz w:val="18"/>
          <w:szCs w:val="18"/>
          <w:shd w:val="clear" w:color="auto" w:fill="FFFFFF"/>
        </w:rPr>
        <w:t>Menachemi</w:t>
      </w:r>
      <w:r w:rsidRPr="007476F4">
        <w:rPr>
          <w:rFonts w:cstheme="minorHAnsi"/>
          <w:color w:val="000000"/>
          <w:sz w:val="18"/>
          <w:szCs w:val="18"/>
          <w:shd w:val="clear" w:color="auto" w:fill="FFFFFF"/>
        </w:rPr>
        <w:t xml:space="preserve">, N. (2022). Successive wave analysis to assess nonresponse bias in a statewide random sample testing study for SARS-CoV-2. </w:t>
      </w:r>
      <w:r w:rsidRPr="007476F4">
        <w:rPr>
          <w:rFonts w:cstheme="minorHAnsi"/>
          <w:i/>
          <w:color w:val="000000"/>
          <w:sz w:val="18"/>
          <w:szCs w:val="18"/>
          <w:shd w:val="clear" w:color="auto" w:fill="FFFFFF"/>
        </w:rPr>
        <w:t>Journal of Public Health Management and Practice</w:t>
      </w:r>
      <w:r w:rsidRPr="007476F4">
        <w:rPr>
          <w:rFonts w:cstheme="minorHAnsi"/>
          <w:color w:val="000000"/>
          <w:sz w:val="18"/>
          <w:szCs w:val="18"/>
          <w:shd w:val="clear" w:color="auto" w:fill="FFFFFF"/>
        </w:rPr>
        <w:t xml:space="preserve">, </w:t>
      </w:r>
      <w:r w:rsidRPr="007476F4">
        <w:rPr>
          <w:rFonts w:cstheme="minorHAnsi"/>
          <w:i/>
          <w:color w:val="000000"/>
          <w:sz w:val="18"/>
          <w:szCs w:val="18"/>
          <w:shd w:val="clear" w:color="auto" w:fill="FFFFFF"/>
        </w:rPr>
        <w:t>28</w:t>
      </w:r>
      <w:r w:rsidRPr="007476F4">
        <w:rPr>
          <w:rFonts w:cstheme="minorHAnsi"/>
          <w:color w:val="000000"/>
          <w:sz w:val="18"/>
          <w:szCs w:val="18"/>
          <w:shd w:val="clear" w:color="auto" w:fill="FFFFFF"/>
        </w:rPr>
        <w:t xml:space="preserve">(4), E685-E691. </w:t>
      </w:r>
      <w:r w:rsidRPr="007476F4">
        <w:rPr>
          <w:rFonts w:cstheme="minorHAnsi"/>
          <w:color w:val="000000"/>
          <w:sz w:val="18"/>
          <w:szCs w:val="18"/>
          <w:shd w:val="clear" w:color="auto" w:fill="FFFFFF"/>
        </w:rPr>
        <w:t>doi</w:t>
      </w:r>
      <w:r w:rsidRPr="007476F4">
        <w:rPr>
          <w:rFonts w:cstheme="minorHAnsi"/>
          <w:color w:val="000000"/>
          <w:sz w:val="18"/>
          <w:szCs w:val="18"/>
          <w:shd w:val="clear" w:color="auto" w:fill="FFFFFF"/>
        </w:rPr>
        <w:t>: 10.1097/PHH.0000000000001508.</w:t>
      </w:r>
      <w:r w:rsidRPr="007476F4">
        <w:rPr>
          <w:rFonts w:cstheme="minorHAnsi"/>
          <w:color w:val="000000"/>
          <w:sz w:val="21"/>
          <w:szCs w:val="21"/>
          <w:shd w:val="clear" w:color="auto" w:fill="FFFFFF"/>
        </w:rPr>
        <w:t xml:space="preserve"> </w:t>
      </w:r>
    </w:p>
  </w:footnote>
  <w:footnote w:id="5">
    <w:p w:rsidR="00D2243C" w:rsidP="00D2243C" w14:paraId="7D0A282D" w14:textId="77777777">
      <w:pPr>
        <w:pStyle w:val="FootnoteText"/>
        <w:spacing w:line="216" w:lineRule="auto"/>
      </w:pPr>
      <w:r w:rsidRPr="007476F4">
        <w:rPr>
          <w:rStyle w:val="FootnoteReference"/>
          <w:rFonts w:cstheme="minorHAnsi"/>
        </w:rPr>
        <w:footnoteRef/>
      </w:r>
      <w:r w:rsidRPr="007476F4">
        <w:rPr>
          <w:rFonts w:cstheme="minorHAnsi"/>
        </w:rPr>
        <w:t xml:space="preserve"> </w:t>
      </w:r>
      <w:r w:rsidRPr="007476F4">
        <w:rPr>
          <w:rFonts w:cstheme="minorHAnsi"/>
          <w:sz w:val="18"/>
          <w:szCs w:val="18"/>
        </w:rPr>
        <w:t xml:space="preserve">While not the only outcome of interest, studies have found associations between socio-demographic factors and burnout and include, for example: Teshome, B. G., Desai, M. M., Gross, C. P., Hill, K. A., Li, F., </w:t>
      </w:r>
      <w:r w:rsidRPr="007476F4">
        <w:rPr>
          <w:rFonts w:cstheme="minorHAnsi"/>
          <w:sz w:val="18"/>
          <w:szCs w:val="18"/>
        </w:rPr>
        <w:t>Samuals</w:t>
      </w:r>
      <w:r w:rsidRPr="007476F4">
        <w:rPr>
          <w:rFonts w:cstheme="minorHAnsi"/>
          <w:sz w:val="18"/>
          <w:szCs w:val="18"/>
        </w:rPr>
        <w:t xml:space="preserve">, E. A., et al. (2022). Marginalized identities, mistreatment, discrimination, and burnout among US medical students: Cross sectional survey and retrospective cohort study, </w:t>
      </w:r>
      <w:r w:rsidRPr="007476F4">
        <w:rPr>
          <w:rFonts w:cstheme="minorHAnsi"/>
          <w:i/>
          <w:sz w:val="18"/>
          <w:szCs w:val="18"/>
        </w:rPr>
        <w:t>BMJ,</w:t>
      </w:r>
      <w:r w:rsidRPr="007476F4">
        <w:rPr>
          <w:rFonts w:cstheme="minorHAnsi"/>
          <w:sz w:val="18"/>
          <w:szCs w:val="18"/>
        </w:rPr>
        <w:t xml:space="preserve"> 376, e065984; and</w:t>
      </w:r>
      <w:r w:rsidRPr="007476F4">
        <w:rPr>
          <w:rFonts w:cstheme="minorHAnsi"/>
        </w:rPr>
        <w:t xml:space="preserve"> </w:t>
      </w:r>
      <w:r w:rsidRPr="007476F4">
        <w:rPr>
          <w:rFonts w:cstheme="minorHAnsi"/>
          <w:color w:val="222222"/>
          <w:sz w:val="18"/>
          <w:szCs w:val="18"/>
          <w:shd w:val="clear" w:color="auto" w:fill="FFFFFF"/>
        </w:rPr>
        <w:t>Gualano</w:t>
      </w:r>
      <w:r w:rsidRPr="007476F4">
        <w:rPr>
          <w:rFonts w:cstheme="minorHAnsi"/>
          <w:color w:val="222222"/>
          <w:sz w:val="18"/>
          <w:szCs w:val="18"/>
          <w:shd w:val="clear" w:color="auto" w:fill="FFFFFF"/>
        </w:rPr>
        <w:t xml:space="preserve">, M. R., </w:t>
      </w:r>
      <w:r w:rsidRPr="007476F4">
        <w:rPr>
          <w:rFonts w:cstheme="minorHAnsi"/>
          <w:color w:val="222222"/>
          <w:sz w:val="18"/>
          <w:szCs w:val="18"/>
          <w:shd w:val="clear" w:color="auto" w:fill="FFFFFF"/>
        </w:rPr>
        <w:t>Sinigaglia</w:t>
      </w:r>
      <w:r w:rsidRPr="007476F4">
        <w:rPr>
          <w:rFonts w:cstheme="minorHAnsi"/>
          <w:color w:val="222222"/>
          <w:sz w:val="18"/>
          <w:szCs w:val="18"/>
          <w:shd w:val="clear" w:color="auto" w:fill="FFFFFF"/>
        </w:rPr>
        <w:t xml:space="preserve">, T., Lo Moro, G., </w:t>
      </w:r>
      <w:r w:rsidRPr="007476F4">
        <w:rPr>
          <w:rFonts w:cstheme="minorHAnsi"/>
          <w:color w:val="222222"/>
          <w:sz w:val="18"/>
          <w:szCs w:val="18"/>
          <w:shd w:val="clear" w:color="auto" w:fill="FFFFFF"/>
        </w:rPr>
        <w:t>Rousset</w:t>
      </w:r>
      <w:r w:rsidRPr="007476F4">
        <w:rPr>
          <w:rFonts w:cstheme="minorHAnsi"/>
          <w:color w:val="222222"/>
          <w:sz w:val="18"/>
          <w:szCs w:val="18"/>
          <w:shd w:val="clear" w:color="auto" w:fill="FFFFFF"/>
        </w:rPr>
        <w:t xml:space="preserve">, S., Cremona, A., Bert, F., &amp; </w:t>
      </w:r>
      <w:r w:rsidRPr="007476F4">
        <w:rPr>
          <w:rFonts w:cstheme="minorHAnsi"/>
          <w:color w:val="222222"/>
          <w:sz w:val="18"/>
          <w:szCs w:val="18"/>
          <w:shd w:val="clear" w:color="auto" w:fill="FFFFFF"/>
        </w:rPr>
        <w:t>Siliquini</w:t>
      </w:r>
      <w:r w:rsidRPr="007476F4">
        <w:rPr>
          <w:rFonts w:cstheme="minorHAnsi"/>
          <w:color w:val="222222"/>
          <w:sz w:val="18"/>
          <w:szCs w:val="18"/>
          <w:shd w:val="clear" w:color="auto" w:fill="FFFFFF"/>
        </w:rPr>
        <w:t>, R. (2021). The Burden of Burnout among Healthcare Professionals of Intensive Care Units and Emergency Departments during the COVID-19 Pandemic: A Systematic Review. </w:t>
      </w:r>
      <w:r w:rsidRPr="007476F4">
        <w:rPr>
          <w:rFonts w:cstheme="minorHAnsi"/>
          <w:i/>
          <w:iCs/>
          <w:color w:val="222222"/>
          <w:sz w:val="18"/>
          <w:szCs w:val="18"/>
          <w:shd w:val="clear" w:color="auto" w:fill="FFFFFF"/>
        </w:rPr>
        <w:t>International Journal of Environmental Research and Public Health</w:t>
      </w:r>
      <w:r w:rsidRPr="007476F4">
        <w:rPr>
          <w:rFonts w:cstheme="minorHAnsi"/>
          <w:color w:val="222222"/>
          <w:sz w:val="18"/>
          <w:szCs w:val="18"/>
          <w:shd w:val="clear" w:color="auto" w:fill="FFFFFF"/>
        </w:rPr>
        <w:t>, </w:t>
      </w:r>
      <w:r w:rsidRPr="007476F4">
        <w:rPr>
          <w:rFonts w:cstheme="minorHAnsi"/>
          <w:i/>
          <w:iCs/>
          <w:color w:val="222222"/>
          <w:sz w:val="18"/>
          <w:szCs w:val="18"/>
          <w:shd w:val="clear" w:color="auto" w:fill="FFFFFF"/>
        </w:rPr>
        <w:t>18</w:t>
      </w:r>
      <w:r w:rsidRPr="007476F4">
        <w:rPr>
          <w:rFonts w:cstheme="minorHAnsi"/>
          <w:color w:val="222222"/>
          <w:sz w:val="18"/>
          <w:szCs w:val="18"/>
          <w:shd w:val="clear" w:color="auto" w:fill="FFFFFF"/>
        </w:rPr>
        <w:t>(15), 8172.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8BB" w14:paraId="20E7AE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E21" w:rsidRPr="00E52E21" w14:paraId="0CC2F1B9" w14:textId="3AAA2055">
    <w:pPr>
      <w:pStyle w:val="Header"/>
      <w:rPr>
        <w:rFonts w:ascii="Times New Roman" w:hAnsi="Times New Roman" w:cs="Times New Roman"/>
        <w:i/>
        <w:sz w:val="20"/>
        <w:szCs w:val="20"/>
      </w:rPr>
    </w:pPr>
    <w:r>
      <w:rPr>
        <w:rFonts w:ascii="Times New Roman" w:hAnsi="Times New Roman" w:cs="Times New Roman"/>
        <w:i/>
        <w:sz w:val="20"/>
        <w:szCs w:val="20"/>
      </w:rPr>
      <w:t xml:space="preserve">Evaluation of Health Worker </w:t>
    </w:r>
    <w:r w:rsidRPr="00E52E21">
      <w:rPr>
        <w:rFonts w:ascii="Times New Roman" w:hAnsi="Times New Roman" w:cs="Times New Roman"/>
        <w:i/>
        <w:sz w:val="20"/>
        <w:szCs w:val="20"/>
      </w:rPr>
      <w:t>Mental Health</w:t>
    </w:r>
    <w:r>
      <w:rPr>
        <w:rFonts w:ascii="Times New Roman" w:hAnsi="Times New Roman" w:cs="Times New Roman"/>
        <w:i/>
        <w:sz w:val="20"/>
        <w:szCs w:val="20"/>
      </w:rPr>
      <w:t xml:space="preserve"> Campaign</w:t>
    </w:r>
    <w:r w:rsidRPr="00E52E21">
      <w:rPr>
        <w:rFonts w:ascii="Times New Roman" w:hAnsi="Times New Roman" w:cs="Times New Roman"/>
        <w:i/>
        <w:sz w:val="20"/>
        <w:szCs w:val="20"/>
      </w:rPr>
      <w:tab/>
    </w:r>
    <w:r w:rsidRPr="00E52E21">
      <w:rPr>
        <w:rFonts w:ascii="Times New Roman" w:hAnsi="Times New Roman" w:cs="Times New Roman"/>
        <w:i/>
        <w:sz w:val="20"/>
        <w:szCs w:val="20"/>
      </w:rPr>
      <w:tab/>
      <w:t>Supporting Statement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8BB" w14:paraId="0E45D2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60B40"/>
    <w:multiLevelType w:val="multilevel"/>
    <w:tmpl w:val="3B605EF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ascii="Times New Roman" w:hAnsi="Times New Roman" w:cs="Times New Roman" w:hint="default"/>
        <w:b/>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146AE"/>
    <w:multiLevelType w:val="multilevel"/>
    <w:tmpl w:val="7C72A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F52532"/>
    <w:multiLevelType w:val="hybridMultilevel"/>
    <w:tmpl w:val="4718D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192AD6"/>
    <w:multiLevelType w:val="multilevel"/>
    <w:tmpl w:val="5644CAEA"/>
    <w:lvl w:ilvl="0">
      <w:start w:val="2"/>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F44BB5"/>
    <w:multiLevelType w:val="multilevel"/>
    <w:tmpl w:val="3E9440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ascii="Times New Roman" w:hAnsi="Times New Roman" w:cs="Times New Roman" w:hint="default"/>
        <w:b/>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971413"/>
    <w:multiLevelType w:val="hybridMultilevel"/>
    <w:tmpl w:val="F566E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E17DDC"/>
    <w:multiLevelType w:val="multilevel"/>
    <w:tmpl w:val="696A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A8B1A"/>
    <w:multiLevelType w:val="hybridMultilevel"/>
    <w:tmpl w:val="FBEE7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111CDA"/>
    <w:multiLevelType w:val="hybridMultilevel"/>
    <w:tmpl w:val="9CC81590"/>
    <w:lvl w:ilvl="0">
      <w:start w:val="1"/>
      <w:numFmt w:val="bullet"/>
      <w:lvlText w:val="¦"/>
      <w:lvlJc w:val="left"/>
      <w:pPr>
        <w:ind w:left="2160" w:hanging="360"/>
      </w:pPr>
      <w:rPr>
        <w:rFonts w:ascii="Wingdings" w:hAnsi="Wingdings" w:hint="default"/>
        <w:sz w:val="28"/>
        <w:szCs w:val="28"/>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nsid w:val="5DA4198D"/>
    <w:multiLevelType w:val="hybridMultilevel"/>
    <w:tmpl w:val="1730E6E4"/>
    <w:lvl w:ilvl="0">
      <w:start w:val="1"/>
      <w:numFmt w:val="decimal"/>
      <w:lvlText w:val="%1."/>
      <w:lvlJc w:val="left"/>
      <w:pPr>
        <w:ind w:left="720" w:hanging="360"/>
      </w:pPr>
      <w:rPr>
        <w:rFonts w:ascii="Times New Roman" w:hAnsi="Times New Roman" w:cs="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D4059D"/>
    <w:multiLevelType w:val="hybridMultilevel"/>
    <w:tmpl w:val="2A766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005E0D"/>
    <w:multiLevelType w:val="multilevel"/>
    <w:tmpl w:val="88E2E50C"/>
    <w:lvl w:ilvl="0">
      <w:start w:val="4"/>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8C0496"/>
    <w:multiLevelType w:val="hybridMultilevel"/>
    <w:tmpl w:val="EB26C92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strike w:val="0"/>
        <w:dstrike w:val="0"/>
        <w:u w:val="none"/>
        <w:effect w:val="no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E937105"/>
    <w:multiLevelType w:val="hybridMultilevel"/>
    <w:tmpl w:val="B49C3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F1B3A01"/>
    <w:multiLevelType w:val="multilevel"/>
    <w:tmpl w:val="DACC509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nsid w:val="7248006E"/>
    <w:multiLevelType w:val="multilevel"/>
    <w:tmpl w:val="CB180182"/>
    <w:lvl w:ilvl="0">
      <w:start w:val="5"/>
      <w:numFmt w:val="decimal"/>
      <w:lvlText w:val="%1."/>
      <w:lvlJc w:val="left"/>
      <w:pPr>
        <w:tabs>
          <w:tab w:val="num" w:pos="720"/>
        </w:tabs>
        <w:ind w:left="720" w:hanging="360"/>
      </w:pPr>
      <w:rPr>
        <w:rFonts w:ascii="Times New Roman" w:hAnsi="Times New Roman" w:cs="Times New Roman" w:hint="default"/>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6854C2"/>
    <w:multiLevelType w:val="hybridMultilevel"/>
    <w:tmpl w:val="B7AE3A9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7D295F40"/>
    <w:multiLevelType w:val="multilevel"/>
    <w:tmpl w:val="DACC509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nsid w:val="7D880E6F"/>
    <w:multiLevelType w:val="multilevel"/>
    <w:tmpl w:val="DACC50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DA11AB"/>
    <w:multiLevelType w:val="multilevel"/>
    <w:tmpl w:val="B13CE4EC"/>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2."/>
      <w:lvlJc w:val="left"/>
      <w:pPr>
        <w:ind w:left="1080" w:hanging="360"/>
      </w:pPr>
      <w:rPr>
        <w:rFonts w:ascii="Times New Roman" w:hAnsi="Times New Roman" w:cs="Times New Roman" w:hint="default"/>
        <w:b/>
        <w:sz w:val="22"/>
        <w:szCs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60042479">
    <w:abstractNumId w:val="7"/>
  </w:num>
  <w:num w:numId="2" w16cid:durableId="321354640">
    <w:abstractNumId w:val="13"/>
  </w:num>
  <w:num w:numId="3" w16cid:durableId="3165551">
    <w:abstractNumId w:val="2"/>
  </w:num>
  <w:num w:numId="4" w16cid:durableId="1980188332">
    <w:abstractNumId w:val="5"/>
  </w:num>
  <w:num w:numId="5" w16cid:durableId="1510025462">
    <w:abstractNumId w:val="6"/>
  </w:num>
  <w:num w:numId="6" w16cid:durableId="1173229613">
    <w:abstractNumId w:val="3"/>
  </w:num>
  <w:num w:numId="7" w16cid:durableId="1408721957">
    <w:abstractNumId w:val="1"/>
  </w:num>
  <w:num w:numId="8" w16cid:durableId="1615596830">
    <w:abstractNumId w:val="11"/>
  </w:num>
  <w:num w:numId="9" w16cid:durableId="852231282">
    <w:abstractNumId w:val="15"/>
  </w:num>
  <w:num w:numId="10" w16cid:durableId="250816982">
    <w:abstractNumId w:val="9"/>
  </w:num>
  <w:num w:numId="11" w16cid:durableId="2104106565">
    <w:abstractNumId w:val="8"/>
  </w:num>
  <w:num w:numId="12" w16cid:durableId="377779087">
    <w:abstractNumId w:val="16"/>
  </w:num>
  <w:num w:numId="13" w16cid:durableId="1490099737">
    <w:abstractNumId w:val="18"/>
  </w:num>
  <w:num w:numId="14" w16cid:durableId="654723910">
    <w:abstractNumId w:val="14"/>
  </w:num>
  <w:num w:numId="15" w16cid:durableId="2003463609">
    <w:abstractNumId w:val="17"/>
  </w:num>
  <w:num w:numId="16" w16cid:durableId="1955557073">
    <w:abstractNumId w:val="0"/>
  </w:num>
  <w:num w:numId="17" w16cid:durableId="4940356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00169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823267">
    <w:abstractNumId w:val="4"/>
  </w:num>
  <w:num w:numId="20" w16cid:durableId="416558200">
    <w:abstractNumId w:val="19"/>
  </w:num>
  <w:num w:numId="21" w16cid:durableId="644436473">
    <w:abstractNumId w:val="12"/>
  </w:num>
  <w:num w:numId="22" w16cid:durableId="540746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28"/>
    <w:rsid w:val="00001A6B"/>
    <w:rsid w:val="00003B73"/>
    <w:rsid w:val="000179F3"/>
    <w:rsid w:val="00022675"/>
    <w:rsid w:val="00035F84"/>
    <w:rsid w:val="000504D6"/>
    <w:rsid w:val="00061025"/>
    <w:rsid w:val="000811C8"/>
    <w:rsid w:val="00082902"/>
    <w:rsid w:val="000950D6"/>
    <w:rsid w:val="000B7942"/>
    <w:rsid w:val="000D5661"/>
    <w:rsid w:val="000E1545"/>
    <w:rsid w:val="000E3B3C"/>
    <w:rsid w:val="000F46D3"/>
    <w:rsid w:val="001050E8"/>
    <w:rsid w:val="001052EE"/>
    <w:rsid w:val="00110ED9"/>
    <w:rsid w:val="00115C66"/>
    <w:rsid w:val="00121046"/>
    <w:rsid w:val="00127720"/>
    <w:rsid w:val="00141593"/>
    <w:rsid w:val="00144C68"/>
    <w:rsid w:val="00153367"/>
    <w:rsid w:val="00153FBF"/>
    <w:rsid w:val="00154BB5"/>
    <w:rsid w:val="001773C4"/>
    <w:rsid w:val="00186648"/>
    <w:rsid w:val="00192564"/>
    <w:rsid w:val="001A5CF5"/>
    <w:rsid w:val="001A6FA8"/>
    <w:rsid w:val="001A71FA"/>
    <w:rsid w:val="001A7249"/>
    <w:rsid w:val="001B14A5"/>
    <w:rsid w:val="001C2BE1"/>
    <w:rsid w:val="001D027C"/>
    <w:rsid w:val="001D0B77"/>
    <w:rsid w:val="001D210C"/>
    <w:rsid w:val="001D3C76"/>
    <w:rsid w:val="001D4FC2"/>
    <w:rsid w:val="001D5F78"/>
    <w:rsid w:val="001F5D5C"/>
    <w:rsid w:val="001F6506"/>
    <w:rsid w:val="002143A7"/>
    <w:rsid w:val="00240417"/>
    <w:rsid w:val="00244405"/>
    <w:rsid w:val="00271F3D"/>
    <w:rsid w:val="0027515C"/>
    <w:rsid w:val="00283096"/>
    <w:rsid w:val="002918CE"/>
    <w:rsid w:val="002A6F6B"/>
    <w:rsid w:val="002A7254"/>
    <w:rsid w:val="002B43CE"/>
    <w:rsid w:val="002C0816"/>
    <w:rsid w:val="002C1474"/>
    <w:rsid w:val="002C1F7D"/>
    <w:rsid w:val="002F024C"/>
    <w:rsid w:val="002F1446"/>
    <w:rsid w:val="002F186C"/>
    <w:rsid w:val="002F2739"/>
    <w:rsid w:val="00301094"/>
    <w:rsid w:val="0030528E"/>
    <w:rsid w:val="003063E3"/>
    <w:rsid w:val="003078A8"/>
    <w:rsid w:val="00314605"/>
    <w:rsid w:val="0032406B"/>
    <w:rsid w:val="003246DD"/>
    <w:rsid w:val="00327F1E"/>
    <w:rsid w:val="00330015"/>
    <w:rsid w:val="00331011"/>
    <w:rsid w:val="00332B34"/>
    <w:rsid w:val="00340060"/>
    <w:rsid w:val="00345B0F"/>
    <w:rsid w:val="003465DD"/>
    <w:rsid w:val="00351D10"/>
    <w:rsid w:val="003564D8"/>
    <w:rsid w:val="00376016"/>
    <w:rsid w:val="003803EB"/>
    <w:rsid w:val="003856D2"/>
    <w:rsid w:val="003A0124"/>
    <w:rsid w:val="003A50FF"/>
    <w:rsid w:val="003B6ECC"/>
    <w:rsid w:val="003D0517"/>
    <w:rsid w:val="003F7130"/>
    <w:rsid w:val="004049EA"/>
    <w:rsid w:val="0041562D"/>
    <w:rsid w:val="00466546"/>
    <w:rsid w:val="00470E55"/>
    <w:rsid w:val="00475FE5"/>
    <w:rsid w:val="0048064A"/>
    <w:rsid w:val="00482C68"/>
    <w:rsid w:val="00483167"/>
    <w:rsid w:val="00484C6E"/>
    <w:rsid w:val="00487337"/>
    <w:rsid w:val="00491411"/>
    <w:rsid w:val="00496952"/>
    <w:rsid w:val="00496E50"/>
    <w:rsid w:val="004A382E"/>
    <w:rsid w:val="004A3ABD"/>
    <w:rsid w:val="004F165A"/>
    <w:rsid w:val="004F681D"/>
    <w:rsid w:val="004F7877"/>
    <w:rsid w:val="00510FEA"/>
    <w:rsid w:val="00514A79"/>
    <w:rsid w:val="00515E1B"/>
    <w:rsid w:val="005229A0"/>
    <w:rsid w:val="0052729F"/>
    <w:rsid w:val="00531B01"/>
    <w:rsid w:val="00541485"/>
    <w:rsid w:val="00543B7A"/>
    <w:rsid w:val="005553D6"/>
    <w:rsid w:val="00561A99"/>
    <w:rsid w:val="00564D7A"/>
    <w:rsid w:val="00566608"/>
    <w:rsid w:val="0057074D"/>
    <w:rsid w:val="00571779"/>
    <w:rsid w:val="00595A0A"/>
    <w:rsid w:val="005A18D6"/>
    <w:rsid w:val="005A64E0"/>
    <w:rsid w:val="005C54AD"/>
    <w:rsid w:val="005C650D"/>
    <w:rsid w:val="005F3218"/>
    <w:rsid w:val="005F7D5F"/>
    <w:rsid w:val="0060006B"/>
    <w:rsid w:val="00643748"/>
    <w:rsid w:val="00646D27"/>
    <w:rsid w:val="00652192"/>
    <w:rsid w:val="00682BD5"/>
    <w:rsid w:val="006853D4"/>
    <w:rsid w:val="006A67BC"/>
    <w:rsid w:val="006C2803"/>
    <w:rsid w:val="006C6388"/>
    <w:rsid w:val="006C7429"/>
    <w:rsid w:val="006E38F3"/>
    <w:rsid w:val="006E5AB3"/>
    <w:rsid w:val="006F06E6"/>
    <w:rsid w:val="006F4DDB"/>
    <w:rsid w:val="00711F09"/>
    <w:rsid w:val="00715F41"/>
    <w:rsid w:val="007207F3"/>
    <w:rsid w:val="00723FCE"/>
    <w:rsid w:val="0074331F"/>
    <w:rsid w:val="007476F4"/>
    <w:rsid w:val="0074788E"/>
    <w:rsid w:val="0075407E"/>
    <w:rsid w:val="00755C22"/>
    <w:rsid w:val="00760829"/>
    <w:rsid w:val="007650AE"/>
    <w:rsid w:val="007706D6"/>
    <w:rsid w:val="0078023D"/>
    <w:rsid w:val="00785CCE"/>
    <w:rsid w:val="007A6ADB"/>
    <w:rsid w:val="007B2BFF"/>
    <w:rsid w:val="007B47AA"/>
    <w:rsid w:val="007C5D32"/>
    <w:rsid w:val="00800AAA"/>
    <w:rsid w:val="0081245E"/>
    <w:rsid w:val="00814ABF"/>
    <w:rsid w:val="00820583"/>
    <w:rsid w:val="008246CB"/>
    <w:rsid w:val="0082723A"/>
    <w:rsid w:val="0083357D"/>
    <w:rsid w:val="0083626B"/>
    <w:rsid w:val="00845689"/>
    <w:rsid w:val="00847E24"/>
    <w:rsid w:val="00855903"/>
    <w:rsid w:val="00857E8E"/>
    <w:rsid w:val="00877399"/>
    <w:rsid w:val="008825E0"/>
    <w:rsid w:val="008877D0"/>
    <w:rsid w:val="00895CD7"/>
    <w:rsid w:val="008A25F8"/>
    <w:rsid w:val="008B42CE"/>
    <w:rsid w:val="008B4C8E"/>
    <w:rsid w:val="008B6C78"/>
    <w:rsid w:val="008E20A5"/>
    <w:rsid w:val="008F3148"/>
    <w:rsid w:val="008F7288"/>
    <w:rsid w:val="009070FD"/>
    <w:rsid w:val="009119CA"/>
    <w:rsid w:val="00913EDB"/>
    <w:rsid w:val="0092026F"/>
    <w:rsid w:val="0092126A"/>
    <w:rsid w:val="00927BB5"/>
    <w:rsid w:val="009324A4"/>
    <w:rsid w:val="009368BB"/>
    <w:rsid w:val="00954419"/>
    <w:rsid w:val="00971030"/>
    <w:rsid w:val="00980896"/>
    <w:rsid w:val="00980F5D"/>
    <w:rsid w:val="00981DA1"/>
    <w:rsid w:val="00986FCE"/>
    <w:rsid w:val="009877E2"/>
    <w:rsid w:val="009B5F89"/>
    <w:rsid w:val="009C2680"/>
    <w:rsid w:val="009C3EB8"/>
    <w:rsid w:val="009C7811"/>
    <w:rsid w:val="009D278A"/>
    <w:rsid w:val="009D5D43"/>
    <w:rsid w:val="009E5A66"/>
    <w:rsid w:val="009F5C95"/>
    <w:rsid w:val="009F5EC3"/>
    <w:rsid w:val="00A0494D"/>
    <w:rsid w:val="00A25448"/>
    <w:rsid w:val="00A54F2F"/>
    <w:rsid w:val="00A63914"/>
    <w:rsid w:val="00A835D3"/>
    <w:rsid w:val="00A93476"/>
    <w:rsid w:val="00A93763"/>
    <w:rsid w:val="00AB27F4"/>
    <w:rsid w:val="00AB3CC5"/>
    <w:rsid w:val="00AC63B0"/>
    <w:rsid w:val="00AD7ACE"/>
    <w:rsid w:val="00AF2D8C"/>
    <w:rsid w:val="00AF341D"/>
    <w:rsid w:val="00AF4E39"/>
    <w:rsid w:val="00B051E3"/>
    <w:rsid w:val="00B06250"/>
    <w:rsid w:val="00B06BB5"/>
    <w:rsid w:val="00B15DFB"/>
    <w:rsid w:val="00B219F4"/>
    <w:rsid w:val="00B30960"/>
    <w:rsid w:val="00B32F58"/>
    <w:rsid w:val="00B36495"/>
    <w:rsid w:val="00B43760"/>
    <w:rsid w:val="00B50F81"/>
    <w:rsid w:val="00B626CD"/>
    <w:rsid w:val="00B7627C"/>
    <w:rsid w:val="00B770FB"/>
    <w:rsid w:val="00B805A5"/>
    <w:rsid w:val="00B854BC"/>
    <w:rsid w:val="00B8631C"/>
    <w:rsid w:val="00B86EE6"/>
    <w:rsid w:val="00BA14C0"/>
    <w:rsid w:val="00BB6A3C"/>
    <w:rsid w:val="00BD1929"/>
    <w:rsid w:val="00BE0235"/>
    <w:rsid w:val="00BE5291"/>
    <w:rsid w:val="00BF339D"/>
    <w:rsid w:val="00BF6E54"/>
    <w:rsid w:val="00C034E4"/>
    <w:rsid w:val="00C221BE"/>
    <w:rsid w:val="00C24D01"/>
    <w:rsid w:val="00C25ACF"/>
    <w:rsid w:val="00C33111"/>
    <w:rsid w:val="00C35530"/>
    <w:rsid w:val="00C41D6F"/>
    <w:rsid w:val="00C5116A"/>
    <w:rsid w:val="00C56597"/>
    <w:rsid w:val="00C605CA"/>
    <w:rsid w:val="00C701B7"/>
    <w:rsid w:val="00C83FEB"/>
    <w:rsid w:val="00C920E3"/>
    <w:rsid w:val="00CB1E40"/>
    <w:rsid w:val="00CD1268"/>
    <w:rsid w:val="00CE1E42"/>
    <w:rsid w:val="00CE2761"/>
    <w:rsid w:val="00D0683A"/>
    <w:rsid w:val="00D110C4"/>
    <w:rsid w:val="00D1738E"/>
    <w:rsid w:val="00D2243C"/>
    <w:rsid w:val="00D42C4B"/>
    <w:rsid w:val="00D43260"/>
    <w:rsid w:val="00D47176"/>
    <w:rsid w:val="00D61F5D"/>
    <w:rsid w:val="00D71474"/>
    <w:rsid w:val="00D72328"/>
    <w:rsid w:val="00D764D5"/>
    <w:rsid w:val="00D81E81"/>
    <w:rsid w:val="00D92553"/>
    <w:rsid w:val="00D927E4"/>
    <w:rsid w:val="00D93642"/>
    <w:rsid w:val="00DA0993"/>
    <w:rsid w:val="00DA1047"/>
    <w:rsid w:val="00DA22BA"/>
    <w:rsid w:val="00DC0A2E"/>
    <w:rsid w:val="00DC7E44"/>
    <w:rsid w:val="00DD1D20"/>
    <w:rsid w:val="00DD5C00"/>
    <w:rsid w:val="00DE4526"/>
    <w:rsid w:val="00DE65B7"/>
    <w:rsid w:val="00E124C2"/>
    <w:rsid w:val="00E21B58"/>
    <w:rsid w:val="00E30409"/>
    <w:rsid w:val="00E325AA"/>
    <w:rsid w:val="00E40A96"/>
    <w:rsid w:val="00E52E21"/>
    <w:rsid w:val="00E72CB1"/>
    <w:rsid w:val="00E72CC8"/>
    <w:rsid w:val="00E818E7"/>
    <w:rsid w:val="00E834DC"/>
    <w:rsid w:val="00E84153"/>
    <w:rsid w:val="00E93D7D"/>
    <w:rsid w:val="00E95F49"/>
    <w:rsid w:val="00EA1134"/>
    <w:rsid w:val="00EA19E4"/>
    <w:rsid w:val="00EC4D67"/>
    <w:rsid w:val="00ED42CA"/>
    <w:rsid w:val="00EE515E"/>
    <w:rsid w:val="00EF5E36"/>
    <w:rsid w:val="00EF77FA"/>
    <w:rsid w:val="00F02E02"/>
    <w:rsid w:val="00F030FD"/>
    <w:rsid w:val="00F12A7B"/>
    <w:rsid w:val="00F16C41"/>
    <w:rsid w:val="00F2515C"/>
    <w:rsid w:val="00F25578"/>
    <w:rsid w:val="00F27597"/>
    <w:rsid w:val="00F472AE"/>
    <w:rsid w:val="00F50077"/>
    <w:rsid w:val="00F52F94"/>
    <w:rsid w:val="00F551AA"/>
    <w:rsid w:val="00F568D1"/>
    <w:rsid w:val="00F60E6C"/>
    <w:rsid w:val="00F727DC"/>
    <w:rsid w:val="00F75DFD"/>
    <w:rsid w:val="00F8541D"/>
    <w:rsid w:val="00FA09A3"/>
    <w:rsid w:val="00FA53E0"/>
    <w:rsid w:val="00FB057F"/>
    <w:rsid w:val="00FB0868"/>
    <w:rsid w:val="00FB5C72"/>
    <w:rsid w:val="00FC0082"/>
    <w:rsid w:val="00FC56F4"/>
    <w:rsid w:val="00FC6135"/>
    <w:rsid w:val="00FE45AD"/>
    <w:rsid w:val="00FF27CF"/>
    <w:rsid w:val="02372E38"/>
    <w:rsid w:val="02B4F1B3"/>
    <w:rsid w:val="0301F742"/>
    <w:rsid w:val="03BAEC92"/>
    <w:rsid w:val="044BD9ED"/>
    <w:rsid w:val="0490D0DC"/>
    <w:rsid w:val="0625B0D1"/>
    <w:rsid w:val="06562363"/>
    <w:rsid w:val="0682A12D"/>
    <w:rsid w:val="08A54951"/>
    <w:rsid w:val="0AF19A10"/>
    <w:rsid w:val="0B30AF97"/>
    <w:rsid w:val="0CE0B851"/>
    <w:rsid w:val="0D253927"/>
    <w:rsid w:val="0D2DECCB"/>
    <w:rsid w:val="10843295"/>
    <w:rsid w:val="10C0ED82"/>
    <w:rsid w:val="11F12266"/>
    <w:rsid w:val="12A8943C"/>
    <w:rsid w:val="13BAB52C"/>
    <w:rsid w:val="16601B49"/>
    <w:rsid w:val="177BF502"/>
    <w:rsid w:val="1A14F197"/>
    <w:rsid w:val="1A7C4E73"/>
    <w:rsid w:val="1C476828"/>
    <w:rsid w:val="1D0289F2"/>
    <w:rsid w:val="1ECB47F6"/>
    <w:rsid w:val="2032A713"/>
    <w:rsid w:val="20530D23"/>
    <w:rsid w:val="2059614D"/>
    <w:rsid w:val="20E91002"/>
    <w:rsid w:val="22588A60"/>
    <w:rsid w:val="23B0AF68"/>
    <w:rsid w:val="24E4E67F"/>
    <w:rsid w:val="2530CCC4"/>
    <w:rsid w:val="260C3828"/>
    <w:rsid w:val="27703A37"/>
    <w:rsid w:val="27B5E961"/>
    <w:rsid w:val="2B1ED854"/>
    <w:rsid w:val="2D33C063"/>
    <w:rsid w:val="2D40BBFD"/>
    <w:rsid w:val="2D737BF6"/>
    <w:rsid w:val="2E43B017"/>
    <w:rsid w:val="2FEEC991"/>
    <w:rsid w:val="3057265E"/>
    <w:rsid w:val="310FE82D"/>
    <w:rsid w:val="35AA34D0"/>
    <w:rsid w:val="35C0B31F"/>
    <w:rsid w:val="373611D3"/>
    <w:rsid w:val="3A5F59B6"/>
    <w:rsid w:val="3AAB99A4"/>
    <w:rsid w:val="3AC54B5C"/>
    <w:rsid w:val="3BD4D974"/>
    <w:rsid w:val="3C2F203F"/>
    <w:rsid w:val="3D9823EA"/>
    <w:rsid w:val="3FFAEB8B"/>
    <w:rsid w:val="41864FE8"/>
    <w:rsid w:val="41A6632C"/>
    <w:rsid w:val="42038660"/>
    <w:rsid w:val="434B63E1"/>
    <w:rsid w:val="46990685"/>
    <w:rsid w:val="479F5FA6"/>
    <w:rsid w:val="4866F9E4"/>
    <w:rsid w:val="4B1D0F53"/>
    <w:rsid w:val="4C7C9842"/>
    <w:rsid w:val="4D3A9259"/>
    <w:rsid w:val="4DA5A498"/>
    <w:rsid w:val="51340BEF"/>
    <w:rsid w:val="52DE2740"/>
    <w:rsid w:val="5354EFBB"/>
    <w:rsid w:val="55CC747D"/>
    <w:rsid w:val="55D0399B"/>
    <w:rsid w:val="55E83308"/>
    <w:rsid w:val="55EC0D59"/>
    <w:rsid w:val="56BB7790"/>
    <w:rsid w:val="570FEBC0"/>
    <w:rsid w:val="57343BAA"/>
    <w:rsid w:val="573982F6"/>
    <w:rsid w:val="5745656E"/>
    <w:rsid w:val="587D5507"/>
    <w:rsid w:val="594A8595"/>
    <w:rsid w:val="5A4B9474"/>
    <w:rsid w:val="5EB34DA3"/>
    <w:rsid w:val="5FF659B2"/>
    <w:rsid w:val="603764BD"/>
    <w:rsid w:val="621CBFB6"/>
    <w:rsid w:val="672ABB19"/>
    <w:rsid w:val="6A919663"/>
    <w:rsid w:val="6C37C8B6"/>
    <w:rsid w:val="6C803E8B"/>
    <w:rsid w:val="6CD1A585"/>
    <w:rsid w:val="6CD7700E"/>
    <w:rsid w:val="6EC1D0E7"/>
    <w:rsid w:val="6FCF169B"/>
    <w:rsid w:val="706F4E49"/>
    <w:rsid w:val="7345CE7B"/>
    <w:rsid w:val="75296A3E"/>
    <w:rsid w:val="75504C16"/>
    <w:rsid w:val="762C08F8"/>
    <w:rsid w:val="76303D47"/>
    <w:rsid w:val="78C2AF24"/>
    <w:rsid w:val="791B50CA"/>
    <w:rsid w:val="797C17D5"/>
    <w:rsid w:val="7B40EAA4"/>
    <w:rsid w:val="7B74AC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6B5C84"/>
  <w15:chartTrackingRefBased/>
  <w15:docId w15:val="{391BBBAF-B521-4A50-89F0-AADD348D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32B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D723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723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A"/>
    <w:pPr>
      <w:spacing w:line="256" w:lineRule="auto"/>
      <w:ind w:left="720"/>
      <w:contextualSpacing/>
    </w:pPr>
  </w:style>
  <w:style w:type="paragraph" w:styleId="BalloonText">
    <w:name w:val="Balloon Text"/>
    <w:basedOn w:val="Normal"/>
    <w:link w:val="BalloonTextChar"/>
    <w:uiPriority w:val="99"/>
    <w:semiHidden/>
    <w:unhideWhenUsed/>
    <w:rsid w:val="00C60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5CA"/>
    <w:rPr>
      <w:rFonts w:ascii="Segoe UI" w:hAnsi="Segoe UI" w:cs="Segoe UI"/>
      <w:sz w:val="18"/>
      <w:szCs w:val="18"/>
    </w:rPr>
  </w:style>
  <w:style w:type="paragraph" w:styleId="FootnoteText">
    <w:name w:val="footnote text"/>
    <w:basedOn w:val="Normal"/>
    <w:link w:val="FootnoteTextChar"/>
    <w:uiPriority w:val="99"/>
    <w:semiHidden/>
    <w:unhideWhenUsed/>
    <w:rsid w:val="00C83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FEB"/>
    <w:rPr>
      <w:sz w:val="20"/>
      <w:szCs w:val="20"/>
    </w:rPr>
  </w:style>
  <w:style w:type="character" w:styleId="FootnoteReference">
    <w:name w:val="footnote reference"/>
    <w:basedOn w:val="DefaultParagraphFont"/>
    <w:uiPriority w:val="99"/>
    <w:semiHidden/>
    <w:unhideWhenUsed/>
    <w:rsid w:val="00C83FEB"/>
    <w:rPr>
      <w:vertAlign w:val="superscript"/>
    </w:rPr>
  </w:style>
  <w:style w:type="character" w:styleId="Hyperlink">
    <w:name w:val="Hyperlink"/>
    <w:basedOn w:val="DefaultParagraphFont"/>
    <w:uiPriority w:val="99"/>
    <w:unhideWhenUsed/>
    <w:rsid w:val="00C83FEB"/>
    <w:rPr>
      <w:color w:val="0563C1" w:themeColor="hyperlink"/>
      <w:u w:val="single"/>
    </w:rPr>
  </w:style>
  <w:style w:type="character" w:styleId="FollowedHyperlink">
    <w:name w:val="FollowedHyperlink"/>
    <w:basedOn w:val="DefaultParagraphFont"/>
    <w:uiPriority w:val="99"/>
    <w:semiHidden/>
    <w:unhideWhenUsed/>
    <w:rsid w:val="009C2680"/>
    <w:rPr>
      <w:color w:val="954F72" w:themeColor="followedHyperlink"/>
      <w:u w:val="single"/>
    </w:rPr>
  </w:style>
  <w:style w:type="character" w:styleId="CommentReference">
    <w:name w:val="annotation reference"/>
    <w:basedOn w:val="DefaultParagraphFont"/>
    <w:uiPriority w:val="99"/>
    <w:unhideWhenUsed/>
    <w:rsid w:val="009C2680"/>
    <w:rPr>
      <w:sz w:val="16"/>
      <w:szCs w:val="16"/>
    </w:rPr>
  </w:style>
  <w:style w:type="paragraph" w:styleId="CommentText">
    <w:name w:val="annotation text"/>
    <w:basedOn w:val="Normal"/>
    <w:link w:val="CommentTextChar"/>
    <w:uiPriority w:val="99"/>
    <w:unhideWhenUsed/>
    <w:rsid w:val="009C2680"/>
    <w:pPr>
      <w:spacing w:line="240" w:lineRule="auto"/>
    </w:pPr>
    <w:rPr>
      <w:sz w:val="20"/>
      <w:szCs w:val="20"/>
    </w:rPr>
  </w:style>
  <w:style w:type="character" w:customStyle="1" w:styleId="CommentTextChar">
    <w:name w:val="Comment Text Char"/>
    <w:basedOn w:val="DefaultParagraphFont"/>
    <w:link w:val="CommentText"/>
    <w:uiPriority w:val="99"/>
    <w:rsid w:val="009C2680"/>
    <w:rPr>
      <w:sz w:val="20"/>
      <w:szCs w:val="20"/>
    </w:rPr>
  </w:style>
  <w:style w:type="paragraph" w:styleId="CommentSubject">
    <w:name w:val="annotation subject"/>
    <w:basedOn w:val="CommentText"/>
    <w:next w:val="CommentText"/>
    <w:link w:val="CommentSubjectChar"/>
    <w:uiPriority w:val="99"/>
    <w:semiHidden/>
    <w:unhideWhenUsed/>
    <w:rsid w:val="009C2680"/>
    <w:rPr>
      <w:b/>
      <w:bCs/>
    </w:rPr>
  </w:style>
  <w:style w:type="character" w:customStyle="1" w:styleId="CommentSubjectChar">
    <w:name w:val="Comment Subject Char"/>
    <w:basedOn w:val="CommentTextChar"/>
    <w:link w:val="CommentSubject"/>
    <w:uiPriority w:val="99"/>
    <w:semiHidden/>
    <w:rsid w:val="009C2680"/>
    <w:rPr>
      <w:b/>
      <w:bCs/>
      <w:sz w:val="20"/>
      <w:szCs w:val="20"/>
    </w:rPr>
  </w:style>
  <w:style w:type="character" w:customStyle="1" w:styleId="Heading1Char">
    <w:name w:val="Heading 1 Char"/>
    <w:basedOn w:val="DefaultParagraphFont"/>
    <w:link w:val="Heading1"/>
    <w:uiPriority w:val="9"/>
    <w:rsid w:val="00332B34"/>
    <w:rPr>
      <w:rFonts w:ascii="Times New Roman" w:eastAsia="Times New Roman" w:hAnsi="Times New Roman" w:cs="Times New Roman"/>
      <w:b/>
      <w:bCs/>
      <w:kern w:val="36"/>
      <w:sz w:val="48"/>
      <w:szCs w:val="48"/>
    </w:rPr>
  </w:style>
  <w:style w:type="paragraph" w:customStyle="1" w:styleId="xmsonormal">
    <w:name w:val="x_msonormal"/>
    <w:basedOn w:val="Normal"/>
    <w:rsid w:val="00FC0082"/>
    <w:pPr>
      <w:spacing w:after="0" w:line="240" w:lineRule="auto"/>
    </w:pPr>
    <w:rPr>
      <w:rFonts w:ascii="Calibri" w:hAnsi="Calibri" w:cs="Calibri"/>
    </w:rPr>
  </w:style>
  <w:style w:type="paragraph" w:styleId="Header">
    <w:name w:val="header"/>
    <w:basedOn w:val="Normal"/>
    <w:link w:val="HeaderChar"/>
    <w:uiPriority w:val="99"/>
    <w:unhideWhenUsed/>
    <w:rsid w:val="00E5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21"/>
  </w:style>
  <w:style w:type="paragraph" w:styleId="Footer">
    <w:name w:val="footer"/>
    <w:basedOn w:val="Normal"/>
    <w:link w:val="FooterChar"/>
    <w:uiPriority w:val="99"/>
    <w:unhideWhenUsed/>
    <w:rsid w:val="00E5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2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115C66"/>
    <w:rPr>
      <w:color w:val="605E5C"/>
      <w:shd w:val="clear" w:color="auto" w:fill="E1DFDD"/>
    </w:rPr>
  </w:style>
  <w:style w:type="character" w:customStyle="1" w:styleId="Mention2">
    <w:name w:val="Mention2"/>
    <w:basedOn w:val="DefaultParagraphFont"/>
    <w:uiPriority w:val="99"/>
    <w:unhideWhenUsed/>
    <w:rsid w:val="00115C66"/>
    <w:rPr>
      <w:color w:val="2B579A"/>
      <w:shd w:val="clear" w:color="auto" w:fill="E1DFDD"/>
    </w:rPr>
  </w:style>
  <w:style w:type="paragraph" w:styleId="Revision">
    <w:name w:val="Revision"/>
    <w:hidden/>
    <w:uiPriority w:val="99"/>
    <w:semiHidden/>
    <w:rsid w:val="001C2BE1"/>
    <w:pPr>
      <w:spacing w:after="0" w:line="240" w:lineRule="auto"/>
    </w:pPr>
  </w:style>
  <w:style w:type="character" w:styleId="UnresolvedMention">
    <w:name w:val="Unresolved Mention"/>
    <w:basedOn w:val="DefaultParagraphFont"/>
    <w:uiPriority w:val="99"/>
    <w:semiHidden/>
    <w:unhideWhenUsed/>
    <w:rsid w:val="007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hanita@edc.org" TargetMode="External" /><Relationship Id="rId11" Type="http://schemas.openxmlformats.org/officeDocument/2006/relationships/hyperlink" Target="mailto:kquinlan@edc.org" TargetMode="External" /><Relationship Id="rId12" Type="http://schemas.openxmlformats.org/officeDocument/2006/relationships/hyperlink" Target="mailto:abey@edc.gov" TargetMode="External" /><Relationship Id="rId13" Type="http://schemas.openxmlformats.org/officeDocument/2006/relationships/hyperlink" Target="mailto:kferro@jpa.co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kdash@ed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3" ma:contentTypeDescription="Create a new document." ma:contentTypeScope="" ma:versionID="c9b0819c6a8239f312c249e1b6bc519e">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3d6f7d61f1e41560dfc96b8e05366761"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01342A-D32A-40C7-A7BC-D5085D0B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1ED5-8C28-4335-B4F5-F11C0D806F89}">
  <ds:schemaRefs>
    <ds:schemaRef ds:uri="http://schemas.openxmlformats.org/officeDocument/2006/bibliography"/>
  </ds:schemaRefs>
</ds:datastoreItem>
</file>

<file path=customXml/itemProps3.xml><?xml version="1.0" encoding="utf-8"?>
<ds:datastoreItem xmlns:ds="http://schemas.openxmlformats.org/officeDocument/2006/customXml" ds:itemID="{FF3D18B3-49B4-4A14-8555-662F48288110}">
  <ds:schemaRefs>
    <ds:schemaRef ds:uri="http://schemas.microsoft.com/sharepoint/v3/contenttype/forms"/>
  </ds:schemaRefs>
</ds:datastoreItem>
</file>

<file path=customXml/itemProps4.xml><?xml version="1.0" encoding="utf-8"?>
<ds:datastoreItem xmlns:ds="http://schemas.openxmlformats.org/officeDocument/2006/customXml" ds:itemID="{4D83AF77-0A44-4456-964E-831F26DEC551}">
  <ds:schemaRefs>
    <ds:schemaRef ds:uri="http://schemas.microsoft.com/office/2006/metadata/properties"/>
    <ds:schemaRef ds:uri="http://schemas.microsoft.com/office/infopath/2007/PartnerControls"/>
    <ds:schemaRef ds:uri="7f76363e-eaa3-45c8-b8e8-8e34bf8cd2a3"/>
    <ds:schemaRef ds:uri="ce77b3c1-fa8b-416d-b1f6-ac6fa3f9cf6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Dash</dc:creator>
  <cp:lastModifiedBy>Novicki, Emily (CDC/NIOSH/OD/ODDM)</cp:lastModifiedBy>
  <cp:revision>8</cp:revision>
  <dcterms:created xsi:type="dcterms:W3CDTF">2023-02-16T18:35:00Z</dcterms:created>
  <dcterms:modified xsi:type="dcterms:W3CDTF">2023-02-16T18:40:00Z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ediaServiceImageTags">
    <vt:lpwstr/>
  </property>
  <property fmtid="{D5CDD505-2E9C-101B-9397-08002B2CF9AE}" pid="4" name="MSIP_Label_7b94a7b8-f06c-4dfe-bdcc-9b548fd58c31_ActionId">
    <vt:lpwstr>f044d4cc-7fcb-4978-9284-246a139f5956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2022-09-13T12:06:29Z</vt:lpwstr>
  </property>
  <property fmtid="{D5CDD505-2E9C-101B-9397-08002B2CF9AE}" pid="10" name="MSIP_Label_7b94a7b8-f06c-4dfe-bdcc-9b548fd58c31_SiteId">
    <vt:lpwstr>9ce70869-60db-44fd-abe8-d2767077fc8f</vt:lpwstr>
  </property>
</Properties>
</file>