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714F9" w:rsidP="006714F9" w14:paraId="288DD08C" w14:textId="7777777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Attachment D</w:t>
      </w:r>
    </w:p>
    <w:p w:rsidR="006714F9" w:rsidRPr="00DE6840" w:rsidP="006714F9" w14:paraId="63864D65" w14:textId="77777777">
      <w:pPr>
        <w:ind w:left="6480" w:firstLine="720"/>
        <w:jc w:val="right"/>
        <w:rPr>
          <w:rFonts w:cstheme="minorHAnsi"/>
          <w:sz w:val="18"/>
        </w:rPr>
      </w:pPr>
      <w:r w:rsidRPr="00DE6840">
        <w:rPr>
          <w:rFonts w:cstheme="minorHAnsi"/>
          <w:sz w:val="18"/>
        </w:rPr>
        <w:t>Form Approved</w:t>
      </w:r>
    </w:p>
    <w:p w:rsidR="006714F9" w:rsidRPr="00DE6840" w:rsidP="006714F9" w14:paraId="325400EC" w14:textId="1382D3EB">
      <w:pPr>
        <w:jc w:val="right"/>
        <w:rPr>
          <w:rFonts w:cstheme="minorHAnsi"/>
          <w:b/>
          <w:szCs w:val="32"/>
        </w:rPr>
      </w:pPr>
      <w:r w:rsidRPr="00DE6840">
        <w:rPr>
          <w:rFonts w:cstheme="minorHAnsi"/>
          <w:sz w:val="18"/>
        </w:rPr>
        <w:t>OMB No: 0920-</w:t>
      </w:r>
      <w:r>
        <w:rPr>
          <w:rFonts w:cstheme="minorHAnsi"/>
          <w:sz w:val="18"/>
        </w:rPr>
        <w:t>xxxx</w:t>
      </w:r>
      <w:r w:rsidRPr="00DE6840">
        <w:rPr>
          <w:rFonts w:cstheme="minorHAnsi"/>
          <w:sz w:val="18"/>
        </w:rPr>
        <w:br/>
        <w:t xml:space="preserve">Exp. Date: </w:t>
      </w:r>
      <w:r>
        <w:rPr>
          <w:rFonts w:cstheme="minorHAnsi"/>
          <w:sz w:val="18"/>
        </w:rPr>
        <w:t>xx/xx/</w:t>
      </w:r>
      <w:r>
        <w:rPr>
          <w:rFonts w:cstheme="minorHAnsi"/>
          <w:sz w:val="18"/>
        </w:rPr>
        <w:t>xxxx</w:t>
      </w:r>
      <w:r w:rsidRPr="00DE6840">
        <w:rPr>
          <w:rFonts w:cstheme="minorHAnsi"/>
          <w:sz w:val="18"/>
        </w:rPr>
        <w:t xml:space="preserve">  </w:t>
      </w:r>
    </w:p>
    <w:p w:rsidR="006714F9" w:rsidRPr="00DE6840" w:rsidP="006714F9" w14:paraId="5BB4206B" w14:textId="77777777">
      <w:pPr>
        <w:tabs>
          <w:tab w:val="left" w:pos="1080"/>
        </w:tabs>
        <w:jc w:val="center"/>
        <w:rPr>
          <w:rFonts w:cstheme="minorHAnsi"/>
          <w:b/>
        </w:rPr>
      </w:pPr>
    </w:p>
    <w:p w:rsidR="006714F9" w:rsidRPr="00DE6840" w:rsidP="006714F9" w14:paraId="284C9C0A" w14:textId="4E73D448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E6840">
        <w:rPr>
          <w:rFonts w:asciiTheme="minorHAnsi" w:hAnsiTheme="minorHAnsi" w:cstheme="minorHAnsi"/>
          <w:sz w:val="18"/>
          <w:szCs w:val="22"/>
        </w:rPr>
        <w:t xml:space="preserve">Public Reporting burden of this collection of information is estimated at </w:t>
      </w:r>
      <w:r>
        <w:rPr>
          <w:rFonts w:asciiTheme="minorHAnsi" w:hAnsiTheme="minorHAnsi" w:cstheme="minorHAnsi"/>
          <w:sz w:val="18"/>
          <w:szCs w:val="22"/>
        </w:rPr>
        <w:t xml:space="preserve">X </w:t>
      </w:r>
      <w:r w:rsidRPr="00DE6840">
        <w:rPr>
          <w:rFonts w:asciiTheme="minorHAnsi" w:hAnsiTheme="minorHAnsi" w:cstheme="minorHAnsi"/>
          <w:sz w:val="18"/>
          <w:szCs w:val="22"/>
        </w:rPr>
        <w:t xml:space="preserve">minutes per response, including the time for reviewing instructions, searching existing data sources, </w:t>
      </w:r>
      <w:r w:rsidRPr="00DE6840">
        <w:rPr>
          <w:rFonts w:asciiTheme="minorHAnsi" w:hAnsiTheme="minorHAnsi" w:cstheme="minorHAnsi"/>
          <w:sz w:val="18"/>
          <w:szCs w:val="22"/>
        </w:rPr>
        <w:t>gathering</w:t>
      </w:r>
      <w:r w:rsidRPr="00DE6840">
        <w:rPr>
          <w:rFonts w:asciiTheme="minorHAnsi" w:hAnsiTheme="minorHAnsi" w:cstheme="minorHAnsi"/>
          <w:sz w:val="18"/>
          <w:szCs w:val="22"/>
        </w:rPr>
  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NW, MS D-74, Atlanta, GA  30333; Attn:  PRA (0920-</w:t>
      </w:r>
      <w:r>
        <w:rPr>
          <w:rFonts w:asciiTheme="minorHAnsi" w:hAnsiTheme="minorHAnsi" w:cstheme="minorHAnsi"/>
          <w:sz w:val="18"/>
          <w:szCs w:val="22"/>
        </w:rPr>
        <w:t>xxxx</w:t>
      </w:r>
      <w:r w:rsidRPr="00DE6840">
        <w:rPr>
          <w:rFonts w:asciiTheme="minorHAnsi" w:hAnsiTheme="minorHAnsi" w:cstheme="minorHAnsi"/>
          <w:sz w:val="18"/>
          <w:szCs w:val="22"/>
        </w:rPr>
        <w:t>).</w:t>
      </w:r>
    </w:p>
    <w:p w:rsidR="006714F9" w:rsidP="006714F9" w14:paraId="1E0AE614" w14:textId="77777777">
      <w:pPr>
        <w:jc w:val="center"/>
        <w:rPr>
          <w:rFonts w:ascii="Times New Roman" w:hAnsi="Times New Roman"/>
          <w:b/>
        </w:rPr>
      </w:pPr>
    </w:p>
    <w:p w:rsidR="006714F9" w:rsidP="006714F9" w14:paraId="23295AD2" w14:textId="77777777">
      <w:pPr>
        <w:pStyle w:val="Body1"/>
        <w:jc w:val="center"/>
        <w:rPr>
          <w:rFonts w:ascii="Arial" w:eastAsia="Times New Roman" w:hAnsi="Arial"/>
          <w:b/>
          <w:color w:val="auto"/>
          <w:szCs w:val="24"/>
        </w:rPr>
      </w:pPr>
    </w:p>
    <w:p w:rsidR="00941E31" w:rsidRPr="007B25CB" w:rsidP="00941E31" w14:paraId="600F7BCD" w14:textId="4A926EE1">
      <w:pPr>
        <w:pStyle w:val="Body1"/>
        <w:jc w:val="center"/>
        <w:rPr>
          <w:rFonts w:asciiTheme="minorHAnsi" w:eastAsiaTheme="minorHAnsi" w:hAnsiTheme="minorHAnsi" w:cstheme="minorBidi"/>
          <w:b/>
          <w:color w:val="auto"/>
          <w:szCs w:val="24"/>
        </w:rPr>
      </w:pPr>
      <w:r w:rsidRPr="00941E31">
        <w:rPr>
          <w:rFonts w:ascii="Arial" w:eastAsia="Times New Roman" w:hAnsi="Arial"/>
          <w:b/>
          <w:color w:val="auto"/>
          <w:szCs w:val="24"/>
        </w:rPr>
        <w:t>Burden Memo</w:t>
      </w:r>
      <w:r w:rsidRPr="00941E31">
        <w:rPr>
          <w:rFonts w:ascii="Arial" w:eastAsia="Times New Roman" w:hAnsi="Arial"/>
          <w:b/>
          <w:color w:val="auto"/>
          <w:szCs w:val="24"/>
        </w:rPr>
        <w:t xml:space="preserve"> </w:t>
      </w:r>
    </w:p>
    <w:p w:rsidR="006714F9" w:rsidP="00941E31" w14:paraId="405651F1" w14:textId="77777777">
      <w:pPr>
        <w:jc w:val="center"/>
        <w:rPr>
          <w:b/>
        </w:rPr>
      </w:pPr>
      <w:r w:rsidRPr="00057DA6">
        <w:rPr>
          <w:b/>
        </w:rPr>
        <w:t>Public Health/Public Safety Strategies to Reduce Drug Overdose Data Collection</w:t>
      </w:r>
    </w:p>
    <w:p w:rsidR="00941E31" w:rsidRPr="0087051B" w:rsidP="00941E31" w14:paraId="600F7BCE" w14:textId="430AB6FA">
      <w:pPr>
        <w:jc w:val="center"/>
      </w:pPr>
      <w:r w:rsidRPr="00057DA6">
        <w:rPr>
          <w:b/>
        </w:rPr>
        <w:t xml:space="preserve"> </w:t>
      </w:r>
      <w:r w:rsidRPr="0087051B">
        <w:rPr>
          <w:b/>
        </w:rPr>
        <w:t xml:space="preserve">(OMB#: </w:t>
      </w:r>
      <w:r w:rsidR="00E57698">
        <w:rPr>
          <w:b/>
        </w:rPr>
        <w:t>0920</w:t>
      </w:r>
      <w:r>
        <w:rPr>
          <w:b/>
        </w:rPr>
        <w:t>-XXXX</w:t>
      </w:r>
      <w:r w:rsidRPr="0087051B">
        <w:rPr>
          <w:b/>
        </w:rPr>
        <w:t>)</w:t>
      </w:r>
    </w:p>
    <w:p w:rsidR="006701E2" w:rsidP="00ED1549" w14:paraId="600F7BCF" w14:textId="77777777">
      <w:pPr>
        <w:pStyle w:val="Heading2"/>
        <w:tabs>
          <w:tab w:val="left" w:pos="900"/>
        </w:tabs>
        <w:ind w:right="-180"/>
      </w:pPr>
    </w:p>
    <w:p w:rsidR="00ED1549" w:rsidP="00ED1549" w14:paraId="600F7BD0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167640</wp:posOffset>
                </wp:positionV>
                <wp:extent cx="6553200" cy="0"/>
                <wp:effectExtent l="19050" t="20955" r="19050" b="1714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0pt,13.2pt" to="486pt,13.2pt" strokeweight="2.25pt"/>
            </w:pict>
          </mc:Fallback>
        </mc:AlternateContent>
      </w:r>
    </w:p>
    <w:p w:rsidR="00ED1549" w:rsidRPr="00431276" w:rsidP="00ED1549" w14:paraId="600F7BD1" w14:textId="77777777">
      <w:pPr>
        <w:jc w:val="center"/>
        <w:rPr>
          <w:rFonts w:ascii="Times New Roman" w:hAnsi="Times New Roman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8"/>
        <w:gridCol w:w="7020"/>
      </w:tblGrid>
      <w:tr w14:paraId="600F7BD4" w14:textId="77777777" w:rsidTr="004B38D8">
        <w:tblPrEx>
          <w:tblW w:w="102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549" w:rsidRPr="007B6EB9" w:rsidP="004B38D8" w14:paraId="600F7BD2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GenIC No.: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549" w:rsidRPr="007B6EB9" w:rsidP="004B38D8" w14:paraId="600F7BD3" w14:textId="77777777">
            <w:pPr>
              <w:rPr>
                <w:rFonts w:ascii="Times New Roman" w:hAnsi="Times New Roman"/>
              </w:rPr>
            </w:pPr>
          </w:p>
        </w:tc>
      </w:tr>
      <w:tr w14:paraId="600F7BD7" w14:textId="77777777" w:rsidTr="004B38D8">
        <w:tblPrEx>
          <w:tblW w:w="10278" w:type="dxa"/>
          <w:tblLook w:val="01E0"/>
        </w:tblPrEx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549" w:rsidRPr="007B6EB9" w:rsidP="004B38D8" w14:paraId="600F7BD5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EPI AID No. (if applicable):  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1549" w:rsidRPr="007B6EB9" w:rsidP="004B38D8" w14:paraId="600F7BD6" w14:textId="77777777">
            <w:pPr>
              <w:rPr>
                <w:rFonts w:ascii="Times New Roman" w:hAnsi="Times New Roman"/>
              </w:rPr>
            </w:pPr>
          </w:p>
        </w:tc>
      </w:tr>
      <w:tr w14:paraId="600F7BDA" w14:textId="77777777" w:rsidTr="004B38D8">
        <w:tblPrEx>
          <w:tblW w:w="10278" w:type="dxa"/>
          <w:tblLook w:val="01E0"/>
        </w:tblPrEx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549" w:rsidRPr="007B6EB9" w:rsidP="004B38D8" w14:paraId="600F7BD8" w14:textId="47F391C3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Requesting entity (e.g., jurisdiction</w:t>
            </w:r>
            <w:r w:rsidR="00057DA6">
              <w:rPr>
                <w:rFonts w:ascii="Times New Roman" w:hAnsi="Times New Roman"/>
              </w:rPr>
              <w:t xml:space="preserve"> and agency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1549" w:rsidRPr="007B6EB9" w:rsidP="004B38D8" w14:paraId="600F7BD9" w14:textId="77777777">
            <w:pPr>
              <w:rPr>
                <w:rFonts w:ascii="Times New Roman" w:hAnsi="Times New Roman"/>
              </w:rPr>
            </w:pPr>
          </w:p>
        </w:tc>
      </w:tr>
      <w:tr w14:paraId="600F7BDD" w14:textId="77777777" w:rsidTr="004B38D8">
        <w:tblPrEx>
          <w:tblW w:w="10278" w:type="dxa"/>
          <w:tblLook w:val="01E0"/>
        </w:tblPrEx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549" w:rsidRPr="007B6EB9" w:rsidP="004B38D8" w14:paraId="600F7BDB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Title of Investigation: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1549" w:rsidRPr="007B6EB9" w:rsidP="004B38D8" w14:paraId="600F7BDC" w14:textId="77777777">
            <w:pPr>
              <w:rPr>
                <w:rFonts w:ascii="Times New Roman" w:hAnsi="Times New Roman"/>
              </w:rPr>
            </w:pPr>
          </w:p>
        </w:tc>
      </w:tr>
      <w:tr w14:paraId="600F7BE1" w14:textId="77777777" w:rsidTr="004B38D8">
        <w:tblPrEx>
          <w:tblW w:w="10278" w:type="dxa"/>
          <w:tblLook w:val="01E0"/>
        </w:tblPrEx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549" w:rsidP="004B38D8" w14:paraId="600F7BDE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Purpose of Investigation:</w:t>
            </w:r>
            <w:r>
              <w:rPr>
                <w:rFonts w:ascii="Times New Roman" w:hAnsi="Times New Roman"/>
              </w:rPr>
              <w:t xml:space="preserve"> (Use as much space as necessary)</w:t>
            </w:r>
          </w:p>
          <w:p w:rsidR="00ED1549" w:rsidRPr="007B6EB9" w:rsidP="004B38D8" w14:paraId="600F7BDF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1549" w:rsidRPr="007B6EB9" w:rsidP="004B38D8" w14:paraId="600F7BE0" w14:textId="77777777">
            <w:pPr>
              <w:rPr>
                <w:rFonts w:ascii="Times New Roman" w:hAnsi="Times New Roman"/>
              </w:rPr>
            </w:pPr>
          </w:p>
        </w:tc>
      </w:tr>
      <w:tr w14:paraId="600F7BE4" w14:textId="77777777" w:rsidTr="004B38D8">
        <w:tblPrEx>
          <w:tblW w:w="10278" w:type="dxa"/>
          <w:tblLook w:val="01E0"/>
        </w:tblPrEx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549" w:rsidRPr="007B6EB9" w:rsidP="004B38D8" w14:paraId="600F7BE2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Duration of Data Collection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D1549" w:rsidRPr="007B6EB9" w:rsidP="004B38D8" w14:paraId="600F7BE3" w14:textId="77777777">
            <w:pPr>
              <w:rPr>
                <w:rFonts w:ascii="Times New Roman" w:hAnsi="Times New Roman"/>
              </w:rPr>
            </w:pPr>
          </w:p>
        </w:tc>
      </w:tr>
      <w:tr w14:paraId="600F7BE7" w14:textId="77777777" w:rsidTr="004B38D8">
        <w:tblPrEx>
          <w:tblW w:w="10278" w:type="dxa"/>
          <w:tblLook w:val="01E0"/>
        </w:tblPrEx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549" w:rsidRPr="007B6EB9" w:rsidP="004B38D8" w14:paraId="600F7BE5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 Date Began: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549" w:rsidRPr="007B6EB9" w:rsidP="004B38D8" w14:paraId="600F7BE6" w14:textId="77777777">
            <w:pPr>
              <w:rPr>
                <w:rFonts w:ascii="Times New Roman" w:hAnsi="Times New Roman"/>
              </w:rPr>
            </w:pPr>
          </w:p>
        </w:tc>
      </w:tr>
      <w:tr w14:paraId="600F7BEA" w14:textId="77777777" w:rsidTr="004B38D8">
        <w:tblPrEx>
          <w:tblW w:w="10278" w:type="dxa"/>
          <w:tblLook w:val="01E0"/>
        </w:tblPrEx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549" w:rsidRPr="007B6EB9" w:rsidP="004B38D8" w14:paraId="600F7BE8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 Date Ended: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1549" w:rsidRPr="007B6EB9" w:rsidP="004B38D8" w14:paraId="600F7BE9" w14:textId="77777777">
            <w:pPr>
              <w:rPr>
                <w:rFonts w:ascii="Times New Roman" w:hAnsi="Times New Roman"/>
              </w:rPr>
            </w:pPr>
          </w:p>
        </w:tc>
      </w:tr>
      <w:tr w14:paraId="600F7BED" w14:textId="77777777" w:rsidTr="004B38D8">
        <w:tblPrEx>
          <w:tblW w:w="10278" w:type="dxa"/>
          <w:tblLook w:val="01E0"/>
        </w:tblPrEx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549" w:rsidRPr="007B6EB9" w:rsidP="004B38D8" w14:paraId="600F7BEB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Lead Investigator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D1549" w:rsidRPr="007B6EB9" w:rsidP="004B38D8" w14:paraId="600F7BEC" w14:textId="77777777">
            <w:pPr>
              <w:rPr>
                <w:rFonts w:ascii="Times New Roman" w:hAnsi="Times New Roman"/>
              </w:rPr>
            </w:pPr>
          </w:p>
        </w:tc>
      </w:tr>
      <w:tr w14:paraId="600F7BF0" w14:textId="77777777" w:rsidTr="004B38D8">
        <w:tblPrEx>
          <w:tblW w:w="10278" w:type="dxa"/>
          <w:tblLook w:val="01E0"/>
        </w:tblPrEx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549" w:rsidRPr="007B6EB9" w:rsidP="004B38D8" w14:paraId="600F7BEE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 Name: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549" w:rsidRPr="007B6EB9" w:rsidP="004B38D8" w14:paraId="600F7BEF" w14:textId="77777777">
            <w:pPr>
              <w:rPr>
                <w:rFonts w:ascii="Times New Roman" w:hAnsi="Times New Roman"/>
              </w:rPr>
            </w:pPr>
          </w:p>
        </w:tc>
      </w:tr>
      <w:tr w14:paraId="600F7BF3" w14:textId="77777777" w:rsidTr="004B38D8">
        <w:tblPrEx>
          <w:tblW w:w="10278" w:type="dxa"/>
          <w:tblLook w:val="01E0"/>
        </w:tblPrEx>
        <w:trPr>
          <w:trHeight w:val="42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549" w:rsidRPr="007B6EB9" w:rsidP="004B38D8" w14:paraId="600F7BF1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  C</w:t>
            </w:r>
            <w:r w:rsidRPr="007B6EB9">
              <w:rPr>
                <w:rFonts w:ascii="Times New Roman" w:hAnsi="Times New Roman"/>
              </w:rPr>
              <w:t>IO/Division/Branch: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1549" w:rsidRPr="007B6EB9" w:rsidP="004B38D8" w14:paraId="600F7BF2" w14:textId="77777777">
            <w:pPr>
              <w:rPr>
                <w:rFonts w:ascii="Times New Roman" w:hAnsi="Times New Roman"/>
              </w:rPr>
            </w:pPr>
          </w:p>
        </w:tc>
      </w:tr>
      <w:tr w14:paraId="600F7BF6" w14:textId="77777777" w:rsidTr="004B38D8">
        <w:tblPrEx>
          <w:tblW w:w="10278" w:type="dxa"/>
          <w:tblLook w:val="01E0"/>
        </w:tblPrEx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549" w:rsidRPr="007B6EB9" w:rsidP="004B38D8" w14:paraId="600F7BF4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 E-mail Address: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1549" w:rsidRPr="007B6EB9" w:rsidP="004B38D8" w14:paraId="600F7BF5" w14:textId="77777777">
            <w:pPr>
              <w:rPr>
                <w:rFonts w:ascii="Times New Roman" w:hAnsi="Times New Roman"/>
              </w:rPr>
            </w:pPr>
          </w:p>
        </w:tc>
      </w:tr>
      <w:tr w14:paraId="600F7BF9" w14:textId="77777777" w:rsidTr="004B38D8">
        <w:tblPrEx>
          <w:tblW w:w="10278" w:type="dxa"/>
          <w:tblLook w:val="01E0"/>
        </w:tblPrEx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549" w:rsidRPr="007B6EB9" w:rsidP="004B38D8" w14:paraId="600F7BF7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 Telephone No.: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1549" w:rsidRPr="007B6EB9" w:rsidP="004B38D8" w14:paraId="600F7BF8" w14:textId="77777777">
            <w:pPr>
              <w:rPr>
                <w:rFonts w:ascii="Times New Roman" w:hAnsi="Times New Roman"/>
              </w:rPr>
            </w:pPr>
          </w:p>
        </w:tc>
      </w:tr>
      <w:tr w14:paraId="600F7BFC" w14:textId="77777777" w:rsidTr="004B38D8">
        <w:tblPrEx>
          <w:tblW w:w="10278" w:type="dxa"/>
          <w:tblLook w:val="01E0"/>
        </w:tblPrEx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549" w:rsidRPr="007B6EB9" w:rsidP="004B38D8" w14:paraId="600F7BFA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 Mail Stop: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1549" w:rsidRPr="007B6EB9" w:rsidP="004B38D8" w14:paraId="600F7BFB" w14:textId="77777777">
            <w:pPr>
              <w:rPr>
                <w:rFonts w:ascii="Times New Roman" w:hAnsi="Times New Roman"/>
              </w:rPr>
            </w:pPr>
          </w:p>
        </w:tc>
      </w:tr>
    </w:tbl>
    <w:p w:rsidR="00ED1549" w:rsidRPr="007B6EB9" w:rsidP="00ED1549" w14:paraId="600F7BFD" w14:textId="77777777">
      <w:pPr>
        <w:pBdr>
          <w:bottom w:val="single" w:sz="6" w:space="1" w:color="auto"/>
        </w:pBdr>
        <w:tabs>
          <w:tab w:val="left" w:pos="375"/>
        </w:tabs>
        <w:rPr>
          <w:rFonts w:ascii="Times New Roman" w:hAnsi="Times New Roman"/>
          <w:b/>
        </w:rPr>
      </w:pPr>
    </w:p>
    <w:p w:rsidR="00ED1549" w:rsidRPr="007B6EB9" w:rsidP="00ED1549" w14:paraId="600F7BFE" w14:textId="77777777">
      <w:pPr>
        <w:tabs>
          <w:tab w:val="left" w:pos="375"/>
        </w:tabs>
        <w:rPr>
          <w:rFonts w:ascii="Times New Roman" w:hAnsi="Times New Roman"/>
          <w:b/>
        </w:rPr>
      </w:pPr>
    </w:p>
    <w:p w:rsidR="00F13D08" w14:paraId="4B39364F" w14:textId="77777777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E5375E" w:rsidP="00E5375E" w14:paraId="600F7BFF" w14:textId="5CF8AE07">
      <w:pPr>
        <w:autoSpaceDE w:val="0"/>
        <w:autoSpaceDN w:val="0"/>
        <w:adjustRightInd w:val="0"/>
        <w:rPr>
          <w:b/>
          <w:bCs/>
        </w:rPr>
      </w:pPr>
      <w:r w:rsidRPr="00441DAB">
        <w:rPr>
          <w:b/>
          <w:bCs/>
        </w:rPr>
        <w:t>INTRODUCTION</w:t>
      </w:r>
    </w:p>
    <w:p w:rsidR="00E5375E" w:rsidRPr="00441DAB" w:rsidP="00E5375E" w14:paraId="600F7C00" w14:textId="77777777">
      <w:pPr>
        <w:autoSpaceDE w:val="0"/>
        <w:autoSpaceDN w:val="0"/>
        <w:adjustRightInd w:val="0"/>
        <w:rPr>
          <w:b/>
          <w:bCs/>
        </w:rPr>
      </w:pPr>
    </w:p>
    <w:p w:rsidR="00E5375E" w:rsidRPr="00E5375E" w:rsidP="00E5375E" w14:paraId="600F7C01" w14:textId="13F10ED4">
      <w:pPr>
        <w:autoSpaceDE w:val="0"/>
        <w:autoSpaceDN w:val="0"/>
        <w:adjustRightInd w:val="0"/>
        <w:rPr>
          <w:rFonts w:ascii="Times New Roman" w:hAnsi="Times New Roman"/>
          <w:b/>
          <w:color w:val="C00000"/>
        </w:rPr>
      </w:pPr>
      <w:r w:rsidRPr="00E5375E">
        <w:rPr>
          <w:rFonts w:ascii="Times New Roman" w:hAnsi="Times New Roman"/>
          <w:b/>
          <w:color w:val="C00000"/>
        </w:rPr>
        <w:t xml:space="preserve">Describe </w:t>
      </w:r>
      <w:r>
        <w:rPr>
          <w:rFonts w:ascii="Times New Roman" w:hAnsi="Times New Roman"/>
          <w:b/>
          <w:color w:val="C00000"/>
        </w:rPr>
        <w:t xml:space="preserve">any </w:t>
      </w:r>
      <w:r w:rsidRPr="00E5375E">
        <w:rPr>
          <w:rFonts w:ascii="Times New Roman" w:hAnsi="Times New Roman"/>
          <w:b/>
          <w:color w:val="C00000"/>
        </w:rPr>
        <w:t xml:space="preserve">need and circumstances of </w:t>
      </w:r>
      <w:r>
        <w:rPr>
          <w:rFonts w:ascii="Times New Roman" w:hAnsi="Times New Roman"/>
          <w:b/>
          <w:color w:val="C00000"/>
        </w:rPr>
        <w:t xml:space="preserve">changes to the initial submitted </w:t>
      </w:r>
      <w:r w:rsidR="00147AF5">
        <w:rPr>
          <w:rFonts w:ascii="Times New Roman" w:hAnsi="Times New Roman"/>
          <w:b/>
          <w:color w:val="C00000"/>
        </w:rPr>
        <w:t>PH/PS Strategies Data Collection</w:t>
      </w:r>
      <w:r>
        <w:rPr>
          <w:rFonts w:ascii="Times New Roman" w:hAnsi="Times New Roman"/>
          <w:b/>
          <w:color w:val="C00000"/>
        </w:rPr>
        <w:t xml:space="preserve">. In case of no changes specify no changes to initial </w:t>
      </w:r>
      <w:r w:rsidR="00147AF5">
        <w:rPr>
          <w:rFonts w:ascii="Times New Roman" w:hAnsi="Times New Roman"/>
          <w:b/>
          <w:color w:val="C00000"/>
        </w:rPr>
        <w:t>request</w:t>
      </w:r>
      <w:r>
        <w:rPr>
          <w:rFonts w:ascii="Times New Roman" w:hAnsi="Times New Roman"/>
          <w:b/>
          <w:color w:val="C00000"/>
        </w:rPr>
        <w:t xml:space="preserve">. </w:t>
      </w:r>
    </w:p>
    <w:p w:rsidR="00E5375E" w:rsidP="00ED1549" w14:paraId="600F7C02" w14:textId="77777777">
      <w:pPr>
        <w:tabs>
          <w:tab w:val="left" w:pos="375"/>
        </w:tabs>
        <w:rPr>
          <w:rFonts w:ascii="Times New Roman" w:hAnsi="Times New Roman"/>
          <w:b/>
          <w:color w:val="C00000"/>
        </w:rPr>
      </w:pPr>
    </w:p>
    <w:p w:rsidR="00ED1549" w:rsidRPr="007B6EB9" w:rsidP="00ED1549" w14:paraId="600F7C03" w14:textId="77777777">
      <w:pPr>
        <w:tabs>
          <w:tab w:val="left" w:pos="375"/>
        </w:tabs>
        <w:rPr>
          <w:rFonts w:ascii="Times New Roman" w:hAnsi="Times New Roman"/>
          <w:b/>
          <w:color w:val="C00000"/>
        </w:rPr>
      </w:pPr>
      <w:r w:rsidRPr="007B6EB9">
        <w:rPr>
          <w:rFonts w:ascii="Times New Roman" w:hAnsi="Times New Roman"/>
          <w:b/>
          <w:color w:val="C00000"/>
        </w:rPr>
        <w:t xml:space="preserve">Complete the following for </w:t>
      </w:r>
      <w:r w:rsidRPr="007B6EB9">
        <w:rPr>
          <w:rFonts w:ascii="Times New Roman" w:hAnsi="Times New Roman"/>
          <w:b/>
          <w:color w:val="C00000"/>
          <w:u w:val="single"/>
        </w:rPr>
        <w:t>each</w:t>
      </w:r>
      <w:r w:rsidRPr="007B6EB9">
        <w:rPr>
          <w:rFonts w:ascii="Times New Roman" w:hAnsi="Times New Roman"/>
          <w:b/>
          <w:color w:val="C00000"/>
        </w:rPr>
        <w:t xml:space="preserve"> instrument used during the investigation. </w:t>
      </w:r>
    </w:p>
    <w:p w:rsidR="00ED1549" w:rsidRPr="007B6EB9" w:rsidP="00ED1549" w14:paraId="600F7C04" w14:textId="77777777">
      <w:pPr>
        <w:tabs>
          <w:tab w:val="left" w:pos="375"/>
        </w:tabs>
        <w:jc w:val="center"/>
        <w:rPr>
          <w:rFonts w:ascii="Times New Roman" w:hAnsi="Times New Roman"/>
          <w:b/>
        </w:rPr>
      </w:pPr>
    </w:p>
    <w:p w:rsidR="00ED1549" w:rsidRPr="007B6EB9" w:rsidP="00ED1549" w14:paraId="600F7C05" w14:textId="77777777">
      <w:pPr>
        <w:tabs>
          <w:tab w:val="left" w:pos="375"/>
        </w:tabs>
        <w:rPr>
          <w:rFonts w:ascii="Times New Roman" w:hAnsi="Times New Roman"/>
          <w:b/>
        </w:rPr>
      </w:pPr>
      <w:r w:rsidRPr="007B6EB9">
        <w:rPr>
          <w:rFonts w:ascii="Times New Roman" w:hAnsi="Times New Roman"/>
          <w:b/>
        </w:rPr>
        <w:t>Data Collection Instrument 1</w:t>
      </w:r>
    </w:p>
    <w:p w:rsidR="00ED1549" w:rsidRPr="007B6EB9" w:rsidP="00ED1549" w14:paraId="600F7C06" w14:textId="77777777">
      <w:pPr>
        <w:tabs>
          <w:tab w:val="left" w:pos="375"/>
        </w:tabs>
        <w:rPr>
          <w:rFonts w:ascii="Times New Roman" w:hAnsi="Times New Roman"/>
          <w:i/>
        </w:rPr>
      </w:pPr>
    </w:p>
    <w:p w:rsidR="00ED1549" w:rsidRPr="007B6EB9" w:rsidP="00ED1549" w14:paraId="600F7C07" w14:textId="77777777">
      <w:pPr>
        <w:tabs>
          <w:tab w:val="left" w:pos="375"/>
        </w:tabs>
        <w:rPr>
          <w:rFonts w:ascii="Times New Roman" w:hAnsi="Times New Roman"/>
          <w:i/>
        </w:rPr>
      </w:pPr>
      <w:r w:rsidRPr="007B6EB9">
        <w:rPr>
          <w:rFonts w:ascii="Times New Roman" w:hAnsi="Times New Roman"/>
          <w:i/>
        </w:rPr>
        <w:t>Name of Data Collection Instrument:</w:t>
      </w:r>
    </w:p>
    <w:p w:rsidR="00ED1549" w:rsidRPr="007B6EB9" w:rsidP="00ED1549" w14:paraId="600F7C08" w14:textId="77777777">
      <w:pPr>
        <w:tabs>
          <w:tab w:val="left" w:pos="375"/>
        </w:tabs>
        <w:rPr>
          <w:rFonts w:ascii="Times New Roman" w:hAnsi="Times New Roman"/>
          <w:i/>
        </w:rPr>
      </w:pPr>
    </w:p>
    <w:p w:rsidR="00ED1549" w:rsidRPr="007B6EB9" w:rsidP="00ED1549" w14:paraId="600F7C09" w14:textId="0993E604">
      <w:pPr>
        <w:tabs>
          <w:tab w:val="left" w:pos="375"/>
        </w:tabs>
        <w:rPr>
          <w:rFonts w:ascii="Times New Roman" w:hAnsi="Times New Roman"/>
          <w:i/>
        </w:rPr>
      </w:pPr>
      <w:r w:rsidRPr="007B6EB9">
        <w:rPr>
          <w:rFonts w:ascii="Times New Roman" w:hAnsi="Times New Roman"/>
          <w:i/>
        </w:rPr>
        <w:t xml:space="preserve">Type of </w:t>
      </w:r>
      <w:r w:rsidR="00321AA0">
        <w:rPr>
          <w:rFonts w:ascii="Times New Roman" w:hAnsi="Times New Roman"/>
          <w:i/>
        </w:rPr>
        <w:t>Participant (check all the apply)</w:t>
      </w:r>
    </w:p>
    <w:p w:rsidR="008E00C7" w:rsidRPr="00E90EEB" w:rsidP="00832880" w14:paraId="35E7E0E6" w14:textId="4A29DAD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90EEB">
        <w:rPr>
          <w:sz w:val="24"/>
          <w:szCs w:val="24"/>
        </w:rPr>
        <w:t>Public health professionals</w:t>
      </w:r>
    </w:p>
    <w:p w:rsidR="008E00C7" w:rsidRPr="00E90EEB" w:rsidP="00832880" w14:paraId="1BABAF26" w14:textId="7777777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90EEB">
        <w:rPr>
          <w:sz w:val="24"/>
          <w:szCs w:val="24"/>
        </w:rPr>
        <w:t>Public safety professionals (</w:t>
      </w:r>
      <w:r w:rsidRPr="00E90EEB">
        <w:rPr>
          <w:sz w:val="24"/>
          <w:szCs w:val="24"/>
        </w:rPr>
        <w:t>i.e.</w:t>
      </w:r>
      <w:r w:rsidRPr="00E90EEB">
        <w:rPr>
          <w:sz w:val="24"/>
          <w:szCs w:val="24"/>
        </w:rPr>
        <w:t xml:space="preserve"> police officers, correctional staff, emergency medical personnel, fire and rescue)</w:t>
      </w:r>
    </w:p>
    <w:p w:rsidR="008E00C7" w:rsidRPr="00E90EEB" w:rsidP="00832880" w14:paraId="246B053F" w14:textId="7777777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90EEB">
        <w:rPr>
          <w:sz w:val="24"/>
          <w:szCs w:val="24"/>
        </w:rPr>
        <w:t>Medical examiners</w:t>
      </w:r>
    </w:p>
    <w:p w:rsidR="008E00C7" w:rsidRPr="00E90EEB" w:rsidP="00832880" w14:paraId="38B4FD75" w14:textId="7777777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90EEB">
        <w:rPr>
          <w:sz w:val="24"/>
          <w:szCs w:val="24"/>
        </w:rPr>
        <w:t xml:space="preserve">Individuals served by policies or programs to reduce overdose </w:t>
      </w:r>
    </w:p>
    <w:p w:rsidR="008E00C7" w:rsidRPr="00E90EEB" w:rsidP="00832880" w14:paraId="126C347E" w14:textId="7777777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90EEB">
        <w:rPr>
          <w:sz w:val="24"/>
          <w:szCs w:val="24"/>
        </w:rPr>
        <w:t>Individuals who use drugs or have a history of drug use or criminal-legal involvement</w:t>
      </w:r>
    </w:p>
    <w:p w:rsidR="008E00C7" w:rsidRPr="00E90EEB" w:rsidP="00832880" w14:paraId="5C268815" w14:textId="7777777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90EEB">
        <w:rPr>
          <w:sz w:val="24"/>
          <w:szCs w:val="24"/>
        </w:rPr>
        <w:t>Families and friends of individuals who use drugs or have a history of drug use or criminal legal involvement</w:t>
      </w:r>
    </w:p>
    <w:p w:rsidR="008E00C7" w:rsidRPr="00E90EEB" w:rsidP="00832880" w14:paraId="4D3F8451" w14:textId="7777777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90EEB">
        <w:rPr>
          <w:sz w:val="24"/>
          <w:szCs w:val="24"/>
        </w:rPr>
        <w:t>Health care providers, including substance use service providers</w:t>
      </w:r>
      <w:r w:rsidRPr="00E90EEB">
        <w:rPr>
          <w:sz w:val="24"/>
          <w:szCs w:val="24"/>
        </w:rPr>
        <w:t xml:space="preserve"> </w:t>
      </w:r>
    </w:p>
    <w:p w:rsidR="008E00C7" w:rsidRPr="00E90EEB" w:rsidP="00832880" w14:paraId="18C3E67A" w14:textId="7777777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90EEB">
        <w:rPr>
          <w:sz w:val="24"/>
          <w:szCs w:val="24"/>
        </w:rPr>
        <w:t>Pharmacists</w:t>
      </w:r>
    </w:p>
    <w:p w:rsidR="008E00C7" w:rsidRPr="00E90EEB" w:rsidP="00832880" w14:paraId="43C69682" w14:textId="7777777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90EEB">
        <w:rPr>
          <w:sz w:val="24"/>
          <w:szCs w:val="24"/>
        </w:rPr>
        <w:t>Representatives of harm reduction, peer recovery drug prevention or other community organizations</w:t>
      </w:r>
    </w:p>
    <w:p w:rsidR="00ED1549" w:rsidRPr="00E90EEB" w:rsidP="00832880" w14:paraId="600F7C14" w14:textId="0519A47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90EEB">
        <w:rPr>
          <w:sz w:val="24"/>
          <w:szCs w:val="24"/>
        </w:rPr>
        <w:t>Other: [describe]</w:t>
      </w:r>
    </w:p>
    <w:p w:rsidR="00ED1549" w:rsidP="00ED1549" w14:paraId="600F7C1D" w14:textId="77777777">
      <w:pPr>
        <w:rPr>
          <w:rFonts w:ascii="Times New Roman" w:hAnsi="Times New Roman"/>
        </w:rPr>
      </w:pPr>
    </w:p>
    <w:p w:rsidR="00ED1549" w:rsidRPr="00321AA0" w:rsidP="00ED1549" w14:paraId="600F7C1E" w14:textId="77777777">
      <w:pPr>
        <w:rPr>
          <w:rFonts w:ascii="Times New Roman" w:hAnsi="Times New Roman"/>
          <w:i/>
          <w:iCs/>
        </w:rPr>
      </w:pPr>
      <w:r w:rsidRPr="00321AA0">
        <w:rPr>
          <w:rFonts w:ascii="Times New Roman" w:hAnsi="Times New Roman"/>
          <w:i/>
          <w:iCs/>
        </w:rPr>
        <w:t>Data Collection Mode (check all that apply)</w:t>
      </w:r>
    </w:p>
    <w:p w:rsidR="00ED1549" w:rsidRPr="00CF028D" w:rsidP="00CF028D" w14:paraId="600F7C1F" w14:textId="09B27F7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F028D">
        <w:rPr>
          <w:sz w:val="24"/>
          <w:szCs w:val="24"/>
        </w:rPr>
        <w:t>Survey Mode (indicate which mode(s) below):</w:t>
      </w:r>
    </w:p>
    <w:p w:rsidR="00ED1549" w:rsidRPr="00CF028D" w:rsidP="00CF028D" w14:paraId="600F7C24" w14:textId="2938397F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CF028D">
        <w:rPr>
          <w:sz w:val="24"/>
          <w:szCs w:val="24"/>
        </w:rPr>
        <w:t>Web-based</w:t>
      </w:r>
    </w:p>
    <w:p w:rsidR="00832880" w:rsidRPr="00CF028D" w:rsidP="00CF028D" w14:paraId="1794C46D" w14:textId="663BB085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CF028D">
        <w:rPr>
          <w:sz w:val="24"/>
          <w:szCs w:val="24"/>
        </w:rPr>
        <w:t>Self-administered, in person</w:t>
      </w:r>
    </w:p>
    <w:p w:rsidR="00FA0524" w:rsidRPr="00CF028D" w:rsidP="00CF028D" w14:paraId="522C06F3" w14:textId="1228AEEE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CF028D">
        <w:rPr>
          <w:sz w:val="24"/>
          <w:szCs w:val="24"/>
        </w:rPr>
        <w:t>Investigator-administered, in person</w:t>
      </w:r>
    </w:p>
    <w:p w:rsidR="00832880" w:rsidRPr="00CF028D" w:rsidP="00CF028D" w14:paraId="7A503E80" w14:textId="0024568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F028D">
        <w:rPr>
          <w:sz w:val="24"/>
          <w:szCs w:val="24"/>
        </w:rPr>
        <w:t>Interview Mode (indicate which mode(s) below):</w:t>
      </w:r>
    </w:p>
    <w:p w:rsidR="00832880" w:rsidRPr="00CF028D" w:rsidP="00CF028D" w14:paraId="1BF10984" w14:textId="3DCB89F9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CF028D">
        <w:rPr>
          <w:sz w:val="24"/>
          <w:szCs w:val="24"/>
        </w:rPr>
        <w:t xml:space="preserve">Face-to-face </w:t>
      </w:r>
    </w:p>
    <w:p w:rsidR="00FA0524" w:rsidRPr="00CF028D" w:rsidP="00CF028D" w14:paraId="6C5EE0DA" w14:textId="6E704E92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CF028D">
        <w:rPr>
          <w:sz w:val="24"/>
          <w:szCs w:val="24"/>
        </w:rPr>
        <w:t>Remote</w:t>
      </w:r>
    </w:p>
    <w:p w:rsidR="0064414D" w:rsidRPr="00CF028D" w:rsidP="00CF028D" w14:paraId="501CF337" w14:textId="303553F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F028D">
        <w:rPr>
          <w:sz w:val="24"/>
          <w:szCs w:val="24"/>
        </w:rPr>
        <w:t>Observation (describe):</w:t>
      </w:r>
    </w:p>
    <w:p w:rsidR="00ED1549" w:rsidRPr="00CF028D" w:rsidP="00CF028D" w14:paraId="600F7C25" w14:textId="675BF83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F028D">
        <w:rPr>
          <w:sz w:val="24"/>
          <w:szCs w:val="24"/>
        </w:rPr>
        <w:t>Document or record review</w:t>
      </w:r>
      <w:r w:rsidRPr="00CF028D">
        <w:rPr>
          <w:sz w:val="24"/>
          <w:szCs w:val="24"/>
        </w:rPr>
        <w:t xml:space="preserve"> (describe):</w:t>
      </w:r>
    </w:p>
    <w:p w:rsidR="00ED1549" w:rsidRPr="00CF028D" w:rsidP="00CF028D" w14:paraId="600F7C26" w14:textId="7931DED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F028D">
        <w:rPr>
          <w:sz w:val="24"/>
          <w:szCs w:val="24"/>
        </w:rPr>
        <w:t>Other (describe):</w:t>
      </w:r>
    </w:p>
    <w:p w:rsidR="00ED1549" w:rsidRPr="007B6EB9" w:rsidP="00ED1549" w14:paraId="600F7C27" w14:textId="77777777">
      <w:pPr>
        <w:rPr>
          <w:rFonts w:ascii="Times New Roman" w:hAnsi="Times New Roman"/>
        </w:rPr>
      </w:pPr>
    </w:p>
    <w:p w:rsidR="00ED1549" w:rsidRPr="007B6EB9" w:rsidP="00ED1549" w14:paraId="600F7C28" w14:textId="77777777">
      <w:pPr>
        <w:keepNext/>
        <w:keepLines/>
        <w:rPr>
          <w:rFonts w:ascii="Times New Roman" w:hAnsi="Times New Roman"/>
          <w:i/>
        </w:rPr>
      </w:pPr>
      <w:r w:rsidRPr="007B6EB9">
        <w:rPr>
          <w:rFonts w:ascii="Times New Roman" w:hAnsi="Times New Roman"/>
          <w:i/>
        </w:rPr>
        <w:t>Response Rate (if applicable)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8"/>
        <w:gridCol w:w="2430"/>
      </w:tblGrid>
      <w:tr w14:paraId="600F7C2B" w14:textId="77777777" w:rsidTr="004B38D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c>
          <w:tcPr>
            <w:tcW w:w="4788" w:type="dxa"/>
            <w:tcBorders>
              <w:top w:val="nil"/>
              <w:bottom w:val="nil"/>
            </w:tcBorders>
          </w:tcPr>
          <w:p w:rsidR="00ED1549" w:rsidRPr="007B6EB9" w:rsidP="004B38D8" w14:paraId="600F7C29" w14:textId="77777777">
            <w:pPr>
              <w:keepNext/>
              <w:keepLine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7B6EB9">
              <w:rPr>
                <w:rFonts w:ascii="Times New Roman" w:hAnsi="Times New Roman"/>
              </w:rPr>
              <w:t>Total No. Responded (A):</w:t>
            </w:r>
          </w:p>
        </w:tc>
        <w:tc>
          <w:tcPr>
            <w:tcW w:w="2430" w:type="dxa"/>
          </w:tcPr>
          <w:p w:rsidR="00ED1549" w:rsidRPr="007B6EB9" w:rsidP="004B38D8" w14:paraId="600F7C2A" w14:textId="77777777">
            <w:pPr>
              <w:keepNext/>
              <w:keepLines/>
              <w:rPr>
                <w:rFonts w:ascii="Times New Roman" w:hAnsi="Times New Roman"/>
              </w:rPr>
            </w:pPr>
          </w:p>
        </w:tc>
      </w:tr>
      <w:tr w14:paraId="600F7C2E" w14:textId="77777777" w:rsidTr="004B38D8">
        <w:tblPrEx>
          <w:tblW w:w="0" w:type="auto"/>
          <w:tblLook w:val="04A0"/>
        </w:tblPrEx>
        <w:trPr>
          <w:trHeight w:val="242"/>
        </w:trPr>
        <w:tc>
          <w:tcPr>
            <w:tcW w:w="4788" w:type="dxa"/>
            <w:tcBorders>
              <w:top w:val="nil"/>
              <w:bottom w:val="nil"/>
            </w:tcBorders>
          </w:tcPr>
          <w:p w:rsidR="00ED1549" w:rsidRPr="007B6EB9" w:rsidP="004B38D8" w14:paraId="600F7C2C" w14:textId="77777777">
            <w:pPr>
              <w:keepNext/>
              <w:keepLine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7B6EB9">
              <w:rPr>
                <w:rFonts w:ascii="Times New Roman" w:hAnsi="Times New Roman"/>
              </w:rPr>
              <w:t>Total No. Sampled/Eligible to Respond (B):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ED1549" w:rsidRPr="007B6EB9" w:rsidP="004B38D8" w14:paraId="600F7C2D" w14:textId="77777777">
            <w:pPr>
              <w:keepNext/>
              <w:keepLines/>
              <w:rPr>
                <w:rFonts w:ascii="Times New Roman" w:hAnsi="Times New Roman"/>
              </w:rPr>
            </w:pPr>
          </w:p>
        </w:tc>
      </w:tr>
      <w:tr w14:paraId="600F7C31" w14:textId="77777777" w:rsidTr="004B38D8">
        <w:tblPrEx>
          <w:tblW w:w="0" w:type="auto"/>
          <w:tblLook w:val="04A0"/>
        </w:tblPrEx>
        <w:tc>
          <w:tcPr>
            <w:tcW w:w="4788" w:type="dxa"/>
            <w:tcBorders>
              <w:top w:val="nil"/>
              <w:bottom w:val="nil"/>
            </w:tcBorders>
          </w:tcPr>
          <w:p w:rsidR="00ED1549" w:rsidRPr="007B6EB9" w:rsidP="004B38D8" w14:paraId="600F7C2F" w14:textId="77777777">
            <w:pPr>
              <w:keepNext/>
              <w:keepLine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7B6EB9">
              <w:rPr>
                <w:rFonts w:ascii="Times New Roman" w:hAnsi="Times New Roman"/>
              </w:rPr>
              <w:t>Response Rate (A/B):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ED1549" w:rsidRPr="007B6EB9" w:rsidP="004B38D8" w14:paraId="600F7C30" w14:textId="77777777">
            <w:pPr>
              <w:keepNext/>
              <w:keepLines/>
              <w:rPr>
                <w:rFonts w:ascii="Times New Roman" w:hAnsi="Times New Roman"/>
              </w:rPr>
            </w:pPr>
          </w:p>
        </w:tc>
      </w:tr>
    </w:tbl>
    <w:p w:rsidR="00ED1549" w:rsidRPr="007B6EB9" w:rsidP="00ED1549" w14:paraId="600F7C32" w14:textId="77777777">
      <w:pPr>
        <w:rPr>
          <w:rFonts w:ascii="Times New Roman" w:hAnsi="Times New Roman"/>
          <w:b/>
        </w:rPr>
      </w:pPr>
    </w:p>
    <w:p w:rsidR="00ED1549" w:rsidRPr="007B6EB9" w:rsidP="00ED1549" w14:paraId="600F7C33" w14:textId="77777777">
      <w:pPr>
        <w:rPr>
          <w:rFonts w:ascii="Times New Roman" w:hAnsi="Times New Roman"/>
          <w:b/>
        </w:rPr>
      </w:pPr>
      <w:r w:rsidRPr="007B6EB9">
        <w:rPr>
          <w:rFonts w:ascii="Times New Roman" w:hAnsi="Times New Roman"/>
          <w:b/>
        </w:rPr>
        <w:t xml:space="preserve"> (Additional Data Collection Instrument sections may be added if necessary.)</w:t>
      </w:r>
    </w:p>
    <w:p w:rsidR="00ED1549" w:rsidRPr="007B6EB9" w:rsidP="00ED1549" w14:paraId="600F7C34" w14:textId="77777777">
      <w:pPr>
        <w:pBdr>
          <w:bottom w:val="single" w:sz="6" w:space="1" w:color="auto"/>
        </w:pBdr>
        <w:rPr>
          <w:rFonts w:ascii="Times New Roman" w:hAnsi="Times New Roman"/>
          <w:b/>
        </w:rPr>
      </w:pPr>
    </w:p>
    <w:p w:rsidR="00ED1549" w:rsidRPr="007B6EB9" w:rsidP="00ED1549" w14:paraId="600F7C35" w14:textId="77777777">
      <w:pPr>
        <w:rPr>
          <w:rFonts w:ascii="Times New Roman" w:hAnsi="Times New Roman"/>
          <w:b/>
        </w:rPr>
      </w:pPr>
    </w:p>
    <w:p w:rsidR="00F13D08" w14:paraId="31E94DFD" w14:textId="77777777">
      <w:pPr>
        <w:spacing w:after="200" w:line="276" w:lineRule="auto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  <w:b/>
          <w:color w:val="C00000"/>
        </w:rPr>
        <w:br w:type="page"/>
      </w:r>
    </w:p>
    <w:p w:rsidR="00ED1549" w:rsidRPr="007B6EB9" w:rsidP="00ED1549" w14:paraId="600F7C36" w14:textId="6CE54086">
      <w:pPr>
        <w:rPr>
          <w:rFonts w:ascii="Times New Roman" w:hAnsi="Times New Roman"/>
          <w:b/>
          <w:color w:val="C00000"/>
        </w:rPr>
      </w:pPr>
      <w:r w:rsidRPr="007B6EB9">
        <w:rPr>
          <w:rFonts w:ascii="Times New Roman" w:hAnsi="Times New Roman"/>
          <w:b/>
          <w:color w:val="C00000"/>
        </w:rPr>
        <w:t>Complete the following burden table.  Each data collection instrument should be included as a separate row.</w:t>
      </w:r>
    </w:p>
    <w:p w:rsidR="00ED1549" w:rsidRPr="007B6EB9" w:rsidP="00ED1549" w14:paraId="600F7C37" w14:textId="77777777">
      <w:pPr>
        <w:rPr>
          <w:rFonts w:ascii="Times New Roman" w:hAnsi="Times New Roman"/>
          <w:b/>
        </w:rPr>
      </w:pPr>
    </w:p>
    <w:p w:rsidR="00ED1549" w:rsidRPr="007B6EB9" w:rsidP="00ED1549" w14:paraId="600F7C38" w14:textId="77777777">
      <w:pPr>
        <w:rPr>
          <w:rFonts w:ascii="Times New Roman" w:hAnsi="Times New Roman"/>
          <w:i/>
        </w:rPr>
      </w:pPr>
      <w:r w:rsidRPr="007B6EB9">
        <w:rPr>
          <w:rFonts w:ascii="Times New Roman" w:hAnsi="Times New Roman"/>
          <w:i/>
        </w:rPr>
        <w:t>Burden Table (insert rows for additional respondent types if needed)</w:t>
      </w:r>
    </w:p>
    <w:tbl>
      <w:tblPr>
        <w:tblStyle w:val="TableGrid"/>
        <w:tblW w:w="0" w:type="auto"/>
        <w:tblLook w:val="04A0"/>
      </w:tblPr>
      <w:tblGrid>
        <w:gridCol w:w="2795"/>
        <w:gridCol w:w="1439"/>
        <w:gridCol w:w="1528"/>
        <w:gridCol w:w="1832"/>
        <w:gridCol w:w="1598"/>
        <w:gridCol w:w="1598"/>
      </w:tblGrid>
      <w:tr w14:paraId="600F7C41" w14:textId="77777777" w:rsidTr="004B38D8">
        <w:tblPrEx>
          <w:tblW w:w="0" w:type="auto"/>
          <w:tblLook w:val="04A0"/>
        </w:tblPrEx>
        <w:tc>
          <w:tcPr>
            <w:tcW w:w="2808" w:type="dxa"/>
          </w:tcPr>
          <w:p w:rsidR="00ED1549" w:rsidRPr="007B6EB9" w:rsidP="004B38D8" w14:paraId="600F7C39" w14:textId="77777777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Data Collection Instrument Name</w:t>
            </w:r>
          </w:p>
        </w:tc>
        <w:tc>
          <w:tcPr>
            <w:tcW w:w="1440" w:type="dxa"/>
          </w:tcPr>
          <w:p w:rsidR="00ED1549" w:rsidRPr="007B6EB9" w:rsidP="004B38D8" w14:paraId="600F7C3A" w14:textId="6C0FF654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Type of </w:t>
            </w:r>
            <w:r w:rsidR="001338BD">
              <w:rPr>
                <w:rFonts w:ascii="Times New Roman" w:hAnsi="Times New Roman"/>
              </w:rPr>
              <w:t>Participant</w:t>
            </w:r>
            <w:r w:rsidRPr="007B6EB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30" w:type="dxa"/>
          </w:tcPr>
          <w:p w:rsidR="00ED1549" w:rsidRPr="007B6EB9" w:rsidP="004B38D8" w14:paraId="600F7C3B" w14:textId="643EC63A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o.</w:t>
            </w:r>
            <w:r w:rsidRPr="007B6EB9">
              <w:rPr>
                <w:rFonts w:ascii="Times New Roman" w:hAnsi="Times New Roman"/>
              </w:rPr>
              <w:t xml:space="preserve"> </w:t>
            </w:r>
            <w:r w:rsidR="001338BD">
              <w:rPr>
                <w:rFonts w:ascii="Times New Roman" w:hAnsi="Times New Roman"/>
              </w:rPr>
              <w:t>Participant</w:t>
            </w:r>
            <w:r>
              <w:rPr>
                <w:rFonts w:ascii="Times New Roman" w:hAnsi="Times New Roman"/>
              </w:rPr>
              <w:t xml:space="preserve"> (A)</w:t>
            </w:r>
          </w:p>
        </w:tc>
        <w:tc>
          <w:tcPr>
            <w:tcW w:w="1836" w:type="dxa"/>
          </w:tcPr>
          <w:p w:rsidR="00ED1549" w:rsidRPr="007B6EB9" w:rsidP="004B38D8" w14:paraId="600F7C3C" w14:textId="44EB3A70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No. Responses per </w:t>
            </w:r>
            <w:r w:rsidR="001338BD">
              <w:rPr>
                <w:rFonts w:ascii="Times New Roman" w:hAnsi="Times New Roman"/>
              </w:rPr>
              <w:t>Participant</w:t>
            </w:r>
            <w:r>
              <w:rPr>
                <w:rFonts w:ascii="Times New Roman" w:hAnsi="Times New Roman"/>
              </w:rPr>
              <w:t xml:space="preserve"> (B)</w:t>
            </w:r>
          </w:p>
        </w:tc>
        <w:tc>
          <w:tcPr>
            <w:tcW w:w="1602" w:type="dxa"/>
          </w:tcPr>
          <w:p w:rsidR="00ED1549" w:rsidRPr="007B6EB9" w:rsidP="004B38D8" w14:paraId="600F7C3D" w14:textId="77777777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Burden per Response </w:t>
            </w:r>
            <w:r>
              <w:rPr>
                <w:rFonts w:ascii="Times New Roman" w:hAnsi="Times New Roman"/>
              </w:rPr>
              <w:t>in Minutes (C)</w:t>
            </w:r>
          </w:p>
        </w:tc>
        <w:tc>
          <w:tcPr>
            <w:tcW w:w="1602" w:type="dxa"/>
          </w:tcPr>
          <w:p w:rsidR="00ED1549" w:rsidRPr="007B6EB9" w:rsidP="004B38D8" w14:paraId="600F7C3E" w14:textId="77777777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Total Burden </w:t>
            </w:r>
          </w:p>
          <w:p w:rsidR="00ED1549" w:rsidRPr="007B6EB9" w:rsidP="004B38D8" w14:paraId="600F7C3F" w14:textId="77777777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(in </w:t>
            </w:r>
            <w:r w:rsidRPr="007B6EB9">
              <w:rPr>
                <w:rFonts w:ascii="Times New Roman" w:hAnsi="Times New Roman"/>
              </w:rPr>
              <w:t>minutes;</w:t>
            </w:r>
            <w:r w:rsidRPr="007B6EB9">
              <w:rPr>
                <w:rFonts w:ascii="Times New Roman" w:hAnsi="Times New Roman"/>
              </w:rPr>
              <w:t xml:space="preserve"> </w:t>
            </w:r>
          </w:p>
          <w:p w:rsidR="00ED1549" w:rsidRPr="007B6EB9" w:rsidP="004B38D8" w14:paraId="600F7C40" w14:textId="77777777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A x B x C)</w:t>
            </w:r>
          </w:p>
        </w:tc>
      </w:tr>
      <w:tr w14:paraId="600F7C48" w14:textId="77777777" w:rsidTr="004B38D8">
        <w:tblPrEx>
          <w:tblW w:w="0" w:type="auto"/>
          <w:tblLook w:val="04A0"/>
        </w:tblPrEx>
        <w:tc>
          <w:tcPr>
            <w:tcW w:w="2808" w:type="dxa"/>
          </w:tcPr>
          <w:p w:rsidR="00ED1549" w:rsidRPr="007B6EB9" w:rsidP="004B38D8" w14:paraId="600F7C4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ED1549" w:rsidRPr="007B6EB9" w:rsidP="004B38D8" w14:paraId="600F7C4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="00ED1549" w:rsidRPr="007B6EB9" w:rsidP="004B38D8" w14:paraId="600F7C4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ED1549" w:rsidRPr="007B6EB9" w:rsidP="004B38D8" w14:paraId="600F7C4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ED1549" w:rsidRPr="007B6EB9" w:rsidP="004B38D8" w14:paraId="600F7C4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ED1549" w:rsidRPr="007B6EB9" w:rsidP="004B38D8" w14:paraId="600F7C47" w14:textId="77777777">
            <w:pPr>
              <w:rPr>
                <w:rFonts w:ascii="Times New Roman" w:hAnsi="Times New Roman"/>
              </w:rPr>
            </w:pPr>
          </w:p>
        </w:tc>
      </w:tr>
      <w:tr w14:paraId="600F7C4F" w14:textId="77777777" w:rsidTr="004B38D8">
        <w:tblPrEx>
          <w:tblW w:w="0" w:type="auto"/>
          <w:tblLook w:val="04A0"/>
        </w:tblPrEx>
        <w:tc>
          <w:tcPr>
            <w:tcW w:w="2808" w:type="dxa"/>
          </w:tcPr>
          <w:p w:rsidR="00ED1549" w:rsidRPr="007B6EB9" w:rsidP="004B38D8" w14:paraId="600F7C4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ED1549" w:rsidRPr="007B6EB9" w:rsidP="004B38D8" w14:paraId="600F7C4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="00ED1549" w:rsidRPr="007B6EB9" w:rsidP="004B38D8" w14:paraId="600F7C4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ED1549" w:rsidRPr="007B6EB9" w:rsidP="004B38D8" w14:paraId="600F7C4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ED1549" w:rsidRPr="007B6EB9" w:rsidP="004B38D8" w14:paraId="600F7C4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ED1549" w:rsidRPr="007B6EB9" w:rsidP="004B38D8" w14:paraId="600F7C4E" w14:textId="77777777">
            <w:pPr>
              <w:rPr>
                <w:rFonts w:ascii="Times New Roman" w:hAnsi="Times New Roman"/>
              </w:rPr>
            </w:pPr>
          </w:p>
        </w:tc>
      </w:tr>
      <w:tr w14:paraId="600F7C56" w14:textId="77777777" w:rsidTr="004B38D8">
        <w:tblPrEx>
          <w:tblW w:w="0" w:type="auto"/>
          <w:tblLook w:val="04A0"/>
        </w:tblPrEx>
        <w:tc>
          <w:tcPr>
            <w:tcW w:w="2808" w:type="dxa"/>
          </w:tcPr>
          <w:p w:rsidR="00ED1549" w:rsidRPr="007B6EB9" w:rsidP="004B38D8" w14:paraId="600F7C5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ED1549" w:rsidRPr="007B6EB9" w:rsidP="004B38D8" w14:paraId="600F7C5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="00ED1549" w:rsidRPr="007B6EB9" w:rsidP="004B38D8" w14:paraId="600F7C5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ED1549" w:rsidRPr="007B6EB9" w:rsidP="004B38D8" w14:paraId="600F7C5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ED1549" w:rsidRPr="007B6EB9" w:rsidP="004B38D8" w14:paraId="600F7C5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ED1549" w:rsidRPr="007B6EB9" w:rsidP="004B38D8" w14:paraId="600F7C55" w14:textId="77777777">
            <w:pPr>
              <w:rPr>
                <w:rFonts w:ascii="Times New Roman" w:hAnsi="Times New Roman"/>
              </w:rPr>
            </w:pPr>
          </w:p>
        </w:tc>
      </w:tr>
    </w:tbl>
    <w:p w:rsidR="00ED1549" w:rsidRPr="007B6EB9" w:rsidP="00ED1549" w14:paraId="600F7C57" w14:textId="77777777">
      <w:pPr>
        <w:rPr>
          <w:rFonts w:ascii="Times New Roman" w:hAnsi="Times New Roman"/>
        </w:rPr>
      </w:pPr>
      <w:r w:rsidRPr="007B6EB9">
        <w:rPr>
          <w:rFonts w:ascii="Times New Roman" w:hAnsi="Times New Roman"/>
        </w:rPr>
        <w:br/>
        <w:t xml:space="preserve">Return completed form and a blank copy of each final data collection instrument within 5 </w:t>
      </w:r>
      <w:r>
        <w:rPr>
          <w:rFonts w:ascii="Times New Roman" w:hAnsi="Times New Roman"/>
        </w:rPr>
        <w:t xml:space="preserve">business </w:t>
      </w:r>
      <w:r w:rsidRPr="007B6EB9">
        <w:rPr>
          <w:rFonts w:ascii="Times New Roman" w:hAnsi="Times New Roman"/>
        </w:rPr>
        <w:t xml:space="preserve">days of data collection completion to the </w:t>
      </w:r>
      <w:r w:rsidR="00941E31">
        <w:rPr>
          <w:rFonts w:eastAsia="Arial Unicode MS"/>
          <w:u w:color="000000"/>
        </w:rPr>
        <w:t xml:space="preserve">IRB/OMB liaison </w:t>
      </w:r>
      <w:r w:rsidRPr="007B6EB9">
        <w:rPr>
          <w:rFonts w:ascii="Times New Roman" w:hAnsi="Times New Roman"/>
        </w:rPr>
        <w:t xml:space="preserve">(e-mail: </w:t>
      </w:r>
      <w:hyperlink r:id="rId7" w:history="1">
        <w:r w:rsidRPr="007971A4" w:rsidR="00941E31">
          <w:rPr>
            <w:rStyle w:val="Hyperlink"/>
            <w:rFonts w:ascii="Times New Roman" w:hAnsi="Times New Roman"/>
          </w:rPr>
          <w:t>idy6@cdc.gov</w:t>
        </w:r>
      </w:hyperlink>
      <w:r w:rsidRPr="007B6EB9">
        <w:rPr>
          <w:rFonts w:ascii="Times New Roman" w:hAnsi="Times New Roman"/>
        </w:rPr>
        <w:t>).</w:t>
      </w:r>
    </w:p>
    <w:p w:rsidR="00EF3949" w14:paraId="600F7C58" w14:textId="77777777"/>
    <w:sectPr w:rsidSect="002200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3848" w14:paraId="18F6B6B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3848" w14:paraId="1F5F0EC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3848" w14:paraId="5C0B217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3848" w14:paraId="53CB0F5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1E31" w:rsidRPr="00441DAB" w:rsidP="00941E31" w14:paraId="600F7C5F" w14:textId="77777777">
    <w:pPr>
      <w:pStyle w:val="Heading2"/>
      <w:keepNext w:val="0"/>
      <w:widowControl w:val="0"/>
      <w:pBdr>
        <w:bottom w:val="single" w:sz="4" w:space="1" w:color="auto"/>
      </w:pBdr>
      <w:tabs>
        <w:tab w:val="left" w:pos="900"/>
      </w:tabs>
      <w:ind w:right="-180"/>
      <w:jc w:val="right"/>
      <w:rPr>
        <w:rFonts w:asciiTheme="minorHAnsi" w:hAnsiTheme="minorHAnsi"/>
        <w:b w:val="0"/>
        <w:sz w:val="20"/>
        <w:szCs w:val="20"/>
      </w:rPr>
    </w:pPr>
    <w:r w:rsidRPr="00441DAB">
      <w:rPr>
        <w:rFonts w:asciiTheme="minorHAnsi" w:hAnsiTheme="minorHAnsi"/>
        <w:b w:val="0"/>
        <w:sz w:val="20"/>
        <w:szCs w:val="20"/>
      </w:rPr>
      <w:t>Drug Overdose Response</w:t>
    </w:r>
    <w:r>
      <w:rPr>
        <w:rFonts w:asciiTheme="minorHAnsi" w:hAnsiTheme="minorHAnsi"/>
        <w:b w:val="0"/>
        <w:sz w:val="20"/>
        <w:szCs w:val="20"/>
      </w:rPr>
      <w:t xml:space="preserve"> Investigation (DORI) Burden Memo</w:t>
    </w:r>
  </w:p>
  <w:p w:rsidR="0041672C" w14:paraId="600F7C6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3848" w14:paraId="099AAE8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D113AAA"/>
    <w:multiLevelType w:val="hybridMultilevel"/>
    <w:tmpl w:val="B6F6884C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131AD"/>
    <w:multiLevelType w:val="hybridMultilevel"/>
    <w:tmpl w:val="FE9C383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076B3"/>
    <w:multiLevelType w:val="hybridMultilevel"/>
    <w:tmpl w:val="77BCFAFC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728EA"/>
    <w:multiLevelType w:val="hybridMultilevel"/>
    <w:tmpl w:val="21AC330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D3F44"/>
    <w:multiLevelType w:val="hybridMultilevel"/>
    <w:tmpl w:val="250CA26C"/>
    <w:lvl w:ilvl="0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5E5B04C0"/>
    <w:multiLevelType w:val="hybridMultilevel"/>
    <w:tmpl w:val="F48E958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330149">
    <w:abstractNumId w:val="4"/>
  </w:num>
  <w:num w:numId="2" w16cid:durableId="201947666">
    <w:abstractNumId w:val="5"/>
  </w:num>
  <w:num w:numId="3" w16cid:durableId="1507207440">
    <w:abstractNumId w:val="3"/>
  </w:num>
  <w:num w:numId="4" w16cid:durableId="437796698">
    <w:abstractNumId w:val="1"/>
  </w:num>
  <w:num w:numId="5" w16cid:durableId="61487402">
    <w:abstractNumId w:val="2"/>
  </w:num>
  <w:num w:numId="6" w16cid:durableId="110384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49"/>
    <w:rsid w:val="00007340"/>
    <w:rsid w:val="00042B20"/>
    <w:rsid w:val="00057DA6"/>
    <w:rsid w:val="000C2E65"/>
    <w:rsid w:val="001338BD"/>
    <w:rsid w:val="00143848"/>
    <w:rsid w:val="00147AF5"/>
    <w:rsid w:val="001501E2"/>
    <w:rsid w:val="00321AA0"/>
    <w:rsid w:val="00404749"/>
    <w:rsid w:val="0041672C"/>
    <w:rsid w:val="00431276"/>
    <w:rsid w:val="00441DAB"/>
    <w:rsid w:val="004B38D8"/>
    <w:rsid w:val="0064414D"/>
    <w:rsid w:val="006701E2"/>
    <w:rsid w:val="006714F9"/>
    <w:rsid w:val="006D0AA9"/>
    <w:rsid w:val="007971A4"/>
    <w:rsid w:val="007B25CB"/>
    <w:rsid w:val="007B6EB9"/>
    <w:rsid w:val="00832880"/>
    <w:rsid w:val="00850D2B"/>
    <w:rsid w:val="0087051B"/>
    <w:rsid w:val="008E00C7"/>
    <w:rsid w:val="00941E31"/>
    <w:rsid w:val="00982463"/>
    <w:rsid w:val="00A065C8"/>
    <w:rsid w:val="00CF028D"/>
    <w:rsid w:val="00DE6840"/>
    <w:rsid w:val="00E5375E"/>
    <w:rsid w:val="00E57698"/>
    <w:rsid w:val="00E90EEB"/>
    <w:rsid w:val="00EB5F09"/>
    <w:rsid w:val="00ED1549"/>
    <w:rsid w:val="00EF3949"/>
    <w:rsid w:val="00F13D08"/>
    <w:rsid w:val="00FA0524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0F7BCD"/>
  <w15:docId w15:val="{3273E488-A2DC-4AEB-A5CE-4683AF6C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54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1549"/>
    <w:pPr>
      <w:keepNext/>
      <w:jc w:val="center"/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ED15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ED15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D1549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rsid w:val="00ED15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D1549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rsid w:val="00ED1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D1549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rsid w:val="001501E2"/>
    <w:pPr>
      <w:tabs>
        <w:tab w:val="left" w:pos="1800"/>
      </w:tabs>
      <w:ind w:left="2340"/>
    </w:pPr>
    <w:rPr>
      <w:rFonts w:ascii="Times New Roman" w:eastAsia="Calibri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1501E2"/>
    <w:rPr>
      <w:rFonts w:ascii="Times New Roman" w:eastAsia="Calibri" w:hAnsi="Times New Roman" w:cs="Times New Roman"/>
      <w:sz w:val="24"/>
      <w:szCs w:val="24"/>
    </w:rPr>
  </w:style>
  <w:style w:type="paragraph" w:customStyle="1" w:styleId="Body1">
    <w:name w:val="Body 1"/>
    <w:rsid w:val="00941E3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75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00C7"/>
    <w:pPr>
      <w:ind w:left="720"/>
      <w:contextualSpacing/>
    </w:pPr>
    <w:rPr>
      <w:rFonts w:ascii="Times New Roman" w:hAnsi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6714F9"/>
    <w:rPr>
      <w:rFonts w:ascii="Times" w:eastAsia="Calibri" w:hAnsi="Times" w:cs="Time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14F9"/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idy6@cdc.gov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5BD290783154F9EE9288554486AEF" ma:contentTypeVersion="21" ma:contentTypeDescription="Create a new document." ma:contentTypeScope="" ma:versionID="bb591f5e2a50e460a188a2bf446d24b6">
  <xsd:schema xmlns:xsd="http://www.w3.org/2001/XMLSchema" xmlns:xs="http://www.w3.org/2001/XMLSchema" xmlns:p="http://schemas.microsoft.com/office/2006/metadata/properties" xmlns:ns2="a4df2a28-3b5c-4941-a196-04bc355c40d7" xmlns:ns3="0e8cfd8d-583f-4403-bb95-47f0fedc7ca7" targetNamespace="http://schemas.microsoft.com/office/2006/metadata/properties" ma:root="true" ma:fieldsID="ea7ddfbbc958507458eb3212fea01d63" ns2:_="" ns3:_="">
    <xsd:import namespace="a4df2a28-3b5c-4941-a196-04bc355c40d7"/>
    <xsd:import namespace="0e8cfd8d-583f-4403-bb95-47f0fedc7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FormType" minOccurs="0"/>
                <xsd:element ref="ns2:Jurisdiction" minOccurs="0"/>
                <xsd:element ref="ns2:lcf76f155ced4ddcb4097134ff3c332f" minOccurs="0"/>
                <xsd:element ref="ns3:TaxCatchAll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f2a28-3b5c-4941-a196-04bc355c4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FormType" ma:index="18" nillable="true" ma:displayName="Document Type" ma:format="Dropdown" ma:internalName="FormType">
      <xsd:simpleType>
        <xsd:restriction base="dms:Text">
          <xsd:maxLength value="255"/>
        </xsd:restriction>
      </xsd:simpleType>
    </xsd:element>
    <xsd:element name="Jurisdiction" ma:index="19" nillable="true" ma:displayName="Jurisdiction" ma:format="Dropdown" ma:internalName="Jurisdiction">
      <xsd:simpleType>
        <xsd:restriction base="dms:Text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3" nillable="true" ma:displayName="Status" ma:description="Status on materials/deliverables for ASTHO. " ma:format="Dropdown" ma:internalName="Status">
      <xsd:simpleType>
        <xsd:restriction base="dms:Choice">
          <xsd:enumeration value="To Review"/>
          <xsd:enumeration value="Completed"/>
          <xsd:enumeration value="Final Vers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cfd8d-583f-4403-bb95-47f0fedc7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07b581-fe8a-4b51-a8a3-5190daa36b58}" ma:internalName="TaxCatchAll" ma:showField="CatchAllData" ma:web="0e8cfd8d-583f-4403-bb95-47f0fedc7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urisdiction xmlns="a4df2a28-3b5c-4941-a196-04bc355c40d7" xsi:nil="true"/>
    <lcf76f155ced4ddcb4097134ff3c332f xmlns="a4df2a28-3b5c-4941-a196-04bc355c40d7">
      <Terms xmlns="http://schemas.microsoft.com/office/infopath/2007/PartnerControls"/>
    </lcf76f155ced4ddcb4097134ff3c332f>
    <FormType xmlns="a4df2a28-3b5c-4941-a196-04bc355c40d7" xsi:nil="true"/>
    <Status xmlns="a4df2a28-3b5c-4941-a196-04bc355c40d7" xsi:nil="true"/>
    <TaxCatchAll xmlns="0e8cfd8d-583f-4403-bb95-47f0fedc7c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86565-3813-4854-B6F5-ED831C08A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f2a28-3b5c-4941-a196-04bc355c40d7"/>
    <ds:schemaRef ds:uri="0e8cfd8d-583f-4403-bb95-47f0fedc7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D9E421-F8FB-49A3-8B38-A89B0B3F3AD5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a4df2a28-3b5c-4941-a196-04bc355c40d7"/>
    <ds:schemaRef ds:uri="http://schemas.openxmlformats.org/package/2006/metadata/core-properties"/>
    <ds:schemaRef ds:uri="0e8cfd8d-583f-4403-bb95-47f0fedc7ca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75152DE-A3E4-4AB6-BB93-00B378347F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2921</Characters>
  <Application>Microsoft Office Word</Application>
  <DocSecurity>0</DocSecurity>
  <Lines>24</Lines>
  <Paragraphs>6</Paragraphs>
  <ScaleCrop>false</ScaleCrop>
  <Company>Centers for Disease Control and Prevention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DepADS</dc:creator>
  <cp:lastModifiedBy>Sims, Thelma (CDC/DDPHSS/OS/OSI)</cp:lastModifiedBy>
  <cp:revision>2</cp:revision>
  <cp:lastPrinted>2015-11-04T15:00:00Z</cp:lastPrinted>
  <dcterms:created xsi:type="dcterms:W3CDTF">2023-08-21T17:25:00Z</dcterms:created>
  <dcterms:modified xsi:type="dcterms:W3CDTF">2023-08-21T17:25:00Z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0x0101007DA5BD290783154F9EE9288554486AEF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de240da0-55a2-4ae2-b7a2-821dfe22613f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2023-05-12T18:21:56Z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3daf5887-6bbf-4963-8ec8-d392af0d2783</vt:lpwstr>
  </property>
</Properties>
</file>