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314E9D04">
      <w:bookmarkStart w:id="0" w:name="_Toc473880015"/>
      <w:r>
        <w:t xml:space="preserve"> </w:t>
      </w:r>
    </w:p>
    <w:p w:rsidR="00304BBB" w:rsidP="009A79E1" w14:paraId="55FE1771" w14:textId="77777777"/>
    <w:bookmarkEnd w:id="0"/>
    <w:p w:rsidR="004A13E8" w:rsidP="004A13E8" w14:paraId="55FE1773" w14:textId="4148886D">
      <w:pPr>
        <w:spacing w:after="0" w:line="240" w:lineRule="auto"/>
        <w:jc w:val="center"/>
        <w:rPr>
          <w:b/>
        </w:rPr>
      </w:pPr>
      <w:r w:rsidRPr="00A90559">
        <w:rPr>
          <w:b/>
          <w:sz w:val="40"/>
          <w:szCs w:val="40"/>
        </w:rPr>
        <w:t>Healthcare Response and Prevention Training Curriculum for Health Departments</w:t>
      </w:r>
    </w:p>
    <w:p w:rsidR="004A13E8" w:rsidRPr="004A13E8" w:rsidP="004A13E8" w14:paraId="55FE1774" w14:textId="2454547A">
      <w:pPr>
        <w:pStyle w:val="Heading3"/>
      </w:pPr>
      <w:bookmarkStart w:id="1" w:name="_Toc473880016"/>
      <w:r w:rsidRPr="004A13E8">
        <w:t>Request for OMB approval of a</w:t>
      </w:r>
      <w:r w:rsidR="00DC74EE">
        <w:t xml:space="preserve"> </w:t>
      </w:r>
      <w:r w:rsidR="00102C73">
        <w:t xml:space="preserve">New </w:t>
      </w:r>
      <w:r w:rsidR="00DC74EE">
        <w:t xml:space="preserve">Information </w:t>
      </w:r>
      <w:bookmarkEnd w:id="1"/>
    </w:p>
    <w:p w:rsidR="004A13E8" w:rsidP="004A13E8" w14:paraId="55FE1775" w14:textId="77777777">
      <w:pPr>
        <w:spacing w:after="0" w:line="240" w:lineRule="auto"/>
        <w:jc w:val="center"/>
        <w:rPr>
          <w:b/>
        </w:rPr>
      </w:pPr>
    </w:p>
    <w:p w:rsidR="004A13E8" w:rsidRPr="004A13E8" w:rsidP="004A13E8" w14:paraId="55FE1776" w14:textId="04E1A1F1">
      <w:pPr>
        <w:pStyle w:val="Heading4"/>
      </w:pPr>
      <w:r>
        <w:t>August</w:t>
      </w:r>
      <w:r w:rsidR="00A90559">
        <w:t xml:space="preserve"> </w:t>
      </w:r>
      <w:r>
        <w:t>16</w:t>
      </w:r>
      <w:r w:rsidR="00A90559">
        <w:t>, 2023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 xml:space="preserve">Supporting </w:t>
      </w:r>
      <w:r>
        <w:t>Statement</w:t>
      </w:r>
      <w:r>
        <w:t xml:space="preserve">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5A78F19E">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P="009A79E1" w14:paraId="55FE179A" w14:textId="1E05D842">
      <w:pPr>
        <w:pStyle w:val="NoSpacing"/>
      </w:pPr>
      <w:r>
        <w:t xml:space="preserve">Email: </w:t>
      </w:r>
      <w:hyperlink r:id="rId8" w:history="1">
        <w:r w:rsidRPr="00D156AD">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55FE179E"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55FE179F"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55FE17A0"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55FE17A1"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5FE17A2"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55FE17A3"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55FE17A4"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55FE17A5"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55FE17A6"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55FE17A7"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55FE17A8"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55FE17A9"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55FE17AA"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55FE17AB"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55FE17AC"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5FE17AD"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5FE17AE"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55FE17A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page">
                  <wp:posOffset>419100</wp:posOffset>
                </wp:positionH>
                <wp:positionV relativeFrom="margin">
                  <wp:posOffset>-311150</wp:posOffset>
                </wp:positionV>
                <wp:extent cx="7073900" cy="4560570"/>
                <wp:effectExtent l="0" t="0" r="12700" b="11430"/>
                <wp:wrapTight wrapText="bothSides">
                  <wp:wrapPolygon>
                    <wp:start x="0" y="0"/>
                    <wp:lineTo x="0" y="21564"/>
                    <wp:lineTo x="21581" y="21564"/>
                    <wp:lineTo x="21581"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3900" cy="4560570"/>
                        </a:xfrm>
                        <a:prstGeom prst="rect">
                          <a:avLst/>
                        </a:prstGeom>
                        <a:solidFill>
                          <a:srgbClr val="FFFFFF"/>
                        </a:solidFill>
                        <a:ln w="9525">
                          <a:solidFill>
                            <a:srgbClr val="000000"/>
                          </a:solidFill>
                          <a:miter lim="800000"/>
                          <a:headEnd/>
                          <a:tailEnd/>
                        </a:ln>
                      </wps:spPr>
                      <wps:txbx>
                        <w:txbxContent>
                          <w:p w:rsidR="00470800" w:rsidRPr="00BD0FCF" w:rsidP="002C2320" w14:textId="1E8B0905">
                            <w:pPr>
                              <w:pStyle w:val="Bullets"/>
                              <w:rPr>
                                <w:rFonts w:cs="Times New Roman"/>
                                <w:sz w:val="20"/>
                                <w:szCs w:val="18"/>
                              </w:rPr>
                            </w:pPr>
                            <w:r w:rsidRPr="002A1B34">
                              <w:rPr>
                                <w:rFonts w:cs="Times New Roman"/>
                                <w:b/>
                                <w:sz w:val="20"/>
                                <w:szCs w:val="18"/>
                              </w:rPr>
                              <w:t>Goal of the study:</w:t>
                            </w:r>
                            <w:r w:rsidRPr="002A1B34" w:rsidR="001A58BE">
                              <w:rPr>
                                <w:rFonts w:cs="Times New Roman"/>
                                <w:b/>
                                <w:sz w:val="20"/>
                                <w:szCs w:val="18"/>
                              </w:rPr>
                              <w:t xml:space="preserve"> </w:t>
                            </w:r>
                            <w:r w:rsidRPr="002A1B34" w:rsidR="00E91E07">
                              <w:rPr>
                                <w:rFonts w:cs="Times New Roman"/>
                                <w:sz w:val="20"/>
                                <w:szCs w:val="18"/>
                              </w:rPr>
                              <w:t>CDC funds Healthcare-Associated Infection and Antibiotic Resistance (HAI/AR) programs in 64 state, local and territorial health departments. Funding is awarded through the Epidemiology and Laboratory cooperative agreements (ELC). Funds are intended to provide critical resources to recipients in support of a broad range of healthcare infection prevention and control and epidemiologic surveillance activities to detect, monitor, mitigate, and prevent the spread of HAI/AR in healthcare settings. HAI/AR programs have experienced an increase in program size and scope through COVID-19 supplemental funds. To better support the growing programs, CDC has developed high-priority trainings requested by the health department programs with the goal of strengthening public health workforce capacity to prevent and respond to HAI/AR outbreaks in healthcare settings, including preventing the spread of SARS-CoV</w:t>
                            </w:r>
                            <w:r w:rsidRPr="002A1B34" w:rsidR="00415377">
                              <w:rPr>
                                <w:rFonts w:cs="Times New Roman"/>
                                <w:sz w:val="20"/>
                                <w:szCs w:val="18"/>
                              </w:rPr>
                              <w:t>.</w:t>
                            </w:r>
                            <w:r w:rsidR="006C1517">
                              <w:rPr>
                                <w:rFonts w:cs="Times New Roman"/>
                                <w:sz w:val="20"/>
                                <w:szCs w:val="18"/>
                              </w:rPr>
                              <w:t xml:space="preserve"> </w:t>
                            </w:r>
                            <w:r w:rsidRPr="0018032F" w:rsidR="006C1517">
                              <w:rPr>
                                <w:rFonts w:cs="Times New Roman"/>
                                <w:sz w:val="20"/>
                                <w:szCs w:val="18"/>
                              </w:rPr>
                              <w:t>A training evaluation will be used to assess whether the CDC-developed trainings are reaching the intended audience and achieving the intended goal</w:t>
                            </w:r>
                            <w:r w:rsidR="00BC7D9B">
                              <w:rPr>
                                <w:rFonts w:cs="Times New Roman"/>
                                <w:sz w:val="20"/>
                                <w:szCs w:val="18"/>
                              </w:rPr>
                              <w:t>s.</w:t>
                            </w:r>
                          </w:p>
                          <w:p w:rsidR="004A13E8" w:rsidRPr="002A1B34" w:rsidP="004A13E8" w14:textId="4DBF5D9D">
                            <w:pPr>
                              <w:pStyle w:val="Bullets"/>
                              <w:rPr>
                                <w:rFonts w:cs="Times New Roman"/>
                                <w:bCs/>
                                <w:sz w:val="28"/>
                                <w:szCs w:val="24"/>
                              </w:rPr>
                            </w:pPr>
                            <w:r w:rsidRPr="00BD0FCF">
                              <w:rPr>
                                <w:rFonts w:cs="Times New Roman"/>
                                <w:b/>
                                <w:bCs/>
                                <w:sz w:val="20"/>
                                <w:szCs w:val="18"/>
                              </w:rPr>
                              <w:t>Intended use of the resulting data:</w:t>
                            </w:r>
                            <w:r w:rsidRPr="00BD0FCF" w:rsidR="001A58BE">
                              <w:rPr>
                                <w:rFonts w:cs="Times New Roman"/>
                                <w:sz w:val="20"/>
                                <w:szCs w:val="18"/>
                              </w:rPr>
                              <w:t xml:space="preserve"> </w:t>
                            </w:r>
                            <w:r w:rsidR="00D0565A">
                              <w:rPr>
                                <w:rFonts w:cs="Times New Roman"/>
                                <w:bCs/>
                                <w:sz w:val="20"/>
                                <w:szCs w:val="20"/>
                              </w:rPr>
                              <w:t>D</w:t>
                            </w:r>
                            <w:r w:rsidRPr="002A1B34" w:rsidR="00027FA1">
                              <w:rPr>
                                <w:rFonts w:cs="Times New Roman"/>
                                <w:bCs/>
                                <w:sz w:val="20"/>
                                <w:szCs w:val="20"/>
                              </w:rPr>
                              <w:t>ata collection will be used to improve future training resources. CDC will summarize data and may use findings to inform future trainings and to demonstrate accomplishments, successes, and challenges. PII will not be included in any report-outs.</w:t>
                            </w:r>
                          </w:p>
                          <w:p w:rsidR="004A13E8" w:rsidRPr="002A1B34" w:rsidP="004A13E8" w14:textId="5468B654">
                            <w:pPr>
                              <w:pStyle w:val="Bullets"/>
                              <w:rPr>
                                <w:rFonts w:cs="Times New Roman"/>
                                <w:b/>
                                <w:sz w:val="20"/>
                                <w:szCs w:val="20"/>
                              </w:rPr>
                            </w:pPr>
                            <w:r w:rsidRPr="002A1B34">
                              <w:rPr>
                                <w:rFonts w:cs="Times New Roman"/>
                                <w:b/>
                                <w:sz w:val="20"/>
                                <w:szCs w:val="20"/>
                              </w:rPr>
                              <w:t>Methods to be used to collect:</w:t>
                            </w:r>
                            <w:r w:rsidRPr="002A1B34" w:rsidR="001A58BE">
                              <w:rPr>
                                <w:rFonts w:cs="Times New Roman"/>
                                <w:b/>
                                <w:sz w:val="20"/>
                                <w:szCs w:val="20"/>
                              </w:rPr>
                              <w:t xml:space="preserve"> </w:t>
                            </w:r>
                            <w:r w:rsidRPr="002A1B34" w:rsidR="00852601">
                              <w:rPr>
                                <w:rFonts w:cs="Times New Roman"/>
                                <w:bCs/>
                                <w:sz w:val="20"/>
                                <w:szCs w:val="20"/>
                              </w:rPr>
                              <w:t>Training evaluation data will be collected electronically using standardized forms in CDC’s REDCap project or CDC TRAIN. Trainees will complete the registration and pre-assessment prior to the training, the post-assessment immediately after the training. The public health program impact of training data will be requested from HAI/AR</w:t>
                            </w:r>
                            <w:r w:rsidRPr="002A1B34" w:rsidR="00852601">
                              <w:rPr>
                                <w:rFonts w:cs="Times New Roman"/>
                                <w:b/>
                                <w:sz w:val="20"/>
                                <w:szCs w:val="20"/>
                              </w:rPr>
                              <w:t xml:space="preserve"> </w:t>
                            </w:r>
                            <w:r w:rsidRPr="002A1B34" w:rsidR="00852601">
                              <w:rPr>
                                <w:rFonts w:cs="Times New Roman"/>
                                <w:bCs/>
                                <w:sz w:val="20"/>
                                <w:szCs w:val="20"/>
                              </w:rPr>
                              <w:t xml:space="preserve">program </w:t>
                            </w:r>
                            <w:r w:rsidRPr="002A1B34" w:rsidR="00487EF7">
                              <w:rPr>
                                <w:rFonts w:cs="Times New Roman"/>
                                <w:bCs/>
                                <w:sz w:val="20"/>
                                <w:szCs w:val="20"/>
                              </w:rPr>
                              <w:t>l</w:t>
                            </w:r>
                            <w:r w:rsidRPr="002A1B34" w:rsidR="00852601">
                              <w:rPr>
                                <w:rFonts w:cs="Times New Roman"/>
                                <w:bCs/>
                                <w:sz w:val="20"/>
                                <w:szCs w:val="20"/>
                              </w:rPr>
                              <w:t>eads once per year.</w:t>
                            </w:r>
                          </w:p>
                          <w:p w:rsidR="004A13E8" w:rsidRPr="002A1B34" w:rsidP="004A13E8" w14:textId="0BCC4FBA">
                            <w:pPr>
                              <w:pStyle w:val="Bullets"/>
                              <w:rPr>
                                <w:rFonts w:cs="Times New Roman"/>
                                <w:b/>
                                <w:sz w:val="20"/>
                                <w:szCs w:val="18"/>
                              </w:rPr>
                            </w:pPr>
                            <w:r w:rsidRPr="002A1B34">
                              <w:rPr>
                                <w:rFonts w:cs="Times New Roman"/>
                                <w:b/>
                                <w:sz w:val="20"/>
                                <w:szCs w:val="18"/>
                              </w:rPr>
                              <w:t>The subpopulation to be studied:</w:t>
                            </w:r>
                            <w:r w:rsidRPr="002A1B34" w:rsidR="007615AD">
                              <w:rPr>
                                <w:rFonts w:cs="Times New Roman"/>
                                <w:sz w:val="20"/>
                                <w:szCs w:val="18"/>
                              </w:rPr>
                              <w:t xml:space="preserve"> The public health workforce at state, local, and territorial health departments focused on responding to and preventing healthcare-associate infections.</w:t>
                            </w:r>
                          </w:p>
                          <w:p w:rsidR="004A13E8" w:rsidRPr="002A1B34" w:rsidP="004A13E8" w14:textId="69ACD55C">
                            <w:pPr>
                              <w:pStyle w:val="Bullets"/>
                              <w:rPr>
                                <w:rFonts w:cs="Times New Roman"/>
                                <w:b/>
                              </w:rPr>
                            </w:pPr>
                            <w:r w:rsidRPr="002A1B34">
                              <w:rPr>
                                <w:rFonts w:cs="Times New Roman"/>
                                <w:b/>
                                <w:sz w:val="20"/>
                                <w:szCs w:val="18"/>
                              </w:rPr>
                              <w:t>How data will be analyzed:</w:t>
                            </w:r>
                            <w:r w:rsidRPr="002A1B34" w:rsidR="001A58BE">
                              <w:rPr>
                                <w:rFonts w:cs="Times New Roman"/>
                                <w:b/>
                                <w:sz w:val="20"/>
                                <w:szCs w:val="18"/>
                              </w:rPr>
                              <w:t xml:space="preserve"> </w:t>
                            </w:r>
                            <w:r w:rsidRPr="002A1B34" w:rsidR="00340C6B">
                              <w:rPr>
                                <w:rFonts w:cs="Times New Roman"/>
                                <w:sz w:val="20"/>
                                <w:szCs w:val="18"/>
                              </w:rPr>
                              <w:t>Descriptive statistics (i.e., number, percentage) will be used to describe the results of the training evaluation. A review of statistical methods is not required for this initiative as it’s intended uses are for training evaluation and improvement. Sample size calculations are not required because the training evaluation includes the entire universe of trainees (estimated: 500 trainees per year) and HAI/AR Program leads (64 total).</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57pt;height:359.1pt;margin-top:-24.5pt;margin-left:33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57216">
                <v:textbox>
                  <w:txbxContent>
                    <w:p w:rsidR="00470800" w:rsidRPr="00BD0FCF" w:rsidP="002C2320" w14:paraId="4F8B7CE7" w14:textId="1E8B0905">
                      <w:pPr>
                        <w:pStyle w:val="Bullets"/>
                        <w:rPr>
                          <w:rFonts w:cs="Times New Roman"/>
                          <w:sz w:val="20"/>
                          <w:szCs w:val="18"/>
                        </w:rPr>
                      </w:pPr>
                      <w:r w:rsidRPr="002A1B34">
                        <w:rPr>
                          <w:rFonts w:cs="Times New Roman"/>
                          <w:b/>
                          <w:sz w:val="20"/>
                          <w:szCs w:val="18"/>
                        </w:rPr>
                        <w:t>Goal of the study:</w:t>
                      </w:r>
                      <w:r w:rsidRPr="002A1B34" w:rsidR="001A58BE">
                        <w:rPr>
                          <w:rFonts w:cs="Times New Roman"/>
                          <w:b/>
                          <w:sz w:val="20"/>
                          <w:szCs w:val="18"/>
                        </w:rPr>
                        <w:t xml:space="preserve"> </w:t>
                      </w:r>
                      <w:r w:rsidRPr="002A1B34" w:rsidR="00E91E07">
                        <w:rPr>
                          <w:rFonts w:cs="Times New Roman"/>
                          <w:sz w:val="20"/>
                          <w:szCs w:val="18"/>
                        </w:rPr>
                        <w:t>CDC funds Healthcare-Associated Infection and Antibiotic Resistance (HAI/AR) programs in 64 state, local and territorial health departments. Funding is awarded through the Epidemiology and Laboratory cooperative agreements (ELC). Funds are intended to provide critical resources to recipients in support of a broad range of healthcare infection prevention and control and epidemiologic surveillance activities to detect, monitor, mitigate, and prevent the spread of HAI/AR in healthcare settings. HAI/AR programs have experienced an increase in program size and scope through COVID-19 supplemental funds. To better support the growing programs, CDC has developed high-priority trainings requested by the health department programs with the goal of strengthening public health workforce capacity to prevent and respond to HAI/AR outbreaks in healthcare settings, including preventing the spread of SARS-CoV</w:t>
                      </w:r>
                      <w:r w:rsidRPr="002A1B34" w:rsidR="00415377">
                        <w:rPr>
                          <w:rFonts w:cs="Times New Roman"/>
                          <w:sz w:val="20"/>
                          <w:szCs w:val="18"/>
                        </w:rPr>
                        <w:t>.</w:t>
                      </w:r>
                      <w:r w:rsidR="006C1517">
                        <w:rPr>
                          <w:rFonts w:cs="Times New Roman"/>
                          <w:sz w:val="20"/>
                          <w:szCs w:val="18"/>
                        </w:rPr>
                        <w:t xml:space="preserve"> </w:t>
                      </w:r>
                      <w:r w:rsidRPr="0018032F" w:rsidR="006C1517">
                        <w:rPr>
                          <w:rFonts w:cs="Times New Roman"/>
                          <w:sz w:val="20"/>
                          <w:szCs w:val="18"/>
                        </w:rPr>
                        <w:t>A training evaluation will be used to assess whether the CDC-developed trainings are reaching the intended audience and achieving the intended goal</w:t>
                      </w:r>
                      <w:r w:rsidR="00BC7D9B">
                        <w:rPr>
                          <w:rFonts w:cs="Times New Roman"/>
                          <w:sz w:val="20"/>
                          <w:szCs w:val="18"/>
                        </w:rPr>
                        <w:t>s.</w:t>
                      </w:r>
                    </w:p>
                    <w:p w:rsidR="004A13E8" w:rsidRPr="002A1B34" w:rsidP="004A13E8" w14:paraId="55FE1838" w14:textId="4DBF5D9D">
                      <w:pPr>
                        <w:pStyle w:val="Bullets"/>
                        <w:rPr>
                          <w:rFonts w:cs="Times New Roman"/>
                          <w:bCs/>
                          <w:sz w:val="28"/>
                          <w:szCs w:val="24"/>
                        </w:rPr>
                      </w:pPr>
                      <w:r w:rsidRPr="00BD0FCF">
                        <w:rPr>
                          <w:rFonts w:cs="Times New Roman"/>
                          <w:b/>
                          <w:bCs/>
                          <w:sz w:val="20"/>
                          <w:szCs w:val="18"/>
                        </w:rPr>
                        <w:t>Intended use of the resulting data:</w:t>
                      </w:r>
                      <w:r w:rsidRPr="00BD0FCF" w:rsidR="001A58BE">
                        <w:rPr>
                          <w:rFonts w:cs="Times New Roman"/>
                          <w:sz w:val="20"/>
                          <w:szCs w:val="18"/>
                        </w:rPr>
                        <w:t xml:space="preserve"> </w:t>
                      </w:r>
                      <w:r w:rsidR="00D0565A">
                        <w:rPr>
                          <w:rFonts w:cs="Times New Roman"/>
                          <w:bCs/>
                          <w:sz w:val="20"/>
                          <w:szCs w:val="20"/>
                        </w:rPr>
                        <w:t>D</w:t>
                      </w:r>
                      <w:r w:rsidRPr="002A1B34" w:rsidR="00027FA1">
                        <w:rPr>
                          <w:rFonts w:cs="Times New Roman"/>
                          <w:bCs/>
                          <w:sz w:val="20"/>
                          <w:szCs w:val="20"/>
                        </w:rPr>
                        <w:t>ata collection will be used to improve future training resources. CDC will summarize data and may use findings to inform future trainings and to demonstrate accomplishments, successes, and challenges. PII will not be included in any report-outs.</w:t>
                      </w:r>
                    </w:p>
                    <w:p w:rsidR="004A13E8" w:rsidRPr="002A1B34" w:rsidP="004A13E8" w14:paraId="55FE1839" w14:textId="5468B654">
                      <w:pPr>
                        <w:pStyle w:val="Bullets"/>
                        <w:rPr>
                          <w:rFonts w:cs="Times New Roman"/>
                          <w:b/>
                          <w:sz w:val="20"/>
                          <w:szCs w:val="20"/>
                        </w:rPr>
                      </w:pPr>
                      <w:r w:rsidRPr="002A1B34">
                        <w:rPr>
                          <w:rFonts w:cs="Times New Roman"/>
                          <w:b/>
                          <w:sz w:val="20"/>
                          <w:szCs w:val="20"/>
                        </w:rPr>
                        <w:t>Methods to be used to collect:</w:t>
                      </w:r>
                      <w:r w:rsidRPr="002A1B34" w:rsidR="001A58BE">
                        <w:rPr>
                          <w:rFonts w:cs="Times New Roman"/>
                          <w:b/>
                          <w:sz w:val="20"/>
                          <w:szCs w:val="20"/>
                        </w:rPr>
                        <w:t xml:space="preserve"> </w:t>
                      </w:r>
                      <w:r w:rsidRPr="002A1B34" w:rsidR="00852601">
                        <w:rPr>
                          <w:rFonts w:cs="Times New Roman"/>
                          <w:bCs/>
                          <w:sz w:val="20"/>
                          <w:szCs w:val="20"/>
                        </w:rPr>
                        <w:t>Training evaluation data will be collected electronically using standardized forms in CDC’s REDCap project or CDC TRAIN. Trainees will complete the registration and pre-assessment prior to the training, the post-assessment immediately after the training. The public health program impact of training data will be requested from HAI/AR</w:t>
                      </w:r>
                      <w:r w:rsidRPr="002A1B34" w:rsidR="00852601">
                        <w:rPr>
                          <w:rFonts w:cs="Times New Roman"/>
                          <w:b/>
                          <w:sz w:val="20"/>
                          <w:szCs w:val="20"/>
                        </w:rPr>
                        <w:t xml:space="preserve"> </w:t>
                      </w:r>
                      <w:r w:rsidRPr="002A1B34" w:rsidR="00852601">
                        <w:rPr>
                          <w:rFonts w:cs="Times New Roman"/>
                          <w:bCs/>
                          <w:sz w:val="20"/>
                          <w:szCs w:val="20"/>
                        </w:rPr>
                        <w:t xml:space="preserve">program </w:t>
                      </w:r>
                      <w:r w:rsidRPr="002A1B34" w:rsidR="00487EF7">
                        <w:rPr>
                          <w:rFonts w:cs="Times New Roman"/>
                          <w:bCs/>
                          <w:sz w:val="20"/>
                          <w:szCs w:val="20"/>
                        </w:rPr>
                        <w:t>l</w:t>
                      </w:r>
                      <w:r w:rsidRPr="002A1B34" w:rsidR="00852601">
                        <w:rPr>
                          <w:rFonts w:cs="Times New Roman"/>
                          <w:bCs/>
                          <w:sz w:val="20"/>
                          <w:szCs w:val="20"/>
                        </w:rPr>
                        <w:t>eads once per year.</w:t>
                      </w:r>
                    </w:p>
                    <w:p w:rsidR="004A13E8" w:rsidRPr="002A1B34" w:rsidP="004A13E8" w14:paraId="55FE183A" w14:textId="0BCC4FBA">
                      <w:pPr>
                        <w:pStyle w:val="Bullets"/>
                        <w:rPr>
                          <w:rFonts w:cs="Times New Roman"/>
                          <w:b/>
                          <w:sz w:val="20"/>
                          <w:szCs w:val="18"/>
                        </w:rPr>
                      </w:pPr>
                      <w:r w:rsidRPr="002A1B34">
                        <w:rPr>
                          <w:rFonts w:cs="Times New Roman"/>
                          <w:b/>
                          <w:sz w:val="20"/>
                          <w:szCs w:val="18"/>
                        </w:rPr>
                        <w:t>The subpopulation to be studied:</w:t>
                      </w:r>
                      <w:r w:rsidRPr="002A1B34" w:rsidR="007615AD">
                        <w:rPr>
                          <w:rFonts w:cs="Times New Roman"/>
                          <w:sz w:val="20"/>
                          <w:szCs w:val="18"/>
                        </w:rPr>
                        <w:t xml:space="preserve"> The public health workforce at state, local, and territorial health departments focused on responding to and preventing healthcare-associate infections.</w:t>
                      </w:r>
                    </w:p>
                    <w:p w:rsidR="004A13E8" w:rsidRPr="002A1B34" w:rsidP="004A13E8" w14:paraId="55FE183C" w14:textId="69ACD55C">
                      <w:pPr>
                        <w:pStyle w:val="Bullets"/>
                        <w:rPr>
                          <w:rFonts w:cs="Times New Roman"/>
                          <w:b/>
                        </w:rPr>
                      </w:pPr>
                      <w:r w:rsidRPr="002A1B34">
                        <w:rPr>
                          <w:rFonts w:cs="Times New Roman"/>
                          <w:b/>
                          <w:sz w:val="20"/>
                          <w:szCs w:val="18"/>
                        </w:rPr>
                        <w:t>How data will be analyzed:</w:t>
                      </w:r>
                      <w:r w:rsidRPr="002A1B34" w:rsidR="001A58BE">
                        <w:rPr>
                          <w:rFonts w:cs="Times New Roman"/>
                          <w:b/>
                          <w:sz w:val="20"/>
                          <w:szCs w:val="18"/>
                        </w:rPr>
                        <w:t xml:space="preserve"> </w:t>
                      </w:r>
                      <w:r w:rsidRPr="002A1B34" w:rsidR="00340C6B">
                        <w:rPr>
                          <w:rFonts w:cs="Times New Roman"/>
                          <w:sz w:val="20"/>
                          <w:szCs w:val="18"/>
                        </w:rPr>
                        <w:t>Descriptive statistics (i.e., number, percentage) will be used to describe the results of the training evaluation. A review of statistical methods is not required for this initiative as it’s intended uses are for training evaluation and improvement. Sample size calculations are not required because the training evaluation includes the entire universe of trainees (estimated: 500 trainees per year) and HAI/AR Program leads (64 total).</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2" w:name="_Toc473880017"/>
      <w:r w:rsidRPr="004A13E8">
        <w:t>Circumstances Making the Collection of Information Necessary</w:t>
      </w:r>
      <w:bookmarkEnd w:id="2"/>
    </w:p>
    <w:p w:rsidR="005F0C16" w:rsidRPr="009833EB" w:rsidP="005F0C16" w14:paraId="7C09AA1B" w14:textId="09A2B106">
      <w:r w:rsidRPr="00620C3C">
        <w:t>This is</w:t>
      </w:r>
      <w:r>
        <w:t xml:space="preserve"> a new</w:t>
      </w:r>
      <w:r w:rsidRPr="00620C3C">
        <w:t xml:space="preserve"> Information Collection Request. We are requesting </w:t>
      </w:r>
      <w:r>
        <w:t xml:space="preserve">an extension </w:t>
      </w:r>
      <w:r w:rsidRPr="00620C3C">
        <w:t xml:space="preserve">approval for a period of </w:t>
      </w:r>
      <w:r>
        <w:t>3 years</w:t>
      </w:r>
      <w:r w:rsidRPr="00620C3C">
        <w:t>.</w:t>
      </w:r>
      <w:r>
        <w:t xml:space="preserve"> </w:t>
      </w:r>
      <w:r w:rsidR="00616FD7">
        <w:t>Data collection for these training evaluations were approved under the COVID-19 Public Health Emergency Waiver.</w:t>
      </w:r>
    </w:p>
    <w:p w:rsidR="00D96D78" w:rsidP="00397D1A" w14:paraId="335DB9B5" w14:textId="77777777">
      <w:pPr>
        <w:ind w:left="-14"/>
        <w:contextualSpacing/>
        <w:rPr>
          <w:rFonts w:cs="Times New Roman"/>
        </w:rPr>
      </w:pPr>
    </w:p>
    <w:p w:rsidR="00397D1A" w:rsidRPr="005C7E2A" w:rsidP="00397D1A" w14:paraId="4CA6F95B" w14:textId="0E3BECBA">
      <w:pPr>
        <w:ind w:left="-14"/>
        <w:contextualSpacing/>
        <w:rPr>
          <w:rFonts w:ascii="Arial Nova" w:hAnsi="Arial Nova"/>
        </w:rPr>
      </w:pPr>
      <w:r w:rsidRPr="002A1B34">
        <w:rPr>
          <w:rFonts w:cs="Times New Roman"/>
        </w:rPr>
        <w:t>CDC</w:t>
      </w:r>
      <w:r w:rsidR="00BB0595">
        <w:rPr>
          <w:rFonts w:cs="Times New Roman"/>
        </w:rPr>
        <w:t xml:space="preserve"> </w:t>
      </w:r>
      <w:r w:rsidRPr="002A1B34">
        <w:rPr>
          <w:rFonts w:cs="Times New Roman"/>
        </w:rPr>
        <w:t xml:space="preserve">funds Healthcare-Associated Infections and Antibiotic Resistance (HAI/AR) Programs in 64 state, local, and territorial health departments through the </w:t>
      </w:r>
      <w:r w:rsidRPr="002A1B34">
        <w:rPr>
          <w:rFonts w:cs="Times New Roman"/>
          <w:i/>
          <w:iCs/>
        </w:rPr>
        <w:t xml:space="preserve">American Rescue Plan Act of 2021 </w:t>
      </w:r>
      <w:r w:rsidRPr="002A1B34">
        <w:rPr>
          <w:rFonts w:cs="Times New Roman"/>
        </w:rPr>
        <w:t>(ARP), P.L. 117-2 (</w:t>
      </w:r>
      <w:hyperlink r:id="rId9" w:history="1">
        <w:r w:rsidRPr="002A1B34">
          <w:rPr>
            <w:rStyle w:val="Hyperlink"/>
            <w:rFonts w:cs="Times New Roman"/>
          </w:rPr>
          <w:t>https://www.congress.gov/bill/117th-congress/house-bill/1319/text</w:t>
        </w:r>
      </w:hyperlink>
      <w:r w:rsidRPr="002A1B34">
        <w:rPr>
          <w:rFonts w:cs="Times New Roman"/>
        </w:rPr>
        <w:t>)</w:t>
      </w:r>
      <w:r w:rsidR="004E7B08">
        <w:rPr>
          <w:rFonts w:cs="Times New Roman"/>
        </w:rPr>
        <w:t>.A</w:t>
      </w:r>
      <w:r w:rsidRPr="002A1B34">
        <w:rPr>
          <w:rFonts w:cs="Times New Roman"/>
        </w:rPr>
        <w:t xml:space="preserve"> supplemental funding award was issued to Epidemiology and Laboratory Capacity cooperative agreement (ELC) recipients as program-initiated component funding under </w:t>
      </w:r>
      <w:r w:rsidRPr="002A1B34">
        <w:rPr>
          <w:rFonts w:cs="Times New Roman"/>
          <w:i/>
          <w:iCs/>
        </w:rPr>
        <w:t xml:space="preserve">Project E: Emerging Issues </w:t>
      </w:r>
      <w:r w:rsidRPr="002A1B34">
        <w:rPr>
          <w:rFonts w:cs="Times New Roman"/>
        </w:rPr>
        <w:t>of CK19-1904: ‘</w:t>
      </w:r>
      <w:r w:rsidRPr="002A1B34">
        <w:rPr>
          <w:rFonts w:cs="Times New Roman"/>
          <w:i/>
          <w:iCs/>
        </w:rPr>
        <w:t xml:space="preserve">Strengthening HAI/AR Program Capacity’ </w:t>
      </w:r>
      <w:r w:rsidRPr="002A1B34">
        <w:rPr>
          <w:rFonts w:cs="Times New Roman"/>
        </w:rPr>
        <w:t>(SHARP). This award is intended to strengthen and expand health department capacity to prevent and respond to COVID-19 and other Healthcare-Associated Infections and Antibiotic Resistance (HAI/AR) threats in healthcare facilities. In addition, 59 of the 64 programs are also funded through Project G: Healthcare-associated Infections &amp; Antibiotic Resistance Programs. This award is intended to build and sustain a public health department program that can prevent and respond to HAI/AR threats in healthcare facilities.</w:t>
      </w:r>
      <w:r>
        <w:rPr>
          <w:rFonts w:ascii="Arial Nova" w:hAnsi="Arial Nova"/>
        </w:rPr>
        <w:t xml:space="preserve"> </w:t>
      </w:r>
    </w:p>
    <w:p w:rsidR="00397D1A" w:rsidRPr="005C7E2A" w:rsidP="00397D1A" w14:paraId="3CB8F472" w14:textId="77777777">
      <w:pPr>
        <w:ind w:left="-14"/>
        <w:contextualSpacing/>
        <w:rPr>
          <w:rFonts w:ascii="Arial Nova" w:hAnsi="Arial Nova"/>
        </w:rPr>
      </w:pPr>
    </w:p>
    <w:p w:rsidR="00397D1A" w:rsidP="00397D1A" w14:paraId="1E8691D5" w14:textId="24C08C40">
      <w:pPr>
        <w:ind w:left="-14"/>
        <w:contextualSpacing/>
        <w:rPr>
          <w:rFonts w:ascii="Arial Nova" w:eastAsia="Arial" w:hAnsi="Arial Nova" w:cs="Calibri"/>
        </w:rPr>
      </w:pPr>
      <w:r w:rsidRPr="002A1B34">
        <w:rPr>
          <w:rFonts w:cs="Times New Roman"/>
        </w:rPr>
        <w:t xml:space="preserve">To better understand health department needs associated with this funding, CDC conducted a training needs assessment in April 2022. Funded health departments requested CDC develop and deliver trainings to strengthen public health workforce capacity to prevent and respond to COVID-19 and other healthcare outbreaks. To meet this need, CDC has developed the </w:t>
      </w:r>
      <w:r w:rsidRPr="002A1B34" w:rsidR="0015494D">
        <w:rPr>
          <w:rFonts w:cs="Times New Roman"/>
        </w:rPr>
        <w:t xml:space="preserve">following </w:t>
      </w:r>
      <w:r w:rsidRPr="002A1B34">
        <w:rPr>
          <w:rFonts w:cs="Times New Roman"/>
        </w:rPr>
        <w:t>training curriculum:</w:t>
      </w:r>
      <w:r w:rsidRPr="002A1B34">
        <w:rPr>
          <w:rFonts w:cs="Times New Roman"/>
          <w:i/>
          <w:iCs/>
        </w:rPr>
        <w:t xml:space="preserve"> Healthcare Outbreak Prevention and Response Curriculum for Health Departments</w:t>
      </w:r>
      <w:r w:rsidRPr="002A1B34">
        <w:rPr>
          <w:rFonts w:cs="Times New Roman"/>
        </w:rPr>
        <w:t xml:space="preserve">. This includes 3 trainings: (1) </w:t>
      </w:r>
      <w:r w:rsidRPr="002A1B34">
        <w:rPr>
          <w:rFonts w:eastAsia="Arial" w:cs="Times New Roman"/>
        </w:rPr>
        <w:t>Healthcare Outbreak Response Training – Didactic Curriculum, (2) Healthcare Outbreak Response Training – Case-based learning, and (3) Healthcare Infection Prevention and Control (IPC): Foundational Training – Didactic Curriculum. Each training will consist of a course registration form and a pre- and post-training assessment</w:t>
      </w:r>
      <w:r w:rsidR="004F035D">
        <w:rPr>
          <w:rFonts w:eastAsia="Arial" w:cs="Times New Roman"/>
        </w:rPr>
        <w:t xml:space="preserve"> (Attachment</w:t>
      </w:r>
      <w:r w:rsidR="00C244D8">
        <w:rPr>
          <w:rFonts w:eastAsia="Arial" w:cs="Times New Roman"/>
        </w:rPr>
        <w:t>s</w:t>
      </w:r>
      <w:r w:rsidR="004F035D">
        <w:rPr>
          <w:rFonts w:eastAsia="Arial" w:cs="Times New Roman"/>
        </w:rPr>
        <w:t xml:space="preserve"> </w:t>
      </w:r>
      <w:r w:rsidR="00D173D3">
        <w:rPr>
          <w:rFonts w:eastAsia="Arial" w:cs="Times New Roman"/>
        </w:rPr>
        <w:t>1A-1C</w:t>
      </w:r>
      <w:r w:rsidR="004F035D">
        <w:rPr>
          <w:rFonts w:eastAsia="Arial" w:cs="Times New Roman"/>
        </w:rPr>
        <w:t>)</w:t>
      </w:r>
      <w:r w:rsidRPr="002A1B34">
        <w:rPr>
          <w:rFonts w:eastAsia="Arial" w:cs="Times New Roman"/>
        </w:rPr>
        <w:t xml:space="preserve">. </w:t>
      </w:r>
      <w:r w:rsidRPr="002A1B34">
        <w:rPr>
          <w:rFonts w:cs="Times New Roman"/>
        </w:rPr>
        <w:t>Additionally, a Public Health program impact of trainings assessment will be delivered annually at the program level</w:t>
      </w:r>
      <w:r w:rsidR="00D173D3">
        <w:rPr>
          <w:rFonts w:cs="Times New Roman"/>
        </w:rPr>
        <w:t xml:space="preserve"> (Attachment 1D)</w:t>
      </w:r>
      <w:r w:rsidRPr="002A1B34">
        <w:rPr>
          <w:rFonts w:cs="Times New Roman"/>
        </w:rPr>
        <w:t xml:space="preserve">. The </w:t>
      </w:r>
      <w:r w:rsidRPr="00E53ABC">
        <w:rPr>
          <w:rFonts w:cs="Times New Roman"/>
        </w:rPr>
        <w:t>proposed training evaluation will be used to assess whether the CDC-developed trainings are reaching the intended audience and achieving the intended goal of strengthening public health workforce capacity to prevent</w:t>
      </w:r>
      <w:r w:rsidRPr="002A1B34">
        <w:rPr>
          <w:rFonts w:cs="Times New Roman"/>
        </w:rPr>
        <w:t xml:space="preserve"> and respond to HAI/AR outbreaks, including COVID-19</w:t>
      </w:r>
      <w:r w:rsidRPr="004043D8" w:rsidR="004043D8">
        <w:rPr>
          <w:rFonts w:cs="Times New Roman"/>
        </w:rPr>
        <w:t xml:space="preserve"> </w:t>
      </w:r>
      <w:r w:rsidRPr="002A1B34" w:rsidR="004043D8">
        <w:rPr>
          <w:rFonts w:cs="Times New Roman"/>
        </w:rPr>
        <w:t>at the individual trainee and program level</w:t>
      </w:r>
      <w:r w:rsidR="004043D8">
        <w:rPr>
          <w:rFonts w:cs="Times New Roman"/>
        </w:rPr>
        <w:t>.</w:t>
      </w:r>
    </w:p>
    <w:p w:rsidR="003F60CF" w:rsidP="007F46E9" w14:paraId="55FE17B4" w14:textId="3DC1F004"/>
    <w:p w:rsidR="007F46E9" w:rsidRPr="007F46E9" w:rsidP="007F46E9" w14:paraId="55FE17B6" w14:textId="4009A3C1">
      <w:r w:rsidRPr="009B23D0">
        <w:t xml:space="preserve">This </w:t>
      </w:r>
      <w:r w:rsidRPr="009B23D0" w:rsidR="003F14A3">
        <w:t>d</w:t>
      </w:r>
      <w:r w:rsidRPr="009B23D0" w:rsidR="002C5538">
        <w:t>ata collect</w:t>
      </w:r>
      <w:r w:rsidRPr="009B23D0" w:rsidR="003F14A3">
        <w:t>ion is authorized by the Public Health Service Act (</w:t>
      </w:r>
      <w:r w:rsidRPr="009B23D0">
        <w:t>Section 301</w:t>
      </w:r>
      <w:r w:rsidRPr="009B23D0" w:rsidR="003F14A3">
        <w:t>)</w:t>
      </w:r>
      <w:r w:rsidRPr="009B23D0">
        <w:t xml:space="preserve"> </w:t>
      </w:r>
      <w:r w:rsidRPr="003B12C0" w:rsidR="00C76A9A">
        <w:t xml:space="preserve">(Attachment </w:t>
      </w:r>
      <w:r w:rsidR="00F71025">
        <w:t>2</w:t>
      </w:r>
      <w:r w:rsidRPr="003B12C0" w:rsidR="00C76A9A">
        <w:t>).</w:t>
      </w:r>
    </w:p>
    <w:p w:rsidR="004A13E8" w:rsidP="004A13E8" w14:paraId="55FE17B7" w14:textId="77777777">
      <w:pPr>
        <w:pStyle w:val="Heading1"/>
      </w:pPr>
      <w:bookmarkStart w:id="3" w:name="_Toc473880018"/>
      <w:r>
        <w:t>Purpose and Use of Information Collection</w:t>
      </w:r>
      <w:bookmarkEnd w:id="3"/>
    </w:p>
    <w:p w:rsidR="00DD7F5C" w:rsidRPr="002A1B34" w:rsidP="00DD7F5C" w14:paraId="6BAED04E" w14:textId="2C7A38BF">
      <w:pPr>
        <w:rPr>
          <w:rFonts w:cs="Times New Roman"/>
        </w:rPr>
      </w:pPr>
      <w:r w:rsidRPr="002A1B34">
        <w:rPr>
          <w:rFonts w:cs="Times New Roman"/>
        </w:rPr>
        <w:t xml:space="preserve">The proposed training evaluation will be used to assess whether the CDC-developed trainings are reaching the intended audience and achieving the intended goal of strengthening public health workforce capacity to prevent and respond to HAI/AR outbreaks, including COVID-19, </w:t>
      </w:r>
      <w:bookmarkStart w:id="4" w:name="_Hlk141944226"/>
      <w:r w:rsidRPr="002A1B34">
        <w:rPr>
          <w:rFonts w:cs="Times New Roman"/>
        </w:rPr>
        <w:t>at the individual trainee and program level</w:t>
      </w:r>
      <w:bookmarkEnd w:id="4"/>
      <w:r w:rsidRPr="002A1B34">
        <w:rPr>
          <w:rFonts w:cs="Times New Roman"/>
        </w:rPr>
        <w:t>. Additionally, the evaluation data collection will be used to improve future training resources. CDC will summarize data and may use findings to inform future trainings and to demonstrate accomplishments, successes, and challenges. PII will not be included in any report-outs.</w:t>
      </w:r>
    </w:p>
    <w:p w:rsidR="004A13E8" w:rsidRPr="00777555" w:rsidP="004A13E8" w14:paraId="55FE17B9" w14:textId="77777777">
      <w:pPr>
        <w:pStyle w:val="Heading1"/>
      </w:pPr>
      <w:bookmarkStart w:id="5" w:name="_Toc473880019"/>
      <w:r w:rsidRPr="00777555">
        <w:t>Use of Improved Information Technology and Burden Reduction</w:t>
      </w:r>
      <w:bookmarkEnd w:id="5"/>
    </w:p>
    <w:p w:rsidR="008D5AEA" w:rsidP="008D5AEA" w14:paraId="55FE17BA" w14:textId="2B014789">
      <w:r>
        <w:t>Electronic</w:t>
      </w:r>
      <w:r w:rsidR="007B5CAF">
        <w:t xml:space="preserve"> data collection will occur for 100% of </w:t>
      </w:r>
      <w:r>
        <w:t>responses.</w:t>
      </w:r>
      <w:r w:rsidR="008224A8">
        <w:t xml:space="preserve"> </w:t>
      </w:r>
      <w:r w:rsidRPr="00EF15E1" w:rsidR="00EF15E1">
        <w:rPr>
          <w:rFonts w:cs="Times New Roman"/>
          <w:bCs/>
          <w:sz w:val="20"/>
          <w:szCs w:val="20"/>
        </w:rPr>
        <w:t xml:space="preserve"> </w:t>
      </w:r>
      <w:r w:rsidR="00EF15E1">
        <w:t>Data</w:t>
      </w:r>
      <w:r w:rsidRPr="008B15D2" w:rsidR="00EF15E1">
        <w:t xml:space="preserve"> will be collected electronically using standardized forms in CDC’s </w:t>
      </w:r>
      <w:r w:rsidRPr="008B15D2" w:rsidR="00EF15E1">
        <w:t>REDCap</w:t>
      </w:r>
      <w:r w:rsidRPr="008B15D2" w:rsidR="00EF15E1">
        <w:t xml:space="preserve"> project or CDC TRAIN. </w:t>
      </w:r>
      <w:r w:rsidR="00E479D5">
        <w:t xml:space="preserve">We have </w:t>
      </w:r>
      <w:r w:rsidR="003F0D1C">
        <w:t xml:space="preserve">collected prior training evaluation data before electronically through </w:t>
      </w:r>
      <w:r w:rsidR="003F0D1C">
        <w:t>REDCap</w:t>
      </w:r>
      <w:r w:rsidR="003F0D1C">
        <w:t xml:space="preserve"> and the HAI/AR program staff (respondents) are comfortable with using this format to provide feedback. </w:t>
      </w:r>
    </w:p>
    <w:p w:rsidR="00E3192D" w:rsidP="008D5AEA" w14:paraId="6BF1B728" w14:textId="440DEBEC">
      <w:r>
        <w:t xml:space="preserve">We have </w:t>
      </w:r>
      <w:r w:rsidR="00F1623C">
        <w:t>designed</w:t>
      </w:r>
      <w:r>
        <w:t xml:space="preserve"> the data collection instruments </w:t>
      </w:r>
      <w:r w:rsidR="00090F6E">
        <w:t>to</w:t>
      </w:r>
      <w:r>
        <w:t xml:space="preserve"> </w:t>
      </w:r>
      <w:r w:rsidR="00E3070C">
        <w:t xml:space="preserve">reduce burden by asking a minimum </w:t>
      </w:r>
      <w:r w:rsidR="0046127D">
        <w:t>number</w:t>
      </w:r>
      <w:r w:rsidR="00E3070C">
        <w:t xml:space="preserve"> of actionable questions that will allow us to better assess our </w:t>
      </w:r>
      <w:r w:rsidR="0016341F">
        <w:t xml:space="preserve">trainings </w:t>
      </w:r>
      <w:r w:rsidR="00243701">
        <w:t xml:space="preserve">to meet their </w:t>
      </w:r>
      <w:r w:rsidR="00F1623C">
        <w:t xml:space="preserve">staff needs. </w:t>
      </w:r>
    </w:p>
    <w:p w:rsidR="004A13E8" w:rsidP="004A13E8" w14:paraId="55FE17BC" w14:textId="77777777">
      <w:pPr>
        <w:pStyle w:val="Heading1"/>
      </w:pPr>
      <w:bookmarkStart w:id="6" w:name="_Toc473880020"/>
      <w:r>
        <w:t>Efforts to Identify Duplication and Use of Similar Information</w:t>
      </w:r>
      <w:bookmarkEnd w:id="6"/>
    </w:p>
    <w:p w:rsidR="00FB2063" w:rsidRPr="00046435" w:rsidP="00FB2063" w14:paraId="0E90AFAD" w14:textId="6B1534DA">
      <w:pPr>
        <w:rPr>
          <w:rFonts w:cs="Times New Roman"/>
        </w:rPr>
      </w:pPr>
      <w:r w:rsidRPr="00806B47">
        <w:rPr>
          <w:rFonts w:cs="Times New Roman"/>
          <w:bCs/>
          <w:iCs/>
        </w:rPr>
        <w:t xml:space="preserve">As the technical monitors for the CK19-1904 CoAg, The Division of Healthcare Quality Promotion is the primary CDC collaborator with Public Health HAI/AR Program staff. We continuously work with other teams in the division to avoid duplication of data collection. In addition, we collaborate with their project officers in </w:t>
      </w:r>
      <w:r w:rsidR="005B1B92">
        <w:rPr>
          <w:rFonts w:cs="Times New Roman"/>
          <w:bCs/>
          <w:iCs/>
        </w:rPr>
        <w:t>CDC’s</w:t>
      </w:r>
      <w:r w:rsidRPr="00806B47" w:rsidR="005B1B92">
        <w:rPr>
          <w:rFonts w:cs="Times New Roman"/>
          <w:bCs/>
          <w:iCs/>
        </w:rPr>
        <w:t xml:space="preserve"> </w:t>
      </w:r>
      <w:r w:rsidRPr="00806B47">
        <w:rPr>
          <w:rFonts w:cs="Times New Roman"/>
          <w:bCs/>
          <w:iCs/>
        </w:rPr>
        <w:t xml:space="preserve">Division of Preparedness and Emerging Infections to streamline communications and data collection. We reviewed existing HAI/AR Program data collection by other teams in the division and collaborating </w:t>
      </w:r>
      <w:r w:rsidR="0024114A">
        <w:rPr>
          <w:rFonts w:cs="Times New Roman"/>
          <w:bCs/>
          <w:iCs/>
        </w:rPr>
        <w:t>centers at CDC</w:t>
      </w:r>
      <w:r w:rsidRPr="00806B47" w:rsidR="0024114A">
        <w:rPr>
          <w:rFonts w:cs="Times New Roman"/>
          <w:bCs/>
          <w:iCs/>
        </w:rPr>
        <w:t xml:space="preserve"> </w:t>
      </w:r>
      <w:r w:rsidRPr="00806B47">
        <w:rPr>
          <w:rFonts w:cs="Times New Roman"/>
          <w:bCs/>
          <w:iCs/>
        </w:rPr>
        <w:t xml:space="preserve">(e.g., performance measures, annual progress </w:t>
      </w:r>
      <w:r w:rsidRPr="00806B47">
        <w:rPr>
          <w:rFonts w:cs="Times New Roman"/>
          <w:bCs/>
          <w:iCs/>
        </w:rPr>
        <w:t>report, milestones) to ensure that these data are not being collected through any other source to avoid duplication.</w:t>
      </w:r>
      <w:r w:rsidR="00FE7F64">
        <w:rPr>
          <w:rFonts w:cs="Times New Roman"/>
          <w:bCs/>
          <w:iCs/>
        </w:rPr>
        <w:t xml:space="preserve"> </w:t>
      </w:r>
      <w:r w:rsidR="006812C4">
        <w:rPr>
          <w:rFonts w:cs="Times New Roman"/>
          <w:bCs/>
          <w:iCs/>
        </w:rPr>
        <w:t>CDC works closely with other organizations that support the HAI/AR programs and t</w:t>
      </w:r>
      <w:r w:rsidR="00FE7F64">
        <w:rPr>
          <w:rFonts w:cs="Times New Roman"/>
          <w:bCs/>
          <w:iCs/>
        </w:rPr>
        <w:t xml:space="preserve">here are </w:t>
      </w:r>
      <w:r w:rsidR="005540AE">
        <w:rPr>
          <w:rFonts w:cs="Times New Roman"/>
          <w:bCs/>
          <w:iCs/>
        </w:rPr>
        <w:t>no duplicate data collections conducted by other organizations outside of CDC.</w:t>
      </w:r>
      <w:r w:rsidRPr="00806B47">
        <w:rPr>
          <w:rFonts w:cs="Times New Roman"/>
          <w:bCs/>
          <w:iCs/>
        </w:rPr>
        <w:t xml:space="preserve"> Additionally, where possible, existing CDC program evaluation questions were utilized</w:t>
      </w:r>
      <w:r w:rsidRPr="24FE342C">
        <w:rPr>
          <w:rFonts w:ascii="Arial Nova" w:hAnsi="Arial Nova"/>
        </w:rPr>
        <w:t xml:space="preserve"> </w:t>
      </w:r>
      <w:r w:rsidRPr="00806B47">
        <w:rPr>
          <w:rFonts w:cs="Times New Roman"/>
          <w:bCs/>
          <w:iCs/>
        </w:rPr>
        <w:t>(</w:t>
      </w:r>
      <w:hyperlink r:id="rId10">
        <w:r w:rsidRPr="24FE342C">
          <w:rPr>
            <w:rFonts w:cs="Times New Roman"/>
          </w:rPr>
          <w:t>https://www.cdc.gov/evaluation/index.htm</w:t>
        </w:r>
      </w:hyperlink>
      <w:r w:rsidRPr="00806B47">
        <w:rPr>
          <w:rFonts w:cs="Times New Roman"/>
          <w:bCs/>
          <w:iCs/>
        </w:rPr>
        <w:t xml:space="preserve">). </w:t>
      </w:r>
    </w:p>
    <w:p w:rsidR="00FB2063" w:rsidRPr="00FB2063" w:rsidP="00FB2063" w14:paraId="5BB374B2" w14:textId="77777777"/>
    <w:p w:rsidR="00DC57CC" w:rsidRPr="00777555" w:rsidP="004A13E8" w14:paraId="55FE17BF" w14:textId="77777777">
      <w:pPr>
        <w:pStyle w:val="Heading1"/>
      </w:pPr>
      <w:bookmarkStart w:id="7" w:name="_Toc473880021"/>
      <w:r w:rsidRPr="00777555">
        <w:t>Impact on Small Businesses or Other Small Entities</w:t>
      </w:r>
      <w:bookmarkEnd w:id="7"/>
    </w:p>
    <w:p w:rsidR="004A13E8" w:rsidP="004A13E8" w14:paraId="55FE17C0" w14:textId="77777777">
      <w:r>
        <w:t>This data collection wi</w:t>
      </w:r>
      <w:r w:rsidR="001523DF">
        <w:t>ll not involve small businesses.</w:t>
      </w:r>
    </w:p>
    <w:p w:rsidR="004A13E8" w:rsidRPr="00777555" w:rsidP="004A13E8" w14:paraId="55FE17C3" w14:textId="77777777">
      <w:pPr>
        <w:pStyle w:val="Heading1"/>
      </w:pPr>
      <w:bookmarkStart w:id="8" w:name="_Toc473880022"/>
      <w:r w:rsidRPr="00777555">
        <w:t>Consequences of Collecting the Information Less Frequently</w:t>
      </w:r>
      <w:bookmarkEnd w:id="8"/>
    </w:p>
    <w:p w:rsidR="00710667" w:rsidP="001523DF" w14:paraId="00A90DF9" w14:textId="7259B015">
      <w:pPr>
        <w:rPr>
          <w:rFonts w:eastAsia="Arial" w:cs="Times New Roman"/>
        </w:rPr>
      </w:pPr>
      <w:r>
        <w:rPr>
          <w:rFonts w:cs="Times New Roman"/>
        </w:rPr>
        <w:t xml:space="preserve">The annual </w:t>
      </w:r>
      <w:r w:rsidR="00534486">
        <w:rPr>
          <w:rFonts w:cs="Times New Roman"/>
        </w:rPr>
        <w:t xml:space="preserve">collection provides necessary </w:t>
      </w:r>
      <w:r w:rsidR="0090460B">
        <w:rPr>
          <w:rFonts w:cs="Times New Roman"/>
        </w:rPr>
        <w:t xml:space="preserve">data for CDC to evaluate </w:t>
      </w:r>
      <w:r w:rsidR="00FC6E8A">
        <w:rPr>
          <w:rFonts w:cs="Times New Roman"/>
        </w:rPr>
        <w:t xml:space="preserve">our efforts in meeting </w:t>
      </w:r>
      <w:r w:rsidR="00526C5D">
        <w:rPr>
          <w:rFonts w:cs="Times New Roman"/>
        </w:rPr>
        <w:t>program needs. Less frequent data collection</w:t>
      </w:r>
      <w:r w:rsidR="00CF7C4E">
        <w:rPr>
          <w:rFonts w:cs="Times New Roman"/>
        </w:rPr>
        <w:t xml:space="preserve"> could result in </w:t>
      </w:r>
      <w:r w:rsidR="00B2600B">
        <w:rPr>
          <w:rFonts w:cs="Times New Roman"/>
        </w:rPr>
        <w:t xml:space="preserve">CDC providing unnecessary </w:t>
      </w:r>
      <w:r w:rsidR="00C83E44">
        <w:rPr>
          <w:rFonts w:cs="Times New Roman"/>
        </w:rPr>
        <w:t xml:space="preserve">trainings. </w:t>
      </w:r>
      <w:r w:rsidR="00526C5D">
        <w:rPr>
          <w:rFonts w:cs="Times New Roman"/>
        </w:rPr>
        <w:t xml:space="preserve"> </w:t>
      </w:r>
    </w:p>
    <w:p w:rsidR="004A13E8" w:rsidP="004A13E8" w14:paraId="55FE17C6" w14:textId="77777777">
      <w:pPr>
        <w:pStyle w:val="Heading1"/>
      </w:pPr>
      <w:bookmarkStart w:id="9" w:name="_Toc473880023"/>
      <w:r>
        <w:t>Special Circumstances Relating to the Guidelines of 5 CFR 1320.5</w:t>
      </w:r>
      <w:bookmarkEnd w:id="9"/>
    </w:p>
    <w:p w:rsidR="004A13E8" w:rsidRPr="00B6218F" w:rsidP="004A13E8" w14:paraId="55FE17C7" w14:textId="77777777">
      <w:r w:rsidRPr="00B6218F">
        <w:t>This request fully complies with the regulation 5 CFR 1320.5.</w:t>
      </w:r>
    </w:p>
    <w:p w:rsidR="004A13E8" w:rsidRPr="009B23D0" w:rsidP="004A13E8" w14:paraId="55FE17C8" w14:textId="77777777">
      <w:pPr>
        <w:pStyle w:val="Heading1"/>
      </w:pPr>
      <w:bookmarkStart w:id="10" w:name="_Toc473880024"/>
      <w:r w:rsidRPr="009B23D0">
        <w:t>Comments in Response to the Federal Register Notice and Efforts to Consult Outside the Agency</w:t>
      </w:r>
      <w:bookmarkEnd w:id="10"/>
    </w:p>
    <w:p w:rsidR="004A13E8" w:rsidP="004A13E8" w14:paraId="55FE17C9" w14:textId="2EE83CB4">
      <w:r>
        <w:t xml:space="preserve">A. A 60-day Federal Register Notice was published in the </w:t>
      </w:r>
      <w:r w:rsidRPr="004A13E8">
        <w:rPr>
          <w:i/>
        </w:rPr>
        <w:t>Federal Register</w:t>
      </w:r>
      <w:r>
        <w:rPr>
          <w:i/>
        </w:rPr>
        <w:t xml:space="preserve"> </w:t>
      </w:r>
      <w:r>
        <w:t xml:space="preserve">on </w:t>
      </w:r>
      <w:r w:rsidR="2A46A98D">
        <w:t>JUNE</w:t>
      </w:r>
      <w:r>
        <w:t xml:space="preserve"> </w:t>
      </w:r>
      <w:r w:rsidR="0503F225">
        <w:t>16</w:t>
      </w:r>
      <w:r>
        <w:t xml:space="preserve">, </w:t>
      </w:r>
      <w:r w:rsidR="23DF8765">
        <w:t>2023</w:t>
      </w:r>
      <w:r>
        <w:t xml:space="preserve">, vol. </w:t>
      </w:r>
      <w:r w:rsidR="1DF07FD1">
        <w:t>88</w:t>
      </w:r>
      <w:r>
        <w:t xml:space="preserve">, No. </w:t>
      </w:r>
      <w:r w:rsidR="39E0F322">
        <w:t>116</w:t>
      </w:r>
      <w:r>
        <w:t xml:space="preserve">, pp. </w:t>
      </w:r>
      <w:r w:rsidR="291641D8">
        <w:t>39437</w:t>
      </w:r>
      <w:r w:rsidR="0046343C">
        <w:t xml:space="preserve"> &amp; 39438</w:t>
      </w:r>
      <w:r>
        <w:t xml:space="preserve"> (Attachment </w:t>
      </w:r>
      <w:r w:rsidR="00012D1B">
        <w:t>3</w:t>
      </w:r>
      <w:r>
        <w:t xml:space="preserve">). CDC </w:t>
      </w:r>
      <w:r w:rsidR="007975DC">
        <w:t>received one</w:t>
      </w:r>
      <w:r w:rsidR="001D7317">
        <w:t xml:space="preserve"> non-substantive</w:t>
      </w:r>
      <w:r w:rsidR="007975DC">
        <w:t xml:space="preserve"> </w:t>
      </w:r>
      <w:r>
        <w:t>public comment</w:t>
      </w:r>
      <w:r w:rsidR="007975DC">
        <w:t xml:space="preserve"> </w:t>
      </w:r>
      <w:r>
        <w:t>related to this notice</w:t>
      </w:r>
      <w:r w:rsidR="007975DC">
        <w:t xml:space="preserve"> (Attachment 7)</w:t>
      </w:r>
      <w:r>
        <w:t>.</w:t>
      </w:r>
      <w:r w:rsidR="00C32380">
        <w:t xml:space="preserve"> </w:t>
      </w:r>
    </w:p>
    <w:p w:rsidR="004A13E8" w:rsidRPr="004A13E8" w:rsidP="004A13E8" w14:paraId="55FE17CA" w14:textId="63EAE8FC">
      <w:r>
        <w:t>B. No consultations outside of CDC occurred</w:t>
      </w:r>
      <w:r w:rsidR="00E2491E">
        <w:t xml:space="preserve">. </w:t>
      </w:r>
    </w:p>
    <w:p w:rsidR="004A13E8" w:rsidRPr="00777555" w:rsidP="004A13E8" w14:paraId="55FE17CB" w14:textId="77777777">
      <w:pPr>
        <w:pStyle w:val="Heading1"/>
      </w:pPr>
      <w:bookmarkStart w:id="11" w:name="_Toc473880025"/>
      <w:r w:rsidRPr="00777555">
        <w:t>Explanation of Any Payment or Gift to Respondents</w:t>
      </w:r>
      <w:bookmarkEnd w:id="11"/>
    </w:p>
    <w:p w:rsidR="004A13E8" w:rsidRPr="00B6218F" w:rsidP="004A13E8" w14:paraId="55FE17CC" w14:textId="12EA55C6">
      <w:r w:rsidRPr="00B6218F">
        <w:t xml:space="preserve">Respondents will not receive any incentives. </w:t>
      </w:r>
    </w:p>
    <w:p w:rsidR="004A13E8" w:rsidRPr="009B23D0" w:rsidP="004A13E8" w14:paraId="55FE17CD" w14:textId="77777777">
      <w:pPr>
        <w:pStyle w:val="Heading1"/>
      </w:pPr>
      <w:bookmarkStart w:id="12" w:name="_Toc473880026"/>
      <w:r w:rsidRPr="009B23D0">
        <w:t>Protection of the Privacy and Confidentiality of Information Provided by Respondents</w:t>
      </w:r>
      <w:bookmarkEnd w:id="12"/>
    </w:p>
    <w:p w:rsidR="00457614" w:rsidP="00CD2AA4" w14:paraId="4231371F" w14:textId="008F84AB">
      <w:r w:rsidRPr="00457614">
        <w:t>CDC’s Information Systems Security Officer reviewed this submission and determined that the Privacy Act doe</w:t>
      </w:r>
      <w:r w:rsidR="00C740C5">
        <w:t>s</w:t>
      </w:r>
      <w:r w:rsidRPr="00457614">
        <w:t xml:space="preserve"> apply. A Privacy Impact Assessment is included as part of this submission (</w:t>
      </w:r>
      <w:r w:rsidR="00820763">
        <w:t>A</w:t>
      </w:r>
      <w:r>
        <w:t xml:space="preserve">ttachment </w:t>
      </w:r>
      <w:r w:rsidR="00012D1B">
        <w:t>4</w:t>
      </w:r>
      <w:r w:rsidRPr="00457614">
        <w:t xml:space="preserve">).  </w:t>
      </w:r>
    </w:p>
    <w:p w:rsidR="004A13E8" w:rsidP="004A13E8" w14:paraId="55FE17D0" w14:textId="77777777">
      <w:pPr>
        <w:pStyle w:val="Heading1"/>
      </w:pPr>
      <w:bookmarkStart w:id="13" w:name="_Toc473880027"/>
      <w:r>
        <w:t>Institutional Review Board (IRB) and Justification for Sensitive Questions</w:t>
      </w:r>
      <w:bookmarkEnd w:id="13"/>
    </w:p>
    <w:p w:rsidR="004A13E8" w:rsidP="004A13E8" w14:paraId="55FE17D1" w14:textId="77777777">
      <w:pPr>
        <w:rPr>
          <w:u w:val="single"/>
        </w:rPr>
      </w:pPr>
      <w:r>
        <w:rPr>
          <w:u w:val="single"/>
        </w:rPr>
        <w:t>Institutional Review Board (IRB)</w:t>
      </w:r>
    </w:p>
    <w:p w:rsidR="004A13E8" w:rsidP="004A13E8" w14:paraId="55FE17D2" w14:textId="79696012">
      <w:r>
        <w:t xml:space="preserve">NCEZID’s Human Subjects Advisor has determined that information collection is not research involving human subjects.  IRB approval </w:t>
      </w:r>
      <w:r w:rsidR="001E08A8">
        <w:t>is</w:t>
      </w:r>
      <w:r>
        <w:t xml:space="preserve"> not required</w:t>
      </w:r>
      <w:r w:rsidR="00B63A32">
        <w:t xml:space="preserve"> (Attachment </w:t>
      </w:r>
      <w:r w:rsidR="00A24E54">
        <w:t>5</w:t>
      </w:r>
      <w:r w:rsidR="00B63A32">
        <w:t>)</w:t>
      </w:r>
    </w:p>
    <w:p w:rsidR="00BC0725" w:rsidP="00A12C18" w14:paraId="63E9AA18" w14:textId="77777777">
      <w:pPr>
        <w:tabs>
          <w:tab w:val="left" w:pos="4125"/>
        </w:tabs>
        <w:rPr>
          <w:u w:val="single"/>
        </w:rPr>
      </w:pPr>
      <w:r>
        <w:rPr>
          <w:u w:val="single"/>
        </w:rPr>
        <w:t>Justification for Sensitive Questions</w:t>
      </w:r>
    </w:p>
    <w:p w:rsidR="00BC0725" w:rsidRPr="00BC0725" w:rsidP="00BC0725" w14:paraId="3266C3D3" w14:textId="77777777">
      <w:r w:rsidRPr="00BC0725">
        <w:t>There are no planned sensitive questions.</w:t>
      </w:r>
    </w:p>
    <w:p w:rsidR="004A13E8" w:rsidP="004A13E8" w14:paraId="55FE17D7" w14:textId="77777777">
      <w:pPr>
        <w:pStyle w:val="Heading1"/>
      </w:pPr>
      <w:bookmarkStart w:id="14" w:name="_Toc473880028"/>
      <w:r>
        <w:t>Estimates of Annualized Burden Hours and Costs</w:t>
      </w:r>
      <w:bookmarkEnd w:id="14"/>
    </w:p>
    <w:p w:rsidR="00C553B7" w:rsidP="009B0947" w14:paraId="093B700D" w14:textId="77777777">
      <w:r>
        <w:t xml:space="preserve">A. </w:t>
      </w:r>
      <w:r>
        <w:t>Estimated Annualized Burden Hours</w:t>
      </w:r>
    </w:p>
    <w:p w:rsidR="00CC6EB8" w:rsidRPr="00E8091C" w:rsidP="00CC6EB8" w14:paraId="15D34C8B" w14:textId="77777777">
      <w:r w:rsidRPr="00E8091C">
        <w:t xml:space="preserve">Estimates below include aggregated estimates of annual burden per response and total burden hours for staff from public health staff (including trainees from CDC-funded HAI/AR Programs and other trainees) and HAI/AR Program leads.  </w:t>
      </w:r>
    </w:p>
    <w:p w:rsidR="00EA5051" w:rsidRPr="00E8091C" w:rsidP="00EA5051" w14:paraId="6592FB81" w14:textId="77777777">
      <w:pPr>
        <w:rPr>
          <w:b/>
          <w:bCs/>
        </w:rPr>
      </w:pPr>
      <w:r>
        <w:rPr>
          <w:rFonts w:ascii="Arial Nova" w:hAnsi="Arial Nova" w:cstheme="minorHAnsi"/>
          <w:bCs/>
          <w:iCs/>
        </w:rPr>
        <w:t xml:space="preserve"> </w:t>
      </w:r>
      <w:r w:rsidRPr="00E8091C">
        <w:rPr>
          <w:b/>
          <w:bCs/>
        </w:rPr>
        <w:t xml:space="preserve">Public Health Trainees: </w:t>
      </w:r>
    </w:p>
    <w:p w:rsidR="00E8091C" w:rsidP="00EA5051" w14:paraId="311CC095" w14:textId="77777777">
      <w:r w:rsidRPr="00E8091C">
        <w:t xml:space="preserve">For each training, public health trainees will be asked to complete a registration, a </w:t>
      </w:r>
      <w:r w:rsidRPr="00E8091C">
        <w:t>pre-test</w:t>
      </w:r>
      <w:r w:rsidRPr="00E8091C">
        <w:t xml:space="preserve"> and a post-test.</w:t>
      </w:r>
    </w:p>
    <w:p w:rsidR="00EA5051" w:rsidRPr="00E8091C" w:rsidP="00EA5051" w14:paraId="4D22957B" w14:textId="2F38CCFD">
      <w:pPr>
        <w:rPr>
          <w:rFonts w:cs="Times New Roman"/>
        </w:rPr>
      </w:pPr>
      <w:r w:rsidRPr="00E8091C">
        <w:rPr>
          <w:rFonts w:cs="Times New Roman"/>
          <w:bCs/>
          <w:i/>
        </w:rPr>
        <w:t>Average burden per response:</w:t>
      </w:r>
    </w:p>
    <w:p w:rsidR="00EA5051" w:rsidRPr="00E8091C" w:rsidP="00EA5051" w14:paraId="42CD6900" w14:textId="7DC0797C">
      <w:pPr>
        <w:rPr>
          <w:rFonts w:cs="Times New Roman"/>
          <w:bCs/>
          <w:iCs/>
        </w:rPr>
      </w:pPr>
      <w:r w:rsidRPr="00E8091C">
        <w:rPr>
          <w:rFonts w:cs="Times New Roman"/>
          <w:bCs/>
          <w:iCs/>
        </w:rPr>
        <w:t>Registration=0.</w:t>
      </w:r>
      <w:r w:rsidR="004E43DF">
        <w:rPr>
          <w:rFonts w:cs="Times New Roman"/>
          <w:bCs/>
          <w:iCs/>
        </w:rPr>
        <w:t>0</w:t>
      </w:r>
      <w:r w:rsidRPr="00E8091C">
        <w:rPr>
          <w:rFonts w:cs="Times New Roman"/>
          <w:bCs/>
          <w:iCs/>
        </w:rPr>
        <w:t>83 hrs</w:t>
      </w:r>
      <w:r w:rsidRPr="24FE342C" w:rsidR="7C747992">
        <w:rPr>
          <w:rFonts w:cs="Times New Roman"/>
        </w:rPr>
        <w:t>.</w:t>
      </w:r>
      <w:r w:rsidRPr="00E8091C">
        <w:rPr>
          <w:rFonts w:cs="Times New Roman"/>
          <w:bCs/>
          <w:iCs/>
        </w:rPr>
        <w:t xml:space="preserve"> (5/60 min) </w:t>
      </w:r>
    </w:p>
    <w:p w:rsidR="00EA5051" w:rsidRPr="00E8091C" w:rsidP="00EA5051" w14:paraId="5D41EC41" w14:textId="615F65A2">
      <w:pPr>
        <w:rPr>
          <w:rFonts w:cs="Times New Roman"/>
          <w:bCs/>
          <w:iCs/>
        </w:rPr>
      </w:pPr>
      <w:r w:rsidRPr="00E8091C">
        <w:rPr>
          <w:rFonts w:cs="Times New Roman"/>
          <w:bCs/>
          <w:iCs/>
        </w:rPr>
        <w:t>Pre-test=0.</w:t>
      </w:r>
      <w:r w:rsidR="004E43DF">
        <w:rPr>
          <w:rFonts w:cs="Times New Roman"/>
          <w:bCs/>
          <w:iCs/>
        </w:rPr>
        <w:t>0</w:t>
      </w:r>
      <w:r w:rsidRPr="00E8091C">
        <w:rPr>
          <w:rFonts w:cs="Times New Roman"/>
          <w:bCs/>
          <w:iCs/>
        </w:rPr>
        <w:t xml:space="preserve">83 </w:t>
      </w:r>
      <w:r w:rsidRPr="00E8091C" w:rsidR="000D2211">
        <w:rPr>
          <w:rFonts w:cs="Times New Roman"/>
          <w:bCs/>
          <w:iCs/>
        </w:rPr>
        <w:t>hrs.</w:t>
      </w:r>
      <w:r w:rsidRPr="00E8091C">
        <w:rPr>
          <w:rFonts w:cs="Times New Roman"/>
          <w:bCs/>
          <w:iCs/>
        </w:rPr>
        <w:t xml:space="preserve"> (5/60 min)</w:t>
      </w:r>
    </w:p>
    <w:p w:rsidR="00EA5051" w:rsidRPr="00E8091C" w:rsidP="00EA5051" w14:paraId="45116FDA" w14:textId="20B1F2AE">
      <w:pPr>
        <w:rPr>
          <w:rFonts w:cs="Times New Roman"/>
          <w:bCs/>
          <w:iCs/>
        </w:rPr>
      </w:pPr>
      <w:r w:rsidRPr="00E8091C">
        <w:rPr>
          <w:rFonts w:cs="Times New Roman"/>
          <w:bCs/>
          <w:iCs/>
        </w:rPr>
        <w:t>Post-test=0.</w:t>
      </w:r>
      <w:r w:rsidR="004E43DF">
        <w:rPr>
          <w:rFonts w:cs="Times New Roman"/>
          <w:bCs/>
          <w:iCs/>
        </w:rPr>
        <w:t>0</w:t>
      </w:r>
      <w:r w:rsidRPr="00E8091C">
        <w:rPr>
          <w:rFonts w:cs="Times New Roman"/>
          <w:bCs/>
          <w:iCs/>
        </w:rPr>
        <w:t xml:space="preserve">83 </w:t>
      </w:r>
      <w:r w:rsidRPr="00E8091C" w:rsidR="000D2211">
        <w:rPr>
          <w:rFonts w:cs="Times New Roman"/>
          <w:bCs/>
          <w:iCs/>
        </w:rPr>
        <w:t>hrs.</w:t>
      </w:r>
      <w:r w:rsidRPr="00E8091C">
        <w:rPr>
          <w:rFonts w:cs="Times New Roman"/>
          <w:bCs/>
          <w:iCs/>
        </w:rPr>
        <w:t xml:space="preserve"> (5/60 min)</w:t>
      </w:r>
    </w:p>
    <w:p w:rsidR="00EA5051" w:rsidRPr="00E8091C" w:rsidP="00EA5051" w14:paraId="24D67B84" w14:textId="77777777">
      <w:r w:rsidRPr="00E8091C">
        <w:t xml:space="preserve">The number of trainees is estimated based off the number of HAI/AR program staff (target audience) in the 64 CDC-funded HAI/AR programs and historical number of trainees who have attended previous CDC led trainings. Estimates below assume that each trainee attends and completes training registration and evaluations for two training per year. We are estimating that 500 respondents attend the trainings each year of the three-year ICR approval.  </w:t>
      </w:r>
    </w:p>
    <w:p w:rsidR="00EA5051" w:rsidRPr="00E8091C" w:rsidP="00EA5051" w14:paraId="54ABF540" w14:textId="77777777">
      <w:r w:rsidRPr="00E8091C">
        <w:t xml:space="preserve">Other public health staff and may access the trainings. We anticipate the number of trainees to be limited but acknowledge that others may take and complete the evaluations. Estimate a total of 100 other trainees may take one training annually and participate in the evaluations. </w:t>
      </w:r>
    </w:p>
    <w:p w:rsidR="00EA5051" w:rsidRPr="00E8091C" w:rsidP="00EA5051" w14:paraId="014EE91E" w14:textId="392BE154">
      <w:r w:rsidRPr="00E8091C">
        <w:t xml:space="preserve">This ICR submission includes three evaluation components for three related trainings: a 5-minute registration, a </w:t>
      </w:r>
      <w:r w:rsidRPr="00E8091C" w:rsidR="005706B9">
        <w:t>5-minute</w:t>
      </w:r>
      <w:r w:rsidRPr="00E8091C">
        <w:t xml:space="preserve"> pre-test and a 5</w:t>
      </w:r>
      <w:r w:rsidR="005706B9">
        <w:t>-</w:t>
      </w:r>
      <w:r w:rsidRPr="00E8091C">
        <w:t xml:space="preserve">minute post-test. </w:t>
      </w:r>
    </w:p>
    <w:p w:rsidR="00EA5051" w:rsidRPr="00E8091C" w:rsidP="00EA5051" w14:paraId="1D3655C2" w14:textId="77777777">
      <w:pPr>
        <w:rPr>
          <w:rFonts w:cs="Times New Roman"/>
          <w:bCs/>
          <w:i/>
        </w:rPr>
      </w:pPr>
      <w:bookmarkStart w:id="15" w:name="_Hlk136420100"/>
      <w:r w:rsidRPr="00E8091C">
        <w:rPr>
          <w:rFonts w:cs="Times New Roman"/>
          <w:bCs/>
          <w:i/>
        </w:rPr>
        <w:t xml:space="preserve">Total burden hours per year for </w:t>
      </w:r>
      <w:r w:rsidRPr="00E8091C">
        <w:rPr>
          <w:rFonts w:cs="Times New Roman"/>
          <w:b/>
          <w:i/>
        </w:rPr>
        <w:t>registration</w:t>
      </w:r>
      <w:r w:rsidRPr="00E8091C">
        <w:rPr>
          <w:rFonts w:cs="Times New Roman"/>
          <w:bCs/>
          <w:i/>
        </w:rPr>
        <w:t xml:space="preserve">: </w:t>
      </w:r>
    </w:p>
    <w:p w:rsidR="00EA5051" w:rsidRPr="00E8091C" w:rsidP="00EA5051" w14:paraId="4884B7F6" w14:textId="60621DB3">
      <w:pPr>
        <w:rPr>
          <w:rFonts w:cs="Times New Roman"/>
          <w:bCs/>
          <w:iCs/>
        </w:rPr>
      </w:pPr>
      <w:r w:rsidRPr="00E8091C">
        <w:rPr>
          <w:rFonts w:cs="Times New Roman"/>
          <w:bCs/>
          <w:iCs/>
        </w:rPr>
        <w:t>600 respondents x 2 responses (2 trainings per year) x 0.</w:t>
      </w:r>
      <w:r w:rsidR="00616FD7">
        <w:rPr>
          <w:rFonts w:cs="Times New Roman"/>
          <w:bCs/>
          <w:iCs/>
        </w:rPr>
        <w:t>0</w:t>
      </w:r>
      <w:r w:rsidRPr="00E8091C">
        <w:rPr>
          <w:rFonts w:cs="Times New Roman"/>
          <w:bCs/>
          <w:iCs/>
        </w:rPr>
        <w:t xml:space="preserve">83 hours (5/60) per response = 100 hours per year </w:t>
      </w:r>
    </w:p>
    <w:bookmarkEnd w:id="15"/>
    <w:p w:rsidR="00EA5051" w:rsidRPr="00E8091C" w:rsidP="00EA5051" w14:paraId="51B9ABA2" w14:textId="77777777">
      <w:pPr>
        <w:rPr>
          <w:rFonts w:cs="Times New Roman"/>
          <w:bCs/>
          <w:i/>
        </w:rPr>
      </w:pPr>
      <w:r w:rsidRPr="00E8091C">
        <w:rPr>
          <w:rFonts w:cs="Times New Roman"/>
          <w:bCs/>
          <w:i/>
        </w:rPr>
        <w:t xml:space="preserve">Total burden hours per year for </w:t>
      </w:r>
      <w:r w:rsidRPr="00E8091C">
        <w:rPr>
          <w:rFonts w:cs="Times New Roman"/>
          <w:b/>
          <w:i/>
        </w:rPr>
        <w:t>pre-test</w:t>
      </w:r>
      <w:r w:rsidRPr="00E8091C">
        <w:rPr>
          <w:rFonts w:cs="Times New Roman"/>
          <w:bCs/>
          <w:i/>
        </w:rPr>
        <w:t xml:space="preserve">: </w:t>
      </w:r>
    </w:p>
    <w:p w:rsidR="00EA5051" w:rsidRPr="00E8091C" w:rsidP="00EA5051" w14:paraId="5AFA3C64" w14:textId="7A008976">
      <w:pPr>
        <w:rPr>
          <w:rFonts w:cs="Times New Roman"/>
          <w:bCs/>
          <w:iCs/>
        </w:rPr>
      </w:pPr>
      <w:r w:rsidRPr="00E8091C">
        <w:rPr>
          <w:rFonts w:cs="Times New Roman"/>
          <w:bCs/>
          <w:iCs/>
        </w:rPr>
        <w:t>600 respondents x 2 responses (2 trainings per year) x 0.</w:t>
      </w:r>
      <w:r w:rsidR="00616FD7">
        <w:rPr>
          <w:rFonts w:cs="Times New Roman"/>
          <w:bCs/>
          <w:iCs/>
        </w:rPr>
        <w:t>0</w:t>
      </w:r>
      <w:r w:rsidRPr="00E8091C">
        <w:rPr>
          <w:rFonts w:cs="Times New Roman"/>
          <w:bCs/>
          <w:iCs/>
        </w:rPr>
        <w:t xml:space="preserve">83 hours (5/60) per response = 100 hours per year </w:t>
      </w:r>
    </w:p>
    <w:p w:rsidR="00EA5051" w:rsidRPr="00E8091C" w:rsidP="00EA5051" w14:paraId="0B4B08A9" w14:textId="77777777">
      <w:pPr>
        <w:rPr>
          <w:rFonts w:cs="Times New Roman"/>
          <w:bCs/>
          <w:i/>
        </w:rPr>
      </w:pPr>
      <w:r w:rsidRPr="00E8091C">
        <w:rPr>
          <w:rFonts w:cs="Times New Roman"/>
          <w:bCs/>
          <w:i/>
        </w:rPr>
        <w:t xml:space="preserve">Total burden hours per year for </w:t>
      </w:r>
      <w:r w:rsidRPr="00E8091C">
        <w:rPr>
          <w:rFonts w:cs="Times New Roman"/>
          <w:b/>
          <w:i/>
        </w:rPr>
        <w:t>post-test</w:t>
      </w:r>
      <w:r w:rsidRPr="00E8091C">
        <w:rPr>
          <w:rFonts w:cs="Times New Roman"/>
          <w:bCs/>
          <w:i/>
        </w:rPr>
        <w:t xml:space="preserve">: </w:t>
      </w:r>
    </w:p>
    <w:p w:rsidR="00EA5051" w:rsidRPr="00E8091C" w:rsidP="00EA5051" w14:paraId="5897F922" w14:textId="4C97236D">
      <w:pPr>
        <w:rPr>
          <w:rFonts w:cs="Times New Roman"/>
          <w:bCs/>
          <w:iCs/>
        </w:rPr>
      </w:pPr>
      <w:r w:rsidRPr="00E8091C">
        <w:rPr>
          <w:rFonts w:cs="Times New Roman"/>
          <w:bCs/>
          <w:iCs/>
        </w:rPr>
        <w:t>600 respondents x 2 (2 trainings per year) x 0.</w:t>
      </w:r>
      <w:r w:rsidR="00616FD7">
        <w:rPr>
          <w:rFonts w:cs="Times New Roman"/>
          <w:bCs/>
          <w:iCs/>
        </w:rPr>
        <w:t>0</w:t>
      </w:r>
      <w:r w:rsidRPr="00E8091C">
        <w:rPr>
          <w:rFonts w:cs="Times New Roman"/>
          <w:bCs/>
          <w:iCs/>
        </w:rPr>
        <w:t xml:space="preserve">83 hours (5/60) per response = 100 hours per year </w:t>
      </w:r>
    </w:p>
    <w:p w:rsidR="00EA5051" w:rsidRPr="00E8091C" w:rsidP="00EA5051" w14:paraId="5D6709BC" w14:textId="77777777">
      <w:pPr>
        <w:rPr>
          <w:rFonts w:cs="Times New Roman"/>
          <w:b/>
          <w:iCs/>
        </w:rPr>
      </w:pPr>
      <w:r w:rsidRPr="00E8091C">
        <w:rPr>
          <w:rFonts w:cs="Times New Roman"/>
          <w:b/>
          <w:iCs/>
        </w:rPr>
        <w:t>HAI/AR Program Leads (CoAg Recipients):</w:t>
      </w:r>
    </w:p>
    <w:p w:rsidR="00EA5051" w:rsidRPr="00E8091C" w:rsidP="00EA5051" w14:paraId="54ED4D4F" w14:textId="77777777">
      <w:pPr>
        <w:rPr>
          <w:rFonts w:cs="Times New Roman"/>
          <w:bCs/>
          <w:iCs/>
        </w:rPr>
      </w:pPr>
      <w:r w:rsidRPr="00E8091C">
        <w:rPr>
          <w:rFonts w:cs="Times New Roman"/>
          <w:bCs/>
          <w:iCs/>
        </w:rPr>
        <w:t>HAI/AR program leads will be asked to provide information to help CDC</w:t>
      </w:r>
      <w:r w:rsidRPr="00E8091C">
        <w:rPr>
          <w:rFonts w:cs="Times New Roman"/>
          <w:b/>
          <w:iCs/>
        </w:rPr>
        <w:t xml:space="preserve"> </w:t>
      </w:r>
      <w:r w:rsidRPr="00E8091C">
        <w:rPr>
          <w:rFonts w:cs="Times New Roman"/>
          <w:bCs/>
          <w:iCs/>
        </w:rPr>
        <w:t xml:space="preserve">assess the public health program training impact.  </w:t>
      </w:r>
    </w:p>
    <w:p w:rsidR="00EA5051" w:rsidRPr="00E8091C" w:rsidP="00EA5051" w14:paraId="70B4612E" w14:textId="77777777">
      <w:pPr>
        <w:rPr>
          <w:rFonts w:cs="Times New Roman"/>
          <w:bCs/>
          <w:i/>
        </w:rPr>
      </w:pPr>
      <w:r w:rsidRPr="00E8091C">
        <w:rPr>
          <w:rFonts w:cs="Times New Roman"/>
          <w:bCs/>
          <w:i/>
        </w:rPr>
        <w:t>Average burden per response:</w:t>
      </w:r>
    </w:p>
    <w:p w:rsidR="00EA5051" w:rsidRPr="00E8091C" w:rsidP="00EA5051" w14:paraId="5301212A" w14:textId="77777777">
      <w:pPr>
        <w:rPr>
          <w:rFonts w:cs="Times New Roman"/>
          <w:bCs/>
          <w:iCs/>
        </w:rPr>
      </w:pPr>
      <w:r w:rsidRPr="00E8091C">
        <w:rPr>
          <w:rFonts w:cs="Times New Roman"/>
          <w:bCs/>
          <w:iCs/>
        </w:rPr>
        <w:t>Public Health program impact of trainings =0.25 hours (15/60 min)</w:t>
      </w:r>
    </w:p>
    <w:p w:rsidR="00EA5051" w:rsidRPr="00E8091C" w:rsidP="00EA5051" w14:paraId="689AAC90" w14:textId="77777777">
      <w:pPr>
        <w:rPr>
          <w:rFonts w:cs="Times New Roman"/>
          <w:bCs/>
          <w:i/>
        </w:rPr>
      </w:pPr>
      <w:r w:rsidRPr="00E8091C">
        <w:rPr>
          <w:rFonts w:cs="Times New Roman"/>
          <w:bCs/>
          <w:i/>
        </w:rPr>
        <w:t>Average burden per response and Total burden hours per year:</w:t>
      </w:r>
    </w:p>
    <w:p w:rsidR="00CC6EB8" w:rsidRPr="00E8091C" w:rsidP="00CC6EB8" w14:paraId="662C33C8" w14:textId="20CC519D">
      <w:pPr>
        <w:rPr>
          <w:rFonts w:cs="Times New Roman"/>
          <w:bCs/>
          <w:iCs/>
        </w:rPr>
      </w:pPr>
      <w:r w:rsidRPr="00E8091C">
        <w:rPr>
          <w:rFonts w:cs="Times New Roman"/>
          <w:bCs/>
          <w:iCs/>
        </w:rPr>
        <w:t xml:space="preserve">64 respondents x 1 response per year x 0.25 hours (15/50) = 16 hours per year </w:t>
      </w:r>
    </w:p>
    <w:p w:rsidR="004A13E8" w:rsidP="004A13E8" w14:paraId="55FE17D9" w14:textId="1DB07709"/>
    <w:tbl>
      <w:tblPr>
        <w:tblStyle w:val="TableGrid"/>
        <w:tblW w:w="0" w:type="auto"/>
        <w:tblLook w:val="04A0"/>
      </w:tblPr>
      <w:tblGrid>
        <w:gridCol w:w="1678"/>
        <w:gridCol w:w="1678"/>
        <w:gridCol w:w="1678"/>
        <w:gridCol w:w="1678"/>
        <w:gridCol w:w="1679"/>
        <w:gridCol w:w="1679"/>
      </w:tblGrid>
      <w:tr w14:paraId="55FE17E0" w14:textId="77777777" w:rsidTr="000A727C">
        <w:tblPrEx>
          <w:tblW w:w="0" w:type="auto"/>
          <w:tblLook w:val="04A0"/>
        </w:tblPrEx>
        <w:tc>
          <w:tcPr>
            <w:tcW w:w="1678" w:type="dxa"/>
          </w:tcPr>
          <w:p w:rsidR="004A13E8" w:rsidP="000A727C" w14:paraId="55FE17DA" w14:textId="77777777">
            <w:r>
              <w:t>Type of Respondent</w:t>
            </w:r>
          </w:p>
        </w:tc>
        <w:tc>
          <w:tcPr>
            <w:tcW w:w="1678" w:type="dxa"/>
          </w:tcPr>
          <w:p w:rsidR="004A13E8" w:rsidP="000A727C" w14:paraId="55FE17DB" w14:textId="77777777">
            <w:r>
              <w:t>Form Name</w:t>
            </w:r>
          </w:p>
        </w:tc>
        <w:tc>
          <w:tcPr>
            <w:tcW w:w="1678" w:type="dxa"/>
          </w:tcPr>
          <w:p w:rsidR="004A13E8" w:rsidP="000A727C" w14:paraId="55FE17DC" w14:textId="77777777">
            <w:r>
              <w:t>No. of Respondents</w:t>
            </w:r>
          </w:p>
        </w:tc>
        <w:tc>
          <w:tcPr>
            <w:tcW w:w="1678" w:type="dxa"/>
          </w:tcPr>
          <w:p w:rsidR="004A13E8" w:rsidP="000A727C" w14:paraId="55FE17DD" w14:textId="77777777">
            <w:r>
              <w:t>No. Responses per Respondent</w:t>
            </w:r>
          </w:p>
        </w:tc>
        <w:tc>
          <w:tcPr>
            <w:tcW w:w="1679" w:type="dxa"/>
          </w:tcPr>
          <w:p w:rsidR="004A13E8" w:rsidP="000A727C" w14:paraId="55FE17DE" w14:textId="77777777">
            <w:r>
              <w:t>Avg. Burden per response (in hrs.)</w:t>
            </w:r>
          </w:p>
        </w:tc>
        <w:tc>
          <w:tcPr>
            <w:tcW w:w="1679" w:type="dxa"/>
          </w:tcPr>
          <w:p w:rsidR="004A13E8" w:rsidP="000A727C" w14:paraId="55FE17DF" w14:textId="77777777">
            <w:r>
              <w:t>Total Burden (in hrs.)</w:t>
            </w:r>
          </w:p>
        </w:tc>
      </w:tr>
      <w:tr w14:paraId="55FE17E7" w14:textId="77777777" w:rsidTr="000A727C">
        <w:tblPrEx>
          <w:tblW w:w="0" w:type="auto"/>
          <w:tblLook w:val="04A0"/>
        </w:tblPrEx>
        <w:tc>
          <w:tcPr>
            <w:tcW w:w="1678" w:type="dxa"/>
          </w:tcPr>
          <w:p w:rsidR="004A13E8" w:rsidP="000A727C" w14:paraId="55FE17E1" w14:textId="2E414BC1">
            <w:r>
              <w:t>Public Health Trainees</w:t>
            </w:r>
          </w:p>
        </w:tc>
        <w:tc>
          <w:tcPr>
            <w:tcW w:w="1678" w:type="dxa"/>
          </w:tcPr>
          <w:p w:rsidR="004A13E8" w:rsidP="000A727C" w14:paraId="55FE17E2" w14:textId="00D6062A">
            <w:r>
              <w:t>Registration</w:t>
            </w:r>
          </w:p>
        </w:tc>
        <w:tc>
          <w:tcPr>
            <w:tcW w:w="1678" w:type="dxa"/>
          </w:tcPr>
          <w:p w:rsidR="004A13E8" w:rsidP="000A727C" w14:paraId="55FE17E3" w14:textId="5BCFACBE">
            <w:r>
              <w:t>600</w:t>
            </w:r>
          </w:p>
        </w:tc>
        <w:tc>
          <w:tcPr>
            <w:tcW w:w="1678" w:type="dxa"/>
          </w:tcPr>
          <w:p w:rsidR="004A13E8" w:rsidP="000A727C" w14:paraId="55FE17E4" w14:textId="4922EC02">
            <w:r>
              <w:t>2</w:t>
            </w:r>
          </w:p>
        </w:tc>
        <w:tc>
          <w:tcPr>
            <w:tcW w:w="1679" w:type="dxa"/>
          </w:tcPr>
          <w:p w:rsidR="004A13E8" w:rsidP="000A727C" w14:paraId="55FE17E5" w14:textId="6B815EA9">
            <w:r>
              <w:t>5/60</w:t>
            </w:r>
          </w:p>
        </w:tc>
        <w:tc>
          <w:tcPr>
            <w:tcW w:w="1679" w:type="dxa"/>
          </w:tcPr>
          <w:p w:rsidR="004A13E8" w:rsidP="000A727C" w14:paraId="55FE17E6" w14:textId="79F5FB7D">
            <w:r>
              <w:t>100</w:t>
            </w:r>
          </w:p>
        </w:tc>
      </w:tr>
      <w:tr w14:paraId="01204B8D" w14:textId="77777777" w:rsidTr="000A727C">
        <w:tblPrEx>
          <w:tblW w:w="0" w:type="auto"/>
          <w:tblLook w:val="04A0"/>
        </w:tblPrEx>
        <w:tc>
          <w:tcPr>
            <w:tcW w:w="1678" w:type="dxa"/>
          </w:tcPr>
          <w:p w:rsidR="007D74FA" w:rsidP="000A727C" w14:paraId="3FEBD80F" w14:textId="2721D5B6">
            <w:r>
              <w:t>Public Health Trainees</w:t>
            </w:r>
          </w:p>
        </w:tc>
        <w:tc>
          <w:tcPr>
            <w:tcW w:w="1678" w:type="dxa"/>
          </w:tcPr>
          <w:p w:rsidR="007D74FA" w:rsidP="000A727C" w14:paraId="55CC92DC" w14:textId="61274D42">
            <w:r>
              <w:t>Pre-Test</w:t>
            </w:r>
          </w:p>
        </w:tc>
        <w:tc>
          <w:tcPr>
            <w:tcW w:w="1678" w:type="dxa"/>
          </w:tcPr>
          <w:p w:rsidR="007D74FA" w:rsidP="000A727C" w14:paraId="242AF2D7" w14:textId="53147698">
            <w:r>
              <w:t>600</w:t>
            </w:r>
          </w:p>
        </w:tc>
        <w:tc>
          <w:tcPr>
            <w:tcW w:w="1678" w:type="dxa"/>
          </w:tcPr>
          <w:p w:rsidR="007D74FA" w:rsidP="000A727C" w14:paraId="1EB2F1AF" w14:textId="531690D1">
            <w:r>
              <w:t>2</w:t>
            </w:r>
          </w:p>
        </w:tc>
        <w:tc>
          <w:tcPr>
            <w:tcW w:w="1679" w:type="dxa"/>
          </w:tcPr>
          <w:p w:rsidR="007D74FA" w:rsidP="000A727C" w14:paraId="51EE764E" w14:textId="77187565">
            <w:r>
              <w:t>5/60</w:t>
            </w:r>
          </w:p>
        </w:tc>
        <w:tc>
          <w:tcPr>
            <w:tcW w:w="1679" w:type="dxa"/>
          </w:tcPr>
          <w:p w:rsidR="007D74FA" w:rsidP="000A727C" w14:paraId="443D5CDC" w14:textId="0804314A">
            <w:r>
              <w:t>100</w:t>
            </w:r>
          </w:p>
        </w:tc>
      </w:tr>
      <w:tr w14:paraId="1068EBE6" w14:textId="77777777" w:rsidTr="000A727C">
        <w:tblPrEx>
          <w:tblW w:w="0" w:type="auto"/>
          <w:tblLook w:val="04A0"/>
        </w:tblPrEx>
        <w:tc>
          <w:tcPr>
            <w:tcW w:w="1678" w:type="dxa"/>
          </w:tcPr>
          <w:p w:rsidR="007D74FA" w:rsidP="000A727C" w14:paraId="49BC0A7E" w14:textId="58106FF2">
            <w:r>
              <w:t>Public Health Trainees</w:t>
            </w:r>
          </w:p>
        </w:tc>
        <w:tc>
          <w:tcPr>
            <w:tcW w:w="1678" w:type="dxa"/>
          </w:tcPr>
          <w:p w:rsidR="007D74FA" w:rsidP="000A727C" w14:paraId="4DEB506D" w14:textId="0787FE29">
            <w:r w:rsidRPr="004667E1">
              <w:rPr>
                <w:rFonts w:ascii="Arial Nova" w:hAnsi="Arial Nova" w:cstheme="minorHAnsi"/>
                <w:color w:val="000000" w:themeColor="text1"/>
                <w:sz w:val="22"/>
              </w:rPr>
              <w:t>P</w:t>
            </w:r>
            <w:r>
              <w:rPr>
                <w:rFonts w:ascii="Arial Nova" w:hAnsi="Arial Nova" w:cstheme="minorHAnsi"/>
                <w:color w:val="000000" w:themeColor="text1"/>
                <w:sz w:val="22"/>
              </w:rPr>
              <w:t>ost</w:t>
            </w:r>
            <w:r w:rsidRPr="004667E1">
              <w:rPr>
                <w:rFonts w:ascii="Arial Nova" w:hAnsi="Arial Nova" w:cstheme="minorHAnsi"/>
                <w:color w:val="000000" w:themeColor="text1"/>
                <w:sz w:val="22"/>
              </w:rPr>
              <w:t>-Assessment</w:t>
            </w:r>
          </w:p>
        </w:tc>
        <w:tc>
          <w:tcPr>
            <w:tcW w:w="1678" w:type="dxa"/>
          </w:tcPr>
          <w:p w:rsidR="007D74FA" w:rsidP="000A727C" w14:paraId="57793878" w14:textId="5D103719">
            <w:r>
              <w:t>600</w:t>
            </w:r>
          </w:p>
        </w:tc>
        <w:tc>
          <w:tcPr>
            <w:tcW w:w="1678" w:type="dxa"/>
          </w:tcPr>
          <w:p w:rsidR="007D74FA" w:rsidP="000A727C" w14:paraId="60782963" w14:textId="521E9C89">
            <w:r>
              <w:t>2</w:t>
            </w:r>
          </w:p>
        </w:tc>
        <w:tc>
          <w:tcPr>
            <w:tcW w:w="1679" w:type="dxa"/>
          </w:tcPr>
          <w:p w:rsidR="007D74FA" w:rsidP="000A727C" w14:paraId="7CD893FA" w14:textId="068FC5CF">
            <w:r>
              <w:t>5/60</w:t>
            </w:r>
          </w:p>
        </w:tc>
        <w:tc>
          <w:tcPr>
            <w:tcW w:w="1679" w:type="dxa"/>
          </w:tcPr>
          <w:p w:rsidR="007D74FA" w:rsidP="000A727C" w14:paraId="1BB1D5EF" w14:textId="0022D1ED">
            <w:r>
              <w:t>100</w:t>
            </w:r>
          </w:p>
        </w:tc>
      </w:tr>
      <w:tr w14:paraId="222FC650" w14:textId="77777777" w:rsidTr="000A727C">
        <w:tblPrEx>
          <w:tblW w:w="0" w:type="auto"/>
          <w:tblLook w:val="04A0"/>
        </w:tblPrEx>
        <w:tc>
          <w:tcPr>
            <w:tcW w:w="1678" w:type="dxa"/>
          </w:tcPr>
          <w:p w:rsidR="007D74FA" w:rsidP="000A727C" w14:paraId="6A896CB5" w14:textId="3C266A2F">
            <w:r w:rsidRPr="004667E1">
              <w:rPr>
                <w:rFonts w:ascii="Arial Nova" w:hAnsi="Arial Nova" w:cstheme="minorHAnsi"/>
                <w:color w:val="000000" w:themeColor="text1"/>
                <w:sz w:val="22"/>
              </w:rPr>
              <w:t>HAI/AR Program Leads</w:t>
            </w:r>
          </w:p>
        </w:tc>
        <w:tc>
          <w:tcPr>
            <w:tcW w:w="1678" w:type="dxa"/>
          </w:tcPr>
          <w:p w:rsidR="007D74FA" w:rsidP="000A727C" w14:paraId="351C4B8C" w14:textId="2ECC9460">
            <w:bookmarkStart w:id="16" w:name="_Hlk136608414"/>
            <w:r w:rsidRPr="004667E1">
              <w:rPr>
                <w:rFonts w:ascii="Arial Nova" w:hAnsi="Arial Nova" w:cstheme="minorHAnsi"/>
                <w:color w:val="000000" w:themeColor="text1"/>
                <w:sz w:val="22"/>
              </w:rPr>
              <w:t>Public Health program impact of trainings</w:t>
            </w:r>
            <w:bookmarkEnd w:id="16"/>
          </w:p>
        </w:tc>
        <w:tc>
          <w:tcPr>
            <w:tcW w:w="1678" w:type="dxa"/>
          </w:tcPr>
          <w:p w:rsidR="007D74FA" w:rsidP="000A727C" w14:paraId="198B1400" w14:textId="6E0D0E46">
            <w:r>
              <w:t>64</w:t>
            </w:r>
          </w:p>
        </w:tc>
        <w:tc>
          <w:tcPr>
            <w:tcW w:w="1678" w:type="dxa"/>
          </w:tcPr>
          <w:p w:rsidR="007D74FA" w:rsidP="000A727C" w14:paraId="078B0B30" w14:textId="05E98D6B">
            <w:r>
              <w:t>1</w:t>
            </w:r>
          </w:p>
        </w:tc>
        <w:tc>
          <w:tcPr>
            <w:tcW w:w="1679" w:type="dxa"/>
          </w:tcPr>
          <w:p w:rsidR="007D74FA" w:rsidP="000A727C" w14:paraId="7C38D2FA" w14:textId="3C889C66">
            <w:r>
              <w:t>15/60</w:t>
            </w:r>
          </w:p>
        </w:tc>
        <w:tc>
          <w:tcPr>
            <w:tcW w:w="1679" w:type="dxa"/>
          </w:tcPr>
          <w:p w:rsidR="007D74FA" w:rsidP="000A727C" w14:paraId="2B02B6E9" w14:textId="68213604">
            <w:r>
              <w:t>16</w:t>
            </w:r>
          </w:p>
        </w:tc>
      </w:tr>
      <w:tr w14:paraId="55FE17EB" w14:textId="77777777" w:rsidTr="000A727C">
        <w:tblPrEx>
          <w:tblW w:w="0" w:type="auto"/>
          <w:tblLook w:val="04A0"/>
        </w:tblPrEx>
        <w:tc>
          <w:tcPr>
            <w:tcW w:w="1678" w:type="dxa"/>
          </w:tcPr>
          <w:p w:rsidR="004A13E8" w:rsidRPr="00131328" w:rsidP="000A727C" w14:paraId="55FE17E8" w14:textId="77777777">
            <w:pPr>
              <w:rPr>
                <w:b/>
              </w:rPr>
            </w:pPr>
            <w:r>
              <w:rPr>
                <w:b/>
              </w:rPr>
              <w:t>Total</w:t>
            </w:r>
          </w:p>
        </w:tc>
        <w:tc>
          <w:tcPr>
            <w:tcW w:w="6713" w:type="dxa"/>
            <w:gridSpan w:val="4"/>
          </w:tcPr>
          <w:p w:rsidR="004A13E8" w:rsidP="000A727C" w14:paraId="55FE17E9" w14:textId="77777777"/>
        </w:tc>
        <w:tc>
          <w:tcPr>
            <w:tcW w:w="1679" w:type="dxa"/>
          </w:tcPr>
          <w:p w:rsidR="004A13E8" w:rsidP="000A727C" w14:paraId="55FE17EA" w14:textId="5251DCC6">
            <w:r>
              <w:t>316</w:t>
            </w:r>
          </w:p>
        </w:tc>
      </w:tr>
    </w:tbl>
    <w:p w:rsidR="00C553B7" w:rsidP="004A13E8" w14:paraId="505C920E" w14:textId="20E63586">
      <w:pPr>
        <w:spacing w:before="240"/>
      </w:pPr>
      <w:r w:rsidRPr="00B91A6E">
        <w:t>B.</w:t>
      </w:r>
      <w:r w:rsidRPr="00B91A6E">
        <w:t xml:space="preserve"> Estimated Annualized Burden Costs</w:t>
      </w:r>
      <w:r w:rsidR="009B0947">
        <w:t xml:space="preserve"> </w:t>
      </w:r>
    </w:p>
    <w:p w:rsidR="004A13E8" w:rsidP="004A13E8" w14:paraId="55FE17EC" w14:textId="372F31DD">
      <w:pPr>
        <w:spacing w:before="240"/>
      </w:pPr>
      <w:r>
        <w:t>The cost to respondents was calculated using the May 2022 National Occupational Employment and Wages Estimates United States data from the Bureau of Labor Stat</w:t>
      </w:r>
      <w:r w:rsidR="004638E2">
        <w:t xml:space="preserve">istics </w:t>
      </w:r>
      <w:r w:rsidRPr="004638E2" w:rsidR="004638E2">
        <w:t>(</w:t>
      </w:r>
      <w:hyperlink r:id="rId11" w:history="1">
        <w:hyperlink r:id="rId11" w:history="1">
          <w:r w:rsidRPr="00417CAF" w:rsidR="004638E2">
            <w:rPr>
              <w:rStyle w:val="Hyperlink"/>
            </w:rPr>
            <w:t>Department of Labor website</w:t>
          </w:r>
        </w:hyperlink>
      </w:hyperlink>
      <w:r w:rsidRPr="004638E2" w:rsidR="004638E2">
        <w:t>).</w:t>
      </w:r>
      <w:r w:rsidR="006E0CD6">
        <w:t xml:space="preserve"> </w:t>
      </w:r>
      <w:r w:rsidR="00BD716E">
        <w:t>The Epidemiology, Industry state Government hourly mean wage of $35.89 per hour was used.</w:t>
      </w:r>
      <w:r w:rsidR="00417CAF">
        <w:t xml:space="preserve"> The total </w:t>
      </w:r>
      <w:r w:rsidR="006E0CD6">
        <w:t xml:space="preserve">estimated respondent cost is $11,341.25. Detailed cost calculations are below. </w:t>
      </w:r>
    </w:p>
    <w:tbl>
      <w:tblPr>
        <w:tblStyle w:val="TableGrid"/>
        <w:tblpPr w:leftFromText="180" w:rightFromText="180" w:vertAnchor="text" w:tblpY="1"/>
        <w:tblOverlap w:val="never"/>
        <w:tblW w:w="10075" w:type="dxa"/>
        <w:tblLook w:val="04A0"/>
      </w:tblPr>
      <w:tblGrid>
        <w:gridCol w:w="2015"/>
        <w:gridCol w:w="2015"/>
        <w:gridCol w:w="2015"/>
        <w:gridCol w:w="2015"/>
        <w:gridCol w:w="2015"/>
      </w:tblGrid>
      <w:tr w14:paraId="55FE17F2" w14:textId="77777777" w:rsidTr="00DD6428">
        <w:tblPrEx>
          <w:tblW w:w="10075" w:type="dxa"/>
          <w:tblLook w:val="04A0"/>
        </w:tblPrEx>
        <w:tc>
          <w:tcPr>
            <w:tcW w:w="2015" w:type="dxa"/>
          </w:tcPr>
          <w:p w:rsidR="004A13E8" w:rsidP="00DD6428" w14:paraId="55FE17ED" w14:textId="77777777">
            <w:r>
              <w:t>Type of Respondent</w:t>
            </w:r>
          </w:p>
        </w:tc>
        <w:tc>
          <w:tcPr>
            <w:tcW w:w="2015" w:type="dxa"/>
          </w:tcPr>
          <w:p w:rsidR="004A13E8" w:rsidP="00DD6428" w14:paraId="55FE17EE" w14:textId="77777777">
            <w:r>
              <w:t>Form Name</w:t>
            </w:r>
          </w:p>
        </w:tc>
        <w:tc>
          <w:tcPr>
            <w:tcW w:w="2015" w:type="dxa"/>
          </w:tcPr>
          <w:p w:rsidR="004A13E8" w:rsidP="00DD6428" w14:paraId="55FE17EF" w14:textId="77777777">
            <w:r>
              <w:t>Total Burden Hours</w:t>
            </w:r>
          </w:p>
        </w:tc>
        <w:tc>
          <w:tcPr>
            <w:tcW w:w="2015" w:type="dxa"/>
          </w:tcPr>
          <w:p w:rsidR="004A13E8" w:rsidP="00DD6428" w14:paraId="55FE17F0" w14:textId="77777777">
            <w:r>
              <w:t>Hourly Wage Rate</w:t>
            </w:r>
          </w:p>
        </w:tc>
        <w:tc>
          <w:tcPr>
            <w:tcW w:w="2015" w:type="dxa"/>
          </w:tcPr>
          <w:p w:rsidR="004A13E8" w:rsidP="00DD6428" w14:paraId="55FE17F1" w14:textId="77777777">
            <w:r>
              <w:t>Total Respondent Costs</w:t>
            </w:r>
          </w:p>
        </w:tc>
      </w:tr>
      <w:tr w14:paraId="55FE17F8" w14:textId="77777777" w:rsidTr="00DD6428">
        <w:tblPrEx>
          <w:tblW w:w="10075" w:type="dxa"/>
          <w:tblLook w:val="04A0"/>
        </w:tblPrEx>
        <w:tc>
          <w:tcPr>
            <w:tcW w:w="2015" w:type="dxa"/>
          </w:tcPr>
          <w:p w:rsidR="004A13E8" w:rsidP="00DD6428" w14:paraId="55FE17F3" w14:textId="39260103">
            <w:r>
              <w:t>Public Health Trainees</w:t>
            </w:r>
          </w:p>
        </w:tc>
        <w:tc>
          <w:tcPr>
            <w:tcW w:w="2015" w:type="dxa"/>
          </w:tcPr>
          <w:p w:rsidR="004A13E8" w:rsidP="00DD6428" w14:paraId="55FE17F4" w14:textId="7F979394">
            <w:r>
              <w:t>Registration</w:t>
            </w:r>
          </w:p>
        </w:tc>
        <w:tc>
          <w:tcPr>
            <w:tcW w:w="2015" w:type="dxa"/>
          </w:tcPr>
          <w:p w:rsidR="004A13E8" w:rsidP="00DD6428" w14:paraId="55FE17F5" w14:textId="1C4F4512">
            <w:r>
              <w:t>100</w:t>
            </w:r>
          </w:p>
        </w:tc>
        <w:tc>
          <w:tcPr>
            <w:tcW w:w="2015" w:type="dxa"/>
          </w:tcPr>
          <w:p w:rsidR="004A13E8" w:rsidP="00DD6428" w14:paraId="55FE17F6" w14:textId="233452A8">
            <w:r>
              <w:t>$35.89</w:t>
            </w:r>
          </w:p>
        </w:tc>
        <w:tc>
          <w:tcPr>
            <w:tcW w:w="2015" w:type="dxa"/>
          </w:tcPr>
          <w:p w:rsidR="004A13E8" w:rsidP="00DD6428" w14:paraId="55FE17F7" w14:textId="4E3B12E3">
            <w:r>
              <w:t>$</w:t>
            </w:r>
            <w:r w:rsidR="00AA4CAF">
              <w:t>3,589.00</w:t>
            </w:r>
          </w:p>
        </w:tc>
      </w:tr>
      <w:tr w14:paraId="25DFDB3E" w14:textId="77777777" w:rsidTr="00DD6428">
        <w:tblPrEx>
          <w:tblW w:w="10075" w:type="dxa"/>
          <w:tblLook w:val="04A0"/>
        </w:tblPrEx>
        <w:tc>
          <w:tcPr>
            <w:tcW w:w="2015" w:type="dxa"/>
          </w:tcPr>
          <w:p w:rsidR="00AA4CAF" w:rsidP="00DD6428" w14:paraId="1E5A2B0A" w14:textId="4CC34A04">
            <w:r>
              <w:t>Public Health Trainees</w:t>
            </w:r>
          </w:p>
        </w:tc>
        <w:tc>
          <w:tcPr>
            <w:tcW w:w="2015" w:type="dxa"/>
          </w:tcPr>
          <w:p w:rsidR="00AA4CAF" w:rsidP="00DD6428" w14:paraId="0431DF73" w14:textId="7FABAAAE">
            <w:r>
              <w:t>Pre-Test</w:t>
            </w:r>
          </w:p>
        </w:tc>
        <w:tc>
          <w:tcPr>
            <w:tcW w:w="2015" w:type="dxa"/>
          </w:tcPr>
          <w:p w:rsidR="00AA4CAF" w:rsidP="00DD6428" w14:paraId="0855F6D4" w14:textId="76379702">
            <w:r>
              <w:t>100</w:t>
            </w:r>
          </w:p>
        </w:tc>
        <w:tc>
          <w:tcPr>
            <w:tcW w:w="2015" w:type="dxa"/>
          </w:tcPr>
          <w:p w:rsidR="00AA4CAF" w:rsidP="00DD6428" w14:paraId="64EAD165" w14:textId="602E30FC">
            <w:r>
              <w:t>$35.89</w:t>
            </w:r>
          </w:p>
        </w:tc>
        <w:tc>
          <w:tcPr>
            <w:tcW w:w="2015" w:type="dxa"/>
          </w:tcPr>
          <w:p w:rsidR="00AA4CAF" w:rsidP="00DD6428" w14:paraId="1F6FFA3E" w14:textId="671A0F7B">
            <w:r>
              <w:t>$3,589.00</w:t>
            </w:r>
          </w:p>
        </w:tc>
      </w:tr>
      <w:tr w14:paraId="1A8063E3" w14:textId="77777777" w:rsidTr="00DD6428">
        <w:tblPrEx>
          <w:tblW w:w="10075" w:type="dxa"/>
          <w:tblLook w:val="04A0"/>
        </w:tblPrEx>
        <w:tc>
          <w:tcPr>
            <w:tcW w:w="2015" w:type="dxa"/>
          </w:tcPr>
          <w:p w:rsidR="00AA4CAF" w:rsidP="00DD6428" w14:paraId="02B0B3FE" w14:textId="227A4D44">
            <w:r>
              <w:t>Public Health Trainees</w:t>
            </w:r>
          </w:p>
        </w:tc>
        <w:tc>
          <w:tcPr>
            <w:tcW w:w="2015" w:type="dxa"/>
          </w:tcPr>
          <w:p w:rsidR="00AA4CAF" w:rsidP="00DD6428" w14:paraId="4FF5D8C3" w14:textId="50526FB4">
            <w:r w:rsidRPr="004667E1">
              <w:rPr>
                <w:rFonts w:ascii="Arial Nova" w:hAnsi="Arial Nova" w:cstheme="minorHAnsi"/>
                <w:color w:val="000000" w:themeColor="text1"/>
                <w:sz w:val="22"/>
              </w:rPr>
              <w:t>P</w:t>
            </w:r>
            <w:r>
              <w:rPr>
                <w:rFonts w:ascii="Arial Nova" w:hAnsi="Arial Nova" w:cstheme="minorHAnsi"/>
                <w:color w:val="000000" w:themeColor="text1"/>
                <w:sz w:val="22"/>
              </w:rPr>
              <w:t>ost</w:t>
            </w:r>
            <w:r w:rsidRPr="004667E1">
              <w:rPr>
                <w:rFonts w:ascii="Arial Nova" w:hAnsi="Arial Nova" w:cstheme="minorHAnsi"/>
                <w:color w:val="000000" w:themeColor="text1"/>
                <w:sz w:val="22"/>
              </w:rPr>
              <w:t>-Assessment</w:t>
            </w:r>
          </w:p>
        </w:tc>
        <w:tc>
          <w:tcPr>
            <w:tcW w:w="2015" w:type="dxa"/>
          </w:tcPr>
          <w:p w:rsidR="00AA4CAF" w:rsidP="00DD6428" w14:paraId="2589813E" w14:textId="0D4C3B7C">
            <w:r>
              <w:t>100</w:t>
            </w:r>
          </w:p>
        </w:tc>
        <w:tc>
          <w:tcPr>
            <w:tcW w:w="2015" w:type="dxa"/>
          </w:tcPr>
          <w:p w:rsidR="00AA4CAF" w:rsidP="00DD6428" w14:paraId="272FEE2F" w14:textId="0EAF3711">
            <w:r>
              <w:t>$35.89</w:t>
            </w:r>
          </w:p>
        </w:tc>
        <w:tc>
          <w:tcPr>
            <w:tcW w:w="2015" w:type="dxa"/>
          </w:tcPr>
          <w:p w:rsidR="00AA4CAF" w:rsidP="00DD6428" w14:paraId="74D13F90" w14:textId="72E031A8">
            <w:r>
              <w:t>$3,589.00</w:t>
            </w:r>
          </w:p>
        </w:tc>
      </w:tr>
      <w:tr w14:paraId="2716745C" w14:textId="77777777" w:rsidTr="00DD6428">
        <w:tblPrEx>
          <w:tblW w:w="10075" w:type="dxa"/>
          <w:tblLook w:val="04A0"/>
        </w:tblPrEx>
        <w:tc>
          <w:tcPr>
            <w:tcW w:w="2015" w:type="dxa"/>
          </w:tcPr>
          <w:p w:rsidR="007A08DA" w:rsidP="00DD6428" w14:paraId="3C3D4E51" w14:textId="1158315E">
            <w:r w:rsidRPr="004667E1">
              <w:rPr>
                <w:rFonts w:ascii="Arial Nova" w:hAnsi="Arial Nova" w:cstheme="minorHAnsi"/>
                <w:color w:val="000000" w:themeColor="text1"/>
                <w:sz w:val="22"/>
              </w:rPr>
              <w:t>HAI/AR Program Leads</w:t>
            </w:r>
          </w:p>
        </w:tc>
        <w:tc>
          <w:tcPr>
            <w:tcW w:w="2015" w:type="dxa"/>
          </w:tcPr>
          <w:p w:rsidR="007A08DA" w:rsidP="00DD6428" w14:paraId="16F25178" w14:textId="427E3C22">
            <w:r w:rsidRPr="004667E1">
              <w:rPr>
                <w:rFonts w:ascii="Arial Nova" w:hAnsi="Arial Nova" w:cstheme="minorHAnsi"/>
                <w:color w:val="000000" w:themeColor="text1"/>
                <w:sz w:val="22"/>
              </w:rPr>
              <w:t>Public Health program impact of trainings</w:t>
            </w:r>
          </w:p>
        </w:tc>
        <w:tc>
          <w:tcPr>
            <w:tcW w:w="2015" w:type="dxa"/>
          </w:tcPr>
          <w:p w:rsidR="007A08DA" w:rsidP="00DD6428" w14:paraId="692C2C7A" w14:textId="60D0686D">
            <w:r>
              <w:t>16</w:t>
            </w:r>
          </w:p>
        </w:tc>
        <w:tc>
          <w:tcPr>
            <w:tcW w:w="2015" w:type="dxa"/>
          </w:tcPr>
          <w:p w:rsidR="007A08DA" w:rsidP="00DD6428" w14:paraId="5EB333E3" w14:textId="42138A54">
            <w:r>
              <w:t>$35.89</w:t>
            </w:r>
          </w:p>
        </w:tc>
        <w:tc>
          <w:tcPr>
            <w:tcW w:w="2015" w:type="dxa"/>
          </w:tcPr>
          <w:p w:rsidR="007A08DA" w:rsidP="00DD6428" w14:paraId="1BDA7710" w14:textId="744059CC">
            <w:r>
              <w:t>$</w:t>
            </w:r>
            <w:r w:rsidR="00002231">
              <w:t>574.24</w:t>
            </w:r>
          </w:p>
        </w:tc>
      </w:tr>
      <w:tr w14:paraId="55FE17FC" w14:textId="77777777" w:rsidTr="00DD6428">
        <w:tblPrEx>
          <w:tblW w:w="10075" w:type="dxa"/>
          <w:tblLook w:val="04A0"/>
        </w:tblPrEx>
        <w:tc>
          <w:tcPr>
            <w:tcW w:w="2015" w:type="dxa"/>
          </w:tcPr>
          <w:p w:rsidR="007A08DA" w:rsidRPr="00DC08D0" w:rsidP="00DD6428" w14:paraId="55FE17F9" w14:textId="77777777">
            <w:pPr>
              <w:rPr>
                <w:b/>
              </w:rPr>
            </w:pPr>
            <w:r>
              <w:rPr>
                <w:b/>
              </w:rPr>
              <w:t>Total</w:t>
            </w:r>
          </w:p>
        </w:tc>
        <w:tc>
          <w:tcPr>
            <w:tcW w:w="6045" w:type="dxa"/>
            <w:gridSpan w:val="3"/>
          </w:tcPr>
          <w:p w:rsidR="007A08DA" w:rsidP="00DD6428" w14:paraId="55FE17FA" w14:textId="77777777"/>
        </w:tc>
        <w:tc>
          <w:tcPr>
            <w:tcW w:w="2015" w:type="dxa"/>
          </w:tcPr>
          <w:p w:rsidR="007A08DA" w:rsidP="00DD6428" w14:paraId="55FE17FB" w14:textId="3E80BC4C">
            <w:r>
              <w:t>$</w:t>
            </w:r>
            <w:r w:rsidR="00EA001B">
              <w:t>11,341</w:t>
            </w:r>
            <w:r>
              <w:t>.24</w:t>
            </w:r>
          </w:p>
        </w:tc>
      </w:tr>
    </w:tbl>
    <w:p w:rsidR="004A13E8" w:rsidRPr="000A727C" w:rsidP="0025156B" w14:paraId="55FE17FE" w14:textId="5F8244A0">
      <w:pPr>
        <w:pStyle w:val="Heading1"/>
        <w:spacing w:before="240"/>
      </w:pPr>
      <w:bookmarkStart w:id="17" w:name="_Toc473880029"/>
      <w:r w:rsidRPr="000A727C">
        <w:t>Estimates of Other Total Annual Cost Burden to Respondents or Record Keepers</w:t>
      </w:r>
      <w:bookmarkEnd w:id="17"/>
    </w:p>
    <w:p w:rsidR="004A13E8" w:rsidRPr="000D4AF8" w:rsidP="004A13E8" w14:paraId="55FE1800" w14:textId="4B83D34D">
      <w:r w:rsidRPr="000D4AF8">
        <w:t>There are no costs to respondents other than their time to participate.</w:t>
      </w:r>
    </w:p>
    <w:p w:rsidR="004A13E8" w:rsidRPr="000D4AF8" w:rsidP="004A13E8" w14:paraId="55FE1801" w14:textId="77777777">
      <w:pPr>
        <w:pStyle w:val="Heading1"/>
      </w:pPr>
      <w:bookmarkStart w:id="18" w:name="_Toc473880030"/>
      <w:r w:rsidRPr="000D4AF8">
        <w:t>Annualized Cost to the Government</w:t>
      </w:r>
      <w:bookmarkEnd w:id="18"/>
    </w:p>
    <w:p w:rsidR="00FE0398" w:rsidP="00FE0398" w14:paraId="55FE1803" w14:textId="3ADB5A21">
      <w:r>
        <w:t xml:space="preserve">These evaluations are part of CDC staffs’ </w:t>
      </w:r>
      <w:r w:rsidR="00BA383B">
        <w:t xml:space="preserve">duty assignments. All evaluations are conducting electronically using software packages that are already available to CDC. </w:t>
      </w:r>
    </w:p>
    <w:tbl>
      <w:tblPr>
        <w:tblStyle w:val="TableGrid"/>
        <w:tblW w:w="0" w:type="auto"/>
        <w:tblLook w:val="04A0"/>
      </w:tblPr>
      <w:tblGrid>
        <w:gridCol w:w="2320"/>
        <w:gridCol w:w="1185"/>
        <w:gridCol w:w="1800"/>
        <w:gridCol w:w="4765"/>
      </w:tblGrid>
      <w:tr w14:paraId="55FE1805" w14:textId="77777777" w:rsidTr="008553A4">
        <w:tblPrEx>
          <w:tblW w:w="0" w:type="auto"/>
          <w:tblLook w:val="04A0"/>
        </w:tblPrEx>
        <w:tc>
          <w:tcPr>
            <w:tcW w:w="10070" w:type="dxa"/>
            <w:gridSpan w:val="4"/>
          </w:tcPr>
          <w:p w:rsidR="00AD0A61" w:rsidP="00FE0398" w14:paraId="55FE1804" w14:textId="7EC5A6A6">
            <w:pPr>
              <w:jc w:val="center"/>
            </w:pPr>
            <w:r>
              <w:t>Estimated Annualized Cost to the Government per Activity</w:t>
            </w:r>
          </w:p>
        </w:tc>
      </w:tr>
      <w:tr w14:paraId="55FE1808" w14:textId="77777777" w:rsidTr="00AD0A61">
        <w:tblPrEx>
          <w:tblW w:w="0" w:type="auto"/>
          <w:tblLook w:val="04A0"/>
        </w:tblPrEx>
        <w:tc>
          <w:tcPr>
            <w:tcW w:w="2320" w:type="dxa"/>
          </w:tcPr>
          <w:p w:rsidR="00AD0A61" w:rsidP="00FE0398" w14:paraId="55FE1806" w14:textId="77777777">
            <w:r>
              <w:t>Cost Category</w:t>
            </w:r>
          </w:p>
        </w:tc>
        <w:tc>
          <w:tcPr>
            <w:tcW w:w="1185" w:type="dxa"/>
          </w:tcPr>
          <w:p w:rsidR="00AD0A61" w:rsidP="00FE0398" w14:paraId="330E68A1" w14:textId="4118CB91">
            <w:r>
              <w:t>% Time</w:t>
            </w:r>
          </w:p>
        </w:tc>
        <w:tc>
          <w:tcPr>
            <w:tcW w:w="1800" w:type="dxa"/>
          </w:tcPr>
          <w:p w:rsidR="00AD0A61" w:rsidP="00FE0398" w14:paraId="77BC2B70" w14:textId="5DA185B3">
            <w:r>
              <w:t>Annual Salary</w:t>
            </w:r>
          </w:p>
        </w:tc>
        <w:tc>
          <w:tcPr>
            <w:tcW w:w="4765" w:type="dxa"/>
          </w:tcPr>
          <w:p w:rsidR="00AD0A61" w:rsidP="00FE0398" w14:paraId="55FE1807" w14:textId="6D412883">
            <w:r>
              <w:t>Estimated Annualized Cost</w:t>
            </w:r>
          </w:p>
        </w:tc>
      </w:tr>
      <w:tr w14:paraId="55FE180B" w14:textId="77777777" w:rsidTr="00AD0A61">
        <w:tblPrEx>
          <w:tblW w:w="0" w:type="auto"/>
          <w:tblLook w:val="04A0"/>
        </w:tblPrEx>
        <w:tc>
          <w:tcPr>
            <w:tcW w:w="2320" w:type="dxa"/>
          </w:tcPr>
          <w:p w:rsidR="00AD0A61" w:rsidP="00FE0398" w14:paraId="55FE1809" w14:textId="5AD7172C">
            <w:r>
              <w:t xml:space="preserve">1 CDC Staff GS-12 </w:t>
            </w:r>
          </w:p>
        </w:tc>
        <w:tc>
          <w:tcPr>
            <w:tcW w:w="1185" w:type="dxa"/>
          </w:tcPr>
          <w:p w:rsidR="00AD0A61" w:rsidP="00FE0398" w14:paraId="46657A8F" w14:textId="1D235DB6">
            <w:r>
              <w:t>10</w:t>
            </w:r>
          </w:p>
        </w:tc>
        <w:tc>
          <w:tcPr>
            <w:tcW w:w="1800" w:type="dxa"/>
          </w:tcPr>
          <w:p w:rsidR="00AD0A61" w:rsidP="00FE0398" w14:paraId="62F135CD" w14:textId="0126F954">
            <w:r>
              <w:t>$71,000</w:t>
            </w:r>
          </w:p>
        </w:tc>
        <w:tc>
          <w:tcPr>
            <w:tcW w:w="4765" w:type="dxa"/>
          </w:tcPr>
          <w:p w:rsidR="00AD0A61" w:rsidP="00FE0398" w14:paraId="55FE180A" w14:textId="66AC5CBA">
            <w:r>
              <w:t>Cost to Government = $7,100</w:t>
            </w:r>
          </w:p>
        </w:tc>
      </w:tr>
      <w:tr w14:paraId="55FE180E" w14:textId="77777777" w:rsidTr="00AD0A61">
        <w:tblPrEx>
          <w:tblW w:w="0" w:type="auto"/>
          <w:tblLook w:val="04A0"/>
        </w:tblPrEx>
        <w:tc>
          <w:tcPr>
            <w:tcW w:w="2320" w:type="dxa"/>
          </w:tcPr>
          <w:p w:rsidR="00AD0A61" w:rsidP="00FE0398" w14:paraId="55FE180C" w14:textId="4C9D9799">
            <w:r>
              <w:t>1 CDC Staff GS-13</w:t>
            </w:r>
          </w:p>
        </w:tc>
        <w:tc>
          <w:tcPr>
            <w:tcW w:w="1185" w:type="dxa"/>
          </w:tcPr>
          <w:p w:rsidR="00AD0A61" w:rsidP="00FE0398" w14:paraId="41E52334" w14:textId="70023939">
            <w:r>
              <w:t>10</w:t>
            </w:r>
          </w:p>
        </w:tc>
        <w:tc>
          <w:tcPr>
            <w:tcW w:w="1800" w:type="dxa"/>
          </w:tcPr>
          <w:p w:rsidR="00AD0A61" w:rsidP="00FE0398" w14:paraId="400856A4" w14:textId="1D793B89">
            <w:r>
              <w:t>$85,000</w:t>
            </w:r>
          </w:p>
        </w:tc>
        <w:tc>
          <w:tcPr>
            <w:tcW w:w="4765" w:type="dxa"/>
          </w:tcPr>
          <w:p w:rsidR="00AD0A61" w:rsidP="00FE0398" w14:paraId="55FE180D" w14:textId="458078F1">
            <w:r>
              <w:t>Cost to Government = $8,500</w:t>
            </w:r>
          </w:p>
        </w:tc>
      </w:tr>
      <w:tr w14:paraId="3CD4E721" w14:textId="77777777" w:rsidTr="000D3F0C">
        <w:tblPrEx>
          <w:tblW w:w="0" w:type="auto"/>
          <w:tblLook w:val="04A0"/>
        </w:tblPrEx>
        <w:tc>
          <w:tcPr>
            <w:tcW w:w="10070" w:type="dxa"/>
            <w:gridSpan w:val="4"/>
          </w:tcPr>
          <w:p w:rsidR="00AD0A61" w:rsidP="00FE0398" w14:paraId="2B782FF7" w14:textId="4AE2A87A">
            <w:r>
              <w:t>Total Estimated annualized cost to the Government = $15,600</w:t>
            </w:r>
          </w:p>
        </w:tc>
      </w:tr>
    </w:tbl>
    <w:p w:rsidR="004A13E8" w:rsidP="0025156B" w14:paraId="55FE1810" w14:textId="77777777">
      <w:pPr>
        <w:pStyle w:val="Heading1"/>
        <w:spacing w:before="240"/>
      </w:pPr>
      <w:bookmarkStart w:id="19" w:name="_Toc473880031"/>
      <w:r>
        <w:t>Explanation for Program Changes or Adjustments</w:t>
      </w:r>
      <w:bookmarkEnd w:id="19"/>
    </w:p>
    <w:p w:rsidR="008951D2" w:rsidRPr="00E8091C" w:rsidP="008951D2" w14:paraId="6E261247" w14:textId="77777777">
      <w:pPr>
        <w:rPr>
          <w:rFonts w:cs="Times New Roman"/>
        </w:rPr>
      </w:pPr>
      <w:r w:rsidRPr="00E8091C">
        <w:rPr>
          <w:rFonts w:cs="Times New Roman"/>
        </w:rPr>
        <w:t xml:space="preserve">This is a new request. Previously, the training evaluations were approved under the COVID-19 Public Health Emergency waiver.    </w:t>
      </w:r>
    </w:p>
    <w:p w:rsidR="008951D2" w:rsidRPr="008951D2" w:rsidP="008951D2" w14:paraId="720CBFC6" w14:textId="77777777"/>
    <w:p w:rsidR="004A13E8" w:rsidRPr="009C32DC" w:rsidP="004A13E8" w14:paraId="55FE1812" w14:textId="77777777">
      <w:pPr>
        <w:pStyle w:val="Heading1"/>
      </w:pPr>
      <w:bookmarkStart w:id="20" w:name="_Toc473880032"/>
      <w:r w:rsidRPr="009C32DC">
        <w:t>Plans for Tabulation and Publication and Project Time Schedule</w:t>
      </w:r>
      <w:bookmarkEnd w:id="20"/>
    </w:p>
    <w:p w:rsidR="008F1415" w:rsidRPr="008F1415" w:rsidP="008F1415" w14:paraId="55FE1813" w14:textId="69036FF7"/>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P="004A13E8" w14:paraId="55FE1814" w14:textId="77777777">
            <w:pPr>
              <w:jc w:val="center"/>
            </w:pPr>
            <w:r>
              <w:t>Project Time Schedule</w:t>
            </w:r>
          </w:p>
        </w:tc>
      </w:tr>
      <w:tr w14:paraId="55FE1818" w14:textId="77777777" w:rsidTr="004A13E8">
        <w:tblPrEx>
          <w:tblW w:w="0" w:type="auto"/>
          <w:tblLook w:val="04A0"/>
        </w:tblPrEx>
        <w:tc>
          <w:tcPr>
            <w:tcW w:w="5035" w:type="dxa"/>
            <w:vAlign w:val="center"/>
          </w:tcPr>
          <w:p w:rsidR="004A13E8" w:rsidP="004A13E8" w14:paraId="55FE1816" w14:textId="77777777">
            <w:pPr>
              <w:jc w:val="center"/>
            </w:pPr>
            <w:r>
              <w:t>Activity</w:t>
            </w:r>
          </w:p>
        </w:tc>
        <w:tc>
          <w:tcPr>
            <w:tcW w:w="5035" w:type="dxa"/>
            <w:vAlign w:val="center"/>
          </w:tcPr>
          <w:p w:rsidR="004A13E8" w:rsidP="004A13E8" w14:paraId="55FE1817" w14:textId="77777777">
            <w:pPr>
              <w:jc w:val="center"/>
            </w:pPr>
            <w:r>
              <w:t>Time Schedule</w:t>
            </w:r>
          </w:p>
        </w:tc>
      </w:tr>
      <w:tr w14:paraId="55FE181B" w14:textId="77777777" w:rsidTr="004A13E8">
        <w:tblPrEx>
          <w:tblW w:w="0" w:type="auto"/>
          <w:tblLook w:val="04A0"/>
        </w:tblPrEx>
        <w:tc>
          <w:tcPr>
            <w:tcW w:w="5035" w:type="dxa"/>
          </w:tcPr>
          <w:p w:rsidR="004A13E8" w:rsidP="004A13E8" w14:paraId="55FE1819" w14:textId="0973B953">
            <w:r>
              <w:t>Data collected through the training evaluations approved may be used for publication</w:t>
            </w:r>
            <w:r w:rsidR="006B6501">
              <w:t xml:space="preserve">. We estimate that if we publish it will take up to two years post data collection. We are requesting a 3-year </w:t>
            </w:r>
            <w:r w:rsidR="006F0C16">
              <w:t xml:space="preserve">approval, so we estimate any publication will occur by December of 2028. There should be no complex analytical techniques used to analyze data collected. </w:t>
            </w:r>
          </w:p>
        </w:tc>
        <w:tc>
          <w:tcPr>
            <w:tcW w:w="5035" w:type="dxa"/>
          </w:tcPr>
          <w:p w:rsidR="004A13E8" w:rsidP="004A13E8" w14:paraId="55FE181A" w14:textId="4AC88F1D">
            <w:r>
              <w:t>Data Collection Start</w:t>
            </w:r>
            <w:r w:rsidR="0042288E">
              <w:t xml:space="preserve"> to </w:t>
            </w:r>
            <w:r w:rsidR="00603052">
              <w:t>publication</w:t>
            </w:r>
            <w:r>
              <w:t>: December 202</w:t>
            </w:r>
            <w:r w:rsidR="0042288E">
              <w:t>3</w:t>
            </w:r>
            <w:r w:rsidR="00603052">
              <w:t xml:space="preserve"> – December </w:t>
            </w:r>
            <w:r w:rsidR="00576D4A">
              <w:t xml:space="preserve">2028. </w:t>
            </w:r>
          </w:p>
        </w:tc>
      </w:tr>
    </w:tbl>
    <w:p w:rsidR="004A13E8" w:rsidP="0025156B" w14:paraId="55FE1826" w14:textId="77777777">
      <w:pPr>
        <w:pStyle w:val="Heading1"/>
        <w:spacing w:before="240"/>
      </w:pPr>
      <w:bookmarkStart w:id="21" w:name="_Toc473880033"/>
      <w:r>
        <w:t>Reason(s) Display of OMB Expiration Date is Inappropriate</w:t>
      </w:r>
      <w:bookmarkEnd w:id="21"/>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22" w:name="_Toc473880034"/>
      <w:r>
        <w:t>Exceptions to Certification for Paperwork Reduction Act Submissions</w:t>
      </w:r>
      <w:bookmarkEnd w:id="22"/>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3" w:name="_Toc473880035"/>
      <w:r>
        <w:t>Attachments</w:t>
      </w:r>
      <w:bookmarkEnd w:id="23"/>
    </w:p>
    <w:p w:rsidR="00012D1B" w:rsidP="00012D1B" w14:paraId="61106050" w14:textId="77777777">
      <w:pPr>
        <w:pStyle w:val="ListParagraph"/>
        <w:numPr>
          <w:ilvl w:val="0"/>
          <w:numId w:val="3"/>
        </w:numPr>
        <w:ind w:left="360"/>
      </w:pPr>
      <w:r>
        <w:t>Information Collection instrument</w:t>
      </w:r>
    </w:p>
    <w:p w:rsidR="00012D1B" w:rsidP="00012D1B" w14:paraId="4C4BCF8D" w14:textId="77777777">
      <w:pPr>
        <w:pStyle w:val="ListParagraph"/>
        <w:numPr>
          <w:ilvl w:val="1"/>
          <w:numId w:val="3"/>
        </w:numPr>
      </w:pPr>
      <w:r>
        <w:t>Pre-Test</w:t>
      </w:r>
    </w:p>
    <w:p w:rsidR="00012D1B" w:rsidP="00012D1B" w14:paraId="1366430B" w14:textId="77777777">
      <w:pPr>
        <w:pStyle w:val="ListParagraph"/>
        <w:numPr>
          <w:ilvl w:val="1"/>
          <w:numId w:val="3"/>
        </w:numPr>
      </w:pPr>
      <w:r>
        <w:t>Post-Test</w:t>
      </w:r>
    </w:p>
    <w:p w:rsidR="00012D1B" w:rsidP="00012D1B" w14:paraId="5526C946" w14:textId="77777777">
      <w:pPr>
        <w:pStyle w:val="ListParagraph"/>
        <w:numPr>
          <w:ilvl w:val="1"/>
          <w:numId w:val="3"/>
        </w:numPr>
      </w:pPr>
      <w:r>
        <w:t>Registration</w:t>
      </w:r>
    </w:p>
    <w:p w:rsidR="00012D1B" w:rsidP="00012D1B" w14:paraId="21915FAE" w14:textId="5499DFA3">
      <w:pPr>
        <w:pStyle w:val="ListParagraph"/>
        <w:numPr>
          <w:ilvl w:val="1"/>
          <w:numId w:val="3"/>
        </w:numPr>
      </w:pPr>
      <w:r>
        <w:t>Public Health Program Impact of Trainings</w:t>
      </w:r>
    </w:p>
    <w:p w:rsidR="004A13E8" w:rsidP="004A0034" w14:paraId="55FE182B" w14:textId="1BC9A37B">
      <w:pPr>
        <w:pStyle w:val="ListParagraph"/>
        <w:numPr>
          <w:ilvl w:val="0"/>
          <w:numId w:val="3"/>
        </w:numPr>
        <w:ind w:left="360"/>
      </w:pPr>
      <w:r>
        <w:t>Authorizing Legislation</w:t>
      </w:r>
    </w:p>
    <w:p w:rsidR="00AD2F36" w:rsidP="004A0034" w14:paraId="55FE182C" w14:textId="7DD49E90">
      <w:pPr>
        <w:pStyle w:val="ListParagraph"/>
        <w:numPr>
          <w:ilvl w:val="0"/>
          <w:numId w:val="3"/>
        </w:numPr>
        <w:ind w:left="360"/>
      </w:pPr>
      <w:r>
        <w:t>60-Day FRN</w:t>
      </w:r>
    </w:p>
    <w:p w:rsidR="00430AB9" w:rsidP="004A0034" w14:paraId="60D3F09F" w14:textId="4E361C0E">
      <w:pPr>
        <w:pStyle w:val="ListParagraph"/>
        <w:numPr>
          <w:ilvl w:val="0"/>
          <w:numId w:val="3"/>
        </w:numPr>
        <w:ind w:left="360"/>
      </w:pPr>
      <w:r>
        <w:t>Privacy Impact Assessment</w:t>
      </w:r>
    </w:p>
    <w:p w:rsidR="00856975" w:rsidP="00AE38CC" w14:paraId="07F91C7A" w14:textId="08CC02C6">
      <w:pPr>
        <w:pStyle w:val="ListParagraph"/>
        <w:numPr>
          <w:ilvl w:val="0"/>
          <w:numId w:val="3"/>
        </w:numPr>
        <w:ind w:left="360"/>
      </w:pPr>
      <w:r>
        <w:t>Human Subjects Determination</w:t>
      </w:r>
    </w:p>
    <w:p w:rsidR="007975DC" w:rsidP="007975DC" w14:paraId="63700870" w14:textId="77777777">
      <w:pPr>
        <w:pStyle w:val="ListParagraph"/>
        <w:numPr>
          <w:ilvl w:val="0"/>
          <w:numId w:val="3"/>
        </w:numPr>
        <w:ind w:left="360"/>
      </w:pPr>
      <w:r>
        <w:t>Additional attachments (IRB, scripts, consent forms, etc.)</w:t>
      </w:r>
    </w:p>
    <w:p w:rsidR="007975DC" w:rsidP="007975DC" w14:paraId="5C008FD8" w14:textId="77777777">
      <w:pPr>
        <w:pStyle w:val="ListParagraph"/>
        <w:numPr>
          <w:ilvl w:val="1"/>
          <w:numId w:val="3"/>
        </w:numPr>
      </w:pPr>
      <w:r>
        <w:t>Pre-evaluation Reminder Email</w:t>
      </w:r>
    </w:p>
    <w:p w:rsidR="007975DC" w:rsidP="007975DC" w14:paraId="1593246C" w14:textId="25EC2A98">
      <w:pPr>
        <w:pStyle w:val="ListParagraph"/>
        <w:numPr>
          <w:ilvl w:val="1"/>
          <w:numId w:val="3"/>
        </w:numPr>
      </w:pPr>
      <w:r>
        <w:t>Post-evaluation Reminder Email</w:t>
      </w:r>
    </w:p>
    <w:p w:rsidR="007975DC" w:rsidP="00AE38CC" w14:paraId="754B2340" w14:textId="702CAAD2">
      <w:pPr>
        <w:pStyle w:val="ListParagraph"/>
        <w:numPr>
          <w:ilvl w:val="0"/>
          <w:numId w:val="3"/>
        </w:numPr>
        <w:ind w:left="360"/>
      </w:pPr>
      <w:r>
        <w:t>Public Comment and Response</w:t>
      </w:r>
    </w:p>
    <w:p w:rsidR="007975DC" w:rsidRPr="004A13E8" w:rsidP="007975DC" w14:paraId="62893899" w14:textId="77777777"/>
    <w:sectPr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54D24C2C"/>
    <w:lvl w:ilvl="0">
      <w:start w:val="1"/>
      <w:numFmt w:val="bullet"/>
      <w:pStyle w:val="Bullets"/>
      <w:lvlText w:val=""/>
      <w:lvlJc w:val="left"/>
      <w:pPr>
        <w:ind w:left="720" w:hanging="360"/>
      </w:pPr>
      <w:rPr>
        <w:rFonts w:ascii="Symbol" w:hAnsi="Symbol" w:hint="default"/>
        <w:sz w:val="20"/>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8941268">
    <w:abstractNumId w:val="2"/>
  </w:num>
  <w:num w:numId="2" w16cid:durableId="1933583209">
    <w:abstractNumId w:val="0"/>
  </w:num>
  <w:num w:numId="3" w16cid:durableId="1353218932">
    <w:abstractNumId w:val="1"/>
  </w:num>
  <w:num w:numId="4" w16cid:durableId="204945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231"/>
    <w:rsid w:val="000042EA"/>
    <w:rsid w:val="00012D1B"/>
    <w:rsid w:val="00015C1E"/>
    <w:rsid w:val="000173E3"/>
    <w:rsid w:val="0002106B"/>
    <w:rsid w:val="00025DE4"/>
    <w:rsid w:val="00027FA1"/>
    <w:rsid w:val="0003494E"/>
    <w:rsid w:val="00046435"/>
    <w:rsid w:val="000515A3"/>
    <w:rsid w:val="0005699B"/>
    <w:rsid w:val="00077A77"/>
    <w:rsid w:val="00090E60"/>
    <w:rsid w:val="00090F6E"/>
    <w:rsid w:val="000A727C"/>
    <w:rsid w:val="000C1760"/>
    <w:rsid w:val="000D102C"/>
    <w:rsid w:val="000D2211"/>
    <w:rsid w:val="000D4AF8"/>
    <w:rsid w:val="000F601F"/>
    <w:rsid w:val="000F7E49"/>
    <w:rsid w:val="00102C73"/>
    <w:rsid w:val="00104054"/>
    <w:rsid w:val="00124128"/>
    <w:rsid w:val="00131328"/>
    <w:rsid w:val="001523DF"/>
    <w:rsid w:val="0015494D"/>
    <w:rsid w:val="001601E6"/>
    <w:rsid w:val="0016341F"/>
    <w:rsid w:val="00176EF5"/>
    <w:rsid w:val="0018032F"/>
    <w:rsid w:val="00181DB5"/>
    <w:rsid w:val="0019546E"/>
    <w:rsid w:val="001A58BE"/>
    <w:rsid w:val="001B42E0"/>
    <w:rsid w:val="001D7317"/>
    <w:rsid w:val="001E08A8"/>
    <w:rsid w:val="00225AC7"/>
    <w:rsid w:val="00230B29"/>
    <w:rsid w:val="00233993"/>
    <w:rsid w:val="00237BB7"/>
    <w:rsid w:val="00237C9D"/>
    <w:rsid w:val="0024114A"/>
    <w:rsid w:val="00243701"/>
    <w:rsid w:val="002441B9"/>
    <w:rsid w:val="0025156B"/>
    <w:rsid w:val="00252E6F"/>
    <w:rsid w:val="002711D6"/>
    <w:rsid w:val="002A15BE"/>
    <w:rsid w:val="002A1B34"/>
    <w:rsid w:val="002A3C10"/>
    <w:rsid w:val="002A78BC"/>
    <w:rsid w:val="002A7CC4"/>
    <w:rsid w:val="002B5EA2"/>
    <w:rsid w:val="002C0725"/>
    <w:rsid w:val="002C2320"/>
    <w:rsid w:val="002C4E77"/>
    <w:rsid w:val="002C5538"/>
    <w:rsid w:val="002D49CE"/>
    <w:rsid w:val="002E2424"/>
    <w:rsid w:val="002F1B39"/>
    <w:rsid w:val="002F62A3"/>
    <w:rsid w:val="003034F2"/>
    <w:rsid w:val="00304BBB"/>
    <w:rsid w:val="00314162"/>
    <w:rsid w:val="00335048"/>
    <w:rsid w:val="003350C1"/>
    <w:rsid w:val="00340C6B"/>
    <w:rsid w:val="003419B3"/>
    <w:rsid w:val="0034373E"/>
    <w:rsid w:val="00356109"/>
    <w:rsid w:val="00392FB7"/>
    <w:rsid w:val="00397176"/>
    <w:rsid w:val="00397D1A"/>
    <w:rsid w:val="003B12C0"/>
    <w:rsid w:val="003B2FB4"/>
    <w:rsid w:val="003B3469"/>
    <w:rsid w:val="003E5F89"/>
    <w:rsid w:val="003E72A5"/>
    <w:rsid w:val="003F0D1C"/>
    <w:rsid w:val="003F14A3"/>
    <w:rsid w:val="003F60CF"/>
    <w:rsid w:val="00400693"/>
    <w:rsid w:val="004043D8"/>
    <w:rsid w:val="004078DD"/>
    <w:rsid w:val="00410A81"/>
    <w:rsid w:val="00413EAF"/>
    <w:rsid w:val="00415377"/>
    <w:rsid w:val="00417CAF"/>
    <w:rsid w:val="0042288E"/>
    <w:rsid w:val="00430AB9"/>
    <w:rsid w:val="0043440D"/>
    <w:rsid w:val="00446A7C"/>
    <w:rsid w:val="00457614"/>
    <w:rsid w:val="004604E6"/>
    <w:rsid w:val="0046127D"/>
    <w:rsid w:val="0046343C"/>
    <w:rsid w:val="004638E2"/>
    <w:rsid w:val="004667E1"/>
    <w:rsid w:val="00470800"/>
    <w:rsid w:val="00476950"/>
    <w:rsid w:val="00480522"/>
    <w:rsid w:val="00480BCA"/>
    <w:rsid w:val="00483A91"/>
    <w:rsid w:val="004841D1"/>
    <w:rsid w:val="00486221"/>
    <w:rsid w:val="00487EF7"/>
    <w:rsid w:val="0049106E"/>
    <w:rsid w:val="004A0034"/>
    <w:rsid w:val="004A13E8"/>
    <w:rsid w:val="004A1B6F"/>
    <w:rsid w:val="004A29D4"/>
    <w:rsid w:val="004C24FD"/>
    <w:rsid w:val="004C53C8"/>
    <w:rsid w:val="004C6F5B"/>
    <w:rsid w:val="004D0CD2"/>
    <w:rsid w:val="004D5DE6"/>
    <w:rsid w:val="004E43DF"/>
    <w:rsid w:val="004E7B08"/>
    <w:rsid w:val="004F035D"/>
    <w:rsid w:val="004F06F6"/>
    <w:rsid w:val="0050391F"/>
    <w:rsid w:val="00516300"/>
    <w:rsid w:val="00522E34"/>
    <w:rsid w:val="00526C5D"/>
    <w:rsid w:val="00526EA4"/>
    <w:rsid w:val="00534486"/>
    <w:rsid w:val="005540AE"/>
    <w:rsid w:val="00556FEC"/>
    <w:rsid w:val="005579F0"/>
    <w:rsid w:val="005706B9"/>
    <w:rsid w:val="00576D4A"/>
    <w:rsid w:val="005A1D57"/>
    <w:rsid w:val="005B1B92"/>
    <w:rsid w:val="005C7E2A"/>
    <w:rsid w:val="005F0C16"/>
    <w:rsid w:val="00603052"/>
    <w:rsid w:val="00610C79"/>
    <w:rsid w:val="00616FD7"/>
    <w:rsid w:val="00620C3C"/>
    <w:rsid w:val="00645122"/>
    <w:rsid w:val="00653FB3"/>
    <w:rsid w:val="00654DB1"/>
    <w:rsid w:val="00664929"/>
    <w:rsid w:val="0067068A"/>
    <w:rsid w:val="00674026"/>
    <w:rsid w:val="006812C4"/>
    <w:rsid w:val="00691E82"/>
    <w:rsid w:val="006A71FE"/>
    <w:rsid w:val="006B05FF"/>
    <w:rsid w:val="006B6501"/>
    <w:rsid w:val="006C1517"/>
    <w:rsid w:val="006C6578"/>
    <w:rsid w:val="006D096F"/>
    <w:rsid w:val="006D6049"/>
    <w:rsid w:val="006E0CD6"/>
    <w:rsid w:val="006F0C16"/>
    <w:rsid w:val="00710667"/>
    <w:rsid w:val="00713C81"/>
    <w:rsid w:val="00724773"/>
    <w:rsid w:val="007335B2"/>
    <w:rsid w:val="007451EB"/>
    <w:rsid w:val="00752233"/>
    <w:rsid w:val="007615AD"/>
    <w:rsid w:val="00765EA2"/>
    <w:rsid w:val="00766B83"/>
    <w:rsid w:val="0077616E"/>
    <w:rsid w:val="00777555"/>
    <w:rsid w:val="00780DC1"/>
    <w:rsid w:val="0078180F"/>
    <w:rsid w:val="00793D29"/>
    <w:rsid w:val="007975DC"/>
    <w:rsid w:val="007A08DA"/>
    <w:rsid w:val="007B31B5"/>
    <w:rsid w:val="007B5649"/>
    <w:rsid w:val="007B5CAF"/>
    <w:rsid w:val="007C0620"/>
    <w:rsid w:val="007D65B4"/>
    <w:rsid w:val="007D74FA"/>
    <w:rsid w:val="007F453A"/>
    <w:rsid w:val="007F46E9"/>
    <w:rsid w:val="00804687"/>
    <w:rsid w:val="00806B47"/>
    <w:rsid w:val="00820763"/>
    <w:rsid w:val="00820B33"/>
    <w:rsid w:val="008224A8"/>
    <w:rsid w:val="00827918"/>
    <w:rsid w:val="00827F0C"/>
    <w:rsid w:val="00852601"/>
    <w:rsid w:val="00856975"/>
    <w:rsid w:val="00856FFA"/>
    <w:rsid w:val="008737A7"/>
    <w:rsid w:val="00874460"/>
    <w:rsid w:val="008951D2"/>
    <w:rsid w:val="008B15D2"/>
    <w:rsid w:val="008B5D54"/>
    <w:rsid w:val="008C2A1E"/>
    <w:rsid w:val="008C7D09"/>
    <w:rsid w:val="008D5AEA"/>
    <w:rsid w:val="008E27E9"/>
    <w:rsid w:val="008E6ED9"/>
    <w:rsid w:val="008F1415"/>
    <w:rsid w:val="0090460B"/>
    <w:rsid w:val="00935B79"/>
    <w:rsid w:val="00937D6B"/>
    <w:rsid w:val="009471BF"/>
    <w:rsid w:val="00963E7C"/>
    <w:rsid w:val="009833EB"/>
    <w:rsid w:val="00984FE5"/>
    <w:rsid w:val="00990304"/>
    <w:rsid w:val="00997D0E"/>
    <w:rsid w:val="009A79E1"/>
    <w:rsid w:val="009B0947"/>
    <w:rsid w:val="009B23D0"/>
    <w:rsid w:val="009C22E4"/>
    <w:rsid w:val="009C32DC"/>
    <w:rsid w:val="009C488B"/>
    <w:rsid w:val="009F4A1B"/>
    <w:rsid w:val="009F5DC4"/>
    <w:rsid w:val="00A1132B"/>
    <w:rsid w:val="00A12C18"/>
    <w:rsid w:val="00A13933"/>
    <w:rsid w:val="00A215DA"/>
    <w:rsid w:val="00A21C76"/>
    <w:rsid w:val="00A24E54"/>
    <w:rsid w:val="00A30A28"/>
    <w:rsid w:val="00A509DC"/>
    <w:rsid w:val="00A62558"/>
    <w:rsid w:val="00A67086"/>
    <w:rsid w:val="00A86597"/>
    <w:rsid w:val="00A90559"/>
    <w:rsid w:val="00A93103"/>
    <w:rsid w:val="00A96C0B"/>
    <w:rsid w:val="00AA090F"/>
    <w:rsid w:val="00AA4CAF"/>
    <w:rsid w:val="00AB10D3"/>
    <w:rsid w:val="00AC10B3"/>
    <w:rsid w:val="00AD0A61"/>
    <w:rsid w:val="00AD2F36"/>
    <w:rsid w:val="00AE15A5"/>
    <w:rsid w:val="00AE38CC"/>
    <w:rsid w:val="00B2481C"/>
    <w:rsid w:val="00B2600B"/>
    <w:rsid w:val="00B55735"/>
    <w:rsid w:val="00B608AC"/>
    <w:rsid w:val="00B6218F"/>
    <w:rsid w:val="00B63A32"/>
    <w:rsid w:val="00B64B9E"/>
    <w:rsid w:val="00B91400"/>
    <w:rsid w:val="00B91A6E"/>
    <w:rsid w:val="00B97BD0"/>
    <w:rsid w:val="00BA383B"/>
    <w:rsid w:val="00BA6B1A"/>
    <w:rsid w:val="00BB0595"/>
    <w:rsid w:val="00BC0725"/>
    <w:rsid w:val="00BC0D61"/>
    <w:rsid w:val="00BC6B12"/>
    <w:rsid w:val="00BC7BBC"/>
    <w:rsid w:val="00BC7D9B"/>
    <w:rsid w:val="00BD0FCF"/>
    <w:rsid w:val="00BD716E"/>
    <w:rsid w:val="00C06542"/>
    <w:rsid w:val="00C244D8"/>
    <w:rsid w:val="00C32380"/>
    <w:rsid w:val="00C47640"/>
    <w:rsid w:val="00C553B7"/>
    <w:rsid w:val="00C556B4"/>
    <w:rsid w:val="00C64035"/>
    <w:rsid w:val="00C7094E"/>
    <w:rsid w:val="00C740C5"/>
    <w:rsid w:val="00C76A9A"/>
    <w:rsid w:val="00C83E44"/>
    <w:rsid w:val="00C90B13"/>
    <w:rsid w:val="00C93227"/>
    <w:rsid w:val="00CC507E"/>
    <w:rsid w:val="00CC6EB8"/>
    <w:rsid w:val="00CD2AA4"/>
    <w:rsid w:val="00CE03D9"/>
    <w:rsid w:val="00CE702D"/>
    <w:rsid w:val="00CF7C4E"/>
    <w:rsid w:val="00D0565A"/>
    <w:rsid w:val="00D13EA1"/>
    <w:rsid w:val="00D156AD"/>
    <w:rsid w:val="00D173D3"/>
    <w:rsid w:val="00D21056"/>
    <w:rsid w:val="00D42969"/>
    <w:rsid w:val="00D55A64"/>
    <w:rsid w:val="00D57E76"/>
    <w:rsid w:val="00D77EBB"/>
    <w:rsid w:val="00D952DF"/>
    <w:rsid w:val="00D96D78"/>
    <w:rsid w:val="00DA30F4"/>
    <w:rsid w:val="00DC08D0"/>
    <w:rsid w:val="00DC2EDC"/>
    <w:rsid w:val="00DC57CC"/>
    <w:rsid w:val="00DC74EE"/>
    <w:rsid w:val="00DD49C1"/>
    <w:rsid w:val="00DD6428"/>
    <w:rsid w:val="00DD7F5C"/>
    <w:rsid w:val="00DE607C"/>
    <w:rsid w:val="00E0035D"/>
    <w:rsid w:val="00E2092C"/>
    <w:rsid w:val="00E2491E"/>
    <w:rsid w:val="00E3070C"/>
    <w:rsid w:val="00E3192D"/>
    <w:rsid w:val="00E479D5"/>
    <w:rsid w:val="00E53ABC"/>
    <w:rsid w:val="00E55A78"/>
    <w:rsid w:val="00E62856"/>
    <w:rsid w:val="00E8091C"/>
    <w:rsid w:val="00E80D2C"/>
    <w:rsid w:val="00E86A39"/>
    <w:rsid w:val="00E91E07"/>
    <w:rsid w:val="00E965D1"/>
    <w:rsid w:val="00E97A1B"/>
    <w:rsid w:val="00EA001B"/>
    <w:rsid w:val="00EA5051"/>
    <w:rsid w:val="00EC309D"/>
    <w:rsid w:val="00ED59C4"/>
    <w:rsid w:val="00EE139F"/>
    <w:rsid w:val="00EF0C09"/>
    <w:rsid w:val="00EF0EDC"/>
    <w:rsid w:val="00EF15E1"/>
    <w:rsid w:val="00F00226"/>
    <w:rsid w:val="00F14261"/>
    <w:rsid w:val="00F1623C"/>
    <w:rsid w:val="00F254E7"/>
    <w:rsid w:val="00F312A1"/>
    <w:rsid w:val="00F412CB"/>
    <w:rsid w:val="00F41445"/>
    <w:rsid w:val="00F510CD"/>
    <w:rsid w:val="00F532A0"/>
    <w:rsid w:val="00F548DB"/>
    <w:rsid w:val="00F56C86"/>
    <w:rsid w:val="00F6616C"/>
    <w:rsid w:val="00F7036A"/>
    <w:rsid w:val="00F71025"/>
    <w:rsid w:val="00FB2063"/>
    <w:rsid w:val="00FC410B"/>
    <w:rsid w:val="00FC6E8A"/>
    <w:rsid w:val="00FD42F3"/>
    <w:rsid w:val="00FE0398"/>
    <w:rsid w:val="00FE7802"/>
    <w:rsid w:val="00FE7F64"/>
    <w:rsid w:val="00FF40BC"/>
    <w:rsid w:val="0503F225"/>
    <w:rsid w:val="1DF07FD1"/>
    <w:rsid w:val="23DF8765"/>
    <w:rsid w:val="24FE342C"/>
    <w:rsid w:val="291641D8"/>
    <w:rsid w:val="2A46A98D"/>
    <w:rsid w:val="3614E26E"/>
    <w:rsid w:val="39E0F322"/>
    <w:rsid w:val="72C8584E"/>
    <w:rsid w:val="76463B63"/>
    <w:rsid w:val="7C7479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7304CCD6-AFEA-43ED-91DD-1CAF8493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CommentReference">
    <w:name w:val="annotation reference"/>
    <w:basedOn w:val="DefaultParagraphFont"/>
    <w:uiPriority w:val="99"/>
    <w:semiHidden/>
    <w:unhideWhenUsed/>
    <w:rsid w:val="002A1B34"/>
    <w:rPr>
      <w:sz w:val="16"/>
      <w:szCs w:val="16"/>
    </w:rPr>
  </w:style>
  <w:style w:type="paragraph" w:styleId="CommentText">
    <w:name w:val="annotation text"/>
    <w:basedOn w:val="Normal"/>
    <w:link w:val="CommentTextChar"/>
    <w:uiPriority w:val="99"/>
    <w:unhideWhenUsed/>
    <w:rsid w:val="002A1B34"/>
    <w:pPr>
      <w:spacing w:line="240" w:lineRule="auto"/>
    </w:pPr>
    <w:rPr>
      <w:sz w:val="20"/>
      <w:szCs w:val="20"/>
    </w:rPr>
  </w:style>
  <w:style w:type="character" w:customStyle="1" w:styleId="CommentTextChar">
    <w:name w:val="Comment Text Char"/>
    <w:basedOn w:val="DefaultParagraphFont"/>
    <w:link w:val="CommentText"/>
    <w:uiPriority w:val="99"/>
    <w:rsid w:val="002A1B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1B34"/>
    <w:rPr>
      <w:b/>
      <w:bCs/>
    </w:rPr>
  </w:style>
  <w:style w:type="character" w:customStyle="1" w:styleId="CommentSubjectChar">
    <w:name w:val="Comment Subject Char"/>
    <w:basedOn w:val="CommentTextChar"/>
    <w:link w:val="CommentSubject"/>
    <w:uiPriority w:val="99"/>
    <w:semiHidden/>
    <w:rsid w:val="002A1B34"/>
    <w:rPr>
      <w:rFonts w:ascii="Times New Roman" w:hAnsi="Times New Roman"/>
      <w:b/>
      <w:bCs/>
      <w:sz w:val="20"/>
      <w:szCs w:val="20"/>
    </w:rPr>
  </w:style>
  <w:style w:type="paragraph" w:styleId="Revision">
    <w:name w:val="Revision"/>
    <w:hidden/>
    <w:uiPriority w:val="99"/>
    <w:semiHidden/>
    <w:rsid w:val="00645122"/>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45122"/>
    <w:rPr>
      <w:color w:val="605E5C"/>
      <w:shd w:val="clear" w:color="auto" w:fill="E1DFDD"/>
    </w:rPr>
  </w:style>
  <w:style w:type="character" w:customStyle="1" w:styleId="cf01">
    <w:name w:val="cf01"/>
    <w:basedOn w:val="DefaultParagraphFont"/>
    <w:rsid w:val="004638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evaluation/index.htm"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s://www.congress.gov/bill/117th-congress/house-bill/1319/te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7" ma:contentTypeDescription="Create a new document." ma:contentTypeScope="" ma:versionID="0af5bbabbc4c03f4cb852d7801b529e5">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b17956c30614b1e1e312a87824bc00e4"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rchive" minOccurs="0"/>
                <xsd:element ref="ns2:ArchiveCho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Archive" ma:index="22" nillable="true" ma:displayName="Archive" ma:default="1" ma:format="Dropdown" ma:indexed="true" ma:internalName="Archive">
      <xsd:simpleType>
        <xsd:restriction base="dms:Text">
          <xsd:maxLength value="255"/>
        </xsd:restriction>
      </xsd:simpleType>
    </xsd:element>
    <xsd:element name="ArchiveChoice" ma:index="23" nillable="true" ma:displayName="DocumentStatusChoice" ma:format="Dropdown" ma:internalName="ArchiveChoice">
      <xsd:simpleType>
        <xsd:restriction base="dms:Choice">
          <xsd:enumeration value="Archive - Network Share"/>
          <xsd:enumeration value="Migrated - TECH Team site"/>
          <xsd:enumeration value="Migrated - ARP Team Site"/>
          <xsd:enumeration value="Migrated - HOM Team site"/>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b2c93e-0f47-4dd1-8b91-dcda94a86df1}"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Archive xmlns="f33a324a-c761-4556-ab89-22eef2b1ce0b">1</Archive>
    <ArchiveChoic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85F6BE7B-5009-47A0-8FAE-64BF0C22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4.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Clunis, Odion (CDC/DDPHSS/OS/OSI)</cp:lastModifiedBy>
  <cp:revision>2</cp:revision>
  <dcterms:created xsi:type="dcterms:W3CDTF">2023-09-19T18:20:00Z</dcterms:created>
  <dcterms:modified xsi:type="dcterms:W3CDTF">2023-09-19T18:20:00Z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