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D59" w:rsidRPr="009C7A4C" w:rsidP="00870D59" w14:paraId="21C298EB" w14:textId="67074B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a</w:t>
      </w:r>
      <w:r>
        <w:rPr>
          <w:b/>
          <w:bCs/>
          <w:sz w:val="24"/>
          <w:u w:val="single"/>
        </w:rPr>
        <w:t>Supporting</w:t>
      </w:r>
      <w:r>
        <w:rPr>
          <w:b/>
          <w:bCs/>
          <w:sz w:val="24"/>
          <w:u w:val="single"/>
        </w:rPr>
        <w:t xml:space="preserve"> Statement – Part A</w:t>
      </w:r>
    </w:p>
    <w:p w:rsidR="00870D59" w:rsidP="00870D59" w14:paraId="41713129"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14:paraId="2E77B7CE" w14:textId="77777777">
      <w:pPr>
        <w:tabs>
          <w:tab w:val="center" w:pos="4752"/>
          <w:tab w:val="left" w:pos="5040"/>
          <w:tab w:val="left" w:pos="5760"/>
          <w:tab w:val="left" w:pos="6480"/>
          <w:tab w:val="left" w:pos="7200"/>
          <w:tab w:val="left" w:pos="7920"/>
          <w:tab w:val="left" w:pos="8640"/>
          <w:tab w:val="left" w:pos="9360"/>
        </w:tabs>
        <w:rPr>
          <w:sz w:val="32"/>
          <w:szCs w:val="32"/>
        </w:rPr>
      </w:pPr>
    </w:p>
    <w:p w:rsidR="008F1EB4" w:rsidP="00892908" w14:paraId="41D31F5F" w14:textId="07F8EDF7">
      <w:pPr>
        <w:tabs>
          <w:tab w:val="center" w:pos="4752"/>
          <w:tab w:val="left" w:pos="5040"/>
          <w:tab w:val="left" w:pos="5760"/>
          <w:tab w:val="left" w:pos="6480"/>
          <w:tab w:val="left" w:pos="7200"/>
          <w:tab w:val="left" w:pos="7920"/>
          <w:tab w:val="left" w:pos="8640"/>
          <w:tab w:val="left" w:pos="9360"/>
        </w:tabs>
        <w:jc w:val="center"/>
        <w:rPr>
          <w:sz w:val="32"/>
          <w:szCs w:val="32"/>
        </w:rPr>
      </w:pPr>
      <w:r w:rsidRPr="00892908">
        <w:rPr>
          <w:sz w:val="32"/>
          <w:szCs w:val="32"/>
          <w:u w:val="single"/>
        </w:rPr>
        <w:t>Medicare Disproportionate Share Hospital (DSH) Payments: Counting</w:t>
      </w:r>
      <w:r w:rsidR="009078BE">
        <w:rPr>
          <w:sz w:val="32"/>
          <w:szCs w:val="32"/>
          <w:u w:val="single"/>
        </w:rPr>
        <w:t> </w:t>
      </w:r>
      <w:r w:rsidRPr="00892908">
        <w:rPr>
          <w:sz w:val="32"/>
          <w:szCs w:val="32"/>
          <w:u w:val="single"/>
        </w:rPr>
        <w:t xml:space="preserve">Days Associated </w:t>
      </w:r>
      <w:r w:rsidRPr="00892908">
        <w:rPr>
          <w:sz w:val="32"/>
          <w:szCs w:val="32"/>
          <w:u w:val="single"/>
        </w:rPr>
        <w:t>With</w:t>
      </w:r>
      <w:r w:rsidRPr="00892908">
        <w:rPr>
          <w:sz w:val="32"/>
          <w:szCs w:val="32"/>
          <w:u w:val="single"/>
        </w:rPr>
        <w:t xml:space="preserve"> Section 1115 Demonstrations in the Medicaid Fraction</w:t>
      </w:r>
    </w:p>
    <w:p w:rsidR="008F1EB4" w14:paraId="5B674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457C0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Background</w:t>
      </w:r>
    </w:p>
    <w:p w:rsidR="00250D79" w14:paraId="557A7F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50D79" w:rsidRPr="0012633C" w:rsidP="0012633C" w14:paraId="57681CF0" w14:textId="60EB7CC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sidRPr="0012633C">
        <w:rPr>
          <w:sz w:val="24"/>
        </w:rPr>
        <w:t xml:space="preserve">Medicare makes additional payments to hospitals that serve a disproportionate percentage of low-income patients. Eligibility for and the amount of </w:t>
      </w:r>
      <w:r w:rsidR="00121DA1">
        <w:rPr>
          <w:sz w:val="24"/>
        </w:rPr>
        <w:t>d</w:t>
      </w:r>
      <w:r w:rsidRPr="00121DA1" w:rsidR="00121DA1">
        <w:rPr>
          <w:sz w:val="24"/>
        </w:rPr>
        <w:t xml:space="preserve">isproportionate </w:t>
      </w:r>
      <w:r w:rsidR="00121DA1">
        <w:rPr>
          <w:sz w:val="24"/>
        </w:rPr>
        <w:t>s</w:t>
      </w:r>
      <w:r w:rsidRPr="00121DA1" w:rsidR="00121DA1">
        <w:rPr>
          <w:sz w:val="24"/>
        </w:rPr>
        <w:t xml:space="preserve">hare </w:t>
      </w:r>
      <w:r w:rsidR="00121DA1">
        <w:rPr>
          <w:sz w:val="24"/>
        </w:rPr>
        <w:t>h</w:t>
      </w:r>
      <w:r w:rsidRPr="00121DA1" w:rsidR="00121DA1">
        <w:rPr>
          <w:sz w:val="24"/>
        </w:rPr>
        <w:t xml:space="preserve">ospital </w:t>
      </w:r>
      <w:r w:rsidR="00121DA1">
        <w:rPr>
          <w:sz w:val="24"/>
        </w:rPr>
        <w:t xml:space="preserve">(DSH) </w:t>
      </w:r>
      <w:r w:rsidRPr="0012633C">
        <w:rPr>
          <w:sz w:val="24"/>
        </w:rPr>
        <w:t xml:space="preserve">payments are </w:t>
      </w:r>
      <w:r w:rsidRPr="0012633C" w:rsidR="008A26BC">
        <w:rPr>
          <w:sz w:val="24"/>
        </w:rPr>
        <w:t>generally based on the hospital’s geographic designation, the number of beds in the hospital, and the level of the hospital’s disproportionate patient percentage (DPP). The DPP is calculated using several factors</w:t>
      </w:r>
      <w:r w:rsidRPr="0012633C">
        <w:rPr>
          <w:sz w:val="24"/>
        </w:rPr>
        <w:t>, including the number of inpatient days associated with individuals eligible for Medicaid.</w:t>
      </w:r>
      <w:r w:rsidRPr="0012633C" w:rsidR="008A26BC">
        <w:rPr>
          <w:sz w:val="24"/>
        </w:rPr>
        <w:t xml:space="preserve"> </w:t>
      </w:r>
      <w:r w:rsidRPr="00C16772" w:rsidR="00C16772">
        <w:rPr>
          <w:sz w:val="24"/>
        </w:rPr>
        <w:t xml:space="preserve">States use section 1115(a) demonstrations to test changes to their Medicaid programs that generally cannot be made using other Medicaid authorities, including to provide health insurance to groups that generally could not or have not been made eligible for “medical assistance under a State plan approved under title XIX” (Medicaid benefits). </w:t>
      </w:r>
      <w:r w:rsidR="00121DA1">
        <w:rPr>
          <w:sz w:val="24"/>
        </w:rPr>
        <w:t xml:space="preserve"> Under the statute, the p</w:t>
      </w:r>
      <w:r w:rsidRPr="00121DA1" w:rsidR="00121DA1">
        <w:rPr>
          <w:sz w:val="24"/>
        </w:rPr>
        <w:t xml:space="preserve">atient days of certain patients that receive Medicaid benefits under a section 1115 demonstration </w:t>
      </w:r>
      <w:r w:rsidR="00121DA1">
        <w:rPr>
          <w:sz w:val="24"/>
        </w:rPr>
        <w:t xml:space="preserve">may be regarded as eligible for Medicaid for purposes of </w:t>
      </w:r>
      <w:r w:rsidRPr="00121DA1" w:rsidR="00121DA1">
        <w:rPr>
          <w:sz w:val="24"/>
        </w:rPr>
        <w:t xml:space="preserve">calculating the Medicare DSH adjustment. </w:t>
      </w:r>
      <w:r w:rsidRPr="0012633C" w:rsidR="008A26BC">
        <w:rPr>
          <w:sz w:val="24"/>
        </w:rPr>
        <w:t xml:space="preserve"> </w:t>
      </w:r>
    </w:p>
    <w:p w:rsidR="002B7A58" w:rsidRPr="0012633C" w:rsidP="0012633C" w14:paraId="502B0485"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2B7A58" w:rsidRPr="0012633C" w:rsidP="0012633C" w14:paraId="1D593A49" w14:textId="0A5012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633C">
        <w:rPr>
          <w:sz w:val="24"/>
        </w:rPr>
        <w:t xml:space="preserve">The </w:t>
      </w:r>
      <w:r w:rsidR="00CF4A9D">
        <w:rPr>
          <w:sz w:val="24"/>
        </w:rPr>
        <w:t>final</w:t>
      </w:r>
      <w:r w:rsidRPr="0012633C" w:rsidR="00CF4A9D">
        <w:rPr>
          <w:sz w:val="24"/>
        </w:rPr>
        <w:t xml:space="preserve"> </w:t>
      </w:r>
      <w:r w:rsidRPr="0012633C">
        <w:rPr>
          <w:sz w:val="24"/>
        </w:rPr>
        <w:t>rule (CMS</w:t>
      </w:r>
      <w:r w:rsidRPr="0012633C">
        <w:rPr>
          <w:sz w:val="24"/>
        </w:rPr>
        <w:noBreakHyphen/>
        <w:t>1788</w:t>
      </w:r>
      <w:r w:rsidRPr="0012633C">
        <w:rPr>
          <w:sz w:val="24"/>
        </w:rPr>
        <w:noBreakHyphen/>
      </w:r>
      <w:r w:rsidR="00CF4A9D">
        <w:rPr>
          <w:sz w:val="24"/>
        </w:rPr>
        <w:t>F</w:t>
      </w:r>
      <w:r w:rsidRPr="0012633C">
        <w:rPr>
          <w:sz w:val="24"/>
        </w:rPr>
        <w:t xml:space="preserve">, RIN 0938-AV17 </w:t>
      </w:r>
      <w:r w:rsidRPr="0012633C">
        <w:rPr>
          <w:sz w:val="24"/>
        </w:rPr>
        <w:t>refine</w:t>
      </w:r>
      <w:r w:rsidR="00CF4A9D">
        <w:rPr>
          <w:sz w:val="24"/>
        </w:rPr>
        <w:t>s</w:t>
      </w:r>
      <w:r w:rsidRPr="0012633C">
        <w:rPr>
          <w:sz w:val="24"/>
        </w:rPr>
        <w:t xml:space="preserve"> our policy for counting inpatient days associated with patients who are regarded as eligible for medical assistance under a State Medicaid plan to include those who receive health insurance authorized by a section 1115 demonstration or patients who pay for all of the cost of such health insurance with premium assistance authorized by a section 1115 demonstration and such health insurance provides inpatient coverage. </w:t>
      </w:r>
      <w:r w:rsidR="00304A4B">
        <w:rPr>
          <w:sz w:val="24"/>
        </w:rPr>
        <w:t xml:space="preserve">The </w:t>
      </w:r>
      <w:r w:rsidRPr="0012633C" w:rsidR="00304A4B">
        <w:rPr>
          <w:sz w:val="24"/>
        </w:rPr>
        <w:t>revis</w:t>
      </w:r>
      <w:r w:rsidR="00304A4B">
        <w:rPr>
          <w:sz w:val="24"/>
        </w:rPr>
        <w:t>ions to the</w:t>
      </w:r>
      <w:r w:rsidRPr="0012633C" w:rsidR="00304A4B">
        <w:rPr>
          <w:sz w:val="24"/>
        </w:rPr>
        <w:t xml:space="preserve"> regulation </w:t>
      </w:r>
      <w:r w:rsidR="00CF4A9D">
        <w:rPr>
          <w:sz w:val="24"/>
        </w:rPr>
        <w:t>are</w:t>
      </w:r>
      <w:r w:rsidRPr="0012633C" w:rsidR="00304A4B">
        <w:rPr>
          <w:sz w:val="24"/>
        </w:rPr>
        <w:t xml:space="preserve"> effective for discharges occurring on or after October 1, 2023.</w:t>
      </w:r>
    </w:p>
    <w:p w:rsidR="00852918" w:rsidRPr="0012633C" w:rsidP="0012633C" w14:paraId="031DBF71"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CF122C" w:rsidRPr="0012633C" w:rsidP="0012633C" w14:paraId="426ED351" w14:textId="632D2033">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sidRPr="0012633C">
        <w:rPr>
          <w:sz w:val="24"/>
        </w:rPr>
        <w:t>This collection of information request seeks approval for collecting certain information related to individuals eligible for certain 1115 demonstrations which include premium assistance benefits</w:t>
      </w:r>
      <w:r w:rsidR="00304A4B">
        <w:rPr>
          <w:sz w:val="24"/>
        </w:rPr>
        <w:t xml:space="preserve"> </w:t>
      </w:r>
      <w:r w:rsidR="00304A4B">
        <w:rPr>
          <w:sz w:val="24"/>
        </w:rPr>
        <w:t>in order to</w:t>
      </w:r>
      <w:r w:rsidR="00304A4B">
        <w:rPr>
          <w:sz w:val="24"/>
        </w:rPr>
        <w:t xml:space="preserve"> be included in the calculation of the </w:t>
      </w:r>
      <w:r w:rsidRPr="00121DA1" w:rsidR="00304A4B">
        <w:rPr>
          <w:sz w:val="24"/>
        </w:rPr>
        <w:t>DSH adjustment</w:t>
      </w:r>
      <w:r w:rsidRPr="0012633C">
        <w:rPr>
          <w:sz w:val="24"/>
        </w:rPr>
        <w:t>.</w:t>
      </w:r>
    </w:p>
    <w:p w:rsidR="008F1EB4" w:rsidP="0012633C" w14:paraId="0DCBF5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649CA0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04A4B">
        <w:rPr>
          <w:b/>
          <w:bCs/>
          <w:sz w:val="24"/>
        </w:rPr>
        <w:t>A</w:t>
      </w:r>
      <w:r w:rsidRPr="00304A4B">
        <w:rPr>
          <w:b/>
          <w:bCs/>
          <w:sz w:val="24"/>
        </w:rPr>
        <w:t>.</w:t>
      </w:r>
      <w:r>
        <w:rPr>
          <w:b/>
          <w:bCs/>
          <w:sz w:val="24"/>
        </w:rPr>
        <w:tab/>
      </w:r>
      <w:r>
        <w:rPr>
          <w:b/>
          <w:bCs/>
          <w:sz w:val="24"/>
          <w:u w:val="single"/>
        </w:rPr>
        <w:t>Justification</w:t>
      </w:r>
    </w:p>
    <w:p w:rsidR="008F1EB4" w14:paraId="67CEBF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1A32E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8F1EB4" w:rsidRPr="009078BE" w:rsidP="000B623D" w14:paraId="6C4BB89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185C7F" w:rsidP="00185C7F" w14:paraId="2FF5AD83" w14:textId="70389077">
      <w:pPr>
        <w:pStyle w:val="CommentText"/>
        <w:ind w:left="450"/>
        <w:rPr>
          <w:sz w:val="24"/>
        </w:rPr>
      </w:pPr>
      <w:r w:rsidRPr="00304A4B">
        <w:rPr>
          <w:sz w:val="24"/>
        </w:rPr>
        <w:t xml:space="preserve">Section 1886(d)(5)(F) of the Social Security Act (the Act) provides for additional Medicare payments to subsection (d) hospitals that serve a significantly disproportionate number of low-income patients. </w:t>
      </w:r>
      <w:r w:rsidR="00304A4B">
        <w:rPr>
          <w:sz w:val="24"/>
        </w:rPr>
        <w:t xml:space="preserve">The regulations implementing the DSH payment adjustment are in </w:t>
      </w:r>
      <w:r w:rsidR="00304A4B">
        <w:rPr>
          <w:sz w:val="24"/>
        </w:rPr>
        <w:t xml:space="preserve">42 CFR 412.106. </w:t>
      </w:r>
      <w:r w:rsidRPr="00304A4B">
        <w:rPr>
          <w:sz w:val="24"/>
        </w:rPr>
        <w:t xml:space="preserve">The statute specifies two methods by which a hospital may qualify for the Medicare DSH adjustment. </w:t>
      </w:r>
    </w:p>
    <w:p w:rsidR="006F0670" w:rsidRPr="00304A4B" w:rsidP="00185C7F" w14:paraId="7F0E3734" w14:textId="77777777">
      <w:pPr>
        <w:pStyle w:val="CommentText"/>
        <w:ind w:left="450"/>
        <w:rPr>
          <w:sz w:val="24"/>
        </w:rPr>
      </w:pPr>
      <w:r w:rsidRPr="00304A4B">
        <w:rPr>
          <w:sz w:val="24"/>
        </w:rPr>
        <w:t xml:space="preserve"> </w:t>
      </w:r>
    </w:p>
    <w:p w:rsidR="006F0670" w:rsidRPr="00304A4B" w:rsidP="00185C7F" w14:paraId="5F68C411" w14:textId="77777777">
      <w:pPr>
        <w:pStyle w:val="CommentText"/>
        <w:numPr>
          <w:ilvl w:val="0"/>
          <w:numId w:val="1"/>
        </w:numPr>
        <w:ind w:left="1080"/>
        <w:rPr>
          <w:sz w:val="24"/>
        </w:rPr>
      </w:pPr>
      <w:r w:rsidRPr="00304A4B">
        <w:rPr>
          <w:sz w:val="24"/>
        </w:rPr>
        <w:t xml:space="preserve">Under the first method, hospitals that </w:t>
      </w:r>
      <w:r w:rsidRPr="00304A4B">
        <w:rPr>
          <w:sz w:val="24"/>
        </w:rPr>
        <w:t>are located in</w:t>
      </w:r>
      <w:r w:rsidRPr="00304A4B">
        <w:rPr>
          <w:sz w:val="24"/>
        </w:rPr>
        <w:t xml:space="preserve"> an urban area and have 100 or more beds may receive a Medicare DSH payment adjustment if the hospital can demonstrate that, during its cost reporting period, more than 30 percent of its net inpatient care revenues are derived from State and local government payments for care furnished to patients with low incomes. This method is commonly referred to as the “Pickle method.”  </w:t>
      </w:r>
    </w:p>
    <w:p w:rsidR="006F0670" w:rsidP="00185C7F" w14:paraId="5136BBE2" w14:textId="4D4F4DEB">
      <w:pPr>
        <w:pStyle w:val="CommentText"/>
        <w:numPr>
          <w:ilvl w:val="0"/>
          <w:numId w:val="1"/>
        </w:numPr>
        <w:ind w:left="1080"/>
        <w:rPr>
          <w:sz w:val="24"/>
        </w:rPr>
      </w:pPr>
      <w:r w:rsidRPr="00304A4B">
        <w:rPr>
          <w:sz w:val="24"/>
        </w:rPr>
        <w:t xml:space="preserve">The second method for qualifying for the DSH payment adjustment, which is the most common, is based on a complex statutory formula under which the DSH payment adjustment is based on the hospital’s geographic designation, the number of beds in the hospital, and the level of the hospital’s </w:t>
      </w:r>
      <w:r w:rsidRPr="00304A4B" w:rsidR="00185C7F">
        <w:rPr>
          <w:sz w:val="24"/>
        </w:rPr>
        <w:t>DPP</w:t>
      </w:r>
      <w:r w:rsidRPr="00304A4B">
        <w:rPr>
          <w:sz w:val="24"/>
        </w:rPr>
        <w:t xml:space="preserve">. A hospital’s DPP is the sum of two fractions: The “Medicare fraction” and the “Medicaid fraction.”  The Medicare fraction is computed by dividing the number of the hospital’s inpatient days that are furnished to patients who were entitled to both Medicare Part A and Supplemental Security Income (SSI) benefits by the hospital’s total number of patient days furnished to patients entitled to benefits under Medicare Part A. The Medicaid fraction is computed by dividing the hospital’s number of inpatient days furnished to patients who, for such days, were eligible for Medicaid, but were not entitled to benefits under Medicare Part A, by the hospital’s total number of inpatient days in the same period. </w:t>
      </w:r>
    </w:p>
    <w:p w:rsidR="00304A4B" w:rsidRPr="00304A4B" w:rsidP="00304A4B" w14:paraId="3BD2A2AC" w14:textId="77777777">
      <w:pPr>
        <w:pStyle w:val="CommentText"/>
        <w:ind w:left="720"/>
        <w:rPr>
          <w:sz w:val="24"/>
        </w:rPr>
      </w:pPr>
    </w:p>
    <w:p w:rsidR="00304A4B" w:rsidP="00185C7F" w14:paraId="1AB76499" w14:textId="766CFEF8">
      <w:pPr>
        <w:pStyle w:val="CommentText"/>
        <w:ind w:left="360"/>
        <w:rPr>
          <w:sz w:val="24"/>
        </w:rPr>
      </w:pPr>
      <w:r w:rsidRPr="00304A4B">
        <w:rPr>
          <w:sz w:val="24"/>
        </w:rPr>
        <w:t xml:space="preserve">States use </w:t>
      </w:r>
      <w:r w:rsidRPr="00304A4B">
        <w:rPr>
          <w:sz w:val="24"/>
        </w:rPr>
        <w:t xml:space="preserve">demonstrations </w:t>
      </w:r>
      <w:r>
        <w:rPr>
          <w:sz w:val="24"/>
        </w:rPr>
        <w:t xml:space="preserve">authorized under </w:t>
      </w:r>
      <w:r w:rsidRPr="00304A4B">
        <w:rPr>
          <w:sz w:val="24"/>
        </w:rPr>
        <w:t xml:space="preserve">section 1115(a) </w:t>
      </w:r>
      <w:r>
        <w:rPr>
          <w:sz w:val="24"/>
        </w:rPr>
        <w:t xml:space="preserve">of the Act </w:t>
      </w:r>
      <w:r w:rsidRPr="00304A4B">
        <w:rPr>
          <w:sz w:val="24"/>
        </w:rPr>
        <w:t>to test changes to their Medicaid programs that generally cannot be made using other Medicaid authorities, including to provide health insurance to groups that generally could not or have not been made eligible for “medical assistance under a State plan approved under title XIX” (Medicaid benefits). These groups, commonly referred to as expansion populations or expansion waiver groups, are specific, finite groups defined in the demonstration approval letter and special terms and conditions for each demonstration.</w:t>
      </w:r>
    </w:p>
    <w:p w:rsidR="006F0670" w:rsidRPr="00304A4B" w:rsidP="00185C7F" w14:paraId="089AF955" w14:textId="77777777">
      <w:pPr>
        <w:pStyle w:val="CommentText"/>
        <w:ind w:left="360"/>
        <w:rPr>
          <w:sz w:val="24"/>
        </w:rPr>
      </w:pPr>
      <w:r w:rsidRPr="00304A4B">
        <w:rPr>
          <w:sz w:val="24"/>
        </w:rPr>
        <w:t xml:space="preserve"> </w:t>
      </w:r>
    </w:p>
    <w:p w:rsidR="006F0670" w:rsidP="00185C7F" w14:paraId="2D499C6C" w14:textId="7404BC3C">
      <w:pPr>
        <w:pStyle w:val="CommentText"/>
        <w:ind w:left="360"/>
        <w:rPr>
          <w:sz w:val="24"/>
        </w:rPr>
      </w:pPr>
      <w:r>
        <w:rPr>
          <w:sz w:val="24"/>
        </w:rPr>
        <w:t>In t</w:t>
      </w:r>
      <w:r w:rsidRPr="00304A4B">
        <w:rPr>
          <w:sz w:val="24"/>
        </w:rPr>
        <w:t>he proposed rule (CMS-1788-P, RIN 0938-AV17)</w:t>
      </w:r>
      <w:r w:rsidR="009078BE">
        <w:rPr>
          <w:sz w:val="24"/>
        </w:rPr>
        <w:t xml:space="preserve">, </w:t>
      </w:r>
      <w:r>
        <w:rPr>
          <w:sz w:val="24"/>
        </w:rPr>
        <w:t xml:space="preserve">we </w:t>
      </w:r>
      <w:r w:rsidRPr="00304A4B">
        <w:rPr>
          <w:sz w:val="24"/>
        </w:rPr>
        <w:t>propos</w:t>
      </w:r>
      <w:r w:rsidR="005E3DB6">
        <w:rPr>
          <w:sz w:val="24"/>
        </w:rPr>
        <w:t>ed</w:t>
      </w:r>
      <w:r w:rsidRPr="00304A4B">
        <w:rPr>
          <w:sz w:val="24"/>
        </w:rPr>
        <w:t xml:space="preserve"> to refine our policy for counting inpatient days associated with patients who are regarded as eligible for medical assistance under a State Medicaid plan to include those who receive health insurance authorized by a section 1115 demonstration or patients who pay for all of the </w:t>
      </w:r>
      <w:r w:rsidR="00C3539B">
        <w:rPr>
          <w:sz w:val="24"/>
        </w:rPr>
        <w:t xml:space="preserve">premium </w:t>
      </w:r>
      <w:r w:rsidRPr="00304A4B">
        <w:rPr>
          <w:sz w:val="24"/>
        </w:rPr>
        <w:t>cost of such health insurance with premium assistance authorized by a section 1115 demonstration and such health insurance provides inpatient coverage.</w:t>
      </w:r>
      <w:r w:rsidR="00D85392">
        <w:rPr>
          <w:sz w:val="24"/>
        </w:rPr>
        <w:t xml:space="preserve"> </w:t>
      </w:r>
      <w:r w:rsidR="005E3DB6">
        <w:rPr>
          <w:sz w:val="24"/>
        </w:rPr>
        <w:t xml:space="preserve">We finalized these proposed policy changes in the final rule (CMS-1778-F, RIN </w:t>
      </w:r>
      <w:r w:rsidRPr="005E3DB6" w:rsidR="005E3DB6">
        <w:rPr>
          <w:sz w:val="24"/>
        </w:rPr>
        <w:t>0938-AV17</w:t>
      </w:r>
      <w:r w:rsidR="005E3DB6">
        <w:rPr>
          <w:sz w:val="24"/>
        </w:rPr>
        <w:t xml:space="preserve">). </w:t>
      </w:r>
      <w:r w:rsidRPr="00304A4B">
        <w:rPr>
          <w:sz w:val="24"/>
        </w:rPr>
        <w:t xml:space="preserve">Specifically, </w:t>
      </w:r>
      <w:r w:rsidR="005E3DB6">
        <w:rPr>
          <w:sz w:val="24"/>
        </w:rPr>
        <w:t xml:space="preserve">under this finalized policy </w:t>
      </w:r>
      <w:r w:rsidRPr="00304A4B">
        <w:rPr>
          <w:sz w:val="24"/>
        </w:rPr>
        <w:t>we revise</w:t>
      </w:r>
      <w:r w:rsidR="005E3DB6">
        <w:rPr>
          <w:sz w:val="24"/>
        </w:rPr>
        <w:t>d</w:t>
      </w:r>
      <w:r w:rsidRPr="00304A4B">
        <w:rPr>
          <w:sz w:val="24"/>
        </w:rPr>
        <w:t xml:space="preserve"> our regulations at § 412.106(b)(4) to explicitly reflect our interpretation of the language “regarded as” “eligible for medical assistance under a State plan approved under title XIX” in section 1886(d)(5)(F)(vi) of the Act, to mean patients who receive health insurance through a section 1115 demonstration itself or purchase such insurance with the use of premium assistance provided by a section 1115 demonstration. Moreover, of the groups we “regard” as Medicaid eligible, we </w:t>
      </w:r>
      <w:r w:rsidR="005E3DB6">
        <w:rPr>
          <w:sz w:val="24"/>
        </w:rPr>
        <w:t>specified</w:t>
      </w:r>
      <w:r w:rsidRPr="00304A4B" w:rsidR="005E3DB6">
        <w:rPr>
          <w:sz w:val="24"/>
        </w:rPr>
        <w:t xml:space="preserve"> </w:t>
      </w:r>
      <w:r w:rsidRPr="00304A4B">
        <w:rPr>
          <w:sz w:val="24"/>
        </w:rPr>
        <w:t xml:space="preserve">that only the days of those individuals who obtain </w:t>
      </w:r>
      <w:r w:rsidRPr="00304A4B">
        <w:rPr>
          <w:sz w:val="24"/>
        </w:rPr>
        <w:t>health insurance that includes inpatient hospital insurance, and if bought with premium assistance, for which the premium assistance is equal to 100 percent of the cost of the premium, will be included in the Medicaid fraction of the DSH calculation, provided the patient is not also entitled to Medicare Part A. Moreover, we are explicitly exclud</w:t>
      </w:r>
      <w:r w:rsidR="005E3DB6">
        <w:rPr>
          <w:sz w:val="24"/>
        </w:rPr>
        <w:t>ing</w:t>
      </w:r>
      <w:r w:rsidRPr="00304A4B">
        <w:rPr>
          <w:sz w:val="24"/>
        </w:rPr>
        <w:t xml:space="preserve"> from the Medicare DSH Medicaid fraction the days of patients with uncompensated care costs for which a hospital is paid from a funding pool authorized by a section 1115 demonstration project.</w:t>
      </w:r>
      <w:r w:rsidR="005E3DB6">
        <w:rPr>
          <w:sz w:val="24"/>
        </w:rPr>
        <w:t xml:space="preserve">  These changes are effective for discharges occurring on or after October 1, 2023.</w:t>
      </w:r>
    </w:p>
    <w:p w:rsidR="00304A4B" w:rsidRPr="00304A4B" w:rsidP="00185C7F" w14:paraId="7C029873" w14:textId="77777777">
      <w:pPr>
        <w:pStyle w:val="CommentText"/>
        <w:ind w:left="360"/>
        <w:rPr>
          <w:sz w:val="24"/>
        </w:rPr>
      </w:pPr>
    </w:p>
    <w:p w:rsidR="00304A4B" w:rsidP="00816C04" w14:paraId="1EBEBD90" w14:textId="52FA7688">
      <w:pPr>
        <w:pStyle w:val="CommentText"/>
        <w:ind w:left="360"/>
        <w:rPr>
          <w:sz w:val="24"/>
        </w:rPr>
      </w:pPr>
      <w:r>
        <w:rPr>
          <w:sz w:val="24"/>
        </w:rPr>
        <w:t>T</w:t>
      </w:r>
      <w:r w:rsidRPr="00304A4B" w:rsidR="006F0670">
        <w:rPr>
          <w:sz w:val="24"/>
        </w:rPr>
        <w:t>his collection of information request describes the changes in burden associated with collecting information from hospitals for certain 1115 demonstrations</w:t>
      </w:r>
      <w:r>
        <w:rPr>
          <w:sz w:val="24"/>
        </w:rPr>
        <w:t xml:space="preserve"> associated with this </w:t>
      </w:r>
      <w:r w:rsidR="00CF4A9D">
        <w:rPr>
          <w:sz w:val="24"/>
        </w:rPr>
        <w:t>policy</w:t>
      </w:r>
      <w:r w:rsidRPr="00304A4B" w:rsidR="006F0670">
        <w:rPr>
          <w:sz w:val="24"/>
        </w:rPr>
        <w:t>. Specifically, under this collection of information request, we discuss the burden associated with collecting information related to certain section 1115 demonstrations which provide premium assistance benefits</w:t>
      </w:r>
      <w:r>
        <w:rPr>
          <w:sz w:val="24"/>
        </w:rPr>
        <w:t xml:space="preserve"> </w:t>
      </w:r>
      <w:r>
        <w:rPr>
          <w:sz w:val="24"/>
        </w:rPr>
        <w:t>in order to</w:t>
      </w:r>
      <w:r>
        <w:rPr>
          <w:sz w:val="24"/>
        </w:rPr>
        <w:t xml:space="preserve"> be included in the calculation of the </w:t>
      </w:r>
      <w:r w:rsidRPr="00121DA1">
        <w:rPr>
          <w:sz w:val="24"/>
        </w:rPr>
        <w:t>DSH adjustment</w:t>
      </w:r>
      <w:r w:rsidRPr="00304A4B" w:rsidR="006F0670">
        <w:rPr>
          <w:sz w:val="24"/>
        </w:rPr>
        <w:t>.</w:t>
      </w:r>
      <w:r w:rsidR="00D85392">
        <w:rPr>
          <w:sz w:val="24"/>
        </w:rPr>
        <w:t xml:space="preserve"> </w:t>
      </w:r>
      <w:r w:rsidRPr="00D85392" w:rsidR="00D85392">
        <w:rPr>
          <w:sz w:val="24"/>
        </w:rPr>
        <w:t xml:space="preserve">CMS </w:t>
      </w:r>
      <w:r w:rsidR="005E3DB6">
        <w:rPr>
          <w:sz w:val="24"/>
        </w:rPr>
        <w:t>has</w:t>
      </w:r>
      <w:r w:rsidRPr="00D85392" w:rsidR="005E3DB6">
        <w:rPr>
          <w:sz w:val="24"/>
        </w:rPr>
        <w:t xml:space="preserve"> </w:t>
      </w:r>
      <w:r w:rsidRPr="00D85392" w:rsidR="00D85392">
        <w:rPr>
          <w:sz w:val="24"/>
        </w:rPr>
        <w:t>ma</w:t>
      </w:r>
      <w:r w:rsidR="005E3DB6">
        <w:rPr>
          <w:sz w:val="24"/>
        </w:rPr>
        <w:t>d</w:t>
      </w:r>
      <w:r w:rsidRPr="00D85392" w:rsidR="00D85392">
        <w:rPr>
          <w:sz w:val="24"/>
        </w:rPr>
        <w:t xml:space="preserve">e updates to this collection, as applicable, based on the policies adopted after consideration of public comments </w:t>
      </w:r>
      <w:r w:rsidR="00D85392">
        <w:rPr>
          <w:sz w:val="24"/>
        </w:rPr>
        <w:t>in a final rule</w:t>
      </w:r>
      <w:r w:rsidRPr="00D85392" w:rsidR="00D85392">
        <w:rPr>
          <w:sz w:val="24"/>
        </w:rPr>
        <w:t>.</w:t>
      </w:r>
      <w:r w:rsidR="005E3DB6">
        <w:rPr>
          <w:sz w:val="24"/>
        </w:rPr>
        <w:t xml:space="preserve"> </w:t>
      </w:r>
    </w:p>
    <w:p w:rsidR="00816C04" w:rsidRPr="00304A4B" w:rsidP="00A74422" w14:paraId="45C7345A" w14:textId="77777777">
      <w:pPr>
        <w:pStyle w:val="CommentText"/>
        <w:ind w:left="360"/>
        <w:rPr>
          <w:sz w:val="24"/>
        </w:rPr>
      </w:pPr>
    </w:p>
    <w:p w:rsidR="008F1EB4" w14:paraId="167AEF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14:paraId="054369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D4C54" w:rsidRPr="00185C7F" w14:paraId="0629B5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85C7F">
        <w:rPr>
          <w:sz w:val="24"/>
        </w:rPr>
        <w:t>Hospitals currently collect, and submit to CMS, information related to the number of patient days associated with individuals eligible for Medicaid, includ</w:t>
      </w:r>
      <w:r w:rsidRPr="00185C7F" w:rsidR="00F137EA">
        <w:rPr>
          <w:sz w:val="24"/>
        </w:rPr>
        <w:t>ing</w:t>
      </w:r>
      <w:r w:rsidRPr="00185C7F">
        <w:rPr>
          <w:sz w:val="24"/>
        </w:rPr>
        <w:t xml:space="preserve"> those eligible for certain section 1115 demonstrations. This information is used to calculate a hospital’s DPP, and, as applicable, the amount of the hospital’s DSH adjustment. Hospitals would collect the information under this collection </w:t>
      </w:r>
      <w:r w:rsidRPr="00185C7F" w:rsidR="000B623D">
        <w:rPr>
          <w:sz w:val="24"/>
        </w:rPr>
        <w:t xml:space="preserve">either through regular communication channels with State Medicaid agencies and State departments of health; or directly from patients in the regular </w:t>
      </w:r>
      <w:r w:rsidRPr="00185C7F" w:rsidR="000B623D">
        <w:rPr>
          <w:sz w:val="24"/>
        </w:rPr>
        <w:t>manner in which</w:t>
      </w:r>
      <w:r w:rsidRPr="00185C7F" w:rsidR="000B623D">
        <w:rPr>
          <w:sz w:val="24"/>
        </w:rPr>
        <w:t xml:space="preserve"> </w:t>
      </w:r>
      <w:r w:rsidRPr="00185C7F" w:rsidR="00710F0B">
        <w:rPr>
          <w:sz w:val="24"/>
        </w:rPr>
        <w:t>hospital</w:t>
      </w:r>
      <w:r w:rsidRPr="00185C7F" w:rsidR="000B623D">
        <w:rPr>
          <w:sz w:val="24"/>
        </w:rPr>
        <w:t xml:space="preserve">s obtain payor health information at the point of service. The information will be </w:t>
      </w:r>
      <w:r w:rsidRPr="00185C7F">
        <w:rPr>
          <w:sz w:val="24"/>
        </w:rPr>
        <w:t>for the same purposes.</w:t>
      </w:r>
    </w:p>
    <w:p w:rsidR="008F1EB4" w14:paraId="091E6C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6F25DC5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14:paraId="1A82C6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04B4B" w:rsidRPr="00185C7F" w:rsidP="00B80AB7" w14:paraId="654CA827" w14:textId="662FDE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U</w:t>
      </w:r>
      <w:r w:rsidRPr="00185C7F">
        <w:rPr>
          <w:sz w:val="24"/>
        </w:rPr>
        <w:t xml:space="preserve">nder our </w:t>
      </w:r>
      <w:r w:rsidR="00CF4A9D">
        <w:rPr>
          <w:sz w:val="24"/>
        </w:rPr>
        <w:t>finalized</w:t>
      </w:r>
      <w:r w:rsidRPr="00185C7F" w:rsidR="00CF4A9D">
        <w:rPr>
          <w:sz w:val="24"/>
        </w:rPr>
        <w:t xml:space="preserve"> </w:t>
      </w:r>
      <w:r w:rsidRPr="00185C7F">
        <w:rPr>
          <w:sz w:val="24"/>
        </w:rPr>
        <w:t>policy</w:t>
      </w:r>
      <w:r>
        <w:rPr>
          <w:sz w:val="24"/>
        </w:rPr>
        <w:t>, t</w:t>
      </w:r>
      <w:r w:rsidRPr="00185C7F">
        <w:rPr>
          <w:sz w:val="24"/>
        </w:rPr>
        <w:t>he information</w:t>
      </w:r>
      <w:r>
        <w:rPr>
          <w:sz w:val="24"/>
        </w:rPr>
        <w:t xml:space="preserve"> </w:t>
      </w:r>
      <w:r w:rsidR="00B33E39">
        <w:rPr>
          <w:sz w:val="24"/>
        </w:rPr>
        <w:t>on whether a patient’s insurance premiums are paid for by premium assistance under a section 1115 demonstration that hospitals would collect ca</w:t>
      </w:r>
      <w:r w:rsidRPr="00185C7F">
        <w:rPr>
          <w:sz w:val="24"/>
        </w:rPr>
        <w:t>n be done</w:t>
      </w:r>
      <w:r w:rsidRPr="00185C7F" w:rsidR="00931B92">
        <w:rPr>
          <w:sz w:val="24"/>
        </w:rPr>
        <w:t xml:space="preserve"> </w:t>
      </w:r>
      <w:r>
        <w:rPr>
          <w:sz w:val="24"/>
        </w:rPr>
        <w:t xml:space="preserve">electronically </w:t>
      </w:r>
      <w:r w:rsidRPr="00185C7F" w:rsidR="00931B92">
        <w:rPr>
          <w:sz w:val="24"/>
        </w:rPr>
        <w:t>in part</w:t>
      </w:r>
      <w:r w:rsidRPr="00185C7F">
        <w:rPr>
          <w:sz w:val="24"/>
        </w:rPr>
        <w:t xml:space="preserve"> through internet searches and through email with</w:t>
      </w:r>
      <w:r w:rsidRPr="00185C7F" w:rsidR="00D75E03">
        <w:rPr>
          <w:sz w:val="24"/>
        </w:rPr>
        <w:t xml:space="preserve"> insurers,</w:t>
      </w:r>
      <w:r w:rsidRPr="00185C7F">
        <w:rPr>
          <w:sz w:val="24"/>
        </w:rPr>
        <w:t xml:space="preserve"> State Medicaid agencies</w:t>
      </w:r>
      <w:r w:rsidRPr="00185C7F" w:rsidR="00D75E03">
        <w:rPr>
          <w:sz w:val="24"/>
        </w:rPr>
        <w:t>,</w:t>
      </w:r>
      <w:r w:rsidRPr="00185C7F">
        <w:rPr>
          <w:sz w:val="24"/>
        </w:rPr>
        <w:t xml:space="preserve"> and State departments of health. </w:t>
      </w:r>
      <w:r w:rsidRPr="00185C7F" w:rsidR="000D17FF">
        <w:rPr>
          <w:sz w:val="24"/>
        </w:rPr>
        <w:t>Additional verification</w:t>
      </w:r>
      <w:r w:rsidRPr="00185C7F">
        <w:rPr>
          <w:sz w:val="24"/>
        </w:rPr>
        <w:t xml:space="preserve"> will likely </w:t>
      </w:r>
      <w:r w:rsidRPr="00185C7F" w:rsidR="001D292E">
        <w:rPr>
          <w:sz w:val="24"/>
        </w:rPr>
        <w:t xml:space="preserve">occur </w:t>
      </w:r>
      <w:r w:rsidRPr="00185C7F">
        <w:rPr>
          <w:sz w:val="24"/>
        </w:rPr>
        <w:t xml:space="preserve">by </w:t>
      </w:r>
      <w:r w:rsidRPr="00185C7F" w:rsidR="001D292E">
        <w:rPr>
          <w:sz w:val="24"/>
        </w:rPr>
        <w:t xml:space="preserve">hospitals </w:t>
      </w:r>
      <w:r w:rsidRPr="00185C7F" w:rsidR="000D17FF">
        <w:rPr>
          <w:sz w:val="24"/>
        </w:rPr>
        <w:t xml:space="preserve">confirming verbally </w:t>
      </w:r>
      <w:r w:rsidRPr="00185C7F">
        <w:rPr>
          <w:sz w:val="24"/>
        </w:rPr>
        <w:t xml:space="preserve">with patients. </w:t>
      </w:r>
      <w:r w:rsidRPr="00185C7F" w:rsidR="00B20A7E">
        <w:rPr>
          <w:sz w:val="24"/>
        </w:rPr>
        <w:t xml:space="preserve">Under the </w:t>
      </w:r>
      <w:r w:rsidR="00CF4A9D">
        <w:rPr>
          <w:sz w:val="24"/>
        </w:rPr>
        <w:t>finalized policy</w:t>
      </w:r>
      <w:r w:rsidRPr="00185C7F" w:rsidR="00B20A7E">
        <w:rPr>
          <w:sz w:val="24"/>
        </w:rPr>
        <w:t xml:space="preserve">, hospitals only need to submit to CMS aggregate information about total day counts associated with section 1115 demonstrations </w:t>
      </w:r>
      <w:r w:rsidR="00B80AB7">
        <w:rPr>
          <w:sz w:val="24"/>
        </w:rPr>
        <w:t xml:space="preserve">that provide premium assistance </w:t>
      </w:r>
      <w:r w:rsidRPr="00185C7F" w:rsidR="00B20A7E">
        <w:rPr>
          <w:sz w:val="24"/>
        </w:rPr>
        <w:t xml:space="preserve">on the S-2 worksheet of their </w:t>
      </w:r>
      <w:r w:rsidR="00E70984">
        <w:rPr>
          <w:sz w:val="24"/>
        </w:rPr>
        <w:t xml:space="preserve">Medicare </w:t>
      </w:r>
      <w:r w:rsidRPr="00185C7F" w:rsidR="00B20A7E">
        <w:rPr>
          <w:sz w:val="24"/>
        </w:rPr>
        <w:t>cost reports.</w:t>
      </w:r>
      <w:r w:rsidRPr="00185C7F" w:rsidR="00B80AB7">
        <w:rPr>
          <w:sz w:val="24"/>
        </w:rPr>
        <w:t xml:space="preserve"> </w:t>
      </w:r>
    </w:p>
    <w:p w:rsidR="00E17794" w:rsidP="008472BF" w14:paraId="48DBCA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11C7B9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Pr="00F455AD" w14:paraId="36359B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A75C1" w:rsidRPr="00F455AD" w14:paraId="418A6A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455AD">
        <w:rPr>
          <w:sz w:val="24"/>
        </w:rPr>
        <w:t>This information collection does not duplicate any other effort and the information cannot be obtained from any other source.</w:t>
      </w:r>
    </w:p>
    <w:p w:rsidR="008F1EB4" w14:paraId="76372B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3D9BF5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14:paraId="23145C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82C21" w:rsidRPr="00F455AD" w14:paraId="5F2A6244" w14:textId="72104A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F455AD">
        <w:rPr>
          <w:sz w:val="24"/>
        </w:rPr>
        <w:t xml:space="preserve">CMS requires all hospitals, regardless of size, to complete the cost report, including the </w:t>
      </w:r>
      <w:r w:rsidR="00F455AD">
        <w:rPr>
          <w:sz w:val="24"/>
        </w:rPr>
        <w:t>information</w:t>
      </w:r>
      <w:r w:rsidRPr="00F455AD">
        <w:rPr>
          <w:sz w:val="24"/>
        </w:rPr>
        <w:t xml:space="preserve"> related to section 1115 </w:t>
      </w:r>
      <w:r w:rsidR="006D3C66">
        <w:rPr>
          <w:sz w:val="24"/>
        </w:rPr>
        <w:t xml:space="preserve">demonstration </w:t>
      </w:r>
      <w:r w:rsidRPr="00F455AD">
        <w:rPr>
          <w:sz w:val="24"/>
        </w:rPr>
        <w:t>days regarded as Medicaid days. CMS collects the form as infrequently as possible (annually) and only those data items necessary to determine the appropriate reimbursement rates are required.</w:t>
      </w:r>
    </w:p>
    <w:p w:rsidR="008F1EB4" w14:paraId="7808AC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FBCAD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14:paraId="044EBA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82C21" w:rsidRPr="00BF4F98" w:rsidP="0066379E" w14:paraId="5B4B1E68" w14:textId="4F385FF5">
      <w:pPr>
        <w:ind w:left="432"/>
        <w:rPr>
          <w:i/>
          <w:sz w:val="22"/>
          <w:szCs w:val="22"/>
        </w:rPr>
      </w:pPr>
      <w:r w:rsidRPr="006D3C66">
        <w:rPr>
          <w:sz w:val="24"/>
        </w:rPr>
        <w:t>Hospital</w:t>
      </w:r>
      <w:r w:rsidRPr="0066379E" w:rsidR="0066379E">
        <w:rPr>
          <w:sz w:val="24"/>
        </w:rPr>
        <w:t xml:space="preserve"> cost reports are based on the</w:t>
      </w:r>
      <w:r w:rsidR="0066379E">
        <w:rPr>
          <w:sz w:val="24"/>
        </w:rPr>
        <w:t xml:space="preserve"> providers’</w:t>
      </w:r>
      <w:r w:rsidRPr="0066379E" w:rsidR="0066379E">
        <w:rPr>
          <w:sz w:val="24"/>
        </w:rPr>
        <w:t xml:space="preserve"> financial and statistical records, and hospitals attest to the accuracy of the data when</w:t>
      </w:r>
      <w:r w:rsidR="0066379E">
        <w:rPr>
          <w:sz w:val="24"/>
        </w:rPr>
        <w:t xml:space="preserve"> </w:t>
      </w:r>
      <w:r w:rsidRPr="0066379E" w:rsidR="0066379E">
        <w:rPr>
          <w:sz w:val="24"/>
        </w:rPr>
        <w:t xml:space="preserve">submitting their cost reports. </w:t>
      </w:r>
      <w:r w:rsidRPr="006D3C66" w:rsidR="00EA059A">
        <w:rPr>
          <w:sz w:val="24"/>
        </w:rPr>
        <w:t xml:space="preserve">A less frequent collection would adversely affect </w:t>
      </w:r>
      <w:r w:rsidR="0066379E">
        <w:rPr>
          <w:sz w:val="24"/>
        </w:rPr>
        <w:t xml:space="preserve">accurate </w:t>
      </w:r>
      <w:r w:rsidRPr="006D3C66" w:rsidR="00710F0B">
        <w:rPr>
          <w:sz w:val="24"/>
        </w:rPr>
        <w:t>hospital</w:t>
      </w:r>
      <w:r w:rsidRPr="006D3C66" w:rsidR="00EA059A">
        <w:rPr>
          <w:sz w:val="24"/>
        </w:rPr>
        <w:t xml:space="preserve"> payments. </w:t>
      </w:r>
    </w:p>
    <w:p w:rsidR="008F1EB4" w14:paraId="6BDA65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347D8A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14:paraId="4F3C18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8472BF" w14:paraId="4F7C5B2C"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bookmarkStart w:id="0" w:name="_Hlk118379244"/>
      <w:r>
        <w:rPr>
          <w:sz w:val="24"/>
        </w:rPr>
        <w:t>T</w:t>
      </w:r>
      <w:r w:rsidRPr="006D3C66">
        <w:rPr>
          <w:sz w:val="24"/>
        </w:rPr>
        <w:t xml:space="preserve">here are no special circumstances that would require </w:t>
      </w:r>
      <w:r>
        <w:rPr>
          <w:sz w:val="24"/>
        </w:rPr>
        <w:t>this</w:t>
      </w:r>
      <w:r w:rsidRPr="006D3C66">
        <w:rPr>
          <w:sz w:val="24"/>
        </w:rPr>
        <w:t xml:space="preserve"> information collection to be conducted in a manner that requires respondents to:</w:t>
      </w:r>
    </w:p>
    <w:p w:rsidR="007C5A1A" w:rsidRPr="007C5A1A" w:rsidP="003B36EC" w14:paraId="6F9E7E4A" w14:textId="0C557BBA">
      <w:pPr>
        <w:pStyle w:val="ListParagraph"/>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C5A1A">
        <w:rPr>
          <w:sz w:val="24"/>
        </w:rPr>
        <w:t>R</w:t>
      </w:r>
      <w:r w:rsidRPr="007C5A1A" w:rsidR="008F1EB4">
        <w:rPr>
          <w:sz w:val="24"/>
        </w:rPr>
        <w:t xml:space="preserve">eport information to the agency more often than </w:t>
      </w:r>
      <w:r w:rsidRPr="007C5A1A" w:rsidR="008F1EB4">
        <w:rPr>
          <w:sz w:val="24"/>
        </w:rPr>
        <w:t>quarterly;</w:t>
      </w:r>
    </w:p>
    <w:bookmarkEnd w:id="0"/>
    <w:p w:rsidR="000E2F71" w:rsidRPr="007C5A1A" w:rsidP="003B36EC" w14:paraId="40F64534" w14:textId="7066E992">
      <w:pPr>
        <w:pStyle w:val="ListParagraph"/>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266C0">
        <w:rPr>
          <w:sz w:val="24"/>
        </w:rPr>
        <w:t>P</w:t>
      </w:r>
      <w:r w:rsidRPr="007C5A1A" w:rsidR="008F1EB4">
        <w:rPr>
          <w:sz w:val="24"/>
        </w:rPr>
        <w:t xml:space="preserve">repare a written response to a collection of information in fewer than 30 days after receipt of </w:t>
      </w:r>
      <w:r w:rsidRPr="007C5A1A" w:rsidR="008F1EB4">
        <w:rPr>
          <w:sz w:val="24"/>
        </w:rPr>
        <w:t>it;</w:t>
      </w:r>
    </w:p>
    <w:p w:rsidR="008F1EB4" w:rsidRPr="000266C0" w:rsidP="003B36EC" w14:paraId="6F60C020" w14:textId="0580A4AF">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C5A1A">
        <w:rPr>
          <w:sz w:val="24"/>
        </w:rPr>
        <w:t>S</w:t>
      </w:r>
      <w:r w:rsidRPr="007C5A1A">
        <w:rPr>
          <w:sz w:val="24"/>
        </w:rPr>
        <w:t xml:space="preserve">ubmit more than an original and two copies of any </w:t>
      </w:r>
      <w:r w:rsidRPr="007C5A1A">
        <w:rPr>
          <w:sz w:val="24"/>
        </w:rPr>
        <w:t>docu</w:t>
      </w:r>
      <w:r w:rsidRPr="007C5A1A">
        <w:rPr>
          <w:sz w:val="24"/>
        </w:rPr>
        <w:softHyphen/>
        <w:t>ment;</w:t>
      </w:r>
    </w:p>
    <w:p w:rsidR="008F1EB4" w:rsidRPr="000266C0" w:rsidP="003B36EC" w14:paraId="02446F39" w14:textId="4812F205">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C5A1A">
        <w:rPr>
          <w:sz w:val="24"/>
        </w:rPr>
        <w:t>R</w:t>
      </w:r>
      <w:r w:rsidRPr="007C5A1A">
        <w:rPr>
          <w:sz w:val="24"/>
        </w:rPr>
        <w:t xml:space="preserve">etain records, other than health, medical, government contract, grant-in-aid, or tax records for more than three </w:t>
      </w:r>
      <w:r w:rsidRPr="007C5A1A">
        <w:rPr>
          <w:sz w:val="24"/>
        </w:rPr>
        <w:t>years;</w:t>
      </w:r>
    </w:p>
    <w:p w:rsidR="008F1EB4" w:rsidRPr="000266C0" w:rsidP="003B36EC" w14:paraId="4899AB24" w14:textId="7A2CC3E9">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C5A1A">
        <w:rPr>
          <w:sz w:val="24"/>
        </w:rPr>
        <w:t>Collect data</w:t>
      </w:r>
      <w:r w:rsidRPr="007C5A1A">
        <w:rPr>
          <w:sz w:val="24"/>
        </w:rPr>
        <w:t xml:space="preserve"> in connection with a statistical survey that is not designed to produce valid and reli</w:t>
      </w:r>
      <w:r w:rsidRPr="007C5A1A">
        <w:rPr>
          <w:sz w:val="24"/>
        </w:rPr>
        <w:softHyphen/>
        <w:t>able results that can be generalized to the universe of study,</w:t>
      </w:r>
    </w:p>
    <w:p w:rsidR="008F1EB4" w:rsidRPr="000266C0" w:rsidP="008472BF" w14:paraId="5083E600" w14:textId="29B44B1B">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C5A1A">
        <w:rPr>
          <w:sz w:val="24"/>
        </w:rPr>
        <w:t>U</w:t>
      </w:r>
      <w:r w:rsidRPr="007C5A1A">
        <w:rPr>
          <w:sz w:val="24"/>
        </w:rPr>
        <w:t>se a statistical data classi</w:t>
      </w:r>
      <w:r w:rsidRPr="007C5A1A">
        <w:rPr>
          <w:sz w:val="24"/>
        </w:rPr>
        <w:softHyphen/>
        <w:t xml:space="preserve">fication that has not been reviewed and approved by </w:t>
      </w:r>
      <w:r w:rsidRPr="007C5A1A">
        <w:rPr>
          <w:sz w:val="24"/>
        </w:rPr>
        <w:t>OMB;</w:t>
      </w:r>
    </w:p>
    <w:p w:rsidR="008F1EB4" w:rsidRPr="000266C0" w:rsidP="008472BF" w14:paraId="5CD18E8F" w14:textId="525832BB">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C5A1A">
        <w:rPr>
          <w:sz w:val="24"/>
        </w:rPr>
        <w:t>I</w:t>
      </w:r>
      <w:r w:rsidRPr="007C5A1A">
        <w:rPr>
          <w:sz w:val="24"/>
        </w:rPr>
        <w:t>nclude a pledge of confidentiality that is not supported by authority estab</w:t>
      </w:r>
      <w:r w:rsidRPr="007C5A1A">
        <w:rPr>
          <w:sz w:val="24"/>
        </w:rPr>
        <w:softHyphen/>
        <w:t>lished in statue or regulation that is not supported by disclosure and data security policies that are consistent with the pledge, or which unnecessarily impedes sharing of data with other agencies f</w:t>
      </w:r>
      <w:r w:rsidRPr="000266C0">
        <w:rPr>
          <w:sz w:val="24"/>
        </w:rPr>
        <w:t>or compatible confidential use; or</w:t>
      </w:r>
    </w:p>
    <w:p w:rsidR="008F1EB4" w:rsidRPr="007C5A1A" w:rsidP="008472BF" w14:paraId="74F7DD56" w14:textId="1C9FDE98">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C5A1A">
        <w:rPr>
          <w:sz w:val="24"/>
        </w:rPr>
        <w:t>S</w:t>
      </w:r>
      <w:r w:rsidRPr="007C5A1A">
        <w:rPr>
          <w:sz w:val="24"/>
        </w:rPr>
        <w:t>ubmit propri</w:t>
      </w:r>
      <w:r w:rsidRPr="007C5A1A">
        <w:rPr>
          <w:sz w:val="24"/>
        </w:rPr>
        <w:softHyphen/>
        <w:t>etary trade secret, or other confidential information unless the agency can demon</w:t>
      </w:r>
      <w:r w:rsidRPr="007C5A1A">
        <w:rPr>
          <w:sz w:val="24"/>
        </w:rPr>
        <w:softHyphen/>
        <w:t>strate that it has instituted procedures to protect die information's confidentiality to the extent permitted by law.</w:t>
      </w:r>
    </w:p>
    <w:p w:rsidR="008F1EB4" w14:paraId="7DFA46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57A09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Pr="007C5A1A" w14:paraId="35DC83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4F98" w:rsidP="00F30800" w14:paraId="67B05F23" w14:textId="01BEC3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472BF">
        <w:rPr>
          <w:sz w:val="24"/>
        </w:rPr>
        <w:t>The proposed rule (CMS</w:t>
      </w:r>
      <w:r w:rsidRPr="008472BF">
        <w:rPr>
          <w:sz w:val="24"/>
        </w:rPr>
        <w:noBreakHyphen/>
        <w:t>1788</w:t>
      </w:r>
      <w:r w:rsidRPr="008472BF">
        <w:rPr>
          <w:sz w:val="24"/>
        </w:rPr>
        <w:noBreakHyphen/>
        <w:t xml:space="preserve">P, RIN 0938-AV17) </w:t>
      </w:r>
      <w:r w:rsidRPr="008472BF" w:rsidR="002B00A6">
        <w:rPr>
          <w:sz w:val="24"/>
        </w:rPr>
        <w:t xml:space="preserve">solicits comments on </w:t>
      </w:r>
      <w:r w:rsidR="00CF4A9D">
        <w:rPr>
          <w:sz w:val="24"/>
        </w:rPr>
        <w:t>the</w:t>
      </w:r>
      <w:r w:rsidRPr="008472BF" w:rsidR="00CF4A9D">
        <w:rPr>
          <w:sz w:val="24"/>
        </w:rPr>
        <w:t xml:space="preserve"> </w:t>
      </w:r>
      <w:r w:rsidRPr="008472BF" w:rsidR="002B00A6">
        <w:rPr>
          <w:sz w:val="24"/>
        </w:rPr>
        <w:t xml:space="preserve">proposed </w:t>
      </w:r>
      <w:r w:rsidRPr="008472BF" w:rsidR="00675A65">
        <w:rPr>
          <w:sz w:val="24"/>
        </w:rPr>
        <w:t>policies.</w:t>
      </w:r>
      <w:r w:rsidR="0066379E">
        <w:rPr>
          <w:sz w:val="24"/>
        </w:rPr>
        <w:t xml:space="preserve"> </w:t>
      </w:r>
      <w:r w:rsidRPr="0066379E" w:rsidR="0066379E">
        <w:rPr>
          <w:sz w:val="24"/>
        </w:rPr>
        <w:t xml:space="preserve">The 60-day Federal Register </w:t>
      </w:r>
      <w:r w:rsidR="001246FA">
        <w:rPr>
          <w:sz w:val="24"/>
        </w:rPr>
        <w:t>n</w:t>
      </w:r>
      <w:r w:rsidRPr="0066379E" w:rsidR="0066379E">
        <w:rPr>
          <w:sz w:val="24"/>
        </w:rPr>
        <w:t>otice publis</w:t>
      </w:r>
      <w:r w:rsidRPr="00C70C45" w:rsidR="0066379E">
        <w:rPr>
          <w:sz w:val="24"/>
        </w:rPr>
        <w:t xml:space="preserve">hed </w:t>
      </w:r>
      <w:r w:rsidRPr="00C70C45" w:rsidR="001246FA">
        <w:rPr>
          <w:sz w:val="24"/>
        </w:rPr>
        <w:t xml:space="preserve">as part of the proposed rule on </w:t>
      </w:r>
      <w:r w:rsidRPr="00E76F5D" w:rsidR="00CF4A9D">
        <w:rPr>
          <w:sz w:val="24"/>
        </w:rPr>
        <w:t xml:space="preserve">February 28, 2023 </w:t>
      </w:r>
      <w:r w:rsidRPr="00E76F5D" w:rsidR="0066379E">
        <w:rPr>
          <w:sz w:val="24"/>
        </w:rPr>
        <w:t>(</w:t>
      </w:r>
      <w:r w:rsidRPr="00E76F5D" w:rsidR="00CF4A9D">
        <w:rPr>
          <w:sz w:val="24"/>
        </w:rPr>
        <w:t xml:space="preserve">88 </w:t>
      </w:r>
      <w:r w:rsidRPr="00E76F5D" w:rsidR="0066379E">
        <w:rPr>
          <w:sz w:val="24"/>
        </w:rPr>
        <w:t>FR</w:t>
      </w:r>
      <w:r w:rsidRPr="00E76F5D" w:rsidR="000D3BA9">
        <w:rPr>
          <w:sz w:val="24"/>
        </w:rPr>
        <w:t xml:space="preserve"> </w:t>
      </w:r>
      <w:r w:rsidRPr="00C70C45" w:rsidR="00CF4A9D">
        <w:rPr>
          <w:sz w:val="24"/>
        </w:rPr>
        <w:t>12623</w:t>
      </w:r>
      <w:r w:rsidRPr="00C70C45" w:rsidR="0066379E">
        <w:rPr>
          <w:sz w:val="24"/>
        </w:rPr>
        <w:t>)</w:t>
      </w:r>
      <w:r w:rsidRPr="00C70C45" w:rsidR="00C70C45">
        <w:rPr>
          <w:sz w:val="24"/>
        </w:rPr>
        <w:t xml:space="preserve">. </w:t>
      </w:r>
      <w:r w:rsidR="00C70C45">
        <w:rPr>
          <w:rStyle w:val="cf01"/>
          <w:rFonts w:ascii="Times New Roman" w:hAnsi="Times New Roman" w:cs="Times New Roman"/>
          <w:sz w:val="24"/>
          <w:szCs w:val="24"/>
        </w:rPr>
        <w:t>W</w:t>
      </w:r>
      <w:r w:rsidRPr="00E76F5D" w:rsidR="00C70C45">
        <w:rPr>
          <w:rStyle w:val="cf01"/>
          <w:rFonts w:ascii="Times New Roman" w:hAnsi="Times New Roman" w:cs="Times New Roman"/>
          <w:sz w:val="24"/>
          <w:szCs w:val="24"/>
        </w:rPr>
        <w:t>e receive</w:t>
      </w:r>
      <w:r w:rsidR="00C70C45">
        <w:rPr>
          <w:rStyle w:val="cf01"/>
          <w:rFonts w:ascii="Times New Roman" w:hAnsi="Times New Roman" w:cs="Times New Roman"/>
          <w:sz w:val="24"/>
          <w:szCs w:val="24"/>
        </w:rPr>
        <w:t>d</w:t>
      </w:r>
      <w:r w:rsidRPr="00E76F5D" w:rsidR="00C70C45">
        <w:rPr>
          <w:rStyle w:val="cf01"/>
          <w:rFonts w:ascii="Times New Roman" w:hAnsi="Times New Roman" w:cs="Times New Roman"/>
          <w:sz w:val="24"/>
          <w:szCs w:val="24"/>
        </w:rPr>
        <w:t xml:space="preserve"> no public comments on the information collection requirements for the proposed policies</w:t>
      </w:r>
      <w:r w:rsidR="00C70C45">
        <w:rPr>
          <w:rStyle w:val="cf01"/>
          <w:rFonts w:ascii="Times New Roman" w:hAnsi="Times New Roman" w:cs="Times New Roman"/>
          <w:sz w:val="24"/>
          <w:szCs w:val="24"/>
        </w:rPr>
        <w:t>.</w:t>
      </w:r>
    </w:p>
    <w:p w:rsidR="001246FA" w:rsidP="00F30800" w14:paraId="2B3C45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70C45" w:rsidRPr="007C5A1A" w:rsidP="00F30800" w14:paraId="59BF4DCF" w14:textId="592BB1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final rule</w:t>
      </w:r>
      <w:r w:rsidR="00E76F5D">
        <w:rPr>
          <w:sz w:val="24"/>
        </w:rPr>
        <w:t xml:space="preserve"> (CMS-1788-F; RIN 0938-AV17)</w:t>
      </w:r>
      <w:r>
        <w:rPr>
          <w:sz w:val="24"/>
        </w:rPr>
        <w:t xml:space="preserve"> published on </w:t>
      </w:r>
      <w:r w:rsidR="00E76F5D">
        <w:rPr>
          <w:sz w:val="24"/>
        </w:rPr>
        <w:t>August 28, 2023 (88 FR 58640).</w:t>
      </w:r>
      <w:r>
        <w:rPr>
          <w:sz w:val="24"/>
        </w:rPr>
        <w:t xml:space="preserve"> </w:t>
      </w:r>
    </w:p>
    <w:p w:rsidR="008F1EB4" w14:paraId="743EBF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6462A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14:paraId="6CCD11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F2A7F" w:rsidRPr="00FE3D65" w14:paraId="12135672" w14:textId="76E8E5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E3D65">
        <w:rPr>
          <w:sz w:val="24"/>
        </w:rPr>
        <w:t xml:space="preserve">Information submitted by hospitals under this collection of information request may increase a hospital’s DSH adjustment, and ultimately Medicare reimbursement, relative to what it would have been without such information. </w:t>
      </w:r>
      <w:r w:rsidRPr="00FE3D65">
        <w:rPr>
          <w:sz w:val="24"/>
        </w:rPr>
        <w:t>CMS makes no payments or gifts to respondents for completion of this data collection. CMS issues claims payments for covered services provided to Medicare beneficiaries. The</w:t>
      </w:r>
      <w:r w:rsidRPr="00FE3D65" w:rsidR="00D25FE0">
        <w:rPr>
          <w:sz w:val="24"/>
        </w:rPr>
        <w:t xml:space="preserve"> information collected and reported to CMS is used</w:t>
      </w:r>
      <w:r w:rsidRPr="00FE3D65">
        <w:rPr>
          <w:sz w:val="24"/>
        </w:rPr>
        <w:t xml:space="preserve"> to determine accurate payments to a hospital. </w:t>
      </w:r>
    </w:p>
    <w:p w:rsidR="008F1EB4" w14:paraId="0AE814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046E12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14:paraId="0DD065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163CD" w:rsidRPr="00FE3D65" w:rsidP="00DD110B" w14:paraId="0EDD235E" w14:textId="24C1D4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472BF">
        <w:rPr>
          <w:sz w:val="24"/>
        </w:rPr>
        <w:t>Confidentiality is not assured</w:t>
      </w:r>
      <w:r w:rsidRPr="008472BF" w:rsidR="00B71C8A">
        <w:rPr>
          <w:sz w:val="24"/>
        </w:rPr>
        <w:t xml:space="preserve"> for information submitted in cost reports</w:t>
      </w:r>
      <w:r w:rsidRPr="008472BF">
        <w:rPr>
          <w:sz w:val="24"/>
        </w:rPr>
        <w:t xml:space="preserve">. </w:t>
      </w:r>
    </w:p>
    <w:p w:rsidR="008F1EB4" w14:paraId="54A276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7B1DC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14:paraId="7D7310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13D384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There are no questions of a sensitive nature.</w:t>
      </w:r>
    </w:p>
    <w:p w:rsidR="0080516B" w14:paraId="349153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46333D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504D62" w:rsidRPr="000266C0" w:rsidP="00EC389B" w14:paraId="36CE1841" w14:textId="77777777">
      <w:pPr>
        <w:tabs>
          <w:tab w:val="left" w:pos="432"/>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EC3B2C" w:rsidP="00C17626" w14:paraId="17746812" w14:textId="7BD7D82C">
      <w:pPr>
        <w:ind w:left="450"/>
        <w:rPr>
          <w:bCs/>
          <w:sz w:val="24"/>
        </w:rPr>
      </w:pPr>
      <w:r w:rsidRPr="000266C0">
        <w:rPr>
          <w:sz w:val="24"/>
        </w:rPr>
        <w:t xml:space="preserve">The burden associated with this </w:t>
      </w:r>
      <w:r w:rsidR="005413FD">
        <w:rPr>
          <w:sz w:val="24"/>
        </w:rPr>
        <w:t xml:space="preserve">finalized </w:t>
      </w:r>
      <w:r w:rsidR="00886CFE">
        <w:rPr>
          <w:sz w:val="24"/>
        </w:rPr>
        <w:t>policy</w:t>
      </w:r>
      <w:r w:rsidR="005413FD">
        <w:rPr>
          <w:sz w:val="24"/>
        </w:rPr>
        <w:t xml:space="preserve"> is</w:t>
      </w:r>
      <w:r w:rsidRPr="000266C0">
        <w:rPr>
          <w:sz w:val="24"/>
        </w:rPr>
        <w:t xml:space="preserve"> the time for </w:t>
      </w:r>
      <w:r w:rsidRPr="000266C0" w:rsidR="00504D62">
        <w:rPr>
          <w:sz w:val="24"/>
        </w:rPr>
        <w:t>hospital</w:t>
      </w:r>
      <w:r w:rsidRPr="000266C0">
        <w:rPr>
          <w:sz w:val="24"/>
        </w:rPr>
        <w:t>s to</w:t>
      </w:r>
      <w:r w:rsidRPr="000266C0" w:rsidR="00504D62">
        <w:rPr>
          <w:sz w:val="24"/>
        </w:rPr>
        <w:t xml:space="preserve"> </w:t>
      </w:r>
      <w:r w:rsidRPr="000266C0" w:rsidR="00DD019D">
        <w:rPr>
          <w:sz w:val="24"/>
        </w:rPr>
        <w:t>determine whether the premium payments for a patient’s insurance are paid for by a</w:t>
      </w:r>
      <w:r w:rsidRPr="000266C0" w:rsidR="006137AB">
        <w:rPr>
          <w:sz w:val="24"/>
        </w:rPr>
        <w:t xml:space="preserve"> section 1115 premium assistance </w:t>
      </w:r>
      <w:r w:rsidRPr="000266C0" w:rsidR="0051284F">
        <w:rPr>
          <w:sz w:val="24"/>
        </w:rPr>
        <w:t>program</w:t>
      </w:r>
      <w:r w:rsidRPr="000266C0" w:rsidR="007C7B05">
        <w:rPr>
          <w:sz w:val="24"/>
        </w:rPr>
        <w:t xml:space="preserve">. We estimate </w:t>
      </w:r>
      <w:r w:rsidR="0096198B">
        <w:rPr>
          <w:sz w:val="24"/>
        </w:rPr>
        <w:t>340</w:t>
      </w:r>
      <w:r w:rsidRPr="000266C0" w:rsidR="0096198B">
        <w:rPr>
          <w:sz w:val="24"/>
        </w:rPr>
        <w:t xml:space="preserve"> </w:t>
      </w:r>
      <w:r w:rsidRPr="000266C0" w:rsidR="007C7B05">
        <w:rPr>
          <w:sz w:val="24"/>
        </w:rPr>
        <w:t>hospital</w:t>
      </w:r>
      <w:r w:rsidRPr="000266C0" w:rsidR="006137AB">
        <w:rPr>
          <w:sz w:val="24"/>
        </w:rPr>
        <w:t xml:space="preserve">s </w:t>
      </w:r>
      <w:r w:rsidRPr="000266C0" w:rsidR="007C7B05">
        <w:rPr>
          <w:sz w:val="24"/>
        </w:rPr>
        <w:t xml:space="preserve">will be affected by this requirement, which is the total number of </w:t>
      </w:r>
      <w:r w:rsidRPr="000266C0" w:rsidR="007C7B05">
        <w:rPr>
          <w:bCs/>
          <w:sz w:val="24"/>
        </w:rPr>
        <w:t xml:space="preserve">Medicare-certified </w:t>
      </w:r>
      <w:r w:rsidR="00886CFE">
        <w:rPr>
          <w:bCs/>
          <w:sz w:val="24"/>
        </w:rPr>
        <w:t xml:space="preserve">“subsection </w:t>
      </w:r>
      <w:r w:rsidRPr="000266C0" w:rsidR="007C7B05">
        <w:rPr>
          <w:bCs/>
          <w:sz w:val="24"/>
        </w:rPr>
        <w:t>(d)</w:t>
      </w:r>
      <w:r w:rsidR="00886CFE">
        <w:rPr>
          <w:bCs/>
          <w:sz w:val="24"/>
        </w:rPr>
        <w:t>”</w:t>
      </w:r>
      <w:r w:rsidRPr="000266C0" w:rsidR="007C7B05">
        <w:rPr>
          <w:bCs/>
          <w:sz w:val="24"/>
        </w:rPr>
        <w:t xml:space="preserve"> hospitals </w:t>
      </w:r>
      <w:r w:rsidR="0086740F">
        <w:rPr>
          <w:bCs/>
          <w:sz w:val="24"/>
        </w:rPr>
        <w:t xml:space="preserve">(that is, IPPS hospitals paid under section 1886 of the Act) </w:t>
      </w:r>
      <w:r w:rsidRPr="000266C0" w:rsidR="007C7B05">
        <w:rPr>
          <w:bCs/>
          <w:sz w:val="24"/>
        </w:rPr>
        <w:t xml:space="preserve">in the </w:t>
      </w:r>
      <w:r w:rsidR="0096198B">
        <w:rPr>
          <w:bCs/>
          <w:sz w:val="24"/>
        </w:rPr>
        <w:t>eight</w:t>
      </w:r>
      <w:r w:rsidRPr="000266C0" w:rsidR="0096198B">
        <w:rPr>
          <w:bCs/>
          <w:sz w:val="24"/>
        </w:rPr>
        <w:t xml:space="preserve"> </w:t>
      </w:r>
      <w:r w:rsidR="0086740F">
        <w:rPr>
          <w:bCs/>
          <w:sz w:val="24"/>
        </w:rPr>
        <w:t>s</w:t>
      </w:r>
      <w:r w:rsidRPr="000266C0" w:rsidR="007C7B05">
        <w:rPr>
          <w:bCs/>
          <w:sz w:val="24"/>
        </w:rPr>
        <w:t xml:space="preserve">tates </w:t>
      </w:r>
      <w:r w:rsidRPr="000266C0" w:rsidR="006137AB">
        <w:rPr>
          <w:bCs/>
          <w:sz w:val="24"/>
        </w:rPr>
        <w:t xml:space="preserve">which currently operate </w:t>
      </w:r>
      <w:r w:rsidRPr="000266C0" w:rsidR="007C7B05">
        <w:rPr>
          <w:bCs/>
          <w:sz w:val="24"/>
        </w:rPr>
        <w:t>approved premium assistance sec</w:t>
      </w:r>
      <w:r w:rsidRPr="000266C0" w:rsidR="00D84E89">
        <w:rPr>
          <w:bCs/>
          <w:sz w:val="24"/>
        </w:rPr>
        <w:t>tion</w:t>
      </w:r>
      <w:r w:rsidRPr="000266C0" w:rsidR="007C7B05">
        <w:rPr>
          <w:bCs/>
          <w:sz w:val="24"/>
        </w:rPr>
        <w:t xml:space="preserve"> 1115 demonstrations. </w:t>
      </w:r>
      <w:r w:rsidR="00C17626">
        <w:rPr>
          <w:bCs/>
          <w:sz w:val="24"/>
        </w:rPr>
        <w:t xml:space="preserve">We estimate this burden to be </w:t>
      </w:r>
      <w:r w:rsidR="00C17626">
        <w:rPr>
          <w:sz w:val="24"/>
        </w:rPr>
        <w:t>$20,899,060.</w:t>
      </w:r>
      <w:r w:rsidR="00CF4A9D">
        <w:rPr>
          <w:sz w:val="24"/>
        </w:rPr>
        <w:t xml:space="preserve"> </w:t>
      </w:r>
      <w:r w:rsidR="00C17626">
        <w:rPr>
          <w:bCs/>
          <w:sz w:val="24"/>
        </w:rPr>
        <w:t>In addition, we have</w:t>
      </w:r>
      <w:r w:rsidRPr="00504D1C" w:rsidR="00504D1C">
        <w:rPr>
          <w:bCs/>
          <w:sz w:val="24"/>
        </w:rPr>
        <w:t xml:space="preserve"> estimate</w:t>
      </w:r>
      <w:r w:rsidR="00C17626">
        <w:rPr>
          <w:bCs/>
          <w:sz w:val="24"/>
        </w:rPr>
        <w:t>d</w:t>
      </w:r>
      <w:r w:rsidRPr="00504D1C" w:rsidR="00504D1C">
        <w:rPr>
          <w:bCs/>
          <w:sz w:val="24"/>
        </w:rPr>
        <w:t xml:space="preserve"> </w:t>
      </w:r>
      <w:r w:rsidR="005E3DB6">
        <w:rPr>
          <w:bCs/>
          <w:sz w:val="24"/>
        </w:rPr>
        <w:t>the</w:t>
      </w:r>
      <w:r w:rsidR="00504D1C">
        <w:rPr>
          <w:bCs/>
          <w:sz w:val="24"/>
        </w:rPr>
        <w:t xml:space="preserve"> additional</w:t>
      </w:r>
      <w:r w:rsidRPr="00504D1C" w:rsidR="00504D1C">
        <w:rPr>
          <w:bCs/>
          <w:sz w:val="24"/>
        </w:rPr>
        <w:t xml:space="preserve"> burden to identify whether any </w:t>
      </w:r>
      <w:r w:rsidRPr="00504D1C" w:rsidR="00504D1C">
        <w:rPr>
          <w:bCs/>
          <w:sz w:val="24"/>
        </w:rPr>
        <w:t>non</w:t>
      </w:r>
      <w:r w:rsidR="00453A75">
        <w:rPr>
          <w:bCs/>
          <w:sz w:val="24"/>
        </w:rPr>
        <w:t xml:space="preserve"> </w:t>
      </w:r>
      <w:r w:rsidRPr="00504D1C" w:rsidR="00504D1C">
        <w:rPr>
          <w:bCs/>
          <w:sz w:val="24"/>
        </w:rPr>
        <w:t>Medicaid</w:t>
      </w:r>
      <w:r w:rsidRPr="00504D1C" w:rsidR="00504D1C">
        <w:rPr>
          <w:bCs/>
          <w:sz w:val="24"/>
        </w:rPr>
        <w:t xml:space="preserve">-eligible patients have received premium assistance that covers less than 100 percent of their costs. </w:t>
      </w:r>
      <w:r w:rsidR="001E1C24">
        <w:rPr>
          <w:bCs/>
          <w:sz w:val="24"/>
        </w:rPr>
        <w:t>We estimate that an additional 1.5 minutes is needed for this additional effort</w:t>
      </w:r>
      <w:r w:rsidR="00C17626">
        <w:rPr>
          <w:bCs/>
          <w:sz w:val="24"/>
        </w:rPr>
        <w:t xml:space="preserve"> for an estimated 56 hospitals</w:t>
      </w:r>
      <w:r w:rsidR="001E1C24">
        <w:rPr>
          <w:bCs/>
          <w:sz w:val="24"/>
        </w:rPr>
        <w:t>.</w:t>
      </w:r>
      <w:r w:rsidR="00C17626">
        <w:rPr>
          <w:bCs/>
          <w:sz w:val="24"/>
        </w:rPr>
        <w:t xml:space="preserve"> We estimate this burden to be </w:t>
      </w:r>
      <w:r w:rsidR="00C17626">
        <w:rPr>
          <w:sz w:val="24"/>
        </w:rPr>
        <w:t>$479,322.</w:t>
      </w:r>
    </w:p>
    <w:p w:rsidR="00EC3B2C" w:rsidP="00BB5169" w14:paraId="2C89BA88" w14:textId="77777777">
      <w:pPr>
        <w:ind w:left="450"/>
        <w:rPr>
          <w:bCs/>
          <w:sz w:val="24"/>
        </w:rPr>
      </w:pPr>
    </w:p>
    <w:p w:rsidR="00504D62" w:rsidRPr="000266C0" w:rsidP="00BB5169" w14:paraId="1B854604" w14:textId="228CF9DC">
      <w:pPr>
        <w:ind w:left="450"/>
        <w:rPr>
          <w:bCs/>
          <w:sz w:val="24"/>
        </w:rPr>
      </w:pPr>
      <w:r w:rsidRPr="000266C0">
        <w:rPr>
          <w:bCs/>
          <w:sz w:val="24"/>
        </w:rPr>
        <w:t>T</w:t>
      </w:r>
      <w:r w:rsidRPr="000266C0" w:rsidR="00E77553">
        <w:rPr>
          <w:sz w:val="24"/>
        </w:rPr>
        <w:t xml:space="preserve">he estimated total burden is </w:t>
      </w:r>
      <w:r w:rsidRPr="00EC2AA9" w:rsidR="00EC2AA9">
        <w:rPr>
          <w:sz w:val="24"/>
        </w:rPr>
        <w:t>$</w:t>
      </w:r>
      <w:r w:rsidR="00D16842">
        <w:rPr>
          <w:sz w:val="24"/>
        </w:rPr>
        <w:t>21,</w:t>
      </w:r>
      <w:r w:rsidR="00504D1C">
        <w:rPr>
          <w:sz w:val="24"/>
        </w:rPr>
        <w:t>3</w:t>
      </w:r>
      <w:r w:rsidR="00EC3B2C">
        <w:rPr>
          <w:sz w:val="24"/>
        </w:rPr>
        <w:t>78</w:t>
      </w:r>
      <w:r w:rsidR="00504D1C">
        <w:rPr>
          <w:sz w:val="24"/>
        </w:rPr>
        <w:t>,382</w:t>
      </w:r>
      <w:r w:rsidR="00EC2AA9">
        <w:rPr>
          <w:sz w:val="24"/>
        </w:rPr>
        <w:t xml:space="preserve"> </w:t>
      </w:r>
      <w:r w:rsidR="00EC3B2C">
        <w:rPr>
          <w:sz w:val="24"/>
        </w:rPr>
        <w:t xml:space="preserve">($20,899,060 + $479,322) </w:t>
      </w:r>
      <w:r w:rsidRPr="000266C0" w:rsidR="00ED69B1">
        <w:rPr>
          <w:sz w:val="24"/>
        </w:rPr>
        <w:t xml:space="preserve">a year </w:t>
      </w:r>
      <w:r w:rsidRPr="000266C0" w:rsidR="00E77553">
        <w:rPr>
          <w:sz w:val="24"/>
        </w:rPr>
        <w:t>as follows:</w:t>
      </w:r>
    </w:p>
    <w:p w:rsidR="00E77553" w:rsidRPr="000266C0" w:rsidP="00EC389B" w14:paraId="62DBB71B" w14:textId="77777777">
      <w:pPr>
        <w:tabs>
          <w:tab w:val="left" w:pos="432"/>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CF4A9D" w:rsidP="00EC389B" w14:paraId="3E2DC9BD" w14:textId="4F330339">
      <w:pPr>
        <w:tabs>
          <w:tab w:val="left" w:pos="432"/>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1,978,141</w:t>
      </w:r>
      <w:r w:rsidRPr="000266C0" w:rsidR="00FB0C4F">
        <w:rPr>
          <w:sz w:val="24"/>
        </w:rPr>
        <w:t xml:space="preserve"> </w:t>
      </w:r>
      <w:r w:rsidRPr="000266C0" w:rsidR="00E77553">
        <w:rPr>
          <w:sz w:val="24"/>
        </w:rPr>
        <w:t xml:space="preserve">inquiries a year x </w:t>
      </w:r>
      <w:r w:rsidRPr="000266C0" w:rsidR="000E134B">
        <w:rPr>
          <w:sz w:val="24"/>
        </w:rPr>
        <w:t xml:space="preserve">0.25 </w:t>
      </w:r>
      <w:r w:rsidRPr="000266C0" w:rsidR="00E77553">
        <w:rPr>
          <w:sz w:val="24"/>
        </w:rPr>
        <w:t>hours per inquiry x (wages of $</w:t>
      </w:r>
      <w:r w:rsidRPr="000266C0" w:rsidR="00460A9E">
        <w:rPr>
          <w:sz w:val="24"/>
        </w:rPr>
        <w:t>21.13</w:t>
      </w:r>
      <w:r w:rsidRPr="000266C0" w:rsidR="00E77553">
        <w:rPr>
          <w:sz w:val="24"/>
        </w:rPr>
        <w:t>/hour x 2 (fringe benefits) per hour =</w:t>
      </w:r>
      <w:r w:rsidRPr="000266C0" w:rsidR="00117CDD">
        <w:rPr>
          <w:sz w:val="24"/>
        </w:rPr>
        <w:t xml:space="preserve"> </w:t>
      </w:r>
      <w:r w:rsidRPr="00720319" w:rsidR="00720319">
        <w:rPr>
          <w:sz w:val="24"/>
        </w:rPr>
        <w:t>$</w:t>
      </w:r>
      <w:bookmarkStart w:id="1" w:name="_Hlk141256635"/>
      <w:r w:rsidR="003B7AF0">
        <w:rPr>
          <w:sz w:val="24"/>
        </w:rPr>
        <w:t>20,899,060</w:t>
      </w:r>
      <w:bookmarkEnd w:id="1"/>
      <w:r w:rsidR="003B7AF0">
        <w:rPr>
          <w:sz w:val="24"/>
        </w:rPr>
        <w:t xml:space="preserve"> </w:t>
      </w:r>
      <w:r w:rsidR="0086740F">
        <w:rPr>
          <w:sz w:val="24"/>
        </w:rPr>
        <w:t xml:space="preserve">per </w:t>
      </w:r>
      <w:r w:rsidRPr="000266C0" w:rsidR="00117CDD">
        <w:rPr>
          <w:sz w:val="24"/>
        </w:rPr>
        <w:t>year</w:t>
      </w:r>
      <w:r w:rsidR="00504D1C">
        <w:rPr>
          <w:sz w:val="24"/>
        </w:rPr>
        <w:t xml:space="preserve">; plus </w:t>
      </w:r>
      <w:r w:rsidR="007B0F5B">
        <w:rPr>
          <w:sz w:val="24"/>
        </w:rPr>
        <w:t>an</w:t>
      </w:r>
      <w:r w:rsidR="00504D1C">
        <w:rPr>
          <w:sz w:val="24"/>
        </w:rPr>
        <w:t xml:space="preserve"> additional </w:t>
      </w:r>
      <w:r w:rsidRPr="00A07D33" w:rsidR="00504D1C">
        <w:rPr>
          <w:bCs/>
          <w:sz w:val="24"/>
        </w:rPr>
        <w:t xml:space="preserve">453,689 inquiries x 0.025 hours per </w:t>
      </w:r>
      <w:r w:rsidRPr="00585934" w:rsidR="00504D1C">
        <w:rPr>
          <w:bCs/>
          <w:sz w:val="24"/>
        </w:rPr>
        <w:t xml:space="preserve">x </w:t>
      </w:r>
      <w:r w:rsidRPr="000266C0" w:rsidR="00EC3B2C">
        <w:rPr>
          <w:sz w:val="24"/>
        </w:rPr>
        <w:t>(wages of $21.13/hour x 2 (fringe benefits) per hour =</w:t>
      </w:r>
      <w:r>
        <w:rPr>
          <w:sz w:val="24"/>
        </w:rPr>
        <w:t xml:space="preserve"> </w:t>
      </w:r>
      <w:r w:rsidR="00EC3B2C">
        <w:rPr>
          <w:sz w:val="24"/>
        </w:rPr>
        <w:t>$479,322 per year</w:t>
      </w:r>
      <w:r w:rsidR="007B0F5B">
        <w:rPr>
          <w:sz w:val="24"/>
        </w:rPr>
        <w:t xml:space="preserve"> </w:t>
      </w:r>
      <w:r w:rsidRPr="007B0F5B" w:rsidR="007B0F5B">
        <w:rPr>
          <w:sz w:val="24"/>
        </w:rPr>
        <w:t xml:space="preserve">to identify </w:t>
      </w:r>
      <w:r w:rsidRPr="00453A75" w:rsidR="00453A75">
        <w:rPr>
          <w:sz w:val="24"/>
        </w:rPr>
        <w:t xml:space="preserve">whether any non-Medicaid-eligible patients have received premium assistance that covers less than 100 percent of their </w:t>
      </w:r>
      <w:r w:rsidRPr="00453A75" w:rsidR="00453A75">
        <w:rPr>
          <w:sz w:val="24"/>
        </w:rPr>
        <w:t>costs</w:t>
      </w:r>
      <w:r w:rsidR="00453A75">
        <w:rPr>
          <w:sz w:val="24"/>
        </w:rPr>
        <w:t xml:space="preserve"> </w:t>
      </w:r>
      <w:r w:rsidR="00EC3B2C">
        <w:rPr>
          <w:sz w:val="24"/>
        </w:rPr>
        <w:t>.</w:t>
      </w:r>
    </w:p>
    <w:p w:rsidR="00117CDD" w:rsidRPr="000266C0" w:rsidP="00EC389B" w14:paraId="52E6EF51" w14:textId="730F7E64">
      <w:pPr>
        <w:tabs>
          <w:tab w:val="left" w:pos="432"/>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 xml:space="preserve"> </w:t>
      </w:r>
    </w:p>
    <w:p w:rsidR="0023147A" w:rsidRPr="000266C0" w:rsidP="00EC389B" w14:paraId="0077D7E9" w14:textId="631AA1A4">
      <w:pPr>
        <w:tabs>
          <w:tab w:val="left" w:pos="432"/>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266C0">
        <w:rPr>
          <w:sz w:val="24"/>
        </w:rPr>
        <w:t xml:space="preserve">The number of inquiries is </w:t>
      </w:r>
      <w:r w:rsidR="0086740F">
        <w:rPr>
          <w:sz w:val="24"/>
        </w:rPr>
        <w:t>based on discharges reported on hospitals’ 2019 cost report</w:t>
      </w:r>
      <w:r w:rsidR="00A135A6">
        <w:rPr>
          <w:sz w:val="24"/>
        </w:rPr>
        <w:t>s</w:t>
      </w:r>
      <w:r w:rsidR="0086740F">
        <w:rPr>
          <w:sz w:val="24"/>
        </w:rPr>
        <w:t xml:space="preserve"> and is </w:t>
      </w:r>
      <w:r w:rsidRPr="000266C0">
        <w:rPr>
          <w:sz w:val="24"/>
        </w:rPr>
        <w:t xml:space="preserve">calculated </w:t>
      </w:r>
      <w:r w:rsidRPr="000266C0" w:rsidR="00C13F59">
        <w:rPr>
          <w:sz w:val="24"/>
        </w:rPr>
        <w:t>by su</w:t>
      </w:r>
      <w:r w:rsidRPr="000266C0" w:rsidR="009D2E06">
        <w:rPr>
          <w:sz w:val="24"/>
        </w:rPr>
        <w:t>btracting total</w:t>
      </w:r>
      <w:r w:rsidRPr="000266C0" w:rsidR="00F715D0">
        <w:rPr>
          <w:sz w:val="24"/>
        </w:rPr>
        <w:t xml:space="preserve"> </w:t>
      </w:r>
      <w:r w:rsidR="004C5F5A">
        <w:rPr>
          <w:sz w:val="24"/>
        </w:rPr>
        <w:t>FFY 2019</w:t>
      </w:r>
      <w:r w:rsidR="00CB654A">
        <w:rPr>
          <w:sz w:val="24"/>
        </w:rPr>
        <w:t xml:space="preserve"> </w:t>
      </w:r>
      <w:r w:rsidRPr="000266C0" w:rsidR="00C52533">
        <w:rPr>
          <w:sz w:val="24"/>
        </w:rPr>
        <w:t xml:space="preserve">Medicare discharges from total </w:t>
      </w:r>
      <w:r w:rsidR="004C5F5A">
        <w:rPr>
          <w:sz w:val="24"/>
        </w:rPr>
        <w:t>FFY 2019</w:t>
      </w:r>
      <w:r w:rsidR="003B7AF0">
        <w:rPr>
          <w:sz w:val="24"/>
        </w:rPr>
        <w:t xml:space="preserve"> </w:t>
      </w:r>
      <w:r w:rsidRPr="000266C0" w:rsidR="0059609A">
        <w:rPr>
          <w:sz w:val="24"/>
        </w:rPr>
        <w:t>discharges</w:t>
      </w:r>
      <w:r w:rsidRPr="000266C0" w:rsidR="00C52533">
        <w:rPr>
          <w:sz w:val="24"/>
        </w:rPr>
        <w:t xml:space="preserve"> for all payers</w:t>
      </w:r>
      <w:r w:rsidRPr="000266C0" w:rsidR="0059609A">
        <w:rPr>
          <w:sz w:val="24"/>
        </w:rPr>
        <w:t xml:space="preserve"> for all </w:t>
      </w:r>
      <w:r w:rsidRPr="000266C0" w:rsidR="0032187B">
        <w:rPr>
          <w:sz w:val="24"/>
        </w:rPr>
        <w:t xml:space="preserve">subsection (d) hospitals in </w:t>
      </w:r>
      <w:r w:rsidRPr="000266C0" w:rsidR="00313611">
        <w:rPr>
          <w:sz w:val="24"/>
        </w:rPr>
        <w:t>each state with a</w:t>
      </w:r>
      <w:r w:rsidRPr="000266C0" w:rsidR="0019108C">
        <w:rPr>
          <w:sz w:val="24"/>
        </w:rPr>
        <w:t xml:space="preserve"> currently approved</w:t>
      </w:r>
      <w:r w:rsidRPr="000266C0" w:rsidR="00313611">
        <w:rPr>
          <w:sz w:val="24"/>
        </w:rPr>
        <w:t xml:space="preserve"> premium support demonstration</w:t>
      </w:r>
      <w:r w:rsidRPr="000266C0" w:rsidR="00C52533">
        <w:rPr>
          <w:sz w:val="24"/>
        </w:rPr>
        <w:t xml:space="preserve">. We used annualized </w:t>
      </w:r>
      <w:r w:rsidR="00FB0C4F">
        <w:rPr>
          <w:sz w:val="24"/>
        </w:rPr>
        <w:t>dis</w:t>
      </w:r>
      <w:r w:rsidRPr="000266C0" w:rsidR="00C52533">
        <w:rPr>
          <w:sz w:val="24"/>
        </w:rPr>
        <w:t>charges for both Medicare and all payer discharge figures rather than actual discharges</w:t>
      </w:r>
      <w:r w:rsidRPr="000266C0" w:rsidR="00F715D0">
        <w:rPr>
          <w:sz w:val="24"/>
        </w:rPr>
        <w:t>, as some hospitals’ cost reports do not provide data for an entire year</w:t>
      </w:r>
      <w:r w:rsidRPr="000266C0" w:rsidR="00313611">
        <w:rPr>
          <w:sz w:val="24"/>
        </w:rPr>
        <w:t xml:space="preserve">. </w:t>
      </w:r>
      <w:r w:rsidRPr="000266C0" w:rsidR="00F715D0">
        <w:rPr>
          <w:sz w:val="24"/>
        </w:rPr>
        <w:t xml:space="preserve">We believe that under this </w:t>
      </w:r>
      <w:r w:rsidR="007B0F5B">
        <w:rPr>
          <w:sz w:val="24"/>
        </w:rPr>
        <w:t>policy</w:t>
      </w:r>
      <w:r w:rsidRPr="000266C0" w:rsidR="00F715D0">
        <w:rPr>
          <w:sz w:val="24"/>
        </w:rPr>
        <w:t xml:space="preserve">, hospitals </w:t>
      </w:r>
      <w:r w:rsidR="0086740F">
        <w:rPr>
          <w:sz w:val="24"/>
        </w:rPr>
        <w:t xml:space="preserve">in those </w:t>
      </w:r>
      <w:r w:rsidR="0086740F">
        <w:rPr>
          <w:sz w:val="24"/>
        </w:rPr>
        <w:t xml:space="preserve">states </w:t>
      </w:r>
      <w:r w:rsidRPr="000266C0" w:rsidR="00F715D0">
        <w:rPr>
          <w:sz w:val="24"/>
        </w:rPr>
        <w:t xml:space="preserve">would need </w:t>
      </w:r>
      <w:r w:rsidRPr="000266C0" w:rsidR="000E134B">
        <w:rPr>
          <w:sz w:val="24"/>
        </w:rPr>
        <w:t xml:space="preserve">to conduct inquiries for all patients with insurance </w:t>
      </w:r>
      <w:r w:rsidR="0086740F">
        <w:rPr>
          <w:sz w:val="24"/>
        </w:rPr>
        <w:t xml:space="preserve">other than Medicare </w:t>
      </w:r>
      <w:r w:rsidRPr="000266C0" w:rsidR="000E134B">
        <w:rPr>
          <w:sz w:val="24"/>
        </w:rPr>
        <w:t xml:space="preserve">to determine whether a patient’s premiums are paid for by </w:t>
      </w:r>
      <w:r w:rsidR="0086740F">
        <w:rPr>
          <w:sz w:val="24"/>
        </w:rPr>
        <w:t>premium assistance</w:t>
      </w:r>
      <w:r w:rsidRPr="000266C0" w:rsidR="0086740F">
        <w:rPr>
          <w:sz w:val="24"/>
        </w:rPr>
        <w:t xml:space="preserve"> </w:t>
      </w:r>
      <w:r w:rsidRPr="000266C0" w:rsidR="000E134B">
        <w:rPr>
          <w:sz w:val="24"/>
        </w:rPr>
        <w:t xml:space="preserve">provided by a section 1115 demonstration. </w:t>
      </w:r>
      <w:bookmarkStart w:id="2" w:name="_Hlk108687298"/>
      <w:r w:rsidRPr="000266C0" w:rsidR="00957F51">
        <w:rPr>
          <w:sz w:val="24"/>
        </w:rPr>
        <w:t xml:space="preserve">The </w:t>
      </w:r>
      <w:r w:rsidRPr="000266C0" w:rsidR="00E40363">
        <w:rPr>
          <w:sz w:val="24"/>
        </w:rPr>
        <w:t xml:space="preserve">estimates </w:t>
      </w:r>
      <w:r w:rsidRPr="000266C0" w:rsidR="00460A9E">
        <w:rPr>
          <w:sz w:val="24"/>
        </w:rPr>
        <w:t xml:space="preserve">difference between </w:t>
      </w:r>
      <w:r w:rsidRPr="000266C0" w:rsidR="00E40363">
        <w:rPr>
          <w:sz w:val="24"/>
        </w:rPr>
        <w:t xml:space="preserve">all payer </w:t>
      </w:r>
      <w:r w:rsidRPr="000266C0" w:rsidR="00460A9E">
        <w:rPr>
          <w:sz w:val="24"/>
        </w:rPr>
        <w:t xml:space="preserve">annualized discharges and </w:t>
      </w:r>
      <w:r w:rsidRPr="000266C0" w:rsidR="00E40363">
        <w:rPr>
          <w:sz w:val="24"/>
        </w:rPr>
        <w:t xml:space="preserve">annualized Medicare discharges was </w:t>
      </w:r>
      <w:bookmarkStart w:id="3" w:name="_Hlk141256658"/>
      <w:r w:rsidR="003B7AF0">
        <w:rPr>
          <w:sz w:val="24"/>
        </w:rPr>
        <w:t>1,978,141</w:t>
      </w:r>
      <w:bookmarkEnd w:id="3"/>
      <w:r w:rsidRPr="000266C0" w:rsidR="00E40363">
        <w:rPr>
          <w:sz w:val="24"/>
        </w:rPr>
        <w:t xml:space="preserve"> </w:t>
      </w:r>
      <w:r w:rsidR="00387D33">
        <w:rPr>
          <w:sz w:val="24"/>
        </w:rPr>
        <w:t>for</w:t>
      </w:r>
      <w:r w:rsidRPr="000266C0" w:rsidR="00E40363">
        <w:rPr>
          <w:sz w:val="24"/>
        </w:rPr>
        <w:t xml:space="preserve"> </w:t>
      </w:r>
      <w:r w:rsidR="0038037B">
        <w:rPr>
          <w:sz w:val="24"/>
        </w:rPr>
        <w:t xml:space="preserve">FFY </w:t>
      </w:r>
      <w:r w:rsidRPr="000266C0" w:rsidR="00E40363">
        <w:rPr>
          <w:sz w:val="24"/>
        </w:rPr>
        <w:t>2019.</w:t>
      </w:r>
    </w:p>
    <w:bookmarkEnd w:id="2"/>
    <w:p w:rsidR="00BF5B60" w:rsidP="007C7CD4" w14:paraId="10A2C530" w14:textId="77777777">
      <w:pPr>
        <w:widowControl/>
        <w:autoSpaceDE/>
        <w:autoSpaceDN/>
        <w:adjustRightInd/>
        <w:rPr>
          <w:i/>
          <w:sz w:val="22"/>
          <w:szCs w:val="22"/>
        </w:rPr>
      </w:pPr>
    </w:p>
    <w:tbl>
      <w:tblPr>
        <w:tblW w:w="7920" w:type="dxa"/>
        <w:tblInd w:w="1250" w:type="dxa"/>
        <w:tblLook w:val="04A0"/>
      </w:tblPr>
      <w:tblGrid>
        <w:gridCol w:w="720"/>
        <w:gridCol w:w="2160"/>
        <w:gridCol w:w="2340"/>
        <w:gridCol w:w="2700"/>
      </w:tblGrid>
      <w:tr w14:paraId="017510D3" w14:textId="77777777" w:rsidTr="006810CB">
        <w:tblPrEx>
          <w:tblW w:w="7920" w:type="dxa"/>
          <w:tblInd w:w="1250" w:type="dxa"/>
          <w:tblLook w:val="04A0"/>
        </w:tblPrEx>
        <w:trPr>
          <w:trHeight w:val="290"/>
        </w:trPr>
        <w:tc>
          <w:tcPr>
            <w:tcW w:w="720" w:type="dxa"/>
            <w:tcBorders>
              <w:top w:val="single" w:sz="8" w:space="0" w:color="auto"/>
              <w:left w:val="single" w:sz="8" w:space="0" w:color="auto"/>
              <w:bottom w:val="nil"/>
              <w:right w:val="nil"/>
            </w:tcBorders>
            <w:shd w:val="clear" w:color="auto" w:fill="auto"/>
            <w:noWrap/>
            <w:vAlign w:val="bottom"/>
            <w:hideMark/>
          </w:tcPr>
          <w:p w:rsidR="007C7CD4" w:rsidRPr="006810CB" w:rsidP="007C7CD4" w14:paraId="4F73771D" w14:textId="77777777">
            <w:pPr>
              <w:widowControl/>
              <w:autoSpaceDE/>
              <w:autoSpaceDN/>
              <w:adjustRightInd/>
              <w:rPr>
                <w:color w:val="000000"/>
                <w:sz w:val="22"/>
                <w:szCs w:val="22"/>
              </w:rPr>
            </w:pPr>
            <w:r w:rsidRPr="006810CB">
              <w:rPr>
                <w:color w:val="000000"/>
                <w:sz w:val="22"/>
                <w:szCs w:val="22"/>
              </w:rPr>
              <w:t> </w:t>
            </w:r>
          </w:p>
        </w:tc>
        <w:tc>
          <w:tcPr>
            <w:tcW w:w="2160" w:type="dxa"/>
            <w:tcBorders>
              <w:top w:val="single" w:sz="8" w:space="0" w:color="auto"/>
              <w:left w:val="nil"/>
              <w:bottom w:val="nil"/>
              <w:right w:val="nil"/>
            </w:tcBorders>
            <w:shd w:val="clear" w:color="auto" w:fill="auto"/>
            <w:noWrap/>
            <w:vAlign w:val="bottom"/>
            <w:hideMark/>
          </w:tcPr>
          <w:p w:rsidR="007C7CD4" w:rsidRPr="006810CB" w:rsidP="006810CB" w14:paraId="1BAD6D1D" w14:textId="075804C0">
            <w:pPr>
              <w:widowControl/>
              <w:autoSpaceDE/>
              <w:autoSpaceDN/>
              <w:adjustRightInd/>
              <w:jc w:val="right"/>
              <w:rPr>
                <w:b/>
                <w:bCs/>
                <w:color w:val="000000"/>
                <w:sz w:val="22"/>
                <w:szCs w:val="22"/>
              </w:rPr>
            </w:pPr>
            <w:r w:rsidRPr="006810CB">
              <w:rPr>
                <w:b/>
                <w:bCs/>
                <w:color w:val="000000"/>
                <w:sz w:val="22"/>
                <w:szCs w:val="22"/>
              </w:rPr>
              <w:t>All</w:t>
            </w:r>
            <w:r w:rsidRPr="006810CB">
              <w:rPr>
                <w:b/>
                <w:bCs/>
                <w:color w:val="000000"/>
                <w:sz w:val="22"/>
                <w:szCs w:val="22"/>
              </w:rPr>
              <w:t xml:space="preserve"> Discharges</w:t>
            </w:r>
            <w:r w:rsidRPr="006810CB">
              <w:rPr>
                <w:b/>
                <w:bCs/>
                <w:color w:val="000000"/>
                <w:sz w:val="22"/>
                <w:szCs w:val="22"/>
              </w:rPr>
              <w:t>, Annualized</w:t>
            </w:r>
            <w:r w:rsidRPr="006810CB">
              <w:rPr>
                <w:b/>
                <w:bCs/>
                <w:color w:val="000000"/>
                <w:sz w:val="22"/>
                <w:szCs w:val="22"/>
              </w:rPr>
              <w:t xml:space="preserve"> (</w:t>
            </w:r>
            <w:r w:rsidR="00BF3F3A">
              <w:rPr>
                <w:b/>
                <w:bCs/>
                <w:color w:val="000000"/>
                <w:sz w:val="22"/>
                <w:szCs w:val="22"/>
              </w:rPr>
              <w:t>FFY</w:t>
            </w:r>
            <w:r w:rsidRPr="006810CB">
              <w:rPr>
                <w:b/>
                <w:bCs/>
                <w:color w:val="000000"/>
                <w:sz w:val="22"/>
                <w:szCs w:val="22"/>
              </w:rPr>
              <w:t>2019)</w:t>
            </w:r>
          </w:p>
        </w:tc>
        <w:tc>
          <w:tcPr>
            <w:tcW w:w="2340" w:type="dxa"/>
            <w:tcBorders>
              <w:top w:val="single" w:sz="8" w:space="0" w:color="auto"/>
              <w:left w:val="nil"/>
              <w:bottom w:val="nil"/>
              <w:right w:val="nil"/>
            </w:tcBorders>
            <w:shd w:val="clear" w:color="auto" w:fill="auto"/>
            <w:noWrap/>
            <w:vAlign w:val="bottom"/>
            <w:hideMark/>
          </w:tcPr>
          <w:p w:rsidR="007C7CD4" w:rsidRPr="00F40A11" w:rsidP="006810CB" w14:paraId="673FBDF6" w14:textId="5C5999AC">
            <w:pPr>
              <w:widowControl/>
              <w:autoSpaceDE/>
              <w:autoSpaceDN/>
              <w:adjustRightInd/>
              <w:jc w:val="right"/>
              <w:rPr>
                <w:b/>
                <w:bCs/>
                <w:color w:val="000000"/>
                <w:sz w:val="22"/>
                <w:szCs w:val="22"/>
              </w:rPr>
            </w:pPr>
            <w:r w:rsidRPr="00F40A11">
              <w:rPr>
                <w:b/>
                <w:bCs/>
                <w:color w:val="000000"/>
                <w:sz w:val="22"/>
                <w:szCs w:val="22"/>
              </w:rPr>
              <w:t>Medicare Discharges</w:t>
            </w:r>
            <w:r w:rsidRPr="00F40A11" w:rsidR="009D2E06">
              <w:rPr>
                <w:b/>
                <w:bCs/>
                <w:color w:val="000000"/>
                <w:sz w:val="22"/>
                <w:szCs w:val="22"/>
              </w:rPr>
              <w:t>, Annualized</w:t>
            </w:r>
            <w:r w:rsidRPr="00B75026">
              <w:rPr>
                <w:b/>
                <w:bCs/>
                <w:color w:val="000000"/>
                <w:sz w:val="22"/>
                <w:szCs w:val="22"/>
              </w:rPr>
              <w:t xml:space="preserve"> (</w:t>
            </w:r>
            <w:r w:rsidRPr="00F40A11" w:rsidR="00BF3F3A">
              <w:rPr>
                <w:b/>
                <w:bCs/>
                <w:color w:val="000000"/>
                <w:sz w:val="22"/>
                <w:szCs w:val="22"/>
              </w:rPr>
              <w:t>FFY</w:t>
            </w:r>
            <w:r w:rsidRPr="00F40A11">
              <w:rPr>
                <w:b/>
                <w:bCs/>
                <w:color w:val="000000"/>
                <w:sz w:val="22"/>
                <w:szCs w:val="22"/>
              </w:rPr>
              <w:t>2019)</w:t>
            </w:r>
          </w:p>
        </w:tc>
        <w:tc>
          <w:tcPr>
            <w:tcW w:w="2700" w:type="dxa"/>
            <w:tcBorders>
              <w:top w:val="single" w:sz="8" w:space="0" w:color="auto"/>
              <w:left w:val="nil"/>
              <w:bottom w:val="nil"/>
              <w:right w:val="single" w:sz="8" w:space="0" w:color="auto"/>
            </w:tcBorders>
            <w:shd w:val="clear" w:color="auto" w:fill="auto"/>
            <w:noWrap/>
            <w:vAlign w:val="bottom"/>
            <w:hideMark/>
          </w:tcPr>
          <w:p w:rsidR="007C7CD4" w:rsidRPr="00F40A11" w:rsidP="006810CB" w14:paraId="13676AB3" w14:textId="74693FA9">
            <w:pPr>
              <w:widowControl/>
              <w:autoSpaceDE/>
              <w:autoSpaceDN/>
              <w:adjustRightInd/>
              <w:jc w:val="right"/>
              <w:rPr>
                <w:b/>
                <w:bCs/>
                <w:color w:val="000000"/>
                <w:sz w:val="22"/>
                <w:szCs w:val="22"/>
              </w:rPr>
            </w:pPr>
            <w:r w:rsidRPr="00F40A11">
              <w:rPr>
                <w:b/>
                <w:bCs/>
                <w:color w:val="000000"/>
                <w:sz w:val="22"/>
                <w:szCs w:val="22"/>
              </w:rPr>
              <w:t>All Discharge</w:t>
            </w:r>
            <w:r w:rsidRPr="00F40A11" w:rsidR="00B733C6">
              <w:rPr>
                <w:b/>
                <w:bCs/>
                <w:color w:val="000000"/>
                <w:sz w:val="22"/>
                <w:szCs w:val="22"/>
              </w:rPr>
              <w:t>s</w:t>
            </w:r>
            <w:r w:rsidRPr="00F40A11">
              <w:rPr>
                <w:b/>
                <w:bCs/>
                <w:color w:val="000000"/>
                <w:sz w:val="22"/>
                <w:szCs w:val="22"/>
              </w:rPr>
              <w:t xml:space="preserve">, </w:t>
            </w:r>
            <w:r w:rsidRPr="00F40A11">
              <w:rPr>
                <w:b/>
                <w:bCs/>
                <w:color w:val="000000"/>
                <w:sz w:val="22"/>
                <w:szCs w:val="22"/>
              </w:rPr>
              <w:t xml:space="preserve">Annualized </w:t>
            </w:r>
            <w:r w:rsidRPr="00F40A11">
              <w:rPr>
                <w:b/>
                <w:bCs/>
                <w:color w:val="000000"/>
                <w:sz w:val="22"/>
                <w:szCs w:val="22"/>
              </w:rPr>
              <w:t xml:space="preserve"> </w:t>
            </w:r>
            <w:r w:rsidRPr="00F40A11" w:rsidR="001942EC">
              <w:rPr>
                <w:b/>
                <w:bCs/>
                <w:color w:val="000000"/>
                <w:sz w:val="22"/>
                <w:szCs w:val="22"/>
              </w:rPr>
              <w:t>Less</w:t>
            </w:r>
            <w:r w:rsidRPr="00F40A11">
              <w:rPr>
                <w:b/>
                <w:bCs/>
                <w:color w:val="000000"/>
                <w:sz w:val="22"/>
                <w:szCs w:val="22"/>
              </w:rPr>
              <w:t xml:space="preserve"> Medicare</w:t>
            </w:r>
            <w:r w:rsidRPr="00F40A11" w:rsidR="001C3424">
              <w:rPr>
                <w:b/>
                <w:bCs/>
                <w:color w:val="000000"/>
                <w:sz w:val="22"/>
                <w:szCs w:val="22"/>
              </w:rPr>
              <w:t xml:space="preserve"> Discharges</w:t>
            </w:r>
            <w:r w:rsidRPr="00F40A11">
              <w:rPr>
                <w:b/>
                <w:bCs/>
                <w:color w:val="000000"/>
                <w:sz w:val="22"/>
                <w:szCs w:val="22"/>
              </w:rPr>
              <w:t>, Annualized</w:t>
            </w:r>
          </w:p>
        </w:tc>
      </w:tr>
      <w:tr w14:paraId="31BE9901" w14:textId="77777777" w:rsidTr="006810CB">
        <w:tblPrEx>
          <w:tblW w:w="7920" w:type="dxa"/>
          <w:tblInd w:w="1250" w:type="dxa"/>
          <w:tblLook w:val="04A0"/>
        </w:tblPrEx>
        <w:trPr>
          <w:trHeight w:val="290"/>
        </w:trPr>
        <w:tc>
          <w:tcPr>
            <w:tcW w:w="720" w:type="dxa"/>
            <w:tcBorders>
              <w:top w:val="nil"/>
              <w:left w:val="single" w:sz="8" w:space="0" w:color="auto"/>
              <w:bottom w:val="nil"/>
              <w:right w:val="nil"/>
            </w:tcBorders>
            <w:shd w:val="clear" w:color="auto" w:fill="auto"/>
            <w:noWrap/>
            <w:vAlign w:val="bottom"/>
            <w:hideMark/>
          </w:tcPr>
          <w:p w:rsidR="007C7CD4" w:rsidRPr="006810CB" w:rsidP="007C7CD4" w14:paraId="0313202F" w14:textId="77777777">
            <w:pPr>
              <w:widowControl/>
              <w:autoSpaceDE/>
              <w:autoSpaceDN/>
              <w:adjustRightInd/>
              <w:rPr>
                <w:color w:val="000000"/>
                <w:sz w:val="22"/>
                <w:szCs w:val="22"/>
              </w:rPr>
            </w:pPr>
            <w:r w:rsidRPr="006810CB">
              <w:rPr>
                <w:color w:val="000000"/>
                <w:sz w:val="22"/>
                <w:szCs w:val="22"/>
              </w:rPr>
              <w:t>AR</w:t>
            </w:r>
          </w:p>
        </w:tc>
        <w:tc>
          <w:tcPr>
            <w:tcW w:w="2160" w:type="dxa"/>
            <w:tcBorders>
              <w:top w:val="nil"/>
              <w:left w:val="nil"/>
              <w:bottom w:val="nil"/>
              <w:right w:val="nil"/>
            </w:tcBorders>
            <w:shd w:val="clear" w:color="auto" w:fill="auto"/>
            <w:noWrap/>
            <w:vAlign w:val="bottom"/>
            <w:hideMark/>
          </w:tcPr>
          <w:p w:rsidR="007C7CD4" w:rsidRPr="006810CB" w:rsidP="007C7CD4" w14:paraId="0FC66107" w14:textId="77777777">
            <w:pPr>
              <w:widowControl/>
              <w:autoSpaceDE/>
              <w:autoSpaceDN/>
              <w:adjustRightInd/>
              <w:jc w:val="right"/>
              <w:rPr>
                <w:color w:val="000000"/>
                <w:sz w:val="22"/>
                <w:szCs w:val="22"/>
              </w:rPr>
            </w:pPr>
            <w:r w:rsidRPr="006810CB">
              <w:rPr>
                <w:color w:val="000000"/>
                <w:sz w:val="22"/>
                <w:szCs w:val="22"/>
              </w:rPr>
              <w:t>307,799</w:t>
            </w:r>
          </w:p>
        </w:tc>
        <w:tc>
          <w:tcPr>
            <w:tcW w:w="2340" w:type="dxa"/>
            <w:tcBorders>
              <w:top w:val="nil"/>
              <w:left w:val="nil"/>
              <w:bottom w:val="nil"/>
              <w:right w:val="nil"/>
            </w:tcBorders>
            <w:shd w:val="clear" w:color="auto" w:fill="auto"/>
            <w:noWrap/>
            <w:vAlign w:val="bottom"/>
            <w:hideMark/>
          </w:tcPr>
          <w:p w:rsidR="007C7CD4" w:rsidRPr="00F40A11" w:rsidP="007C7CD4" w14:paraId="48850020" w14:textId="77777777">
            <w:pPr>
              <w:widowControl/>
              <w:autoSpaceDE/>
              <w:autoSpaceDN/>
              <w:adjustRightInd/>
              <w:jc w:val="right"/>
              <w:rPr>
                <w:color w:val="000000"/>
                <w:sz w:val="22"/>
                <w:szCs w:val="22"/>
              </w:rPr>
            </w:pPr>
            <w:r w:rsidRPr="00F40A11">
              <w:rPr>
                <w:color w:val="000000"/>
                <w:sz w:val="22"/>
                <w:szCs w:val="22"/>
              </w:rPr>
              <w:t>104,764</w:t>
            </w:r>
          </w:p>
        </w:tc>
        <w:tc>
          <w:tcPr>
            <w:tcW w:w="2700" w:type="dxa"/>
            <w:tcBorders>
              <w:top w:val="nil"/>
              <w:left w:val="nil"/>
              <w:bottom w:val="nil"/>
              <w:right w:val="single" w:sz="8" w:space="0" w:color="auto"/>
            </w:tcBorders>
            <w:shd w:val="clear" w:color="auto" w:fill="auto"/>
            <w:noWrap/>
            <w:vAlign w:val="bottom"/>
            <w:hideMark/>
          </w:tcPr>
          <w:p w:rsidR="007C7CD4" w:rsidRPr="00B75026" w:rsidP="007C7CD4" w14:paraId="3162AE1F" w14:textId="77777777">
            <w:pPr>
              <w:widowControl/>
              <w:autoSpaceDE/>
              <w:autoSpaceDN/>
              <w:adjustRightInd/>
              <w:jc w:val="right"/>
              <w:rPr>
                <w:color w:val="000000"/>
                <w:sz w:val="22"/>
                <w:szCs w:val="22"/>
              </w:rPr>
            </w:pPr>
            <w:r w:rsidRPr="00B75026">
              <w:rPr>
                <w:color w:val="000000"/>
                <w:sz w:val="22"/>
                <w:szCs w:val="22"/>
              </w:rPr>
              <w:t>203,035</w:t>
            </w:r>
          </w:p>
        </w:tc>
      </w:tr>
      <w:tr w14:paraId="354AB125" w14:textId="77777777" w:rsidTr="006810CB">
        <w:tblPrEx>
          <w:tblW w:w="7920" w:type="dxa"/>
          <w:tblInd w:w="1250" w:type="dxa"/>
          <w:tblLook w:val="04A0"/>
        </w:tblPrEx>
        <w:trPr>
          <w:trHeight w:val="290"/>
        </w:trPr>
        <w:tc>
          <w:tcPr>
            <w:tcW w:w="720" w:type="dxa"/>
            <w:tcBorders>
              <w:top w:val="nil"/>
              <w:left w:val="single" w:sz="8" w:space="0" w:color="auto"/>
              <w:bottom w:val="nil"/>
              <w:right w:val="nil"/>
            </w:tcBorders>
            <w:shd w:val="clear" w:color="auto" w:fill="auto"/>
            <w:noWrap/>
            <w:vAlign w:val="bottom"/>
          </w:tcPr>
          <w:p w:rsidR="00F40A11" w:rsidRPr="006810CB" w:rsidP="007C7CD4" w14:paraId="64CEC0C2" w14:textId="378380EA">
            <w:pPr>
              <w:widowControl/>
              <w:autoSpaceDE/>
              <w:autoSpaceDN/>
              <w:adjustRightInd/>
              <w:rPr>
                <w:color w:val="000000"/>
                <w:sz w:val="22"/>
                <w:szCs w:val="22"/>
              </w:rPr>
            </w:pPr>
            <w:r>
              <w:rPr>
                <w:color w:val="000000"/>
                <w:sz w:val="22"/>
                <w:szCs w:val="22"/>
              </w:rPr>
              <w:t>CT</w:t>
            </w:r>
          </w:p>
        </w:tc>
        <w:tc>
          <w:tcPr>
            <w:tcW w:w="2160" w:type="dxa"/>
            <w:tcBorders>
              <w:top w:val="nil"/>
              <w:left w:val="nil"/>
              <w:bottom w:val="nil"/>
              <w:right w:val="nil"/>
            </w:tcBorders>
            <w:shd w:val="clear" w:color="auto" w:fill="auto"/>
            <w:noWrap/>
            <w:vAlign w:val="bottom"/>
          </w:tcPr>
          <w:p w:rsidR="00F40A11" w:rsidRPr="006810CB" w:rsidP="007C7CD4" w14:paraId="6AC5B24F" w14:textId="3F73C02C">
            <w:pPr>
              <w:widowControl/>
              <w:autoSpaceDE/>
              <w:autoSpaceDN/>
              <w:adjustRightInd/>
              <w:jc w:val="right"/>
              <w:rPr>
                <w:color w:val="000000"/>
                <w:sz w:val="22"/>
                <w:szCs w:val="22"/>
              </w:rPr>
            </w:pPr>
            <w:r>
              <w:rPr>
                <w:color w:val="000000"/>
                <w:sz w:val="22"/>
                <w:szCs w:val="22"/>
              </w:rPr>
              <w:t>343,104</w:t>
            </w:r>
          </w:p>
        </w:tc>
        <w:tc>
          <w:tcPr>
            <w:tcW w:w="2340" w:type="dxa"/>
            <w:tcBorders>
              <w:top w:val="nil"/>
              <w:left w:val="nil"/>
              <w:bottom w:val="nil"/>
              <w:right w:val="nil"/>
            </w:tcBorders>
            <w:shd w:val="clear" w:color="auto" w:fill="auto"/>
            <w:noWrap/>
            <w:vAlign w:val="bottom"/>
          </w:tcPr>
          <w:p w:rsidR="00F40A11" w:rsidRPr="00F40A11" w:rsidP="007C7CD4" w14:paraId="3D5666C1" w14:textId="4C30AA16">
            <w:pPr>
              <w:widowControl/>
              <w:autoSpaceDE/>
              <w:autoSpaceDN/>
              <w:adjustRightInd/>
              <w:jc w:val="right"/>
              <w:rPr>
                <w:color w:val="000000"/>
                <w:sz w:val="22"/>
                <w:szCs w:val="22"/>
              </w:rPr>
            </w:pPr>
            <w:r w:rsidRPr="00F40A11">
              <w:rPr>
                <w:color w:val="000000"/>
                <w:sz w:val="22"/>
                <w:szCs w:val="22"/>
              </w:rPr>
              <w:t>101,846</w:t>
            </w:r>
          </w:p>
        </w:tc>
        <w:tc>
          <w:tcPr>
            <w:tcW w:w="2700" w:type="dxa"/>
            <w:tcBorders>
              <w:top w:val="nil"/>
              <w:left w:val="nil"/>
              <w:bottom w:val="nil"/>
              <w:right w:val="single" w:sz="8" w:space="0" w:color="auto"/>
            </w:tcBorders>
            <w:shd w:val="clear" w:color="auto" w:fill="auto"/>
            <w:noWrap/>
            <w:vAlign w:val="bottom"/>
          </w:tcPr>
          <w:p w:rsidR="00F40A11" w:rsidRPr="00B75026" w:rsidP="007C7CD4" w14:paraId="36B0BCE0" w14:textId="17081F0E">
            <w:pPr>
              <w:widowControl/>
              <w:autoSpaceDE/>
              <w:autoSpaceDN/>
              <w:adjustRightInd/>
              <w:jc w:val="right"/>
              <w:rPr>
                <w:color w:val="000000"/>
                <w:sz w:val="22"/>
                <w:szCs w:val="22"/>
              </w:rPr>
            </w:pPr>
            <w:r w:rsidRPr="00B75026">
              <w:rPr>
                <w:color w:val="000000"/>
                <w:sz w:val="22"/>
                <w:szCs w:val="22"/>
              </w:rPr>
              <w:t>241,258</w:t>
            </w:r>
          </w:p>
        </w:tc>
      </w:tr>
      <w:tr w14:paraId="78558816" w14:textId="77777777" w:rsidTr="006810CB">
        <w:tblPrEx>
          <w:tblW w:w="7920" w:type="dxa"/>
          <w:tblInd w:w="1250" w:type="dxa"/>
          <w:tblLook w:val="04A0"/>
        </w:tblPrEx>
        <w:trPr>
          <w:trHeight w:val="290"/>
        </w:trPr>
        <w:tc>
          <w:tcPr>
            <w:tcW w:w="720" w:type="dxa"/>
            <w:tcBorders>
              <w:top w:val="nil"/>
              <w:left w:val="single" w:sz="8" w:space="0" w:color="auto"/>
              <w:bottom w:val="nil"/>
              <w:right w:val="nil"/>
            </w:tcBorders>
            <w:shd w:val="clear" w:color="auto" w:fill="auto"/>
            <w:noWrap/>
            <w:vAlign w:val="bottom"/>
            <w:hideMark/>
          </w:tcPr>
          <w:p w:rsidR="007C7CD4" w:rsidRPr="006810CB" w:rsidP="007C7CD4" w14:paraId="7800889C" w14:textId="55D2DDD9">
            <w:pPr>
              <w:widowControl/>
              <w:autoSpaceDE/>
              <w:autoSpaceDN/>
              <w:adjustRightInd/>
              <w:rPr>
                <w:color w:val="000000"/>
                <w:sz w:val="22"/>
                <w:szCs w:val="22"/>
              </w:rPr>
            </w:pPr>
            <w:r w:rsidRPr="006810CB">
              <w:rPr>
                <w:color w:val="000000"/>
                <w:sz w:val="22"/>
                <w:szCs w:val="22"/>
              </w:rPr>
              <w:t>MA</w:t>
            </w:r>
          </w:p>
        </w:tc>
        <w:tc>
          <w:tcPr>
            <w:tcW w:w="2160" w:type="dxa"/>
            <w:tcBorders>
              <w:top w:val="nil"/>
              <w:left w:val="nil"/>
              <w:bottom w:val="nil"/>
              <w:right w:val="nil"/>
            </w:tcBorders>
            <w:shd w:val="clear" w:color="auto" w:fill="auto"/>
            <w:noWrap/>
            <w:vAlign w:val="bottom"/>
            <w:hideMark/>
          </w:tcPr>
          <w:p w:rsidR="007C7CD4" w:rsidRPr="006810CB" w:rsidP="007C7CD4" w14:paraId="4785D34A" w14:textId="77777777">
            <w:pPr>
              <w:widowControl/>
              <w:autoSpaceDE/>
              <w:autoSpaceDN/>
              <w:adjustRightInd/>
              <w:jc w:val="right"/>
              <w:rPr>
                <w:color w:val="000000"/>
                <w:sz w:val="22"/>
                <w:szCs w:val="22"/>
              </w:rPr>
            </w:pPr>
            <w:r w:rsidRPr="006810CB">
              <w:rPr>
                <w:color w:val="000000"/>
                <w:sz w:val="22"/>
                <w:szCs w:val="22"/>
              </w:rPr>
              <w:t>718,717</w:t>
            </w:r>
          </w:p>
        </w:tc>
        <w:tc>
          <w:tcPr>
            <w:tcW w:w="2340" w:type="dxa"/>
            <w:tcBorders>
              <w:top w:val="nil"/>
              <w:left w:val="nil"/>
              <w:bottom w:val="nil"/>
              <w:right w:val="nil"/>
            </w:tcBorders>
            <w:shd w:val="clear" w:color="auto" w:fill="auto"/>
            <w:noWrap/>
            <w:vAlign w:val="bottom"/>
            <w:hideMark/>
          </w:tcPr>
          <w:p w:rsidR="007C7CD4" w:rsidRPr="00F40A11" w:rsidP="007C7CD4" w14:paraId="74079938" w14:textId="77777777">
            <w:pPr>
              <w:widowControl/>
              <w:autoSpaceDE/>
              <w:autoSpaceDN/>
              <w:adjustRightInd/>
              <w:jc w:val="right"/>
              <w:rPr>
                <w:color w:val="000000"/>
                <w:sz w:val="22"/>
                <w:szCs w:val="22"/>
              </w:rPr>
            </w:pPr>
            <w:r w:rsidRPr="00F40A11">
              <w:rPr>
                <w:color w:val="000000"/>
                <w:sz w:val="22"/>
                <w:szCs w:val="22"/>
              </w:rPr>
              <w:t>265,028</w:t>
            </w:r>
          </w:p>
        </w:tc>
        <w:tc>
          <w:tcPr>
            <w:tcW w:w="2700" w:type="dxa"/>
            <w:tcBorders>
              <w:top w:val="nil"/>
              <w:left w:val="nil"/>
              <w:bottom w:val="nil"/>
              <w:right w:val="single" w:sz="8" w:space="0" w:color="auto"/>
            </w:tcBorders>
            <w:shd w:val="clear" w:color="auto" w:fill="auto"/>
            <w:noWrap/>
            <w:vAlign w:val="bottom"/>
            <w:hideMark/>
          </w:tcPr>
          <w:p w:rsidR="007C7CD4" w:rsidRPr="00B75026" w:rsidP="007C7CD4" w14:paraId="628DE34A" w14:textId="77777777">
            <w:pPr>
              <w:widowControl/>
              <w:autoSpaceDE/>
              <w:autoSpaceDN/>
              <w:adjustRightInd/>
              <w:jc w:val="right"/>
              <w:rPr>
                <w:color w:val="000000"/>
                <w:sz w:val="22"/>
                <w:szCs w:val="22"/>
              </w:rPr>
            </w:pPr>
            <w:r w:rsidRPr="00B75026">
              <w:rPr>
                <w:color w:val="000000"/>
                <w:sz w:val="22"/>
                <w:szCs w:val="22"/>
              </w:rPr>
              <w:t>453,689</w:t>
            </w:r>
          </w:p>
        </w:tc>
      </w:tr>
      <w:tr w14:paraId="28861F01" w14:textId="77777777" w:rsidTr="006810CB">
        <w:tblPrEx>
          <w:tblW w:w="7920" w:type="dxa"/>
          <w:tblInd w:w="1250" w:type="dxa"/>
          <w:tblLook w:val="04A0"/>
        </w:tblPrEx>
        <w:trPr>
          <w:trHeight w:val="290"/>
        </w:trPr>
        <w:tc>
          <w:tcPr>
            <w:tcW w:w="720" w:type="dxa"/>
            <w:tcBorders>
              <w:top w:val="nil"/>
              <w:left w:val="single" w:sz="8" w:space="0" w:color="auto"/>
              <w:bottom w:val="nil"/>
              <w:right w:val="nil"/>
            </w:tcBorders>
            <w:shd w:val="clear" w:color="auto" w:fill="auto"/>
            <w:noWrap/>
            <w:vAlign w:val="bottom"/>
            <w:hideMark/>
          </w:tcPr>
          <w:p w:rsidR="007C7CD4" w:rsidRPr="006810CB" w:rsidP="007C7CD4" w14:paraId="0452BE04" w14:textId="77777777">
            <w:pPr>
              <w:widowControl/>
              <w:autoSpaceDE/>
              <w:autoSpaceDN/>
              <w:adjustRightInd/>
              <w:rPr>
                <w:color w:val="000000"/>
                <w:sz w:val="22"/>
                <w:szCs w:val="22"/>
              </w:rPr>
            </w:pPr>
            <w:r w:rsidRPr="006810CB">
              <w:rPr>
                <w:color w:val="000000"/>
                <w:sz w:val="22"/>
                <w:szCs w:val="22"/>
              </w:rPr>
              <w:t>OK</w:t>
            </w:r>
          </w:p>
        </w:tc>
        <w:tc>
          <w:tcPr>
            <w:tcW w:w="2160" w:type="dxa"/>
            <w:tcBorders>
              <w:top w:val="nil"/>
              <w:left w:val="nil"/>
              <w:bottom w:val="nil"/>
              <w:right w:val="nil"/>
            </w:tcBorders>
            <w:shd w:val="clear" w:color="auto" w:fill="auto"/>
            <w:noWrap/>
            <w:vAlign w:val="bottom"/>
            <w:hideMark/>
          </w:tcPr>
          <w:p w:rsidR="007C7CD4" w:rsidRPr="006810CB" w:rsidP="007C7CD4" w14:paraId="7550430B" w14:textId="77777777">
            <w:pPr>
              <w:widowControl/>
              <w:autoSpaceDE/>
              <w:autoSpaceDN/>
              <w:adjustRightInd/>
              <w:jc w:val="right"/>
              <w:rPr>
                <w:color w:val="000000"/>
                <w:sz w:val="22"/>
                <w:szCs w:val="22"/>
              </w:rPr>
            </w:pPr>
            <w:r w:rsidRPr="006810CB">
              <w:rPr>
                <w:color w:val="000000"/>
                <w:sz w:val="22"/>
                <w:szCs w:val="22"/>
              </w:rPr>
              <w:t>418,774</w:t>
            </w:r>
          </w:p>
        </w:tc>
        <w:tc>
          <w:tcPr>
            <w:tcW w:w="2340" w:type="dxa"/>
            <w:tcBorders>
              <w:top w:val="nil"/>
              <w:left w:val="nil"/>
              <w:bottom w:val="nil"/>
              <w:right w:val="nil"/>
            </w:tcBorders>
            <w:shd w:val="clear" w:color="auto" w:fill="auto"/>
            <w:noWrap/>
            <w:vAlign w:val="bottom"/>
            <w:hideMark/>
          </w:tcPr>
          <w:p w:rsidR="007C7CD4" w:rsidRPr="00F40A11" w:rsidP="007C7CD4" w14:paraId="2328E18D" w14:textId="77777777">
            <w:pPr>
              <w:widowControl/>
              <w:autoSpaceDE/>
              <w:autoSpaceDN/>
              <w:adjustRightInd/>
              <w:jc w:val="right"/>
              <w:rPr>
                <w:color w:val="000000"/>
                <w:sz w:val="22"/>
                <w:szCs w:val="22"/>
              </w:rPr>
            </w:pPr>
            <w:r w:rsidRPr="00F40A11">
              <w:rPr>
                <w:color w:val="000000"/>
                <w:sz w:val="22"/>
                <w:szCs w:val="22"/>
              </w:rPr>
              <w:t>137,469</w:t>
            </w:r>
          </w:p>
        </w:tc>
        <w:tc>
          <w:tcPr>
            <w:tcW w:w="2700" w:type="dxa"/>
            <w:tcBorders>
              <w:top w:val="nil"/>
              <w:left w:val="nil"/>
              <w:bottom w:val="nil"/>
              <w:right w:val="single" w:sz="8" w:space="0" w:color="auto"/>
            </w:tcBorders>
            <w:shd w:val="clear" w:color="auto" w:fill="auto"/>
            <w:noWrap/>
            <w:vAlign w:val="bottom"/>
            <w:hideMark/>
          </w:tcPr>
          <w:p w:rsidR="007C7CD4" w:rsidRPr="00B75026" w:rsidP="007C7CD4" w14:paraId="7261AF11" w14:textId="77777777">
            <w:pPr>
              <w:widowControl/>
              <w:autoSpaceDE/>
              <w:autoSpaceDN/>
              <w:adjustRightInd/>
              <w:jc w:val="right"/>
              <w:rPr>
                <w:color w:val="000000"/>
                <w:sz w:val="22"/>
                <w:szCs w:val="22"/>
              </w:rPr>
            </w:pPr>
            <w:r w:rsidRPr="00B75026">
              <w:rPr>
                <w:color w:val="000000"/>
                <w:sz w:val="22"/>
                <w:szCs w:val="22"/>
              </w:rPr>
              <w:t>281,305</w:t>
            </w:r>
          </w:p>
        </w:tc>
      </w:tr>
      <w:tr w14:paraId="78C29E02" w14:textId="77777777" w:rsidTr="006810CB">
        <w:tblPrEx>
          <w:tblW w:w="7920" w:type="dxa"/>
          <w:tblInd w:w="1250" w:type="dxa"/>
          <w:tblLook w:val="04A0"/>
        </w:tblPrEx>
        <w:trPr>
          <w:trHeight w:val="290"/>
        </w:trPr>
        <w:tc>
          <w:tcPr>
            <w:tcW w:w="720" w:type="dxa"/>
            <w:tcBorders>
              <w:top w:val="nil"/>
              <w:left w:val="single" w:sz="8" w:space="0" w:color="auto"/>
              <w:bottom w:val="nil"/>
              <w:right w:val="nil"/>
            </w:tcBorders>
            <w:shd w:val="clear" w:color="auto" w:fill="auto"/>
            <w:noWrap/>
            <w:vAlign w:val="bottom"/>
            <w:hideMark/>
          </w:tcPr>
          <w:p w:rsidR="007C7CD4" w:rsidRPr="006810CB" w:rsidP="007C7CD4" w14:paraId="3C603EB5" w14:textId="77777777">
            <w:pPr>
              <w:widowControl/>
              <w:autoSpaceDE/>
              <w:autoSpaceDN/>
              <w:adjustRightInd/>
              <w:rPr>
                <w:color w:val="000000"/>
                <w:sz w:val="22"/>
                <w:szCs w:val="22"/>
              </w:rPr>
            </w:pPr>
            <w:r w:rsidRPr="006810CB">
              <w:rPr>
                <w:color w:val="000000"/>
                <w:sz w:val="22"/>
                <w:szCs w:val="22"/>
              </w:rPr>
              <w:t>RI</w:t>
            </w:r>
          </w:p>
        </w:tc>
        <w:tc>
          <w:tcPr>
            <w:tcW w:w="2160" w:type="dxa"/>
            <w:tcBorders>
              <w:top w:val="nil"/>
              <w:left w:val="nil"/>
              <w:bottom w:val="nil"/>
              <w:right w:val="nil"/>
            </w:tcBorders>
            <w:shd w:val="clear" w:color="auto" w:fill="auto"/>
            <w:noWrap/>
            <w:vAlign w:val="bottom"/>
            <w:hideMark/>
          </w:tcPr>
          <w:p w:rsidR="007C7CD4" w:rsidRPr="006810CB" w:rsidP="007C7CD4" w14:paraId="53527B52" w14:textId="77777777">
            <w:pPr>
              <w:widowControl/>
              <w:autoSpaceDE/>
              <w:autoSpaceDN/>
              <w:adjustRightInd/>
              <w:jc w:val="right"/>
              <w:rPr>
                <w:color w:val="000000"/>
                <w:sz w:val="22"/>
                <w:szCs w:val="22"/>
              </w:rPr>
            </w:pPr>
            <w:r w:rsidRPr="006810CB">
              <w:rPr>
                <w:color w:val="000000"/>
                <w:sz w:val="22"/>
                <w:szCs w:val="22"/>
              </w:rPr>
              <w:t>108,865</w:t>
            </w:r>
          </w:p>
        </w:tc>
        <w:tc>
          <w:tcPr>
            <w:tcW w:w="2340" w:type="dxa"/>
            <w:tcBorders>
              <w:top w:val="nil"/>
              <w:left w:val="nil"/>
              <w:bottom w:val="nil"/>
              <w:right w:val="nil"/>
            </w:tcBorders>
            <w:shd w:val="clear" w:color="auto" w:fill="auto"/>
            <w:noWrap/>
            <w:vAlign w:val="bottom"/>
            <w:hideMark/>
          </w:tcPr>
          <w:p w:rsidR="007C7CD4" w:rsidRPr="00F40A11" w:rsidP="007C7CD4" w14:paraId="1E51E344" w14:textId="77777777">
            <w:pPr>
              <w:widowControl/>
              <w:autoSpaceDE/>
              <w:autoSpaceDN/>
              <w:adjustRightInd/>
              <w:jc w:val="right"/>
              <w:rPr>
                <w:color w:val="000000"/>
                <w:sz w:val="22"/>
                <w:szCs w:val="22"/>
              </w:rPr>
            </w:pPr>
            <w:r w:rsidRPr="00F40A11">
              <w:rPr>
                <w:color w:val="000000"/>
                <w:sz w:val="22"/>
                <w:szCs w:val="22"/>
              </w:rPr>
              <w:t>27,802</w:t>
            </w:r>
          </w:p>
        </w:tc>
        <w:tc>
          <w:tcPr>
            <w:tcW w:w="2700" w:type="dxa"/>
            <w:tcBorders>
              <w:top w:val="nil"/>
              <w:left w:val="nil"/>
              <w:bottom w:val="nil"/>
              <w:right w:val="single" w:sz="8" w:space="0" w:color="auto"/>
            </w:tcBorders>
            <w:shd w:val="clear" w:color="auto" w:fill="auto"/>
            <w:noWrap/>
            <w:vAlign w:val="bottom"/>
            <w:hideMark/>
          </w:tcPr>
          <w:p w:rsidR="007C7CD4" w:rsidRPr="00B75026" w:rsidP="007C7CD4" w14:paraId="46885F73" w14:textId="77777777">
            <w:pPr>
              <w:widowControl/>
              <w:autoSpaceDE/>
              <w:autoSpaceDN/>
              <w:adjustRightInd/>
              <w:jc w:val="right"/>
              <w:rPr>
                <w:color w:val="000000"/>
                <w:sz w:val="22"/>
                <w:szCs w:val="22"/>
              </w:rPr>
            </w:pPr>
            <w:r w:rsidRPr="00B75026">
              <w:rPr>
                <w:color w:val="000000"/>
                <w:sz w:val="22"/>
                <w:szCs w:val="22"/>
              </w:rPr>
              <w:t>81,063</w:t>
            </w:r>
          </w:p>
        </w:tc>
      </w:tr>
      <w:tr w14:paraId="4E56B8F2" w14:textId="77777777" w:rsidTr="006810CB">
        <w:tblPrEx>
          <w:tblW w:w="7920" w:type="dxa"/>
          <w:tblInd w:w="1250" w:type="dxa"/>
          <w:tblLook w:val="04A0"/>
        </w:tblPrEx>
        <w:trPr>
          <w:trHeight w:val="290"/>
        </w:trPr>
        <w:tc>
          <w:tcPr>
            <w:tcW w:w="720" w:type="dxa"/>
            <w:tcBorders>
              <w:top w:val="nil"/>
              <w:left w:val="single" w:sz="8" w:space="0" w:color="auto"/>
              <w:bottom w:val="nil"/>
              <w:right w:val="nil"/>
            </w:tcBorders>
            <w:shd w:val="clear" w:color="auto" w:fill="auto"/>
            <w:noWrap/>
            <w:vAlign w:val="bottom"/>
            <w:hideMark/>
          </w:tcPr>
          <w:p w:rsidR="007C7CD4" w:rsidRPr="006810CB" w:rsidP="007C7CD4" w14:paraId="5D34ADC2" w14:textId="77777777">
            <w:pPr>
              <w:widowControl/>
              <w:autoSpaceDE/>
              <w:autoSpaceDN/>
              <w:adjustRightInd/>
              <w:rPr>
                <w:color w:val="000000"/>
                <w:sz w:val="22"/>
                <w:szCs w:val="22"/>
              </w:rPr>
            </w:pPr>
            <w:r w:rsidRPr="006810CB">
              <w:rPr>
                <w:color w:val="000000"/>
                <w:sz w:val="22"/>
                <w:szCs w:val="22"/>
              </w:rPr>
              <w:t>TN</w:t>
            </w:r>
          </w:p>
        </w:tc>
        <w:tc>
          <w:tcPr>
            <w:tcW w:w="2160" w:type="dxa"/>
            <w:tcBorders>
              <w:top w:val="nil"/>
              <w:left w:val="nil"/>
              <w:bottom w:val="nil"/>
              <w:right w:val="nil"/>
            </w:tcBorders>
            <w:shd w:val="clear" w:color="auto" w:fill="auto"/>
            <w:noWrap/>
            <w:vAlign w:val="bottom"/>
            <w:hideMark/>
          </w:tcPr>
          <w:p w:rsidR="007C7CD4" w:rsidRPr="006810CB" w:rsidP="007C7CD4" w14:paraId="48FACF35" w14:textId="77777777">
            <w:pPr>
              <w:widowControl/>
              <w:autoSpaceDE/>
              <w:autoSpaceDN/>
              <w:adjustRightInd/>
              <w:jc w:val="right"/>
              <w:rPr>
                <w:color w:val="000000"/>
                <w:sz w:val="22"/>
                <w:szCs w:val="22"/>
              </w:rPr>
            </w:pPr>
            <w:r w:rsidRPr="006810CB">
              <w:rPr>
                <w:color w:val="000000"/>
                <w:sz w:val="22"/>
                <w:szCs w:val="22"/>
              </w:rPr>
              <w:t>749,097</w:t>
            </w:r>
          </w:p>
        </w:tc>
        <w:tc>
          <w:tcPr>
            <w:tcW w:w="2340" w:type="dxa"/>
            <w:tcBorders>
              <w:top w:val="nil"/>
              <w:left w:val="nil"/>
              <w:bottom w:val="nil"/>
              <w:right w:val="nil"/>
            </w:tcBorders>
            <w:shd w:val="clear" w:color="auto" w:fill="auto"/>
            <w:noWrap/>
            <w:vAlign w:val="bottom"/>
            <w:hideMark/>
          </w:tcPr>
          <w:p w:rsidR="007C7CD4" w:rsidRPr="00F40A11" w:rsidP="007C7CD4" w14:paraId="58EBF507" w14:textId="77777777">
            <w:pPr>
              <w:widowControl/>
              <w:autoSpaceDE/>
              <w:autoSpaceDN/>
              <w:adjustRightInd/>
              <w:jc w:val="right"/>
              <w:rPr>
                <w:color w:val="000000"/>
                <w:sz w:val="22"/>
                <w:szCs w:val="22"/>
              </w:rPr>
            </w:pPr>
            <w:r w:rsidRPr="00F40A11">
              <w:rPr>
                <w:color w:val="000000"/>
                <w:sz w:val="22"/>
                <w:szCs w:val="22"/>
              </w:rPr>
              <w:t>211,098</w:t>
            </w:r>
          </w:p>
        </w:tc>
        <w:tc>
          <w:tcPr>
            <w:tcW w:w="2700" w:type="dxa"/>
            <w:tcBorders>
              <w:top w:val="nil"/>
              <w:left w:val="nil"/>
              <w:bottom w:val="nil"/>
              <w:right w:val="single" w:sz="8" w:space="0" w:color="auto"/>
            </w:tcBorders>
            <w:shd w:val="clear" w:color="auto" w:fill="auto"/>
            <w:noWrap/>
            <w:vAlign w:val="bottom"/>
            <w:hideMark/>
          </w:tcPr>
          <w:p w:rsidR="007C7CD4" w:rsidRPr="00B75026" w:rsidP="007C7CD4" w14:paraId="6F23E009" w14:textId="77777777">
            <w:pPr>
              <w:widowControl/>
              <w:autoSpaceDE/>
              <w:autoSpaceDN/>
              <w:adjustRightInd/>
              <w:jc w:val="right"/>
              <w:rPr>
                <w:color w:val="000000"/>
                <w:sz w:val="22"/>
                <w:szCs w:val="22"/>
              </w:rPr>
            </w:pPr>
            <w:r w:rsidRPr="00B75026">
              <w:rPr>
                <w:color w:val="000000"/>
                <w:sz w:val="22"/>
                <w:szCs w:val="22"/>
              </w:rPr>
              <w:t>537,999</w:t>
            </w:r>
          </w:p>
        </w:tc>
      </w:tr>
      <w:tr w14:paraId="3ED98576" w14:textId="77777777" w:rsidTr="006810CB">
        <w:tblPrEx>
          <w:tblW w:w="7920" w:type="dxa"/>
          <w:tblInd w:w="1250" w:type="dxa"/>
          <w:tblLook w:val="04A0"/>
        </w:tblPrEx>
        <w:trPr>
          <w:trHeight w:val="290"/>
        </w:trPr>
        <w:tc>
          <w:tcPr>
            <w:tcW w:w="720" w:type="dxa"/>
            <w:tcBorders>
              <w:top w:val="nil"/>
              <w:left w:val="single" w:sz="8" w:space="0" w:color="auto"/>
              <w:bottom w:val="nil"/>
              <w:right w:val="nil"/>
            </w:tcBorders>
            <w:shd w:val="clear" w:color="auto" w:fill="auto"/>
            <w:noWrap/>
            <w:vAlign w:val="bottom"/>
            <w:hideMark/>
          </w:tcPr>
          <w:p w:rsidR="007C7CD4" w:rsidRPr="006810CB" w:rsidP="007C7CD4" w14:paraId="70020988" w14:textId="77777777">
            <w:pPr>
              <w:widowControl/>
              <w:autoSpaceDE/>
              <w:autoSpaceDN/>
              <w:adjustRightInd/>
              <w:rPr>
                <w:color w:val="000000"/>
                <w:sz w:val="22"/>
                <w:szCs w:val="22"/>
              </w:rPr>
            </w:pPr>
            <w:r w:rsidRPr="006810CB">
              <w:rPr>
                <w:color w:val="000000"/>
                <w:sz w:val="22"/>
                <w:szCs w:val="22"/>
              </w:rPr>
              <w:t>UT</w:t>
            </w:r>
          </w:p>
        </w:tc>
        <w:tc>
          <w:tcPr>
            <w:tcW w:w="2160" w:type="dxa"/>
            <w:tcBorders>
              <w:top w:val="nil"/>
              <w:left w:val="nil"/>
              <w:bottom w:val="nil"/>
              <w:right w:val="nil"/>
            </w:tcBorders>
            <w:shd w:val="clear" w:color="auto" w:fill="auto"/>
            <w:noWrap/>
            <w:vAlign w:val="bottom"/>
            <w:hideMark/>
          </w:tcPr>
          <w:p w:rsidR="007C7CD4" w:rsidRPr="006810CB" w:rsidP="007C7CD4" w14:paraId="19349CA5" w14:textId="77777777">
            <w:pPr>
              <w:widowControl/>
              <w:autoSpaceDE/>
              <w:autoSpaceDN/>
              <w:adjustRightInd/>
              <w:jc w:val="right"/>
              <w:rPr>
                <w:color w:val="000000"/>
                <w:sz w:val="22"/>
                <w:szCs w:val="22"/>
              </w:rPr>
            </w:pPr>
            <w:r w:rsidRPr="006810CB">
              <w:rPr>
                <w:color w:val="000000"/>
                <w:sz w:val="22"/>
                <w:szCs w:val="22"/>
              </w:rPr>
              <w:t>202,617</w:t>
            </w:r>
          </w:p>
        </w:tc>
        <w:tc>
          <w:tcPr>
            <w:tcW w:w="2340" w:type="dxa"/>
            <w:tcBorders>
              <w:top w:val="nil"/>
              <w:left w:val="nil"/>
              <w:bottom w:val="nil"/>
              <w:right w:val="nil"/>
            </w:tcBorders>
            <w:shd w:val="clear" w:color="auto" w:fill="auto"/>
            <w:noWrap/>
            <w:vAlign w:val="bottom"/>
            <w:hideMark/>
          </w:tcPr>
          <w:p w:rsidR="007C7CD4" w:rsidRPr="00F40A11" w:rsidP="007C7CD4" w14:paraId="126A31B2" w14:textId="77777777">
            <w:pPr>
              <w:widowControl/>
              <w:autoSpaceDE/>
              <w:autoSpaceDN/>
              <w:adjustRightInd/>
              <w:jc w:val="right"/>
              <w:rPr>
                <w:color w:val="000000"/>
                <w:sz w:val="22"/>
                <w:szCs w:val="22"/>
              </w:rPr>
            </w:pPr>
            <w:r w:rsidRPr="00F40A11">
              <w:rPr>
                <w:color w:val="000000"/>
                <w:sz w:val="22"/>
                <w:szCs w:val="22"/>
              </w:rPr>
              <w:t>43,893</w:t>
            </w:r>
          </w:p>
        </w:tc>
        <w:tc>
          <w:tcPr>
            <w:tcW w:w="2700" w:type="dxa"/>
            <w:tcBorders>
              <w:top w:val="nil"/>
              <w:left w:val="nil"/>
              <w:bottom w:val="nil"/>
              <w:right w:val="single" w:sz="8" w:space="0" w:color="auto"/>
            </w:tcBorders>
            <w:shd w:val="clear" w:color="auto" w:fill="auto"/>
            <w:noWrap/>
            <w:vAlign w:val="bottom"/>
            <w:hideMark/>
          </w:tcPr>
          <w:p w:rsidR="007C7CD4" w:rsidRPr="00B75026" w:rsidP="007C7CD4" w14:paraId="0F0145A5" w14:textId="77777777">
            <w:pPr>
              <w:widowControl/>
              <w:autoSpaceDE/>
              <w:autoSpaceDN/>
              <w:adjustRightInd/>
              <w:jc w:val="right"/>
              <w:rPr>
                <w:color w:val="000000"/>
                <w:sz w:val="22"/>
                <w:szCs w:val="22"/>
              </w:rPr>
            </w:pPr>
            <w:r w:rsidRPr="00B75026">
              <w:rPr>
                <w:color w:val="000000"/>
                <w:sz w:val="22"/>
                <w:szCs w:val="22"/>
              </w:rPr>
              <w:t>158,724</w:t>
            </w:r>
          </w:p>
        </w:tc>
      </w:tr>
      <w:tr w14:paraId="72D32344" w14:textId="77777777" w:rsidTr="006810CB">
        <w:tblPrEx>
          <w:tblW w:w="7920" w:type="dxa"/>
          <w:tblInd w:w="1250" w:type="dxa"/>
          <w:tblLook w:val="04A0"/>
        </w:tblPrEx>
        <w:trPr>
          <w:trHeight w:val="290"/>
        </w:trPr>
        <w:tc>
          <w:tcPr>
            <w:tcW w:w="720" w:type="dxa"/>
            <w:tcBorders>
              <w:top w:val="nil"/>
              <w:left w:val="single" w:sz="8" w:space="0" w:color="auto"/>
              <w:bottom w:val="nil"/>
              <w:right w:val="nil"/>
            </w:tcBorders>
            <w:shd w:val="clear" w:color="auto" w:fill="auto"/>
            <w:noWrap/>
            <w:vAlign w:val="bottom"/>
            <w:hideMark/>
          </w:tcPr>
          <w:p w:rsidR="007C7CD4" w:rsidRPr="006810CB" w:rsidP="007C7CD4" w14:paraId="39E1D463" w14:textId="77777777">
            <w:pPr>
              <w:widowControl/>
              <w:autoSpaceDE/>
              <w:autoSpaceDN/>
              <w:adjustRightInd/>
              <w:rPr>
                <w:color w:val="000000"/>
                <w:sz w:val="22"/>
                <w:szCs w:val="22"/>
              </w:rPr>
            </w:pPr>
            <w:r w:rsidRPr="006810CB">
              <w:rPr>
                <w:color w:val="000000"/>
                <w:sz w:val="22"/>
                <w:szCs w:val="22"/>
              </w:rPr>
              <w:t>VT</w:t>
            </w:r>
          </w:p>
        </w:tc>
        <w:tc>
          <w:tcPr>
            <w:tcW w:w="2160" w:type="dxa"/>
            <w:tcBorders>
              <w:top w:val="nil"/>
              <w:left w:val="nil"/>
              <w:bottom w:val="nil"/>
              <w:right w:val="nil"/>
            </w:tcBorders>
            <w:shd w:val="clear" w:color="auto" w:fill="auto"/>
            <w:noWrap/>
            <w:vAlign w:val="bottom"/>
            <w:hideMark/>
          </w:tcPr>
          <w:p w:rsidR="007C7CD4" w:rsidRPr="006810CB" w:rsidP="007C7CD4" w14:paraId="279DAF9C" w14:textId="77777777">
            <w:pPr>
              <w:widowControl/>
              <w:autoSpaceDE/>
              <w:autoSpaceDN/>
              <w:adjustRightInd/>
              <w:jc w:val="right"/>
              <w:rPr>
                <w:color w:val="000000"/>
                <w:sz w:val="22"/>
                <w:szCs w:val="22"/>
              </w:rPr>
            </w:pPr>
            <w:r w:rsidRPr="006810CB">
              <w:rPr>
                <w:color w:val="000000"/>
                <w:sz w:val="22"/>
                <w:szCs w:val="22"/>
              </w:rPr>
              <w:t>38,540</w:t>
            </w:r>
          </w:p>
        </w:tc>
        <w:tc>
          <w:tcPr>
            <w:tcW w:w="2340" w:type="dxa"/>
            <w:tcBorders>
              <w:top w:val="nil"/>
              <w:left w:val="nil"/>
              <w:bottom w:val="nil"/>
              <w:right w:val="nil"/>
            </w:tcBorders>
            <w:shd w:val="clear" w:color="auto" w:fill="auto"/>
            <w:noWrap/>
            <w:vAlign w:val="bottom"/>
            <w:hideMark/>
          </w:tcPr>
          <w:p w:rsidR="007C7CD4" w:rsidRPr="00F40A11" w:rsidP="007C7CD4" w14:paraId="6766BEBF" w14:textId="77777777">
            <w:pPr>
              <w:widowControl/>
              <w:autoSpaceDE/>
              <w:autoSpaceDN/>
              <w:adjustRightInd/>
              <w:jc w:val="right"/>
              <w:rPr>
                <w:color w:val="000000"/>
                <w:sz w:val="22"/>
                <w:szCs w:val="22"/>
              </w:rPr>
            </w:pPr>
            <w:r w:rsidRPr="00F40A11">
              <w:rPr>
                <w:color w:val="000000"/>
                <w:sz w:val="22"/>
                <w:szCs w:val="22"/>
              </w:rPr>
              <w:t>17,472</w:t>
            </w:r>
          </w:p>
        </w:tc>
        <w:tc>
          <w:tcPr>
            <w:tcW w:w="2700" w:type="dxa"/>
            <w:tcBorders>
              <w:top w:val="nil"/>
              <w:left w:val="nil"/>
              <w:bottom w:val="nil"/>
              <w:right w:val="single" w:sz="8" w:space="0" w:color="auto"/>
            </w:tcBorders>
            <w:shd w:val="clear" w:color="auto" w:fill="auto"/>
            <w:noWrap/>
            <w:vAlign w:val="bottom"/>
            <w:hideMark/>
          </w:tcPr>
          <w:p w:rsidR="007C7CD4" w:rsidRPr="00B75026" w:rsidP="007C7CD4" w14:paraId="6BB0A5BD" w14:textId="77777777">
            <w:pPr>
              <w:widowControl/>
              <w:autoSpaceDE/>
              <w:autoSpaceDN/>
              <w:adjustRightInd/>
              <w:jc w:val="right"/>
              <w:rPr>
                <w:color w:val="000000"/>
                <w:sz w:val="22"/>
                <w:szCs w:val="22"/>
              </w:rPr>
            </w:pPr>
            <w:r w:rsidRPr="00B75026">
              <w:rPr>
                <w:color w:val="000000"/>
                <w:sz w:val="22"/>
                <w:szCs w:val="22"/>
              </w:rPr>
              <w:t>21,068</w:t>
            </w:r>
          </w:p>
        </w:tc>
      </w:tr>
      <w:tr w14:paraId="0B86B482" w14:textId="77777777" w:rsidTr="006810CB">
        <w:tblPrEx>
          <w:tblW w:w="7920" w:type="dxa"/>
          <w:tblInd w:w="1250" w:type="dxa"/>
          <w:tblLook w:val="04A0"/>
        </w:tblPrEx>
        <w:trPr>
          <w:trHeight w:val="300"/>
        </w:trPr>
        <w:tc>
          <w:tcPr>
            <w:tcW w:w="720" w:type="dxa"/>
            <w:tcBorders>
              <w:top w:val="nil"/>
              <w:left w:val="single" w:sz="8" w:space="0" w:color="auto"/>
              <w:bottom w:val="single" w:sz="8" w:space="0" w:color="auto"/>
              <w:right w:val="nil"/>
            </w:tcBorders>
            <w:shd w:val="clear" w:color="auto" w:fill="auto"/>
            <w:noWrap/>
            <w:vAlign w:val="bottom"/>
            <w:hideMark/>
          </w:tcPr>
          <w:p w:rsidR="007C7CD4" w:rsidRPr="006810CB" w:rsidP="007C7CD4" w14:paraId="28FCDF37" w14:textId="77777777">
            <w:pPr>
              <w:widowControl/>
              <w:autoSpaceDE/>
              <w:autoSpaceDN/>
              <w:adjustRightInd/>
              <w:rPr>
                <w:b/>
                <w:bCs/>
                <w:color w:val="000000"/>
                <w:sz w:val="22"/>
                <w:szCs w:val="22"/>
              </w:rPr>
            </w:pPr>
            <w:r w:rsidRPr="006810CB">
              <w:rPr>
                <w:b/>
                <w:bCs/>
                <w:color w:val="000000"/>
                <w:sz w:val="22"/>
                <w:szCs w:val="22"/>
              </w:rPr>
              <w:t>Total</w:t>
            </w:r>
          </w:p>
        </w:tc>
        <w:tc>
          <w:tcPr>
            <w:tcW w:w="2160" w:type="dxa"/>
            <w:tcBorders>
              <w:top w:val="nil"/>
              <w:left w:val="nil"/>
              <w:bottom w:val="single" w:sz="8" w:space="0" w:color="auto"/>
              <w:right w:val="nil"/>
            </w:tcBorders>
            <w:shd w:val="clear" w:color="auto" w:fill="auto"/>
            <w:noWrap/>
            <w:vAlign w:val="bottom"/>
            <w:hideMark/>
          </w:tcPr>
          <w:p w:rsidR="007C7CD4" w:rsidRPr="006810CB" w:rsidP="007C7CD4" w14:paraId="080C1009" w14:textId="01885ECA">
            <w:pPr>
              <w:widowControl/>
              <w:autoSpaceDE/>
              <w:autoSpaceDN/>
              <w:adjustRightInd/>
              <w:jc w:val="right"/>
              <w:rPr>
                <w:color w:val="000000"/>
                <w:sz w:val="22"/>
                <w:szCs w:val="22"/>
              </w:rPr>
            </w:pPr>
            <w:r>
              <w:rPr>
                <w:color w:val="000000"/>
                <w:sz w:val="22"/>
                <w:szCs w:val="22"/>
              </w:rPr>
              <w:t>2,887,513</w:t>
            </w:r>
          </w:p>
        </w:tc>
        <w:tc>
          <w:tcPr>
            <w:tcW w:w="2340" w:type="dxa"/>
            <w:tcBorders>
              <w:top w:val="nil"/>
              <w:left w:val="nil"/>
              <w:bottom w:val="single" w:sz="8" w:space="0" w:color="auto"/>
              <w:right w:val="nil"/>
            </w:tcBorders>
            <w:shd w:val="clear" w:color="auto" w:fill="auto"/>
            <w:noWrap/>
            <w:vAlign w:val="bottom"/>
            <w:hideMark/>
          </w:tcPr>
          <w:p w:rsidR="007C7CD4" w:rsidRPr="00F40A11" w:rsidP="007C7CD4" w14:paraId="51CFCE95" w14:textId="67A92EF7">
            <w:pPr>
              <w:widowControl/>
              <w:autoSpaceDE/>
              <w:autoSpaceDN/>
              <w:adjustRightInd/>
              <w:jc w:val="right"/>
              <w:rPr>
                <w:color w:val="000000"/>
                <w:sz w:val="22"/>
                <w:szCs w:val="22"/>
              </w:rPr>
            </w:pPr>
            <w:r>
              <w:rPr>
                <w:color w:val="000000"/>
                <w:sz w:val="22"/>
                <w:szCs w:val="22"/>
              </w:rPr>
              <w:t>909,372</w:t>
            </w:r>
          </w:p>
        </w:tc>
        <w:tc>
          <w:tcPr>
            <w:tcW w:w="2700" w:type="dxa"/>
            <w:tcBorders>
              <w:top w:val="nil"/>
              <w:left w:val="nil"/>
              <w:bottom w:val="single" w:sz="8" w:space="0" w:color="auto"/>
              <w:right w:val="single" w:sz="8" w:space="0" w:color="auto"/>
            </w:tcBorders>
            <w:shd w:val="clear" w:color="auto" w:fill="auto"/>
            <w:noWrap/>
            <w:vAlign w:val="bottom"/>
            <w:hideMark/>
          </w:tcPr>
          <w:p w:rsidR="007C7CD4" w:rsidRPr="00F40A11" w:rsidP="007C7CD4" w14:paraId="2C351581" w14:textId="607BB3CA">
            <w:pPr>
              <w:widowControl/>
              <w:autoSpaceDE/>
              <w:autoSpaceDN/>
              <w:adjustRightInd/>
              <w:jc w:val="right"/>
              <w:rPr>
                <w:color w:val="000000"/>
                <w:sz w:val="22"/>
                <w:szCs w:val="22"/>
              </w:rPr>
            </w:pPr>
            <w:r w:rsidRPr="00F40A11">
              <w:rPr>
                <w:sz w:val="22"/>
                <w:szCs w:val="22"/>
              </w:rPr>
              <w:t>1,978,141</w:t>
            </w:r>
          </w:p>
        </w:tc>
      </w:tr>
    </w:tbl>
    <w:p w:rsidR="007C7CD4" w:rsidP="006810CB" w14:paraId="49C78D02" w14:textId="77777777">
      <w:pPr>
        <w:widowControl/>
        <w:autoSpaceDE/>
        <w:autoSpaceDN/>
        <w:adjustRightInd/>
        <w:rPr>
          <w:i/>
          <w:sz w:val="22"/>
          <w:szCs w:val="22"/>
        </w:rPr>
      </w:pPr>
    </w:p>
    <w:p w:rsidR="00AB11E9" w:rsidRPr="000266C0" w:rsidP="007B0F5B" w14:paraId="07795EE5" w14:textId="06ACB8CD">
      <w:pPr>
        <w:tabs>
          <w:tab w:val="left" w:pos="432"/>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266C0">
        <w:rPr>
          <w:sz w:val="24"/>
        </w:rPr>
        <w:t xml:space="preserve">We estimate that hospitals will use their existing communication methods that are in place to </w:t>
      </w:r>
      <w:r w:rsidRPr="000266C0" w:rsidR="0098257A">
        <w:rPr>
          <w:sz w:val="24"/>
        </w:rPr>
        <w:t>ver</w:t>
      </w:r>
      <w:r w:rsidRPr="000266C0" w:rsidR="00AF3EBF">
        <w:rPr>
          <w:sz w:val="24"/>
        </w:rPr>
        <w:t>if</w:t>
      </w:r>
      <w:r w:rsidRPr="000266C0" w:rsidR="0098257A">
        <w:rPr>
          <w:sz w:val="24"/>
        </w:rPr>
        <w:t xml:space="preserve">y </w:t>
      </w:r>
      <w:r w:rsidRPr="000266C0" w:rsidR="00AF3EBF">
        <w:rPr>
          <w:sz w:val="24"/>
        </w:rPr>
        <w:t>insurance information</w:t>
      </w:r>
      <w:r w:rsidRPr="000266C0" w:rsidR="0098257A">
        <w:rPr>
          <w:sz w:val="24"/>
        </w:rPr>
        <w:t xml:space="preserve"> when collecting the information </w:t>
      </w:r>
      <w:r w:rsidR="00387D33">
        <w:rPr>
          <w:sz w:val="24"/>
        </w:rPr>
        <w:t>for</w:t>
      </w:r>
      <w:r w:rsidRPr="000266C0" w:rsidR="00387D33">
        <w:rPr>
          <w:sz w:val="24"/>
        </w:rPr>
        <w:t xml:space="preserve"> </w:t>
      </w:r>
      <w:r w:rsidRPr="000266C0" w:rsidR="0098257A">
        <w:rPr>
          <w:sz w:val="24"/>
        </w:rPr>
        <w:t xml:space="preserve">this </w:t>
      </w:r>
      <w:r w:rsidR="00387D33">
        <w:rPr>
          <w:sz w:val="24"/>
        </w:rPr>
        <w:t>collection</w:t>
      </w:r>
      <w:r w:rsidRPr="000266C0" w:rsidR="0098257A">
        <w:rPr>
          <w:sz w:val="24"/>
        </w:rPr>
        <w:t xml:space="preserve">. We estimate that verifying </w:t>
      </w:r>
      <w:r w:rsidRPr="000266C0" w:rsidR="00AF3EBF">
        <w:rPr>
          <w:sz w:val="24"/>
        </w:rPr>
        <w:t xml:space="preserve">section 1115 premium assistance status for </w:t>
      </w:r>
      <w:r w:rsidR="00FB0C4F">
        <w:rPr>
          <w:sz w:val="24"/>
        </w:rPr>
        <w:t>non</w:t>
      </w:r>
      <w:r w:rsidR="004814D6">
        <w:rPr>
          <w:sz w:val="24"/>
        </w:rPr>
        <w:t>-</w:t>
      </w:r>
      <w:r w:rsidR="00FB0C4F">
        <w:rPr>
          <w:sz w:val="24"/>
        </w:rPr>
        <w:t>Medicare</w:t>
      </w:r>
      <w:r w:rsidRPr="000266C0" w:rsidR="00AF3EBF">
        <w:rPr>
          <w:sz w:val="24"/>
        </w:rPr>
        <w:t xml:space="preserve"> </w:t>
      </w:r>
      <w:r w:rsidRPr="000266C0" w:rsidR="0098257A">
        <w:rPr>
          <w:sz w:val="24"/>
        </w:rPr>
        <w:t>for an individual will take</w:t>
      </w:r>
      <w:r w:rsidR="00387D33">
        <w:rPr>
          <w:sz w:val="24"/>
        </w:rPr>
        <w:t xml:space="preserve">, on average, approximately </w:t>
      </w:r>
      <w:r w:rsidRPr="000266C0" w:rsidR="00AF3EBF">
        <w:rPr>
          <w:sz w:val="24"/>
        </w:rPr>
        <w:t>15 minutes</w:t>
      </w:r>
      <w:r w:rsidR="00387D33">
        <w:rPr>
          <w:sz w:val="24"/>
        </w:rPr>
        <w:t xml:space="preserve"> (or 0.25 hours)</w:t>
      </w:r>
      <w:r w:rsidRPr="000266C0" w:rsidR="0098257A">
        <w:rPr>
          <w:sz w:val="24"/>
        </w:rPr>
        <w:t xml:space="preserve">. We believe that information clerks will be making these </w:t>
      </w:r>
      <w:r w:rsidRPr="000266C0" w:rsidR="000E070D">
        <w:rPr>
          <w:sz w:val="24"/>
        </w:rPr>
        <w:t>inquiries. Based on the most recent Bureau of Labor and Statistics Occupational and Employment Data (May 2021) at</w:t>
      </w:r>
      <w:r w:rsidRPr="000266C0" w:rsidR="00E26EF1">
        <w:rPr>
          <w:sz w:val="24"/>
        </w:rPr>
        <w:t xml:space="preserve"> </w:t>
      </w:r>
      <w:hyperlink r:id="rId8" w:history="1">
        <w:r w:rsidRPr="00D67E6E" w:rsidR="00F6435D">
          <w:rPr>
            <w:rStyle w:val="Hyperlink"/>
            <w:sz w:val="24"/>
          </w:rPr>
          <w:t>https://www</w:t>
        </w:r>
      </w:hyperlink>
      <w:r w:rsidRPr="000266C0" w:rsidR="00E26EF1">
        <w:rPr>
          <w:sz w:val="24"/>
        </w:rPr>
        <w:t xml:space="preserve">.bls.gov/oes/current/oes_nat.htm for Category 43-4199, </w:t>
      </w:r>
      <w:r w:rsidRPr="000266C0" w:rsidR="000E070D">
        <w:rPr>
          <w:sz w:val="24"/>
        </w:rPr>
        <w:t xml:space="preserve">Information and Record Clerks, All Other, the mean hourly wage for an Information and Record Clerk is $21.13. We have added 100 percent for fringe and overhead benefits, which calculates to $42.26 per hour.  </w:t>
      </w:r>
      <w:r w:rsidR="007B0F5B">
        <w:rPr>
          <w:sz w:val="24"/>
        </w:rPr>
        <w:t>In addition, we</w:t>
      </w:r>
      <w:r w:rsidRPr="000266C0" w:rsidR="007B0F5B">
        <w:rPr>
          <w:sz w:val="24"/>
        </w:rPr>
        <w:t xml:space="preserve"> believe hospitals </w:t>
      </w:r>
      <w:r w:rsidR="007B0F5B">
        <w:rPr>
          <w:sz w:val="24"/>
        </w:rPr>
        <w:t xml:space="preserve">in </w:t>
      </w:r>
      <w:r w:rsidRPr="007B0F5B" w:rsidR="007B0F5B">
        <w:rPr>
          <w:sz w:val="24"/>
        </w:rPr>
        <w:t>Massachusetts</w:t>
      </w:r>
      <w:r w:rsidR="007B0F5B">
        <w:rPr>
          <w:sz w:val="24"/>
        </w:rPr>
        <w:t xml:space="preserve"> </w:t>
      </w:r>
      <w:r w:rsidRPr="000266C0" w:rsidR="007B0F5B">
        <w:rPr>
          <w:sz w:val="24"/>
        </w:rPr>
        <w:t xml:space="preserve">would need to conduct inquiries for all patients </w:t>
      </w:r>
      <w:r w:rsidR="00744F3A">
        <w:rPr>
          <w:sz w:val="24"/>
        </w:rPr>
        <w:t xml:space="preserve">eligible for a section 1115 demonstration </w:t>
      </w:r>
      <w:r w:rsidRPr="000266C0" w:rsidR="007B0F5B">
        <w:rPr>
          <w:sz w:val="24"/>
        </w:rPr>
        <w:t xml:space="preserve">with insurance </w:t>
      </w:r>
      <w:r w:rsidR="007B0F5B">
        <w:rPr>
          <w:sz w:val="24"/>
        </w:rPr>
        <w:t xml:space="preserve">other than Medicare </w:t>
      </w:r>
      <w:r w:rsidRPr="000266C0" w:rsidR="007B0F5B">
        <w:rPr>
          <w:sz w:val="24"/>
        </w:rPr>
        <w:t xml:space="preserve">to determine whether </w:t>
      </w:r>
      <w:r w:rsidR="00AC3FBA">
        <w:rPr>
          <w:sz w:val="24"/>
        </w:rPr>
        <w:t>those</w:t>
      </w:r>
      <w:r w:rsidRPr="007B0F5B" w:rsidR="007B0F5B">
        <w:rPr>
          <w:sz w:val="24"/>
        </w:rPr>
        <w:t xml:space="preserve"> patients have received premium assistance that covers 100 percent of their</w:t>
      </w:r>
      <w:r w:rsidR="007B0F5B">
        <w:rPr>
          <w:sz w:val="24"/>
        </w:rPr>
        <w:t xml:space="preserve"> </w:t>
      </w:r>
      <w:r w:rsidRPr="007B0F5B" w:rsidR="007B0F5B">
        <w:rPr>
          <w:sz w:val="24"/>
        </w:rPr>
        <w:t>premium costs.</w:t>
      </w:r>
      <w:r w:rsidR="00AC3FBA">
        <w:rPr>
          <w:sz w:val="24"/>
        </w:rPr>
        <w:t xml:space="preserve"> T</w:t>
      </w:r>
      <w:r w:rsidRPr="007B0F5B" w:rsidR="007B0F5B">
        <w:rPr>
          <w:sz w:val="24"/>
        </w:rPr>
        <w:t>o account for circumstances where additional time may</w:t>
      </w:r>
      <w:r w:rsidR="007B0F5B">
        <w:rPr>
          <w:sz w:val="24"/>
        </w:rPr>
        <w:t xml:space="preserve"> </w:t>
      </w:r>
      <w:r w:rsidRPr="007B0F5B" w:rsidR="007B0F5B">
        <w:rPr>
          <w:sz w:val="24"/>
        </w:rPr>
        <w:t xml:space="preserve">be needed, we estimate this additional verification will take 1.5 minutes </w:t>
      </w:r>
      <w:r w:rsidR="00A868AA">
        <w:rPr>
          <w:sz w:val="24"/>
        </w:rPr>
        <w:t xml:space="preserve">per inquiry </w:t>
      </w:r>
      <w:r w:rsidR="00AC3FBA">
        <w:rPr>
          <w:sz w:val="24"/>
        </w:rPr>
        <w:t xml:space="preserve">for the </w:t>
      </w:r>
      <w:r w:rsidR="00CF4A9D">
        <w:rPr>
          <w:sz w:val="24"/>
        </w:rPr>
        <w:t xml:space="preserve">56 </w:t>
      </w:r>
      <w:r w:rsidRPr="000266C0" w:rsidR="00AC3FBA">
        <w:rPr>
          <w:sz w:val="24"/>
        </w:rPr>
        <w:t xml:space="preserve">hospitals </w:t>
      </w:r>
      <w:r w:rsidR="00AC3FBA">
        <w:rPr>
          <w:sz w:val="24"/>
        </w:rPr>
        <w:t xml:space="preserve">in </w:t>
      </w:r>
      <w:r w:rsidRPr="007B0F5B" w:rsidR="00AC3FBA">
        <w:rPr>
          <w:sz w:val="24"/>
        </w:rPr>
        <w:t>Massachusetts</w:t>
      </w:r>
      <w:r w:rsidR="00AC3FBA">
        <w:rPr>
          <w:sz w:val="24"/>
        </w:rPr>
        <w:t>, which have an</w:t>
      </w:r>
      <w:r w:rsidRPr="000266C0" w:rsidR="007B0F5B">
        <w:rPr>
          <w:sz w:val="24"/>
        </w:rPr>
        <w:t xml:space="preserve"> estimate</w:t>
      </w:r>
      <w:r w:rsidR="00AC3FBA">
        <w:rPr>
          <w:sz w:val="24"/>
        </w:rPr>
        <w:t>d</w:t>
      </w:r>
      <w:r w:rsidRPr="000266C0" w:rsidR="007B0F5B">
        <w:rPr>
          <w:sz w:val="24"/>
        </w:rPr>
        <w:t xml:space="preserve"> difference between all payer annualized discharges and annualized Medicare discharges </w:t>
      </w:r>
      <w:r w:rsidR="00AC3FBA">
        <w:rPr>
          <w:sz w:val="24"/>
        </w:rPr>
        <w:t xml:space="preserve">of </w:t>
      </w:r>
      <w:r w:rsidRPr="00AC3FBA" w:rsidR="00AC3FBA">
        <w:rPr>
          <w:sz w:val="24"/>
        </w:rPr>
        <w:t>453,689</w:t>
      </w:r>
      <w:r w:rsidRPr="000266C0" w:rsidR="007B0F5B">
        <w:rPr>
          <w:sz w:val="24"/>
        </w:rPr>
        <w:t xml:space="preserve"> </w:t>
      </w:r>
      <w:r w:rsidR="007B0F5B">
        <w:rPr>
          <w:sz w:val="24"/>
        </w:rPr>
        <w:t>for</w:t>
      </w:r>
      <w:r w:rsidRPr="000266C0" w:rsidR="007B0F5B">
        <w:rPr>
          <w:sz w:val="24"/>
        </w:rPr>
        <w:t xml:space="preserve"> </w:t>
      </w:r>
      <w:r w:rsidR="007B0F5B">
        <w:rPr>
          <w:sz w:val="24"/>
        </w:rPr>
        <w:t xml:space="preserve">FFY </w:t>
      </w:r>
      <w:r w:rsidRPr="000266C0" w:rsidR="007B0F5B">
        <w:rPr>
          <w:sz w:val="24"/>
        </w:rPr>
        <w:t>2019.</w:t>
      </w:r>
      <w:r w:rsidR="00AC3FBA">
        <w:rPr>
          <w:sz w:val="24"/>
        </w:rPr>
        <w:t xml:space="preserve"> </w:t>
      </w:r>
    </w:p>
    <w:p w:rsidR="00117CDD" w:rsidRPr="007B4184" w:rsidP="00EC389B" w14:paraId="563A3083" w14:textId="77777777">
      <w:pPr>
        <w:tabs>
          <w:tab w:val="left" w:pos="432"/>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rsidR="008F1EB4" w14:paraId="41098F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E01598" w:rsidP="00B9754A" w14:paraId="26D718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0266C0" w:rsidP="00974007" w14:paraId="24DD9016" w14:textId="77777777">
      <w:pPr>
        <w:widowControl/>
        <w:autoSpaceDE/>
        <w:autoSpaceDN/>
        <w:adjustRightInd/>
        <w:spacing w:after="295" w:line="249" w:lineRule="auto"/>
        <w:ind w:left="450" w:right="5"/>
        <w:rPr>
          <w:color w:val="000000"/>
          <w:sz w:val="24"/>
        </w:rPr>
      </w:pPr>
      <w:r w:rsidRPr="000266C0">
        <w:rPr>
          <w:color w:val="000000"/>
          <w:sz w:val="24"/>
        </w:rPr>
        <w:t xml:space="preserve">There are no capital costs. </w:t>
      </w:r>
    </w:p>
    <w:p w:rsidR="008F1EB4" w14:paraId="62ED6C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bookmarkStart w:id="4" w:name="_Hlk108691326"/>
      <w:r>
        <w:rPr>
          <w:sz w:val="24"/>
        </w:rPr>
        <w:t>14.</w:t>
      </w:r>
      <w:r>
        <w:rPr>
          <w:sz w:val="24"/>
        </w:rPr>
        <w:tab/>
      </w:r>
      <w:r>
        <w:rPr>
          <w:sz w:val="24"/>
          <w:u w:val="single"/>
        </w:rPr>
        <w:t>Cost to Federal Government</w:t>
      </w:r>
    </w:p>
    <w:p w:rsidR="008F1EB4" w14:paraId="4955AE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4"/>
    <w:p w:rsidR="007B25E3" w:rsidRPr="002F42BF" w:rsidP="007B25E3" w14:paraId="276BFF55" w14:textId="2F7B2D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F42BF">
        <w:rPr>
          <w:sz w:val="24"/>
        </w:rPr>
        <w:t>CMS, th</w:t>
      </w:r>
      <w:r w:rsidRPr="002F42BF" w:rsidR="00A4429E">
        <w:rPr>
          <w:sz w:val="24"/>
        </w:rPr>
        <w:t>r</w:t>
      </w:r>
      <w:r w:rsidRPr="002F42BF">
        <w:rPr>
          <w:sz w:val="24"/>
        </w:rPr>
        <w:t xml:space="preserve">ough the </w:t>
      </w:r>
      <w:r w:rsidRPr="002F42BF" w:rsidR="00A4429E">
        <w:rPr>
          <w:sz w:val="24"/>
        </w:rPr>
        <w:t>Medicare Administrative Contractor</w:t>
      </w:r>
      <w:r w:rsidR="00990599">
        <w:rPr>
          <w:sz w:val="24"/>
        </w:rPr>
        <w:t>s</w:t>
      </w:r>
      <w:r w:rsidRPr="002F42BF" w:rsidR="00A4429E">
        <w:rPr>
          <w:sz w:val="24"/>
        </w:rPr>
        <w:t xml:space="preserve"> (</w:t>
      </w:r>
      <w:r w:rsidRPr="002F42BF">
        <w:rPr>
          <w:sz w:val="24"/>
        </w:rPr>
        <w:t>MACs</w:t>
      </w:r>
      <w:r w:rsidRPr="002F42BF" w:rsidR="00A4429E">
        <w:rPr>
          <w:sz w:val="24"/>
        </w:rPr>
        <w:t>)</w:t>
      </w:r>
      <w:r w:rsidRPr="002F42BF">
        <w:rPr>
          <w:sz w:val="24"/>
        </w:rPr>
        <w:t xml:space="preserve">, will review and audit </w:t>
      </w:r>
      <w:r w:rsidRPr="002F42BF">
        <w:rPr>
          <w:sz w:val="24"/>
        </w:rPr>
        <w:t xml:space="preserve">the </w:t>
      </w:r>
      <w:r w:rsidR="009078BE">
        <w:rPr>
          <w:sz w:val="24"/>
        </w:rPr>
        <w:t xml:space="preserve">Medicaid days reported on the Medicare </w:t>
      </w:r>
      <w:r w:rsidRPr="002F42BF">
        <w:rPr>
          <w:sz w:val="24"/>
        </w:rPr>
        <w:t>cost report</w:t>
      </w:r>
      <w:r w:rsidR="009078BE">
        <w:rPr>
          <w:sz w:val="24"/>
        </w:rPr>
        <w:t>,</w:t>
      </w:r>
      <w:r w:rsidRPr="002F42BF">
        <w:rPr>
          <w:sz w:val="24"/>
        </w:rPr>
        <w:t xml:space="preserve"> S-</w:t>
      </w:r>
      <w:r w:rsidRPr="002F42BF" w:rsidR="007A4187">
        <w:rPr>
          <w:sz w:val="24"/>
        </w:rPr>
        <w:t xml:space="preserve">2 worksheet </w:t>
      </w:r>
      <w:r w:rsidRPr="002F42BF">
        <w:rPr>
          <w:sz w:val="24"/>
        </w:rPr>
        <w:t xml:space="preserve">for the </w:t>
      </w:r>
      <w:r w:rsidR="001E1C24">
        <w:rPr>
          <w:sz w:val="24"/>
        </w:rPr>
        <w:t>340</w:t>
      </w:r>
      <w:r w:rsidRPr="002F42BF" w:rsidR="001E1C24">
        <w:rPr>
          <w:sz w:val="24"/>
        </w:rPr>
        <w:t xml:space="preserve"> </w:t>
      </w:r>
      <w:r w:rsidRPr="002F42BF">
        <w:rPr>
          <w:sz w:val="24"/>
        </w:rPr>
        <w:t>hospitals that</w:t>
      </w:r>
      <w:r w:rsidRPr="002F42BF" w:rsidR="009E3BF4">
        <w:rPr>
          <w:sz w:val="24"/>
        </w:rPr>
        <w:t xml:space="preserve"> we </w:t>
      </w:r>
      <w:r w:rsidR="00990599">
        <w:rPr>
          <w:sz w:val="24"/>
        </w:rPr>
        <w:t>project</w:t>
      </w:r>
      <w:r w:rsidRPr="002F42BF" w:rsidR="00990599">
        <w:rPr>
          <w:sz w:val="24"/>
        </w:rPr>
        <w:t xml:space="preserve"> </w:t>
      </w:r>
      <w:r w:rsidRPr="002F42BF" w:rsidR="00BB7992">
        <w:rPr>
          <w:sz w:val="24"/>
        </w:rPr>
        <w:t>will report inpatient days associated with</w:t>
      </w:r>
      <w:r w:rsidRPr="002F42BF" w:rsidR="00D84E89">
        <w:rPr>
          <w:sz w:val="24"/>
        </w:rPr>
        <w:t xml:space="preserve"> 1115 demonstrations</w:t>
      </w:r>
      <w:r w:rsidRPr="002F42BF" w:rsidR="009E3BF4">
        <w:rPr>
          <w:sz w:val="24"/>
        </w:rPr>
        <w:t xml:space="preserve"> which provide premium assistance benefits</w:t>
      </w:r>
      <w:r w:rsidRPr="002F42BF">
        <w:rPr>
          <w:sz w:val="24"/>
        </w:rPr>
        <w:t xml:space="preserve">. We estimate </w:t>
      </w:r>
      <w:r w:rsidRPr="002F42BF" w:rsidR="009E3BF4">
        <w:rPr>
          <w:sz w:val="24"/>
        </w:rPr>
        <w:t>that one hundred percent of submissions will be audited the first year th</w:t>
      </w:r>
      <w:r w:rsidR="00990599">
        <w:rPr>
          <w:sz w:val="24"/>
        </w:rPr>
        <w:t>e</w:t>
      </w:r>
      <w:r w:rsidRPr="002F42BF" w:rsidR="009E3BF4">
        <w:rPr>
          <w:sz w:val="24"/>
        </w:rPr>
        <w:t xml:space="preserve"> information associated with this collection is submitted</w:t>
      </w:r>
      <w:r w:rsidRPr="002F42BF">
        <w:rPr>
          <w:sz w:val="24"/>
        </w:rPr>
        <w:t xml:space="preserve">. We also estimate that it will take </w:t>
      </w:r>
      <w:r w:rsidRPr="002F42BF" w:rsidR="007A4187">
        <w:rPr>
          <w:sz w:val="24"/>
        </w:rPr>
        <w:t xml:space="preserve">40 </w:t>
      </w:r>
      <w:r w:rsidRPr="002F42BF">
        <w:rPr>
          <w:sz w:val="24"/>
        </w:rPr>
        <w:t>hour</w:t>
      </w:r>
      <w:r w:rsidRPr="002F42BF" w:rsidR="00A4429E">
        <w:rPr>
          <w:sz w:val="24"/>
        </w:rPr>
        <w:t>s</w:t>
      </w:r>
      <w:r w:rsidRPr="002F42BF">
        <w:rPr>
          <w:sz w:val="24"/>
        </w:rPr>
        <w:t xml:space="preserve"> for MAC staff to process</w:t>
      </w:r>
      <w:r w:rsidRPr="002F42BF" w:rsidR="00BB7992">
        <w:rPr>
          <w:sz w:val="24"/>
        </w:rPr>
        <w:t xml:space="preserve"> </w:t>
      </w:r>
      <w:r w:rsidR="00407C32">
        <w:rPr>
          <w:sz w:val="24"/>
        </w:rPr>
        <w:t>and verify the information submitted by the hospital for each cost report</w:t>
      </w:r>
      <w:r w:rsidRPr="002F42BF">
        <w:rPr>
          <w:sz w:val="24"/>
        </w:rPr>
        <w:t>. This time estimate is based on the professional judgment of staff members at the Centers for Medicare &amp; Medicaid Services</w:t>
      </w:r>
      <w:r w:rsidR="00990599">
        <w:rPr>
          <w:sz w:val="24"/>
        </w:rPr>
        <w:t xml:space="preserve"> who work with </w:t>
      </w:r>
      <w:r w:rsidRPr="002F42BF" w:rsidR="00990599">
        <w:rPr>
          <w:sz w:val="24"/>
        </w:rPr>
        <w:t>MAC staff</w:t>
      </w:r>
      <w:r w:rsidRPr="002F42BF">
        <w:rPr>
          <w:sz w:val="24"/>
        </w:rPr>
        <w:t xml:space="preserve">. </w:t>
      </w:r>
      <w:r w:rsidRPr="002F42BF" w:rsidR="003F67A7">
        <w:rPr>
          <w:sz w:val="24"/>
        </w:rPr>
        <w:t xml:space="preserve">We estimate the total hourly burden for one year will be </w:t>
      </w:r>
      <w:r w:rsidR="001E1C24">
        <w:rPr>
          <w:sz w:val="24"/>
        </w:rPr>
        <w:t>13,600</w:t>
      </w:r>
      <w:r w:rsidRPr="002F42BF" w:rsidR="003F67A7">
        <w:rPr>
          <w:sz w:val="24"/>
        </w:rPr>
        <w:t xml:space="preserve"> hours (</w:t>
      </w:r>
      <w:r w:rsidR="001E1C24">
        <w:rPr>
          <w:sz w:val="24"/>
        </w:rPr>
        <w:t>340</w:t>
      </w:r>
      <w:r w:rsidRPr="002F42BF" w:rsidR="001E1C24">
        <w:rPr>
          <w:sz w:val="24"/>
        </w:rPr>
        <w:t xml:space="preserve"> </w:t>
      </w:r>
      <w:r w:rsidRPr="002F42BF" w:rsidR="003F67A7">
        <w:rPr>
          <w:sz w:val="24"/>
        </w:rPr>
        <w:t>cost reports x 40 hours per cost report).</w:t>
      </w:r>
    </w:p>
    <w:p w:rsidR="007B25E3" w:rsidRPr="002F42BF" w:rsidP="007B25E3" w14:paraId="752F1A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B25E3" w:rsidRPr="002F42BF" w:rsidP="00A323E8" w14:paraId="2B11AFB4" w14:textId="18F447CC">
      <w:pPr>
        <w:pStyle w:val="Default"/>
        <w:ind w:left="360"/>
      </w:pPr>
      <w:r w:rsidRPr="002F42BF">
        <w:t xml:space="preserve">MAC auditors </w:t>
      </w:r>
      <w:r w:rsidRPr="002F42BF" w:rsidR="005340B4">
        <w:t xml:space="preserve">will be receiving and processing </w:t>
      </w:r>
      <w:r w:rsidR="00A135A6">
        <w:t xml:space="preserve">the Medicaid days information reported on </w:t>
      </w:r>
      <w:r w:rsidRPr="002F42BF" w:rsidR="005340B4">
        <w:t xml:space="preserve">the </w:t>
      </w:r>
      <w:r w:rsidRPr="002F42BF" w:rsidR="005667C1">
        <w:t>cost report</w:t>
      </w:r>
      <w:r w:rsidRPr="002F42BF" w:rsidR="005340B4">
        <w:t>.</w:t>
      </w:r>
      <w:r w:rsidRPr="002F42BF" w:rsidR="00A323E8">
        <w:t xml:space="preserve"> B</w:t>
      </w:r>
      <w:r w:rsidRPr="002F42BF" w:rsidR="00D5729A">
        <w:t xml:space="preserve">ased on the most recent Bureau of Labor and Statistics Occupational and Employment Data (May 2021) at </w:t>
      </w:r>
      <w:bookmarkStart w:id="5" w:name="_Hlk142040074"/>
      <w:hyperlink r:id="rId9" w:history="1">
        <w:r w:rsidRPr="00453A75" w:rsidR="00453A75">
          <w:rPr>
            <w:rStyle w:val="Hyperlink"/>
          </w:rPr>
          <w:t>http://www.bls.gov/oes/current/oes_nat.htm#</w:t>
        </w:r>
      </w:hyperlink>
      <w:r w:rsidR="00453A75">
        <w:t xml:space="preserve"> </w:t>
      </w:r>
      <w:bookmarkEnd w:id="5"/>
      <w:r w:rsidRPr="002F42BF" w:rsidR="00D5729A">
        <w:t xml:space="preserve">for Category </w:t>
      </w:r>
      <w:r w:rsidRPr="002F42BF" w:rsidR="005725FC">
        <w:t>13-2011</w:t>
      </w:r>
      <w:r w:rsidRPr="002F42BF" w:rsidR="00E255BE">
        <w:t>,</w:t>
      </w:r>
      <w:r w:rsidRPr="002F42BF" w:rsidR="0015163A">
        <w:t xml:space="preserve"> accountants and auditors</w:t>
      </w:r>
      <w:r w:rsidRPr="002F42BF" w:rsidR="00D5729A">
        <w:t xml:space="preserve">, the mean hourly wage for </w:t>
      </w:r>
      <w:r w:rsidRPr="002F42BF" w:rsidR="0015163A">
        <w:t>accounts and auditors</w:t>
      </w:r>
      <w:r w:rsidRPr="002F42BF" w:rsidR="00D5729A">
        <w:t xml:space="preserve"> is $</w:t>
      </w:r>
      <w:r w:rsidRPr="002F42BF" w:rsidR="00731861">
        <w:t>40.37</w:t>
      </w:r>
      <w:r w:rsidRPr="002F42BF" w:rsidR="00D5729A">
        <w:t>.  We have added 100 percent for fringe and overhead benefits, which calculates to</w:t>
      </w:r>
      <w:r w:rsidRPr="002F42BF" w:rsidR="008D07B3">
        <w:t xml:space="preserve"> </w:t>
      </w:r>
      <w:r w:rsidRPr="002F42BF" w:rsidR="00D5729A">
        <w:t>$</w:t>
      </w:r>
      <w:r w:rsidRPr="002F42BF" w:rsidR="00731861">
        <w:t>80.74</w:t>
      </w:r>
      <w:r w:rsidRPr="002F42BF" w:rsidR="00D5729A">
        <w:t xml:space="preserve"> per hour. We estimate the total annual cost </w:t>
      </w:r>
      <w:r w:rsidRPr="002F42BF" w:rsidR="00E15F5F">
        <w:t xml:space="preserve">to the Federal government </w:t>
      </w:r>
      <w:r w:rsidRPr="002F42BF" w:rsidR="00D5729A">
        <w:t>is $</w:t>
      </w:r>
      <w:r w:rsidR="001E1C24">
        <w:t>1,098,064</w:t>
      </w:r>
      <w:r w:rsidRPr="002F42BF" w:rsidR="008D07B3">
        <w:t xml:space="preserve"> </w:t>
      </w:r>
      <w:r w:rsidRPr="002F42BF" w:rsidR="00D5729A">
        <w:t>(</w:t>
      </w:r>
      <w:r w:rsidR="001E1C24">
        <w:t>13,600</w:t>
      </w:r>
      <w:r w:rsidRPr="002F42BF" w:rsidR="00D5729A">
        <w:t xml:space="preserve"> hours x $</w:t>
      </w:r>
      <w:r w:rsidRPr="002F42BF" w:rsidR="002525FB">
        <w:t xml:space="preserve">80.74 </w:t>
      </w:r>
      <w:r w:rsidRPr="002F42BF" w:rsidR="00D5729A">
        <w:t>per hour).</w:t>
      </w:r>
    </w:p>
    <w:p w:rsidR="008F1EB4" w14:paraId="608E66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1F4B7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r w:rsidR="0008786F">
        <w:rPr>
          <w:sz w:val="24"/>
          <w:u w:val="single"/>
        </w:rPr>
        <w:t>/Program Changes</w:t>
      </w:r>
    </w:p>
    <w:p w:rsidR="008F1EB4" w14:paraId="342160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0FF5" w:rsidP="00A202CE" w14:paraId="1AC5FEBA" w14:textId="1D98FF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i/>
          <w:sz w:val="22"/>
        </w:rPr>
      </w:pPr>
      <w:r w:rsidRPr="00C422A3">
        <w:rPr>
          <w:sz w:val="24"/>
        </w:rPr>
        <w:t xml:space="preserve">This is a new collection associated with a </w:t>
      </w:r>
      <w:r w:rsidR="00F6435D">
        <w:rPr>
          <w:sz w:val="24"/>
        </w:rPr>
        <w:t xml:space="preserve">finalized </w:t>
      </w:r>
      <w:r w:rsidRPr="00C422A3">
        <w:rPr>
          <w:sz w:val="24"/>
        </w:rPr>
        <w:t>proposal.</w:t>
      </w:r>
      <w:r>
        <w:rPr>
          <w:sz w:val="24"/>
        </w:rPr>
        <w:t xml:space="preserve"> </w:t>
      </w:r>
      <w:r w:rsidR="0099205B">
        <w:rPr>
          <w:sz w:val="24"/>
        </w:rPr>
        <w:t>As detailed above, the</w:t>
      </w:r>
      <w:r w:rsidRPr="000266C0" w:rsidR="00A202CE">
        <w:rPr>
          <w:sz w:val="24"/>
        </w:rPr>
        <w:t xml:space="preserve"> burden associated with this </w:t>
      </w:r>
      <w:r w:rsidR="00A202CE">
        <w:rPr>
          <w:sz w:val="24"/>
        </w:rPr>
        <w:t>finalized policy is</w:t>
      </w:r>
      <w:r w:rsidRPr="000266C0" w:rsidR="00A202CE">
        <w:rPr>
          <w:sz w:val="24"/>
        </w:rPr>
        <w:t xml:space="preserve"> the time for hospitals </w:t>
      </w:r>
      <w:r w:rsidR="0099205B">
        <w:rPr>
          <w:sz w:val="24"/>
        </w:rPr>
        <w:t>in c</w:t>
      </w:r>
      <w:r w:rsidR="00240174">
        <w:rPr>
          <w:sz w:val="24"/>
        </w:rPr>
        <w:t>ertain</w:t>
      </w:r>
      <w:r w:rsidR="0099205B">
        <w:rPr>
          <w:sz w:val="24"/>
        </w:rPr>
        <w:t xml:space="preserve"> states </w:t>
      </w:r>
      <w:r w:rsidRPr="000266C0" w:rsidR="00A202CE">
        <w:rPr>
          <w:sz w:val="24"/>
        </w:rPr>
        <w:t xml:space="preserve">to determine whether the premium payments for a patient’s insurance are paid for by a section 1115 premium assistance program. </w:t>
      </w:r>
      <w:r w:rsidR="005E09FD">
        <w:rPr>
          <w:sz w:val="24"/>
        </w:rPr>
        <w:t>In the proposal w</w:t>
      </w:r>
      <w:r w:rsidRPr="000266C0" w:rsidR="00A202CE">
        <w:rPr>
          <w:sz w:val="24"/>
        </w:rPr>
        <w:t>e estimate</w:t>
      </w:r>
      <w:r w:rsidR="001C41EC">
        <w:rPr>
          <w:sz w:val="24"/>
        </w:rPr>
        <w:t>d 310 hospitals</w:t>
      </w:r>
      <w:r w:rsidR="00240174">
        <w:rPr>
          <w:sz w:val="24"/>
        </w:rPr>
        <w:t xml:space="preserve"> in seven states</w:t>
      </w:r>
      <w:r w:rsidR="001C41EC">
        <w:rPr>
          <w:sz w:val="24"/>
        </w:rPr>
        <w:t xml:space="preserve"> would be affected by this requirement</w:t>
      </w:r>
      <w:r w:rsidR="0099205B">
        <w:rPr>
          <w:sz w:val="24"/>
        </w:rPr>
        <w:t>.  In this collection request, the estimated number increased to</w:t>
      </w:r>
      <w:r w:rsidRPr="000266C0" w:rsidR="00A202CE">
        <w:rPr>
          <w:sz w:val="24"/>
        </w:rPr>
        <w:t xml:space="preserve"> </w:t>
      </w:r>
      <w:r w:rsidR="00A202CE">
        <w:rPr>
          <w:sz w:val="24"/>
        </w:rPr>
        <w:t>340</w:t>
      </w:r>
      <w:r w:rsidRPr="000266C0" w:rsidR="00A202CE">
        <w:rPr>
          <w:sz w:val="24"/>
        </w:rPr>
        <w:t xml:space="preserve"> hospitals </w:t>
      </w:r>
      <w:r w:rsidR="0099205B">
        <w:rPr>
          <w:sz w:val="24"/>
        </w:rPr>
        <w:t xml:space="preserve">to include the burden for hospitals in </w:t>
      </w:r>
      <w:r w:rsidR="00240174">
        <w:rPr>
          <w:sz w:val="24"/>
        </w:rPr>
        <w:t xml:space="preserve">an eighth state, </w:t>
      </w:r>
      <w:r w:rsidR="0099205B">
        <w:rPr>
          <w:sz w:val="24"/>
        </w:rPr>
        <w:t>Connecticut</w:t>
      </w:r>
      <w:r w:rsidR="00240174">
        <w:rPr>
          <w:sz w:val="24"/>
        </w:rPr>
        <w:t>,</w:t>
      </w:r>
      <w:r w:rsidR="0099205B">
        <w:rPr>
          <w:sz w:val="24"/>
        </w:rPr>
        <w:t xml:space="preserve"> </w:t>
      </w:r>
      <w:r w:rsidR="00304D40">
        <w:rPr>
          <w:sz w:val="24"/>
        </w:rPr>
        <w:t>which is also</w:t>
      </w:r>
      <w:r w:rsidRPr="000266C0" w:rsidR="00A202CE">
        <w:rPr>
          <w:sz w:val="24"/>
        </w:rPr>
        <w:t xml:space="preserve"> affected by this requirement</w:t>
      </w:r>
      <w:r w:rsidR="00240174">
        <w:rPr>
          <w:sz w:val="24"/>
        </w:rPr>
        <w:t xml:space="preserve">.  The burden </w:t>
      </w:r>
      <w:r w:rsidR="00AF523E">
        <w:rPr>
          <w:sz w:val="24"/>
        </w:rPr>
        <w:t xml:space="preserve">is </w:t>
      </w:r>
      <w:r w:rsidR="00240174">
        <w:rPr>
          <w:sz w:val="24"/>
        </w:rPr>
        <w:t>adjusted accordingly.</w:t>
      </w:r>
      <w:r w:rsidR="00AF523E">
        <w:rPr>
          <w:sz w:val="24"/>
        </w:rPr>
        <w:t xml:space="preserve">  The proposed cost to the Federal Government has also increased due to the addition</w:t>
      </w:r>
      <w:r w:rsidR="00304D40">
        <w:rPr>
          <w:sz w:val="24"/>
        </w:rPr>
        <w:t>al</w:t>
      </w:r>
      <w:r w:rsidR="00AF523E">
        <w:rPr>
          <w:sz w:val="24"/>
        </w:rPr>
        <w:t xml:space="preserve"> hospitals and is adjusted accordingly.</w:t>
      </w:r>
    </w:p>
    <w:p w:rsidR="008F1EB4" w14:paraId="61D72B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14:paraId="16A48C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078BE" w:rsidP="005C5D58" w14:paraId="5A7C0F7F" w14:textId="035458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szCs w:val="22"/>
        </w:rPr>
      </w:pPr>
      <w:r w:rsidRPr="008472BF">
        <w:rPr>
          <w:sz w:val="24"/>
          <w:szCs w:val="22"/>
        </w:rPr>
        <w:t xml:space="preserve">The information collected under this </w:t>
      </w:r>
      <w:r w:rsidR="00F6435D">
        <w:rPr>
          <w:sz w:val="24"/>
          <w:szCs w:val="22"/>
        </w:rPr>
        <w:t>policy</w:t>
      </w:r>
      <w:r w:rsidRPr="009078BE" w:rsidR="00F6435D">
        <w:rPr>
          <w:sz w:val="24"/>
          <w:szCs w:val="22"/>
        </w:rPr>
        <w:t xml:space="preserve"> </w:t>
      </w:r>
      <w:r w:rsidRPr="008472BF">
        <w:rPr>
          <w:sz w:val="24"/>
          <w:szCs w:val="22"/>
        </w:rPr>
        <w:t xml:space="preserve">will not be </w:t>
      </w:r>
      <w:r w:rsidRPr="009078BE" w:rsidR="005C5D58">
        <w:rPr>
          <w:sz w:val="24"/>
          <w:szCs w:val="22"/>
        </w:rPr>
        <w:t>published.</w:t>
      </w:r>
      <w:r w:rsidR="009078BE">
        <w:rPr>
          <w:sz w:val="24"/>
          <w:szCs w:val="22"/>
        </w:rPr>
        <w:t xml:space="preserve">  Only aggregate Medicaid days, including </w:t>
      </w:r>
      <w:r w:rsidRPr="009078BE" w:rsidR="009078BE">
        <w:rPr>
          <w:sz w:val="24"/>
          <w:szCs w:val="22"/>
        </w:rPr>
        <w:t>section 1115 demonstration days regarded as Medicaid days</w:t>
      </w:r>
      <w:r w:rsidR="009078BE">
        <w:rPr>
          <w:sz w:val="24"/>
          <w:szCs w:val="22"/>
        </w:rPr>
        <w:t>,</w:t>
      </w:r>
      <w:r w:rsidRPr="009078BE" w:rsidR="009078BE">
        <w:rPr>
          <w:sz w:val="24"/>
          <w:szCs w:val="22"/>
        </w:rPr>
        <w:t xml:space="preserve"> </w:t>
      </w:r>
      <w:r w:rsidR="009078BE">
        <w:rPr>
          <w:sz w:val="24"/>
          <w:szCs w:val="22"/>
        </w:rPr>
        <w:t>are reported on the cost report.</w:t>
      </w:r>
    </w:p>
    <w:p w:rsidR="005C5D58" w:rsidP="008472BF" w14:paraId="646B5F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06375A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14:paraId="149855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C5D58" w:rsidRPr="009078BE" w14:paraId="617FCA34" w14:textId="685A30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76F5D">
        <w:rPr>
          <w:rStyle w:val="cf01"/>
          <w:rFonts w:ascii="Times New Roman" w:hAnsi="Times New Roman" w:cs="Times New Roman"/>
          <w:sz w:val="24"/>
          <w:szCs w:val="24"/>
        </w:rPr>
        <w:t>There are no special circumstances regarding the expiration date, which will be determined upon receiving OMB approval</w:t>
      </w:r>
      <w:r w:rsidRPr="009078BE">
        <w:rPr>
          <w:sz w:val="24"/>
        </w:rPr>
        <w:t>.</w:t>
      </w:r>
    </w:p>
    <w:p w:rsidR="00327887" w:rsidRPr="008472BF" w14:paraId="7E7D10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rPr>
      </w:pPr>
    </w:p>
    <w:p w:rsidR="008F1EB4" w14:paraId="1EDF55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14:paraId="78DD99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Pr="009078BE" w14:paraId="33673F60" w14:textId="4CFBC3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9078BE">
        <w:rPr>
          <w:sz w:val="22"/>
        </w:rPr>
        <w:tab/>
      </w:r>
      <w:r w:rsidRPr="009078BE" w:rsidR="0008786F">
        <w:rPr>
          <w:sz w:val="22"/>
        </w:rPr>
        <w:t xml:space="preserve"> </w:t>
      </w:r>
      <w:r w:rsidRPr="009078BE" w:rsidR="0008786F">
        <w:rPr>
          <w:sz w:val="24"/>
        </w:rPr>
        <w:t>There are no exceptions to the certification statement.</w:t>
      </w:r>
    </w:p>
    <w:p w:rsidR="0008786F" w14:paraId="1AF71E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footerReference w:type="default" r:id="rId10"/>
      <w:endnotePr>
        <w:numFmt w:val="decimal"/>
      </w:endnotePr>
      <w:type w:val="continuous"/>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A65" w14:paraId="0F7730BF" w14:textId="77777777">
    <w:pPr>
      <w:spacing w:line="240" w:lineRule="exact"/>
    </w:pPr>
  </w:p>
  <w:p w:rsidR="00675A65" w14:paraId="6A95BF1D"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6</w:t>
    </w:r>
    <w:r>
      <w:rPr>
        <w:sz w:val="24"/>
      </w:rPr>
      <w:fldChar w:fldCharType="end"/>
    </w:r>
  </w:p>
  <w:p w:rsidR="00675A65" w14:paraId="0DD1B06D" w14:textId="77777777">
    <w:pPr>
      <w:ind w:right="144"/>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8392F"/>
    <w:multiLevelType w:val="hybridMultilevel"/>
    <w:tmpl w:val="EFCAC6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4F287671"/>
    <w:multiLevelType w:val="hybridMultilevel"/>
    <w:tmpl w:val="1F80E5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54985360">
    <w:abstractNumId w:val="1"/>
  </w:num>
  <w:num w:numId="2" w16cid:durableId="120162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1193"/>
    <w:rsid w:val="000021BC"/>
    <w:rsid w:val="00007F41"/>
    <w:rsid w:val="00016DEB"/>
    <w:rsid w:val="00021321"/>
    <w:rsid w:val="000266C0"/>
    <w:rsid w:val="00045A2D"/>
    <w:rsid w:val="00052A3F"/>
    <w:rsid w:val="0006443A"/>
    <w:rsid w:val="000658C8"/>
    <w:rsid w:val="00071F2B"/>
    <w:rsid w:val="000740EB"/>
    <w:rsid w:val="00075932"/>
    <w:rsid w:val="0008786F"/>
    <w:rsid w:val="00091905"/>
    <w:rsid w:val="00091D6E"/>
    <w:rsid w:val="00097B12"/>
    <w:rsid w:val="000A3F2B"/>
    <w:rsid w:val="000A5A17"/>
    <w:rsid w:val="000A7CFD"/>
    <w:rsid w:val="000B623D"/>
    <w:rsid w:val="000B6BB2"/>
    <w:rsid w:val="000C14E6"/>
    <w:rsid w:val="000C5198"/>
    <w:rsid w:val="000C7980"/>
    <w:rsid w:val="000D17FF"/>
    <w:rsid w:val="000D3BA9"/>
    <w:rsid w:val="000E070D"/>
    <w:rsid w:val="000E134B"/>
    <w:rsid w:val="000E2F71"/>
    <w:rsid w:val="000F3AF4"/>
    <w:rsid w:val="000F51CA"/>
    <w:rsid w:val="00107234"/>
    <w:rsid w:val="001130F1"/>
    <w:rsid w:val="001139AF"/>
    <w:rsid w:val="00117CDD"/>
    <w:rsid w:val="00121AA2"/>
    <w:rsid w:val="00121DA1"/>
    <w:rsid w:val="001246FA"/>
    <w:rsid w:val="0012633C"/>
    <w:rsid w:val="001302EA"/>
    <w:rsid w:val="0015163A"/>
    <w:rsid w:val="00152F97"/>
    <w:rsid w:val="00160B04"/>
    <w:rsid w:val="00160C9E"/>
    <w:rsid w:val="001629AE"/>
    <w:rsid w:val="00181EC9"/>
    <w:rsid w:val="00185C7F"/>
    <w:rsid w:val="00190A3F"/>
    <w:rsid w:val="0019108C"/>
    <w:rsid w:val="001929DA"/>
    <w:rsid w:val="001942EC"/>
    <w:rsid w:val="001961A8"/>
    <w:rsid w:val="0019659A"/>
    <w:rsid w:val="001A2832"/>
    <w:rsid w:val="001A285D"/>
    <w:rsid w:val="001A2B2E"/>
    <w:rsid w:val="001A55CF"/>
    <w:rsid w:val="001B0C3D"/>
    <w:rsid w:val="001B12D2"/>
    <w:rsid w:val="001B1C38"/>
    <w:rsid w:val="001C3424"/>
    <w:rsid w:val="001C41EC"/>
    <w:rsid w:val="001C5B51"/>
    <w:rsid w:val="001D13F0"/>
    <w:rsid w:val="001D292E"/>
    <w:rsid w:val="001E0735"/>
    <w:rsid w:val="001E1C24"/>
    <w:rsid w:val="001E6A26"/>
    <w:rsid w:val="001F3FE4"/>
    <w:rsid w:val="002052A6"/>
    <w:rsid w:val="002116E5"/>
    <w:rsid w:val="0021716E"/>
    <w:rsid w:val="0023147A"/>
    <w:rsid w:val="00240174"/>
    <w:rsid w:val="00250D79"/>
    <w:rsid w:val="002525FB"/>
    <w:rsid w:val="00254358"/>
    <w:rsid w:val="00255745"/>
    <w:rsid w:val="00255F86"/>
    <w:rsid w:val="002562B6"/>
    <w:rsid w:val="0025787F"/>
    <w:rsid w:val="00260B7B"/>
    <w:rsid w:val="002802C0"/>
    <w:rsid w:val="0028032C"/>
    <w:rsid w:val="002B00A6"/>
    <w:rsid w:val="002B21A0"/>
    <w:rsid w:val="002B7A58"/>
    <w:rsid w:val="002C4DA7"/>
    <w:rsid w:val="002D0C56"/>
    <w:rsid w:val="002D6488"/>
    <w:rsid w:val="002E6B05"/>
    <w:rsid w:val="002F0C9E"/>
    <w:rsid w:val="002F42BF"/>
    <w:rsid w:val="002F521F"/>
    <w:rsid w:val="00304A4B"/>
    <w:rsid w:val="00304D40"/>
    <w:rsid w:val="00313611"/>
    <w:rsid w:val="0032187B"/>
    <w:rsid w:val="00327887"/>
    <w:rsid w:val="00336F97"/>
    <w:rsid w:val="00343823"/>
    <w:rsid w:val="0035620E"/>
    <w:rsid w:val="0038037B"/>
    <w:rsid w:val="00381CA0"/>
    <w:rsid w:val="003833C9"/>
    <w:rsid w:val="00384E45"/>
    <w:rsid w:val="003866D1"/>
    <w:rsid w:val="00387D33"/>
    <w:rsid w:val="00390D97"/>
    <w:rsid w:val="00397862"/>
    <w:rsid w:val="003B36EC"/>
    <w:rsid w:val="003B5532"/>
    <w:rsid w:val="003B6A3B"/>
    <w:rsid w:val="003B7AF0"/>
    <w:rsid w:val="003C2958"/>
    <w:rsid w:val="003C3BF1"/>
    <w:rsid w:val="003E2ADD"/>
    <w:rsid w:val="003E6C91"/>
    <w:rsid w:val="003F67A7"/>
    <w:rsid w:val="00404B4B"/>
    <w:rsid w:val="00407C32"/>
    <w:rsid w:val="00422609"/>
    <w:rsid w:val="00425344"/>
    <w:rsid w:val="00436237"/>
    <w:rsid w:val="00443A3E"/>
    <w:rsid w:val="004472E0"/>
    <w:rsid w:val="00451B89"/>
    <w:rsid w:val="00453A75"/>
    <w:rsid w:val="00460A9E"/>
    <w:rsid w:val="00463205"/>
    <w:rsid w:val="00480B56"/>
    <w:rsid w:val="004814D6"/>
    <w:rsid w:val="004914DF"/>
    <w:rsid w:val="0049418D"/>
    <w:rsid w:val="00495093"/>
    <w:rsid w:val="00495C6B"/>
    <w:rsid w:val="00496970"/>
    <w:rsid w:val="004A4DB3"/>
    <w:rsid w:val="004C22A1"/>
    <w:rsid w:val="004C2966"/>
    <w:rsid w:val="004C5F5A"/>
    <w:rsid w:val="004D179C"/>
    <w:rsid w:val="004F0718"/>
    <w:rsid w:val="004F2A7F"/>
    <w:rsid w:val="00504D1C"/>
    <w:rsid w:val="00504D62"/>
    <w:rsid w:val="00507360"/>
    <w:rsid w:val="0051284F"/>
    <w:rsid w:val="00521E6F"/>
    <w:rsid w:val="00523ECB"/>
    <w:rsid w:val="00525CD3"/>
    <w:rsid w:val="00530C95"/>
    <w:rsid w:val="005340B4"/>
    <w:rsid w:val="00534923"/>
    <w:rsid w:val="0053761E"/>
    <w:rsid w:val="0054128C"/>
    <w:rsid w:val="005413FD"/>
    <w:rsid w:val="00555DD0"/>
    <w:rsid w:val="00557BE9"/>
    <w:rsid w:val="00565735"/>
    <w:rsid w:val="005667C1"/>
    <w:rsid w:val="00570981"/>
    <w:rsid w:val="005725FC"/>
    <w:rsid w:val="00580302"/>
    <w:rsid w:val="00584B23"/>
    <w:rsid w:val="0058555F"/>
    <w:rsid w:val="00585934"/>
    <w:rsid w:val="0059609A"/>
    <w:rsid w:val="005A3EAD"/>
    <w:rsid w:val="005C5D58"/>
    <w:rsid w:val="005D3587"/>
    <w:rsid w:val="005D389D"/>
    <w:rsid w:val="005D6F55"/>
    <w:rsid w:val="005E09FD"/>
    <w:rsid w:val="005E3DB6"/>
    <w:rsid w:val="005F1513"/>
    <w:rsid w:val="005F7873"/>
    <w:rsid w:val="0060106F"/>
    <w:rsid w:val="00603B42"/>
    <w:rsid w:val="00604D44"/>
    <w:rsid w:val="006111BC"/>
    <w:rsid w:val="006137AB"/>
    <w:rsid w:val="0062533D"/>
    <w:rsid w:val="00626BFE"/>
    <w:rsid w:val="00626F0B"/>
    <w:rsid w:val="006333E5"/>
    <w:rsid w:val="006348AF"/>
    <w:rsid w:val="00652DB3"/>
    <w:rsid w:val="00654B9E"/>
    <w:rsid w:val="0066379E"/>
    <w:rsid w:val="006653CA"/>
    <w:rsid w:val="00670402"/>
    <w:rsid w:val="00675A65"/>
    <w:rsid w:val="00677C33"/>
    <w:rsid w:val="006810CB"/>
    <w:rsid w:val="00691698"/>
    <w:rsid w:val="00692A20"/>
    <w:rsid w:val="00694E91"/>
    <w:rsid w:val="006A7D7A"/>
    <w:rsid w:val="006B06AF"/>
    <w:rsid w:val="006B4FAE"/>
    <w:rsid w:val="006C055B"/>
    <w:rsid w:val="006C78FF"/>
    <w:rsid w:val="006D070A"/>
    <w:rsid w:val="006D3C66"/>
    <w:rsid w:val="006E4209"/>
    <w:rsid w:val="006F0670"/>
    <w:rsid w:val="00710F0B"/>
    <w:rsid w:val="00720319"/>
    <w:rsid w:val="007252C7"/>
    <w:rsid w:val="00731861"/>
    <w:rsid w:val="00743A93"/>
    <w:rsid w:val="00744F3A"/>
    <w:rsid w:val="0077561E"/>
    <w:rsid w:val="007767FA"/>
    <w:rsid w:val="0078459E"/>
    <w:rsid w:val="00786773"/>
    <w:rsid w:val="007A0C93"/>
    <w:rsid w:val="007A2C2F"/>
    <w:rsid w:val="007A4187"/>
    <w:rsid w:val="007B0F5B"/>
    <w:rsid w:val="007B25E3"/>
    <w:rsid w:val="007B4184"/>
    <w:rsid w:val="007B669F"/>
    <w:rsid w:val="007C5A1A"/>
    <w:rsid w:val="007C7B05"/>
    <w:rsid w:val="007C7CD4"/>
    <w:rsid w:val="007D4924"/>
    <w:rsid w:val="007E3F62"/>
    <w:rsid w:val="007E4712"/>
    <w:rsid w:val="007E6B3B"/>
    <w:rsid w:val="007F10D4"/>
    <w:rsid w:val="0080516B"/>
    <w:rsid w:val="00812DBC"/>
    <w:rsid w:val="00816C04"/>
    <w:rsid w:val="0082671D"/>
    <w:rsid w:val="00831CD3"/>
    <w:rsid w:val="008472BF"/>
    <w:rsid w:val="00852918"/>
    <w:rsid w:val="008625E1"/>
    <w:rsid w:val="00864EDE"/>
    <w:rsid w:val="0086740F"/>
    <w:rsid w:val="00870D59"/>
    <w:rsid w:val="0087434E"/>
    <w:rsid w:val="00886CFE"/>
    <w:rsid w:val="00892908"/>
    <w:rsid w:val="008A1FAC"/>
    <w:rsid w:val="008A26BC"/>
    <w:rsid w:val="008A7660"/>
    <w:rsid w:val="008C0AAB"/>
    <w:rsid w:val="008C53EA"/>
    <w:rsid w:val="008C5D1E"/>
    <w:rsid w:val="008D07B3"/>
    <w:rsid w:val="008D55DC"/>
    <w:rsid w:val="008F1EB4"/>
    <w:rsid w:val="00901577"/>
    <w:rsid w:val="0090335B"/>
    <w:rsid w:val="00903B9F"/>
    <w:rsid w:val="00906B9A"/>
    <w:rsid w:val="009078BE"/>
    <w:rsid w:val="00923209"/>
    <w:rsid w:val="00927169"/>
    <w:rsid w:val="00930581"/>
    <w:rsid w:val="00931B92"/>
    <w:rsid w:val="00933A43"/>
    <w:rsid w:val="0094145F"/>
    <w:rsid w:val="00946BB8"/>
    <w:rsid w:val="00955F21"/>
    <w:rsid w:val="00957F51"/>
    <w:rsid w:val="0096198B"/>
    <w:rsid w:val="009660CE"/>
    <w:rsid w:val="00974007"/>
    <w:rsid w:val="0098257A"/>
    <w:rsid w:val="009827D9"/>
    <w:rsid w:val="009831A8"/>
    <w:rsid w:val="00990599"/>
    <w:rsid w:val="0099205B"/>
    <w:rsid w:val="0099646D"/>
    <w:rsid w:val="009A3029"/>
    <w:rsid w:val="009A7CEF"/>
    <w:rsid w:val="009B167A"/>
    <w:rsid w:val="009B7491"/>
    <w:rsid w:val="009C7A4C"/>
    <w:rsid w:val="009D2E06"/>
    <w:rsid w:val="009D47D5"/>
    <w:rsid w:val="009E3BF4"/>
    <w:rsid w:val="009E472D"/>
    <w:rsid w:val="009F6407"/>
    <w:rsid w:val="00A0201D"/>
    <w:rsid w:val="00A03BE7"/>
    <w:rsid w:val="00A07D33"/>
    <w:rsid w:val="00A135A6"/>
    <w:rsid w:val="00A202CE"/>
    <w:rsid w:val="00A2074A"/>
    <w:rsid w:val="00A323E8"/>
    <w:rsid w:val="00A369C8"/>
    <w:rsid w:val="00A435E5"/>
    <w:rsid w:val="00A4429E"/>
    <w:rsid w:val="00A45984"/>
    <w:rsid w:val="00A54C15"/>
    <w:rsid w:val="00A6496F"/>
    <w:rsid w:val="00A74422"/>
    <w:rsid w:val="00A745A2"/>
    <w:rsid w:val="00A75FBD"/>
    <w:rsid w:val="00A86207"/>
    <w:rsid w:val="00A868AA"/>
    <w:rsid w:val="00A97339"/>
    <w:rsid w:val="00AA0BC3"/>
    <w:rsid w:val="00AB11E9"/>
    <w:rsid w:val="00AB7012"/>
    <w:rsid w:val="00AC12D8"/>
    <w:rsid w:val="00AC3FBA"/>
    <w:rsid w:val="00AD49AE"/>
    <w:rsid w:val="00AE58CD"/>
    <w:rsid w:val="00AE6719"/>
    <w:rsid w:val="00AE7469"/>
    <w:rsid w:val="00AF225D"/>
    <w:rsid w:val="00AF3EBF"/>
    <w:rsid w:val="00AF523E"/>
    <w:rsid w:val="00B01092"/>
    <w:rsid w:val="00B03FC5"/>
    <w:rsid w:val="00B063A4"/>
    <w:rsid w:val="00B07F5E"/>
    <w:rsid w:val="00B11F36"/>
    <w:rsid w:val="00B12897"/>
    <w:rsid w:val="00B13FBE"/>
    <w:rsid w:val="00B17254"/>
    <w:rsid w:val="00B20A7E"/>
    <w:rsid w:val="00B22049"/>
    <w:rsid w:val="00B23476"/>
    <w:rsid w:val="00B31329"/>
    <w:rsid w:val="00B32C2A"/>
    <w:rsid w:val="00B33E39"/>
    <w:rsid w:val="00B34415"/>
    <w:rsid w:val="00B53E1F"/>
    <w:rsid w:val="00B54B99"/>
    <w:rsid w:val="00B60751"/>
    <w:rsid w:val="00B61EF3"/>
    <w:rsid w:val="00B667DB"/>
    <w:rsid w:val="00B71C8A"/>
    <w:rsid w:val="00B733C6"/>
    <w:rsid w:val="00B75026"/>
    <w:rsid w:val="00B80AB7"/>
    <w:rsid w:val="00B82C21"/>
    <w:rsid w:val="00B86FD0"/>
    <w:rsid w:val="00B872B1"/>
    <w:rsid w:val="00B87361"/>
    <w:rsid w:val="00B90C94"/>
    <w:rsid w:val="00B9754A"/>
    <w:rsid w:val="00BA1790"/>
    <w:rsid w:val="00BB5169"/>
    <w:rsid w:val="00BB7037"/>
    <w:rsid w:val="00BB7992"/>
    <w:rsid w:val="00BC392F"/>
    <w:rsid w:val="00BC5CFB"/>
    <w:rsid w:val="00BC6491"/>
    <w:rsid w:val="00BC73AA"/>
    <w:rsid w:val="00BD75FB"/>
    <w:rsid w:val="00BF2655"/>
    <w:rsid w:val="00BF3F3A"/>
    <w:rsid w:val="00BF4132"/>
    <w:rsid w:val="00BF4F98"/>
    <w:rsid w:val="00BF5B60"/>
    <w:rsid w:val="00BF5F27"/>
    <w:rsid w:val="00C001E7"/>
    <w:rsid w:val="00C075EB"/>
    <w:rsid w:val="00C13AB2"/>
    <w:rsid w:val="00C13C6A"/>
    <w:rsid w:val="00C13F59"/>
    <w:rsid w:val="00C16772"/>
    <w:rsid w:val="00C17626"/>
    <w:rsid w:val="00C3539B"/>
    <w:rsid w:val="00C422A3"/>
    <w:rsid w:val="00C52533"/>
    <w:rsid w:val="00C70C45"/>
    <w:rsid w:val="00C72465"/>
    <w:rsid w:val="00C7793C"/>
    <w:rsid w:val="00C77AC2"/>
    <w:rsid w:val="00C83229"/>
    <w:rsid w:val="00C9033D"/>
    <w:rsid w:val="00C9175C"/>
    <w:rsid w:val="00C9694F"/>
    <w:rsid w:val="00CA0F65"/>
    <w:rsid w:val="00CA1E11"/>
    <w:rsid w:val="00CA23AE"/>
    <w:rsid w:val="00CA5D37"/>
    <w:rsid w:val="00CB491A"/>
    <w:rsid w:val="00CB5F21"/>
    <w:rsid w:val="00CB654A"/>
    <w:rsid w:val="00CC0F49"/>
    <w:rsid w:val="00CC1ED7"/>
    <w:rsid w:val="00CD0226"/>
    <w:rsid w:val="00CD4C54"/>
    <w:rsid w:val="00CE05BE"/>
    <w:rsid w:val="00CF122C"/>
    <w:rsid w:val="00CF2B36"/>
    <w:rsid w:val="00CF4A9D"/>
    <w:rsid w:val="00CF63C1"/>
    <w:rsid w:val="00CF6D3B"/>
    <w:rsid w:val="00D0092B"/>
    <w:rsid w:val="00D07FA4"/>
    <w:rsid w:val="00D155E5"/>
    <w:rsid w:val="00D16842"/>
    <w:rsid w:val="00D21C4E"/>
    <w:rsid w:val="00D25FE0"/>
    <w:rsid w:val="00D5729A"/>
    <w:rsid w:val="00D67E6E"/>
    <w:rsid w:val="00D70EF5"/>
    <w:rsid w:val="00D75E03"/>
    <w:rsid w:val="00D84416"/>
    <w:rsid w:val="00D84E89"/>
    <w:rsid w:val="00D85392"/>
    <w:rsid w:val="00D872B7"/>
    <w:rsid w:val="00D87B15"/>
    <w:rsid w:val="00D90CB7"/>
    <w:rsid w:val="00D97EC0"/>
    <w:rsid w:val="00DA178E"/>
    <w:rsid w:val="00DA27D5"/>
    <w:rsid w:val="00DA75C1"/>
    <w:rsid w:val="00DB4F87"/>
    <w:rsid w:val="00DC0099"/>
    <w:rsid w:val="00DD019D"/>
    <w:rsid w:val="00DD110B"/>
    <w:rsid w:val="00DD164B"/>
    <w:rsid w:val="00DD74DA"/>
    <w:rsid w:val="00DE5191"/>
    <w:rsid w:val="00E01598"/>
    <w:rsid w:val="00E07A0F"/>
    <w:rsid w:val="00E15B83"/>
    <w:rsid w:val="00E15F5F"/>
    <w:rsid w:val="00E163CD"/>
    <w:rsid w:val="00E17794"/>
    <w:rsid w:val="00E23F96"/>
    <w:rsid w:val="00E255BE"/>
    <w:rsid w:val="00E26EF1"/>
    <w:rsid w:val="00E3339B"/>
    <w:rsid w:val="00E3533E"/>
    <w:rsid w:val="00E40363"/>
    <w:rsid w:val="00E508FA"/>
    <w:rsid w:val="00E509F8"/>
    <w:rsid w:val="00E7078E"/>
    <w:rsid w:val="00E70984"/>
    <w:rsid w:val="00E75429"/>
    <w:rsid w:val="00E75466"/>
    <w:rsid w:val="00E76F5D"/>
    <w:rsid w:val="00E77553"/>
    <w:rsid w:val="00E77D6A"/>
    <w:rsid w:val="00E90A1A"/>
    <w:rsid w:val="00EA059A"/>
    <w:rsid w:val="00EB04C3"/>
    <w:rsid w:val="00EB5434"/>
    <w:rsid w:val="00EB5FEA"/>
    <w:rsid w:val="00EC2AA9"/>
    <w:rsid w:val="00EC389B"/>
    <w:rsid w:val="00EC3B2C"/>
    <w:rsid w:val="00ED187A"/>
    <w:rsid w:val="00ED24CE"/>
    <w:rsid w:val="00ED2550"/>
    <w:rsid w:val="00ED69B1"/>
    <w:rsid w:val="00F0443B"/>
    <w:rsid w:val="00F044A8"/>
    <w:rsid w:val="00F04655"/>
    <w:rsid w:val="00F13302"/>
    <w:rsid w:val="00F137EA"/>
    <w:rsid w:val="00F164CC"/>
    <w:rsid w:val="00F255FB"/>
    <w:rsid w:val="00F272E9"/>
    <w:rsid w:val="00F30800"/>
    <w:rsid w:val="00F40A11"/>
    <w:rsid w:val="00F40FF5"/>
    <w:rsid w:val="00F41929"/>
    <w:rsid w:val="00F455AD"/>
    <w:rsid w:val="00F47B51"/>
    <w:rsid w:val="00F54F1A"/>
    <w:rsid w:val="00F57E6B"/>
    <w:rsid w:val="00F63F2C"/>
    <w:rsid w:val="00F6435D"/>
    <w:rsid w:val="00F66E1E"/>
    <w:rsid w:val="00F715D0"/>
    <w:rsid w:val="00F77B40"/>
    <w:rsid w:val="00F80435"/>
    <w:rsid w:val="00F827BF"/>
    <w:rsid w:val="00F82C86"/>
    <w:rsid w:val="00F91AE8"/>
    <w:rsid w:val="00F96BDA"/>
    <w:rsid w:val="00FA6EE4"/>
    <w:rsid w:val="00FB0C4F"/>
    <w:rsid w:val="00FB34DC"/>
    <w:rsid w:val="00FB453F"/>
    <w:rsid w:val="00FC1DF1"/>
    <w:rsid w:val="00FC5E7A"/>
    <w:rsid w:val="00FD1135"/>
    <w:rsid w:val="00FD5F27"/>
    <w:rsid w:val="00FE08AB"/>
    <w:rsid w:val="00FE3D65"/>
    <w:rsid w:val="00FE7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264D8B"/>
  <w15:chartTrackingRefBased/>
  <w15:docId w15:val="{BB7F2228-EDBB-4E27-8C40-AAAD5A03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uiPriority w:val="99"/>
    <w:qFormat/>
    <w:rsid w:val="00DB4F87"/>
    <w:rPr>
      <w:sz w:val="16"/>
      <w:szCs w:val="16"/>
    </w:rPr>
  </w:style>
  <w:style w:type="paragraph" w:styleId="CommentText">
    <w:name w:val="annotation text"/>
    <w:aliases w:val="Times New Roman,t"/>
    <w:basedOn w:val="Normal"/>
    <w:link w:val="CommentTextChar"/>
    <w:uiPriority w:val="99"/>
    <w:qFormat/>
    <w:rsid w:val="00DB4F87"/>
    <w:rPr>
      <w:szCs w:val="20"/>
    </w:rPr>
  </w:style>
  <w:style w:type="character" w:customStyle="1" w:styleId="CommentTextChar">
    <w:name w:val="Comment Text Char"/>
    <w:aliases w:val="Times New Roman Char,t Char"/>
    <w:basedOn w:val="DefaultParagraphFont"/>
    <w:link w:val="CommentText"/>
    <w:uiPriority w:val="99"/>
    <w:rsid w:val="00DB4F87"/>
  </w:style>
  <w:style w:type="paragraph" w:styleId="CommentSubject">
    <w:name w:val="annotation subject"/>
    <w:basedOn w:val="CommentText"/>
    <w:next w:val="CommentText"/>
    <w:link w:val="CommentSubjectChar"/>
    <w:rsid w:val="00DB4F87"/>
    <w:rPr>
      <w:b/>
      <w:bCs/>
    </w:rPr>
  </w:style>
  <w:style w:type="character" w:customStyle="1" w:styleId="CommentSubjectChar">
    <w:name w:val="Comment Subject Char"/>
    <w:basedOn w:val="CommentTextChar"/>
    <w:link w:val="CommentSubject"/>
    <w:rsid w:val="00DB4F87"/>
    <w:rPr>
      <w:b/>
      <w:bCs/>
    </w:rPr>
  </w:style>
  <w:style w:type="paragraph" w:styleId="BalloonText">
    <w:name w:val="Balloon Text"/>
    <w:basedOn w:val="Normal"/>
    <w:link w:val="BalloonTextChar"/>
    <w:rsid w:val="00DB4F87"/>
    <w:rPr>
      <w:rFonts w:ascii="Segoe UI" w:hAnsi="Segoe UI" w:cs="Segoe UI"/>
      <w:sz w:val="18"/>
      <w:szCs w:val="18"/>
    </w:rPr>
  </w:style>
  <w:style w:type="character" w:customStyle="1" w:styleId="BalloonTextChar">
    <w:name w:val="Balloon Text Char"/>
    <w:basedOn w:val="DefaultParagraphFont"/>
    <w:link w:val="BalloonText"/>
    <w:rsid w:val="00DB4F87"/>
    <w:rPr>
      <w:rFonts w:ascii="Segoe UI" w:hAnsi="Segoe UI" w:cs="Segoe UI"/>
      <w:sz w:val="18"/>
      <w:szCs w:val="18"/>
    </w:rPr>
  </w:style>
  <w:style w:type="character" w:styleId="Hyperlink">
    <w:name w:val="Hyperlink"/>
    <w:basedOn w:val="DefaultParagraphFont"/>
    <w:rsid w:val="00C13AB2"/>
    <w:rPr>
      <w:color w:val="0563C1" w:themeColor="hyperlink"/>
      <w:u w:val="single"/>
    </w:rPr>
  </w:style>
  <w:style w:type="character" w:styleId="UnresolvedMention">
    <w:name w:val="Unresolved Mention"/>
    <w:basedOn w:val="DefaultParagraphFont"/>
    <w:uiPriority w:val="99"/>
    <w:semiHidden/>
    <w:unhideWhenUsed/>
    <w:rsid w:val="00C13AB2"/>
    <w:rPr>
      <w:color w:val="605E5C"/>
      <w:shd w:val="clear" w:color="auto" w:fill="E1DFDD"/>
    </w:rPr>
  </w:style>
  <w:style w:type="paragraph" w:customStyle="1" w:styleId="Default">
    <w:name w:val="Default"/>
    <w:rsid w:val="007B25E3"/>
    <w:pPr>
      <w:autoSpaceDE w:val="0"/>
      <w:autoSpaceDN w:val="0"/>
      <w:adjustRightInd w:val="0"/>
    </w:pPr>
    <w:rPr>
      <w:color w:val="000000"/>
      <w:sz w:val="24"/>
      <w:szCs w:val="24"/>
    </w:rPr>
  </w:style>
  <w:style w:type="character" w:styleId="FollowedHyperlink">
    <w:name w:val="FollowedHyperlink"/>
    <w:basedOn w:val="DefaultParagraphFont"/>
    <w:rsid w:val="00E07A0F"/>
    <w:rPr>
      <w:color w:val="954F72" w:themeColor="followedHyperlink"/>
      <w:u w:val="single"/>
    </w:rPr>
  </w:style>
  <w:style w:type="paragraph" w:styleId="Revision">
    <w:name w:val="Revision"/>
    <w:hidden/>
    <w:uiPriority w:val="99"/>
    <w:semiHidden/>
    <w:rsid w:val="00016DEB"/>
    <w:rPr>
      <w:szCs w:val="24"/>
    </w:rPr>
  </w:style>
  <w:style w:type="paragraph" w:styleId="Header">
    <w:name w:val="header"/>
    <w:basedOn w:val="Normal"/>
    <w:link w:val="HeaderChar"/>
    <w:rsid w:val="00D21C4E"/>
    <w:pPr>
      <w:tabs>
        <w:tab w:val="center" w:pos="4680"/>
        <w:tab w:val="right" w:pos="9360"/>
      </w:tabs>
    </w:pPr>
  </w:style>
  <w:style w:type="character" w:customStyle="1" w:styleId="HeaderChar">
    <w:name w:val="Header Char"/>
    <w:basedOn w:val="DefaultParagraphFont"/>
    <w:link w:val="Header"/>
    <w:rsid w:val="00D21C4E"/>
    <w:rPr>
      <w:szCs w:val="24"/>
    </w:rPr>
  </w:style>
  <w:style w:type="paragraph" w:styleId="Footer">
    <w:name w:val="footer"/>
    <w:basedOn w:val="Normal"/>
    <w:link w:val="FooterChar"/>
    <w:rsid w:val="00D21C4E"/>
    <w:pPr>
      <w:tabs>
        <w:tab w:val="center" w:pos="4680"/>
        <w:tab w:val="right" w:pos="9360"/>
      </w:tabs>
    </w:pPr>
  </w:style>
  <w:style w:type="character" w:customStyle="1" w:styleId="FooterChar">
    <w:name w:val="Footer Char"/>
    <w:basedOn w:val="DefaultParagraphFont"/>
    <w:link w:val="Footer"/>
    <w:rsid w:val="00D21C4E"/>
    <w:rPr>
      <w:szCs w:val="24"/>
    </w:rPr>
  </w:style>
  <w:style w:type="paragraph" w:styleId="ListParagraph">
    <w:name w:val="List Paragraph"/>
    <w:basedOn w:val="Normal"/>
    <w:uiPriority w:val="34"/>
    <w:qFormat/>
    <w:rsid w:val="007C5A1A"/>
    <w:pPr>
      <w:ind w:left="720"/>
      <w:contextualSpacing/>
    </w:pPr>
  </w:style>
  <w:style w:type="paragraph" w:styleId="BodyText">
    <w:name w:val="Body Text"/>
    <w:basedOn w:val="Normal"/>
    <w:link w:val="BodyTextChar"/>
    <w:uiPriority w:val="1"/>
    <w:qFormat/>
    <w:rsid w:val="0080516B"/>
    <w:pPr>
      <w:adjustRightInd/>
    </w:pPr>
    <w:rPr>
      <w:sz w:val="22"/>
      <w:szCs w:val="22"/>
    </w:rPr>
  </w:style>
  <w:style w:type="character" w:customStyle="1" w:styleId="BodyTextChar">
    <w:name w:val="Body Text Char"/>
    <w:basedOn w:val="DefaultParagraphFont"/>
    <w:link w:val="BodyText"/>
    <w:uiPriority w:val="1"/>
    <w:rsid w:val="0080516B"/>
    <w:rPr>
      <w:sz w:val="22"/>
      <w:szCs w:val="22"/>
    </w:rPr>
  </w:style>
  <w:style w:type="character" w:customStyle="1" w:styleId="cf01">
    <w:name w:val="cf01"/>
    <w:basedOn w:val="DefaultParagraphFont"/>
    <w:rsid w:val="00C70C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2F3527423AD4BBA9777D62D99E1E7" ma:contentTypeVersion="7" ma:contentTypeDescription="Create a new document." ma:contentTypeScope="" ma:versionID="7b10b4472a79cb1694df8f6a341d7c09">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BA903-0F88-4A23-B989-3D55A15CC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CD17E-F1BB-4E51-9AEA-4235883D5142}">
  <ds:schemaRefs>
    <ds:schemaRef ds:uri="http://purl.org/dc/dcmitype/"/>
    <ds:schemaRef ds:uri="2192dead-9564-4582-8849-6ed3f8bab798"/>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B33C13E-F209-46FC-BEEF-4234DA59DCE8}">
  <ds:schemaRefs>
    <ds:schemaRef ds:uri="http://schemas.openxmlformats.org/officeDocument/2006/bibliography"/>
  </ds:schemaRefs>
</ds:datastoreItem>
</file>

<file path=customXml/itemProps4.xml><?xml version="1.0" encoding="utf-8"?>
<ds:datastoreItem xmlns:ds="http://schemas.openxmlformats.org/officeDocument/2006/customXml" ds:itemID="{4C39987E-557A-459A-9924-95FABF6C2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2743</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2</cp:revision>
  <dcterms:created xsi:type="dcterms:W3CDTF">2023-08-28T16:15:00Z</dcterms:created>
  <dcterms:modified xsi:type="dcterms:W3CDTF">2023-08-28T16:15:00Z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0x010100B4C2F3527423AD4BBA9777D62D99E1E7</vt:lpwstr>
  </property>
</Properties>
</file>