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7755" w:rsidRPr="006E151E" w:rsidP="008D7755" w14:paraId="7E10AF1F" w14:textId="77777777">
      <w:pPr>
        <w:spacing w:after="0"/>
        <w:jc w:val="center"/>
        <w:rPr>
          <w:rFonts w:ascii="Times New Roman" w:hAnsi="Times New Roman"/>
          <w:b/>
          <w:bCs/>
          <w:szCs w:val="24"/>
        </w:rPr>
      </w:pPr>
      <w:r w:rsidRPr="006E151E">
        <w:rPr>
          <w:rFonts w:ascii="Times New Roman" w:hAnsi="Times New Roman"/>
          <w:b/>
          <w:bCs/>
          <w:szCs w:val="24"/>
        </w:rPr>
        <w:t xml:space="preserve">Justification for the Non-Substantive Changes for </w:t>
      </w:r>
    </w:p>
    <w:p w:rsidR="008D7755" w:rsidRPr="006E151E" w:rsidP="008D7755" w14:paraId="611B3504" w14:textId="77777777">
      <w:pPr>
        <w:spacing w:after="0"/>
        <w:jc w:val="center"/>
        <w:rPr>
          <w:rFonts w:ascii="Times New Roman" w:hAnsi="Times New Roman"/>
          <w:b/>
          <w:szCs w:val="24"/>
        </w:rPr>
      </w:pPr>
      <w:r w:rsidRPr="006E151E">
        <w:rPr>
          <w:rFonts w:ascii="Times New Roman" w:hAnsi="Times New Roman"/>
          <w:b/>
          <w:bCs/>
          <w:szCs w:val="24"/>
        </w:rPr>
        <w:t xml:space="preserve">Social Security Administration’s </w:t>
      </w:r>
      <w:r w:rsidRPr="006E151E">
        <w:rPr>
          <w:rFonts w:ascii="Times New Roman" w:hAnsi="Times New Roman"/>
          <w:b/>
          <w:color w:val="000000"/>
          <w:szCs w:val="24"/>
        </w:rPr>
        <w:t>Public Credentialing and Authentication Process</w:t>
      </w:r>
    </w:p>
    <w:p w:rsidR="008D7755" w:rsidRPr="006E151E" w:rsidP="008D7755" w14:paraId="6BCDC4ED" w14:textId="77777777">
      <w:pPr>
        <w:spacing w:after="0"/>
        <w:jc w:val="center"/>
        <w:rPr>
          <w:rFonts w:ascii="Times New Roman" w:hAnsi="Times New Roman"/>
          <w:b/>
          <w:bCs/>
          <w:szCs w:val="24"/>
        </w:rPr>
      </w:pPr>
      <w:r w:rsidRPr="006E151E">
        <w:rPr>
          <w:rFonts w:ascii="Times New Roman" w:hAnsi="Times New Roman"/>
          <w:b/>
          <w:bCs/>
          <w:szCs w:val="24"/>
        </w:rPr>
        <w:t xml:space="preserve"> 20 CFR 401.45</w:t>
      </w:r>
      <w:r w:rsidRPr="006E151E" w:rsidR="007A624D">
        <w:rPr>
          <w:rFonts w:ascii="Times New Roman" w:hAnsi="Times New Roman"/>
          <w:b/>
          <w:bCs/>
          <w:szCs w:val="24"/>
        </w:rPr>
        <w:t xml:space="preserve"> &amp;</w:t>
      </w:r>
      <w:r w:rsidRPr="006E151E">
        <w:rPr>
          <w:rFonts w:ascii="Times New Roman" w:hAnsi="Times New Roman"/>
          <w:b/>
          <w:bCs/>
          <w:szCs w:val="24"/>
        </w:rPr>
        <w:t xml:space="preserve"> 20 CFR 402</w:t>
      </w:r>
    </w:p>
    <w:p w:rsidR="008D7755" w:rsidRPr="006E151E" w:rsidP="008D7755" w14:paraId="50089635" w14:textId="77777777">
      <w:pPr>
        <w:spacing w:after="0"/>
        <w:jc w:val="center"/>
        <w:rPr>
          <w:rFonts w:ascii="Times New Roman" w:hAnsi="Times New Roman"/>
          <w:b/>
          <w:bCs/>
          <w:szCs w:val="24"/>
        </w:rPr>
      </w:pPr>
      <w:r w:rsidRPr="006E151E">
        <w:rPr>
          <w:rFonts w:ascii="Times New Roman" w:hAnsi="Times New Roman"/>
          <w:b/>
          <w:bCs/>
          <w:szCs w:val="24"/>
        </w:rPr>
        <w:t xml:space="preserve">OMB </w:t>
      </w:r>
      <w:r w:rsidRPr="006E151E" w:rsidR="007A624D">
        <w:rPr>
          <w:rFonts w:ascii="Times New Roman" w:hAnsi="Times New Roman"/>
          <w:b/>
          <w:bCs/>
          <w:szCs w:val="24"/>
        </w:rPr>
        <w:t>No.</w:t>
      </w:r>
      <w:r w:rsidRPr="006E151E">
        <w:rPr>
          <w:rFonts w:ascii="Times New Roman" w:hAnsi="Times New Roman"/>
          <w:b/>
          <w:bCs/>
          <w:szCs w:val="24"/>
        </w:rPr>
        <w:t xml:space="preserve"> 0960-0789</w:t>
      </w:r>
    </w:p>
    <w:p w:rsidR="00D31C30" w:rsidRPr="006E151E" w:rsidP="007B70B0" w14:paraId="74774E7C" w14:textId="77777777">
      <w:pPr>
        <w:contextualSpacing/>
        <w:rPr>
          <w:rFonts w:ascii="Times New Roman" w:hAnsi="Times New Roman"/>
          <w:b/>
          <w:bCs/>
          <w:szCs w:val="24"/>
        </w:rPr>
      </w:pPr>
    </w:p>
    <w:p w:rsidR="008D7755" w:rsidRPr="006E151E" w:rsidP="003E65AB" w14:paraId="200AE615" w14:textId="77777777">
      <w:pPr>
        <w:ind w:left="-90"/>
        <w:contextualSpacing/>
        <w:rPr>
          <w:rFonts w:ascii="Times New Roman" w:hAnsi="Times New Roman"/>
          <w:b/>
          <w:bCs/>
          <w:szCs w:val="24"/>
          <w:u w:val="single"/>
        </w:rPr>
      </w:pPr>
      <w:r w:rsidRPr="006E151E">
        <w:rPr>
          <w:rFonts w:ascii="Times New Roman" w:hAnsi="Times New Roman"/>
          <w:b/>
          <w:bCs/>
          <w:szCs w:val="24"/>
          <w:u w:val="single"/>
        </w:rPr>
        <w:t>Background</w:t>
      </w:r>
    </w:p>
    <w:p w:rsidR="004C6113" w:rsidP="004C6113" w14:paraId="4E5D2605" w14:textId="77777777">
      <w:pPr>
        <w:pStyle w:val="NormalWeb"/>
        <w:ind w:left="-90"/>
        <w:rPr>
          <w:bCs/>
          <w:color w:val="000000"/>
        </w:rPr>
      </w:pPr>
      <w:r w:rsidRPr="006E151E">
        <w:rPr>
          <w:bCs/>
          <w:color w:val="000000"/>
        </w:rPr>
        <w:t xml:space="preserve">Since </w:t>
      </w:r>
      <w:r w:rsidR="00B91D12">
        <w:rPr>
          <w:bCs/>
          <w:color w:val="000000"/>
        </w:rPr>
        <w:t>its</w:t>
      </w:r>
      <w:r w:rsidRPr="006E151E">
        <w:rPr>
          <w:bCs/>
          <w:color w:val="000000"/>
        </w:rPr>
        <w:t xml:space="preserve"> establish</w:t>
      </w:r>
      <w:r w:rsidR="00B91D12">
        <w:rPr>
          <w:bCs/>
          <w:color w:val="000000"/>
        </w:rPr>
        <w:t>ment</w:t>
      </w:r>
      <w:r w:rsidRPr="006E151E">
        <w:rPr>
          <w:bCs/>
          <w:color w:val="000000"/>
        </w:rPr>
        <w:t xml:space="preserve"> in May of 2012, SSA uses the Social Security Administration’s Public Credentialing and Authentication Process (</w:t>
      </w:r>
      <w:r w:rsidRPr="006E151E" w:rsidR="00C56FE2">
        <w:rPr>
          <w:bCs/>
          <w:color w:val="000000"/>
        </w:rPr>
        <w:t>hereafter-called</w:t>
      </w:r>
      <w:r w:rsidR="00863E47">
        <w:rPr>
          <w:bCs/>
          <w:color w:val="000000"/>
        </w:rPr>
        <w:t xml:space="preserve"> “</w:t>
      </w:r>
      <w:r w:rsidR="00863E47">
        <w:rPr>
          <w:bCs/>
          <w:color w:val="000000"/>
        </w:rPr>
        <w:t>eA</w:t>
      </w:r>
      <w:r w:rsidRPr="006E151E">
        <w:rPr>
          <w:bCs/>
          <w:color w:val="000000"/>
        </w:rPr>
        <w:t>ccess</w:t>
      </w:r>
      <w:r w:rsidRPr="006E151E">
        <w:rPr>
          <w:bCs/>
          <w:color w:val="000000"/>
        </w:rPr>
        <w:t>”) to provide a secure, centralized gateway to Social Security’s public-facing electronic services.</w:t>
      </w:r>
      <w:r w:rsidR="002062AB">
        <w:rPr>
          <w:bCs/>
          <w:color w:val="000000"/>
        </w:rPr>
        <w:t xml:space="preserve"> </w:t>
      </w:r>
      <w:r w:rsidR="00407915">
        <w:rPr>
          <w:bCs/>
          <w:color w:val="000000"/>
        </w:rPr>
        <w:t xml:space="preserve"> </w:t>
      </w:r>
      <w:r w:rsidR="006848DB">
        <w:rPr>
          <w:bCs/>
          <w:color w:val="000000"/>
        </w:rPr>
        <w:t xml:space="preserve">We currently allow users to register both through our </w:t>
      </w:r>
      <w:r w:rsidR="006848DB">
        <w:rPr>
          <w:bCs/>
          <w:color w:val="000000"/>
        </w:rPr>
        <w:t>eAccess</w:t>
      </w:r>
      <w:r w:rsidR="006848DB">
        <w:rPr>
          <w:bCs/>
          <w:color w:val="000000"/>
        </w:rPr>
        <w:t xml:space="preserve"> Internet process, and through a personal interview process using the Registration and Customer Support (RCS) screens for in-person or telephone interviews.</w:t>
      </w:r>
    </w:p>
    <w:p w:rsidR="006D1A94" w:rsidRPr="004C6113" w:rsidP="004C6113" w14:paraId="4974139D" w14:textId="65BE3F22">
      <w:pPr>
        <w:pStyle w:val="NormalWeb"/>
        <w:ind w:left="-90"/>
        <w:rPr>
          <w:bCs/>
          <w:color w:val="000000"/>
        </w:rPr>
      </w:pPr>
      <w:r w:rsidRPr="004C6113">
        <w:rPr>
          <w:bCs/>
          <w:color w:val="000000"/>
        </w:rPr>
        <w:t xml:space="preserve">This release will focus </w:t>
      </w:r>
      <w:r w:rsidRPr="004C6113" w:rsidR="00434D5C">
        <w:rPr>
          <w:bCs/>
          <w:color w:val="000000"/>
        </w:rPr>
        <w:t xml:space="preserve">on </w:t>
      </w:r>
      <w:r w:rsidR="00F72D8F">
        <w:rPr>
          <w:bCs/>
          <w:color w:val="000000"/>
        </w:rPr>
        <w:t xml:space="preserve">the </w:t>
      </w:r>
      <w:r w:rsidR="004C6113">
        <w:rPr>
          <w:bCs/>
          <w:color w:val="000000"/>
        </w:rPr>
        <w:t>beginning</w:t>
      </w:r>
      <w:r w:rsidR="00F72D8F">
        <w:rPr>
          <w:bCs/>
          <w:color w:val="000000"/>
        </w:rPr>
        <w:t xml:space="preserve"> of</w:t>
      </w:r>
      <w:r w:rsidRPr="004C6113" w:rsidR="004C6113">
        <w:rPr>
          <w:bCs/>
          <w:color w:val="000000"/>
        </w:rPr>
        <w:t xml:space="preserve"> the migration of applications from our Integrated Registration Services (IRES) System</w:t>
      </w:r>
      <w:r w:rsidR="004C6113">
        <w:rPr>
          <w:bCs/>
          <w:color w:val="000000"/>
        </w:rPr>
        <w:t xml:space="preserve"> </w:t>
      </w:r>
      <w:r w:rsidR="005D5679">
        <w:rPr>
          <w:bCs/>
          <w:color w:val="000000"/>
        </w:rPr>
        <w:t>(OMB No. 0960-0626)</w:t>
      </w:r>
      <w:r w:rsidR="00F759FB">
        <w:rPr>
          <w:bCs/>
          <w:color w:val="000000"/>
        </w:rPr>
        <w:t xml:space="preserve"> to our </w:t>
      </w:r>
      <w:r w:rsidR="00F759FB">
        <w:rPr>
          <w:bCs/>
          <w:color w:val="000000"/>
        </w:rPr>
        <w:t>eAccess</w:t>
      </w:r>
      <w:r w:rsidR="00F759FB">
        <w:rPr>
          <w:bCs/>
          <w:color w:val="000000"/>
        </w:rPr>
        <w:t xml:space="preserve"> platform</w:t>
      </w:r>
      <w:r w:rsidR="005D5679">
        <w:rPr>
          <w:bCs/>
          <w:color w:val="000000"/>
        </w:rPr>
        <w:t>.</w:t>
      </w:r>
      <w:r w:rsidR="003B5503">
        <w:rPr>
          <w:bCs/>
          <w:color w:val="000000"/>
        </w:rPr>
        <w:t xml:space="preserve">  </w:t>
      </w:r>
      <w:r w:rsidR="005D5679">
        <w:rPr>
          <w:bCs/>
          <w:color w:val="000000"/>
        </w:rPr>
        <w:t xml:space="preserve">We </w:t>
      </w:r>
      <w:r w:rsidR="004C6113">
        <w:rPr>
          <w:bCs/>
          <w:color w:val="000000"/>
        </w:rPr>
        <w:t xml:space="preserve">expect to eventually move </w:t>
      </w:r>
      <w:r w:rsidR="005D5679">
        <w:rPr>
          <w:bCs/>
          <w:color w:val="000000"/>
        </w:rPr>
        <w:t xml:space="preserve">additional </w:t>
      </w:r>
      <w:r w:rsidR="004C6113">
        <w:rPr>
          <w:bCs/>
          <w:color w:val="000000"/>
        </w:rPr>
        <w:t xml:space="preserve">applications from IRES to </w:t>
      </w:r>
      <w:r w:rsidR="00F759FB">
        <w:rPr>
          <w:bCs/>
          <w:color w:val="000000"/>
        </w:rPr>
        <w:t>the</w:t>
      </w:r>
      <w:r w:rsidR="004C6113">
        <w:rPr>
          <w:bCs/>
          <w:color w:val="000000"/>
        </w:rPr>
        <w:t xml:space="preserve"> more secure platform</w:t>
      </w:r>
      <w:r w:rsidR="00BE44CF">
        <w:rPr>
          <w:bCs/>
          <w:color w:val="000000"/>
        </w:rPr>
        <w:t>.</w:t>
      </w:r>
      <w:r w:rsidR="0075326B">
        <w:rPr>
          <w:bCs/>
          <w:color w:val="000000"/>
        </w:rPr>
        <w:t xml:space="preserve"> </w:t>
      </w:r>
      <w:r w:rsidR="00BE44CF">
        <w:rPr>
          <w:bCs/>
          <w:color w:val="000000"/>
        </w:rPr>
        <w:t xml:space="preserve"> </w:t>
      </w:r>
      <w:r w:rsidR="00F759FB">
        <w:rPr>
          <w:bCs/>
          <w:color w:val="000000"/>
        </w:rPr>
        <w:t xml:space="preserve">After this upcoming system release, </w:t>
      </w:r>
      <w:r w:rsidR="0075326B">
        <w:rPr>
          <w:bCs/>
          <w:color w:val="000000"/>
        </w:rPr>
        <w:t xml:space="preserve">SSA </w:t>
      </w:r>
      <w:r w:rsidR="00F759FB">
        <w:rPr>
          <w:bCs/>
          <w:color w:val="000000"/>
        </w:rPr>
        <w:t xml:space="preserve">will </w:t>
      </w:r>
      <w:r w:rsidR="0075326B">
        <w:rPr>
          <w:bCs/>
          <w:color w:val="000000"/>
        </w:rPr>
        <w:t xml:space="preserve">require </w:t>
      </w:r>
      <w:r w:rsidR="005D5679">
        <w:rPr>
          <w:bCs/>
          <w:color w:val="000000"/>
        </w:rPr>
        <w:t xml:space="preserve">IRES users that need access to the Employer Wage Reporting (EWR) </w:t>
      </w:r>
      <w:r w:rsidR="0075326B">
        <w:rPr>
          <w:bCs/>
          <w:color w:val="000000"/>
        </w:rPr>
        <w:t>and</w:t>
      </w:r>
      <w:r w:rsidR="005D5679">
        <w:rPr>
          <w:bCs/>
          <w:color w:val="000000"/>
        </w:rPr>
        <w:t xml:space="preserve"> </w:t>
      </w:r>
      <w:r w:rsidRPr="00DB729B" w:rsidR="005D5679">
        <w:rPr>
          <w:bCs/>
          <w:color w:val="000000"/>
        </w:rPr>
        <w:t xml:space="preserve">Social Security </w:t>
      </w:r>
      <w:r w:rsidR="005D5679">
        <w:rPr>
          <w:bCs/>
          <w:color w:val="000000"/>
        </w:rPr>
        <w:t xml:space="preserve">Number Verification Service (SSNVS) applications to authenticate through </w:t>
      </w:r>
      <w:r w:rsidR="005D5679">
        <w:rPr>
          <w:bCs/>
          <w:color w:val="000000"/>
        </w:rPr>
        <w:t>eAccess</w:t>
      </w:r>
      <w:r w:rsidR="009A5DF3">
        <w:rPr>
          <w:bCs/>
          <w:color w:val="000000"/>
        </w:rPr>
        <w:t xml:space="preserve"> </w:t>
      </w:r>
      <w:r w:rsidR="00F759FB">
        <w:rPr>
          <w:bCs/>
          <w:color w:val="000000"/>
        </w:rPr>
        <w:t>rather than IRES to enhance the security for these business services</w:t>
      </w:r>
      <w:r w:rsidR="005D5679">
        <w:rPr>
          <w:bCs/>
          <w:color w:val="000000"/>
        </w:rPr>
        <w:t>.</w:t>
      </w:r>
    </w:p>
    <w:p w:rsidR="004F544E" w:rsidRPr="00863E47" w:rsidP="006D1A94" w14:paraId="48028B5C" w14:textId="399F6D84">
      <w:pPr>
        <w:pStyle w:val="NormalWeb"/>
        <w:ind w:left="-90"/>
      </w:pPr>
      <w:r>
        <w:t xml:space="preserve">We will implement these new, non-substantive revisions </w:t>
      </w:r>
      <w:r w:rsidR="0020669D">
        <w:t>on March 25, 2023</w:t>
      </w:r>
      <w:r w:rsidR="005D5679">
        <w:t xml:space="preserve">. </w:t>
      </w:r>
      <w:r w:rsidR="0075326B">
        <w:t xml:space="preserve"> </w:t>
      </w:r>
      <w:r>
        <w:t xml:space="preserve">Therefore, we are asking for OMB’s approval of these revisions </w:t>
      </w:r>
      <w:r w:rsidR="00CF7CB8">
        <w:t>as soon as possible</w:t>
      </w:r>
      <w:r>
        <w:t>, to ensure we can implement on time.</w:t>
      </w:r>
    </w:p>
    <w:p w:rsidR="008D7755" w:rsidRPr="00B12139" w:rsidP="003E65AB" w14:paraId="24A931FF" w14:textId="77777777">
      <w:pPr>
        <w:tabs>
          <w:tab w:val="left" w:pos="-90"/>
        </w:tabs>
        <w:spacing w:after="0"/>
        <w:ind w:left="-90"/>
        <w:rPr>
          <w:rFonts w:ascii="Times New Roman" w:hAnsi="Times New Roman"/>
          <w:b/>
          <w:bCs/>
          <w:szCs w:val="24"/>
          <w:u w:val="single"/>
        </w:rPr>
      </w:pPr>
      <w:r w:rsidRPr="00B12139">
        <w:rPr>
          <w:rFonts w:ascii="Times New Roman" w:hAnsi="Times New Roman"/>
          <w:b/>
          <w:bCs/>
          <w:szCs w:val="24"/>
          <w:u w:val="single"/>
        </w:rPr>
        <w:t>Revisions to the Collection Instrument</w:t>
      </w:r>
    </w:p>
    <w:p w:rsidR="00F32DE5" w:rsidRPr="00B12139" w:rsidP="008D7755" w14:paraId="09EFDADB" w14:textId="77777777">
      <w:pPr>
        <w:spacing w:after="0"/>
        <w:rPr>
          <w:rFonts w:ascii="Times New Roman" w:hAnsi="Times New Roman"/>
          <w:bCs/>
          <w:szCs w:val="24"/>
        </w:rPr>
      </w:pPr>
    </w:p>
    <w:p w:rsidR="0056581D" w:rsidRPr="00E964BF" w:rsidP="0056581D" w14:paraId="6A735E05" w14:textId="188D0901">
      <w:pPr>
        <w:pStyle w:val="ListParagraph"/>
        <w:numPr>
          <w:ilvl w:val="0"/>
          <w:numId w:val="16"/>
        </w:numPr>
        <w:rPr>
          <w:rFonts w:ascii="Times New Roman" w:eastAsia="Times New Roman" w:hAnsi="Times New Roman" w:cs="Times New Roman"/>
          <w:sz w:val="24"/>
          <w:szCs w:val="24"/>
        </w:rPr>
      </w:pPr>
      <w:bookmarkStart w:id="0" w:name="_Hlk128141304"/>
      <w:r w:rsidRPr="00EC22EA">
        <w:rPr>
          <w:rFonts w:ascii="Times New Roman" w:eastAsia="Times New Roman" w:hAnsi="Times New Roman" w:cs="Times New Roman"/>
          <w:b/>
          <w:sz w:val="24"/>
          <w:szCs w:val="24"/>
          <w:u w:val="single"/>
        </w:rPr>
        <w:t>Change #1</w:t>
      </w:r>
      <w:r w:rsidRPr="00EC22EA" w:rsidR="00631B75">
        <w:rPr>
          <w:rFonts w:ascii="Times New Roman" w:eastAsia="Times New Roman" w:hAnsi="Times New Roman" w:cs="Times New Roman"/>
          <w:b/>
          <w:sz w:val="24"/>
          <w:szCs w:val="24"/>
          <w:u w:val="single"/>
        </w:rPr>
        <w:t>:</w:t>
      </w:r>
      <w:r w:rsidRPr="00721421" w:rsidR="00631B75">
        <w:rPr>
          <w:rFonts w:ascii="Times New Roman" w:eastAsia="Times New Roman" w:hAnsi="Times New Roman"/>
          <w:b/>
          <w:bCs/>
          <w:szCs w:val="24"/>
        </w:rPr>
        <w:t xml:space="preserve"> </w:t>
      </w:r>
      <w:r w:rsidR="00E964BF">
        <w:rPr>
          <w:rFonts w:ascii="Times New Roman" w:eastAsia="Times New Roman" w:hAnsi="Times New Roman"/>
          <w:b/>
          <w:bCs/>
          <w:szCs w:val="24"/>
        </w:rPr>
        <w:t xml:space="preserve"> </w:t>
      </w:r>
      <w:r w:rsidRPr="00ED7618" w:rsidR="00ED7618">
        <w:t xml:space="preserve"> </w:t>
      </w:r>
      <w:r w:rsidRPr="00E964BF" w:rsidR="0075326B">
        <w:rPr>
          <w:rFonts w:ascii="Times New Roman" w:hAnsi="Times New Roman" w:cs="Times New Roman"/>
          <w:sz w:val="24"/>
          <w:szCs w:val="24"/>
        </w:rPr>
        <w:t>We are adding n</w:t>
      </w:r>
      <w:r w:rsidRPr="00E964BF" w:rsidR="00710D77">
        <w:rPr>
          <w:rFonts w:ascii="Times New Roman" w:eastAsia="Times New Roman" w:hAnsi="Times New Roman" w:cs="Times New Roman"/>
          <w:sz w:val="24"/>
          <w:szCs w:val="24"/>
        </w:rPr>
        <w:t>ew screens</w:t>
      </w:r>
      <w:r w:rsidRPr="00E964BF" w:rsidR="0075326B">
        <w:rPr>
          <w:rFonts w:ascii="Times New Roman" w:eastAsia="Times New Roman" w:hAnsi="Times New Roman" w:cs="Times New Roman"/>
          <w:sz w:val="24"/>
          <w:szCs w:val="24"/>
        </w:rPr>
        <w:t xml:space="preserve"> </w:t>
      </w:r>
      <w:r w:rsidR="00E964BF">
        <w:rPr>
          <w:rFonts w:ascii="Times New Roman" w:eastAsia="Times New Roman" w:hAnsi="Times New Roman" w:cs="Times New Roman"/>
          <w:sz w:val="24"/>
          <w:szCs w:val="24"/>
        </w:rPr>
        <w:t>that</w:t>
      </w:r>
      <w:r w:rsidRPr="00E964BF" w:rsidR="00E964BF">
        <w:rPr>
          <w:rFonts w:ascii="Times New Roman" w:eastAsia="Times New Roman" w:hAnsi="Times New Roman" w:cs="Times New Roman"/>
          <w:sz w:val="24"/>
          <w:szCs w:val="24"/>
        </w:rPr>
        <w:t xml:space="preserve"> </w:t>
      </w:r>
      <w:r w:rsidR="00F759FB">
        <w:rPr>
          <w:rFonts w:ascii="Times New Roman" w:eastAsia="Times New Roman" w:hAnsi="Times New Roman" w:cs="Times New Roman"/>
          <w:sz w:val="24"/>
          <w:szCs w:val="24"/>
        </w:rPr>
        <w:t>the system will display</w:t>
      </w:r>
      <w:r w:rsidRPr="00E964BF" w:rsidR="00710D77">
        <w:rPr>
          <w:rFonts w:ascii="Times New Roman" w:eastAsia="Times New Roman" w:hAnsi="Times New Roman" w:cs="Times New Roman"/>
          <w:sz w:val="24"/>
          <w:szCs w:val="24"/>
        </w:rPr>
        <w:t xml:space="preserve"> for EWR and SSNVS users </w:t>
      </w:r>
      <w:r w:rsidRPr="00E964BF" w:rsidR="0075326B">
        <w:rPr>
          <w:rFonts w:ascii="Times New Roman" w:eastAsia="Times New Roman" w:hAnsi="Times New Roman" w:cs="Times New Roman"/>
          <w:sz w:val="24"/>
          <w:szCs w:val="24"/>
        </w:rPr>
        <w:t xml:space="preserve">who </w:t>
      </w:r>
      <w:r w:rsidRPr="00E964BF" w:rsidR="00710D77">
        <w:rPr>
          <w:rFonts w:ascii="Times New Roman" w:eastAsia="Times New Roman" w:hAnsi="Times New Roman" w:cs="Times New Roman"/>
          <w:sz w:val="24"/>
          <w:szCs w:val="24"/>
        </w:rPr>
        <w:t xml:space="preserve">must now create an </w:t>
      </w:r>
      <w:r w:rsidRPr="00E964BF" w:rsidR="00710D77">
        <w:rPr>
          <w:rFonts w:ascii="Times New Roman" w:eastAsia="Times New Roman" w:hAnsi="Times New Roman" w:cs="Times New Roman"/>
          <w:sz w:val="24"/>
          <w:szCs w:val="24"/>
        </w:rPr>
        <w:t>eAccess</w:t>
      </w:r>
      <w:r w:rsidRPr="00E964BF" w:rsidR="00710D77">
        <w:rPr>
          <w:rFonts w:ascii="Times New Roman" w:eastAsia="Times New Roman" w:hAnsi="Times New Roman" w:cs="Times New Roman"/>
          <w:sz w:val="24"/>
          <w:szCs w:val="24"/>
        </w:rPr>
        <w:t xml:space="preserve"> credential to access those services. </w:t>
      </w:r>
    </w:p>
    <w:p w:rsidR="0056581D" w:rsidRPr="00E964BF" w:rsidP="0056581D" w14:paraId="5928C649" w14:textId="77777777">
      <w:pPr>
        <w:pStyle w:val="ListParagraph"/>
        <w:ind w:left="360"/>
        <w:rPr>
          <w:rFonts w:ascii="Times New Roman" w:eastAsia="Times New Roman" w:hAnsi="Times New Roman" w:cs="Times New Roman"/>
          <w:sz w:val="24"/>
          <w:szCs w:val="24"/>
        </w:rPr>
      </w:pPr>
    </w:p>
    <w:p w:rsidR="00DA34F4" w:rsidRPr="00E964BF" w:rsidP="00710D77" w14:paraId="40EAD68D" w14:textId="78FD4C82">
      <w:pPr>
        <w:pStyle w:val="ListParagraph"/>
        <w:ind w:left="360"/>
        <w:rPr>
          <w:rFonts w:ascii="Times New Roman" w:hAnsi="Times New Roman"/>
          <w:sz w:val="24"/>
          <w:szCs w:val="24"/>
        </w:rPr>
      </w:pPr>
      <w:r w:rsidRPr="00434D5C">
        <w:rPr>
          <w:rFonts w:ascii="Times New Roman" w:hAnsi="Times New Roman"/>
          <w:b/>
          <w:sz w:val="24"/>
          <w:szCs w:val="24"/>
          <w:u w:val="single"/>
        </w:rPr>
        <w:t>Justification</w:t>
      </w:r>
      <w:r w:rsidRPr="00434D5C" w:rsidR="0056285B">
        <w:rPr>
          <w:rFonts w:ascii="Times New Roman" w:hAnsi="Times New Roman"/>
          <w:b/>
          <w:sz w:val="24"/>
          <w:szCs w:val="24"/>
          <w:u w:val="single"/>
        </w:rPr>
        <w:t xml:space="preserve"> #1</w:t>
      </w:r>
      <w:r w:rsidRPr="00434D5C" w:rsidR="00876E96">
        <w:rPr>
          <w:rFonts w:ascii="Times New Roman" w:hAnsi="Times New Roman"/>
          <w:b/>
          <w:sz w:val="24"/>
          <w:szCs w:val="24"/>
          <w:u w:val="single"/>
        </w:rPr>
        <w:t>:</w:t>
      </w:r>
      <w:r w:rsidR="00710D77">
        <w:rPr>
          <w:rFonts w:ascii="Times New Roman" w:hAnsi="Times New Roman"/>
          <w:b/>
          <w:szCs w:val="24"/>
        </w:rPr>
        <w:t xml:space="preserve">  </w:t>
      </w:r>
      <w:r w:rsidRPr="00E964BF" w:rsidR="00E964BF">
        <w:rPr>
          <w:rFonts w:ascii="Times New Roman" w:hAnsi="Times New Roman"/>
          <w:bCs/>
          <w:sz w:val="24"/>
          <w:szCs w:val="24"/>
        </w:rPr>
        <w:t>SSA</w:t>
      </w:r>
      <w:r w:rsidR="008041A9">
        <w:rPr>
          <w:rFonts w:ascii="Times New Roman" w:hAnsi="Times New Roman"/>
          <w:bCs/>
          <w:sz w:val="24"/>
          <w:szCs w:val="24"/>
        </w:rPr>
        <w:t xml:space="preserve"> will</w:t>
      </w:r>
      <w:r w:rsidRPr="00E964BF" w:rsidR="00E964BF">
        <w:rPr>
          <w:rFonts w:ascii="Times New Roman" w:hAnsi="Times New Roman"/>
          <w:bCs/>
          <w:sz w:val="24"/>
          <w:szCs w:val="24"/>
        </w:rPr>
        <w:t xml:space="preserve"> require EWR and SSNV users </w:t>
      </w:r>
      <w:r w:rsidRPr="00E964BF" w:rsidR="00710D77">
        <w:rPr>
          <w:rFonts w:ascii="Times New Roman" w:eastAsia="Times New Roman" w:hAnsi="Times New Roman" w:cs="Times New Roman"/>
          <w:sz w:val="24"/>
          <w:szCs w:val="24"/>
        </w:rPr>
        <w:t>to register for an advanced account</w:t>
      </w:r>
      <w:r w:rsidRPr="00E964BF" w:rsidR="00E24C46">
        <w:rPr>
          <w:rFonts w:ascii="Times New Roman" w:eastAsia="Times New Roman" w:hAnsi="Times New Roman" w:cs="Times New Roman"/>
          <w:sz w:val="24"/>
          <w:szCs w:val="24"/>
        </w:rPr>
        <w:t xml:space="preserve">, using </w:t>
      </w:r>
      <w:r w:rsidRPr="00E964BF" w:rsidR="00E24C46">
        <w:rPr>
          <w:rFonts w:ascii="Times New Roman" w:eastAsia="Times New Roman" w:hAnsi="Times New Roman" w:cs="Times New Roman"/>
          <w:sz w:val="24"/>
          <w:szCs w:val="24"/>
        </w:rPr>
        <w:t>eAc</w:t>
      </w:r>
      <w:r w:rsidRPr="00E964BF" w:rsidR="00FF316E">
        <w:rPr>
          <w:rFonts w:ascii="Times New Roman" w:eastAsia="Times New Roman" w:hAnsi="Times New Roman" w:cs="Times New Roman"/>
          <w:sz w:val="24"/>
          <w:szCs w:val="24"/>
        </w:rPr>
        <w:t>c</w:t>
      </w:r>
      <w:r w:rsidRPr="00E964BF" w:rsidR="00E24C46">
        <w:rPr>
          <w:rFonts w:ascii="Times New Roman" w:eastAsia="Times New Roman" w:hAnsi="Times New Roman" w:cs="Times New Roman"/>
          <w:sz w:val="24"/>
          <w:szCs w:val="24"/>
        </w:rPr>
        <w:t>ess</w:t>
      </w:r>
      <w:r w:rsidRPr="00E964BF" w:rsidR="00E24C46">
        <w:rPr>
          <w:rFonts w:ascii="Times New Roman" w:eastAsia="Times New Roman" w:hAnsi="Times New Roman" w:cs="Times New Roman"/>
          <w:sz w:val="24"/>
          <w:szCs w:val="24"/>
        </w:rPr>
        <w:t>,</w:t>
      </w:r>
      <w:r w:rsidRPr="00E964BF" w:rsidR="00710D77">
        <w:rPr>
          <w:rFonts w:ascii="Times New Roman" w:eastAsia="Times New Roman" w:hAnsi="Times New Roman" w:cs="Times New Roman"/>
          <w:sz w:val="24"/>
          <w:szCs w:val="24"/>
        </w:rPr>
        <w:t xml:space="preserve"> to access those business services. </w:t>
      </w:r>
      <w:r w:rsidR="00F759FB">
        <w:rPr>
          <w:rFonts w:ascii="Times New Roman" w:eastAsia="Times New Roman" w:hAnsi="Times New Roman" w:cs="Times New Roman"/>
          <w:sz w:val="24"/>
          <w:szCs w:val="24"/>
        </w:rPr>
        <w:t xml:space="preserve"> We are making this change to allow for enhanced security for the user before they access these services</w:t>
      </w:r>
      <w:r w:rsidR="001636EA">
        <w:rPr>
          <w:rFonts w:ascii="Times New Roman" w:eastAsia="Times New Roman" w:hAnsi="Times New Roman" w:cs="Times New Roman"/>
          <w:sz w:val="24"/>
          <w:szCs w:val="24"/>
        </w:rPr>
        <w:t>.</w:t>
      </w:r>
      <w:r w:rsidRPr="00E964BF" w:rsidR="00FA139B">
        <w:rPr>
          <w:rFonts w:ascii="Times New Roman" w:eastAsia="Times New Roman" w:hAnsi="Times New Roman"/>
          <w:sz w:val="24"/>
          <w:szCs w:val="24"/>
        </w:rPr>
        <w:br/>
      </w:r>
      <w:r w:rsidRPr="00E964BF" w:rsidR="008F51F6">
        <w:rPr>
          <w:rFonts w:ascii="Times New Roman" w:hAnsi="Times New Roman"/>
          <w:sz w:val="24"/>
          <w:szCs w:val="24"/>
        </w:rPr>
        <w:t xml:space="preserve"> </w:t>
      </w:r>
    </w:p>
    <w:p w:rsidR="00DA34F4" w:rsidRPr="000162BD" w:rsidP="00DA34F4" w14:paraId="7AD7E5D1" w14:textId="5A2C78DB">
      <w:pPr>
        <w:pStyle w:val="ListParagraph"/>
        <w:numPr>
          <w:ilvl w:val="0"/>
          <w:numId w:val="16"/>
        </w:numPr>
        <w:rPr>
          <w:rFonts w:ascii="Times New Roman" w:hAnsi="Times New Roman" w:cs="Times New Roman"/>
          <w:sz w:val="24"/>
          <w:szCs w:val="24"/>
        </w:rPr>
      </w:pPr>
      <w:r w:rsidRPr="00A60928">
        <w:rPr>
          <w:rFonts w:ascii="Times New Roman" w:eastAsia="Times New Roman" w:hAnsi="Times New Roman" w:cs="Times New Roman"/>
          <w:b/>
          <w:sz w:val="24"/>
          <w:szCs w:val="24"/>
          <w:u w:val="single"/>
        </w:rPr>
        <w:t>Change #</w:t>
      </w:r>
      <w:r w:rsidR="00710D77">
        <w:rPr>
          <w:rFonts w:ascii="Times New Roman" w:eastAsia="Times New Roman" w:hAnsi="Times New Roman" w:cs="Times New Roman"/>
          <w:b/>
          <w:sz w:val="24"/>
          <w:szCs w:val="24"/>
          <w:u w:val="single"/>
        </w:rPr>
        <w:t>2</w:t>
      </w:r>
      <w:r w:rsidRPr="00A60928">
        <w:rPr>
          <w:rFonts w:ascii="Times New Roman" w:eastAsia="Times New Roman" w:hAnsi="Times New Roman" w:cs="Times New Roman"/>
          <w:b/>
          <w:sz w:val="24"/>
          <w:szCs w:val="24"/>
          <w:u w:val="single"/>
        </w:rPr>
        <w:t>:</w:t>
      </w:r>
      <w:r w:rsidRPr="00A60928">
        <w:rPr>
          <w:rFonts w:ascii="Times New Roman" w:hAnsi="Times New Roman"/>
          <w:b/>
          <w:bCs/>
          <w:szCs w:val="24"/>
        </w:rPr>
        <w:t xml:space="preserve">  </w:t>
      </w:r>
      <w:bookmarkStart w:id="1" w:name="_Hlk128141279"/>
      <w:r w:rsidRPr="000162BD">
        <w:rPr>
          <w:rFonts w:ascii="Times New Roman" w:hAnsi="Times New Roman" w:cs="Times New Roman"/>
          <w:sz w:val="24"/>
          <w:szCs w:val="24"/>
        </w:rPr>
        <w:t xml:space="preserve">We </w:t>
      </w:r>
      <w:r w:rsidR="00E964BF">
        <w:rPr>
          <w:rFonts w:ascii="Times New Roman" w:hAnsi="Times New Roman" w:cs="Times New Roman"/>
          <w:sz w:val="24"/>
          <w:szCs w:val="24"/>
        </w:rPr>
        <w:t>are revising</w:t>
      </w:r>
      <w:r w:rsidR="0056581D">
        <w:rPr>
          <w:rFonts w:ascii="Times New Roman" w:hAnsi="Times New Roman" w:cs="Times New Roman"/>
          <w:sz w:val="24"/>
          <w:szCs w:val="24"/>
        </w:rPr>
        <w:t xml:space="preserve"> the</w:t>
      </w:r>
      <w:r>
        <w:rPr>
          <w:rFonts w:ascii="Times New Roman" w:hAnsi="Times New Roman" w:cs="Times New Roman"/>
          <w:sz w:val="24"/>
          <w:szCs w:val="24"/>
        </w:rPr>
        <w:t xml:space="preserve"> Terms of Service </w:t>
      </w:r>
      <w:r w:rsidR="00EE1B23">
        <w:rPr>
          <w:rFonts w:ascii="Times New Roman" w:hAnsi="Times New Roman" w:cs="Times New Roman"/>
          <w:sz w:val="24"/>
          <w:szCs w:val="24"/>
        </w:rPr>
        <w:t>language</w:t>
      </w:r>
      <w:r w:rsidRPr="00A60928">
        <w:rPr>
          <w:rFonts w:ascii="Times New Roman" w:hAnsi="Times New Roman" w:cs="Times New Roman"/>
          <w:sz w:val="24"/>
          <w:szCs w:val="24"/>
        </w:rPr>
        <w:t xml:space="preserve">. </w:t>
      </w:r>
      <w:bookmarkEnd w:id="1"/>
    </w:p>
    <w:p w:rsidR="00DA34F4" w:rsidRPr="00A60928" w:rsidP="00DA34F4" w14:paraId="479888AD" w14:textId="77777777">
      <w:pPr>
        <w:pStyle w:val="ListParagraph"/>
        <w:ind w:left="360"/>
        <w:rPr>
          <w:rFonts w:ascii="Times New Roman" w:hAnsi="Times New Roman"/>
          <w:sz w:val="24"/>
          <w:szCs w:val="24"/>
        </w:rPr>
      </w:pPr>
    </w:p>
    <w:p w:rsidR="009F4EE6" w:rsidP="009F4EE6" w14:paraId="2AF914D8" w14:textId="3E7DDBB2">
      <w:pPr>
        <w:spacing w:after="0"/>
        <w:ind w:left="360"/>
        <w:rPr>
          <w:rFonts w:ascii="Times New Roman" w:hAnsi="Times New Roman"/>
          <w:bCs/>
          <w:color w:val="000000"/>
          <w:szCs w:val="24"/>
        </w:rPr>
      </w:pPr>
      <w:r w:rsidRPr="00B12139">
        <w:rPr>
          <w:rFonts w:ascii="Times New Roman" w:hAnsi="Times New Roman"/>
          <w:b/>
          <w:szCs w:val="24"/>
          <w:u w:val="single"/>
        </w:rPr>
        <w:t>Justification #</w:t>
      </w:r>
      <w:r w:rsidR="00710D77">
        <w:rPr>
          <w:rFonts w:ascii="Times New Roman" w:hAnsi="Times New Roman"/>
          <w:b/>
          <w:szCs w:val="24"/>
          <w:u w:val="single"/>
        </w:rPr>
        <w:t>2</w:t>
      </w:r>
      <w:r w:rsidRPr="00B12139">
        <w:rPr>
          <w:rFonts w:ascii="Times New Roman" w:hAnsi="Times New Roman"/>
          <w:b/>
          <w:szCs w:val="24"/>
          <w:u w:val="single"/>
        </w:rPr>
        <w:t>:</w:t>
      </w:r>
      <w:r w:rsidRPr="00B12139">
        <w:rPr>
          <w:rFonts w:ascii="Times New Roman" w:hAnsi="Times New Roman"/>
          <w:szCs w:val="24"/>
        </w:rPr>
        <w:t xml:space="preserve">  </w:t>
      </w:r>
      <w:bookmarkStart w:id="2" w:name="_Hlk128044520"/>
      <w:r>
        <w:rPr>
          <w:rFonts w:ascii="Times New Roman" w:hAnsi="Times New Roman"/>
          <w:szCs w:val="24"/>
        </w:rPr>
        <w:t xml:space="preserve">We are updating the language, because we are moving EWR and SSNVS behind </w:t>
      </w:r>
      <w:r>
        <w:rPr>
          <w:rFonts w:ascii="Times New Roman" w:hAnsi="Times New Roman"/>
          <w:szCs w:val="24"/>
        </w:rPr>
        <w:t>eAccess</w:t>
      </w:r>
      <w:r>
        <w:rPr>
          <w:rFonts w:ascii="Times New Roman" w:hAnsi="Times New Roman"/>
          <w:szCs w:val="24"/>
        </w:rPr>
        <w:t>.</w:t>
      </w:r>
    </w:p>
    <w:p w:rsidR="00434D5C" w:rsidP="00DA34F4" w14:paraId="070819E4" w14:textId="31D2C26A">
      <w:pPr>
        <w:spacing w:after="0"/>
        <w:ind w:left="360"/>
        <w:rPr>
          <w:rFonts w:ascii="Times New Roman" w:hAnsi="Times New Roman"/>
          <w:bCs/>
          <w:color w:val="000000"/>
          <w:szCs w:val="24"/>
        </w:rPr>
      </w:pPr>
      <w:r>
        <w:rPr>
          <w:rFonts w:ascii="Times New Roman" w:hAnsi="Times New Roman"/>
          <w:bCs/>
          <w:color w:val="000000"/>
          <w:szCs w:val="24"/>
        </w:rPr>
        <w:t>.</w:t>
      </w:r>
      <w:bookmarkEnd w:id="2"/>
    </w:p>
    <w:bookmarkEnd w:id="0"/>
    <w:p w:rsidR="00BE44CF" w:rsidRPr="000162BD" w:rsidP="00BE44CF" w14:paraId="56438D4D" w14:textId="7A7E9283">
      <w:pPr>
        <w:pStyle w:val="ListParagraph"/>
        <w:numPr>
          <w:ilvl w:val="0"/>
          <w:numId w:val="16"/>
        </w:numPr>
        <w:rPr>
          <w:rFonts w:ascii="Times New Roman" w:hAnsi="Times New Roman" w:cs="Times New Roman"/>
          <w:sz w:val="24"/>
          <w:szCs w:val="24"/>
        </w:rPr>
      </w:pPr>
      <w:r w:rsidRPr="00A60928">
        <w:rPr>
          <w:rFonts w:ascii="Times New Roman" w:eastAsia="Times New Roman" w:hAnsi="Times New Roman" w:cs="Times New Roman"/>
          <w:b/>
          <w:sz w:val="24"/>
          <w:szCs w:val="24"/>
          <w:u w:val="single"/>
        </w:rPr>
        <w:t>Change #</w:t>
      </w:r>
      <w:r>
        <w:rPr>
          <w:rFonts w:ascii="Times New Roman" w:eastAsia="Times New Roman" w:hAnsi="Times New Roman" w:cs="Times New Roman"/>
          <w:b/>
          <w:sz w:val="24"/>
          <w:szCs w:val="24"/>
          <w:u w:val="single"/>
        </w:rPr>
        <w:t>3</w:t>
      </w:r>
      <w:r w:rsidRPr="00A60928">
        <w:rPr>
          <w:rFonts w:ascii="Times New Roman" w:eastAsia="Times New Roman" w:hAnsi="Times New Roman" w:cs="Times New Roman"/>
          <w:b/>
          <w:sz w:val="24"/>
          <w:szCs w:val="24"/>
          <w:u w:val="single"/>
        </w:rPr>
        <w:t>:</w:t>
      </w:r>
      <w:r w:rsidRPr="00A60928">
        <w:rPr>
          <w:rFonts w:ascii="Times New Roman" w:hAnsi="Times New Roman"/>
          <w:b/>
          <w:bCs/>
          <w:szCs w:val="24"/>
        </w:rPr>
        <w:t xml:space="preserve">  </w:t>
      </w:r>
      <w:r w:rsidRPr="000162BD">
        <w:rPr>
          <w:rFonts w:ascii="Times New Roman" w:hAnsi="Times New Roman" w:cs="Times New Roman"/>
          <w:sz w:val="24"/>
          <w:szCs w:val="24"/>
        </w:rPr>
        <w:t xml:space="preserve">We </w:t>
      </w:r>
      <w:r w:rsidR="0075326B">
        <w:rPr>
          <w:rFonts w:ascii="Times New Roman" w:hAnsi="Times New Roman" w:cs="Times New Roman"/>
          <w:sz w:val="24"/>
          <w:szCs w:val="24"/>
        </w:rPr>
        <w:t xml:space="preserve">are adding </w:t>
      </w:r>
      <w:r>
        <w:rPr>
          <w:rFonts w:ascii="Times New Roman" w:hAnsi="Times New Roman" w:cs="Times New Roman"/>
          <w:sz w:val="24"/>
          <w:szCs w:val="24"/>
        </w:rPr>
        <w:t>error message screens.</w:t>
      </w:r>
    </w:p>
    <w:p w:rsidR="00BE44CF" w:rsidRPr="00A60928" w:rsidP="00BE44CF" w14:paraId="7890A2CE" w14:textId="77777777">
      <w:pPr>
        <w:pStyle w:val="ListParagraph"/>
        <w:ind w:left="360"/>
        <w:rPr>
          <w:rFonts w:ascii="Times New Roman" w:hAnsi="Times New Roman"/>
          <w:sz w:val="24"/>
          <w:szCs w:val="24"/>
        </w:rPr>
      </w:pPr>
    </w:p>
    <w:p w:rsidR="00BE44CF" w:rsidP="00BE44CF" w14:paraId="5FC29EE3" w14:textId="59797F0D">
      <w:pPr>
        <w:spacing w:after="0"/>
        <w:ind w:left="360"/>
        <w:rPr>
          <w:rFonts w:ascii="Times New Roman" w:hAnsi="Times New Roman"/>
          <w:szCs w:val="24"/>
        </w:rPr>
      </w:pPr>
      <w:r w:rsidRPr="00B12139">
        <w:rPr>
          <w:rFonts w:ascii="Times New Roman" w:hAnsi="Times New Roman"/>
          <w:b/>
          <w:szCs w:val="24"/>
          <w:u w:val="single"/>
        </w:rPr>
        <w:t>Justification #</w:t>
      </w:r>
      <w:r>
        <w:rPr>
          <w:rFonts w:ascii="Times New Roman" w:hAnsi="Times New Roman"/>
          <w:b/>
          <w:szCs w:val="24"/>
          <w:u w:val="single"/>
        </w:rPr>
        <w:t>3</w:t>
      </w:r>
      <w:r w:rsidRPr="00B12139">
        <w:rPr>
          <w:rFonts w:ascii="Times New Roman" w:hAnsi="Times New Roman"/>
          <w:b/>
          <w:szCs w:val="24"/>
          <w:u w:val="single"/>
        </w:rPr>
        <w:t>:</w:t>
      </w:r>
      <w:r w:rsidRPr="00B12139">
        <w:rPr>
          <w:rFonts w:ascii="Times New Roman" w:hAnsi="Times New Roman"/>
          <w:szCs w:val="24"/>
        </w:rPr>
        <w:t xml:space="preserve">  </w:t>
      </w:r>
      <w:r>
        <w:rPr>
          <w:rFonts w:ascii="Times New Roman" w:hAnsi="Times New Roman"/>
          <w:bCs/>
          <w:color w:val="000000"/>
          <w:szCs w:val="24"/>
        </w:rPr>
        <w:t xml:space="preserve">This change </w:t>
      </w:r>
      <w:r w:rsidR="00F759FB">
        <w:rPr>
          <w:rFonts w:ascii="Times New Roman" w:hAnsi="Times New Roman"/>
          <w:bCs/>
          <w:color w:val="000000"/>
          <w:szCs w:val="24"/>
        </w:rPr>
        <w:t>will</w:t>
      </w:r>
      <w:r>
        <w:rPr>
          <w:rFonts w:ascii="Times New Roman" w:hAnsi="Times New Roman"/>
          <w:szCs w:val="24"/>
        </w:rPr>
        <w:t xml:space="preserve"> assist customers that may make error</w:t>
      </w:r>
      <w:r w:rsidR="00F759FB">
        <w:rPr>
          <w:rFonts w:ascii="Times New Roman" w:hAnsi="Times New Roman"/>
          <w:szCs w:val="24"/>
        </w:rPr>
        <w:t>s</w:t>
      </w:r>
      <w:r>
        <w:rPr>
          <w:rFonts w:ascii="Times New Roman" w:hAnsi="Times New Roman"/>
          <w:szCs w:val="24"/>
        </w:rPr>
        <w:t xml:space="preserve"> during registration. </w:t>
      </w:r>
      <w:r w:rsidRPr="00A60928">
        <w:rPr>
          <w:rFonts w:ascii="Times New Roman" w:hAnsi="Times New Roman"/>
          <w:szCs w:val="24"/>
        </w:rPr>
        <w:t xml:space="preserve"> </w:t>
      </w:r>
    </w:p>
    <w:p w:rsidR="00A22AAE" w:rsidP="001636EA" w14:paraId="1C34C615" w14:textId="77777777">
      <w:pPr>
        <w:spacing w:after="0"/>
        <w:rPr>
          <w:rFonts w:ascii="Times New Roman" w:hAnsi="Times New Roman"/>
          <w:b/>
          <w:szCs w:val="24"/>
          <w:u w:val="single"/>
        </w:rPr>
      </w:pPr>
    </w:p>
    <w:p w:rsidR="00A82790" w:rsidP="00A82790" w14:paraId="609ACC51" w14:textId="463C8E88">
      <w:pPr>
        <w:spacing w:after="0"/>
        <w:ind w:left="-90"/>
        <w:rPr>
          <w:rFonts w:ascii="Times New Roman" w:hAnsi="Times New Roman"/>
          <w:b/>
          <w:szCs w:val="24"/>
          <w:u w:val="single"/>
        </w:rPr>
      </w:pPr>
      <w:r>
        <w:rPr>
          <w:rFonts w:ascii="Times New Roman" w:hAnsi="Times New Roman"/>
          <w:b/>
          <w:szCs w:val="24"/>
          <w:u w:val="single"/>
        </w:rPr>
        <w:t>Estimates of Public Reporting Burden</w:t>
      </w:r>
    </w:p>
    <w:p w:rsidR="00F87953" w:rsidP="00F87953" w14:paraId="6DEF2FBB" w14:textId="38F262CD">
      <w:pPr>
        <w:spacing w:after="0"/>
        <w:ind w:left="-90"/>
        <w:rPr>
          <w:rFonts w:ascii="Times New Roman" w:hAnsi="Times New Roman"/>
          <w:szCs w:val="24"/>
        </w:rPr>
      </w:pPr>
      <w:bookmarkStart w:id="3" w:name="_Hlk128571957"/>
      <w:r>
        <w:rPr>
          <w:rFonts w:ascii="Times New Roman" w:hAnsi="Times New Roman"/>
          <w:szCs w:val="24"/>
        </w:rPr>
        <w:t>We are adjusting the reporting burden to this information collection because we expect additional customers to register</w:t>
      </w:r>
      <w:r w:rsidR="00ED6B54">
        <w:rPr>
          <w:rFonts w:ascii="Times New Roman" w:hAnsi="Times New Roman"/>
          <w:szCs w:val="24"/>
        </w:rPr>
        <w:t xml:space="preserve"> an account for </w:t>
      </w:r>
      <w:r w:rsidR="00ED6B54">
        <w:rPr>
          <w:rFonts w:ascii="Times New Roman" w:hAnsi="Times New Roman"/>
          <w:szCs w:val="24"/>
        </w:rPr>
        <w:t>eAccess</w:t>
      </w:r>
      <w:r w:rsidR="00ED6B54">
        <w:rPr>
          <w:rFonts w:ascii="Times New Roman" w:hAnsi="Times New Roman"/>
          <w:szCs w:val="24"/>
        </w:rPr>
        <w:t xml:space="preserve"> to allow them to</w:t>
      </w:r>
      <w:r>
        <w:rPr>
          <w:rFonts w:ascii="Times New Roman" w:hAnsi="Times New Roman"/>
          <w:szCs w:val="24"/>
        </w:rPr>
        <w:t xml:space="preserve"> access </w:t>
      </w:r>
      <w:r w:rsidR="00030583">
        <w:rPr>
          <w:rFonts w:ascii="Times New Roman" w:hAnsi="Times New Roman"/>
          <w:szCs w:val="24"/>
        </w:rPr>
        <w:t xml:space="preserve">SSA’s </w:t>
      </w:r>
      <w:r>
        <w:rPr>
          <w:rFonts w:ascii="Times New Roman" w:hAnsi="Times New Roman"/>
          <w:szCs w:val="24"/>
        </w:rPr>
        <w:t xml:space="preserve">website for the </w:t>
      </w:r>
      <w:r w:rsidR="00B05EBC">
        <w:rPr>
          <w:rFonts w:ascii="Times New Roman" w:hAnsi="Times New Roman"/>
          <w:szCs w:val="24"/>
        </w:rPr>
        <w:t xml:space="preserve">EWR </w:t>
      </w:r>
      <w:r w:rsidR="00B05EBC">
        <w:rPr>
          <w:rFonts w:ascii="Times New Roman" w:hAnsi="Times New Roman"/>
          <w:szCs w:val="24"/>
        </w:rPr>
        <w:t xml:space="preserve">and SSNVS applications. </w:t>
      </w:r>
      <w:r w:rsidR="0075326B">
        <w:rPr>
          <w:rFonts w:ascii="Times New Roman" w:hAnsi="Times New Roman"/>
          <w:szCs w:val="24"/>
        </w:rPr>
        <w:t xml:space="preserve"> </w:t>
      </w:r>
      <w:bookmarkStart w:id="4" w:name="_Hlk129762902"/>
      <w:r>
        <w:rPr>
          <w:rFonts w:ascii="Times New Roman" w:hAnsi="Times New Roman"/>
          <w:szCs w:val="24"/>
        </w:rPr>
        <w:t>We also expect the number of respondents or burden hours we reported in our existing burden estimate to change</w:t>
      </w:r>
      <w:r w:rsidR="009F4EE6">
        <w:rPr>
          <w:rFonts w:ascii="Times New Roman" w:hAnsi="Times New Roman"/>
          <w:szCs w:val="24"/>
        </w:rPr>
        <w:t xml:space="preserve"> because of</w:t>
      </w:r>
      <w:r w:rsidR="00A22AAE">
        <w:rPr>
          <w:rFonts w:ascii="Times New Roman" w:hAnsi="Times New Roman"/>
          <w:szCs w:val="24"/>
        </w:rPr>
        <w:t xml:space="preserve"> the </w:t>
      </w:r>
      <w:r w:rsidR="009F4EE6">
        <w:rPr>
          <w:rFonts w:ascii="Times New Roman" w:hAnsi="Times New Roman"/>
          <w:szCs w:val="24"/>
        </w:rPr>
        <w:t>new users from IRES</w:t>
      </w:r>
      <w:r>
        <w:rPr>
          <w:rFonts w:ascii="Times New Roman" w:hAnsi="Times New Roman"/>
          <w:szCs w:val="24"/>
        </w:rPr>
        <w:t>.</w:t>
      </w:r>
      <w:r w:rsidR="0075326B">
        <w:rPr>
          <w:rFonts w:ascii="Times New Roman" w:hAnsi="Times New Roman"/>
          <w:szCs w:val="24"/>
        </w:rPr>
        <w:t xml:space="preserve"> </w:t>
      </w:r>
      <w:r>
        <w:rPr>
          <w:rFonts w:ascii="Times New Roman" w:hAnsi="Times New Roman"/>
          <w:szCs w:val="24"/>
        </w:rPr>
        <w:t xml:space="preserve"> </w:t>
      </w:r>
      <w:r w:rsidR="00601C91">
        <w:rPr>
          <w:rFonts w:ascii="Times New Roman" w:hAnsi="Times New Roman"/>
          <w:szCs w:val="24"/>
        </w:rPr>
        <w:t>In addition, we are also adjusting our burden to reflect current management information (MI) data, which shows a significant decrease in the number of RCS registrations</w:t>
      </w:r>
      <w:r w:rsidR="00551B36">
        <w:rPr>
          <w:rFonts w:ascii="Times New Roman" w:hAnsi="Times New Roman"/>
          <w:szCs w:val="24"/>
        </w:rPr>
        <w:t>, and a subsequent increase in Internet registrations</w:t>
      </w:r>
      <w:r w:rsidR="00601C91">
        <w:rPr>
          <w:rFonts w:ascii="Times New Roman" w:hAnsi="Times New Roman"/>
          <w:szCs w:val="24"/>
        </w:rPr>
        <w:t xml:space="preserve">.  We attribute this decrease to fewer respondents requesting field office technicians to complete their registration for </w:t>
      </w:r>
      <w:r w:rsidR="00551B36">
        <w:rPr>
          <w:rFonts w:ascii="Times New Roman" w:hAnsi="Times New Roman"/>
          <w:szCs w:val="24"/>
        </w:rPr>
        <w:t>them and choosing to use the Internet registration instead</w:t>
      </w:r>
      <w:r w:rsidR="00601C91">
        <w:rPr>
          <w:rFonts w:ascii="Times New Roman" w:hAnsi="Times New Roman"/>
          <w:szCs w:val="24"/>
        </w:rPr>
        <w:t xml:space="preserve">.  As our field offices were closed in 2020 and 2021, and only reopened in 2022, we noted that more people used the Internet to register for </w:t>
      </w:r>
      <w:r w:rsidR="00601C91">
        <w:rPr>
          <w:rFonts w:ascii="Times New Roman" w:hAnsi="Times New Roman"/>
          <w:szCs w:val="24"/>
        </w:rPr>
        <w:t>eAccess</w:t>
      </w:r>
      <w:r w:rsidR="00601C91">
        <w:rPr>
          <w:rFonts w:ascii="Times New Roman" w:hAnsi="Times New Roman"/>
          <w:szCs w:val="24"/>
        </w:rPr>
        <w:t>, rather than requesting the aid of a technician</w:t>
      </w:r>
      <w:r w:rsidR="00551B36">
        <w:rPr>
          <w:rFonts w:ascii="Times New Roman" w:hAnsi="Times New Roman"/>
          <w:szCs w:val="24"/>
        </w:rPr>
        <w:t xml:space="preserve"> for registration using our RCS Intranet screens</w:t>
      </w:r>
      <w:r w:rsidR="00601C91">
        <w:rPr>
          <w:rFonts w:ascii="Times New Roman" w:hAnsi="Times New Roman"/>
          <w:szCs w:val="24"/>
        </w:rPr>
        <w:t>.</w:t>
      </w:r>
      <w:r w:rsidR="00551B36">
        <w:rPr>
          <w:rFonts w:ascii="Times New Roman" w:hAnsi="Times New Roman"/>
          <w:szCs w:val="24"/>
        </w:rPr>
        <w:t xml:space="preserve">  </w:t>
      </w:r>
      <w:r w:rsidR="00601C91">
        <w:rPr>
          <w:rFonts w:ascii="Times New Roman" w:hAnsi="Times New Roman"/>
          <w:szCs w:val="24"/>
        </w:rPr>
        <w:t xml:space="preserve">We expect the </w:t>
      </w:r>
      <w:r w:rsidR="00551B36">
        <w:rPr>
          <w:rFonts w:ascii="Times New Roman" w:hAnsi="Times New Roman"/>
          <w:szCs w:val="24"/>
        </w:rPr>
        <w:t xml:space="preserve">RCS registration </w:t>
      </w:r>
      <w:r w:rsidR="00601C91">
        <w:rPr>
          <w:rFonts w:ascii="Times New Roman" w:hAnsi="Times New Roman"/>
          <w:szCs w:val="24"/>
        </w:rPr>
        <w:t xml:space="preserve">numbers may increase again as </w:t>
      </w:r>
      <w:r w:rsidR="00551B36">
        <w:rPr>
          <w:rFonts w:ascii="Times New Roman" w:hAnsi="Times New Roman"/>
          <w:szCs w:val="24"/>
        </w:rPr>
        <w:t>more respondents visit field offices again.  We will continue to monitor the MI data and reflect the burden accordingly</w:t>
      </w:r>
      <w:r w:rsidR="00601C91">
        <w:rPr>
          <w:rFonts w:ascii="Times New Roman" w:hAnsi="Times New Roman"/>
          <w:szCs w:val="24"/>
        </w:rPr>
        <w:t xml:space="preserve">.  </w:t>
      </w:r>
      <w:r>
        <w:rPr>
          <w:rFonts w:ascii="Times New Roman" w:hAnsi="Times New Roman"/>
          <w:szCs w:val="24"/>
        </w:rPr>
        <w:t>OMB approved the current burden estimate on 3/30/2021.</w:t>
      </w:r>
    </w:p>
    <w:bookmarkEnd w:id="3"/>
    <w:bookmarkEnd w:id="4"/>
    <w:p w:rsidR="00F87953" w:rsidP="00F87953" w14:paraId="0C070B0E" w14:textId="77777777">
      <w:pPr>
        <w:spacing w:after="0"/>
        <w:ind w:left="-90"/>
        <w:rPr>
          <w:rFonts w:ascii="Times New Roman" w:hAnsi="Times New Roman"/>
          <w:szCs w:val="24"/>
        </w:rPr>
      </w:pPr>
    </w:p>
    <w:p w:rsidR="00F87953" w:rsidP="00F87953" w14:paraId="053FBDC7" w14:textId="573502FD">
      <w:pPr>
        <w:spacing w:after="0"/>
        <w:ind w:left="-90"/>
        <w:rPr>
          <w:rFonts w:ascii="Times New Roman" w:hAnsi="Times New Roman"/>
          <w:szCs w:val="24"/>
        </w:rPr>
      </w:pPr>
      <w:r>
        <w:rPr>
          <w:rFonts w:ascii="Times New Roman" w:hAnsi="Times New Roman"/>
          <w:szCs w:val="24"/>
        </w:rPr>
        <w:t xml:space="preserve">The data below is based </w:t>
      </w:r>
      <w:r w:rsidR="00ED6B54">
        <w:rPr>
          <w:rFonts w:ascii="Times New Roman" w:hAnsi="Times New Roman"/>
          <w:szCs w:val="24"/>
        </w:rPr>
        <w:t xml:space="preserve">on </w:t>
      </w:r>
      <w:r>
        <w:rPr>
          <w:rFonts w:ascii="Times New Roman" w:hAnsi="Times New Roman"/>
          <w:szCs w:val="24"/>
        </w:rPr>
        <w:t>our actual Management Information (MI) data for fiscal year 202</w:t>
      </w:r>
      <w:r w:rsidR="009A5DF3">
        <w:rPr>
          <w:rFonts w:ascii="Times New Roman" w:hAnsi="Times New Roman"/>
          <w:szCs w:val="24"/>
        </w:rPr>
        <w:t>2</w:t>
      </w:r>
      <w:r>
        <w:rPr>
          <w:rFonts w:ascii="Times New Roman" w:hAnsi="Times New Roman"/>
          <w:szCs w:val="24"/>
        </w:rPr>
        <w:t xml:space="preserve">.   We use different modalities to collect the information, via the Internet and the Intranet.  We </w:t>
      </w:r>
      <w:r w:rsidR="00ED6B54">
        <w:rPr>
          <w:rFonts w:ascii="Times New Roman" w:hAnsi="Times New Roman"/>
          <w:szCs w:val="24"/>
        </w:rPr>
        <w:t xml:space="preserve">are updating this information based on the current MI data.  In addition, we also </w:t>
      </w:r>
      <w:r>
        <w:rPr>
          <w:rFonts w:ascii="Times New Roman" w:hAnsi="Times New Roman"/>
          <w:szCs w:val="24"/>
        </w:rPr>
        <w:t xml:space="preserve">estimate an additional </w:t>
      </w:r>
      <w:r w:rsidR="00BB522C">
        <w:rPr>
          <w:rFonts w:ascii="Times New Roman" w:hAnsi="Times New Roman"/>
          <w:szCs w:val="24"/>
        </w:rPr>
        <w:t xml:space="preserve">408,357 </w:t>
      </w:r>
      <w:r w:rsidR="00030583">
        <w:rPr>
          <w:rFonts w:ascii="Times New Roman" w:hAnsi="Times New Roman"/>
          <w:szCs w:val="24"/>
        </w:rPr>
        <w:t xml:space="preserve">new </w:t>
      </w:r>
      <w:r>
        <w:rPr>
          <w:rFonts w:ascii="Times New Roman" w:hAnsi="Times New Roman"/>
          <w:szCs w:val="24"/>
        </w:rPr>
        <w:t>registrations</w:t>
      </w:r>
      <w:r w:rsidR="00ED6B54">
        <w:rPr>
          <w:rFonts w:ascii="Times New Roman" w:hAnsi="Times New Roman"/>
          <w:szCs w:val="24"/>
        </w:rPr>
        <w:t xml:space="preserve"> for </w:t>
      </w:r>
      <w:r w:rsidR="00ED6B54">
        <w:rPr>
          <w:rFonts w:ascii="Times New Roman" w:hAnsi="Times New Roman"/>
          <w:szCs w:val="24"/>
        </w:rPr>
        <w:t>eAccess</w:t>
      </w:r>
      <w:r>
        <w:rPr>
          <w:rFonts w:ascii="Times New Roman" w:hAnsi="Times New Roman"/>
          <w:szCs w:val="24"/>
        </w:rPr>
        <w:t xml:space="preserve"> due t</w:t>
      </w:r>
      <w:r w:rsidR="009A5DF3">
        <w:rPr>
          <w:rFonts w:ascii="Times New Roman" w:hAnsi="Times New Roman"/>
          <w:szCs w:val="24"/>
        </w:rPr>
        <w:t>o</w:t>
      </w:r>
      <w:r w:rsidR="00ED6B54">
        <w:rPr>
          <w:rFonts w:ascii="Times New Roman" w:hAnsi="Times New Roman"/>
          <w:szCs w:val="24"/>
        </w:rPr>
        <w:t xml:space="preserve"> the users who will want to access</w:t>
      </w:r>
      <w:r w:rsidR="009A5DF3">
        <w:rPr>
          <w:rFonts w:ascii="Times New Roman" w:hAnsi="Times New Roman"/>
          <w:szCs w:val="24"/>
        </w:rPr>
        <w:t xml:space="preserve"> EWR and SSNVS</w:t>
      </w:r>
      <w:r>
        <w:rPr>
          <w:rFonts w:ascii="Times New Roman" w:hAnsi="Times New Roman"/>
          <w:szCs w:val="24"/>
        </w:rPr>
        <w:t>.  We estimated the number of minutes for completion by averaging the “time-on-task” figures we obtained from our usability testing</w:t>
      </w:r>
      <w:r w:rsidR="00ED6B54">
        <w:rPr>
          <w:rFonts w:ascii="Times New Roman" w:hAnsi="Times New Roman"/>
          <w:szCs w:val="24"/>
        </w:rPr>
        <w:t xml:space="preserve"> and from our current MI data</w:t>
      </w:r>
      <w:r>
        <w:rPr>
          <w:rFonts w:ascii="Times New Roman" w:hAnsi="Times New Roman"/>
          <w:szCs w:val="24"/>
        </w:rPr>
        <w:t>.</w:t>
      </w:r>
    </w:p>
    <w:p w:rsidR="00F87953" w:rsidP="00F87953" w14:paraId="79603CC7" w14:textId="77777777">
      <w:pPr>
        <w:spacing w:after="0"/>
        <w:ind w:left="-90"/>
        <w:rPr>
          <w:rFonts w:ascii="Times New Roman" w:hAnsi="Times New Roman"/>
          <w:szCs w:val="24"/>
        </w:rPr>
      </w:pPr>
    </w:p>
    <w:p w:rsidR="00F87953" w:rsidP="00F87953" w14:paraId="7C08950D" w14:textId="77777777">
      <w:pPr>
        <w:spacing w:after="0"/>
        <w:ind w:left="-90"/>
        <w:rPr>
          <w:rFonts w:ascii="Times New Roman" w:hAnsi="Times New Roman"/>
          <w:szCs w:val="24"/>
        </w:rPr>
      </w:pPr>
      <w:r>
        <w:rPr>
          <w:rFonts w:ascii="Times New Roman" w:hAnsi="Times New Roman"/>
          <w:szCs w:val="24"/>
        </w:rPr>
        <w:t>See chart below with the updated figures:</w:t>
      </w:r>
    </w:p>
    <w:p w:rsidR="00F87953" w:rsidP="00F87953" w14:paraId="704B102D" w14:textId="77777777">
      <w:pPr>
        <w:spacing w:after="0"/>
        <w:rPr>
          <w:rFonts w:ascii="Times New Roman" w:hAnsi="Times New Roman"/>
          <w:szCs w:val="24"/>
        </w:rPr>
      </w:pPr>
    </w:p>
    <w:tbl>
      <w:tblPr>
        <w:tblW w:w="120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530"/>
        <w:gridCol w:w="1350"/>
        <w:gridCol w:w="1260"/>
        <w:gridCol w:w="1350"/>
        <w:gridCol w:w="1440"/>
        <w:gridCol w:w="1530"/>
        <w:gridCol w:w="2070"/>
      </w:tblGrid>
      <w:tr w14:paraId="03A55960" w14:textId="77777777" w:rsidTr="00A22AAE">
        <w:tblPrEx>
          <w:tblW w:w="120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90"/>
        </w:trPr>
        <w:tc>
          <w:tcPr>
            <w:tcW w:w="1530" w:type="dxa"/>
            <w:tcBorders>
              <w:top w:val="single" w:sz="4" w:space="0" w:color="auto"/>
              <w:left w:val="single" w:sz="4" w:space="0" w:color="auto"/>
              <w:bottom w:val="single" w:sz="4" w:space="0" w:color="auto"/>
              <w:right w:val="single" w:sz="4" w:space="0" w:color="auto"/>
            </w:tcBorders>
            <w:hideMark/>
          </w:tcPr>
          <w:p w:rsidR="00F87953" w:rsidP="00E70834" w14:paraId="0AB88350" w14:textId="77777777">
            <w:pPr>
              <w:spacing w:after="0"/>
              <w:rPr>
                <w:rFonts w:ascii="Times New Roman" w:hAnsi="Times New Roman"/>
                <w:b/>
                <w:szCs w:val="24"/>
              </w:rPr>
            </w:pPr>
            <w:r>
              <w:rPr>
                <w:rFonts w:ascii="Times New Roman" w:hAnsi="Times New Roman"/>
                <w:b/>
                <w:szCs w:val="24"/>
              </w:rPr>
              <w:t>Modality of Completion</w:t>
            </w:r>
          </w:p>
        </w:tc>
        <w:tc>
          <w:tcPr>
            <w:tcW w:w="1530" w:type="dxa"/>
            <w:tcBorders>
              <w:top w:val="single" w:sz="4" w:space="0" w:color="auto"/>
              <w:left w:val="single" w:sz="4" w:space="0" w:color="auto"/>
              <w:bottom w:val="single" w:sz="4" w:space="0" w:color="auto"/>
              <w:right w:val="single" w:sz="4" w:space="0" w:color="auto"/>
            </w:tcBorders>
            <w:hideMark/>
          </w:tcPr>
          <w:p w:rsidR="00F87953" w:rsidP="00E70834" w14:paraId="63925C5E" w14:textId="77777777">
            <w:pPr>
              <w:spacing w:after="0"/>
              <w:rPr>
                <w:rFonts w:ascii="Times New Roman" w:hAnsi="Times New Roman"/>
                <w:b/>
                <w:szCs w:val="24"/>
              </w:rPr>
            </w:pPr>
            <w:r>
              <w:rPr>
                <w:rFonts w:ascii="Times New Roman" w:hAnsi="Times New Roman"/>
                <w:b/>
                <w:szCs w:val="24"/>
              </w:rPr>
              <w:t>Number of Respondents</w:t>
            </w:r>
          </w:p>
        </w:tc>
        <w:tc>
          <w:tcPr>
            <w:tcW w:w="1350" w:type="dxa"/>
            <w:tcBorders>
              <w:top w:val="single" w:sz="4" w:space="0" w:color="auto"/>
              <w:left w:val="single" w:sz="4" w:space="0" w:color="auto"/>
              <w:bottom w:val="single" w:sz="4" w:space="0" w:color="auto"/>
              <w:right w:val="single" w:sz="4" w:space="0" w:color="auto"/>
            </w:tcBorders>
            <w:hideMark/>
          </w:tcPr>
          <w:p w:rsidR="00F87953" w:rsidP="00E70834" w14:paraId="00EE66DB" w14:textId="77777777">
            <w:pPr>
              <w:spacing w:after="0"/>
              <w:rPr>
                <w:rFonts w:ascii="Times New Roman" w:hAnsi="Times New Roman"/>
                <w:b/>
                <w:szCs w:val="24"/>
              </w:rPr>
            </w:pPr>
            <w:r>
              <w:rPr>
                <w:rFonts w:ascii="Times New Roman" w:hAnsi="Times New Roman"/>
                <w:b/>
                <w:szCs w:val="24"/>
              </w:rPr>
              <w:t>Frequency of Response</w:t>
            </w:r>
          </w:p>
        </w:tc>
        <w:tc>
          <w:tcPr>
            <w:tcW w:w="1260" w:type="dxa"/>
            <w:tcBorders>
              <w:top w:val="single" w:sz="4" w:space="0" w:color="auto"/>
              <w:left w:val="single" w:sz="4" w:space="0" w:color="auto"/>
              <w:bottom w:val="single" w:sz="4" w:space="0" w:color="auto"/>
              <w:right w:val="single" w:sz="4" w:space="0" w:color="auto"/>
            </w:tcBorders>
            <w:hideMark/>
          </w:tcPr>
          <w:p w:rsidR="00F87953" w:rsidP="00E70834" w14:paraId="54EC97D4" w14:textId="77777777">
            <w:pPr>
              <w:spacing w:after="0"/>
              <w:rPr>
                <w:rFonts w:ascii="Times New Roman" w:hAnsi="Times New Roman"/>
                <w:b/>
                <w:szCs w:val="24"/>
              </w:rPr>
            </w:pPr>
            <w:r>
              <w:rPr>
                <w:rFonts w:ascii="Times New Roman" w:hAnsi="Times New Roman"/>
                <w:b/>
                <w:szCs w:val="24"/>
              </w:rPr>
              <w:t>Average Burden Per Response (minutes)</w:t>
            </w:r>
          </w:p>
        </w:tc>
        <w:tc>
          <w:tcPr>
            <w:tcW w:w="1350" w:type="dxa"/>
            <w:tcBorders>
              <w:top w:val="single" w:sz="4" w:space="0" w:color="auto"/>
              <w:left w:val="single" w:sz="4" w:space="0" w:color="auto"/>
              <w:bottom w:val="single" w:sz="4" w:space="0" w:color="auto"/>
              <w:right w:val="single" w:sz="4" w:space="0" w:color="auto"/>
            </w:tcBorders>
            <w:hideMark/>
          </w:tcPr>
          <w:p w:rsidR="00F87953" w:rsidP="00E70834" w14:paraId="138989AB" w14:textId="77777777">
            <w:pPr>
              <w:spacing w:after="0"/>
              <w:rPr>
                <w:rFonts w:ascii="Times New Roman" w:hAnsi="Times New Roman"/>
                <w:b/>
                <w:szCs w:val="24"/>
              </w:rPr>
            </w:pPr>
            <w:r>
              <w:rPr>
                <w:rFonts w:ascii="Times New Roman" w:hAnsi="Times New Roman"/>
                <w:b/>
                <w:szCs w:val="24"/>
              </w:rPr>
              <w:t>Estimated Total Annual Burden (hours)</w:t>
            </w:r>
          </w:p>
        </w:tc>
        <w:tc>
          <w:tcPr>
            <w:tcW w:w="1440" w:type="dxa"/>
            <w:tcBorders>
              <w:top w:val="single" w:sz="4" w:space="0" w:color="auto"/>
              <w:left w:val="single" w:sz="4" w:space="0" w:color="auto"/>
              <w:bottom w:val="single" w:sz="4" w:space="0" w:color="auto"/>
              <w:right w:val="single" w:sz="4" w:space="0" w:color="auto"/>
            </w:tcBorders>
            <w:hideMark/>
          </w:tcPr>
          <w:p w:rsidR="00F87953" w:rsidP="00E70834" w14:paraId="1E732869" w14:textId="77777777">
            <w:pPr>
              <w:rPr>
                <w:rFonts w:ascii="Times New Roman" w:hAnsi="Times New Roman"/>
                <w:b/>
              </w:rPr>
            </w:pPr>
            <w:r>
              <w:rPr>
                <w:rFonts w:ascii="Times New Roman" w:hAnsi="Times New Roman"/>
                <w:b/>
                <w:snapToGrid w:val="0"/>
                <w:szCs w:val="24"/>
              </w:rPr>
              <w:t>Average Theoretical Hourly Cost Amount (dollars)*</w:t>
            </w:r>
          </w:p>
        </w:tc>
        <w:tc>
          <w:tcPr>
            <w:tcW w:w="1530" w:type="dxa"/>
            <w:tcBorders>
              <w:top w:val="single" w:sz="4" w:space="0" w:color="auto"/>
              <w:left w:val="single" w:sz="4" w:space="0" w:color="auto"/>
              <w:bottom w:val="single" w:sz="4" w:space="0" w:color="auto"/>
              <w:right w:val="single" w:sz="4" w:space="0" w:color="auto"/>
            </w:tcBorders>
            <w:hideMark/>
          </w:tcPr>
          <w:p w:rsidR="00F87953" w:rsidP="00E70834" w14:paraId="42E1FBF7" w14:textId="77777777">
            <w:pPr>
              <w:rPr>
                <w:rFonts w:ascii="Times New Roman" w:hAnsi="Times New Roman"/>
                <w:b/>
              </w:rPr>
            </w:pPr>
            <w:r>
              <w:rPr>
                <w:rFonts w:ascii="Times New Roman" w:hAnsi="Times New Roman"/>
                <w:b/>
                <w:szCs w:val="24"/>
              </w:rPr>
              <w:t>Average Wait Time in Field Office (minutes)**</w:t>
            </w:r>
          </w:p>
        </w:tc>
        <w:tc>
          <w:tcPr>
            <w:tcW w:w="2070" w:type="dxa"/>
            <w:tcBorders>
              <w:top w:val="single" w:sz="4" w:space="0" w:color="auto"/>
              <w:left w:val="single" w:sz="4" w:space="0" w:color="auto"/>
              <w:bottom w:val="single" w:sz="4" w:space="0" w:color="auto"/>
              <w:right w:val="single" w:sz="4" w:space="0" w:color="auto"/>
            </w:tcBorders>
            <w:hideMark/>
          </w:tcPr>
          <w:p w:rsidR="00F87953" w:rsidP="00E70834" w14:paraId="728C18EE" w14:textId="77777777">
            <w:pPr>
              <w:rPr>
                <w:rFonts w:ascii="Times New Roman" w:hAnsi="Times New Roman"/>
                <w:b/>
              </w:rPr>
            </w:pPr>
            <w:r>
              <w:rPr>
                <w:rFonts w:ascii="Times New Roman" w:hAnsi="Times New Roman"/>
                <w:b/>
              </w:rPr>
              <w:t>Total Annual Opportunity Cost (dollars)***</w:t>
            </w:r>
          </w:p>
        </w:tc>
      </w:tr>
      <w:tr w14:paraId="6F51CCFD" w14:textId="77777777" w:rsidTr="00A22AAE">
        <w:tblPrEx>
          <w:tblW w:w="12060" w:type="dxa"/>
          <w:tblInd w:w="-1355" w:type="dxa"/>
          <w:tblLayout w:type="fixed"/>
          <w:tblLook w:val="01E0"/>
        </w:tblPrEx>
        <w:trPr>
          <w:trHeight w:val="440"/>
        </w:trPr>
        <w:tc>
          <w:tcPr>
            <w:tcW w:w="1530" w:type="dxa"/>
            <w:tcBorders>
              <w:top w:val="single" w:sz="4" w:space="0" w:color="auto"/>
              <w:left w:val="single" w:sz="4" w:space="0" w:color="auto"/>
              <w:bottom w:val="single" w:sz="4" w:space="0" w:color="auto"/>
              <w:right w:val="single" w:sz="4" w:space="0" w:color="auto"/>
            </w:tcBorders>
            <w:hideMark/>
          </w:tcPr>
          <w:p w:rsidR="00F87953" w:rsidP="00E70834" w14:paraId="7962758A" w14:textId="320FCCE1">
            <w:pPr>
              <w:spacing w:after="0"/>
              <w:rPr>
                <w:rFonts w:ascii="Times New Roman" w:hAnsi="Times New Roman"/>
                <w:szCs w:val="24"/>
              </w:rPr>
            </w:pPr>
            <w:r>
              <w:rPr>
                <w:rFonts w:ascii="Times New Roman" w:hAnsi="Times New Roman"/>
                <w:szCs w:val="24"/>
              </w:rPr>
              <w:t>Internet Registration</w:t>
            </w:r>
            <w:r w:rsidR="002F4178">
              <w:rPr>
                <w:rFonts w:ascii="Times New Roman" w:hAnsi="Times New Roman"/>
                <w:szCs w:val="24"/>
              </w:rPr>
              <w:t>s</w:t>
            </w:r>
          </w:p>
        </w:tc>
        <w:tc>
          <w:tcPr>
            <w:tcW w:w="1530" w:type="dxa"/>
            <w:tcBorders>
              <w:top w:val="single" w:sz="4" w:space="0" w:color="auto"/>
              <w:left w:val="single" w:sz="4" w:space="0" w:color="auto"/>
              <w:bottom w:val="single" w:sz="4" w:space="0" w:color="auto"/>
              <w:right w:val="single" w:sz="4" w:space="0" w:color="auto"/>
            </w:tcBorders>
            <w:hideMark/>
          </w:tcPr>
          <w:p w:rsidR="00F87953" w:rsidP="00E70834" w14:paraId="51441BC7" w14:textId="199D36F4">
            <w:pPr>
              <w:jc w:val="right"/>
              <w:rPr>
                <w:rFonts w:ascii="Times New Roman" w:hAnsi="Times New Roman"/>
                <w:szCs w:val="24"/>
              </w:rPr>
            </w:pPr>
            <w:r>
              <w:rPr>
                <w:rFonts w:ascii="Times New Roman" w:hAnsi="Times New Roman"/>
              </w:rPr>
              <w:t>11,</w:t>
            </w:r>
            <w:r w:rsidR="00D24D7E">
              <w:rPr>
                <w:rFonts w:ascii="Times New Roman" w:hAnsi="Times New Roman"/>
              </w:rPr>
              <w:t>788,914</w:t>
            </w:r>
          </w:p>
        </w:tc>
        <w:tc>
          <w:tcPr>
            <w:tcW w:w="1350" w:type="dxa"/>
            <w:tcBorders>
              <w:top w:val="single" w:sz="4" w:space="0" w:color="auto"/>
              <w:left w:val="single" w:sz="4" w:space="0" w:color="auto"/>
              <w:bottom w:val="single" w:sz="4" w:space="0" w:color="auto"/>
              <w:right w:val="single" w:sz="4" w:space="0" w:color="auto"/>
            </w:tcBorders>
            <w:hideMark/>
          </w:tcPr>
          <w:p w:rsidR="00F87953" w:rsidP="00E70834" w14:paraId="3CEA89D2" w14:textId="77777777">
            <w:pPr>
              <w:jc w:val="right"/>
              <w:rPr>
                <w:rFonts w:ascii="Times New Roman" w:hAnsi="Times New Roman"/>
                <w:szCs w:val="24"/>
              </w:rPr>
            </w:pPr>
            <w:r>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F87953" w:rsidP="00E70834" w14:paraId="0CB5FFAE" w14:textId="77777777">
            <w:pPr>
              <w:jc w:val="right"/>
              <w:rPr>
                <w:rFonts w:ascii="Times New Roman" w:hAnsi="Times New Roman"/>
                <w:szCs w:val="24"/>
              </w:rPr>
            </w:pPr>
            <w:r>
              <w:rPr>
                <w:rFonts w:ascii="Times New Roman" w:hAnsi="Times New Roman"/>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F87953" w:rsidP="00E70834" w14:paraId="3D1E6724" w14:textId="37D0EB46">
            <w:pPr>
              <w:jc w:val="right"/>
              <w:rPr>
                <w:rFonts w:ascii="Times New Roman" w:hAnsi="Times New Roman"/>
                <w:szCs w:val="24"/>
              </w:rPr>
            </w:pPr>
            <w:r>
              <w:rPr>
                <w:rFonts w:ascii="Times New Roman" w:hAnsi="Times New Roman"/>
              </w:rPr>
              <w:t>1,</w:t>
            </w:r>
            <w:r w:rsidR="00D24D7E">
              <w:rPr>
                <w:rFonts w:ascii="Times New Roman" w:hAnsi="Times New Roman"/>
              </w:rPr>
              <w:t>571,855</w:t>
            </w:r>
          </w:p>
        </w:tc>
        <w:tc>
          <w:tcPr>
            <w:tcW w:w="1440" w:type="dxa"/>
            <w:tcBorders>
              <w:top w:val="single" w:sz="4" w:space="0" w:color="auto"/>
              <w:left w:val="single" w:sz="4" w:space="0" w:color="auto"/>
              <w:bottom w:val="single" w:sz="4" w:space="0" w:color="auto"/>
              <w:right w:val="single" w:sz="4" w:space="0" w:color="auto"/>
            </w:tcBorders>
            <w:hideMark/>
          </w:tcPr>
          <w:p w:rsidR="00F87953" w:rsidP="00E70834" w14:paraId="52679B01" w14:textId="0301EF59">
            <w:pPr>
              <w:spacing w:after="0"/>
              <w:jc w:val="right"/>
              <w:rPr>
                <w:rFonts w:ascii="Times New Roman" w:hAnsi="Times New Roman"/>
                <w:szCs w:val="24"/>
              </w:rPr>
            </w:pPr>
            <w:r>
              <w:rPr>
                <w:rFonts w:ascii="Times New Roman" w:hAnsi="Times New Roman"/>
                <w:szCs w:val="24"/>
              </w:rPr>
              <w:t>$</w:t>
            </w:r>
            <w:r w:rsidRPr="006C6946">
              <w:rPr>
                <w:rFonts w:ascii="Times New Roman" w:hAnsi="Times New Roman"/>
                <w:szCs w:val="24"/>
              </w:rPr>
              <w:t>2</w:t>
            </w:r>
            <w:r w:rsidR="00D24D7E">
              <w:rPr>
                <w:rFonts w:ascii="Times New Roman" w:hAnsi="Times New Roman"/>
                <w:szCs w:val="24"/>
              </w:rPr>
              <w:t>8.01</w:t>
            </w:r>
            <w:r>
              <w:rPr>
                <w:rFonts w:ascii="Times New Roman" w:hAnsi="Times New Roman"/>
                <w:szCs w:val="24"/>
              </w:rPr>
              <w:t>*</w:t>
            </w:r>
          </w:p>
        </w:tc>
        <w:tc>
          <w:tcPr>
            <w:tcW w:w="1530" w:type="dxa"/>
            <w:tcBorders>
              <w:top w:val="single" w:sz="4" w:space="0" w:color="auto"/>
              <w:left w:val="single" w:sz="4" w:space="0" w:color="auto"/>
              <w:bottom w:val="single" w:sz="4" w:space="0" w:color="auto"/>
              <w:right w:val="single" w:sz="4" w:space="0" w:color="auto"/>
            </w:tcBorders>
          </w:tcPr>
          <w:p w:rsidR="00F87953" w:rsidP="00E70834" w14:paraId="6BB267C7" w14:textId="77777777">
            <w:pPr>
              <w:spacing w:after="0"/>
              <w:jc w:val="right"/>
              <w:rPr>
                <w:rFonts w:ascii="Times New Roman" w:hAnsi="Times New Roman"/>
                <w:szCs w:val="24"/>
              </w:rPr>
            </w:pPr>
          </w:p>
        </w:tc>
        <w:tc>
          <w:tcPr>
            <w:tcW w:w="2070" w:type="dxa"/>
            <w:tcBorders>
              <w:top w:val="single" w:sz="4" w:space="0" w:color="auto"/>
              <w:left w:val="single" w:sz="4" w:space="0" w:color="auto"/>
              <w:bottom w:val="single" w:sz="4" w:space="0" w:color="auto"/>
              <w:right w:val="single" w:sz="4" w:space="0" w:color="auto"/>
            </w:tcBorders>
            <w:hideMark/>
          </w:tcPr>
          <w:p w:rsidR="00F87953" w:rsidP="00E70834" w14:paraId="36442525" w14:textId="675C6BF6">
            <w:pPr>
              <w:spacing w:after="0"/>
              <w:jc w:val="right"/>
              <w:rPr>
                <w:rFonts w:ascii="Times New Roman" w:hAnsi="Times New Roman"/>
                <w:szCs w:val="24"/>
              </w:rPr>
            </w:pPr>
            <w:r>
              <w:rPr>
                <w:rFonts w:ascii="Times New Roman" w:hAnsi="Times New Roman"/>
              </w:rPr>
              <w:t>$</w:t>
            </w:r>
            <w:r w:rsidR="002F4178">
              <w:rPr>
                <w:rFonts w:ascii="Times New Roman" w:hAnsi="Times New Roman"/>
              </w:rPr>
              <w:t>4</w:t>
            </w:r>
            <w:r w:rsidR="00D24D7E">
              <w:rPr>
                <w:rFonts w:ascii="Times New Roman" w:hAnsi="Times New Roman"/>
              </w:rPr>
              <w:t>4,027,659</w:t>
            </w:r>
            <w:r>
              <w:rPr>
                <w:rFonts w:ascii="Times New Roman" w:hAnsi="Times New Roman"/>
              </w:rPr>
              <w:t>***</w:t>
            </w:r>
          </w:p>
        </w:tc>
      </w:tr>
      <w:tr w14:paraId="1A353534" w14:textId="77777777" w:rsidTr="006102E1">
        <w:tblPrEx>
          <w:tblW w:w="12060" w:type="dxa"/>
          <w:tblInd w:w="-1355" w:type="dxa"/>
          <w:tblLayout w:type="fixed"/>
          <w:tblLook w:val="01E0"/>
        </w:tblPrEx>
        <w:trPr>
          <w:trHeight w:val="485"/>
        </w:trPr>
        <w:tc>
          <w:tcPr>
            <w:tcW w:w="1530" w:type="dxa"/>
            <w:tcBorders>
              <w:top w:val="single" w:sz="4" w:space="0" w:color="auto"/>
              <w:left w:val="single" w:sz="4" w:space="0" w:color="auto"/>
              <w:bottom w:val="single" w:sz="4" w:space="0" w:color="auto"/>
              <w:right w:val="single" w:sz="4" w:space="0" w:color="auto"/>
            </w:tcBorders>
            <w:hideMark/>
          </w:tcPr>
          <w:p w:rsidR="006102E1" w:rsidP="00546BB7" w14:paraId="3031E9DE" w14:textId="7FB74230">
            <w:pPr>
              <w:spacing w:after="0"/>
              <w:rPr>
                <w:rFonts w:ascii="Times New Roman" w:hAnsi="Times New Roman"/>
                <w:szCs w:val="24"/>
              </w:rPr>
            </w:pPr>
            <w:r>
              <w:rPr>
                <w:rFonts w:ascii="Times New Roman" w:hAnsi="Times New Roman"/>
                <w:szCs w:val="24"/>
              </w:rPr>
              <w:t>Internet Sign-Ins</w:t>
            </w:r>
          </w:p>
        </w:tc>
        <w:tc>
          <w:tcPr>
            <w:tcW w:w="1530" w:type="dxa"/>
            <w:tcBorders>
              <w:top w:val="single" w:sz="4" w:space="0" w:color="auto"/>
              <w:left w:val="single" w:sz="4" w:space="0" w:color="auto"/>
              <w:bottom w:val="single" w:sz="4" w:space="0" w:color="auto"/>
              <w:right w:val="single" w:sz="4" w:space="0" w:color="auto"/>
            </w:tcBorders>
            <w:hideMark/>
          </w:tcPr>
          <w:p w:rsidR="00F87953" w:rsidP="00546BB7" w14:paraId="05E5A91E" w14:textId="0C056B03">
            <w:pPr>
              <w:spacing w:after="0"/>
              <w:jc w:val="right"/>
              <w:rPr>
                <w:rFonts w:ascii="Times New Roman" w:hAnsi="Times New Roman"/>
                <w:szCs w:val="24"/>
              </w:rPr>
            </w:pPr>
            <w:r>
              <w:rPr>
                <w:rFonts w:ascii="Times New Roman" w:hAnsi="Times New Roman"/>
              </w:rPr>
              <w:t>124,989,089</w:t>
            </w:r>
          </w:p>
        </w:tc>
        <w:tc>
          <w:tcPr>
            <w:tcW w:w="1350" w:type="dxa"/>
            <w:tcBorders>
              <w:top w:val="single" w:sz="4" w:space="0" w:color="auto"/>
              <w:left w:val="single" w:sz="4" w:space="0" w:color="auto"/>
              <w:bottom w:val="single" w:sz="4" w:space="0" w:color="auto"/>
              <w:right w:val="single" w:sz="4" w:space="0" w:color="auto"/>
            </w:tcBorders>
            <w:hideMark/>
          </w:tcPr>
          <w:p w:rsidR="00F87953" w:rsidP="00546BB7" w14:paraId="5695919B" w14:textId="77777777">
            <w:pPr>
              <w:spacing w:after="0"/>
              <w:jc w:val="right"/>
              <w:rPr>
                <w:rFonts w:ascii="Times New Roman" w:hAnsi="Times New Roman"/>
                <w:szCs w:val="24"/>
              </w:rPr>
            </w:pPr>
            <w:r>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F87953" w:rsidP="00546BB7" w14:paraId="42FFB981" w14:textId="77777777">
            <w:pPr>
              <w:spacing w:after="0"/>
              <w:jc w:val="right"/>
              <w:rPr>
                <w:rFonts w:ascii="Times New Roman" w:hAnsi="Times New Roman"/>
                <w:szCs w:val="24"/>
              </w:rPr>
            </w:pPr>
            <w:r>
              <w:rPr>
                <w:rFonts w:ascii="Times New Roman" w:hAnsi="Times New Roman"/>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87953" w:rsidP="00546BB7" w14:paraId="677C6DAA" w14:textId="3B8EE0D3">
            <w:pPr>
              <w:spacing w:after="0"/>
              <w:jc w:val="right"/>
              <w:rPr>
                <w:rFonts w:ascii="Times New Roman" w:hAnsi="Times New Roman"/>
                <w:szCs w:val="24"/>
              </w:rPr>
            </w:pPr>
            <w:r>
              <w:rPr>
                <w:rFonts w:ascii="Times New Roman" w:hAnsi="Times New Roman"/>
              </w:rPr>
              <w:t>2,083,151</w:t>
            </w:r>
          </w:p>
        </w:tc>
        <w:tc>
          <w:tcPr>
            <w:tcW w:w="1440" w:type="dxa"/>
            <w:tcBorders>
              <w:top w:val="single" w:sz="4" w:space="0" w:color="auto"/>
              <w:left w:val="single" w:sz="4" w:space="0" w:color="auto"/>
              <w:bottom w:val="single" w:sz="4" w:space="0" w:color="auto"/>
              <w:right w:val="single" w:sz="4" w:space="0" w:color="auto"/>
            </w:tcBorders>
            <w:hideMark/>
          </w:tcPr>
          <w:p w:rsidR="00F87953" w:rsidP="00546BB7" w14:paraId="2B8810DD" w14:textId="594C70DC">
            <w:pPr>
              <w:spacing w:after="0"/>
              <w:jc w:val="right"/>
              <w:rPr>
                <w:rFonts w:ascii="Times New Roman" w:hAnsi="Times New Roman"/>
                <w:szCs w:val="24"/>
              </w:rPr>
            </w:pPr>
            <w:r>
              <w:rPr>
                <w:rFonts w:ascii="Times New Roman" w:hAnsi="Times New Roman"/>
                <w:szCs w:val="24"/>
              </w:rPr>
              <w:t>$</w:t>
            </w:r>
            <w:r w:rsidRPr="006C6946">
              <w:rPr>
                <w:rFonts w:ascii="Times New Roman" w:hAnsi="Times New Roman"/>
                <w:szCs w:val="24"/>
              </w:rPr>
              <w:t>2</w:t>
            </w:r>
            <w:r w:rsidR="00D24D7E">
              <w:rPr>
                <w:rFonts w:ascii="Times New Roman" w:hAnsi="Times New Roman"/>
                <w:szCs w:val="24"/>
              </w:rPr>
              <w:t>8.01</w:t>
            </w:r>
            <w:r>
              <w:rPr>
                <w:rFonts w:ascii="Times New Roman" w:hAnsi="Times New Roman"/>
                <w:szCs w:val="24"/>
              </w:rPr>
              <w:t>*</w:t>
            </w:r>
          </w:p>
        </w:tc>
        <w:tc>
          <w:tcPr>
            <w:tcW w:w="1530" w:type="dxa"/>
            <w:tcBorders>
              <w:top w:val="single" w:sz="4" w:space="0" w:color="auto"/>
              <w:left w:val="single" w:sz="4" w:space="0" w:color="auto"/>
              <w:bottom w:val="single" w:sz="4" w:space="0" w:color="auto"/>
              <w:right w:val="single" w:sz="4" w:space="0" w:color="auto"/>
            </w:tcBorders>
          </w:tcPr>
          <w:p w:rsidR="00F87953" w:rsidP="00546BB7" w14:paraId="1DFBBCAA" w14:textId="77777777">
            <w:pPr>
              <w:spacing w:after="0"/>
              <w:jc w:val="right"/>
              <w:rPr>
                <w:rFonts w:ascii="Times New Roman" w:hAnsi="Times New Roman"/>
                <w:szCs w:val="24"/>
              </w:rPr>
            </w:pPr>
          </w:p>
        </w:tc>
        <w:tc>
          <w:tcPr>
            <w:tcW w:w="2070" w:type="dxa"/>
            <w:tcBorders>
              <w:top w:val="single" w:sz="4" w:space="0" w:color="auto"/>
              <w:left w:val="single" w:sz="4" w:space="0" w:color="auto"/>
              <w:bottom w:val="single" w:sz="4" w:space="0" w:color="auto"/>
              <w:right w:val="single" w:sz="4" w:space="0" w:color="auto"/>
            </w:tcBorders>
          </w:tcPr>
          <w:p w:rsidR="00F87953" w:rsidP="00546BB7" w14:paraId="5D817915" w14:textId="3C5933E2">
            <w:pPr>
              <w:spacing w:after="0"/>
              <w:jc w:val="right"/>
              <w:rPr>
                <w:rFonts w:ascii="Times New Roman" w:hAnsi="Times New Roman"/>
              </w:rPr>
            </w:pPr>
            <w:r>
              <w:rPr>
                <w:rFonts w:ascii="Times New Roman" w:hAnsi="Times New Roman"/>
              </w:rPr>
              <w:t>$</w:t>
            </w:r>
            <w:r w:rsidR="00EE66F1">
              <w:rPr>
                <w:rFonts w:ascii="Times New Roman" w:hAnsi="Times New Roman"/>
              </w:rPr>
              <w:t>5</w:t>
            </w:r>
            <w:r w:rsidR="00D24D7E">
              <w:rPr>
                <w:rFonts w:ascii="Times New Roman" w:hAnsi="Times New Roman"/>
              </w:rPr>
              <w:t>8,349,060</w:t>
            </w:r>
            <w:r>
              <w:rPr>
                <w:rFonts w:ascii="Times New Roman" w:hAnsi="Times New Roman"/>
              </w:rPr>
              <w:t>***</w:t>
            </w:r>
          </w:p>
          <w:p w:rsidR="00F87953" w:rsidP="00546BB7" w14:paraId="4B0F04BA" w14:textId="77777777">
            <w:pPr>
              <w:spacing w:after="0"/>
              <w:jc w:val="right"/>
              <w:rPr>
                <w:rFonts w:ascii="Times New Roman" w:hAnsi="Times New Roman"/>
                <w:szCs w:val="24"/>
              </w:rPr>
            </w:pPr>
          </w:p>
        </w:tc>
      </w:tr>
      <w:tr w14:paraId="0199EA78" w14:textId="77777777" w:rsidTr="00A22AAE">
        <w:tblPrEx>
          <w:tblW w:w="12060" w:type="dxa"/>
          <w:tblInd w:w="-1355" w:type="dxa"/>
          <w:tblLayout w:type="fixed"/>
          <w:tblLook w:val="01E0"/>
        </w:tblPrEx>
        <w:trPr>
          <w:trHeight w:val="413"/>
        </w:trPr>
        <w:tc>
          <w:tcPr>
            <w:tcW w:w="1530" w:type="dxa"/>
            <w:tcBorders>
              <w:top w:val="single" w:sz="4" w:space="0" w:color="auto"/>
              <w:left w:val="single" w:sz="4" w:space="0" w:color="auto"/>
              <w:bottom w:val="single" w:sz="4" w:space="0" w:color="auto"/>
              <w:right w:val="single" w:sz="4" w:space="0" w:color="auto"/>
            </w:tcBorders>
            <w:hideMark/>
          </w:tcPr>
          <w:p w:rsidR="00F87953" w:rsidP="00E70834" w14:paraId="0646D95F" w14:textId="77777777">
            <w:pPr>
              <w:spacing w:after="0"/>
              <w:rPr>
                <w:rFonts w:ascii="Times New Roman" w:hAnsi="Times New Roman"/>
                <w:szCs w:val="24"/>
              </w:rPr>
            </w:pPr>
            <w:r>
              <w:rPr>
                <w:rFonts w:ascii="Times New Roman" w:hAnsi="Times New Roman"/>
                <w:szCs w:val="24"/>
              </w:rPr>
              <w:t>Intranet Registration (RCS)</w:t>
            </w:r>
          </w:p>
        </w:tc>
        <w:tc>
          <w:tcPr>
            <w:tcW w:w="1530" w:type="dxa"/>
            <w:tcBorders>
              <w:top w:val="single" w:sz="4" w:space="0" w:color="auto"/>
              <w:left w:val="single" w:sz="4" w:space="0" w:color="auto"/>
              <w:bottom w:val="single" w:sz="4" w:space="0" w:color="auto"/>
              <w:right w:val="single" w:sz="4" w:space="0" w:color="auto"/>
            </w:tcBorders>
            <w:hideMark/>
          </w:tcPr>
          <w:p w:rsidR="009C30F1" w:rsidRPr="00551B36" w:rsidP="009C30F1" w14:paraId="670DBDF1" w14:textId="39097140">
            <w:pPr>
              <w:jc w:val="right"/>
              <w:rPr>
                <w:rFonts w:ascii="Times New Roman" w:hAnsi="Times New Roman"/>
              </w:rPr>
            </w:pPr>
            <w:r w:rsidRPr="00551B36">
              <w:rPr>
                <w:rFonts w:ascii="Times New Roman" w:hAnsi="Times New Roman"/>
              </w:rPr>
              <w:t>5</w:t>
            </w:r>
            <w:r w:rsidRPr="00551B36" w:rsidR="00EE66F1">
              <w:rPr>
                <w:rFonts w:ascii="Times New Roman" w:hAnsi="Times New Roman"/>
              </w:rPr>
              <w:t>4,908</w:t>
            </w:r>
          </w:p>
        </w:tc>
        <w:tc>
          <w:tcPr>
            <w:tcW w:w="1350" w:type="dxa"/>
            <w:tcBorders>
              <w:top w:val="single" w:sz="4" w:space="0" w:color="auto"/>
              <w:left w:val="single" w:sz="4" w:space="0" w:color="auto"/>
              <w:bottom w:val="single" w:sz="4" w:space="0" w:color="auto"/>
              <w:right w:val="single" w:sz="4" w:space="0" w:color="auto"/>
            </w:tcBorders>
            <w:hideMark/>
          </w:tcPr>
          <w:p w:rsidR="00F87953" w:rsidP="00E70834" w14:paraId="153CBBBE" w14:textId="77777777">
            <w:pPr>
              <w:jc w:val="right"/>
              <w:rPr>
                <w:rFonts w:ascii="Times New Roman" w:hAnsi="Times New Roman"/>
                <w:szCs w:val="24"/>
              </w:rPr>
            </w:pPr>
            <w:r>
              <w:rPr>
                <w:rFonts w:ascii="Times New Roman" w:hAnsi="Times New Roman"/>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F87953" w:rsidP="00E70834" w14:paraId="55FB1ECC" w14:textId="77777777">
            <w:pPr>
              <w:jc w:val="right"/>
              <w:rPr>
                <w:rFonts w:ascii="Times New Roman" w:hAnsi="Times New Roman"/>
                <w:szCs w:val="24"/>
              </w:rPr>
            </w:pPr>
            <w:r>
              <w:rPr>
                <w:rFonts w:ascii="Times New Roman" w:hAnsi="Times New Roman"/>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F87953" w:rsidP="00E70834" w14:paraId="1DD9497C" w14:textId="30151810">
            <w:pPr>
              <w:jc w:val="right"/>
              <w:rPr>
                <w:rFonts w:ascii="Times New Roman" w:hAnsi="Times New Roman"/>
                <w:szCs w:val="24"/>
              </w:rPr>
            </w:pPr>
            <w:r>
              <w:rPr>
                <w:rFonts w:ascii="Times New Roman" w:hAnsi="Times New Roman"/>
              </w:rPr>
              <w:t>7,321</w:t>
            </w:r>
          </w:p>
        </w:tc>
        <w:tc>
          <w:tcPr>
            <w:tcW w:w="1440" w:type="dxa"/>
            <w:tcBorders>
              <w:top w:val="single" w:sz="4" w:space="0" w:color="auto"/>
              <w:left w:val="single" w:sz="4" w:space="0" w:color="auto"/>
              <w:bottom w:val="single" w:sz="4" w:space="0" w:color="auto"/>
              <w:right w:val="single" w:sz="4" w:space="0" w:color="auto"/>
            </w:tcBorders>
            <w:hideMark/>
          </w:tcPr>
          <w:p w:rsidR="00F87953" w:rsidP="00E70834" w14:paraId="33E4D790" w14:textId="3DD8F4F1">
            <w:pPr>
              <w:spacing w:after="0"/>
              <w:jc w:val="right"/>
              <w:rPr>
                <w:rFonts w:ascii="Times New Roman" w:hAnsi="Times New Roman"/>
                <w:szCs w:val="24"/>
              </w:rPr>
            </w:pPr>
            <w:r>
              <w:rPr>
                <w:rFonts w:ascii="Times New Roman" w:hAnsi="Times New Roman"/>
                <w:szCs w:val="24"/>
              </w:rPr>
              <w:t>$</w:t>
            </w:r>
            <w:r w:rsidRPr="006C6946">
              <w:rPr>
                <w:rFonts w:ascii="Times New Roman" w:hAnsi="Times New Roman"/>
                <w:szCs w:val="24"/>
              </w:rPr>
              <w:t>2</w:t>
            </w:r>
            <w:r w:rsidR="00D24D7E">
              <w:rPr>
                <w:rFonts w:ascii="Times New Roman" w:hAnsi="Times New Roman"/>
                <w:szCs w:val="24"/>
              </w:rPr>
              <w:t>8.01</w:t>
            </w:r>
            <w:r>
              <w:rPr>
                <w:rFonts w:ascii="Times New Roman" w:hAnsi="Times New Roman"/>
                <w:szCs w:val="24"/>
              </w:rPr>
              <w:t>*</w:t>
            </w:r>
          </w:p>
        </w:tc>
        <w:tc>
          <w:tcPr>
            <w:tcW w:w="1530" w:type="dxa"/>
            <w:tcBorders>
              <w:top w:val="single" w:sz="4" w:space="0" w:color="auto"/>
              <w:left w:val="single" w:sz="4" w:space="0" w:color="auto"/>
              <w:bottom w:val="single" w:sz="4" w:space="0" w:color="auto"/>
              <w:right w:val="single" w:sz="4" w:space="0" w:color="auto"/>
            </w:tcBorders>
            <w:hideMark/>
          </w:tcPr>
          <w:p w:rsidR="00F87953" w:rsidP="00E70834" w14:paraId="6D2E8E05" w14:textId="1EB23C63">
            <w:pPr>
              <w:spacing w:after="0"/>
              <w:jc w:val="right"/>
              <w:rPr>
                <w:rFonts w:ascii="Times New Roman" w:hAnsi="Times New Roman"/>
                <w:szCs w:val="24"/>
              </w:rPr>
            </w:pPr>
            <w:r>
              <w:rPr>
                <w:rFonts w:ascii="Times New Roman" w:hAnsi="Times New Roman"/>
                <w:szCs w:val="24"/>
              </w:rPr>
              <w:t>2</w:t>
            </w:r>
            <w:r w:rsidR="00EE66F1">
              <w:rPr>
                <w:rFonts w:ascii="Times New Roman" w:hAnsi="Times New Roman"/>
                <w:szCs w:val="24"/>
              </w:rPr>
              <w:t>4</w:t>
            </w:r>
            <w:r>
              <w:rPr>
                <w:rFonts w:ascii="Times New Roman" w:hAnsi="Times New Roman"/>
                <w:szCs w:val="24"/>
              </w:rPr>
              <w:t>**</w:t>
            </w:r>
          </w:p>
        </w:tc>
        <w:tc>
          <w:tcPr>
            <w:tcW w:w="2070" w:type="dxa"/>
            <w:tcBorders>
              <w:top w:val="single" w:sz="4" w:space="0" w:color="auto"/>
              <w:left w:val="single" w:sz="4" w:space="0" w:color="auto"/>
              <w:bottom w:val="single" w:sz="4" w:space="0" w:color="auto"/>
              <w:right w:val="single" w:sz="4" w:space="0" w:color="auto"/>
            </w:tcBorders>
            <w:hideMark/>
          </w:tcPr>
          <w:p w:rsidR="00F87953" w:rsidP="00E70834" w14:paraId="2E0B466F" w14:textId="04918A2F">
            <w:pPr>
              <w:spacing w:after="0"/>
              <w:jc w:val="right"/>
              <w:rPr>
                <w:rFonts w:ascii="Times New Roman" w:hAnsi="Times New Roman"/>
                <w:szCs w:val="24"/>
              </w:rPr>
            </w:pPr>
            <w:r>
              <w:rPr>
                <w:rFonts w:ascii="Times New Roman" w:hAnsi="Times New Roman"/>
              </w:rPr>
              <w:t>$</w:t>
            </w:r>
            <w:r w:rsidR="007955CE">
              <w:rPr>
                <w:rFonts w:ascii="Times New Roman" w:hAnsi="Times New Roman"/>
              </w:rPr>
              <w:t>820,845</w:t>
            </w:r>
            <w:r>
              <w:rPr>
                <w:rFonts w:ascii="Times New Roman" w:hAnsi="Times New Roman"/>
              </w:rPr>
              <w:t>***</w:t>
            </w:r>
          </w:p>
        </w:tc>
      </w:tr>
      <w:tr w14:paraId="040425E2" w14:textId="77777777" w:rsidTr="00943F43">
        <w:tblPrEx>
          <w:tblW w:w="12060" w:type="dxa"/>
          <w:tblInd w:w="-1355" w:type="dxa"/>
          <w:tblLayout w:type="fixed"/>
          <w:tblLook w:val="01E0"/>
        </w:tblPrEx>
        <w:trPr>
          <w:trHeight w:val="260"/>
        </w:trPr>
        <w:tc>
          <w:tcPr>
            <w:tcW w:w="1530" w:type="dxa"/>
            <w:tcBorders>
              <w:top w:val="single" w:sz="4" w:space="0" w:color="auto"/>
              <w:left w:val="single" w:sz="4" w:space="0" w:color="auto"/>
              <w:bottom w:val="single" w:sz="4" w:space="0" w:color="auto"/>
              <w:right w:val="single" w:sz="4" w:space="0" w:color="auto"/>
            </w:tcBorders>
            <w:hideMark/>
          </w:tcPr>
          <w:p w:rsidR="00F87953" w:rsidP="00943F43" w14:paraId="4C847810" w14:textId="77777777">
            <w:pPr>
              <w:spacing w:after="0"/>
              <w:rPr>
                <w:rFonts w:ascii="Times New Roman" w:hAnsi="Times New Roman"/>
                <w:bCs/>
                <w:color w:val="000000"/>
              </w:rPr>
            </w:pPr>
            <w:r>
              <w:rPr>
                <w:rFonts w:ascii="Times New Roman" w:hAnsi="Times New Roman"/>
                <w:b/>
                <w:szCs w:val="24"/>
              </w:rPr>
              <w:t>Totals</w:t>
            </w:r>
          </w:p>
        </w:tc>
        <w:tc>
          <w:tcPr>
            <w:tcW w:w="1530" w:type="dxa"/>
            <w:tcBorders>
              <w:top w:val="single" w:sz="4" w:space="0" w:color="auto"/>
              <w:left w:val="single" w:sz="4" w:space="0" w:color="auto"/>
              <w:bottom w:val="single" w:sz="4" w:space="0" w:color="auto"/>
              <w:right w:val="single" w:sz="4" w:space="0" w:color="auto"/>
            </w:tcBorders>
            <w:hideMark/>
          </w:tcPr>
          <w:p w:rsidR="00F87953" w:rsidP="00943F43" w14:paraId="10FEE67E" w14:textId="43F50334">
            <w:pPr>
              <w:spacing w:after="0"/>
              <w:jc w:val="right"/>
              <w:rPr>
                <w:rFonts w:ascii="Times New Roman" w:hAnsi="Times New Roman"/>
                <w:szCs w:val="24"/>
                <w:lang w:eastAsia="zh-CN"/>
              </w:rPr>
            </w:pPr>
            <w:r>
              <w:rPr>
                <w:rFonts w:ascii="Times New Roman" w:hAnsi="Times New Roman"/>
                <w:b/>
              </w:rPr>
              <w:t>136,832,911</w:t>
            </w:r>
          </w:p>
        </w:tc>
        <w:tc>
          <w:tcPr>
            <w:tcW w:w="1350" w:type="dxa"/>
            <w:tcBorders>
              <w:top w:val="single" w:sz="4" w:space="0" w:color="auto"/>
              <w:left w:val="single" w:sz="4" w:space="0" w:color="auto"/>
              <w:bottom w:val="single" w:sz="4" w:space="0" w:color="auto"/>
              <w:right w:val="single" w:sz="4" w:space="0" w:color="auto"/>
            </w:tcBorders>
          </w:tcPr>
          <w:p w:rsidR="00F87953" w:rsidP="00943F43" w14:paraId="1DDD19BC" w14:textId="77777777">
            <w:pPr>
              <w:spacing w:after="0"/>
              <w:jc w:val="right"/>
              <w:rPr>
                <w:rFonts w:ascii="Times New Roman" w:hAnsi="Times New Roman"/>
                <w:szCs w:val="24"/>
                <w:lang w:eastAsia="zh-CN"/>
              </w:rPr>
            </w:pPr>
          </w:p>
        </w:tc>
        <w:tc>
          <w:tcPr>
            <w:tcW w:w="1260" w:type="dxa"/>
            <w:tcBorders>
              <w:top w:val="single" w:sz="4" w:space="0" w:color="auto"/>
              <w:left w:val="single" w:sz="4" w:space="0" w:color="auto"/>
              <w:bottom w:val="single" w:sz="4" w:space="0" w:color="auto"/>
              <w:right w:val="single" w:sz="4" w:space="0" w:color="auto"/>
            </w:tcBorders>
          </w:tcPr>
          <w:p w:rsidR="00F87953" w:rsidP="00943F43" w14:paraId="46311059" w14:textId="77777777">
            <w:pPr>
              <w:spacing w:after="0"/>
              <w:jc w:val="right"/>
              <w:rPr>
                <w:rFonts w:ascii="Times New Roman" w:hAnsi="Times New Roman"/>
                <w:szCs w:val="24"/>
                <w:lang w:eastAsia="zh-CN"/>
              </w:rPr>
            </w:pPr>
          </w:p>
        </w:tc>
        <w:tc>
          <w:tcPr>
            <w:tcW w:w="1350" w:type="dxa"/>
            <w:tcBorders>
              <w:top w:val="single" w:sz="4" w:space="0" w:color="auto"/>
              <w:left w:val="single" w:sz="4" w:space="0" w:color="auto"/>
              <w:bottom w:val="single" w:sz="4" w:space="0" w:color="auto"/>
              <w:right w:val="single" w:sz="4" w:space="0" w:color="auto"/>
            </w:tcBorders>
            <w:hideMark/>
          </w:tcPr>
          <w:p w:rsidR="00F87953" w:rsidP="00943F43" w14:paraId="634CF202" w14:textId="30F59758">
            <w:pPr>
              <w:spacing w:after="0"/>
              <w:jc w:val="right"/>
              <w:rPr>
                <w:rFonts w:ascii="Times New Roman" w:hAnsi="Times New Roman"/>
                <w:szCs w:val="24"/>
                <w:lang w:eastAsia="zh-CN"/>
              </w:rPr>
            </w:pPr>
            <w:r>
              <w:rPr>
                <w:rFonts w:ascii="Times New Roman" w:hAnsi="Times New Roman"/>
                <w:b/>
              </w:rPr>
              <w:t>3,662,32</w:t>
            </w:r>
            <w:r w:rsidR="007955CE">
              <w:rPr>
                <w:rFonts w:ascii="Times New Roman" w:hAnsi="Times New Roman"/>
                <w:b/>
              </w:rPr>
              <w:t>7</w:t>
            </w:r>
          </w:p>
        </w:tc>
        <w:tc>
          <w:tcPr>
            <w:tcW w:w="1440" w:type="dxa"/>
            <w:tcBorders>
              <w:top w:val="single" w:sz="4" w:space="0" w:color="auto"/>
              <w:left w:val="single" w:sz="4" w:space="0" w:color="auto"/>
              <w:bottom w:val="single" w:sz="4" w:space="0" w:color="auto"/>
              <w:right w:val="single" w:sz="4" w:space="0" w:color="auto"/>
            </w:tcBorders>
          </w:tcPr>
          <w:p w:rsidR="00F87953" w:rsidP="00943F43" w14:paraId="19ED221A" w14:textId="77777777">
            <w:pPr>
              <w:spacing w:after="0"/>
              <w:jc w:val="right"/>
              <w:rPr>
                <w:rFonts w:ascii="Times New Roman" w:hAnsi="Times New Roman"/>
                <w:szCs w:val="24"/>
              </w:rPr>
            </w:pPr>
          </w:p>
        </w:tc>
        <w:tc>
          <w:tcPr>
            <w:tcW w:w="1530" w:type="dxa"/>
            <w:tcBorders>
              <w:top w:val="single" w:sz="4" w:space="0" w:color="auto"/>
              <w:left w:val="single" w:sz="4" w:space="0" w:color="auto"/>
              <w:bottom w:val="single" w:sz="4" w:space="0" w:color="auto"/>
              <w:right w:val="single" w:sz="4" w:space="0" w:color="auto"/>
            </w:tcBorders>
          </w:tcPr>
          <w:p w:rsidR="00F87953" w:rsidP="00943F43" w14:paraId="3941FE16" w14:textId="77777777">
            <w:pPr>
              <w:spacing w:after="0"/>
              <w:jc w:val="right"/>
              <w:rPr>
                <w:rFonts w:ascii="Times New Roman" w:hAnsi="Times New Roman"/>
                <w:szCs w:val="24"/>
              </w:rPr>
            </w:pPr>
          </w:p>
        </w:tc>
        <w:tc>
          <w:tcPr>
            <w:tcW w:w="2070" w:type="dxa"/>
            <w:tcBorders>
              <w:top w:val="single" w:sz="4" w:space="0" w:color="auto"/>
              <w:left w:val="single" w:sz="4" w:space="0" w:color="auto"/>
              <w:bottom w:val="single" w:sz="4" w:space="0" w:color="auto"/>
              <w:right w:val="single" w:sz="4" w:space="0" w:color="auto"/>
            </w:tcBorders>
            <w:hideMark/>
          </w:tcPr>
          <w:p w:rsidR="00F87953" w:rsidRPr="009559AE" w:rsidP="00943F43" w14:paraId="33BD6623" w14:textId="024AEE61">
            <w:pPr>
              <w:spacing w:after="0"/>
              <w:jc w:val="right"/>
              <w:rPr>
                <w:rFonts w:ascii="Times New Roman" w:hAnsi="Times New Roman"/>
                <w:b/>
              </w:rPr>
            </w:pPr>
            <w:r>
              <w:rPr>
                <w:rFonts w:ascii="Times New Roman" w:hAnsi="Times New Roman"/>
                <w:b/>
              </w:rPr>
              <w:t>$</w:t>
            </w:r>
            <w:r w:rsidR="00D24D7E">
              <w:rPr>
                <w:rFonts w:ascii="Times New Roman" w:hAnsi="Times New Roman"/>
                <w:b/>
              </w:rPr>
              <w:t>10</w:t>
            </w:r>
            <w:r w:rsidR="007955CE">
              <w:rPr>
                <w:rFonts w:ascii="Times New Roman" w:hAnsi="Times New Roman"/>
                <w:b/>
              </w:rPr>
              <w:t>3,197,564</w:t>
            </w:r>
            <w:r>
              <w:rPr>
                <w:rFonts w:ascii="Times New Roman" w:hAnsi="Times New Roman"/>
                <w:b/>
              </w:rPr>
              <w:t>***</w:t>
            </w:r>
          </w:p>
        </w:tc>
      </w:tr>
    </w:tbl>
    <w:p w:rsidR="00F87953" w:rsidP="00F87953" w14:paraId="2E2E086C" w14:textId="77777777">
      <w:pPr>
        <w:tabs>
          <w:tab w:val="left" w:pos="-90"/>
        </w:tabs>
        <w:ind w:left="-90"/>
        <w:rPr>
          <w:rFonts w:ascii="Times New Roman" w:hAnsi="Times New Roman"/>
          <w:color w:val="000000" w:themeColor="text1"/>
        </w:rPr>
      </w:pPr>
      <w:r>
        <w:rPr>
          <w:rFonts w:ascii="Times New Roman" w:hAnsi="Times New Roman"/>
        </w:rPr>
        <w:t xml:space="preserve">* </w:t>
      </w:r>
      <w:r>
        <w:rPr>
          <w:rFonts w:ascii="Times New Roman" w:hAnsi="Times New Roman"/>
          <w:szCs w:val="24"/>
        </w:rPr>
        <w:t>We based this figure on average U.S. citizen’s hourly salary, as reported by Bureau of Labor Statistics data (</w:t>
      </w:r>
      <w:hyperlink r:id="rId5" w:anchor="00-0000" w:history="1">
        <w:r w:rsidRPr="00A43D91">
          <w:rPr>
            <w:color w:val="0000FF"/>
            <w:u w:val="single"/>
          </w:rPr>
          <w:t>https://www.bls.gov/oes/current/oes_nat.htm#00-0000</w:t>
        </w:r>
      </w:hyperlink>
      <w:r>
        <w:rPr>
          <w:rFonts w:ascii="Times New Roman" w:hAnsi="Times New Roman"/>
          <w:szCs w:val="24"/>
        </w:rPr>
        <w:t>)</w:t>
      </w:r>
      <w:r>
        <w:rPr>
          <w:rFonts w:ascii="Times New Roman" w:hAnsi="Times New Roman"/>
          <w:color w:val="000000" w:themeColor="text1"/>
        </w:rPr>
        <w:t>.</w:t>
      </w:r>
    </w:p>
    <w:p w:rsidR="00F87953" w:rsidP="00F87953" w14:paraId="3705EF5A" w14:textId="77777777">
      <w:pPr>
        <w:tabs>
          <w:tab w:val="left" w:pos="-90"/>
        </w:tabs>
        <w:ind w:left="-90"/>
        <w:rPr>
          <w:rFonts w:ascii="Times New Roman" w:hAnsi="Times New Roman"/>
        </w:rPr>
      </w:pPr>
      <w:r>
        <w:rPr>
          <w:rFonts w:ascii="Times New Roman" w:hAnsi="Times New Roman"/>
          <w:szCs w:val="24"/>
        </w:rPr>
        <w:t>** We based these figures on the average FY 2021 wait times for field offices (24 minutes) and teleservice call centers (19 minutes), based on SSA’s current management information data.</w:t>
      </w:r>
    </w:p>
    <w:p w:rsidR="00F87953" w:rsidP="00F87953" w14:paraId="79BC1A8C" w14:textId="77777777">
      <w:pPr>
        <w:ind w:left="-90"/>
        <w:rPr>
          <w:rFonts w:ascii="Times New Roman" w:hAnsi="Times New Roman"/>
          <w:szCs w:val="24"/>
        </w:rPr>
      </w:pPr>
      <w:r>
        <w:rPr>
          <w:rFonts w:ascii="Times New Roman" w:hAnsi="Times New Roman"/>
          <w:snapToGrid w:val="0"/>
          <w:szCs w:val="24"/>
        </w:rPr>
        <w:t>*** This figure does not represent actual costs that SSA is imposing on recipients of Social Security payments to complete this application; rather, these are theoretical opportunity costs for the additional time respondents will spend to complete the application.</w:t>
      </w:r>
      <w:r>
        <w:rPr>
          <w:rFonts w:ascii="Times New Roman" w:hAnsi="Times New Roman"/>
          <w:b/>
          <w:snapToGrid w:val="0"/>
          <w:szCs w:val="24"/>
        </w:rPr>
        <w:t xml:space="preserve"> </w:t>
      </w:r>
      <w:r>
        <w:rPr>
          <w:rFonts w:ascii="Times New Roman" w:hAnsi="Times New Roman"/>
          <w:b/>
          <w:snapToGrid w:val="0"/>
          <w:szCs w:val="24"/>
          <w:u w:val="single"/>
        </w:rPr>
        <w:t>There is no actual charge to respondents to complete the application</w:t>
      </w:r>
      <w:r>
        <w:rPr>
          <w:rFonts w:ascii="Times New Roman" w:hAnsi="Times New Roman"/>
          <w:szCs w:val="24"/>
        </w:rPr>
        <w:t>.</w:t>
      </w:r>
    </w:p>
    <w:p w:rsidR="00F87953" w:rsidP="00F87953" w14:paraId="05107C4E" w14:textId="77777777">
      <w:pPr>
        <w:ind w:left="-90"/>
        <w:rPr>
          <w:rFonts w:ascii="Times New Roman" w:hAnsi="Times New Roman"/>
        </w:rPr>
      </w:pPr>
      <w:r>
        <w:rPr>
          <w:rFonts w:ascii="Times New Roman" w:hAnsi="Times New Roman"/>
          <w:szCs w:val="24"/>
        </w:rPr>
        <w:t>NOTE:  We included the total opportunity cost estimate from this chart in our calculations when showing the total time and opportunity cost estimates in the paragraph below.</w:t>
      </w:r>
    </w:p>
    <w:p w:rsidR="00F87953" w:rsidP="00F87953" w14:paraId="647D6C83" w14:textId="17C1F3E6">
      <w:pPr>
        <w:spacing w:after="0"/>
        <w:ind w:left="-90"/>
        <w:rPr>
          <w:rFonts w:ascii="Times New Roman" w:hAnsi="Times New Roman"/>
          <w:szCs w:val="24"/>
        </w:rPr>
      </w:pPr>
      <w:r>
        <w:rPr>
          <w:rFonts w:ascii="Times New Roman" w:hAnsi="Times New Roman"/>
          <w:snapToGrid w:val="0"/>
          <w:szCs w:val="24"/>
        </w:rPr>
        <w:t xml:space="preserve">The total burden for this ICR is </w:t>
      </w:r>
      <w:r w:rsidR="00671226">
        <w:rPr>
          <w:rFonts w:ascii="Times New Roman" w:hAnsi="Times New Roman"/>
          <w:b/>
        </w:rPr>
        <w:t>3,662,32</w:t>
      </w:r>
      <w:r w:rsidR="00030583">
        <w:rPr>
          <w:rFonts w:ascii="Times New Roman" w:hAnsi="Times New Roman"/>
          <w:b/>
        </w:rPr>
        <w:t>7</w:t>
      </w:r>
      <w:r>
        <w:rPr>
          <w:rFonts w:ascii="Times New Roman" w:hAnsi="Times New Roman"/>
          <w:b/>
        </w:rPr>
        <w:t xml:space="preserve"> </w:t>
      </w:r>
      <w:r>
        <w:rPr>
          <w:rFonts w:ascii="Times New Roman" w:hAnsi="Times New Roman"/>
          <w:snapToGrid w:val="0"/>
          <w:szCs w:val="24"/>
        </w:rPr>
        <w:t xml:space="preserve">burden hours (reflecting SSA management information data), which results in an associated theoretical (not actual) opportunity cost financial burden of </w:t>
      </w:r>
      <w:r>
        <w:rPr>
          <w:rFonts w:ascii="Times New Roman" w:hAnsi="Times New Roman"/>
          <w:b/>
          <w:snapToGrid w:val="0"/>
          <w:szCs w:val="24"/>
        </w:rPr>
        <w:t>$</w:t>
      </w:r>
      <w:r w:rsidR="00030583">
        <w:rPr>
          <w:rFonts w:ascii="Times New Roman" w:hAnsi="Times New Roman"/>
          <w:b/>
        </w:rPr>
        <w:t>103</w:t>
      </w:r>
      <w:r w:rsidR="00671226">
        <w:rPr>
          <w:rFonts w:ascii="Times New Roman" w:hAnsi="Times New Roman"/>
          <w:b/>
        </w:rPr>
        <w:t>,1</w:t>
      </w:r>
      <w:r w:rsidR="00030583">
        <w:rPr>
          <w:rFonts w:ascii="Times New Roman" w:hAnsi="Times New Roman"/>
          <w:b/>
        </w:rPr>
        <w:t>97</w:t>
      </w:r>
      <w:r w:rsidR="00671226">
        <w:rPr>
          <w:rFonts w:ascii="Times New Roman" w:hAnsi="Times New Roman"/>
          <w:b/>
        </w:rPr>
        <w:t>,</w:t>
      </w:r>
      <w:r w:rsidR="00030583">
        <w:rPr>
          <w:rFonts w:ascii="Times New Roman" w:hAnsi="Times New Roman"/>
          <w:b/>
        </w:rPr>
        <w:t>564</w:t>
      </w:r>
      <w:r>
        <w:rPr>
          <w:rFonts w:ascii="Times New Roman" w:hAnsi="Times New Roman"/>
          <w:snapToGrid w:val="0"/>
          <w:szCs w:val="24"/>
        </w:rPr>
        <w:t xml:space="preserve">. </w:t>
      </w:r>
      <w:r w:rsidRPr="00DE7C3F">
        <w:rPr>
          <w:rFonts w:ascii="Times New Roman" w:hAnsi="Times New Roman"/>
        </w:rPr>
        <w:t>SSA does not charge respondents to complete our applications</w:t>
      </w:r>
      <w:r w:rsidRPr="00DE7C3F">
        <w:rPr>
          <w:rFonts w:ascii="Times New Roman" w:hAnsi="Times New Roman"/>
          <w:noProof/>
          <w:snapToGrid w:val="0"/>
        </w:rPr>
        <w:t xml:space="preserve">. We base our burden estimates on current management information data, which includes data from actual interviews, as well as from years of conducting this information collection. Per our management information data, we believe that the </w:t>
      </w:r>
      <w:r>
        <w:rPr>
          <w:rFonts w:ascii="Times New Roman" w:hAnsi="Times New Roman"/>
          <w:noProof/>
          <w:snapToGrid w:val="0"/>
        </w:rPr>
        <w:t>1 or 8</w:t>
      </w:r>
      <w:r w:rsidRPr="00DE7C3F">
        <w:rPr>
          <w:rFonts w:ascii="Times New Roman" w:hAnsi="Times New Roman"/>
          <w:noProof/>
          <w:snapToGrid w:val="0"/>
        </w:rPr>
        <w:t xml:space="preserve"> minutes</w:t>
      </w:r>
      <w:r>
        <w:rPr>
          <w:rFonts w:ascii="Times New Roman" w:hAnsi="Times New Roman"/>
          <w:noProof/>
          <w:snapToGrid w:val="0"/>
        </w:rPr>
        <w:t xml:space="preserve"> listed above</w:t>
      </w:r>
      <w:r w:rsidRPr="00DE7C3F">
        <w:rPr>
          <w:rFonts w:ascii="Times New Roman" w:hAnsi="Times New Roman"/>
          <w:noProof/>
          <w:snapToGrid w:val="0"/>
        </w:rPr>
        <w:t xml:space="preserve"> accurately shows the average burden per response for reading the instructions, gathering the facts, and answering the questions.  Based on our current management information data, the current burden information we provided is accurate</w:t>
      </w:r>
      <w:r>
        <w:rPr>
          <w:rFonts w:ascii="Times New Roman" w:hAnsi="Times New Roman"/>
          <w:noProof/>
          <w:snapToGrid w:val="0"/>
        </w:rPr>
        <w:t>.</w:t>
      </w:r>
    </w:p>
    <w:p w:rsidR="00F87953" w:rsidP="0017271A" w14:paraId="39DC873A" w14:textId="77777777">
      <w:pPr>
        <w:spacing w:after="0"/>
        <w:rPr>
          <w:rFonts w:ascii="Times New Roman" w:hAnsi="Times New Roman"/>
          <w:bCs/>
          <w:color w:val="000000"/>
          <w:szCs w:val="24"/>
        </w:rPr>
      </w:pPr>
    </w:p>
    <w:p w:rsidR="005B7247" w:rsidRPr="007B70B0" w:rsidP="00030583" w14:paraId="2EE71134" w14:textId="06B66D64">
      <w:pPr>
        <w:widowControl w:val="0"/>
        <w:spacing w:after="0"/>
        <w:ind w:left="-90"/>
        <w:rPr>
          <w:rFonts w:ascii="Times New Roman" w:hAnsi="Times New Roman"/>
          <w:b/>
          <w:szCs w:val="24"/>
          <w:u w:val="single"/>
        </w:rPr>
      </w:pPr>
      <w:r>
        <w:rPr>
          <w:rFonts w:ascii="Times New Roman" w:hAnsi="Times New Roman"/>
          <w:b/>
          <w:szCs w:val="24"/>
          <w:u w:val="single"/>
        </w:rPr>
        <w:t xml:space="preserve">Future </w:t>
      </w:r>
      <w:r w:rsidRPr="007B70B0">
        <w:rPr>
          <w:rFonts w:ascii="Times New Roman" w:hAnsi="Times New Roman"/>
          <w:b/>
          <w:szCs w:val="24"/>
          <w:u w:val="single"/>
        </w:rPr>
        <w:t>Plans</w:t>
      </w:r>
    </w:p>
    <w:p w:rsidR="008A5B78" w:rsidRPr="00F50CD6" w:rsidP="00F50CD6" w14:paraId="718BC524" w14:textId="141640B6">
      <w:pPr>
        <w:widowControl w:val="0"/>
        <w:spacing w:after="0"/>
        <w:ind w:left="-90"/>
        <w:rPr>
          <w:rFonts w:ascii="Times New Roman" w:hAnsi="Times New Roman"/>
          <w:szCs w:val="24"/>
        </w:rPr>
      </w:pPr>
      <w:r w:rsidRPr="007B70B0">
        <w:rPr>
          <w:rFonts w:ascii="Times New Roman" w:hAnsi="Times New Roman"/>
          <w:bCs/>
          <w:color w:val="000000"/>
        </w:rPr>
        <w:t xml:space="preserve">Due to the agile nature of our projects, </w:t>
      </w:r>
      <w:r>
        <w:rPr>
          <w:rFonts w:ascii="Times New Roman" w:hAnsi="Times New Roman"/>
          <w:bCs/>
          <w:color w:val="000000"/>
        </w:rPr>
        <w:t>we expect t</w:t>
      </w:r>
      <w:r w:rsidR="00BB58F0">
        <w:rPr>
          <w:rFonts w:ascii="Times New Roman" w:hAnsi="Times New Roman"/>
          <w:bCs/>
          <w:color w:val="000000"/>
        </w:rPr>
        <w:t xml:space="preserve">o make more enhancements in the future </w:t>
      </w:r>
      <w:r w:rsidR="00E24C46">
        <w:rPr>
          <w:rFonts w:ascii="Times New Roman" w:hAnsi="Times New Roman"/>
          <w:bCs/>
          <w:color w:val="000000"/>
        </w:rPr>
        <w:t xml:space="preserve">to </w:t>
      </w:r>
      <w:r w:rsidR="00BB58F0">
        <w:rPr>
          <w:rFonts w:ascii="Times New Roman" w:hAnsi="Times New Roman"/>
          <w:bCs/>
          <w:color w:val="000000"/>
        </w:rPr>
        <w:t>strengthen</w:t>
      </w:r>
      <w:r w:rsidR="00E24C46">
        <w:rPr>
          <w:rFonts w:ascii="Times New Roman" w:hAnsi="Times New Roman"/>
          <w:bCs/>
          <w:color w:val="000000"/>
        </w:rPr>
        <w:t xml:space="preserve"> our</w:t>
      </w:r>
      <w:r w:rsidR="00BB58F0">
        <w:rPr>
          <w:rFonts w:ascii="Times New Roman" w:hAnsi="Times New Roman"/>
          <w:bCs/>
          <w:color w:val="000000"/>
        </w:rPr>
        <w:t xml:space="preserve"> </w:t>
      </w:r>
      <w:r>
        <w:rPr>
          <w:rFonts w:ascii="Times New Roman" w:hAnsi="Times New Roman"/>
          <w:bCs/>
          <w:color w:val="000000"/>
        </w:rPr>
        <w:t>el</w:t>
      </w:r>
      <w:r w:rsidR="00F50CD6">
        <w:rPr>
          <w:rFonts w:ascii="Times New Roman" w:hAnsi="Times New Roman"/>
          <w:bCs/>
          <w:color w:val="000000"/>
        </w:rPr>
        <w:t>ectronic access authentication</w:t>
      </w:r>
      <w:r w:rsidR="00E24C46">
        <w:rPr>
          <w:rFonts w:ascii="Times New Roman" w:hAnsi="Times New Roman"/>
          <w:bCs/>
          <w:color w:val="000000"/>
        </w:rPr>
        <w:t xml:space="preserve"> </w:t>
      </w:r>
      <w:r w:rsidR="001B2ACE">
        <w:rPr>
          <w:rFonts w:ascii="Times New Roman" w:hAnsi="Times New Roman"/>
          <w:bCs/>
          <w:color w:val="000000"/>
        </w:rPr>
        <w:t>posture</w:t>
      </w:r>
      <w:r w:rsidR="00F50CD6">
        <w:rPr>
          <w:rFonts w:ascii="Times New Roman" w:hAnsi="Times New Roman"/>
          <w:bCs/>
          <w:color w:val="000000"/>
        </w:rPr>
        <w:t>.</w:t>
      </w:r>
      <w:r w:rsidR="0075326B">
        <w:rPr>
          <w:rFonts w:ascii="Times New Roman" w:hAnsi="Times New Roman"/>
          <w:bCs/>
          <w:color w:val="000000"/>
        </w:rPr>
        <w:t xml:space="preserve"> </w:t>
      </w:r>
      <w:r w:rsidR="00CF7CB8">
        <w:rPr>
          <w:rFonts w:ascii="Times New Roman" w:hAnsi="Times New Roman"/>
          <w:bCs/>
          <w:color w:val="000000"/>
        </w:rPr>
        <w:t xml:space="preserve"> </w:t>
      </w:r>
      <w:r>
        <w:rPr>
          <w:rFonts w:ascii="Times New Roman" w:hAnsi="Times New Roman"/>
          <w:bCs/>
          <w:color w:val="000000"/>
        </w:rPr>
        <w:t>At this time</w:t>
      </w:r>
      <w:r>
        <w:rPr>
          <w:rFonts w:ascii="Times New Roman" w:hAnsi="Times New Roman"/>
          <w:bCs/>
          <w:color w:val="000000"/>
        </w:rPr>
        <w:t>, we are still finalizing our IT moderniz</w:t>
      </w:r>
      <w:r w:rsidR="00F50CD6">
        <w:rPr>
          <w:rFonts w:ascii="Times New Roman" w:hAnsi="Times New Roman"/>
          <w:bCs/>
          <w:color w:val="000000"/>
        </w:rPr>
        <w:t xml:space="preserve">ation plans for these changes. </w:t>
      </w:r>
      <w:r w:rsidR="0075326B">
        <w:rPr>
          <w:rFonts w:ascii="Times New Roman" w:hAnsi="Times New Roman"/>
          <w:bCs/>
          <w:color w:val="000000"/>
        </w:rPr>
        <w:t xml:space="preserve"> </w:t>
      </w:r>
      <w:r>
        <w:rPr>
          <w:rFonts w:ascii="Times New Roman" w:hAnsi="Times New Roman"/>
          <w:bCs/>
          <w:color w:val="000000"/>
        </w:rPr>
        <w:t xml:space="preserve">We expect to submit </w:t>
      </w:r>
      <w:r w:rsidRPr="007B70B0">
        <w:rPr>
          <w:rFonts w:ascii="Times New Roman" w:hAnsi="Times New Roman"/>
          <w:bCs/>
          <w:color w:val="000000"/>
        </w:rPr>
        <w:t>another change request within six to n</w:t>
      </w:r>
      <w:r>
        <w:rPr>
          <w:rFonts w:ascii="Times New Roman" w:hAnsi="Times New Roman"/>
          <w:bCs/>
          <w:color w:val="000000"/>
        </w:rPr>
        <w:t>ine months to request approval for</w:t>
      </w:r>
      <w:r w:rsidRPr="007B70B0">
        <w:rPr>
          <w:rFonts w:ascii="Times New Roman" w:hAnsi="Times New Roman"/>
          <w:bCs/>
          <w:color w:val="000000"/>
        </w:rPr>
        <w:t xml:space="preserve"> additional updates to the system</w:t>
      </w:r>
      <w:r>
        <w:rPr>
          <w:rFonts w:ascii="Times New Roman" w:hAnsi="Times New Roman"/>
          <w:bCs/>
          <w:color w:val="000000"/>
        </w:rPr>
        <w:t xml:space="preserve">, and potentially, update the burden again to include more users </w:t>
      </w:r>
      <w:r w:rsidR="00E24C46">
        <w:rPr>
          <w:rFonts w:ascii="Times New Roman" w:hAnsi="Times New Roman"/>
          <w:bCs/>
          <w:color w:val="000000"/>
        </w:rPr>
        <w:t xml:space="preserve">as we </w:t>
      </w:r>
      <w:r>
        <w:rPr>
          <w:rFonts w:ascii="Times New Roman" w:hAnsi="Times New Roman"/>
          <w:bCs/>
          <w:color w:val="000000"/>
        </w:rPr>
        <w:t xml:space="preserve">move more applications </w:t>
      </w:r>
      <w:r w:rsidR="00BB58F0">
        <w:rPr>
          <w:rFonts w:ascii="Times New Roman" w:hAnsi="Times New Roman"/>
          <w:bCs/>
          <w:color w:val="000000"/>
        </w:rPr>
        <w:t xml:space="preserve">to a more secure </w:t>
      </w:r>
      <w:r w:rsidR="00E24C46">
        <w:rPr>
          <w:rFonts w:ascii="Times New Roman" w:hAnsi="Times New Roman"/>
          <w:bCs/>
          <w:color w:val="000000"/>
        </w:rPr>
        <w:t xml:space="preserve">authentication </w:t>
      </w:r>
      <w:r w:rsidR="00BB58F0">
        <w:rPr>
          <w:rFonts w:ascii="Times New Roman" w:hAnsi="Times New Roman"/>
          <w:bCs/>
          <w:color w:val="000000"/>
        </w:rPr>
        <w:t xml:space="preserve">platform. </w:t>
      </w:r>
    </w:p>
    <w:sectPr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5433D"/>
    <w:multiLevelType w:val="hybridMultilevel"/>
    <w:tmpl w:val="5942B7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F873A9E"/>
    <w:multiLevelType w:val="multilevel"/>
    <w:tmpl w:val="1A3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C5E2A"/>
    <w:multiLevelType w:val="hybridMultilevel"/>
    <w:tmpl w:val="972842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2F67E7A"/>
    <w:multiLevelType w:val="multilevel"/>
    <w:tmpl w:val="AFC23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9347CCC"/>
    <w:multiLevelType w:val="hybridMultilevel"/>
    <w:tmpl w:val="F7A04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cs="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A37E04"/>
    <w:multiLevelType w:val="hybridMultilevel"/>
    <w:tmpl w:val="82487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B36E97"/>
    <w:multiLevelType w:val="hybridMultilevel"/>
    <w:tmpl w:val="522827A4"/>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6731D3"/>
    <w:multiLevelType w:val="hybridMultilevel"/>
    <w:tmpl w:val="098469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33C2996"/>
    <w:multiLevelType w:val="hybridMultilevel"/>
    <w:tmpl w:val="47D4F51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44AF3689"/>
    <w:multiLevelType w:val="hybridMultilevel"/>
    <w:tmpl w:val="A9941C98"/>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0">
    <w:nsid w:val="47734DEB"/>
    <w:multiLevelType w:val="hybridMultilevel"/>
    <w:tmpl w:val="0B50669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E66E7A"/>
    <w:multiLevelType w:val="hybridMultilevel"/>
    <w:tmpl w:val="0810B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1664D3"/>
    <w:multiLevelType w:val="hybridMultilevel"/>
    <w:tmpl w:val="56E4D1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6E3741"/>
    <w:multiLevelType w:val="hybridMultilevel"/>
    <w:tmpl w:val="148EF4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9F69BC"/>
    <w:multiLevelType w:val="hybridMultilevel"/>
    <w:tmpl w:val="557CEBE6"/>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13B6A6A"/>
    <w:multiLevelType w:val="hybridMultilevel"/>
    <w:tmpl w:val="5FB878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76F4DFD"/>
    <w:multiLevelType w:val="hybridMultilevel"/>
    <w:tmpl w:val="1F988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236242"/>
    <w:multiLevelType w:val="hybridMultilevel"/>
    <w:tmpl w:val="BD9E03A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774B49"/>
    <w:multiLevelType w:val="hybridMultilevel"/>
    <w:tmpl w:val="D1B80C70"/>
    <w:name w:val="WW8Num102"/>
    <w:lvl w:ilvl="0">
      <w:start w:val="0"/>
      <w:numFmt w:val="bullet"/>
      <w:lvlText w:val=""/>
      <w:lvlJc w:val="left"/>
      <w:pPr>
        <w:tabs>
          <w:tab w:val="num" w:pos="1080"/>
        </w:tabs>
        <w:ind w:left="1080" w:hanging="360"/>
      </w:pPr>
      <w:rPr>
        <w:rFonts w:ascii="Symbol" w:eastAsia="Courier New" w:hAnsi="Symbol" w:cs="Courier New" w:hint="default"/>
        <w:color w:val="auto"/>
      </w:rPr>
    </w:lvl>
    <w:lvl w:ilvl="1" w:tentative="1">
      <w:start w:val="1"/>
      <w:numFmt w:val="bullet"/>
      <w:lvlText w:val="o"/>
      <w:lvlJc w:val="left"/>
      <w:pPr>
        <w:tabs>
          <w:tab w:val="num" w:pos="180"/>
        </w:tabs>
        <w:ind w:left="18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620"/>
        </w:tabs>
        <w:ind w:left="1620" w:hanging="360"/>
      </w:pPr>
      <w:rPr>
        <w:rFonts w:ascii="Symbol" w:hAnsi="Symbol" w:hint="default"/>
      </w:rPr>
    </w:lvl>
    <w:lvl w:ilvl="4" w:tentative="1">
      <w:start w:val="1"/>
      <w:numFmt w:val="bullet"/>
      <w:lvlText w:val="o"/>
      <w:lvlJc w:val="left"/>
      <w:pPr>
        <w:tabs>
          <w:tab w:val="num" w:pos="2340"/>
        </w:tabs>
        <w:ind w:left="2340" w:hanging="360"/>
      </w:pPr>
      <w:rPr>
        <w:rFonts w:ascii="Courier New" w:hAnsi="Courier New" w:cs="Courier New" w:hint="default"/>
      </w:rPr>
    </w:lvl>
    <w:lvl w:ilvl="5" w:tentative="1">
      <w:start w:val="1"/>
      <w:numFmt w:val="bullet"/>
      <w:lvlText w:val=""/>
      <w:lvlJc w:val="left"/>
      <w:pPr>
        <w:tabs>
          <w:tab w:val="num" w:pos="3060"/>
        </w:tabs>
        <w:ind w:left="3060" w:hanging="360"/>
      </w:pPr>
      <w:rPr>
        <w:rFonts w:ascii="Wingdings" w:hAnsi="Wingdings" w:hint="default"/>
      </w:rPr>
    </w:lvl>
    <w:lvl w:ilvl="6" w:tentative="1">
      <w:start w:val="1"/>
      <w:numFmt w:val="bullet"/>
      <w:lvlText w:val=""/>
      <w:lvlJc w:val="left"/>
      <w:pPr>
        <w:tabs>
          <w:tab w:val="num" w:pos="3780"/>
        </w:tabs>
        <w:ind w:left="3780" w:hanging="360"/>
      </w:pPr>
      <w:rPr>
        <w:rFonts w:ascii="Symbol" w:hAnsi="Symbol" w:hint="default"/>
      </w:rPr>
    </w:lvl>
    <w:lvl w:ilvl="7" w:tentative="1">
      <w:start w:val="1"/>
      <w:numFmt w:val="bullet"/>
      <w:lvlText w:val="o"/>
      <w:lvlJc w:val="left"/>
      <w:pPr>
        <w:tabs>
          <w:tab w:val="num" w:pos="4500"/>
        </w:tabs>
        <w:ind w:left="4500" w:hanging="360"/>
      </w:pPr>
      <w:rPr>
        <w:rFonts w:ascii="Courier New" w:hAnsi="Courier New" w:cs="Courier New" w:hint="default"/>
      </w:rPr>
    </w:lvl>
    <w:lvl w:ilvl="8" w:tentative="1">
      <w:start w:val="1"/>
      <w:numFmt w:val="bullet"/>
      <w:lvlText w:val=""/>
      <w:lvlJc w:val="left"/>
      <w:pPr>
        <w:tabs>
          <w:tab w:val="num" w:pos="5220"/>
        </w:tabs>
        <w:ind w:left="5220" w:hanging="360"/>
      </w:pPr>
      <w:rPr>
        <w:rFonts w:ascii="Wingdings" w:hAnsi="Wingdings" w:hint="default"/>
      </w:rPr>
    </w:lvl>
  </w:abstractNum>
  <w:abstractNum w:abstractNumId="19">
    <w:nsid w:val="7CF649D0"/>
    <w:multiLevelType w:val="hybridMultilevel"/>
    <w:tmpl w:val="51D26D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8"/>
  </w:num>
  <w:num w:numId="4">
    <w:abstractNumId w:val="12"/>
  </w:num>
  <w:num w:numId="5">
    <w:abstractNumId w:val="17"/>
  </w:num>
  <w:num w:numId="6">
    <w:abstractNumId w:val="1"/>
  </w:num>
  <w:num w:numId="7">
    <w:abstractNumId w:val="15"/>
  </w:num>
  <w:num w:numId="8">
    <w:abstractNumId w:val="4"/>
  </w:num>
  <w:num w:numId="9">
    <w:abstractNumId w:val="13"/>
  </w:num>
  <w:num w:numId="10">
    <w:abstractNumId w:val="11"/>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6"/>
  </w:num>
  <w:num w:numId="16">
    <w:abstractNumId w:val="7"/>
  </w:num>
  <w:num w:numId="17">
    <w:abstractNumId w:val="14"/>
  </w:num>
  <w:num w:numId="18">
    <w:abstractNumId w:val="9"/>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55"/>
    <w:rsid w:val="000162BD"/>
    <w:rsid w:val="00022EE1"/>
    <w:rsid w:val="00026103"/>
    <w:rsid w:val="00026BC3"/>
    <w:rsid w:val="00030583"/>
    <w:rsid w:val="00034B5C"/>
    <w:rsid w:val="00036C68"/>
    <w:rsid w:val="000432CC"/>
    <w:rsid w:val="00044D23"/>
    <w:rsid w:val="00044EE6"/>
    <w:rsid w:val="00056602"/>
    <w:rsid w:val="000603F8"/>
    <w:rsid w:val="00081675"/>
    <w:rsid w:val="0008167D"/>
    <w:rsid w:val="000A2965"/>
    <w:rsid w:val="000A4E49"/>
    <w:rsid w:val="000A726B"/>
    <w:rsid w:val="000C7CC1"/>
    <w:rsid w:val="000D01DF"/>
    <w:rsid w:val="000E1790"/>
    <w:rsid w:val="000E3ECE"/>
    <w:rsid w:val="000E520C"/>
    <w:rsid w:val="000E62C2"/>
    <w:rsid w:val="000F60DE"/>
    <w:rsid w:val="000F6F1E"/>
    <w:rsid w:val="00105268"/>
    <w:rsid w:val="001068CC"/>
    <w:rsid w:val="00111A98"/>
    <w:rsid w:val="00115661"/>
    <w:rsid w:val="00116572"/>
    <w:rsid w:val="00117D09"/>
    <w:rsid w:val="00124A51"/>
    <w:rsid w:val="00124E1D"/>
    <w:rsid w:val="001266FD"/>
    <w:rsid w:val="00142976"/>
    <w:rsid w:val="00146383"/>
    <w:rsid w:val="00153D38"/>
    <w:rsid w:val="00154820"/>
    <w:rsid w:val="001559C9"/>
    <w:rsid w:val="00160000"/>
    <w:rsid w:val="00161604"/>
    <w:rsid w:val="00162AC0"/>
    <w:rsid w:val="001636EA"/>
    <w:rsid w:val="00166B43"/>
    <w:rsid w:val="00171BAC"/>
    <w:rsid w:val="0017271A"/>
    <w:rsid w:val="0018191A"/>
    <w:rsid w:val="00181D38"/>
    <w:rsid w:val="0018516A"/>
    <w:rsid w:val="00187F94"/>
    <w:rsid w:val="00190F6D"/>
    <w:rsid w:val="001A126A"/>
    <w:rsid w:val="001A2B6C"/>
    <w:rsid w:val="001A2FA2"/>
    <w:rsid w:val="001A7922"/>
    <w:rsid w:val="001B2ACE"/>
    <w:rsid w:val="001B48E4"/>
    <w:rsid w:val="001B5190"/>
    <w:rsid w:val="001C0729"/>
    <w:rsid w:val="001C3D2F"/>
    <w:rsid w:val="001D404C"/>
    <w:rsid w:val="001E0643"/>
    <w:rsid w:val="001E0A31"/>
    <w:rsid w:val="001E46DC"/>
    <w:rsid w:val="001E5ABA"/>
    <w:rsid w:val="002003FE"/>
    <w:rsid w:val="002016CA"/>
    <w:rsid w:val="00205447"/>
    <w:rsid w:val="002062AB"/>
    <w:rsid w:val="0020669D"/>
    <w:rsid w:val="00206907"/>
    <w:rsid w:val="0021137A"/>
    <w:rsid w:val="00211484"/>
    <w:rsid w:val="00213440"/>
    <w:rsid w:val="002236DE"/>
    <w:rsid w:val="00223737"/>
    <w:rsid w:val="00232737"/>
    <w:rsid w:val="002361C9"/>
    <w:rsid w:val="00236899"/>
    <w:rsid w:val="00247C57"/>
    <w:rsid w:val="00252154"/>
    <w:rsid w:val="00254BAB"/>
    <w:rsid w:val="002571B7"/>
    <w:rsid w:val="002624A4"/>
    <w:rsid w:val="002672CE"/>
    <w:rsid w:val="00270A3E"/>
    <w:rsid w:val="00271D2E"/>
    <w:rsid w:val="00280A23"/>
    <w:rsid w:val="00282841"/>
    <w:rsid w:val="00286931"/>
    <w:rsid w:val="00294DAB"/>
    <w:rsid w:val="002B14FE"/>
    <w:rsid w:val="002C16BC"/>
    <w:rsid w:val="002D092E"/>
    <w:rsid w:val="002D1087"/>
    <w:rsid w:val="002D29B2"/>
    <w:rsid w:val="002D43F4"/>
    <w:rsid w:val="002D6B14"/>
    <w:rsid w:val="002F4178"/>
    <w:rsid w:val="00312118"/>
    <w:rsid w:val="00312719"/>
    <w:rsid w:val="00313237"/>
    <w:rsid w:val="00316F10"/>
    <w:rsid w:val="00320082"/>
    <w:rsid w:val="0034143F"/>
    <w:rsid w:val="003442F3"/>
    <w:rsid w:val="003511F6"/>
    <w:rsid w:val="003541C0"/>
    <w:rsid w:val="0035556B"/>
    <w:rsid w:val="00360D1A"/>
    <w:rsid w:val="003623EB"/>
    <w:rsid w:val="00363AA7"/>
    <w:rsid w:val="00364E4D"/>
    <w:rsid w:val="0036724D"/>
    <w:rsid w:val="00372CD3"/>
    <w:rsid w:val="00390A9C"/>
    <w:rsid w:val="00392616"/>
    <w:rsid w:val="0039682A"/>
    <w:rsid w:val="003A28ED"/>
    <w:rsid w:val="003B00C6"/>
    <w:rsid w:val="003B0EA1"/>
    <w:rsid w:val="003B38AD"/>
    <w:rsid w:val="003B5503"/>
    <w:rsid w:val="003B7D6D"/>
    <w:rsid w:val="003C6B46"/>
    <w:rsid w:val="003D5CA4"/>
    <w:rsid w:val="003E0CB0"/>
    <w:rsid w:val="003E13C4"/>
    <w:rsid w:val="003E65AB"/>
    <w:rsid w:val="003F49AE"/>
    <w:rsid w:val="003F7F73"/>
    <w:rsid w:val="00406ABE"/>
    <w:rsid w:val="00407915"/>
    <w:rsid w:val="00416AE0"/>
    <w:rsid w:val="00416DCC"/>
    <w:rsid w:val="00421047"/>
    <w:rsid w:val="0042526C"/>
    <w:rsid w:val="004255E7"/>
    <w:rsid w:val="00426DE9"/>
    <w:rsid w:val="00431D20"/>
    <w:rsid w:val="00432A5D"/>
    <w:rsid w:val="004332A6"/>
    <w:rsid w:val="00434D5C"/>
    <w:rsid w:val="004429FA"/>
    <w:rsid w:val="00443CBA"/>
    <w:rsid w:val="00446DD8"/>
    <w:rsid w:val="00453E1F"/>
    <w:rsid w:val="00460D87"/>
    <w:rsid w:val="00464448"/>
    <w:rsid w:val="00464BA0"/>
    <w:rsid w:val="004659A8"/>
    <w:rsid w:val="00466114"/>
    <w:rsid w:val="00471F3C"/>
    <w:rsid w:val="004859BE"/>
    <w:rsid w:val="00486597"/>
    <w:rsid w:val="0049471E"/>
    <w:rsid w:val="0049595A"/>
    <w:rsid w:val="004A18BD"/>
    <w:rsid w:val="004A7D4E"/>
    <w:rsid w:val="004B5B94"/>
    <w:rsid w:val="004C0A58"/>
    <w:rsid w:val="004C43DD"/>
    <w:rsid w:val="004C6113"/>
    <w:rsid w:val="004D2B9F"/>
    <w:rsid w:val="004E19ED"/>
    <w:rsid w:val="004E6764"/>
    <w:rsid w:val="004F013E"/>
    <w:rsid w:val="004F141B"/>
    <w:rsid w:val="004F2E20"/>
    <w:rsid w:val="004F544E"/>
    <w:rsid w:val="004F6613"/>
    <w:rsid w:val="005072E4"/>
    <w:rsid w:val="00527293"/>
    <w:rsid w:val="00532627"/>
    <w:rsid w:val="00536B38"/>
    <w:rsid w:val="0054195B"/>
    <w:rsid w:val="0054452C"/>
    <w:rsid w:val="00546BB7"/>
    <w:rsid w:val="00551AE0"/>
    <w:rsid w:val="00551B36"/>
    <w:rsid w:val="00560022"/>
    <w:rsid w:val="0056285B"/>
    <w:rsid w:val="00563231"/>
    <w:rsid w:val="0056581D"/>
    <w:rsid w:val="00571320"/>
    <w:rsid w:val="00582474"/>
    <w:rsid w:val="0058295F"/>
    <w:rsid w:val="00583A8D"/>
    <w:rsid w:val="005841E7"/>
    <w:rsid w:val="005961BF"/>
    <w:rsid w:val="005A724D"/>
    <w:rsid w:val="005B4871"/>
    <w:rsid w:val="005B7247"/>
    <w:rsid w:val="005C25D5"/>
    <w:rsid w:val="005C6F87"/>
    <w:rsid w:val="005D5679"/>
    <w:rsid w:val="005E52D6"/>
    <w:rsid w:val="00601C91"/>
    <w:rsid w:val="00604C3D"/>
    <w:rsid w:val="006102E1"/>
    <w:rsid w:val="0061170A"/>
    <w:rsid w:val="00613DB9"/>
    <w:rsid w:val="0061692B"/>
    <w:rsid w:val="00623095"/>
    <w:rsid w:val="006230B7"/>
    <w:rsid w:val="0063017F"/>
    <w:rsid w:val="00631B75"/>
    <w:rsid w:val="0063340C"/>
    <w:rsid w:val="006341FB"/>
    <w:rsid w:val="00637882"/>
    <w:rsid w:val="006379BF"/>
    <w:rsid w:val="00642EC5"/>
    <w:rsid w:val="00645DFE"/>
    <w:rsid w:val="00650C20"/>
    <w:rsid w:val="0067117F"/>
    <w:rsid w:val="00671226"/>
    <w:rsid w:val="006726B2"/>
    <w:rsid w:val="00672D9C"/>
    <w:rsid w:val="00675D9F"/>
    <w:rsid w:val="00677568"/>
    <w:rsid w:val="0068222E"/>
    <w:rsid w:val="006848DB"/>
    <w:rsid w:val="006924DB"/>
    <w:rsid w:val="006A21C4"/>
    <w:rsid w:val="006A61F3"/>
    <w:rsid w:val="006B585D"/>
    <w:rsid w:val="006C6946"/>
    <w:rsid w:val="006D1A94"/>
    <w:rsid w:val="006D3D17"/>
    <w:rsid w:val="006E074C"/>
    <w:rsid w:val="006E151E"/>
    <w:rsid w:val="006E4ED0"/>
    <w:rsid w:val="0070035E"/>
    <w:rsid w:val="0070270E"/>
    <w:rsid w:val="00710D77"/>
    <w:rsid w:val="00721421"/>
    <w:rsid w:val="0072417D"/>
    <w:rsid w:val="00725528"/>
    <w:rsid w:val="0073226F"/>
    <w:rsid w:val="007401FE"/>
    <w:rsid w:val="00741CD6"/>
    <w:rsid w:val="00742CF2"/>
    <w:rsid w:val="0074326B"/>
    <w:rsid w:val="0075326B"/>
    <w:rsid w:val="00760CF6"/>
    <w:rsid w:val="00766A56"/>
    <w:rsid w:val="007729EF"/>
    <w:rsid w:val="007735F0"/>
    <w:rsid w:val="007749D9"/>
    <w:rsid w:val="007811C8"/>
    <w:rsid w:val="00781405"/>
    <w:rsid w:val="00783C56"/>
    <w:rsid w:val="00787901"/>
    <w:rsid w:val="00787A12"/>
    <w:rsid w:val="00794759"/>
    <w:rsid w:val="007955CE"/>
    <w:rsid w:val="00795B9F"/>
    <w:rsid w:val="007A5795"/>
    <w:rsid w:val="007A624D"/>
    <w:rsid w:val="007B3D42"/>
    <w:rsid w:val="007B6069"/>
    <w:rsid w:val="007B70B0"/>
    <w:rsid w:val="007C0967"/>
    <w:rsid w:val="007C755E"/>
    <w:rsid w:val="007C7DDC"/>
    <w:rsid w:val="007E4925"/>
    <w:rsid w:val="007F0E37"/>
    <w:rsid w:val="007F38F2"/>
    <w:rsid w:val="0080085D"/>
    <w:rsid w:val="008026A1"/>
    <w:rsid w:val="008041A9"/>
    <w:rsid w:val="00820162"/>
    <w:rsid w:val="00823C3E"/>
    <w:rsid w:val="00837D04"/>
    <w:rsid w:val="00857928"/>
    <w:rsid w:val="00863E47"/>
    <w:rsid w:val="0086408D"/>
    <w:rsid w:val="00866C05"/>
    <w:rsid w:val="00876E96"/>
    <w:rsid w:val="008818E7"/>
    <w:rsid w:val="008862CA"/>
    <w:rsid w:val="008A2871"/>
    <w:rsid w:val="008A5B78"/>
    <w:rsid w:val="008B318F"/>
    <w:rsid w:val="008D40B6"/>
    <w:rsid w:val="008D7755"/>
    <w:rsid w:val="008E7683"/>
    <w:rsid w:val="008F4A10"/>
    <w:rsid w:val="008F51F6"/>
    <w:rsid w:val="009010E8"/>
    <w:rsid w:val="00901B5B"/>
    <w:rsid w:val="0090405F"/>
    <w:rsid w:val="00904F48"/>
    <w:rsid w:val="00911695"/>
    <w:rsid w:val="009177D9"/>
    <w:rsid w:val="00921110"/>
    <w:rsid w:val="00934EA1"/>
    <w:rsid w:val="00943F43"/>
    <w:rsid w:val="009466AC"/>
    <w:rsid w:val="009559AE"/>
    <w:rsid w:val="0095686A"/>
    <w:rsid w:val="00963259"/>
    <w:rsid w:val="00964966"/>
    <w:rsid w:val="00971E9E"/>
    <w:rsid w:val="009728CD"/>
    <w:rsid w:val="009837D6"/>
    <w:rsid w:val="0098451F"/>
    <w:rsid w:val="00985658"/>
    <w:rsid w:val="00986741"/>
    <w:rsid w:val="00997B2A"/>
    <w:rsid w:val="009A191D"/>
    <w:rsid w:val="009A446A"/>
    <w:rsid w:val="009A5DF3"/>
    <w:rsid w:val="009B0A25"/>
    <w:rsid w:val="009B12EE"/>
    <w:rsid w:val="009B71CC"/>
    <w:rsid w:val="009C30F1"/>
    <w:rsid w:val="009C5F4B"/>
    <w:rsid w:val="009D0655"/>
    <w:rsid w:val="009D3265"/>
    <w:rsid w:val="009D5DC3"/>
    <w:rsid w:val="009E4E2E"/>
    <w:rsid w:val="009F11F9"/>
    <w:rsid w:val="009F4EE6"/>
    <w:rsid w:val="009F76EF"/>
    <w:rsid w:val="00A048B6"/>
    <w:rsid w:val="00A11A87"/>
    <w:rsid w:val="00A15B47"/>
    <w:rsid w:val="00A22AAE"/>
    <w:rsid w:val="00A260E2"/>
    <w:rsid w:val="00A41674"/>
    <w:rsid w:val="00A4318E"/>
    <w:rsid w:val="00A43D91"/>
    <w:rsid w:val="00A46A16"/>
    <w:rsid w:val="00A47774"/>
    <w:rsid w:val="00A47F7E"/>
    <w:rsid w:val="00A51F00"/>
    <w:rsid w:val="00A60928"/>
    <w:rsid w:val="00A67C9B"/>
    <w:rsid w:val="00A70B9A"/>
    <w:rsid w:val="00A73664"/>
    <w:rsid w:val="00A73E03"/>
    <w:rsid w:val="00A82790"/>
    <w:rsid w:val="00A828E9"/>
    <w:rsid w:val="00A97FD8"/>
    <w:rsid w:val="00AA4394"/>
    <w:rsid w:val="00AB6901"/>
    <w:rsid w:val="00AC02E5"/>
    <w:rsid w:val="00AD36BB"/>
    <w:rsid w:val="00AD757E"/>
    <w:rsid w:val="00AE0485"/>
    <w:rsid w:val="00AF6505"/>
    <w:rsid w:val="00B005F1"/>
    <w:rsid w:val="00B05EBC"/>
    <w:rsid w:val="00B07EBF"/>
    <w:rsid w:val="00B12139"/>
    <w:rsid w:val="00B143A8"/>
    <w:rsid w:val="00B16045"/>
    <w:rsid w:val="00B235D8"/>
    <w:rsid w:val="00B2383D"/>
    <w:rsid w:val="00B24D76"/>
    <w:rsid w:val="00B2554F"/>
    <w:rsid w:val="00B3366A"/>
    <w:rsid w:val="00B35D13"/>
    <w:rsid w:val="00B66E42"/>
    <w:rsid w:val="00B73F81"/>
    <w:rsid w:val="00B761A6"/>
    <w:rsid w:val="00B91D12"/>
    <w:rsid w:val="00B94AB9"/>
    <w:rsid w:val="00BA5B9A"/>
    <w:rsid w:val="00BB40AA"/>
    <w:rsid w:val="00BB522C"/>
    <w:rsid w:val="00BB58F0"/>
    <w:rsid w:val="00BC54A3"/>
    <w:rsid w:val="00BD1F78"/>
    <w:rsid w:val="00BE44CF"/>
    <w:rsid w:val="00BE60CA"/>
    <w:rsid w:val="00BF60CC"/>
    <w:rsid w:val="00C03946"/>
    <w:rsid w:val="00C05400"/>
    <w:rsid w:val="00C1425A"/>
    <w:rsid w:val="00C1569F"/>
    <w:rsid w:val="00C15937"/>
    <w:rsid w:val="00C239E0"/>
    <w:rsid w:val="00C35C0B"/>
    <w:rsid w:val="00C517E3"/>
    <w:rsid w:val="00C52DC4"/>
    <w:rsid w:val="00C56FE2"/>
    <w:rsid w:val="00C57720"/>
    <w:rsid w:val="00C677D3"/>
    <w:rsid w:val="00C756CC"/>
    <w:rsid w:val="00C75C49"/>
    <w:rsid w:val="00C7695C"/>
    <w:rsid w:val="00C83F37"/>
    <w:rsid w:val="00C8434F"/>
    <w:rsid w:val="00C90326"/>
    <w:rsid w:val="00C9728E"/>
    <w:rsid w:val="00CA7B7F"/>
    <w:rsid w:val="00CB051F"/>
    <w:rsid w:val="00CB69DD"/>
    <w:rsid w:val="00CC0452"/>
    <w:rsid w:val="00CC1815"/>
    <w:rsid w:val="00CE0EC2"/>
    <w:rsid w:val="00CF3451"/>
    <w:rsid w:val="00CF4C12"/>
    <w:rsid w:val="00CF508C"/>
    <w:rsid w:val="00CF6B93"/>
    <w:rsid w:val="00CF6BD5"/>
    <w:rsid w:val="00CF7CB8"/>
    <w:rsid w:val="00D00A44"/>
    <w:rsid w:val="00D061BD"/>
    <w:rsid w:val="00D07BCC"/>
    <w:rsid w:val="00D108F6"/>
    <w:rsid w:val="00D17DC6"/>
    <w:rsid w:val="00D24D7E"/>
    <w:rsid w:val="00D31C30"/>
    <w:rsid w:val="00D339E9"/>
    <w:rsid w:val="00D342C4"/>
    <w:rsid w:val="00D34531"/>
    <w:rsid w:val="00D4098B"/>
    <w:rsid w:val="00D63AD7"/>
    <w:rsid w:val="00D73222"/>
    <w:rsid w:val="00D73D1A"/>
    <w:rsid w:val="00D82230"/>
    <w:rsid w:val="00D93738"/>
    <w:rsid w:val="00D9599D"/>
    <w:rsid w:val="00D95FE5"/>
    <w:rsid w:val="00D964A5"/>
    <w:rsid w:val="00D966EE"/>
    <w:rsid w:val="00DA34F4"/>
    <w:rsid w:val="00DA4D88"/>
    <w:rsid w:val="00DB729B"/>
    <w:rsid w:val="00DC133E"/>
    <w:rsid w:val="00DC6A2C"/>
    <w:rsid w:val="00DC7AF3"/>
    <w:rsid w:val="00DD37B5"/>
    <w:rsid w:val="00DE393E"/>
    <w:rsid w:val="00DE5FB5"/>
    <w:rsid w:val="00DE6320"/>
    <w:rsid w:val="00DE7C3F"/>
    <w:rsid w:val="00DF576C"/>
    <w:rsid w:val="00E1051F"/>
    <w:rsid w:val="00E10AF1"/>
    <w:rsid w:val="00E11DC4"/>
    <w:rsid w:val="00E2070B"/>
    <w:rsid w:val="00E22069"/>
    <w:rsid w:val="00E2389F"/>
    <w:rsid w:val="00E24C46"/>
    <w:rsid w:val="00E307CA"/>
    <w:rsid w:val="00E30EC4"/>
    <w:rsid w:val="00E47019"/>
    <w:rsid w:val="00E5707B"/>
    <w:rsid w:val="00E6672F"/>
    <w:rsid w:val="00E70834"/>
    <w:rsid w:val="00E71715"/>
    <w:rsid w:val="00E76BB5"/>
    <w:rsid w:val="00E904C6"/>
    <w:rsid w:val="00E90C94"/>
    <w:rsid w:val="00E93925"/>
    <w:rsid w:val="00E964BF"/>
    <w:rsid w:val="00EA2ECA"/>
    <w:rsid w:val="00EB3738"/>
    <w:rsid w:val="00EC03E2"/>
    <w:rsid w:val="00EC22EA"/>
    <w:rsid w:val="00ED6B54"/>
    <w:rsid w:val="00ED7618"/>
    <w:rsid w:val="00EE0B46"/>
    <w:rsid w:val="00EE1B23"/>
    <w:rsid w:val="00EE66F1"/>
    <w:rsid w:val="00EE73FD"/>
    <w:rsid w:val="00F043FF"/>
    <w:rsid w:val="00F06D33"/>
    <w:rsid w:val="00F153EE"/>
    <w:rsid w:val="00F16A85"/>
    <w:rsid w:val="00F218AF"/>
    <w:rsid w:val="00F22A10"/>
    <w:rsid w:val="00F23393"/>
    <w:rsid w:val="00F23D0F"/>
    <w:rsid w:val="00F31A57"/>
    <w:rsid w:val="00F32DE5"/>
    <w:rsid w:val="00F37BAD"/>
    <w:rsid w:val="00F47FEC"/>
    <w:rsid w:val="00F50CD6"/>
    <w:rsid w:val="00F5797B"/>
    <w:rsid w:val="00F63579"/>
    <w:rsid w:val="00F72D8F"/>
    <w:rsid w:val="00F759FB"/>
    <w:rsid w:val="00F76673"/>
    <w:rsid w:val="00F81125"/>
    <w:rsid w:val="00F84D3F"/>
    <w:rsid w:val="00F86D3B"/>
    <w:rsid w:val="00F8746E"/>
    <w:rsid w:val="00F87953"/>
    <w:rsid w:val="00F95F7A"/>
    <w:rsid w:val="00FA139B"/>
    <w:rsid w:val="00FA2738"/>
    <w:rsid w:val="00FA3462"/>
    <w:rsid w:val="00FA3941"/>
    <w:rsid w:val="00FA3C86"/>
    <w:rsid w:val="00FA5ADF"/>
    <w:rsid w:val="00FA60CD"/>
    <w:rsid w:val="00FB18B4"/>
    <w:rsid w:val="00FB2E00"/>
    <w:rsid w:val="00FB623A"/>
    <w:rsid w:val="00FC324A"/>
    <w:rsid w:val="00FD6CC3"/>
    <w:rsid w:val="00FF3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66D40A"/>
  <w15:chartTrackingRefBased/>
  <w15:docId w15:val="{6F7428A0-B1EA-414A-9759-74E9F6B0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link w:val="NoSpacingChar"/>
    <w:uiPriority w:val="1"/>
    <w:qFormat/>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NoSpacingChar">
    <w:name w:val="No Spacing Char"/>
    <w:link w:val="NoSpacing"/>
    <w:rsid w:val="008D7755"/>
    <w:rPr>
      <w:rFonts w:cs="Times New Roman"/>
      <w:sz w:val="24"/>
    </w:rPr>
  </w:style>
  <w:style w:type="paragraph" w:styleId="ListParagraph">
    <w:name w:val="List Paragraph"/>
    <w:basedOn w:val="Normal"/>
    <w:uiPriority w:val="34"/>
    <w:qFormat/>
    <w:rsid w:val="008D7755"/>
    <w:pPr>
      <w:spacing w:after="0"/>
      <w:ind w:left="720"/>
    </w:pPr>
    <w:rPr>
      <w:rFonts w:eastAsia="Calibri" w:cs="Calibri"/>
      <w:sz w:val="22"/>
      <w:szCs w:val="22"/>
    </w:rPr>
  </w:style>
  <w:style w:type="paragraph" w:styleId="HTMLPreformatted">
    <w:name w:val="HTML Preformatted"/>
    <w:basedOn w:val="Normal"/>
    <w:link w:val="HTMLPreformattedChar"/>
    <w:rsid w:val="00E1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sz w:val="20"/>
      <w:lang w:eastAsia="zh-CN"/>
    </w:rPr>
  </w:style>
  <w:style w:type="character" w:customStyle="1" w:styleId="HTMLPreformattedChar">
    <w:name w:val="HTML Preformatted Char"/>
    <w:link w:val="HTMLPreformatted"/>
    <w:rsid w:val="00E1051F"/>
    <w:rPr>
      <w:rFonts w:ascii="Courier New" w:eastAsia="SimSun" w:hAnsi="Courier New" w:cs="Courier New"/>
      <w:lang w:eastAsia="zh-CN"/>
    </w:rPr>
  </w:style>
  <w:style w:type="character" w:styleId="CommentReference">
    <w:name w:val="annotation reference"/>
    <w:uiPriority w:val="99"/>
    <w:semiHidden/>
    <w:unhideWhenUsed/>
    <w:rsid w:val="004F6613"/>
    <w:rPr>
      <w:sz w:val="16"/>
      <w:szCs w:val="16"/>
    </w:rPr>
  </w:style>
  <w:style w:type="paragraph" w:styleId="CommentText">
    <w:name w:val="annotation text"/>
    <w:basedOn w:val="Normal"/>
    <w:link w:val="CommentTextChar"/>
    <w:uiPriority w:val="99"/>
    <w:semiHidden/>
    <w:unhideWhenUsed/>
    <w:rsid w:val="004F6613"/>
    <w:rPr>
      <w:sz w:val="20"/>
    </w:rPr>
  </w:style>
  <w:style w:type="character" w:customStyle="1" w:styleId="CommentTextChar">
    <w:name w:val="Comment Text Char"/>
    <w:link w:val="CommentText"/>
    <w:uiPriority w:val="99"/>
    <w:semiHidden/>
    <w:rsid w:val="004F6613"/>
    <w:rPr>
      <w:rFonts w:cs="Times New Roman"/>
    </w:rPr>
  </w:style>
  <w:style w:type="paragraph" w:styleId="CommentSubject">
    <w:name w:val="annotation subject"/>
    <w:basedOn w:val="CommentText"/>
    <w:next w:val="CommentText"/>
    <w:link w:val="CommentSubjectChar"/>
    <w:uiPriority w:val="99"/>
    <w:semiHidden/>
    <w:unhideWhenUsed/>
    <w:rsid w:val="004F6613"/>
    <w:rPr>
      <w:b/>
      <w:bCs/>
    </w:rPr>
  </w:style>
  <w:style w:type="character" w:customStyle="1" w:styleId="CommentSubjectChar">
    <w:name w:val="Comment Subject Char"/>
    <w:link w:val="CommentSubject"/>
    <w:uiPriority w:val="99"/>
    <w:semiHidden/>
    <w:rsid w:val="004F6613"/>
    <w:rPr>
      <w:rFonts w:cs="Times New Roman"/>
      <w:b/>
      <w:bCs/>
    </w:rPr>
  </w:style>
  <w:style w:type="paragraph" w:styleId="NormalWeb">
    <w:name w:val="Normal (Web)"/>
    <w:basedOn w:val="Normal"/>
    <w:uiPriority w:val="99"/>
    <w:unhideWhenUsed/>
    <w:rsid w:val="0070270E"/>
    <w:pPr>
      <w:spacing w:before="100" w:beforeAutospacing="1" w:after="100" w:afterAutospacing="1"/>
    </w:pPr>
    <w:rPr>
      <w:rFonts w:ascii="Times New Roman" w:hAnsi="Times New Roman"/>
      <w:szCs w:val="24"/>
    </w:rPr>
  </w:style>
  <w:style w:type="character" w:styleId="Hyperlink">
    <w:name w:val="Hyperlink"/>
    <w:rsid w:val="005B7247"/>
    <w:rPr>
      <w:rFonts w:cs="Times New Roman"/>
      <w:color w:val="0000FF"/>
      <w:u w:val="single"/>
    </w:rPr>
  </w:style>
  <w:style w:type="paragraph" w:styleId="Revision">
    <w:name w:val="Revision"/>
    <w:hidden/>
    <w:uiPriority w:val="99"/>
    <w:semiHidden/>
    <w:rsid w:val="003623E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D4F6-D71D-4F7F-BE3C-6B62DD57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 Madison, OEST, DSA</dc:creator>
  <cp:lastModifiedBy>Naomi Sipple</cp:lastModifiedBy>
  <cp:revision>3</cp:revision>
  <cp:lastPrinted>2016-02-23T20:49:00Z</cp:lastPrinted>
  <dcterms:created xsi:type="dcterms:W3CDTF">2023-03-16T14:22:00Z</dcterms:created>
  <dcterms:modified xsi:type="dcterms:W3CDTF">2023-03-16T15:37:00Z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1225511949</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IRES and eAccess Change Requests (0626 and 0789) Revisions</vt:lpwstr>
  </property>
  <property fmtid="{D5CDD505-2E9C-101B-9397-08002B2CF9AE}" pid="6" name="_NewReviewCycle">
    <vt:lpwstr/>
  </property>
  <property fmtid="{D5CDD505-2E9C-101B-9397-08002B2CF9AE}" pid="7" name="_PreviousAdHocReviewCycleID">
    <vt:i4>-1007558249</vt:i4>
  </property>
  <property fmtid="{D5CDD505-2E9C-101B-9397-08002B2CF9AE}" pid="8" name="_ReviewingToolsShownOnce">
    <vt:lpwstr/>
  </property>
</Properties>
</file>