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5985" w:rsidR="005E714A" w:rsidP="00F06866" w:rsidRDefault="00F06866" w14:paraId="114A5A03" w14:textId="3712E36F">
      <w:pPr>
        <w:pStyle w:val="Heading2"/>
        <w:tabs>
          <w:tab w:val="left" w:pos="900"/>
        </w:tabs>
        <w:ind w:right="-180"/>
      </w:pPr>
      <w:r w:rsidRPr="00525985">
        <w:rPr>
          <w:sz w:val="28"/>
        </w:rPr>
        <w:t xml:space="preserve">Request for Approval under the “Generic Clearance for the Collection of </w:t>
      </w:r>
      <w:r w:rsidRPr="00525985" w:rsidR="00841AFC">
        <w:rPr>
          <w:sz w:val="28"/>
        </w:rPr>
        <w:t>Mandatory Grant Financial Reports</w:t>
      </w:r>
      <w:r w:rsidRPr="00525985">
        <w:rPr>
          <w:sz w:val="28"/>
        </w:rPr>
        <w:t xml:space="preserve">” (OMB Control Number: </w:t>
      </w:r>
      <w:r w:rsidR="0095483E">
        <w:rPr>
          <w:sz w:val="28"/>
        </w:rPr>
        <w:t>0970-0510</w:t>
      </w:r>
      <w:r w:rsidRPr="00525985" w:rsidR="006B310E">
        <w:rPr>
          <w:sz w:val="28"/>
        </w:rPr>
        <w:t>) Expiration date 5/31/</w:t>
      </w:r>
      <w:r w:rsidRPr="00525985" w:rsidR="00C20198">
        <w:rPr>
          <w:sz w:val="28"/>
        </w:rPr>
        <w:t>2024</w:t>
      </w:r>
    </w:p>
    <w:p w:rsidRPr="00525985" w:rsidR="00E50293" w:rsidP="00434E33" w:rsidRDefault="00E0599E" w14:paraId="6C6BE287" w14:textId="6F6A2A66">
      <w:pPr>
        <w:rPr>
          <w:b/>
        </w:rPr>
      </w:pPr>
      <w:r w:rsidRPr="00525985">
        <w:rPr>
          <w:b/>
          <w:noProof/>
        </w:rPr>
        <mc:AlternateContent>
          <mc:Choice Requires="wps">
            <w:drawing>
              <wp:anchor distT="0" distB="0" distL="114300" distR="114300" simplePos="0" relativeHeight="251657216" behindDoc="0" locked="0" layoutInCell="0" allowOverlap="1" wp14:editId="17B60623" wp14:anchorId="50318B33">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5D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525985" w:rsidR="005E714A">
        <w:rPr>
          <w:b/>
        </w:rPr>
        <w:t>TITLE OF INFORMATION COLLECTION:</w:t>
      </w:r>
      <w:r w:rsidRPr="00525985" w:rsidR="005E714A">
        <w:t xml:space="preserve">  </w:t>
      </w:r>
      <w:r w:rsidRPr="00525985" w:rsidR="002B279E">
        <w:rPr>
          <w:iCs/>
        </w:rPr>
        <w:t xml:space="preserve">ACF – 196P, </w:t>
      </w:r>
      <w:r w:rsidRPr="00525985" w:rsidR="002B279E">
        <w:t>TANF Pandemic Emergency Assistance Fund (PEAF) Financial Report for States, Territories and Tribes</w:t>
      </w:r>
    </w:p>
    <w:p w:rsidRPr="00525985" w:rsidR="005E714A" w:rsidRDefault="005E714A" w14:paraId="01DE5327" w14:textId="77777777"/>
    <w:p w:rsidRPr="00525985" w:rsidR="009B10CF" w:rsidP="0047080B" w:rsidRDefault="00F15956" w14:paraId="0B9612CF" w14:textId="58E8CC90">
      <w:r w:rsidRPr="00525985">
        <w:rPr>
          <w:b/>
        </w:rPr>
        <w:t>PURPOSE:</w:t>
      </w:r>
      <w:r w:rsidRPr="00525985" w:rsidR="00C14CC4">
        <w:rPr>
          <w:b/>
        </w:rPr>
        <w:t xml:space="preserve">  </w:t>
      </w:r>
      <w:r w:rsidRPr="00525985" w:rsidR="009B10CF">
        <w:t xml:space="preserve">Section 403(c)(6)(A) of the Social Security Act was augmented by the passage of </w:t>
      </w:r>
      <w:r w:rsidRPr="00525985" w:rsidR="00525985">
        <w:t xml:space="preserve">the American Rescue Plan Act of 2021 (ARPA; </w:t>
      </w:r>
      <w:r w:rsidRPr="00525985" w:rsidR="009B10CF">
        <w:t>P.L. 117-2</w:t>
      </w:r>
      <w:r w:rsidRPr="00525985" w:rsidR="00525985">
        <w:t>)</w:t>
      </w:r>
      <w:r w:rsidRPr="00525985" w:rsidR="009B10CF">
        <w:t xml:space="preserve"> with an opportunity for funding to provide non-recurrent, short term benefits and associated administrative costs to supplement, but not supplant, other federal, state, tribal, territorial, or local funds in meeting the emergency needs of recipients. </w:t>
      </w:r>
    </w:p>
    <w:p w:rsidRPr="00525985" w:rsidR="0047080B" w:rsidP="0047080B" w:rsidRDefault="0047080B" w14:paraId="6D16281F" w14:textId="77777777"/>
    <w:p w:rsidRPr="00525985" w:rsidR="00DB113C" w:rsidP="00525985" w:rsidRDefault="00DB113C" w14:paraId="196CDFC0" w14:textId="7B9C8CC4">
      <w:pPr>
        <w:pStyle w:val="NormalWeb"/>
        <w:spacing w:before="0" w:beforeAutospacing="0" w:after="0" w:afterAutospacing="0"/>
        <w:rPr>
          <w:color w:val="auto"/>
        </w:rPr>
      </w:pPr>
      <w:r w:rsidRPr="00525985">
        <w:rPr>
          <w:color w:val="auto"/>
        </w:rPr>
        <w:t xml:space="preserve">This </w:t>
      </w:r>
      <w:r w:rsidRPr="00525985" w:rsidR="009B10CF">
        <w:rPr>
          <w:color w:val="auto"/>
        </w:rPr>
        <w:t xml:space="preserve">information </w:t>
      </w:r>
      <w:r w:rsidRPr="00525985">
        <w:rPr>
          <w:color w:val="auto"/>
        </w:rPr>
        <w:t xml:space="preserve">request </w:t>
      </w:r>
      <w:r w:rsidRPr="00525985" w:rsidR="00525985">
        <w:rPr>
          <w:color w:val="auto"/>
        </w:rPr>
        <w:t>is for a financial reporting form</w:t>
      </w:r>
      <w:r w:rsidR="00525985">
        <w:rPr>
          <w:color w:val="auto"/>
        </w:rPr>
        <w:t xml:space="preserve"> (ACF-196P)</w:t>
      </w:r>
      <w:r w:rsidRPr="00525985" w:rsidR="00525985">
        <w:rPr>
          <w:color w:val="auto"/>
        </w:rPr>
        <w:t xml:space="preserve"> to be completed by </w:t>
      </w:r>
      <w:r w:rsidRPr="00525985" w:rsidR="00525985">
        <w:t xml:space="preserve">state, territory and tribal grantees awarded Temporary Assistance for Needy Families (TANF) Pandemic Emergency Assistance Funding, as authorized by the ARPA. The information collected </w:t>
      </w:r>
      <w:r w:rsidRPr="00525985">
        <w:rPr>
          <w:color w:val="auto"/>
        </w:rPr>
        <w:t xml:space="preserve">will </w:t>
      </w:r>
      <w:r w:rsidRPr="00525985" w:rsidR="00525985">
        <w:rPr>
          <w:color w:val="auto"/>
        </w:rPr>
        <w:t>allow</w:t>
      </w:r>
      <w:r w:rsidRPr="00525985">
        <w:rPr>
          <w:color w:val="auto"/>
        </w:rPr>
        <w:t xml:space="preserve"> the </w:t>
      </w:r>
      <w:r w:rsidRPr="00525985" w:rsidR="009B10CF">
        <w:rPr>
          <w:color w:val="auto"/>
        </w:rPr>
        <w:t xml:space="preserve">Office of Family Assistance </w:t>
      </w:r>
      <w:r w:rsidRPr="00525985">
        <w:rPr>
          <w:color w:val="auto"/>
        </w:rPr>
        <w:t>to track expenditures</w:t>
      </w:r>
      <w:r w:rsidRPr="00525985" w:rsidR="009B10CF">
        <w:rPr>
          <w:color w:val="auto"/>
        </w:rPr>
        <w:t xml:space="preserve"> and</w:t>
      </w:r>
      <w:r w:rsidRPr="00525985">
        <w:rPr>
          <w:color w:val="auto"/>
        </w:rPr>
        <w:t xml:space="preserve"> services provided to Americans in response to the current pandemic and ensure that Statutory reallotment of funding is awarded accurately and timely.</w:t>
      </w:r>
    </w:p>
    <w:p w:rsidRPr="00525985" w:rsidR="009B10CF" w:rsidP="00434E33" w:rsidRDefault="009B10CF" w14:paraId="6B7DB975" w14:textId="77777777">
      <w:pPr>
        <w:pStyle w:val="Header"/>
        <w:tabs>
          <w:tab w:val="clear" w:pos="4320"/>
          <w:tab w:val="clear" w:pos="8640"/>
        </w:tabs>
        <w:rPr>
          <w:b/>
        </w:rPr>
      </w:pPr>
    </w:p>
    <w:p w:rsidRPr="00BE7038" w:rsidR="00434E33" w:rsidP="00BE7038" w:rsidRDefault="00434E33" w14:paraId="6DDC6B22" w14:textId="4CCA1209">
      <w:pPr>
        <w:pStyle w:val="Header"/>
        <w:tabs>
          <w:tab w:val="clear" w:pos="4320"/>
          <w:tab w:val="clear" w:pos="8640"/>
        </w:tabs>
        <w:rPr>
          <w:i/>
          <w:snapToGrid/>
        </w:rPr>
      </w:pPr>
      <w:r w:rsidRPr="00525985">
        <w:rPr>
          <w:b/>
        </w:rPr>
        <w:t>DESCRIPTION OF RESPONDENTS</w:t>
      </w:r>
      <w:r w:rsidRPr="00525985">
        <w:t xml:space="preserve">: </w:t>
      </w:r>
      <w:r w:rsidR="00BE7038">
        <w:t xml:space="preserve"> </w:t>
      </w:r>
      <w:r w:rsidRPr="00525985" w:rsidR="000311F9">
        <w:t>States, Territories, Tribes and Tribal Consortia</w:t>
      </w:r>
      <w:r w:rsidRPr="00525985" w:rsidR="00DB113C">
        <w:t xml:space="preserve"> administering the TANF program.</w:t>
      </w:r>
    </w:p>
    <w:p w:rsidRPr="00525985" w:rsidR="00DB113C" w:rsidP="00E0599E" w:rsidRDefault="00DB113C" w14:paraId="3E953736" w14:textId="77777777">
      <w:pPr>
        <w:pStyle w:val="ListParagraph"/>
        <w:ind w:left="0"/>
      </w:pPr>
    </w:p>
    <w:p w:rsidRPr="00525985" w:rsidR="009C13B9" w:rsidP="00C86E91" w:rsidRDefault="00C86E91" w14:paraId="7823CCD3" w14:textId="77777777">
      <w:pPr>
        <w:rPr>
          <w:b/>
        </w:rPr>
      </w:pPr>
      <w:proofErr w:type="gramStart"/>
      <w:r w:rsidRPr="00525985">
        <w:rPr>
          <w:b/>
        </w:rPr>
        <w:t>Personally</w:t>
      </w:r>
      <w:proofErr w:type="gramEnd"/>
      <w:r w:rsidRPr="00525985">
        <w:rPr>
          <w:b/>
        </w:rPr>
        <w:t xml:space="preserve"> Identifiable Information:</w:t>
      </w:r>
    </w:p>
    <w:p w:rsidRPr="00525985" w:rsidR="00C86E91" w:rsidP="00C86E91" w:rsidRDefault="009C13B9" w14:paraId="1075BF5B" w14:textId="0692942F">
      <w:pPr>
        <w:pStyle w:val="ListParagraph"/>
        <w:numPr>
          <w:ilvl w:val="0"/>
          <w:numId w:val="18"/>
        </w:numPr>
      </w:pPr>
      <w:r w:rsidRPr="00525985">
        <w:t>Is</w:t>
      </w:r>
      <w:r w:rsidRPr="00525985" w:rsidR="00237B48">
        <w:t xml:space="preserve"> personally identifiable information (PII) collected</w:t>
      </w:r>
      <w:r w:rsidRPr="00525985">
        <w:t xml:space="preserve">?  </w:t>
      </w:r>
      <w:proofErr w:type="gramStart"/>
      <w:r w:rsidRPr="00525985" w:rsidR="009239AA">
        <w:t>[  ]</w:t>
      </w:r>
      <w:proofErr w:type="gramEnd"/>
      <w:r w:rsidRPr="00525985" w:rsidR="009239AA">
        <w:t xml:space="preserve"> Yes  [</w:t>
      </w:r>
      <w:r w:rsidRPr="00525985" w:rsidR="000311F9">
        <w:t>X</w:t>
      </w:r>
      <w:r w:rsidRPr="00525985" w:rsidR="009239AA">
        <w:t xml:space="preserve"> ]  No </w:t>
      </w:r>
    </w:p>
    <w:p w:rsidRPr="00525985" w:rsidR="00C86E91" w:rsidP="00C86E91" w:rsidRDefault="009C13B9" w14:paraId="103AAD8D" w14:textId="77777777">
      <w:pPr>
        <w:pStyle w:val="ListParagraph"/>
        <w:numPr>
          <w:ilvl w:val="0"/>
          <w:numId w:val="18"/>
        </w:numPr>
      </w:pPr>
      <w:r w:rsidRPr="00525985">
        <w:t xml:space="preserve">If </w:t>
      </w:r>
      <w:r w:rsidRPr="00525985" w:rsidR="009239AA">
        <w:t>Yes,</w:t>
      </w:r>
      <w:r w:rsidRPr="00525985">
        <w:t xml:space="preserve"> </w:t>
      </w:r>
      <w:r w:rsidRPr="00525985" w:rsidR="002B34CD">
        <w:t>will any</w:t>
      </w:r>
      <w:r w:rsidRPr="00525985" w:rsidR="009239AA">
        <w:t xml:space="preserve"> information that</w:t>
      </w:r>
      <w:r w:rsidRPr="00525985" w:rsidR="002B34CD">
        <w:t xml:space="preserve"> is collected</w:t>
      </w:r>
      <w:r w:rsidRPr="00525985" w:rsidR="009239AA">
        <w:t xml:space="preserve"> be included in records that are subject to the Privacy Act of 1974?   </w:t>
      </w:r>
      <w:proofErr w:type="gramStart"/>
      <w:r w:rsidRPr="00525985" w:rsidR="009239AA">
        <w:t>[  ]</w:t>
      </w:r>
      <w:proofErr w:type="gramEnd"/>
      <w:r w:rsidRPr="00525985" w:rsidR="009239AA">
        <w:t xml:space="preserve"> Yes [  ] No</w:t>
      </w:r>
      <w:r w:rsidRPr="00525985" w:rsidR="00C86E91">
        <w:t xml:space="preserve">   </w:t>
      </w:r>
    </w:p>
    <w:p w:rsidRPr="00525985" w:rsidR="00C86E91" w:rsidP="00C86E91" w:rsidRDefault="00C86E91" w14:paraId="3620A322" w14:textId="77777777">
      <w:pPr>
        <w:pStyle w:val="ListParagraph"/>
        <w:numPr>
          <w:ilvl w:val="0"/>
          <w:numId w:val="18"/>
        </w:numPr>
      </w:pPr>
      <w:r w:rsidRPr="00525985">
        <w:t xml:space="preserve">If </w:t>
      </w:r>
      <w:r w:rsidRPr="00525985" w:rsidR="002B34CD">
        <w:t>Yes</w:t>
      </w:r>
      <w:r w:rsidRPr="00525985">
        <w:t>, has a</w:t>
      </w:r>
      <w:r w:rsidRPr="00525985" w:rsidR="002B34CD">
        <w:t>n up-to-date</w:t>
      </w:r>
      <w:r w:rsidRPr="00525985">
        <w:t xml:space="preserve"> System o</w:t>
      </w:r>
      <w:r w:rsidRPr="00525985" w:rsidR="002B34CD">
        <w:t>f</w:t>
      </w:r>
      <w:r w:rsidRPr="00525985">
        <w:t xml:space="preserve"> Records Notice</w:t>
      </w:r>
      <w:r w:rsidRPr="00525985" w:rsidR="002B34CD">
        <w:t xml:space="preserve"> (SORN)</w:t>
      </w:r>
      <w:r w:rsidRPr="00525985">
        <w:t xml:space="preserve"> been published?  </w:t>
      </w:r>
      <w:proofErr w:type="gramStart"/>
      <w:r w:rsidRPr="00525985">
        <w:t>[  ]</w:t>
      </w:r>
      <w:proofErr w:type="gramEnd"/>
      <w:r w:rsidRPr="00525985">
        <w:t xml:space="preserve"> Yes  [  ] No</w:t>
      </w:r>
    </w:p>
    <w:p w:rsidRPr="00525985" w:rsidR="00CF6542" w:rsidP="00C86E91" w:rsidRDefault="00CF6542" w14:paraId="1D1F2FF0" w14:textId="77777777">
      <w:pPr>
        <w:pStyle w:val="ListParagraph"/>
        <w:ind w:left="0"/>
        <w:rPr>
          <w:b/>
        </w:rPr>
      </w:pPr>
    </w:p>
    <w:p w:rsidRPr="00525985" w:rsidR="005E714A" w:rsidP="00B035C2" w:rsidRDefault="005E714A" w14:paraId="507EC2D5" w14:textId="77777777">
      <w:pPr>
        <w:spacing w:after="120"/>
        <w:rPr>
          <w:i/>
        </w:rPr>
      </w:pPr>
      <w:r w:rsidRPr="00525985">
        <w:rPr>
          <w:b/>
        </w:rPr>
        <w:t>BURDEN HOUR</w:t>
      </w:r>
      <w:r w:rsidRPr="00525985" w:rsidR="00441434">
        <w:rPr>
          <w:b/>
        </w:rPr>
        <w:t>S</w:t>
      </w:r>
      <w:r w:rsidRPr="00525985">
        <w:t xml:space="preserve"> </w:t>
      </w:r>
    </w:p>
    <w:p w:rsidRPr="00B035C2" w:rsidR="00B035C2" w:rsidP="00F3170F" w:rsidRDefault="00B035C2" w14:paraId="72263780" w14:textId="77776A57">
      <w:pPr>
        <w:keepNext/>
        <w:keepLines/>
        <w:rPr>
          <w:bCs/>
        </w:rPr>
      </w:pPr>
      <w:r w:rsidRPr="00B035C2">
        <w:rPr>
          <w:bCs/>
        </w:rPr>
        <w:t xml:space="preserve">Burden estimates were calculated based on 137 grantees completing the form once every year with an average response time of 6 hours. </w:t>
      </w:r>
    </w:p>
    <w:p w:rsidRPr="00525985" w:rsidR="00B035C2" w:rsidP="00F3170F" w:rsidRDefault="00B035C2" w14:paraId="3B378F1B" w14:textId="77777777">
      <w:pPr>
        <w:keepNext/>
        <w:keepLines/>
        <w:rPr>
          <w:b/>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6"/>
        <w:gridCol w:w="1621"/>
        <w:gridCol w:w="1621"/>
        <w:gridCol w:w="1621"/>
        <w:gridCol w:w="1621"/>
      </w:tblGrid>
      <w:tr w:rsidRPr="00525985" w:rsidR="00304A04" w:rsidTr="002C0A3E" w14:paraId="5B16CE0B" w14:textId="77777777">
        <w:trPr>
          <w:trHeight w:val="274"/>
          <w:jc w:val="center"/>
        </w:trPr>
        <w:tc>
          <w:tcPr>
            <w:tcW w:w="2876" w:type="dxa"/>
          </w:tcPr>
          <w:p w:rsidRPr="00525985" w:rsidR="00304A04" w:rsidP="00C8488C" w:rsidRDefault="00304A04" w14:paraId="282E83CF" w14:textId="77777777">
            <w:pPr>
              <w:rPr>
                <w:b/>
              </w:rPr>
            </w:pPr>
            <w:r w:rsidRPr="00525985">
              <w:rPr>
                <w:b/>
              </w:rPr>
              <w:t>Title of Information Collection</w:t>
            </w:r>
          </w:p>
        </w:tc>
        <w:tc>
          <w:tcPr>
            <w:tcW w:w="1621" w:type="dxa"/>
          </w:tcPr>
          <w:p w:rsidRPr="00525985" w:rsidR="00304A04" w:rsidP="00843796" w:rsidRDefault="00304A04" w14:paraId="1B835DEA" w14:textId="77777777">
            <w:pPr>
              <w:rPr>
                <w:b/>
              </w:rPr>
            </w:pPr>
            <w:r w:rsidRPr="00525985">
              <w:rPr>
                <w:b/>
              </w:rPr>
              <w:t>No. of Respondents</w:t>
            </w:r>
          </w:p>
        </w:tc>
        <w:tc>
          <w:tcPr>
            <w:tcW w:w="1621" w:type="dxa"/>
          </w:tcPr>
          <w:p w:rsidRPr="00525985" w:rsidR="00304A04" w:rsidP="00843796" w:rsidRDefault="00304A04" w14:paraId="19B698F3" w14:textId="77777777">
            <w:pPr>
              <w:rPr>
                <w:b/>
              </w:rPr>
            </w:pPr>
            <w:r w:rsidRPr="00525985">
              <w:rPr>
                <w:b/>
              </w:rPr>
              <w:t>Annual Frequency of Responses</w:t>
            </w:r>
          </w:p>
        </w:tc>
        <w:tc>
          <w:tcPr>
            <w:tcW w:w="1621" w:type="dxa"/>
          </w:tcPr>
          <w:p w:rsidRPr="00525985" w:rsidR="00304A04" w:rsidP="00843796" w:rsidRDefault="00304A04" w14:paraId="0D166BEF" w14:textId="77777777">
            <w:pPr>
              <w:rPr>
                <w:b/>
              </w:rPr>
            </w:pPr>
            <w:r w:rsidRPr="00525985">
              <w:rPr>
                <w:b/>
              </w:rPr>
              <w:t>Hourly Burden per Response</w:t>
            </w:r>
          </w:p>
        </w:tc>
        <w:tc>
          <w:tcPr>
            <w:tcW w:w="1621" w:type="dxa"/>
          </w:tcPr>
          <w:p w:rsidRPr="00525985" w:rsidR="00304A04" w:rsidP="00EF2587" w:rsidRDefault="00EF2587" w14:paraId="30377882" w14:textId="77777777">
            <w:pPr>
              <w:jc w:val="center"/>
              <w:rPr>
                <w:b/>
              </w:rPr>
            </w:pPr>
            <w:r w:rsidRPr="00525985">
              <w:rPr>
                <w:b/>
              </w:rPr>
              <w:t xml:space="preserve">Annual Hourly </w:t>
            </w:r>
            <w:r w:rsidRPr="00525985" w:rsidR="00304A04">
              <w:rPr>
                <w:b/>
              </w:rPr>
              <w:t>Burden</w:t>
            </w:r>
          </w:p>
        </w:tc>
      </w:tr>
      <w:tr w:rsidRPr="00525985" w:rsidR="00304A04" w:rsidTr="002C0A3E" w14:paraId="5BF43EF6" w14:textId="77777777">
        <w:trPr>
          <w:trHeight w:val="274"/>
          <w:jc w:val="center"/>
        </w:trPr>
        <w:tc>
          <w:tcPr>
            <w:tcW w:w="2876" w:type="dxa"/>
            <w:vAlign w:val="center"/>
          </w:tcPr>
          <w:p w:rsidRPr="00525985" w:rsidR="00304A04" w:rsidP="002C0A3E" w:rsidRDefault="000311F9" w14:paraId="14EB6C64" w14:textId="103A3745">
            <w:r w:rsidRPr="00525985">
              <w:t>ACF-196P</w:t>
            </w:r>
          </w:p>
        </w:tc>
        <w:tc>
          <w:tcPr>
            <w:tcW w:w="1621" w:type="dxa"/>
            <w:vAlign w:val="center"/>
          </w:tcPr>
          <w:p w:rsidRPr="00525985" w:rsidR="00304A04" w:rsidP="000311F9" w:rsidRDefault="000311F9" w14:paraId="26A9FD7D" w14:textId="61C1E627">
            <w:pPr>
              <w:jc w:val="center"/>
            </w:pPr>
            <w:r w:rsidRPr="00525985">
              <w:t>137</w:t>
            </w:r>
          </w:p>
        </w:tc>
        <w:tc>
          <w:tcPr>
            <w:tcW w:w="1621" w:type="dxa"/>
            <w:vAlign w:val="center"/>
          </w:tcPr>
          <w:p w:rsidRPr="00525985" w:rsidR="00304A04" w:rsidP="000311F9" w:rsidRDefault="000311F9" w14:paraId="626E70FC" w14:textId="48ABE130">
            <w:pPr>
              <w:jc w:val="center"/>
            </w:pPr>
            <w:r w:rsidRPr="00525985">
              <w:t>1</w:t>
            </w:r>
          </w:p>
        </w:tc>
        <w:tc>
          <w:tcPr>
            <w:tcW w:w="1621" w:type="dxa"/>
            <w:vAlign w:val="center"/>
          </w:tcPr>
          <w:p w:rsidRPr="00525985" w:rsidR="00304A04" w:rsidP="000311F9" w:rsidRDefault="000311F9" w14:paraId="41F165D0" w14:textId="5A9CB0D0">
            <w:pPr>
              <w:jc w:val="center"/>
            </w:pPr>
            <w:r w:rsidRPr="00525985">
              <w:t>6</w:t>
            </w:r>
          </w:p>
        </w:tc>
        <w:tc>
          <w:tcPr>
            <w:tcW w:w="1621" w:type="dxa"/>
            <w:vAlign w:val="center"/>
          </w:tcPr>
          <w:p w:rsidRPr="00525985" w:rsidR="00304A04" w:rsidP="000311F9" w:rsidRDefault="000311F9" w14:paraId="64DBB679" w14:textId="694A188C">
            <w:pPr>
              <w:jc w:val="center"/>
            </w:pPr>
            <w:r w:rsidRPr="00525985">
              <w:t>822</w:t>
            </w:r>
          </w:p>
        </w:tc>
      </w:tr>
    </w:tbl>
    <w:p w:rsidRPr="00525985" w:rsidR="00F3170F" w:rsidP="00F3170F" w:rsidRDefault="00F3170F" w14:paraId="22D4F271" w14:textId="77777777"/>
    <w:p w:rsidRPr="00525985" w:rsidR="005E714A" w:rsidRDefault="001C39F7" w14:paraId="5E65A15B" w14:textId="48DD15F5">
      <w:pPr>
        <w:rPr>
          <w:b/>
        </w:rPr>
      </w:pPr>
      <w:r w:rsidRPr="00525985">
        <w:rPr>
          <w:b/>
        </w:rPr>
        <w:t xml:space="preserve">FEDERAL </w:t>
      </w:r>
      <w:r w:rsidRPr="00525985" w:rsidR="009F5923">
        <w:rPr>
          <w:b/>
        </w:rPr>
        <w:t>COST</w:t>
      </w:r>
      <w:r w:rsidRPr="00525985" w:rsidR="00F06866">
        <w:rPr>
          <w:b/>
        </w:rPr>
        <w:t>:</w:t>
      </w:r>
      <w:r w:rsidRPr="00525985" w:rsidR="00895229">
        <w:rPr>
          <w:b/>
        </w:rPr>
        <w:t xml:space="preserve"> </w:t>
      </w:r>
      <w:r w:rsidRPr="00525985" w:rsidR="00C86E91">
        <w:rPr>
          <w:b/>
        </w:rPr>
        <w:t xml:space="preserve"> </w:t>
      </w:r>
      <w:r w:rsidRPr="00525985" w:rsidR="00C86E91">
        <w:t xml:space="preserve">The estimated annual cost to the Federal government is </w:t>
      </w:r>
      <w:r w:rsidRPr="00525985" w:rsidR="000311F9">
        <w:rPr>
          <w:u w:val="single"/>
        </w:rPr>
        <w:t>$39,511</w:t>
      </w:r>
      <w:r w:rsidRPr="00525985" w:rsidR="000311F9">
        <w:t>.</w:t>
      </w:r>
    </w:p>
    <w:p w:rsidRPr="00525985" w:rsidR="000311F9" w:rsidP="000311F9" w:rsidRDefault="000311F9" w14:paraId="2645434F" w14:textId="77777777">
      <w:pPr>
        <w:tabs>
          <w:tab w:val="left" w:pos="-720"/>
          <w:tab w:val="left" w:pos="0"/>
        </w:tabs>
        <w:suppressAutoHyphens/>
      </w:pPr>
    </w:p>
    <w:p w:rsidRPr="00525985" w:rsidR="000311F9" w:rsidP="000311F9" w:rsidRDefault="000311F9" w14:paraId="53959F14" w14:textId="449DD209">
      <w:pPr>
        <w:tabs>
          <w:tab w:val="left" w:pos="-720"/>
          <w:tab w:val="left" w:pos="0"/>
        </w:tabs>
        <w:suppressAutoHyphens/>
      </w:pPr>
      <w:r w:rsidRPr="00525985">
        <w:t>The staff cost of processing each annual report for all 137 grantees is estimated at an annual cost of $28,425.  This is based on an estimate of $34.58 per hour, the hourly Federal GS-12, “Rest of US” employee rate (822 hours x $34.58 per hour = $28,425).  In accordance with information from the ACF Office of Workforce Planning and Development and based on a recent study by the Congressional Budget Office, “Comparing Benefits and Total Compensation in the Federal Government and the Private Sector,” employee benefits accounted for an additional 39 percent of employee compensation.  Accordingly, this increases the estimate above by an additional $11,086, for a total estimate of $39,511.</w:t>
      </w:r>
    </w:p>
    <w:p w:rsidRPr="00525985" w:rsidR="008A412F" w:rsidP="008A412F" w:rsidRDefault="008A412F" w14:paraId="40168AAE" w14:textId="77777777">
      <w:pPr>
        <w:tabs>
          <w:tab w:val="num" w:pos="360"/>
        </w:tabs>
      </w:pPr>
      <w:r w:rsidRPr="00525985">
        <w:rPr>
          <w:b/>
        </w:rPr>
        <w:lastRenderedPageBreak/>
        <w:t xml:space="preserve">PUBLIC COMMENT: </w:t>
      </w:r>
      <w:r w:rsidRPr="00525985">
        <w:t xml:space="preserve">ACF published a notice in the </w:t>
      </w:r>
      <w:r w:rsidRPr="00525985">
        <w:rPr>
          <w:i/>
          <w:iCs/>
        </w:rPr>
        <w:t>Federal Register</w:t>
      </w:r>
      <w:r w:rsidRPr="00525985">
        <w:t xml:space="preserve"> announcing the agency’s intention to request an OMB review of this generic information collection activity.  </w:t>
      </w:r>
    </w:p>
    <w:p w:rsidRPr="00525985" w:rsidR="008A412F" w:rsidP="008A412F" w:rsidRDefault="008A412F" w14:paraId="3BD31A5D" w14:textId="77777777">
      <w:pPr>
        <w:tabs>
          <w:tab w:val="num" w:pos="360"/>
        </w:tabs>
      </w:pPr>
    </w:p>
    <w:p w:rsidRPr="002C0A3E" w:rsidR="008A412F" w:rsidP="008A412F" w:rsidRDefault="008A412F" w14:paraId="2CA743DE" w14:textId="62344569">
      <w:pPr>
        <w:tabs>
          <w:tab w:val="num" w:pos="360"/>
        </w:tabs>
      </w:pPr>
      <w:r w:rsidRPr="002C0A3E">
        <w:t>_</w:t>
      </w:r>
      <w:r w:rsidRPr="00E324D1" w:rsidR="00E324D1">
        <w:rPr>
          <w:u w:val="single"/>
        </w:rPr>
        <w:t>86</w:t>
      </w:r>
      <w:r w:rsidRPr="002C0A3E">
        <w:t>_ FR _</w:t>
      </w:r>
      <w:r w:rsidR="00E324D1">
        <w:rPr>
          <w:u w:val="single"/>
        </w:rPr>
        <w:t>50361</w:t>
      </w:r>
      <w:r w:rsidRPr="002C0A3E">
        <w:t>__</w:t>
      </w:r>
      <w:r w:rsidRPr="002C0A3E">
        <w:tab/>
        <w:t>Date: _</w:t>
      </w:r>
      <w:r w:rsidR="00E324D1">
        <w:rPr>
          <w:u w:val="single"/>
        </w:rPr>
        <w:t>September 8, 2021</w:t>
      </w:r>
      <w:r w:rsidRPr="002C0A3E">
        <w:t>_</w:t>
      </w:r>
    </w:p>
    <w:p w:rsidRPr="002C0A3E" w:rsidR="008A412F" w:rsidP="008A412F" w:rsidRDefault="008A412F" w14:paraId="27E36C93" w14:textId="77777777">
      <w:pPr>
        <w:tabs>
          <w:tab w:val="num" w:pos="360"/>
        </w:tabs>
      </w:pPr>
    </w:p>
    <w:p w:rsidRPr="002C0A3E" w:rsidR="008A412F" w:rsidP="008A412F" w:rsidRDefault="008A412F" w14:paraId="5AC8FD78" w14:textId="359789ED">
      <w:pPr>
        <w:tabs>
          <w:tab w:val="num" w:pos="360"/>
        </w:tabs>
      </w:pPr>
      <w:r w:rsidRPr="002C0A3E">
        <w:t xml:space="preserve">This notice provided a 14-day period for public comment. </w:t>
      </w:r>
      <w:r w:rsidR="005E7557">
        <w:t>ACF received one request for the form and no substantive comments.</w:t>
      </w:r>
      <w:r w:rsidRPr="002C0A3E">
        <w:t xml:space="preserve"> </w:t>
      </w:r>
    </w:p>
    <w:p w:rsidRPr="002C0A3E" w:rsidR="00525985" w:rsidP="008A412F" w:rsidRDefault="00525985" w14:paraId="3B7CFEB5" w14:textId="77777777">
      <w:pPr>
        <w:tabs>
          <w:tab w:val="num" w:pos="360"/>
        </w:tabs>
      </w:pPr>
    </w:p>
    <w:p w:rsidRPr="00525985" w:rsidR="0024521E" w:rsidP="0024521E" w:rsidRDefault="00F24CFC" w14:paraId="6BB0DC07" w14:textId="77777777">
      <w:pPr>
        <w:rPr>
          <w:b/>
        </w:rPr>
      </w:pPr>
      <w:r w:rsidRPr="002C0A3E">
        <w:rPr>
          <w:b/>
        </w:rPr>
        <w:t>Please make sure that all instruments, instructions, and scripts are submitted with the</w:t>
      </w:r>
      <w:r w:rsidRPr="00525985">
        <w:rPr>
          <w:b/>
        </w:rPr>
        <w:t xml:space="preserve"> request.</w:t>
      </w:r>
    </w:p>
    <w:sectPr w:rsidRPr="00525985" w:rsidR="0024521E"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1A295" w14:textId="77777777" w:rsidR="00032F05" w:rsidRDefault="00032F05">
      <w:r>
        <w:separator/>
      </w:r>
    </w:p>
  </w:endnote>
  <w:endnote w:type="continuationSeparator" w:id="0">
    <w:p w14:paraId="330AB130" w14:textId="77777777" w:rsidR="00032F05" w:rsidRDefault="0003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957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2315" w14:textId="77777777" w:rsidR="00032F05" w:rsidRDefault="00032F05">
      <w:r>
        <w:separator/>
      </w:r>
    </w:p>
  </w:footnote>
  <w:footnote w:type="continuationSeparator" w:id="0">
    <w:p w14:paraId="279D85A6" w14:textId="77777777" w:rsidR="00032F05" w:rsidRDefault="0003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BD19"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11F9"/>
    <w:rsid w:val="00032F05"/>
    <w:rsid w:val="00047A64"/>
    <w:rsid w:val="00067329"/>
    <w:rsid w:val="000B2838"/>
    <w:rsid w:val="000D44CA"/>
    <w:rsid w:val="000E200B"/>
    <w:rsid w:val="000F68BE"/>
    <w:rsid w:val="00102309"/>
    <w:rsid w:val="001927A4"/>
    <w:rsid w:val="00194AC6"/>
    <w:rsid w:val="001A23B0"/>
    <w:rsid w:val="001A25CC"/>
    <w:rsid w:val="001B0AAA"/>
    <w:rsid w:val="001C39F7"/>
    <w:rsid w:val="001D753A"/>
    <w:rsid w:val="001E11D6"/>
    <w:rsid w:val="00237B48"/>
    <w:rsid w:val="0024521E"/>
    <w:rsid w:val="00263C3D"/>
    <w:rsid w:val="00274D0B"/>
    <w:rsid w:val="002969EF"/>
    <w:rsid w:val="002B052D"/>
    <w:rsid w:val="002B279E"/>
    <w:rsid w:val="002B34CD"/>
    <w:rsid w:val="002B3C95"/>
    <w:rsid w:val="002C0A3E"/>
    <w:rsid w:val="002D0B92"/>
    <w:rsid w:val="00304A04"/>
    <w:rsid w:val="003D5BBE"/>
    <w:rsid w:val="003E3C61"/>
    <w:rsid w:val="003F1C5B"/>
    <w:rsid w:val="0041242E"/>
    <w:rsid w:val="00434E33"/>
    <w:rsid w:val="00441434"/>
    <w:rsid w:val="0045264C"/>
    <w:rsid w:val="0047080B"/>
    <w:rsid w:val="004876EC"/>
    <w:rsid w:val="004D6E14"/>
    <w:rsid w:val="004E0C26"/>
    <w:rsid w:val="004E4B2F"/>
    <w:rsid w:val="005009B0"/>
    <w:rsid w:val="00525985"/>
    <w:rsid w:val="005830E3"/>
    <w:rsid w:val="005A1006"/>
    <w:rsid w:val="005E714A"/>
    <w:rsid w:val="005E7557"/>
    <w:rsid w:val="005F1E64"/>
    <w:rsid w:val="005F693D"/>
    <w:rsid w:val="006140A0"/>
    <w:rsid w:val="00636621"/>
    <w:rsid w:val="00642B49"/>
    <w:rsid w:val="006630F9"/>
    <w:rsid w:val="006832D9"/>
    <w:rsid w:val="0069002D"/>
    <w:rsid w:val="0069403B"/>
    <w:rsid w:val="006B310E"/>
    <w:rsid w:val="006B452C"/>
    <w:rsid w:val="006F3DDE"/>
    <w:rsid w:val="006F4708"/>
    <w:rsid w:val="00704678"/>
    <w:rsid w:val="00704C37"/>
    <w:rsid w:val="007425E7"/>
    <w:rsid w:val="007F7080"/>
    <w:rsid w:val="00802607"/>
    <w:rsid w:val="008101A5"/>
    <w:rsid w:val="00822664"/>
    <w:rsid w:val="008228C3"/>
    <w:rsid w:val="00841AFC"/>
    <w:rsid w:val="00843796"/>
    <w:rsid w:val="00862813"/>
    <w:rsid w:val="00895229"/>
    <w:rsid w:val="008A412F"/>
    <w:rsid w:val="008B2EB3"/>
    <w:rsid w:val="008D66F8"/>
    <w:rsid w:val="008F0203"/>
    <w:rsid w:val="008F3E44"/>
    <w:rsid w:val="008F50D4"/>
    <w:rsid w:val="008F63B5"/>
    <w:rsid w:val="009239AA"/>
    <w:rsid w:val="00935ADA"/>
    <w:rsid w:val="00937FD8"/>
    <w:rsid w:val="00946B6C"/>
    <w:rsid w:val="0095483E"/>
    <w:rsid w:val="00955A71"/>
    <w:rsid w:val="0096108F"/>
    <w:rsid w:val="0098404E"/>
    <w:rsid w:val="009B10CF"/>
    <w:rsid w:val="009C13B9"/>
    <w:rsid w:val="009D01A2"/>
    <w:rsid w:val="009F5923"/>
    <w:rsid w:val="009F597B"/>
    <w:rsid w:val="00A403BB"/>
    <w:rsid w:val="00A417A2"/>
    <w:rsid w:val="00A674DF"/>
    <w:rsid w:val="00A83AA6"/>
    <w:rsid w:val="00A934D6"/>
    <w:rsid w:val="00A9524E"/>
    <w:rsid w:val="00AA40F7"/>
    <w:rsid w:val="00AE1809"/>
    <w:rsid w:val="00B035C2"/>
    <w:rsid w:val="00B80D76"/>
    <w:rsid w:val="00B824F4"/>
    <w:rsid w:val="00BA2105"/>
    <w:rsid w:val="00BA7E06"/>
    <w:rsid w:val="00BB43B5"/>
    <w:rsid w:val="00BB6219"/>
    <w:rsid w:val="00BD290F"/>
    <w:rsid w:val="00BD78CA"/>
    <w:rsid w:val="00BE7038"/>
    <w:rsid w:val="00C14CC4"/>
    <w:rsid w:val="00C20198"/>
    <w:rsid w:val="00C25899"/>
    <w:rsid w:val="00C33C52"/>
    <w:rsid w:val="00C33DCE"/>
    <w:rsid w:val="00C40D8B"/>
    <w:rsid w:val="00C8407A"/>
    <w:rsid w:val="00C8488C"/>
    <w:rsid w:val="00C86E91"/>
    <w:rsid w:val="00C93D56"/>
    <w:rsid w:val="00CA2650"/>
    <w:rsid w:val="00CB1078"/>
    <w:rsid w:val="00CC6FAF"/>
    <w:rsid w:val="00CF6542"/>
    <w:rsid w:val="00D24698"/>
    <w:rsid w:val="00D6383F"/>
    <w:rsid w:val="00DB113C"/>
    <w:rsid w:val="00DB59D0"/>
    <w:rsid w:val="00DC33D3"/>
    <w:rsid w:val="00E0599E"/>
    <w:rsid w:val="00E26329"/>
    <w:rsid w:val="00E324D1"/>
    <w:rsid w:val="00E40B50"/>
    <w:rsid w:val="00E437E7"/>
    <w:rsid w:val="00E50293"/>
    <w:rsid w:val="00E657C2"/>
    <w:rsid w:val="00E65FFC"/>
    <w:rsid w:val="00E744EA"/>
    <w:rsid w:val="00E80951"/>
    <w:rsid w:val="00E86CC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 w:val="00FE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950109"/>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paragraph" w:customStyle="1" w:styleId="Default">
    <w:name w:val="Default"/>
    <w:rsid w:val="000311F9"/>
    <w:pPr>
      <w:autoSpaceDE w:val="0"/>
      <w:autoSpaceDN w:val="0"/>
      <w:adjustRightInd w:val="0"/>
    </w:pPr>
    <w:rPr>
      <w:color w:val="000000"/>
      <w:sz w:val="24"/>
      <w:szCs w:val="24"/>
    </w:rPr>
  </w:style>
  <w:style w:type="character" w:styleId="Hyperlink">
    <w:name w:val="Hyperlink"/>
    <w:basedOn w:val="DefaultParagraphFont"/>
    <w:rsid w:val="00AA40F7"/>
    <w:rPr>
      <w:color w:val="0563C1" w:themeColor="hyperlink"/>
      <w:u w:val="single"/>
    </w:rPr>
  </w:style>
  <w:style w:type="character" w:styleId="UnresolvedMention">
    <w:name w:val="Unresolved Mention"/>
    <w:basedOn w:val="DefaultParagraphFont"/>
    <w:uiPriority w:val="99"/>
    <w:semiHidden/>
    <w:unhideWhenUsed/>
    <w:rsid w:val="00AA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7280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7F88-0882-4BCB-91DE-951F8585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6</cp:revision>
  <cp:lastPrinted>2017-12-06T14:12:00Z</cp:lastPrinted>
  <dcterms:created xsi:type="dcterms:W3CDTF">2021-08-13T17:02:00Z</dcterms:created>
  <dcterms:modified xsi:type="dcterms:W3CDTF">2021-09-23T14:41:00Z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